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916DA" w14:textId="77777777" w:rsidR="00471C36" w:rsidRPr="00471C36" w:rsidRDefault="00471C36" w:rsidP="00471C36">
      <w:pPr>
        <w:autoSpaceDE w:val="0"/>
        <w:autoSpaceDN w:val="0"/>
        <w:adjustRightInd w:val="0"/>
        <w:jc w:val="center"/>
        <w:rPr>
          <w:rFonts w:ascii="Arial-BoldMT" w:hAnsi="Arial-BoldMT" w:cs="Arial-BoldMT"/>
          <w:b/>
          <w:bCs/>
          <w:szCs w:val="16"/>
          <w:lang w:val="es-ES"/>
        </w:rPr>
      </w:pPr>
      <w:r w:rsidRPr="00471C36">
        <w:rPr>
          <w:rFonts w:ascii="Arial-BoldMT" w:eastAsia="Arial-BoldMT" w:hAnsi="Arial-BoldMT" w:cs="Arial-BoldMT"/>
          <w:b/>
          <w:szCs w:val="16"/>
          <w:lang w:bidi="en-US"/>
        </w:rPr>
        <w:t>ANNEX No. 3:</w:t>
      </w:r>
    </w:p>
    <w:p w14:paraId="7EBE67E8" w14:textId="77777777" w:rsidR="00471C36" w:rsidRPr="00471C36" w:rsidRDefault="00471C36" w:rsidP="00471C36">
      <w:pPr>
        <w:autoSpaceDE w:val="0"/>
        <w:autoSpaceDN w:val="0"/>
        <w:adjustRightInd w:val="0"/>
        <w:jc w:val="center"/>
        <w:rPr>
          <w:rFonts w:ascii="Arial-BoldMT" w:hAnsi="Arial-BoldMT" w:cs="Arial-BoldMT"/>
          <w:b/>
          <w:bCs/>
          <w:szCs w:val="16"/>
          <w:lang w:val="es-ES"/>
        </w:rPr>
      </w:pPr>
      <w:r w:rsidRPr="00471C36">
        <w:rPr>
          <w:rFonts w:ascii="Arial-BoldMT" w:eastAsia="Arial-BoldMT" w:hAnsi="Arial-BoldMT" w:cs="Arial-BoldMT"/>
          <w:b/>
          <w:szCs w:val="16"/>
          <w:lang w:bidi="en-US"/>
        </w:rPr>
        <w:t>COMPANIES AUTHORIZED TO ISSUE GUARANTEES</w:t>
      </w:r>
    </w:p>
    <w:p w14:paraId="69A530C1" w14:textId="77777777" w:rsidR="00471C36" w:rsidRDefault="00471C36" w:rsidP="00471C36">
      <w:pPr>
        <w:autoSpaceDE w:val="0"/>
        <w:autoSpaceDN w:val="0"/>
        <w:adjustRightInd w:val="0"/>
        <w:jc w:val="left"/>
        <w:rPr>
          <w:rFonts w:ascii="ArialMT" w:hAnsi="ArialMT" w:cs="ArialMT"/>
          <w:sz w:val="20"/>
          <w:szCs w:val="14"/>
          <w:lang w:val="es-ES"/>
        </w:rPr>
      </w:pPr>
    </w:p>
    <w:p w14:paraId="014C5786" w14:textId="77777777" w:rsidR="00471C36" w:rsidRDefault="00471C36" w:rsidP="00471C36">
      <w:pPr>
        <w:autoSpaceDE w:val="0"/>
        <w:autoSpaceDN w:val="0"/>
        <w:adjustRightInd w:val="0"/>
        <w:jc w:val="left"/>
        <w:rPr>
          <w:rFonts w:ascii="ArialMT" w:hAnsi="ArialMT" w:cs="ArialMT"/>
          <w:sz w:val="20"/>
          <w:szCs w:val="14"/>
          <w:lang w:val="es-ES"/>
        </w:rPr>
      </w:pPr>
    </w:p>
    <w:p w14:paraId="68C6695F" w14:textId="77777777" w:rsidR="00471C36" w:rsidRDefault="00471C36" w:rsidP="00471C36">
      <w:pPr>
        <w:autoSpaceDE w:val="0"/>
        <w:autoSpaceDN w:val="0"/>
        <w:adjustRightInd w:val="0"/>
        <w:jc w:val="left"/>
        <w:rPr>
          <w:rFonts w:ascii="ArialMT" w:hAnsi="ArialMT" w:cs="ArialMT"/>
          <w:sz w:val="20"/>
          <w:szCs w:val="14"/>
          <w:lang w:val="es-ES"/>
        </w:rPr>
      </w:pPr>
    </w:p>
    <w:p w14:paraId="1EC55C79" w14:textId="77777777" w:rsidR="00471C36" w:rsidRPr="00471C36" w:rsidRDefault="00471C36" w:rsidP="00471C36">
      <w:pPr>
        <w:autoSpaceDE w:val="0"/>
        <w:autoSpaceDN w:val="0"/>
        <w:adjustRightInd w:val="0"/>
        <w:jc w:val="left"/>
        <w:rPr>
          <w:rFonts w:ascii="ArialMT" w:hAnsi="ArialMT" w:cs="ArialMT"/>
          <w:sz w:val="20"/>
          <w:szCs w:val="14"/>
          <w:lang w:val="es-ES"/>
        </w:rPr>
      </w:pPr>
      <w:r w:rsidRPr="00471C36">
        <w:rPr>
          <w:rFonts w:ascii="ArialMT" w:eastAsia="ArialMT" w:hAnsi="ArialMT" w:cs="ArialMT"/>
          <w:sz w:val="20"/>
          <w:szCs w:val="14"/>
          <w:lang w:bidi="en-US"/>
        </w:rPr>
        <w:t xml:space="preserve">The Private Investment Promotion Agency - PROINVERSIÓN, will accept letters of guarantee issued by: </w:t>
      </w:r>
      <w:r w:rsidRPr="00471C36">
        <w:rPr>
          <w:rFonts w:ascii="Arial-BoldMT" w:eastAsia="Arial-BoldMT" w:hAnsi="Arial-BoldMT" w:cs="Arial-BoldMT"/>
          <w:b/>
          <w:sz w:val="20"/>
          <w:szCs w:val="14"/>
          <w:lang w:bidi="en-US"/>
        </w:rPr>
        <w:t>Banking Companies</w:t>
      </w:r>
    </w:p>
    <w:p w14:paraId="14794FAC" w14:textId="77777777" w:rsidR="00471C36" w:rsidRDefault="00471C36" w:rsidP="00471C36">
      <w:pPr>
        <w:autoSpaceDE w:val="0"/>
        <w:autoSpaceDN w:val="0"/>
        <w:adjustRightInd w:val="0"/>
        <w:jc w:val="left"/>
        <w:rPr>
          <w:rFonts w:ascii="ArialMT" w:hAnsi="ArialMT" w:cs="ArialMT"/>
          <w:sz w:val="20"/>
          <w:szCs w:val="14"/>
          <w:lang w:val="es-ES"/>
        </w:rPr>
      </w:pPr>
    </w:p>
    <w:p w14:paraId="0CF2386D" w14:textId="7DF0A587" w:rsidR="00471C36" w:rsidRPr="00471C36" w:rsidRDefault="00471C36" w:rsidP="00471C36">
      <w:pPr>
        <w:autoSpaceDE w:val="0"/>
        <w:autoSpaceDN w:val="0"/>
        <w:adjustRightInd w:val="0"/>
        <w:rPr>
          <w:rFonts w:ascii="ArialMT" w:hAnsi="ArialMT" w:cs="ArialMT"/>
          <w:sz w:val="20"/>
          <w:szCs w:val="14"/>
          <w:lang w:val="es-ES"/>
        </w:rPr>
      </w:pPr>
      <w:r w:rsidRPr="00471C36">
        <w:rPr>
          <w:rFonts w:ascii="ArialMT" w:eastAsia="ArialMT" w:hAnsi="ArialMT" w:cs="ArialMT"/>
          <w:sz w:val="20"/>
          <w:szCs w:val="14"/>
          <w:lang w:bidi="en-US"/>
        </w:rPr>
        <w:t xml:space="preserve">These are those companies so defined </w:t>
      </w:r>
      <w:r w:rsidR="00894350">
        <w:rPr>
          <w:rFonts w:ascii="ArialMT" w:eastAsia="ArialMT" w:hAnsi="ArialMT" w:cs="ArialMT"/>
          <w:sz w:val="20"/>
          <w:szCs w:val="14"/>
          <w:lang w:bidi="en-US"/>
        </w:rPr>
        <w:t>by</w:t>
      </w:r>
      <w:r w:rsidRPr="00471C36">
        <w:rPr>
          <w:rFonts w:ascii="ArialMT" w:eastAsia="ArialMT" w:hAnsi="ArialMT" w:cs="ArialMT"/>
          <w:sz w:val="20"/>
          <w:szCs w:val="14"/>
          <w:lang w:bidi="en-US"/>
        </w:rPr>
        <w:t xml:space="preserve"> Law No. 26702, General Law of the Financial and the Insurance Systems and Organic Law of the Superintendency of Banking, Insurance and AFP (SBS) and which have a minimum local rating of CP-1, category 1, CLA-1 or EQL-1 for short-term obligations; A for financial strength; and AA for long-term obligations in accordance with current regulations. Such ratings must i) be granted by at least two (2) risk rating agencies recognized and authorized in Peru and ii) be in force at the time of presentation of the Guarantee of Faithful Fulfillment of the Contract.</w:t>
      </w:r>
    </w:p>
    <w:p w14:paraId="436B7741" w14:textId="77777777" w:rsidR="00471C36" w:rsidRDefault="00471C36" w:rsidP="00471C36">
      <w:pPr>
        <w:autoSpaceDE w:val="0"/>
        <w:autoSpaceDN w:val="0"/>
        <w:adjustRightInd w:val="0"/>
        <w:rPr>
          <w:rFonts w:ascii="Arial-BoldMT" w:hAnsi="Arial-BoldMT" w:cs="Arial-BoldMT"/>
          <w:b/>
          <w:bCs/>
          <w:sz w:val="20"/>
          <w:szCs w:val="14"/>
          <w:lang w:val="es-ES"/>
        </w:rPr>
      </w:pPr>
    </w:p>
    <w:p w14:paraId="0CCAC14C" w14:textId="77777777" w:rsidR="00471C36" w:rsidRDefault="00471C36" w:rsidP="00471C36">
      <w:pPr>
        <w:autoSpaceDE w:val="0"/>
        <w:autoSpaceDN w:val="0"/>
        <w:adjustRightInd w:val="0"/>
        <w:rPr>
          <w:rFonts w:ascii="Arial-BoldMT" w:hAnsi="Arial-BoldMT" w:cs="Arial-BoldMT"/>
          <w:b/>
          <w:bCs/>
          <w:sz w:val="20"/>
          <w:szCs w:val="14"/>
          <w:lang w:val="es-ES"/>
        </w:rPr>
      </w:pPr>
    </w:p>
    <w:p w14:paraId="59663B6D" w14:textId="77777777" w:rsidR="00471C36" w:rsidRPr="00471C36" w:rsidRDefault="00471C36" w:rsidP="00471C36">
      <w:pPr>
        <w:autoSpaceDE w:val="0"/>
        <w:autoSpaceDN w:val="0"/>
        <w:adjustRightInd w:val="0"/>
        <w:rPr>
          <w:rFonts w:ascii="Arial-BoldMT" w:hAnsi="Arial-BoldMT" w:cs="Arial-BoldMT"/>
          <w:b/>
          <w:bCs/>
          <w:sz w:val="20"/>
          <w:szCs w:val="14"/>
          <w:lang w:val="es-ES"/>
        </w:rPr>
      </w:pPr>
      <w:r w:rsidRPr="00471C36">
        <w:rPr>
          <w:rFonts w:ascii="Arial-BoldMT" w:eastAsia="Arial-BoldMT" w:hAnsi="Arial-BoldMT" w:cs="Arial-BoldMT"/>
          <w:b/>
          <w:sz w:val="20"/>
          <w:szCs w:val="14"/>
          <w:lang w:bidi="en-US"/>
        </w:rPr>
        <w:t>Insurance Companies</w:t>
      </w:r>
    </w:p>
    <w:p w14:paraId="4202B4FE" w14:textId="77777777" w:rsidR="00471C36" w:rsidRPr="00471C36" w:rsidRDefault="00471C36" w:rsidP="00471C36">
      <w:pPr>
        <w:autoSpaceDE w:val="0"/>
        <w:autoSpaceDN w:val="0"/>
        <w:adjustRightInd w:val="0"/>
        <w:rPr>
          <w:rFonts w:ascii="ArialMT" w:hAnsi="ArialMT" w:cs="ArialMT"/>
          <w:sz w:val="20"/>
          <w:szCs w:val="14"/>
          <w:lang w:val="es-ES"/>
        </w:rPr>
      </w:pPr>
      <w:r w:rsidRPr="00471C36">
        <w:rPr>
          <w:rFonts w:ascii="ArialMT" w:eastAsia="ArialMT" w:hAnsi="ArialMT" w:cs="ArialMT"/>
          <w:sz w:val="20"/>
          <w:szCs w:val="14"/>
          <w:lang w:bidi="en-US"/>
        </w:rPr>
        <w:t>These are those companies so defined in accordance with Law No. 26702, General Law of the Financial and the Insurance Systems and Organic Law of the Superintendency of Banking, Insurance and AFP (SBS) and which, as of the date of presentation of the Guarantee of Faithful Fulfillment of the Contract, have a minimum rating of A, as to their financial strength, issued by at least two (2) risk rating agencies authorized by the Superintendence of Securities Market.</w:t>
      </w:r>
    </w:p>
    <w:p w14:paraId="7CE6396E" w14:textId="77777777" w:rsidR="00471C36" w:rsidRDefault="00471C36" w:rsidP="00471C36">
      <w:pPr>
        <w:autoSpaceDE w:val="0"/>
        <w:autoSpaceDN w:val="0"/>
        <w:adjustRightInd w:val="0"/>
        <w:rPr>
          <w:rFonts w:ascii="Arial-BoldMT" w:hAnsi="Arial-BoldMT" w:cs="Arial-BoldMT"/>
          <w:b/>
          <w:bCs/>
          <w:sz w:val="20"/>
          <w:szCs w:val="14"/>
          <w:lang w:val="es-ES"/>
        </w:rPr>
      </w:pPr>
    </w:p>
    <w:p w14:paraId="273623E7" w14:textId="77777777" w:rsidR="00471C36" w:rsidRPr="00471C36" w:rsidRDefault="00471C36" w:rsidP="00471C36">
      <w:pPr>
        <w:autoSpaceDE w:val="0"/>
        <w:autoSpaceDN w:val="0"/>
        <w:adjustRightInd w:val="0"/>
        <w:rPr>
          <w:rFonts w:ascii="Arial-BoldMT" w:hAnsi="Arial-BoldMT" w:cs="Arial-BoldMT"/>
          <w:b/>
          <w:bCs/>
          <w:sz w:val="20"/>
          <w:szCs w:val="14"/>
          <w:lang w:val="es-ES"/>
        </w:rPr>
      </w:pPr>
      <w:r w:rsidRPr="00471C36">
        <w:rPr>
          <w:rFonts w:ascii="Arial-BoldMT" w:eastAsia="Arial-BoldMT" w:hAnsi="Arial-BoldMT" w:cs="Arial-BoldMT"/>
          <w:b/>
          <w:sz w:val="20"/>
          <w:szCs w:val="14"/>
          <w:lang w:bidi="en-US"/>
        </w:rPr>
        <w:t>First Category Foreign Banks</w:t>
      </w:r>
    </w:p>
    <w:p w14:paraId="630C20F8" w14:textId="0D6DAA76" w:rsidR="00471C36" w:rsidRPr="00471C36" w:rsidRDefault="00894350" w:rsidP="00471C36">
      <w:pPr>
        <w:autoSpaceDE w:val="0"/>
        <w:autoSpaceDN w:val="0"/>
        <w:adjustRightInd w:val="0"/>
        <w:rPr>
          <w:rFonts w:ascii="ArialMT" w:hAnsi="ArialMT" w:cs="ArialMT"/>
          <w:sz w:val="20"/>
          <w:szCs w:val="14"/>
          <w:lang w:val="es-ES"/>
        </w:rPr>
      </w:pPr>
      <w:r>
        <w:rPr>
          <w:rFonts w:ascii="ArialMT" w:eastAsia="ArialMT" w:hAnsi="ArialMT" w:cs="ArialMT"/>
          <w:sz w:val="20"/>
          <w:szCs w:val="14"/>
          <w:lang w:bidi="en-US"/>
        </w:rPr>
        <w:t>The first</w:t>
      </w:r>
      <w:r w:rsidR="00471C36" w:rsidRPr="00471C36">
        <w:rPr>
          <w:rFonts w:ascii="ArialMT" w:eastAsia="ArialMT" w:hAnsi="ArialMT" w:cs="ArialMT"/>
          <w:sz w:val="20"/>
          <w:szCs w:val="14"/>
          <w:lang w:bidi="en-US"/>
        </w:rPr>
        <w:t xml:space="preserve"> category foreign banks included in the list approved by the Central Reserve Bank of Peru (BCRP) through Official Letter No. 0002-2023-BCRP or the regulation that replaces it will be taken into account.</w:t>
      </w:r>
    </w:p>
    <w:p w14:paraId="6359B1F1" w14:textId="77777777" w:rsidR="00471C36" w:rsidRDefault="00471C36" w:rsidP="00471C36">
      <w:pPr>
        <w:autoSpaceDE w:val="0"/>
        <w:autoSpaceDN w:val="0"/>
        <w:adjustRightInd w:val="0"/>
        <w:rPr>
          <w:rFonts w:ascii="Arial-BoldMT" w:hAnsi="Arial-BoldMT" w:cs="Arial-BoldMT"/>
          <w:b/>
          <w:bCs/>
          <w:sz w:val="20"/>
          <w:szCs w:val="14"/>
          <w:lang w:val="es-ES"/>
        </w:rPr>
      </w:pPr>
    </w:p>
    <w:p w14:paraId="030C6151" w14:textId="77777777" w:rsidR="00471C36" w:rsidRDefault="00471C36" w:rsidP="00471C36">
      <w:pPr>
        <w:autoSpaceDE w:val="0"/>
        <w:autoSpaceDN w:val="0"/>
        <w:adjustRightInd w:val="0"/>
        <w:rPr>
          <w:rFonts w:ascii="Arial-BoldMT" w:hAnsi="Arial-BoldMT" w:cs="Arial-BoldMT"/>
          <w:b/>
          <w:bCs/>
          <w:sz w:val="20"/>
          <w:szCs w:val="14"/>
          <w:lang w:val="es-ES"/>
        </w:rPr>
      </w:pPr>
      <w:r w:rsidRPr="00471C36">
        <w:rPr>
          <w:rFonts w:ascii="Arial-BoldMT" w:eastAsia="Arial-BoldMT" w:hAnsi="Arial-BoldMT" w:cs="Arial-BoldMT"/>
          <w:b/>
          <w:sz w:val="20"/>
          <w:szCs w:val="14"/>
          <w:lang w:bidi="en-US"/>
        </w:rPr>
        <w:t>International Financial Entities</w:t>
      </w:r>
    </w:p>
    <w:p w14:paraId="0CFE1015" w14:textId="77777777" w:rsidR="00471C36" w:rsidRPr="00471C36" w:rsidRDefault="00471C36" w:rsidP="00471C36">
      <w:pPr>
        <w:autoSpaceDE w:val="0"/>
        <w:autoSpaceDN w:val="0"/>
        <w:adjustRightInd w:val="0"/>
        <w:rPr>
          <w:rFonts w:ascii="Arial-BoldMT" w:hAnsi="Arial-BoldMT" w:cs="Arial-BoldMT"/>
          <w:b/>
          <w:bCs/>
          <w:sz w:val="20"/>
          <w:szCs w:val="14"/>
          <w:lang w:val="es-ES"/>
        </w:rPr>
      </w:pPr>
    </w:p>
    <w:p w14:paraId="09BBBD31" w14:textId="77777777" w:rsidR="00471C36" w:rsidRPr="00471C36" w:rsidRDefault="00471C36" w:rsidP="00471C36">
      <w:pPr>
        <w:autoSpaceDE w:val="0"/>
        <w:autoSpaceDN w:val="0"/>
        <w:adjustRightInd w:val="0"/>
        <w:rPr>
          <w:rFonts w:ascii="ArialMT" w:hAnsi="ArialMT" w:cs="ArialMT"/>
          <w:sz w:val="20"/>
          <w:szCs w:val="14"/>
          <w:lang w:val="es-ES"/>
        </w:rPr>
      </w:pPr>
      <w:r w:rsidRPr="00471C36">
        <w:rPr>
          <w:rFonts w:ascii="ArialMT" w:eastAsia="ArialMT" w:hAnsi="ArialMT" w:cs="ArialMT"/>
          <w:sz w:val="20"/>
          <w:szCs w:val="14"/>
          <w:lang w:bidi="en-US"/>
        </w:rPr>
        <w:t>• Any international financial entity, which has a risk rating no lower than the</w:t>
      </w:r>
    </w:p>
    <w:p w14:paraId="0255B6D2" w14:textId="51AA9A5A" w:rsidR="00471C36" w:rsidRPr="00471C36" w:rsidRDefault="00471C36" w:rsidP="00471C36">
      <w:pPr>
        <w:autoSpaceDE w:val="0"/>
        <w:autoSpaceDN w:val="0"/>
        <w:adjustRightInd w:val="0"/>
        <w:rPr>
          <w:rFonts w:ascii="ArialMT" w:hAnsi="ArialMT" w:cs="ArialMT"/>
          <w:sz w:val="20"/>
          <w:szCs w:val="14"/>
          <w:lang w:val="es-ES"/>
        </w:rPr>
      </w:pPr>
      <w:r w:rsidRPr="00471C36">
        <w:rPr>
          <w:rFonts w:ascii="ArialMT" w:eastAsia="ArialMT" w:hAnsi="ArialMT" w:cs="ArialMT"/>
          <w:sz w:val="20"/>
          <w:szCs w:val="14"/>
          <w:lang w:bidi="en-US"/>
        </w:rPr>
        <w:t xml:space="preserve">rating of the Peruvian sovereign debt corresponding to foreign currency and </w:t>
      </w:r>
      <w:r w:rsidR="00894350">
        <w:rPr>
          <w:rFonts w:ascii="ArialMT" w:eastAsia="ArialMT" w:hAnsi="ArialMT" w:cs="ArialMT"/>
          <w:sz w:val="20"/>
          <w:szCs w:val="14"/>
          <w:lang w:bidi="en-US"/>
        </w:rPr>
        <w:t>long-term</w:t>
      </w:r>
      <w:r w:rsidRPr="00471C36">
        <w:rPr>
          <w:rFonts w:ascii="ArialMT" w:eastAsia="ArialMT" w:hAnsi="ArialMT" w:cs="ArialMT"/>
          <w:sz w:val="20"/>
          <w:szCs w:val="14"/>
          <w:lang w:bidi="en-US"/>
        </w:rPr>
        <w:t>,</w:t>
      </w:r>
    </w:p>
    <w:p w14:paraId="2D533916" w14:textId="77777777" w:rsidR="00471C36" w:rsidRPr="00471C36" w:rsidRDefault="00471C36" w:rsidP="00471C36">
      <w:pPr>
        <w:autoSpaceDE w:val="0"/>
        <w:autoSpaceDN w:val="0"/>
        <w:adjustRightInd w:val="0"/>
        <w:rPr>
          <w:rFonts w:ascii="ArialMT" w:hAnsi="ArialMT" w:cs="ArialMT"/>
          <w:sz w:val="20"/>
          <w:szCs w:val="14"/>
          <w:lang w:val="es-ES"/>
        </w:rPr>
      </w:pPr>
      <w:r w:rsidRPr="00471C36">
        <w:rPr>
          <w:rFonts w:ascii="ArialMT" w:eastAsia="ArialMT" w:hAnsi="ArialMT" w:cs="ArialMT"/>
          <w:sz w:val="20"/>
          <w:szCs w:val="14"/>
          <w:lang w:bidi="en-US"/>
        </w:rPr>
        <w:t>assigned by one of the international risk rating agencies that rate the State of the</w:t>
      </w:r>
    </w:p>
    <w:p w14:paraId="6CC1C6AB" w14:textId="77777777" w:rsidR="00471C36" w:rsidRDefault="00471C36" w:rsidP="00471C36">
      <w:pPr>
        <w:autoSpaceDE w:val="0"/>
        <w:autoSpaceDN w:val="0"/>
        <w:adjustRightInd w:val="0"/>
        <w:rPr>
          <w:rFonts w:ascii="ArialMT" w:hAnsi="ArialMT" w:cs="ArialMT"/>
          <w:sz w:val="20"/>
          <w:szCs w:val="14"/>
          <w:lang w:val="es-ES"/>
        </w:rPr>
      </w:pPr>
      <w:r w:rsidRPr="00471C36">
        <w:rPr>
          <w:rFonts w:ascii="ArialMT" w:eastAsia="ArialMT" w:hAnsi="ArialMT" w:cs="ArialMT"/>
          <w:sz w:val="20"/>
          <w:szCs w:val="14"/>
          <w:lang w:bidi="en-US"/>
        </w:rPr>
        <w:t>Republic of Peru.</w:t>
      </w:r>
    </w:p>
    <w:p w14:paraId="60EF6CDE" w14:textId="77777777" w:rsidR="00471C36" w:rsidRPr="00471C36" w:rsidRDefault="00471C36" w:rsidP="00471C36">
      <w:pPr>
        <w:autoSpaceDE w:val="0"/>
        <w:autoSpaceDN w:val="0"/>
        <w:adjustRightInd w:val="0"/>
        <w:rPr>
          <w:rFonts w:ascii="ArialMT" w:hAnsi="ArialMT" w:cs="ArialMT"/>
          <w:sz w:val="20"/>
          <w:szCs w:val="14"/>
          <w:lang w:val="es-ES"/>
        </w:rPr>
      </w:pPr>
    </w:p>
    <w:p w14:paraId="5C3061AE" w14:textId="77777777" w:rsidR="00471C36" w:rsidRDefault="00471C36" w:rsidP="00471C36">
      <w:pPr>
        <w:autoSpaceDE w:val="0"/>
        <w:autoSpaceDN w:val="0"/>
        <w:adjustRightInd w:val="0"/>
        <w:rPr>
          <w:rFonts w:ascii="ArialMT" w:hAnsi="ArialMT" w:cs="ArialMT"/>
          <w:sz w:val="20"/>
          <w:szCs w:val="14"/>
          <w:lang w:val="es-ES"/>
        </w:rPr>
      </w:pPr>
      <w:r w:rsidRPr="00471C36">
        <w:rPr>
          <w:rFonts w:ascii="ArialMT" w:eastAsia="ArialMT" w:hAnsi="ArialMT" w:cs="ArialMT"/>
          <w:sz w:val="20"/>
          <w:szCs w:val="14"/>
          <w:lang w:bidi="en-US"/>
        </w:rPr>
        <w:t>• Any multilateral credit institution of which the State of the Republic of Peru is a member.</w:t>
      </w:r>
    </w:p>
    <w:p w14:paraId="472032AB" w14:textId="77777777" w:rsidR="00471C36" w:rsidRDefault="00471C36" w:rsidP="00471C36">
      <w:pPr>
        <w:autoSpaceDE w:val="0"/>
        <w:autoSpaceDN w:val="0"/>
        <w:adjustRightInd w:val="0"/>
        <w:rPr>
          <w:rFonts w:ascii="ArialMT" w:hAnsi="ArialMT" w:cs="ArialMT"/>
          <w:sz w:val="20"/>
          <w:szCs w:val="14"/>
          <w:lang w:val="es-ES"/>
        </w:rPr>
      </w:pPr>
    </w:p>
    <w:p w14:paraId="39449786" w14:textId="5CDD173A" w:rsidR="00471C36" w:rsidRPr="00471C36" w:rsidRDefault="00471C36" w:rsidP="00471C36">
      <w:pPr>
        <w:autoSpaceDE w:val="0"/>
        <w:autoSpaceDN w:val="0"/>
        <w:adjustRightInd w:val="0"/>
        <w:rPr>
          <w:rFonts w:ascii="ArialMT" w:hAnsi="ArialMT" w:cs="ArialMT"/>
          <w:sz w:val="20"/>
          <w:szCs w:val="14"/>
          <w:lang w:val="es-ES"/>
        </w:rPr>
      </w:pPr>
      <w:r w:rsidRPr="00471C36">
        <w:rPr>
          <w:rFonts w:ascii="ArialMT" w:eastAsia="ArialMT" w:hAnsi="ArialMT" w:cs="ArialMT"/>
          <w:sz w:val="20"/>
          <w:szCs w:val="14"/>
          <w:lang w:bidi="en-US"/>
        </w:rPr>
        <w:t xml:space="preserve">It should be noted that guarantees from First Category Foreign Banks and International Financial </w:t>
      </w:r>
      <w:r w:rsidR="00894350">
        <w:rPr>
          <w:rFonts w:ascii="ArialMT" w:eastAsia="ArialMT" w:hAnsi="ArialMT" w:cs="ArialMT"/>
          <w:sz w:val="20"/>
          <w:szCs w:val="14"/>
          <w:lang w:bidi="en-US"/>
        </w:rPr>
        <w:t>Entities</w:t>
      </w:r>
      <w:r w:rsidRPr="00471C36">
        <w:rPr>
          <w:rFonts w:ascii="ArialMT" w:eastAsia="ArialMT" w:hAnsi="ArialMT" w:cs="ArialMT"/>
          <w:sz w:val="20"/>
          <w:szCs w:val="14"/>
          <w:lang w:bidi="en-US"/>
        </w:rPr>
        <w:t xml:space="preserve"> must be confirmed by one of the Banking Companies indicated in this Annex.</w:t>
      </w:r>
    </w:p>
    <w:p w14:paraId="1775BB83" w14:textId="77777777" w:rsidR="00471C36" w:rsidRDefault="00471C36" w:rsidP="00471C36">
      <w:pPr>
        <w:autoSpaceDE w:val="0"/>
        <w:autoSpaceDN w:val="0"/>
        <w:adjustRightInd w:val="0"/>
        <w:jc w:val="left"/>
        <w:rPr>
          <w:rFonts w:ascii="ArialMT" w:hAnsi="ArialMT" w:cs="ArialMT"/>
          <w:sz w:val="20"/>
          <w:szCs w:val="14"/>
          <w:lang w:val="es-ES"/>
        </w:rPr>
      </w:pPr>
    </w:p>
    <w:p w14:paraId="1AA73D2D" w14:textId="77777777" w:rsidR="00471C36" w:rsidRDefault="00471C36" w:rsidP="00471C36">
      <w:pPr>
        <w:autoSpaceDE w:val="0"/>
        <w:autoSpaceDN w:val="0"/>
        <w:adjustRightInd w:val="0"/>
        <w:jc w:val="left"/>
        <w:rPr>
          <w:rFonts w:ascii="ArialMT" w:hAnsi="ArialMT" w:cs="ArialMT"/>
          <w:sz w:val="20"/>
          <w:szCs w:val="14"/>
          <w:lang w:val="es-ES"/>
        </w:rPr>
      </w:pPr>
    </w:p>
    <w:p w14:paraId="1CE29DC0" w14:textId="77777777" w:rsidR="00471C36" w:rsidRDefault="00471C36" w:rsidP="00471C36">
      <w:pPr>
        <w:autoSpaceDE w:val="0"/>
        <w:autoSpaceDN w:val="0"/>
        <w:adjustRightInd w:val="0"/>
        <w:jc w:val="left"/>
        <w:rPr>
          <w:rFonts w:ascii="ArialMT" w:hAnsi="ArialMT" w:cs="ArialMT"/>
          <w:sz w:val="20"/>
          <w:szCs w:val="14"/>
          <w:lang w:val="es-ES"/>
        </w:rPr>
      </w:pPr>
    </w:p>
    <w:p w14:paraId="3CCA7D48" w14:textId="77777777" w:rsidR="00471C36" w:rsidRDefault="00471C36" w:rsidP="00471C36">
      <w:pPr>
        <w:autoSpaceDE w:val="0"/>
        <w:autoSpaceDN w:val="0"/>
        <w:adjustRightInd w:val="0"/>
        <w:jc w:val="left"/>
        <w:rPr>
          <w:rFonts w:ascii="ArialMT" w:hAnsi="ArialMT" w:cs="ArialMT"/>
          <w:sz w:val="20"/>
          <w:szCs w:val="14"/>
          <w:lang w:val="es-ES"/>
        </w:rPr>
      </w:pPr>
    </w:p>
    <w:p w14:paraId="3F350547" w14:textId="77777777" w:rsidR="00471C36" w:rsidRPr="00471C36" w:rsidRDefault="00471C36" w:rsidP="00471C36">
      <w:pPr>
        <w:autoSpaceDE w:val="0"/>
        <w:autoSpaceDN w:val="0"/>
        <w:adjustRightInd w:val="0"/>
        <w:jc w:val="left"/>
        <w:rPr>
          <w:rFonts w:ascii="ArialMT" w:hAnsi="ArialMT" w:cs="ArialMT"/>
          <w:sz w:val="20"/>
          <w:szCs w:val="14"/>
          <w:lang w:val="es-ES"/>
        </w:rPr>
      </w:pPr>
      <w:r w:rsidRPr="00471C36">
        <w:rPr>
          <w:rFonts w:ascii="ArialMT" w:eastAsia="ArialMT" w:hAnsi="ArialMT" w:cs="ArialMT"/>
          <w:sz w:val="20"/>
          <w:szCs w:val="14"/>
          <w:lang w:bidi="en-US"/>
        </w:rPr>
        <w:t>Av. Enrique Canaval Moreyra 150, San Isidro, Lima, Peru</w:t>
      </w:r>
    </w:p>
    <w:p w14:paraId="701851A0" w14:textId="77777777" w:rsidR="00471C36" w:rsidRPr="00471C36" w:rsidRDefault="00471C36" w:rsidP="00471C36">
      <w:pPr>
        <w:autoSpaceDE w:val="0"/>
        <w:autoSpaceDN w:val="0"/>
        <w:adjustRightInd w:val="0"/>
        <w:jc w:val="left"/>
        <w:rPr>
          <w:rFonts w:ascii="ArialMT" w:hAnsi="ArialMT" w:cs="ArialMT"/>
          <w:sz w:val="20"/>
          <w:szCs w:val="14"/>
          <w:lang w:val="es-ES"/>
        </w:rPr>
      </w:pPr>
      <w:r w:rsidRPr="00471C36">
        <w:rPr>
          <w:rFonts w:ascii="ArialMT" w:eastAsia="ArialMT" w:hAnsi="ArialMT" w:cs="ArialMT"/>
          <w:sz w:val="20"/>
          <w:szCs w:val="14"/>
          <w:lang w:bidi="en-US"/>
        </w:rPr>
        <w:t>T. (511) 200 1200 Ext. 1368-1431 | E. contact@proinversion.gob.pe</w:t>
      </w:r>
    </w:p>
    <w:p w14:paraId="70006959" w14:textId="77777777" w:rsidR="00C427E7" w:rsidRPr="00471C36" w:rsidRDefault="00471C36" w:rsidP="00471C36">
      <w:pPr>
        <w:rPr>
          <w:sz w:val="32"/>
        </w:rPr>
      </w:pPr>
      <w:r w:rsidRPr="00471C36">
        <w:rPr>
          <w:rFonts w:ascii="Arial-BoldMT" w:eastAsia="Arial-BoldMT" w:hAnsi="Arial-BoldMT" w:cs="Arial-BoldMT"/>
          <w:b/>
          <w:sz w:val="20"/>
          <w:szCs w:val="14"/>
          <w:lang w:bidi="en-US"/>
        </w:rPr>
        <w:t>WWW.PROINVERSION.GOB.PE</w:t>
      </w:r>
    </w:p>
    <w:sectPr w:rsidR="00C427E7" w:rsidRPr="00471C36" w:rsidSect="006A5B2B">
      <w:pgSz w:w="11907" w:h="16840" w:code="9"/>
      <w:pgMar w:top="1417" w:right="1418" w:bottom="141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MT">
    <w:altName w:val="Arial"/>
    <w:panose1 w:val="020B0604020202020204"/>
    <w:charset w:val="00"/>
    <w:family w:val="swiss"/>
    <w:notTrueType/>
    <w:pitch w:val="default"/>
    <w:sig w:usb0="00000003" w:usb1="00000000" w:usb2="00000000" w:usb3="00000000" w:csb0="00000001" w:csb1="00000000"/>
  </w:font>
  <w:font w:name="ArialMT">
    <w:altName w:val="Arial"/>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C36"/>
    <w:rsid w:val="00090171"/>
    <w:rsid w:val="00471C36"/>
    <w:rsid w:val="006A3057"/>
    <w:rsid w:val="006A5B2B"/>
    <w:rsid w:val="00894350"/>
    <w:rsid w:val="008B2BB9"/>
    <w:rsid w:val="009D32B8"/>
    <w:rsid w:val="00C427E7"/>
    <w:rsid w:val="00DF5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C1095F"/>
  <w15:chartTrackingRefBased/>
  <w15:docId w15:val="{5F8BE763-9AAF-47D6-8B10-E98F891BC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344</Words>
  <Characters>1892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dc:creator>
  <cp:keywords/>
  <dc:description/>
  <cp:lastModifiedBy>Microsoft Office User</cp:lastModifiedBy>
  <cp:revision>2</cp:revision>
  <dcterms:created xsi:type="dcterms:W3CDTF">2024-01-12T20:49:00Z</dcterms:created>
  <dcterms:modified xsi:type="dcterms:W3CDTF">2024-01-12T20:49:00Z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c9e5b30bfcbc6f79895851cfbcaa5bd743084cbe82deb162362858bc5433c3d3</vt:lpwstr>
  </property>
</Properties>
</file>