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82756" w14:textId="77777777" w:rsidR="004412F1" w:rsidRDefault="004412F1"/>
    <w:p w14:paraId="2DF9FB1D" w14:textId="77777777" w:rsidR="004412F1" w:rsidRDefault="005A12A3">
      <w:pPr>
        <w:jc w:val="center"/>
        <w:rPr>
          <w:b/>
          <w:bCs/>
          <w:lang w:val="es-PE"/>
        </w:rPr>
      </w:pPr>
      <w:r>
        <w:rPr>
          <w:b/>
          <w:bCs/>
          <w:lang w:val="es-PE"/>
        </w:rPr>
        <w:t>REPÚBLICA DEL PERÚ</w:t>
      </w:r>
    </w:p>
    <w:p w14:paraId="6A235E73" w14:textId="77777777" w:rsidR="004412F1" w:rsidRDefault="004412F1">
      <w:pPr>
        <w:jc w:val="center"/>
        <w:rPr>
          <w:b/>
          <w:bCs/>
          <w:lang w:val="es-PE"/>
        </w:rPr>
      </w:pPr>
    </w:p>
    <w:p w14:paraId="69EB5697" w14:textId="77777777" w:rsidR="004412F1" w:rsidRDefault="005A12A3">
      <w:pPr>
        <w:keepNext/>
        <w:jc w:val="center"/>
        <w:rPr>
          <w:b/>
          <w:color w:val="000000"/>
          <w:lang w:val="es-ES"/>
        </w:rPr>
      </w:pPr>
      <w:r>
        <w:rPr>
          <w:b/>
          <w:color w:val="000000"/>
          <w:lang w:val="es-ES"/>
        </w:rPr>
        <w:t>AGENCIA DE PROMOCIÓN DE LA INVERSIÓN PRIVADA</w:t>
      </w:r>
    </w:p>
    <w:p w14:paraId="0465BF84" w14:textId="77777777" w:rsidR="004412F1" w:rsidRDefault="004412F1">
      <w:pPr>
        <w:jc w:val="center"/>
        <w:rPr>
          <w:b/>
          <w:bCs/>
          <w:lang w:val="es-PE"/>
        </w:rPr>
      </w:pPr>
    </w:p>
    <w:p w14:paraId="4E70EA91" w14:textId="77777777" w:rsidR="004412F1" w:rsidRDefault="005A12A3">
      <w:pPr>
        <w:jc w:val="center"/>
        <w:rPr>
          <w:b/>
          <w:bCs/>
          <w:lang w:val="es-PE"/>
        </w:rPr>
      </w:pPr>
      <w:r>
        <w:rPr>
          <w:b/>
          <w:bCs/>
          <w:lang w:val="es-PE"/>
        </w:rPr>
        <w:t>COMITÉ ESPECIAL DE INVERSIÓN EN PROYECTOS DE TRANSPORTES Y TELECOMUNICACIONES</w:t>
      </w:r>
    </w:p>
    <w:p w14:paraId="5CE39EAE" w14:textId="77777777" w:rsidR="004412F1" w:rsidRDefault="004412F1">
      <w:pPr>
        <w:jc w:val="center"/>
        <w:rPr>
          <w:b/>
          <w:bCs/>
          <w:lang w:val="es-PE"/>
        </w:rPr>
      </w:pPr>
    </w:p>
    <w:p w14:paraId="234B6988" w14:textId="77777777" w:rsidR="004412F1" w:rsidRDefault="004412F1">
      <w:pPr>
        <w:jc w:val="center"/>
        <w:rPr>
          <w:b/>
          <w:bCs/>
          <w:lang w:val="es-PE"/>
        </w:rPr>
      </w:pPr>
    </w:p>
    <w:p w14:paraId="1F1C4499" w14:textId="77777777" w:rsidR="004412F1" w:rsidRDefault="004412F1">
      <w:pPr>
        <w:jc w:val="center"/>
        <w:rPr>
          <w:b/>
          <w:bCs/>
          <w:lang w:val="es-PE"/>
        </w:rPr>
      </w:pPr>
    </w:p>
    <w:p w14:paraId="1A807248" w14:textId="77777777" w:rsidR="004412F1" w:rsidRDefault="004412F1">
      <w:pPr>
        <w:jc w:val="center"/>
        <w:rPr>
          <w:b/>
          <w:bCs/>
          <w:lang w:val="es-PE"/>
        </w:rPr>
      </w:pPr>
    </w:p>
    <w:p w14:paraId="4CACFFAF" w14:textId="77777777" w:rsidR="004412F1" w:rsidRDefault="004412F1">
      <w:pPr>
        <w:jc w:val="center"/>
        <w:rPr>
          <w:b/>
          <w:bCs/>
          <w:lang w:val="es-PE"/>
        </w:rPr>
      </w:pPr>
    </w:p>
    <w:p w14:paraId="23D9BA03" w14:textId="77777777" w:rsidR="004412F1" w:rsidRDefault="005A12A3">
      <w:pPr>
        <w:jc w:val="center"/>
        <w:rPr>
          <w:b/>
          <w:bCs/>
          <w:lang w:val="es-PE"/>
        </w:rPr>
      </w:pPr>
      <w:r>
        <w:rPr>
          <w:noProof/>
          <w:lang w:val="es-PE" w:eastAsia="es-PE"/>
        </w:rPr>
        <w:drawing>
          <wp:anchor distT="0" distB="0" distL="114300" distR="114300" simplePos="0" relativeHeight="251659264" behindDoc="0" locked="0" layoutInCell="1" allowOverlap="1" wp14:anchorId="069DAF8E" wp14:editId="6A649A93">
            <wp:simplePos x="0" y="0"/>
            <wp:positionH relativeFrom="column">
              <wp:posOffset>1638300</wp:posOffset>
            </wp:positionH>
            <wp:positionV relativeFrom="paragraph">
              <wp:posOffset>355600</wp:posOffset>
            </wp:positionV>
            <wp:extent cx="2514600" cy="868680"/>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8"/>
                    <a:srcRect/>
                    <a:stretch>
                      <a:fillRect/>
                    </a:stretch>
                  </pic:blipFill>
                  <pic:spPr>
                    <a:xfrm>
                      <a:off x="0" y="0"/>
                      <a:ext cx="2514600" cy="868680"/>
                    </a:xfrm>
                    <a:prstGeom prst="rect">
                      <a:avLst/>
                    </a:prstGeom>
                  </pic:spPr>
                </pic:pic>
              </a:graphicData>
            </a:graphic>
          </wp:anchor>
        </w:drawing>
      </w:r>
    </w:p>
    <w:p w14:paraId="72C1CBF8" w14:textId="77777777" w:rsidR="004412F1" w:rsidRDefault="004412F1">
      <w:pPr>
        <w:jc w:val="center"/>
        <w:rPr>
          <w:lang w:val="es-PE"/>
        </w:rPr>
      </w:pPr>
    </w:p>
    <w:p w14:paraId="0FBAE2DB" w14:textId="77777777" w:rsidR="004412F1" w:rsidRDefault="004412F1">
      <w:pPr>
        <w:jc w:val="center"/>
        <w:rPr>
          <w:b/>
          <w:bCs/>
          <w:lang w:val="es-PE"/>
        </w:rPr>
      </w:pPr>
    </w:p>
    <w:p w14:paraId="0F9DA57B" w14:textId="77777777" w:rsidR="004412F1" w:rsidRDefault="004412F1">
      <w:pPr>
        <w:jc w:val="center"/>
        <w:rPr>
          <w:b/>
          <w:bCs/>
          <w:lang w:val="es-PE"/>
        </w:rPr>
      </w:pPr>
    </w:p>
    <w:p w14:paraId="2DE222D2" w14:textId="77777777" w:rsidR="004412F1" w:rsidRDefault="005A12A3">
      <w:pPr>
        <w:jc w:val="center"/>
        <w:rPr>
          <w:b/>
          <w:i/>
        </w:rPr>
      </w:pPr>
      <w:r>
        <w:rPr>
          <w:b/>
          <w:i/>
        </w:rPr>
        <w:t>CONTRATO DE CONCESIÓN</w:t>
      </w:r>
    </w:p>
    <w:p w14:paraId="575EA289" w14:textId="77777777" w:rsidR="004412F1" w:rsidRDefault="004412F1">
      <w:pPr>
        <w:jc w:val="center"/>
        <w:rPr>
          <w:b/>
        </w:rPr>
      </w:pPr>
    </w:p>
    <w:p w14:paraId="648E5036" w14:textId="77777777" w:rsidR="004412F1" w:rsidRDefault="004412F1">
      <w:pPr>
        <w:jc w:val="center"/>
        <w:rPr>
          <w:b/>
        </w:rPr>
      </w:pPr>
    </w:p>
    <w:p w14:paraId="42A81DC7" w14:textId="77777777" w:rsidR="004412F1" w:rsidRDefault="004412F1">
      <w:pPr>
        <w:jc w:val="center"/>
        <w:rPr>
          <w:b/>
        </w:rPr>
      </w:pPr>
    </w:p>
    <w:p w14:paraId="468B464A" w14:textId="77777777" w:rsidR="004412F1" w:rsidRDefault="005A12A3">
      <w:pPr>
        <w:jc w:val="center"/>
        <w:rPr>
          <w:b/>
          <w:lang w:val="es-PE"/>
        </w:rPr>
      </w:pPr>
      <w:r>
        <w:rPr>
          <w:b/>
          <w:lang w:val="es-PE"/>
        </w:rPr>
        <w:t>CARRETERA LONGITUDINAL DE LA SIERRA</w:t>
      </w:r>
    </w:p>
    <w:p w14:paraId="68146D68" w14:textId="77777777" w:rsidR="004412F1" w:rsidRDefault="005A12A3">
      <w:pPr>
        <w:jc w:val="center"/>
        <w:rPr>
          <w:b/>
          <w:i/>
          <w:lang w:val="es-PE"/>
        </w:rPr>
      </w:pPr>
      <w:r>
        <w:rPr>
          <w:b/>
          <w:i/>
          <w:lang w:val="es-PE"/>
        </w:rPr>
        <w:t>Tramo 4</w:t>
      </w:r>
    </w:p>
    <w:p w14:paraId="72B61787" w14:textId="77777777" w:rsidR="004412F1" w:rsidRDefault="004412F1">
      <w:pPr>
        <w:jc w:val="center"/>
        <w:rPr>
          <w:b/>
          <w:i/>
          <w:lang w:val="es-PE"/>
        </w:rPr>
      </w:pPr>
    </w:p>
    <w:p w14:paraId="4EB193B2" w14:textId="77777777" w:rsidR="004412F1" w:rsidRDefault="005A12A3">
      <w:pPr>
        <w:jc w:val="center"/>
        <w:rPr>
          <w:rFonts w:eastAsia="Times New Roman"/>
          <w:b/>
          <w:szCs w:val="18"/>
          <w:lang w:val="es-ES" w:eastAsia="es-ES"/>
        </w:rPr>
      </w:pPr>
      <w:r>
        <w:rPr>
          <w:b/>
          <w:i/>
          <w:lang w:val="es-PE"/>
        </w:rPr>
        <w:t xml:space="preserve">Huancayo-Izcuchaca-Mayocc-Ayacucho/Ayacucho-Andahuaylas-Puente Sahuinto/Dv. </w:t>
      </w:r>
      <w:r>
        <w:rPr>
          <w:b/>
          <w:i/>
        </w:rPr>
        <w:t xml:space="preserve">Pisco – Huaytará - Ayacucho </w:t>
      </w:r>
    </w:p>
    <w:p w14:paraId="0D7C0509" w14:textId="77777777" w:rsidR="004412F1" w:rsidRDefault="004412F1">
      <w:pPr>
        <w:jc w:val="center"/>
        <w:rPr>
          <w:b/>
          <w:bCs/>
        </w:rPr>
      </w:pPr>
    </w:p>
    <w:p w14:paraId="69D9D6ED" w14:textId="77777777" w:rsidR="004412F1" w:rsidRDefault="004412F1">
      <w:pPr>
        <w:jc w:val="center"/>
        <w:rPr>
          <w:b/>
          <w:bCs/>
        </w:rPr>
      </w:pPr>
    </w:p>
    <w:p w14:paraId="651725D3" w14:textId="77777777" w:rsidR="004412F1" w:rsidRDefault="004412F1">
      <w:pPr>
        <w:jc w:val="center"/>
        <w:rPr>
          <w:b/>
          <w:bCs/>
        </w:rPr>
      </w:pPr>
    </w:p>
    <w:p w14:paraId="441306CA" w14:textId="77777777" w:rsidR="004412F1" w:rsidRDefault="004412F1">
      <w:pPr>
        <w:jc w:val="center"/>
        <w:rPr>
          <w:b/>
          <w:bCs/>
        </w:rPr>
      </w:pPr>
    </w:p>
    <w:p w14:paraId="28F845E1" w14:textId="77777777" w:rsidR="004412F1" w:rsidRDefault="004412F1">
      <w:pPr>
        <w:jc w:val="center"/>
        <w:rPr>
          <w:b/>
          <w:bCs/>
        </w:rPr>
      </w:pPr>
    </w:p>
    <w:p w14:paraId="579DA20D" w14:textId="77777777" w:rsidR="004412F1" w:rsidRDefault="004412F1">
      <w:pPr>
        <w:jc w:val="center"/>
        <w:rPr>
          <w:b/>
          <w:bCs/>
        </w:rPr>
      </w:pPr>
    </w:p>
    <w:p w14:paraId="555EBA57" w14:textId="77777777" w:rsidR="004412F1" w:rsidRDefault="004412F1">
      <w:pPr>
        <w:jc w:val="center"/>
        <w:rPr>
          <w:b/>
          <w:bCs/>
        </w:rPr>
      </w:pPr>
    </w:p>
    <w:p w14:paraId="2E1F91D8" w14:textId="77777777" w:rsidR="004412F1" w:rsidRDefault="004412F1">
      <w:pPr>
        <w:jc w:val="center"/>
        <w:rPr>
          <w:b/>
          <w:bCs/>
        </w:rPr>
      </w:pPr>
    </w:p>
    <w:p w14:paraId="0C2AD713" w14:textId="77777777" w:rsidR="004412F1" w:rsidRDefault="005A12A3">
      <w:pPr>
        <w:jc w:val="center"/>
        <w:rPr>
          <w:b/>
        </w:rPr>
      </w:pPr>
      <w:r>
        <w:rPr>
          <w:b/>
          <w:bCs/>
          <w:lang w:val="es-ES"/>
        </w:rPr>
        <w:t>J</w:t>
      </w:r>
      <w:r>
        <w:rPr>
          <w:b/>
          <w:bCs/>
        </w:rPr>
        <w:t>u</w:t>
      </w:r>
      <w:r>
        <w:rPr>
          <w:b/>
          <w:bCs/>
          <w:lang w:val="es-ES"/>
        </w:rPr>
        <w:t>l</w:t>
      </w:r>
      <w:r>
        <w:rPr>
          <w:b/>
          <w:bCs/>
        </w:rPr>
        <w:t>io</w:t>
      </w:r>
      <w:r>
        <w:rPr>
          <w:b/>
        </w:rPr>
        <w:t xml:space="preserve"> de 2023</w:t>
      </w:r>
    </w:p>
    <w:p w14:paraId="6289B1F1" w14:textId="77777777" w:rsidR="004412F1" w:rsidRDefault="004412F1">
      <w:pPr>
        <w:jc w:val="center"/>
        <w:rPr>
          <w:b/>
          <w:bCs/>
        </w:rPr>
      </w:pPr>
    </w:p>
    <w:p w14:paraId="577C53AD" w14:textId="77777777" w:rsidR="004412F1" w:rsidRDefault="004412F1">
      <w:pPr>
        <w:jc w:val="center"/>
        <w:rPr>
          <w:b/>
          <w:bCs/>
        </w:rPr>
      </w:pPr>
    </w:p>
    <w:p w14:paraId="57A2E79E" w14:textId="77777777" w:rsidR="004412F1" w:rsidRDefault="004412F1">
      <w:pPr>
        <w:jc w:val="center"/>
        <w:rPr>
          <w:b/>
          <w:bCs/>
        </w:rPr>
      </w:pPr>
    </w:p>
    <w:p w14:paraId="1F9C7516" w14:textId="77777777" w:rsidR="004412F1" w:rsidRDefault="005A12A3">
      <w:pPr>
        <w:jc w:val="center"/>
        <w:rPr>
          <w:b/>
          <w:bCs/>
        </w:rPr>
      </w:pPr>
      <w:r>
        <w:tab/>
      </w:r>
    </w:p>
    <w:p w14:paraId="50449AEB" w14:textId="77777777" w:rsidR="004412F1" w:rsidRDefault="004412F1">
      <w:pPr>
        <w:jc w:val="center"/>
        <w:rPr>
          <w:rFonts w:eastAsia="SimSun"/>
          <w:lang w:eastAsia="zh-CN"/>
        </w:rPr>
      </w:pPr>
    </w:p>
    <w:p w14:paraId="72F7FF9C" w14:textId="77777777" w:rsidR="004412F1" w:rsidRDefault="004412F1">
      <w:pPr>
        <w:jc w:val="center"/>
        <w:rPr>
          <w:rFonts w:eastAsia="SimSun"/>
          <w:lang w:eastAsia="zh-CN"/>
        </w:rPr>
      </w:pPr>
    </w:p>
    <w:p w14:paraId="2F16067F" w14:textId="77777777" w:rsidR="004412F1" w:rsidRDefault="004412F1">
      <w:pPr>
        <w:jc w:val="center"/>
        <w:rPr>
          <w:rFonts w:eastAsia="SimSun"/>
          <w:lang w:eastAsia="zh-CN"/>
        </w:rPr>
      </w:pPr>
    </w:p>
    <w:p w14:paraId="7B0415AB" w14:textId="77777777" w:rsidR="004412F1" w:rsidRDefault="004412F1">
      <w:pPr>
        <w:jc w:val="center"/>
        <w:rPr>
          <w:rFonts w:eastAsia="SimSun"/>
          <w:lang w:eastAsia="zh-CN"/>
        </w:rPr>
      </w:pPr>
    </w:p>
    <w:p w14:paraId="66C031A9" w14:textId="77777777" w:rsidR="004412F1" w:rsidRDefault="004412F1">
      <w:pPr>
        <w:jc w:val="center"/>
        <w:rPr>
          <w:rFonts w:eastAsia="SimSun"/>
          <w:lang w:eastAsia="zh-CN"/>
        </w:rPr>
      </w:pPr>
    </w:p>
    <w:p w14:paraId="763E1A00" w14:textId="77777777" w:rsidR="004412F1" w:rsidRDefault="004412F1">
      <w:pPr>
        <w:jc w:val="center"/>
        <w:rPr>
          <w:rFonts w:eastAsia="SimSun"/>
          <w:lang w:eastAsia="zh-CN"/>
        </w:rPr>
      </w:pPr>
    </w:p>
    <w:p w14:paraId="47786AA2" w14:textId="77777777" w:rsidR="004412F1" w:rsidRDefault="004412F1">
      <w:pPr>
        <w:jc w:val="center"/>
        <w:rPr>
          <w:rFonts w:eastAsia="SimSun"/>
          <w:lang w:eastAsia="zh-CN"/>
        </w:rPr>
      </w:pPr>
    </w:p>
    <w:p w14:paraId="719FB3C6" w14:textId="77777777" w:rsidR="004412F1" w:rsidRDefault="004412F1">
      <w:pPr>
        <w:jc w:val="center"/>
        <w:rPr>
          <w:rFonts w:eastAsia="SimSun"/>
          <w:lang w:eastAsia="zh-CN"/>
        </w:rPr>
      </w:pPr>
    </w:p>
    <w:p w14:paraId="16C0947D" w14:textId="77777777" w:rsidR="004412F1" w:rsidRDefault="004412F1">
      <w:pPr>
        <w:jc w:val="center"/>
        <w:rPr>
          <w:rFonts w:eastAsia="SimSun"/>
          <w:lang w:eastAsia="zh-CN"/>
        </w:rPr>
      </w:pPr>
    </w:p>
    <w:p w14:paraId="750D4611" w14:textId="77777777" w:rsidR="004412F1" w:rsidRDefault="004412F1">
      <w:pPr>
        <w:jc w:val="center"/>
        <w:rPr>
          <w:rFonts w:eastAsia="SimSun"/>
          <w:lang w:eastAsia="zh-CN"/>
        </w:rPr>
      </w:pPr>
    </w:p>
    <w:p w14:paraId="1945DF08" w14:textId="77777777" w:rsidR="004412F1" w:rsidRDefault="004412F1">
      <w:pPr>
        <w:jc w:val="center"/>
        <w:rPr>
          <w:rFonts w:eastAsia="SimSun"/>
          <w:lang w:eastAsia="zh-CN"/>
        </w:rPr>
      </w:pPr>
    </w:p>
    <w:p w14:paraId="46F9687F" w14:textId="761FD04E" w:rsidR="00354EEC" w:rsidRPr="00C06C7F" w:rsidRDefault="005A12A3"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r w:rsidRPr="00E70E30">
        <w:rPr>
          <w:rFonts w:ascii="Arial" w:eastAsia="SimSun" w:hAnsi="Arial" w:cs="Arial"/>
          <w:b w:val="0"/>
          <w:bCs w:val="0"/>
          <w:caps w:val="0"/>
          <w:sz w:val="22"/>
          <w:szCs w:val="22"/>
          <w:highlight w:val="yellow"/>
          <w:lang w:val="es-ES" w:eastAsia="zh-CN"/>
        </w:rPr>
        <w:lastRenderedPageBreak/>
        <w:fldChar w:fldCharType="begin"/>
      </w:r>
      <w:r w:rsidRPr="00E70E30">
        <w:rPr>
          <w:rFonts w:ascii="Arial" w:eastAsia="SimSun" w:hAnsi="Arial" w:cs="Arial"/>
          <w:b w:val="0"/>
          <w:bCs w:val="0"/>
          <w:caps w:val="0"/>
          <w:sz w:val="22"/>
          <w:szCs w:val="22"/>
          <w:highlight w:val="yellow"/>
          <w:lang w:val="es-ES" w:eastAsia="zh-CN"/>
        </w:rPr>
        <w:instrText xml:space="preserve"> TOC \o "1-2" \h \z \u </w:instrText>
      </w:r>
      <w:r w:rsidRPr="00E70E30">
        <w:rPr>
          <w:rFonts w:ascii="Arial" w:eastAsia="SimSun" w:hAnsi="Arial" w:cs="Arial"/>
          <w:b w:val="0"/>
          <w:bCs w:val="0"/>
          <w:caps w:val="0"/>
          <w:sz w:val="22"/>
          <w:szCs w:val="22"/>
          <w:highlight w:val="yellow"/>
          <w:lang w:val="es-ES" w:eastAsia="zh-CN"/>
        </w:rPr>
        <w:fldChar w:fldCharType="separate"/>
      </w:r>
      <w:hyperlink w:anchor="_Toc140089290" w:history="1">
        <w:r w:rsidR="00354EEC" w:rsidRPr="00C06C7F">
          <w:rPr>
            <w:rStyle w:val="Hipervnculo"/>
            <w:rFonts w:ascii="Arial" w:hAnsi="Arial" w:cs="Arial"/>
            <w:noProof/>
            <w:sz w:val="22"/>
            <w:szCs w:val="22"/>
          </w:rPr>
          <w:t>CAPÍTULO I: ANTECEDENTES Y DEFINICIONES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_Toc140089290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7</w:t>
        </w:r>
        <w:r w:rsidR="00354EEC" w:rsidRPr="00C06C7F">
          <w:rPr>
            <w:rFonts w:ascii="Arial" w:hAnsi="Arial" w:cs="Arial"/>
            <w:noProof/>
            <w:webHidden/>
            <w:sz w:val="22"/>
            <w:szCs w:val="22"/>
          </w:rPr>
          <w:fldChar w:fldCharType="end"/>
        </w:r>
      </w:hyperlink>
    </w:p>
    <w:p w14:paraId="692A9B83" w14:textId="0A05B166" w:rsidR="00354EEC" w:rsidRPr="00C06C7F" w:rsidRDefault="00000000" w:rsidP="00E70E30">
      <w:pPr>
        <w:pStyle w:val="TDC2"/>
        <w:tabs>
          <w:tab w:val="left" w:pos="660"/>
          <w:tab w:val="right" w:leader="dot" w:pos="8495"/>
        </w:tabs>
        <w:spacing w:before="0"/>
        <w:rPr>
          <w:rFonts w:ascii="Arial" w:eastAsiaTheme="minorEastAsia" w:hAnsi="Arial"/>
          <w:noProof/>
          <w:kern w:val="2"/>
          <w:sz w:val="22"/>
          <w:szCs w:val="22"/>
          <w:lang w:val="es-PE" w:eastAsia="es-PE"/>
          <w14:ligatures w14:val="standardContextual"/>
        </w:rPr>
      </w:pPr>
      <w:hyperlink w:anchor="_Toc140089291" w:history="1">
        <w:r w:rsidR="00354EEC" w:rsidRPr="00C06C7F">
          <w:rPr>
            <w:rStyle w:val="Hipervnculo"/>
            <w:rFonts w:ascii="Arial" w:hAnsi="Arial"/>
            <w:noProof/>
            <w:sz w:val="22"/>
            <w:szCs w:val="22"/>
          </w:rPr>
          <w:t>1.1.</w:t>
        </w:r>
        <w:r w:rsidR="00354EEC" w:rsidRPr="00C06C7F">
          <w:rPr>
            <w:rFonts w:ascii="Arial" w:eastAsiaTheme="minorEastAsia" w:hAnsi="Arial"/>
            <w:noProof/>
            <w:kern w:val="2"/>
            <w:sz w:val="22"/>
            <w:szCs w:val="22"/>
            <w:lang w:val="es-PE" w:eastAsia="es-PE"/>
            <w14:ligatures w14:val="standardContextual"/>
          </w:rPr>
          <w:tab/>
        </w:r>
        <w:r w:rsidR="00354EEC" w:rsidRPr="00C06C7F">
          <w:rPr>
            <w:rStyle w:val="Hipervnculo"/>
            <w:rFonts w:ascii="Arial" w:hAnsi="Arial"/>
            <w:noProof/>
            <w:sz w:val="22"/>
            <w:szCs w:val="22"/>
          </w:rPr>
          <w:t>Antecedentes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7</w:t>
        </w:r>
        <w:r w:rsidR="00354EEC" w:rsidRPr="00C06C7F">
          <w:rPr>
            <w:rFonts w:ascii="Arial" w:hAnsi="Arial"/>
            <w:noProof/>
            <w:webHidden/>
            <w:sz w:val="22"/>
            <w:szCs w:val="22"/>
          </w:rPr>
          <w:fldChar w:fldCharType="end"/>
        </w:r>
      </w:hyperlink>
    </w:p>
    <w:p w14:paraId="229CE674" w14:textId="3DA4CEE5" w:rsidR="00354EEC" w:rsidRPr="00C06C7F" w:rsidRDefault="00000000" w:rsidP="00E70E30">
      <w:pPr>
        <w:pStyle w:val="TDC2"/>
        <w:tabs>
          <w:tab w:val="left" w:pos="660"/>
          <w:tab w:val="right" w:leader="dot" w:pos="8495"/>
        </w:tabs>
        <w:spacing w:before="0"/>
        <w:rPr>
          <w:rFonts w:ascii="Arial" w:eastAsiaTheme="minorEastAsia" w:hAnsi="Arial"/>
          <w:noProof/>
          <w:kern w:val="2"/>
          <w:sz w:val="22"/>
          <w:szCs w:val="22"/>
          <w:lang w:val="es-PE" w:eastAsia="es-PE"/>
          <w14:ligatures w14:val="standardContextual"/>
        </w:rPr>
      </w:pPr>
      <w:hyperlink w:anchor="_Toc140089292" w:history="1">
        <w:r w:rsidR="00354EEC" w:rsidRPr="00C06C7F">
          <w:rPr>
            <w:rStyle w:val="Hipervnculo"/>
            <w:rFonts w:ascii="Arial" w:hAnsi="Arial"/>
            <w:noProof/>
            <w:sz w:val="22"/>
            <w:szCs w:val="22"/>
          </w:rPr>
          <w:t>1.2.</w:t>
        </w:r>
        <w:r w:rsidR="00354EEC" w:rsidRPr="00C06C7F">
          <w:rPr>
            <w:rFonts w:ascii="Arial" w:eastAsiaTheme="minorEastAsia" w:hAnsi="Arial"/>
            <w:noProof/>
            <w:kern w:val="2"/>
            <w:sz w:val="22"/>
            <w:szCs w:val="22"/>
            <w:lang w:val="es-PE" w:eastAsia="es-PE"/>
            <w14:ligatures w14:val="standardContextual"/>
          </w:rPr>
          <w:tab/>
        </w:r>
        <w:r w:rsidR="00354EEC" w:rsidRPr="00C06C7F">
          <w:rPr>
            <w:rStyle w:val="Hipervnculo"/>
            <w:rFonts w:ascii="Arial" w:hAnsi="Arial"/>
            <w:noProof/>
            <w:sz w:val="22"/>
            <w:szCs w:val="22"/>
          </w:rPr>
          <w:t>Definiciones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8</w:t>
        </w:r>
        <w:r w:rsidR="00354EEC" w:rsidRPr="00C06C7F">
          <w:rPr>
            <w:rFonts w:ascii="Arial" w:hAnsi="Arial"/>
            <w:noProof/>
            <w:webHidden/>
            <w:sz w:val="22"/>
            <w:szCs w:val="22"/>
          </w:rPr>
          <w:fldChar w:fldCharType="end"/>
        </w:r>
      </w:hyperlink>
    </w:p>
    <w:p w14:paraId="7841BF43" w14:textId="422229A7"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293" w:history="1">
        <w:r w:rsidR="00354EEC" w:rsidRPr="00C06C7F">
          <w:rPr>
            <w:rStyle w:val="Hipervnculo"/>
            <w:rFonts w:ascii="Arial" w:hAnsi="Arial" w:cs="Arial"/>
            <w:noProof/>
            <w:sz w:val="22"/>
            <w:szCs w:val="22"/>
            <w:lang w:val="es-PE"/>
          </w:rPr>
          <w:t>CAPÍTULO II: OBJETO, MODALIDAD Y CARACTERES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_Toc140089293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21</w:t>
        </w:r>
        <w:r w:rsidR="00354EEC" w:rsidRPr="00C06C7F">
          <w:rPr>
            <w:rFonts w:ascii="Arial" w:hAnsi="Arial" w:cs="Arial"/>
            <w:noProof/>
            <w:webHidden/>
            <w:sz w:val="22"/>
            <w:szCs w:val="22"/>
          </w:rPr>
          <w:fldChar w:fldCharType="end"/>
        </w:r>
      </w:hyperlink>
    </w:p>
    <w:p w14:paraId="0D53665A" w14:textId="53E6562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294" w:history="1">
        <w:r w:rsidR="00354EEC" w:rsidRPr="00C06C7F">
          <w:rPr>
            <w:rStyle w:val="Hipervnculo"/>
            <w:rFonts w:ascii="Arial" w:hAnsi="Arial"/>
            <w:noProof/>
            <w:sz w:val="22"/>
            <w:szCs w:val="22"/>
          </w:rPr>
          <w:t>OBJETO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21</w:t>
        </w:r>
        <w:r w:rsidR="00354EEC" w:rsidRPr="00C06C7F">
          <w:rPr>
            <w:rFonts w:ascii="Arial" w:hAnsi="Arial"/>
            <w:noProof/>
            <w:webHidden/>
            <w:sz w:val="22"/>
            <w:szCs w:val="22"/>
          </w:rPr>
          <w:fldChar w:fldCharType="end"/>
        </w:r>
      </w:hyperlink>
    </w:p>
    <w:p w14:paraId="538A4BA8" w14:textId="3ABB734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295" w:history="1">
        <w:r w:rsidR="00354EEC" w:rsidRPr="00C06C7F">
          <w:rPr>
            <w:rStyle w:val="Hipervnculo"/>
            <w:rFonts w:ascii="Arial" w:hAnsi="Arial"/>
            <w:noProof/>
            <w:sz w:val="22"/>
            <w:szCs w:val="22"/>
          </w:rPr>
          <w:t>MODALIDAD</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22</w:t>
        </w:r>
        <w:r w:rsidR="00354EEC" w:rsidRPr="00C06C7F">
          <w:rPr>
            <w:rFonts w:ascii="Arial" w:hAnsi="Arial"/>
            <w:noProof/>
            <w:webHidden/>
            <w:sz w:val="22"/>
            <w:szCs w:val="22"/>
          </w:rPr>
          <w:fldChar w:fldCharType="end"/>
        </w:r>
      </w:hyperlink>
    </w:p>
    <w:p w14:paraId="7B855860" w14:textId="6645F4B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296" w:history="1">
        <w:r w:rsidR="00354EEC" w:rsidRPr="00C06C7F">
          <w:rPr>
            <w:rStyle w:val="Hipervnculo"/>
            <w:rFonts w:ascii="Arial" w:hAnsi="Arial"/>
            <w:noProof/>
            <w:sz w:val="22"/>
            <w:szCs w:val="22"/>
          </w:rPr>
          <w:t>CARACTERES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22</w:t>
        </w:r>
        <w:r w:rsidR="00354EEC" w:rsidRPr="00C06C7F">
          <w:rPr>
            <w:rFonts w:ascii="Arial" w:hAnsi="Arial"/>
            <w:noProof/>
            <w:webHidden/>
            <w:sz w:val="22"/>
            <w:szCs w:val="22"/>
          </w:rPr>
          <w:fldChar w:fldCharType="end"/>
        </w:r>
      </w:hyperlink>
    </w:p>
    <w:p w14:paraId="459C4DBD" w14:textId="1A140675"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297" w:history="1">
        <w:r w:rsidR="00354EEC" w:rsidRPr="00C06C7F">
          <w:rPr>
            <w:rStyle w:val="Hipervnculo"/>
            <w:rFonts w:ascii="Arial" w:hAnsi="Arial" w:cs="Arial"/>
            <w:noProof/>
            <w:sz w:val="22"/>
            <w:szCs w:val="22"/>
            <w:lang w:val="es-PE"/>
          </w:rPr>
          <w:t>CAPÍTULO III: EVENTOS A LA FECHA DE SUSCRIPCIÓN DEL CONTRATO</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_Toc140089297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22</w:t>
        </w:r>
        <w:r w:rsidR="00354EEC" w:rsidRPr="00C06C7F">
          <w:rPr>
            <w:rFonts w:ascii="Arial" w:hAnsi="Arial" w:cs="Arial"/>
            <w:noProof/>
            <w:webHidden/>
            <w:sz w:val="22"/>
            <w:szCs w:val="22"/>
          </w:rPr>
          <w:fldChar w:fldCharType="end"/>
        </w:r>
      </w:hyperlink>
    </w:p>
    <w:p w14:paraId="185F3709" w14:textId="3271E1A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298" w:history="1">
        <w:r w:rsidR="00354EEC" w:rsidRPr="00C06C7F">
          <w:rPr>
            <w:rStyle w:val="Hipervnculo"/>
            <w:rFonts w:ascii="Arial" w:hAnsi="Arial"/>
            <w:noProof/>
            <w:sz w:val="22"/>
            <w:szCs w:val="22"/>
          </w:rPr>
          <w:t>DECLARACIONES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22</w:t>
        </w:r>
        <w:r w:rsidR="00354EEC" w:rsidRPr="00C06C7F">
          <w:rPr>
            <w:rFonts w:ascii="Arial" w:hAnsi="Arial"/>
            <w:noProof/>
            <w:webHidden/>
            <w:sz w:val="22"/>
            <w:szCs w:val="22"/>
          </w:rPr>
          <w:fldChar w:fldCharType="end"/>
        </w:r>
      </w:hyperlink>
    </w:p>
    <w:p w14:paraId="17CF12EA" w14:textId="48EDF42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299" w:history="1">
        <w:r w:rsidR="00354EEC" w:rsidRPr="00C06C7F">
          <w:rPr>
            <w:rStyle w:val="Hipervnculo"/>
            <w:rFonts w:ascii="Arial" w:hAnsi="Arial"/>
            <w:noProof/>
            <w:sz w:val="22"/>
            <w:szCs w:val="22"/>
          </w:rPr>
          <w:t>DECLARACIONES DEL CONCEDENTE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_Toc140089299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25</w:t>
        </w:r>
        <w:r w:rsidR="00354EEC" w:rsidRPr="00C06C7F">
          <w:rPr>
            <w:rFonts w:ascii="Arial" w:hAnsi="Arial"/>
            <w:noProof/>
            <w:webHidden/>
            <w:sz w:val="22"/>
            <w:szCs w:val="22"/>
          </w:rPr>
          <w:fldChar w:fldCharType="end"/>
        </w:r>
      </w:hyperlink>
    </w:p>
    <w:p w14:paraId="7E1548C9" w14:textId="55D1CE1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0" w:history="1">
        <w:r w:rsidR="00354EEC" w:rsidRPr="00C06C7F">
          <w:rPr>
            <w:rStyle w:val="Hipervnculo"/>
            <w:rFonts w:ascii="Arial" w:hAnsi="Arial"/>
            <w:noProof/>
            <w:sz w:val="22"/>
            <w:szCs w:val="22"/>
            <w:lang w:val="es-PE"/>
          </w:rPr>
          <w:t>OBLIGACIONES DEL CONCESIONARIO A LA FECHA DE SUSCRIPCIÓN DEL CONTRATO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w:t>
        </w:r>
        <w:r w:rsidR="00354EEC" w:rsidRPr="00C06C7F">
          <w:rPr>
            <w:rFonts w:ascii="Arial" w:hAnsi="Arial"/>
            <w:noProof/>
            <w:webHidden/>
            <w:sz w:val="22"/>
            <w:szCs w:val="22"/>
          </w:rPr>
          <w:fldChar w:fldCharType="end"/>
        </w:r>
      </w:hyperlink>
    </w:p>
    <w:p w14:paraId="1196468D" w14:textId="3DDD29E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1" w:history="1">
        <w:r w:rsidR="00354EEC" w:rsidRPr="00C06C7F">
          <w:rPr>
            <w:rStyle w:val="Hipervnculo"/>
            <w:rFonts w:ascii="Arial" w:hAnsi="Arial"/>
            <w:noProof/>
            <w:sz w:val="22"/>
            <w:szCs w:val="22"/>
            <w:lang w:val="es-PE"/>
          </w:rPr>
          <w:t>OBLIGACIONES DEL CONCEDENTE A LA FECHA DE SUSCRIPCIÓN DEL CONTRATO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30</w:t>
        </w:r>
        <w:r w:rsidR="00354EEC" w:rsidRPr="00C06C7F">
          <w:rPr>
            <w:rFonts w:ascii="Arial" w:hAnsi="Arial"/>
            <w:noProof/>
            <w:webHidden/>
            <w:sz w:val="22"/>
            <w:szCs w:val="22"/>
          </w:rPr>
          <w:fldChar w:fldCharType="end"/>
        </w:r>
      </w:hyperlink>
    </w:p>
    <w:p w14:paraId="4D1D48B1" w14:textId="763064D6"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02" w:history="1">
        <w:r w:rsidR="00354EEC" w:rsidRPr="00C06C7F">
          <w:rPr>
            <w:rStyle w:val="Hipervnculo"/>
            <w:rFonts w:ascii="Arial" w:hAnsi="Arial" w:cs="Arial"/>
            <w:noProof/>
            <w:sz w:val="22"/>
            <w:szCs w:val="22"/>
            <w:lang w:val="es-PE"/>
          </w:rPr>
          <w:t>CAPÍTULO IV: PLAZO DE LA CONCESIÓN</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_Toc140089302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30</w:t>
        </w:r>
        <w:r w:rsidR="00354EEC" w:rsidRPr="00C06C7F">
          <w:rPr>
            <w:rFonts w:ascii="Arial" w:hAnsi="Arial" w:cs="Arial"/>
            <w:noProof/>
            <w:webHidden/>
            <w:sz w:val="22"/>
            <w:szCs w:val="22"/>
          </w:rPr>
          <w:fldChar w:fldCharType="end"/>
        </w:r>
      </w:hyperlink>
    </w:p>
    <w:p w14:paraId="777A945A" w14:textId="4DEB7B05"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3" w:history="1">
        <w:r w:rsidR="00354EEC" w:rsidRPr="00C06C7F">
          <w:rPr>
            <w:rStyle w:val="Hipervnculo"/>
            <w:rFonts w:ascii="Arial" w:hAnsi="Arial"/>
            <w:noProof/>
            <w:sz w:val="22"/>
            <w:szCs w:val="22"/>
          </w:rPr>
          <w:t>PLAZO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31</w:t>
        </w:r>
        <w:r w:rsidR="00354EEC" w:rsidRPr="00C06C7F">
          <w:rPr>
            <w:rFonts w:ascii="Arial" w:hAnsi="Arial"/>
            <w:noProof/>
            <w:webHidden/>
            <w:sz w:val="22"/>
            <w:szCs w:val="22"/>
          </w:rPr>
          <w:fldChar w:fldCharType="end"/>
        </w:r>
      </w:hyperlink>
    </w:p>
    <w:p w14:paraId="349A29AC" w14:textId="4361E57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4" w:history="1">
        <w:r w:rsidR="00354EEC" w:rsidRPr="00C06C7F">
          <w:rPr>
            <w:rStyle w:val="Hipervnculo"/>
            <w:rFonts w:ascii="Arial" w:hAnsi="Arial"/>
            <w:noProof/>
            <w:sz w:val="22"/>
            <w:szCs w:val="22"/>
            <w:lang w:val="es-PE"/>
          </w:rPr>
          <w:t>PRÓRROGA DEL PLAZO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31</w:t>
        </w:r>
        <w:r w:rsidR="00354EEC" w:rsidRPr="00C06C7F">
          <w:rPr>
            <w:rFonts w:ascii="Arial" w:hAnsi="Arial"/>
            <w:noProof/>
            <w:webHidden/>
            <w:sz w:val="22"/>
            <w:szCs w:val="22"/>
          </w:rPr>
          <w:fldChar w:fldCharType="end"/>
        </w:r>
      </w:hyperlink>
    </w:p>
    <w:p w14:paraId="193D7165" w14:textId="0E4D6AF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5" w:history="1">
        <w:r w:rsidR="00354EEC" w:rsidRPr="00C06C7F">
          <w:rPr>
            <w:rStyle w:val="Hipervnculo"/>
            <w:rFonts w:ascii="Arial" w:hAnsi="Arial"/>
            <w:noProof/>
            <w:sz w:val="22"/>
            <w:szCs w:val="22"/>
            <w:lang w:val="es-PE"/>
          </w:rPr>
          <w:t>SUSPENSIÓN DEL PLAZO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31</w:t>
        </w:r>
        <w:r w:rsidR="00354EEC" w:rsidRPr="00C06C7F">
          <w:rPr>
            <w:rFonts w:ascii="Arial" w:hAnsi="Arial"/>
            <w:noProof/>
            <w:webHidden/>
            <w:sz w:val="22"/>
            <w:szCs w:val="22"/>
          </w:rPr>
          <w:fldChar w:fldCharType="end"/>
        </w:r>
      </w:hyperlink>
    </w:p>
    <w:p w14:paraId="6533F539" w14:textId="0392C37F"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06" w:history="1">
        <w:r w:rsidR="00354EEC" w:rsidRPr="00C06C7F">
          <w:rPr>
            <w:rStyle w:val="Hipervnculo"/>
            <w:rFonts w:ascii="Arial" w:hAnsi="Arial" w:cs="Arial"/>
            <w:noProof/>
            <w:sz w:val="22"/>
            <w:szCs w:val="22"/>
          </w:rPr>
          <w:t>CAPÍTULO V: RÉGIMEN DE BIENES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_Toc140089306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32</w:t>
        </w:r>
        <w:r w:rsidR="00354EEC" w:rsidRPr="00C06C7F">
          <w:rPr>
            <w:rFonts w:ascii="Arial" w:hAnsi="Arial" w:cs="Arial"/>
            <w:noProof/>
            <w:webHidden/>
            <w:sz w:val="22"/>
            <w:szCs w:val="22"/>
          </w:rPr>
          <w:fldChar w:fldCharType="end"/>
        </w:r>
      </w:hyperlink>
    </w:p>
    <w:p w14:paraId="15537B21" w14:textId="4F15946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7" w:history="1">
        <w:r w:rsidR="00354EEC" w:rsidRPr="00C06C7F">
          <w:rPr>
            <w:rStyle w:val="Hipervnculo"/>
            <w:rFonts w:ascii="Arial" w:hAnsi="Arial"/>
            <w:noProof/>
            <w:sz w:val="22"/>
            <w:szCs w:val="22"/>
          </w:rPr>
          <w:t>DISPOSICIONES GENERALES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32</w:t>
        </w:r>
        <w:r w:rsidR="00354EEC" w:rsidRPr="00C06C7F">
          <w:rPr>
            <w:rFonts w:ascii="Arial" w:hAnsi="Arial"/>
            <w:noProof/>
            <w:webHidden/>
            <w:sz w:val="22"/>
            <w:szCs w:val="22"/>
          </w:rPr>
          <w:fldChar w:fldCharType="end"/>
        </w:r>
      </w:hyperlink>
    </w:p>
    <w:p w14:paraId="3EA75849" w14:textId="3A34D4E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8" w:history="1">
        <w:r w:rsidR="00354EEC" w:rsidRPr="00C06C7F">
          <w:rPr>
            <w:rStyle w:val="Hipervnculo"/>
            <w:rFonts w:ascii="Arial" w:hAnsi="Arial"/>
            <w:noProof/>
            <w:sz w:val="22"/>
            <w:szCs w:val="22"/>
          </w:rPr>
          <w:t>ÁREAS DE TERRENO O PREDIOS COMPRENDIDAS EN EL ÁREA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33</w:t>
        </w:r>
        <w:r w:rsidR="00354EEC" w:rsidRPr="00C06C7F">
          <w:rPr>
            <w:rFonts w:ascii="Arial" w:hAnsi="Arial"/>
            <w:noProof/>
            <w:webHidden/>
            <w:sz w:val="22"/>
            <w:szCs w:val="22"/>
          </w:rPr>
          <w:fldChar w:fldCharType="end"/>
        </w:r>
      </w:hyperlink>
    </w:p>
    <w:p w14:paraId="34F2C44F" w14:textId="51452E2B"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09" w:history="1">
        <w:r w:rsidR="00354EEC" w:rsidRPr="00C06C7F">
          <w:rPr>
            <w:rStyle w:val="Hipervnculo"/>
            <w:rFonts w:ascii="Arial" w:hAnsi="Arial"/>
            <w:noProof/>
            <w:sz w:val="22"/>
            <w:szCs w:val="22"/>
          </w:rPr>
          <w:t>ADQUISICIÓN DE TERRENOS O PREDIOS Y LIBERACIÓN DE INTERFERENCIAS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_Toc140089309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33</w:t>
        </w:r>
        <w:r w:rsidR="00354EEC" w:rsidRPr="00C06C7F">
          <w:rPr>
            <w:rFonts w:ascii="Arial" w:hAnsi="Arial"/>
            <w:noProof/>
            <w:webHidden/>
            <w:sz w:val="22"/>
            <w:szCs w:val="22"/>
          </w:rPr>
          <w:fldChar w:fldCharType="end"/>
        </w:r>
      </w:hyperlink>
    </w:p>
    <w:p w14:paraId="6061D1BB" w14:textId="05611CD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0" w:history="1">
        <w:r w:rsidR="00354EEC" w:rsidRPr="00C06C7F">
          <w:rPr>
            <w:rStyle w:val="Hipervnculo"/>
            <w:rFonts w:ascii="Arial" w:hAnsi="Arial"/>
            <w:noProof/>
            <w:sz w:val="22"/>
            <w:szCs w:val="22"/>
          </w:rPr>
          <w:t>DISPONIBILIDAD DE LOS BIENES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33</w:t>
        </w:r>
        <w:r w:rsidR="00354EEC" w:rsidRPr="00C06C7F">
          <w:rPr>
            <w:rFonts w:ascii="Arial" w:hAnsi="Arial"/>
            <w:noProof/>
            <w:webHidden/>
            <w:sz w:val="22"/>
            <w:szCs w:val="22"/>
          </w:rPr>
          <w:fldChar w:fldCharType="end"/>
        </w:r>
      </w:hyperlink>
    </w:p>
    <w:p w14:paraId="23B7D444" w14:textId="5C2BB63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1" w:history="1">
        <w:r w:rsidR="00354EEC" w:rsidRPr="00C06C7F">
          <w:rPr>
            <w:rStyle w:val="Hipervnculo"/>
            <w:rFonts w:ascii="Arial" w:hAnsi="Arial"/>
            <w:noProof/>
            <w:sz w:val="22"/>
            <w:szCs w:val="22"/>
          </w:rPr>
          <w:t>ENTREGA DE BIENES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36</w:t>
        </w:r>
        <w:r w:rsidR="00354EEC" w:rsidRPr="00C06C7F">
          <w:rPr>
            <w:rFonts w:ascii="Arial" w:hAnsi="Arial"/>
            <w:noProof/>
            <w:webHidden/>
            <w:sz w:val="22"/>
            <w:szCs w:val="22"/>
          </w:rPr>
          <w:fldChar w:fldCharType="end"/>
        </w:r>
      </w:hyperlink>
    </w:p>
    <w:p w14:paraId="5E570CAB" w14:textId="720BF67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2" w:history="1">
        <w:r w:rsidR="00354EEC" w:rsidRPr="00C06C7F">
          <w:rPr>
            <w:rStyle w:val="Hipervnculo"/>
            <w:rFonts w:ascii="Arial" w:hAnsi="Arial"/>
            <w:noProof/>
            <w:sz w:val="22"/>
            <w:szCs w:val="22"/>
          </w:rPr>
          <w:t>TOMA DE POSESIÓN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37</w:t>
        </w:r>
        <w:r w:rsidR="00354EEC" w:rsidRPr="00C06C7F">
          <w:rPr>
            <w:rFonts w:ascii="Arial" w:hAnsi="Arial"/>
            <w:noProof/>
            <w:webHidden/>
            <w:sz w:val="22"/>
            <w:szCs w:val="22"/>
          </w:rPr>
          <w:fldChar w:fldCharType="end"/>
        </w:r>
      </w:hyperlink>
    </w:p>
    <w:p w14:paraId="4C8DDF67" w14:textId="52EAEBE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3" w:history="1">
        <w:r w:rsidR="00354EEC" w:rsidRPr="00C06C7F">
          <w:rPr>
            <w:rStyle w:val="Hipervnculo"/>
            <w:rFonts w:ascii="Arial" w:hAnsi="Arial"/>
            <w:noProof/>
            <w:sz w:val="22"/>
            <w:szCs w:val="22"/>
          </w:rPr>
          <w:t>FINES DEL USO DE LOS BIENES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37</w:t>
        </w:r>
        <w:r w:rsidR="00354EEC" w:rsidRPr="00C06C7F">
          <w:rPr>
            <w:rFonts w:ascii="Arial" w:hAnsi="Arial"/>
            <w:noProof/>
            <w:webHidden/>
            <w:sz w:val="22"/>
            <w:szCs w:val="22"/>
          </w:rPr>
          <w:fldChar w:fldCharType="end"/>
        </w:r>
      </w:hyperlink>
    </w:p>
    <w:p w14:paraId="79C03FBE" w14:textId="6ED9DC5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4" w:history="1">
        <w:r w:rsidR="00354EEC" w:rsidRPr="00C06C7F">
          <w:rPr>
            <w:rStyle w:val="Hipervnculo"/>
            <w:rFonts w:ascii="Arial" w:hAnsi="Arial"/>
            <w:noProof/>
            <w:sz w:val="22"/>
            <w:szCs w:val="22"/>
          </w:rPr>
          <w:t>OBLIGACIONES DEL CONCESIONARIO RESPECTO DE LOS BIENES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37</w:t>
        </w:r>
        <w:r w:rsidR="00354EEC" w:rsidRPr="00C06C7F">
          <w:rPr>
            <w:rFonts w:ascii="Arial" w:hAnsi="Arial"/>
            <w:noProof/>
            <w:webHidden/>
            <w:sz w:val="22"/>
            <w:szCs w:val="22"/>
          </w:rPr>
          <w:fldChar w:fldCharType="end"/>
        </w:r>
      </w:hyperlink>
    </w:p>
    <w:p w14:paraId="5F5A473F" w14:textId="7A818CF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5" w:history="1">
        <w:r w:rsidR="00354EEC" w:rsidRPr="00C06C7F">
          <w:rPr>
            <w:rStyle w:val="Hipervnculo"/>
            <w:rFonts w:ascii="Arial" w:hAnsi="Arial"/>
            <w:noProof/>
            <w:sz w:val="22"/>
            <w:szCs w:val="22"/>
          </w:rPr>
          <w:t>DEVOLUCIÓN DE LOS BIENES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39</w:t>
        </w:r>
        <w:r w:rsidR="00354EEC" w:rsidRPr="00C06C7F">
          <w:rPr>
            <w:rFonts w:ascii="Arial" w:hAnsi="Arial"/>
            <w:noProof/>
            <w:webHidden/>
            <w:sz w:val="22"/>
            <w:szCs w:val="22"/>
          </w:rPr>
          <w:fldChar w:fldCharType="end"/>
        </w:r>
      </w:hyperlink>
    </w:p>
    <w:p w14:paraId="256C1308" w14:textId="2D5CEE20"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6" w:history="1">
        <w:r w:rsidR="00354EEC" w:rsidRPr="00C06C7F">
          <w:rPr>
            <w:rStyle w:val="Hipervnculo"/>
            <w:rFonts w:ascii="Arial" w:hAnsi="Arial"/>
            <w:noProof/>
            <w:sz w:val="22"/>
            <w:szCs w:val="22"/>
          </w:rPr>
          <w:t>DE LOS BIENES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40</w:t>
        </w:r>
        <w:r w:rsidR="00354EEC" w:rsidRPr="00C06C7F">
          <w:rPr>
            <w:rFonts w:ascii="Arial" w:hAnsi="Arial"/>
            <w:noProof/>
            <w:webHidden/>
            <w:sz w:val="22"/>
            <w:szCs w:val="22"/>
          </w:rPr>
          <w:fldChar w:fldCharType="end"/>
        </w:r>
      </w:hyperlink>
    </w:p>
    <w:p w14:paraId="3E22D6E6" w14:textId="5A8D1795"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7" w:history="1">
        <w:r w:rsidR="00354EEC" w:rsidRPr="00C06C7F">
          <w:rPr>
            <w:rStyle w:val="Hipervnculo"/>
            <w:rFonts w:ascii="Arial" w:hAnsi="Arial"/>
            <w:noProof/>
            <w:sz w:val="22"/>
            <w:szCs w:val="22"/>
          </w:rPr>
          <w:t>DE LAS SERVIDUMBRES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40</w:t>
        </w:r>
        <w:r w:rsidR="00354EEC" w:rsidRPr="00C06C7F">
          <w:rPr>
            <w:rFonts w:ascii="Arial" w:hAnsi="Arial"/>
            <w:noProof/>
            <w:webHidden/>
            <w:sz w:val="22"/>
            <w:szCs w:val="22"/>
          </w:rPr>
          <w:fldChar w:fldCharType="end"/>
        </w:r>
      </w:hyperlink>
    </w:p>
    <w:p w14:paraId="599B09D9" w14:textId="1D9FAA4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8" w:history="1">
        <w:r w:rsidR="00354EEC" w:rsidRPr="00C06C7F">
          <w:rPr>
            <w:rStyle w:val="Hipervnculo"/>
            <w:rFonts w:ascii="Arial" w:hAnsi="Arial"/>
            <w:noProof/>
            <w:sz w:val="22"/>
            <w:szCs w:val="22"/>
          </w:rPr>
          <w:t>DEFENSAS POSESORIAS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41</w:t>
        </w:r>
        <w:r w:rsidR="00354EEC" w:rsidRPr="00C06C7F">
          <w:rPr>
            <w:rFonts w:ascii="Arial" w:hAnsi="Arial"/>
            <w:noProof/>
            <w:webHidden/>
            <w:sz w:val="22"/>
            <w:szCs w:val="22"/>
          </w:rPr>
          <w:fldChar w:fldCharType="end"/>
        </w:r>
      </w:hyperlink>
    </w:p>
    <w:p w14:paraId="2BD5B0EF" w14:textId="785C404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19" w:history="1">
        <w:r w:rsidR="00354EEC" w:rsidRPr="00C06C7F">
          <w:rPr>
            <w:rStyle w:val="Hipervnculo"/>
            <w:rFonts w:ascii="Arial" w:hAnsi="Arial"/>
            <w:noProof/>
            <w:sz w:val="22"/>
            <w:szCs w:val="22"/>
          </w:rPr>
          <w:t>INVENTARIOS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_Toc140089319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42</w:t>
        </w:r>
        <w:r w:rsidR="00354EEC" w:rsidRPr="00C06C7F">
          <w:rPr>
            <w:rFonts w:ascii="Arial" w:hAnsi="Arial"/>
            <w:noProof/>
            <w:webHidden/>
            <w:sz w:val="22"/>
            <w:szCs w:val="22"/>
          </w:rPr>
          <w:fldChar w:fldCharType="end"/>
        </w:r>
      </w:hyperlink>
    </w:p>
    <w:p w14:paraId="3FF19844" w14:textId="30B4AF72"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20" w:history="1">
        <w:r w:rsidR="00354EEC" w:rsidRPr="00C06C7F">
          <w:rPr>
            <w:rStyle w:val="Hipervnculo"/>
            <w:rFonts w:ascii="Arial" w:hAnsi="Arial" w:cs="Arial"/>
            <w:noProof/>
            <w:sz w:val="22"/>
            <w:szCs w:val="22"/>
          </w:rPr>
          <w:t>CAPÍTULO VI: EJECUCIÓN DE LAS INTERVENCIONES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_Toc140089320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43</w:t>
        </w:r>
        <w:r w:rsidR="00354EEC" w:rsidRPr="00C06C7F">
          <w:rPr>
            <w:rFonts w:ascii="Arial" w:hAnsi="Arial" w:cs="Arial"/>
            <w:noProof/>
            <w:webHidden/>
            <w:sz w:val="22"/>
            <w:szCs w:val="22"/>
          </w:rPr>
          <w:fldChar w:fldCharType="end"/>
        </w:r>
      </w:hyperlink>
    </w:p>
    <w:p w14:paraId="326B4192" w14:textId="19E2B06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1" w:history="1">
        <w:r w:rsidR="00354EEC" w:rsidRPr="00C06C7F">
          <w:rPr>
            <w:rStyle w:val="Hipervnculo"/>
            <w:rFonts w:ascii="Arial" w:hAnsi="Arial"/>
            <w:noProof/>
            <w:sz w:val="22"/>
            <w:szCs w:val="22"/>
          </w:rPr>
          <w:t>PLAZO DE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43</w:t>
        </w:r>
        <w:r w:rsidR="00354EEC" w:rsidRPr="00C06C7F">
          <w:rPr>
            <w:rFonts w:ascii="Arial" w:hAnsi="Arial"/>
            <w:noProof/>
            <w:webHidden/>
            <w:sz w:val="22"/>
            <w:szCs w:val="22"/>
          </w:rPr>
          <w:fldChar w:fldCharType="end"/>
        </w:r>
      </w:hyperlink>
    </w:p>
    <w:p w14:paraId="57BF41D9" w14:textId="1FC753B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2" w:history="1">
        <w:r w:rsidR="00354EEC" w:rsidRPr="00C06C7F">
          <w:rPr>
            <w:rStyle w:val="Hipervnculo"/>
            <w:rFonts w:ascii="Arial" w:hAnsi="Arial"/>
            <w:noProof/>
            <w:sz w:val="22"/>
            <w:szCs w:val="22"/>
          </w:rPr>
          <w:t>MANTENIMIENTO PERIÓDICO INICIAL Y REHABILITACIÓN Y MEJORAMIENTO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43</w:t>
        </w:r>
        <w:r w:rsidR="00354EEC" w:rsidRPr="00C06C7F">
          <w:rPr>
            <w:rFonts w:ascii="Arial" w:hAnsi="Arial"/>
            <w:noProof/>
            <w:webHidden/>
            <w:sz w:val="22"/>
            <w:szCs w:val="22"/>
          </w:rPr>
          <w:fldChar w:fldCharType="end"/>
        </w:r>
      </w:hyperlink>
    </w:p>
    <w:p w14:paraId="5F4E0A6E" w14:textId="7FD0E75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3" w:history="1">
        <w:r w:rsidR="00354EEC" w:rsidRPr="00C06C7F">
          <w:rPr>
            <w:rStyle w:val="Hipervnculo"/>
            <w:rFonts w:ascii="Arial" w:hAnsi="Arial"/>
            <w:noProof/>
            <w:sz w:val="22"/>
            <w:szCs w:val="22"/>
          </w:rPr>
          <w:t>CONSTRUCCIÓN DEL EVITAMIENTO SAN CLEMENTE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44</w:t>
        </w:r>
        <w:r w:rsidR="00354EEC" w:rsidRPr="00C06C7F">
          <w:rPr>
            <w:rFonts w:ascii="Arial" w:hAnsi="Arial"/>
            <w:noProof/>
            <w:webHidden/>
            <w:sz w:val="22"/>
            <w:szCs w:val="22"/>
          </w:rPr>
          <w:fldChar w:fldCharType="end"/>
        </w:r>
      </w:hyperlink>
    </w:p>
    <w:p w14:paraId="4FF30DAE" w14:textId="25A5C51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4" w:history="1">
        <w:r w:rsidR="00354EEC" w:rsidRPr="00C06C7F">
          <w:rPr>
            <w:rStyle w:val="Hipervnculo"/>
            <w:rFonts w:ascii="Arial" w:hAnsi="Arial"/>
            <w:noProof/>
            <w:sz w:val="22"/>
            <w:szCs w:val="22"/>
          </w:rPr>
          <w:t>SUPERVISIÓN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45</w:t>
        </w:r>
        <w:r w:rsidR="00354EEC" w:rsidRPr="00C06C7F">
          <w:rPr>
            <w:rFonts w:ascii="Arial" w:hAnsi="Arial"/>
            <w:noProof/>
            <w:webHidden/>
            <w:sz w:val="22"/>
            <w:szCs w:val="22"/>
          </w:rPr>
          <w:fldChar w:fldCharType="end"/>
        </w:r>
      </w:hyperlink>
    </w:p>
    <w:p w14:paraId="3A609F62" w14:textId="6FE26C0C"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5" w:history="1">
        <w:r w:rsidR="00354EEC" w:rsidRPr="00C06C7F">
          <w:rPr>
            <w:rStyle w:val="Hipervnculo"/>
            <w:rFonts w:ascii="Arial" w:hAnsi="Arial"/>
            <w:noProof/>
            <w:sz w:val="22"/>
            <w:szCs w:val="22"/>
          </w:rPr>
          <w:t>DEL EXPEDIENTE TÉCNICO PARA LA EJECUCIÓN DEL MANTENIMIENTO PERIÓDICO INICIAL, Y DE LOS ESTUDIOS DEFINITIVOS DE INGENIERÍA PARA LA REHABILITACIÓN Y MEJORAMIENTO Y LA CONSTRUCCIÓN DEL EVITAMIENTO SAN CLEMENTE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45</w:t>
        </w:r>
        <w:r w:rsidR="00354EEC" w:rsidRPr="00C06C7F">
          <w:rPr>
            <w:rFonts w:ascii="Arial" w:hAnsi="Arial"/>
            <w:noProof/>
            <w:webHidden/>
            <w:sz w:val="22"/>
            <w:szCs w:val="22"/>
          </w:rPr>
          <w:fldChar w:fldCharType="end"/>
        </w:r>
      </w:hyperlink>
    </w:p>
    <w:p w14:paraId="27CF3DE8" w14:textId="33F4E00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6" w:history="1">
        <w:r w:rsidR="00354EEC" w:rsidRPr="00C06C7F">
          <w:rPr>
            <w:rStyle w:val="Hipervnculo"/>
            <w:rFonts w:ascii="Arial" w:hAnsi="Arial"/>
            <w:noProof/>
            <w:sz w:val="22"/>
            <w:szCs w:val="22"/>
          </w:rPr>
          <w:t>LIBRO DE OBRA DE LAS INTERVENCIONES Y LIBRO DE SUGERENCIAS Y RECLAMOS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50</w:t>
        </w:r>
        <w:r w:rsidR="00354EEC" w:rsidRPr="00C06C7F">
          <w:rPr>
            <w:rFonts w:ascii="Arial" w:hAnsi="Arial"/>
            <w:noProof/>
            <w:webHidden/>
            <w:sz w:val="22"/>
            <w:szCs w:val="22"/>
          </w:rPr>
          <w:fldChar w:fldCharType="end"/>
        </w:r>
      </w:hyperlink>
    </w:p>
    <w:p w14:paraId="5486B5D0" w14:textId="3CE8A7F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7" w:history="1">
        <w:r w:rsidR="00354EEC" w:rsidRPr="00C06C7F">
          <w:rPr>
            <w:rStyle w:val="Hipervnculo"/>
            <w:rFonts w:ascii="Arial" w:hAnsi="Arial"/>
            <w:noProof/>
            <w:sz w:val="22"/>
            <w:szCs w:val="22"/>
          </w:rPr>
          <w:t>PROGRAMACIÓN DE</w:t>
        </w:r>
        <w:r w:rsidR="00354EEC" w:rsidRPr="00C06C7F">
          <w:rPr>
            <w:rStyle w:val="Hipervnculo"/>
            <w:rFonts w:ascii="Arial" w:hAnsi="Arial"/>
            <w:noProof/>
            <w:sz w:val="22"/>
            <w:szCs w:val="22"/>
            <w:lang w:val="es-ES"/>
          </w:rPr>
          <w:t xml:space="preserve"> </w:t>
        </w:r>
        <w:r w:rsidR="00354EEC" w:rsidRPr="00C06C7F">
          <w:rPr>
            <w:rStyle w:val="Hipervnculo"/>
            <w:rFonts w:ascii="Arial" w:hAnsi="Arial"/>
            <w:noProof/>
            <w:sz w:val="22"/>
            <w:szCs w:val="22"/>
          </w:rPr>
          <w:t>LA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51</w:t>
        </w:r>
        <w:r w:rsidR="00354EEC" w:rsidRPr="00C06C7F">
          <w:rPr>
            <w:rFonts w:ascii="Arial" w:hAnsi="Arial"/>
            <w:noProof/>
            <w:webHidden/>
            <w:sz w:val="22"/>
            <w:szCs w:val="22"/>
          </w:rPr>
          <w:fldChar w:fldCharType="end"/>
        </w:r>
      </w:hyperlink>
    </w:p>
    <w:p w14:paraId="4EF9BFCF" w14:textId="706E7D86"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8" w:history="1">
        <w:r w:rsidR="00354EEC" w:rsidRPr="00C06C7F">
          <w:rPr>
            <w:rStyle w:val="Hipervnculo"/>
            <w:rFonts w:ascii="Arial" w:hAnsi="Arial"/>
            <w:noProof/>
            <w:sz w:val="22"/>
            <w:szCs w:val="22"/>
          </w:rPr>
          <w:t>INICIO DE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52</w:t>
        </w:r>
        <w:r w:rsidR="00354EEC" w:rsidRPr="00C06C7F">
          <w:rPr>
            <w:rFonts w:ascii="Arial" w:hAnsi="Arial"/>
            <w:noProof/>
            <w:webHidden/>
            <w:sz w:val="22"/>
            <w:szCs w:val="22"/>
          </w:rPr>
          <w:fldChar w:fldCharType="end"/>
        </w:r>
      </w:hyperlink>
    </w:p>
    <w:p w14:paraId="5E403A78" w14:textId="771AE820"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29" w:history="1">
        <w:r w:rsidR="00354EEC" w:rsidRPr="00C06C7F">
          <w:rPr>
            <w:rStyle w:val="Hipervnculo"/>
            <w:rFonts w:ascii="Arial" w:hAnsi="Arial"/>
            <w:noProof/>
            <w:sz w:val="22"/>
            <w:szCs w:val="22"/>
          </w:rPr>
          <w:t>MODIFICACIÓN DE PLAZOS PARA LA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_Toc140089329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54</w:t>
        </w:r>
        <w:r w:rsidR="00354EEC" w:rsidRPr="00C06C7F">
          <w:rPr>
            <w:rFonts w:ascii="Arial" w:hAnsi="Arial"/>
            <w:noProof/>
            <w:webHidden/>
            <w:sz w:val="22"/>
            <w:szCs w:val="22"/>
          </w:rPr>
          <w:fldChar w:fldCharType="end"/>
        </w:r>
      </w:hyperlink>
    </w:p>
    <w:p w14:paraId="610FF85D" w14:textId="0BA6BAF0"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0" w:history="1">
        <w:r w:rsidR="00354EEC" w:rsidRPr="00C06C7F">
          <w:rPr>
            <w:rStyle w:val="Hipervnculo"/>
            <w:rFonts w:ascii="Arial" w:hAnsi="Arial"/>
            <w:noProof/>
            <w:sz w:val="22"/>
            <w:szCs w:val="22"/>
          </w:rPr>
          <w:t xml:space="preserve">TRANSITABILIDAD DURANTE LA EJECUCIÓN DEL MANTENIMIENTO PERIÓDICO INICIAL Y DE LA </w:t>
        </w:r>
        <w:r w:rsidR="00354EEC" w:rsidRPr="00C06C7F">
          <w:rPr>
            <w:rStyle w:val="Hipervnculo"/>
            <w:rFonts w:ascii="Arial" w:hAnsi="Arial"/>
            <w:noProof/>
            <w:sz w:val="22"/>
            <w:szCs w:val="22"/>
            <w:lang w:val="es-PE"/>
          </w:rPr>
          <w:t>REHABILITACIÓN Y MEJORAMIENTO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54</w:t>
        </w:r>
        <w:r w:rsidR="00354EEC" w:rsidRPr="00C06C7F">
          <w:rPr>
            <w:rFonts w:ascii="Arial" w:hAnsi="Arial"/>
            <w:noProof/>
            <w:webHidden/>
            <w:sz w:val="22"/>
            <w:szCs w:val="22"/>
          </w:rPr>
          <w:fldChar w:fldCharType="end"/>
        </w:r>
      </w:hyperlink>
    </w:p>
    <w:p w14:paraId="3CB801C5" w14:textId="3B4994E6"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1" w:history="1">
        <w:r w:rsidR="00354EEC" w:rsidRPr="00C06C7F">
          <w:rPr>
            <w:rStyle w:val="Hipervnculo"/>
            <w:rFonts w:ascii="Arial" w:hAnsi="Arial"/>
            <w:noProof/>
            <w:sz w:val="22"/>
            <w:szCs w:val="22"/>
          </w:rPr>
          <w:t>ACEPTACIÓN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56</w:t>
        </w:r>
        <w:r w:rsidR="00354EEC" w:rsidRPr="00C06C7F">
          <w:rPr>
            <w:rFonts w:ascii="Arial" w:hAnsi="Arial"/>
            <w:noProof/>
            <w:webHidden/>
            <w:sz w:val="22"/>
            <w:szCs w:val="22"/>
          </w:rPr>
          <w:fldChar w:fldCharType="end"/>
        </w:r>
      </w:hyperlink>
    </w:p>
    <w:p w14:paraId="7A28B150" w14:textId="4E1EE10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2" w:history="1">
        <w:r w:rsidR="00354EEC" w:rsidRPr="00C06C7F">
          <w:rPr>
            <w:rStyle w:val="Hipervnculo"/>
            <w:rFonts w:ascii="Arial" w:hAnsi="Arial"/>
            <w:noProof/>
            <w:sz w:val="22"/>
            <w:szCs w:val="22"/>
            <w:lang w:eastAsia="es-ES"/>
          </w:rPr>
          <w:t xml:space="preserve">PAGOS DEL CONCESIONARIO POR CONCEPTO DE SUPERVISIÓN DE LAS </w:t>
        </w:r>
        <w:r w:rsidR="00354EEC" w:rsidRPr="00C06C7F">
          <w:rPr>
            <w:rStyle w:val="Hipervnculo"/>
            <w:rFonts w:ascii="Arial" w:hAnsi="Arial"/>
            <w:noProof/>
            <w:sz w:val="22"/>
            <w:szCs w:val="22"/>
          </w:rPr>
          <w:t>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58</w:t>
        </w:r>
        <w:r w:rsidR="00354EEC" w:rsidRPr="00C06C7F">
          <w:rPr>
            <w:rFonts w:ascii="Arial" w:hAnsi="Arial"/>
            <w:noProof/>
            <w:webHidden/>
            <w:sz w:val="22"/>
            <w:szCs w:val="22"/>
          </w:rPr>
          <w:fldChar w:fldCharType="end"/>
        </w:r>
      </w:hyperlink>
    </w:p>
    <w:p w14:paraId="06274699" w14:textId="2F5ABE6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3" w:history="1">
        <w:r w:rsidR="00354EEC" w:rsidRPr="00C06C7F">
          <w:rPr>
            <w:rStyle w:val="Hipervnculo"/>
            <w:rFonts w:ascii="Arial" w:hAnsi="Arial"/>
            <w:noProof/>
            <w:sz w:val="22"/>
            <w:szCs w:val="22"/>
          </w:rPr>
          <w:t>COMPROMISO DE CONTRATAR MANO DE OBRA LOCAL PARA LA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59</w:t>
        </w:r>
        <w:r w:rsidR="00354EEC" w:rsidRPr="00C06C7F">
          <w:rPr>
            <w:rFonts w:ascii="Arial" w:hAnsi="Arial"/>
            <w:noProof/>
            <w:webHidden/>
            <w:sz w:val="22"/>
            <w:szCs w:val="22"/>
          </w:rPr>
          <w:fldChar w:fldCharType="end"/>
        </w:r>
      </w:hyperlink>
    </w:p>
    <w:p w14:paraId="2BCC0ADD" w14:textId="1CBCF7D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4" w:history="1">
        <w:r w:rsidR="00354EEC" w:rsidRPr="00C06C7F">
          <w:rPr>
            <w:rStyle w:val="Hipervnculo"/>
            <w:rFonts w:ascii="Arial" w:hAnsi="Arial"/>
            <w:noProof/>
            <w:sz w:val="22"/>
            <w:szCs w:val="22"/>
          </w:rPr>
          <w:t>RED DORSAL NACIONAL DE FIBRA ÓPTICA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59</w:t>
        </w:r>
        <w:r w:rsidR="00354EEC" w:rsidRPr="00C06C7F">
          <w:rPr>
            <w:rFonts w:ascii="Arial" w:hAnsi="Arial"/>
            <w:noProof/>
            <w:webHidden/>
            <w:sz w:val="22"/>
            <w:szCs w:val="22"/>
          </w:rPr>
          <w:fldChar w:fldCharType="end"/>
        </w:r>
      </w:hyperlink>
    </w:p>
    <w:p w14:paraId="4DC98B5D" w14:textId="6933269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5" w:history="1">
        <w:r w:rsidR="00354EEC" w:rsidRPr="00C06C7F">
          <w:rPr>
            <w:rStyle w:val="Hipervnculo"/>
            <w:rFonts w:ascii="Arial" w:hAnsi="Arial"/>
            <w:noProof/>
            <w:sz w:val="22"/>
            <w:szCs w:val="22"/>
          </w:rPr>
          <w:t>INVERSIONES POR SEGURIDAD VIAL</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59</w:t>
        </w:r>
        <w:r w:rsidR="00354EEC" w:rsidRPr="00C06C7F">
          <w:rPr>
            <w:rFonts w:ascii="Arial" w:hAnsi="Arial"/>
            <w:noProof/>
            <w:webHidden/>
            <w:sz w:val="22"/>
            <w:szCs w:val="22"/>
          </w:rPr>
          <w:fldChar w:fldCharType="end"/>
        </w:r>
      </w:hyperlink>
    </w:p>
    <w:p w14:paraId="47F448C6" w14:textId="1B1A25A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6" w:history="1">
        <w:r w:rsidR="00354EEC" w:rsidRPr="00C06C7F">
          <w:rPr>
            <w:rStyle w:val="Hipervnculo"/>
            <w:rFonts w:ascii="Arial" w:hAnsi="Arial"/>
            <w:noProof/>
            <w:sz w:val="22"/>
            <w:szCs w:val="22"/>
          </w:rPr>
          <w:t>SECTOR CRÍTICO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59</w:t>
        </w:r>
        <w:r w:rsidR="00354EEC" w:rsidRPr="00C06C7F">
          <w:rPr>
            <w:rFonts w:ascii="Arial" w:hAnsi="Arial"/>
            <w:noProof/>
            <w:webHidden/>
            <w:sz w:val="22"/>
            <w:szCs w:val="22"/>
          </w:rPr>
          <w:fldChar w:fldCharType="end"/>
        </w:r>
      </w:hyperlink>
    </w:p>
    <w:p w14:paraId="0198B38B" w14:textId="288438C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7" w:history="1">
        <w:r w:rsidR="00354EEC" w:rsidRPr="00C06C7F">
          <w:rPr>
            <w:rStyle w:val="Hipervnculo"/>
            <w:rFonts w:ascii="Arial" w:hAnsi="Arial"/>
            <w:noProof/>
            <w:sz w:val="22"/>
            <w:szCs w:val="22"/>
          </w:rPr>
          <w:t>INVERSIONES ADICIONALES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60</w:t>
        </w:r>
        <w:r w:rsidR="00354EEC" w:rsidRPr="00C06C7F">
          <w:rPr>
            <w:rFonts w:ascii="Arial" w:hAnsi="Arial"/>
            <w:noProof/>
            <w:webHidden/>
            <w:sz w:val="22"/>
            <w:szCs w:val="22"/>
          </w:rPr>
          <w:fldChar w:fldCharType="end"/>
        </w:r>
      </w:hyperlink>
    </w:p>
    <w:p w14:paraId="5A2C8647" w14:textId="69F36D08"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38" w:history="1">
        <w:r w:rsidR="00354EEC" w:rsidRPr="00C06C7F">
          <w:rPr>
            <w:rStyle w:val="Hipervnculo"/>
            <w:rFonts w:ascii="Arial" w:hAnsi="Arial" w:cs="Arial"/>
            <w:noProof/>
            <w:sz w:val="22"/>
            <w:szCs w:val="22"/>
            <w:lang w:val="es-PE"/>
          </w:rPr>
          <w:t>CAPÍTULO VII: DE LA CONSERVACIÓN</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_Toc140089338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60</w:t>
        </w:r>
        <w:r w:rsidR="00354EEC" w:rsidRPr="00C06C7F">
          <w:rPr>
            <w:rFonts w:ascii="Arial" w:hAnsi="Arial" w:cs="Arial"/>
            <w:noProof/>
            <w:webHidden/>
            <w:sz w:val="22"/>
            <w:szCs w:val="22"/>
          </w:rPr>
          <w:fldChar w:fldCharType="end"/>
        </w:r>
      </w:hyperlink>
    </w:p>
    <w:p w14:paraId="79284721" w14:textId="438DB50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39" w:history="1">
        <w:r w:rsidR="00354EEC" w:rsidRPr="00C06C7F">
          <w:rPr>
            <w:rStyle w:val="Hipervnculo"/>
            <w:rFonts w:ascii="Arial" w:hAnsi="Arial"/>
            <w:noProof/>
            <w:sz w:val="22"/>
            <w:szCs w:val="22"/>
            <w:lang w:val="es-PE"/>
          </w:rPr>
          <w:t>OBLIGACIONES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_Toc140089339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60</w:t>
        </w:r>
        <w:r w:rsidR="00354EEC" w:rsidRPr="00C06C7F">
          <w:rPr>
            <w:rFonts w:ascii="Arial" w:hAnsi="Arial"/>
            <w:noProof/>
            <w:webHidden/>
            <w:sz w:val="22"/>
            <w:szCs w:val="22"/>
          </w:rPr>
          <w:fldChar w:fldCharType="end"/>
        </w:r>
      </w:hyperlink>
    </w:p>
    <w:p w14:paraId="193DB387" w14:textId="5929B6E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40" w:history="1">
        <w:r w:rsidR="00354EEC" w:rsidRPr="00C06C7F">
          <w:rPr>
            <w:rStyle w:val="Hipervnculo"/>
            <w:rFonts w:ascii="Arial" w:hAnsi="Arial"/>
            <w:noProof/>
            <w:sz w:val="22"/>
            <w:szCs w:val="22"/>
          </w:rPr>
          <w:t>SUPERVISIÓN DE LA CONSERVACIÓN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_Toc140089340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61</w:t>
        </w:r>
        <w:r w:rsidR="00354EEC" w:rsidRPr="00C06C7F">
          <w:rPr>
            <w:rFonts w:ascii="Arial" w:hAnsi="Arial"/>
            <w:noProof/>
            <w:webHidden/>
            <w:sz w:val="22"/>
            <w:szCs w:val="22"/>
          </w:rPr>
          <w:fldChar w:fldCharType="end"/>
        </w:r>
      </w:hyperlink>
    </w:p>
    <w:p w14:paraId="6F1D034E" w14:textId="10E49E46"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41" w:history="1">
        <w:r w:rsidR="00354EEC" w:rsidRPr="00C06C7F">
          <w:rPr>
            <w:rStyle w:val="Hipervnculo"/>
            <w:rFonts w:ascii="Arial" w:hAnsi="Arial"/>
            <w:noProof/>
            <w:sz w:val="22"/>
            <w:szCs w:val="22"/>
          </w:rPr>
          <w:t>PROGRAMAS DE CONSERVACIÓN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_Toc140089341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61</w:t>
        </w:r>
        <w:r w:rsidR="00354EEC" w:rsidRPr="00C06C7F">
          <w:rPr>
            <w:rFonts w:ascii="Arial" w:hAnsi="Arial"/>
            <w:noProof/>
            <w:webHidden/>
            <w:sz w:val="22"/>
            <w:szCs w:val="22"/>
          </w:rPr>
          <w:fldChar w:fldCharType="end"/>
        </w:r>
      </w:hyperlink>
    </w:p>
    <w:p w14:paraId="4714A931" w14:textId="52E4C850"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42" w:history="1">
        <w:r w:rsidR="00354EEC" w:rsidRPr="00C06C7F">
          <w:rPr>
            <w:rStyle w:val="Hipervnculo"/>
            <w:rFonts w:ascii="Arial" w:hAnsi="Arial"/>
            <w:noProof/>
            <w:sz w:val="22"/>
            <w:szCs w:val="22"/>
          </w:rPr>
          <w:t>EMERGENCIA VIAL</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_Toc140089342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62</w:t>
        </w:r>
        <w:r w:rsidR="00354EEC" w:rsidRPr="00C06C7F">
          <w:rPr>
            <w:rFonts w:ascii="Arial" w:hAnsi="Arial"/>
            <w:noProof/>
            <w:webHidden/>
            <w:sz w:val="22"/>
            <w:szCs w:val="22"/>
          </w:rPr>
          <w:fldChar w:fldCharType="end"/>
        </w:r>
      </w:hyperlink>
    </w:p>
    <w:p w14:paraId="7EAB9F54" w14:textId="5A19A06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43" w:history="1">
        <w:r w:rsidR="00354EEC" w:rsidRPr="00C06C7F">
          <w:rPr>
            <w:rStyle w:val="Hipervnculo"/>
            <w:rFonts w:ascii="Arial" w:hAnsi="Arial"/>
            <w:noProof/>
            <w:sz w:val="22"/>
            <w:szCs w:val="22"/>
          </w:rPr>
          <w:t>INFORMACIÓN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_Toc140089343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63</w:t>
        </w:r>
        <w:r w:rsidR="00354EEC" w:rsidRPr="00C06C7F">
          <w:rPr>
            <w:rFonts w:ascii="Arial" w:hAnsi="Arial"/>
            <w:noProof/>
            <w:webHidden/>
            <w:sz w:val="22"/>
            <w:szCs w:val="22"/>
          </w:rPr>
          <w:fldChar w:fldCharType="end"/>
        </w:r>
      </w:hyperlink>
    </w:p>
    <w:p w14:paraId="190C5440" w14:textId="10158F5E"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344" w:history="1">
        <w:r w:rsidR="00354EEC" w:rsidRPr="00E70E30">
          <w:rPr>
            <w:rStyle w:val="Hipervnculo"/>
            <w:rFonts w:ascii="Arial" w:hAnsi="Arial" w:cs="Arial"/>
            <w:noProof/>
            <w:sz w:val="22"/>
            <w:szCs w:val="22"/>
            <w:lang w:val="es-PE"/>
          </w:rPr>
          <w:t>CAPÍTULO VIII: EXPLOTACIÓN DE LA CONCESIÓN</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_Toc140089344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63</w:t>
        </w:r>
        <w:r w:rsidR="00354EEC" w:rsidRPr="00E70E30">
          <w:rPr>
            <w:rFonts w:ascii="Arial" w:hAnsi="Arial" w:cs="Arial"/>
            <w:noProof/>
            <w:webHidden/>
            <w:sz w:val="22"/>
            <w:szCs w:val="22"/>
          </w:rPr>
          <w:fldChar w:fldCharType="end"/>
        </w:r>
      </w:hyperlink>
    </w:p>
    <w:p w14:paraId="0908E31C" w14:textId="2D88F18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45" w:history="1">
        <w:r w:rsidR="00354EEC" w:rsidRPr="00E70E30">
          <w:rPr>
            <w:rStyle w:val="Hipervnculo"/>
            <w:rFonts w:ascii="Arial" w:hAnsi="Arial"/>
            <w:noProof/>
            <w:sz w:val="22"/>
            <w:szCs w:val="22"/>
          </w:rPr>
          <w:t>DERECHOS Y DEBERES DEL CONCESIONARIO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_Toc140089345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63</w:t>
        </w:r>
        <w:r w:rsidR="00354EEC" w:rsidRPr="00E70E30">
          <w:rPr>
            <w:rFonts w:ascii="Arial" w:hAnsi="Arial"/>
            <w:noProof/>
            <w:webHidden/>
            <w:sz w:val="22"/>
            <w:szCs w:val="22"/>
          </w:rPr>
          <w:fldChar w:fldCharType="end"/>
        </w:r>
      </w:hyperlink>
    </w:p>
    <w:p w14:paraId="34FD6411" w14:textId="7877A6BE"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46" w:history="1">
        <w:r w:rsidR="00354EEC" w:rsidRPr="00E70E30">
          <w:rPr>
            <w:rStyle w:val="Hipervnculo"/>
            <w:rFonts w:ascii="Arial" w:hAnsi="Arial"/>
            <w:noProof/>
            <w:sz w:val="22"/>
            <w:szCs w:val="22"/>
          </w:rPr>
          <w:t>ORGANIZACIÓN DE LOS SERVICIOS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_Toc140089346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63</w:t>
        </w:r>
        <w:r w:rsidR="00354EEC" w:rsidRPr="00E70E30">
          <w:rPr>
            <w:rFonts w:ascii="Arial" w:hAnsi="Arial"/>
            <w:noProof/>
            <w:webHidden/>
            <w:sz w:val="22"/>
            <w:szCs w:val="22"/>
          </w:rPr>
          <w:fldChar w:fldCharType="end"/>
        </w:r>
      </w:hyperlink>
    </w:p>
    <w:p w14:paraId="77F4B12C" w14:textId="63827182"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47" w:history="1">
        <w:r w:rsidR="00354EEC" w:rsidRPr="00E70E30">
          <w:rPr>
            <w:rStyle w:val="Hipervnculo"/>
            <w:rFonts w:ascii="Arial" w:hAnsi="Arial"/>
            <w:noProof/>
            <w:sz w:val="22"/>
            <w:szCs w:val="22"/>
          </w:rPr>
          <w:t>SUPERVISIÓN DE LA EXPLOTACIÓN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_Toc140089347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63</w:t>
        </w:r>
        <w:r w:rsidR="00354EEC" w:rsidRPr="00E70E30">
          <w:rPr>
            <w:rFonts w:ascii="Arial" w:hAnsi="Arial"/>
            <w:noProof/>
            <w:webHidden/>
            <w:sz w:val="22"/>
            <w:szCs w:val="22"/>
          </w:rPr>
          <w:fldChar w:fldCharType="end"/>
        </w:r>
      </w:hyperlink>
    </w:p>
    <w:p w14:paraId="013DCC64" w14:textId="04F861AA"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48" w:history="1">
        <w:r w:rsidR="00354EEC" w:rsidRPr="00E70E30">
          <w:rPr>
            <w:rStyle w:val="Hipervnculo"/>
            <w:rFonts w:ascii="Arial" w:hAnsi="Arial"/>
            <w:noProof/>
            <w:sz w:val="22"/>
            <w:szCs w:val="22"/>
          </w:rPr>
          <w:t>INFORMACIÓN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_Toc140089348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64</w:t>
        </w:r>
        <w:r w:rsidR="00354EEC" w:rsidRPr="00E70E30">
          <w:rPr>
            <w:rFonts w:ascii="Arial" w:hAnsi="Arial"/>
            <w:noProof/>
            <w:webHidden/>
            <w:sz w:val="22"/>
            <w:szCs w:val="22"/>
          </w:rPr>
          <w:fldChar w:fldCharType="end"/>
        </w:r>
      </w:hyperlink>
    </w:p>
    <w:p w14:paraId="3AD6BEEB" w14:textId="4823B2E4"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49" w:history="1">
        <w:r w:rsidR="00354EEC" w:rsidRPr="00E70E30">
          <w:rPr>
            <w:rStyle w:val="Hipervnculo"/>
            <w:rFonts w:ascii="Arial" w:hAnsi="Arial"/>
            <w:noProof/>
            <w:sz w:val="22"/>
            <w:szCs w:val="22"/>
            <w:lang w:val="es-PE"/>
          </w:rPr>
          <w:t>DERECHOS Y RECLAMOS DE LOS USUARIOS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_Toc140089349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65</w:t>
        </w:r>
        <w:r w:rsidR="00354EEC" w:rsidRPr="00E70E30">
          <w:rPr>
            <w:rFonts w:ascii="Arial" w:hAnsi="Arial"/>
            <w:noProof/>
            <w:webHidden/>
            <w:sz w:val="22"/>
            <w:szCs w:val="22"/>
          </w:rPr>
          <w:fldChar w:fldCharType="end"/>
        </w:r>
      </w:hyperlink>
    </w:p>
    <w:p w14:paraId="5B6705C0" w14:textId="433DBC8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0" w:history="1">
        <w:r w:rsidR="00354EEC" w:rsidRPr="00E70E30">
          <w:rPr>
            <w:rStyle w:val="Hipervnculo"/>
            <w:rFonts w:ascii="Arial" w:hAnsi="Arial"/>
            <w:noProof/>
            <w:sz w:val="22"/>
            <w:szCs w:val="22"/>
          </w:rPr>
          <w:t>REGLAMENTOS INTERNOS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_Toc140089350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65</w:t>
        </w:r>
        <w:r w:rsidR="00354EEC" w:rsidRPr="00E70E30">
          <w:rPr>
            <w:rFonts w:ascii="Arial" w:hAnsi="Arial"/>
            <w:noProof/>
            <w:webHidden/>
            <w:sz w:val="22"/>
            <w:szCs w:val="22"/>
          </w:rPr>
          <w:fldChar w:fldCharType="end"/>
        </w:r>
      </w:hyperlink>
    </w:p>
    <w:p w14:paraId="1A548DE3" w14:textId="17607E9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1" w:history="1">
        <w:r w:rsidR="00354EEC" w:rsidRPr="00E70E30">
          <w:rPr>
            <w:rStyle w:val="Hipervnculo"/>
            <w:rFonts w:ascii="Arial" w:hAnsi="Arial"/>
            <w:noProof/>
            <w:sz w:val="22"/>
            <w:szCs w:val="22"/>
          </w:rPr>
          <w:t>INICIO DE LA EXPLOTACIÓN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_Toc140089351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66</w:t>
        </w:r>
        <w:r w:rsidR="00354EEC" w:rsidRPr="00E70E30">
          <w:rPr>
            <w:rFonts w:ascii="Arial" w:hAnsi="Arial"/>
            <w:noProof/>
            <w:webHidden/>
            <w:sz w:val="22"/>
            <w:szCs w:val="22"/>
          </w:rPr>
          <w:fldChar w:fldCharType="end"/>
        </w:r>
      </w:hyperlink>
    </w:p>
    <w:p w14:paraId="38D40FF6" w14:textId="4767FA2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2" w:history="1">
        <w:r w:rsidR="00354EEC" w:rsidRPr="00E70E30">
          <w:rPr>
            <w:rStyle w:val="Hipervnculo"/>
            <w:rFonts w:ascii="Arial" w:hAnsi="Arial"/>
            <w:noProof/>
            <w:sz w:val="22"/>
            <w:szCs w:val="22"/>
            <w:lang w:val="es-PE"/>
          </w:rPr>
          <w:t>NIVEL DE SATISFACCIÓN DEL USUARIO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_Toc140089352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67</w:t>
        </w:r>
        <w:r w:rsidR="00354EEC" w:rsidRPr="00E70E30">
          <w:rPr>
            <w:rFonts w:ascii="Arial" w:hAnsi="Arial"/>
            <w:noProof/>
            <w:webHidden/>
            <w:sz w:val="22"/>
            <w:szCs w:val="22"/>
          </w:rPr>
          <w:fldChar w:fldCharType="end"/>
        </w:r>
      </w:hyperlink>
    </w:p>
    <w:p w14:paraId="3A7529AF" w14:textId="30B5EA9D"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353" w:history="1">
        <w:r w:rsidR="00354EEC" w:rsidRPr="00E70E30">
          <w:rPr>
            <w:rStyle w:val="Hipervnculo"/>
            <w:rFonts w:ascii="Arial" w:hAnsi="Arial" w:cs="Arial"/>
            <w:noProof/>
            <w:sz w:val="22"/>
            <w:szCs w:val="22"/>
            <w:lang w:val="es-PE"/>
          </w:rPr>
          <w:t>CAPÍTULO IX: EL PEAJE Y LA TARIFA</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_Toc140089353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68</w:t>
        </w:r>
        <w:r w:rsidR="00354EEC" w:rsidRPr="00E70E30">
          <w:rPr>
            <w:rFonts w:ascii="Arial" w:hAnsi="Arial" w:cs="Arial"/>
            <w:noProof/>
            <w:webHidden/>
            <w:sz w:val="22"/>
            <w:szCs w:val="22"/>
          </w:rPr>
          <w:fldChar w:fldCharType="end"/>
        </w:r>
      </w:hyperlink>
    </w:p>
    <w:p w14:paraId="3BCCE5D5" w14:textId="010AF3BD"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4" w:history="1">
        <w:r w:rsidR="00354EEC" w:rsidRPr="00E70E30">
          <w:rPr>
            <w:rStyle w:val="Hipervnculo"/>
            <w:rFonts w:ascii="Arial" w:hAnsi="Arial"/>
            <w:noProof/>
            <w:sz w:val="22"/>
            <w:szCs w:val="22"/>
          </w:rPr>
          <w:t>EL PEAJE Y LA TARIFA</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_Toc140089354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68</w:t>
        </w:r>
        <w:r w:rsidR="00354EEC" w:rsidRPr="00E70E30">
          <w:rPr>
            <w:rFonts w:ascii="Arial" w:hAnsi="Arial"/>
            <w:noProof/>
            <w:webHidden/>
            <w:sz w:val="22"/>
            <w:szCs w:val="22"/>
          </w:rPr>
          <w:fldChar w:fldCharType="end"/>
        </w:r>
      </w:hyperlink>
    </w:p>
    <w:p w14:paraId="3E99EC41" w14:textId="4552B89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355" w:history="1">
        <w:r w:rsidR="00354EEC" w:rsidRPr="00E70E30">
          <w:rPr>
            <w:rStyle w:val="Hipervnculo"/>
            <w:rFonts w:ascii="Arial" w:hAnsi="Arial" w:cs="Arial"/>
            <w:noProof/>
            <w:sz w:val="22"/>
            <w:szCs w:val="22"/>
            <w:lang w:val="es-PE"/>
          </w:rPr>
          <w:t>CAPÍTULO X: RÉGIMEN ECONÓMICO- FINANCIERO</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_Toc140089355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74</w:t>
        </w:r>
        <w:r w:rsidR="00354EEC" w:rsidRPr="00E70E30">
          <w:rPr>
            <w:rFonts w:ascii="Arial" w:hAnsi="Arial" w:cs="Arial"/>
            <w:noProof/>
            <w:webHidden/>
            <w:sz w:val="22"/>
            <w:szCs w:val="22"/>
          </w:rPr>
          <w:fldChar w:fldCharType="end"/>
        </w:r>
      </w:hyperlink>
    </w:p>
    <w:p w14:paraId="32094538" w14:textId="6DCE0BD4"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6" w:history="1">
        <w:r w:rsidR="00354EEC" w:rsidRPr="00E70E30">
          <w:rPr>
            <w:rStyle w:val="Hipervnculo"/>
            <w:rFonts w:ascii="Arial" w:hAnsi="Arial"/>
            <w:noProof/>
            <w:sz w:val="22"/>
            <w:szCs w:val="22"/>
            <w:lang w:val="es-PE"/>
          </w:rPr>
          <w:t>CIERRE FINANCIERO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_Toc140089356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74</w:t>
        </w:r>
        <w:r w:rsidR="00354EEC" w:rsidRPr="00E70E30">
          <w:rPr>
            <w:rFonts w:ascii="Arial" w:hAnsi="Arial"/>
            <w:noProof/>
            <w:webHidden/>
            <w:sz w:val="22"/>
            <w:szCs w:val="22"/>
          </w:rPr>
          <w:fldChar w:fldCharType="end"/>
        </w:r>
      </w:hyperlink>
    </w:p>
    <w:p w14:paraId="28B13363" w14:textId="25775864"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7" w:history="1">
        <w:r w:rsidR="00354EEC" w:rsidRPr="00E70E30">
          <w:rPr>
            <w:rStyle w:val="Hipervnculo"/>
            <w:rFonts w:ascii="Arial" w:hAnsi="Arial"/>
            <w:noProof/>
            <w:sz w:val="22"/>
            <w:szCs w:val="22"/>
            <w:lang w:val="es-PE"/>
          </w:rPr>
          <w:t>PROCEDIMIENTO DE CONFORMIDAD DE LOS CIERRES FINANCIEROS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75</w:t>
        </w:r>
        <w:r w:rsidR="00354EEC" w:rsidRPr="00E70E30">
          <w:rPr>
            <w:rFonts w:ascii="Arial" w:hAnsi="Arial"/>
            <w:noProof/>
            <w:webHidden/>
            <w:sz w:val="22"/>
            <w:szCs w:val="22"/>
          </w:rPr>
          <w:fldChar w:fldCharType="end"/>
        </w:r>
      </w:hyperlink>
    </w:p>
    <w:p w14:paraId="310D1FBA" w14:textId="427B11FF"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8" w:history="1">
        <w:r w:rsidR="00354EEC" w:rsidRPr="00E70E30">
          <w:rPr>
            <w:rStyle w:val="Hipervnculo"/>
            <w:rFonts w:ascii="Arial" w:hAnsi="Arial"/>
            <w:noProof/>
            <w:sz w:val="22"/>
            <w:szCs w:val="22"/>
            <w:lang w:val="es-PE"/>
          </w:rPr>
          <w:t>EQUILIBRIO</w:t>
        </w:r>
        <w:r w:rsidR="00354EEC" w:rsidRPr="00E70E30">
          <w:rPr>
            <w:rStyle w:val="Hipervnculo"/>
            <w:rFonts w:ascii="Arial" w:hAnsi="Arial"/>
            <w:noProof/>
            <w:sz w:val="22"/>
            <w:szCs w:val="22"/>
          </w:rPr>
          <w:t xml:space="preserve"> ECONÓMICO-FINANCIERO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_Toc140089358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77</w:t>
        </w:r>
        <w:r w:rsidR="00354EEC" w:rsidRPr="00E70E30">
          <w:rPr>
            <w:rFonts w:ascii="Arial" w:hAnsi="Arial"/>
            <w:noProof/>
            <w:webHidden/>
            <w:sz w:val="22"/>
            <w:szCs w:val="22"/>
          </w:rPr>
          <w:fldChar w:fldCharType="end"/>
        </w:r>
      </w:hyperlink>
    </w:p>
    <w:p w14:paraId="5F86F657" w14:textId="4B64E39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59" w:history="1">
        <w:r w:rsidR="00354EEC" w:rsidRPr="00E70E30">
          <w:rPr>
            <w:rStyle w:val="Hipervnculo"/>
            <w:rFonts w:ascii="Arial" w:hAnsi="Arial"/>
            <w:noProof/>
            <w:sz w:val="22"/>
            <w:szCs w:val="22"/>
          </w:rPr>
          <w:t>RÉGIMEN TRIBUTARIO DE LA CONCESIÓN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_Toc140089359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80</w:t>
        </w:r>
        <w:r w:rsidR="00354EEC" w:rsidRPr="00E70E30">
          <w:rPr>
            <w:rFonts w:ascii="Arial" w:hAnsi="Arial"/>
            <w:noProof/>
            <w:webHidden/>
            <w:sz w:val="22"/>
            <w:szCs w:val="22"/>
          </w:rPr>
          <w:fldChar w:fldCharType="end"/>
        </w:r>
      </w:hyperlink>
    </w:p>
    <w:p w14:paraId="57A5444A" w14:textId="3ACACBE3"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0" w:history="1">
        <w:r w:rsidR="00354EEC" w:rsidRPr="00E70E30">
          <w:rPr>
            <w:rStyle w:val="Hipervnculo"/>
            <w:rFonts w:ascii="Arial" w:hAnsi="Arial"/>
            <w:noProof/>
            <w:sz w:val="22"/>
            <w:szCs w:val="22"/>
            <w:lang w:val="es-PE"/>
          </w:rPr>
          <w:t>EL</w:t>
        </w:r>
        <w:r w:rsidR="00354EEC" w:rsidRPr="00E70E30">
          <w:rPr>
            <w:rStyle w:val="Hipervnculo"/>
            <w:rFonts w:ascii="Arial" w:hAnsi="Arial"/>
            <w:noProof/>
            <w:sz w:val="22"/>
            <w:szCs w:val="22"/>
          </w:rPr>
          <w:t xml:space="preserve"> </w:t>
        </w:r>
        <w:r w:rsidR="00354EEC" w:rsidRPr="00E70E30">
          <w:rPr>
            <w:rStyle w:val="Hipervnculo"/>
            <w:rFonts w:ascii="Arial" w:hAnsi="Arial"/>
            <w:noProof/>
            <w:sz w:val="22"/>
            <w:szCs w:val="22"/>
            <w:lang w:val="es-PE"/>
          </w:rPr>
          <w:t>COFINANCIAMIENTO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_Toc140089360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80</w:t>
        </w:r>
        <w:r w:rsidR="00354EEC" w:rsidRPr="00E70E30">
          <w:rPr>
            <w:rFonts w:ascii="Arial" w:hAnsi="Arial"/>
            <w:noProof/>
            <w:webHidden/>
            <w:sz w:val="22"/>
            <w:szCs w:val="22"/>
          </w:rPr>
          <w:fldChar w:fldCharType="end"/>
        </w:r>
      </w:hyperlink>
    </w:p>
    <w:p w14:paraId="7A39BF2B" w14:textId="44D29A87"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361" w:history="1">
        <w:r w:rsidR="00354EEC" w:rsidRPr="00E70E30">
          <w:rPr>
            <w:rStyle w:val="Hipervnculo"/>
            <w:rFonts w:ascii="Arial" w:hAnsi="Arial" w:cs="Arial"/>
            <w:noProof/>
            <w:sz w:val="22"/>
            <w:szCs w:val="22"/>
            <w:lang w:val="es-PE"/>
          </w:rPr>
          <w:t>CAPÍTULO XI: GARANTÍAS</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_Toc140089361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80</w:t>
        </w:r>
        <w:r w:rsidR="00354EEC" w:rsidRPr="00E70E30">
          <w:rPr>
            <w:rFonts w:ascii="Arial" w:hAnsi="Arial" w:cs="Arial"/>
            <w:noProof/>
            <w:webHidden/>
            <w:sz w:val="22"/>
            <w:szCs w:val="22"/>
          </w:rPr>
          <w:fldChar w:fldCharType="end"/>
        </w:r>
      </w:hyperlink>
    </w:p>
    <w:p w14:paraId="1467D13B" w14:textId="4985A5C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2" w:history="1">
        <w:r w:rsidR="00354EEC" w:rsidRPr="00E70E30">
          <w:rPr>
            <w:rStyle w:val="Hipervnculo"/>
            <w:rFonts w:ascii="Arial" w:hAnsi="Arial"/>
            <w:noProof/>
            <w:sz w:val="22"/>
            <w:szCs w:val="22"/>
            <w:lang w:val="es-PE"/>
          </w:rPr>
          <w:t>GARANTÍA DEL CONCEDENTE</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_Toc140089362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80</w:t>
        </w:r>
        <w:r w:rsidR="00354EEC" w:rsidRPr="00E70E30">
          <w:rPr>
            <w:rFonts w:ascii="Arial" w:hAnsi="Arial"/>
            <w:noProof/>
            <w:webHidden/>
            <w:sz w:val="22"/>
            <w:szCs w:val="22"/>
          </w:rPr>
          <w:fldChar w:fldCharType="end"/>
        </w:r>
      </w:hyperlink>
    </w:p>
    <w:p w14:paraId="6DD27A9B" w14:textId="63D38171"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3" w:history="1">
        <w:r w:rsidR="00354EEC" w:rsidRPr="00E70E30">
          <w:rPr>
            <w:rStyle w:val="Hipervnculo"/>
            <w:rFonts w:ascii="Arial" w:hAnsi="Arial"/>
            <w:noProof/>
            <w:sz w:val="22"/>
            <w:szCs w:val="22"/>
          </w:rPr>
          <w:t>GARANTÍAS A FAVOR DEL CONCEDENTE</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_Toc140089363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80</w:t>
        </w:r>
        <w:r w:rsidR="00354EEC" w:rsidRPr="00E70E30">
          <w:rPr>
            <w:rFonts w:ascii="Arial" w:hAnsi="Arial"/>
            <w:noProof/>
            <w:webHidden/>
            <w:sz w:val="22"/>
            <w:szCs w:val="22"/>
          </w:rPr>
          <w:fldChar w:fldCharType="end"/>
        </w:r>
      </w:hyperlink>
    </w:p>
    <w:p w14:paraId="3EB672A9" w14:textId="28DB1809"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4" w:history="1">
        <w:r w:rsidR="00354EEC" w:rsidRPr="00E70E30">
          <w:rPr>
            <w:rStyle w:val="Hipervnculo"/>
            <w:rFonts w:ascii="Arial" w:hAnsi="Arial"/>
            <w:noProof/>
            <w:sz w:val="22"/>
            <w:szCs w:val="22"/>
            <w:lang w:val="es-PE"/>
          </w:rPr>
          <w:t>GARANTÍAS DE FIEL CUMPLIMIENTO DE EJECUCIÓN DE INTERVENCIONES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_Toc140089364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82</w:t>
        </w:r>
        <w:r w:rsidR="00354EEC" w:rsidRPr="00E70E30">
          <w:rPr>
            <w:rFonts w:ascii="Arial" w:hAnsi="Arial"/>
            <w:noProof/>
            <w:webHidden/>
            <w:sz w:val="22"/>
            <w:szCs w:val="22"/>
          </w:rPr>
          <w:fldChar w:fldCharType="end"/>
        </w:r>
      </w:hyperlink>
    </w:p>
    <w:p w14:paraId="78599C07" w14:textId="42AF9AB6"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5" w:history="1">
        <w:r w:rsidR="00354EEC" w:rsidRPr="00E70E30">
          <w:rPr>
            <w:rStyle w:val="Hipervnculo"/>
            <w:rFonts w:ascii="Arial" w:hAnsi="Arial"/>
            <w:noProof/>
            <w:sz w:val="22"/>
            <w:szCs w:val="22"/>
            <w:lang w:val="es-PE"/>
          </w:rPr>
          <w:t>GARANTÍA DE FIEL CUMPLIMIENTO DE CONTRATO DE CONCESIÓN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82</w:t>
        </w:r>
        <w:r w:rsidR="00354EEC" w:rsidRPr="00E70E30">
          <w:rPr>
            <w:rFonts w:ascii="Arial" w:hAnsi="Arial"/>
            <w:noProof/>
            <w:webHidden/>
            <w:sz w:val="22"/>
            <w:szCs w:val="22"/>
          </w:rPr>
          <w:fldChar w:fldCharType="end"/>
        </w:r>
      </w:hyperlink>
    </w:p>
    <w:p w14:paraId="20C3A232" w14:textId="563B1B4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366" w:history="1">
        <w:r w:rsidR="00354EEC" w:rsidRPr="00E70E30">
          <w:rPr>
            <w:rStyle w:val="Hipervnculo"/>
            <w:rFonts w:ascii="Arial" w:hAnsi="Arial"/>
            <w:noProof/>
            <w:sz w:val="22"/>
            <w:szCs w:val="22"/>
            <w:lang w:val="es-PE"/>
          </w:rPr>
          <w:t>EJECUCIÓN DE LAS GARANTÍAS DE FIEL CUMPLIMIENTO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_Toc140089366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82</w:t>
        </w:r>
        <w:r w:rsidR="00354EEC" w:rsidRPr="00E70E30">
          <w:rPr>
            <w:rFonts w:ascii="Arial" w:hAnsi="Arial"/>
            <w:noProof/>
            <w:webHidden/>
            <w:sz w:val="22"/>
            <w:szCs w:val="22"/>
          </w:rPr>
          <w:fldChar w:fldCharType="end"/>
        </w:r>
      </w:hyperlink>
    </w:p>
    <w:p w14:paraId="0C321024" w14:textId="02FEE6C1"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67" w:history="1">
        <w:r w:rsidR="00354EEC" w:rsidRPr="00C06C7F">
          <w:rPr>
            <w:rStyle w:val="Hipervnculo"/>
            <w:rFonts w:ascii="Arial" w:hAnsi="Arial" w:cs="Arial"/>
            <w:noProof/>
            <w:sz w:val="22"/>
            <w:szCs w:val="22"/>
            <w:lang w:val="es-PE"/>
          </w:rPr>
          <w:t>CAPÍTULO XII: RÉGIMEN DE SEGUROS Y RESPONSABILIDAD DEL CONCESIONARIO</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_Toc140089367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83</w:t>
        </w:r>
        <w:r w:rsidR="00354EEC" w:rsidRPr="00C06C7F">
          <w:rPr>
            <w:rFonts w:ascii="Arial" w:hAnsi="Arial" w:cs="Arial"/>
            <w:noProof/>
            <w:webHidden/>
            <w:sz w:val="22"/>
            <w:szCs w:val="22"/>
          </w:rPr>
          <w:fldChar w:fldCharType="end"/>
        </w:r>
      </w:hyperlink>
    </w:p>
    <w:p w14:paraId="77A1DC7D" w14:textId="4A42D1B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68" w:history="1">
        <w:r w:rsidR="00354EEC" w:rsidRPr="00C06C7F">
          <w:rPr>
            <w:rStyle w:val="Hipervnculo"/>
            <w:rFonts w:ascii="Arial" w:hAnsi="Arial"/>
            <w:noProof/>
            <w:sz w:val="22"/>
            <w:szCs w:val="22"/>
          </w:rPr>
          <w:t>CONFORMIDAD DE LOS SEGUROS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_Toc140089368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83</w:t>
        </w:r>
        <w:r w:rsidR="00354EEC" w:rsidRPr="00C06C7F">
          <w:rPr>
            <w:rFonts w:ascii="Arial" w:hAnsi="Arial"/>
            <w:noProof/>
            <w:webHidden/>
            <w:sz w:val="22"/>
            <w:szCs w:val="22"/>
          </w:rPr>
          <w:fldChar w:fldCharType="end"/>
        </w:r>
      </w:hyperlink>
    </w:p>
    <w:p w14:paraId="17949615" w14:textId="25E72A1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69" w:history="1">
        <w:r w:rsidR="00354EEC" w:rsidRPr="00C06C7F">
          <w:rPr>
            <w:rStyle w:val="Hipervnculo"/>
            <w:rFonts w:ascii="Arial" w:hAnsi="Arial"/>
            <w:noProof/>
            <w:sz w:val="22"/>
            <w:szCs w:val="22"/>
          </w:rPr>
          <w:t>PÓLIZAS DE SEGUROS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_Toc140089369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84</w:t>
        </w:r>
        <w:r w:rsidR="00354EEC" w:rsidRPr="00C06C7F">
          <w:rPr>
            <w:rFonts w:ascii="Arial" w:hAnsi="Arial"/>
            <w:noProof/>
            <w:webHidden/>
            <w:sz w:val="22"/>
            <w:szCs w:val="22"/>
          </w:rPr>
          <w:fldChar w:fldCharType="end"/>
        </w:r>
      </w:hyperlink>
    </w:p>
    <w:p w14:paraId="3A4E620B" w14:textId="2F11CA4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0" w:history="1">
        <w:r w:rsidR="00354EEC" w:rsidRPr="00C06C7F">
          <w:rPr>
            <w:rStyle w:val="Hipervnculo"/>
            <w:rFonts w:ascii="Arial" w:hAnsi="Arial"/>
            <w:noProof/>
            <w:sz w:val="22"/>
            <w:szCs w:val="22"/>
          </w:rPr>
          <w:t>COMUNICACIÓN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88</w:t>
        </w:r>
        <w:r w:rsidR="00354EEC" w:rsidRPr="00C06C7F">
          <w:rPr>
            <w:rFonts w:ascii="Arial" w:hAnsi="Arial"/>
            <w:noProof/>
            <w:webHidden/>
            <w:sz w:val="22"/>
            <w:szCs w:val="22"/>
          </w:rPr>
          <w:fldChar w:fldCharType="end"/>
        </w:r>
      </w:hyperlink>
    </w:p>
    <w:p w14:paraId="6C142599" w14:textId="64D9B8D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1" w:history="1">
        <w:r w:rsidR="00354EEC" w:rsidRPr="00C06C7F">
          <w:rPr>
            <w:rStyle w:val="Hipervnculo"/>
            <w:rFonts w:ascii="Arial" w:hAnsi="Arial"/>
            <w:noProof/>
            <w:sz w:val="22"/>
            <w:szCs w:val="22"/>
          </w:rPr>
          <w:t>RENOVACIÓN DE LAS PÓLIZAS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89</w:t>
        </w:r>
        <w:r w:rsidR="00354EEC" w:rsidRPr="00C06C7F">
          <w:rPr>
            <w:rFonts w:ascii="Arial" w:hAnsi="Arial"/>
            <w:noProof/>
            <w:webHidden/>
            <w:sz w:val="22"/>
            <w:szCs w:val="22"/>
          </w:rPr>
          <w:fldChar w:fldCharType="end"/>
        </w:r>
      </w:hyperlink>
    </w:p>
    <w:p w14:paraId="5BF3441C" w14:textId="6F4D1D6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2" w:history="1">
        <w:r w:rsidR="00354EEC" w:rsidRPr="00C06C7F">
          <w:rPr>
            <w:rStyle w:val="Hipervnculo"/>
            <w:rFonts w:ascii="Arial" w:hAnsi="Arial"/>
            <w:noProof/>
            <w:sz w:val="22"/>
            <w:szCs w:val="22"/>
          </w:rPr>
          <w:t>DERECHO DEL CONCEDENTE A ASEGURAR</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90</w:t>
        </w:r>
        <w:r w:rsidR="00354EEC" w:rsidRPr="00C06C7F">
          <w:rPr>
            <w:rFonts w:ascii="Arial" w:hAnsi="Arial"/>
            <w:noProof/>
            <w:webHidden/>
            <w:sz w:val="22"/>
            <w:szCs w:val="22"/>
          </w:rPr>
          <w:fldChar w:fldCharType="end"/>
        </w:r>
      </w:hyperlink>
    </w:p>
    <w:p w14:paraId="1E88C4CF" w14:textId="7E6F35F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3" w:history="1">
        <w:r w:rsidR="00354EEC" w:rsidRPr="00C06C7F">
          <w:rPr>
            <w:rStyle w:val="Hipervnculo"/>
            <w:rFonts w:ascii="Arial" w:hAnsi="Arial"/>
            <w:noProof/>
            <w:sz w:val="22"/>
            <w:szCs w:val="22"/>
          </w:rPr>
          <w:t>RESPONSABILIDAD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90</w:t>
        </w:r>
        <w:r w:rsidR="00354EEC" w:rsidRPr="00C06C7F">
          <w:rPr>
            <w:rFonts w:ascii="Arial" w:hAnsi="Arial"/>
            <w:noProof/>
            <w:webHidden/>
            <w:sz w:val="22"/>
            <w:szCs w:val="22"/>
          </w:rPr>
          <w:fldChar w:fldCharType="end"/>
        </w:r>
      </w:hyperlink>
    </w:p>
    <w:p w14:paraId="7FF2FC7B" w14:textId="5AED7E1C"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4" w:history="1">
        <w:r w:rsidR="00354EEC" w:rsidRPr="00C06C7F">
          <w:rPr>
            <w:rStyle w:val="Hipervnculo"/>
            <w:rFonts w:ascii="Arial" w:hAnsi="Arial"/>
            <w:noProof/>
            <w:sz w:val="22"/>
            <w:szCs w:val="22"/>
            <w:lang w:val="es-PE"/>
          </w:rPr>
          <w:t>OTRAS RESPONSABILIDADES Y OBLIGACIONES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91</w:t>
        </w:r>
        <w:r w:rsidR="00354EEC" w:rsidRPr="00C06C7F">
          <w:rPr>
            <w:rFonts w:ascii="Arial" w:hAnsi="Arial"/>
            <w:noProof/>
            <w:webHidden/>
            <w:sz w:val="22"/>
            <w:szCs w:val="22"/>
          </w:rPr>
          <w:fldChar w:fldCharType="end"/>
        </w:r>
      </w:hyperlink>
    </w:p>
    <w:p w14:paraId="27CCFF3C" w14:textId="388100D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5" w:history="1">
        <w:r w:rsidR="00354EEC" w:rsidRPr="00C06C7F">
          <w:rPr>
            <w:rStyle w:val="Hipervnculo"/>
            <w:rFonts w:ascii="Arial" w:hAnsi="Arial"/>
            <w:noProof/>
            <w:sz w:val="22"/>
            <w:szCs w:val="22"/>
          </w:rPr>
          <w:t>OBLIGACIÓN DEL CONCEDENTE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91</w:t>
        </w:r>
        <w:r w:rsidR="00354EEC" w:rsidRPr="00C06C7F">
          <w:rPr>
            <w:rFonts w:ascii="Arial" w:hAnsi="Arial"/>
            <w:noProof/>
            <w:webHidden/>
            <w:sz w:val="22"/>
            <w:szCs w:val="22"/>
          </w:rPr>
          <w:fldChar w:fldCharType="end"/>
        </w:r>
      </w:hyperlink>
    </w:p>
    <w:p w14:paraId="7E6860B5" w14:textId="55C6E5A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6" w:history="1">
        <w:r w:rsidR="00354EEC" w:rsidRPr="00C06C7F">
          <w:rPr>
            <w:rStyle w:val="Hipervnculo"/>
            <w:rFonts w:ascii="Arial" w:hAnsi="Arial"/>
            <w:noProof/>
            <w:sz w:val="22"/>
            <w:szCs w:val="22"/>
          </w:rPr>
          <w:t>ESTUDIO DE RIESGO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92</w:t>
        </w:r>
        <w:r w:rsidR="00354EEC" w:rsidRPr="00C06C7F">
          <w:rPr>
            <w:rFonts w:ascii="Arial" w:hAnsi="Arial"/>
            <w:noProof/>
            <w:webHidden/>
            <w:sz w:val="22"/>
            <w:szCs w:val="22"/>
          </w:rPr>
          <w:fldChar w:fldCharType="end"/>
        </w:r>
      </w:hyperlink>
    </w:p>
    <w:p w14:paraId="0552FDA3" w14:textId="11605D9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7" w:history="1">
        <w:r w:rsidR="00354EEC" w:rsidRPr="00C06C7F">
          <w:rPr>
            <w:rStyle w:val="Hipervnculo"/>
            <w:rFonts w:ascii="Arial" w:hAnsi="Arial"/>
            <w:noProof/>
            <w:sz w:val="22"/>
            <w:szCs w:val="22"/>
          </w:rPr>
          <w:t>EVENTOS NO CUBIERTOS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92</w:t>
        </w:r>
        <w:r w:rsidR="00354EEC" w:rsidRPr="00C06C7F">
          <w:rPr>
            <w:rFonts w:ascii="Arial" w:hAnsi="Arial"/>
            <w:noProof/>
            <w:webHidden/>
            <w:sz w:val="22"/>
            <w:szCs w:val="22"/>
          </w:rPr>
          <w:fldChar w:fldCharType="end"/>
        </w:r>
      </w:hyperlink>
    </w:p>
    <w:p w14:paraId="5BD90FAF" w14:textId="47F4205A"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78" w:history="1">
        <w:r w:rsidR="00354EEC" w:rsidRPr="00C06C7F">
          <w:rPr>
            <w:rStyle w:val="Hipervnculo"/>
            <w:rFonts w:ascii="Arial" w:hAnsi="Arial" w:cs="Arial"/>
            <w:noProof/>
            <w:sz w:val="22"/>
            <w:szCs w:val="22"/>
            <w:lang w:val="es-PE"/>
          </w:rPr>
          <w:t>CAPÍTULO XIII: CONSIDERACIONES SOCIO AMBIENTALES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_Toc140089378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93</w:t>
        </w:r>
        <w:r w:rsidR="00354EEC" w:rsidRPr="00C06C7F">
          <w:rPr>
            <w:rFonts w:ascii="Arial" w:hAnsi="Arial" w:cs="Arial"/>
            <w:noProof/>
            <w:webHidden/>
            <w:sz w:val="22"/>
            <w:szCs w:val="22"/>
          </w:rPr>
          <w:fldChar w:fldCharType="end"/>
        </w:r>
      </w:hyperlink>
    </w:p>
    <w:p w14:paraId="313B92A1" w14:textId="79C334E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79" w:history="1">
        <w:r w:rsidR="00354EEC" w:rsidRPr="00C06C7F">
          <w:rPr>
            <w:rStyle w:val="Hipervnculo"/>
            <w:rFonts w:ascii="Arial" w:hAnsi="Arial"/>
            <w:noProof/>
            <w:sz w:val="22"/>
            <w:szCs w:val="22"/>
            <w:lang w:val="es-PE"/>
          </w:rPr>
          <w:t>OBLIGACIONES SOCIO AMBIENTALES DEL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_Toc140089379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93</w:t>
        </w:r>
        <w:r w:rsidR="00354EEC" w:rsidRPr="00C06C7F">
          <w:rPr>
            <w:rFonts w:ascii="Arial" w:hAnsi="Arial"/>
            <w:noProof/>
            <w:webHidden/>
            <w:sz w:val="22"/>
            <w:szCs w:val="22"/>
          </w:rPr>
          <w:fldChar w:fldCharType="end"/>
        </w:r>
      </w:hyperlink>
    </w:p>
    <w:p w14:paraId="5574ED19" w14:textId="17FF9A5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0" w:history="1">
        <w:r w:rsidR="00354EEC" w:rsidRPr="00C06C7F">
          <w:rPr>
            <w:rStyle w:val="Hipervnculo"/>
            <w:rFonts w:ascii="Arial" w:hAnsi="Arial"/>
            <w:noProof/>
            <w:sz w:val="22"/>
            <w:szCs w:val="22"/>
          </w:rPr>
          <w:t>DOCUMENTACIÓN AMBIENTAL DEL CONTRATO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94</w:t>
        </w:r>
        <w:r w:rsidR="00354EEC" w:rsidRPr="00C06C7F">
          <w:rPr>
            <w:rFonts w:ascii="Arial" w:hAnsi="Arial"/>
            <w:noProof/>
            <w:webHidden/>
            <w:sz w:val="22"/>
            <w:szCs w:val="22"/>
          </w:rPr>
          <w:fldChar w:fldCharType="end"/>
        </w:r>
      </w:hyperlink>
    </w:p>
    <w:p w14:paraId="01B8C448" w14:textId="5B7A4FF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1" w:history="1">
        <w:r w:rsidR="00354EEC" w:rsidRPr="00C06C7F">
          <w:rPr>
            <w:rStyle w:val="Hipervnculo"/>
            <w:rFonts w:ascii="Arial" w:hAnsi="Arial"/>
            <w:noProof/>
            <w:sz w:val="22"/>
            <w:szCs w:val="22"/>
            <w:lang w:val="es-PE"/>
          </w:rPr>
          <w:t>TRATAMIENTO DE SOBRECOSTOS POR MEDIDAS AMBIENTALES NO CONTEMPLADAS EN EL CONTRATO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97</w:t>
        </w:r>
        <w:r w:rsidR="00354EEC" w:rsidRPr="00C06C7F">
          <w:rPr>
            <w:rFonts w:ascii="Arial" w:hAnsi="Arial"/>
            <w:noProof/>
            <w:webHidden/>
            <w:sz w:val="22"/>
            <w:szCs w:val="22"/>
          </w:rPr>
          <w:fldChar w:fldCharType="end"/>
        </w:r>
      </w:hyperlink>
    </w:p>
    <w:p w14:paraId="284EBCB9" w14:textId="5D36226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2" w:history="1">
        <w:r w:rsidR="00354EEC" w:rsidRPr="00C06C7F">
          <w:rPr>
            <w:rStyle w:val="Hipervnculo"/>
            <w:rFonts w:ascii="Arial" w:hAnsi="Arial"/>
            <w:noProof/>
            <w:sz w:val="22"/>
            <w:szCs w:val="22"/>
          </w:rPr>
          <w:t>MEJORA CONTINUA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98</w:t>
        </w:r>
        <w:r w:rsidR="00354EEC" w:rsidRPr="00C06C7F">
          <w:rPr>
            <w:rFonts w:ascii="Arial" w:hAnsi="Arial"/>
            <w:noProof/>
            <w:webHidden/>
            <w:sz w:val="22"/>
            <w:szCs w:val="22"/>
          </w:rPr>
          <w:fldChar w:fldCharType="end"/>
        </w:r>
      </w:hyperlink>
    </w:p>
    <w:p w14:paraId="6FAAD262" w14:textId="16E59D75"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3" w:history="1">
        <w:r w:rsidR="00354EEC" w:rsidRPr="00C06C7F">
          <w:rPr>
            <w:rStyle w:val="Hipervnculo"/>
            <w:rFonts w:ascii="Arial" w:hAnsi="Arial"/>
            <w:noProof/>
            <w:sz w:val="22"/>
            <w:szCs w:val="22"/>
            <w:lang w:val="es-CL"/>
          </w:rPr>
          <w:t xml:space="preserve">INFORMES AMBIENTALES DURANTE LA EJECUCIÓN DE </w:t>
        </w:r>
        <w:r w:rsidR="00354EEC" w:rsidRPr="00C06C7F">
          <w:rPr>
            <w:rStyle w:val="Hipervnculo"/>
            <w:rFonts w:ascii="Arial" w:hAnsi="Arial"/>
            <w:noProof/>
            <w:sz w:val="22"/>
            <w:szCs w:val="22"/>
            <w:lang w:val="es-PE"/>
          </w:rPr>
          <w:t>LAS INTERVENCIONES</w:t>
        </w:r>
        <w:r w:rsidR="00354EEC" w:rsidRPr="00C06C7F">
          <w:rPr>
            <w:rStyle w:val="Hipervnculo"/>
            <w:rFonts w:ascii="Arial" w:hAnsi="Arial"/>
            <w:noProof/>
            <w:sz w:val="22"/>
            <w:szCs w:val="22"/>
            <w:lang w:val="es-CL"/>
          </w:rPr>
          <w:t xml:space="preserve"> Y EXPLOTACIÓN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98</w:t>
        </w:r>
        <w:r w:rsidR="00354EEC" w:rsidRPr="00C06C7F">
          <w:rPr>
            <w:rFonts w:ascii="Arial" w:hAnsi="Arial"/>
            <w:noProof/>
            <w:webHidden/>
            <w:sz w:val="22"/>
            <w:szCs w:val="22"/>
          </w:rPr>
          <w:fldChar w:fldCharType="end"/>
        </w:r>
      </w:hyperlink>
    </w:p>
    <w:p w14:paraId="0755EDE5" w14:textId="142CADD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4" w:history="1">
        <w:r w:rsidR="00354EEC" w:rsidRPr="00C06C7F">
          <w:rPr>
            <w:rStyle w:val="Hipervnculo"/>
            <w:rFonts w:ascii="Arial" w:hAnsi="Arial"/>
            <w:noProof/>
            <w:sz w:val="22"/>
            <w:szCs w:val="22"/>
          </w:rPr>
          <w:t>PENALIDADES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98</w:t>
        </w:r>
        <w:r w:rsidR="00354EEC" w:rsidRPr="00C06C7F">
          <w:rPr>
            <w:rFonts w:ascii="Arial" w:hAnsi="Arial"/>
            <w:noProof/>
            <w:webHidden/>
            <w:sz w:val="22"/>
            <w:szCs w:val="22"/>
          </w:rPr>
          <w:fldChar w:fldCharType="end"/>
        </w:r>
      </w:hyperlink>
    </w:p>
    <w:p w14:paraId="06941A13" w14:textId="108B8289"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85" w:history="1">
        <w:r w:rsidR="00354EEC" w:rsidRPr="00C06C7F">
          <w:rPr>
            <w:rStyle w:val="Hipervnculo"/>
            <w:rFonts w:ascii="Arial" w:hAnsi="Arial" w:cs="Arial"/>
            <w:noProof/>
            <w:sz w:val="22"/>
            <w:szCs w:val="22"/>
            <w:lang w:val="es-PE"/>
          </w:rPr>
          <w:t>CAPITULO XIV: RELACIONES CON SOCIOS, TERCEROS Y PERSONAL</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_Toc140089385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99</w:t>
        </w:r>
        <w:r w:rsidR="00354EEC" w:rsidRPr="00C06C7F">
          <w:rPr>
            <w:rFonts w:ascii="Arial" w:hAnsi="Arial" w:cs="Arial"/>
            <w:noProof/>
            <w:webHidden/>
            <w:sz w:val="22"/>
            <w:szCs w:val="22"/>
          </w:rPr>
          <w:fldChar w:fldCharType="end"/>
        </w:r>
      </w:hyperlink>
    </w:p>
    <w:p w14:paraId="7AB900FF" w14:textId="6277509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6" w:history="1">
        <w:r w:rsidR="00354EEC" w:rsidRPr="00C06C7F">
          <w:rPr>
            <w:rStyle w:val="Hipervnculo"/>
            <w:rFonts w:ascii="Arial" w:hAnsi="Arial"/>
            <w:noProof/>
            <w:sz w:val="22"/>
            <w:szCs w:val="22"/>
          </w:rPr>
          <w:t>CLÁUSULAS EN CONTRATOS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100</w:t>
        </w:r>
        <w:r w:rsidR="00354EEC" w:rsidRPr="00C06C7F">
          <w:rPr>
            <w:rFonts w:ascii="Arial" w:hAnsi="Arial"/>
            <w:noProof/>
            <w:webHidden/>
            <w:sz w:val="22"/>
            <w:szCs w:val="22"/>
          </w:rPr>
          <w:fldChar w:fldCharType="end"/>
        </w:r>
      </w:hyperlink>
    </w:p>
    <w:p w14:paraId="26683C63" w14:textId="3C60EC9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7" w:history="1">
        <w:r w:rsidR="00354EEC" w:rsidRPr="00C06C7F">
          <w:rPr>
            <w:rStyle w:val="Hipervnculo"/>
            <w:rFonts w:ascii="Arial" w:hAnsi="Arial"/>
            <w:noProof/>
            <w:sz w:val="22"/>
            <w:szCs w:val="22"/>
          </w:rPr>
          <w:t>RELACIONES DE PERSONAL</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100</w:t>
        </w:r>
        <w:r w:rsidR="00354EEC" w:rsidRPr="00C06C7F">
          <w:rPr>
            <w:rFonts w:ascii="Arial" w:hAnsi="Arial"/>
            <w:noProof/>
            <w:webHidden/>
            <w:sz w:val="22"/>
            <w:szCs w:val="22"/>
          </w:rPr>
          <w:fldChar w:fldCharType="end"/>
        </w:r>
      </w:hyperlink>
    </w:p>
    <w:p w14:paraId="07E15E49" w14:textId="69679E9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8" w:history="1">
        <w:r w:rsidR="00354EEC" w:rsidRPr="00C06C7F">
          <w:rPr>
            <w:rStyle w:val="Hipervnculo"/>
            <w:rFonts w:ascii="Arial" w:hAnsi="Arial"/>
            <w:noProof/>
            <w:sz w:val="22"/>
            <w:szCs w:val="22"/>
          </w:rPr>
          <w:t>RELACIONES CON EL SOCIO ESTRATÉGICO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101</w:t>
        </w:r>
        <w:r w:rsidR="00354EEC" w:rsidRPr="00C06C7F">
          <w:rPr>
            <w:rFonts w:ascii="Arial" w:hAnsi="Arial"/>
            <w:noProof/>
            <w:webHidden/>
            <w:sz w:val="22"/>
            <w:szCs w:val="22"/>
          </w:rPr>
          <w:fldChar w:fldCharType="end"/>
        </w:r>
      </w:hyperlink>
    </w:p>
    <w:p w14:paraId="6BEAD276" w14:textId="0F25759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89" w:history="1">
        <w:r w:rsidR="00354EEC" w:rsidRPr="00C06C7F">
          <w:rPr>
            <w:rStyle w:val="Hipervnculo"/>
            <w:rFonts w:ascii="Arial" w:hAnsi="Arial"/>
            <w:noProof/>
            <w:sz w:val="22"/>
            <w:szCs w:val="22"/>
            <w:lang w:val="es-PE"/>
          </w:rPr>
          <w:t>CONTRATOS DE EJECUCIÓN DE LAS INTERVENCIONES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_Toc140089389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101</w:t>
        </w:r>
        <w:r w:rsidR="00354EEC" w:rsidRPr="00C06C7F">
          <w:rPr>
            <w:rFonts w:ascii="Arial" w:hAnsi="Arial"/>
            <w:noProof/>
            <w:webHidden/>
            <w:sz w:val="22"/>
            <w:szCs w:val="22"/>
          </w:rPr>
          <w:fldChar w:fldCharType="end"/>
        </w:r>
      </w:hyperlink>
    </w:p>
    <w:p w14:paraId="2A98DEB2" w14:textId="1CACB1B4"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90" w:history="1">
        <w:r w:rsidR="00354EEC" w:rsidRPr="00C06C7F">
          <w:rPr>
            <w:rStyle w:val="Hipervnculo"/>
            <w:rFonts w:ascii="Arial" w:hAnsi="Arial" w:cs="Arial"/>
            <w:noProof/>
            <w:sz w:val="22"/>
            <w:szCs w:val="22"/>
            <w:lang w:val="es-PE"/>
          </w:rPr>
          <w:t>CAPÍTULO XV: COMPETENCIAS ADMINISTRATIVAS</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_Toc140089390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102</w:t>
        </w:r>
        <w:r w:rsidR="00354EEC" w:rsidRPr="00C06C7F">
          <w:rPr>
            <w:rFonts w:ascii="Arial" w:hAnsi="Arial" w:cs="Arial"/>
            <w:noProof/>
            <w:webHidden/>
            <w:sz w:val="22"/>
            <w:szCs w:val="22"/>
          </w:rPr>
          <w:fldChar w:fldCharType="end"/>
        </w:r>
      </w:hyperlink>
    </w:p>
    <w:p w14:paraId="45A426CF" w14:textId="6F12B7EB"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1" w:history="1">
        <w:r w:rsidR="00354EEC" w:rsidRPr="00C06C7F">
          <w:rPr>
            <w:rStyle w:val="Hipervnculo"/>
            <w:rFonts w:ascii="Arial" w:hAnsi="Arial"/>
            <w:noProof/>
            <w:sz w:val="22"/>
            <w:szCs w:val="22"/>
            <w:lang w:val="es-PE"/>
          </w:rPr>
          <w:t>DISPOSICIONES COMUNES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102</w:t>
        </w:r>
        <w:r w:rsidR="00354EEC" w:rsidRPr="00C06C7F">
          <w:rPr>
            <w:rFonts w:ascii="Arial" w:hAnsi="Arial"/>
            <w:noProof/>
            <w:webHidden/>
            <w:sz w:val="22"/>
            <w:szCs w:val="22"/>
          </w:rPr>
          <w:fldChar w:fldCharType="end"/>
        </w:r>
      </w:hyperlink>
    </w:p>
    <w:p w14:paraId="4571AC5D" w14:textId="32E58B6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2" w:history="1">
        <w:r w:rsidR="00354EEC" w:rsidRPr="00C06C7F">
          <w:rPr>
            <w:rStyle w:val="Hipervnculo"/>
            <w:rFonts w:ascii="Arial" w:hAnsi="Arial"/>
            <w:noProof/>
            <w:sz w:val="22"/>
            <w:szCs w:val="22"/>
          </w:rPr>
          <w:t>OPINIONES PREVIAS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102</w:t>
        </w:r>
        <w:r w:rsidR="00354EEC" w:rsidRPr="00C06C7F">
          <w:rPr>
            <w:rFonts w:ascii="Arial" w:hAnsi="Arial"/>
            <w:noProof/>
            <w:webHidden/>
            <w:sz w:val="22"/>
            <w:szCs w:val="22"/>
          </w:rPr>
          <w:fldChar w:fldCharType="end"/>
        </w:r>
      </w:hyperlink>
    </w:p>
    <w:p w14:paraId="34EE4B78" w14:textId="6CCCED6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3" w:history="1">
        <w:r w:rsidR="00354EEC" w:rsidRPr="00C06C7F">
          <w:rPr>
            <w:rStyle w:val="Hipervnculo"/>
            <w:rFonts w:ascii="Arial" w:hAnsi="Arial"/>
            <w:noProof/>
            <w:sz w:val="22"/>
            <w:szCs w:val="22"/>
          </w:rPr>
          <w:t>COMPETENCIAS Y FACULTADES DEL REGULADOR</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103</w:t>
        </w:r>
        <w:r w:rsidR="00354EEC" w:rsidRPr="00C06C7F">
          <w:rPr>
            <w:rFonts w:ascii="Arial" w:hAnsi="Arial"/>
            <w:noProof/>
            <w:webHidden/>
            <w:sz w:val="22"/>
            <w:szCs w:val="22"/>
          </w:rPr>
          <w:fldChar w:fldCharType="end"/>
        </w:r>
      </w:hyperlink>
    </w:p>
    <w:p w14:paraId="34D212B6" w14:textId="184D587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4" w:history="1">
        <w:r w:rsidR="00354EEC" w:rsidRPr="00C06C7F">
          <w:rPr>
            <w:rStyle w:val="Hipervnculo"/>
            <w:rFonts w:ascii="Arial" w:hAnsi="Arial"/>
            <w:noProof/>
            <w:sz w:val="22"/>
            <w:szCs w:val="22"/>
          </w:rPr>
          <w:t>DE LA FUNCIÓN DE SUPERVISIÓN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103</w:t>
        </w:r>
        <w:r w:rsidR="00354EEC" w:rsidRPr="00C06C7F">
          <w:rPr>
            <w:rFonts w:ascii="Arial" w:hAnsi="Arial"/>
            <w:noProof/>
            <w:webHidden/>
            <w:sz w:val="22"/>
            <w:szCs w:val="22"/>
          </w:rPr>
          <w:fldChar w:fldCharType="end"/>
        </w:r>
      </w:hyperlink>
    </w:p>
    <w:p w14:paraId="7A249AF8" w14:textId="45E1B58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5" w:history="1">
        <w:r w:rsidR="00354EEC" w:rsidRPr="00C06C7F">
          <w:rPr>
            <w:rStyle w:val="Hipervnculo"/>
            <w:rFonts w:ascii="Arial" w:hAnsi="Arial"/>
            <w:noProof/>
            <w:sz w:val="22"/>
            <w:szCs w:val="22"/>
          </w:rPr>
          <w:t>DE LA FUNCIÓN SANCIONADORA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104</w:t>
        </w:r>
        <w:r w:rsidR="00354EEC" w:rsidRPr="00C06C7F">
          <w:rPr>
            <w:rFonts w:ascii="Arial" w:hAnsi="Arial"/>
            <w:noProof/>
            <w:webHidden/>
            <w:sz w:val="22"/>
            <w:szCs w:val="22"/>
          </w:rPr>
          <w:fldChar w:fldCharType="end"/>
        </w:r>
      </w:hyperlink>
    </w:p>
    <w:p w14:paraId="695A078A" w14:textId="7E0595D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6" w:history="1">
        <w:r w:rsidR="00354EEC" w:rsidRPr="00C06C7F">
          <w:rPr>
            <w:rStyle w:val="Hipervnculo"/>
            <w:rFonts w:ascii="Arial" w:hAnsi="Arial"/>
            <w:noProof/>
            <w:sz w:val="22"/>
            <w:szCs w:val="22"/>
          </w:rPr>
          <w:t>PENALIDADES CONTRACTUALES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104</w:t>
        </w:r>
        <w:r w:rsidR="00354EEC" w:rsidRPr="00C06C7F">
          <w:rPr>
            <w:rFonts w:ascii="Arial" w:hAnsi="Arial"/>
            <w:noProof/>
            <w:webHidden/>
            <w:sz w:val="22"/>
            <w:szCs w:val="22"/>
          </w:rPr>
          <w:fldChar w:fldCharType="end"/>
        </w:r>
      </w:hyperlink>
    </w:p>
    <w:p w14:paraId="3DE02541" w14:textId="5132403E"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397" w:history="1">
        <w:r w:rsidR="00354EEC" w:rsidRPr="00C06C7F">
          <w:rPr>
            <w:rStyle w:val="Hipervnculo"/>
            <w:rFonts w:ascii="Arial" w:hAnsi="Arial"/>
            <w:noProof/>
            <w:sz w:val="22"/>
            <w:szCs w:val="22"/>
          </w:rPr>
          <w:t>APORTE POR REGULACIÓN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_Toc140089397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105</w:t>
        </w:r>
        <w:r w:rsidR="00354EEC" w:rsidRPr="00C06C7F">
          <w:rPr>
            <w:rFonts w:ascii="Arial" w:hAnsi="Arial"/>
            <w:noProof/>
            <w:webHidden/>
            <w:sz w:val="22"/>
            <w:szCs w:val="22"/>
          </w:rPr>
          <w:fldChar w:fldCharType="end"/>
        </w:r>
      </w:hyperlink>
    </w:p>
    <w:p w14:paraId="5B020C92" w14:textId="56E421ED"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398" w:history="1">
        <w:r w:rsidR="00354EEC" w:rsidRPr="00C06C7F">
          <w:rPr>
            <w:rStyle w:val="Hipervnculo"/>
            <w:rFonts w:ascii="Arial" w:hAnsi="Arial" w:cs="Arial"/>
            <w:noProof/>
            <w:sz w:val="22"/>
            <w:szCs w:val="22"/>
            <w:lang w:val="es-PE"/>
          </w:rPr>
          <w:t>CAPÍTULO XVI: FUERZA MAYOR O CASO FORTUITO</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_Toc140089398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105</w:t>
        </w:r>
        <w:r w:rsidR="00354EEC" w:rsidRPr="00C06C7F">
          <w:rPr>
            <w:rFonts w:ascii="Arial" w:hAnsi="Arial" w:cs="Arial"/>
            <w:noProof/>
            <w:webHidden/>
            <w:sz w:val="22"/>
            <w:szCs w:val="22"/>
          </w:rPr>
          <w:fldChar w:fldCharType="end"/>
        </w:r>
      </w:hyperlink>
    </w:p>
    <w:p w14:paraId="78A934B2" w14:textId="72752808"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399" w:history="1">
        <w:r w:rsidR="00354EEC" w:rsidRPr="00E70E30">
          <w:rPr>
            <w:rStyle w:val="Hipervnculo"/>
            <w:rFonts w:ascii="Arial" w:hAnsi="Arial" w:cs="Arial"/>
            <w:noProof/>
            <w:sz w:val="22"/>
            <w:szCs w:val="22"/>
            <w:lang w:val="es-PE"/>
          </w:rPr>
          <w:t>CAPÍTULO XVII: CADUCIDAD DE LA CONCESIÓN</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_Toc140089399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106</w:t>
        </w:r>
        <w:r w:rsidR="00354EEC" w:rsidRPr="00E70E30">
          <w:rPr>
            <w:rFonts w:ascii="Arial" w:hAnsi="Arial" w:cs="Arial"/>
            <w:noProof/>
            <w:webHidden/>
            <w:sz w:val="22"/>
            <w:szCs w:val="22"/>
          </w:rPr>
          <w:fldChar w:fldCharType="end"/>
        </w:r>
      </w:hyperlink>
    </w:p>
    <w:p w14:paraId="0E5793F1" w14:textId="3DFFA220"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0" w:history="1">
        <w:r w:rsidR="00354EEC" w:rsidRPr="00E70E30">
          <w:rPr>
            <w:rStyle w:val="Hipervnculo"/>
            <w:rFonts w:ascii="Arial" w:hAnsi="Arial"/>
            <w:noProof/>
            <w:sz w:val="22"/>
            <w:szCs w:val="22"/>
          </w:rPr>
          <w:t>TERMINACIÓN DEL CONTRATO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_Toc140089400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106</w:t>
        </w:r>
        <w:r w:rsidR="00354EEC" w:rsidRPr="00E70E30">
          <w:rPr>
            <w:rFonts w:ascii="Arial" w:hAnsi="Arial"/>
            <w:noProof/>
            <w:webHidden/>
            <w:sz w:val="22"/>
            <w:szCs w:val="22"/>
          </w:rPr>
          <w:fldChar w:fldCharType="end"/>
        </w:r>
      </w:hyperlink>
    </w:p>
    <w:p w14:paraId="50D34104" w14:textId="54DFEF34"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1" w:history="1">
        <w:r w:rsidR="00354EEC" w:rsidRPr="00E70E30">
          <w:rPr>
            <w:rStyle w:val="Hipervnculo"/>
            <w:rFonts w:ascii="Arial" w:hAnsi="Arial"/>
            <w:noProof/>
            <w:sz w:val="22"/>
            <w:szCs w:val="22"/>
            <w:lang w:val="es-PE"/>
          </w:rPr>
          <w:t>VENCIMIENTO DEL PLAZO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_Toc140089401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107</w:t>
        </w:r>
        <w:r w:rsidR="00354EEC" w:rsidRPr="00E70E30">
          <w:rPr>
            <w:rFonts w:ascii="Arial" w:hAnsi="Arial"/>
            <w:noProof/>
            <w:webHidden/>
            <w:sz w:val="22"/>
            <w:szCs w:val="22"/>
          </w:rPr>
          <w:fldChar w:fldCharType="end"/>
        </w:r>
      </w:hyperlink>
    </w:p>
    <w:p w14:paraId="537226B2" w14:textId="4C87D89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2" w:history="1">
        <w:r w:rsidR="00354EEC" w:rsidRPr="00E70E30">
          <w:rPr>
            <w:rStyle w:val="Hipervnculo"/>
            <w:rFonts w:ascii="Arial" w:hAnsi="Arial"/>
            <w:noProof/>
            <w:sz w:val="22"/>
            <w:szCs w:val="22"/>
          </w:rPr>
          <w:t>TÉRMINO POR MUTUO ACUERDO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_Toc140089402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107</w:t>
        </w:r>
        <w:r w:rsidR="00354EEC" w:rsidRPr="00E70E30">
          <w:rPr>
            <w:rFonts w:ascii="Arial" w:hAnsi="Arial"/>
            <w:noProof/>
            <w:webHidden/>
            <w:sz w:val="22"/>
            <w:szCs w:val="22"/>
          </w:rPr>
          <w:fldChar w:fldCharType="end"/>
        </w:r>
      </w:hyperlink>
    </w:p>
    <w:p w14:paraId="5D43583F" w14:textId="634DA302"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3" w:history="1">
        <w:r w:rsidR="00354EEC" w:rsidRPr="00E70E30">
          <w:rPr>
            <w:rStyle w:val="Hipervnculo"/>
            <w:rFonts w:ascii="Arial" w:hAnsi="Arial"/>
            <w:noProof/>
            <w:sz w:val="22"/>
            <w:szCs w:val="22"/>
          </w:rPr>
          <w:t>TÉRMINO POR INCUMPLIMIENTO DEL CONCESIONARIO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_Toc140089403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107</w:t>
        </w:r>
        <w:r w:rsidR="00354EEC" w:rsidRPr="00E70E30">
          <w:rPr>
            <w:rFonts w:ascii="Arial" w:hAnsi="Arial"/>
            <w:noProof/>
            <w:webHidden/>
            <w:sz w:val="22"/>
            <w:szCs w:val="22"/>
          </w:rPr>
          <w:fldChar w:fldCharType="end"/>
        </w:r>
      </w:hyperlink>
    </w:p>
    <w:p w14:paraId="7B9D6411" w14:textId="49E4A952"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4" w:history="1">
        <w:r w:rsidR="00354EEC" w:rsidRPr="00E70E30">
          <w:rPr>
            <w:rStyle w:val="Hipervnculo"/>
            <w:rFonts w:ascii="Arial" w:hAnsi="Arial"/>
            <w:noProof/>
            <w:sz w:val="22"/>
            <w:szCs w:val="22"/>
          </w:rPr>
          <w:t>TÉRMINO POR INCUMPLIMIENTO DEL CONCEDENTE</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_Toc140089404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109</w:t>
        </w:r>
        <w:r w:rsidR="00354EEC" w:rsidRPr="00E70E30">
          <w:rPr>
            <w:rFonts w:ascii="Arial" w:hAnsi="Arial"/>
            <w:noProof/>
            <w:webHidden/>
            <w:sz w:val="22"/>
            <w:szCs w:val="22"/>
          </w:rPr>
          <w:fldChar w:fldCharType="end"/>
        </w:r>
      </w:hyperlink>
    </w:p>
    <w:p w14:paraId="6014D1B1" w14:textId="1AC37A4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5" w:history="1">
        <w:r w:rsidR="00354EEC" w:rsidRPr="00E70E30">
          <w:rPr>
            <w:rStyle w:val="Hipervnculo"/>
            <w:rFonts w:ascii="Arial" w:hAnsi="Arial"/>
            <w:noProof/>
            <w:sz w:val="22"/>
            <w:szCs w:val="22"/>
            <w:lang w:val="es-PE"/>
          </w:rPr>
          <w:t>FACULTAD DEL CONCEDENTE DE PONER TÉRMINO UNILATERAL AL CONTRATO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110</w:t>
        </w:r>
        <w:r w:rsidR="00354EEC" w:rsidRPr="00E70E30">
          <w:rPr>
            <w:rFonts w:ascii="Arial" w:hAnsi="Arial"/>
            <w:noProof/>
            <w:webHidden/>
            <w:sz w:val="22"/>
            <w:szCs w:val="22"/>
          </w:rPr>
          <w:fldChar w:fldCharType="end"/>
        </w:r>
      </w:hyperlink>
    </w:p>
    <w:p w14:paraId="19BD5456" w14:textId="5B945E8A"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6" w:history="1">
        <w:r w:rsidR="00354EEC" w:rsidRPr="00E70E30">
          <w:rPr>
            <w:rStyle w:val="Hipervnculo"/>
            <w:rFonts w:ascii="Arial" w:hAnsi="Arial"/>
            <w:noProof/>
            <w:sz w:val="22"/>
            <w:szCs w:val="22"/>
            <w:lang w:val="es-PE"/>
          </w:rPr>
          <w:t>TERMINACIÓN POR FUERZA MAYOR O CASO FORTUITO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_Toc140089406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111</w:t>
        </w:r>
        <w:r w:rsidR="00354EEC" w:rsidRPr="00E70E30">
          <w:rPr>
            <w:rFonts w:ascii="Arial" w:hAnsi="Arial"/>
            <w:noProof/>
            <w:webHidden/>
            <w:sz w:val="22"/>
            <w:szCs w:val="22"/>
          </w:rPr>
          <w:fldChar w:fldCharType="end"/>
        </w:r>
      </w:hyperlink>
    </w:p>
    <w:p w14:paraId="0F592357" w14:textId="07786B27"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7" w:history="1">
        <w:r w:rsidR="00354EEC" w:rsidRPr="00E70E30">
          <w:rPr>
            <w:rStyle w:val="Hipervnculo"/>
            <w:rFonts w:ascii="Arial" w:hAnsi="Arial"/>
            <w:noProof/>
            <w:sz w:val="22"/>
            <w:szCs w:val="22"/>
            <w:lang w:val="es-PE"/>
          </w:rPr>
          <w:t>TERMINACIÓN POR APLICACIÓN DE LA CLÁUSULA ANTICORRUPCIÓN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112</w:t>
        </w:r>
        <w:r w:rsidR="00354EEC" w:rsidRPr="00E70E30">
          <w:rPr>
            <w:rFonts w:ascii="Arial" w:hAnsi="Arial"/>
            <w:noProof/>
            <w:webHidden/>
            <w:sz w:val="22"/>
            <w:szCs w:val="22"/>
          </w:rPr>
          <w:fldChar w:fldCharType="end"/>
        </w:r>
      </w:hyperlink>
    </w:p>
    <w:p w14:paraId="69AD67A4" w14:textId="4BD564B0"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8" w:history="1">
        <w:r w:rsidR="00354EEC" w:rsidRPr="00E70E30">
          <w:rPr>
            <w:rStyle w:val="Hipervnculo"/>
            <w:rFonts w:ascii="Arial" w:hAnsi="Arial"/>
            <w:noProof/>
            <w:sz w:val="22"/>
            <w:szCs w:val="22"/>
            <w:lang w:val="es-PE"/>
          </w:rPr>
          <w:t>DEVOLUCIÓN DE LA GARANTÍAS DE FIEL CUMPLIMIENTO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_Toc140089408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113</w:t>
        </w:r>
        <w:r w:rsidR="00354EEC" w:rsidRPr="00E70E30">
          <w:rPr>
            <w:rFonts w:ascii="Arial" w:hAnsi="Arial"/>
            <w:noProof/>
            <w:webHidden/>
            <w:sz w:val="22"/>
            <w:szCs w:val="22"/>
          </w:rPr>
          <w:fldChar w:fldCharType="end"/>
        </w:r>
      </w:hyperlink>
    </w:p>
    <w:p w14:paraId="3C6DF0C5" w14:textId="7F8FD6CF"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09" w:history="1">
        <w:r w:rsidR="00354EEC" w:rsidRPr="00E70E30">
          <w:rPr>
            <w:rStyle w:val="Hipervnculo"/>
            <w:rFonts w:ascii="Arial" w:hAnsi="Arial"/>
            <w:noProof/>
            <w:sz w:val="22"/>
            <w:szCs w:val="22"/>
          </w:rPr>
          <w:t>EFECTOS DE LA TERMINACIÓN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_Toc140089409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113</w:t>
        </w:r>
        <w:r w:rsidR="00354EEC" w:rsidRPr="00E70E30">
          <w:rPr>
            <w:rFonts w:ascii="Arial" w:hAnsi="Arial"/>
            <w:noProof/>
            <w:webHidden/>
            <w:sz w:val="22"/>
            <w:szCs w:val="22"/>
          </w:rPr>
          <w:fldChar w:fldCharType="end"/>
        </w:r>
      </w:hyperlink>
    </w:p>
    <w:p w14:paraId="60BA8883" w14:textId="077CE44F"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0" w:history="1">
        <w:r w:rsidR="00354EEC" w:rsidRPr="00E70E30">
          <w:rPr>
            <w:rStyle w:val="Hipervnculo"/>
            <w:rFonts w:ascii="Arial" w:hAnsi="Arial"/>
            <w:noProof/>
            <w:sz w:val="22"/>
            <w:szCs w:val="22"/>
            <w:lang w:val="es-ES"/>
          </w:rPr>
          <w:t>LIQUIDACIÓN DEL CONTRATO DE CONCESIÓN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_Toc140089410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114</w:t>
        </w:r>
        <w:r w:rsidR="00354EEC" w:rsidRPr="00E70E30">
          <w:rPr>
            <w:rFonts w:ascii="Arial" w:hAnsi="Arial"/>
            <w:noProof/>
            <w:webHidden/>
            <w:sz w:val="22"/>
            <w:szCs w:val="22"/>
          </w:rPr>
          <w:fldChar w:fldCharType="end"/>
        </w:r>
      </w:hyperlink>
    </w:p>
    <w:p w14:paraId="6F13E659" w14:textId="464A73A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11" w:history="1">
        <w:r w:rsidR="00354EEC" w:rsidRPr="00E70E30">
          <w:rPr>
            <w:rStyle w:val="Hipervnculo"/>
            <w:rFonts w:ascii="Arial" w:hAnsi="Arial" w:cs="Arial"/>
            <w:noProof/>
            <w:sz w:val="22"/>
            <w:szCs w:val="22"/>
            <w:lang w:val="es-PE"/>
          </w:rPr>
          <w:t>CAPÍTULO XVIII: SUSPENSIÓN DE LAS OBLIGACIONES</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_Toc140089411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115</w:t>
        </w:r>
        <w:r w:rsidR="00354EEC" w:rsidRPr="00E70E30">
          <w:rPr>
            <w:rFonts w:ascii="Arial" w:hAnsi="Arial" w:cs="Arial"/>
            <w:noProof/>
            <w:webHidden/>
            <w:sz w:val="22"/>
            <w:szCs w:val="22"/>
          </w:rPr>
          <w:fldChar w:fldCharType="end"/>
        </w:r>
      </w:hyperlink>
    </w:p>
    <w:p w14:paraId="6978DF96" w14:textId="72207C0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2" w:history="1">
        <w:r w:rsidR="00354EEC" w:rsidRPr="00E70E30">
          <w:rPr>
            <w:rStyle w:val="Hipervnculo"/>
            <w:rFonts w:ascii="Arial" w:hAnsi="Arial"/>
            <w:noProof/>
            <w:sz w:val="22"/>
            <w:szCs w:val="22"/>
            <w:lang w:val="es-PE"/>
          </w:rPr>
          <w:t>PROCEDIMIENTO PARA LA DECLARACIÓN DE SUSPENSIÓN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_Toc140089412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116</w:t>
        </w:r>
        <w:r w:rsidR="00354EEC" w:rsidRPr="00E70E30">
          <w:rPr>
            <w:rFonts w:ascii="Arial" w:hAnsi="Arial"/>
            <w:noProof/>
            <w:webHidden/>
            <w:sz w:val="22"/>
            <w:szCs w:val="22"/>
          </w:rPr>
          <w:fldChar w:fldCharType="end"/>
        </w:r>
      </w:hyperlink>
    </w:p>
    <w:p w14:paraId="5D26760D" w14:textId="351B573E"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3" w:history="1">
        <w:r w:rsidR="00354EEC" w:rsidRPr="00E70E30">
          <w:rPr>
            <w:rStyle w:val="Hipervnculo"/>
            <w:rFonts w:ascii="Arial" w:hAnsi="Arial"/>
            <w:noProof/>
            <w:sz w:val="22"/>
            <w:szCs w:val="22"/>
            <w:lang w:val="es-PE"/>
          </w:rPr>
          <w:t>EFECTOS DE LA DECLARACIÓN DE SUSPENSIÓN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_Toc140089413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117</w:t>
        </w:r>
        <w:r w:rsidR="00354EEC" w:rsidRPr="00E70E30">
          <w:rPr>
            <w:rFonts w:ascii="Arial" w:hAnsi="Arial"/>
            <w:noProof/>
            <w:webHidden/>
            <w:sz w:val="22"/>
            <w:szCs w:val="22"/>
          </w:rPr>
          <w:fldChar w:fldCharType="end"/>
        </w:r>
      </w:hyperlink>
    </w:p>
    <w:p w14:paraId="278BB487" w14:textId="0289EE7E"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14" w:history="1">
        <w:r w:rsidR="00354EEC" w:rsidRPr="00E70E30">
          <w:rPr>
            <w:rStyle w:val="Hipervnculo"/>
            <w:rFonts w:ascii="Arial" w:hAnsi="Arial" w:cs="Arial"/>
            <w:noProof/>
            <w:sz w:val="22"/>
            <w:szCs w:val="22"/>
            <w:lang w:val="es-PE"/>
          </w:rPr>
          <w:t>CAPÍTULO XIX: SOLUCIÓN DE CONTROVERSIAS</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_Toc140089414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117</w:t>
        </w:r>
        <w:r w:rsidR="00354EEC" w:rsidRPr="00E70E30">
          <w:rPr>
            <w:rFonts w:ascii="Arial" w:hAnsi="Arial" w:cs="Arial"/>
            <w:noProof/>
            <w:webHidden/>
            <w:sz w:val="22"/>
            <w:szCs w:val="22"/>
          </w:rPr>
          <w:fldChar w:fldCharType="end"/>
        </w:r>
      </w:hyperlink>
    </w:p>
    <w:p w14:paraId="359976C9" w14:textId="0A1FAE6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5" w:history="1">
        <w:r w:rsidR="00354EEC" w:rsidRPr="00E70E30">
          <w:rPr>
            <w:rStyle w:val="Hipervnculo"/>
            <w:rFonts w:ascii="Arial" w:hAnsi="Arial"/>
            <w:noProof/>
            <w:sz w:val="22"/>
            <w:szCs w:val="22"/>
            <w:lang w:val="es-PE"/>
          </w:rPr>
          <w:t>LEY APLICABLE</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118</w:t>
        </w:r>
        <w:r w:rsidR="00354EEC" w:rsidRPr="00E70E30">
          <w:rPr>
            <w:rFonts w:ascii="Arial" w:hAnsi="Arial"/>
            <w:noProof/>
            <w:webHidden/>
            <w:sz w:val="22"/>
            <w:szCs w:val="22"/>
          </w:rPr>
          <w:fldChar w:fldCharType="end"/>
        </w:r>
      </w:hyperlink>
    </w:p>
    <w:p w14:paraId="5B6ECB65" w14:textId="3E0D088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6" w:history="1">
        <w:r w:rsidR="00354EEC" w:rsidRPr="00E70E30">
          <w:rPr>
            <w:rStyle w:val="Hipervnculo"/>
            <w:rFonts w:ascii="Arial" w:hAnsi="Arial"/>
            <w:noProof/>
            <w:sz w:val="22"/>
            <w:szCs w:val="22"/>
          </w:rPr>
          <w:t>ÁMBITO DE APLICACIÓN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_Toc140089416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118</w:t>
        </w:r>
        <w:r w:rsidR="00354EEC" w:rsidRPr="00E70E30">
          <w:rPr>
            <w:rFonts w:ascii="Arial" w:hAnsi="Arial"/>
            <w:noProof/>
            <w:webHidden/>
            <w:sz w:val="22"/>
            <w:szCs w:val="22"/>
          </w:rPr>
          <w:fldChar w:fldCharType="end"/>
        </w:r>
      </w:hyperlink>
    </w:p>
    <w:p w14:paraId="447DBB61" w14:textId="23923769"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7" w:history="1">
        <w:r w:rsidR="00354EEC" w:rsidRPr="00E70E30">
          <w:rPr>
            <w:rStyle w:val="Hipervnculo"/>
            <w:rFonts w:ascii="Arial" w:hAnsi="Arial"/>
            <w:noProof/>
            <w:sz w:val="22"/>
            <w:szCs w:val="22"/>
          </w:rPr>
          <w:t>CRITERIOS DE INTERPRETACIÓN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118</w:t>
        </w:r>
        <w:r w:rsidR="00354EEC" w:rsidRPr="00E70E30">
          <w:rPr>
            <w:rFonts w:ascii="Arial" w:hAnsi="Arial"/>
            <w:noProof/>
            <w:webHidden/>
            <w:sz w:val="22"/>
            <w:szCs w:val="22"/>
          </w:rPr>
          <w:fldChar w:fldCharType="end"/>
        </w:r>
      </w:hyperlink>
    </w:p>
    <w:p w14:paraId="268A6257" w14:textId="1A493A2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8" w:history="1">
        <w:r w:rsidR="00354EEC" w:rsidRPr="00E70E30">
          <w:rPr>
            <w:rStyle w:val="Hipervnculo"/>
            <w:rFonts w:ascii="Arial" w:hAnsi="Arial"/>
            <w:noProof/>
            <w:sz w:val="22"/>
            <w:szCs w:val="22"/>
          </w:rPr>
          <w:t>RENUNCIA A RECLAMACIONES DIPLOMÁTICAS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_Toc140089418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119</w:t>
        </w:r>
        <w:r w:rsidR="00354EEC" w:rsidRPr="00E70E30">
          <w:rPr>
            <w:rFonts w:ascii="Arial" w:hAnsi="Arial"/>
            <w:noProof/>
            <w:webHidden/>
            <w:sz w:val="22"/>
            <w:szCs w:val="22"/>
          </w:rPr>
          <w:fldChar w:fldCharType="end"/>
        </w:r>
      </w:hyperlink>
    </w:p>
    <w:p w14:paraId="25EB5EE0" w14:textId="49D22FA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19" w:history="1">
        <w:r w:rsidR="00354EEC" w:rsidRPr="00E70E30">
          <w:rPr>
            <w:rStyle w:val="Hipervnculo"/>
            <w:rFonts w:ascii="Arial" w:hAnsi="Arial"/>
            <w:noProof/>
            <w:sz w:val="22"/>
            <w:szCs w:val="22"/>
          </w:rPr>
          <w:t>TRATO DIRECTO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_Toc140089419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119</w:t>
        </w:r>
        <w:r w:rsidR="00354EEC" w:rsidRPr="00E70E30">
          <w:rPr>
            <w:rFonts w:ascii="Arial" w:hAnsi="Arial"/>
            <w:noProof/>
            <w:webHidden/>
            <w:sz w:val="22"/>
            <w:szCs w:val="22"/>
          </w:rPr>
          <w:fldChar w:fldCharType="end"/>
        </w:r>
      </w:hyperlink>
    </w:p>
    <w:p w14:paraId="51A384DA" w14:textId="6A80E775"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20" w:history="1">
        <w:r w:rsidR="00354EEC" w:rsidRPr="00E70E30">
          <w:rPr>
            <w:rStyle w:val="Hipervnculo"/>
            <w:rFonts w:ascii="Arial" w:hAnsi="Arial"/>
            <w:noProof/>
            <w:sz w:val="22"/>
            <w:szCs w:val="22"/>
          </w:rPr>
          <w:t>ARBITRAJE</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_Toc140089420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121</w:t>
        </w:r>
        <w:r w:rsidR="00354EEC" w:rsidRPr="00E70E30">
          <w:rPr>
            <w:rFonts w:ascii="Arial" w:hAnsi="Arial"/>
            <w:noProof/>
            <w:webHidden/>
            <w:sz w:val="22"/>
            <w:szCs w:val="22"/>
          </w:rPr>
          <w:fldChar w:fldCharType="end"/>
        </w:r>
      </w:hyperlink>
    </w:p>
    <w:p w14:paraId="092C71FF" w14:textId="1C02688A"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21" w:history="1">
        <w:r w:rsidR="00354EEC" w:rsidRPr="00E70E30">
          <w:rPr>
            <w:rStyle w:val="Hipervnculo"/>
            <w:rFonts w:ascii="Arial" w:hAnsi="Arial"/>
            <w:noProof/>
            <w:sz w:val="22"/>
            <w:szCs w:val="22"/>
          </w:rPr>
          <w:t>REGLAS PROCEDIMENTALES COMUNES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_Toc140089421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123</w:t>
        </w:r>
        <w:r w:rsidR="00354EEC" w:rsidRPr="00E70E30">
          <w:rPr>
            <w:rFonts w:ascii="Arial" w:hAnsi="Arial"/>
            <w:noProof/>
            <w:webHidden/>
            <w:sz w:val="22"/>
            <w:szCs w:val="22"/>
          </w:rPr>
          <w:fldChar w:fldCharType="end"/>
        </w:r>
      </w:hyperlink>
    </w:p>
    <w:p w14:paraId="091DEC1A" w14:textId="47111A7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22" w:history="1">
        <w:r w:rsidR="00354EEC" w:rsidRPr="00E70E30">
          <w:rPr>
            <w:rStyle w:val="Hipervnculo"/>
            <w:rFonts w:ascii="Arial" w:hAnsi="Arial" w:cs="Arial"/>
            <w:noProof/>
            <w:sz w:val="22"/>
            <w:szCs w:val="22"/>
          </w:rPr>
          <w:t>CAPÍTULO XX: MODIFICACIONES AL CONTRATO</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_Toc140089422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125</w:t>
        </w:r>
        <w:r w:rsidR="00354EEC" w:rsidRPr="00E70E30">
          <w:rPr>
            <w:rFonts w:ascii="Arial" w:hAnsi="Arial" w:cs="Arial"/>
            <w:noProof/>
            <w:webHidden/>
            <w:sz w:val="22"/>
            <w:szCs w:val="22"/>
          </w:rPr>
          <w:fldChar w:fldCharType="end"/>
        </w:r>
      </w:hyperlink>
    </w:p>
    <w:p w14:paraId="5BF75837" w14:textId="3C5166C8"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23" w:history="1">
        <w:r w:rsidR="00354EEC" w:rsidRPr="00E70E30">
          <w:rPr>
            <w:rStyle w:val="Hipervnculo"/>
            <w:rFonts w:ascii="Arial" w:hAnsi="Arial" w:cs="Arial"/>
            <w:noProof/>
            <w:sz w:val="22"/>
            <w:szCs w:val="22"/>
          </w:rPr>
          <w:t>CAPÍTULO XXI: DOMICILIOS</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_Toc140089423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125</w:t>
        </w:r>
        <w:r w:rsidR="00354EEC" w:rsidRPr="00E70E30">
          <w:rPr>
            <w:rFonts w:ascii="Arial" w:hAnsi="Arial" w:cs="Arial"/>
            <w:noProof/>
            <w:webHidden/>
            <w:sz w:val="22"/>
            <w:szCs w:val="22"/>
          </w:rPr>
          <w:fldChar w:fldCharType="end"/>
        </w:r>
      </w:hyperlink>
    </w:p>
    <w:p w14:paraId="3B002DB7" w14:textId="621FC4A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24" w:history="1">
        <w:r w:rsidR="00354EEC" w:rsidRPr="00E70E30">
          <w:rPr>
            <w:rStyle w:val="Hipervnculo"/>
            <w:rFonts w:ascii="Arial" w:hAnsi="Arial"/>
            <w:noProof/>
            <w:sz w:val="22"/>
            <w:szCs w:val="22"/>
          </w:rPr>
          <w:t>FIJACIÓN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_Toc140089424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125</w:t>
        </w:r>
        <w:r w:rsidR="00354EEC" w:rsidRPr="00E70E30">
          <w:rPr>
            <w:rFonts w:ascii="Arial" w:hAnsi="Arial"/>
            <w:noProof/>
            <w:webHidden/>
            <w:sz w:val="22"/>
            <w:szCs w:val="22"/>
          </w:rPr>
          <w:fldChar w:fldCharType="end"/>
        </w:r>
      </w:hyperlink>
    </w:p>
    <w:p w14:paraId="10E6A95D" w14:textId="6E97850C"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25" w:history="1">
        <w:r w:rsidR="00354EEC" w:rsidRPr="00E70E30">
          <w:rPr>
            <w:rStyle w:val="Hipervnculo"/>
            <w:rFonts w:ascii="Arial" w:hAnsi="Arial"/>
            <w:noProof/>
            <w:sz w:val="22"/>
            <w:szCs w:val="22"/>
            <w:lang w:val="es-PE"/>
          </w:rPr>
          <w:t>CAMBIOS DE DOMICILIO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_Toc140089425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126</w:t>
        </w:r>
        <w:r w:rsidR="00354EEC" w:rsidRPr="00E70E30">
          <w:rPr>
            <w:rFonts w:ascii="Arial" w:hAnsi="Arial"/>
            <w:noProof/>
            <w:webHidden/>
            <w:sz w:val="22"/>
            <w:szCs w:val="22"/>
          </w:rPr>
          <w:fldChar w:fldCharType="end"/>
        </w:r>
      </w:hyperlink>
    </w:p>
    <w:p w14:paraId="7BFC0D21" w14:textId="0B2D1A84"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26" w:history="1">
        <w:r w:rsidR="00354EEC" w:rsidRPr="00E70E30">
          <w:rPr>
            <w:rStyle w:val="Hipervnculo"/>
            <w:rFonts w:ascii="Arial" w:hAnsi="Arial" w:cs="Arial"/>
            <w:noProof/>
            <w:sz w:val="22"/>
            <w:szCs w:val="22"/>
            <w:lang w:val="pt-BR"/>
          </w:rPr>
          <w:t>ANEXO 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_Toc140089426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126</w:t>
        </w:r>
        <w:r w:rsidR="00354EEC" w:rsidRPr="00E70E30">
          <w:rPr>
            <w:rFonts w:ascii="Arial" w:hAnsi="Arial" w:cs="Arial"/>
            <w:noProof/>
            <w:webHidden/>
            <w:sz w:val="22"/>
            <w:szCs w:val="22"/>
          </w:rPr>
          <w:fldChar w:fldCharType="end"/>
        </w:r>
      </w:hyperlink>
    </w:p>
    <w:p w14:paraId="0F909B9C" w14:textId="424B752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27" w:history="1">
        <w:r w:rsidR="00354EEC" w:rsidRPr="00C06C7F">
          <w:rPr>
            <w:rStyle w:val="Hipervnculo"/>
            <w:rFonts w:ascii="Arial" w:hAnsi="Arial"/>
            <w:noProof/>
            <w:sz w:val="22"/>
            <w:szCs w:val="22"/>
            <w:lang w:val="es-PE"/>
          </w:rPr>
          <w:t>ÍNDICE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_Toc140089427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127</w:t>
        </w:r>
        <w:r w:rsidR="00354EEC" w:rsidRPr="00C06C7F">
          <w:rPr>
            <w:rFonts w:ascii="Arial" w:hAnsi="Arial"/>
            <w:noProof/>
            <w:webHidden/>
            <w:sz w:val="22"/>
            <w:szCs w:val="22"/>
          </w:rPr>
          <w:fldChar w:fldCharType="end"/>
        </w:r>
      </w:hyperlink>
    </w:p>
    <w:p w14:paraId="39AE6373" w14:textId="646E1A1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28" w:history="1">
        <w:r w:rsidR="00354EEC" w:rsidRPr="00C06C7F">
          <w:rPr>
            <w:rStyle w:val="Hipervnculo"/>
            <w:rFonts w:ascii="Arial" w:hAnsi="Arial"/>
            <w:noProof/>
            <w:sz w:val="22"/>
            <w:szCs w:val="22"/>
            <w:lang w:val="es-PE"/>
          </w:rPr>
          <w:t>SECCIÓN 1</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_Toc140089428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130</w:t>
        </w:r>
        <w:r w:rsidR="00354EEC" w:rsidRPr="00C06C7F">
          <w:rPr>
            <w:rFonts w:ascii="Arial" w:hAnsi="Arial"/>
            <w:noProof/>
            <w:webHidden/>
            <w:sz w:val="22"/>
            <w:szCs w:val="22"/>
          </w:rPr>
          <w:fldChar w:fldCharType="end"/>
        </w:r>
      </w:hyperlink>
    </w:p>
    <w:p w14:paraId="7229F9F5" w14:textId="144BD43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29" w:history="1">
        <w:r w:rsidR="00354EEC" w:rsidRPr="00C06C7F">
          <w:rPr>
            <w:rStyle w:val="Hipervnculo"/>
            <w:rFonts w:ascii="Arial" w:hAnsi="Arial"/>
            <w:noProof/>
            <w:sz w:val="22"/>
            <w:szCs w:val="22"/>
            <w:lang w:val="es-PE"/>
          </w:rPr>
          <w:t>DE LA CONSERVACIÓN DE LA VÍA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_Toc140089429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130</w:t>
        </w:r>
        <w:r w:rsidR="00354EEC" w:rsidRPr="00C06C7F">
          <w:rPr>
            <w:rFonts w:ascii="Arial" w:hAnsi="Arial"/>
            <w:noProof/>
            <w:webHidden/>
            <w:sz w:val="22"/>
            <w:szCs w:val="22"/>
          </w:rPr>
          <w:fldChar w:fldCharType="end"/>
        </w:r>
      </w:hyperlink>
    </w:p>
    <w:p w14:paraId="4F671B46" w14:textId="2345A9EC"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0" w:history="1">
        <w:r w:rsidR="00354EEC" w:rsidRPr="00C06C7F">
          <w:rPr>
            <w:rStyle w:val="Hipervnculo"/>
            <w:rFonts w:ascii="Arial" w:hAnsi="Arial"/>
            <w:noProof/>
            <w:sz w:val="22"/>
            <w:szCs w:val="22"/>
            <w:lang w:val="es-PE"/>
          </w:rPr>
          <w:t>SECCIÓN 2</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138</w:t>
        </w:r>
        <w:r w:rsidR="00354EEC" w:rsidRPr="00C06C7F">
          <w:rPr>
            <w:rFonts w:ascii="Arial" w:hAnsi="Arial"/>
            <w:noProof/>
            <w:webHidden/>
            <w:sz w:val="22"/>
            <w:szCs w:val="22"/>
          </w:rPr>
          <w:fldChar w:fldCharType="end"/>
        </w:r>
      </w:hyperlink>
    </w:p>
    <w:p w14:paraId="418E1C3B" w14:textId="55E0B7C5"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1" w:history="1">
        <w:r w:rsidR="00354EEC" w:rsidRPr="00C06C7F">
          <w:rPr>
            <w:rStyle w:val="Hipervnculo"/>
            <w:rFonts w:ascii="Arial" w:hAnsi="Arial"/>
            <w:noProof/>
            <w:sz w:val="22"/>
            <w:szCs w:val="22"/>
            <w:lang w:val="es-PE"/>
          </w:rPr>
          <w:t>DE LA CONSERVACIÓN DE LAS INVERSIONES ADICIONALES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138</w:t>
        </w:r>
        <w:r w:rsidR="00354EEC" w:rsidRPr="00C06C7F">
          <w:rPr>
            <w:rFonts w:ascii="Arial" w:hAnsi="Arial"/>
            <w:noProof/>
            <w:webHidden/>
            <w:sz w:val="22"/>
            <w:szCs w:val="22"/>
          </w:rPr>
          <w:fldChar w:fldCharType="end"/>
        </w:r>
      </w:hyperlink>
    </w:p>
    <w:p w14:paraId="03DDC812" w14:textId="21B552F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2" w:history="1">
        <w:r w:rsidR="00354EEC" w:rsidRPr="00C06C7F">
          <w:rPr>
            <w:rStyle w:val="Hipervnculo"/>
            <w:rFonts w:ascii="Arial" w:hAnsi="Arial"/>
            <w:noProof/>
            <w:sz w:val="22"/>
            <w:szCs w:val="22"/>
          </w:rPr>
          <w:t>SECCIÓN 3</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139</w:t>
        </w:r>
        <w:r w:rsidR="00354EEC" w:rsidRPr="00C06C7F">
          <w:rPr>
            <w:rFonts w:ascii="Arial" w:hAnsi="Arial"/>
            <w:noProof/>
            <w:webHidden/>
            <w:sz w:val="22"/>
            <w:szCs w:val="22"/>
          </w:rPr>
          <w:fldChar w:fldCharType="end"/>
        </w:r>
      </w:hyperlink>
    </w:p>
    <w:p w14:paraId="6E511CB3" w14:textId="064069C6"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3" w:history="1">
        <w:r w:rsidR="00354EEC" w:rsidRPr="00C06C7F">
          <w:rPr>
            <w:rStyle w:val="Hipervnculo"/>
            <w:rFonts w:ascii="Arial" w:hAnsi="Arial"/>
            <w:noProof/>
            <w:sz w:val="22"/>
            <w:szCs w:val="22"/>
            <w:lang w:val="es-PE"/>
          </w:rPr>
          <w:t>DE LA EXPLOTACIÓN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139</w:t>
        </w:r>
        <w:r w:rsidR="00354EEC" w:rsidRPr="00C06C7F">
          <w:rPr>
            <w:rFonts w:ascii="Arial" w:hAnsi="Arial"/>
            <w:noProof/>
            <w:webHidden/>
            <w:sz w:val="22"/>
            <w:szCs w:val="22"/>
          </w:rPr>
          <w:fldChar w:fldCharType="end"/>
        </w:r>
      </w:hyperlink>
    </w:p>
    <w:p w14:paraId="38C6E7C7" w14:textId="10F1989C"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4" w:history="1">
        <w:r w:rsidR="00354EEC" w:rsidRPr="00C06C7F">
          <w:rPr>
            <w:rStyle w:val="Hipervnculo"/>
            <w:rFonts w:ascii="Arial" w:hAnsi="Arial"/>
            <w:noProof/>
            <w:sz w:val="22"/>
            <w:szCs w:val="22"/>
          </w:rPr>
          <w:t>SECCIÓN 4</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143</w:t>
        </w:r>
        <w:r w:rsidR="00354EEC" w:rsidRPr="00C06C7F">
          <w:rPr>
            <w:rFonts w:ascii="Arial" w:hAnsi="Arial"/>
            <w:noProof/>
            <w:webHidden/>
            <w:sz w:val="22"/>
            <w:szCs w:val="22"/>
          </w:rPr>
          <w:fldChar w:fldCharType="end"/>
        </w:r>
      </w:hyperlink>
    </w:p>
    <w:p w14:paraId="41B694BC" w14:textId="68A5F61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5" w:history="1">
        <w:r w:rsidR="00354EEC" w:rsidRPr="00C06C7F">
          <w:rPr>
            <w:rStyle w:val="Hipervnculo"/>
            <w:rFonts w:ascii="Arial" w:hAnsi="Arial"/>
            <w:noProof/>
            <w:sz w:val="22"/>
            <w:szCs w:val="22"/>
            <w:lang w:val="es-PE"/>
          </w:rPr>
          <w:t>OTRAS PROVISIONES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143</w:t>
        </w:r>
        <w:r w:rsidR="00354EEC" w:rsidRPr="00C06C7F">
          <w:rPr>
            <w:rFonts w:ascii="Arial" w:hAnsi="Arial"/>
            <w:noProof/>
            <w:webHidden/>
            <w:sz w:val="22"/>
            <w:szCs w:val="22"/>
          </w:rPr>
          <w:fldChar w:fldCharType="end"/>
        </w:r>
      </w:hyperlink>
    </w:p>
    <w:p w14:paraId="1474C92A" w14:textId="19BAA93B"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6" w:history="1">
        <w:r w:rsidR="00354EEC" w:rsidRPr="00C06C7F">
          <w:rPr>
            <w:rStyle w:val="Hipervnculo"/>
            <w:rFonts w:ascii="Arial" w:hAnsi="Arial"/>
            <w:noProof/>
            <w:sz w:val="22"/>
            <w:szCs w:val="22"/>
            <w:lang w:val="es-PE"/>
          </w:rPr>
          <w:t>Apéndice 1</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145</w:t>
        </w:r>
        <w:r w:rsidR="00354EEC" w:rsidRPr="00C06C7F">
          <w:rPr>
            <w:rFonts w:ascii="Arial" w:hAnsi="Arial"/>
            <w:noProof/>
            <w:webHidden/>
            <w:sz w:val="22"/>
            <w:szCs w:val="22"/>
          </w:rPr>
          <w:fldChar w:fldCharType="end"/>
        </w:r>
      </w:hyperlink>
    </w:p>
    <w:p w14:paraId="5F561411" w14:textId="3F4DFE3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7" w:history="1">
        <w:r w:rsidR="00354EEC" w:rsidRPr="00C06C7F">
          <w:rPr>
            <w:rStyle w:val="Hipervnculo"/>
            <w:rFonts w:ascii="Arial" w:hAnsi="Arial"/>
            <w:noProof/>
            <w:sz w:val="22"/>
            <w:szCs w:val="22"/>
            <w:lang w:val="es-PE"/>
          </w:rPr>
          <w:t>Sub Tramos  de la Carretera Longitudinal de la Sierra Tramo 4: Huancayo-Izcuchaca-Mayocc-Ayacucho/Ayacucho-Andahuaylas-Pte Sahuinto/Dv. Pisco – Huaytará - Ayacucho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145</w:t>
        </w:r>
        <w:r w:rsidR="00354EEC" w:rsidRPr="00C06C7F">
          <w:rPr>
            <w:rFonts w:ascii="Arial" w:hAnsi="Arial"/>
            <w:noProof/>
            <w:webHidden/>
            <w:sz w:val="22"/>
            <w:szCs w:val="22"/>
          </w:rPr>
          <w:fldChar w:fldCharType="end"/>
        </w:r>
      </w:hyperlink>
    </w:p>
    <w:p w14:paraId="044CB8C8" w14:textId="0AE64DEB"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8" w:history="1">
        <w:r w:rsidR="00354EEC" w:rsidRPr="00C06C7F">
          <w:rPr>
            <w:rStyle w:val="Hipervnculo"/>
            <w:rFonts w:ascii="Arial" w:hAnsi="Arial"/>
            <w:noProof/>
            <w:sz w:val="22"/>
            <w:szCs w:val="22"/>
          </w:rPr>
          <w:t>Apéndice 2</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147</w:t>
        </w:r>
        <w:r w:rsidR="00354EEC" w:rsidRPr="00C06C7F">
          <w:rPr>
            <w:rFonts w:ascii="Arial" w:hAnsi="Arial"/>
            <w:noProof/>
            <w:webHidden/>
            <w:sz w:val="22"/>
            <w:szCs w:val="22"/>
          </w:rPr>
          <w:fldChar w:fldCharType="end"/>
        </w:r>
      </w:hyperlink>
    </w:p>
    <w:p w14:paraId="0E5973A7" w14:textId="23F3AB5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39" w:history="1">
        <w:r w:rsidR="00354EEC" w:rsidRPr="00C06C7F">
          <w:rPr>
            <w:rStyle w:val="Hipervnculo"/>
            <w:rFonts w:ascii="Arial" w:hAnsi="Arial"/>
            <w:noProof/>
            <w:sz w:val="22"/>
            <w:szCs w:val="22"/>
            <w:lang w:val="es-PE"/>
          </w:rPr>
          <w:t>Parámetros de Condición y Niveles de Servicio Individuales exigibles para el control de la gestión del Concesionario de la Carretera Longitudinal de la Sierra Tramo 4</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_Toc140089439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147</w:t>
        </w:r>
        <w:r w:rsidR="00354EEC" w:rsidRPr="00C06C7F">
          <w:rPr>
            <w:rFonts w:ascii="Arial" w:hAnsi="Arial"/>
            <w:noProof/>
            <w:webHidden/>
            <w:sz w:val="22"/>
            <w:szCs w:val="22"/>
          </w:rPr>
          <w:fldChar w:fldCharType="end"/>
        </w:r>
      </w:hyperlink>
    </w:p>
    <w:p w14:paraId="18B67A7A" w14:textId="2023EC5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0" w:history="1">
        <w:r w:rsidR="00354EEC" w:rsidRPr="00C06C7F">
          <w:rPr>
            <w:rStyle w:val="Hipervnculo"/>
            <w:rFonts w:ascii="Arial" w:hAnsi="Arial"/>
            <w:noProof/>
            <w:sz w:val="22"/>
            <w:szCs w:val="22"/>
          </w:rPr>
          <w:t>Apéndice 3</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184</w:t>
        </w:r>
        <w:r w:rsidR="00354EEC" w:rsidRPr="00C06C7F">
          <w:rPr>
            <w:rFonts w:ascii="Arial" w:hAnsi="Arial"/>
            <w:noProof/>
            <w:webHidden/>
            <w:sz w:val="22"/>
            <w:szCs w:val="22"/>
          </w:rPr>
          <w:fldChar w:fldCharType="end"/>
        </w:r>
      </w:hyperlink>
    </w:p>
    <w:p w14:paraId="2B8565A0" w14:textId="4B30403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1" w:history="1">
        <w:r w:rsidR="00354EEC" w:rsidRPr="00C06C7F">
          <w:rPr>
            <w:rStyle w:val="Hipervnculo"/>
            <w:rFonts w:ascii="Arial" w:hAnsi="Arial"/>
            <w:noProof/>
            <w:sz w:val="22"/>
            <w:szCs w:val="22"/>
            <w:lang w:val="es-PE"/>
          </w:rPr>
          <w:t>Formatos de Comunicación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184</w:t>
        </w:r>
        <w:r w:rsidR="00354EEC" w:rsidRPr="00C06C7F">
          <w:rPr>
            <w:rFonts w:ascii="Arial" w:hAnsi="Arial"/>
            <w:noProof/>
            <w:webHidden/>
            <w:sz w:val="22"/>
            <w:szCs w:val="22"/>
          </w:rPr>
          <w:fldChar w:fldCharType="end"/>
        </w:r>
      </w:hyperlink>
    </w:p>
    <w:p w14:paraId="379873A8" w14:textId="64D028E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2" w:history="1">
        <w:r w:rsidR="00354EEC" w:rsidRPr="00C06C7F">
          <w:rPr>
            <w:rStyle w:val="Hipervnculo"/>
            <w:rFonts w:ascii="Arial" w:hAnsi="Arial"/>
            <w:noProof/>
            <w:sz w:val="22"/>
            <w:szCs w:val="22"/>
            <w:lang w:val="es-PE"/>
          </w:rPr>
          <w:t>Apéndice 4</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190</w:t>
        </w:r>
        <w:r w:rsidR="00354EEC" w:rsidRPr="00C06C7F">
          <w:rPr>
            <w:rFonts w:ascii="Arial" w:hAnsi="Arial"/>
            <w:noProof/>
            <w:webHidden/>
            <w:sz w:val="22"/>
            <w:szCs w:val="22"/>
          </w:rPr>
          <w:fldChar w:fldCharType="end"/>
        </w:r>
      </w:hyperlink>
    </w:p>
    <w:p w14:paraId="6E99C746" w14:textId="393F4B2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3" w:history="1">
        <w:r w:rsidR="00354EEC" w:rsidRPr="00C06C7F">
          <w:rPr>
            <w:rStyle w:val="Hipervnculo"/>
            <w:rFonts w:ascii="Arial" w:hAnsi="Arial"/>
            <w:noProof/>
            <w:sz w:val="22"/>
            <w:szCs w:val="22"/>
            <w:lang w:val="es-PE"/>
          </w:rPr>
          <w:t>Planillas para el Cálculo del Nivel de Servicio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190</w:t>
        </w:r>
        <w:r w:rsidR="00354EEC" w:rsidRPr="00C06C7F">
          <w:rPr>
            <w:rFonts w:ascii="Arial" w:hAnsi="Arial"/>
            <w:noProof/>
            <w:webHidden/>
            <w:sz w:val="22"/>
            <w:szCs w:val="22"/>
          </w:rPr>
          <w:fldChar w:fldCharType="end"/>
        </w:r>
      </w:hyperlink>
    </w:p>
    <w:p w14:paraId="1C7EC111" w14:textId="48EA287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4" w:history="1">
        <w:r w:rsidR="00354EEC" w:rsidRPr="00C06C7F">
          <w:rPr>
            <w:rStyle w:val="Hipervnculo"/>
            <w:rFonts w:ascii="Arial" w:hAnsi="Arial"/>
            <w:noProof/>
            <w:sz w:val="22"/>
            <w:szCs w:val="22"/>
            <w:lang w:val="es-PE"/>
          </w:rPr>
          <w:t>Apéndice 5</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197</w:t>
        </w:r>
        <w:r w:rsidR="00354EEC" w:rsidRPr="00C06C7F">
          <w:rPr>
            <w:rFonts w:ascii="Arial" w:hAnsi="Arial"/>
            <w:noProof/>
            <w:webHidden/>
            <w:sz w:val="22"/>
            <w:szCs w:val="22"/>
          </w:rPr>
          <w:fldChar w:fldCharType="end"/>
        </w:r>
      </w:hyperlink>
    </w:p>
    <w:p w14:paraId="45C16DBC" w14:textId="0649783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5" w:history="1">
        <w:r w:rsidR="00354EEC" w:rsidRPr="00C06C7F">
          <w:rPr>
            <w:rStyle w:val="Hipervnculo"/>
            <w:rFonts w:ascii="Arial" w:hAnsi="Arial"/>
            <w:noProof/>
            <w:sz w:val="22"/>
            <w:szCs w:val="22"/>
            <w:lang w:val="es-PE"/>
          </w:rPr>
          <w:t>Planilla de Cálculo de Nivel de Servicio Global (Sub Tramos Individuales y toda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197</w:t>
        </w:r>
        <w:r w:rsidR="00354EEC" w:rsidRPr="00C06C7F">
          <w:rPr>
            <w:rFonts w:ascii="Arial" w:hAnsi="Arial"/>
            <w:noProof/>
            <w:webHidden/>
            <w:sz w:val="22"/>
            <w:szCs w:val="22"/>
          </w:rPr>
          <w:fldChar w:fldCharType="end"/>
        </w:r>
      </w:hyperlink>
    </w:p>
    <w:p w14:paraId="289BA6DB" w14:textId="2ADC72A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6" w:history="1">
        <w:r w:rsidR="00354EEC" w:rsidRPr="00C06C7F">
          <w:rPr>
            <w:rStyle w:val="Hipervnculo"/>
            <w:rFonts w:ascii="Arial" w:hAnsi="Arial"/>
            <w:noProof/>
            <w:sz w:val="22"/>
            <w:szCs w:val="22"/>
          </w:rPr>
          <w:t>Apéndice 6</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199</w:t>
        </w:r>
        <w:r w:rsidR="00354EEC" w:rsidRPr="00C06C7F">
          <w:rPr>
            <w:rFonts w:ascii="Arial" w:hAnsi="Arial"/>
            <w:noProof/>
            <w:webHidden/>
            <w:sz w:val="22"/>
            <w:szCs w:val="22"/>
          </w:rPr>
          <w:fldChar w:fldCharType="end"/>
        </w:r>
      </w:hyperlink>
    </w:p>
    <w:p w14:paraId="765CE610" w14:textId="79F802F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7" w:history="1">
        <w:r w:rsidR="00354EEC" w:rsidRPr="00C06C7F">
          <w:rPr>
            <w:rStyle w:val="Hipervnculo"/>
            <w:rFonts w:ascii="Arial" w:hAnsi="Arial"/>
            <w:noProof/>
            <w:sz w:val="22"/>
            <w:szCs w:val="22"/>
            <w:lang w:val="es-PE"/>
          </w:rPr>
          <w:t>Niveles de Servicio globales requeridos (por Sub Tramos individuales y toda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199</w:t>
        </w:r>
        <w:r w:rsidR="00354EEC" w:rsidRPr="00C06C7F">
          <w:rPr>
            <w:rFonts w:ascii="Arial" w:hAnsi="Arial"/>
            <w:noProof/>
            <w:webHidden/>
            <w:sz w:val="22"/>
            <w:szCs w:val="22"/>
          </w:rPr>
          <w:fldChar w:fldCharType="end"/>
        </w:r>
      </w:hyperlink>
    </w:p>
    <w:p w14:paraId="64F2F117" w14:textId="676B73A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8" w:history="1">
        <w:r w:rsidR="00354EEC" w:rsidRPr="00C06C7F">
          <w:rPr>
            <w:rStyle w:val="Hipervnculo"/>
            <w:rFonts w:ascii="Arial" w:hAnsi="Arial"/>
            <w:noProof/>
            <w:sz w:val="22"/>
            <w:szCs w:val="22"/>
          </w:rPr>
          <w:t>Apéndice 7</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200</w:t>
        </w:r>
        <w:r w:rsidR="00354EEC" w:rsidRPr="00C06C7F">
          <w:rPr>
            <w:rFonts w:ascii="Arial" w:hAnsi="Arial"/>
            <w:noProof/>
            <w:webHidden/>
            <w:sz w:val="22"/>
            <w:szCs w:val="22"/>
          </w:rPr>
          <w:fldChar w:fldCharType="end"/>
        </w:r>
      </w:hyperlink>
    </w:p>
    <w:p w14:paraId="5717F42B" w14:textId="0FF932B0"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49" w:history="1">
        <w:r w:rsidR="00354EEC" w:rsidRPr="00C06C7F">
          <w:rPr>
            <w:rStyle w:val="Hipervnculo"/>
            <w:rFonts w:ascii="Arial" w:hAnsi="Arial"/>
            <w:noProof/>
            <w:sz w:val="22"/>
            <w:szCs w:val="22"/>
            <w:lang w:val="es-PE"/>
          </w:rPr>
          <w:t>Manual para Relevamiento de Niveles de Servicio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_Toc140089449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200</w:t>
        </w:r>
        <w:r w:rsidR="00354EEC" w:rsidRPr="00C06C7F">
          <w:rPr>
            <w:rFonts w:ascii="Arial" w:hAnsi="Arial"/>
            <w:noProof/>
            <w:webHidden/>
            <w:sz w:val="22"/>
            <w:szCs w:val="22"/>
          </w:rPr>
          <w:fldChar w:fldCharType="end"/>
        </w:r>
      </w:hyperlink>
    </w:p>
    <w:p w14:paraId="4CFEF647" w14:textId="185C758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0" w:history="1">
        <w:r w:rsidR="00354EEC" w:rsidRPr="00C06C7F">
          <w:rPr>
            <w:rStyle w:val="Hipervnculo"/>
            <w:rFonts w:ascii="Arial" w:hAnsi="Arial"/>
            <w:noProof/>
            <w:sz w:val="22"/>
            <w:szCs w:val="22"/>
            <w:lang w:val="es-PE"/>
          </w:rPr>
          <w:t>Apéndice 8</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217</w:t>
        </w:r>
        <w:r w:rsidR="00354EEC" w:rsidRPr="00C06C7F">
          <w:rPr>
            <w:rFonts w:ascii="Arial" w:hAnsi="Arial"/>
            <w:noProof/>
            <w:webHidden/>
            <w:sz w:val="22"/>
            <w:szCs w:val="22"/>
          </w:rPr>
          <w:fldChar w:fldCharType="end"/>
        </w:r>
      </w:hyperlink>
    </w:p>
    <w:p w14:paraId="6C3AE7C5" w14:textId="2D9FBAA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1" w:history="1">
        <w:r w:rsidR="00354EEC" w:rsidRPr="00C06C7F">
          <w:rPr>
            <w:rStyle w:val="Hipervnculo"/>
            <w:rFonts w:ascii="Arial" w:hAnsi="Arial"/>
            <w:noProof/>
            <w:sz w:val="22"/>
            <w:szCs w:val="22"/>
            <w:lang w:val="es-PE"/>
          </w:rPr>
          <w:t>Términos de Referencia para la elaboración del Diagnostico Técnico Legal, Plan de Saneamiento Físico Legal y elaboración de Expedientes Individuales de Predios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217</w:t>
        </w:r>
        <w:r w:rsidR="00354EEC" w:rsidRPr="00C06C7F">
          <w:rPr>
            <w:rFonts w:ascii="Arial" w:hAnsi="Arial"/>
            <w:noProof/>
            <w:webHidden/>
            <w:sz w:val="22"/>
            <w:szCs w:val="22"/>
          </w:rPr>
          <w:fldChar w:fldCharType="end"/>
        </w:r>
      </w:hyperlink>
    </w:p>
    <w:p w14:paraId="2ADA5293" w14:textId="005E139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2" w:history="1">
        <w:r w:rsidR="00354EEC" w:rsidRPr="00C06C7F">
          <w:rPr>
            <w:rStyle w:val="Hipervnculo"/>
            <w:rFonts w:ascii="Arial" w:hAnsi="Arial"/>
            <w:noProof/>
            <w:sz w:val="22"/>
            <w:szCs w:val="22"/>
          </w:rPr>
          <w:t>Apéndice 9</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235</w:t>
        </w:r>
        <w:r w:rsidR="00354EEC" w:rsidRPr="00C06C7F">
          <w:rPr>
            <w:rFonts w:ascii="Arial" w:hAnsi="Arial"/>
            <w:noProof/>
            <w:webHidden/>
            <w:sz w:val="22"/>
            <w:szCs w:val="22"/>
          </w:rPr>
          <w:fldChar w:fldCharType="end"/>
        </w:r>
      </w:hyperlink>
    </w:p>
    <w:p w14:paraId="149E9B5C" w14:textId="4EA7C79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3" w:history="1">
        <w:r w:rsidR="00354EEC" w:rsidRPr="00C06C7F">
          <w:rPr>
            <w:rStyle w:val="Hipervnculo"/>
            <w:rFonts w:ascii="Arial" w:hAnsi="Arial"/>
            <w:noProof/>
            <w:sz w:val="22"/>
            <w:szCs w:val="22"/>
            <w:lang w:val="es-PE"/>
          </w:rPr>
          <w:t>Información técnica para el suministro y la instalación de ductos y cámaras</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235</w:t>
        </w:r>
        <w:r w:rsidR="00354EEC" w:rsidRPr="00C06C7F">
          <w:rPr>
            <w:rFonts w:ascii="Arial" w:hAnsi="Arial"/>
            <w:noProof/>
            <w:webHidden/>
            <w:sz w:val="22"/>
            <w:szCs w:val="22"/>
          </w:rPr>
          <w:fldChar w:fldCharType="end"/>
        </w:r>
      </w:hyperlink>
    </w:p>
    <w:p w14:paraId="23BAD69D" w14:textId="304348A7"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4" w:history="1">
        <w:r w:rsidR="00354EEC" w:rsidRPr="00C06C7F">
          <w:rPr>
            <w:rStyle w:val="Hipervnculo"/>
            <w:rFonts w:ascii="Arial" w:hAnsi="Arial"/>
            <w:noProof/>
            <w:sz w:val="22"/>
            <w:szCs w:val="22"/>
            <w:lang w:val="es-PE"/>
          </w:rPr>
          <w:t>Apéndice 10</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237</w:t>
        </w:r>
        <w:r w:rsidR="00354EEC" w:rsidRPr="00C06C7F">
          <w:rPr>
            <w:rFonts w:ascii="Arial" w:hAnsi="Arial"/>
            <w:noProof/>
            <w:webHidden/>
            <w:sz w:val="22"/>
            <w:szCs w:val="22"/>
          </w:rPr>
          <w:fldChar w:fldCharType="end"/>
        </w:r>
      </w:hyperlink>
    </w:p>
    <w:p w14:paraId="51C815BB" w14:textId="5FFE965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5" w:history="1">
        <w:r w:rsidR="00354EEC" w:rsidRPr="00C06C7F">
          <w:rPr>
            <w:rStyle w:val="Hipervnculo"/>
            <w:rFonts w:ascii="Arial" w:hAnsi="Arial"/>
            <w:noProof/>
            <w:sz w:val="22"/>
            <w:szCs w:val="22"/>
            <w:lang w:val="es-PE"/>
          </w:rPr>
          <w:t>Sistema de Peaje para la operación estandarizada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237</w:t>
        </w:r>
        <w:r w:rsidR="00354EEC" w:rsidRPr="00C06C7F">
          <w:rPr>
            <w:rFonts w:ascii="Arial" w:hAnsi="Arial"/>
            <w:noProof/>
            <w:webHidden/>
            <w:sz w:val="22"/>
            <w:szCs w:val="22"/>
          </w:rPr>
          <w:fldChar w:fldCharType="end"/>
        </w:r>
      </w:hyperlink>
    </w:p>
    <w:p w14:paraId="03F698D4" w14:textId="6D1483E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6" w:history="1">
        <w:r w:rsidR="00354EEC" w:rsidRPr="00C06C7F">
          <w:rPr>
            <w:rStyle w:val="Hipervnculo"/>
            <w:rFonts w:ascii="Arial" w:hAnsi="Arial"/>
            <w:noProof/>
            <w:sz w:val="22"/>
            <w:szCs w:val="22"/>
            <w:lang w:val="es-PE"/>
          </w:rPr>
          <w:t>Apéndice 11</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241</w:t>
        </w:r>
        <w:r w:rsidR="00354EEC" w:rsidRPr="00C06C7F">
          <w:rPr>
            <w:rFonts w:ascii="Arial" w:hAnsi="Arial"/>
            <w:noProof/>
            <w:webHidden/>
            <w:sz w:val="22"/>
            <w:szCs w:val="22"/>
          </w:rPr>
          <w:fldChar w:fldCharType="end"/>
        </w:r>
      </w:hyperlink>
    </w:p>
    <w:p w14:paraId="2651B417" w14:textId="17556D6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7" w:history="1">
        <w:r w:rsidR="00354EEC" w:rsidRPr="00C06C7F">
          <w:rPr>
            <w:rStyle w:val="Hipervnculo"/>
            <w:rFonts w:ascii="Arial" w:hAnsi="Arial"/>
            <w:noProof/>
            <w:sz w:val="22"/>
            <w:szCs w:val="22"/>
            <w:lang w:val="es-PE"/>
          </w:rPr>
          <w:t>Lista de puentes a ser entregados por el CONCEDENTE al CONCESIONARIO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241</w:t>
        </w:r>
        <w:r w:rsidR="00354EEC" w:rsidRPr="00C06C7F">
          <w:rPr>
            <w:rFonts w:ascii="Arial" w:hAnsi="Arial"/>
            <w:noProof/>
            <w:webHidden/>
            <w:sz w:val="22"/>
            <w:szCs w:val="22"/>
          </w:rPr>
          <w:fldChar w:fldCharType="end"/>
        </w:r>
      </w:hyperlink>
    </w:p>
    <w:p w14:paraId="27769D3D" w14:textId="44B78FE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8" w:history="1">
        <w:r w:rsidR="00354EEC" w:rsidRPr="00C06C7F">
          <w:rPr>
            <w:rStyle w:val="Hipervnculo"/>
            <w:rFonts w:ascii="Arial" w:hAnsi="Arial"/>
            <w:noProof/>
            <w:sz w:val="22"/>
            <w:szCs w:val="22"/>
            <w:lang w:val="es-PE"/>
          </w:rPr>
          <w:t>Apéndice 12</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242</w:t>
        </w:r>
        <w:r w:rsidR="00354EEC" w:rsidRPr="00C06C7F">
          <w:rPr>
            <w:rFonts w:ascii="Arial" w:hAnsi="Arial"/>
            <w:noProof/>
            <w:webHidden/>
            <w:sz w:val="22"/>
            <w:szCs w:val="22"/>
          </w:rPr>
          <w:fldChar w:fldCharType="end"/>
        </w:r>
      </w:hyperlink>
    </w:p>
    <w:p w14:paraId="0C7B008F" w14:textId="447EE2EC"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59" w:history="1">
        <w:r w:rsidR="00354EEC" w:rsidRPr="00C06C7F">
          <w:rPr>
            <w:rStyle w:val="Hipervnculo"/>
            <w:rFonts w:ascii="Arial" w:hAnsi="Arial"/>
            <w:noProof/>
            <w:sz w:val="22"/>
            <w:szCs w:val="22"/>
            <w:lang w:val="es-PE"/>
          </w:rPr>
          <w:t>Trazo aplicable a los Sub Tramos de Rehabilitación y mejoramiento de la Concesión.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_Toc140089459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242</w:t>
        </w:r>
        <w:r w:rsidR="00354EEC" w:rsidRPr="00C06C7F">
          <w:rPr>
            <w:rFonts w:ascii="Arial" w:hAnsi="Arial"/>
            <w:noProof/>
            <w:webHidden/>
            <w:sz w:val="22"/>
            <w:szCs w:val="22"/>
          </w:rPr>
          <w:fldChar w:fldCharType="end"/>
        </w:r>
      </w:hyperlink>
    </w:p>
    <w:p w14:paraId="65D127CB" w14:textId="37B755A7"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460" w:history="1">
        <w:r w:rsidR="00354EEC" w:rsidRPr="00C06C7F">
          <w:rPr>
            <w:rStyle w:val="Hipervnculo"/>
            <w:rFonts w:ascii="Arial" w:hAnsi="Arial" w:cs="Arial"/>
            <w:noProof/>
            <w:sz w:val="22"/>
            <w:szCs w:val="22"/>
            <w:lang w:val="pt-BR"/>
          </w:rPr>
          <w:t>ANEXO II</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_Toc140089460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243</w:t>
        </w:r>
        <w:r w:rsidR="00354EEC" w:rsidRPr="00C06C7F">
          <w:rPr>
            <w:rFonts w:ascii="Arial" w:hAnsi="Arial" w:cs="Arial"/>
            <w:noProof/>
            <w:webHidden/>
            <w:sz w:val="22"/>
            <w:szCs w:val="22"/>
          </w:rPr>
          <w:fldChar w:fldCharType="end"/>
        </w:r>
      </w:hyperlink>
    </w:p>
    <w:p w14:paraId="23F07947" w14:textId="1712753A"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61" w:history="1">
        <w:r w:rsidR="00354EEC" w:rsidRPr="00E70E30">
          <w:rPr>
            <w:rStyle w:val="Hipervnculo"/>
            <w:rFonts w:ascii="Arial" w:hAnsi="Arial"/>
            <w:noProof/>
            <w:sz w:val="22"/>
            <w:szCs w:val="22"/>
            <w:lang w:val="es-PE"/>
          </w:rPr>
          <w:t>RELACIÓN DE ENTIDADES AUTORIZADAS A EMITIR GARANTÍAS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_Toc140089461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243</w:t>
        </w:r>
        <w:r w:rsidR="00354EEC" w:rsidRPr="00E70E30">
          <w:rPr>
            <w:rFonts w:ascii="Arial" w:hAnsi="Arial"/>
            <w:noProof/>
            <w:webHidden/>
            <w:sz w:val="22"/>
            <w:szCs w:val="22"/>
          </w:rPr>
          <w:fldChar w:fldCharType="end"/>
        </w:r>
      </w:hyperlink>
    </w:p>
    <w:p w14:paraId="5B696D29" w14:textId="27789F37"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62" w:history="1">
        <w:r w:rsidR="00354EEC" w:rsidRPr="00E70E30">
          <w:rPr>
            <w:rStyle w:val="Hipervnculo"/>
            <w:rFonts w:ascii="Arial" w:hAnsi="Arial" w:cs="Arial"/>
            <w:noProof/>
            <w:sz w:val="22"/>
            <w:szCs w:val="22"/>
            <w:lang w:val="es-MX"/>
          </w:rPr>
          <w:t>ANEXO III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_Toc140089462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244</w:t>
        </w:r>
        <w:r w:rsidR="00354EEC" w:rsidRPr="00E70E30">
          <w:rPr>
            <w:rFonts w:ascii="Arial" w:hAnsi="Arial" w:cs="Arial"/>
            <w:noProof/>
            <w:webHidden/>
            <w:sz w:val="22"/>
            <w:szCs w:val="22"/>
          </w:rPr>
          <w:fldChar w:fldCharType="end"/>
        </w:r>
      </w:hyperlink>
    </w:p>
    <w:p w14:paraId="768DABF6" w14:textId="3BCE04B3"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63" w:history="1">
        <w:r w:rsidR="00354EEC" w:rsidRPr="00E70E30">
          <w:rPr>
            <w:rStyle w:val="Hipervnculo"/>
            <w:rFonts w:ascii="Arial" w:hAnsi="Arial"/>
            <w:noProof/>
            <w:sz w:val="22"/>
            <w:szCs w:val="22"/>
            <w:lang w:val="es-PE"/>
          </w:rPr>
          <w:t>GARANTÍA DE FIEL CUMPLIMIENTO DE CONTRATO DE CONCESIÓN</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_Toc140089463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244</w:t>
        </w:r>
        <w:r w:rsidR="00354EEC" w:rsidRPr="00E70E30">
          <w:rPr>
            <w:rFonts w:ascii="Arial" w:hAnsi="Arial"/>
            <w:noProof/>
            <w:webHidden/>
            <w:sz w:val="22"/>
            <w:szCs w:val="22"/>
          </w:rPr>
          <w:fldChar w:fldCharType="end"/>
        </w:r>
      </w:hyperlink>
    </w:p>
    <w:p w14:paraId="340AF60D" w14:textId="64D4E1D4"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64" w:history="1">
        <w:r w:rsidR="00354EEC" w:rsidRPr="00E70E30">
          <w:rPr>
            <w:rStyle w:val="Hipervnculo"/>
            <w:rFonts w:ascii="Arial" w:hAnsi="Arial" w:cs="Arial"/>
            <w:noProof/>
            <w:sz w:val="22"/>
            <w:szCs w:val="22"/>
            <w:lang w:val="es-MX"/>
          </w:rPr>
          <w:t>ANEXO IV</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_Toc140089464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245</w:t>
        </w:r>
        <w:r w:rsidR="00354EEC" w:rsidRPr="00E70E30">
          <w:rPr>
            <w:rFonts w:ascii="Arial" w:hAnsi="Arial" w:cs="Arial"/>
            <w:noProof/>
            <w:webHidden/>
            <w:sz w:val="22"/>
            <w:szCs w:val="22"/>
          </w:rPr>
          <w:fldChar w:fldCharType="end"/>
        </w:r>
      </w:hyperlink>
    </w:p>
    <w:p w14:paraId="238E29F7" w14:textId="51406DE4"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65" w:history="1">
        <w:r w:rsidR="00354EEC" w:rsidRPr="00E70E30">
          <w:rPr>
            <w:rStyle w:val="Hipervnculo"/>
            <w:rFonts w:ascii="Arial" w:hAnsi="Arial"/>
            <w:noProof/>
            <w:sz w:val="22"/>
            <w:szCs w:val="22"/>
            <w:lang w:val="es-PE"/>
          </w:rPr>
          <w:t>GARANTÍA DE FIEL CUMPLIMIENTO DE EJECUCIÓN DE______ [REHABILITACIÓN Y MEJORAMIENTO O CONSTRUCCIÓN DEL EVITAMIENTO SAN CLEMENTE O MANTENIMIENTO PERIÓDICO INICIAL]</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_Toc140089465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245</w:t>
        </w:r>
        <w:r w:rsidR="00354EEC" w:rsidRPr="00E70E30">
          <w:rPr>
            <w:rFonts w:ascii="Arial" w:hAnsi="Arial"/>
            <w:noProof/>
            <w:webHidden/>
            <w:sz w:val="22"/>
            <w:szCs w:val="22"/>
          </w:rPr>
          <w:fldChar w:fldCharType="end"/>
        </w:r>
      </w:hyperlink>
    </w:p>
    <w:p w14:paraId="1FECA905" w14:textId="23BF27DB"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66" w:history="1">
        <w:r w:rsidR="00354EEC" w:rsidRPr="00E70E30">
          <w:rPr>
            <w:rStyle w:val="Hipervnculo"/>
            <w:rFonts w:ascii="Arial" w:hAnsi="Arial" w:cs="Arial"/>
            <w:noProof/>
            <w:sz w:val="22"/>
            <w:szCs w:val="22"/>
            <w:lang w:val="es-MX"/>
          </w:rPr>
          <w:t>ANEXO V</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_Toc140089466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246</w:t>
        </w:r>
        <w:r w:rsidR="00354EEC" w:rsidRPr="00E70E30">
          <w:rPr>
            <w:rFonts w:ascii="Arial" w:hAnsi="Arial" w:cs="Arial"/>
            <w:noProof/>
            <w:webHidden/>
            <w:sz w:val="22"/>
            <w:szCs w:val="22"/>
          </w:rPr>
          <w:fldChar w:fldCharType="end"/>
        </w:r>
      </w:hyperlink>
    </w:p>
    <w:p w14:paraId="551CF8CF" w14:textId="0B074377"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67" w:history="1">
        <w:r w:rsidR="00354EEC" w:rsidRPr="00E70E30">
          <w:rPr>
            <w:rStyle w:val="Hipervnculo"/>
            <w:rFonts w:ascii="Arial" w:hAnsi="Arial"/>
            <w:noProof/>
            <w:sz w:val="22"/>
            <w:szCs w:val="22"/>
            <w:lang w:val="es-PE"/>
          </w:rPr>
          <w:t>TESTIMONIO DE LA ESCRITURA PÚBLICA DE CONSTITUCIÓN SOCIAL Y ESTATUTO DEL CONCESIONARIO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_Toc140089467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246</w:t>
        </w:r>
        <w:r w:rsidR="00354EEC" w:rsidRPr="00E70E30">
          <w:rPr>
            <w:rFonts w:ascii="Arial" w:hAnsi="Arial"/>
            <w:noProof/>
            <w:webHidden/>
            <w:sz w:val="22"/>
            <w:szCs w:val="22"/>
          </w:rPr>
          <w:fldChar w:fldCharType="end"/>
        </w:r>
      </w:hyperlink>
    </w:p>
    <w:p w14:paraId="53820ECA" w14:textId="7F0FFAA1"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68" w:history="1">
        <w:r w:rsidR="00354EEC" w:rsidRPr="00E70E30">
          <w:rPr>
            <w:rStyle w:val="Hipervnculo"/>
            <w:rFonts w:ascii="Arial" w:hAnsi="Arial" w:cs="Arial"/>
            <w:noProof/>
            <w:sz w:val="22"/>
            <w:szCs w:val="22"/>
            <w:lang w:val="es-PE"/>
          </w:rPr>
          <w:t>ANEXO VI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_Toc140089468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247</w:t>
        </w:r>
        <w:r w:rsidR="00354EEC" w:rsidRPr="00E70E30">
          <w:rPr>
            <w:rFonts w:ascii="Arial" w:hAnsi="Arial" w:cs="Arial"/>
            <w:noProof/>
            <w:webHidden/>
            <w:sz w:val="22"/>
            <w:szCs w:val="22"/>
          </w:rPr>
          <w:fldChar w:fldCharType="end"/>
        </w:r>
      </w:hyperlink>
    </w:p>
    <w:p w14:paraId="3F7E434F" w14:textId="1055F87B"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69" w:history="1">
        <w:r w:rsidR="00354EEC" w:rsidRPr="00E70E30">
          <w:rPr>
            <w:rStyle w:val="Hipervnculo"/>
            <w:rFonts w:ascii="Arial" w:hAnsi="Arial"/>
            <w:noProof/>
            <w:sz w:val="22"/>
            <w:szCs w:val="22"/>
            <w:lang w:val="es-PE"/>
          </w:rPr>
          <w:t>PODER DEL REPRESENTANTE LEGAL DEL CONCESIONARIO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_Toc140089469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247</w:t>
        </w:r>
        <w:r w:rsidR="00354EEC" w:rsidRPr="00E70E30">
          <w:rPr>
            <w:rFonts w:ascii="Arial" w:hAnsi="Arial"/>
            <w:noProof/>
            <w:webHidden/>
            <w:sz w:val="22"/>
            <w:szCs w:val="22"/>
          </w:rPr>
          <w:fldChar w:fldCharType="end"/>
        </w:r>
      </w:hyperlink>
    </w:p>
    <w:p w14:paraId="69E90510" w14:textId="694AD9F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70" w:history="1">
        <w:r w:rsidR="00354EEC" w:rsidRPr="00E70E30">
          <w:rPr>
            <w:rStyle w:val="Hipervnculo"/>
            <w:rFonts w:ascii="Arial" w:hAnsi="Arial" w:cs="Arial"/>
            <w:noProof/>
            <w:sz w:val="22"/>
            <w:szCs w:val="22"/>
            <w:lang w:val="es-PE"/>
          </w:rPr>
          <w:t>ANEXO VII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_Toc140089470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248</w:t>
        </w:r>
        <w:r w:rsidR="00354EEC" w:rsidRPr="00E70E30">
          <w:rPr>
            <w:rFonts w:ascii="Arial" w:hAnsi="Arial" w:cs="Arial"/>
            <w:noProof/>
            <w:webHidden/>
            <w:sz w:val="22"/>
            <w:szCs w:val="22"/>
          </w:rPr>
          <w:fldChar w:fldCharType="end"/>
        </w:r>
      </w:hyperlink>
    </w:p>
    <w:p w14:paraId="2B742F13" w14:textId="25EACD51"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71" w:history="1">
        <w:r w:rsidR="00354EEC" w:rsidRPr="00E70E30">
          <w:rPr>
            <w:rStyle w:val="Hipervnculo"/>
            <w:rFonts w:ascii="Arial" w:hAnsi="Arial"/>
            <w:noProof/>
            <w:sz w:val="22"/>
            <w:szCs w:val="22"/>
            <w:lang w:val="es-PE"/>
          </w:rPr>
          <w:t>PROPUESTA ECONÓMICA</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_Toc140089471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248</w:t>
        </w:r>
        <w:r w:rsidR="00354EEC" w:rsidRPr="00E70E30">
          <w:rPr>
            <w:rFonts w:ascii="Arial" w:hAnsi="Arial"/>
            <w:noProof/>
            <w:webHidden/>
            <w:sz w:val="22"/>
            <w:szCs w:val="22"/>
          </w:rPr>
          <w:fldChar w:fldCharType="end"/>
        </w:r>
      </w:hyperlink>
    </w:p>
    <w:p w14:paraId="233EB3D6" w14:textId="362E514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72" w:history="1">
        <w:r w:rsidR="00354EEC" w:rsidRPr="00E70E30">
          <w:rPr>
            <w:rStyle w:val="Hipervnculo"/>
            <w:rFonts w:ascii="Arial" w:hAnsi="Arial" w:cs="Arial"/>
            <w:noProof/>
            <w:sz w:val="22"/>
            <w:szCs w:val="22"/>
            <w:lang w:val="es-PE"/>
          </w:rPr>
          <w:t>ANEXO VIII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_Toc140089472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249</w:t>
        </w:r>
        <w:r w:rsidR="00354EEC" w:rsidRPr="00E70E30">
          <w:rPr>
            <w:rFonts w:ascii="Arial" w:hAnsi="Arial" w:cs="Arial"/>
            <w:noProof/>
            <w:webHidden/>
            <w:sz w:val="22"/>
            <w:szCs w:val="22"/>
          </w:rPr>
          <w:fldChar w:fldCharType="end"/>
        </w:r>
      </w:hyperlink>
    </w:p>
    <w:p w14:paraId="3785DA9B" w14:textId="01113E49"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73" w:history="1">
        <w:r w:rsidR="00354EEC" w:rsidRPr="00E70E30">
          <w:rPr>
            <w:rStyle w:val="Hipervnculo"/>
            <w:rFonts w:ascii="Arial" w:hAnsi="Arial"/>
            <w:noProof/>
            <w:sz w:val="22"/>
            <w:szCs w:val="22"/>
            <w:lang w:val="es-PE"/>
          </w:rPr>
          <w:t>MEDICIÓN DE FLUJOS VEHICULARES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_Toc140089473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249</w:t>
        </w:r>
        <w:r w:rsidR="00354EEC" w:rsidRPr="00E70E30">
          <w:rPr>
            <w:rFonts w:ascii="Arial" w:hAnsi="Arial"/>
            <w:noProof/>
            <w:webHidden/>
            <w:sz w:val="22"/>
            <w:szCs w:val="22"/>
          </w:rPr>
          <w:fldChar w:fldCharType="end"/>
        </w:r>
      </w:hyperlink>
    </w:p>
    <w:p w14:paraId="25203930" w14:textId="4A339753"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74" w:history="1">
        <w:r w:rsidR="00354EEC" w:rsidRPr="00E70E30">
          <w:rPr>
            <w:rStyle w:val="Hipervnculo"/>
            <w:rFonts w:ascii="Arial" w:hAnsi="Arial" w:cs="Arial"/>
            <w:noProof/>
            <w:sz w:val="22"/>
            <w:szCs w:val="22"/>
            <w:lang w:val="es-PE"/>
          </w:rPr>
          <w:t>ANEXO IX</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_Toc140089474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253</w:t>
        </w:r>
        <w:r w:rsidR="00354EEC" w:rsidRPr="00E70E30">
          <w:rPr>
            <w:rFonts w:ascii="Arial" w:hAnsi="Arial" w:cs="Arial"/>
            <w:noProof/>
            <w:webHidden/>
            <w:sz w:val="22"/>
            <w:szCs w:val="22"/>
          </w:rPr>
          <w:fldChar w:fldCharType="end"/>
        </w:r>
      </w:hyperlink>
    </w:p>
    <w:p w14:paraId="603EA7D9" w14:textId="365BC43D"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75" w:history="1">
        <w:r w:rsidR="00354EEC" w:rsidRPr="00E70E30">
          <w:rPr>
            <w:rStyle w:val="Hipervnculo"/>
            <w:rFonts w:ascii="Arial" w:hAnsi="Arial"/>
            <w:noProof/>
            <w:sz w:val="22"/>
            <w:szCs w:val="22"/>
            <w:lang w:val="es-PE"/>
          </w:rPr>
          <w:t>PENALIDADES APLICABLES AL CONTRATO</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_Toc140089475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253</w:t>
        </w:r>
        <w:r w:rsidR="00354EEC" w:rsidRPr="00E70E30">
          <w:rPr>
            <w:rFonts w:ascii="Arial" w:hAnsi="Arial"/>
            <w:noProof/>
            <w:webHidden/>
            <w:sz w:val="22"/>
            <w:szCs w:val="22"/>
          </w:rPr>
          <w:fldChar w:fldCharType="end"/>
        </w:r>
      </w:hyperlink>
    </w:p>
    <w:p w14:paraId="5EBA1FA0" w14:textId="5D5CD43E"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76" w:history="1">
        <w:r w:rsidR="00354EEC" w:rsidRPr="00E70E30">
          <w:rPr>
            <w:rStyle w:val="Hipervnculo"/>
            <w:rFonts w:ascii="Arial" w:hAnsi="Arial" w:cs="Arial"/>
            <w:noProof/>
            <w:sz w:val="22"/>
            <w:szCs w:val="22"/>
          </w:rPr>
          <w:t>ANEXO X</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_Toc140089476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258</w:t>
        </w:r>
        <w:r w:rsidR="00354EEC" w:rsidRPr="00E70E30">
          <w:rPr>
            <w:rFonts w:ascii="Arial" w:hAnsi="Arial" w:cs="Arial"/>
            <w:noProof/>
            <w:webHidden/>
            <w:sz w:val="22"/>
            <w:szCs w:val="22"/>
          </w:rPr>
          <w:fldChar w:fldCharType="end"/>
        </w:r>
      </w:hyperlink>
    </w:p>
    <w:p w14:paraId="255C1744" w14:textId="402EAF13" w:rsidR="00354EEC" w:rsidRPr="00E70E30" w:rsidRDefault="00000000" w:rsidP="00E70E30">
      <w:pPr>
        <w:pStyle w:val="TDC2"/>
        <w:tabs>
          <w:tab w:val="right" w:leader="dot" w:pos="8495"/>
        </w:tabs>
        <w:spacing w:before="0"/>
        <w:rPr>
          <w:rFonts w:ascii="Arial" w:eastAsiaTheme="minorEastAsia" w:hAnsi="Arial"/>
          <w:b w:val="0"/>
          <w:bCs w:val="0"/>
          <w:noProof/>
          <w:kern w:val="2"/>
          <w:sz w:val="22"/>
          <w:szCs w:val="22"/>
          <w:lang w:val="es-PE" w:eastAsia="es-PE"/>
          <w14:ligatures w14:val="standardContextual"/>
        </w:rPr>
      </w:pPr>
      <w:hyperlink w:anchor="_Toc140089477" w:history="1">
        <w:r w:rsidR="00354EEC" w:rsidRPr="00E70E30">
          <w:rPr>
            <w:rStyle w:val="Hipervnculo"/>
            <w:rFonts w:ascii="Arial" w:hAnsi="Arial"/>
            <w:noProof/>
            <w:sz w:val="22"/>
            <w:szCs w:val="22"/>
            <w:lang w:val="es-PE"/>
          </w:rPr>
          <w:t>DE LOS ESTUDIOS</w:t>
        </w:r>
        <w:r w:rsidR="00354EEC" w:rsidRPr="00E70E30">
          <w:rPr>
            <w:rFonts w:ascii="Arial" w:hAnsi="Arial"/>
            <w:noProof/>
            <w:webHidden/>
            <w:sz w:val="22"/>
            <w:szCs w:val="22"/>
          </w:rPr>
          <w:tab/>
        </w:r>
        <w:r w:rsidR="00354EEC" w:rsidRPr="00E70E30">
          <w:rPr>
            <w:rFonts w:ascii="Arial" w:hAnsi="Arial"/>
            <w:noProof/>
            <w:webHidden/>
            <w:sz w:val="22"/>
            <w:szCs w:val="22"/>
          </w:rPr>
          <w:fldChar w:fldCharType="begin"/>
        </w:r>
        <w:r w:rsidR="00354EEC" w:rsidRPr="00E70E30">
          <w:rPr>
            <w:rFonts w:ascii="Arial" w:hAnsi="Arial"/>
            <w:noProof/>
            <w:webHidden/>
            <w:sz w:val="22"/>
            <w:szCs w:val="22"/>
          </w:rPr>
          <w:instrText xml:space="preserve"> PAGEREF _Toc140089477 \h </w:instrText>
        </w:r>
        <w:r w:rsidR="00354EEC" w:rsidRPr="00E70E30">
          <w:rPr>
            <w:rFonts w:ascii="Arial" w:hAnsi="Arial"/>
            <w:noProof/>
            <w:webHidden/>
            <w:sz w:val="22"/>
            <w:szCs w:val="22"/>
          </w:rPr>
        </w:r>
        <w:r w:rsidR="00354EEC" w:rsidRPr="00E70E30">
          <w:rPr>
            <w:rFonts w:ascii="Arial" w:hAnsi="Arial"/>
            <w:noProof/>
            <w:webHidden/>
            <w:sz w:val="22"/>
            <w:szCs w:val="22"/>
          </w:rPr>
          <w:fldChar w:fldCharType="separate"/>
        </w:r>
        <w:r w:rsidR="0077125D">
          <w:rPr>
            <w:rFonts w:ascii="Arial" w:hAnsi="Arial"/>
            <w:noProof/>
            <w:webHidden/>
            <w:sz w:val="22"/>
            <w:szCs w:val="22"/>
          </w:rPr>
          <w:t>258</w:t>
        </w:r>
        <w:r w:rsidR="00354EEC" w:rsidRPr="00E70E30">
          <w:rPr>
            <w:rFonts w:ascii="Arial" w:hAnsi="Arial"/>
            <w:noProof/>
            <w:webHidden/>
            <w:sz w:val="22"/>
            <w:szCs w:val="22"/>
          </w:rPr>
          <w:fldChar w:fldCharType="end"/>
        </w:r>
      </w:hyperlink>
    </w:p>
    <w:p w14:paraId="58F552E2" w14:textId="319096C8" w:rsidR="00354EEC" w:rsidRPr="00E70E30" w:rsidRDefault="00000000" w:rsidP="00E70E30">
      <w:pPr>
        <w:pStyle w:val="TDC1"/>
        <w:tabs>
          <w:tab w:val="right" w:leader="dot" w:pos="8495"/>
        </w:tabs>
        <w:spacing w:before="0"/>
        <w:rPr>
          <w:rFonts w:ascii="Arial" w:eastAsiaTheme="minorEastAsia" w:hAnsi="Arial" w:cs="Arial"/>
          <w:b w:val="0"/>
          <w:bCs w:val="0"/>
          <w:caps w:val="0"/>
          <w:noProof/>
          <w:kern w:val="2"/>
          <w:sz w:val="22"/>
          <w:szCs w:val="22"/>
          <w:lang w:val="es-PE" w:eastAsia="es-PE"/>
          <w14:ligatures w14:val="standardContextual"/>
        </w:rPr>
      </w:pPr>
      <w:hyperlink w:anchor="_Toc140089478" w:history="1">
        <w:r w:rsidR="00354EEC" w:rsidRPr="00E70E30">
          <w:rPr>
            <w:rStyle w:val="Hipervnculo"/>
            <w:rFonts w:ascii="Arial" w:hAnsi="Arial" w:cs="Arial"/>
            <w:noProof/>
            <w:sz w:val="22"/>
            <w:szCs w:val="22"/>
            <w:lang w:val="es-PE"/>
          </w:rPr>
          <w:t>ANEXO X</w:t>
        </w:r>
        <w:r w:rsidR="00354EEC" w:rsidRPr="00E70E30">
          <w:rPr>
            <w:rStyle w:val="Hipervnculo"/>
            <w:rFonts w:ascii="Arial" w:hAnsi="Arial" w:cs="Arial"/>
            <w:noProof/>
            <w:sz w:val="22"/>
            <w:szCs w:val="22"/>
            <w:lang w:val="es-ES"/>
          </w:rPr>
          <w:t>I</w:t>
        </w:r>
        <w:r w:rsidR="00354EEC" w:rsidRPr="00E70E30">
          <w:rPr>
            <w:rFonts w:ascii="Arial" w:hAnsi="Arial" w:cs="Arial"/>
            <w:noProof/>
            <w:webHidden/>
            <w:sz w:val="22"/>
            <w:szCs w:val="22"/>
          </w:rPr>
          <w:tab/>
        </w:r>
        <w:r w:rsidR="00354EEC" w:rsidRPr="00E70E30">
          <w:rPr>
            <w:rFonts w:ascii="Arial" w:hAnsi="Arial" w:cs="Arial"/>
            <w:noProof/>
            <w:webHidden/>
            <w:sz w:val="22"/>
            <w:szCs w:val="22"/>
          </w:rPr>
          <w:fldChar w:fldCharType="begin"/>
        </w:r>
        <w:r w:rsidR="00354EEC" w:rsidRPr="00E70E30">
          <w:rPr>
            <w:rFonts w:ascii="Arial" w:hAnsi="Arial" w:cs="Arial"/>
            <w:noProof/>
            <w:webHidden/>
            <w:sz w:val="22"/>
            <w:szCs w:val="22"/>
          </w:rPr>
          <w:instrText xml:space="preserve"> PAGEREF _Toc140089478 \h </w:instrText>
        </w:r>
        <w:r w:rsidR="00354EEC" w:rsidRPr="00E70E30">
          <w:rPr>
            <w:rFonts w:ascii="Arial" w:hAnsi="Arial" w:cs="Arial"/>
            <w:noProof/>
            <w:webHidden/>
            <w:sz w:val="22"/>
            <w:szCs w:val="22"/>
          </w:rPr>
        </w:r>
        <w:r w:rsidR="00354EEC" w:rsidRPr="00E70E30">
          <w:rPr>
            <w:rFonts w:ascii="Arial" w:hAnsi="Arial" w:cs="Arial"/>
            <w:noProof/>
            <w:webHidden/>
            <w:sz w:val="22"/>
            <w:szCs w:val="22"/>
          </w:rPr>
          <w:fldChar w:fldCharType="separate"/>
        </w:r>
        <w:r w:rsidR="0077125D">
          <w:rPr>
            <w:rFonts w:ascii="Arial" w:hAnsi="Arial" w:cs="Arial"/>
            <w:noProof/>
            <w:webHidden/>
            <w:sz w:val="22"/>
            <w:szCs w:val="22"/>
          </w:rPr>
          <w:t>259</w:t>
        </w:r>
        <w:r w:rsidR="00354EEC" w:rsidRPr="00E70E30">
          <w:rPr>
            <w:rFonts w:ascii="Arial" w:hAnsi="Arial" w:cs="Arial"/>
            <w:noProof/>
            <w:webHidden/>
            <w:sz w:val="22"/>
            <w:szCs w:val="22"/>
          </w:rPr>
          <w:fldChar w:fldCharType="end"/>
        </w:r>
      </w:hyperlink>
    </w:p>
    <w:p w14:paraId="5679975E" w14:textId="6793F004"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79" w:history="1">
        <w:r w:rsidR="00354EEC" w:rsidRPr="00C06C7F">
          <w:rPr>
            <w:rStyle w:val="Hipervnculo"/>
            <w:rFonts w:ascii="Arial" w:hAnsi="Arial"/>
            <w:noProof/>
            <w:sz w:val="22"/>
            <w:szCs w:val="22"/>
            <w:lang w:val="es-PE"/>
          </w:rPr>
          <w:t>Apéndice 1</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_Toc140089479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259</w:t>
        </w:r>
        <w:r w:rsidR="00354EEC" w:rsidRPr="00C06C7F">
          <w:rPr>
            <w:rFonts w:ascii="Arial" w:hAnsi="Arial"/>
            <w:noProof/>
            <w:webHidden/>
            <w:sz w:val="22"/>
            <w:szCs w:val="22"/>
          </w:rPr>
          <w:fldChar w:fldCharType="end"/>
        </w:r>
      </w:hyperlink>
    </w:p>
    <w:p w14:paraId="11B0E73D" w14:textId="0A38FC5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0" w:history="1">
        <w:r w:rsidR="00354EEC" w:rsidRPr="00C06C7F">
          <w:rPr>
            <w:rStyle w:val="Hipervnculo"/>
            <w:rFonts w:ascii="Arial" w:hAnsi="Arial"/>
            <w:noProof/>
            <w:sz w:val="22"/>
            <w:szCs w:val="22"/>
            <w:lang w:val="es-PE"/>
          </w:rPr>
          <w:t>Lineamientos aplicables al contrato de Fideicomiso de Administración</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259</w:t>
        </w:r>
        <w:r w:rsidR="00354EEC" w:rsidRPr="00C06C7F">
          <w:rPr>
            <w:rFonts w:ascii="Arial" w:hAnsi="Arial"/>
            <w:noProof/>
            <w:webHidden/>
            <w:sz w:val="22"/>
            <w:szCs w:val="22"/>
          </w:rPr>
          <w:fldChar w:fldCharType="end"/>
        </w:r>
      </w:hyperlink>
    </w:p>
    <w:p w14:paraId="4AA3CCD3" w14:textId="73BA331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1" w:history="1">
        <w:r w:rsidR="00354EEC" w:rsidRPr="00C06C7F">
          <w:rPr>
            <w:rStyle w:val="Hipervnculo"/>
            <w:rFonts w:ascii="Arial" w:hAnsi="Arial"/>
            <w:noProof/>
            <w:sz w:val="22"/>
            <w:szCs w:val="22"/>
          </w:rPr>
          <w:t>Apéndice 2</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266</w:t>
        </w:r>
        <w:r w:rsidR="00354EEC" w:rsidRPr="00C06C7F">
          <w:rPr>
            <w:rFonts w:ascii="Arial" w:hAnsi="Arial"/>
            <w:noProof/>
            <w:webHidden/>
            <w:sz w:val="22"/>
            <w:szCs w:val="22"/>
          </w:rPr>
          <w:fldChar w:fldCharType="end"/>
        </w:r>
      </w:hyperlink>
    </w:p>
    <w:p w14:paraId="08F5A74D" w14:textId="1F768C98"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2" w:history="1">
        <w:r w:rsidR="00354EEC" w:rsidRPr="00C06C7F">
          <w:rPr>
            <w:rStyle w:val="Hipervnculo"/>
            <w:rFonts w:ascii="Arial" w:hAnsi="Arial"/>
            <w:noProof/>
            <w:sz w:val="22"/>
            <w:szCs w:val="22"/>
          </w:rPr>
          <w:t>Cofinanciamiento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266</w:t>
        </w:r>
        <w:r w:rsidR="00354EEC" w:rsidRPr="00C06C7F">
          <w:rPr>
            <w:rFonts w:ascii="Arial" w:hAnsi="Arial"/>
            <w:noProof/>
            <w:webHidden/>
            <w:sz w:val="22"/>
            <w:szCs w:val="22"/>
          </w:rPr>
          <w:fldChar w:fldCharType="end"/>
        </w:r>
      </w:hyperlink>
    </w:p>
    <w:p w14:paraId="531FF6FC" w14:textId="68771DC2"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3" w:history="1">
        <w:r w:rsidR="00354EEC" w:rsidRPr="00C06C7F">
          <w:rPr>
            <w:rStyle w:val="Hipervnculo"/>
            <w:rFonts w:ascii="Arial" w:hAnsi="Arial"/>
            <w:noProof/>
            <w:sz w:val="22"/>
            <w:szCs w:val="22"/>
            <w:lang w:val="es-PE"/>
          </w:rPr>
          <w:t>Apéndice 3</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_Toc140089483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267</w:t>
        </w:r>
        <w:r w:rsidR="00354EEC" w:rsidRPr="00C06C7F">
          <w:rPr>
            <w:rFonts w:ascii="Arial" w:hAnsi="Arial"/>
            <w:noProof/>
            <w:webHidden/>
            <w:sz w:val="22"/>
            <w:szCs w:val="22"/>
          </w:rPr>
          <w:fldChar w:fldCharType="end"/>
        </w:r>
      </w:hyperlink>
    </w:p>
    <w:p w14:paraId="0C52FC5D" w14:textId="4C448AD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4" w:history="1">
        <w:r w:rsidR="00354EEC" w:rsidRPr="00C06C7F">
          <w:rPr>
            <w:rStyle w:val="Hipervnculo"/>
            <w:rFonts w:ascii="Arial" w:hAnsi="Arial"/>
            <w:noProof/>
            <w:sz w:val="22"/>
            <w:szCs w:val="22"/>
            <w:lang w:val="es-PE"/>
          </w:rPr>
          <w:t>Sobre el Mantenimiento Periódico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267</w:t>
        </w:r>
        <w:r w:rsidR="00354EEC" w:rsidRPr="00C06C7F">
          <w:rPr>
            <w:rFonts w:ascii="Arial" w:hAnsi="Arial"/>
            <w:noProof/>
            <w:webHidden/>
            <w:sz w:val="22"/>
            <w:szCs w:val="22"/>
          </w:rPr>
          <w:fldChar w:fldCharType="end"/>
        </w:r>
      </w:hyperlink>
    </w:p>
    <w:p w14:paraId="66A834F4" w14:textId="263A0FD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5" w:history="1">
        <w:r w:rsidR="00354EEC" w:rsidRPr="00C06C7F">
          <w:rPr>
            <w:rStyle w:val="Hipervnculo"/>
            <w:rFonts w:ascii="Arial" w:hAnsi="Arial"/>
            <w:noProof/>
            <w:sz w:val="22"/>
            <w:szCs w:val="22"/>
            <w:lang w:val="es-PE"/>
          </w:rPr>
          <w:t>APÉNDICE 4: SOBRE LA REMUNERACIÓN POR INVERSIONES (RPI)</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_Toc140089485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269</w:t>
        </w:r>
        <w:r w:rsidR="00354EEC" w:rsidRPr="00C06C7F">
          <w:rPr>
            <w:rFonts w:ascii="Arial" w:hAnsi="Arial"/>
            <w:noProof/>
            <w:webHidden/>
            <w:sz w:val="22"/>
            <w:szCs w:val="22"/>
          </w:rPr>
          <w:fldChar w:fldCharType="end"/>
        </w:r>
      </w:hyperlink>
    </w:p>
    <w:p w14:paraId="5E04652E" w14:textId="23BAA9B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6" w:history="1">
        <w:r w:rsidR="00354EEC" w:rsidRPr="00C06C7F">
          <w:rPr>
            <w:rStyle w:val="Hipervnculo"/>
            <w:rFonts w:ascii="Arial" w:hAnsi="Arial"/>
            <w:noProof/>
            <w:sz w:val="22"/>
            <w:szCs w:val="22"/>
            <w:lang w:val="es-PE"/>
          </w:rPr>
          <w:t>APÉNDICE 4.1: MECANISMO DE CERTIFICACIÓN DE AVANCE DE OBRA</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_Toc140089486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271</w:t>
        </w:r>
        <w:r w:rsidR="00354EEC" w:rsidRPr="00C06C7F">
          <w:rPr>
            <w:rFonts w:ascii="Arial" w:hAnsi="Arial"/>
            <w:noProof/>
            <w:webHidden/>
            <w:sz w:val="22"/>
            <w:szCs w:val="22"/>
          </w:rPr>
          <w:fldChar w:fldCharType="end"/>
        </w:r>
      </w:hyperlink>
    </w:p>
    <w:p w14:paraId="69AA8F2B" w14:textId="73CEE08F"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7" w:history="1">
        <w:r w:rsidR="00354EEC" w:rsidRPr="00C06C7F">
          <w:rPr>
            <w:rStyle w:val="Hipervnculo"/>
            <w:rFonts w:ascii="Arial" w:hAnsi="Arial"/>
            <w:noProof/>
            <w:sz w:val="22"/>
            <w:szCs w:val="22"/>
            <w:lang w:val="es-PE"/>
          </w:rPr>
          <w:t>APÉNDICE 4.2 : MODELO DE CERTIFICADO DE AVANCE DE OBRA (CAO)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_Toc140089487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275</w:t>
        </w:r>
        <w:r w:rsidR="00354EEC" w:rsidRPr="00C06C7F">
          <w:rPr>
            <w:rFonts w:ascii="Arial" w:hAnsi="Arial"/>
            <w:noProof/>
            <w:webHidden/>
            <w:sz w:val="22"/>
            <w:szCs w:val="22"/>
          </w:rPr>
          <w:fldChar w:fldCharType="end"/>
        </w:r>
      </w:hyperlink>
    </w:p>
    <w:p w14:paraId="4F434F52" w14:textId="5C9C7591"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8" w:history="1">
        <w:r w:rsidR="00354EEC" w:rsidRPr="00C06C7F">
          <w:rPr>
            <w:rStyle w:val="Hipervnculo"/>
            <w:rFonts w:ascii="Arial" w:hAnsi="Arial"/>
            <w:noProof/>
            <w:sz w:val="22"/>
            <w:szCs w:val="22"/>
            <w:lang w:val="es-PE"/>
          </w:rPr>
          <w:t>APÉNDICE 5: SOBRE LA REMUNERACIÓN POR MANTENIMIENTO PERIÓDICO INICIAL – PAMPI</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_Toc140089488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276</w:t>
        </w:r>
        <w:r w:rsidR="00354EEC" w:rsidRPr="00C06C7F">
          <w:rPr>
            <w:rFonts w:ascii="Arial" w:hAnsi="Arial"/>
            <w:noProof/>
            <w:webHidden/>
            <w:sz w:val="22"/>
            <w:szCs w:val="22"/>
          </w:rPr>
          <w:fldChar w:fldCharType="end"/>
        </w:r>
      </w:hyperlink>
    </w:p>
    <w:p w14:paraId="6446C970" w14:textId="2031347A"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89" w:history="1">
        <w:r w:rsidR="00354EEC" w:rsidRPr="00C06C7F">
          <w:rPr>
            <w:rStyle w:val="Hipervnculo"/>
            <w:rFonts w:ascii="Arial" w:hAnsi="Arial"/>
            <w:noProof/>
            <w:sz w:val="22"/>
            <w:szCs w:val="22"/>
            <w:lang w:val="es-PE"/>
          </w:rPr>
          <w:t>APÉNDICE 5.1: MECANISMO DE CERTIFICACIÓN DE AVANCE DEL MANTENIMIENTO PERIÓDICO INICIAL – CAMPI</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_Toc140089489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278</w:t>
        </w:r>
        <w:r w:rsidR="00354EEC" w:rsidRPr="00C06C7F">
          <w:rPr>
            <w:rFonts w:ascii="Arial" w:hAnsi="Arial"/>
            <w:noProof/>
            <w:webHidden/>
            <w:sz w:val="22"/>
            <w:szCs w:val="22"/>
          </w:rPr>
          <w:fldChar w:fldCharType="end"/>
        </w:r>
      </w:hyperlink>
    </w:p>
    <w:p w14:paraId="0AAAC6ED" w14:textId="766F12DD"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90" w:history="1">
        <w:r w:rsidR="00354EEC" w:rsidRPr="00C06C7F">
          <w:rPr>
            <w:rStyle w:val="Hipervnculo"/>
            <w:rFonts w:ascii="Arial" w:hAnsi="Arial"/>
            <w:noProof/>
            <w:sz w:val="22"/>
            <w:szCs w:val="22"/>
            <w:lang w:val="es-PE"/>
          </w:rPr>
          <w:t>APÉNDICE 5.2 : MODELO DE CERTIFICADO DE AVANCE DE MANTENIMIENTO PERIÓDICO INICIAL (CAMPI)</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_Toc140089490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283</w:t>
        </w:r>
        <w:r w:rsidR="00354EEC" w:rsidRPr="00C06C7F">
          <w:rPr>
            <w:rFonts w:ascii="Arial" w:hAnsi="Arial"/>
            <w:noProof/>
            <w:webHidden/>
            <w:sz w:val="22"/>
            <w:szCs w:val="22"/>
          </w:rPr>
          <w:fldChar w:fldCharType="end"/>
        </w:r>
      </w:hyperlink>
    </w:p>
    <w:p w14:paraId="549E2187" w14:textId="3BA339E3"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91" w:history="1">
        <w:r w:rsidR="00354EEC" w:rsidRPr="00C06C7F">
          <w:rPr>
            <w:rStyle w:val="Hipervnculo"/>
            <w:rFonts w:ascii="Arial" w:hAnsi="Arial"/>
            <w:noProof/>
            <w:sz w:val="22"/>
            <w:szCs w:val="22"/>
            <w:lang w:val="es-PE"/>
          </w:rPr>
          <w:t>APÉNDICE 6: SOBRE LA REMUNERACIÓN POR MANTENIMIENTO Y OPERACIÓN - RPMO</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_Toc140089491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284</w:t>
        </w:r>
        <w:r w:rsidR="00354EEC" w:rsidRPr="00C06C7F">
          <w:rPr>
            <w:rFonts w:ascii="Arial" w:hAnsi="Arial"/>
            <w:noProof/>
            <w:webHidden/>
            <w:sz w:val="22"/>
            <w:szCs w:val="22"/>
          </w:rPr>
          <w:fldChar w:fldCharType="end"/>
        </w:r>
      </w:hyperlink>
    </w:p>
    <w:p w14:paraId="5179110F" w14:textId="49759E59"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92" w:history="1">
        <w:r w:rsidR="00354EEC" w:rsidRPr="00C06C7F">
          <w:rPr>
            <w:rStyle w:val="Hipervnculo"/>
            <w:rFonts w:ascii="Arial" w:hAnsi="Arial"/>
            <w:noProof/>
            <w:sz w:val="22"/>
            <w:szCs w:val="22"/>
            <w:lang w:val="es-PE"/>
          </w:rPr>
          <w:t>APÉNDICE 7: SOBRE LA REMUNERACIÓN POR LA CONSTRUCCIÓN DEL EVITAMIENTO SAN CLEMENTE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_Toc140089492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288</w:t>
        </w:r>
        <w:r w:rsidR="00354EEC" w:rsidRPr="00C06C7F">
          <w:rPr>
            <w:rFonts w:ascii="Arial" w:hAnsi="Arial"/>
            <w:noProof/>
            <w:webHidden/>
            <w:sz w:val="22"/>
            <w:szCs w:val="22"/>
          </w:rPr>
          <w:fldChar w:fldCharType="end"/>
        </w:r>
      </w:hyperlink>
    </w:p>
    <w:p w14:paraId="2C903E33" w14:textId="3A123A8A" w:rsidR="00354EEC" w:rsidRPr="00C06C7F" w:rsidRDefault="00000000" w:rsidP="00E70E30">
      <w:pPr>
        <w:pStyle w:val="TDC1"/>
        <w:tabs>
          <w:tab w:val="right" w:leader="dot" w:pos="8495"/>
        </w:tabs>
        <w:spacing w:before="0"/>
        <w:rPr>
          <w:rFonts w:ascii="Arial" w:eastAsiaTheme="minorEastAsia" w:hAnsi="Arial" w:cs="Arial"/>
          <w:caps w:val="0"/>
          <w:noProof/>
          <w:kern w:val="2"/>
          <w:sz w:val="22"/>
          <w:szCs w:val="22"/>
          <w:lang w:val="es-PE" w:eastAsia="es-PE"/>
          <w14:ligatures w14:val="standardContextual"/>
        </w:rPr>
      </w:pPr>
      <w:hyperlink w:anchor="_Toc140089493" w:history="1">
        <w:r w:rsidR="00354EEC" w:rsidRPr="00C06C7F">
          <w:rPr>
            <w:rStyle w:val="Hipervnculo"/>
            <w:rFonts w:ascii="Arial" w:hAnsi="Arial" w:cs="Arial"/>
            <w:noProof/>
            <w:sz w:val="22"/>
            <w:szCs w:val="22"/>
            <w:lang w:val="es-PE"/>
          </w:rPr>
          <w:t>ANEXO XI</w:t>
        </w:r>
        <w:r w:rsidR="00354EEC" w:rsidRPr="00C06C7F">
          <w:rPr>
            <w:rStyle w:val="Hipervnculo"/>
            <w:rFonts w:ascii="Arial" w:hAnsi="Arial" w:cs="Arial"/>
            <w:noProof/>
            <w:sz w:val="22"/>
            <w:szCs w:val="22"/>
            <w:lang w:val="es-ES"/>
          </w:rPr>
          <w:t>I</w:t>
        </w:r>
        <w:r w:rsidR="00354EEC" w:rsidRPr="00C06C7F">
          <w:rPr>
            <w:rFonts w:ascii="Arial" w:hAnsi="Arial" w:cs="Arial"/>
            <w:noProof/>
            <w:webHidden/>
            <w:sz w:val="22"/>
            <w:szCs w:val="22"/>
          </w:rPr>
          <w:tab/>
        </w:r>
        <w:r w:rsidR="00354EEC" w:rsidRPr="00C06C7F">
          <w:rPr>
            <w:rFonts w:ascii="Arial" w:hAnsi="Arial" w:cs="Arial"/>
            <w:noProof/>
            <w:webHidden/>
            <w:sz w:val="22"/>
            <w:szCs w:val="22"/>
          </w:rPr>
          <w:fldChar w:fldCharType="begin"/>
        </w:r>
        <w:r w:rsidR="00354EEC" w:rsidRPr="00C06C7F">
          <w:rPr>
            <w:rFonts w:ascii="Arial" w:hAnsi="Arial" w:cs="Arial"/>
            <w:noProof/>
            <w:webHidden/>
            <w:sz w:val="22"/>
            <w:szCs w:val="22"/>
          </w:rPr>
          <w:instrText xml:space="preserve"> PAGEREF _Toc140089493 \h </w:instrText>
        </w:r>
        <w:r w:rsidR="00354EEC" w:rsidRPr="00C06C7F">
          <w:rPr>
            <w:rFonts w:ascii="Arial" w:hAnsi="Arial" w:cs="Arial"/>
            <w:noProof/>
            <w:webHidden/>
            <w:sz w:val="22"/>
            <w:szCs w:val="22"/>
          </w:rPr>
        </w:r>
        <w:r w:rsidR="00354EEC" w:rsidRPr="00C06C7F">
          <w:rPr>
            <w:rFonts w:ascii="Arial" w:hAnsi="Arial" w:cs="Arial"/>
            <w:noProof/>
            <w:webHidden/>
            <w:sz w:val="22"/>
            <w:szCs w:val="22"/>
          </w:rPr>
          <w:fldChar w:fldCharType="separate"/>
        </w:r>
        <w:r w:rsidR="0077125D">
          <w:rPr>
            <w:rFonts w:ascii="Arial" w:hAnsi="Arial" w:cs="Arial"/>
            <w:noProof/>
            <w:webHidden/>
            <w:sz w:val="22"/>
            <w:szCs w:val="22"/>
          </w:rPr>
          <w:t>292</w:t>
        </w:r>
        <w:r w:rsidR="00354EEC" w:rsidRPr="00C06C7F">
          <w:rPr>
            <w:rFonts w:ascii="Arial" w:hAnsi="Arial" w:cs="Arial"/>
            <w:noProof/>
            <w:webHidden/>
            <w:sz w:val="22"/>
            <w:szCs w:val="22"/>
          </w:rPr>
          <w:fldChar w:fldCharType="end"/>
        </w:r>
      </w:hyperlink>
    </w:p>
    <w:p w14:paraId="34AEE486" w14:textId="41A8CCDB" w:rsidR="00354EEC" w:rsidRPr="00C06C7F" w:rsidRDefault="00000000" w:rsidP="00E70E30">
      <w:pPr>
        <w:pStyle w:val="TDC2"/>
        <w:tabs>
          <w:tab w:val="right" w:leader="dot" w:pos="8495"/>
        </w:tabs>
        <w:spacing w:before="0"/>
        <w:rPr>
          <w:rFonts w:ascii="Arial" w:eastAsiaTheme="minorEastAsia" w:hAnsi="Arial"/>
          <w:noProof/>
          <w:kern w:val="2"/>
          <w:sz w:val="22"/>
          <w:szCs w:val="22"/>
          <w:lang w:val="es-PE" w:eastAsia="es-PE"/>
          <w14:ligatures w14:val="standardContextual"/>
        </w:rPr>
      </w:pPr>
      <w:hyperlink w:anchor="_Toc140089494" w:history="1">
        <w:r w:rsidR="00354EEC" w:rsidRPr="00C06C7F">
          <w:rPr>
            <w:rStyle w:val="Hipervnculo"/>
            <w:rFonts w:ascii="Arial" w:hAnsi="Arial"/>
            <w:noProof/>
            <w:sz w:val="22"/>
            <w:szCs w:val="22"/>
            <w:lang w:val="es-PE"/>
          </w:rPr>
          <w:t>ACTIVACIÓN Y CONDICIONES PARA EL COBRO EN LAS UNIDADES DE PEAJE</w:t>
        </w:r>
        <w:r w:rsidR="00354EEC" w:rsidRPr="00C06C7F">
          <w:rPr>
            <w:rFonts w:ascii="Arial" w:hAnsi="Arial"/>
            <w:noProof/>
            <w:webHidden/>
            <w:sz w:val="22"/>
            <w:szCs w:val="22"/>
          </w:rPr>
          <w:tab/>
        </w:r>
        <w:r w:rsidR="00354EEC" w:rsidRPr="00C06C7F">
          <w:rPr>
            <w:rFonts w:ascii="Arial" w:hAnsi="Arial"/>
            <w:noProof/>
            <w:webHidden/>
            <w:sz w:val="22"/>
            <w:szCs w:val="22"/>
          </w:rPr>
          <w:fldChar w:fldCharType="begin"/>
        </w:r>
        <w:r w:rsidR="00354EEC" w:rsidRPr="00C06C7F">
          <w:rPr>
            <w:rFonts w:ascii="Arial" w:hAnsi="Arial"/>
            <w:noProof/>
            <w:webHidden/>
            <w:sz w:val="22"/>
            <w:szCs w:val="22"/>
          </w:rPr>
          <w:instrText xml:space="preserve"> PAGEREF _Toc140089494 \h </w:instrText>
        </w:r>
        <w:r w:rsidR="00354EEC" w:rsidRPr="00C06C7F">
          <w:rPr>
            <w:rFonts w:ascii="Arial" w:hAnsi="Arial"/>
            <w:noProof/>
            <w:webHidden/>
            <w:sz w:val="22"/>
            <w:szCs w:val="22"/>
          </w:rPr>
        </w:r>
        <w:r w:rsidR="00354EEC" w:rsidRPr="00C06C7F">
          <w:rPr>
            <w:rFonts w:ascii="Arial" w:hAnsi="Arial"/>
            <w:noProof/>
            <w:webHidden/>
            <w:sz w:val="22"/>
            <w:szCs w:val="22"/>
          </w:rPr>
          <w:fldChar w:fldCharType="separate"/>
        </w:r>
        <w:r w:rsidR="0077125D">
          <w:rPr>
            <w:rFonts w:ascii="Arial" w:hAnsi="Arial"/>
            <w:noProof/>
            <w:webHidden/>
            <w:sz w:val="22"/>
            <w:szCs w:val="22"/>
          </w:rPr>
          <w:t>292</w:t>
        </w:r>
        <w:r w:rsidR="00354EEC" w:rsidRPr="00C06C7F">
          <w:rPr>
            <w:rFonts w:ascii="Arial" w:hAnsi="Arial"/>
            <w:noProof/>
            <w:webHidden/>
            <w:sz w:val="22"/>
            <w:szCs w:val="22"/>
          </w:rPr>
          <w:fldChar w:fldCharType="end"/>
        </w:r>
      </w:hyperlink>
    </w:p>
    <w:p w14:paraId="25717732" w14:textId="3481B2C9" w:rsidR="004412F1" w:rsidRPr="00E70E30" w:rsidRDefault="005A12A3" w:rsidP="00E70E30">
      <w:pPr>
        <w:rPr>
          <w:rFonts w:eastAsia="SimSun"/>
          <w:b/>
          <w:bCs/>
          <w:highlight w:val="yellow"/>
          <w:lang w:val="es-ES" w:eastAsia="zh-CN"/>
        </w:rPr>
      </w:pPr>
      <w:r w:rsidRPr="00E70E30">
        <w:rPr>
          <w:rFonts w:eastAsia="SimSun"/>
          <w:caps/>
          <w:highlight w:val="yellow"/>
          <w:lang w:val="es-ES" w:eastAsia="zh-CN"/>
        </w:rPr>
        <w:fldChar w:fldCharType="end"/>
      </w:r>
    </w:p>
    <w:p w14:paraId="0CF686CB" w14:textId="77777777" w:rsidR="004412F1" w:rsidRDefault="004412F1">
      <w:pPr>
        <w:jc w:val="center"/>
        <w:rPr>
          <w:rFonts w:eastAsia="SimSun"/>
          <w:b/>
          <w:bCs/>
          <w:highlight w:val="yellow"/>
          <w:lang w:val="es-ES" w:eastAsia="zh-CN"/>
        </w:rPr>
      </w:pPr>
    </w:p>
    <w:p w14:paraId="689DD41D" w14:textId="77777777" w:rsidR="004412F1" w:rsidRDefault="004412F1">
      <w:pPr>
        <w:tabs>
          <w:tab w:val="right" w:leader="dot" w:pos="9214"/>
        </w:tabs>
        <w:ind w:right="-142"/>
        <w:rPr>
          <w:rFonts w:eastAsia="Times New Roman"/>
          <w:b/>
          <w:caps/>
          <w:lang w:val="es-PE" w:eastAsia="es-ES"/>
        </w:rPr>
      </w:pPr>
    </w:p>
    <w:p w14:paraId="09DF497C" w14:textId="77777777" w:rsidR="004412F1" w:rsidRDefault="004412F1">
      <w:pPr>
        <w:tabs>
          <w:tab w:val="right" w:leader="dot" w:pos="9214"/>
        </w:tabs>
        <w:ind w:right="-142"/>
        <w:rPr>
          <w:rFonts w:eastAsia="Times New Roman"/>
          <w:b/>
          <w:caps/>
          <w:lang w:val="es-PE" w:eastAsia="es-ES"/>
        </w:rPr>
      </w:pPr>
    </w:p>
    <w:p w14:paraId="5612D191" w14:textId="77777777" w:rsidR="004412F1" w:rsidRDefault="004412F1">
      <w:pPr>
        <w:tabs>
          <w:tab w:val="right" w:leader="dot" w:pos="9214"/>
        </w:tabs>
        <w:ind w:right="-142"/>
        <w:rPr>
          <w:rFonts w:eastAsia="Times New Roman"/>
          <w:b/>
          <w:caps/>
          <w:lang w:val="es-PE" w:eastAsia="es-ES"/>
        </w:rPr>
      </w:pPr>
    </w:p>
    <w:p w14:paraId="4BBA680E" w14:textId="77777777" w:rsidR="00354EEC" w:rsidRDefault="00354EEC">
      <w:pPr>
        <w:tabs>
          <w:tab w:val="right" w:leader="dot" w:pos="9214"/>
        </w:tabs>
        <w:ind w:right="-142"/>
        <w:rPr>
          <w:rFonts w:eastAsia="Times New Roman"/>
          <w:b/>
          <w:caps/>
          <w:lang w:val="es-PE" w:eastAsia="es-ES"/>
        </w:rPr>
      </w:pPr>
    </w:p>
    <w:p w14:paraId="51CAFD7F" w14:textId="77777777" w:rsidR="00354EEC" w:rsidRDefault="00354EEC">
      <w:pPr>
        <w:tabs>
          <w:tab w:val="right" w:leader="dot" w:pos="9214"/>
        </w:tabs>
        <w:ind w:right="-142"/>
        <w:rPr>
          <w:rFonts w:eastAsia="Times New Roman"/>
          <w:b/>
          <w:caps/>
          <w:lang w:val="es-PE" w:eastAsia="es-ES"/>
        </w:rPr>
      </w:pPr>
    </w:p>
    <w:p w14:paraId="098A682B" w14:textId="77777777" w:rsidR="00354EEC" w:rsidRDefault="00354EEC">
      <w:pPr>
        <w:tabs>
          <w:tab w:val="right" w:leader="dot" w:pos="9214"/>
        </w:tabs>
        <w:ind w:right="-142"/>
        <w:rPr>
          <w:rFonts w:eastAsia="Times New Roman"/>
          <w:b/>
          <w:caps/>
          <w:lang w:val="es-PE" w:eastAsia="es-ES"/>
        </w:rPr>
      </w:pPr>
    </w:p>
    <w:p w14:paraId="0D472623" w14:textId="77777777" w:rsidR="00354EEC" w:rsidRDefault="00354EEC">
      <w:pPr>
        <w:tabs>
          <w:tab w:val="right" w:leader="dot" w:pos="9214"/>
        </w:tabs>
        <w:ind w:right="-142"/>
        <w:rPr>
          <w:rFonts w:eastAsia="Times New Roman"/>
          <w:b/>
          <w:caps/>
          <w:lang w:val="es-PE" w:eastAsia="es-ES"/>
        </w:rPr>
      </w:pPr>
    </w:p>
    <w:p w14:paraId="68532AC4" w14:textId="77777777" w:rsidR="00354EEC" w:rsidRDefault="00354EEC">
      <w:pPr>
        <w:tabs>
          <w:tab w:val="right" w:leader="dot" w:pos="9214"/>
        </w:tabs>
        <w:ind w:right="-142"/>
        <w:rPr>
          <w:rFonts w:eastAsia="Times New Roman"/>
          <w:b/>
          <w:caps/>
          <w:lang w:val="es-PE" w:eastAsia="es-ES"/>
        </w:rPr>
      </w:pPr>
    </w:p>
    <w:p w14:paraId="63852287" w14:textId="77777777" w:rsidR="00354EEC" w:rsidRDefault="00354EEC">
      <w:pPr>
        <w:tabs>
          <w:tab w:val="right" w:leader="dot" w:pos="9214"/>
        </w:tabs>
        <w:ind w:right="-142"/>
        <w:rPr>
          <w:rFonts w:eastAsia="Times New Roman"/>
          <w:b/>
          <w:caps/>
          <w:lang w:val="es-PE" w:eastAsia="es-ES"/>
        </w:rPr>
      </w:pPr>
    </w:p>
    <w:p w14:paraId="2AFE985F" w14:textId="77777777" w:rsidR="004412F1" w:rsidRDefault="004412F1">
      <w:pPr>
        <w:tabs>
          <w:tab w:val="right" w:leader="dot" w:pos="9214"/>
        </w:tabs>
        <w:ind w:right="-142"/>
        <w:rPr>
          <w:rFonts w:eastAsia="Times New Roman"/>
          <w:b/>
          <w:caps/>
          <w:lang w:val="es-PE" w:eastAsia="es-ES"/>
        </w:rPr>
      </w:pPr>
    </w:p>
    <w:p w14:paraId="04282F2F" w14:textId="77777777" w:rsidR="004412F1" w:rsidRDefault="004412F1">
      <w:pPr>
        <w:tabs>
          <w:tab w:val="right" w:leader="dot" w:pos="9214"/>
        </w:tabs>
        <w:ind w:right="-142"/>
        <w:rPr>
          <w:rFonts w:eastAsia="Times New Roman"/>
          <w:b/>
          <w:caps/>
          <w:lang w:val="es-PE" w:eastAsia="es-ES"/>
        </w:rPr>
      </w:pPr>
    </w:p>
    <w:p w14:paraId="7276324C" w14:textId="77777777" w:rsidR="00837888" w:rsidRDefault="00837888">
      <w:pPr>
        <w:tabs>
          <w:tab w:val="right" w:leader="dot" w:pos="9214"/>
        </w:tabs>
        <w:ind w:right="-142"/>
        <w:rPr>
          <w:rFonts w:eastAsia="Times New Roman"/>
          <w:b/>
          <w:caps/>
          <w:lang w:val="es-PE" w:eastAsia="es-ES"/>
        </w:rPr>
      </w:pPr>
    </w:p>
    <w:p w14:paraId="7E99F71A" w14:textId="77777777" w:rsidR="00837888" w:rsidRDefault="00837888">
      <w:pPr>
        <w:tabs>
          <w:tab w:val="right" w:leader="dot" w:pos="9214"/>
        </w:tabs>
        <w:ind w:right="-142"/>
        <w:rPr>
          <w:rFonts w:eastAsia="Times New Roman"/>
          <w:b/>
          <w:caps/>
          <w:lang w:val="es-PE" w:eastAsia="es-ES"/>
        </w:rPr>
      </w:pPr>
    </w:p>
    <w:p w14:paraId="4AD0114B" w14:textId="77777777" w:rsidR="00837888" w:rsidRDefault="00837888">
      <w:pPr>
        <w:tabs>
          <w:tab w:val="right" w:leader="dot" w:pos="9214"/>
        </w:tabs>
        <w:ind w:right="-142"/>
        <w:rPr>
          <w:rFonts w:eastAsia="Times New Roman"/>
          <w:b/>
          <w:caps/>
          <w:lang w:val="es-PE" w:eastAsia="es-ES"/>
        </w:rPr>
      </w:pPr>
    </w:p>
    <w:p w14:paraId="108941A1" w14:textId="77777777" w:rsidR="00837888" w:rsidRDefault="00837888">
      <w:pPr>
        <w:tabs>
          <w:tab w:val="right" w:leader="dot" w:pos="9214"/>
        </w:tabs>
        <w:ind w:right="-142"/>
        <w:rPr>
          <w:rFonts w:eastAsia="Times New Roman"/>
          <w:b/>
          <w:caps/>
          <w:lang w:val="es-PE" w:eastAsia="es-ES"/>
        </w:rPr>
      </w:pPr>
    </w:p>
    <w:p w14:paraId="427C992C" w14:textId="77777777" w:rsidR="00837888" w:rsidRDefault="00837888">
      <w:pPr>
        <w:tabs>
          <w:tab w:val="right" w:leader="dot" w:pos="9214"/>
        </w:tabs>
        <w:ind w:right="-142"/>
        <w:rPr>
          <w:rFonts w:eastAsia="Times New Roman"/>
          <w:b/>
          <w:caps/>
          <w:lang w:val="es-PE" w:eastAsia="es-ES"/>
        </w:rPr>
      </w:pPr>
    </w:p>
    <w:p w14:paraId="2D3B8DC6" w14:textId="77777777" w:rsidR="00837888" w:rsidRDefault="00837888">
      <w:pPr>
        <w:tabs>
          <w:tab w:val="right" w:leader="dot" w:pos="9214"/>
        </w:tabs>
        <w:ind w:right="-142"/>
        <w:rPr>
          <w:rFonts w:eastAsia="Times New Roman"/>
          <w:b/>
          <w:caps/>
          <w:lang w:val="es-PE" w:eastAsia="es-ES"/>
        </w:rPr>
      </w:pPr>
    </w:p>
    <w:p w14:paraId="72D44FAC" w14:textId="77777777" w:rsidR="00837888" w:rsidRDefault="00837888">
      <w:pPr>
        <w:tabs>
          <w:tab w:val="right" w:leader="dot" w:pos="9214"/>
        </w:tabs>
        <w:ind w:right="-142"/>
        <w:rPr>
          <w:rFonts w:eastAsia="Times New Roman"/>
          <w:b/>
          <w:caps/>
          <w:lang w:val="es-PE" w:eastAsia="es-ES"/>
        </w:rPr>
      </w:pPr>
    </w:p>
    <w:p w14:paraId="10F9AE72" w14:textId="77777777" w:rsidR="00837888" w:rsidRDefault="00837888">
      <w:pPr>
        <w:tabs>
          <w:tab w:val="right" w:leader="dot" w:pos="9214"/>
        </w:tabs>
        <w:ind w:right="-142"/>
        <w:rPr>
          <w:rFonts w:eastAsia="Times New Roman"/>
          <w:b/>
          <w:caps/>
          <w:lang w:val="es-PE" w:eastAsia="es-ES"/>
        </w:rPr>
      </w:pPr>
    </w:p>
    <w:p w14:paraId="5FB9B9C3" w14:textId="77777777" w:rsidR="00837888" w:rsidRDefault="00837888">
      <w:pPr>
        <w:tabs>
          <w:tab w:val="right" w:leader="dot" w:pos="9214"/>
        </w:tabs>
        <w:ind w:right="-142"/>
        <w:rPr>
          <w:rFonts w:eastAsia="Times New Roman"/>
          <w:b/>
          <w:caps/>
          <w:lang w:val="es-PE" w:eastAsia="es-ES"/>
        </w:rPr>
      </w:pPr>
    </w:p>
    <w:p w14:paraId="066005EE" w14:textId="77777777" w:rsidR="00837888" w:rsidRDefault="00837888">
      <w:pPr>
        <w:tabs>
          <w:tab w:val="right" w:leader="dot" w:pos="9214"/>
        </w:tabs>
        <w:ind w:right="-142"/>
        <w:rPr>
          <w:rFonts w:eastAsia="Times New Roman"/>
          <w:b/>
          <w:caps/>
          <w:lang w:val="es-PE" w:eastAsia="es-ES"/>
        </w:rPr>
      </w:pPr>
    </w:p>
    <w:p w14:paraId="4807917B" w14:textId="77777777" w:rsidR="00837888" w:rsidRDefault="00837888">
      <w:pPr>
        <w:tabs>
          <w:tab w:val="right" w:leader="dot" w:pos="9214"/>
        </w:tabs>
        <w:ind w:right="-142"/>
        <w:rPr>
          <w:rFonts w:eastAsia="Times New Roman"/>
          <w:b/>
          <w:caps/>
          <w:lang w:val="es-PE" w:eastAsia="es-ES"/>
        </w:rPr>
      </w:pPr>
    </w:p>
    <w:p w14:paraId="6FCC8916" w14:textId="77777777" w:rsidR="00837888" w:rsidRDefault="00837888">
      <w:pPr>
        <w:tabs>
          <w:tab w:val="right" w:leader="dot" w:pos="9214"/>
        </w:tabs>
        <w:ind w:right="-142"/>
        <w:rPr>
          <w:rFonts w:eastAsia="Times New Roman"/>
          <w:b/>
          <w:caps/>
          <w:lang w:val="es-PE" w:eastAsia="es-ES"/>
        </w:rPr>
      </w:pPr>
    </w:p>
    <w:p w14:paraId="5A2A06BD" w14:textId="77777777" w:rsidR="00837888" w:rsidRDefault="00837888">
      <w:pPr>
        <w:tabs>
          <w:tab w:val="right" w:leader="dot" w:pos="9214"/>
        </w:tabs>
        <w:ind w:right="-142"/>
        <w:rPr>
          <w:rFonts w:eastAsia="Times New Roman"/>
          <w:b/>
          <w:caps/>
          <w:lang w:val="es-PE" w:eastAsia="es-ES"/>
        </w:rPr>
      </w:pPr>
    </w:p>
    <w:p w14:paraId="62F53C0E" w14:textId="77777777" w:rsidR="00837888" w:rsidRDefault="00837888">
      <w:pPr>
        <w:tabs>
          <w:tab w:val="right" w:leader="dot" w:pos="9214"/>
        </w:tabs>
        <w:ind w:right="-142"/>
        <w:rPr>
          <w:rFonts w:eastAsia="Times New Roman"/>
          <w:b/>
          <w:caps/>
          <w:lang w:val="es-PE" w:eastAsia="es-ES"/>
        </w:rPr>
      </w:pPr>
    </w:p>
    <w:p w14:paraId="2EF192C6" w14:textId="77777777" w:rsidR="00837888" w:rsidRDefault="00837888">
      <w:pPr>
        <w:tabs>
          <w:tab w:val="right" w:leader="dot" w:pos="9214"/>
        </w:tabs>
        <w:ind w:right="-142"/>
        <w:rPr>
          <w:rFonts w:eastAsia="Times New Roman"/>
          <w:b/>
          <w:caps/>
          <w:lang w:val="es-PE" w:eastAsia="es-ES"/>
        </w:rPr>
      </w:pPr>
    </w:p>
    <w:p w14:paraId="6B744E60" w14:textId="77777777" w:rsidR="00837888" w:rsidRDefault="00837888">
      <w:pPr>
        <w:tabs>
          <w:tab w:val="right" w:leader="dot" w:pos="9214"/>
        </w:tabs>
        <w:ind w:right="-142"/>
        <w:rPr>
          <w:rFonts w:eastAsia="Times New Roman"/>
          <w:b/>
          <w:caps/>
          <w:lang w:val="es-PE" w:eastAsia="es-ES"/>
        </w:rPr>
      </w:pPr>
    </w:p>
    <w:p w14:paraId="14A6DA2B" w14:textId="77777777" w:rsidR="004412F1" w:rsidRDefault="004412F1">
      <w:pPr>
        <w:tabs>
          <w:tab w:val="right" w:leader="dot" w:pos="9214"/>
        </w:tabs>
        <w:ind w:right="-142"/>
        <w:rPr>
          <w:rFonts w:eastAsia="Times New Roman"/>
          <w:b/>
          <w:caps/>
          <w:lang w:val="es-PE" w:eastAsia="es-ES"/>
        </w:rPr>
      </w:pPr>
    </w:p>
    <w:p w14:paraId="5858BF02" w14:textId="77777777" w:rsidR="004412F1" w:rsidRDefault="005A12A3">
      <w:pPr>
        <w:tabs>
          <w:tab w:val="right" w:pos="9214"/>
        </w:tabs>
        <w:ind w:right="-142"/>
        <w:rPr>
          <w:b/>
          <w:color w:val="000000"/>
          <w:lang w:val="es-PE"/>
        </w:rPr>
      </w:pPr>
      <w:r>
        <w:rPr>
          <w:b/>
          <w:color w:val="000000"/>
          <w:lang w:val="es-PE"/>
        </w:rPr>
        <w:lastRenderedPageBreak/>
        <w:t>CONTRATO DE CONCESIÓN</w:t>
      </w:r>
    </w:p>
    <w:p w14:paraId="5FA482AC" w14:textId="77777777" w:rsidR="004412F1" w:rsidRDefault="004412F1">
      <w:pPr>
        <w:jc w:val="center"/>
        <w:rPr>
          <w:b/>
          <w:bCs/>
          <w:lang w:val="es-PE"/>
        </w:rPr>
      </w:pPr>
    </w:p>
    <w:p w14:paraId="4535DD3F" w14:textId="77777777" w:rsidR="004412F1" w:rsidRDefault="005A12A3">
      <w:pPr>
        <w:jc w:val="both"/>
        <w:rPr>
          <w:color w:val="000000"/>
          <w:lang w:val="es-ES"/>
        </w:rPr>
      </w:pPr>
      <w:r>
        <w:rPr>
          <w:color w:val="000000"/>
          <w:lang w:val="es-ES"/>
        </w:rPr>
        <w:t>Señor Notario:</w:t>
      </w:r>
    </w:p>
    <w:p w14:paraId="3E758EC8" w14:textId="77777777" w:rsidR="004412F1" w:rsidRDefault="004412F1">
      <w:pPr>
        <w:jc w:val="both"/>
        <w:rPr>
          <w:color w:val="000000"/>
          <w:lang w:val="es-ES"/>
        </w:rPr>
      </w:pPr>
    </w:p>
    <w:p w14:paraId="3EF360C7" w14:textId="77777777" w:rsidR="004412F1" w:rsidRDefault="005A12A3">
      <w:pPr>
        <w:jc w:val="both"/>
        <w:rPr>
          <w:color w:val="000000"/>
          <w:lang w:val="es-ES"/>
        </w:rPr>
      </w:pPr>
      <w:r>
        <w:rPr>
          <w:color w:val="000000"/>
          <w:lang w:val="es-ES"/>
        </w:rPr>
        <w:t xml:space="preserve">Sírvase extender en su Registro de Escrituras Públicas una en la que conste el Contrato de Concesión </w:t>
      </w:r>
      <w:r>
        <w:rPr>
          <w:color w:val="000000"/>
          <w:lang w:val="es-PE"/>
        </w:rPr>
        <w:t xml:space="preserve">de la Carretera Longitudinal de la Sierra Tramo 4: Huancayo – Izcuchaca – Mayocc - Ayacucho/Ayacucho – Andahuaylas - Puente Sahuinto/Dv. Pisco – Huaytará - Ayacucho, suscrito </w:t>
      </w:r>
      <w:r>
        <w:rPr>
          <w:color w:val="000000"/>
          <w:lang w:val="es-ES"/>
        </w:rPr>
        <w:t xml:space="preserve">entre el Estado de la República del Perú, en adelante el CONCEDENTE, actuando a través del Ministerio de Transportes y Comunicaciones, facultado por el numeral </w:t>
      </w:r>
      <w:r>
        <w:rPr>
          <w:color w:val="000000"/>
          <w:lang w:val="es-PE"/>
        </w:rPr>
        <w:t>[]</w:t>
      </w:r>
      <w:r>
        <w:rPr>
          <w:color w:val="000000"/>
          <w:lang w:val="es-ES"/>
        </w:rPr>
        <w:t xml:space="preserve"> del Artículo </w:t>
      </w:r>
      <w:r>
        <w:rPr>
          <w:color w:val="000000"/>
          <w:lang w:val="es-PE"/>
        </w:rPr>
        <w:t>[],</w:t>
      </w:r>
      <w:r>
        <w:rPr>
          <w:color w:val="000000"/>
          <w:lang w:val="es-ES"/>
        </w:rPr>
        <w:t xml:space="preserve"> Inciso </w:t>
      </w:r>
      <w:r>
        <w:rPr>
          <w:color w:val="000000"/>
          <w:lang w:val="es-PE"/>
        </w:rPr>
        <w:t>[]</w:t>
      </w:r>
      <w:r>
        <w:rPr>
          <w:color w:val="000000"/>
          <w:lang w:val="es-ES"/>
        </w:rPr>
        <w:t xml:space="preserve"> del Decreto Legislativo Nº </w:t>
      </w:r>
      <w:r>
        <w:rPr>
          <w:color w:val="000000"/>
          <w:lang w:val="es-PE"/>
        </w:rPr>
        <w:t>1362</w:t>
      </w:r>
      <w:r>
        <w:rPr>
          <w:color w:val="000000"/>
          <w:lang w:val="es-ES"/>
        </w:rPr>
        <w:t>-, con domicilio en Jirón Zorritos Nº 1203  Lima, Perú, debidamente representado por ___________________________, con D.N.I. Nº ___________, debidamente facultado mediante Resolución Ministerial Nº _______ de fecha _______, y de la otra parte, _____________________________, en adelante  el  CONCESIONARIO, con domicilio en _________________________________, debidamente representada por ___________________________, con D.N.I. Nº __________________________, con domicilio en _____________________________, debidamente facultado(s) al efecto por__________________.</w:t>
      </w:r>
    </w:p>
    <w:p w14:paraId="19D48F22" w14:textId="77777777" w:rsidR="004412F1" w:rsidRDefault="004412F1">
      <w:pPr>
        <w:jc w:val="both"/>
        <w:rPr>
          <w:lang w:val="es-PE"/>
        </w:rPr>
      </w:pPr>
      <w:bookmarkStart w:id="0" w:name="_Toc131329220"/>
      <w:bookmarkStart w:id="1" w:name="_Toc131328652"/>
      <w:bookmarkStart w:id="2" w:name="_Toc134448701"/>
      <w:bookmarkStart w:id="3" w:name="_Toc131329807"/>
      <w:bookmarkStart w:id="4" w:name="_Toc55906319"/>
      <w:bookmarkStart w:id="5" w:name="_Toc131328988"/>
      <w:bookmarkStart w:id="6" w:name="_Toc131327821"/>
      <w:bookmarkStart w:id="7" w:name="_Toc131332815"/>
      <w:bookmarkStart w:id="8" w:name="_Toc131331894"/>
    </w:p>
    <w:p w14:paraId="0A83C0DB" w14:textId="77777777" w:rsidR="004412F1" w:rsidRDefault="005A12A3">
      <w:pPr>
        <w:pStyle w:val="Ttulo1"/>
        <w:rPr>
          <w:b w:val="0"/>
          <w:bCs w:val="0"/>
        </w:rPr>
      </w:pPr>
      <w:bookmarkStart w:id="9" w:name="_gjdgxs" w:colFirst="0" w:colLast="0"/>
      <w:bookmarkStart w:id="10" w:name="_Toc139294692"/>
      <w:bookmarkStart w:id="11" w:name="_Toc468837504"/>
      <w:bookmarkStart w:id="12" w:name="_Toc140089290"/>
      <w:bookmarkEnd w:id="9"/>
      <w:r>
        <w:t>CAPÍTULO I: ANTECEDENTES Y DEFINICIONES</w:t>
      </w:r>
      <w:bookmarkEnd w:id="0"/>
      <w:bookmarkEnd w:id="1"/>
      <w:bookmarkEnd w:id="2"/>
      <w:bookmarkEnd w:id="3"/>
      <w:bookmarkEnd w:id="4"/>
      <w:bookmarkEnd w:id="5"/>
      <w:bookmarkEnd w:id="6"/>
      <w:bookmarkEnd w:id="7"/>
      <w:bookmarkEnd w:id="8"/>
      <w:bookmarkEnd w:id="10"/>
      <w:bookmarkEnd w:id="11"/>
      <w:bookmarkEnd w:id="12"/>
    </w:p>
    <w:p w14:paraId="7B8A3931" w14:textId="77777777" w:rsidR="004412F1" w:rsidRDefault="004412F1">
      <w:pPr>
        <w:jc w:val="both"/>
      </w:pPr>
    </w:p>
    <w:p w14:paraId="00C11061" w14:textId="77777777" w:rsidR="004412F1" w:rsidRDefault="005A12A3">
      <w:pPr>
        <w:pStyle w:val="Ttulo2"/>
        <w:numPr>
          <w:ilvl w:val="1"/>
          <w:numId w:val="70"/>
        </w:numPr>
        <w:rPr>
          <w:rFonts w:ascii="Arial" w:eastAsia="Arial" w:hAnsi="Arial" w:cs="Arial"/>
          <w:b/>
          <w:bCs/>
          <w:u w:val="none"/>
        </w:rPr>
      </w:pPr>
      <w:bookmarkStart w:id="13" w:name="_30j0zll" w:colFirst="0" w:colLast="0"/>
      <w:bookmarkStart w:id="14" w:name="_Toc55906320"/>
      <w:bookmarkStart w:id="15" w:name="_Toc131329221"/>
      <w:bookmarkStart w:id="16" w:name="_Toc131328653"/>
      <w:bookmarkStart w:id="17" w:name="_Toc131328989"/>
      <w:bookmarkStart w:id="18" w:name="_Toc131327822"/>
      <w:bookmarkStart w:id="19" w:name="_Toc131332816"/>
      <w:bookmarkStart w:id="20" w:name="_Toc139294693"/>
      <w:bookmarkStart w:id="21" w:name="_Toc131329808"/>
      <w:bookmarkStart w:id="22" w:name="_Toc131331895"/>
      <w:bookmarkStart w:id="23" w:name="_Toc134448702"/>
      <w:bookmarkStart w:id="24" w:name="_Toc468837505"/>
      <w:bookmarkStart w:id="25" w:name="_Toc140089291"/>
      <w:bookmarkEnd w:id="13"/>
      <w:r>
        <w:rPr>
          <w:rFonts w:ascii="Arial" w:eastAsia="Arial" w:hAnsi="Arial" w:cs="Arial"/>
          <w:b/>
          <w:bCs/>
          <w:u w:val="none"/>
        </w:rPr>
        <w:t>A</w:t>
      </w:r>
      <w:bookmarkEnd w:id="14"/>
      <w:bookmarkEnd w:id="15"/>
      <w:bookmarkEnd w:id="16"/>
      <w:bookmarkEnd w:id="17"/>
      <w:bookmarkEnd w:id="18"/>
      <w:r>
        <w:rPr>
          <w:rFonts w:ascii="Arial" w:eastAsia="Arial" w:hAnsi="Arial" w:cs="Arial"/>
          <w:b/>
          <w:bCs/>
          <w:u w:val="none"/>
        </w:rPr>
        <w:t>ntecedentes</w:t>
      </w:r>
      <w:bookmarkEnd w:id="19"/>
      <w:bookmarkEnd w:id="20"/>
      <w:bookmarkEnd w:id="21"/>
      <w:bookmarkEnd w:id="22"/>
      <w:bookmarkEnd w:id="23"/>
      <w:bookmarkEnd w:id="24"/>
      <w:bookmarkEnd w:id="25"/>
    </w:p>
    <w:p w14:paraId="099E0B38" w14:textId="77777777" w:rsidR="004412F1" w:rsidRDefault="004412F1">
      <w:pPr>
        <w:jc w:val="both"/>
      </w:pPr>
    </w:p>
    <w:p w14:paraId="0F211CBE" w14:textId="77777777" w:rsidR="004412F1" w:rsidRDefault="005A12A3">
      <w:pPr>
        <w:numPr>
          <w:ilvl w:val="2"/>
          <w:numId w:val="71"/>
        </w:numPr>
        <w:ind w:left="880" w:hanging="880"/>
        <w:jc w:val="both"/>
        <w:rPr>
          <w:color w:val="000000"/>
          <w:lang w:val="es-PE"/>
        </w:rPr>
      </w:pPr>
      <w:r>
        <w:rPr>
          <w:color w:val="000000"/>
          <w:lang w:val="es-PE"/>
        </w:rPr>
        <w:t>Oficio Nº 0128-2012-MTC/01 recibido el 24 de setiembre de 2012, mediante el cual el Ministerio de Transportes y Comunicaciones (en adelante MTC), solicita a PROINVERSIÓN se incorpore al proceso de promoción de la inversión privada el proyecto Longitudinal de la Sierra Tramo 4: Huancayo-Izcuchaca-Mayocc-Ayacucho, Ayacucho-Andahuaylas-Puente Sahuinto.</w:t>
      </w:r>
    </w:p>
    <w:p w14:paraId="04586940" w14:textId="77777777" w:rsidR="004412F1" w:rsidRDefault="004412F1">
      <w:pPr>
        <w:jc w:val="both"/>
        <w:rPr>
          <w:color w:val="000000"/>
          <w:lang w:val="es-PE"/>
        </w:rPr>
      </w:pPr>
    </w:p>
    <w:p w14:paraId="4ECA6B44" w14:textId="77777777" w:rsidR="004412F1" w:rsidRDefault="005A12A3">
      <w:pPr>
        <w:numPr>
          <w:ilvl w:val="2"/>
          <w:numId w:val="71"/>
        </w:numPr>
        <w:ind w:left="880" w:hanging="880"/>
        <w:jc w:val="both"/>
        <w:rPr>
          <w:color w:val="000000"/>
          <w:lang w:val="es-PE"/>
        </w:rPr>
      </w:pPr>
      <w:r>
        <w:rPr>
          <w:color w:val="000000" w:themeColor="text1"/>
          <w:lang w:val="es-PE"/>
        </w:rPr>
        <w:t xml:space="preserve">Sesión del 27 de marzo de 2013, en la que el Consejo Directivo de PROINVERSIÓN acordó incorporar al proceso de promoción de la inversión privada al proyecto Carretera Longitudinal de la Sierra Tramo 4 y asignó al Comité de PROINVERSIÓN en Proyectos de Infraestructura Vial, Infraestructura Ferroviaria e Infraestructura Aeroportuaria </w:t>
      </w:r>
      <w:proofErr w:type="gramStart"/>
      <w:r>
        <w:rPr>
          <w:color w:val="000000" w:themeColor="text1"/>
          <w:lang w:val="es-PE"/>
        </w:rPr>
        <w:t>PRO INTEGRACIÓN</w:t>
      </w:r>
      <w:proofErr w:type="gramEnd"/>
      <w:r>
        <w:rPr>
          <w:color w:val="000000" w:themeColor="text1"/>
          <w:lang w:val="es-PE"/>
        </w:rPr>
        <w:t xml:space="preserve"> la conducción del proceso respectivo.</w:t>
      </w:r>
    </w:p>
    <w:p w14:paraId="4681FBF0" w14:textId="77777777" w:rsidR="004412F1" w:rsidRDefault="004412F1">
      <w:pPr>
        <w:ind w:left="708"/>
        <w:rPr>
          <w:b/>
          <w:color w:val="000000"/>
          <w:lang w:val="es-PE"/>
        </w:rPr>
      </w:pPr>
    </w:p>
    <w:p w14:paraId="03AAFB76" w14:textId="77777777" w:rsidR="004412F1" w:rsidRDefault="005A12A3">
      <w:pPr>
        <w:numPr>
          <w:ilvl w:val="2"/>
          <w:numId w:val="71"/>
        </w:numPr>
        <w:ind w:left="880" w:hanging="880"/>
        <w:jc w:val="both"/>
        <w:rPr>
          <w:color w:val="000000"/>
          <w:lang w:val="es-PE"/>
        </w:rPr>
      </w:pPr>
      <w:r>
        <w:rPr>
          <w:color w:val="000000"/>
          <w:lang w:val="es-PE"/>
        </w:rPr>
        <w:t>Acuerdo del Consejo Directivo N° 641-2014-CPI del 17 de noviembre de 2014, mediante el cual aprueba, modificar el acuerdo de incorporación.</w:t>
      </w:r>
    </w:p>
    <w:p w14:paraId="517D861A" w14:textId="77777777" w:rsidR="004412F1" w:rsidRDefault="004412F1">
      <w:pPr>
        <w:jc w:val="both"/>
        <w:rPr>
          <w:color w:val="000000"/>
          <w:lang w:val="es-PE"/>
        </w:rPr>
      </w:pPr>
    </w:p>
    <w:p w14:paraId="578E820A" w14:textId="77777777" w:rsidR="004412F1" w:rsidRDefault="005A12A3">
      <w:pPr>
        <w:numPr>
          <w:ilvl w:val="2"/>
          <w:numId w:val="71"/>
        </w:numPr>
        <w:ind w:left="880" w:hanging="880"/>
        <w:jc w:val="both"/>
        <w:rPr>
          <w:color w:val="000000"/>
          <w:lang w:val="es-PE"/>
        </w:rPr>
      </w:pPr>
      <w:r>
        <w:rPr>
          <w:color w:val="000000"/>
          <w:lang w:val="es-PE"/>
        </w:rPr>
        <w:t>Resolución Suprema N° 001-2015-EF, publicada el 6 de enero de 2015 relacionada a la incorporación del proyecto al proceso de promoción de la inversión privada.</w:t>
      </w:r>
    </w:p>
    <w:p w14:paraId="111F975F" w14:textId="77777777" w:rsidR="004412F1" w:rsidRDefault="004412F1">
      <w:pPr>
        <w:jc w:val="both"/>
        <w:rPr>
          <w:color w:val="000000"/>
          <w:lang w:val="es-PE"/>
        </w:rPr>
      </w:pPr>
    </w:p>
    <w:p w14:paraId="03FED3E8" w14:textId="77777777" w:rsidR="004412F1" w:rsidRDefault="005A12A3">
      <w:pPr>
        <w:numPr>
          <w:ilvl w:val="2"/>
          <w:numId w:val="71"/>
        </w:numPr>
        <w:ind w:left="880" w:hanging="880"/>
        <w:jc w:val="both"/>
        <w:rPr>
          <w:color w:val="000000"/>
          <w:lang w:val="es-PE"/>
        </w:rPr>
      </w:pPr>
      <w:r>
        <w:rPr>
          <w:color w:val="000000"/>
          <w:lang w:val="es-PE"/>
        </w:rPr>
        <w:t>Acuerdo del Consejo Directivo del 26 de enero de 2015 aprobando el Plan de Promoción de la inversión privada para la entrega en concesión al sector privado de la Carretera Longitudinal de la Sierra Tramo 4: Huancayo – Izcuchaca – Mayocc - Ayacucho/Ayacucho – Andahuaylas - Puente Sahuinto/Dv. Pisco – Huaytará – Ayacucho, acuerdo publicado el 30 de enero de 2015 en el diario oficial El Peruano.</w:t>
      </w:r>
    </w:p>
    <w:p w14:paraId="62142E31" w14:textId="77777777" w:rsidR="004412F1" w:rsidRDefault="004412F1">
      <w:pPr>
        <w:jc w:val="both"/>
        <w:rPr>
          <w:color w:val="000000"/>
          <w:lang w:val="es-PE"/>
        </w:rPr>
      </w:pPr>
    </w:p>
    <w:p w14:paraId="3B3CEF82" w14:textId="77777777" w:rsidR="004412F1" w:rsidRDefault="005A12A3">
      <w:pPr>
        <w:numPr>
          <w:ilvl w:val="2"/>
          <w:numId w:val="71"/>
        </w:numPr>
        <w:ind w:left="880" w:hanging="880"/>
        <w:jc w:val="both"/>
        <w:rPr>
          <w:color w:val="000000"/>
        </w:rPr>
      </w:pPr>
      <w:r>
        <w:rPr>
          <w:color w:val="000000"/>
          <w:lang w:val="es-PE"/>
        </w:rPr>
        <w:t xml:space="preserve">Acuerdo del Consejo Directivo del 16 de febrero de 2015 aprobando las Bases del concurso de proyectos integrales para la entrega en concesión al sector privado de la Carretera Longitudinal de la Sierra Tramo 4: Huancayo – </w:t>
      </w:r>
      <w:r>
        <w:rPr>
          <w:color w:val="000000"/>
          <w:lang w:val="es-PE"/>
        </w:rPr>
        <w:lastRenderedPageBreak/>
        <w:t xml:space="preserve">Izcuchaca – Mayocc - Ayacucho/Ayacucho – Andahuaylas - Puente Sahuinto/Dv. </w:t>
      </w:r>
      <w:r>
        <w:rPr>
          <w:color w:val="000000"/>
        </w:rPr>
        <w:t>Pisco – Huaytará – Ayacucho.</w:t>
      </w:r>
    </w:p>
    <w:p w14:paraId="2BBD22AC" w14:textId="77777777" w:rsidR="004412F1" w:rsidRDefault="004412F1">
      <w:pPr>
        <w:jc w:val="both"/>
        <w:rPr>
          <w:color w:val="000000"/>
          <w:u w:val="single"/>
        </w:rPr>
      </w:pPr>
    </w:p>
    <w:p w14:paraId="11E7EF2A" w14:textId="77777777" w:rsidR="004412F1" w:rsidRDefault="005A12A3">
      <w:pPr>
        <w:numPr>
          <w:ilvl w:val="2"/>
          <w:numId w:val="71"/>
        </w:numPr>
        <w:ind w:left="880" w:hanging="880"/>
        <w:jc w:val="both"/>
        <w:rPr>
          <w:color w:val="000000"/>
          <w:lang w:val="es-PE"/>
        </w:rPr>
      </w:pPr>
      <w:r>
        <w:rPr>
          <w:color w:val="000000"/>
          <w:lang w:val="es-PE"/>
        </w:rPr>
        <w:t>Convocatoria al Concurso de Proyectos Integrales para la Concesión de la Carretera Longitudinal de la Sierra Tramo 4: Huancayo – Izcuchaca – Mayocc - Ayacucho/Ayacucho – Andahuaylas - Puente Sahuinto/Dv. Pisco – Huaytará - Ayacucho publicada en los diarios El Peruano, El Comercio y Perú 21, los días 22 y 23 de febrero de 2015, publicándose las Bases del Concurso en la página Web de PROINVERSIÓN.</w:t>
      </w:r>
    </w:p>
    <w:p w14:paraId="09CEC719" w14:textId="77777777" w:rsidR="004412F1" w:rsidRDefault="004412F1">
      <w:pPr>
        <w:jc w:val="both"/>
        <w:rPr>
          <w:color w:val="000000"/>
          <w:sz w:val="24"/>
          <w:szCs w:val="24"/>
          <w:u w:val="single"/>
          <w:lang w:val="es-PE"/>
        </w:rPr>
      </w:pPr>
    </w:p>
    <w:p w14:paraId="5CB8BD55" w14:textId="296AF502" w:rsidR="004412F1" w:rsidRDefault="005A12A3">
      <w:pPr>
        <w:numPr>
          <w:ilvl w:val="2"/>
          <w:numId w:val="71"/>
        </w:numPr>
        <w:ind w:left="880" w:hanging="880"/>
        <w:jc w:val="both"/>
        <w:rPr>
          <w:color w:val="000000"/>
          <w:lang w:val="es-PE"/>
        </w:rPr>
      </w:pPr>
      <w:r>
        <w:rPr>
          <w:color w:val="000000"/>
          <w:lang w:val="es-PE"/>
        </w:rPr>
        <w:t>Mediante Oficio N° 00109-2017-CG/PREV de fecha 10 de abril de 2017, la Contraloría General de la República (CGR) deja sin efecto la solicitud de informe previo presentado por Proinversión.</w:t>
      </w:r>
    </w:p>
    <w:p w14:paraId="36444903" w14:textId="77777777" w:rsidR="004412F1" w:rsidRDefault="004412F1">
      <w:pPr>
        <w:ind w:left="708"/>
        <w:rPr>
          <w:color w:val="000000"/>
          <w:lang w:val="es-PE"/>
        </w:rPr>
      </w:pPr>
    </w:p>
    <w:p w14:paraId="74B1B77A" w14:textId="77777777" w:rsidR="004412F1" w:rsidRDefault="005A12A3">
      <w:pPr>
        <w:numPr>
          <w:ilvl w:val="2"/>
          <w:numId w:val="71"/>
        </w:numPr>
        <w:ind w:left="880" w:hanging="880"/>
        <w:jc w:val="both"/>
        <w:rPr>
          <w:color w:val="000000"/>
          <w:lang w:val="es-PE"/>
        </w:rPr>
      </w:pPr>
      <w:r>
        <w:rPr>
          <w:color w:val="000000" w:themeColor="text1"/>
          <w:lang w:val="es-PE"/>
        </w:rPr>
        <w:t xml:space="preserve">Mediante Oficio N° 502- 2017-MTC/09, de fecha 8 de agosto de 2017, el Ministerio de Transportes y Comunicaciones remite a Proinversión los Términos de Referencia para la actualización del Proyecto de Inversión Pública (PIP) correspondiente al </w:t>
      </w:r>
      <w:proofErr w:type="gramStart"/>
      <w:r>
        <w:rPr>
          <w:color w:val="000000" w:themeColor="text1"/>
          <w:lang w:val="es-PE"/>
        </w:rPr>
        <w:t>Sub Tramo</w:t>
      </w:r>
      <w:proofErr w:type="gramEnd"/>
      <w:r>
        <w:rPr>
          <w:color w:val="000000" w:themeColor="text1"/>
          <w:lang w:val="es-PE"/>
        </w:rPr>
        <w:t xml:space="preserve"> Izcuchaca Mayocc.</w:t>
      </w:r>
    </w:p>
    <w:p w14:paraId="60D8B6C8" w14:textId="77777777" w:rsidR="004412F1" w:rsidRDefault="004412F1">
      <w:pPr>
        <w:ind w:left="708"/>
        <w:rPr>
          <w:color w:val="000000"/>
          <w:lang w:val="es-PE"/>
        </w:rPr>
      </w:pPr>
    </w:p>
    <w:p w14:paraId="74E91369" w14:textId="77777777" w:rsidR="004412F1" w:rsidRDefault="005A12A3">
      <w:pPr>
        <w:numPr>
          <w:ilvl w:val="2"/>
          <w:numId w:val="71"/>
        </w:numPr>
        <w:ind w:left="880" w:hanging="880"/>
        <w:jc w:val="both"/>
        <w:rPr>
          <w:color w:val="000000"/>
          <w:lang w:val="es-PE"/>
        </w:rPr>
      </w:pPr>
      <w:r>
        <w:rPr>
          <w:color w:val="000000" w:themeColor="text1"/>
          <w:lang w:val="es-PE"/>
        </w:rPr>
        <w:t xml:space="preserve">Mediante Oficio N° 2769-2019-MTC/19, de fecha 20 de junio de 2019, el Ministerio de Transportes y Comunicaciones comunica a Proinversión la Declaratoria de Viabilidad del del PIP del </w:t>
      </w:r>
      <w:proofErr w:type="gramStart"/>
      <w:r>
        <w:rPr>
          <w:color w:val="000000" w:themeColor="text1"/>
          <w:lang w:val="es-PE"/>
        </w:rPr>
        <w:t>Sub Tramo</w:t>
      </w:r>
      <w:proofErr w:type="gramEnd"/>
      <w:r>
        <w:rPr>
          <w:color w:val="000000" w:themeColor="text1"/>
          <w:lang w:val="es-PE"/>
        </w:rPr>
        <w:t xml:space="preserve"> Izcuchaca-Mayocc.</w:t>
      </w:r>
    </w:p>
    <w:p w14:paraId="2C9A8D8B" w14:textId="77777777" w:rsidR="004412F1" w:rsidRDefault="004412F1">
      <w:pPr>
        <w:ind w:left="708"/>
        <w:jc w:val="both"/>
        <w:rPr>
          <w:color w:val="000000"/>
          <w:lang w:val="es-PE"/>
        </w:rPr>
      </w:pPr>
    </w:p>
    <w:p w14:paraId="4034E4A3" w14:textId="77777777" w:rsidR="004412F1" w:rsidRDefault="005A12A3">
      <w:pPr>
        <w:numPr>
          <w:ilvl w:val="2"/>
          <w:numId w:val="71"/>
        </w:numPr>
        <w:ind w:left="880" w:hanging="880"/>
        <w:jc w:val="both"/>
        <w:rPr>
          <w:color w:val="000000"/>
          <w:lang w:val="es-PE"/>
        </w:rPr>
      </w:pPr>
      <w:r>
        <w:rPr>
          <w:color w:val="000000"/>
          <w:lang w:val="es-PE"/>
        </w:rPr>
        <w:t>Sesión de fecha ___ de _____ de _____, en la cual el Consejo Directivo de PROINVERSIÓN aprobó la Versión Final del Contrato de Concesión de la Carretera Longitudinal de la Sierra Tramo 4: Huancayo – Izcuchaca – Mayocc - Ayacucho/Ayacucho – Andahuaylas - Puente Sahuinto/Dv. Pisco – Huaytará - Ayacucho, a ser suscrito entre la República del Perú, representada por el Ministerio de Transportes y Comunicaciones, y el CONCESIONARIO.</w:t>
      </w:r>
    </w:p>
    <w:p w14:paraId="48342492" w14:textId="77777777" w:rsidR="004412F1" w:rsidRDefault="004412F1">
      <w:pPr>
        <w:ind w:left="708"/>
        <w:rPr>
          <w:b/>
          <w:color w:val="000000"/>
          <w:lang w:val="es-PE"/>
        </w:rPr>
      </w:pPr>
    </w:p>
    <w:p w14:paraId="136BC956" w14:textId="77777777" w:rsidR="004412F1" w:rsidRDefault="005A12A3">
      <w:pPr>
        <w:numPr>
          <w:ilvl w:val="2"/>
          <w:numId w:val="71"/>
        </w:numPr>
        <w:ind w:left="880" w:hanging="880"/>
        <w:jc w:val="both"/>
        <w:rPr>
          <w:color w:val="000000"/>
          <w:lang w:val="es-PE"/>
        </w:rPr>
      </w:pPr>
      <w:r>
        <w:rPr>
          <w:color w:val="000000"/>
          <w:lang w:val="es-PE"/>
        </w:rPr>
        <w:t xml:space="preserve">El Comité Especial de Inversión en Proyectos de Transporte y Telecomunicaciones, COMITÉ </w:t>
      </w:r>
      <w:proofErr w:type="gramStart"/>
      <w:r>
        <w:rPr>
          <w:color w:val="000000"/>
          <w:lang w:val="es-PE"/>
        </w:rPr>
        <w:t>PRO TRANSPORTES</w:t>
      </w:r>
      <w:proofErr w:type="gramEnd"/>
      <w:r>
        <w:rPr>
          <w:color w:val="000000"/>
          <w:lang w:val="es-PE"/>
        </w:rPr>
        <w:t xml:space="preserve"> Y COMUNICACIONES, con fecha ___ de ____ de _____, adjudicó la buena pro del Concurso de Proyectos Integrales para la Concesión de la Carretera Longitudinal de la Sierra Tramo 4: Huancayo – Izcuchaca – Mayocc - Ayacucho/Ayacucho – Andahuaylas - Puente Sahuinto/Dv. Pisco – Huaytará - Ayacucho al Postor ___________________, cuyos integrantes han constituido al CONCESIONARIO, quien ha acreditado el cumplimiento de las condiciones previstas en las Bases del Concurso para proceder a la suscripción de este Contrato.</w:t>
      </w:r>
    </w:p>
    <w:p w14:paraId="2917A8FB" w14:textId="77777777" w:rsidR="004412F1" w:rsidRDefault="004412F1">
      <w:pPr>
        <w:ind w:left="708"/>
        <w:rPr>
          <w:b/>
          <w:color w:val="000000"/>
          <w:lang w:val="es-PE"/>
        </w:rPr>
      </w:pPr>
    </w:p>
    <w:p w14:paraId="0BBA7CA1" w14:textId="77777777" w:rsidR="004412F1" w:rsidRDefault="005A12A3">
      <w:pPr>
        <w:numPr>
          <w:ilvl w:val="2"/>
          <w:numId w:val="71"/>
        </w:numPr>
        <w:ind w:left="880" w:hanging="880"/>
        <w:jc w:val="both"/>
        <w:rPr>
          <w:color w:val="000000"/>
          <w:lang w:val="es-PE"/>
        </w:rPr>
      </w:pPr>
      <w:r>
        <w:rPr>
          <w:color w:val="000000"/>
          <w:lang w:val="es-PE"/>
        </w:rPr>
        <w:t>Resolución Ministerial Nº ________</w:t>
      </w:r>
      <w:proofErr w:type="gramStart"/>
      <w:r>
        <w:rPr>
          <w:color w:val="000000"/>
          <w:lang w:val="es-PE"/>
        </w:rPr>
        <w:t>_  de</w:t>
      </w:r>
      <w:proofErr w:type="gramEnd"/>
      <w:r>
        <w:rPr>
          <w:color w:val="000000"/>
          <w:lang w:val="es-PE"/>
        </w:rPr>
        <w:t xml:space="preserve"> fecha __ de ______ de_____ que autoriza al señor_________________ ______ _________ ________ __________________ _______ para que en representación del Ministerio de Transportes y Comunicaciones, suscriba el presente Contrato de Concesión.</w:t>
      </w:r>
    </w:p>
    <w:p w14:paraId="0C4BDEFE" w14:textId="77777777" w:rsidR="004412F1" w:rsidRDefault="004412F1">
      <w:pPr>
        <w:rPr>
          <w:lang w:val="es-PE"/>
        </w:rPr>
      </w:pPr>
    </w:p>
    <w:p w14:paraId="55B67A15" w14:textId="77777777" w:rsidR="004412F1" w:rsidRDefault="005A12A3">
      <w:pPr>
        <w:pStyle w:val="Ttulo2"/>
        <w:numPr>
          <w:ilvl w:val="1"/>
          <w:numId w:val="70"/>
        </w:numPr>
        <w:rPr>
          <w:b/>
          <w:color w:val="000000"/>
        </w:rPr>
      </w:pPr>
      <w:bookmarkStart w:id="26" w:name="_1fob9te" w:colFirst="0" w:colLast="0"/>
      <w:bookmarkStart w:id="27" w:name="_Toc131328654"/>
      <w:bookmarkStart w:id="28" w:name="_Toc55906321"/>
      <w:bookmarkStart w:id="29" w:name="_Toc131329222"/>
      <w:bookmarkStart w:id="30" w:name="_Toc131327823"/>
      <w:bookmarkStart w:id="31" w:name="_Toc131328990"/>
      <w:bookmarkStart w:id="32" w:name="_Toc131332817"/>
      <w:bookmarkStart w:id="33" w:name="_Toc468837506"/>
      <w:bookmarkStart w:id="34" w:name="_Toc139294694"/>
      <w:bookmarkStart w:id="35" w:name="_Toc134448703"/>
      <w:bookmarkStart w:id="36" w:name="_Toc131329809"/>
      <w:bookmarkStart w:id="37" w:name="_Toc131331896"/>
      <w:bookmarkStart w:id="38" w:name="_Toc140089292"/>
      <w:bookmarkEnd w:id="26"/>
      <w:r>
        <w:rPr>
          <w:rFonts w:ascii="Arial" w:eastAsia="Arial" w:hAnsi="Arial" w:cs="Arial"/>
          <w:b/>
          <w:bCs/>
          <w:u w:val="none"/>
        </w:rPr>
        <w:t>D</w:t>
      </w:r>
      <w:bookmarkEnd w:id="27"/>
      <w:bookmarkEnd w:id="28"/>
      <w:bookmarkEnd w:id="29"/>
      <w:bookmarkEnd w:id="30"/>
      <w:bookmarkEnd w:id="31"/>
      <w:r>
        <w:rPr>
          <w:rFonts w:ascii="Arial" w:eastAsia="Arial" w:hAnsi="Arial" w:cs="Arial"/>
          <w:b/>
          <w:bCs/>
          <w:u w:val="none"/>
        </w:rPr>
        <w:t>efiniciones</w:t>
      </w:r>
      <w:bookmarkEnd w:id="32"/>
      <w:bookmarkEnd w:id="33"/>
      <w:bookmarkEnd w:id="34"/>
      <w:bookmarkEnd w:id="35"/>
      <w:bookmarkEnd w:id="36"/>
      <w:bookmarkEnd w:id="37"/>
      <w:bookmarkEnd w:id="38"/>
      <w:r>
        <w:rPr>
          <w:b/>
          <w:color w:val="000000"/>
        </w:rPr>
        <w:t xml:space="preserve"> </w:t>
      </w:r>
    </w:p>
    <w:p w14:paraId="5476603A" w14:textId="77777777" w:rsidR="004412F1" w:rsidRDefault="004412F1"/>
    <w:p w14:paraId="5C5680C9" w14:textId="77777777" w:rsidR="004412F1" w:rsidRDefault="005A12A3" w:rsidP="00997BD9">
      <w:pPr>
        <w:tabs>
          <w:tab w:val="left" w:pos="360"/>
          <w:tab w:val="left" w:pos="993"/>
        </w:tabs>
        <w:ind w:left="993"/>
        <w:jc w:val="both"/>
        <w:rPr>
          <w:color w:val="000000"/>
          <w:lang w:val="es-PE"/>
        </w:rPr>
      </w:pPr>
      <w:bookmarkStart w:id="39" w:name="_3znysh7" w:colFirst="0" w:colLast="0"/>
      <w:bookmarkStart w:id="40" w:name="_Ref272506767"/>
      <w:bookmarkEnd w:id="39"/>
      <w:r>
        <w:rPr>
          <w:color w:val="000000"/>
          <w:lang w:val="es-PE"/>
        </w:rPr>
        <w:t>En este Contrato, los siguientes términos tendrán los significados que a continuación se indican:</w:t>
      </w:r>
      <w:bookmarkEnd w:id="40"/>
    </w:p>
    <w:p w14:paraId="7D97988D" w14:textId="77777777" w:rsidR="004412F1" w:rsidRDefault="004412F1">
      <w:pPr>
        <w:rPr>
          <w:lang w:val="es-PE"/>
        </w:rPr>
      </w:pPr>
      <w:bookmarkStart w:id="41" w:name="_2et92p0"/>
      <w:bookmarkStart w:id="42" w:name="_3dy6vkm"/>
      <w:bookmarkEnd w:id="41"/>
      <w:bookmarkEnd w:id="42"/>
    </w:p>
    <w:p w14:paraId="3BC44AE4" w14:textId="77777777" w:rsidR="004412F1" w:rsidRDefault="004412F1">
      <w:pPr>
        <w:pStyle w:val="Prrafodelista"/>
        <w:keepNext/>
        <w:numPr>
          <w:ilvl w:val="1"/>
          <w:numId w:val="71"/>
        </w:numPr>
        <w:tabs>
          <w:tab w:val="left" w:pos="993"/>
        </w:tabs>
        <w:contextualSpacing w:val="0"/>
        <w:jc w:val="both"/>
        <w:outlineLvl w:val="2"/>
        <w:rPr>
          <w:vanish/>
          <w:u w:val="single"/>
        </w:rPr>
      </w:pPr>
      <w:bookmarkStart w:id="43" w:name="_Acreedores_Permitidos"/>
      <w:bookmarkStart w:id="44" w:name="_t7p0xnbryvwo"/>
      <w:bookmarkStart w:id="45" w:name="_26in1rg"/>
      <w:bookmarkStart w:id="46" w:name="_Toc55906322"/>
      <w:bookmarkEnd w:id="43"/>
      <w:bookmarkEnd w:id="44"/>
      <w:bookmarkEnd w:id="45"/>
    </w:p>
    <w:p w14:paraId="7479D56E" w14:textId="77777777" w:rsidR="004412F1" w:rsidRDefault="004412F1">
      <w:pPr>
        <w:pStyle w:val="Prrafodelista"/>
        <w:keepNext/>
        <w:numPr>
          <w:ilvl w:val="1"/>
          <w:numId w:val="71"/>
        </w:numPr>
        <w:tabs>
          <w:tab w:val="left" w:pos="993"/>
        </w:tabs>
        <w:ind w:left="993"/>
        <w:contextualSpacing w:val="0"/>
        <w:jc w:val="both"/>
        <w:outlineLvl w:val="2"/>
        <w:rPr>
          <w:vanish/>
          <w:u w:val="single"/>
          <w:lang w:val="es-PE"/>
        </w:rPr>
      </w:pPr>
    </w:p>
    <w:p w14:paraId="00FDDD8B" w14:textId="77777777" w:rsidR="004412F1" w:rsidRDefault="005A12A3">
      <w:pPr>
        <w:pStyle w:val="Ttulo3"/>
        <w:numPr>
          <w:ilvl w:val="2"/>
          <w:numId w:val="73"/>
        </w:numPr>
        <w:tabs>
          <w:tab w:val="left" w:pos="993"/>
        </w:tabs>
        <w:ind w:hanging="1866"/>
      </w:pPr>
      <w:bookmarkStart w:id="47" w:name="_Toc223355760"/>
      <w:bookmarkStart w:id="48" w:name="_Toc223355762"/>
      <w:bookmarkStart w:id="49" w:name="_Toc223355761"/>
      <w:bookmarkStart w:id="50" w:name="_Toc468837508"/>
      <w:bookmarkStart w:id="51" w:name="_Toc131329811"/>
      <w:bookmarkStart w:id="52" w:name="_Toc134448705"/>
      <w:bookmarkStart w:id="53" w:name="_Toc131328656"/>
      <w:bookmarkStart w:id="54" w:name="_Toc131328992"/>
      <w:bookmarkStart w:id="55" w:name="_Toc131332819"/>
      <w:bookmarkStart w:id="56" w:name="_Toc131331898"/>
      <w:bookmarkStart w:id="57" w:name="_Toc131329224"/>
      <w:bookmarkStart w:id="58" w:name="_Toc131327826"/>
      <w:bookmarkEnd w:id="46"/>
      <w:bookmarkEnd w:id="47"/>
      <w:bookmarkEnd w:id="48"/>
      <w:bookmarkEnd w:id="49"/>
      <w:r>
        <w:rPr>
          <w:b w:val="0"/>
          <w:bCs w:val="0"/>
          <w:u w:val="single"/>
        </w:rPr>
        <w:t xml:space="preserve">Acta de </w:t>
      </w:r>
      <w:r>
        <w:rPr>
          <w:b w:val="0"/>
          <w:u w:val="single"/>
          <w:lang w:val="es-ES"/>
        </w:rPr>
        <w:t>Aceptación</w:t>
      </w:r>
      <w:bookmarkEnd w:id="50"/>
      <w:r>
        <w:rPr>
          <w:b w:val="0"/>
          <w:bCs w:val="0"/>
          <w:u w:val="single"/>
          <w:lang w:val="es-ES"/>
        </w:rPr>
        <w:t xml:space="preserve"> o Rechazo</w:t>
      </w:r>
    </w:p>
    <w:p w14:paraId="2628C549" w14:textId="77777777" w:rsidR="004412F1" w:rsidRDefault="005A12A3">
      <w:pPr>
        <w:ind w:left="993"/>
        <w:jc w:val="both"/>
        <w:rPr>
          <w:szCs w:val="24"/>
          <w:lang w:val="es-PE"/>
        </w:rPr>
      </w:pPr>
      <w:bookmarkStart w:id="59" w:name="_17dp8vu"/>
      <w:bookmarkStart w:id="60" w:name="_Toc199176988"/>
      <w:bookmarkStart w:id="61" w:name="_Toc201717140"/>
      <w:bookmarkEnd w:id="59"/>
      <w:r>
        <w:rPr>
          <w:szCs w:val="24"/>
          <w:lang w:val="es-PE"/>
        </w:rPr>
        <w:t xml:space="preserve">Es el documento suscrito por el Comité de Aceptación mediante el cual se deja constancia de la aceptación </w:t>
      </w:r>
      <w:r>
        <w:rPr>
          <w:szCs w:val="24"/>
          <w:lang w:val="es-ES"/>
        </w:rPr>
        <w:t xml:space="preserve">o del rechazo de cada Hito Funcional o cada </w:t>
      </w:r>
      <w:r>
        <w:rPr>
          <w:szCs w:val="24"/>
          <w:lang w:val="es-ES"/>
        </w:rPr>
        <w:lastRenderedPageBreak/>
        <w:t>Hito Constructivo correspondiente de cada Intervención</w:t>
      </w:r>
      <w:r>
        <w:rPr>
          <w:szCs w:val="24"/>
          <w:lang w:val="es-PE"/>
        </w:rPr>
        <w:t xml:space="preserve">, </w:t>
      </w:r>
      <w:proofErr w:type="gramStart"/>
      <w:r>
        <w:rPr>
          <w:szCs w:val="24"/>
          <w:lang w:val="es-PE"/>
        </w:rPr>
        <w:t>de acuerdo a</w:t>
      </w:r>
      <w:proofErr w:type="gramEnd"/>
      <w:r>
        <w:rPr>
          <w:szCs w:val="24"/>
          <w:lang w:val="es-PE"/>
        </w:rPr>
        <w:t xml:space="preserve"> lo exigido en el Contrato debiendo señalarse en dicho documento la fecha en que el Comité de Aceptación</w:t>
      </w:r>
      <w:r>
        <w:rPr>
          <w:lang w:val="es-ES"/>
        </w:rPr>
        <w:t xml:space="preserve"> </w:t>
      </w:r>
      <w:r>
        <w:rPr>
          <w:szCs w:val="24"/>
          <w:lang w:val="es-ES"/>
        </w:rPr>
        <w:t>emitió su dictamen</w:t>
      </w:r>
      <w:r>
        <w:rPr>
          <w:szCs w:val="24"/>
          <w:lang w:val="es-PE"/>
        </w:rPr>
        <w:t>.</w:t>
      </w:r>
      <w:bookmarkEnd w:id="60"/>
      <w:bookmarkEnd w:id="61"/>
      <w:r>
        <w:rPr>
          <w:szCs w:val="24"/>
          <w:lang w:val="es-PE"/>
        </w:rPr>
        <w:t xml:space="preserve"> A dicha acta se anexarán los resultados de las mediciones efectuadas.</w:t>
      </w:r>
    </w:p>
    <w:p w14:paraId="0525464F" w14:textId="77777777" w:rsidR="004412F1" w:rsidRDefault="004412F1">
      <w:pPr>
        <w:ind w:left="993"/>
        <w:jc w:val="both"/>
        <w:rPr>
          <w:rFonts w:eastAsia="SimSun"/>
          <w:lang w:val="es-PE" w:eastAsia="zh-CN"/>
        </w:rPr>
      </w:pPr>
    </w:p>
    <w:p w14:paraId="0206F9F1" w14:textId="77777777" w:rsidR="004412F1" w:rsidRDefault="005A12A3">
      <w:pPr>
        <w:pStyle w:val="Ttulo3"/>
        <w:numPr>
          <w:ilvl w:val="2"/>
          <w:numId w:val="73"/>
        </w:numPr>
        <w:tabs>
          <w:tab w:val="left" w:pos="993"/>
        </w:tabs>
        <w:ind w:hanging="1866"/>
        <w:rPr>
          <w:u w:val="single"/>
          <w:lang w:val="es-PE"/>
        </w:rPr>
      </w:pPr>
      <w:r>
        <w:rPr>
          <w:b w:val="0"/>
          <w:bCs w:val="0"/>
          <w:u w:val="single"/>
          <w:lang w:val="es-PE"/>
        </w:rPr>
        <w:t>Acta de Reversión de los Bienes</w:t>
      </w:r>
    </w:p>
    <w:p w14:paraId="60AF34FB" w14:textId="77777777" w:rsidR="004412F1" w:rsidRDefault="005A12A3">
      <w:pPr>
        <w:ind w:left="993"/>
        <w:jc w:val="both"/>
        <w:rPr>
          <w:rFonts w:eastAsia="SimSun"/>
          <w:lang w:val="es-PE" w:eastAsia="zh-CN"/>
        </w:rPr>
      </w:pPr>
      <w:r>
        <w:rPr>
          <w:lang w:val="es-PE"/>
        </w:rPr>
        <w:t>Es el documento suscrito por el CONCEDENTE y el CONCESIONARIO, mediante el cual se deja constancia de la entrega en favor del CONCEDENTE de los Bienes de la Concesión cuando se producen principalmente las siguientes situaciones: a) la Caducidad de la Concesión, b) la entrega al CONCEDENTE de sectores del Área de la Concesión que ya no sean explotados por el CONCESIONARIO o c) la entrega de bienes obsoletos o desfasados que no permiten alcanzar los objetivos del Contrato y que deban ser sustituidos por el CONCESIONARIO.</w:t>
      </w:r>
    </w:p>
    <w:p w14:paraId="3C9059A4" w14:textId="77777777" w:rsidR="004412F1" w:rsidRDefault="004412F1">
      <w:pPr>
        <w:ind w:left="993"/>
        <w:jc w:val="both"/>
        <w:rPr>
          <w:rFonts w:eastAsia="SimSun"/>
          <w:lang w:val="es-PE" w:eastAsia="zh-CN"/>
        </w:rPr>
      </w:pPr>
    </w:p>
    <w:p w14:paraId="08CBB037" w14:textId="77777777" w:rsidR="004412F1" w:rsidRDefault="005A12A3">
      <w:pPr>
        <w:pStyle w:val="Ttulo3"/>
        <w:numPr>
          <w:ilvl w:val="2"/>
          <w:numId w:val="73"/>
        </w:numPr>
        <w:tabs>
          <w:tab w:val="left" w:pos="993"/>
        </w:tabs>
        <w:ind w:hanging="1866"/>
        <w:rPr>
          <w:lang w:val="es-PE"/>
        </w:rPr>
      </w:pPr>
      <w:bookmarkStart w:id="62" w:name="_Toc468837509"/>
      <w:r>
        <w:rPr>
          <w:b w:val="0"/>
          <w:u w:val="single"/>
          <w:lang w:val="es-PE"/>
        </w:rPr>
        <w:t>Acta Integral de Entrega de los Bienes</w:t>
      </w:r>
      <w:bookmarkEnd w:id="51"/>
      <w:bookmarkEnd w:id="52"/>
      <w:bookmarkEnd w:id="53"/>
      <w:bookmarkEnd w:id="54"/>
      <w:bookmarkEnd w:id="55"/>
      <w:bookmarkEnd w:id="56"/>
      <w:bookmarkEnd w:id="57"/>
      <w:bookmarkEnd w:id="58"/>
      <w:bookmarkEnd w:id="62"/>
    </w:p>
    <w:p w14:paraId="0933D3F9" w14:textId="77777777" w:rsidR="004412F1" w:rsidRDefault="005A12A3">
      <w:pPr>
        <w:ind w:left="993"/>
        <w:jc w:val="both"/>
        <w:rPr>
          <w:lang w:val="es-PE"/>
        </w:rPr>
      </w:pPr>
      <w:bookmarkStart w:id="63" w:name="_Toc55906323"/>
      <w:bookmarkStart w:id="64" w:name="_Toc131327827"/>
      <w:r>
        <w:rPr>
          <w:lang w:val="es-PE"/>
        </w:rPr>
        <w:t xml:space="preserve">Es el documento suscrito por el CONCEDENTE y el CONCESIONARIO, mediante el cual se deja constancia que el CONCESIONARIO ha tomado posesión de la totalidad de los Bienes de la Concesión que serán destinados a la ejecución del Contrato, en el estado en el cual estos se encuentran. </w:t>
      </w:r>
      <w:bookmarkEnd w:id="63"/>
      <w:bookmarkEnd w:id="64"/>
    </w:p>
    <w:p w14:paraId="2457AE75" w14:textId="77777777" w:rsidR="004412F1" w:rsidRDefault="004412F1">
      <w:pPr>
        <w:ind w:left="993"/>
        <w:jc w:val="both"/>
        <w:rPr>
          <w:lang w:val="es-PE"/>
        </w:rPr>
      </w:pPr>
    </w:p>
    <w:p w14:paraId="52CC7E6B" w14:textId="77777777" w:rsidR="004412F1" w:rsidRDefault="005A12A3">
      <w:pPr>
        <w:pStyle w:val="Ttulo3"/>
        <w:numPr>
          <w:ilvl w:val="2"/>
          <w:numId w:val="73"/>
        </w:numPr>
        <w:tabs>
          <w:tab w:val="left" w:pos="993"/>
        </w:tabs>
        <w:ind w:hanging="1866"/>
        <w:rPr>
          <w:lang w:val="es-PE"/>
        </w:rPr>
      </w:pPr>
      <w:bookmarkStart w:id="65" w:name="_lnxbz9"/>
      <w:bookmarkStart w:id="66" w:name="_Toc131328993"/>
      <w:bookmarkStart w:id="67" w:name="_Toc468837510"/>
      <w:bookmarkStart w:id="68" w:name="_Toc131329225"/>
      <w:bookmarkStart w:id="69" w:name="_Toc131332820"/>
      <w:bookmarkStart w:id="70" w:name="_Toc55906324"/>
      <w:bookmarkStart w:id="71" w:name="_Toc131328657"/>
      <w:bookmarkStart w:id="72" w:name="_Toc131331899"/>
      <w:bookmarkStart w:id="73" w:name="_Toc131327828"/>
      <w:bookmarkStart w:id="74" w:name="_Toc134448706"/>
      <w:bookmarkStart w:id="75" w:name="_Toc131329812"/>
      <w:bookmarkEnd w:id="65"/>
      <w:r>
        <w:rPr>
          <w:b w:val="0"/>
          <w:u w:val="single"/>
          <w:lang w:val="es-PE"/>
        </w:rPr>
        <w:t>Actas de Entrega Parcial de Bienes</w:t>
      </w:r>
      <w:bookmarkEnd w:id="66"/>
      <w:bookmarkEnd w:id="67"/>
      <w:bookmarkEnd w:id="68"/>
      <w:bookmarkEnd w:id="69"/>
      <w:bookmarkEnd w:id="70"/>
      <w:bookmarkEnd w:id="71"/>
      <w:bookmarkEnd w:id="72"/>
      <w:bookmarkEnd w:id="73"/>
      <w:bookmarkEnd w:id="74"/>
      <w:bookmarkEnd w:id="75"/>
    </w:p>
    <w:p w14:paraId="0A1AA664" w14:textId="77777777" w:rsidR="004412F1" w:rsidRDefault="005A12A3">
      <w:pPr>
        <w:ind w:left="993"/>
        <w:jc w:val="both"/>
        <w:rPr>
          <w:lang w:val="es-PE"/>
        </w:rPr>
      </w:pPr>
      <w:r>
        <w:rPr>
          <w:lang w:val="es-PE"/>
        </w:rPr>
        <w:t>Son aquellas actas que formula el CONCEDENTE según se vayan entregando los Bienes de la Concesión al CONCESIONARIO, que en conjunto forman parte o constituyen el Acta Integral de Entrega de Bienes.</w:t>
      </w:r>
    </w:p>
    <w:p w14:paraId="3B6E03CC" w14:textId="77777777" w:rsidR="004412F1" w:rsidRDefault="004412F1">
      <w:pPr>
        <w:ind w:left="993"/>
        <w:rPr>
          <w:lang w:val="es-PE"/>
        </w:rPr>
      </w:pPr>
    </w:p>
    <w:p w14:paraId="06948F2A" w14:textId="77777777" w:rsidR="004412F1" w:rsidRDefault="005A12A3">
      <w:pPr>
        <w:ind w:left="993"/>
        <w:jc w:val="both"/>
        <w:rPr>
          <w:lang w:val="es-PE"/>
        </w:rPr>
      </w:pPr>
      <w:r>
        <w:rPr>
          <w:lang w:val="es-PE"/>
        </w:rPr>
        <w:t xml:space="preserve">La primera Acta de Entrega Parcial de Bienes que reciba el CONCESIONARIO antes del inicio de la Explotación deberá incluir necesariamente la entrega de las unidades de peaje existentes correspondientes a los </w:t>
      </w:r>
      <w:proofErr w:type="gramStart"/>
      <w:r>
        <w:rPr>
          <w:lang w:val="es-PE"/>
        </w:rPr>
        <w:t>Sub Tramos</w:t>
      </w:r>
      <w:proofErr w:type="gramEnd"/>
      <w:r>
        <w:rPr>
          <w:lang w:val="es-PE"/>
        </w:rPr>
        <w:t xml:space="preserve"> entregados.</w:t>
      </w:r>
    </w:p>
    <w:p w14:paraId="0C4500DF" w14:textId="77777777" w:rsidR="004412F1" w:rsidRDefault="004412F1">
      <w:pPr>
        <w:ind w:left="993"/>
        <w:jc w:val="both"/>
        <w:rPr>
          <w:u w:val="single"/>
          <w:lang w:val="es-PE"/>
        </w:rPr>
      </w:pPr>
    </w:p>
    <w:p w14:paraId="4E3F30D8" w14:textId="77777777" w:rsidR="004412F1" w:rsidRDefault="005A12A3">
      <w:pPr>
        <w:ind w:left="993"/>
        <w:jc w:val="both"/>
        <w:rPr>
          <w:rFonts w:eastAsia="SimSun"/>
          <w:lang w:val="es-PE" w:eastAsia="zh-CN"/>
        </w:rPr>
      </w:pPr>
      <w:r>
        <w:rPr>
          <w:lang w:val="es-PE"/>
        </w:rPr>
        <w:t xml:space="preserve">En estas actas se deberá consignar como observaciones las interferencias que existan en el </w:t>
      </w:r>
      <w:proofErr w:type="gramStart"/>
      <w:r>
        <w:rPr>
          <w:lang w:val="es-PE"/>
        </w:rPr>
        <w:t>Sub Tramo</w:t>
      </w:r>
      <w:proofErr w:type="gramEnd"/>
      <w:r>
        <w:rPr>
          <w:lang w:val="es-PE"/>
        </w:rPr>
        <w:t xml:space="preserve"> o en el bien entregado.  </w:t>
      </w:r>
    </w:p>
    <w:p w14:paraId="6941B365" w14:textId="77777777" w:rsidR="004412F1" w:rsidRDefault="004412F1">
      <w:pPr>
        <w:ind w:left="993"/>
        <w:jc w:val="both"/>
        <w:rPr>
          <w:rFonts w:eastAsia="SimSun"/>
          <w:lang w:val="es-PE" w:eastAsia="zh-CN"/>
        </w:rPr>
      </w:pPr>
    </w:p>
    <w:p w14:paraId="188C1D3C" w14:textId="77777777" w:rsidR="004412F1" w:rsidRDefault="005A12A3">
      <w:pPr>
        <w:pStyle w:val="Ttulo3"/>
        <w:numPr>
          <w:ilvl w:val="2"/>
          <w:numId w:val="73"/>
        </w:numPr>
        <w:tabs>
          <w:tab w:val="left" w:pos="993"/>
        </w:tabs>
        <w:ind w:hanging="1866"/>
        <w:rPr>
          <w:u w:val="single"/>
        </w:rPr>
      </w:pPr>
      <w:bookmarkStart w:id="76" w:name="_Toc131327831"/>
      <w:bookmarkStart w:id="77" w:name="_Toc134448708"/>
      <w:bookmarkStart w:id="78" w:name="_Toc131328660"/>
      <w:bookmarkStart w:id="79" w:name="_Toc131331902"/>
      <w:bookmarkStart w:id="80" w:name="_Toc131328996"/>
      <w:bookmarkStart w:id="81" w:name="_Toc131332823"/>
      <w:bookmarkStart w:id="82" w:name="_Toc106666391"/>
      <w:bookmarkStart w:id="83" w:name="_Toc468837512"/>
      <w:bookmarkStart w:id="84" w:name="_Toc131329815"/>
      <w:bookmarkStart w:id="85" w:name="_Toc131329228"/>
      <w:r>
        <w:rPr>
          <w:b w:val="0"/>
          <w:u w:val="single"/>
        </w:rPr>
        <w:t>Adjudicatario</w:t>
      </w:r>
      <w:bookmarkEnd w:id="76"/>
      <w:bookmarkEnd w:id="77"/>
      <w:bookmarkEnd w:id="78"/>
      <w:bookmarkEnd w:id="79"/>
      <w:bookmarkEnd w:id="80"/>
      <w:bookmarkEnd w:id="81"/>
      <w:bookmarkEnd w:id="82"/>
      <w:bookmarkEnd w:id="83"/>
      <w:bookmarkEnd w:id="84"/>
      <w:bookmarkEnd w:id="85"/>
    </w:p>
    <w:p w14:paraId="524A3DB8" w14:textId="77777777" w:rsidR="004412F1" w:rsidRDefault="005A12A3">
      <w:pPr>
        <w:ind w:left="993"/>
        <w:jc w:val="both"/>
        <w:rPr>
          <w:rFonts w:eastAsia="Times New Roman"/>
          <w:bCs/>
          <w:szCs w:val="18"/>
          <w:lang w:val="es-ES" w:eastAsia="es-ES"/>
        </w:rPr>
      </w:pPr>
      <w:r>
        <w:rPr>
          <w:lang w:val="es-PE"/>
        </w:rPr>
        <w:t>Es el Postor favorecido con el otorgamiento de la buena pro.</w:t>
      </w:r>
    </w:p>
    <w:p w14:paraId="052E9B28" w14:textId="77777777" w:rsidR="004412F1" w:rsidRDefault="004412F1">
      <w:pPr>
        <w:ind w:left="993"/>
        <w:jc w:val="both"/>
        <w:rPr>
          <w:lang w:val="es-PE"/>
        </w:rPr>
      </w:pPr>
    </w:p>
    <w:p w14:paraId="680302CE" w14:textId="77777777" w:rsidR="004412F1" w:rsidRDefault="005A12A3">
      <w:pPr>
        <w:pStyle w:val="Ttulo3"/>
        <w:numPr>
          <w:ilvl w:val="2"/>
          <w:numId w:val="73"/>
        </w:numPr>
        <w:tabs>
          <w:tab w:val="left" w:pos="993"/>
        </w:tabs>
        <w:ind w:hanging="1866"/>
        <w:rPr>
          <w:u w:val="single"/>
          <w:lang w:val="es-PE"/>
        </w:rPr>
      </w:pPr>
      <w:bookmarkStart w:id="86" w:name="_35nkun2"/>
      <w:bookmarkStart w:id="87" w:name="_Toc131331903"/>
      <w:bookmarkStart w:id="88" w:name="_Toc131329229"/>
      <w:bookmarkStart w:id="89" w:name="_Toc468837513"/>
      <w:bookmarkStart w:id="90" w:name="_Toc131328661"/>
      <w:bookmarkStart w:id="91" w:name="_Toc131329816"/>
      <w:bookmarkStart w:id="92" w:name="_Toc131327832"/>
      <w:bookmarkStart w:id="93" w:name="_Toc134448709"/>
      <w:bookmarkStart w:id="94" w:name="_Toc131328997"/>
      <w:bookmarkStart w:id="95" w:name="_Toc131332824"/>
      <w:bookmarkEnd w:id="86"/>
      <w:r>
        <w:rPr>
          <w:b w:val="0"/>
          <w:u w:val="single"/>
          <w:lang w:val="es-PE"/>
        </w:rPr>
        <w:t>Agencia de Promoción de la Inversión Privada – PROINVERSION</w:t>
      </w:r>
      <w:bookmarkEnd w:id="87"/>
      <w:bookmarkEnd w:id="88"/>
      <w:bookmarkEnd w:id="89"/>
      <w:bookmarkEnd w:id="90"/>
      <w:bookmarkEnd w:id="91"/>
      <w:bookmarkEnd w:id="92"/>
      <w:bookmarkEnd w:id="93"/>
      <w:bookmarkEnd w:id="94"/>
      <w:bookmarkEnd w:id="95"/>
    </w:p>
    <w:p w14:paraId="568F784B" w14:textId="77777777" w:rsidR="004412F1" w:rsidRDefault="005A12A3">
      <w:pPr>
        <w:ind w:left="993"/>
        <w:jc w:val="both"/>
        <w:rPr>
          <w:color w:val="000000"/>
          <w:lang w:val="es-PE"/>
        </w:rPr>
      </w:pPr>
      <w:r>
        <w:rPr>
          <w:color w:val="000000"/>
          <w:lang w:val="es-ES"/>
        </w:rPr>
        <w:t xml:space="preserve">Es </w:t>
      </w:r>
      <w:r>
        <w:rPr>
          <w:color w:val="000000"/>
          <w:lang w:val="es-PE"/>
        </w:rPr>
        <w:t>el organismo técnico especializado adscrito al Ministerio de Economía y Finanzas con personería jurídica, autonomía técnica, funcional, administrativa, económica y financiera a que se refiere la Ley N° 28660 y el Decreto Supremo N° 034-2008, el Reglamento de Organización y Funciones de PROINVERSION aprobado mediante Decreto Supremo N° 185-2017-EF, y sus modificatorias, encargado, entre otras funciones, de promover la incorporación de la inversión privada en obras públicas de infraestructura y de servicios públicos, así como en activos, proyectos y empresas y entidades del Estado con arreglo a las Leyes y Disposiciones Aplicables.</w:t>
      </w:r>
    </w:p>
    <w:p w14:paraId="5906BED2" w14:textId="77777777" w:rsidR="004412F1" w:rsidRDefault="004412F1">
      <w:pPr>
        <w:ind w:left="993"/>
        <w:jc w:val="both"/>
        <w:rPr>
          <w:color w:val="000000"/>
          <w:lang w:val="es-ES"/>
        </w:rPr>
      </w:pPr>
    </w:p>
    <w:p w14:paraId="72D35581" w14:textId="77777777" w:rsidR="004412F1" w:rsidRDefault="005A12A3">
      <w:pPr>
        <w:pStyle w:val="Ttulo3"/>
        <w:numPr>
          <w:ilvl w:val="2"/>
          <w:numId w:val="73"/>
        </w:numPr>
        <w:tabs>
          <w:tab w:val="left" w:pos="993"/>
        </w:tabs>
        <w:ind w:hanging="1866"/>
        <w:rPr>
          <w:u w:val="single"/>
        </w:rPr>
      </w:pPr>
      <w:bookmarkStart w:id="96" w:name="_1ksv4uv"/>
      <w:bookmarkStart w:id="97" w:name="_Toc468837514"/>
      <w:bookmarkEnd w:id="96"/>
      <w:r>
        <w:rPr>
          <w:b w:val="0"/>
          <w:bCs w:val="0"/>
          <w:u w:val="single"/>
        </w:rPr>
        <w:t>Año Calendario</w:t>
      </w:r>
      <w:bookmarkEnd w:id="97"/>
    </w:p>
    <w:p w14:paraId="30842030" w14:textId="77777777" w:rsidR="004412F1" w:rsidRDefault="005A12A3">
      <w:pPr>
        <w:tabs>
          <w:tab w:val="left" w:pos="993"/>
        </w:tabs>
        <w:ind w:left="993"/>
        <w:jc w:val="both"/>
        <w:rPr>
          <w:lang w:val="es-PE"/>
        </w:rPr>
      </w:pPr>
      <w:bookmarkStart w:id="98" w:name="_44sinio"/>
      <w:bookmarkStart w:id="99" w:name="_Toc131332825"/>
      <w:bookmarkStart w:id="100" w:name="_Toc134448710"/>
      <w:bookmarkStart w:id="101" w:name="_Toc131329230"/>
      <w:bookmarkStart w:id="102" w:name="_Toc131329817"/>
      <w:bookmarkStart w:id="103" w:name="_Toc131328662"/>
      <w:bookmarkStart w:id="104" w:name="_Toc131331904"/>
      <w:bookmarkStart w:id="105" w:name="_Toc131327833"/>
      <w:bookmarkStart w:id="106" w:name="_Toc131328998"/>
      <w:bookmarkEnd w:id="98"/>
      <w:r>
        <w:rPr>
          <w:lang w:val="es-PE"/>
        </w:rPr>
        <w:t>Es el período computado desde el 1 de enero al 31 de diciembre de cada año, ambas fechas inclusive.</w:t>
      </w:r>
    </w:p>
    <w:p w14:paraId="57D3A1AF" w14:textId="77777777" w:rsidR="004412F1" w:rsidRDefault="004412F1">
      <w:pPr>
        <w:tabs>
          <w:tab w:val="left" w:pos="993"/>
        </w:tabs>
        <w:ind w:left="993"/>
        <w:rPr>
          <w:lang w:val="es-PE"/>
        </w:rPr>
      </w:pPr>
    </w:p>
    <w:p w14:paraId="6CEEA504" w14:textId="77777777" w:rsidR="004412F1" w:rsidRDefault="005A12A3">
      <w:pPr>
        <w:pStyle w:val="Ttulo3"/>
        <w:numPr>
          <w:ilvl w:val="2"/>
          <w:numId w:val="73"/>
        </w:numPr>
        <w:tabs>
          <w:tab w:val="left" w:pos="993"/>
        </w:tabs>
        <w:ind w:hanging="1866"/>
      </w:pPr>
      <w:bookmarkStart w:id="107" w:name="_2jxsxqh" w:colFirst="0" w:colLast="0"/>
      <w:bookmarkStart w:id="108" w:name="_Toc468837515"/>
      <w:bookmarkEnd w:id="107"/>
      <w:r>
        <w:rPr>
          <w:b w:val="0"/>
          <w:u w:val="single"/>
        </w:rPr>
        <w:lastRenderedPageBreak/>
        <w:t>Año de la Concesión</w:t>
      </w:r>
      <w:bookmarkEnd w:id="99"/>
      <w:bookmarkEnd w:id="100"/>
      <w:bookmarkEnd w:id="101"/>
      <w:bookmarkEnd w:id="102"/>
      <w:bookmarkEnd w:id="103"/>
      <w:bookmarkEnd w:id="104"/>
      <w:bookmarkEnd w:id="105"/>
      <w:bookmarkEnd w:id="106"/>
      <w:bookmarkEnd w:id="108"/>
    </w:p>
    <w:p w14:paraId="1A3D809E" w14:textId="77777777" w:rsidR="004412F1" w:rsidRDefault="005A12A3">
      <w:pPr>
        <w:ind w:left="993"/>
        <w:jc w:val="both"/>
        <w:rPr>
          <w:rFonts w:eastAsia="Times New Roman"/>
          <w:bCs/>
          <w:szCs w:val="18"/>
          <w:lang w:val="es-ES" w:eastAsia="es-ES"/>
        </w:rPr>
      </w:pPr>
      <w:r>
        <w:rPr>
          <w:lang w:val="es-PE"/>
        </w:rPr>
        <w:t>Es el período anual computado desde la Fecha de Suscripción del Contrato, contado de fecha a fecha, concluyendo un día igual al del año en el que se inició el cómputo.</w:t>
      </w:r>
    </w:p>
    <w:p w14:paraId="447BF21C" w14:textId="77777777" w:rsidR="004412F1" w:rsidRDefault="004412F1">
      <w:pPr>
        <w:ind w:left="993"/>
        <w:jc w:val="both"/>
        <w:rPr>
          <w:lang w:val="es-PE"/>
        </w:rPr>
      </w:pPr>
    </w:p>
    <w:p w14:paraId="6203E54D" w14:textId="77777777" w:rsidR="004412F1" w:rsidRDefault="005A12A3">
      <w:pPr>
        <w:pStyle w:val="Ttulo3"/>
        <w:numPr>
          <w:ilvl w:val="2"/>
          <w:numId w:val="73"/>
        </w:numPr>
        <w:tabs>
          <w:tab w:val="left" w:pos="993"/>
        </w:tabs>
        <w:ind w:hanging="1866"/>
      </w:pPr>
      <w:bookmarkStart w:id="109" w:name="_z337ya" w:colFirst="0" w:colLast="0"/>
      <w:bookmarkStart w:id="110" w:name="_Toc131328663"/>
      <w:bookmarkStart w:id="111" w:name="_Toc131327834"/>
      <w:bookmarkStart w:id="112" w:name="_Toc131329818"/>
      <w:bookmarkStart w:id="113" w:name="_Toc468837516"/>
      <w:bookmarkStart w:id="114" w:name="_Toc131328999"/>
      <w:bookmarkStart w:id="115" w:name="_Toc131332826"/>
      <w:bookmarkStart w:id="116" w:name="_Toc131329231"/>
      <w:bookmarkStart w:id="117" w:name="_Toc131331905"/>
      <w:bookmarkStart w:id="118" w:name="_Toc134448711"/>
      <w:bookmarkEnd w:id="109"/>
      <w:r>
        <w:rPr>
          <w:b w:val="0"/>
          <w:u w:val="single"/>
        </w:rPr>
        <w:t>Área de la Concesión</w:t>
      </w:r>
      <w:bookmarkEnd w:id="110"/>
      <w:bookmarkEnd w:id="111"/>
      <w:bookmarkEnd w:id="112"/>
      <w:bookmarkEnd w:id="113"/>
      <w:bookmarkEnd w:id="114"/>
      <w:bookmarkEnd w:id="115"/>
      <w:bookmarkEnd w:id="116"/>
      <w:bookmarkEnd w:id="117"/>
      <w:bookmarkEnd w:id="118"/>
    </w:p>
    <w:p w14:paraId="4A809F9A" w14:textId="77777777" w:rsidR="004412F1" w:rsidRDefault="005A12A3">
      <w:pPr>
        <w:ind w:left="993"/>
        <w:jc w:val="both"/>
        <w:rPr>
          <w:rFonts w:eastAsia="SimSun"/>
          <w:lang w:val="es-PE" w:eastAsia="zh-CN"/>
        </w:rPr>
      </w:pPr>
      <w:r>
        <w:rPr>
          <w:lang w:val="es-PE"/>
        </w:rPr>
        <w:t>Es la franja de territorio de dominio público ubicada dentro del Derecho de Vía, que a la fecha de Toma de Posesión no se encuentra ocupada o invadida, y que será entregada al CONCESIONARIO, en uno o en varios actos, para la Explotación y ejecución de las Intervenciones. El Área de la Concesión se irá incrementando progresivamente hasta alcanzar el Derecho de Vía.</w:t>
      </w:r>
    </w:p>
    <w:p w14:paraId="4377AE9D" w14:textId="77777777" w:rsidR="004412F1" w:rsidRDefault="004412F1">
      <w:pPr>
        <w:ind w:left="993"/>
        <w:jc w:val="both"/>
        <w:rPr>
          <w:lang w:val="es-PE"/>
        </w:rPr>
      </w:pPr>
      <w:bookmarkStart w:id="119" w:name="_Toc131329233"/>
      <w:bookmarkStart w:id="120" w:name="_Toc131328665"/>
      <w:bookmarkStart w:id="121" w:name="_Toc131329820"/>
      <w:bookmarkStart w:id="122" w:name="_Toc131327836"/>
      <w:bookmarkStart w:id="123" w:name="_Toc131329001"/>
      <w:bookmarkStart w:id="124" w:name="_Toc131331907"/>
      <w:bookmarkStart w:id="125" w:name="_Toc134448713"/>
      <w:bookmarkStart w:id="126" w:name="_Toc131332828"/>
    </w:p>
    <w:p w14:paraId="61728471" w14:textId="77777777" w:rsidR="004412F1" w:rsidRDefault="005A12A3">
      <w:pPr>
        <w:pStyle w:val="Ttulo3"/>
        <w:numPr>
          <w:ilvl w:val="2"/>
          <w:numId w:val="73"/>
        </w:numPr>
        <w:tabs>
          <w:tab w:val="left" w:pos="993"/>
        </w:tabs>
        <w:ind w:hanging="1866"/>
      </w:pPr>
      <w:bookmarkStart w:id="127" w:name="_3j2qqm3" w:colFirst="0" w:colLast="0"/>
      <w:bookmarkStart w:id="128" w:name="_Toc106603823"/>
      <w:bookmarkStart w:id="129" w:name="_Toc468837518"/>
      <w:bookmarkStart w:id="130" w:name="_Toc106666397"/>
      <w:bookmarkEnd w:id="127"/>
      <w:r>
        <w:rPr>
          <w:b w:val="0"/>
          <w:u w:val="single"/>
        </w:rPr>
        <w:t>Autoridad Ambiental Competente</w:t>
      </w:r>
      <w:bookmarkEnd w:id="128"/>
      <w:bookmarkEnd w:id="129"/>
      <w:bookmarkEnd w:id="130"/>
    </w:p>
    <w:p w14:paraId="014FC0DD" w14:textId="77777777" w:rsidR="004412F1" w:rsidRDefault="005A12A3">
      <w:pPr>
        <w:tabs>
          <w:tab w:val="left" w:pos="851"/>
          <w:tab w:val="left" w:pos="993"/>
        </w:tabs>
        <w:ind w:left="993" w:hanging="285"/>
        <w:jc w:val="both"/>
        <w:rPr>
          <w:lang w:val="es-PE"/>
        </w:rPr>
      </w:pPr>
      <w:r>
        <w:rPr>
          <w:lang w:val="es-PE"/>
        </w:rPr>
        <w:tab/>
      </w:r>
      <w:r>
        <w:rPr>
          <w:lang w:val="es-PE"/>
        </w:rPr>
        <w:tab/>
        <w:t>Es el Ministerio de Transportes y Comunicaciones, a través de la Dirección General de Asuntos Ambientales – DGAAM o la entidad que, en el marco del Sistema Nacional de Evaluación de Impacto Ambiental y Sistema Nacional de Fiscalización Ambiental, lo sustituya en el desempeño de sus funciones.</w:t>
      </w:r>
    </w:p>
    <w:p w14:paraId="6BA6A1A5" w14:textId="77777777" w:rsidR="004412F1" w:rsidRDefault="004412F1">
      <w:pPr>
        <w:tabs>
          <w:tab w:val="left" w:pos="851"/>
          <w:tab w:val="left" w:pos="993"/>
        </w:tabs>
        <w:jc w:val="both"/>
        <w:rPr>
          <w:lang w:val="es-PE"/>
        </w:rPr>
      </w:pPr>
    </w:p>
    <w:p w14:paraId="72941C18" w14:textId="77777777" w:rsidR="004412F1" w:rsidRDefault="005A12A3">
      <w:pPr>
        <w:pStyle w:val="Ttulo3"/>
        <w:numPr>
          <w:ilvl w:val="2"/>
          <w:numId w:val="73"/>
        </w:numPr>
        <w:tabs>
          <w:tab w:val="left" w:pos="993"/>
        </w:tabs>
        <w:ind w:hanging="1866"/>
      </w:pPr>
      <w:bookmarkStart w:id="131" w:name="_1y810tw" w:colFirst="0" w:colLast="0"/>
      <w:bookmarkStart w:id="132" w:name="_Toc468837519"/>
      <w:bookmarkEnd w:id="131"/>
      <w:r>
        <w:rPr>
          <w:b w:val="0"/>
          <w:u w:val="single"/>
        </w:rPr>
        <w:t>Autoridad Gubernamental</w:t>
      </w:r>
      <w:bookmarkEnd w:id="119"/>
      <w:bookmarkEnd w:id="120"/>
      <w:bookmarkEnd w:id="121"/>
      <w:bookmarkEnd w:id="122"/>
      <w:bookmarkEnd w:id="123"/>
      <w:bookmarkEnd w:id="124"/>
      <w:bookmarkEnd w:id="125"/>
      <w:bookmarkEnd w:id="126"/>
      <w:bookmarkEnd w:id="132"/>
    </w:p>
    <w:p w14:paraId="3706B257" w14:textId="1FA57A9D" w:rsidR="004412F1" w:rsidRDefault="005A12A3">
      <w:pPr>
        <w:ind w:left="993" w:hanging="285"/>
        <w:jc w:val="both"/>
        <w:rPr>
          <w:color w:val="000000"/>
          <w:lang w:val="es-PE"/>
        </w:rPr>
      </w:pPr>
      <w:r>
        <w:rPr>
          <w:color w:val="000000"/>
          <w:lang w:val="es-PE"/>
        </w:rPr>
        <w:tab/>
        <w:t>Es cualquier gobierno o autoridad nacional, regional o municipal, o cualquiera de sus dependencias o agencias, regulatorias o administrativas, o cualquier entidad u organismo del Estado de la República del Perú que conforme a ley ejerza poderes ejecutivos, legislativos o judiciales, o que pertenezca a cualquiera de los gobiernos, autoridades o instituciones anteriormente citadas.</w:t>
      </w:r>
    </w:p>
    <w:p w14:paraId="16F4838F" w14:textId="77777777" w:rsidR="004412F1" w:rsidRDefault="004412F1">
      <w:pPr>
        <w:tabs>
          <w:tab w:val="left" w:pos="851"/>
        </w:tabs>
        <w:rPr>
          <w:lang w:val="es-PE"/>
        </w:rPr>
      </w:pPr>
      <w:bookmarkStart w:id="133" w:name="_4i7ojhp" w:colFirst="0" w:colLast="0"/>
      <w:bookmarkStart w:id="134" w:name="_Toc131329234"/>
      <w:bookmarkStart w:id="135" w:name="_Toc131327837"/>
      <w:bookmarkStart w:id="136" w:name="_Toc131332829"/>
      <w:bookmarkStart w:id="137" w:name="_Toc131329002"/>
      <w:bookmarkStart w:id="138" w:name="_Toc131328666"/>
      <w:bookmarkStart w:id="139" w:name="_Toc131331908"/>
      <w:bookmarkStart w:id="140" w:name="_Toc131329821"/>
      <w:bookmarkEnd w:id="133"/>
    </w:p>
    <w:p w14:paraId="3D67B128" w14:textId="77777777" w:rsidR="004412F1" w:rsidRDefault="005A12A3">
      <w:pPr>
        <w:pStyle w:val="Ttulo3"/>
        <w:numPr>
          <w:ilvl w:val="2"/>
          <w:numId w:val="73"/>
        </w:numPr>
        <w:tabs>
          <w:tab w:val="left" w:pos="993"/>
        </w:tabs>
        <w:ind w:hanging="1866"/>
      </w:pPr>
      <w:bookmarkStart w:id="141" w:name="_2xcytpi" w:colFirst="0" w:colLast="0"/>
      <w:bookmarkStart w:id="142" w:name="_Toc134448715"/>
      <w:bookmarkStart w:id="143" w:name="_Toc468837520"/>
      <w:bookmarkEnd w:id="141"/>
      <w:r>
        <w:rPr>
          <w:b w:val="0"/>
          <w:u w:val="single"/>
        </w:rPr>
        <w:t>Bases</w:t>
      </w:r>
      <w:bookmarkEnd w:id="134"/>
      <w:bookmarkEnd w:id="135"/>
      <w:bookmarkEnd w:id="136"/>
      <w:bookmarkEnd w:id="137"/>
      <w:bookmarkEnd w:id="138"/>
      <w:bookmarkEnd w:id="139"/>
      <w:bookmarkEnd w:id="140"/>
      <w:bookmarkEnd w:id="142"/>
      <w:bookmarkEnd w:id="143"/>
    </w:p>
    <w:p w14:paraId="4E042BD0" w14:textId="77777777" w:rsidR="004412F1" w:rsidRDefault="005A12A3">
      <w:pPr>
        <w:tabs>
          <w:tab w:val="left" w:pos="851"/>
          <w:tab w:val="left" w:pos="993"/>
        </w:tabs>
        <w:ind w:left="993" w:hanging="285"/>
        <w:jc w:val="both"/>
      </w:pPr>
      <w:bookmarkStart w:id="144" w:name="_1ci93xb" w:colFirst="0" w:colLast="0"/>
      <w:bookmarkEnd w:id="144"/>
      <w:r>
        <w:rPr>
          <w:lang w:val="es-PE"/>
        </w:rPr>
        <w:tab/>
      </w:r>
      <w:r>
        <w:rPr>
          <w:lang w:val="es-PE"/>
        </w:rPr>
        <w:tab/>
        <w:t xml:space="preserve">Es el documento público que contiene los aspectos administrativos, procedimientos y condiciones, incluidos sus Anexos, Formularios, Apéndices y las Circulares que expida PROINVERSIÓN, fijando los términos bajo los cuales se desarrollará el Concurso. </w:t>
      </w:r>
      <w:bookmarkStart w:id="145" w:name="_Toc131329822"/>
      <w:bookmarkStart w:id="146" w:name="_Toc131332830"/>
      <w:bookmarkStart w:id="147" w:name="_Toc131328667"/>
      <w:bookmarkStart w:id="148" w:name="_Toc131331909"/>
      <w:bookmarkStart w:id="149" w:name="_Toc134448716"/>
      <w:bookmarkStart w:id="150" w:name="_Toc131327838"/>
      <w:bookmarkStart w:id="151" w:name="_Toc131329235"/>
      <w:bookmarkStart w:id="152" w:name="_Toc131329003"/>
      <w:r>
        <w:t>Las Bases forman parte del Contrato.</w:t>
      </w:r>
    </w:p>
    <w:p w14:paraId="1111B411" w14:textId="77777777" w:rsidR="004412F1" w:rsidRDefault="004412F1">
      <w:pPr>
        <w:tabs>
          <w:tab w:val="left" w:pos="851"/>
          <w:tab w:val="left" w:pos="993"/>
        </w:tabs>
        <w:ind w:left="993" w:hanging="285"/>
        <w:jc w:val="both"/>
      </w:pPr>
    </w:p>
    <w:p w14:paraId="6F359A0F" w14:textId="77777777" w:rsidR="004412F1" w:rsidRDefault="005A12A3">
      <w:pPr>
        <w:pStyle w:val="Ttulo3"/>
        <w:numPr>
          <w:ilvl w:val="2"/>
          <w:numId w:val="73"/>
        </w:numPr>
        <w:tabs>
          <w:tab w:val="left" w:pos="993"/>
        </w:tabs>
        <w:ind w:hanging="1866"/>
        <w:rPr>
          <w:u w:val="single"/>
        </w:rPr>
      </w:pPr>
      <w:bookmarkStart w:id="153" w:name="_3whwml4" w:colFirst="0" w:colLast="0"/>
      <w:bookmarkStart w:id="154" w:name="_Toc468837521"/>
      <w:bookmarkEnd w:id="153"/>
      <w:r>
        <w:rPr>
          <w:b w:val="0"/>
          <w:u w:val="single"/>
        </w:rPr>
        <w:t>Bienes de la Concesión</w:t>
      </w:r>
      <w:bookmarkEnd w:id="145"/>
      <w:bookmarkEnd w:id="146"/>
      <w:bookmarkEnd w:id="147"/>
      <w:bookmarkEnd w:id="148"/>
      <w:bookmarkEnd w:id="149"/>
      <w:bookmarkEnd w:id="150"/>
      <w:bookmarkEnd w:id="151"/>
      <w:bookmarkEnd w:id="152"/>
      <w:bookmarkEnd w:id="154"/>
    </w:p>
    <w:p w14:paraId="76641FE4" w14:textId="77777777" w:rsidR="004412F1" w:rsidRDefault="005A12A3">
      <w:pPr>
        <w:tabs>
          <w:tab w:val="left" w:pos="851"/>
          <w:tab w:val="left" w:pos="993"/>
        </w:tabs>
        <w:ind w:left="993"/>
        <w:jc w:val="both"/>
        <w:rPr>
          <w:rFonts w:eastAsia="Times New Roman"/>
          <w:bCs/>
          <w:szCs w:val="18"/>
          <w:lang w:val="es-ES" w:eastAsia="es-ES"/>
        </w:rPr>
      </w:pPr>
      <w:bookmarkStart w:id="155" w:name="_2bn6wsx" w:colFirst="0" w:colLast="0"/>
      <w:bookmarkEnd w:id="155"/>
      <w:r>
        <w:rPr>
          <w:lang w:val="es-PE"/>
        </w:rPr>
        <w:t xml:space="preserve">Son los bienes muebles o inmuebles que: </w:t>
      </w:r>
    </w:p>
    <w:p w14:paraId="7A286423" w14:textId="77777777" w:rsidR="004412F1" w:rsidRDefault="005A12A3">
      <w:pPr>
        <w:numPr>
          <w:ilvl w:val="5"/>
          <w:numId w:val="74"/>
        </w:numPr>
        <w:tabs>
          <w:tab w:val="left" w:pos="851"/>
        </w:tabs>
        <w:ind w:left="1418"/>
        <w:jc w:val="both"/>
        <w:rPr>
          <w:rFonts w:eastAsia="Times New Roman"/>
          <w:bCs/>
          <w:color w:val="000000"/>
          <w:szCs w:val="18"/>
          <w:lang w:val="es-ES" w:eastAsia="es-ES"/>
        </w:rPr>
      </w:pPr>
      <w:r>
        <w:rPr>
          <w:color w:val="000000"/>
          <w:lang w:val="es-PE"/>
        </w:rPr>
        <w:t xml:space="preserve">se encuentran incorporados a la Concesión o están afectados a esta o constituyen bienes inseparables de su objeto, los cuales se encuentran destinados directa o indirectamente para alcanzar los Niveles de Servicio; y </w:t>
      </w:r>
    </w:p>
    <w:p w14:paraId="7A968BB9" w14:textId="77777777" w:rsidR="004412F1" w:rsidRDefault="005A12A3">
      <w:pPr>
        <w:numPr>
          <w:ilvl w:val="5"/>
          <w:numId w:val="74"/>
        </w:numPr>
        <w:tabs>
          <w:tab w:val="left" w:pos="851"/>
        </w:tabs>
        <w:ind w:left="1418"/>
        <w:jc w:val="both"/>
        <w:rPr>
          <w:color w:val="000000"/>
          <w:lang w:val="es-PE"/>
        </w:rPr>
      </w:pPr>
      <w:r>
        <w:rPr>
          <w:color w:val="000000"/>
          <w:lang w:val="es-PE"/>
        </w:rPr>
        <w:t xml:space="preserve">son los entregados por el CONCEDENTE al inicio o durante la Concesión, o reemplazan a otros, o son adquiridos o construidos por el CONCESIONARIO (autorizados por el CONCEDENTE o para el cumplimiento de sus obligaciones) durante la vigencia de la Concesión.  </w:t>
      </w:r>
    </w:p>
    <w:p w14:paraId="7C7B1F88" w14:textId="77777777" w:rsidR="004412F1" w:rsidRDefault="004412F1">
      <w:pPr>
        <w:tabs>
          <w:tab w:val="left" w:pos="851"/>
          <w:tab w:val="left" w:pos="993"/>
        </w:tabs>
        <w:ind w:left="993"/>
        <w:jc w:val="both"/>
        <w:rPr>
          <w:lang w:val="es-PE"/>
        </w:rPr>
      </w:pPr>
    </w:p>
    <w:p w14:paraId="1A7590D5" w14:textId="77777777" w:rsidR="004412F1" w:rsidRDefault="005A12A3">
      <w:pPr>
        <w:tabs>
          <w:tab w:val="left" w:pos="851"/>
          <w:tab w:val="left" w:pos="993"/>
        </w:tabs>
        <w:ind w:left="993"/>
        <w:jc w:val="both"/>
        <w:rPr>
          <w:b/>
          <w:lang w:val="es-PE"/>
        </w:rPr>
      </w:pPr>
      <w:r>
        <w:rPr>
          <w:lang w:val="es-PE"/>
        </w:rPr>
        <w:t xml:space="preserve">Estos bienes son de titularidad del CONCEDENTE, y le serán devueltos y/o entregados por el CONCESIONARIO al término de la Concesión. </w:t>
      </w:r>
    </w:p>
    <w:p w14:paraId="2B41E890" w14:textId="77777777" w:rsidR="004412F1" w:rsidRDefault="004412F1">
      <w:pPr>
        <w:tabs>
          <w:tab w:val="left" w:pos="993"/>
        </w:tabs>
        <w:ind w:left="993"/>
        <w:rPr>
          <w:lang w:val="es-PE"/>
        </w:rPr>
      </w:pPr>
    </w:p>
    <w:p w14:paraId="1A83A419" w14:textId="77777777" w:rsidR="004412F1" w:rsidRDefault="005A12A3">
      <w:pPr>
        <w:pStyle w:val="Ttulo3"/>
        <w:numPr>
          <w:ilvl w:val="2"/>
          <w:numId w:val="73"/>
        </w:numPr>
        <w:tabs>
          <w:tab w:val="left" w:pos="993"/>
        </w:tabs>
        <w:ind w:hanging="1866"/>
      </w:pPr>
      <w:bookmarkStart w:id="156" w:name="_qsh70q" w:colFirst="0" w:colLast="0"/>
      <w:bookmarkStart w:id="157" w:name="_Toc468837522"/>
      <w:bookmarkStart w:id="158" w:name="_Toc131329824"/>
      <w:bookmarkStart w:id="159" w:name="_Toc131332832"/>
      <w:bookmarkStart w:id="160" w:name="_Toc131328669"/>
      <w:bookmarkStart w:id="161" w:name="_Toc134448718"/>
      <w:bookmarkStart w:id="162" w:name="_Toc131327840"/>
      <w:bookmarkStart w:id="163" w:name="_Toc131331911"/>
      <w:bookmarkStart w:id="164" w:name="_Toc131329237"/>
      <w:bookmarkStart w:id="165" w:name="_Toc131329005"/>
      <w:bookmarkEnd w:id="156"/>
      <w:r>
        <w:rPr>
          <w:b w:val="0"/>
          <w:u w:val="single"/>
        </w:rPr>
        <w:t>Bienes del CONCESIONARIO</w:t>
      </w:r>
      <w:bookmarkEnd w:id="157"/>
      <w:bookmarkEnd w:id="158"/>
      <w:bookmarkEnd w:id="159"/>
      <w:bookmarkEnd w:id="160"/>
      <w:bookmarkEnd w:id="161"/>
      <w:bookmarkEnd w:id="162"/>
      <w:bookmarkEnd w:id="163"/>
      <w:bookmarkEnd w:id="164"/>
      <w:bookmarkEnd w:id="165"/>
    </w:p>
    <w:p w14:paraId="473B0702" w14:textId="77777777" w:rsidR="004412F1" w:rsidRDefault="005A12A3">
      <w:pPr>
        <w:tabs>
          <w:tab w:val="left" w:pos="851"/>
          <w:tab w:val="left" w:pos="993"/>
        </w:tabs>
        <w:ind w:left="993"/>
        <w:jc w:val="both"/>
        <w:rPr>
          <w:lang w:val="es-PE"/>
        </w:rPr>
      </w:pPr>
      <w:r>
        <w:rPr>
          <w:lang w:val="es-PE"/>
        </w:rPr>
        <w:t xml:space="preserve">Son todos los bienes construidos, adquiridos o implementados por el CONCESIONARIO, que se encuentran sometidos a las reglas del Contrato y que son distintos a los Bienes de la Concesión, los mismos que al término de la Concesión permanecerán en propiedad del CONCESIONARIO y, por tanto, no formarán parte del valor de liquidación en caso de caducidad. </w:t>
      </w:r>
    </w:p>
    <w:p w14:paraId="3E88ACD8" w14:textId="77777777" w:rsidR="004412F1" w:rsidRDefault="004412F1">
      <w:pPr>
        <w:tabs>
          <w:tab w:val="left" w:pos="851"/>
          <w:tab w:val="left" w:pos="993"/>
        </w:tabs>
        <w:ind w:left="993"/>
        <w:jc w:val="both"/>
        <w:rPr>
          <w:lang w:val="es-PE"/>
        </w:rPr>
      </w:pPr>
    </w:p>
    <w:p w14:paraId="071AF59D" w14:textId="77777777" w:rsidR="004412F1" w:rsidRDefault="004412F1">
      <w:pPr>
        <w:rPr>
          <w:lang w:val="es-ES"/>
        </w:rPr>
      </w:pPr>
      <w:bookmarkStart w:id="166" w:name="_3as4poj" w:colFirst="0" w:colLast="0"/>
      <w:bookmarkEnd w:id="166"/>
    </w:p>
    <w:p w14:paraId="304D3EA9" w14:textId="77777777" w:rsidR="004412F1" w:rsidRDefault="005A12A3">
      <w:pPr>
        <w:pStyle w:val="Ttulo3"/>
        <w:numPr>
          <w:ilvl w:val="2"/>
          <w:numId w:val="73"/>
        </w:numPr>
        <w:tabs>
          <w:tab w:val="left" w:pos="993"/>
        </w:tabs>
        <w:ind w:hanging="1866"/>
        <w:rPr>
          <w:lang w:val="es-PE"/>
        </w:rPr>
      </w:pPr>
      <w:bookmarkStart w:id="167" w:name="_Toc131331912"/>
      <w:bookmarkStart w:id="168" w:name="_Toc55906326"/>
      <w:bookmarkStart w:id="169" w:name="_Toc131328670"/>
      <w:bookmarkStart w:id="170" w:name="_Toc131329006"/>
      <w:bookmarkStart w:id="171" w:name="_Toc134448719"/>
      <w:bookmarkStart w:id="172" w:name="_Toc131327841"/>
      <w:bookmarkStart w:id="173" w:name="_Toc131329825"/>
      <w:bookmarkStart w:id="174" w:name="_Toc131329238"/>
      <w:bookmarkStart w:id="175" w:name="_Toc131332833"/>
      <w:bookmarkStart w:id="176" w:name="_Toc468837523"/>
      <w:r>
        <w:rPr>
          <w:b w:val="0"/>
          <w:u w:val="single"/>
          <w:lang w:val="es-PE"/>
        </w:rPr>
        <w:lastRenderedPageBreak/>
        <w:t>Caducidad de la Concesión</w:t>
      </w:r>
      <w:bookmarkEnd w:id="167"/>
      <w:bookmarkEnd w:id="168"/>
      <w:bookmarkEnd w:id="169"/>
      <w:bookmarkEnd w:id="170"/>
      <w:bookmarkEnd w:id="171"/>
      <w:bookmarkEnd w:id="172"/>
      <w:bookmarkEnd w:id="173"/>
      <w:bookmarkEnd w:id="174"/>
      <w:bookmarkEnd w:id="175"/>
      <w:r>
        <w:rPr>
          <w:b w:val="0"/>
          <w:u w:val="single"/>
          <w:lang w:val="es-PE"/>
        </w:rPr>
        <w:t xml:space="preserve"> o Caducidad</w:t>
      </w:r>
      <w:bookmarkEnd w:id="176"/>
      <w:r>
        <w:rPr>
          <w:b w:val="0"/>
          <w:bCs w:val="0"/>
          <w:u w:val="single"/>
          <w:lang w:val="es-PE"/>
        </w:rPr>
        <w:t xml:space="preserve"> o Terminación</w:t>
      </w:r>
    </w:p>
    <w:p w14:paraId="1E699CD5" w14:textId="060250DE" w:rsidR="004412F1" w:rsidRDefault="005A12A3">
      <w:pPr>
        <w:ind w:left="993"/>
        <w:jc w:val="both"/>
        <w:rPr>
          <w:color w:val="000000"/>
          <w:lang w:val="es-ES"/>
        </w:rPr>
      </w:pPr>
      <w:r>
        <w:rPr>
          <w:color w:val="000000"/>
          <w:lang w:val="es-ES"/>
        </w:rPr>
        <w:t xml:space="preserve">Consiste en la extinción de la Concesión por las causales </w:t>
      </w:r>
      <w:r>
        <w:rPr>
          <w:color w:val="000000"/>
          <w:lang w:val="es-PE"/>
        </w:rPr>
        <w:t>y una vez concluidos los procedimientos previstos</w:t>
      </w:r>
      <w:r>
        <w:rPr>
          <w:color w:val="000000"/>
          <w:lang w:val="es-ES"/>
        </w:rPr>
        <w:t xml:space="preserve"> en el </w:t>
      </w:r>
      <w:r>
        <w:rPr>
          <w:color w:val="000000"/>
          <w:lang w:val="es-PE"/>
        </w:rPr>
        <w:t>Capítulo XVI</w:t>
      </w:r>
      <w:r w:rsidR="001C7068">
        <w:rPr>
          <w:color w:val="000000"/>
          <w:lang w:val="es-PE"/>
        </w:rPr>
        <w:t>I</w:t>
      </w:r>
      <w:r>
        <w:rPr>
          <w:color w:val="000000"/>
          <w:lang w:val="es-ES"/>
        </w:rPr>
        <w:t xml:space="preserve"> del Contrato. </w:t>
      </w:r>
    </w:p>
    <w:p w14:paraId="54B25D23" w14:textId="77777777" w:rsidR="004412F1" w:rsidRDefault="004412F1">
      <w:pPr>
        <w:ind w:left="993"/>
        <w:jc w:val="both"/>
        <w:rPr>
          <w:color w:val="000000"/>
          <w:lang w:val="es-ES"/>
        </w:rPr>
      </w:pPr>
    </w:p>
    <w:p w14:paraId="59ABE5AC" w14:textId="77777777" w:rsidR="004412F1" w:rsidRDefault="005A12A3">
      <w:pPr>
        <w:pStyle w:val="Ttulo3"/>
        <w:numPr>
          <w:ilvl w:val="2"/>
          <w:numId w:val="73"/>
        </w:numPr>
        <w:tabs>
          <w:tab w:val="left" w:pos="993"/>
        </w:tabs>
        <w:ind w:hanging="1866"/>
        <w:rPr>
          <w:u w:val="single"/>
        </w:rPr>
      </w:pPr>
      <w:bookmarkStart w:id="177" w:name="_1pxezwc"/>
      <w:bookmarkStart w:id="178" w:name="_Toc468837524"/>
      <w:bookmarkStart w:id="179" w:name="_Toc134448720"/>
      <w:bookmarkEnd w:id="177"/>
      <w:r>
        <w:rPr>
          <w:b w:val="0"/>
          <w:u w:val="single"/>
        </w:rPr>
        <w:t>Calzada</w:t>
      </w:r>
      <w:bookmarkEnd w:id="178"/>
    </w:p>
    <w:p w14:paraId="3296EF25" w14:textId="77777777" w:rsidR="004412F1" w:rsidRDefault="005A12A3">
      <w:pPr>
        <w:ind w:left="993"/>
        <w:jc w:val="both"/>
        <w:rPr>
          <w:rFonts w:eastAsia="Times New Roman"/>
          <w:bCs/>
          <w:szCs w:val="18"/>
          <w:lang w:val="es-ES" w:eastAsia="es-ES"/>
        </w:rPr>
      </w:pPr>
      <w:r>
        <w:rPr>
          <w:lang w:val="es-PE"/>
        </w:rPr>
        <w:t>Parte de la carretera destinada a la circulación de vehículos, no incluye la berma.</w:t>
      </w:r>
    </w:p>
    <w:p w14:paraId="63613B5A" w14:textId="77777777" w:rsidR="004412F1" w:rsidRDefault="004412F1">
      <w:pPr>
        <w:ind w:left="993"/>
        <w:jc w:val="both"/>
        <w:rPr>
          <w:lang w:val="es-PE"/>
        </w:rPr>
      </w:pPr>
    </w:p>
    <w:p w14:paraId="242ECE87" w14:textId="77777777" w:rsidR="004412F1" w:rsidRDefault="005A12A3">
      <w:pPr>
        <w:pStyle w:val="Ttulo3"/>
        <w:numPr>
          <w:ilvl w:val="2"/>
          <w:numId w:val="73"/>
        </w:numPr>
        <w:tabs>
          <w:tab w:val="left" w:pos="993"/>
        </w:tabs>
        <w:ind w:hanging="1866"/>
        <w:rPr>
          <w:u w:val="single"/>
          <w:lang w:val="es-PE"/>
        </w:rPr>
      </w:pPr>
      <w:r>
        <w:rPr>
          <w:b w:val="0"/>
          <w:bCs w:val="0"/>
          <w:u w:val="single"/>
          <w:lang w:val="es-PE"/>
        </w:rPr>
        <w:t xml:space="preserve">Certificado de avance de Mantenimiento Periódico Inicial (CAMPI) </w:t>
      </w:r>
    </w:p>
    <w:p w14:paraId="32B5DAEC" w14:textId="77777777" w:rsidR="004412F1" w:rsidRDefault="005A12A3">
      <w:pPr>
        <w:ind w:left="993"/>
        <w:jc w:val="both"/>
        <w:rPr>
          <w:lang w:val="es-PE"/>
        </w:rPr>
      </w:pPr>
      <w:r>
        <w:rPr>
          <w:lang w:val="es-PE"/>
        </w:rPr>
        <w:t>Es el certificado emitido por el REGULADOR de conformidad a los términos y condiciones establecidas en los Apéndices 5,1 y 5,2 del Anexo X</w:t>
      </w:r>
      <w:r>
        <w:rPr>
          <w:lang w:val="es-ES"/>
        </w:rPr>
        <w:t>I</w:t>
      </w:r>
      <w:r>
        <w:rPr>
          <w:lang w:val="es-PE"/>
        </w:rPr>
        <w:t>.</w:t>
      </w:r>
    </w:p>
    <w:p w14:paraId="059C6D53" w14:textId="77777777" w:rsidR="004412F1" w:rsidRDefault="004412F1">
      <w:pPr>
        <w:ind w:left="993"/>
        <w:jc w:val="both"/>
        <w:rPr>
          <w:lang w:val="es-PE"/>
        </w:rPr>
      </w:pPr>
    </w:p>
    <w:p w14:paraId="5D1AB79B" w14:textId="77777777" w:rsidR="004412F1" w:rsidRDefault="005A12A3">
      <w:pPr>
        <w:pStyle w:val="Ttulo3"/>
        <w:numPr>
          <w:ilvl w:val="2"/>
          <w:numId w:val="73"/>
        </w:numPr>
        <w:tabs>
          <w:tab w:val="left" w:pos="993"/>
        </w:tabs>
        <w:ind w:hanging="1866"/>
        <w:rPr>
          <w:u w:val="single"/>
          <w:lang w:val="es-PE"/>
        </w:rPr>
      </w:pPr>
      <w:r>
        <w:rPr>
          <w:b w:val="0"/>
          <w:bCs w:val="0"/>
          <w:u w:val="single"/>
          <w:lang w:val="es-PE"/>
        </w:rPr>
        <w:t>Certificado de Avance de Obra (CAO)</w:t>
      </w:r>
    </w:p>
    <w:p w14:paraId="6502A6D3" w14:textId="77777777" w:rsidR="004412F1" w:rsidRDefault="005A12A3">
      <w:pPr>
        <w:ind w:left="993"/>
        <w:jc w:val="both"/>
        <w:rPr>
          <w:lang w:val="es-PE"/>
        </w:rPr>
      </w:pPr>
      <w:r>
        <w:rPr>
          <w:lang w:val="es-PE"/>
        </w:rPr>
        <w:t>Es el certificado emitido por el Regulador, de conformidad a los términos y condiciones establecidas en los Apéndices 4,1 y 4,2 del Anexo X</w:t>
      </w:r>
      <w:r>
        <w:rPr>
          <w:lang w:val="es-ES"/>
        </w:rPr>
        <w:t>I</w:t>
      </w:r>
      <w:r>
        <w:rPr>
          <w:lang w:val="es-PE"/>
        </w:rPr>
        <w:t xml:space="preserve"> del presente Contrato.</w:t>
      </w:r>
    </w:p>
    <w:p w14:paraId="31C6CD9C" w14:textId="77777777" w:rsidR="004412F1" w:rsidRDefault="004412F1">
      <w:pPr>
        <w:rPr>
          <w:lang w:val="es-PE"/>
        </w:rPr>
      </w:pPr>
    </w:p>
    <w:p w14:paraId="32CAB529" w14:textId="77777777" w:rsidR="004412F1" w:rsidRDefault="005A12A3">
      <w:pPr>
        <w:pStyle w:val="Ttulo3"/>
        <w:numPr>
          <w:ilvl w:val="2"/>
          <w:numId w:val="73"/>
        </w:numPr>
        <w:tabs>
          <w:tab w:val="left" w:pos="993"/>
        </w:tabs>
        <w:ind w:hanging="1866"/>
        <w:rPr>
          <w:u w:val="single"/>
        </w:rPr>
      </w:pPr>
      <w:bookmarkStart w:id="180" w:name="_49x2ik5"/>
      <w:bookmarkStart w:id="181" w:name="_147n2zr"/>
      <w:bookmarkEnd w:id="180"/>
      <w:bookmarkEnd w:id="181"/>
      <w:r>
        <w:rPr>
          <w:b w:val="0"/>
          <w:bCs w:val="0"/>
          <w:u w:val="single"/>
        </w:rPr>
        <w:t>Cofinanciamiento</w:t>
      </w:r>
    </w:p>
    <w:p w14:paraId="2594B76B" w14:textId="77777777" w:rsidR="004412F1" w:rsidRDefault="005A12A3">
      <w:pPr>
        <w:tabs>
          <w:tab w:val="left" w:pos="993"/>
        </w:tabs>
        <w:ind w:left="993"/>
        <w:jc w:val="both"/>
        <w:rPr>
          <w:lang w:val="es-PE"/>
        </w:rPr>
      </w:pPr>
      <w:r>
        <w:rPr>
          <w:lang w:val="es-PE"/>
        </w:rPr>
        <w:t xml:space="preserve">Son los recursos otorgados por el CONCEDENTE en </w:t>
      </w:r>
      <w:proofErr w:type="gramStart"/>
      <w:r>
        <w:rPr>
          <w:lang w:val="es-PE"/>
        </w:rPr>
        <w:t>Dólares</w:t>
      </w:r>
      <w:proofErr w:type="gramEnd"/>
      <w:r>
        <w:rPr>
          <w:lang w:val="es-PE"/>
        </w:rPr>
        <w:t xml:space="preserve"> para retribuir las obligaciones del CONCESIONARIO, que serán desembolsados mediante el mecanismo de Pago de RPI, PAMPI, PPO y RPMO según lo especificado en el ANEXO X</w:t>
      </w:r>
      <w:r>
        <w:rPr>
          <w:lang w:val="es-ES"/>
        </w:rPr>
        <w:t>I</w:t>
      </w:r>
      <w:r>
        <w:rPr>
          <w:lang w:val="es-PE"/>
        </w:rPr>
        <w:t>.</w:t>
      </w:r>
    </w:p>
    <w:p w14:paraId="554D4F53" w14:textId="77777777" w:rsidR="004412F1" w:rsidRDefault="004412F1">
      <w:pPr>
        <w:ind w:left="993"/>
        <w:jc w:val="both"/>
        <w:rPr>
          <w:lang w:val="es-PE"/>
        </w:rPr>
      </w:pPr>
    </w:p>
    <w:p w14:paraId="11E8F99F" w14:textId="77777777" w:rsidR="004412F1" w:rsidRDefault="005A12A3">
      <w:pPr>
        <w:pStyle w:val="Ttulo3"/>
        <w:numPr>
          <w:ilvl w:val="2"/>
          <w:numId w:val="73"/>
        </w:numPr>
        <w:tabs>
          <w:tab w:val="left" w:pos="993"/>
        </w:tabs>
        <w:ind w:hanging="1866"/>
        <w:rPr>
          <w:u w:val="single"/>
        </w:rPr>
      </w:pPr>
      <w:bookmarkStart w:id="182" w:name="_3o7alnk"/>
      <w:bookmarkStart w:id="183" w:name="_Toc468837525"/>
      <w:bookmarkEnd w:id="182"/>
      <w:r>
        <w:rPr>
          <w:b w:val="0"/>
          <w:u w:val="single"/>
        </w:rPr>
        <w:t>Comité de Aceptación</w:t>
      </w:r>
      <w:bookmarkEnd w:id="183"/>
    </w:p>
    <w:p w14:paraId="31BD13C4" w14:textId="77777777" w:rsidR="004412F1" w:rsidRDefault="005A12A3">
      <w:pPr>
        <w:tabs>
          <w:tab w:val="left" w:pos="993"/>
        </w:tabs>
        <w:ind w:left="993"/>
        <w:jc w:val="both"/>
        <w:rPr>
          <w:lang w:val="es-PE"/>
        </w:rPr>
      </w:pPr>
      <w:bookmarkStart w:id="184" w:name="_2p2csry" w:colFirst="0" w:colLast="0"/>
      <w:bookmarkStart w:id="185" w:name="_Toc201717159"/>
      <w:bookmarkStart w:id="186" w:name="_Toc199177008"/>
      <w:bookmarkEnd w:id="184"/>
      <w:r>
        <w:rPr>
          <w:lang w:val="es-PE"/>
        </w:rPr>
        <w:t>Es el comité designado por el CONCEDENTE y que actuará en su representación para la aceptación de los Hitos Funcionales</w:t>
      </w:r>
      <w:r>
        <w:rPr>
          <w:lang w:val="es-ES"/>
        </w:rPr>
        <w:t xml:space="preserve"> y los Hitos Constructivos</w:t>
      </w:r>
      <w:r>
        <w:rPr>
          <w:lang w:val="es-PE"/>
        </w:rPr>
        <w:t xml:space="preserve">, según lo especificado en el </w:t>
      </w:r>
      <w:bookmarkEnd w:id="185"/>
      <w:bookmarkEnd w:id="186"/>
      <w:r>
        <w:fldChar w:fldCharType="begin"/>
      </w:r>
      <w:r>
        <w:rPr>
          <w:lang w:val="es-PE"/>
        </w:rPr>
        <w:instrText>HYPERLINK \l "_18vjpp8" \h</w:instrText>
      </w:r>
      <w:r>
        <w:fldChar w:fldCharType="separate"/>
      </w:r>
      <w:r>
        <w:rPr>
          <w:color w:val="000000"/>
          <w:lang w:val="es-PE"/>
        </w:rPr>
        <w:t>CAPÍTULO VI</w:t>
      </w:r>
      <w:r>
        <w:rPr>
          <w:color w:val="000000"/>
        </w:rPr>
        <w:fldChar w:fldCharType="end"/>
      </w:r>
      <w:r>
        <w:rPr>
          <w:lang w:val="es-PE"/>
        </w:rPr>
        <w:t>.</w:t>
      </w:r>
    </w:p>
    <w:p w14:paraId="3DAC1939" w14:textId="77777777" w:rsidR="004412F1" w:rsidRDefault="004412F1">
      <w:pPr>
        <w:ind w:left="993"/>
        <w:jc w:val="both"/>
        <w:rPr>
          <w:b/>
          <w:u w:val="single"/>
          <w:lang w:val="es-PE"/>
        </w:rPr>
      </w:pPr>
    </w:p>
    <w:p w14:paraId="0E508371" w14:textId="77777777" w:rsidR="004412F1" w:rsidRDefault="005A12A3">
      <w:pPr>
        <w:pStyle w:val="Ttulo3"/>
        <w:numPr>
          <w:ilvl w:val="2"/>
          <w:numId w:val="73"/>
        </w:numPr>
        <w:tabs>
          <w:tab w:val="left" w:pos="993"/>
        </w:tabs>
        <w:ind w:hanging="1866"/>
      </w:pPr>
      <w:bookmarkStart w:id="187" w:name="_Toc468837527"/>
      <w:r>
        <w:rPr>
          <w:b w:val="0"/>
          <w:u w:val="single"/>
        </w:rPr>
        <w:t>CONCEDENTE</w:t>
      </w:r>
      <w:bookmarkEnd w:id="179"/>
      <w:bookmarkEnd w:id="187"/>
    </w:p>
    <w:p w14:paraId="41CF3076" w14:textId="77777777" w:rsidR="004412F1" w:rsidRDefault="005A12A3">
      <w:pPr>
        <w:tabs>
          <w:tab w:val="left" w:pos="993"/>
        </w:tabs>
        <w:ind w:left="993"/>
        <w:jc w:val="both"/>
        <w:rPr>
          <w:lang w:val="es-PE"/>
        </w:rPr>
      </w:pPr>
      <w:r>
        <w:rPr>
          <w:lang w:val="es-PE"/>
        </w:rPr>
        <w:t>Es el Estado de la República del Perú, que actúa representado por el Ministerio de Transportes y Comunicaciones (MTC).</w:t>
      </w:r>
    </w:p>
    <w:p w14:paraId="4482F15D" w14:textId="77777777" w:rsidR="004412F1" w:rsidRDefault="004412F1">
      <w:pPr>
        <w:tabs>
          <w:tab w:val="left" w:pos="993"/>
        </w:tabs>
        <w:jc w:val="both"/>
        <w:rPr>
          <w:lang w:val="es-PE"/>
        </w:rPr>
      </w:pPr>
    </w:p>
    <w:p w14:paraId="6E725619" w14:textId="77777777" w:rsidR="004412F1" w:rsidRDefault="005A12A3">
      <w:pPr>
        <w:pStyle w:val="Ttulo3"/>
        <w:numPr>
          <w:ilvl w:val="2"/>
          <w:numId w:val="73"/>
        </w:numPr>
        <w:tabs>
          <w:tab w:val="left" w:pos="993"/>
        </w:tabs>
        <w:ind w:hanging="1866"/>
      </w:pPr>
      <w:bookmarkStart w:id="188" w:name="_23ckvvd"/>
      <w:bookmarkStart w:id="189" w:name="_Toc131328671"/>
      <w:bookmarkStart w:id="190" w:name="_Toc131331913"/>
      <w:bookmarkStart w:id="191" w:name="_Toc468837528"/>
      <w:bookmarkStart w:id="192" w:name="_Toc131329239"/>
      <w:bookmarkStart w:id="193" w:name="_Toc131327842"/>
      <w:bookmarkStart w:id="194" w:name="_Toc131332834"/>
      <w:bookmarkStart w:id="195" w:name="_Toc134448721"/>
      <w:bookmarkStart w:id="196" w:name="_Toc131329007"/>
      <w:bookmarkStart w:id="197" w:name="_Toc131329826"/>
      <w:bookmarkEnd w:id="188"/>
      <w:r>
        <w:rPr>
          <w:b w:val="0"/>
          <w:u w:val="single"/>
        </w:rPr>
        <w:t>Concesión</w:t>
      </w:r>
      <w:bookmarkEnd w:id="189"/>
      <w:bookmarkEnd w:id="190"/>
      <w:bookmarkEnd w:id="191"/>
      <w:bookmarkEnd w:id="192"/>
      <w:bookmarkEnd w:id="193"/>
      <w:bookmarkEnd w:id="194"/>
      <w:bookmarkEnd w:id="195"/>
      <w:bookmarkEnd w:id="196"/>
      <w:bookmarkEnd w:id="197"/>
    </w:p>
    <w:p w14:paraId="335DEAB4" w14:textId="77777777" w:rsidR="004412F1" w:rsidRDefault="005A12A3">
      <w:pPr>
        <w:tabs>
          <w:tab w:val="left" w:pos="993"/>
        </w:tabs>
        <w:ind w:left="993"/>
        <w:jc w:val="both"/>
        <w:rPr>
          <w:lang w:val="es-PE"/>
        </w:rPr>
      </w:pPr>
      <w:r>
        <w:rPr>
          <w:lang w:val="es-PE"/>
        </w:rPr>
        <w:t>Es la relación jurídica de Derecho Público que se establece entre el CONCEDENTE y el CONCESIONARIO a partir de la Fecha de Suscripción del Contrato, mediante la cual, el CONCEDENTE otorga al CONCESIONARIO el derecho a explotar los Bienes de la Concesión, y por la cual este se obliga a conservar dichos bienes y prestar una serie de servicios destinados a los usuarios de la Carretera Longitudinal de la Sierra Tramo 4, de acuerdo con lo que establece el presente Contrato de Concesión y con sujeción a lo dispuesto en las Leyes y Disposiciones Aplicables.</w:t>
      </w:r>
    </w:p>
    <w:p w14:paraId="3501CB57" w14:textId="77777777" w:rsidR="004412F1" w:rsidRDefault="004412F1">
      <w:pPr>
        <w:tabs>
          <w:tab w:val="left" w:pos="993"/>
        </w:tabs>
        <w:ind w:left="851"/>
        <w:jc w:val="both"/>
        <w:rPr>
          <w:lang w:val="es-PE"/>
        </w:rPr>
      </w:pPr>
    </w:p>
    <w:p w14:paraId="20E29B2E" w14:textId="77777777" w:rsidR="004412F1" w:rsidRDefault="005A12A3">
      <w:pPr>
        <w:pStyle w:val="Ttulo3"/>
        <w:numPr>
          <w:ilvl w:val="2"/>
          <w:numId w:val="73"/>
        </w:numPr>
        <w:tabs>
          <w:tab w:val="left" w:pos="993"/>
        </w:tabs>
        <w:ind w:hanging="1866"/>
      </w:pPr>
      <w:bookmarkStart w:id="198" w:name="_ihv636"/>
      <w:bookmarkStart w:id="199" w:name="_Toc131327843"/>
      <w:bookmarkStart w:id="200" w:name="_Toc131332835"/>
      <w:bookmarkStart w:id="201" w:name="_Toc131331914"/>
      <w:bookmarkStart w:id="202" w:name="_Toc131328672"/>
      <w:bookmarkStart w:id="203" w:name="_Toc131329827"/>
      <w:bookmarkStart w:id="204" w:name="_Toc131329008"/>
      <w:bookmarkStart w:id="205" w:name="_Toc134448722"/>
      <w:bookmarkStart w:id="206" w:name="_Toc468837529"/>
      <w:bookmarkStart w:id="207" w:name="_Toc131329240"/>
      <w:bookmarkEnd w:id="198"/>
      <w:r>
        <w:rPr>
          <w:b w:val="0"/>
          <w:u w:val="single"/>
        </w:rPr>
        <w:t>CONCESIONARIO</w:t>
      </w:r>
      <w:bookmarkEnd w:id="199"/>
      <w:bookmarkEnd w:id="200"/>
      <w:bookmarkEnd w:id="201"/>
      <w:bookmarkEnd w:id="202"/>
      <w:bookmarkEnd w:id="203"/>
      <w:bookmarkEnd w:id="204"/>
      <w:bookmarkEnd w:id="205"/>
      <w:bookmarkEnd w:id="206"/>
      <w:bookmarkEnd w:id="207"/>
    </w:p>
    <w:p w14:paraId="3067EDA2" w14:textId="77777777" w:rsidR="004412F1" w:rsidRDefault="005A12A3">
      <w:pPr>
        <w:tabs>
          <w:tab w:val="left" w:pos="993"/>
        </w:tabs>
        <w:ind w:left="993"/>
        <w:jc w:val="both"/>
        <w:rPr>
          <w:lang w:val="es-PE"/>
        </w:rPr>
      </w:pPr>
      <w:r>
        <w:rPr>
          <w:lang w:val="es-PE"/>
        </w:rPr>
        <w:t xml:space="preserve">Es la persona jurídica constituida por el Adjudicatario que suscribe el Contrato de Concesión con el CONCEDENTE. </w:t>
      </w:r>
    </w:p>
    <w:p w14:paraId="1E1422FD" w14:textId="77777777" w:rsidR="004412F1" w:rsidRDefault="004412F1">
      <w:pPr>
        <w:tabs>
          <w:tab w:val="left" w:pos="993"/>
        </w:tabs>
        <w:ind w:left="993"/>
        <w:jc w:val="both"/>
        <w:rPr>
          <w:lang w:val="es-PE"/>
        </w:rPr>
      </w:pPr>
    </w:p>
    <w:p w14:paraId="058F142A" w14:textId="77777777" w:rsidR="004412F1" w:rsidRDefault="005A12A3">
      <w:pPr>
        <w:pStyle w:val="Ttulo3"/>
        <w:numPr>
          <w:ilvl w:val="2"/>
          <w:numId w:val="73"/>
        </w:numPr>
        <w:tabs>
          <w:tab w:val="left" w:pos="993"/>
        </w:tabs>
        <w:ind w:hanging="1866"/>
      </w:pPr>
      <w:bookmarkStart w:id="208" w:name="_32hioqz"/>
      <w:bookmarkStart w:id="209" w:name="_Toc468837530"/>
      <w:bookmarkStart w:id="210" w:name="_Toc131332836"/>
      <w:bookmarkStart w:id="211" w:name="_Toc131328673"/>
      <w:bookmarkStart w:id="212" w:name="_Toc131327844"/>
      <w:bookmarkStart w:id="213" w:name="_Toc131329009"/>
      <w:bookmarkStart w:id="214" w:name="_Toc134448723"/>
      <w:bookmarkStart w:id="215" w:name="_Toc131329828"/>
      <w:bookmarkStart w:id="216" w:name="_Toc131329241"/>
      <w:bookmarkStart w:id="217" w:name="_Toc131331915"/>
      <w:bookmarkEnd w:id="208"/>
      <w:r>
        <w:rPr>
          <w:b w:val="0"/>
          <w:u w:val="single"/>
        </w:rPr>
        <w:t>Concurso</w:t>
      </w:r>
      <w:bookmarkEnd w:id="209"/>
      <w:bookmarkEnd w:id="210"/>
      <w:bookmarkEnd w:id="211"/>
      <w:bookmarkEnd w:id="212"/>
      <w:bookmarkEnd w:id="213"/>
      <w:bookmarkEnd w:id="214"/>
      <w:bookmarkEnd w:id="215"/>
      <w:bookmarkEnd w:id="216"/>
      <w:bookmarkEnd w:id="217"/>
    </w:p>
    <w:p w14:paraId="5D0530F9" w14:textId="77777777" w:rsidR="004412F1" w:rsidRDefault="005A12A3">
      <w:pPr>
        <w:tabs>
          <w:tab w:val="left" w:pos="993"/>
        </w:tabs>
        <w:ind w:left="993" w:hanging="993"/>
        <w:jc w:val="both"/>
      </w:pPr>
      <w:r>
        <w:rPr>
          <w:lang w:val="es-PE"/>
        </w:rPr>
        <w:tab/>
        <w:t xml:space="preserve">Es el proceso regulado por las Bases para la adjudicación de la Concesión al sector privado de la Carretera Longitudinal de la Sierra Tramo 4: Huancayo – Izcuchaca – Mayocc - Ayacucho/Ayacucho – Andahuaylas - Puente Sahuinto/Dv. </w:t>
      </w:r>
      <w:r>
        <w:t>Pisco – Huaytará - Ayacucho.</w:t>
      </w:r>
    </w:p>
    <w:p w14:paraId="2B34B69F" w14:textId="77777777" w:rsidR="004412F1" w:rsidRDefault="004412F1">
      <w:pPr>
        <w:tabs>
          <w:tab w:val="left" w:pos="993"/>
        </w:tabs>
        <w:ind w:left="993" w:hanging="993"/>
        <w:jc w:val="both"/>
      </w:pPr>
    </w:p>
    <w:p w14:paraId="204EB666" w14:textId="77777777" w:rsidR="004412F1" w:rsidRDefault="005A12A3">
      <w:pPr>
        <w:pStyle w:val="Ttulo3"/>
        <w:numPr>
          <w:ilvl w:val="2"/>
          <w:numId w:val="73"/>
        </w:numPr>
        <w:tabs>
          <w:tab w:val="left" w:pos="993"/>
        </w:tabs>
        <w:ind w:hanging="1866"/>
        <w:rPr>
          <w:u w:val="single"/>
        </w:rPr>
      </w:pPr>
      <w:bookmarkStart w:id="218" w:name="_1hmsyys"/>
      <w:bookmarkStart w:id="219" w:name="_Toc468837531"/>
      <w:bookmarkEnd w:id="218"/>
      <w:r>
        <w:rPr>
          <w:b w:val="0"/>
          <w:bCs w:val="0"/>
          <w:u w:val="single"/>
        </w:rPr>
        <w:lastRenderedPageBreak/>
        <w:t>Conservación o Mantenimiento</w:t>
      </w:r>
      <w:bookmarkEnd w:id="219"/>
    </w:p>
    <w:p w14:paraId="06B82938" w14:textId="77777777" w:rsidR="004412F1" w:rsidRDefault="005A12A3">
      <w:pPr>
        <w:ind w:left="993"/>
        <w:jc w:val="both"/>
        <w:rPr>
          <w:lang w:val="es-PE"/>
        </w:rPr>
      </w:pPr>
      <w:bookmarkStart w:id="220" w:name="_41mghml"/>
      <w:bookmarkStart w:id="221" w:name="_Toc199177014"/>
      <w:bookmarkStart w:id="222" w:name="_Toc201717165"/>
      <w:bookmarkEnd w:id="220"/>
      <w:r>
        <w:rPr>
          <w:lang w:val="es-PE"/>
        </w:rPr>
        <w:t xml:space="preserve">Es el conjunto de actividades efectuadas a partir de cada Toma de Posesión con el objeto de preservar, recuperar o retardar la pérdida de las condiciones estructurales </w:t>
      </w:r>
      <w:r>
        <w:rPr>
          <w:lang w:val="es-ES"/>
        </w:rPr>
        <w:t>y/</w:t>
      </w:r>
      <w:r>
        <w:rPr>
          <w:lang w:val="es-PE"/>
        </w:rPr>
        <w:t>o funcionales originales de los Bienes de la Concesión.</w:t>
      </w:r>
      <w:bookmarkEnd w:id="221"/>
      <w:bookmarkEnd w:id="222"/>
    </w:p>
    <w:p w14:paraId="62120BBA" w14:textId="77777777" w:rsidR="004412F1" w:rsidRDefault="004412F1">
      <w:pPr>
        <w:tabs>
          <w:tab w:val="left" w:pos="993"/>
        </w:tabs>
        <w:ind w:left="993" w:hanging="993"/>
        <w:jc w:val="both"/>
        <w:rPr>
          <w:lang w:val="es-PE"/>
        </w:rPr>
      </w:pPr>
    </w:p>
    <w:p w14:paraId="6958DC39" w14:textId="77777777" w:rsidR="004412F1" w:rsidRDefault="005A12A3">
      <w:pPr>
        <w:pStyle w:val="Ttulo3"/>
        <w:numPr>
          <w:ilvl w:val="2"/>
          <w:numId w:val="73"/>
        </w:numPr>
        <w:tabs>
          <w:tab w:val="left" w:pos="993"/>
        </w:tabs>
        <w:ind w:hanging="1866"/>
      </w:pPr>
      <w:bookmarkStart w:id="223" w:name="_2grqrue"/>
      <w:bookmarkStart w:id="224" w:name="_Toc131329829"/>
      <w:bookmarkStart w:id="225" w:name="_Toc131329242"/>
      <w:bookmarkStart w:id="226" w:name="_Toc82859459"/>
      <w:bookmarkStart w:id="227" w:name="_Toc82860692"/>
      <w:bookmarkStart w:id="228" w:name="_Toc131328674"/>
      <w:bookmarkStart w:id="229" w:name="_Toc82859243"/>
      <w:bookmarkStart w:id="230" w:name="_Toc131329010"/>
      <w:bookmarkStart w:id="231" w:name="_Toc134448724"/>
      <w:bookmarkStart w:id="232" w:name="_Toc131331916"/>
      <w:bookmarkStart w:id="233" w:name="_Toc106603834"/>
      <w:bookmarkStart w:id="234" w:name="_Toc82859024"/>
      <w:bookmarkStart w:id="235" w:name="_Toc82860290"/>
      <w:bookmarkStart w:id="236" w:name="_Toc82858584"/>
      <w:bookmarkStart w:id="237" w:name="_Toc82859879"/>
      <w:bookmarkStart w:id="238" w:name="_Toc131332837"/>
      <w:bookmarkStart w:id="239" w:name="_Toc131327845"/>
      <w:bookmarkStart w:id="240" w:name="_Toc106666408"/>
      <w:bookmarkStart w:id="241" w:name="_Toc82859672"/>
      <w:bookmarkStart w:id="242" w:name="_Toc82860085"/>
      <w:bookmarkStart w:id="243" w:name="_Toc82858805"/>
      <w:bookmarkStart w:id="244" w:name="_Toc468837532"/>
      <w:bookmarkStart w:id="245" w:name="_Toc55906328"/>
      <w:bookmarkEnd w:id="223"/>
      <w:r>
        <w:rPr>
          <w:b w:val="0"/>
          <w:u w:val="single"/>
        </w:rPr>
        <w:t>Conservación</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b w:val="0"/>
          <w:u w:val="single"/>
        </w:rPr>
        <w:t xml:space="preserve"> Vial </w:t>
      </w:r>
      <w:r>
        <w:rPr>
          <w:b w:val="0"/>
          <w:bCs w:val="0"/>
          <w:u w:val="single"/>
        </w:rPr>
        <w:t>o Mantenimiento Vial</w:t>
      </w:r>
      <w:bookmarkEnd w:id="244"/>
    </w:p>
    <w:p w14:paraId="11056800" w14:textId="77777777" w:rsidR="004412F1" w:rsidRDefault="005A12A3">
      <w:pPr>
        <w:tabs>
          <w:tab w:val="left" w:pos="993"/>
        </w:tabs>
        <w:ind w:left="993" w:hanging="993"/>
        <w:jc w:val="both"/>
        <w:rPr>
          <w:lang w:val="es-PE"/>
        </w:rPr>
      </w:pPr>
      <w:bookmarkStart w:id="246" w:name="_vx1227" w:colFirst="0" w:colLast="0"/>
      <w:bookmarkStart w:id="247" w:name="_Toc199177016"/>
      <w:bookmarkStart w:id="248" w:name="_Toc201717167"/>
      <w:bookmarkStart w:id="249" w:name="_Toc82860086"/>
      <w:bookmarkStart w:id="250" w:name="_Toc106666409"/>
      <w:bookmarkStart w:id="251" w:name="_Toc82858806"/>
      <w:bookmarkStart w:id="252" w:name="_Toc106603835"/>
      <w:bookmarkStart w:id="253" w:name="_Toc82859460"/>
      <w:bookmarkStart w:id="254" w:name="_Toc82860291"/>
      <w:bookmarkStart w:id="255" w:name="_Toc82858585"/>
      <w:bookmarkStart w:id="256" w:name="_Toc131327846"/>
      <w:bookmarkStart w:id="257" w:name="_Toc82860693"/>
      <w:bookmarkStart w:id="258" w:name="_Toc82859880"/>
      <w:bookmarkStart w:id="259" w:name="_Toc82859025"/>
      <w:bookmarkStart w:id="260" w:name="_Toc82859244"/>
      <w:bookmarkStart w:id="261" w:name="_Toc82859673"/>
      <w:bookmarkEnd w:id="245"/>
      <w:bookmarkEnd w:id="246"/>
      <w:r>
        <w:rPr>
          <w:lang w:val="es-PE"/>
        </w:rPr>
        <w:tab/>
        <w:t>Es el conjunto de actividades técnicas destinadas a preservar en forma continua y sostenida el buen estado de la infraestructura vial, de modo que se garantice un servicio óptimo al usuario, puede ser de naturaleza rutinaria o periódica.</w:t>
      </w:r>
      <w:bookmarkEnd w:id="247"/>
      <w:bookmarkEnd w:id="248"/>
    </w:p>
    <w:p w14:paraId="1773940E" w14:textId="77777777" w:rsidR="004412F1" w:rsidRDefault="004412F1">
      <w:pPr>
        <w:tabs>
          <w:tab w:val="left" w:pos="993"/>
        </w:tabs>
        <w:ind w:left="993" w:hanging="993"/>
        <w:jc w:val="both"/>
        <w:rPr>
          <w:lang w:val="es-PE"/>
        </w:rPr>
      </w:pPr>
    </w:p>
    <w:p w14:paraId="48039E93" w14:textId="77777777" w:rsidR="004412F1" w:rsidRDefault="005A12A3">
      <w:pPr>
        <w:pStyle w:val="Ttulo3"/>
        <w:numPr>
          <w:ilvl w:val="2"/>
          <w:numId w:val="73"/>
        </w:numPr>
        <w:tabs>
          <w:tab w:val="left" w:pos="993"/>
        </w:tabs>
        <w:ind w:hanging="1866"/>
        <w:rPr>
          <w:u w:val="single"/>
          <w:lang w:val="es-PE"/>
        </w:rPr>
      </w:pPr>
      <w:bookmarkStart w:id="262" w:name="_3fwokq0"/>
      <w:bookmarkStart w:id="263" w:name="_Toc468837533"/>
      <w:bookmarkEnd w:id="262"/>
      <w:r>
        <w:rPr>
          <w:b w:val="0"/>
          <w:u w:val="single"/>
          <w:lang w:val="es-PE"/>
        </w:rPr>
        <w:t xml:space="preserve">Conservación Vial Periódica </w:t>
      </w:r>
      <w:r>
        <w:rPr>
          <w:b w:val="0"/>
          <w:bCs w:val="0"/>
          <w:u w:val="single"/>
          <w:lang w:val="es-PE"/>
        </w:rPr>
        <w:t xml:space="preserve">o Mantenimiento </w:t>
      </w:r>
      <w:r>
        <w:rPr>
          <w:b w:val="0"/>
          <w:u w:val="single"/>
          <w:lang w:val="es-PE"/>
        </w:rPr>
        <w:t>Vial Periódico</w:t>
      </w:r>
      <w:bookmarkEnd w:id="263"/>
    </w:p>
    <w:p w14:paraId="4DE73DCD" w14:textId="77777777" w:rsidR="004412F1" w:rsidRDefault="005A12A3">
      <w:pPr>
        <w:tabs>
          <w:tab w:val="left" w:pos="993"/>
        </w:tabs>
        <w:ind w:left="993"/>
        <w:jc w:val="both"/>
        <w:rPr>
          <w:lang w:val="es-PE"/>
        </w:rPr>
      </w:pPr>
      <w:r>
        <w:rPr>
          <w:lang w:val="es-PE"/>
        </w:rPr>
        <w:t xml:space="preserve">Es el conjunto de actividades programables cada cierto período, que se realizan en las vías para recuperar sus condiciones de servicio. Estas actividades pueden ser manuales o mecánicas y están referidas principalmente a: i) reposición de capas de rodadura, recapeo, colocación de capas nivelantes, tratamientos superficiales y sello, ii) reparación o reconstrucción puntual de capas inferiores del pavimento, iii) reparación o reconstrucción puntual de túneles, muros, obras de drenaje, elementos de seguridad vial y señalización, iv) reparación o reconstrucción puntual de la plataforma de carretera, que pueden incluir obras puntuales de drenaje y obras que contribuyan a la estabilidad de la misma, y v) reparación o reconstrucción puntual de los componentes de los puentes tanto de la superestructura como de la subestructura. </w:t>
      </w:r>
    </w:p>
    <w:p w14:paraId="3B3AB77E" w14:textId="77777777" w:rsidR="004412F1" w:rsidRDefault="004412F1">
      <w:pPr>
        <w:tabs>
          <w:tab w:val="left" w:pos="993"/>
        </w:tabs>
        <w:ind w:left="993"/>
        <w:jc w:val="both"/>
        <w:rPr>
          <w:lang w:val="es-PE"/>
        </w:rPr>
      </w:pPr>
    </w:p>
    <w:p w14:paraId="569E2454" w14:textId="77777777" w:rsidR="004412F1" w:rsidRDefault="005A12A3">
      <w:pPr>
        <w:pStyle w:val="Ttulo3"/>
        <w:numPr>
          <w:ilvl w:val="2"/>
          <w:numId w:val="73"/>
        </w:numPr>
        <w:tabs>
          <w:tab w:val="left" w:pos="993"/>
        </w:tabs>
        <w:ind w:hanging="1866"/>
        <w:rPr>
          <w:u w:val="single"/>
          <w:lang w:val="es-PE"/>
        </w:rPr>
      </w:pPr>
      <w:bookmarkStart w:id="264" w:name="_1v1yuxt"/>
      <w:bookmarkStart w:id="265" w:name="_Toc468837534"/>
      <w:bookmarkEnd w:id="264"/>
      <w:r>
        <w:rPr>
          <w:b w:val="0"/>
          <w:u w:val="single"/>
          <w:lang w:val="es-PE"/>
        </w:rPr>
        <w:t xml:space="preserve">Conservación Vial Rutinaria </w:t>
      </w:r>
      <w:r>
        <w:rPr>
          <w:b w:val="0"/>
          <w:bCs w:val="0"/>
          <w:u w:val="single"/>
          <w:lang w:val="es-PE"/>
        </w:rPr>
        <w:t xml:space="preserve">o Mantenimiento </w:t>
      </w:r>
      <w:r>
        <w:rPr>
          <w:b w:val="0"/>
          <w:u w:val="single"/>
          <w:lang w:val="es-PE"/>
        </w:rPr>
        <w:t>Vial Rutinario</w:t>
      </w:r>
      <w:bookmarkEnd w:id="265"/>
    </w:p>
    <w:p w14:paraId="0BE49644" w14:textId="77777777" w:rsidR="004412F1" w:rsidRDefault="005A12A3">
      <w:pPr>
        <w:tabs>
          <w:tab w:val="left" w:pos="993"/>
        </w:tabs>
        <w:ind w:left="993"/>
        <w:jc w:val="both"/>
        <w:rPr>
          <w:lang w:val="es-PE"/>
        </w:rPr>
      </w:pPr>
      <w:bookmarkStart w:id="266" w:name="_4f1mdlm"/>
      <w:bookmarkEnd w:id="266"/>
      <w:r>
        <w:rPr>
          <w:lang w:val="es-PE"/>
        </w:rPr>
        <w:t xml:space="preserve">Es el conjunto de actividades que se realizan en las vías con carácter permanente para conservar sus niveles de servicio. Estas actividades pueden ser manuales o mecánicas y están referidas principalmente a labores de limpieza, bacheo, perfilado, roce, eliminación de derrumbes de pequeña magnitud, así como de limpieza o reparación de juntas de dilatación, elementos de apoyo, pintura y drenaje en la superestructura y subestructura de los puentes. </w:t>
      </w:r>
      <w:bookmarkStart w:id="267" w:name="_Toc131332839"/>
      <w:bookmarkStart w:id="268" w:name="_Toc131327848"/>
      <w:bookmarkStart w:id="269" w:name="_Toc106603836"/>
      <w:bookmarkStart w:id="270" w:name="_Toc131329244"/>
      <w:bookmarkStart w:id="271" w:name="_Toc131329831"/>
      <w:bookmarkStart w:id="272" w:name="_Toc106666410"/>
      <w:bookmarkStart w:id="273" w:name="_Toc134448726"/>
      <w:bookmarkStart w:id="274" w:name="_Toc131329012"/>
      <w:bookmarkStart w:id="275" w:name="_Toc131328676"/>
      <w:bookmarkStart w:id="276" w:name="_Toc131331918"/>
      <w:bookmarkEnd w:id="249"/>
      <w:bookmarkEnd w:id="250"/>
      <w:bookmarkEnd w:id="251"/>
      <w:bookmarkEnd w:id="252"/>
      <w:bookmarkEnd w:id="253"/>
      <w:bookmarkEnd w:id="254"/>
      <w:bookmarkEnd w:id="255"/>
      <w:bookmarkEnd w:id="256"/>
      <w:bookmarkEnd w:id="257"/>
      <w:bookmarkEnd w:id="258"/>
      <w:bookmarkEnd w:id="259"/>
      <w:bookmarkEnd w:id="260"/>
      <w:bookmarkEnd w:id="261"/>
    </w:p>
    <w:p w14:paraId="5B6569D2" w14:textId="77777777" w:rsidR="004412F1" w:rsidRDefault="004412F1">
      <w:pPr>
        <w:ind w:left="993"/>
        <w:jc w:val="both"/>
        <w:rPr>
          <w:lang w:val="es-PE"/>
        </w:rPr>
      </w:pPr>
      <w:bookmarkStart w:id="277" w:name="_2u6wntf"/>
      <w:bookmarkEnd w:id="277"/>
    </w:p>
    <w:p w14:paraId="5C998331" w14:textId="77777777" w:rsidR="004412F1" w:rsidRDefault="005A12A3">
      <w:pPr>
        <w:pStyle w:val="Ttulo3"/>
        <w:numPr>
          <w:ilvl w:val="2"/>
          <w:numId w:val="73"/>
        </w:numPr>
        <w:tabs>
          <w:tab w:val="left" w:pos="993"/>
        </w:tabs>
        <w:ind w:hanging="1866"/>
        <w:rPr>
          <w:u w:val="single"/>
          <w:lang w:val="es-PE"/>
        </w:rPr>
      </w:pPr>
      <w:r>
        <w:rPr>
          <w:b w:val="0"/>
          <w:bCs w:val="0"/>
          <w:u w:val="single"/>
          <w:lang w:val="es-PE"/>
        </w:rPr>
        <w:t>Construcción</w:t>
      </w:r>
      <w:r>
        <w:rPr>
          <w:u w:val="single"/>
          <w:lang w:val="es-PE"/>
        </w:rPr>
        <w:t xml:space="preserve"> </w:t>
      </w:r>
      <w:r>
        <w:rPr>
          <w:b w:val="0"/>
          <w:bCs w:val="0"/>
          <w:u w:val="single"/>
          <w:lang w:val="es-PE"/>
        </w:rPr>
        <w:t>o Construcción del evitamiento San Clemente:</w:t>
      </w:r>
    </w:p>
    <w:p w14:paraId="084AC9D8" w14:textId="77777777" w:rsidR="004412F1" w:rsidRDefault="005A12A3">
      <w:pPr>
        <w:ind w:left="993"/>
        <w:jc w:val="both"/>
        <w:rPr>
          <w:lang w:val="es-ES"/>
        </w:rPr>
      </w:pPr>
      <w:r>
        <w:rPr>
          <w:lang w:val="es-PE"/>
        </w:rPr>
        <w:t>Es la ejecución de la estructura del pavimento; así como la construcción de los puentes, túneles, obras de drenaje, muros, señalizaciones, y equipamiento necesario, correspondiente al evitamiento San Clemente, de conformidad con lo establecido en el EDI correspondiente</w:t>
      </w:r>
      <w:r>
        <w:rPr>
          <w:lang w:val="es-ES"/>
        </w:rPr>
        <w:t>.</w:t>
      </w:r>
    </w:p>
    <w:p w14:paraId="382E0B2E" w14:textId="77777777" w:rsidR="004412F1" w:rsidRDefault="004412F1">
      <w:pPr>
        <w:ind w:left="993"/>
        <w:jc w:val="both"/>
        <w:rPr>
          <w:lang w:val="es-ES"/>
        </w:rPr>
      </w:pPr>
    </w:p>
    <w:p w14:paraId="596FC7E4" w14:textId="77777777" w:rsidR="004412F1" w:rsidRDefault="005A12A3">
      <w:pPr>
        <w:pStyle w:val="Ttulo3"/>
        <w:numPr>
          <w:ilvl w:val="2"/>
          <w:numId w:val="73"/>
        </w:numPr>
        <w:tabs>
          <w:tab w:val="left" w:pos="993"/>
        </w:tabs>
        <w:ind w:hanging="1866"/>
      </w:pPr>
      <w:bookmarkStart w:id="278" w:name="_Toc468837535"/>
      <w:r>
        <w:rPr>
          <w:b w:val="0"/>
          <w:u w:val="single"/>
        </w:rPr>
        <w:t>Constructor</w:t>
      </w:r>
      <w:bookmarkEnd w:id="267"/>
      <w:bookmarkEnd w:id="268"/>
      <w:bookmarkEnd w:id="269"/>
      <w:bookmarkEnd w:id="270"/>
      <w:bookmarkEnd w:id="271"/>
      <w:bookmarkEnd w:id="272"/>
      <w:bookmarkEnd w:id="273"/>
      <w:bookmarkEnd w:id="274"/>
      <w:bookmarkEnd w:id="275"/>
      <w:bookmarkEnd w:id="276"/>
      <w:bookmarkEnd w:id="278"/>
    </w:p>
    <w:p w14:paraId="30544A0C" w14:textId="77777777" w:rsidR="004412F1" w:rsidRDefault="005A12A3">
      <w:pPr>
        <w:ind w:left="993"/>
        <w:jc w:val="both"/>
        <w:rPr>
          <w:lang w:val="es-PE"/>
        </w:rPr>
      </w:pPr>
      <w:r>
        <w:rPr>
          <w:lang w:val="es-PE"/>
        </w:rPr>
        <w:t>Es (son) la(s) persona(s) jurídica(s), que suscribirá(n) el o los contratos de ejecución de las Intervenciones de la Concesión con el CONCESIONARIO, pudiendo ser un tercero, el Adjudicatario, un accionista de este, un integrante en caso de Consorcio o una Empresa Subsidiaria del Postor o de uno de sus integrantes, o una Empresa Vinculada.</w:t>
      </w:r>
    </w:p>
    <w:p w14:paraId="2CA98E7E" w14:textId="77777777" w:rsidR="004412F1" w:rsidRDefault="004412F1">
      <w:pPr>
        <w:tabs>
          <w:tab w:val="left" w:pos="993"/>
        </w:tabs>
        <w:ind w:left="993"/>
        <w:jc w:val="both"/>
        <w:rPr>
          <w:lang w:val="es-PE"/>
        </w:rPr>
      </w:pPr>
    </w:p>
    <w:p w14:paraId="7FCC5355" w14:textId="77777777" w:rsidR="004412F1" w:rsidRDefault="005A12A3">
      <w:pPr>
        <w:pStyle w:val="Ttulo3"/>
        <w:numPr>
          <w:ilvl w:val="2"/>
          <w:numId w:val="73"/>
        </w:numPr>
        <w:tabs>
          <w:tab w:val="left" w:pos="993"/>
        </w:tabs>
        <w:ind w:hanging="1866"/>
      </w:pPr>
      <w:bookmarkStart w:id="279" w:name="_19c6y18"/>
      <w:bookmarkStart w:id="280" w:name="_Toc134448727"/>
      <w:bookmarkStart w:id="281" w:name="_Toc131328677"/>
      <w:bookmarkStart w:id="282" w:name="_Toc131329013"/>
      <w:bookmarkStart w:id="283" w:name="_Toc131329832"/>
      <w:bookmarkStart w:id="284" w:name="_Toc468837536"/>
      <w:bookmarkStart w:id="285" w:name="_Toc131329245"/>
      <w:bookmarkStart w:id="286" w:name="_Toc131331919"/>
      <w:bookmarkStart w:id="287" w:name="_Toc55906329"/>
      <w:bookmarkStart w:id="288" w:name="_Toc131327849"/>
      <w:bookmarkStart w:id="289" w:name="_Toc131332840"/>
      <w:bookmarkEnd w:id="279"/>
      <w:r>
        <w:rPr>
          <w:b w:val="0"/>
          <w:u w:val="single"/>
        </w:rPr>
        <w:t>Contrato de Concesión o Contrato</w:t>
      </w:r>
      <w:bookmarkEnd w:id="280"/>
      <w:bookmarkEnd w:id="281"/>
      <w:bookmarkEnd w:id="282"/>
      <w:bookmarkEnd w:id="283"/>
      <w:bookmarkEnd w:id="284"/>
      <w:bookmarkEnd w:id="285"/>
      <w:bookmarkEnd w:id="286"/>
      <w:bookmarkEnd w:id="287"/>
      <w:bookmarkEnd w:id="288"/>
      <w:bookmarkEnd w:id="289"/>
    </w:p>
    <w:p w14:paraId="5CA5E2BB" w14:textId="77777777" w:rsidR="004412F1" w:rsidRDefault="005A12A3">
      <w:pPr>
        <w:ind w:left="993"/>
        <w:jc w:val="both"/>
        <w:rPr>
          <w:color w:val="000000"/>
          <w:lang w:val="es-PE"/>
        </w:rPr>
      </w:pPr>
      <w:r>
        <w:rPr>
          <w:color w:val="000000"/>
          <w:lang w:val="es-PE"/>
        </w:rPr>
        <w:t xml:space="preserve">Es el presente Contrato, incluyendo sus Anexos y Apéndices, celebrado entre el CONCEDENTE y el CONCESIONARIO, el mismo que rige las relaciones entre las Partes durante el plazo de la Concesión de la Carretera Longitudinal de la Sierra Tramo 4: Huancayo – Izcuchaca – Mayocc - Ayacucho/Ayacucho – Andahuaylas - Puente Sahuinto/Dv. </w:t>
      </w:r>
      <w:r>
        <w:rPr>
          <w:color w:val="000000"/>
        </w:rPr>
        <w:t>Pisco – Huaytará - Ayacucho</w:t>
      </w:r>
      <w:r>
        <w:rPr>
          <w:color w:val="000000"/>
          <w:lang w:val="es-PE"/>
        </w:rPr>
        <w:t>.</w:t>
      </w:r>
    </w:p>
    <w:p w14:paraId="62F80DB4" w14:textId="77777777" w:rsidR="004412F1" w:rsidRDefault="004412F1">
      <w:pPr>
        <w:ind w:left="993"/>
        <w:jc w:val="both"/>
        <w:rPr>
          <w:color w:val="000000"/>
          <w:lang w:val="es-PE"/>
        </w:rPr>
      </w:pPr>
    </w:p>
    <w:p w14:paraId="61329033" w14:textId="77777777" w:rsidR="004412F1" w:rsidRDefault="005A12A3">
      <w:pPr>
        <w:pStyle w:val="Ttulo3"/>
        <w:numPr>
          <w:ilvl w:val="2"/>
          <w:numId w:val="73"/>
        </w:numPr>
        <w:tabs>
          <w:tab w:val="left" w:pos="993"/>
        </w:tabs>
        <w:ind w:hanging="1866"/>
        <w:rPr>
          <w:u w:val="single"/>
        </w:rPr>
      </w:pPr>
      <w:bookmarkStart w:id="290" w:name="_3tbugp1"/>
      <w:bookmarkStart w:id="291" w:name="_Toc468837537"/>
      <w:bookmarkEnd w:id="290"/>
      <w:r>
        <w:rPr>
          <w:b w:val="0"/>
          <w:bCs w:val="0"/>
          <w:u w:val="single"/>
        </w:rPr>
        <w:lastRenderedPageBreak/>
        <w:t xml:space="preserve">Control </w:t>
      </w:r>
      <w:bookmarkEnd w:id="291"/>
    </w:p>
    <w:p w14:paraId="6BD2DE40" w14:textId="77777777" w:rsidR="004412F1" w:rsidRDefault="005A12A3">
      <w:pPr>
        <w:ind w:left="993"/>
        <w:jc w:val="both"/>
        <w:rPr>
          <w:lang w:val="es-PE"/>
        </w:rPr>
      </w:pPr>
      <w:r>
        <w:rPr>
          <w:lang w:val="es-PE"/>
        </w:rPr>
        <w:t>Una persona natural o jurídica ostenta el Control de una persona jurídica o está sometida a control común con esta, cuando:</w:t>
      </w:r>
    </w:p>
    <w:p w14:paraId="13A52268" w14:textId="77777777" w:rsidR="004412F1" w:rsidRDefault="004412F1">
      <w:pPr>
        <w:ind w:left="851" w:hanging="851"/>
        <w:jc w:val="both"/>
        <w:rPr>
          <w:lang w:val="es-PE"/>
        </w:rPr>
      </w:pPr>
    </w:p>
    <w:p w14:paraId="4125ABA6" w14:textId="77777777" w:rsidR="004412F1" w:rsidRDefault="005A12A3">
      <w:pPr>
        <w:numPr>
          <w:ilvl w:val="0"/>
          <w:numId w:val="75"/>
        </w:numPr>
        <w:ind w:left="1418" w:hanging="425"/>
        <w:jc w:val="both"/>
        <w:rPr>
          <w:lang w:val="es-PE"/>
        </w:rPr>
      </w:pPr>
      <w:r>
        <w:rPr>
          <w:lang w:val="es-PE"/>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5D36DE2A" w14:textId="77777777" w:rsidR="004412F1" w:rsidRDefault="004412F1">
      <w:pPr>
        <w:ind w:left="993"/>
        <w:jc w:val="both"/>
        <w:rPr>
          <w:lang w:val="es-PE"/>
        </w:rPr>
      </w:pPr>
    </w:p>
    <w:p w14:paraId="1CF5C973" w14:textId="77777777" w:rsidR="004412F1" w:rsidRDefault="005A12A3">
      <w:pPr>
        <w:numPr>
          <w:ilvl w:val="0"/>
          <w:numId w:val="75"/>
        </w:numPr>
        <w:ind w:left="1418" w:hanging="425"/>
        <w:jc w:val="both"/>
        <w:rPr>
          <w:lang w:val="es-PE"/>
        </w:rPr>
      </w:pPr>
      <w:r>
        <w:rPr>
          <w:lang w:val="es-PE"/>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1C3E129A" w14:textId="77777777" w:rsidR="004412F1" w:rsidRDefault="004412F1">
      <w:pPr>
        <w:ind w:left="993"/>
        <w:jc w:val="both"/>
        <w:rPr>
          <w:lang w:val="es-PE"/>
        </w:rPr>
      </w:pPr>
    </w:p>
    <w:p w14:paraId="145C5EE9" w14:textId="77777777" w:rsidR="004412F1" w:rsidRDefault="005A12A3">
      <w:pPr>
        <w:numPr>
          <w:ilvl w:val="0"/>
          <w:numId w:val="75"/>
        </w:numPr>
        <w:ind w:left="1418" w:hanging="425"/>
        <w:jc w:val="both"/>
        <w:rPr>
          <w:lang w:val="es-PE"/>
        </w:rPr>
      </w:pPr>
      <w:r>
        <w:rPr>
          <w:lang w:val="es-PE"/>
        </w:rPr>
        <w:t>Por cualquier otro mecanismo o circunstancia (contractual o no), controla el poder de decisión en la otra empresa de manera efectiva.</w:t>
      </w:r>
    </w:p>
    <w:p w14:paraId="36B1D6A1" w14:textId="77777777" w:rsidR="004412F1" w:rsidRDefault="004412F1">
      <w:pPr>
        <w:ind w:left="1418"/>
        <w:jc w:val="both"/>
        <w:rPr>
          <w:lang w:val="es-PE"/>
        </w:rPr>
      </w:pPr>
    </w:p>
    <w:p w14:paraId="5F83AAFD" w14:textId="77777777" w:rsidR="004412F1" w:rsidRDefault="005A12A3">
      <w:pPr>
        <w:numPr>
          <w:ilvl w:val="0"/>
          <w:numId w:val="75"/>
        </w:numPr>
        <w:ind w:left="1418" w:hanging="425"/>
        <w:jc w:val="both"/>
        <w:rPr>
          <w:lang w:val="es-PE"/>
        </w:rPr>
      </w:pPr>
      <w:r>
        <w:rPr>
          <w:lang w:val="es-PE"/>
        </w:rPr>
        <w:t>Adicionalmente, y siempre que resulte aplicable, se tomará en cuenta lo dispuesto en la Resolución de la SMV Nro. 019-2015-SMV/01, o norma que la modifique o sustituya.</w:t>
      </w:r>
    </w:p>
    <w:p w14:paraId="59439735" w14:textId="77777777" w:rsidR="004412F1" w:rsidRDefault="004412F1">
      <w:pPr>
        <w:ind w:left="993"/>
        <w:jc w:val="both"/>
        <w:rPr>
          <w:color w:val="000000"/>
          <w:lang w:val="es-PE"/>
        </w:rPr>
      </w:pPr>
    </w:p>
    <w:p w14:paraId="110CAA4B" w14:textId="77777777" w:rsidR="004412F1" w:rsidRDefault="005A12A3">
      <w:pPr>
        <w:pStyle w:val="Ttulo3"/>
        <w:numPr>
          <w:ilvl w:val="2"/>
          <w:numId w:val="73"/>
        </w:numPr>
        <w:tabs>
          <w:tab w:val="left" w:pos="993"/>
        </w:tabs>
        <w:ind w:hanging="1866"/>
      </w:pPr>
      <w:bookmarkStart w:id="292" w:name="_28h4qwu"/>
      <w:bookmarkStart w:id="293" w:name="_Toc131329014"/>
      <w:bookmarkStart w:id="294" w:name="_Toc131331920"/>
      <w:bookmarkStart w:id="295" w:name="_Toc131329246"/>
      <w:bookmarkStart w:id="296" w:name="_Toc131332841"/>
      <w:bookmarkStart w:id="297" w:name="_Toc131327850"/>
      <w:bookmarkStart w:id="298" w:name="_Toc468837538"/>
      <w:bookmarkStart w:id="299" w:name="_Toc131328678"/>
      <w:bookmarkStart w:id="300" w:name="_Toc131329833"/>
      <w:bookmarkStart w:id="301" w:name="_Toc134448728"/>
      <w:bookmarkEnd w:id="292"/>
      <w:r>
        <w:rPr>
          <w:b w:val="0"/>
          <w:u w:val="single"/>
        </w:rPr>
        <w:t>Derecho de Vía</w:t>
      </w:r>
      <w:bookmarkEnd w:id="293"/>
      <w:bookmarkEnd w:id="294"/>
      <w:bookmarkEnd w:id="295"/>
      <w:bookmarkEnd w:id="296"/>
      <w:bookmarkEnd w:id="297"/>
      <w:bookmarkEnd w:id="298"/>
      <w:bookmarkEnd w:id="299"/>
      <w:bookmarkEnd w:id="300"/>
      <w:bookmarkEnd w:id="301"/>
    </w:p>
    <w:p w14:paraId="2DEDB126" w14:textId="77777777" w:rsidR="004412F1" w:rsidRDefault="005A12A3">
      <w:pPr>
        <w:ind w:left="993"/>
        <w:jc w:val="both"/>
      </w:pPr>
      <w:r>
        <w:rPr>
          <w:lang w:val="es-PE"/>
        </w:rPr>
        <w:t xml:space="preserve">Es la franja de terreno dentro de la cual se encuentra comprendida la carretera, sus obras, servicios, áreas previstas para futuras obras de ensanche o mejoramiento, y zonas de seguridad para el usuario. </w:t>
      </w:r>
      <w:r>
        <w:t>Su ancho es establecido por Resolución Ministerial.</w:t>
      </w:r>
    </w:p>
    <w:p w14:paraId="12B1D799" w14:textId="77777777" w:rsidR="004412F1" w:rsidRDefault="004412F1">
      <w:pPr>
        <w:tabs>
          <w:tab w:val="left" w:pos="993"/>
        </w:tabs>
        <w:ind w:left="993"/>
        <w:jc w:val="both"/>
      </w:pPr>
    </w:p>
    <w:p w14:paraId="4BA8C56C" w14:textId="77777777" w:rsidR="004412F1" w:rsidRDefault="005A12A3">
      <w:pPr>
        <w:pStyle w:val="Ttulo3"/>
        <w:numPr>
          <w:ilvl w:val="2"/>
          <w:numId w:val="73"/>
        </w:numPr>
        <w:tabs>
          <w:tab w:val="left" w:pos="993"/>
        </w:tabs>
        <w:ind w:hanging="1866"/>
      </w:pPr>
      <w:bookmarkStart w:id="302" w:name="_nmf14n"/>
      <w:bookmarkStart w:id="303" w:name="_Toc55906330"/>
      <w:bookmarkStart w:id="304" w:name="_Toc134448729"/>
      <w:bookmarkStart w:id="305" w:name="_Toc131332842"/>
      <w:bookmarkStart w:id="306" w:name="_Toc468837539"/>
      <w:bookmarkStart w:id="307" w:name="_Toc131329015"/>
      <w:bookmarkStart w:id="308" w:name="_Toc131328679"/>
      <w:bookmarkStart w:id="309" w:name="_Toc131329834"/>
      <w:bookmarkStart w:id="310" w:name="_Toc131331921"/>
      <w:bookmarkStart w:id="311" w:name="_Toc131329247"/>
      <w:bookmarkStart w:id="312" w:name="_Toc131327851"/>
      <w:bookmarkEnd w:id="302"/>
      <w:r>
        <w:rPr>
          <w:b w:val="0"/>
          <w:u w:val="single"/>
        </w:rPr>
        <w:t>Día</w:t>
      </w:r>
      <w:bookmarkEnd w:id="303"/>
      <w:bookmarkEnd w:id="304"/>
      <w:bookmarkEnd w:id="305"/>
      <w:bookmarkEnd w:id="306"/>
      <w:bookmarkEnd w:id="307"/>
      <w:bookmarkEnd w:id="308"/>
      <w:bookmarkEnd w:id="309"/>
      <w:bookmarkEnd w:id="310"/>
      <w:bookmarkEnd w:id="311"/>
      <w:bookmarkEnd w:id="312"/>
    </w:p>
    <w:p w14:paraId="24AAACF5" w14:textId="77777777" w:rsidR="004412F1" w:rsidRDefault="005A12A3">
      <w:pPr>
        <w:ind w:left="993" w:hanging="993"/>
        <w:jc w:val="both"/>
        <w:rPr>
          <w:lang w:val="es-PE"/>
        </w:rPr>
      </w:pPr>
      <w:bookmarkStart w:id="313" w:name="_37m2jsg" w:colFirst="0" w:colLast="0"/>
      <w:bookmarkStart w:id="314" w:name="_Toc82858810"/>
      <w:bookmarkStart w:id="315" w:name="_Toc55906331"/>
      <w:bookmarkStart w:id="316" w:name="_Toc82858589"/>
      <w:bookmarkStart w:id="317" w:name="_Toc82859029"/>
      <w:bookmarkEnd w:id="313"/>
      <w:r>
        <w:rPr>
          <w:color w:val="000000"/>
          <w:lang w:val="es-PE"/>
        </w:rPr>
        <w:tab/>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 y los feriados regionales no laborables.</w:t>
      </w:r>
    </w:p>
    <w:p w14:paraId="42B9FBFC" w14:textId="77777777" w:rsidR="004412F1" w:rsidRDefault="004412F1">
      <w:pPr>
        <w:ind w:left="993" w:hanging="993"/>
        <w:jc w:val="both"/>
        <w:rPr>
          <w:lang w:val="es-PE"/>
        </w:rPr>
      </w:pPr>
      <w:bookmarkStart w:id="318" w:name="_tgcxhzmsnum8" w:colFirst="0" w:colLast="0"/>
      <w:bookmarkEnd w:id="318"/>
    </w:p>
    <w:p w14:paraId="7404C93C" w14:textId="77777777" w:rsidR="004412F1" w:rsidRDefault="005A12A3">
      <w:pPr>
        <w:pStyle w:val="Ttulo3"/>
        <w:numPr>
          <w:ilvl w:val="2"/>
          <w:numId w:val="73"/>
        </w:numPr>
        <w:tabs>
          <w:tab w:val="left" w:pos="993"/>
        </w:tabs>
        <w:ind w:hanging="1866"/>
      </w:pPr>
      <w:bookmarkStart w:id="319" w:name="_1mrcu09"/>
      <w:bookmarkStart w:id="320" w:name="_Toc55906332"/>
      <w:bookmarkStart w:id="321" w:name="_Toc131328680"/>
      <w:bookmarkStart w:id="322" w:name="_Toc134448730"/>
      <w:bookmarkStart w:id="323" w:name="_Toc131332843"/>
      <w:bookmarkStart w:id="324" w:name="_Toc468837540"/>
      <w:bookmarkStart w:id="325" w:name="_Toc131331922"/>
      <w:bookmarkStart w:id="326" w:name="_Toc131329248"/>
      <w:bookmarkStart w:id="327" w:name="_Toc131329835"/>
      <w:bookmarkStart w:id="328" w:name="_Toc131327852"/>
      <w:bookmarkStart w:id="329" w:name="_Toc131329016"/>
      <w:bookmarkEnd w:id="314"/>
      <w:bookmarkEnd w:id="315"/>
      <w:bookmarkEnd w:id="316"/>
      <w:bookmarkEnd w:id="317"/>
      <w:bookmarkEnd w:id="319"/>
      <w:r>
        <w:rPr>
          <w:b w:val="0"/>
          <w:u w:val="single"/>
        </w:rPr>
        <w:t>Día Calendario</w:t>
      </w:r>
      <w:bookmarkEnd w:id="320"/>
      <w:bookmarkEnd w:id="321"/>
      <w:bookmarkEnd w:id="322"/>
      <w:bookmarkEnd w:id="323"/>
      <w:bookmarkEnd w:id="324"/>
      <w:bookmarkEnd w:id="325"/>
      <w:bookmarkEnd w:id="326"/>
      <w:bookmarkEnd w:id="327"/>
      <w:bookmarkEnd w:id="328"/>
      <w:bookmarkEnd w:id="329"/>
    </w:p>
    <w:p w14:paraId="76A90911" w14:textId="69181AD2" w:rsidR="004412F1" w:rsidRDefault="005A12A3">
      <w:pPr>
        <w:spacing w:line="300" w:lineRule="exact"/>
        <w:ind w:left="993" w:hanging="993"/>
        <w:jc w:val="both"/>
        <w:rPr>
          <w:color w:val="000000"/>
          <w:lang w:val="es-PE"/>
        </w:rPr>
      </w:pPr>
      <w:r>
        <w:rPr>
          <w:color w:val="000000"/>
          <w:lang w:val="es-PE"/>
        </w:rPr>
        <w:tab/>
        <w:t>Son todos los días, incluyendo sábados, domingos y feriados.</w:t>
      </w:r>
    </w:p>
    <w:p w14:paraId="4DCDBE32" w14:textId="77777777" w:rsidR="004412F1" w:rsidRDefault="004412F1">
      <w:pPr>
        <w:rPr>
          <w:b/>
          <w:lang w:val="es-PE"/>
        </w:rPr>
      </w:pPr>
      <w:bookmarkStart w:id="330" w:name="_46r0co2" w:colFirst="0" w:colLast="0"/>
      <w:bookmarkEnd w:id="330"/>
    </w:p>
    <w:p w14:paraId="69066917" w14:textId="77777777" w:rsidR="004412F1" w:rsidRDefault="005A12A3">
      <w:pPr>
        <w:pStyle w:val="Ttulo3"/>
        <w:numPr>
          <w:ilvl w:val="2"/>
          <w:numId w:val="73"/>
        </w:numPr>
        <w:tabs>
          <w:tab w:val="left" w:pos="993"/>
        </w:tabs>
        <w:ind w:hanging="1866"/>
        <w:rPr>
          <w:lang w:val="es-PE"/>
        </w:rPr>
      </w:pPr>
      <w:bookmarkStart w:id="331" w:name="_2lwamvv"/>
      <w:bookmarkStart w:id="332" w:name="_Toc468837541"/>
      <w:bookmarkStart w:id="333" w:name="_Toc131329836"/>
      <w:bookmarkStart w:id="334" w:name="_Toc131327854"/>
      <w:bookmarkStart w:id="335" w:name="_Toc134448731"/>
      <w:bookmarkStart w:id="336" w:name="_Toc131331923"/>
      <w:bookmarkStart w:id="337" w:name="_Toc131329249"/>
      <w:bookmarkStart w:id="338" w:name="_Toc131329017"/>
      <w:bookmarkStart w:id="339" w:name="_Toc131332844"/>
      <w:bookmarkStart w:id="340" w:name="_Toc131328681"/>
      <w:bookmarkStart w:id="341" w:name="_Toc55906334"/>
      <w:bookmarkEnd w:id="331"/>
      <w:r>
        <w:rPr>
          <w:b w:val="0"/>
          <w:u w:val="single"/>
          <w:lang w:val="es-PE"/>
        </w:rPr>
        <w:t xml:space="preserve">Dólar o </w:t>
      </w:r>
      <w:proofErr w:type="gramStart"/>
      <w:r>
        <w:rPr>
          <w:b w:val="0"/>
          <w:u w:val="single"/>
          <w:lang w:val="es-PE"/>
        </w:rPr>
        <w:t>Dólar Americano</w:t>
      </w:r>
      <w:proofErr w:type="gramEnd"/>
      <w:r>
        <w:rPr>
          <w:b w:val="0"/>
          <w:u w:val="single"/>
          <w:lang w:val="es-PE"/>
        </w:rPr>
        <w:t xml:space="preserve"> o US$</w:t>
      </w:r>
      <w:bookmarkEnd w:id="332"/>
      <w:bookmarkEnd w:id="333"/>
      <w:bookmarkEnd w:id="334"/>
      <w:bookmarkEnd w:id="335"/>
      <w:bookmarkEnd w:id="336"/>
      <w:bookmarkEnd w:id="337"/>
      <w:bookmarkEnd w:id="338"/>
      <w:bookmarkEnd w:id="339"/>
      <w:bookmarkEnd w:id="340"/>
      <w:bookmarkEnd w:id="341"/>
    </w:p>
    <w:p w14:paraId="35FA8AE5" w14:textId="77777777" w:rsidR="004412F1" w:rsidRDefault="005A12A3">
      <w:pPr>
        <w:tabs>
          <w:tab w:val="left" w:pos="993"/>
        </w:tabs>
        <w:ind w:left="993" w:hanging="993"/>
        <w:jc w:val="both"/>
        <w:rPr>
          <w:lang w:val="es-PE"/>
        </w:rPr>
      </w:pPr>
      <w:bookmarkStart w:id="342" w:name="_111kx3o" w:colFirst="0" w:colLast="0"/>
      <w:bookmarkStart w:id="343" w:name="_Toc55906335"/>
      <w:bookmarkStart w:id="344" w:name="_Toc131327855"/>
      <w:bookmarkEnd w:id="342"/>
      <w:r>
        <w:rPr>
          <w:lang w:val="es-PE"/>
        </w:rPr>
        <w:tab/>
        <w:t xml:space="preserve">Es la moneda o el signo monetario de curso legal en los Estados Unidos de América. </w:t>
      </w:r>
      <w:bookmarkEnd w:id="343"/>
      <w:bookmarkEnd w:id="344"/>
    </w:p>
    <w:p w14:paraId="67AF507A" w14:textId="77777777" w:rsidR="004412F1" w:rsidRDefault="004412F1">
      <w:pPr>
        <w:tabs>
          <w:tab w:val="left" w:pos="993"/>
        </w:tabs>
        <w:jc w:val="both"/>
        <w:rPr>
          <w:lang w:val="es-PE"/>
        </w:rPr>
      </w:pPr>
    </w:p>
    <w:p w14:paraId="4BAF37A1" w14:textId="77777777" w:rsidR="004412F1" w:rsidRDefault="005A12A3">
      <w:pPr>
        <w:pStyle w:val="Ttulo3"/>
        <w:numPr>
          <w:ilvl w:val="2"/>
          <w:numId w:val="73"/>
        </w:numPr>
        <w:tabs>
          <w:tab w:val="left" w:pos="993"/>
        </w:tabs>
        <w:ind w:hanging="1866"/>
        <w:rPr>
          <w:u w:val="single"/>
        </w:rPr>
      </w:pPr>
      <w:bookmarkStart w:id="345" w:name="_3l18frh"/>
      <w:bookmarkStart w:id="346" w:name="_Toc468837542"/>
      <w:bookmarkEnd w:id="345"/>
      <w:r>
        <w:rPr>
          <w:b w:val="0"/>
          <w:u w:val="single"/>
        </w:rPr>
        <w:t xml:space="preserve">Emergencia </w:t>
      </w:r>
      <w:r>
        <w:rPr>
          <w:b w:val="0"/>
          <w:bCs w:val="0"/>
          <w:u w:val="single"/>
        </w:rPr>
        <w:t>Vial</w:t>
      </w:r>
      <w:bookmarkEnd w:id="346"/>
    </w:p>
    <w:p w14:paraId="1BF5F721" w14:textId="768AEAF6" w:rsidR="004412F1" w:rsidRDefault="005A12A3">
      <w:pPr>
        <w:tabs>
          <w:tab w:val="left" w:pos="993"/>
        </w:tabs>
        <w:ind w:left="993"/>
        <w:jc w:val="both"/>
        <w:rPr>
          <w:lang w:val="es-PE"/>
        </w:rPr>
      </w:pPr>
      <w:r>
        <w:rPr>
          <w:lang w:val="es-PE"/>
        </w:rPr>
        <w:t xml:space="preserve">Daño imprevisto que experimenta la vía por causas de las fuerzas de la naturaleza o de la intervención humana, y que obstaculiza o impide la transitabilidad de los usuarios de la vía. Se considera como Emergencia Vial lo siguiente: derrumbes, erosión de plataforma, hundimiento de plataforma, daño de estructura de puentes, </w:t>
      </w:r>
      <w:proofErr w:type="gramStart"/>
      <w:r>
        <w:rPr>
          <w:lang w:val="es-PE"/>
        </w:rPr>
        <w:t>huaycos</w:t>
      </w:r>
      <w:proofErr w:type="gramEnd"/>
      <w:r w:rsidR="00D01AFD">
        <w:rPr>
          <w:lang w:val="es-ES"/>
        </w:rPr>
        <w:t xml:space="preserve"> y</w:t>
      </w:r>
      <w:r>
        <w:rPr>
          <w:lang w:val="es-PE"/>
        </w:rPr>
        <w:t xml:space="preserve"> nevada.</w:t>
      </w:r>
    </w:p>
    <w:p w14:paraId="46166615" w14:textId="77777777" w:rsidR="004412F1" w:rsidRDefault="004412F1">
      <w:pPr>
        <w:tabs>
          <w:tab w:val="left" w:pos="993"/>
        </w:tabs>
        <w:ind w:left="993"/>
        <w:jc w:val="both"/>
        <w:rPr>
          <w:lang w:val="es-PE"/>
        </w:rPr>
      </w:pPr>
    </w:p>
    <w:p w14:paraId="64571D33" w14:textId="77777777" w:rsidR="004412F1" w:rsidRDefault="005A12A3">
      <w:pPr>
        <w:pStyle w:val="Ttulo3"/>
        <w:numPr>
          <w:ilvl w:val="2"/>
          <w:numId w:val="73"/>
        </w:numPr>
        <w:tabs>
          <w:tab w:val="left" w:pos="993"/>
        </w:tabs>
        <w:ind w:hanging="1866"/>
        <w:rPr>
          <w:lang w:val="es-PE"/>
        </w:rPr>
      </w:pPr>
      <w:bookmarkStart w:id="347" w:name="_206ipza"/>
      <w:bookmarkStart w:id="348" w:name="_Toc468837543"/>
      <w:bookmarkStart w:id="349" w:name="_Toc131328684"/>
      <w:bookmarkStart w:id="350" w:name="_Toc131331926"/>
      <w:bookmarkStart w:id="351" w:name="_Toc131327858"/>
      <w:bookmarkStart w:id="352" w:name="_Toc134448732"/>
      <w:bookmarkStart w:id="353" w:name="_Toc131332847"/>
      <w:bookmarkStart w:id="354" w:name="_Toc131329252"/>
      <w:bookmarkStart w:id="355" w:name="_Toc131329020"/>
      <w:bookmarkStart w:id="356" w:name="_Toc131329839"/>
      <w:bookmarkEnd w:id="347"/>
      <w:r>
        <w:rPr>
          <w:b w:val="0"/>
          <w:u w:val="single"/>
          <w:lang w:val="es-PE"/>
        </w:rPr>
        <w:t>Empresa Afiliada, Matriz Subsidiaria o Vinculada</w:t>
      </w:r>
      <w:r>
        <w:rPr>
          <w:b w:val="0"/>
          <w:lang w:val="es-PE"/>
        </w:rPr>
        <w:t>:</w:t>
      </w:r>
      <w:bookmarkEnd w:id="348"/>
    </w:p>
    <w:p w14:paraId="7D082B1B" w14:textId="77777777" w:rsidR="004412F1" w:rsidRDefault="005A12A3">
      <w:pPr>
        <w:ind w:left="993"/>
        <w:jc w:val="both"/>
        <w:rPr>
          <w:color w:val="000000"/>
          <w:lang w:val="es-ES"/>
        </w:rPr>
      </w:pPr>
      <w:r>
        <w:rPr>
          <w:color w:val="000000"/>
          <w:lang w:val="es-ES"/>
        </w:rPr>
        <w:t>Las definiciones son las siguientes</w:t>
      </w:r>
      <w:r>
        <w:rPr>
          <w:color w:val="000000"/>
          <w:lang w:val="es-PE"/>
        </w:rPr>
        <w:t>:</w:t>
      </w:r>
    </w:p>
    <w:p w14:paraId="3D6A9522" w14:textId="77777777" w:rsidR="004412F1" w:rsidRDefault="004412F1">
      <w:pPr>
        <w:ind w:left="993"/>
        <w:jc w:val="both"/>
        <w:rPr>
          <w:b/>
          <w:color w:val="000000"/>
          <w:u w:val="single"/>
          <w:lang w:val="es-ES"/>
        </w:rPr>
      </w:pPr>
    </w:p>
    <w:p w14:paraId="3CE8099A" w14:textId="77777777" w:rsidR="004412F1" w:rsidRDefault="005A12A3">
      <w:pPr>
        <w:ind w:left="1418" w:hanging="425"/>
        <w:jc w:val="both"/>
        <w:rPr>
          <w:color w:val="000000"/>
          <w:lang w:val="es-PE"/>
        </w:rPr>
      </w:pPr>
      <w:r>
        <w:rPr>
          <w:color w:val="000000"/>
          <w:lang w:val="es-PE"/>
        </w:rPr>
        <w:lastRenderedPageBreak/>
        <w:t>a)</w:t>
      </w:r>
      <w:r>
        <w:rPr>
          <w:b/>
          <w:color w:val="000000"/>
          <w:sz w:val="20"/>
          <w:lang w:val="es-PE"/>
        </w:rPr>
        <w:tab/>
      </w:r>
      <w:r>
        <w:rPr>
          <w:color w:val="000000"/>
          <w:u w:val="single"/>
          <w:lang w:val="es-PE"/>
        </w:rPr>
        <w:t>Empresa Afiliada</w:t>
      </w:r>
      <w:r>
        <w:rPr>
          <w:b/>
          <w:color w:val="000000"/>
          <w:lang w:val="es-PE"/>
        </w:rPr>
        <w:t xml:space="preserve">: </w:t>
      </w:r>
      <w:r>
        <w:rPr>
          <w:color w:val="000000"/>
          <w:lang w:val="es-PE"/>
        </w:rPr>
        <w:t>Una empresa será considerada afiliada a otra empresa cuando el Control Efectivo de tales empresas lo ejerza una misma Empresa Matriz.</w:t>
      </w:r>
    </w:p>
    <w:p w14:paraId="2CC52107" w14:textId="77777777" w:rsidR="004412F1" w:rsidRDefault="004412F1">
      <w:pPr>
        <w:ind w:left="1080"/>
        <w:jc w:val="both"/>
        <w:rPr>
          <w:color w:val="000000"/>
          <w:lang w:val="es-PE"/>
        </w:rPr>
      </w:pPr>
    </w:p>
    <w:p w14:paraId="2190D958" w14:textId="77777777" w:rsidR="004412F1" w:rsidRDefault="005A12A3">
      <w:pPr>
        <w:ind w:left="1418" w:hanging="425"/>
        <w:jc w:val="both"/>
        <w:rPr>
          <w:color w:val="000000"/>
          <w:lang w:val="es-PE"/>
        </w:rPr>
      </w:pPr>
      <w:r>
        <w:rPr>
          <w:color w:val="000000"/>
          <w:lang w:val="es-PE"/>
        </w:rPr>
        <w:t>b)</w:t>
      </w:r>
      <w:r>
        <w:rPr>
          <w:b/>
          <w:color w:val="000000"/>
          <w:lang w:val="es-PE"/>
        </w:rPr>
        <w:tab/>
      </w:r>
      <w:r>
        <w:rPr>
          <w:color w:val="000000"/>
          <w:u w:val="single"/>
          <w:lang w:val="es-PE"/>
        </w:rPr>
        <w:t>Empresa Matriz</w:t>
      </w:r>
      <w:r>
        <w:rPr>
          <w:b/>
          <w:color w:val="000000"/>
          <w:lang w:val="es-PE"/>
        </w:rPr>
        <w:t xml:space="preserve">: </w:t>
      </w:r>
      <w:r>
        <w:rPr>
          <w:color w:val="000000"/>
          <w:lang w:val="es-PE"/>
        </w:rPr>
        <w:t>Es aquella empresa que posee el Control Efectivo de otra. También está considerada en esta definición aquella empresa que posee el Control Efectivo de una Empresa Matriz, tal como ésta ha sido definida, y así sucesivamente.</w:t>
      </w:r>
    </w:p>
    <w:p w14:paraId="4CEEC99A" w14:textId="77777777" w:rsidR="004412F1" w:rsidRDefault="004412F1">
      <w:pPr>
        <w:ind w:left="1418" w:hanging="425"/>
        <w:jc w:val="both"/>
        <w:rPr>
          <w:b/>
          <w:color w:val="000000"/>
          <w:sz w:val="24"/>
          <w:lang w:val="es-PE"/>
        </w:rPr>
      </w:pPr>
    </w:p>
    <w:p w14:paraId="7FB90177" w14:textId="77777777" w:rsidR="004412F1" w:rsidRDefault="005A12A3">
      <w:pPr>
        <w:ind w:left="1418" w:hanging="425"/>
        <w:jc w:val="both"/>
        <w:rPr>
          <w:color w:val="000000"/>
          <w:lang w:val="es-PE"/>
        </w:rPr>
      </w:pPr>
      <w:r>
        <w:rPr>
          <w:color w:val="000000"/>
          <w:lang w:val="es-PE"/>
        </w:rPr>
        <w:t>c)</w:t>
      </w:r>
      <w:r>
        <w:rPr>
          <w:b/>
          <w:color w:val="000000"/>
          <w:sz w:val="20"/>
          <w:lang w:val="es-PE"/>
        </w:rPr>
        <w:tab/>
      </w:r>
      <w:r>
        <w:rPr>
          <w:color w:val="000000"/>
          <w:u w:val="single"/>
          <w:lang w:val="es-PE"/>
        </w:rPr>
        <w:t>Empresa Subsidiaria</w:t>
      </w:r>
      <w:r>
        <w:rPr>
          <w:b/>
          <w:color w:val="000000"/>
          <w:lang w:val="es-PE"/>
        </w:rPr>
        <w:t xml:space="preserve">: </w:t>
      </w:r>
      <w:r>
        <w:rPr>
          <w:color w:val="000000"/>
          <w:lang w:val="es-PE"/>
        </w:rPr>
        <w:t xml:space="preserve">Es aquella empresa que no tiene el Control. </w:t>
      </w:r>
    </w:p>
    <w:p w14:paraId="777A4157" w14:textId="77777777" w:rsidR="004412F1" w:rsidRDefault="004412F1">
      <w:pPr>
        <w:ind w:left="1418" w:hanging="425"/>
        <w:jc w:val="both"/>
        <w:rPr>
          <w:color w:val="000000"/>
          <w:lang w:val="es-PE"/>
        </w:rPr>
      </w:pPr>
    </w:p>
    <w:p w14:paraId="2829A469" w14:textId="77777777" w:rsidR="004412F1" w:rsidRDefault="005A12A3">
      <w:pPr>
        <w:ind w:left="1418" w:hanging="425"/>
        <w:jc w:val="both"/>
        <w:rPr>
          <w:b/>
          <w:color w:val="000000"/>
          <w:lang w:val="es-PE"/>
        </w:rPr>
      </w:pPr>
      <w:r>
        <w:rPr>
          <w:color w:val="000000"/>
          <w:lang w:val="es-PE"/>
        </w:rPr>
        <w:t>d)</w:t>
      </w:r>
      <w:r>
        <w:rPr>
          <w:b/>
          <w:color w:val="000000"/>
          <w:lang w:val="es-PE"/>
        </w:rPr>
        <w:tab/>
      </w:r>
      <w:r>
        <w:rPr>
          <w:color w:val="000000"/>
          <w:u w:val="single"/>
          <w:lang w:val="es-PE"/>
        </w:rPr>
        <w:t>Empresa Vinculada</w:t>
      </w:r>
      <w:r>
        <w:rPr>
          <w:b/>
          <w:color w:val="000000"/>
          <w:lang w:val="es-PE"/>
        </w:rPr>
        <w:t xml:space="preserve">: </w:t>
      </w:r>
      <w:r>
        <w:rPr>
          <w:color w:val="000000"/>
          <w:lang w:val="es-PE"/>
        </w:rPr>
        <w:t>Es cualquier Empresa Afiliada, Matriz o Subsidiaria</w:t>
      </w:r>
      <w:r>
        <w:rPr>
          <w:b/>
          <w:color w:val="000000"/>
          <w:lang w:val="es-PE"/>
        </w:rPr>
        <w:t>.</w:t>
      </w:r>
      <w:r>
        <w:rPr>
          <w:color w:val="000000"/>
          <w:lang w:val="es-PE"/>
        </w:rPr>
        <w:t xml:space="preserve"> </w:t>
      </w:r>
    </w:p>
    <w:p w14:paraId="60952915" w14:textId="77777777" w:rsidR="004412F1" w:rsidRDefault="005A12A3">
      <w:pPr>
        <w:tabs>
          <w:tab w:val="left" w:pos="993"/>
        </w:tabs>
        <w:ind w:left="1418" w:hanging="425"/>
        <w:jc w:val="both"/>
        <w:rPr>
          <w:b/>
          <w:bCs/>
          <w:color w:val="000000"/>
          <w:lang w:val="es-ES"/>
        </w:rPr>
      </w:pPr>
      <w:r>
        <w:rPr>
          <w:color w:val="000000"/>
          <w:lang w:val="es-PE"/>
        </w:rPr>
        <w:tab/>
        <w:t>Salvo prueba en contrario, se presume la existencia de vinculación, entre otros casos, en los siguientes: (i) cuando forman parte del mismo grupo económico, (ii) cuando una persona jurídica tiene, directa o indirectamente, una participación en el capital social de otra que le permite tener presencia en su directorio, (iii) cuando una misma garantía respalda obligaciones de ambas, (iv) cuando más del 50% de las obligaciones de una de ellas están garantizadas por la otra, y esta otra no es empresa del sistema financiero o (v) cuando más del 50% de las obligaciones de una persona jurídica son acreencias de la otra, y esta no es empresa del sistema financiero</w:t>
      </w:r>
      <w:r>
        <w:rPr>
          <w:color w:val="000000"/>
          <w:lang w:val="es-ES"/>
        </w:rPr>
        <w:t>.</w:t>
      </w:r>
    </w:p>
    <w:p w14:paraId="5555FBC5" w14:textId="77777777" w:rsidR="004412F1" w:rsidRDefault="004412F1">
      <w:pPr>
        <w:ind w:left="993"/>
        <w:jc w:val="both"/>
        <w:rPr>
          <w:color w:val="000000"/>
          <w:lang w:val="es-MX"/>
        </w:rPr>
      </w:pPr>
    </w:p>
    <w:p w14:paraId="5EA8990B" w14:textId="77777777" w:rsidR="004412F1" w:rsidRDefault="005A12A3">
      <w:pPr>
        <w:ind w:left="993"/>
        <w:jc w:val="both"/>
        <w:rPr>
          <w:color w:val="000000"/>
          <w:lang w:val="es-PE"/>
        </w:rPr>
      </w:pPr>
      <w:r>
        <w:rPr>
          <w:color w:val="000000"/>
          <w:lang w:val="es-MX"/>
        </w:rPr>
        <w:t>En adición a lo anterior y siempre que resulte aplicable a efectos de determinar las definiciones señaladas</w:t>
      </w:r>
      <w:proofErr w:type="gramStart"/>
      <w:r>
        <w:rPr>
          <w:color w:val="000000"/>
          <w:lang w:val="es-PE"/>
        </w:rPr>
        <w:t>, ,</w:t>
      </w:r>
      <w:proofErr w:type="gramEnd"/>
      <w:r>
        <w:rPr>
          <w:color w:val="000000"/>
          <w:lang w:val="es-MX"/>
        </w:rPr>
        <w:t xml:space="preserve"> se </w:t>
      </w:r>
      <w:r>
        <w:rPr>
          <w:color w:val="000000"/>
          <w:lang w:val="es-PE"/>
        </w:rPr>
        <w:t>tomará en cuenta lo dispuesto en</w:t>
      </w:r>
      <w:r>
        <w:rPr>
          <w:color w:val="000000"/>
          <w:lang w:val="es-MX"/>
        </w:rPr>
        <w:t xml:space="preserve"> la Resolución </w:t>
      </w:r>
      <w:r>
        <w:rPr>
          <w:color w:val="000000"/>
          <w:lang w:val="es-PE"/>
        </w:rPr>
        <w:t>de la SMV Nro. 019-2015-SMV/01</w:t>
      </w:r>
      <w:r>
        <w:rPr>
          <w:color w:val="000000"/>
          <w:lang w:val="es-MX"/>
        </w:rPr>
        <w:t>, o norma que la</w:t>
      </w:r>
      <w:r>
        <w:rPr>
          <w:color w:val="000000"/>
          <w:lang w:val="es-PE"/>
        </w:rPr>
        <w:t xml:space="preserve"> modifique o</w:t>
      </w:r>
      <w:r>
        <w:rPr>
          <w:color w:val="000000"/>
          <w:lang w:val="es-MX"/>
        </w:rPr>
        <w:t xml:space="preserve"> sustituya. </w:t>
      </w:r>
    </w:p>
    <w:p w14:paraId="05042B18" w14:textId="77777777" w:rsidR="004412F1" w:rsidRDefault="004412F1">
      <w:pPr>
        <w:tabs>
          <w:tab w:val="left" w:pos="993"/>
        </w:tabs>
        <w:ind w:left="993"/>
        <w:jc w:val="both"/>
        <w:rPr>
          <w:lang w:val="es-PE"/>
        </w:rPr>
      </w:pPr>
      <w:bookmarkStart w:id="357" w:name="_1egqt2p" w:colFirst="0" w:colLast="0"/>
      <w:bookmarkStart w:id="358" w:name="_4k668n3" w:colFirst="0" w:colLast="0"/>
      <w:bookmarkStart w:id="359" w:name="_2zbgiuw"/>
      <w:bookmarkEnd w:id="349"/>
      <w:bookmarkEnd w:id="350"/>
      <w:bookmarkEnd w:id="351"/>
      <w:bookmarkEnd w:id="352"/>
      <w:bookmarkEnd w:id="353"/>
      <w:bookmarkEnd w:id="354"/>
      <w:bookmarkEnd w:id="355"/>
      <w:bookmarkEnd w:id="356"/>
      <w:bookmarkEnd w:id="357"/>
      <w:bookmarkEnd w:id="358"/>
      <w:bookmarkEnd w:id="359"/>
    </w:p>
    <w:p w14:paraId="0BF5E102" w14:textId="77777777" w:rsidR="004412F1" w:rsidRDefault="005A12A3">
      <w:pPr>
        <w:pStyle w:val="Ttulo3"/>
        <w:numPr>
          <w:ilvl w:val="2"/>
          <w:numId w:val="73"/>
        </w:numPr>
        <w:tabs>
          <w:tab w:val="left" w:pos="993"/>
        </w:tabs>
        <w:ind w:hanging="1866"/>
      </w:pPr>
      <w:bookmarkStart w:id="360" w:name="_Toc131329022"/>
      <w:bookmarkStart w:id="361" w:name="_Toc131329254"/>
      <w:bookmarkStart w:id="362" w:name="_Toc106666420"/>
      <w:bookmarkStart w:id="363" w:name="_Toc131331928"/>
      <w:bookmarkStart w:id="364" w:name="_Toc131327860"/>
      <w:bookmarkStart w:id="365" w:name="_Toc134448734"/>
      <w:bookmarkStart w:id="366" w:name="_Toc131328686"/>
      <w:bookmarkStart w:id="367" w:name="_Toc468837546"/>
      <w:bookmarkStart w:id="368" w:name="_Toc131332849"/>
      <w:bookmarkStart w:id="369" w:name="_Toc131329841"/>
      <w:r>
        <w:rPr>
          <w:b w:val="0"/>
          <w:u w:val="single"/>
        </w:rPr>
        <w:t>Especificaciones Socio Ambientales</w:t>
      </w:r>
      <w:bookmarkEnd w:id="360"/>
      <w:bookmarkEnd w:id="361"/>
      <w:bookmarkEnd w:id="362"/>
      <w:bookmarkEnd w:id="363"/>
      <w:bookmarkEnd w:id="364"/>
      <w:bookmarkEnd w:id="365"/>
      <w:bookmarkEnd w:id="366"/>
      <w:bookmarkEnd w:id="367"/>
      <w:bookmarkEnd w:id="368"/>
      <w:bookmarkEnd w:id="369"/>
    </w:p>
    <w:p w14:paraId="72C5C06C" w14:textId="77777777" w:rsidR="004412F1" w:rsidRDefault="005A12A3">
      <w:pPr>
        <w:ind w:left="993"/>
        <w:jc w:val="both"/>
        <w:rPr>
          <w:rFonts w:eastAsia="SimSun"/>
          <w:color w:val="000000"/>
          <w:lang w:val="es-PE"/>
        </w:rPr>
      </w:pPr>
      <w:r>
        <w:rPr>
          <w:color w:val="000000"/>
          <w:lang w:val="es-PE"/>
        </w:rPr>
        <w:t>Es la recopilación organizada de las normas vigentes, generales y específicas, relacionada con los requisitos exigidos en materia de protección y conservación del medio ambiente, aplicables en todas las etapas de la Concesión.</w:t>
      </w:r>
    </w:p>
    <w:p w14:paraId="2773E001" w14:textId="77777777" w:rsidR="004412F1" w:rsidRDefault="004412F1">
      <w:pPr>
        <w:ind w:left="993"/>
        <w:jc w:val="both"/>
        <w:rPr>
          <w:rFonts w:eastAsia="SimSun"/>
          <w:color w:val="000000"/>
          <w:sz w:val="18"/>
          <w:lang w:val="es-PE"/>
        </w:rPr>
      </w:pPr>
    </w:p>
    <w:p w14:paraId="23654814" w14:textId="77777777" w:rsidR="004412F1" w:rsidRDefault="005A12A3">
      <w:pPr>
        <w:pStyle w:val="Ttulo3"/>
        <w:numPr>
          <w:ilvl w:val="2"/>
          <w:numId w:val="73"/>
        </w:numPr>
        <w:tabs>
          <w:tab w:val="left" w:pos="993"/>
        </w:tabs>
        <w:ind w:hanging="1866"/>
        <w:rPr>
          <w:lang w:val="es-PE"/>
        </w:rPr>
      </w:pPr>
      <w:bookmarkStart w:id="370" w:name="_Toc468837548"/>
      <w:r>
        <w:rPr>
          <w:b w:val="0"/>
          <w:bCs w:val="0"/>
          <w:u w:val="single"/>
          <w:lang w:val="es-PE"/>
        </w:rPr>
        <w:t>Estudio Definitivo de Ingeniería (EDI)</w:t>
      </w:r>
      <w:bookmarkEnd w:id="370"/>
    </w:p>
    <w:p w14:paraId="7F8AE634" w14:textId="77777777" w:rsidR="004412F1" w:rsidRDefault="005A12A3">
      <w:pPr>
        <w:ind w:left="993"/>
        <w:jc w:val="both"/>
        <w:rPr>
          <w:rFonts w:eastAsia="Times New Roman"/>
          <w:bCs/>
          <w:szCs w:val="18"/>
          <w:lang w:val="es-ES" w:eastAsia="es-ES"/>
        </w:rPr>
      </w:pPr>
      <w:r>
        <w:rPr>
          <w:lang w:val="es-PE"/>
        </w:rPr>
        <w:t>Es el documento técnico donde se establecen los detalles de diseño de Ingeniería de los elementos que constituyen el proyecto vial y que contiene como mínimo lo siguiente: (i) resumen ejecutivo, (ii) memoria descriptiva, (iii) metrados, (iv) análisis de precios unitarios, (v) presupuesto, (vi) formulas polinómicas (vii) cronogramas, (viii) especificaciones técnicas, (ix) estudios básicos, (x</w:t>
      </w:r>
      <w:proofErr w:type="gramStart"/>
      <w:r>
        <w:rPr>
          <w:lang w:val="es-PE"/>
        </w:rPr>
        <w:t>)  diseños</w:t>
      </w:r>
      <w:proofErr w:type="gramEnd"/>
      <w:r>
        <w:rPr>
          <w:lang w:val="es-PE"/>
        </w:rPr>
        <w:t xml:space="preserve">, (xi) plan de mantenimiento, (xii) Instrumento de Gestión Ambiental y(xiii) planos.  </w:t>
      </w:r>
    </w:p>
    <w:p w14:paraId="0EAE48E9" w14:textId="77777777" w:rsidR="004412F1" w:rsidRDefault="004412F1">
      <w:pPr>
        <w:ind w:left="993"/>
        <w:jc w:val="both"/>
        <w:rPr>
          <w:lang w:val="es-PE"/>
        </w:rPr>
      </w:pPr>
      <w:bookmarkStart w:id="371" w:name="_sqyw64"/>
      <w:bookmarkStart w:id="372" w:name="_3ygebqi"/>
      <w:bookmarkEnd w:id="371"/>
      <w:bookmarkEnd w:id="372"/>
    </w:p>
    <w:p w14:paraId="4F2FDB66" w14:textId="77777777" w:rsidR="004412F1" w:rsidRDefault="005A12A3">
      <w:pPr>
        <w:pStyle w:val="Ttulo3"/>
        <w:numPr>
          <w:ilvl w:val="2"/>
          <w:numId w:val="73"/>
        </w:numPr>
        <w:tabs>
          <w:tab w:val="left" w:pos="993"/>
        </w:tabs>
        <w:ind w:hanging="1866"/>
      </w:pPr>
      <w:bookmarkStart w:id="373" w:name="_Toc199177039"/>
      <w:bookmarkStart w:id="374" w:name="_Toc199177037"/>
      <w:bookmarkStart w:id="375" w:name="_Toc199177041"/>
      <w:bookmarkStart w:id="376" w:name="_Toc199177036"/>
      <w:bookmarkStart w:id="377" w:name="_Toc199177040"/>
      <w:bookmarkStart w:id="378" w:name="_rbs1sdypxh4d"/>
      <w:bookmarkStart w:id="379" w:name="_Toc131328689"/>
      <w:bookmarkStart w:id="380" w:name="_Toc131332852"/>
      <w:bookmarkStart w:id="381" w:name="_Toc134448736"/>
      <w:bookmarkStart w:id="382" w:name="_Toc131329844"/>
      <w:bookmarkStart w:id="383" w:name="_Toc131327863"/>
      <w:bookmarkStart w:id="384" w:name="_Toc131331931"/>
      <w:bookmarkStart w:id="385" w:name="_Toc131329025"/>
      <w:bookmarkStart w:id="386" w:name="_Toc468837549"/>
      <w:bookmarkStart w:id="387" w:name="_Toc131329257"/>
      <w:bookmarkEnd w:id="373"/>
      <w:bookmarkEnd w:id="374"/>
      <w:bookmarkEnd w:id="375"/>
      <w:bookmarkEnd w:id="376"/>
      <w:bookmarkEnd w:id="377"/>
      <w:bookmarkEnd w:id="378"/>
      <w:r>
        <w:rPr>
          <w:b w:val="0"/>
          <w:u w:val="single"/>
        </w:rPr>
        <w:t>Expediente Técnico</w:t>
      </w:r>
      <w:bookmarkEnd w:id="379"/>
      <w:bookmarkEnd w:id="380"/>
      <w:bookmarkEnd w:id="381"/>
      <w:bookmarkEnd w:id="382"/>
      <w:bookmarkEnd w:id="383"/>
      <w:bookmarkEnd w:id="384"/>
      <w:bookmarkEnd w:id="385"/>
      <w:bookmarkEnd w:id="386"/>
      <w:bookmarkEnd w:id="387"/>
      <w:r>
        <w:rPr>
          <w:b w:val="0"/>
          <w:bCs w:val="0"/>
          <w:u w:val="single"/>
        </w:rPr>
        <w:t xml:space="preserve"> (ET)</w:t>
      </w:r>
    </w:p>
    <w:p w14:paraId="7A00C034" w14:textId="77777777" w:rsidR="004412F1" w:rsidRDefault="005A12A3">
      <w:pPr>
        <w:ind w:left="993"/>
        <w:jc w:val="both"/>
        <w:rPr>
          <w:color w:val="000000"/>
          <w:lang w:val="es-ES"/>
        </w:rPr>
      </w:pPr>
      <w:r>
        <w:rPr>
          <w:color w:val="000000"/>
          <w:lang w:val="es-ES"/>
        </w:rPr>
        <w:t xml:space="preserve">Es el conjunto de documentos que comprende: </w:t>
      </w:r>
      <w:r>
        <w:rPr>
          <w:color w:val="000000"/>
          <w:lang w:val="es-PE"/>
        </w:rPr>
        <w:t xml:space="preserve">(i) </w:t>
      </w:r>
      <w:r>
        <w:rPr>
          <w:color w:val="000000"/>
          <w:lang w:val="es-ES"/>
        </w:rPr>
        <w:t xml:space="preserve">memoria descriptiva, </w:t>
      </w:r>
      <w:r>
        <w:rPr>
          <w:color w:val="000000"/>
          <w:lang w:val="es-PE"/>
        </w:rPr>
        <w:t xml:space="preserve">(ii) </w:t>
      </w:r>
      <w:r>
        <w:rPr>
          <w:color w:val="000000"/>
          <w:lang w:val="es-ES"/>
        </w:rPr>
        <w:t xml:space="preserve">especificaciones técnicas, </w:t>
      </w:r>
      <w:r>
        <w:rPr>
          <w:color w:val="000000"/>
          <w:lang w:val="es-PE"/>
        </w:rPr>
        <w:t xml:space="preserve">(iii) </w:t>
      </w:r>
      <w:r>
        <w:rPr>
          <w:color w:val="000000"/>
          <w:lang w:val="es-ES"/>
        </w:rPr>
        <w:t xml:space="preserve">planos de ejecución, </w:t>
      </w:r>
      <w:r>
        <w:rPr>
          <w:color w:val="000000"/>
          <w:lang w:val="es-PE"/>
        </w:rPr>
        <w:t>(iv) metrados</w:t>
      </w:r>
      <w:r>
        <w:rPr>
          <w:color w:val="000000"/>
          <w:lang w:val="es-ES"/>
        </w:rPr>
        <w:t xml:space="preserve">, </w:t>
      </w:r>
      <w:r>
        <w:rPr>
          <w:color w:val="000000"/>
          <w:lang w:val="es-PE"/>
        </w:rPr>
        <w:t xml:space="preserve">(v) </w:t>
      </w:r>
      <w:r>
        <w:rPr>
          <w:color w:val="000000"/>
          <w:lang w:val="es-ES"/>
        </w:rPr>
        <w:t xml:space="preserve">presupuesto, </w:t>
      </w:r>
      <w:r>
        <w:rPr>
          <w:color w:val="000000"/>
          <w:lang w:val="es-PE"/>
        </w:rPr>
        <w:t xml:space="preserve">(vi) </w:t>
      </w:r>
      <w:r>
        <w:rPr>
          <w:color w:val="000000"/>
          <w:lang w:val="es-ES"/>
        </w:rPr>
        <w:t xml:space="preserve">valor referencial, </w:t>
      </w:r>
      <w:r>
        <w:rPr>
          <w:color w:val="000000"/>
          <w:lang w:val="es-PE"/>
        </w:rPr>
        <w:t xml:space="preserve">(vii) </w:t>
      </w:r>
      <w:r>
        <w:rPr>
          <w:color w:val="000000"/>
          <w:lang w:val="es-ES"/>
        </w:rPr>
        <w:t xml:space="preserve">análisis de precios, </w:t>
      </w:r>
      <w:r>
        <w:rPr>
          <w:color w:val="000000"/>
          <w:lang w:val="es-PE"/>
        </w:rPr>
        <w:t xml:space="preserve">(viii) </w:t>
      </w:r>
      <w:r>
        <w:rPr>
          <w:color w:val="000000"/>
          <w:lang w:val="es-ES"/>
        </w:rPr>
        <w:t xml:space="preserve">calendarios de avance, </w:t>
      </w:r>
      <w:r>
        <w:rPr>
          <w:color w:val="000000"/>
          <w:lang w:val="es-PE"/>
        </w:rPr>
        <w:t>(ix) formulas polinomicas</w:t>
      </w:r>
      <w:r>
        <w:rPr>
          <w:color w:val="000000"/>
          <w:lang w:val="es-ES"/>
        </w:rPr>
        <w:t xml:space="preserve"> y, si el caso lo requiere, estudio de suelos, estudio geológico, </w:t>
      </w:r>
      <w:r>
        <w:rPr>
          <w:color w:val="000000"/>
          <w:lang w:val="es-PE"/>
        </w:rPr>
        <w:t xml:space="preserve">Instrumento de Gestión </w:t>
      </w:r>
      <w:r>
        <w:rPr>
          <w:color w:val="000000"/>
          <w:lang w:val="es-ES"/>
        </w:rPr>
        <w:t>Ambiental</w:t>
      </w:r>
      <w:r>
        <w:rPr>
          <w:color w:val="000000"/>
          <w:lang w:val="es-PE"/>
        </w:rPr>
        <w:t>,</w:t>
      </w:r>
      <w:r>
        <w:rPr>
          <w:color w:val="000000"/>
          <w:lang w:val="es-ES"/>
        </w:rPr>
        <w:t xml:space="preserve"> u otros complementarios.</w:t>
      </w:r>
    </w:p>
    <w:p w14:paraId="09DA772A" w14:textId="77777777" w:rsidR="004412F1" w:rsidRDefault="004412F1">
      <w:pPr>
        <w:tabs>
          <w:tab w:val="left" w:pos="993"/>
        </w:tabs>
        <w:rPr>
          <w:lang w:val="es-PE"/>
        </w:rPr>
      </w:pPr>
    </w:p>
    <w:p w14:paraId="1D1A4BDE" w14:textId="77777777" w:rsidR="004412F1" w:rsidRDefault="005A12A3">
      <w:pPr>
        <w:pStyle w:val="Ttulo3"/>
        <w:numPr>
          <w:ilvl w:val="2"/>
          <w:numId w:val="73"/>
        </w:numPr>
        <w:tabs>
          <w:tab w:val="left" w:pos="993"/>
        </w:tabs>
        <w:ind w:hanging="1866"/>
      </w:pPr>
      <w:bookmarkStart w:id="388" w:name="_1rvwp1q"/>
      <w:bookmarkStart w:id="389" w:name="_Toc199177044"/>
      <w:bookmarkStart w:id="390" w:name="_Toc199177043"/>
      <w:bookmarkStart w:id="391" w:name="_Toc134448737"/>
      <w:bookmarkStart w:id="392" w:name="_Toc131329026"/>
      <w:bookmarkStart w:id="393" w:name="_Toc131331932"/>
      <w:bookmarkStart w:id="394" w:name="_Toc131327864"/>
      <w:bookmarkStart w:id="395" w:name="_Toc131328690"/>
      <w:bookmarkStart w:id="396" w:name="_Toc468837550"/>
      <w:bookmarkStart w:id="397" w:name="_Toc131329258"/>
      <w:bookmarkStart w:id="398" w:name="_Toc131329845"/>
      <w:bookmarkStart w:id="399" w:name="_Toc131332853"/>
      <w:bookmarkEnd w:id="388"/>
      <w:bookmarkEnd w:id="389"/>
      <w:bookmarkEnd w:id="390"/>
      <w:r>
        <w:rPr>
          <w:b w:val="0"/>
          <w:u w:val="single"/>
        </w:rPr>
        <w:t>Explotación</w:t>
      </w:r>
      <w:bookmarkEnd w:id="391"/>
      <w:bookmarkEnd w:id="392"/>
      <w:bookmarkEnd w:id="393"/>
      <w:bookmarkEnd w:id="394"/>
      <w:bookmarkEnd w:id="395"/>
      <w:bookmarkEnd w:id="396"/>
      <w:bookmarkEnd w:id="397"/>
      <w:bookmarkEnd w:id="398"/>
      <w:bookmarkEnd w:id="399"/>
    </w:p>
    <w:p w14:paraId="14DD53AD" w14:textId="77777777" w:rsidR="004412F1" w:rsidRDefault="005A12A3">
      <w:pPr>
        <w:ind w:left="993"/>
        <w:jc w:val="both"/>
        <w:rPr>
          <w:b/>
          <w:i/>
          <w:color w:val="000000"/>
          <w:lang w:val="es-PE"/>
        </w:rPr>
      </w:pPr>
      <w:r>
        <w:rPr>
          <w:color w:val="000000"/>
          <w:spacing w:val="-4"/>
          <w:lang w:val="es-PE"/>
        </w:rPr>
        <w:t xml:space="preserve">Comprende </w:t>
      </w:r>
      <w:r>
        <w:rPr>
          <w:color w:val="000000"/>
          <w:lang w:val="es-PE"/>
        </w:rPr>
        <w:t xml:space="preserve">la Operación y el Mantenimiento Vial de los Bienes de la Concesión, la prestación de los Servicios Obligatorios y el cobro a los </w:t>
      </w:r>
      <w:r>
        <w:rPr>
          <w:color w:val="000000"/>
          <w:lang w:val="es-PE"/>
        </w:rPr>
        <w:lastRenderedPageBreak/>
        <w:t>Usuarios por la utilización de la infraestructura vial e instalaciones, así como por la prestación de los mencionados servicios, en los términos establecidos en el presente Contrato.</w:t>
      </w:r>
    </w:p>
    <w:p w14:paraId="09DFC707" w14:textId="77777777" w:rsidR="004412F1" w:rsidRDefault="004412F1">
      <w:pPr>
        <w:ind w:left="993"/>
        <w:jc w:val="both"/>
        <w:rPr>
          <w:color w:val="000000"/>
          <w:sz w:val="16"/>
          <w:lang w:val="es-ES"/>
        </w:rPr>
      </w:pPr>
    </w:p>
    <w:p w14:paraId="68E30D57" w14:textId="77777777" w:rsidR="004412F1" w:rsidRDefault="005A12A3">
      <w:pPr>
        <w:pStyle w:val="Ttulo3"/>
        <w:numPr>
          <w:ilvl w:val="2"/>
          <w:numId w:val="73"/>
        </w:numPr>
        <w:tabs>
          <w:tab w:val="left" w:pos="993"/>
        </w:tabs>
        <w:ind w:hanging="1866"/>
        <w:rPr>
          <w:u w:val="single"/>
          <w:lang w:val="es-PE"/>
        </w:rPr>
      </w:pPr>
      <w:bookmarkStart w:id="400" w:name="_4bvk7pj"/>
      <w:bookmarkStart w:id="401" w:name="_Toc468837551"/>
      <w:bookmarkEnd w:id="400"/>
      <w:r>
        <w:rPr>
          <w:b w:val="0"/>
          <w:bCs w:val="0"/>
          <w:u w:val="single"/>
          <w:lang w:val="es-PE"/>
        </w:rPr>
        <w:t>Fecha de Fin de la Concesión</w:t>
      </w:r>
      <w:bookmarkEnd w:id="401"/>
    </w:p>
    <w:p w14:paraId="6983AC7A" w14:textId="77777777" w:rsidR="004412F1" w:rsidRDefault="005A12A3">
      <w:pPr>
        <w:ind w:left="993"/>
        <w:jc w:val="both"/>
        <w:rPr>
          <w:color w:val="000000"/>
          <w:lang w:val="es-ES"/>
        </w:rPr>
      </w:pPr>
      <w:r>
        <w:rPr>
          <w:color w:val="000000"/>
          <w:lang w:val="es-ES"/>
        </w:rPr>
        <w:t xml:space="preserve">Es la correspondiente al día </w:t>
      </w:r>
      <w:r>
        <w:rPr>
          <w:color w:val="000000"/>
          <w:lang w:val="es-PE"/>
        </w:rPr>
        <w:t>igual a</w:t>
      </w:r>
      <w:r>
        <w:rPr>
          <w:color w:val="000000"/>
          <w:lang w:val="es-ES"/>
        </w:rPr>
        <w:t>l de la Fecha de Suscripción del Contrato, luego de 25 años o al finalizar la prórroga, de haberse producido</w:t>
      </w:r>
      <w:r>
        <w:rPr>
          <w:color w:val="000000"/>
          <w:lang w:val="es-PE"/>
        </w:rPr>
        <w:t>,</w:t>
      </w:r>
      <w:r>
        <w:rPr>
          <w:color w:val="000000"/>
          <w:lang w:val="es-ES"/>
        </w:rPr>
        <w:t xml:space="preserve"> o cuando se produzca la Caducidad por </w:t>
      </w:r>
      <w:r>
        <w:rPr>
          <w:color w:val="000000"/>
          <w:lang w:val="es-PE"/>
        </w:rPr>
        <w:t>cualquiera de las causales contempladas en el Contrato</w:t>
      </w:r>
      <w:r>
        <w:rPr>
          <w:color w:val="000000"/>
          <w:lang w:val="es-ES"/>
        </w:rPr>
        <w:t xml:space="preserve">. </w:t>
      </w:r>
    </w:p>
    <w:p w14:paraId="7B7CB768" w14:textId="77777777" w:rsidR="004412F1" w:rsidRDefault="004412F1">
      <w:pPr>
        <w:rPr>
          <w:lang w:val="es-PE"/>
        </w:rPr>
      </w:pPr>
      <w:bookmarkStart w:id="402" w:name="_2r0uhxc" w:colFirst="0" w:colLast="0"/>
      <w:bookmarkStart w:id="403" w:name="_Toc131327865"/>
      <w:bookmarkStart w:id="404" w:name="_Toc134448738"/>
      <w:bookmarkStart w:id="405" w:name="_Toc131329027"/>
      <w:bookmarkStart w:id="406" w:name="_Toc131332854"/>
      <w:bookmarkStart w:id="407" w:name="_Toc131329846"/>
      <w:bookmarkStart w:id="408" w:name="_Toc131329259"/>
      <w:bookmarkStart w:id="409" w:name="_Toc131328691"/>
      <w:bookmarkStart w:id="410" w:name="_Toc131331933"/>
      <w:bookmarkEnd w:id="402"/>
    </w:p>
    <w:p w14:paraId="7A9510FB" w14:textId="77777777" w:rsidR="004412F1" w:rsidRDefault="005A12A3">
      <w:pPr>
        <w:pStyle w:val="Ttulo3"/>
        <w:numPr>
          <w:ilvl w:val="2"/>
          <w:numId w:val="73"/>
        </w:numPr>
        <w:tabs>
          <w:tab w:val="left" w:pos="993"/>
        </w:tabs>
        <w:ind w:hanging="1866"/>
        <w:rPr>
          <w:u w:val="single"/>
        </w:rPr>
      </w:pPr>
      <w:bookmarkStart w:id="411" w:name="_1664s55"/>
      <w:bookmarkStart w:id="412" w:name="_Toc468837552"/>
      <w:bookmarkEnd w:id="411"/>
      <w:r>
        <w:rPr>
          <w:b w:val="0"/>
          <w:u w:val="single"/>
        </w:rPr>
        <w:t>Fecha de Inicio de Explotación</w:t>
      </w:r>
      <w:bookmarkEnd w:id="412"/>
      <w:r>
        <w:rPr>
          <w:b w:val="0"/>
          <w:u w:val="single"/>
        </w:rPr>
        <w:t xml:space="preserve">  </w:t>
      </w:r>
    </w:p>
    <w:p w14:paraId="43B9654B" w14:textId="77777777" w:rsidR="004412F1" w:rsidRDefault="005A12A3">
      <w:pPr>
        <w:tabs>
          <w:tab w:val="left" w:pos="993"/>
        </w:tabs>
        <w:ind w:left="993"/>
        <w:jc w:val="both"/>
        <w:rPr>
          <w:lang w:val="es-PE"/>
        </w:rPr>
      </w:pPr>
      <w:bookmarkStart w:id="413" w:name="_3q5sasy"/>
      <w:bookmarkStart w:id="414" w:name="_Toc223355809"/>
      <w:bookmarkStart w:id="415" w:name="_Toc230142759"/>
      <w:bookmarkStart w:id="416" w:name="_Toc219281052"/>
      <w:bookmarkStart w:id="417" w:name="_Toc219265980"/>
      <w:bookmarkStart w:id="418" w:name="_Toc227661297"/>
      <w:bookmarkEnd w:id="413"/>
      <w:r>
        <w:rPr>
          <w:lang w:val="es-PE"/>
        </w:rPr>
        <w:t xml:space="preserve">Es el día en que se inician las actividades de operación y/o Conservación de los Bienes de la Concesión, de conformidad con lo establecido en la Cláusula </w:t>
      </w:r>
      <w:bookmarkEnd w:id="414"/>
      <w:bookmarkEnd w:id="415"/>
      <w:bookmarkEnd w:id="416"/>
      <w:bookmarkEnd w:id="417"/>
      <w:bookmarkEnd w:id="418"/>
      <w:r>
        <w:rPr>
          <w:rFonts w:eastAsia="SimSun" w:hint="eastAsia"/>
          <w:lang w:val="es-PE" w:eastAsia="zh-CN"/>
        </w:rPr>
        <w:t>8</w:t>
      </w:r>
      <w:r>
        <w:rPr>
          <w:rFonts w:eastAsia="SimSun"/>
          <w:lang w:val="es-ES" w:eastAsia="zh-CN"/>
        </w:rPr>
        <w:t>.11</w:t>
      </w:r>
      <w:r>
        <w:rPr>
          <w:lang w:val="es-PE"/>
        </w:rPr>
        <w:t>.</w:t>
      </w:r>
    </w:p>
    <w:p w14:paraId="3A6FCEAE" w14:textId="77777777" w:rsidR="004412F1" w:rsidRDefault="004412F1">
      <w:pPr>
        <w:tabs>
          <w:tab w:val="left" w:pos="993"/>
        </w:tabs>
        <w:ind w:left="708"/>
        <w:rPr>
          <w:lang w:val="es-PE"/>
        </w:rPr>
      </w:pPr>
    </w:p>
    <w:p w14:paraId="6E58BA48" w14:textId="77777777" w:rsidR="004412F1" w:rsidRDefault="005A12A3">
      <w:pPr>
        <w:pStyle w:val="Ttulo3"/>
        <w:numPr>
          <w:ilvl w:val="2"/>
          <w:numId w:val="73"/>
        </w:numPr>
        <w:tabs>
          <w:tab w:val="left" w:pos="993"/>
        </w:tabs>
        <w:ind w:hanging="1866"/>
      </w:pPr>
      <w:bookmarkStart w:id="419" w:name="_25b2l0r"/>
      <w:bookmarkStart w:id="420" w:name="_Toc468837553"/>
      <w:bookmarkEnd w:id="419"/>
      <w:r>
        <w:rPr>
          <w:b w:val="0"/>
          <w:u w:val="single"/>
        </w:rPr>
        <w:t>Fecha de Suscripción del Contrato</w:t>
      </w:r>
      <w:bookmarkEnd w:id="403"/>
      <w:bookmarkEnd w:id="404"/>
      <w:bookmarkEnd w:id="405"/>
      <w:bookmarkEnd w:id="406"/>
      <w:bookmarkEnd w:id="407"/>
      <w:bookmarkEnd w:id="408"/>
      <w:bookmarkEnd w:id="409"/>
      <w:bookmarkEnd w:id="410"/>
      <w:bookmarkEnd w:id="420"/>
    </w:p>
    <w:p w14:paraId="5CEF4A86" w14:textId="77777777" w:rsidR="004412F1" w:rsidRDefault="005A12A3">
      <w:pPr>
        <w:tabs>
          <w:tab w:val="left" w:pos="993"/>
        </w:tabs>
        <w:ind w:left="993"/>
        <w:jc w:val="both"/>
        <w:rPr>
          <w:lang w:val="es-PE"/>
        </w:rPr>
      </w:pPr>
      <w:r>
        <w:rPr>
          <w:lang w:val="es-PE"/>
        </w:rPr>
        <w:t>Es el día en que se suscribe el Contrato de Concesión entre el CONCEDENTE y el CONCESIONARIO.</w:t>
      </w:r>
    </w:p>
    <w:p w14:paraId="630AE5F2" w14:textId="77777777" w:rsidR="004412F1" w:rsidRDefault="004412F1">
      <w:pPr>
        <w:tabs>
          <w:tab w:val="left" w:pos="993"/>
        </w:tabs>
        <w:ind w:left="993"/>
        <w:jc w:val="both"/>
        <w:rPr>
          <w:lang w:val="es-PE"/>
        </w:rPr>
      </w:pPr>
    </w:p>
    <w:p w14:paraId="34246B01" w14:textId="77777777" w:rsidR="004412F1" w:rsidRDefault="005A12A3">
      <w:pPr>
        <w:pStyle w:val="Ttulo3"/>
        <w:numPr>
          <w:ilvl w:val="2"/>
          <w:numId w:val="73"/>
        </w:numPr>
        <w:tabs>
          <w:tab w:val="left" w:pos="993"/>
        </w:tabs>
        <w:ind w:hanging="1866"/>
      </w:pPr>
      <w:bookmarkStart w:id="421" w:name="_kgcv8k"/>
      <w:bookmarkStart w:id="422" w:name="_Toc468837554"/>
      <w:bookmarkEnd w:id="421"/>
      <w:r>
        <w:rPr>
          <w:b w:val="0"/>
          <w:u w:val="single"/>
        </w:rPr>
        <w:t>Fideicomiso de Administración</w:t>
      </w:r>
      <w:bookmarkEnd w:id="422"/>
    </w:p>
    <w:p w14:paraId="7429C307" w14:textId="77777777" w:rsidR="004412F1" w:rsidRDefault="005A12A3">
      <w:pPr>
        <w:tabs>
          <w:tab w:val="left" w:pos="993"/>
        </w:tabs>
        <w:ind w:left="993"/>
        <w:jc w:val="both"/>
        <w:rPr>
          <w:lang w:val="es-PE"/>
        </w:rPr>
      </w:pPr>
      <w:r>
        <w:rPr>
          <w:lang w:val="es-PE"/>
        </w:rPr>
        <w:t xml:space="preserve">Es el fondo constituido por cuenta y riesgo del CONCESIONARIO, cuyo patrimonio estará conformado por los ingresos por peaje, los recursos provenientes del Cofinanciamiento y las penalidades establecidas en el Anexo IX, que tendrá como objeto la administración de estos recursos para garantizar el adecuado y oportuno cumplimiento de las obligaciones derivadas del presente Contrato. El Fideicomiso de Administración será celebrado según los términos descritos en el Apéndice </w:t>
      </w:r>
      <w:r>
        <w:rPr>
          <w:rFonts w:eastAsia="SimSun" w:hint="eastAsia"/>
          <w:lang w:val="es-PE" w:eastAsia="zh-CN"/>
        </w:rPr>
        <w:t>1</w:t>
      </w:r>
      <w:r>
        <w:rPr>
          <w:lang w:val="es-PE"/>
        </w:rPr>
        <w:t xml:space="preserve"> del Anexo </w:t>
      </w:r>
      <w:r>
        <w:rPr>
          <w:rFonts w:eastAsia="SimSun" w:hint="eastAsia"/>
          <w:lang w:val="es-PE" w:eastAsia="zh-CN"/>
        </w:rPr>
        <w:t>X</w:t>
      </w:r>
      <w:r>
        <w:rPr>
          <w:rFonts w:eastAsia="SimSun"/>
          <w:lang w:val="es-ES" w:eastAsia="zh-CN"/>
        </w:rPr>
        <w:t>I</w:t>
      </w:r>
      <w:r>
        <w:rPr>
          <w:lang w:val="es-PE"/>
        </w:rPr>
        <w:t>. Todos los costos asociados al Fideicomiso de Administración, como las comisiones, gastos e impuestos, incluido el Impuesto a las Transacciones Financieras (ITF), son asumidos a cuenta, costo y riesgo del CONCESIONARIO.</w:t>
      </w:r>
    </w:p>
    <w:p w14:paraId="012BD031" w14:textId="77777777" w:rsidR="004412F1" w:rsidRDefault="004412F1">
      <w:pPr>
        <w:tabs>
          <w:tab w:val="left" w:pos="993"/>
        </w:tabs>
        <w:ind w:left="993"/>
        <w:jc w:val="both"/>
        <w:rPr>
          <w:lang w:val="es-PE"/>
        </w:rPr>
      </w:pPr>
    </w:p>
    <w:p w14:paraId="08DEA9F7" w14:textId="77777777" w:rsidR="004412F1" w:rsidRDefault="005A12A3">
      <w:pPr>
        <w:tabs>
          <w:tab w:val="left" w:pos="993"/>
        </w:tabs>
        <w:ind w:left="993"/>
        <w:jc w:val="both"/>
        <w:rPr>
          <w:lang w:val="es-PE"/>
        </w:rPr>
      </w:pPr>
      <w:r>
        <w:rPr>
          <w:lang w:val="es-PE"/>
        </w:rPr>
        <w:t>Su funcionamiento se encuentra detallado en el Anexo X</w:t>
      </w:r>
      <w:r>
        <w:rPr>
          <w:lang w:val="es-ES"/>
        </w:rPr>
        <w:t>I</w:t>
      </w:r>
      <w:r>
        <w:rPr>
          <w:lang w:val="es-PE"/>
        </w:rPr>
        <w:t>.</w:t>
      </w:r>
    </w:p>
    <w:p w14:paraId="612B2B1E" w14:textId="77777777" w:rsidR="004412F1" w:rsidRDefault="004412F1">
      <w:pPr>
        <w:tabs>
          <w:tab w:val="left" w:pos="993"/>
        </w:tabs>
        <w:ind w:left="993"/>
        <w:jc w:val="both"/>
        <w:rPr>
          <w:sz w:val="16"/>
          <w:lang w:val="es-PE"/>
        </w:rPr>
      </w:pPr>
    </w:p>
    <w:p w14:paraId="502200B1" w14:textId="77777777" w:rsidR="004412F1" w:rsidRDefault="005A12A3">
      <w:pPr>
        <w:pStyle w:val="Ttulo3"/>
        <w:numPr>
          <w:ilvl w:val="2"/>
          <w:numId w:val="73"/>
        </w:numPr>
        <w:tabs>
          <w:tab w:val="left" w:pos="993"/>
        </w:tabs>
        <w:ind w:hanging="1866"/>
        <w:rPr>
          <w:u w:val="single"/>
          <w:lang w:val="es-PE"/>
        </w:rPr>
      </w:pPr>
      <w:bookmarkStart w:id="423" w:name="_34g0dwd"/>
      <w:bookmarkEnd w:id="423"/>
      <w:r>
        <w:rPr>
          <w:b w:val="0"/>
          <w:u w:val="single"/>
          <w:lang w:val="es-PE"/>
        </w:rPr>
        <w:t>Garantía de Fiel Cumplimiento del Contrato de Concesión</w:t>
      </w:r>
    </w:p>
    <w:p w14:paraId="43815FEA" w14:textId="77777777" w:rsidR="004412F1" w:rsidRDefault="005A12A3">
      <w:pPr>
        <w:tabs>
          <w:tab w:val="left" w:pos="993"/>
        </w:tabs>
        <w:ind w:left="993"/>
        <w:jc w:val="both"/>
        <w:rPr>
          <w:rFonts w:eastAsia="SimSun"/>
          <w:lang w:val="es-PE" w:eastAsia="zh-CN"/>
        </w:rPr>
      </w:pPr>
      <w:bookmarkStart w:id="424" w:name="_1jlao46" w:colFirst="0" w:colLast="0"/>
      <w:bookmarkEnd w:id="424"/>
      <w:r>
        <w:rPr>
          <w:lang w:val="es-PE"/>
        </w:rPr>
        <w:t xml:space="preserve">Es la carta fianza otorgada por una empresa autorizada a emitir cartas fianzas para efectos de la Concesión de conformidad con el Anexo </w:t>
      </w:r>
      <w:r>
        <w:rPr>
          <w:rFonts w:eastAsia="SimSun" w:hint="eastAsia"/>
          <w:lang w:val="es-PE" w:eastAsia="zh-CN"/>
        </w:rPr>
        <w:t>I</w:t>
      </w:r>
      <w:r>
        <w:rPr>
          <w:rFonts w:eastAsia="SimSun"/>
          <w:lang w:val="es-ES" w:eastAsia="zh-CN"/>
        </w:rPr>
        <w:t>I</w:t>
      </w:r>
      <w:r>
        <w:rPr>
          <w:lang w:val="es-PE"/>
        </w:rPr>
        <w:t xml:space="preserve">, que el CONCESIONARIO entregará al CONCEDENTE a fin de asegurar el cumplimiento de todas y cada una de las obligaciones establecidas en el presente Contrato y las Leyes y Disposiciones Aplicables, incluyendo el pago de </w:t>
      </w:r>
      <w:bookmarkStart w:id="425" w:name="_DV_C494"/>
      <w:r>
        <w:rPr>
          <w:lang w:val="es-PE"/>
        </w:rPr>
        <w:t>penalidades y</w:t>
      </w:r>
      <w:bookmarkEnd w:id="425"/>
      <w:r>
        <w:rPr>
          <w:lang w:val="es-PE"/>
        </w:rPr>
        <w:t xml:space="preserve"> demás sanciones, de acuerdo con la Cláusula </w:t>
      </w:r>
      <w:bookmarkStart w:id="426" w:name="_DV_M277"/>
      <w:bookmarkEnd w:id="426"/>
      <w:proofErr w:type="gramStart"/>
      <w:r>
        <w:rPr>
          <w:lang w:val="es-PE"/>
        </w:rPr>
        <w:t>1</w:t>
      </w:r>
      <w:r>
        <w:rPr>
          <w:lang w:val="es-ES"/>
        </w:rPr>
        <w:t xml:space="preserve">1.11 </w:t>
      </w:r>
      <w:r>
        <w:rPr>
          <w:lang w:val="es-PE"/>
        </w:rPr>
        <w:t xml:space="preserve"> del</w:t>
      </w:r>
      <w:proofErr w:type="gramEnd"/>
      <w:r>
        <w:rPr>
          <w:lang w:val="es-PE"/>
        </w:rPr>
        <w:t xml:space="preserve"> Contrato. La referida carta fianza deberá emitirse en términos sustancialmente iguales al modelo contenido en el Anexo </w:t>
      </w:r>
      <w:proofErr w:type="gramStart"/>
      <w:r>
        <w:rPr>
          <w:lang w:val="es-ES"/>
        </w:rPr>
        <w:t xml:space="preserve">III </w:t>
      </w:r>
      <w:r>
        <w:rPr>
          <w:lang w:val="es-PE"/>
        </w:rPr>
        <w:t xml:space="preserve"> del</w:t>
      </w:r>
      <w:proofErr w:type="gramEnd"/>
      <w:r>
        <w:rPr>
          <w:lang w:val="es-PE"/>
        </w:rPr>
        <w:t xml:space="preserve"> presente Contrato, lo cual será verificado por el REGULADOR. Dicha garantía no cubrirá las obligaciones contractuales que se encuentren respaldadas por la Garantía de Fiel Cumplimiento de Construcción Obras una vez que ésta haya sido entregada.</w:t>
      </w:r>
    </w:p>
    <w:p w14:paraId="55497723" w14:textId="77777777" w:rsidR="004412F1" w:rsidRDefault="004412F1">
      <w:pPr>
        <w:tabs>
          <w:tab w:val="left" w:pos="993"/>
        </w:tabs>
        <w:ind w:left="993"/>
        <w:jc w:val="both"/>
        <w:rPr>
          <w:rFonts w:eastAsia="SimSun"/>
          <w:u w:val="single"/>
          <w:lang w:val="es-PE" w:eastAsia="zh-CN"/>
        </w:rPr>
      </w:pPr>
    </w:p>
    <w:p w14:paraId="7E6C5F77" w14:textId="77777777" w:rsidR="004412F1" w:rsidRDefault="005A12A3">
      <w:pPr>
        <w:pStyle w:val="Ttulo3"/>
        <w:numPr>
          <w:ilvl w:val="2"/>
          <w:numId w:val="73"/>
        </w:numPr>
        <w:tabs>
          <w:tab w:val="left" w:pos="993"/>
        </w:tabs>
        <w:ind w:hanging="1866"/>
        <w:rPr>
          <w:u w:val="single"/>
        </w:rPr>
      </w:pPr>
      <w:r>
        <w:rPr>
          <w:b w:val="0"/>
          <w:bCs w:val="0"/>
          <w:u w:val="single"/>
        </w:rPr>
        <w:t xml:space="preserve">Garantías de Fiel Cumplimiento </w:t>
      </w:r>
    </w:p>
    <w:p w14:paraId="1E974BB3" w14:textId="77777777" w:rsidR="004412F1" w:rsidRDefault="005A12A3" w:rsidP="009D567E">
      <w:pPr>
        <w:tabs>
          <w:tab w:val="left" w:pos="360"/>
          <w:tab w:val="left" w:pos="993"/>
        </w:tabs>
        <w:ind w:left="993"/>
        <w:jc w:val="both"/>
        <w:rPr>
          <w:lang w:val="es-PE"/>
        </w:rPr>
      </w:pPr>
      <w:r>
        <w:rPr>
          <w:lang w:val="es-PE"/>
        </w:rPr>
        <w:t>Son, conjuntamente, las Garantías</w:t>
      </w:r>
      <w:bookmarkStart w:id="427" w:name="_Toc468837557"/>
      <w:bookmarkStart w:id="428" w:name="_Toc131329261"/>
      <w:bookmarkStart w:id="429" w:name="_Toc131331935"/>
      <w:bookmarkStart w:id="430" w:name="_Toc131332856"/>
      <w:bookmarkStart w:id="431" w:name="_Toc131329848"/>
      <w:bookmarkStart w:id="432" w:name="_Toc134448740"/>
      <w:bookmarkStart w:id="433" w:name="_Toc131328693"/>
      <w:bookmarkStart w:id="434" w:name="_Toc131329029"/>
      <w:bookmarkStart w:id="435" w:name="_Toc131327867"/>
      <w:r>
        <w:rPr>
          <w:u w:val="single"/>
          <w:lang w:val="es-PE"/>
        </w:rPr>
        <w:t xml:space="preserve"> </w:t>
      </w:r>
      <w:r w:rsidRPr="00F94A7B">
        <w:rPr>
          <w:lang w:val="es-PE"/>
        </w:rPr>
        <w:t>de Fiel Cumplimiento de Ejecución de</w:t>
      </w:r>
      <w:r>
        <w:rPr>
          <w:u w:val="single"/>
          <w:lang w:val="es-PE"/>
        </w:rPr>
        <w:t xml:space="preserve"> </w:t>
      </w:r>
      <w:bookmarkEnd w:id="427"/>
      <w:r>
        <w:rPr>
          <w:lang w:val="es-PE"/>
        </w:rPr>
        <w:t>Intervenciones y la Garantía de Fiel Cumplimiento del Contrato de Concesión.</w:t>
      </w:r>
      <w:r>
        <w:rPr>
          <w:u w:val="single"/>
          <w:lang w:val="es-PE"/>
        </w:rPr>
        <w:t xml:space="preserve"> </w:t>
      </w:r>
    </w:p>
    <w:p w14:paraId="2D3FC20F" w14:textId="77777777" w:rsidR="004412F1" w:rsidRDefault="004412F1">
      <w:pPr>
        <w:tabs>
          <w:tab w:val="left" w:pos="993"/>
        </w:tabs>
        <w:ind w:firstLine="709"/>
        <w:jc w:val="both"/>
        <w:rPr>
          <w:b/>
          <w:bCs/>
          <w:sz w:val="16"/>
          <w:szCs w:val="16"/>
          <w:lang w:val="es-PE"/>
        </w:rPr>
      </w:pPr>
    </w:p>
    <w:p w14:paraId="02047D7D" w14:textId="77777777" w:rsidR="004412F1" w:rsidRDefault="005A12A3">
      <w:pPr>
        <w:tabs>
          <w:tab w:val="left" w:pos="993"/>
        </w:tabs>
        <w:ind w:left="993"/>
        <w:jc w:val="both"/>
        <w:rPr>
          <w:lang w:val="es-PE"/>
        </w:rPr>
      </w:pPr>
      <w:r>
        <w:rPr>
          <w:lang w:val="es-PE"/>
        </w:rPr>
        <w:t xml:space="preserve">Pueden ser constituidas por más de una carta fianza o alternativamente carta de crédito stand by, a condición de que sumen el total de monto exigido para cada una de las correspondientes garantías.   </w:t>
      </w:r>
    </w:p>
    <w:p w14:paraId="014ED531" w14:textId="77777777" w:rsidR="004412F1" w:rsidRDefault="004412F1">
      <w:pPr>
        <w:rPr>
          <w:rFonts w:eastAsia="SimSun"/>
          <w:lang w:val="es-PE" w:eastAsia="zh-CN"/>
        </w:rPr>
      </w:pPr>
    </w:p>
    <w:p w14:paraId="485575CB" w14:textId="77777777" w:rsidR="004412F1" w:rsidRDefault="005A12A3">
      <w:pPr>
        <w:pStyle w:val="Ttulo3"/>
        <w:numPr>
          <w:ilvl w:val="2"/>
          <w:numId w:val="73"/>
        </w:numPr>
        <w:tabs>
          <w:tab w:val="left" w:pos="993"/>
        </w:tabs>
        <w:ind w:hanging="1866"/>
        <w:rPr>
          <w:u w:val="single"/>
          <w:lang w:val="es-PE"/>
        </w:rPr>
      </w:pPr>
      <w:r>
        <w:rPr>
          <w:b w:val="0"/>
          <w:bCs w:val="0"/>
          <w:u w:val="single"/>
          <w:lang w:val="es-PE"/>
        </w:rPr>
        <w:lastRenderedPageBreak/>
        <w:t>Garantías de Fiel Cumplimiento de Ejecución de Intervenciones</w:t>
      </w:r>
    </w:p>
    <w:p w14:paraId="1194D80A" w14:textId="77777777" w:rsidR="004412F1" w:rsidRDefault="005A12A3">
      <w:pPr>
        <w:tabs>
          <w:tab w:val="left" w:pos="993"/>
        </w:tabs>
        <w:ind w:left="993"/>
        <w:jc w:val="both"/>
        <w:rPr>
          <w:lang w:val="es-PE"/>
        </w:rPr>
      </w:pPr>
      <w:r>
        <w:rPr>
          <w:lang w:val="es-PE"/>
        </w:rPr>
        <w:t>Es la denominación utilizada para referirse, de manera conjunta, a las garantías de Rehabilitación y Mejoramiento, Mantenimiento Periódico Inicial y Construcción del Evitamiento San Clemente, establecidas en la Cláusula 11.</w:t>
      </w:r>
      <w:r>
        <w:rPr>
          <w:rFonts w:eastAsia="SimSun"/>
          <w:lang w:val="es-ES" w:eastAsia="zh-CN"/>
        </w:rPr>
        <w:t>9</w:t>
      </w:r>
      <w:r>
        <w:rPr>
          <w:lang w:val="es-PE"/>
        </w:rPr>
        <w:t xml:space="preserve"> del Contrato. </w:t>
      </w:r>
    </w:p>
    <w:p w14:paraId="1630C290" w14:textId="77777777" w:rsidR="004412F1" w:rsidRDefault="004412F1">
      <w:pPr>
        <w:tabs>
          <w:tab w:val="left" w:pos="993"/>
        </w:tabs>
        <w:ind w:left="993"/>
        <w:jc w:val="both"/>
        <w:rPr>
          <w:lang w:val="es-PE"/>
        </w:rPr>
      </w:pPr>
    </w:p>
    <w:p w14:paraId="67A4DA5D" w14:textId="77777777" w:rsidR="004412F1" w:rsidRDefault="005A12A3">
      <w:pPr>
        <w:tabs>
          <w:tab w:val="left" w:pos="993"/>
        </w:tabs>
        <w:ind w:left="993"/>
        <w:jc w:val="both"/>
        <w:rPr>
          <w:lang w:val="es-PE"/>
        </w:rPr>
      </w:pPr>
      <w:r>
        <w:rPr>
          <w:lang w:val="es-PE"/>
        </w:rPr>
        <w:t xml:space="preserve">Son las cartas fianzas otorgadas por una empresa autorizada a emitir cartas fianzas para efectos de la Concesión de conformidad con el ANEXO </w:t>
      </w:r>
      <w:r>
        <w:rPr>
          <w:rFonts w:eastAsia="SimSun" w:hint="eastAsia"/>
          <w:lang w:val="es-PE" w:eastAsia="zh-CN"/>
        </w:rPr>
        <w:t>I</w:t>
      </w:r>
      <w:r>
        <w:rPr>
          <w:rFonts w:eastAsia="SimSun"/>
          <w:lang w:val="es-ES" w:eastAsia="zh-CN"/>
        </w:rPr>
        <w:t>V</w:t>
      </w:r>
      <w:r>
        <w:rPr>
          <w:lang w:val="es-PE"/>
        </w:rPr>
        <w:t xml:space="preserve">, que el CONCESIONARIO entregará al CONCEDENTE a fin de asegurar la correcta ejecución de las Intervenciones, incluyendo el pago de penalidades y demás sanciones. Las referidas cartas fianzas deberán emitirse en términos sustancialmente iguales al modelo contenido en el ANEXO </w:t>
      </w:r>
      <w:r>
        <w:rPr>
          <w:lang w:val="es-ES"/>
        </w:rPr>
        <w:t>IV</w:t>
      </w:r>
      <w:r>
        <w:rPr>
          <w:lang w:val="es-PE"/>
        </w:rPr>
        <w:t xml:space="preserve"> del presente Contrato, lo cual será verificado por el REGULADOR.</w:t>
      </w:r>
    </w:p>
    <w:p w14:paraId="3A5A09A3" w14:textId="77777777" w:rsidR="004412F1" w:rsidRDefault="004412F1">
      <w:pPr>
        <w:ind w:left="993"/>
        <w:jc w:val="both"/>
        <w:rPr>
          <w:lang w:val="es-PE"/>
        </w:rPr>
      </w:pPr>
    </w:p>
    <w:p w14:paraId="2B30829D" w14:textId="77777777" w:rsidR="004412F1" w:rsidRDefault="005A12A3">
      <w:pPr>
        <w:pStyle w:val="Ttulo3"/>
        <w:numPr>
          <w:ilvl w:val="2"/>
          <w:numId w:val="73"/>
        </w:numPr>
        <w:tabs>
          <w:tab w:val="left" w:pos="993"/>
        </w:tabs>
        <w:ind w:hanging="1866"/>
        <w:rPr>
          <w:u w:val="single"/>
        </w:rPr>
      </w:pPr>
      <w:bookmarkStart w:id="436" w:name="_43ky6rz"/>
      <w:bookmarkEnd w:id="436"/>
      <w:r>
        <w:rPr>
          <w:b w:val="0"/>
          <w:bCs w:val="0"/>
          <w:u w:val="single"/>
        </w:rPr>
        <w:t>Hito Constructivo</w:t>
      </w:r>
    </w:p>
    <w:p w14:paraId="7F0F970D" w14:textId="77777777" w:rsidR="004412F1" w:rsidRDefault="005A12A3">
      <w:pPr>
        <w:tabs>
          <w:tab w:val="left" w:pos="993"/>
        </w:tabs>
        <w:ind w:left="993"/>
        <w:jc w:val="both"/>
        <w:rPr>
          <w:rFonts w:eastAsia="Times New Roman"/>
          <w:bCs/>
          <w:szCs w:val="18"/>
          <w:lang w:val="es-ES" w:eastAsia="es-ES"/>
        </w:rPr>
      </w:pPr>
      <w:r>
        <w:rPr>
          <w:lang w:val="es-PE"/>
        </w:rPr>
        <w:t>Es el porcentaje de avance de obra efectivamente ejecutado en la Rehabilitación y Mejoramiento o en la Construcción del Evitamiento San Clemente.</w:t>
      </w:r>
    </w:p>
    <w:p w14:paraId="1422BBA5" w14:textId="77777777" w:rsidR="004412F1" w:rsidRDefault="005A12A3">
      <w:pPr>
        <w:tabs>
          <w:tab w:val="left" w:pos="993"/>
        </w:tabs>
        <w:ind w:left="993"/>
        <w:jc w:val="both"/>
        <w:rPr>
          <w:lang w:val="es-PE"/>
        </w:rPr>
      </w:pPr>
      <w:r>
        <w:rPr>
          <w:lang w:val="es-PE"/>
        </w:rPr>
        <w:t>Está conformado por un conjunto de actividades o partidas que han sido agrupadas en un orden coherente con el proceso constructivo de las Obras y la ejecución del presupuesto contemplado en los Estudios Definitivos de Ingeniería (EDI), cuyas condiciones para su conformación y aplicación están establecidas en el Anexo XI.</w:t>
      </w:r>
    </w:p>
    <w:p w14:paraId="13856E67" w14:textId="77777777" w:rsidR="004412F1" w:rsidRDefault="005A12A3">
      <w:pPr>
        <w:tabs>
          <w:tab w:val="left" w:pos="993"/>
        </w:tabs>
        <w:ind w:left="993"/>
        <w:jc w:val="both"/>
        <w:rPr>
          <w:lang w:val="es-PE"/>
        </w:rPr>
      </w:pPr>
      <w:r>
        <w:rPr>
          <w:lang w:val="es-PE"/>
        </w:rPr>
        <w:t xml:space="preserve">No se reconocen como Hitos Constructivos aquellos que incluyan únicamente suministro de materiales o equipos o movilización de maquinaria. </w:t>
      </w:r>
    </w:p>
    <w:p w14:paraId="00E92782" w14:textId="77777777" w:rsidR="004412F1" w:rsidRDefault="004412F1">
      <w:pPr>
        <w:rPr>
          <w:rFonts w:eastAsia="SimSun"/>
          <w:lang w:val="es-PE" w:eastAsia="zh-CN"/>
        </w:rPr>
      </w:pPr>
    </w:p>
    <w:p w14:paraId="0B9D61A6" w14:textId="77777777" w:rsidR="004412F1" w:rsidRDefault="005A12A3">
      <w:pPr>
        <w:pStyle w:val="Ttulo3"/>
        <w:numPr>
          <w:ilvl w:val="2"/>
          <w:numId w:val="73"/>
        </w:numPr>
        <w:tabs>
          <w:tab w:val="left" w:pos="993"/>
        </w:tabs>
        <w:ind w:hanging="1866"/>
        <w:rPr>
          <w:u w:val="single"/>
        </w:rPr>
      </w:pPr>
      <w:r>
        <w:rPr>
          <w:b w:val="0"/>
          <w:bCs w:val="0"/>
          <w:u w:val="single"/>
        </w:rPr>
        <w:t>Hito</w:t>
      </w:r>
      <w:r>
        <w:rPr>
          <w:u w:val="single"/>
        </w:rPr>
        <w:t xml:space="preserve"> </w:t>
      </w:r>
      <w:r>
        <w:rPr>
          <w:b w:val="0"/>
          <w:bCs w:val="0"/>
          <w:u w:val="single"/>
        </w:rPr>
        <w:t>Funcional</w:t>
      </w:r>
    </w:p>
    <w:p w14:paraId="2FB7D25B" w14:textId="77777777" w:rsidR="004412F1" w:rsidRDefault="005A12A3">
      <w:pPr>
        <w:tabs>
          <w:tab w:val="left" w:pos="993"/>
        </w:tabs>
        <w:ind w:left="993"/>
        <w:jc w:val="both"/>
        <w:rPr>
          <w:lang w:val="es-PE"/>
        </w:rPr>
      </w:pPr>
      <w:r>
        <w:rPr>
          <w:lang w:val="es-PE"/>
        </w:rPr>
        <w:t>Se refiere a cada una de las divisiones en kilómetros e inversión en obra correspondientes a los subtramos destinados a las intervenciones del Mantenimiento Periódico Inicial, como componente de la Carretera Longitudinal de la Sierra Tramo 4: Huancayo – Izcuchaca – Mayocc - Ayacucho/Ayacucho – Andahuaylas - Puente Sahuinto/Dv. Pisco – Huaytará - Ayacucho, que corresponden –cada una– a un conjunto de estructuras de ingeniería e instalaciones indispensables para la prestación de servicios con independencia funcional. Estos, una vez ejecutados, funcionan u operan de forma individual a favor de los Usuarios, cumpliendo los Niveles de Servicio establecidos en el Anexo I del Contrato.</w:t>
      </w:r>
    </w:p>
    <w:p w14:paraId="3A0DC31D" w14:textId="77777777" w:rsidR="004412F1" w:rsidRDefault="004412F1">
      <w:pPr>
        <w:jc w:val="both"/>
        <w:rPr>
          <w:lang w:val="es-PE"/>
        </w:rPr>
      </w:pPr>
      <w:bookmarkStart w:id="437" w:name="_aioy039meihd"/>
      <w:bookmarkEnd w:id="428"/>
      <w:bookmarkEnd w:id="429"/>
      <w:bookmarkEnd w:id="430"/>
      <w:bookmarkEnd w:id="431"/>
      <w:bookmarkEnd w:id="432"/>
      <w:bookmarkEnd w:id="433"/>
      <w:bookmarkEnd w:id="434"/>
      <w:bookmarkEnd w:id="435"/>
      <w:bookmarkEnd w:id="437"/>
    </w:p>
    <w:p w14:paraId="3D030DC2" w14:textId="77777777" w:rsidR="004412F1" w:rsidRDefault="005A12A3">
      <w:pPr>
        <w:pStyle w:val="Ttulo3"/>
        <w:numPr>
          <w:ilvl w:val="2"/>
          <w:numId w:val="73"/>
        </w:numPr>
        <w:tabs>
          <w:tab w:val="left" w:pos="993"/>
        </w:tabs>
        <w:ind w:hanging="1866"/>
      </w:pPr>
      <w:bookmarkStart w:id="438" w:name="_2iq8gzs"/>
      <w:bookmarkStart w:id="439" w:name="_Toc223355814"/>
      <w:bookmarkStart w:id="440" w:name="_Toc468837560"/>
      <w:bookmarkEnd w:id="438"/>
      <w:bookmarkEnd w:id="439"/>
      <w:r>
        <w:rPr>
          <w:b w:val="0"/>
          <w:u w:val="single"/>
        </w:rPr>
        <w:t>IGV</w:t>
      </w:r>
      <w:bookmarkEnd w:id="440"/>
    </w:p>
    <w:p w14:paraId="3933A1F2" w14:textId="77777777" w:rsidR="004412F1" w:rsidRDefault="005A12A3">
      <w:pPr>
        <w:ind w:left="993"/>
        <w:jc w:val="both"/>
        <w:rPr>
          <w:color w:val="000000"/>
          <w:lang w:val="es-PE"/>
        </w:rPr>
      </w:pPr>
      <w:r>
        <w:rPr>
          <w:color w:val="000000"/>
          <w:lang w:val="es-PE"/>
        </w:rPr>
        <w:t>Es el Impuesto General a las Ventas a que se refiere el Decreto Supremo Nº 055-99-EF, Texto Único Ordenado de la Ley del Impuesto General a las Ventas e Impuesto Selectivo al Consumo, o norma que modifique o lo sustituya, así como el Impuesto de Promoción Municipal a que se refiere el Decreto Supremo N° 156-2004-EF, Texto Único Ordenado de la Ley de Tributación Municipal, o norma que lo modifique o lo sustituya.</w:t>
      </w:r>
    </w:p>
    <w:p w14:paraId="0CD88BEC" w14:textId="77777777" w:rsidR="004412F1" w:rsidRDefault="004412F1">
      <w:pPr>
        <w:ind w:left="993"/>
        <w:jc w:val="both"/>
        <w:rPr>
          <w:color w:val="000000"/>
          <w:lang w:val="es-ES"/>
        </w:rPr>
      </w:pPr>
    </w:p>
    <w:p w14:paraId="6A7C8964" w14:textId="77777777" w:rsidR="004412F1" w:rsidRDefault="005A12A3">
      <w:pPr>
        <w:pStyle w:val="Ttulo3"/>
        <w:numPr>
          <w:ilvl w:val="2"/>
          <w:numId w:val="73"/>
        </w:numPr>
        <w:tabs>
          <w:tab w:val="left" w:pos="993"/>
        </w:tabs>
        <w:ind w:hanging="1866"/>
        <w:rPr>
          <w:u w:val="single"/>
        </w:rPr>
      </w:pPr>
      <w:bookmarkStart w:id="441" w:name="_xvir7l"/>
      <w:bookmarkEnd w:id="441"/>
      <w:r>
        <w:rPr>
          <w:b w:val="0"/>
          <w:u w:val="single"/>
        </w:rPr>
        <w:t>Informe de Avance</w:t>
      </w:r>
    </w:p>
    <w:p w14:paraId="46AFA50F" w14:textId="77777777" w:rsidR="004412F1" w:rsidRDefault="005A12A3">
      <w:pPr>
        <w:tabs>
          <w:tab w:val="left" w:pos="993"/>
        </w:tabs>
        <w:ind w:left="993"/>
        <w:jc w:val="both"/>
        <w:rPr>
          <w:rFonts w:eastAsia="Times New Roman"/>
          <w:bCs/>
          <w:color w:val="000000"/>
          <w:szCs w:val="18"/>
          <w:lang w:val="es-ES" w:eastAsia="es-ES"/>
        </w:rPr>
      </w:pPr>
      <w:r>
        <w:rPr>
          <w:color w:val="000000"/>
          <w:lang w:val="es-PE"/>
        </w:rPr>
        <w:t>Es el documento que presentará el CONCESIONARIO al REGULADOR, conforme a las disposiciones que para tal efecto establezca este último y mediante el cual dejará constancia de la ejecución de las Intervenciones, señalando el monto invertido y los porcentajes de avance de cada partida del presupuesto aprobado en los Estudios Definitivos de Ingeniería e Instrumento de Gestión Ambiental y Expedientes Técnicos, respectivamente.</w:t>
      </w:r>
    </w:p>
    <w:p w14:paraId="5B5C0138" w14:textId="77777777" w:rsidR="004412F1" w:rsidRDefault="004412F1">
      <w:pPr>
        <w:tabs>
          <w:tab w:val="left" w:pos="993"/>
        </w:tabs>
        <w:ind w:left="993"/>
        <w:jc w:val="both"/>
        <w:rPr>
          <w:rFonts w:eastAsia="SimSun"/>
          <w:color w:val="000000"/>
          <w:lang w:val="es-PE" w:eastAsia="zh-CN"/>
        </w:rPr>
      </w:pPr>
    </w:p>
    <w:p w14:paraId="73A7BA33" w14:textId="77777777" w:rsidR="004412F1" w:rsidRDefault="005A12A3">
      <w:pPr>
        <w:pStyle w:val="Ttulo3"/>
        <w:numPr>
          <w:ilvl w:val="2"/>
          <w:numId w:val="73"/>
        </w:numPr>
        <w:tabs>
          <w:tab w:val="left" w:pos="993"/>
        </w:tabs>
        <w:ind w:hanging="1866"/>
        <w:rPr>
          <w:u w:val="single"/>
          <w:lang w:val="es-PE"/>
        </w:rPr>
      </w:pPr>
      <w:r>
        <w:rPr>
          <w:b w:val="0"/>
          <w:bCs w:val="0"/>
          <w:u w:val="single"/>
          <w:lang w:val="es-PE"/>
        </w:rPr>
        <w:lastRenderedPageBreak/>
        <w:t>Instrumento de Gestión Ambiental (IGA)</w:t>
      </w:r>
    </w:p>
    <w:p w14:paraId="049F3636" w14:textId="77777777" w:rsidR="004412F1" w:rsidRDefault="005A12A3">
      <w:pPr>
        <w:tabs>
          <w:tab w:val="left" w:pos="993"/>
        </w:tabs>
        <w:ind w:left="993"/>
        <w:jc w:val="both"/>
        <w:rPr>
          <w:color w:val="000000"/>
          <w:lang w:val="es-PE"/>
        </w:rPr>
      </w:pPr>
      <w:r>
        <w:rPr>
          <w:color w:val="000000"/>
          <w:lang w:val="es-PE"/>
        </w:rPr>
        <w:t xml:space="preserve">Los instrumentos de </w:t>
      </w:r>
      <w:proofErr w:type="gramStart"/>
      <w:r>
        <w:rPr>
          <w:color w:val="000000"/>
          <w:lang w:val="es-PE"/>
        </w:rPr>
        <w:t>gestión ambiental o estudios ambientales</w:t>
      </w:r>
      <w:proofErr w:type="gramEnd"/>
      <w:r>
        <w:rPr>
          <w:color w:val="000000"/>
          <w:lang w:val="es-PE"/>
        </w:rPr>
        <w:t xml:space="preserve"> de aplicación del SEIA son: la Declaración de Impacto ambiental (DIA), el Estudio de Impacto Ambiental Semidetallado (EIA-sd), el Estudio de Impacto Ambiental Detallado (EIA d), y otros instrumentos de gestión ambiental complementarios que determine la Autoridad Ambiental Competente.</w:t>
      </w:r>
    </w:p>
    <w:p w14:paraId="6AEF5682" w14:textId="77777777" w:rsidR="004412F1" w:rsidRDefault="004412F1">
      <w:pPr>
        <w:tabs>
          <w:tab w:val="left" w:pos="993"/>
        </w:tabs>
        <w:ind w:left="993"/>
        <w:jc w:val="both"/>
        <w:rPr>
          <w:rFonts w:eastAsia="SimSun"/>
          <w:color w:val="000000"/>
          <w:lang w:val="es-PE" w:eastAsia="zh-CN"/>
        </w:rPr>
      </w:pPr>
    </w:p>
    <w:p w14:paraId="7AD6AF76" w14:textId="77777777" w:rsidR="004412F1" w:rsidRDefault="005A12A3">
      <w:pPr>
        <w:pStyle w:val="Ttulo3"/>
        <w:numPr>
          <w:ilvl w:val="2"/>
          <w:numId w:val="73"/>
        </w:numPr>
        <w:tabs>
          <w:tab w:val="left" w:pos="993"/>
        </w:tabs>
        <w:ind w:hanging="1866"/>
        <w:rPr>
          <w:u w:val="single"/>
        </w:rPr>
      </w:pPr>
      <w:bookmarkStart w:id="442" w:name="_3hv69ve"/>
      <w:bookmarkEnd w:id="442"/>
      <w:r>
        <w:rPr>
          <w:b w:val="0"/>
          <w:bCs w:val="0"/>
          <w:u w:val="single"/>
        </w:rPr>
        <w:t>Intervención(es)</w:t>
      </w:r>
    </w:p>
    <w:p w14:paraId="191633FC" w14:textId="77777777" w:rsidR="004412F1" w:rsidRDefault="005A12A3">
      <w:pPr>
        <w:ind w:left="993"/>
        <w:jc w:val="both"/>
        <w:rPr>
          <w:color w:val="000000"/>
          <w:lang w:val="es-PE"/>
        </w:rPr>
      </w:pPr>
      <w:r>
        <w:rPr>
          <w:color w:val="000000"/>
          <w:lang w:val="es-PE"/>
        </w:rPr>
        <w:t>Se refiere a la Rehabilitación y Mejoramiento, el Mantenimiento Periódico Inicial y/o la Construcción del evitamiento San Clemente, individual o conjuntamente consideradas.</w:t>
      </w:r>
    </w:p>
    <w:p w14:paraId="03D5169A" w14:textId="77777777" w:rsidR="004412F1" w:rsidRDefault="004412F1">
      <w:pPr>
        <w:ind w:left="993"/>
        <w:jc w:val="both"/>
        <w:rPr>
          <w:color w:val="000000"/>
          <w:lang w:val="es-PE"/>
        </w:rPr>
      </w:pPr>
    </w:p>
    <w:p w14:paraId="20D0D36F" w14:textId="77777777" w:rsidR="004412F1" w:rsidRDefault="005A12A3">
      <w:pPr>
        <w:pStyle w:val="Ttulo3"/>
        <w:numPr>
          <w:ilvl w:val="2"/>
          <w:numId w:val="73"/>
        </w:numPr>
        <w:tabs>
          <w:tab w:val="left" w:pos="993"/>
        </w:tabs>
        <w:ind w:hanging="1866"/>
      </w:pPr>
      <w:bookmarkStart w:id="443" w:name="_1x0gk37"/>
      <w:bookmarkStart w:id="444" w:name="_Toc199177057"/>
      <w:bookmarkStart w:id="445" w:name="_2dlolyb"/>
      <w:bookmarkStart w:id="446" w:name="_Toc131329264"/>
      <w:bookmarkStart w:id="447" w:name="_Toc201751016"/>
      <w:bookmarkStart w:id="448" w:name="_Ref467752720"/>
      <w:bookmarkStart w:id="449" w:name="_Toc468837562"/>
      <w:bookmarkStart w:id="450" w:name="_Toc131328696"/>
      <w:bookmarkStart w:id="451" w:name="_Toc131332859"/>
      <w:bookmarkStart w:id="452" w:name="_Toc131329851"/>
      <w:bookmarkStart w:id="453" w:name="_Toc134448743"/>
      <w:bookmarkStart w:id="454" w:name="_Toc131331938"/>
      <w:bookmarkStart w:id="455" w:name="_Toc131327870"/>
      <w:bookmarkStart w:id="456" w:name="_Toc131329032"/>
      <w:bookmarkEnd w:id="443"/>
      <w:bookmarkEnd w:id="444"/>
      <w:bookmarkEnd w:id="445"/>
      <w:r>
        <w:rPr>
          <w:b w:val="0"/>
          <w:u w:val="single"/>
        </w:rPr>
        <w:t>Inventarios</w:t>
      </w:r>
      <w:bookmarkEnd w:id="446"/>
      <w:bookmarkEnd w:id="447"/>
      <w:bookmarkEnd w:id="448"/>
      <w:bookmarkEnd w:id="449"/>
      <w:bookmarkEnd w:id="450"/>
      <w:bookmarkEnd w:id="451"/>
      <w:bookmarkEnd w:id="452"/>
      <w:bookmarkEnd w:id="453"/>
      <w:bookmarkEnd w:id="454"/>
      <w:bookmarkEnd w:id="455"/>
      <w:bookmarkEnd w:id="456"/>
    </w:p>
    <w:p w14:paraId="064C19BA" w14:textId="77777777" w:rsidR="004412F1" w:rsidRDefault="005A12A3">
      <w:pPr>
        <w:ind w:left="993"/>
        <w:jc w:val="both"/>
        <w:rPr>
          <w:rFonts w:eastAsia="SimSun"/>
          <w:lang w:val="es-PE" w:eastAsia="zh-CN"/>
        </w:rPr>
      </w:pPr>
      <w:r>
        <w:rPr>
          <w:lang w:val="es-PE"/>
        </w:rPr>
        <w:t>Son los Inventarios</w:t>
      </w:r>
      <w:r>
        <w:rPr>
          <w:lang w:val="es-ES"/>
        </w:rPr>
        <w:t>:</w:t>
      </w:r>
      <w:r>
        <w:rPr>
          <w:lang w:val="es-PE"/>
        </w:rPr>
        <w:t xml:space="preserve"> Inicial, de las Intervenciones, Anual y Final.</w:t>
      </w:r>
    </w:p>
    <w:p w14:paraId="3083A43A" w14:textId="77777777" w:rsidR="004412F1" w:rsidRDefault="004412F1">
      <w:pPr>
        <w:ind w:left="993"/>
        <w:jc w:val="both"/>
        <w:rPr>
          <w:rFonts w:eastAsia="SimSun"/>
          <w:lang w:val="es-PE" w:eastAsia="zh-CN"/>
        </w:rPr>
      </w:pPr>
    </w:p>
    <w:p w14:paraId="45400CA0" w14:textId="77777777" w:rsidR="004412F1" w:rsidRDefault="005A12A3">
      <w:pPr>
        <w:pStyle w:val="Ttulo3"/>
        <w:numPr>
          <w:ilvl w:val="2"/>
          <w:numId w:val="73"/>
        </w:numPr>
        <w:tabs>
          <w:tab w:val="left" w:pos="993"/>
        </w:tabs>
        <w:ind w:hanging="1866"/>
        <w:rPr>
          <w:b w:val="0"/>
          <w:bCs w:val="0"/>
          <w:u w:val="single"/>
        </w:rPr>
      </w:pPr>
      <w:r>
        <w:rPr>
          <w:b w:val="0"/>
          <w:bCs w:val="0"/>
          <w:u w:val="single"/>
          <w:lang w:val="es-ES"/>
        </w:rPr>
        <w:t xml:space="preserve">Inversiones </w:t>
      </w:r>
      <w:r>
        <w:rPr>
          <w:b w:val="0"/>
          <w:bCs w:val="0"/>
          <w:u w:val="single"/>
        </w:rPr>
        <w:t>Adicionales</w:t>
      </w:r>
    </w:p>
    <w:p w14:paraId="453141DF" w14:textId="77777777" w:rsidR="004412F1" w:rsidRDefault="005A12A3">
      <w:pPr>
        <w:tabs>
          <w:tab w:val="left" w:pos="993"/>
          <w:tab w:val="left" w:pos="1134"/>
        </w:tabs>
        <w:ind w:left="993"/>
        <w:jc w:val="both"/>
        <w:rPr>
          <w:lang w:val="es-PE"/>
        </w:rPr>
      </w:pPr>
      <w:r>
        <w:rPr>
          <w:lang w:val="es-PE"/>
        </w:rPr>
        <w:t xml:space="preserve">Son aquellas </w:t>
      </w:r>
      <w:r>
        <w:rPr>
          <w:lang w:val="es-ES"/>
        </w:rPr>
        <w:t>Inversiones</w:t>
      </w:r>
      <w:r>
        <w:rPr>
          <w:lang w:val="es-PE"/>
        </w:rPr>
        <w:t xml:space="preserve"> no consideradas en los Estudios Definitivos de Ingeniería, ni en los Expedientes Técnicos, ni en el Contrato, cuya realización resulta indispensable y/o necesaria para dar cumplimiento a la meta prevista de la obra principal. En ningún caso dichas </w:t>
      </w:r>
      <w:r>
        <w:rPr>
          <w:lang w:val="es-ES"/>
        </w:rPr>
        <w:t>inversiones</w:t>
      </w:r>
      <w:r>
        <w:rPr>
          <w:lang w:val="es-PE"/>
        </w:rPr>
        <w:t xml:space="preserve"> tienen su origen en reducción de los Niveles de Servicio y/o por otras causas imputables al CONCESIONARIO.</w:t>
      </w:r>
    </w:p>
    <w:p w14:paraId="0DB8E97F" w14:textId="77777777" w:rsidR="004412F1" w:rsidRDefault="004412F1">
      <w:pPr>
        <w:tabs>
          <w:tab w:val="left" w:pos="993"/>
          <w:tab w:val="left" w:pos="1134"/>
        </w:tabs>
        <w:ind w:left="993"/>
        <w:jc w:val="both"/>
        <w:rPr>
          <w:rFonts w:eastAsia="SimSun"/>
          <w:lang w:val="es-PE" w:eastAsia="zh-CN"/>
        </w:rPr>
      </w:pPr>
    </w:p>
    <w:p w14:paraId="09E26CAE" w14:textId="1DA8935B" w:rsidR="004412F1" w:rsidRDefault="005A12A3">
      <w:pPr>
        <w:tabs>
          <w:tab w:val="left" w:pos="993"/>
          <w:tab w:val="left" w:pos="1134"/>
        </w:tabs>
        <w:ind w:left="993"/>
        <w:jc w:val="both"/>
        <w:rPr>
          <w:lang w:val="es-PE"/>
        </w:rPr>
      </w:pPr>
      <w:r>
        <w:rPr>
          <w:lang w:val="es-PE"/>
        </w:rPr>
        <w:t xml:space="preserve">La ejecución y Mantenimiento de las </w:t>
      </w:r>
      <w:r>
        <w:rPr>
          <w:lang w:val="es-ES"/>
        </w:rPr>
        <w:t>Inversiones</w:t>
      </w:r>
      <w:r>
        <w:rPr>
          <w:lang w:val="es-PE"/>
        </w:rPr>
        <w:t xml:space="preserve"> Adicionales se encontrarán sujetos a lo regulado en las Cláusulas</w:t>
      </w:r>
      <w:r w:rsidR="006E45F2">
        <w:rPr>
          <w:lang w:val="es-PE"/>
        </w:rPr>
        <w:t xml:space="preserve"> 6.50</w:t>
      </w:r>
      <w:r>
        <w:rPr>
          <w:lang w:val="es-PE"/>
        </w:rPr>
        <w:t xml:space="preserve"> al</w:t>
      </w:r>
      <w:r w:rsidR="006E45F2">
        <w:rPr>
          <w:lang w:val="es-PE"/>
        </w:rPr>
        <w:t xml:space="preserve"> 6.51</w:t>
      </w:r>
      <w:r>
        <w:rPr>
          <w:lang w:val="es-PE"/>
        </w:rPr>
        <w:t xml:space="preserve"> del Contrato.</w:t>
      </w:r>
    </w:p>
    <w:p w14:paraId="4E7003E3" w14:textId="77777777" w:rsidR="004412F1" w:rsidRDefault="004412F1">
      <w:pPr>
        <w:suppressLineNumbers/>
        <w:suppressAutoHyphens/>
        <w:ind w:left="993" w:firstLine="1"/>
        <w:jc w:val="both"/>
        <w:rPr>
          <w:rFonts w:eastAsia="SimSun"/>
          <w:lang w:val="es-PE" w:eastAsia="zh-CN"/>
        </w:rPr>
      </w:pPr>
      <w:bookmarkStart w:id="457" w:name="_Toc55906337"/>
    </w:p>
    <w:p w14:paraId="3A51E98A" w14:textId="77777777" w:rsidR="004412F1" w:rsidRDefault="005A12A3">
      <w:pPr>
        <w:pStyle w:val="Ttulo3"/>
        <w:numPr>
          <w:ilvl w:val="2"/>
          <w:numId w:val="73"/>
        </w:numPr>
        <w:tabs>
          <w:tab w:val="left" w:pos="993"/>
        </w:tabs>
        <w:ind w:hanging="1866"/>
      </w:pPr>
      <w:bookmarkStart w:id="458" w:name="_4h042r0"/>
      <w:bookmarkStart w:id="459" w:name="_Toc199177060"/>
      <w:bookmarkStart w:id="460" w:name="_Toc199177059"/>
      <w:bookmarkStart w:id="461" w:name="_Toc199177061"/>
      <w:bookmarkStart w:id="462" w:name="_Toc199177063"/>
      <w:bookmarkStart w:id="463" w:name="_Toc131329853"/>
      <w:bookmarkStart w:id="464" w:name="_Toc468837563"/>
      <w:bookmarkStart w:id="465" w:name="_Toc131328698"/>
      <w:bookmarkStart w:id="466" w:name="_Toc131331940"/>
      <w:bookmarkStart w:id="467" w:name="_Toc131327872"/>
      <w:bookmarkStart w:id="468" w:name="_Toc134448745"/>
      <w:bookmarkStart w:id="469" w:name="_Toc131332861"/>
      <w:bookmarkStart w:id="470" w:name="_Toc131329034"/>
      <w:bookmarkStart w:id="471" w:name="_Toc131329266"/>
      <w:bookmarkEnd w:id="458"/>
      <w:bookmarkEnd w:id="459"/>
      <w:bookmarkEnd w:id="460"/>
      <w:bookmarkEnd w:id="461"/>
      <w:bookmarkEnd w:id="462"/>
      <w:r>
        <w:rPr>
          <w:b w:val="0"/>
          <w:bCs w:val="0"/>
          <w:u w:val="single"/>
        </w:rPr>
        <w:t>Leyes y Disposiciones Aplicables</w:t>
      </w:r>
      <w:bookmarkEnd w:id="457"/>
      <w:bookmarkEnd w:id="463"/>
      <w:bookmarkEnd w:id="464"/>
      <w:bookmarkEnd w:id="465"/>
      <w:bookmarkEnd w:id="466"/>
      <w:bookmarkEnd w:id="467"/>
      <w:bookmarkEnd w:id="468"/>
      <w:bookmarkEnd w:id="469"/>
      <w:bookmarkEnd w:id="470"/>
      <w:bookmarkEnd w:id="471"/>
    </w:p>
    <w:p w14:paraId="7379374F" w14:textId="77777777" w:rsidR="004412F1" w:rsidRDefault="005A12A3">
      <w:pPr>
        <w:ind w:left="993"/>
        <w:jc w:val="both"/>
        <w:rPr>
          <w:rFonts w:eastAsia="SimSun"/>
          <w:color w:val="000000"/>
          <w:lang w:val="es-PE"/>
        </w:rPr>
      </w:pPr>
      <w:bookmarkStart w:id="472" w:name="_2w5ecyt" w:colFirst="0" w:colLast="0"/>
      <w:bookmarkStart w:id="473" w:name="_Toc131327873"/>
      <w:bookmarkStart w:id="474" w:name="_Toc55906338"/>
      <w:bookmarkEnd w:id="472"/>
      <w:r>
        <w:rPr>
          <w:color w:val="000000"/>
          <w:lang w:val="es-PE"/>
        </w:rPr>
        <w:t>Es el conjunto de disposiciones legales peruanas de carácter general que regulan el Contrato. Incluyen la Constitución Política del Perú, las normas con rango de ley, los reglamentos, directivas y resoluciones que pueda dictar cualquier Autoridad Gubernamental competente de conformidad con su ley de creación, dentro de las cuales se encuentran las Normas Regulatorias; las que serán de observancia obligatoria para las Partes.</w:t>
      </w:r>
      <w:bookmarkEnd w:id="473"/>
      <w:bookmarkEnd w:id="474"/>
    </w:p>
    <w:p w14:paraId="0C4BCC49" w14:textId="77777777" w:rsidR="004412F1" w:rsidRDefault="004412F1">
      <w:pPr>
        <w:tabs>
          <w:tab w:val="left" w:pos="993"/>
        </w:tabs>
        <w:ind w:left="993"/>
        <w:jc w:val="both"/>
        <w:rPr>
          <w:color w:val="000000"/>
          <w:lang w:val="es-PE"/>
        </w:rPr>
      </w:pPr>
    </w:p>
    <w:p w14:paraId="52E8C64A" w14:textId="77777777" w:rsidR="004412F1" w:rsidRDefault="005A12A3">
      <w:pPr>
        <w:pStyle w:val="Ttulo3"/>
        <w:numPr>
          <w:ilvl w:val="2"/>
          <w:numId w:val="73"/>
        </w:numPr>
        <w:tabs>
          <w:tab w:val="left" w:pos="993"/>
        </w:tabs>
        <w:ind w:hanging="1866"/>
        <w:rPr>
          <w:u w:val="single"/>
        </w:rPr>
      </w:pPr>
      <w:bookmarkStart w:id="475" w:name="_Toc223355821"/>
      <w:bookmarkStart w:id="476" w:name="_2afmg28"/>
      <w:bookmarkStart w:id="477" w:name="_1baon6m"/>
      <w:bookmarkStart w:id="478" w:name="_Toc468837565"/>
      <w:bookmarkEnd w:id="475"/>
      <w:bookmarkEnd w:id="476"/>
      <w:bookmarkEnd w:id="477"/>
      <w:r>
        <w:rPr>
          <w:b w:val="0"/>
          <w:bCs w:val="0"/>
          <w:u w:val="single"/>
        </w:rPr>
        <w:t>Mantenimiento</w:t>
      </w:r>
      <w:bookmarkEnd w:id="478"/>
    </w:p>
    <w:p w14:paraId="470BE072" w14:textId="77777777" w:rsidR="004412F1" w:rsidRDefault="005A12A3">
      <w:pPr>
        <w:tabs>
          <w:tab w:val="left" w:pos="993"/>
        </w:tabs>
        <w:ind w:left="993"/>
        <w:jc w:val="both"/>
      </w:pPr>
      <w:r>
        <w:t>Ver Conservación.</w:t>
      </w:r>
    </w:p>
    <w:p w14:paraId="2DAE4DE8" w14:textId="77777777" w:rsidR="004412F1" w:rsidRDefault="004412F1">
      <w:pPr>
        <w:tabs>
          <w:tab w:val="left" w:pos="993"/>
        </w:tabs>
        <w:ind w:left="993"/>
        <w:jc w:val="both"/>
      </w:pPr>
    </w:p>
    <w:p w14:paraId="12EF849E" w14:textId="77777777" w:rsidR="004412F1" w:rsidRDefault="005A12A3">
      <w:pPr>
        <w:pStyle w:val="Ttulo3"/>
        <w:numPr>
          <w:ilvl w:val="2"/>
          <w:numId w:val="73"/>
        </w:numPr>
        <w:tabs>
          <w:tab w:val="left" w:pos="993"/>
        </w:tabs>
        <w:ind w:hanging="1866"/>
        <w:rPr>
          <w:u w:val="single"/>
        </w:rPr>
      </w:pPr>
      <w:bookmarkStart w:id="479" w:name="_pkwqa1"/>
      <w:bookmarkStart w:id="480" w:name="_Toc468837566"/>
      <w:bookmarkEnd w:id="479"/>
      <w:r>
        <w:rPr>
          <w:b w:val="0"/>
          <w:bCs w:val="0"/>
          <w:u w:val="single"/>
        </w:rPr>
        <w:t>Mantenimiento Periódico Inicial</w:t>
      </w:r>
      <w:bookmarkEnd w:id="480"/>
    </w:p>
    <w:p w14:paraId="09BF51E1" w14:textId="77777777" w:rsidR="004412F1" w:rsidRDefault="005A12A3">
      <w:pPr>
        <w:ind w:left="993"/>
        <w:jc w:val="both"/>
        <w:rPr>
          <w:rFonts w:eastAsia="Times New Roman"/>
          <w:bCs/>
          <w:szCs w:val="18"/>
          <w:lang w:val="es-ES" w:eastAsia="es-ES"/>
        </w:rPr>
      </w:pPr>
      <w:r>
        <w:rPr>
          <w:lang w:val="es-PE"/>
        </w:rPr>
        <w:t xml:space="preserve">Son </w:t>
      </w:r>
      <w:proofErr w:type="gramStart"/>
      <w:r>
        <w:rPr>
          <w:lang w:val="es-PE"/>
        </w:rPr>
        <w:t>aquellos trabajos a ejecutar</w:t>
      </w:r>
      <w:proofErr w:type="gramEnd"/>
      <w:r>
        <w:rPr>
          <w:lang w:val="es-PE"/>
        </w:rPr>
        <w:t xml:space="preserve"> en la vía existente en los primeros años de la Concesión a fin de alcanzar y/o superar los Niveles de Servicio exigidos en el Anexo I del Contrato. </w:t>
      </w:r>
    </w:p>
    <w:p w14:paraId="0BB4EC39" w14:textId="77777777" w:rsidR="004412F1" w:rsidRDefault="004412F1">
      <w:pPr>
        <w:tabs>
          <w:tab w:val="left" w:pos="993"/>
        </w:tabs>
        <w:ind w:left="993"/>
        <w:jc w:val="both"/>
        <w:rPr>
          <w:lang w:val="es-PE"/>
        </w:rPr>
      </w:pPr>
    </w:p>
    <w:p w14:paraId="36D70520" w14:textId="77777777" w:rsidR="004412F1" w:rsidRDefault="005A12A3">
      <w:pPr>
        <w:pStyle w:val="Ttulo3"/>
        <w:numPr>
          <w:ilvl w:val="2"/>
          <w:numId w:val="73"/>
        </w:numPr>
        <w:tabs>
          <w:tab w:val="left" w:pos="993"/>
        </w:tabs>
        <w:ind w:hanging="1866"/>
        <w:rPr>
          <w:u w:val="single"/>
        </w:rPr>
      </w:pPr>
      <w:bookmarkStart w:id="481" w:name="_39kk8xu"/>
      <w:bookmarkStart w:id="482" w:name="_Toc468837567"/>
      <w:bookmarkEnd w:id="481"/>
      <w:r>
        <w:rPr>
          <w:b w:val="0"/>
          <w:u w:val="single"/>
        </w:rPr>
        <w:t>Mejoramiento</w:t>
      </w:r>
      <w:bookmarkEnd w:id="482"/>
    </w:p>
    <w:p w14:paraId="71EC5BDD" w14:textId="77777777" w:rsidR="004412F1" w:rsidRDefault="005A12A3">
      <w:pPr>
        <w:tabs>
          <w:tab w:val="left" w:pos="993"/>
        </w:tabs>
        <w:ind w:left="993"/>
        <w:jc w:val="both"/>
        <w:rPr>
          <w:lang w:val="es-PE"/>
        </w:rPr>
      </w:pPr>
      <w:r>
        <w:rPr>
          <w:lang w:val="es-PE"/>
        </w:rPr>
        <w:t xml:space="preserve">Ejecución de las obras necesarias para elevar el estándar de la vía mediante actividades que implican la modificación sustancial de la geometría y de la estructura del pavimento; así como la construcción </w:t>
      </w:r>
      <w:r>
        <w:rPr>
          <w:lang w:val="es-ES"/>
        </w:rPr>
        <w:t>y/</w:t>
      </w:r>
      <w:r>
        <w:rPr>
          <w:lang w:val="es-PE"/>
        </w:rPr>
        <w:t xml:space="preserve">o adecuación de los puentes, túneles, obras de drenaje, muros, y señalizaciones necesarias. </w:t>
      </w:r>
    </w:p>
    <w:p w14:paraId="138D12D1" w14:textId="77777777" w:rsidR="004412F1" w:rsidRDefault="004412F1">
      <w:pPr>
        <w:tabs>
          <w:tab w:val="left" w:pos="993"/>
        </w:tabs>
        <w:ind w:left="993"/>
        <w:jc w:val="both"/>
        <w:rPr>
          <w:lang w:val="es-PE"/>
        </w:rPr>
      </w:pPr>
    </w:p>
    <w:p w14:paraId="26179433" w14:textId="77777777" w:rsidR="004412F1" w:rsidRDefault="005A12A3">
      <w:pPr>
        <w:pStyle w:val="Ttulo3"/>
        <w:numPr>
          <w:ilvl w:val="2"/>
          <w:numId w:val="73"/>
        </w:numPr>
        <w:tabs>
          <w:tab w:val="left" w:pos="993"/>
        </w:tabs>
        <w:ind w:hanging="1866"/>
      </w:pPr>
      <w:bookmarkStart w:id="483" w:name="_1opuj5n"/>
      <w:bookmarkStart w:id="484" w:name="_Toc468837568"/>
      <w:bookmarkStart w:id="485" w:name="_Toc199177066"/>
      <w:bookmarkStart w:id="486" w:name="_Toc131328702"/>
      <w:bookmarkStart w:id="487" w:name="_Toc131329857"/>
      <w:bookmarkStart w:id="488" w:name="_Toc134448749"/>
      <w:bookmarkStart w:id="489" w:name="_Toc131329038"/>
      <w:bookmarkStart w:id="490" w:name="_Toc131329270"/>
      <w:bookmarkStart w:id="491" w:name="_Toc131332865"/>
      <w:bookmarkStart w:id="492" w:name="_Toc131327878"/>
      <w:bookmarkStart w:id="493" w:name="_Toc131331944"/>
      <w:bookmarkEnd w:id="483"/>
      <w:r>
        <w:rPr>
          <w:b w:val="0"/>
          <w:bCs w:val="0"/>
          <w:u w:val="single"/>
        </w:rPr>
        <w:t>MTC</w:t>
      </w:r>
      <w:bookmarkEnd w:id="484"/>
      <w:bookmarkEnd w:id="485"/>
    </w:p>
    <w:p w14:paraId="719D2BCF" w14:textId="77777777" w:rsidR="004412F1" w:rsidRDefault="005A12A3">
      <w:pPr>
        <w:tabs>
          <w:tab w:val="left" w:pos="993"/>
          <w:tab w:val="left" w:pos="1134"/>
        </w:tabs>
        <w:ind w:left="993"/>
        <w:jc w:val="both"/>
        <w:rPr>
          <w:lang w:val="es-PE"/>
        </w:rPr>
      </w:pPr>
      <w:bookmarkStart w:id="494" w:name="_48pi1tg"/>
      <w:bookmarkStart w:id="495" w:name="_Toc199177068"/>
      <w:bookmarkStart w:id="496" w:name="_Toc201717194"/>
      <w:bookmarkEnd w:id="494"/>
      <w:r>
        <w:rPr>
          <w:lang w:val="es-PE"/>
        </w:rPr>
        <w:t>Es el Ministerio de Transportes y Comunicaciones que actúa en representación del Estado de la República del Perú en su calidad de CONCEDENTE.</w:t>
      </w:r>
      <w:bookmarkEnd w:id="495"/>
      <w:bookmarkEnd w:id="496"/>
    </w:p>
    <w:p w14:paraId="35A6A8C0" w14:textId="77777777" w:rsidR="004412F1" w:rsidRDefault="004412F1">
      <w:pPr>
        <w:tabs>
          <w:tab w:val="left" w:pos="993"/>
          <w:tab w:val="left" w:pos="1134"/>
        </w:tabs>
        <w:ind w:left="993"/>
        <w:jc w:val="both"/>
        <w:rPr>
          <w:lang w:val="es-PE"/>
        </w:rPr>
      </w:pPr>
    </w:p>
    <w:p w14:paraId="55A48DAA" w14:textId="77777777" w:rsidR="004412F1" w:rsidRDefault="005A12A3">
      <w:pPr>
        <w:pStyle w:val="Ttulo3"/>
        <w:numPr>
          <w:ilvl w:val="2"/>
          <w:numId w:val="73"/>
        </w:numPr>
        <w:tabs>
          <w:tab w:val="left" w:pos="993"/>
        </w:tabs>
        <w:ind w:hanging="1866"/>
        <w:rPr>
          <w:u w:val="single"/>
        </w:rPr>
      </w:pPr>
      <w:bookmarkStart w:id="497" w:name="_2nusc19"/>
      <w:bookmarkStart w:id="498" w:name="_Toc468837569"/>
      <w:bookmarkEnd w:id="497"/>
      <w:r>
        <w:rPr>
          <w:b w:val="0"/>
          <w:bCs w:val="0"/>
          <w:u w:val="single"/>
        </w:rPr>
        <w:lastRenderedPageBreak/>
        <w:t>Niveles de Servicio</w:t>
      </w:r>
      <w:bookmarkEnd w:id="498"/>
    </w:p>
    <w:p w14:paraId="24DB8A47" w14:textId="77777777" w:rsidR="004412F1" w:rsidRDefault="005A12A3">
      <w:pPr>
        <w:tabs>
          <w:tab w:val="left" w:pos="993"/>
          <w:tab w:val="left" w:pos="1134"/>
        </w:tabs>
        <w:ind w:left="993"/>
        <w:jc w:val="both"/>
        <w:rPr>
          <w:lang w:val="es-PE"/>
        </w:rPr>
      </w:pPr>
      <w:r>
        <w:rPr>
          <w:lang w:val="es-PE"/>
        </w:rPr>
        <w:t>Indicadores que califican y cuantifican el estado de servicio de una vía y que normalmente se utilizan como límites admisibles en su condición superficial, funcional, estructural, y de seguridad. El CONCESIONARIO deberá cumplir con los indicadores señalados en el ANEXO I del Contrato de Concesión, los cuáles serán utilizados como elementos de evaluación por parte del REGULADOR.</w:t>
      </w:r>
    </w:p>
    <w:p w14:paraId="15547F44" w14:textId="77777777" w:rsidR="004412F1" w:rsidRDefault="004412F1">
      <w:pPr>
        <w:tabs>
          <w:tab w:val="left" w:pos="993"/>
          <w:tab w:val="left" w:pos="1134"/>
        </w:tabs>
        <w:ind w:left="993"/>
        <w:jc w:val="both"/>
        <w:rPr>
          <w:lang w:val="es-PE"/>
        </w:rPr>
      </w:pPr>
    </w:p>
    <w:p w14:paraId="65A31364" w14:textId="77777777" w:rsidR="004412F1" w:rsidRDefault="005A12A3">
      <w:pPr>
        <w:pStyle w:val="Ttulo3"/>
        <w:numPr>
          <w:ilvl w:val="2"/>
          <w:numId w:val="73"/>
        </w:numPr>
        <w:tabs>
          <w:tab w:val="left" w:pos="993"/>
        </w:tabs>
        <w:ind w:hanging="1866"/>
      </w:pPr>
      <w:bookmarkStart w:id="499" w:name="_1302m92"/>
      <w:bookmarkStart w:id="500" w:name="_Toc468837570"/>
      <w:bookmarkEnd w:id="499"/>
      <w:r>
        <w:rPr>
          <w:b w:val="0"/>
          <w:bCs w:val="0"/>
          <w:u w:val="single"/>
        </w:rPr>
        <w:t>Normas Regulatorias</w:t>
      </w:r>
      <w:bookmarkEnd w:id="486"/>
      <w:bookmarkEnd w:id="487"/>
      <w:bookmarkEnd w:id="488"/>
      <w:bookmarkEnd w:id="489"/>
      <w:bookmarkEnd w:id="490"/>
      <w:bookmarkEnd w:id="491"/>
      <w:bookmarkEnd w:id="492"/>
      <w:bookmarkEnd w:id="493"/>
      <w:bookmarkEnd w:id="500"/>
    </w:p>
    <w:p w14:paraId="3C2BCC4E" w14:textId="77777777" w:rsidR="004412F1" w:rsidRDefault="005A12A3">
      <w:pPr>
        <w:tabs>
          <w:tab w:val="left" w:pos="993"/>
          <w:tab w:val="left" w:pos="1134"/>
        </w:tabs>
        <w:ind w:left="993"/>
        <w:jc w:val="both"/>
        <w:rPr>
          <w:lang w:val="es-PE"/>
        </w:rPr>
      </w:pPr>
      <w:r>
        <w:rPr>
          <w:lang w:val="es-PE"/>
        </w:rPr>
        <w:t>Son los reglamentos, directivas y resoluciones que conforme a su ley de creación puede dictar el REGULADOR y cuyo cumplimiento es de carácter obligatorio para el CONCESIONARIO.</w:t>
      </w:r>
    </w:p>
    <w:p w14:paraId="7749922B" w14:textId="77777777" w:rsidR="004412F1" w:rsidRDefault="004412F1">
      <w:pPr>
        <w:tabs>
          <w:tab w:val="left" w:pos="993"/>
        </w:tabs>
        <w:ind w:firstLine="709"/>
        <w:jc w:val="both"/>
        <w:rPr>
          <w:lang w:val="es-PE"/>
        </w:rPr>
      </w:pPr>
    </w:p>
    <w:p w14:paraId="5C79608C" w14:textId="77777777" w:rsidR="004412F1" w:rsidRDefault="005A12A3">
      <w:pPr>
        <w:pStyle w:val="Ttulo3"/>
        <w:numPr>
          <w:ilvl w:val="2"/>
          <w:numId w:val="73"/>
        </w:numPr>
        <w:tabs>
          <w:tab w:val="left" w:pos="993"/>
        </w:tabs>
        <w:ind w:hanging="1866"/>
      </w:pPr>
      <w:bookmarkStart w:id="501" w:name="_3mzq4wv"/>
      <w:bookmarkStart w:id="502" w:name="_Toc468837571"/>
      <w:bookmarkEnd w:id="501"/>
      <w:r>
        <w:rPr>
          <w:b w:val="0"/>
          <w:bCs w:val="0"/>
          <w:u w:val="single"/>
        </w:rPr>
        <w:t>Obra</w:t>
      </w:r>
      <w:bookmarkEnd w:id="502"/>
    </w:p>
    <w:p w14:paraId="3779CE79" w14:textId="77777777" w:rsidR="004412F1" w:rsidRDefault="005A12A3">
      <w:pPr>
        <w:tabs>
          <w:tab w:val="left" w:pos="993"/>
          <w:tab w:val="left" w:pos="1134"/>
        </w:tabs>
        <w:ind w:left="993"/>
        <w:jc w:val="both"/>
        <w:rPr>
          <w:rFonts w:eastAsia="SimSun"/>
          <w:lang w:val="es-PE" w:eastAsia="zh-CN"/>
        </w:rPr>
      </w:pPr>
      <w:r>
        <w:rPr>
          <w:lang w:val="es-PE"/>
        </w:rPr>
        <w:t xml:space="preserve">Infraestructura vial ejecutada en un área de trabajo, teniendo como base el Estudio Definitivo de Ingeniería, o el Expediente Técnico aprobado, empleando generalmente recursos: mano de obra, materiales y equipo. </w:t>
      </w:r>
    </w:p>
    <w:p w14:paraId="56F2DC36" w14:textId="77777777" w:rsidR="004412F1" w:rsidRDefault="004412F1">
      <w:pPr>
        <w:ind w:left="1134"/>
        <w:jc w:val="both"/>
        <w:rPr>
          <w:u w:val="single"/>
          <w:lang w:val="es-PE"/>
        </w:rPr>
      </w:pPr>
    </w:p>
    <w:p w14:paraId="3DF6DECE" w14:textId="77777777" w:rsidR="004412F1" w:rsidRDefault="005A12A3">
      <w:pPr>
        <w:pStyle w:val="Ttulo3"/>
        <w:numPr>
          <w:ilvl w:val="2"/>
          <w:numId w:val="73"/>
        </w:numPr>
        <w:tabs>
          <w:tab w:val="left" w:pos="993"/>
        </w:tabs>
        <w:ind w:hanging="1866"/>
        <w:rPr>
          <w:u w:val="single"/>
        </w:rPr>
      </w:pPr>
      <w:bookmarkStart w:id="503" w:name="_2250f4o"/>
      <w:bookmarkStart w:id="504" w:name="_Toc468837573"/>
      <w:bookmarkEnd w:id="503"/>
      <w:r>
        <w:rPr>
          <w:b w:val="0"/>
          <w:bCs w:val="0"/>
          <w:u w:val="single"/>
        </w:rPr>
        <w:t>Operación</w:t>
      </w:r>
      <w:bookmarkEnd w:id="504"/>
    </w:p>
    <w:p w14:paraId="42CE60D9" w14:textId="77777777" w:rsidR="004412F1" w:rsidRDefault="005A12A3">
      <w:pPr>
        <w:tabs>
          <w:tab w:val="left" w:pos="993"/>
        </w:tabs>
        <w:ind w:left="993"/>
        <w:jc w:val="both"/>
        <w:rPr>
          <w:lang w:val="es-PE"/>
        </w:rPr>
      </w:pPr>
      <w:r>
        <w:rPr>
          <w:lang w:val="es-PE"/>
        </w:rPr>
        <w:t>Es el conjunto de actividades a desarrollar para que la vía funcione normalmente e incluye la administración de la Concesión, el cuidado y la vigilancia de la vía, el control de cargas y pesos vehiculares, seguridad vial y la prevención de Emergencias Viales.</w:t>
      </w:r>
    </w:p>
    <w:p w14:paraId="026640C6" w14:textId="77777777" w:rsidR="004412F1" w:rsidRDefault="004412F1">
      <w:pPr>
        <w:tabs>
          <w:tab w:val="left" w:pos="993"/>
        </w:tabs>
        <w:ind w:left="993"/>
        <w:jc w:val="both"/>
        <w:rPr>
          <w:lang w:val="es-PE"/>
        </w:rPr>
      </w:pPr>
      <w:bookmarkStart w:id="505" w:name="_Toc131329277"/>
      <w:bookmarkStart w:id="506" w:name="_Toc131329045"/>
      <w:bookmarkStart w:id="507" w:name="_Toc131329864"/>
      <w:bookmarkStart w:id="508" w:name="_Toc134448754"/>
      <w:bookmarkStart w:id="509" w:name="_Toc55906340"/>
      <w:bookmarkStart w:id="510" w:name="_Toc131327888"/>
      <w:bookmarkStart w:id="511" w:name="_Toc131328709"/>
      <w:bookmarkStart w:id="512" w:name="_Toc131331951"/>
      <w:bookmarkStart w:id="513" w:name="_Toc131332872"/>
    </w:p>
    <w:bookmarkEnd w:id="505"/>
    <w:bookmarkEnd w:id="506"/>
    <w:bookmarkEnd w:id="507"/>
    <w:bookmarkEnd w:id="508"/>
    <w:bookmarkEnd w:id="509"/>
    <w:bookmarkEnd w:id="510"/>
    <w:bookmarkEnd w:id="511"/>
    <w:bookmarkEnd w:id="512"/>
    <w:bookmarkEnd w:id="513"/>
    <w:p w14:paraId="27CF9A89" w14:textId="77777777" w:rsidR="004412F1" w:rsidRDefault="005A12A3">
      <w:pPr>
        <w:pStyle w:val="Ttulo3"/>
        <w:numPr>
          <w:ilvl w:val="2"/>
          <w:numId w:val="73"/>
        </w:numPr>
        <w:tabs>
          <w:tab w:val="left" w:pos="993"/>
        </w:tabs>
        <w:ind w:hanging="1866"/>
        <w:rPr>
          <w:u w:val="single"/>
          <w:lang w:val="es-PE"/>
        </w:rPr>
      </w:pPr>
      <w:r>
        <w:rPr>
          <w:b w:val="0"/>
          <w:u w:val="single"/>
          <w:lang w:val="es-PE"/>
        </w:rPr>
        <w:t>Pago Anual por Mantenimiento Periódico Inicial (PAMPI)</w:t>
      </w:r>
    </w:p>
    <w:p w14:paraId="626852DC" w14:textId="77777777" w:rsidR="004412F1" w:rsidRDefault="005A12A3">
      <w:pPr>
        <w:tabs>
          <w:tab w:val="left" w:pos="993"/>
        </w:tabs>
        <w:ind w:left="993"/>
        <w:jc w:val="both"/>
        <w:rPr>
          <w:lang w:val="es-PE"/>
        </w:rPr>
      </w:pPr>
      <w:r>
        <w:rPr>
          <w:lang w:val="es-PE"/>
        </w:rPr>
        <w:t xml:space="preserve">Es la suma de dinero total anual, expresada en </w:t>
      </w:r>
      <w:proofErr w:type="gramStart"/>
      <w:r>
        <w:rPr>
          <w:lang w:val="es-PE"/>
        </w:rPr>
        <w:t>Dólares</w:t>
      </w:r>
      <w:proofErr w:type="gramEnd"/>
      <w:r>
        <w:rPr>
          <w:lang w:val="es-PE"/>
        </w:rPr>
        <w:t xml:space="preserve">, que el CONCEDENTE asegurará al CONCESIONARIO, de acuerdo a su Propuesta Económica, conforme a los términos y condiciones establecidos en el Contrato por el Mantenimiento Periódico Inicial. El procedimiento y la periodicidad de pago están regulados en </w:t>
      </w:r>
      <w:r>
        <w:rPr>
          <w:lang w:val="es-ES"/>
        </w:rPr>
        <w:t xml:space="preserve">el presente </w:t>
      </w:r>
      <w:r>
        <w:rPr>
          <w:lang w:val="es-PE"/>
        </w:rPr>
        <w:t>Contrato de Concesión.</w:t>
      </w:r>
    </w:p>
    <w:p w14:paraId="573FB1A4" w14:textId="77777777" w:rsidR="004412F1" w:rsidRDefault="004412F1">
      <w:pPr>
        <w:tabs>
          <w:tab w:val="left" w:pos="993"/>
        </w:tabs>
        <w:ind w:left="993"/>
        <w:jc w:val="both"/>
        <w:rPr>
          <w:lang w:val="es-PE"/>
        </w:rPr>
      </w:pPr>
    </w:p>
    <w:p w14:paraId="418EB3C0" w14:textId="77777777" w:rsidR="004412F1" w:rsidRDefault="005A12A3">
      <w:pPr>
        <w:pStyle w:val="Ttulo3"/>
        <w:numPr>
          <w:ilvl w:val="2"/>
          <w:numId w:val="73"/>
        </w:numPr>
        <w:tabs>
          <w:tab w:val="left" w:pos="993"/>
        </w:tabs>
        <w:ind w:hanging="1866"/>
        <w:rPr>
          <w:b w:val="0"/>
          <w:bCs w:val="0"/>
          <w:u w:val="single"/>
        </w:rPr>
      </w:pPr>
      <w:r>
        <w:rPr>
          <w:b w:val="0"/>
          <w:bCs w:val="0"/>
          <w:u w:val="single"/>
        </w:rPr>
        <w:t>Pago Por Obras (PPO)</w:t>
      </w:r>
    </w:p>
    <w:p w14:paraId="1A92980E" w14:textId="77777777" w:rsidR="004412F1" w:rsidRDefault="005A12A3">
      <w:pPr>
        <w:tabs>
          <w:tab w:val="left" w:pos="993"/>
        </w:tabs>
        <w:ind w:left="993"/>
        <w:jc w:val="both"/>
        <w:rPr>
          <w:lang w:val="es-PE"/>
        </w:rPr>
      </w:pPr>
      <w:r>
        <w:rPr>
          <w:lang w:val="es-PE"/>
        </w:rPr>
        <w:t xml:space="preserve">Es el pago que tiene por finalidad retribuir los avances de Obra, la Construcción del Evitamiento San Clemente realizadas por el CONCESIONARIO </w:t>
      </w:r>
      <w:proofErr w:type="gramStart"/>
      <w:r>
        <w:rPr>
          <w:lang w:val="es-PE"/>
        </w:rPr>
        <w:t>de acuerdo a</w:t>
      </w:r>
      <w:proofErr w:type="gramEnd"/>
      <w:r>
        <w:rPr>
          <w:lang w:val="es-PE"/>
        </w:rPr>
        <w:t xml:space="preserve"> los términos y condiciones establecidos en el Apéndice 7 del Anexo X</w:t>
      </w:r>
      <w:r>
        <w:rPr>
          <w:lang w:val="es-ES"/>
        </w:rPr>
        <w:t>I</w:t>
      </w:r>
      <w:r>
        <w:rPr>
          <w:lang w:val="es-PE"/>
        </w:rPr>
        <w:t xml:space="preserve"> del presente Contrato.</w:t>
      </w:r>
    </w:p>
    <w:p w14:paraId="04E0199F" w14:textId="77777777" w:rsidR="004412F1" w:rsidRDefault="004412F1">
      <w:pPr>
        <w:tabs>
          <w:tab w:val="left" w:pos="993"/>
        </w:tabs>
        <w:ind w:left="993"/>
        <w:jc w:val="both"/>
        <w:rPr>
          <w:lang w:val="es-PE"/>
        </w:rPr>
      </w:pPr>
    </w:p>
    <w:p w14:paraId="244395A5" w14:textId="77777777" w:rsidR="004412F1" w:rsidRDefault="005A12A3">
      <w:pPr>
        <w:pStyle w:val="Ttulo3"/>
        <w:numPr>
          <w:ilvl w:val="2"/>
          <w:numId w:val="73"/>
        </w:numPr>
        <w:tabs>
          <w:tab w:val="left" w:pos="993"/>
        </w:tabs>
        <w:ind w:hanging="1866"/>
      </w:pPr>
      <w:bookmarkStart w:id="514" w:name="_1gf8i83"/>
      <w:bookmarkStart w:id="515" w:name="_Toc134448755"/>
      <w:bookmarkStart w:id="516" w:name="_Toc131329046"/>
      <w:bookmarkStart w:id="517" w:name="_Toc131328710"/>
      <w:bookmarkStart w:id="518" w:name="_Toc55906342"/>
      <w:bookmarkStart w:id="519" w:name="_Toc468837575"/>
      <w:bookmarkStart w:id="520" w:name="_Toc131329278"/>
      <w:bookmarkStart w:id="521" w:name="_Toc131332873"/>
      <w:bookmarkStart w:id="522" w:name="_Toc131327890"/>
      <w:bookmarkStart w:id="523" w:name="_Toc131329865"/>
      <w:bookmarkStart w:id="524" w:name="_Toc131331952"/>
      <w:bookmarkEnd w:id="514"/>
      <w:r>
        <w:rPr>
          <w:b w:val="0"/>
          <w:bCs w:val="0"/>
          <w:u w:val="single"/>
        </w:rPr>
        <w:t>Parte</w:t>
      </w:r>
      <w:bookmarkEnd w:id="515"/>
      <w:bookmarkEnd w:id="516"/>
      <w:bookmarkEnd w:id="517"/>
      <w:bookmarkEnd w:id="518"/>
      <w:bookmarkEnd w:id="519"/>
      <w:bookmarkEnd w:id="520"/>
      <w:bookmarkEnd w:id="521"/>
      <w:bookmarkEnd w:id="522"/>
      <w:bookmarkEnd w:id="523"/>
      <w:bookmarkEnd w:id="524"/>
    </w:p>
    <w:p w14:paraId="4FD0AD36" w14:textId="77777777" w:rsidR="004412F1" w:rsidRDefault="005A12A3">
      <w:pPr>
        <w:tabs>
          <w:tab w:val="left" w:pos="993"/>
        </w:tabs>
        <w:ind w:left="993"/>
        <w:rPr>
          <w:lang w:val="es-PE"/>
        </w:rPr>
      </w:pPr>
      <w:bookmarkStart w:id="525" w:name="_40ew0vw" w:colFirst="0" w:colLast="0"/>
      <w:bookmarkStart w:id="526" w:name="_Toc55906343"/>
      <w:bookmarkStart w:id="527" w:name="_Toc131327891"/>
      <w:bookmarkEnd w:id="525"/>
      <w:r>
        <w:rPr>
          <w:lang w:val="es-PE"/>
        </w:rPr>
        <w:t>Es, según sea el caso, el CONCEDENTE o el CONCESIONARIO.</w:t>
      </w:r>
      <w:bookmarkEnd w:id="526"/>
      <w:bookmarkEnd w:id="527"/>
    </w:p>
    <w:p w14:paraId="1391DB65" w14:textId="77777777" w:rsidR="004412F1" w:rsidRDefault="004412F1">
      <w:pPr>
        <w:tabs>
          <w:tab w:val="left" w:pos="993"/>
        </w:tabs>
        <w:ind w:left="993"/>
        <w:rPr>
          <w:lang w:val="es-PE"/>
        </w:rPr>
      </w:pPr>
    </w:p>
    <w:p w14:paraId="5D9A5EF2" w14:textId="77777777" w:rsidR="004412F1" w:rsidRDefault="005A12A3">
      <w:pPr>
        <w:pStyle w:val="Ttulo3"/>
        <w:numPr>
          <w:ilvl w:val="2"/>
          <w:numId w:val="73"/>
        </w:numPr>
        <w:tabs>
          <w:tab w:val="left" w:pos="993"/>
        </w:tabs>
        <w:ind w:hanging="1866"/>
        <w:rPr>
          <w:u w:val="single"/>
        </w:rPr>
      </w:pPr>
      <w:bookmarkStart w:id="528" w:name="_2fk6b3p"/>
      <w:bookmarkStart w:id="529" w:name="_Toc468837576"/>
      <w:bookmarkEnd w:id="528"/>
      <w:r>
        <w:rPr>
          <w:b w:val="0"/>
          <w:bCs w:val="0"/>
          <w:u w:val="single"/>
        </w:rPr>
        <w:t>Partes</w:t>
      </w:r>
      <w:bookmarkEnd w:id="529"/>
    </w:p>
    <w:p w14:paraId="06395F08" w14:textId="77777777" w:rsidR="004412F1" w:rsidRDefault="005A12A3">
      <w:pPr>
        <w:ind w:firstLine="993"/>
        <w:jc w:val="both"/>
        <w:rPr>
          <w:rFonts w:eastAsia="SimSun"/>
          <w:color w:val="000000"/>
          <w:lang w:val="es-PE"/>
        </w:rPr>
      </w:pPr>
      <w:r>
        <w:rPr>
          <w:color w:val="000000"/>
          <w:lang w:val="es-PE"/>
        </w:rPr>
        <w:t>Son, conjuntamente, el CONCEDENTE y el CONCESIONARIO.</w:t>
      </w:r>
    </w:p>
    <w:p w14:paraId="61FF65B5" w14:textId="77777777" w:rsidR="004412F1" w:rsidRDefault="004412F1">
      <w:pPr>
        <w:ind w:firstLine="993"/>
        <w:jc w:val="both"/>
        <w:rPr>
          <w:rFonts w:eastAsia="SimSun"/>
          <w:color w:val="000000"/>
          <w:lang w:val="es-ES"/>
        </w:rPr>
      </w:pPr>
    </w:p>
    <w:p w14:paraId="1DEDCC9D" w14:textId="77777777" w:rsidR="004412F1" w:rsidRDefault="005A12A3">
      <w:pPr>
        <w:pStyle w:val="Ttulo3"/>
        <w:numPr>
          <w:ilvl w:val="2"/>
          <w:numId w:val="73"/>
        </w:numPr>
        <w:tabs>
          <w:tab w:val="left" w:pos="993"/>
        </w:tabs>
        <w:ind w:hanging="1866"/>
      </w:pPr>
      <w:bookmarkStart w:id="530" w:name="_upglbi"/>
      <w:bookmarkStart w:id="531" w:name="_Toc131327892"/>
      <w:bookmarkStart w:id="532" w:name="_Toc131329047"/>
      <w:bookmarkStart w:id="533" w:name="_Toc134448756"/>
      <w:bookmarkStart w:id="534" w:name="_Toc131331953"/>
      <w:bookmarkStart w:id="535" w:name="_Toc131329279"/>
      <w:bookmarkStart w:id="536" w:name="_Toc468837577"/>
      <w:bookmarkStart w:id="537" w:name="_Toc131328711"/>
      <w:bookmarkStart w:id="538" w:name="_Toc131332874"/>
      <w:bookmarkStart w:id="539" w:name="_Toc131329866"/>
      <w:bookmarkEnd w:id="530"/>
      <w:r>
        <w:rPr>
          <w:b w:val="0"/>
          <w:bCs w:val="0"/>
          <w:u w:val="single"/>
        </w:rPr>
        <w:t>Participación Mínima</w:t>
      </w:r>
      <w:bookmarkEnd w:id="531"/>
      <w:bookmarkEnd w:id="532"/>
      <w:bookmarkEnd w:id="533"/>
      <w:bookmarkEnd w:id="534"/>
      <w:bookmarkEnd w:id="535"/>
      <w:bookmarkEnd w:id="536"/>
      <w:bookmarkEnd w:id="537"/>
      <w:bookmarkEnd w:id="538"/>
      <w:bookmarkEnd w:id="539"/>
    </w:p>
    <w:p w14:paraId="46CF602D" w14:textId="77777777" w:rsidR="004412F1" w:rsidRDefault="005A12A3">
      <w:pPr>
        <w:ind w:left="993" w:firstLine="1"/>
        <w:jc w:val="both"/>
        <w:rPr>
          <w:color w:val="000000"/>
          <w:lang w:val="es-PE"/>
        </w:rPr>
      </w:pPr>
      <w:r>
        <w:rPr>
          <w:color w:val="000000"/>
          <w:lang w:val="es-PE"/>
        </w:rPr>
        <w:t>Es la participación accionaria equivalente al treinta y cinco por ciento (35%) del capital social suscrito y pagado del CONCESIONARIO que el Socio Estratégico deberá tener y mantener como mínimo en el CONCESIONARIO durante toda la vigencia de la Concesión. Esta participación necesariamente tendrá derecho de voto en la Junta General de Accionistas.</w:t>
      </w:r>
    </w:p>
    <w:p w14:paraId="1CA98095" w14:textId="77777777" w:rsidR="004412F1" w:rsidRDefault="004412F1">
      <w:pPr>
        <w:ind w:firstLine="709"/>
        <w:jc w:val="both"/>
        <w:rPr>
          <w:color w:val="000000"/>
          <w:lang w:val="es-ES"/>
        </w:rPr>
      </w:pPr>
    </w:p>
    <w:p w14:paraId="2DB68CA0" w14:textId="77777777" w:rsidR="004412F1" w:rsidRDefault="005A12A3">
      <w:pPr>
        <w:pStyle w:val="Ttulo3"/>
        <w:numPr>
          <w:ilvl w:val="2"/>
          <w:numId w:val="73"/>
        </w:numPr>
        <w:tabs>
          <w:tab w:val="left" w:pos="993"/>
        </w:tabs>
        <w:ind w:hanging="1866"/>
      </w:pPr>
      <w:bookmarkStart w:id="540" w:name="_3ep43zb"/>
      <w:bookmarkStart w:id="541" w:name="_Toc131331955"/>
      <w:bookmarkStart w:id="542" w:name="_Toc131329868"/>
      <w:bookmarkStart w:id="543" w:name="_Toc131329281"/>
      <w:bookmarkStart w:id="544" w:name="_Toc131329049"/>
      <w:bookmarkStart w:id="545" w:name="_Toc134448758"/>
      <w:bookmarkStart w:id="546" w:name="_Toc131332876"/>
      <w:bookmarkStart w:id="547" w:name="_Toc131328713"/>
      <w:bookmarkStart w:id="548" w:name="_Toc468837578"/>
      <w:bookmarkStart w:id="549" w:name="_Toc131327894"/>
      <w:bookmarkEnd w:id="540"/>
      <w:r>
        <w:rPr>
          <w:b w:val="0"/>
          <w:bCs w:val="0"/>
          <w:u w:val="single"/>
        </w:rPr>
        <w:t>Peaje</w:t>
      </w:r>
      <w:bookmarkEnd w:id="541"/>
      <w:bookmarkEnd w:id="542"/>
      <w:bookmarkEnd w:id="543"/>
      <w:bookmarkEnd w:id="544"/>
      <w:bookmarkEnd w:id="545"/>
      <w:bookmarkEnd w:id="546"/>
      <w:bookmarkEnd w:id="547"/>
      <w:bookmarkEnd w:id="548"/>
      <w:bookmarkEnd w:id="549"/>
    </w:p>
    <w:p w14:paraId="4F3DAE51" w14:textId="77777777" w:rsidR="004412F1" w:rsidRDefault="005A12A3">
      <w:pPr>
        <w:ind w:left="993"/>
        <w:jc w:val="both"/>
        <w:rPr>
          <w:color w:val="000000"/>
        </w:rPr>
      </w:pPr>
      <w:r>
        <w:rPr>
          <w:color w:val="000000"/>
          <w:lang w:val="es-ES"/>
        </w:rPr>
        <w:t>Monto que paga el usuario por el derecho de utilizar la infraestructura vial. No incluye el IGV ni algún otro tributo.</w:t>
      </w:r>
    </w:p>
    <w:p w14:paraId="0C552B40" w14:textId="77777777" w:rsidR="004412F1" w:rsidRDefault="004412F1">
      <w:pPr>
        <w:ind w:left="993"/>
        <w:jc w:val="both"/>
        <w:rPr>
          <w:color w:val="000000"/>
        </w:rPr>
      </w:pPr>
    </w:p>
    <w:p w14:paraId="3A68F737" w14:textId="77777777" w:rsidR="004412F1" w:rsidRDefault="005A12A3">
      <w:pPr>
        <w:pStyle w:val="Ttulo3"/>
        <w:numPr>
          <w:ilvl w:val="2"/>
          <w:numId w:val="73"/>
        </w:numPr>
        <w:tabs>
          <w:tab w:val="left" w:pos="993"/>
        </w:tabs>
        <w:ind w:hanging="1866"/>
      </w:pPr>
      <w:bookmarkStart w:id="550" w:name="_1tuee74"/>
      <w:bookmarkStart w:id="551" w:name="_Toc199177078"/>
      <w:bookmarkStart w:id="552" w:name="_Toc468837579"/>
      <w:bookmarkStart w:id="553" w:name="_Toc134448762"/>
      <w:bookmarkStart w:id="554" w:name="_Toc131329285"/>
      <w:bookmarkStart w:id="555" w:name="_Toc131328717"/>
      <w:bookmarkStart w:id="556" w:name="_Toc131332880"/>
      <w:bookmarkStart w:id="557" w:name="_Toc131329053"/>
      <w:bookmarkStart w:id="558" w:name="_Toc131329872"/>
      <w:bookmarkStart w:id="559" w:name="_Toc131331959"/>
      <w:bookmarkStart w:id="560" w:name="_Toc131327898"/>
      <w:bookmarkEnd w:id="550"/>
      <w:r>
        <w:rPr>
          <w:b w:val="0"/>
          <w:bCs w:val="0"/>
          <w:u w:val="single"/>
        </w:rPr>
        <w:lastRenderedPageBreak/>
        <w:t>Plazo de la Concesión</w:t>
      </w:r>
      <w:bookmarkEnd w:id="551"/>
      <w:bookmarkEnd w:id="552"/>
    </w:p>
    <w:p w14:paraId="67E0BEF6" w14:textId="77777777" w:rsidR="004412F1" w:rsidRDefault="005A12A3">
      <w:pPr>
        <w:tabs>
          <w:tab w:val="left" w:pos="993"/>
        </w:tabs>
        <w:ind w:left="993"/>
        <w:jc w:val="both"/>
        <w:rPr>
          <w:color w:val="000000"/>
          <w:lang w:val="es-PE"/>
        </w:rPr>
      </w:pPr>
      <w:bookmarkStart w:id="561" w:name="_4du1wux"/>
      <w:bookmarkStart w:id="562" w:name="_Toc199177080"/>
      <w:bookmarkStart w:id="563" w:name="_Toc201717205"/>
      <w:bookmarkEnd w:id="561"/>
      <w:r>
        <w:rPr>
          <w:color w:val="000000" w:themeColor="text1"/>
          <w:lang w:val="es-PE"/>
        </w:rPr>
        <w:t>Es el periodo comprendido entre la Fecha de Suscripción del Contrato y la Caducidad de la Concesión.</w:t>
      </w:r>
      <w:bookmarkEnd w:id="562"/>
      <w:bookmarkEnd w:id="563"/>
    </w:p>
    <w:p w14:paraId="340AD63C" w14:textId="77777777" w:rsidR="004412F1" w:rsidRDefault="004412F1">
      <w:pPr>
        <w:ind w:left="993"/>
        <w:rPr>
          <w:b/>
          <w:lang w:val="es-PE"/>
        </w:rPr>
      </w:pPr>
    </w:p>
    <w:p w14:paraId="1EC980BC" w14:textId="77777777" w:rsidR="004412F1" w:rsidRDefault="005A12A3">
      <w:pPr>
        <w:pStyle w:val="Ttulo3"/>
        <w:numPr>
          <w:ilvl w:val="2"/>
          <w:numId w:val="73"/>
        </w:numPr>
        <w:tabs>
          <w:tab w:val="left" w:pos="993"/>
        </w:tabs>
        <w:ind w:hanging="1866"/>
      </w:pPr>
      <w:bookmarkStart w:id="564" w:name="_2szc72q"/>
      <w:bookmarkStart w:id="565" w:name="_Toc468837580"/>
      <w:bookmarkEnd w:id="564"/>
      <w:r>
        <w:rPr>
          <w:b w:val="0"/>
          <w:bCs w:val="0"/>
          <w:u w:val="single"/>
        </w:rPr>
        <w:t xml:space="preserve">Programa de Ejecución </w:t>
      </w:r>
      <w:bookmarkEnd w:id="553"/>
      <w:bookmarkEnd w:id="554"/>
      <w:bookmarkEnd w:id="555"/>
      <w:bookmarkEnd w:id="556"/>
      <w:bookmarkEnd w:id="557"/>
      <w:bookmarkEnd w:id="558"/>
      <w:bookmarkEnd w:id="559"/>
      <w:bookmarkEnd w:id="560"/>
      <w:r>
        <w:rPr>
          <w:b w:val="0"/>
          <w:bCs w:val="0"/>
          <w:u w:val="single"/>
        </w:rPr>
        <w:t>(PE)</w:t>
      </w:r>
      <w:bookmarkEnd w:id="565"/>
    </w:p>
    <w:p w14:paraId="335C63F8" w14:textId="4A14E87C" w:rsidR="004412F1" w:rsidRDefault="005A12A3">
      <w:pPr>
        <w:ind w:left="993" w:firstLine="1"/>
        <w:jc w:val="both"/>
        <w:rPr>
          <w:color w:val="000000"/>
          <w:lang w:val="es-PE"/>
        </w:rPr>
      </w:pPr>
      <w:r>
        <w:rPr>
          <w:color w:val="000000"/>
          <w:lang w:val="es-PE"/>
        </w:rPr>
        <w:t xml:space="preserve">Es el documento en el que consta la programación integral de la ejecución de las Intervenciones, el cual deberá presentarse conforme a lo señalado en las Cláusulas </w:t>
      </w:r>
      <w:r w:rsidR="006E45F2">
        <w:rPr>
          <w:color w:val="000000"/>
          <w:lang w:val="es-PE"/>
        </w:rPr>
        <w:t>6.19</w:t>
      </w:r>
      <w:r>
        <w:rPr>
          <w:color w:val="000000"/>
          <w:lang w:val="es-PE"/>
        </w:rPr>
        <w:t xml:space="preserve"> y </w:t>
      </w:r>
      <w:r w:rsidR="006E45F2">
        <w:rPr>
          <w:color w:val="000000"/>
          <w:lang w:val="es-PE"/>
        </w:rPr>
        <w:t>6.20</w:t>
      </w:r>
      <w:r>
        <w:rPr>
          <w:color w:val="000000"/>
          <w:lang w:val="es-ES"/>
        </w:rPr>
        <w:t xml:space="preserve"> </w:t>
      </w:r>
      <w:r>
        <w:rPr>
          <w:color w:val="000000"/>
          <w:lang w:val="es-PE"/>
        </w:rPr>
        <w:t xml:space="preserve">del presente Contrato. </w:t>
      </w:r>
    </w:p>
    <w:p w14:paraId="7A73F95B" w14:textId="77777777" w:rsidR="004412F1" w:rsidRDefault="004412F1">
      <w:pPr>
        <w:ind w:left="993"/>
        <w:jc w:val="both"/>
        <w:rPr>
          <w:color w:val="000000"/>
          <w:lang w:val="es-PE"/>
        </w:rPr>
      </w:pPr>
      <w:bookmarkStart w:id="566" w:name="_184mhaj" w:colFirst="0" w:colLast="0"/>
      <w:bookmarkStart w:id="567" w:name="_Toc131328720"/>
      <w:bookmarkStart w:id="568" w:name="_Toc131329875"/>
      <w:bookmarkStart w:id="569" w:name="_Toc131331962"/>
      <w:bookmarkStart w:id="570" w:name="_Toc131329288"/>
      <w:bookmarkStart w:id="571" w:name="_Toc131327901"/>
      <w:bookmarkStart w:id="572" w:name="_Toc134448765"/>
      <w:bookmarkStart w:id="573" w:name="_Toc131332883"/>
      <w:bookmarkStart w:id="574" w:name="_Toc131329056"/>
      <w:bookmarkEnd w:id="566"/>
    </w:p>
    <w:p w14:paraId="4E321736" w14:textId="77777777" w:rsidR="004412F1" w:rsidRDefault="005A12A3">
      <w:pPr>
        <w:pStyle w:val="Ttulo3"/>
        <w:numPr>
          <w:ilvl w:val="2"/>
          <w:numId w:val="73"/>
        </w:numPr>
        <w:tabs>
          <w:tab w:val="left" w:pos="993"/>
        </w:tabs>
        <w:ind w:hanging="1866"/>
      </w:pPr>
      <w:bookmarkStart w:id="575" w:name="_3s49zyc"/>
      <w:bookmarkStart w:id="576" w:name="_Toc55906347"/>
      <w:bookmarkStart w:id="577" w:name="_Toc468837583"/>
      <w:bookmarkStart w:id="578" w:name="_Toc131332884"/>
      <w:bookmarkStart w:id="579" w:name="_Toc131328721"/>
      <w:bookmarkStart w:id="580" w:name="_Toc131329289"/>
      <w:bookmarkStart w:id="581" w:name="_Toc131331963"/>
      <w:bookmarkStart w:id="582" w:name="_Toc131327902"/>
      <w:bookmarkStart w:id="583" w:name="_Toc131329057"/>
      <w:bookmarkStart w:id="584" w:name="_Toc131329876"/>
      <w:bookmarkEnd w:id="567"/>
      <w:bookmarkEnd w:id="568"/>
      <w:bookmarkEnd w:id="569"/>
      <w:bookmarkEnd w:id="570"/>
      <w:bookmarkEnd w:id="571"/>
      <w:bookmarkEnd w:id="572"/>
      <w:bookmarkEnd w:id="573"/>
      <w:bookmarkEnd w:id="574"/>
      <w:bookmarkEnd w:id="575"/>
      <w:r>
        <w:rPr>
          <w:b w:val="0"/>
          <w:bCs w:val="0"/>
          <w:u w:val="single"/>
        </w:rPr>
        <w:t>REGULADOR</w:t>
      </w:r>
      <w:bookmarkEnd w:id="576"/>
      <w:bookmarkEnd w:id="577"/>
      <w:bookmarkEnd w:id="578"/>
      <w:bookmarkEnd w:id="579"/>
      <w:bookmarkEnd w:id="580"/>
      <w:bookmarkEnd w:id="581"/>
      <w:bookmarkEnd w:id="582"/>
      <w:bookmarkEnd w:id="583"/>
      <w:bookmarkEnd w:id="584"/>
    </w:p>
    <w:p w14:paraId="72B155E5" w14:textId="77777777" w:rsidR="004412F1" w:rsidRDefault="005A12A3">
      <w:pPr>
        <w:tabs>
          <w:tab w:val="left" w:pos="993"/>
        </w:tabs>
        <w:ind w:left="993"/>
        <w:jc w:val="both"/>
        <w:rPr>
          <w:lang w:val="es-PE"/>
        </w:rPr>
      </w:pPr>
      <w:r>
        <w:rPr>
          <w:lang w:val="es-PE"/>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22 del Reglamento que aprueba el Decreto Supremo Nº 044-2006-PCM), así como el  numeral 3.1 del artículo 3º de la Ley Nº 27332, son de observancia y cumplimiento obligatorio para el CONCESIONARIO.</w:t>
      </w:r>
    </w:p>
    <w:p w14:paraId="183925E2" w14:textId="77777777" w:rsidR="004412F1" w:rsidRDefault="004412F1">
      <w:pPr>
        <w:tabs>
          <w:tab w:val="left" w:pos="993"/>
        </w:tabs>
        <w:ind w:left="993"/>
        <w:jc w:val="both"/>
        <w:rPr>
          <w:lang w:val="es-PE"/>
        </w:rPr>
      </w:pPr>
    </w:p>
    <w:p w14:paraId="636F13F5" w14:textId="77777777" w:rsidR="004412F1" w:rsidRDefault="005A12A3">
      <w:pPr>
        <w:pStyle w:val="Ttulo3"/>
        <w:numPr>
          <w:ilvl w:val="2"/>
          <w:numId w:val="73"/>
        </w:numPr>
        <w:tabs>
          <w:tab w:val="left" w:pos="993"/>
        </w:tabs>
        <w:ind w:hanging="1866"/>
        <w:rPr>
          <w:u w:val="single"/>
        </w:rPr>
      </w:pPr>
      <w:r>
        <w:rPr>
          <w:b w:val="0"/>
          <w:bCs w:val="0"/>
          <w:u w:val="single"/>
        </w:rPr>
        <w:t>Rehabilitación</w:t>
      </w:r>
    </w:p>
    <w:p w14:paraId="375D9B6F" w14:textId="77777777" w:rsidR="004412F1" w:rsidRDefault="005A12A3">
      <w:pPr>
        <w:tabs>
          <w:tab w:val="left" w:pos="993"/>
        </w:tabs>
        <w:ind w:left="993"/>
        <w:jc w:val="both"/>
        <w:rPr>
          <w:rFonts w:eastAsia="SimSun"/>
          <w:color w:val="000000"/>
          <w:lang w:val="es-PE" w:eastAsia="zh-CN"/>
        </w:rPr>
      </w:pPr>
      <w:r>
        <w:rPr>
          <w:color w:val="000000"/>
          <w:lang w:val="es-PE"/>
        </w:rPr>
        <w:t>Ejecución de las obras necesarias para devolver a la infraestructura vial sus características originales y adecuarla a un nuevo periodo de servicio; las cuales están referidas principalmente a la reparación o ejecución de pavimentos, puentes, túneles, obras de drenaje, de ser el caso movimiento de tierras en zonas puntuales y otros.</w:t>
      </w:r>
    </w:p>
    <w:p w14:paraId="1D20CDB7" w14:textId="77777777" w:rsidR="004412F1" w:rsidRDefault="004412F1">
      <w:pPr>
        <w:tabs>
          <w:tab w:val="left" w:pos="993"/>
        </w:tabs>
        <w:ind w:left="993"/>
        <w:jc w:val="both"/>
        <w:rPr>
          <w:rFonts w:eastAsia="SimSun"/>
          <w:color w:val="000000"/>
          <w:lang w:val="es-PE" w:eastAsia="zh-CN"/>
        </w:rPr>
      </w:pPr>
    </w:p>
    <w:p w14:paraId="0E809789" w14:textId="77777777" w:rsidR="004412F1" w:rsidRDefault="005A12A3">
      <w:pPr>
        <w:pStyle w:val="Ttulo3"/>
        <w:numPr>
          <w:ilvl w:val="2"/>
          <w:numId w:val="73"/>
        </w:numPr>
        <w:tabs>
          <w:tab w:val="left" w:pos="993"/>
        </w:tabs>
        <w:ind w:hanging="1866"/>
        <w:rPr>
          <w:rFonts w:eastAsia="Times New Roman"/>
          <w:color w:val="000000"/>
          <w:sz w:val="20"/>
          <w:szCs w:val="20"/>
          <w:u w:val="single"/>
          <w:lang w:val="es-PE"/>
        </w:rPr>
      </w:pPr>
      <w:bookmarkStart w:id="585" w:name="_279ka65"/>
      <w:bookmarkEnd w:id="585"/>
      <w:r>
        <w:rPr>
          <w:b w:val="0"/>
          <w:bCs w:val="0"/>
          <w:u w:val="single"/>
        </w:rPr>
        <w:t>Remuneración</w:t>
      </w:r>
      <w:r>
        <w:rPr>
          <w:rFonts w:eastAsia="Times New Roman"/>
          <w:b w:val="0"/>
          <w:bCs w:val="0"/>
          <w:color w:val="000000"/>
          <w:sz w:val="20"/>
          <w:szCs w:val="20"/>
          <w:u w:val="single"/>
          <w:lang w:val="es-PE"/>
        </w:rPr>
        <w:t xml:space="preserve"> por Inversiones (RPI)</w:t>
      </w:r>
    </w:p>
    <w:p w14:paraId="76422321" w14:textId="77777777" w:rsidR="004412F1" w:rsidRDefault="005A12A3">
      <w:pPr>
        <w:tabs>
          <w:tab w:val="left" w:pos="993"/>
        </w:tabs>
        <w:ind w:left="993"/>
        <w:jc w:val="both"/>
        <w:rPr>
          <w:color w:val="000000"/>
          <w:lang w:val="es-PE"/>
        </w:rPr>
      </w:pPr>
      <w:r>
        <w:rPr>
          <w:color w:val="000000"/>
          <w:lang w:val="es-PE"/>
        </w:rPr>
        <w:t xml:space="preserve">Es la remuneración anual en </w:t>
      </w:r>
      <w:proofErr w:type="gramStart"/>
      <w:r>
        <w:rPr>
          <w:color w:val="000000"/>
          <w:lang w:val="es-PE"/>
        </w:rPr>
        <w:t>Dólares</w:t>
      </w:r>
      <w:proofErr w:type="gramEnd"/>
      <w:r>
        <w:rPr>
          <w:color w:val="000000"/>
          <w:lang w:val="es-PE"/>
        </w:rPr>
        <w:t xml:space="preserve">, de naturaleza irrevocable, incondicional y libremente transferible que el CONCEDENTE se compromete a pagar a favor del CONCESIONARIO a través del Fideicomiso de Administración para </w:t>
      </w:r>
      <w:bookmarkStart w:id="586" w:name="_DV_C729"/>
      <w:r>
        <w:rPr>
          <w:color w:val="000000"/>
          <w:lang w:val="es-PE"/>
        </w:rPr>
        <w:t xml:space="preserve">remunerar </w:t>
      </w:r>
      <w:bookmarkStart w:id="587" w:name="_DV_M403"/>
      <w:bookmarkEnd w:id="586"/>
      <w:bookmarkEnd w:id="587"/>
      <w:r>
        <w:rPr>
          <w:color w:val="000000"/>
          <w:lang w:val="es-PE"/>
        </w:rPr>
        <w:t>la Intervención de Rehabilitación y Mejoramiento.</w:t>
      </w:r>
    </w:p>
    <w:p w14:paraId="624AAA50" w14:textId="77777777" w:rsidR="004412F1" w:rsidRDefault="004412F1">
      <w:pPr>
        <w:tabs>
          <w:tab w:val="left" w:pos="993"/>
        </w:tabs>
        <w:ind w:left="993"/>
        <w:jc w:val="both"/>
        <w:rPr>
          <w:rFonts w:eastAsia="SimSun"/>
          <w:color w:val="000000"/>
          <w:lang w:val="es-PE" w:eastAsia="zh-CN"/>
        </w:rPr>
      </w:pPr>
    </w:p>
    <w:p w14:paraId="6574ACAE" w14:textId="77777777" w:rsidR="004412F1" w:rsidRDefault="005A12A3">
      <w:pPr>
        <w:pStyle w:val="Ttulo3"/>
        <w:numPr>
          <w:ilvl w:val="2"/>
          <w:numId w:val="73"/>
        </w:numPr>
        <w:tabs>
          <w:tab w:val="left" w:pos="993"/>
        </w:tabs>
        <w:ind w:hanging="1866"/>
        <w:rPr>
          <w:b w:val="0"/>
          <w:bCs w:val="0"/>
          <w:u w:val="single"/>
        </w:rPr>
      </w:pPr>
      <w:r>
        <w:rPr>
          <w:b w:val="0"/>
          <w:bCs w:val="0"/>
          <w:u w:val="single"/>
        </w:rPr>
        <w:t>Reporte de Revisión</w:t>
      </w:r>
    </w:p>
    <w:p w14:paraId="48118573" w14:textId="77777777" w:rsidR="004412F1" w:rsidRDefault="005A12A3">
      <w:pPr>
        <w:tabs>
          <w:tab w:val="left" w:pos="993"/>
        </w:tabs>
        <w:ind w:left="993"/>
        <w:jc w:val="both"/>
        <w:rPr>
          <w:lang w:val="es-PE"/>
        </w:rPr>
      </w:pPr>
      <w:r>
        <w:rPr>
          <w:lang w:val="es-PE"/>
        </w:rPr>
        <w:t xml:space="preserve">Es el documento que el REGULADOR deberá presentar al CONCEDENTE y al CONCESIONARIO por cada Informe de Avance, </w:t>
      </w:r>
      <w:proofErr w:type="gramStart"/>
      <w:r>
        <w:rPr>
          <w:lang w:val="es-PE"/>
        </w:rPr>
        <w:t>de acuerdo al</w:t>
      </w:r>
      <w:proofErr w:type="gramEnd"/>
      <w:r>
        <w:rPr>
          <w:lang w:val="es-PE"/>
        </w:rPr>
        <w:t xml:space="preserve"> Anexo X</w:t>
      </w:r>
      <w:r>
        <w:rPr>
          <w:lang w:val="es-ES"/>
        </w:rPr>
        <w:t>I</w:t>
      </w:r>
      <w:r>
        <w:rPr>
          <w:lang w:val="es-PE"/>
        </w:rPr>
        <w:t>.</w:t>
      </w:r>
    </w:p>
    <w:p w14:paraId="63395861" w14:textId="77777777" w:rsidR="004412F1" w:rsidRDefault="004412F1">
      <w:pPr>
        <w:tabs>
          <w:tab w:val="left" w:pos="993"/>
        </w:tabs>
        <w:ind w:left="993"/>
        <w:jc w:val="both"/>
        <w:rPr>
          <w:rFonts w:eastAsia="SimSun"/>
          <w:color w:val="000000"/>
          <w:lang w:val="es-PE" w:eastAsia="zh-CN"/>
        </w:rPr>
      </w:pPr>
    </w:p>
    <w:p w14:paraId="2A0065A5" w14:textId="77777777" w:rsidR="004412F1" w:rsidRDefault="005A12A3">
      <w:pPr>
        <w:pStyle w:val="Ttulo3"/>
        <w:numPr>
          <w:ilvl w:val="2"/>
          <w:numId w:val="73"/>
        </w:numPr>
        <w:tabs>
          <w:tab w:val="left" w:pos="993"/>
        </w:tabs>
        <w:ind w:hanging="1866"/>
        <w:rPr>
          <w:u w:val="single"/>
          <w:lang w:val="es-PE"/>
        </w:rPr>
      </w:pPr>
      <w:r>
        <w:rPr>
          <w:b w:val="0"/>
          <w:bCs w:val="0"/>
          <w:u w:val="single"/>
          <w:lang w:val="es-PE"/>
        </w:rPr>
        <w:t>Retribución Por Operación y Mantenimiento (RPMO</w:t>
      </w:r>
      <w:r>
        <w:rPr>
          <w:b w:val="0"/>
          <w:bCs w:val="0"/>
          <w:u w:val="single"/>
          <w:lang w:val="es-ES"/>
        </w:rPr>
        <w:t>)</w:t>
      </w:r>
    </w:p>
    <w:p w14:paraId="6C482DB3" w14:textId="77777777" w:rsidR="004412F1" w:rsidRDefault="005A12A3">
      <w:pPr>
        <w:tabs>
          <w:tab w:val="left" w:pos="993"/>
        </w:tabs>
        <w:ind w:left="993"/>
        <w:jc w:val="both"/>
        <w:rPr>
          <w:rFonts w:eastAsia="SimSun"/>
          <w:color w:val="000000"/>
          <w:lang w:val="es-PE" w:eastAsia="zh-CN"/>
        </w:rPr>
      </w:pPr>
      <w:r>
        <w:rPr>
          <w:color w:val="000000"/>
          <w:lang w:val="es-PE"/>
        </w:rPr>
        <w:t xml:space="preserve">Es la suma de dinero total anual, expresada en </w:t>
      </w:r>
      <w:proofErr w:type="gramStart"/>
      <w:r>
        <w:rPr>
          <w:color w:val="000000"/>
          <w:lang w:val="es-PE"/>
        </w:rPr>
        <w:t>Dólares</w:t>
      </w:r>
      <w:proofErr w:type="gramEnd"/>
      <w:r>
        <w:rPr>
          <w:color w:val="000000"/>
          <w:lang w:val="es-PE"/>
        </w:rPr>
        <w:t>, que el CONCEDENTE asegurará al CONCESIONARIO, de acuerdo a su Propuesta Económica, destinada a cubrir los costos de operación y mantenimiento de la concesión, conforme a los términos y condiciones establecidas en el presente Contrato. El procedimiento y la periodicidad de pago están regulados en el Apéndice 6 del Anexo X</w:t>
      </w:r>
      <w:r>
        <w:rPr>
          <w:color w:val="000000"/>
          <w:lang w:val="es-ES"/>
        </w:rPr>
        <w:t>I</w:t>
      </w:r>
      <w:r>
        <w:rPr>
          <w:color w:val="000000"/>
          <w:lang w:val="es-PE"/>
        </w:rPr>
        <w:t xml:space="preserve"> del presente Contrato.</w:t>
      </w:r>
    </w:p>
    <w:p w14:paraId="280E262A" w14:textId="77777777" w:rsidR="004412F1" w:rsidRDefault="004412F1">
      <w:pPr>
        <w:tabs>
          <w:tab w:val="left" w:pos="993"/>
        </w:tabs>
        <w:ind w:left="993"/>
        <w:jc w:val="both"/>
        <w:rPr>
          <w:rFonts w:eastAsia="SimSun"/>
          <w:color w:val="000000"/>
          <w:lang w:val="es-PE" w:eastAsia="zh-CN"/>
        </w:rPr>
      </w:pPr>
    </w:p>
    <w:p w14:paraId="41DACFBB" w14:textId="77777777" w:rsidR="004412F1" w:rsidRDefault="005A12A3">
      <w:pPr>
        <w:pStyle w:val="Ttulo3"/>
        <w:numPr>
          <w:ilvl w:val="2"/>
          <w:numId w:val="73"/>
        </w:numPr>
        <w:tabs>
          <w:tab w:val="left" w:pos="993"/>
        </w:tabs>
        <w:ind w:hanging="1866"/>
        <w:rPr>
          <w:u w:val="single"/>
        </w:rPr>
      </w:pPr>
      <w:bookmarkStart w:id="588" w:name="_36ei31r"/>
      <w:bookmarkEnd w:id="588"/>
      <w:r>
        <w:rPr>
          <w:b w:val="0"/>
          <w:bCs w:val="0"/>
          <w:u w:val="single"/>
        </w:rPr>
        <w:t>Sector(es</w:t>
      </w:r>
      <w:r>
        <w:rPr>
          <w:b w:val="0"/>
          <w:bCs w:val="0"/>
          <w:u w:val="single"/>
          <w:lang w:val="es-ES"/>
        </w:rPr>
        <w:t>)</w:t>
      </w:r>
    </w:p>
    <w:p w14:paraId="026014CD" w14:textId="77777777" w:rsidR="004412F1" w:rsidRDefault="005A12A3">
      <w:pPr>
        <w:tabs>
          <w:tab w:val="left" w:pos="993"/>
        </w:tabs>
        <w:ind w:left="993"/>
        <w:jc w:val="both"/>
        <w:rPr>
          <w:color w:val="000000"/>
          <w:lang w:val="es-PE"/>
        </w:rPr>
      </w:pPr>
      <w:r>
        <w:rPr>
          <w:color w:val="000000"/>
          <w:lang w:val="es-PE"/>
        </w:rPr>
        <w:t>Porción(es) de un tramo o subtramo de una vía, cuya continuidad está delimitada entre su progresiva de inicio y su progresiva de fin.</w:t>
      </w:r>
    </w:p>
    <w:p w14:paraId="3B0AA41C" w14:textId="77777777" w:rsidR="004412F1" w:rsidRDefault="004412F1">
      <w:pPr>
        <w:rPr>
          <w:lang w:val="es-PE"/>
        </w:rPr>
      </w:pPr>
    </w:p>
    <w:p w14:paraId="2246A363" w14:textId="77777777" w:rsidR="004412F1" w:rsidRDefault="005A12A3">
      <w:pPr>
        <w:pStyle w:val="Ttulo3"/>
        <w:numPr>
          <w:ilvl w:val="2"/>
          <w:numId w:val="73"/>
        </w:numPr>
        <w:tabs>
          <w:tab w:val="left" w:pos="993"/>
        </w:tabs>
        <w:ind w:hanging="1866"/>
        <w:rPr>
          <w:u w:val="single"/>
        </w:rPr>
      </w:pPr>
      <w:bookmarkStart w:id="589" w:name="_1ljsd9k"/>
      <w:bookmarkEnd w:id="589"/>
      <w:r>
        <w:rPr>
          <w:b w:val="0"/>
          <w:bCs w:val="0"/>
          <w:u w:val="single"/>
        </w:rPr>
        <w:t>Sectores críticos</w:t>
      </w:r>
    </w:p>
    <w:p w14:paraId="0AF6D5F3" w14:textId="77777777" w:rsidR="004412F1" w:rsidRDefault="005A12A3">
      <w:pPr>
        <w:tabs>
          <w:tab w:val="left" w:pos="993"/>
        </w:tabs>
        <w:ind w:left="969"/>
        <w:jc w:val="both"/>
        <w:rPr>
          <w:rFonts w:eastAsia="SimSun"/>
          <w:color w:val="000000"/>
          <w:lang w:val="es-PE" w:eastAsia="zh-CN"/>
        </w:rPr>
      </w:pPr>
      <w:r>
        <w:rPr>
          <w:color w:val="000000"/>
          <w:lang w:val="es-PE"/>
        </w:rPr>
        <w:t>Son los Sectores que han sufrido daños o se encuentran en riesgo inminente de sufrir daños, en los cuales se ha perdido o exista riesgo inminente que se pierda la funcionalidad o integralidad del Área de la Concesión, por efecto de la acción del clima, la naturaleza u otros factores diferentes del normal uso de la infraestructura vial.</w:t>
      </w:r>
    </w:p>
    <w:p w14:paraId="3A7A7B9B" w14:textId="77777777" w:rsidR="004412F1" w:rsidRDefault="004412F1">
      <w:pPr>
        <w:tabs>
          <w:tab w:val="left" w:pos="993"/>
        </w:tabs>
        <w:ind w:left="969"/>
        <w:jc w:val="both"/>
        <w:rPr>
          <w:rFonts w:eastAsia="SimSun"/>
          <w:color w:val="000000"/>
          <w:lang w:val="es-PE" w:eastAsia="zh-CN"/>
        </w:rPr>
      </w:pPr>
    </w:p>
    <w:p w14:paraId="07E4C938" w14:textId="77777777" w:rsidR="004412F1" w:rsidRDefault="005A12A3">
      <w:pPr>
        <w:pStyle w:val="Ttulo3"/>
        <w:numPr>
          <w:ilvl w:val="2"/>
          <w:numId w:val="73"/>
        </w:numPr>
        <w:tabs>
          <w:tab w:val="left" w:pos="993"/>
        </w:tabs>
        <w:ind w:hanging="1866"/>
      </w:pPr>
      <w:bookmarkStart w:id="590" w:name="_Toc199177085"/>
      <w:bookmarkStart w:id="591" w:name="_Toc199177086"/>
      <w:bookmarkStart w:id="592" w:name="_Toc55906345"/>
      <w:bookmarkStart w:id="593" w:name="_Toc131329881"/>
      <w:bookmarkStart w:id="594" w:name="_Toc134448767"/>
      <w:bookmarkStart w:id="595" w:name="_Toc131329294"/>
      <w:bookmarkStart w:id="596" w:name="_Toc131327907"/>
      <w:bookmarkStart w:id="597" w:name="_Toc131328726"/>
      <w:bookmarkStart w:id="598" w:name="_Toc468837584"/>
      <w:bookmarkStart w:id="599" w:name="_Toc131332889"/>
      <w:bookmarkStart w:id="600" w:name="_Toc131329062"/>
      <w:bookmarkStart w:id="601" w:name="_Toc131331968"/>
      <w:bookmarkEnd w:id="590"/>
      <w:bookmarkEnd w:id="591"/>
      <w:r>
        <w:rPr>
          <w:b w:val="0"/>
          <w:bCs w:val="0"/>
          <w:u w:val="single"/>
        </w:rPr>
        <w:t>Servicio</w:t>
      </w:r>
      <w:bookmarkEnd w:id="592"/>
      <w:bookmarkEnd w:id="593"/>
      <w:bookmarkEnd w:id="594"/>
      <w:bookmarkEnd w:id="595"/>
      <w:bookmarkEnd w:id="596"/>
      <w:bookmarkEnd w:id="597"/>
      <w:bookmarkEnd w:id="598"/>
      <w:bookmarkEnd w:id="599"/>
      <w:bookmarkEnd w:id="600"/>
      <w:bookmarkEnd w:id="601"/>
    </w:p>
    <w:p w14:paraId="6F083000" w14:textId="77777777" w:rsidR="004412F1" w:rsidRDefault="005A12A3">
      <w:pPr>
        <w:ind w:left="969" w:hanging="969"/>
        <w:jc w:val="both"/>
        <w:rPr>
          <w:rFonts w:eastAsia="SimSun"/>
          <w:color w:val="000000"/>
          <w:lang w:val="es-ES"/>
        </w:rPr>
      </w:pPr>
      <w:r>
        <w:rPr>
          <w:color w:val="000000"/>
          <w:lang w:val="es-ES"/>
        </w:rPr>
        <w:tab/>
        <w:t>Es el servicio público a ser prestado por el CONCESIONARIO en</w:t>
      </w:r>
      <w:r>
        <w:rPr>
          <w:color w:val="000000"/>
          <w:lang w:val="es-PE"/>
        </w:rPr>
        <w:t xml:space="preserve"> los </w:t>
      </w:r>
      <w:proofErr w:type="gramStart"/>
      <w:r>
        <w:rPr>
          <w:color w:val="000000"/>
          <w:lang w:val="es-PE"/>
        </w:rPr>
        <w:t>Sub Tramos</w:t>
      </w:r>
      <w:proofErr w:type="gramEnd"/>
      <w:r>
        <w:rPr>
          <w:color w:val="000000"/>
          <w:lang w:val="es-PE"/>
        </w:rPr>
        <w:t xml:space="preserve"> de la Concesión</w:t>
      </w:r>
      <w:r>
        <w:rPr>
          <w:color w:val="000000"/>
          <w:lang w:val="es-ES"/>
        </w:rPr>
        <w:t>, conforme al presente Contrato y a las Leyes y Disposiciones Aplicables.</w:t>
      </w:r>
    </w:p>
    <w:p w14:paraId="282654DB" w14:textId="77777777" w:rsidR="004412F1" w:rsidRDefault="004412F1">
      <w:pPr>
        <w:ind w:left="969" w:hanging="969"/>
        <w:jc w:val="both"/>
        <w:rPr>
          <w:rFonts w:eastAsia="SimSun"/>
          <w:color w:val="000000"/>
          <w:sz w:val="16"/>
          <w:lang w:val="es-MX"/>
        </w:rPr>
      </w:pPr>
    </w:p>
    <w:p w14:paraId="61921BEA" w14:textId="77777777" w:rsidR="004412F1" w:rsidRDefault="005A12A3">
      <w:pPr>
        <w:pStyle w:val="Ttulo3"/>
        <w:numPr>
          <w:ilvl w:val="2"/>
          <w:numId w:val="73"/>
        </w:numPr>
        <w:tabs>
          <w:tab w:val="left" w:pos="993"/>
        </w:tabs>
        <w:ind w:hanging="1866"/>
      </w:pPr>
      <w:bookmarkStart w:id="602" w:name="_Toc131328727"/>
      <w:bookmarkStart w:id="603" w:name="_Toc131327908"/>
      <w:bookmarkStart w:id="604" w:name="_Toc468837586"/>
      <w:bookmarkStart w:id="605" w:name="_Toc131329882"/>
      <w:bookmarkStart w:id="606" w:name="_Toc131332890"/>
      <w:bookmarkStart w:id="607" w:name="_Toc134448768"/>
      <w:bookmarkStart w:id="608" w:name="_Toc55906346"/>
      <w:bookmarkStart w:id="609" w:name="_Toc131329295"/>
      <w:bookmarkStart w:id="610" w:name="_Toc131331969"/>
      <w:bookmarkStart w:id="611" w:name="_Toc131329063"/>
      <w:r>
        <w:rPr>
          <w:b w:val="0"/>
          <w:bCs w:val="0"/>
          <w:u w:val="single"/>
        </w:rPr>
        <w:t>Servicios Obligatorios</w:t>
      </w:r>
      <w:bookmarkEnd w:id="602"/>
      <w:bookmarkEnd w:id="603"/>
      <w:bookmarkEnd w:id="604"/>
      <w:bookmarkEnd w:id="605"/>
      <w:bookmarkEnd w:id="606"/>
      <w:bookmarkEnd w:id="607"/>
      <w:bookmarkEnd w:id="608"/>
      <w:bookmarkEnd w:id="609"/>
      <w:bookmarkEnd w:id="610"/>
      <w:bookmarkEnd w:id="611"/>
    </w:p>
    <w:p w14:paraId="3D45CF5A" w14:textId="62740828" w:rsidR="004412F1" w:rsidRDefault="005A12A3">
      <w:pPr>
        <w:ind w:left="969"/>
        <w:jc w:val="both"/>
        <w:rPr>
          <w:lang w:val="es-ES"/>
        </w:rPr>
      </w:pPr>
      <w:r>
        <w:rPr>
          <w:color w:val="000000"/>
          <w:lang w:val="es-ES"/>
        </w:rPr>
        <w:t xml:space="preserve">Comprenden </w:t>
      </w:r>
      <w:r>
        <w:rPr>
          <w:bCs/>
          <w:color w:val="000000"/>
          <w:szCs w:val="18"/>
          <w:lang w:val="es-ES" w:eastAsia="es-ES"/>
        </w:rPr>
        <w:t xml:space="preserve">aquellos </w:t>
      </w:r>
      <w:r>
        <w:rPr>
          <w:color w:val="000000"/>
          <w:lang w:val="es-PE"/>
        </w:rPr>
        <w:t>servicios</w:t>
      </w:r>
      <w:r>
        <w:rPr>
          <w:color w:val="000000"/>
          <w:lang w:val="es-ES"/>
        </w:rPr>
        <w:t xml:space="preserve"> relacionados con el objeto específico de la Concesión y que son impre</w:t>
      </w:r>
      <w:r>
        <w:rPr>
          <w:bCs/>
          <w:color w:val="000000"/>
          <w:szCs w:val="18"/>
          <w:lang w:val="es-ES" w:eastAsia="es-ES"/>
        </w:rPr>
        <w:t xml:space="preserve">scindibles para el correcto funcionamiento de </w:t>
      </w:r>
      <w:proofErr w:type="gramStart"/>
      <w:r>
        <w:rPr>
          <w:bCs/>
          <w:color w:val="000000"/>
          <w:szCs w:val="18"/>
          <w:lang w:val="es-ES" w:eastAsia="es-ES"/>
        </w:rPr>
        <w:t>la misma</w:t>
      </w:r>
      <w:proofErr w:type="gramEnd"/>
      <w:r>
        <w:rPr>
          <w:bCs/>
          <w:color w:val="000000"/>
          <w:szCs w:val="18"/>
          <w:lang w:val="es-ES" w:eastAsia="es-ES"/>
        </w:rPr>
        <w:t>.</w:t>
      </w:r>
      <w:r>
        <w:rPr>
          <w:bCs/>
          <w:color w:val="000000"/>
          <w:szCs w:val="18"/>
          <w:lang w:val="es-PE" w:eastAsia="es-ES"/>
        </w:rPr>
        <w:t xml:space="preserve"> Dichos servicios</w:t>
      </w:r>
      <w:r>
        <w:rPr>
          <w:color w:val="000000"/>
          <w:lang w:val="es-PE"/>
        </w:rPr>
        <w:t xml:space="preserve"> se encuentran contemplados en la Cláusula </w:t>
      </w:r>
      <w:r w:rsidR="006E45F2">
        <w:rPr>
          <w:color w:val="000000"/>
          <w:lang w:val="es-PE"/>
        </w:rPr>
        <w:t>8.13</w:t>
      </w:r>
      <w:r>
        <w:rPr>
          <w:color w:val="000000"/>
          <w:lang w:val="es-PE"/>
        </w:rPr>
        <w:t xml:space="preserve"> del Contrato.</w:t>
      </w:r>
    </w:p>
    <w:p w14:paraId="3A308663" w14:textId="77777777" w:rsidR="004412F1" w:rsidRDefault="004412F1">
      <w:pPr>
        <w:ind w:left="993"/>
        <w:jc w:val="both"/>
        <w:rPr>
          <w:b/>
          <w:sz w:val="16"/>
          <w:lang w:val="es-PE"/>
        </w:rPr>
      </w:pPr>
      <w:bookmarkStart w:id="612" w:name="_2koq656"/>
      <w:bookmarkEnd w:id="612"/>
    </w:p>
    <w:p w14:paraId="72A063DF" w14:textId="77777777" w:rsidR="004412F1" w:rsidRDefault="005A12A3">
      <w:pPr>
        <w:pStyle w:val="Ttulo3"/>
        <w:numPr>
          <w:ilvl w:val="2"/>
          <w:numId w:val="73"/>
        </w:numPr>
        <w:tabs>
          <w:tab w:val="left" w:pos="993"/>
        </w:tabs>
        <w:ind w:hanging="1866"/>
      </w:pPr>
      <w:bookmarkStart w:id="613" w:name="_zu0gcz"/>
      <w:bookmarkStart w:id="614" w:name="_Toc131332892"/>
      <w:bookmarkStart w:id="615" w:name="_Toc468837588"/>
      <w:bookmarkStart w:id="616" w:name="_Toc131329297"/>
      <w:bookmarkStart w:id="617" w:name="_Toc131328729"/>
      <w:bookmarkStart w:id="618" w:name="_Toc131329065"/>
      <w:bookmarkStart w:id="619" w:name="_Toc134448770"/>
      <w:bookmarkStart w:id="620" w:name="_Toc131331971"/>
      <w:bookmarkStart w:id="621" w:name="_Toc131329884"/>
      <w:bookmarkStart w:id="622" w:name="_Toc131327910"/>
      <w:bookmarkEnd w:id="613"/>
      <w:r>
        <w:rPr>
          <w:b w:val="0"/>
          <w:bCs w:val="0"/>
          <w:u w:val="single"/>
        </w:rPr>
        <w:t>Socio Estratégico</w:t>
      </w:r>
      <w:bookmarkEnd w:id="614"/>
      <w:bookmarkEnd w:id="615"/>
      <w:bookmarkEnd w:id="616"/>
      <w:bookmarkEnd w:id="617"/>
      <w:bookmarkEnd w:id="618"/>
      <w:bookmarkEnd w:id="619"/>
      <w:bookmarkEnd w:id="620"/>
      <w:bookmarkEnd w:id="621"/>
      <w:bookmarkEnd w:id="622"/>
    </w:p>
    <w:p w14:paraId="0E244F09" w14:textId="77777777" w:rsidR="004412F1" w:rsidRDefault="005A12A3">
      <w:pPr>
        <w:ind w:left="993" w:firstLine="1"/>
        <w:jc w:val="both"/>
        <w:rPr>
          <w:color w:val="000000"/>
          <w:lang w:val="es-PE"/>
        </w:rPr>
      </w:pPr>
      <w:r>
        <w:rPr>
          <w:color w:val="000000"/>
          <w:lang w:val="es-PE"/>
        </w:rPr>
        <w:t xml:space="preserve">Es el accionista o participacionista del CONCESIONARIO que acreditó el cumplimiento de los requisitos de operación señalados en las Bases, y que ostenta la titularidad de la Participación Mínima en el CONCESIONARIO. </w:t>
      </w:r>
    </w:p>
    <w:p w14:paraId="21F8CAD6" w14:textId="77777777" w:rsidR="004412F1" w:rsidRDefault="004412F1">
      <w:pPr>
        <w:ind w:left="993" w:firstLine="1"/>
        <w:jc w:val="both"/>
        <w:rPr>
          <w:color w:val="000000"/>
          <w:sz w:val="16"/>
          <w:lang w:val="es-PE"/>
        </w:rPr>
      </w:pPr>
    </w:p>
    <w:p w14:paraId="608A40EB" w14:textId="77777777" w:rsidR="004412F1" w:rsidRDefault="005A12A3">
      <w:pPr>
        <w:pStyle w:val="Ttulo3"/>
        <w:numPr>
          <w:ilvl w:val="2"/>
          <w:numId w:val="73"/>
        </w:numPr>
        <w:tabs>
          <w:tab w:val="left" w:pos="993"/>
        </w:tabs>
        <w:ind w:hanging="1866"/>
      </w:pPr>
      <w:bookmarkStart w:id="623" w:name="_3jtnz0s"/>
      <w:bookmarkStart w:id="624" w:name="_Toc131329885"/>
      <w:bookmarkStart w:id="625" w:name="_Toc468837589"/>
      <w:bookmarkStart w:id="626" w:name="_Toc131331972"/>
      <w:bookmarkStart w:id="627" w:name="_Toc134448771"/>
      <w:bookmarkStart w:id="628" w:name="_Toc131329066"/>
      <w:bookmarkStart w:id="629" w:name="_Toc131327911"/>
      <w:bookmarkStart w:id="630" w:name="_Toc131329298"/>
      <w:bookmarkStart w:id="631" w:name="_Toc131328730"/>
      <w:bookmarkStart w:id="632" w:name="_Toc131332893"/>
      <w:bookmarkEnd w:id="623"/>
      <w:r>
        <w:rPr>
          <w:b w:val="0"/>
          <w:bCs w:val="0"/>
          <w:u w:val="single"/>
        </w:rPr>
        <w:t>Sub Tramo</w:t>
      </w:r>
      <w:bookmarkEnd w:id="624"/>
      <w:bookmarkEnd w:id="625"/>
      <w:bookmarkEnd w:id="626"/>
      <w:bookmarkEnd w:id="627"/>
      <w:bookmarkEnd w:id="628"/>
      <w:bookmarkEnd w:id="629"/>
      <w:bookmarkEnd w:id="630"/>
      <w:bookmarkEnd w:id="631"/>
      <w:bookmarkEnd w:id="632"/>
    </w:p>
    <w:p w14:paraId="32E954A8" w14:textId="77777777" w:rsidR="004412F1" w:rsidRDefault="005A12A3">
      <w:pPr>
        <w:ind w:left="993"/>
        <w:jc w:val="both"/>
        <w:rPr>
          <w:color w:val="000000"/>
        </w:rPr>
      </w:pPr>
      <w:r>
        <w:rPr>
          <w:color w:val="000000"/>
          <w:lang w:val="es-PE"/>
        </w:rPr>
        <w:t xml:space="preserve">Parte componente de la Carretera Longitudinal de la Sierra Tramo 4: Huancayo – Izcuchaca – Mayocc - Ayacucho/Ayacucho – Andahuaylas - Puente Sahuinto/Dv. </w:t>
      </w:r>
      <w:r>
        <w:rPr>
          <w:color w:val="000000"/>
        </w:rPr>
        <w:t>Pisco – Huaytará - Ayacucho.</w:t>
      </w:r>
    </w:p>
    <w:p w14:paraId="3C619057" w14:textId="77777777" w:rsidR="004412F1" w:rsidRDefault="004412F1">
      <w:pPr>
        <w:ind w:left="993"/>
        <w:jc w:val="both"/>
        <w:rPr>
          <w:color w:val="000000"/>
          <w:sz w:val="16"/>
        </w:rPr>
      </w:pPr>
    </w:p>
    <w:p w14:paraId="05EB353F" w14:textId="77777777" w:rsidR="004412F1" w:rsidRDefault="005A12A3">
      <w:pPr>
        <w:pStyle w:val="Ttulo3"/>
        <w:numPr>
          <w:ilvl w:val="2"/>
          <w:numId w:val="73"/>
        </w:numPr>
        <w:tabs>
          <w:tab w:val="left" w:pos="993"/>
        </w:tabs>
        <w:ind w:hanging="1866"/>
        <w:rPr>
          <w:u w:val="single"/>
        </w:rPr>
      </w:pPr>
      <w:r>
        <w:rPr>
          <w:b w:val="0"/>
          <w:bCs w:val="0"/>
          <w:u w:val="single"/>
        </w:rPr>
        <w:t>Suma Alzada</w:t>
      </w:r>
    </w:p>
    <w:p w14:paraId="2B666AFC" w14:textId="77777777" w:rsidR="004412F1" w:rsidRDefault="005A12A3">
      <w:pPr>
        <w:tabs>
          <w:tab w:val="left" w:pos="993"/>
        </w:tabs>
        <w:ind w:left="993"/>
        <w:jc w:val="both"/>
        <w:rPr>
          <w:color w:val="000000"/>
          <w:lang w:val="es-PE"/>
        </w:rPr>
      </w:pPr>
      <w:r>
        <w:rPr>
          <w:color w:val="000000"/>
          <w:lang w:val="es-PE"/>
        </w:rPr>
        <w:t>Sistema de contratación contemplado en el Decreto Supremo N° 082-2019-EF que aprueba el Texto Único Ordenando de la Ley N° 30225 - Ley de Contrataciones del Estado y/o norma que la modifique o sustituya.</w:t>
      </w:r>
    </w:p>
    <w:p w14:paraId="132308C3" w14:textId="77777777" w:rsidR="004412F1" w:rsidRDefault="004412F1">
      <w:pPr>
        <w:tabs>
          <w:tab w:val="left" w:pos="993"/>
        </w:tabs>
        <w:ind w:left="993"/>
        <w:jc w:val="both"/>
        <w:rPr>
          <w:color w:val="000000"/>
          <w:lang w:val="es-PE"/>
        </w:rPr>
      </w:pPr>
    </w:p>
    <w:p w14:paraId="4213D1B1" w14:textId="77777777" w:rsidR="004412F1" w:rsidRDefault="005A12A3">
      <w:pPr>
        <w:pStyle w:val="Ttulo3"/>
        <w:numPr>
          <w:ilvl w:val="2"/>
          <w:numId w:val="73"/>
        </w:numPr>
        <w:tabs>
          <w:tab w:val="left" w:pos="993"/>
        </w:tabs>
        <w:ind w:hanging="1866"/>
      </w:pPr>
      <w:bookmarkStart w:id="633" w:name="_Toc199177137"/>
      <w:bookmarkStart w:id="634" w:name="_Toc199177138"/>
      <w:bookmarkStart w:id="635" w:name="_1yyy98l"/>
      <w:bookmarkStart w:id="636" w:name="_Toc131331974"/>
      <w:bookmarkStart w:id="637" w:name="_Toc131327914"/>
      <w:bookmarkStart w:id="638" w:name="_Toc468837590"/>
      <w:bookmarkStart w:id="639" w:name="_Toc131329887"/>
      <w:bookmarkStart w:id="640" w:name="_Toc131329300"/>
      <w:bookmarkStart w:id="641" w:name="_Toc131328732"/>
      <w:bookmarkStart w:id="642" w:name="_Toc131332895"/>
      <w:bookmarkStart w:id="643" w:name="_Toc55906351"/>
      <w:bookmarkStart w:id="644" w:name="_Toc134448772"/>
      <w:bookmarkStart w:id="645" w:name="_Toc131329068"/>
      <w:bookmarkEnd w:id="633"/>
      <w:bookmarkEnd w:id="634"/>
      <w:bookmarkEnd w:id="635"/>
      <w:r>
        <w:rPr>
          <w:b w:val="0"/>
          <w:bCs w:val="0"/>
          <w:u w:val="single"/>
        </w:rPr>
        <w:t>Tarifa</w:t>
      </w:r>
      <w:bookmarkEnd w:id="636"/>
      <w:bookmarkEnd w:id="637"/>
      <w:bookmarkEnd w:id="638"/>
      <w:bookmarkEnd w:id="639"/>
      <w:bookmarkEnd w:id="640"/>
      <w:bookmarkEnd w:id="641"/>
      <w:bookmarkEnd w:id="642"/>
      <w:bookmarkEnd w:id="643"/>
      <w:bookmarkEnd w:id="644"/>
      <w:bookmarkEnd w:id="645"/>
    </w:p>
    <w:p w14:paraId="0D605DA1" w14:textId="77777777" w:rsidR="004412F1" w:rsidRDefault="005A12A3">
      <w:pPr>
        <w:ind w:left="993"/>
        <w:jc w:val="both"/>
        <w:rPr>
          <w:color w:val="000000"/>
          <w:lang w:val="es-PE"/>
        </w:rPr>
      </w:pPr>
      <w:r>
        <w:rPr>
          <w:color w:val="000000"/>
          <w:lang w:val="es-ES"/>
        </w:rPr>
        <w:t xml:space="preserve">Es el monto del Peaje más el </w:t>
      </w:r>
      <w:r>
        <w:rPr>
          <w:color w:val="000000"/>
          <w:lang w:val="es-PE"/>
        </w:rPr>
        <w:t>IGV y otros tributos que puedan generarse</w:t>
      </w:r>
      <w:r>
        <w:rPr>
          <w:lang w:val="es-PE"/>
        </w:rPr>
        <w:t xml:space="preserve"> </w:t>
      </w:r>
      <w:r>
        <w:rPr>
          <w:color w:val="000000"/>
          <w:lang w:val="es-PE"/>
        </w:rPr>
        <w:t>que el CONCESIONARIO cobra a los Usuarios en las respectivas Unidades de Peaje, en los términos establecidos en el presente Contrato.</w:t>
      </w:r>
    </w:p>
    <w:p w14:paraId="44F4934C" w14:textId="77777777" w:rsidR="004412F1" w:rsidRDefault="004412F1">
      <w:pPr>
        <w:ind w:left="993"/>
        <w:jc w:val="both"/>
        <w:rPr>
          <w:color w:val="000000"/>
          <w:lang w:val="es-PE"/>
        </w:rPr>
      </w:pPr>
    </w:p>
    <w:p w14:paraId="75C3B215" w14:textId="77777777" w:rsidR="004412F1" w:rsidRDefault="005A12A3">
      <w:pPr>
        <w:pStyle w:val="Ttulo3"/>
        <w:numPr>
          <w:ilvl w:val="2"/>
          <w:numId w:val="73"/>
        </w:numPr>
        <w:tabs>
          <w:tab w:val="left" w:pos="993"/>
        </w:tabs>
        <w:ind w:hanging="1866"/>
        <w:rPr>
          <w:u w:val="single"/>
        </w:rPr>
      </w:pPr>
      <w:bookmarkStart w:id="646" w:name="_4iylrwe"/>
      <w:bookmarkStart w:id="647" w:name="_Toc273980666"/>
      <w:bookmarkStart w:id="648" w:name="_Toc273980325"/>
      <w:bookmarkStart w:id="649" w:name="_Toc272748483"/>
      <w:bookmarkStart w:id="650" w:name="_Toc272751606"/>
      <w:bookmarkStart w:id="651" w:name="_Toc272749014"/>
      <w:bookmarkStart w:id="652" w:name="_Toc272746389"/>
      <w:bookmarkStart w:id="653" w:name="_Toc272746708"/>
      <w:bookmarkStart w:id="654" w:name="_Toc275774308"/>
      <w:bookmarkStart w:id="655" w:name="_Toc272748752"/>
      <w:bookmarkStart w:id="656" w:name="_Toc272747028"/>
      <w:bookmarkStart w:id="657" w:name="_Toc272750042"/>
      <w:bookmarkStart w:id="658" w:name="_Toc272747641"/>
      <w:bookmarkStart w:id="659" w:name="_Toc272750569"/>
      <w:bookmarkStart w:id="660" w:name="_Toc275860661"/>
      <w:bookmarkStart w:id="661" w:name="_Toc275782008"/>
      <w:bookmarkStart w:id="662" w:name="_Toc272748216"/>
      <w:bookmarkStart w:id="663" w:name="_Toc272749524"/>
      <w:bookmarkStart w:id="664" w:name="_Toc272749272"/>
      <w:bookmarkStart w:id="665" w:name="_Toc275781739"/>
      <w:bookmarkStart w:id="666" w:name="_Toc272750306"/>
      <w:bookmarkStart w:id="667" w:name="_Toc272749777"/>
      <w:bookmarkStart w:id="668" w:name="_Toc272747341"/>
      <w:bookmarkStart w:id="669" w:name="_Toc273980063"/>
      <w:bookmarkStart w:id="670" w:name="_Toc272747947"/>
      <w:bookmarkStart w:id="671" w:name="_Toc272745752"/>
      <w:bookmarkStart w:id="672" w:name="_Toc468837591"/>
      <w:bookmarkStart w:id="673" w:name="_Toc273982654"/>
      <w:bookmarkStart w:id="674" w:name="_Toc272751348"/>
      <w:bookmarkStart w:id="675" w:name="_Toc272751862"/>
      <w:bookmarkStart w:id="676" w:name="_Toc272746072"/>
      <w:bookmarkStart w:id="677" w:name="_Toc272750831"/>
      <w:bookmarkStart w:id="678" w:name="_Toc273982396"/>
      <w:bookmarkStart w:id="679" w:name="_Toc272751090"/>
      <w:bookmarkEnd w:id="646"/>
      <w:r>
        <w:rPr>
          <w:b w:val="0"/>
          <w:u w:val="single"/>
        </w:rPr>
        <w:t>Tarifa Diferenciada</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6F93C9E9" w14:textId="77777777" w:rsidR="004412F1" w:rsidRDefault="005A12A3">
      <w:pPr>
        <w:ind w:left="993"/>
        <w:jc w:val="both"/>
        <w:rPr>
          <w:color w:val="000000"/>
          <w:lang w:val="es-PE"/>
        </w:rPr>
      </w:pPr>
      <w:r>
        <w:rPr>
          <w:color w:val="000000"/>
          <w:lang w:val="es-PE"/>
        </w:rPr>
        <w:t xml:space="preserve">Es aquella tarifa especial autorizada por el MTC de acuerdo con los criterios y procedimientos vigentes. </w:t>
      </w:r>
    </w:p>
    <w:p w14:paraId="13B5DA45" w14:textId="77777777" w:rsidR="004412F1" w:rsidRDefault="004412F1">
      <w:pPr>
        <w:ind w:left="993"/>
        <w:jc w:val="both"/>
        <w:rPr>
          <w:color w:val="000000"/>
          <w:sz w:val="16"/>
          <w:lang w:val="es-PE"/>
        </w:rPr>
      </w:pPr>
    </w:p>
    <w:p w14:paraId="42834ED3" w14:textId="77777777" w:rsidR="004412F1" w:rsidRDefault="005A12A3">
      <w:pPr>
        <w:pStyle w:val="Ttulo3"/>
        <w:numPr>
          <w:ilvl w:val="2"/>
          <w:numId w:val="73"/>
        </w:numPr>
        <w:tabs>
          <w:tab w:val="left" w:pos="993"/>
        </w:tabs>
        <w:ind w:hanging="1866"/>
        <w:rPr>
          <w:color w:val="000000"/>
          <w:u w:val="single"/>
        </w:rPr>
      </w:pPr>
      <w:bookmarkStart w:id="680" w:name="_Toc199177140"/>
      <w:bookmarkStart w:id="681" w:name="_Toc468837592"/>
      <w:bookmarkStart w:id="682" w:name="_Toc131329888"/>
      <w:bookmarkStart w:id="683" w:name="_Toc131329069"/>
      <w:bookmarkStart w:id="684" w:name="_Toc131332896"/>
      <w:bookmarkStart w:id="685" w:name="_Toc131328733"/>
      <w:bookmarkStart w:id="686" w:name="_Toc131331975"/>
      <w:bookmarkStart w:id="687" w:name="_Toc134448773"/>
      <w:bookmarkStart w:id="688" w:name="_Toc131327915"/>
      <w:bookmarkStart w:id="689" w:name="_Toc131329301"/>
      <w:bookmarkEnd w:id="680"/>
      <w:r>
        <w:rPr>
          <w:b w:val="0"/>
          <w:color w:val="000000"/>
          <w:u w:val="single"/>
        </w:rPr>
        <w:t xml:space="preserve">Tasa </w:t>
      </w:r>
      <w:bookmarkEnd w:id="681"/>
      <w:r>
        <w:rPr>
          <w:b w:val="0"/>
          <w:bCs w:val="0"/>
          <w:color w:val="000000"/>
          <w:u w:val="single"/>
        </w:rPr>
        <w:t>Referencial</w:t>
      </w:r>
    </w:p>
    <w:p w14:paraId="4273D29D" w14:textId="77777777" w:rsidR="004412F1" w:rsidRDefault="005A12A3">
      <w:pPr>
        <w:ind w:left="993"/>
        <w:jc w:val="both"/>
        <w:rPr>
          <w:color w:val="000000"/>
          <w:lang w:val="es-PE"/>
        </w:rPr>
      </w:pPr>
      <w:bookmarkStart w:id="690" w:name="_Toc199177142"/>
      <w:bookmarkStart w:id="691" w:name="_Toc201717217"/>
      <w:r>
        <w:rPr>
          <w:color w:val="000000"/>
          <w:lang w:val="es-PE"/>
        </w:rPr>
        <w:t>Es</w:t>
      </w:r>
      <w:r>
        <w:rPr>
          <w:lang w:val="es-PE"/>
        </w:rPr>
        <w:t xml:space="preserve"> </w:t>
      </w:r>
      <w:r>
        <w:rPr>
          <w:color w:val="000000"/>
          <w:lang w:val="es-PE"/>
        </w:rPr>
        <w:t xml:space="preserve">la tasa de interés legal efectiva anual publicada en Soles </w:t>
      </w:r>
      <w:r>
        <w:rPr>
          <w:color w:val="000000"/>
          <w:lang w:val="es-ES"/>
        </w:rPr>
        <w:t xml:space="preserve">y </w:t>
      </w:r>
      <w:proofErr w:type="gramStart"/>
      <w:r>
        <w:rPr>
          <w:color w:val="000000"/>
          <w:lang w:val="es-ES"/>
        </w:rPr>
        <w:t>Dólares</w:t>
      </w:r>
      <w:proofErr w:type="gramEnd"/>
      <w:r>
        <w:rPr>
          <w:color w:val="000000"/>
          <w:lang w:val="es-ES"/>
        </w:rPr>
        <w:t xml:space="preserve"> </w:t>
      </w:r>
      <w:r>
        <w:rPr>
          <w:color w:val="000000"/>
          <w:lang w:val="es-PE"/>
        </w:rPr>
        <w:t>por la Superintendencia de Banca, Seguros y AFP (SBS), o la tasa que la reemplace.</w:t>
      </w:r>
      <w:bookmarkEnd w:id="690"/>
      <w:bookmarkEnd w:id="691"/>
    </w:p>
    <w:p w14:paraId="7063A254" w14:textId="77777777" w:rsidR="004412F1" w:rsidRDefault="004412F1">
      <w:pPr>
        <w:ind w:left="993"/>
        <w:jc w:val="both"/>
        <w:rPr>
          <w:color w:val="000000"/>
          <w:lang w:val="es-PE"/>
        </w:rPr>
      </w:pPr>
    </w:p>
    <w:p w14:paraId="395773CA" w14:textId="77777777" w:rsidR="004412F1" w:rsidRDefault="005A12A3">
      <w:pPr>
        <w:pStyle w:val="Ttulo3"/>
        <w:numPr>
          <w:ilvl w:val="2"/>
          <w:numId w:val="73"/>
        </w:numPr>
        <w:tabs>
          <w:tab w:val="left" w:pos="993"/>
        </w:tabs>
        <w:ind w:hanging="1866"/>
      </w:pPr>
      <w:bookmarkStart w:id="692" w:name="_Tipo_de_Cambio"/>
      <w:bookmarkStart w:id="693" w:name="_3x8tuzt"/>
      <w:bookmarkStart w:id="694" w:name="_2y3w247"/>
      <w:bookmarkStart w:id="695" w:name="_Toc468837593"/>
      <w:bookmarkStart w:id="696" w:name="_Ref274034890"/>
      <w:bookmarkEnd w:id="692"/>
      <w:bookmarkEnd w:id="693"/>
      <w:bookmarkEnd w:id="694"/>
      <w:r>
        <w:rPr>
          <w:b w:val="0"/>
          <w:bCs w:val="0"/>
          <w:u w:val="single"/>
        </w:rPr>
        <w:t>Tipo de Cambio</w:t>
      </w:r>
      <w:bookmarkEnd w:id="682"/>
      <w:bookmarkEnd w:id="683"/>
      <w:bookmarkEnd w:id="684"/>
      <w:bookmarkEnd w:id="685"/>
      <w:bookmarkEnd w:id="686"/>
      <w:bookmarkEnd w:id="687"/>
      <w:bookmarkEnd w:id="688"/>
      <w:bookmarkEnd w:id="689"/>
      <w:bookmarkEnd w:id="695"/>
      <w:bookmarkEnd w:id="696"/>
    </w:p>
    <w:p w14:paraId="6B01EF36" w14:textId="77777777" w:rsidR="004412F1" w:rsidRDefault="005A12A3">
      <w:pPr>
        <w:ind w:left="993"/>
        <w:jc w:val="both"/>
        <w:rPr>
          <w:rFonts w:eastAsia="SimSun"/>
          <w:color w:val="000000"/>
          <w:lang w:val="es-PE"/>
        </w:rPr>
      </w:pPr>
      <w:r>
        <w:rPr>
          <w:color w:val="000000"/>
          <w:lang w:val="es-ES"/>
        </w:rPr>
        <w:t xml:space="preserve">Es el tipo de cambio </w:t>
      </w:r>
      <w:r>
        <w:rPr>
          <w:color w:val="000000"/>
          <w:lang w:val="es-PE"/>
        </w:rPr>
        <w:t xml:space="preserve">promedio </w:t>
      </w:r>
      <w:r>
        <w:rPr>
          <w:color w:val="000000"/>
          <w:lang w:val="es-ES"/>
        </w:rPr>
        <w:t xml:space="preserve">ponderado publicado por la Superintendencia de Banca, Seguros y AFP </w:t>
      </w:r>
      <w:r>
        <w:rPr>
          <w:color w:val="000000"/>
          <w:lang w:val="es-PE"/>
        </w:rPr>
        <w:t xml:space="preserve">para la conversión de </w:t>
      </w:r>
      <w:proofErr w:type="gramStart"/>
      <w:r>
        <w:rPr>
          <w:color w:val="000000"/>
          <w:lang w:val="es-PE"/>
        </w:rPr>
        <w:t>Dólares</w:t>
      </w:r>
      <w:proofErr w:type="gramEnd"/>
      <w:r>
        <w:rPr>
          <w:color w:val="000000"/>
          <w:lang w:val="es-PE"/>
        </w:rPr>
        <w:t xml:space="preserve"> a Soles y viceversa en su página web denominada “Cotización de Oferta y Demanda Tipo De Cambio Promedio Ponderado” (https://www.sbs.gob.pe/app/pp/SISTIP_PORTAL/Paginas/Publicacion/TipoCambioPromedio.aspx) o aquella que la reemplace.</w:t>
      </w:r>
    </w:p>
    <w:p w14:paraId="4442DADC" w14:textId="77777777" w:rsidR="004412F1" w:rsidRDefault="004412F1">
      <w:pPr>
        <w:ind w:left="993"/>
        <w:jc w:val="both"/>
        <w:rPr>
          <w:rFonts w:eastAsia="SimSun"/>
          <w:color w:val="000000"/>
          <w:sz w:val="16"/>
          <w:lang w:val="es-PE"/>
        </w:rPr>
      </w:pPr>
    </w:p>
    <w:p w14:paraId="53D307A8" w14:textId="77777777" w:rsidR="004412F1" w:rsidRDefault="005A12A3">
      <w:pPr>
        <w:pStyle w:val="Ttulo3"/>
        <w:numPr>
          <w:ilvl w:val="2"/>
          <w:numId w:val="73"/>
        </w:numPr>
        <w:tabs>
          <w:tab w:val="left" w:pos="993"/>
        </w:tabs>
        <w:ind w:hanging="1866"/>
      </w:pPr>
      <w:bookmarkStart w:id="697" w:name="_2ce457m"/>
      <w:bookmarkStart w:id="698" w:name="_Toc82859925"/>
      <w:bookmarkStart w:id="699" w:name="_Toc82859298"/>
      <w:bookmarkStart w:id="700" w:name="_Toc131327916"/>
      <w:bookmarkStart w:id="701" w:name="_Toc82860738"/>
      <w:bookmarkStart w:id="702" w:name="_Toc106666466"/>
      <w:bookmarkStart w:id="703" w:name="_Toc131329070"/>
      <w:bookmarkStart w:id="704" w:name="_Toc134448774"/>
      <w:bookmarkStart w:id="705" w:name="_Toc106603874"/>
      <w:bookmarkStart w:id="706" w:name="_Toc82858863"/>
      <w:bookmarkStart w:id="707" w:name="_Toc131329302"/>
      <w:bookmarkStart w:id="708" w:name="_Toc131328734"/>
      <w:bookmarkStart w:id="709" w:name="_Toc131332897"/>
      <w:bookmarkStart w:id="710" w:name="_Toc82860336"/>
      <w:bookmarkStart w:id="711" w:name="_Toc82858642"/>
      <w:bookmarkStart w:id="712" w:name="_Toc131331976"/>
      <w:bookmarkStart w:id="713" w:name="_Toc131329889"/>
      <w:bookmarkStart w:id="714" w:name="_Toc82859718"/>
      <w:bookmarkStart w:id="715" w:name="_Toc82859511"/>
      <w:bookmarkStart w:id="716" w:name="_Toc468837594"/>
      <w:bookmarkStart w:id="717" w:name="_Toc82860131"/>
      <w:bookmarkStart w:id="718" w:name="_Toc82859082"/>
      <w:bookmarkEnd w:id="697"/>
      <w:r>
        <w:rPr>
          <w:b w:val="0"/>
          <w:bCs w:val="0"/>
          <w:u w:val="single"/>
        </w:rPr>
        <w:t>Toma de Posesión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61D99AC9" w14:textId="6210D9FE" w:rsidR="004412F1" w:rsidRDefault="005A12A3">
      <w:pPr>
        <w:ind w:left="993"/>
        <w:jc w:val="both"/>
        <w:rPr>
          <w:color w:val="000000"/>
          <w:lang w:val="es-ES"/>
        </w:rPr>
      </w:pPr>
      <w:r>
        <w:rPr>
          <w:color w:val="000000"/>
          <w:lang w:val="es-ES"/>
        </w:rPr>
        <w:t xml:space="preserve">Es el acto mediante el cual el CONCESIONARIO toma posesión de manera parcial o total del Área de Concesión y de los Bienes </w:t>
      </w:r>
      <w:r>
        <w:rPr>
          <w:color w:val="000000"/>
          <w:lang w:val="es-PE"/>
        </w:rPr>
        <w:t xml:space="preserve">de la Concesión </w:t>
      </w:r>
      <w:r>
        <w:rPr>
          <w:color w:val="000000"/>
          <w:lang w:val="es-ES"/>
        </w:rPr>
        <w:t xml:space="preserve">para ser destinados a la ejecución del Contrato, dejando constancia de ello en el Acta de Entrega Parcial de Bienes. La Toma de Posesión se verifica de acuerdo </w:t>
      </w:r>
      <w:r>
        <w:rPr>
          <w:color w:val="000000"/>
          <w:lang w:val="es-PE"/>
        </w:rPr>
        <w:t>con</w:t>
      </w:r>
      <w:r>
        <w:rPr>
          <w:color w:val="000000"/>
          <w:lang w:val="es-ES"/>
        </w:rPr>
        <w:t xml:space="preserve"> lo establecido en las Cláusulas</w:t>
      </w:r>
      <w:r w:rsidR="00EC5E81">
        <w:rPr>
          <w:color w:val="000000"/>
          <w:lang w:val="es-ES"/>
        </w:rPr>
        <w:t xml:space="preserve"> 5.22</w:t>
      </w:r>
      <w:r>
        <w:rPr>
          <w:color w:val="000000"/>
          <w:lang w:val="es-PE"/>
        </w:rPr>
        <w:t xml:space="preserve"> al </w:t>
      </w:r>
      <w:r w:rsidR="00EC5E81">
        <w:rPr>
          <w:color w:val="000000"/>
          <w:lang w:val="es-PE"/>
        </w:rPr>
        <w:t>5.25</w:t>
      </w:r>
      <w:r>
        <w:rPr>
          <w:color w:val="000000"/>
          <w:lang w:val="es-ES"/>
        </w:rPr>
        <w:t xml:space="preserve"> del Contrato.</w:t>
      </w:r>
    </w:p>
    <w:p w14:paraId="7413FA4A" w14:textId="77777777" w:rsidR="004412F1" w:rsidRDefault="005A12A3">
      <w:pPr>
        <w:tabs>
          <w:tab w:val="left" w:pos="993"/>
          <w:tab w:val="left" w:pos="1980"/>
        </w:tabs>
        <w:ind w:firstLine="709"/>
        <w:jc w:val="both"/>
        <w:rPr>
          <w:lang w:val="es-PE"/>
        </w:rPr>
      </w:pPr>
      <w:r>
        <w:rPr>
          <w:lang w:val="es-PE"/>
        </w:rPr>
        <w:tab/>
      </w:r>
    </w:p>
    <w:p w14:paraId="3D75F0F4" w14:textId="77777777" w:rsidR="004412F1" w:rsidRDefault="005A12A3">
      <w:pPr>
        <w:pStyle w:val="Ttulo3"/>
        <w:numPr>
          <w:ilvl w:val="2"/>
          <w:numId w:val="73"/>
        </w:numPr>
        <w:tabs>
          <w:tab w:val="left" w:pos="993"/>
        </w:tabs>
        <w:ind w:hanging="1866"/>
        <w:rPr>
          <w:b w:val="0"/>
          <w:u w:val="single"/>
        </w:rPr>
      </w:pPr>
      <w:bookmarkStart w:id="719" w:name="_rjefff"/>
      <w:bookmarkStart w:id="720" w:name="_Toc134448776"/>
      <w:bookmarkStart w:id="721" w:name="_Toc131327918"/>
      <w:bookmarkStart w:id="722" w:name="_Toc468837595"/>
      <w:bookmarkStart w:id="723" w:name="_Toc131329891"/>
      <w:bookmarkStart w:id="724" w:name="_Toc131329304"/>
      <w:bookmarkStart w:id="725" w:name="_Toc131331978"/>
      <w:bookmarkStart w:id="726" w:name="_Toc131328736"/>
      <w:bookmarkStart w:id="727" w:name="_Toc131329072"/>
      <w:bookmarkStart w:id="728" w:name="_Toc131332899"/>
      <w:bookmarkEnd w:id="719"/>
      <w:r>
        <w:rPr>
          <w:b w:val="0"/>
          <w:bCs w:val="0"/>
          <w:u w:val="single"/>
        </w:rPr>
        <w:lastRenderedPageBreak/>
        <w:t>Transitabilidad</w:t>
      </w:r>
      <w:bookmarkEnd w:id="720"/>
      <w:bookmarkEnd w:id="721"/>
      <w:bookmarkEnd w:id="722"/>
      <w:bookmarkEnd w:id="723"/>
      <w:bookmarkEnd w:id="724"/>
      <w:bookmarkEnd w:id="725"/>
      <w:bookmarkEnd w:id="726"/>
      <w:bookmarkEnd w:id="727"/>
      <w:bookmarkEnd w:id="728"/>
    </w:p>
    <w:p w14:paraId="70A99515" w14:textId="77777777" w:rsidR="004412F1" w:rsidRDefault="005A12A3">
      <w:pPr>
        <w:ind w:left="993"/>
        <w:rPr>
          <w:color w:val="000000"/>
          <w:lang w:val="es-PE"/>
        </w:rPr>
      </w:pPr>
      <w:r>
        <w:rPr>
          <w:color w:val="000000"/>
          <w:lang w:val="es-PE"/>
        </w:rPr>
        <w:t>Estado de la infraestructura vial que permite el desplazamiento continuo de todo tipo de vehículos.</w:t>
      </w:r>
    </w:p>
    <w:p w14:paraId="34C93BAB" w14:textId="77777777" w:rsidR="004412F1" w:rsidRDefault="004412F1">
      <w:pPr>
        <w:ind w:left="993"/>
        <w:rPr>
          <w:color w:val="000000"/>
          <w:lang w:val="es-PE"/>
        </w:rPr>
      </w:pPr>
    </w:p>
    <w:p w14:paraId="2702DE79" w14:textId="77777777" w:rsidR="004412F1" w:rsidRDefault="005A12A3">
      <w:pPr>
        <w:pStyle w:val="Ttulo3"/>
        <w:numPr>
          <w:ilvl w:val="2"/>
          <w:numId w:val="73"/>
        </w:numPr>
        <w:tabs>
          <w:tab w:val="left" w:pos="993"/>
        </w:tabs>
        <w:ind w:hanging="1866"/>
      </w:pPr>
      <w:bookmarkStart w:id="729" w:name="_3bj1y38"/>
      <w:bookmarkStart w:id="730" w:name="_Toc131329074"/>
      <w:bookmarkStart w:id="731" w:name="_Toc134448778"/>
      <w:bookmarkStart w:id="732" w:name="_Toc131329893"/>
      <w:bookmarkStart w:id="733" w:name="_Toc131331980"/>
      <w:bookmarkStart w:id="734" w:name="_Toc131329306"/>
      <w:bookmarkStart w:id="735" w:name="_Toc131332901"/>
      <w:bookmarkStart w:id="736" w:name="_Toc131328738"/>
      <w:bookmarkStart w:id="737" w:name="_Toc468837597"/>
      <w:bookmarkStart w:id="738" w:name="_Toc55906352"/>
      <w:bookmarkStart w:id="739" w:name="_Toc131327920"/>
      <w:bookmarkEnd w:id="729"/>
      <w:r>
        <w:rPr>
          <w:b w:val="0"/>
          <w:bCs w:val="0"/>
          <w:u w:val="single"/>
        </w:rPr>
        <w:t>UIT</w:t>
      </w:r>
      <w:bookmarkEnd w:id="730"/>
      <w:bookmarkEnd w:id="731"/>
      <w:bookmarkEnd w:id="732"/>
      <w:bookmarkEnd w:id="733"/>
      <w:bookmarkEnd w:id="734"/>
      <w:bookmarkEnd w:id="735"/>
      <w:bookmarkEnd w:id="736"/>
      <w:bookmarkEnd w:id="737"/>
      <w:bookmarkEnd w:id="738"/>
      <w:bookmarkEnd w:id="739"/>
    </w:p>
    <w:p w14:paraId="341D8925" w14:textId="77777777" w:rsidR="004412F1" w:rsidRDefault="005A12A3">
      <w:pPr>
        <w:tabs>
          <w:tab w:val="left" w:pos="993"/>
        </w:tabs>
        <w:ind w:left="993"/>
        <w:jc w:val="both"/>
        <w:rPr>
          <w:lang w:val="es-PE"/>
        </w:rPr>
      </w:pPr>
      <w:bookmarkStart w:id="740" w:name="_1qoc8b1"/>
      <w:bookmarkStart w:id="741" w:name="_Toc55906353"/>
      <w:bookmarkStart w:id="742" w:name="_Toc131327921"/>
      <w:bookmarkEnd w:id="740"/>
      <w:r>
        <w:rPr>
          <w:lang w:val="es-PE"/>
        </w:rPr>
        <w:t>Es la Unidad Impositiva Tributaria de conformidad con la Norma XV del Título Preliminar del Texto Único Ordenado del Código Tributario, aprobado por el Decreto Supremo N° 133-2013EF o de la norma que la sustituya. Para fines del presente Contrato se considerará el valor vigente al momento de su aplicación.</w:t>
      </w:r>
      <w:bookmarkEnd w:id="741"/>
      <w:bookmarkEnd w:id="742"/>
    </w:p>
    <w:p w14:paraId="6C232B54" w14:textId="77777777" w:rsidR="004412F1" w:rsidRDefault="004412F1">
      <w:pPr>
        <w:tabs>
          <w:tab w:val="left" w:pos="993"/>
        </w:tabs>
        <w:ind w:left="993"/>
        <w:jc w:val="both"/>
        <w:rPr>
          <w:lang w:val="es-PE"/>
        </w:rPr>
      </w:pPr>
    </w:p>
    <w:p w14:paraId="1C421C05" w14:textId="77777777" w:rsidR="004412F1" w:rsidRDefault="005A12A3">
      <w:pPr>
        <w:pStyle w:val="Ttulo3"/>
        <w:numPr>
          <w:ilvl w:val="2"/>
          <w:numId w:val="73"/>
        </w:numPr>
        <w:tabs>
          <w:tab w:val="left" w:pos="993"/>
        </w:tabs>
        <w:ind w:hanging="1866"/>
      </w:pPr>
      <w:bookmarkStart w:id="743" w:name="_4anzqyu"/>
      <w:bookmarkStart w:id="744" w:name="_Toc131329894"/>
      <w:bookmarkStart w:id="745" w:name="_Toc131332902"/>
      <w:bookmarkStart w:id="746" w:name="_Toc468837598"/>
      <w:bookmarkStart w:id="747" w:name="_Toc131329307"/>
      <w:bookmarkStart w:id="748" w:name="_Toc131327922"/>
      <w:bookmarkStart w:id="749" w:name="_Toc131328739"/>
      <w:bookmarkStart w:id="750" w:name="_Toc131329075"/>
      <w:bookmarkStart w:id="751" w:name="_Toc131331981"/>
      <w:bookmarkStart w:id="752" w:name="_Toc134448779"/>
      <w:bookmarkEnd w:id="743"/>
      <w:r>
        <w:rPr>
          <w:b w:val="0"/>
          <w:bCs w:val="0"/>
          <w:u w:val="single"/>
        </w:rPr>
        <w:t>Usuarios</w:t>
      </w:r>
      <w:bookmarkEnd w:id="744"/>
      <w:bookmarkEnd w:id="745"/>
      <w:bookmarkEnd w:id="746"/>
      <w:bookmarkEnd w:id="747"/>
      <w:bookmarkEnd w:id="748"/>
      <w:bookmarkEnd w:id="749"/>
      <w:bookmarkEnd w:id="750"/>
      <w:bookmarkEnd w:id="751"/>
      <w:bookmarkEnd w:id="752"/>
    </w:p>
    <w:p w14:paraId="2F39B1E0" w14:textId="34B0899A" w:rsidR="004412F1" w:rsidRDefault="005A12A3">
      <w:pPr>
        <w:ind w:firstLine="709"/>
        <w:jc w:val="both"/>
        <w:rPr>
          <w:color w:val="000000"/>
          <w:lang w:val="es-PE"/>
        </w:rPr>
      </w:pPr>
      <w:r>
        <w:rPr>
          <w:color w:val="000000"/>
          <w:lang w:val="es-PE"/>
        </w:rPr>
        <w:tab/>
      </w:r>
      <w:r w:rsidR="009D567E">
        <w:rPr>
          <w:color w:val="000000"/>
          <w:lang w:val="es-PE"/>
        </w:rPr>
        <w:t xml:space="preserve">     </w:t>
      </w:r>
      <w:r>
        <w:rPr>
          <w:color w:val="000000"/>
          <w:lang w:val="es-PE"/>
        </w:rPr>
        <w:t>Son los beneficiarios del Servicio prestado por el CONCESIONARIO.</w:t>
      </w:r>
    </w:p>
    <w:p w14:paraId="5369B1D8" w14:textId="77777777" w:rsidR="004412F1" w:rsidRDefault="004412F1">
      <w:pPr>
        <w:suppressLineNumbers/>
        <w:suppressAutoHyphens/>
        <w:ind w:left="705" w:firstLine="709"/>
        <w:jc w:val="both"/>
        <w:rPr>
          <w:color w:val="000000"/>
          <w:lang w:val="es-PE"/>
        </w:rPr>
      </w:pPr>
    </w:p>
    <w:p w14:paraId="18D892A6" w14:textId="77777777" w:rsidR="004412F1" w:rsidRDefault="005A12A3">
      <w:pPr>
        <w:pStyle w:val="Ttulo3"/>
        <w:numPr>
          <w:ilvl w:val="2"/>
          <w:numId w:val="73"/>
        </w:numPr>
        <w:tabs>
          <w:tab w:val="left" w:pos="993"/>
        </w:tabs>
        <w:ind w:hanging="1866"/>
      </w:pPr>
      <w:bookmarkStart w:id="753" w:name="_2pta16n"/>
      <w:bookmarkStart w:id="754" w:name="_Toc131329076"/>
      <w:bookmarkStart w:id="755" w:name="_Toc131332903"/>
      <w:bookmarkStart w:id="756" w:name="_Toc134448780"/>
      <w:bookmarkStart w:id="757" w:name="_Toc468837599"/>
      <w:bookmarkStart w:id="758" w:name="_Toc131327923"/>
      <w:bookmarkStart w:id="759" w:name="_Toc131329895"/>
      <w:bookmarkStart w:id="760" w:name="_Toc131328740"/>
      <w:bookmarkStart w:id="761" w:name="_Toc131329308"/>
      <w:bookmarkStart w:id="762" w:name="_Toc131331982"/>
      <w:bookmarkEnd w:id="753"/>
      <w:r>
        <w:rPr>
          <w:b w:val="0"/>
          <w:bCs w:val="0"/>
          <w:u w:val="single"/>
        </w:rPr>
        <w:t>Vehículo Ligero</w:t>
      </w:r>
      <w:bookmarkEnd w:id="754"/>
      <w:bookmarkEnd w:id="755"/>
      <w:bookmarkEnd w:id="756"/>
      <w:bookmarkEnd w:id="757"/>
      <w:bookmarkEnd w:id="758"/>
      <w:bookmarkEnd w:id="759"/>
      <w:bookmarkEnd w:id="760"/>
      <w:bookmarkEnd w:id="761"/>
      <w:bookmarkEnd w:id="762"/>
    </w:p>
    <w:p w14:paraId="477EA25A" w14:textId="77777777" w:rsidR="004412F1" w:rsidRDefault="005A12A3">
      <w:pPr>
        <w:tabs>
          <w:tab w:val="left" w:pos="993"/>
        </w:tabs>
        <w:ind w:left="993"/>
        <w:jc w:val="both"/>
        <w:rPr>
          <w:lang w:val="es-PE"/>
        </w:rPr>
      </w:pPr>
      <w:r>
        <w:rPr>
          <w:lang w:val="es-PE"/>
        </w:rPr>
        <w:t>Son aquellos comprendidos en la categoría M1, M2 y N1</w:t>
      </w:r>
      <w:r>
        <w:rPr>
          <w:vertAlign w:val="subscript"/>
          <w:lang w:val="es-PE"/>
        </w:rPr>
        <w:t>,</w:t>
      </w:r>
      <w:r>
        <w:rPr>
          <w:lang w:val="es-PE"/>
        </w:rPr>
        <w:t xml:space="preserve"> y los remolques incluidos en la categoría O1 y O2, de conformidad con lo establecido en el Decreto Supremo Nº 058-2003-MTC o la norma que lo modifique o lo sustituya. </w:t>
      </w:r>
    </w:p>
    <w:p w14:paraId="60272B70" w14:textId="77777777" w:rsidR="004412F1" w:rsidRDefault="004412F1">
      <w:pPr>
        <w:tabs>
          <w:tab w:val="left" w:pos="993"/>
        </w:tabs>
        <w:ind w:left="993"/>
        <w:jc w:val="both"/>
        <w:rPr>
          <w:lang w:val="es-PE"/>
        </w:rPr>
      </w:pPr>
    </w:p>
    <w:p w14:paraId="59BA523C" w14:textId="77777777" w:rsidR="004412F1" w:rsidRDefault="005A12A3">
      <w:pPr>
        <w:pStyle w:val="Ttulo3"/>
        <w:numPr>
          <w:ilvl w:val="2"/>
          <w:numId w:val="73"/>
        </w:numPr>
        <w:tabs>
          <w:tab w:val="left" w:pos="993"/>
        </w:tabs>
        <w:ind w:hanging="1866"/>
      </w:pPr>
      <w:bookmarkStart w:id="763" w:name="_14ykbeg"/>
      <w:bookmarkStart w:id="764" w:name="_Toc131327924"/>
      <w:bookmarkStart w:id="765" w:name="_Toc131332904"/>
      <w:bookmarkStart w:id="766" w:name="_Toc468837600"/>
      <w:bookmarkStart w:id="767" w:name="_Toc131329077"/>
      <w:bookmarkStart w:id="768" w:name="_Toc131328741"/>
      <w:bookmarkStart w:id="769" w:name="_Toc131331983"/>
      <w:bookmarkStart w:id="770" w:name="_Toc134448781"/>
      <w:bookmarkStart w:id="771" w:name="_Toc131329896"/>
      <w:bookmarkStart w:id="772" w:name="_Toc131329309"/>
      <w:bookmarkEnd w:id="763"/>
      <w:r>
        <w:rPr>
          <w:b w:val="0"/>
          <w:bCs w:val="0"/>
          <w:u w:val="single"/>
        </w:rPr>
        <w:t>Vehículo Pesado</w:t>
      </w:r>
      <w:bookmarkEnd w:id="764"/>
      <w:bookmarkEnd w:id="765"/>
      <w:bookmarkEnd w:id="766"/>
      <w:bookmarkEnd w:id="767"/>
      <w:bookmarkEnd w:id="768"/>
      <w:bookmarkEnd w:id="769"/>
      <w:bookmarkEnd w:id="770"/>
      <w:bookmarkEnd w:id="771"/>
      <w:bookmarkEnd w:id="772"/>
    </w:p>
    <w:p w14:paraId="5BF1ACE0" w14:textId="77777777" w:rsidR="004412F1" w:rsidRDefault="005A12A3">
      <w:pPr>
        <w:tabs>
          <w:tab w:val="left" w:pos="993"/>
        </w:tabs>
        <w:ind w:left="993"/>
        <w:jc w:val="both"/>
        <w:rPr>
          <w:lang w:val="es-PE"/>
        </w:rPr>
      </w:pPr>
      <w:r>
        <w:rPr>
          <w:lang w:val="es-PE"/>
        </w:rPr>
        <w:t>Son aquellos comprendidos en la categoría M3, N2, N3</w:t>
      </w:r>
      <w:r>
        <w:rPr>
          <w:vertAlign w:val="subscript"/>
          <w:lang w:val="es-PE"/>
        </w:rPr>
        <w:t xml:space="preserve"> </w:t>
      </w:r>
      <w:r>
        <w:rPr>
          <w:lang w:val="es-PE"/>
        </w:rPr>
        <w:t>y los remolques incluidos en la categoría O3 y O4 de conformidad con lo establecido en el Decreto Supremo Nº 058-2003-MTC o la norma que lo sustituya.</w:t>
      </w:r>
    </w:p>
    <w:p w14:paraId="6181E87C" w14:textId="77777777" w:rsidR="004412F1" w:rsidRDefault="004412F1">
      <w:pPr>
        <w:jc w:val="both"/>
        <w:rPr>
          <w:lang w:val="es-PE"/>
        </w:rPr>
      </w:pPr>
    </w:p>
    <w:p w14:paraId="4FC0D874" w14:textId="77777777" w:rsidR="004412F1" w:rsidRDefault="005A12A3">
      <w:pPr>
        <w:jc w:val="both"/>
        <w:rPr>
          <w:rFonts w:eastAsia="Times New Roman"/>
          <w:bCs/>
          <w:szCs w:val="18"/>
          <w:lang w:val="es-ES" w:eastAsia="es-ES"/>
        </w:rPr>
      </w:pPr>
      <w:bookmarkStart w:id="773" w:name="_243i4a2"/>
      <w:bookmarkEnd w:id="773"/>
      <w:r>
        <w:rPr>
          <w:lang w:val="es-PE"/>
        </w:rPr>
        <w:t>Para otras definiciones no contempladas en el presente contrato, en lo correspondiente, será de aplicación lo contenido en el “GLOSARIO DE TÉRMINOS DE USO FRECUENTE EN PROYECTOS DE INFRAESTRUCTURA VIAL” aprobado por Resolución Directoral N° 02-2018-MTC/14 del 12 de enero de 2018 y sus modificatorias.</w:t>
      </w:r>
    </w:p>
    <w:p w14:paraId="343CBA33" w14:textId="77777777" w:rsidR="004412F1" w:rsidRDefault="004412F1">
      <w:pPr>
        <w:jc w:val="both"/>
        <w:rPr>
          <w:lang w:val="es-PE"/>
        </w:rPr>
      </w:pPr>
      <w:bookmarkStart w:id="774" w:name="_Toc131329310"/>
      <w:bookmarkStart w:id="775" w:name="_Toc134448782"/>
      <w:bookmarkStart w:id="776" w:name="_Toc55906354"/>
      <w:bookmarkStart w:id="777" w:name="_Toc131329078"/>
      <w:bookmarkStart w:id="778" w:name="_Toc131332905"/>
      <w:bookmarkStart w:id="779" w:name="_Toc131331984"/>
      <w:bookmarkStart w:id="780" w:name="_Toc131328742"/>
      <w:bookmarkStart w:id="781" w:name="_Toc131327925"/>
      <w:bookmarkStart w:id="782" w:name="_Toc131329897"/>
    </w:p>
    <w:p w14:paraId="18C00B20" w14:textId="77777777" w:rsidR="004412F1" w:rsidRDefault="005A12A3">
      <w:pPr>
        <w:pStyle w:val="Ttulo1"/>
        <w:rPr>
          <w:lang w:val="es-PE"/>
        </w:rPr>
      </w:pPr>
      <w:bookmarkStart w:id="783" w:name="_j8sehv"/>
      <w:bookmarkStart w:id="784" w:name="_Toc139294695"/>
      <w:bookmarkStart w:id="785" w:name="_Toc468837601"/>
      <w:bookmarkStart w:id="786" w:name="_Toc140089293"/>
      <w:bookmarkEnd w:id="783"/>
      <w:r>
        <w:rPr>
          <w:lang w:val="es-PE"/>
        </w:rPr>
        <w:t>CAPÍTULO II: OBJETO, MODALIDAD Y CARACTERES</w:t>
      </w:r>
      <w:bookmarkEnd w:id="774"/>
      <w:bookmarkEnd w:id="775"/>
      <w:bookmarkEnd w:id="776"/>
      <w:bookmarkEnd w:id="777"/>
      <w:bookmarkEnd w:id="778"/>
      <w:bookmarkEnd w:id="779"/>
      <w:bookmarkEnd w:id="780"/>
      <w:bookmarkEnd w:id="781"/>
      <w:bookmarkEnd w:id="782"/>
      <w:bookmarkEnd w:id="784"/>
      <w:bookmarkEnd w:id="785"/>
      <w:bookmarkEnd w:id="786"/>
    </w:p>
    <w:p w14:paraId="1A7780E0" w14:textId="77777777" w:rsidR="004412F1" w:rsidRDefault="004412F1">
      <w:pPr>
        <w:jc w:val="both"/>
        <w:rPr>
          <w:b/>
          <w:lang w:val="es-PE"/>
        </w:rPr>
      </w:pPr>
    </w:p>
    <w:p w14:paraId="7597D854" w14:textId="77777777" w:rsidR="004412F1" w:rsidRDefault="005A12A3">
      <w:pPr>
        <w:pStyle w:val="Ttulo2"/>
        <w:ind w:left="0"/>
        <w:rPr>
          <w:rFonts w:ascii="Arial" w:eastAsia="Arial" w:hAnsi="Arial" w:cs="Arial"/>
          <w:b/>
          <w:bCs/>
          <w:u w:val="none"/>
        </w:rPr>
      </w:pPr>
      <w:bookmarkStart w:id="787" w:name="_OBJETO"/>
      <w:bookmarkStart w:id="788" w:name="_338fx5o"/>
      <w:bookmarkStart w:id="789" w:name="_Toc139294696"/>
      <w:bookmarkStart w:id="790" w:name="_Toc468837602"/>
      <w:bookmarkStart w:id="791" w:name="_Toc140089294"/>
      <w:bookmarkEnd w:id="787"/>
      <w:bookmarkEnd w:id="788"/>
      <w:r>
        <w:rPr>
          <w:rFonts w:ascii="Arial" w:eastAsia="Arial" w:hAnsi="Arial" w:cs="Arial"/>
          <w:b/>
          <w:bCs/>
          <w:u w:val="none"/>
        </w:rPr>
        <w:t>OBJETO</w:t>
      </w:r>
      <w:bookmarkEnd w:id="789"/>
      <w:bookmarkEnd w:id="790"/>
      <w:bookmarkEnd w:id="791"/>
    </w:p>
    <w:p w14:paraId="5D530F3E" w14:textId="77777777" w:rsidR="004412F1" w:rsidRDefault="004412F1"/>
    <w:p w14:paraId="567C99C2" w14:textId="77777777" w:rsidR="004412F1" w:rsidRDefault="005A12A3">
      <w:pPr>
        <w:numPr>
          <w:ilvl w:val="1"/>
          <w:numId w:val="76"/>
        </w:numPr>
        <w:jc w:val="both"/>
        <w:rPr>
          <w:lang w:val="es-PE"/>
        </w:rPr>
      </w:pPr>
      <w:bookmarkStart w:id="792" w:name="_1idq7dh" w:colFirst="0" w:colLast="0"/>
      <w:bookmarkStart w:id="793" w:name="_Ref271728634"/>
      <w:bookmarkEnd w:id="792"/>
      <w:r>
        <w:rPr>
          <w:color w:val="000000"/>
          <w:lang w:val="es-PE"/>
        </w:rPr>
        <w:t xml:space="preserve">Conforme a la </w:t>
      </w:r>
      <w:r>
        <w:rPr>
          <w:lang w:val="es-PE"/>
        </w:rPr>
        <w:t>definición de Concesión contenida en el artículo 5° del Reglamento del Decreto Legislativo N° 1362, por el presente Contrato el CONCEDENTE transfiere al CONCESIONARIO la potestad de prestar el Servicio a favor de los Usuarios, para lo cual le concede el uso de los Bienes de la Concesión durante el Plazo de la Concesión. Para tal fin, el CONCESIONARIO deberá cumplir con los parámetros, niveles, capacidad y otros asociados a la inversión, así como con los Niveles de Servicio, previstos en el presente Contrato.</w:t>
      </w:r>
      <w:bookmarkEnd w:id="793"/>
    </w:p>
    <w:p w14:paraId="05239853" w14:textId="77777777" w:rsidR="004412F1" w:rsidRDefault="004412F1">
      <w:pPr>
        <w:jc w:val="both"/>
        <w:rPr>
          <w:lang w:val="es-PE"/>
        </w:rPr>
      </w:pPr>
    </w:p>
    <w:p w14:paraId="41974A65" w14:textId="77777777" w:rsidR="004412F1" w:rsidRDefault="005A12A3">
      <w:pPr>
        <w:ind w:left="709"/>
        <w:jc w:val="both"/>
        <w:rPr>
          <w:lang w:val="es-PE"/>
        </w:rPr>
      </w:pPr>
      <w:bookmarkStart w:id="794" w:name="_42ddq1a" w:colFirst="0" w:colLast="0"/>
      <w:bookmarkEnd w:id="794"/>
      <w:r>
        <w:rPr>
          <w:lang w:val="es-PE"/>
        </w:rPr>
        <w:t>Las Partes acuerdan que el presente Contrato se pacta a Suma Alzada, la cual incorpora todas las obligaciones del CONCESIONARIO y que están incluidas en función de la oferta presentada. No se aplicarán reajustes a la oferta presentada salvo los expresamente previstos en este Contrato. Esta disposición prevalece sobre cualquier otra que pudiera establecer o permitir una interpretación en contrario.</w:t>
      </w:r>
    </w:p>
    <w:p w14:paraId="640DDEE7" w14:textId="77777777" w:rsidR="004412F1" w:rsidRDefault="004412F1">
      <w:pPr>
        <w:ind w:left="720"/>
        <w:jc w:val="both"/>
        <w:rPr>
          <w:color w:val="000000"/>
          <w:sz w:val="16"/>
          <w:lang w:val="es-PE"/>
        </w:rPr>
      </w:pPr>
    </w:p>
    <w:p w14:paraId="032D386F" w14:textId="77777777" w:rsidR="004412F1" w:rsidRDefault="005A12A3">
      <w:pPr>
        <w:numPr>
          <w:ilvl w:val="1"/>
          <w:numId w:val="76"/>
        </w:numPr>
        <w:jc w:val="both"/>
        <w:rPr>
          <w:color w:val="000000"/>
          <w:lang w:val="es-PE"/>
        </w:rPr>
      </w:pPr>
      <w:r>
        <w:rPr>
          <w:color w:val="000000"/>
          <w:lang w:val="es-PE"/>
        </w:rPr>
        <w:t>Las actividades o prestaciones que forman parte de la Concesión y que por tanto constituyen el objeto de los derechos y obligaciones que asumen las Partes son las contenidas en el presente Contrato.</w:t>
      </w:r>
    </w:p>
    <w:p w14:paraId="78DABF1B" w14:textId="77777777" w:rsidR="004412F1" w:rsidRDefault="004412F1">
      <w:pPr>
        <w:jc w:val="both"/>
        <w:rPr>
          <w:color w:val="000000"/>
          <w:lang w:val="es-PE"/>
        </w:rPr>
      </w:pPr>
    </w:p>
    <w:p w14:paraId="7AE26545" w14:textId="77777777" w:rsidR="004412F1" w:rsidRDefault="005A12A3">
      <w:pPr>
        <w:numPr>
          <w:ilvl w:val="1"/>
          <w:numId w:val="76"/>
        </w:numPr>
        <w:jc w:val="both"/>
        <w:rPr>
          <w:color w:val="000000"/>
          <w:lang w:val="es-PE"/>
        </w:rPr>
      </w:pPr>
      <w:r>
        <w:rPr>
          <w:color w:val="000000"/>
          <w:lang w:val="es-MX"/>
        </w:rPr>
        <w:t xml:space="preserve">La entrega de los Bienes de la Concesión que realiza el CONCEDENTE al CONCESIONARIO, para su uso, </w:t>
      </w:r>
      <w:r>
        <w:rPr>
          <w:color w:val="000000"/>
          <w:lang w:val="es-PE"/>
        </w:rPr>
        <w:t xml:space="preserve">no supone transferencia de propiedad, la misma que en todo momento mantiene su condición pública y es titularidad del </w:t>
      </w:r>
      <w:r>
        <w:rPr>
          <w:color w:val="000000"/>
          <w:lang w:val="es-PE"/>
        </w:rPr>
        <w:lastRenderedPageBreak/>
        <w:t xml:space="preserve">Estado. El CONCESIONARIO adquiere el derecho de Concesión durante la vigencia de </w:t>
      </w:r>
      <w:proofErr w:type="gramStart"/>
      <w:r>
        <w:rPr>
          <w:color w:val="000000"/>
          <w:lang w:val="es-PE"/>
        </w:rPr>
        <w:t>la misma</w:t>
      </w:r>
      <w:proofErr w:type="gramEnd"/>
      <w:r>
        <w:rPr>
          <w:color w:val="000000"/>
          <w:lang w:val="es-PE"/>
        </w:rPr>
        <w:t>.</w:t>
      </w:r>
    </w:p>
    <w:p w14:paraId="5A53FF93" w14:textId="77777777" w:rsidR="004412F1" w:rsidRDefault="004412F1">
      <w:pPr>
        <w:jc w:val="both"/>
        <w:rPr>
          <w:color w:val="000000"/>
          <w:sz w:val="18"/>
          <w:lang w:val="es-PE"/>
        </w:rPr>
      </w:pPr>
    </w:p>
    <w:p w14:paraId="63809FD0" w14:textId="77777777" w:rsidR="004412F1" w:rsidRDefault="005A12A3">
      <w:pPr>
        <w:numPr>
          <w:ilvl w:val="1"/>
          <w:numId w:val="76"/>
        </w:numPr>
        <w:jc w:val="both"/>
        <w:rPr>
          <w:color w:val="000000"/>
          <w:lang w:val="es-PE"/>
        </w:rPr>
      </w:pPr>
      <w:r>
        <w:rPr>
          <w:color w:val="000000"/>
          <w:lang w:val="es-PE"/>
        </w:rPr>
        <w:t xml:space="preserve">Considerando que el objeto del derecho de Concesión es contribuir con el bienestar social de la población a través de una adecuada prestación del Servicio, en las condiciones económicas y de Niveles de Servicio que se establecen en el Contrato de Concesión, los actos de disposición y la constitución de derechos sobre la Concesión, deben ser compatibles con esta naturaleza y, ser aprobados por el CONCEDENTE, conforme a lo que disponga el Contrato y según el marco legal vigente. </w:t>
      </w:r>
    </w:p>
    <w:p w14:paraId="587FE09A" w14:textId="77777777" w:rsidR="004412F1" w:rsidRDefault="004412F1">
      <w:pPr>
        <w:ind w:left="708"/>
        <w:rPr>
          <w:color w:val="000000"/>
          <w:lang w:val="es-PE"/>
        </w:rPr>
      </w:pPr>
    </w:p>
    <w:p w14:paraId="3CD85F51" w14:textId="77777777" w:rsidR="004412F1" w:rsidRDefault="005A12A3">
      <w:pPr>
        <w:pStyle w:val="Ttulo2"/>
        <w:ind w:left="0"/>
        <w:rPr>
          <w:rFonts w:ascii="Arial" w:eastAsia="Arial" w:hAnsi="Arial" w:cs="Arial"/>
          <w:b/>
          <w:bCs/>
          <w:u w:val="none"/>
        </w:rPr>
      </w:pPr>
      <w:bookmarkStart w:id="795" w:name="_2hio093"/>
      <w:bookmarkStart w:id="796" w:name="_Toc131331987"/>
      <w:bookmarkStart w:id="797" w:name="_Toc55906357"/>
      <w:bookmarkStart w:id="798" w:name="_Toc131328745"/>
      <w:bookmarkStart w:id="799" w:name="_Toc131329081"/>
      <w:bookmarkStart w:id="800" w:name="_Toc131329313"/>
      <w:bookmarkStart w:id="801" w:name="_Toc131327928"/>
      <w:bookmarkStart w:id="802" w:name="_Toc139294697"/>
      <w:bookmarkStart w:id="803" w:name="_Toc131329900"/>
      <w:bookmarkStart w:id="804" w:name="_Toc468837603"/>
      <w:bookmarkStart w:id="805" w:name="_Toc131332908"/>
      <w:bookmarkStart w:id="806" w:name="_Toc140089295"/>
      <w:bookmarkEnd w:id="795"/>
      <w:r>
        <w:rPr>
          <w:rFonts w:ascii="Arial" w:eastAsia="Arial" w:hAnsi="Arial" w:cs="Arial"/>
          <w:b/>
          <w:bCs/>
          <w:u w:val="none"/>
        </w:rPr>
        <w:t>MODALIDAD</w:t>
      </w:r>
      <w:bookmarkEnd w:id="796"/>
      <w:bookmarkEnd w:id="797"/>
      <w:bookmarkEnd w:id="798"/>
      <w:bookmarkEnd w:id="799"/>
      <w:bookmarkEnd w:id="800"/>
      <w:bookmarkEnd w:id="801"/>
      <w:bookmarkEnd w:id="802"/>
      <w:bookmarkEnd w:id="803"/>
      <w:bookmarkEnd w:id="804"/>
      <w:bookmarkEnd w:id="805"/>
      <w:bookmarkEnd w:id="806"/>
    </w:p>
    <w:p w14:paraId="53CD8B6E" w14:textId="77777777" w:rsidR="004412F1" w:rsidRDefault="004412F1">
      <w:pPr>
        <w:jc w:val="both"/>
        <w:rPr>
          <w:color w:val="000000"/>
        </w:rPr>
      </w:pPr>
    </w:p>
    <w:p w14:paraId="0F6ACF1C" w14:textId="77777777" w:rsidR="004412F1" w:rsidRDefault="005A12A3">
      <w:pPr>
        <w:numPr>
          <w:ilvl w:val="1"/>
          <w:numId w:val="76"/>
        </w:numPr>
        <w:jc w:val="both"/>
        <w:rPr>
          <w:color w:val="000000"/>
          <w:lang w:val="es-PE"/>
        </w:rPr>
      </w:pPr>
      <w:r>
        <w:rPr>
          <w:color w:val="000000"/>
          <w:lang w:val="es-PE"/>
        </w:rPr>
        <w:t xml:space="preserve">El presente Contrato de Concesión constituye una Asociación </w:t>
      </w:r>
      <w:proofErr w:type="gramStart"/>
      <w:r>
        <w:rPr>
          <w:color w:val="000000"/>
          <w:lang w:val="es-PE"/>
        </w:rPr>
        <w:t>Público Privada</w:t>
      </w:r>
      <w:proofErr w:type="gramEnd"/>
      <w:r>
        <w:rPr>
          <w:color w:val="000000"/>
          <w:lang w:val="es-PE"/>
        </w:rPr>
        <w:t xml:space="preserve"> Cofinanciada, de conformidad con lo señalado en el Decreto Legislativo N° 1362 y su Reglamento aprobado mediante D.S. 240-2018-EF.</w:t>
      </w:r>
    </w:p>
    <w:p w14:paraId="0F9817FA" w14:textId="77777777" w:rsidR="004412F1" w:rsidRDefault="004412F1">
      <w:pPr>
        <w:ind w:left="708"/>
        <w:rPr>
          <w:b/>
          <w:color w:val="000000"/>
          <w:lang w:val="es-PE"/>
        </w:rPr>
      </w:pPr>
      <w:bookmarkStart w:id="807" w:name="_wnyagw" w:colFirst="0" w:colLast="0"/>
      <w:bookmarkStart w:id="808" w:name="_Toc82860345"/>
      <w:bookmarkStart w:id="809" w:name="_Toc82860747"/>
      <w:bookmarkStart w:id="810" w:name="_Toc82860140"/>
      <w:bookmarkStart w:id="811" w:name="_Toc82859092"/>
      <w:bookmarkStart w:id="812" w:name="_Toc82859728"/>
      <w:bookmarkStart w:id="813" w:name="_Toc82859934"/>
      <w:bookmarkStart w:id="814" w:name="_Toc82858873"/>
      <w:bookmarkStart w:id="815" w:name="_Toc82859521"/>
      <w:bookmarkStart w:id="816" w:name="_Toc82858652"/>
      <w:bookmarkStart w:id="817" w:name="_Toc106603883"/>
      <w:bookmarkStart w:id="818" w:name="_Toc82859308"/>
      <w:bookmarkStart w:id="819" w:name="_Toc106666477"/>
      <w:bookmarkStart w:id="820" w:name="_Toc55906358"/>
      <w:bookmarkEnd w:id="807"/>
    </w:p>
    <w:p w14:paraId="58DC8B24" w14:textId="77777777" w:rsidR="004412F1" w:rsidRDefault="005A12A3">
      <w:pPr>
        <w:pStyle w:val="Ttulo2"/>
        <w:ind w:left="0"/>
        <w:rPr>
          <w:rFonts w:ascii="Arial" w:hAnsi="Arial"/>
          <w:b/>
          <w:u w:val="none"/>
        </w:rPr>
      </w:pPr>
      <w:bookmarkStart w:id="821" w:name="_3gnlt4p"/>
      <w:bookmarkStart w:id="822" w:name="_Toc468837604"/>
      <w:bookmarkStart w:id="823" w:name="_Toc139294698"/>
      <w:bookmarkStart w:id="824" w:name="_Toc140089296"/>
      <w:bookmarkEnd w:id="821"/>
      <w:r>
        <w:rPr>
          <w:rFonts w:ascii="Arial" w:hAnsi="Arial"/>
          <w:b/>
          <w:u w:val="none"/>
        </w:rPr>
        <w:t>CARACTERES</w:t>
      </w:r>
      <w:bookmarkEnd w:id="808"/>
      <w:bookmarkEnd w:id="809"/>
      <w:bookmarkEnd w:id="810"/>
      <w:bookmarkEnd w:id="811"/>
      <w:bookmarkEnd w:id="812"/>
      <w:bookmarkEnd w:id="813"/>
      <w:bookmarkEnd w:id="814"/>
      <w:bookmarkEnd w:id="815"/>
      <w:bookmarkEnd w:id="816"/>
      <w:bookmarkEnd w:id="817"/>
      <w:bookmarkEnd w:id="818"/>
      <w:bookmarkEnd w:id="819"/>
      <w:bookmarkEnd w:id="822"/>
      <w:bookmarkEnd w:id="823"/>
      <w:bookmarkEnd w:id="824"/>
    </w:p>
    <w:p w14:paraId="1FD2BC32" w14:textId="77777777" w:rsidR="004412F1" w:rsidRDefault="004412F1">
      <w:pPr>
        <w:jc w:val="both"/>
      </w:pPr>
    </w:p>
    <w:p w14:paraId="728A9504" w14:textId="4BE56818" w:rsidR="004412F1" w:rsidRDefault="005A12A3">
      <w:pPr>
        <w:numPr>
          <w:ilvl w:val="1"/>
          <w:numId w:val="76"/>
        </w:numPr>
        <w:jc w:val="both"/>
        <w:rPr>
          <w:color w:val="000000"/>
          <w:lang w:val="es-PE"/>
        </w:rPr>
      </w:pPr>
      <w:r>
        <w:rPr>
          <w:color w:val="000000"/>
          <w:lang w:val="es-PE"/>
        </w:rPr>
        <w:t>Sin perjuicio de la multiplicidad de actividades y prestaciones en que se divide su objeto, conforme se describe en las Cláusulas</w:t>
      </w:r>
      <w:r w:rsidR="00EC5E81">
        <w:rPr>
          <w:color w:val="000000"/>
          <w:lang w:val="es-PE"/>
        </w:rPr>
        <w:t xml:space="preserve"> 2.1</w:t>
      </w:r>
      <w:r>
        <w:rPr>
          <w:color w:val="000000"/>
          <w:lang w:val="es-PE"/>
        </w:rPr>
        <w:t xml:space="preserve"> a</w:t>
      </w:r>
      <w:r w:rsidR="00EC5E81">
        <w:rPr>
          <w:color w:val="000000"/>
          <w:lang w:val="es-PE"/>
        </w:rPr>
        <w:t xml:space="preserve"> 2.4</w:t>
      </w:r>
      <w:r>
        <w:rPr>
          <w:color w:val="000000"/>
          <w:lang w:val="es-PE"/>
        </w:rPr>
        <w:t>, el Contrato es de naturaleza unitaria y responde a una causa única.</w:t>
      </w:r>
    </w:p>
    <w:p w14:paraId="4983A5E6" w14:textId="77777777" w:rsidR="004412F1" w:rsidRDefault="004412F1">
      <w:pPr>
        <w:jc w:val="both"/>
        <w:rPr>
          <w:color w:val="000000"/>
          <w:sz w:val="18"/>
          <w:lang w:val="es-PE"/>
        </w:rPr>
      </w:pPr>
    </w:p>
    <w:p w14:paraId="5A8054AD" w14:textId="77777777" w:rsidR="004412F1" w:rsidRDefault="005A12A3">
      <w:pPr>
        <w:numPr>
          <w:ilvl w:val="1"/>
          <w:numId w:val="76"/>
        </w:numPr>
        <w:jc w:val="both"/>
        <w:rPr>
          <w:color w:val="000000"/>
          <w:lang w:val="es-PE"/>
        </w:rPr>
      </w:pPr>
      <w:r>
        <w:rPr>
          <w:color w:val="000000"/>
          <w:lang w:val="es-PE"/>
        </w:rPr>
        <w:t>El Contrato es principal, de prestaciones recíprocas, de tracto sucesivo y de ejecución continua, debiendo en todo momento mantener el equilibrio económico - financiero de los derechos y obligaciones que asumen las Partes.</w:t>
      </w:r>
    </w:p>
    <w:p w14:paraId="083D4ED0" w14:textId="77777777" w:rsidR="004412F1" w:rsidRDefault="004412F1">
      <w:pPr>
        <w:jc w:val="both"/>
        <w:rPr>
          <w:lang w:val="es-PE"/>
        </w:rPr>
      </w:pPr>
    </w:p>
    <w:p w14:paraId="33052C7F" w14:textId="77777777" w:rsidR="004412F1" w:rsidRDefault="005A12A3">
      <w:pPr>
        <w:numPr>
          <w:ilvl w:val="1"/>
          <w:numId w:val="76"/>
        </w:numPr>
        <w:jc w:val="both"/>
        <w:rPr>
          <w:rFonts w:eastAsia="Times New Roman"/>
          <w:bCs/>
          <w:color w:val="000000"/>
          <w:szCs w:val="18"/>
          <w:lang w:val="es-ES" w:eastAsia="es-ES"/>
        </w:rPr>
      </w:pPr>
      <w:bookmarkStart w:id="825" w:name="_1vsw3ci" w:colFirst="0" w:colLast="0"/>
      <w:bookmarkStart w:id="826" w:name="_Ref349922385"/>
      <w:bookmarkEnd w:id="825"/>
      <w:r>
        <w:rPr>
          <w:color w:val="000000"/>
          <w:lang w:val="es-PE"/>
        </w:rPr>
        <w:t>Considerando la naturaleza pública de la titularidad de los Bienes de la Concesión, el Servicio que es materia del Contrato se rige por los principios de continuidad, igualdad, regularidad, universalidad y no-discriminación.</w:t>
      </w:r>
      <w:bookmarkEnd w:id="826"/>
    </w:p>
    <w:p w14:paraId="6888E10C" w14:textId="77777777" w:rsidR="004412F1" w:rsidRDefault="004412F1">
      <w:pPr>
        <w:jc w:val="both"/>
        <w:rPr>
          <w:color w:val="000000"/>
          <w:lang w:val="es-PE"/>
        </w:rPr>
      </w:pPr>
    </w:p>
    <w:p w14:paraId="662E6C30" w14:textId="77777777" w:rsidR="004412F1" w:rsidRDefault="005A12A3">
      <w:pPr>
        <w:pStyle w:val="Ttulo1"/>
        <w:jc w:val="both"/>
        <w:rPr>
          <w:lang w:val="es-PE"/>
        </w:rPr>
      </w:pPr>
      <w:bookmarkStart w:id="827" w:name="_4fsjm0b"/>
      <w:bookmarkStart w:id="828" w:name="_Toc131331989"/>
      <w:bookmarkStart w:id="829" w:name="_Toc131327930"/>
      <w:bookmarkStart w:id="830" w:name="_Toc468837605"/>
      <w:bookmarkStart w:id="831" w:name="_Toc131328747"/>
      <w:bookmarkStart w:id="832" w:name="_Toc131329902"/>
      <w:bookmarkStart w:id="833" w:name="_Toc131329083"/>
      <w:bookmarkStart w:id="834" w:name="_Toc131329315"/>
      <w:bookmarkStart w:id="835" w:name="_Toc131332910"/>
      <w:bookmarkStart w:id="836" w:name="_Toc139294699"/>
      <w:bookmarkStart w:id="837" w:name="_Toc140089297"/>
      <w:bookmarkEnd w:id="820"/>
      <w:bookmarkEnd w:id="827"/>
      <w:r>
        <w:rPr>
          <w:lang w:val="es-PE"/>
        </w:rPr>
        <w:t>CAPÍTULO III: EVENTOS A LA FECHA DE SUSCRIPCIÓN DEL CONTRATO</w:t>
      </w:r>
      <w:bookmarkEnd w:id="828"/>
      <w:bookmarkEnd w:id="829"/>
      <w:bookmarkEnd w:id="830"/>
      <w:bookmarkEnd w:id="831"/>
      <w:bookmarkEnd w:id="832"/>
      <w:bookmarkEnd w:id="833"/>
      <w:bookmarkEnd w:id="834"/>
      <w:bookmarkEnd w:id="835"/>
      <w:bookmarkEnd w:id="836"/>
      <w:bookmarkEnd w:id="837"/>
    </w:p>
    <w:p w14:paraId="1DF95DAF" w14:textId="77777777" w:rsidR="004412F1" w:rsidRDefault="004412F1">
      <w:pPr>
        <w:ind w:left="709"/>
        <w:jc w:val="both"/>
        <w:rPr>
          <w:b/>
          <w:color w:val="000000"/>
          <w:sz w:val="24"/>
          <w:lang w:val="es-PE"/>
        </w:rPr>
      </w:pPr>
    </w:p>
    <w:p w14:paraId="028BB9CD" w14:textId="77777777" w:rsidR="004412F1" w:rsidRDefault="005A12A3">
      <w:pPr>
        <w:pStyle w:val="Ttulo2"/>
        <w:ind w:left="0"/>
        <w:rPr>
          <w:rFonts w:ascii="Arial" w:hAnsi="Arial"/>
          <w:b/>
          <w:u w:val="none"/>
        </w:rPr>
      </w:pPr>
      <w:bookmarkStart w:id="838" w:name="_2uxtw84"/>
      <w:bookmarkStart w:id="839" w:name="_Toc139294700"/>
      <w:bookmarkStart w:id="840" w:name="_Toc468837606"/>
      <w:bookmarkStart w:id="841" w:name="_Toc140089298"/>
      <w:bookmarkEnd w:id="838"/>
      <w:r>
        <w:rPr>
          <w:rFonts w:ascii="Arial" w:hAnsi="Arial"/>
          <w:b/>
          <w:u w:val="none"/>
        </w:rPr>
        <w:t>DECLARACIONES DEL CONCESIONARIO</w:t>
      </w:r>
      <w:bookmarkEnd w:id="839"/>
      <w:bookmarkEnd w:id="840"/>
      <w:bookmarkEnd w:id="841"/>
    </w:p>
    <w:p w14:paraId="45639BEE" w14:textId="77777777" w:rsidR="004412F1" w:rsidRDefault="004412F1">
      <w:pPr>
        <w:ind w:left="709"/>
        <w:jc w:val="both"/>
        <w:rPr>
          <w:b/>
          <w:color w:val="000000"/>
          <w:sz w:val="18"/>
        </w:rPr>
      </w:pPr>
    </w:p>
    <w:p w14:paraId="1961C49E" w14:textId="77777777" w:rsidR="004412F1" w:rsidRDefault="005A12A3">
      <w:pPr>
        <w:numPr>
          <w:ilvl w:val="1"/>
          <w:numId w:val="77"/>
        </w:numPr>
        <w:tabs>
          <w:tab w:val="left" w:pos="709"/>
        </w:tabs>
        <w:ind w:left="709" w:hanging="709"/>
        <w:jc w:val="both"/>
        <w:rPr>
          <w:color w:val="000000"/>
          <w:lang w:val="es-PE"/>
        </w:rPr>
      </w:pPr>
      <w:bookmarkStart w:id="842" w:name="_1a346fx" w:colFirst="0" w:colLast="0"/>
      <w:bookmarkStart w:id="843" w:name="_Ref306275410"/>
      <w:bookmarkEnd w:id="842"/>
      <w:r>
        <w:rPr>
          <w:color w:val="000000"/>
          <w:lang w:val="es-PE"/>
        </w:rPr>
        <w:t>El CONCESIONARIO garantiza al CONCEDENTE que, a la Fecha de Suscripción del Contrato, las declaraciones indicadas a continuación son ciertas, correctas y completas y reconoce que la suscripción del Contrato por parte del CONCEDENTE se basa en ellas:</w:t>
      </w:r>
      <w:bookmarkEnd w:id="843"/>
    </w:p>
    <w:p w14:paraId="56C0B2FF" w14:textId="77777777" w:rsidR="004412F1" w:rsidRDefault="004412F1">
      <w:pPr>
        <w:jc w:val="both"/>
        <w:rPr>
          <w:color w:val="000000"/>
          <w:lang w:val="es-PE"/>
        </w:rPr>
      </w:pPr>
    </w:p>
    <w:p w14:paraId="399FB30F" w14:textId="77777777" w:rsidR="004412F1" w:rsidRDefault="005A12A3">
      <w:pPr>
        <w:numPr>
          <w:ilvl w:val="0"/>
          <w:numId w:val="78"/>
        </w:numPr>
        <w:tabs>
          <w:tab w:val="left" w:pos="1134"/>
        </w:tabs>
        <w:jc w:val="both"/>
      </w:pPr>
      <w:r>
        <w:t>Constitución, validez y consentimiento</w:t>
      </w:r>
    </w:p>
    <w:p w14:paraId="3EA518CC" w14:textId="77777777" w:rsidR="004412F1" w:rsidRDefault="005A12A3">
      <w:pPr>
        <w:tabs>
          <w:tab w:val="left" w:pos="1134"/>
        </w:tabs>
        <w:ind w:left="1134" w:hanging="425"/>
        <w:jc w:val="both"/>
        <w:rPr>
          <w:lang w:val="es-PE"/>
        </w:rPr>
      </w:pPr>
      <w:r>
        <w:rPr>
          <w:lang w:val="es-PE"/>
        </w:rPr>
        <w:tab/>
        <w:t>Que, el CONCESIONARIO (i) es una sociedad debidamente constituida en el Perú conforme a las Leyes y Disposiciones Aplicables; (ii) de acuerdo con su objeto social está debidamente autorizado y en capacidad de asumir las obligaciones que respectivamente le corresponde como consecuencia de la celebración de este Contrato; y (iii) ha cumplido con todos los requisitos necesarios para formalizar este Contrato y para cumplir los compromisos aquí contemplados.</w:t>
      </w:r>
    </w:p>
    <w:p w14:paraId="5EB5157C" w14:textId="77777777" w:rsidR="004412F1" w:rsidRDefault="004412F1">
      <w:pPr>
        <w:tabs>
          <w:tab w:val="left" w:pos="1134"/>
        </w:tabs>
        <w:ind w:left="1134" w:hanging="425"/>
        <w:jc w:val="both"/>
        <w:rPr>
          <w:lang w:val="es-PE"/>
        </w:rPr>
      </w:pPr>
    </w:p>
    <w:p w14:paraId="64062BE8" w14:textId="77777777" w:rsidR="004412F1" w:rsidRDefault="005A12A3">
      <w:pPr>
        <w:numPr>
          <w:ilvl w:val="0"/>
          <w:numId w:val="78"/>
        </w:numPr>
        <w:tabs>
          <w:tab w:val="left" w:pos="1134"/>
        </w:tabs>
        <w:jc w:val="both"/>
      </w:pPr>
      <w:r>
        <w:t>Autorización, firma y efecto</w:t>
      </w:r>
    </w:p>
    <w:p w14:paraId="5BCF58C4" w14:textId="77777777" w:rsidR="004412F1" w:rsidRDefault="005A12A3">
      <w:pPr>
        <w:tabs>
          <w:tab w:val="left" w:pos="1134"/>
        </w:tabs>
        <w:ind w:left="1134"/>
        <w:jc w:val="both"/>
        <w:rPr>
          <w:lang w:val="es-PE"/>
        </w:rPr>
      </w:pPr>
      <w:r>
        <w:rPr>
          <w:lang w:val="es-PE"/>
        </w:rPr>
        <w:t>Que, la firma y cumplimiento del presente Contrato, así como el cumplimiento de las obligaciones aquí contempladas por parte del CONCESIONARIO están comprendidos dentro de sus facultades y ha sido debidamente autorizado por el directorio u otros órganos similares.</w:t>
      </w:r>
    </w:p>
    <w:p w14:paraId="3C8D5036" w14:textId="77777777" w:rsidR="004412F1" w:rsidRDefault="004412F1">
      <w:pPr>
        <w:tabs>
          <w:tab w:val="left" w:pos="1134"/>
        </w:tabs>
        <w:ind w:left="1134" w:hanging="425"/>
        <w:jc w:val="both"/>
        <w:rPr>
          <w:lang w:val="es-PE"/>
        </w:rPr>
      </w:pPr>
    </w:p>
    <w:p w14:paraId="144B0EDF" w14:textId="77777777" w:rsidR="004412F1" w:rsidRDefault="005A12A3">
      <w:pPr>
        <w:tabs>
          <w:tab w:val="left" w:pos="1134"/>
        </w:tabs>
        <w:ind w:left="1134" w:hanging="425"/>
        <w:jc w:val="both"/>
        <w:rPr>
          <w:lang w:val="es-PE"/>
        </w:rPr>
      </w:pPr>
      <w:r>
        <w:rPr>
          <w:lang w:val="es-PE"/>
        </w:rPr>
        <w:lastRenderedPageBreak/>
        <w:tab/>
        <w:t xml:space="preserve">Que, el CONCESIONARIO ha cumplido totalmente con los actos y/o procedimientos exigidos en el Concurso para autorizar la suscripción de este Contrato y para el cumplimiento de las obligaciones que le corresponde bajo este Contrato. Este Contrato ha sido debida y válidamente firmado por el CONCESIONARIO y constituye obligación válida, vinculante y exigible para el CONCESIONARIO. </w:t>
      </w:r>
    </w:p>
    <w:p w14:paraId="1E864007" w14:textId="77777777" w:rsidR="004412F1" w:rsidRDefault="004412F1">
      <w:pPr>
        <w:tabs>
          <w:tab w:val="left" w:pos="1134"/>
        </w:tabs>
        <w:ind w:left="1134" w:hanging="425"/>
        <w:jc w:val="both"/>
        <w:rPr>
          <w:lang w:val="es-PE"/>
        </w:rPr>
      </w:pPr>
    </w:p>
    <w:p w14:paraId="1F531D2B" w14:textId="77777777" w:rsidR="004412F1" w:rsidRDefault="005A12A3">
      <w:pPr>
        <w:tabs>
          <w:tab w:val="left" w:pos="1134"/>
        </w:tabs>
        <w:ind w:left="1134" w:hanging="425"/>
        <w:jc w:val="both"/>
        <w:rPr>
          <w:lang w:val="es-PE"/>
        </w:rPr>
      </w:pPr>
      <w:r>
        <w:rPr>
          <w:lang w:val="es-PE"/>
        </w:rPr>
        <w:tab/>
        <w:t>Que, la suscripción de este Contrato constituye la ratificación de todos los actos realizados y documentos suscritos por el o los Representantes Legales del Adjudicatario, incluyendo cualquier derecho u obligación que le corresponda conforme a las Bases, este Contrato o las Leyes y Disposiciones Aplicables.</w:t>
      </w:r>
    </w:p>
    <w:p w14:paraId="5292BF2E" w14:textId="77777777" w:rsidR="004412F1" w:rsidRDefault="004412F1">
      <w:pPr>
        <w:tabs>
          <w:tab w:val="left" w:pos="1134"/>
        </w:tabs>
        <w:ind w:left="1134" w:hanging="425"/>
        <w:jc w:val="both"/>
        <w:rPr>
          <w:lang w:val="es-PE"/>
        </w:rPr>
      </w:pPr>
    </w:p>
    <w:p w14:paraId="62BD2944" w14:textId="77777777" w:rsidR="004412F1" w:rsidRDefault="005A12A3">
      <w:pPr>
        <w:tabs>
          <w:tab w:val="left" w:pos="1134"/>
        </w:tabs>
        <w:ind w:left="1134" w:hanging="425"/>
        <w:jc w:val="both"/>
        <w:rPr>
          <w:lang w:val="es-PE"/>
        </w:rPr>
      </w:pPr>
      <w:r>
        <w:rPr>
          <w:lang w:val="es-PE"/>
        </w:rPr>
        <w:tab/>
        <w:t xml:space="preserve">Que, no es necesaria la realización de otros actos o procedimientos por parte del CONCESIONARIO para autorizar la suscripción y cumplimiento de las obligaciones que le correspondan conforme al Contrato. </w:t>
      </w:r>
    </w:p>
    <w:p w14:paraId="0DE50294" w14:textId="77777777" w:rsidR="004412F1" w:rsidRDefault="004412F1">
      <w:pPr>
        <w:tabs>
          <w:tab w:val="left" w:pos="1134"/>
        </w:tabs>
        <w:ind w:left="1134" w:hanging="425"/>
        <w:jc w:val="both"/>
        <w:rPr>
          <w:lang w:val="es-PE"/>
        </w:rPr>
      </w:pPr>
    </w:p>
    <w:p w14:paraId="25A09852" w14:textId="77777777" w:rsidR="004412F1" w:rsidRPr="00C07F4B" w:rsidRDefault="005A12A3">
      <w:pPr>
        <w:numPr>
          <w:ilvl w:val="0"/>
          <w:numId w:val="78"/>
        </w:numPr>
        <w:tabs>
          <w:tab w:val="left" w:pos="1134"/>
        </w:tabs>
        <w:jc w:val="both"/>
        <w:rPr>
          <w:lang w:val="es-PE"/>
        </w:rPr>
      </w:pPr>
      <w:r w:rsidRPr="00C07F4B">
        <w:rPr>
          <w:lang w:val="es-PE"/>
        </w:rPr>
        <w:t>Conformación del CONCESIONARIO y su capital</w:t>
      </w:r>
    </w:p>
    <w:p w14:paraId="1D00503E" w14:textId="77777777" w:rsidR="004412F1" w:rsidRDefault="005A12A3">
      <w:pPr>
        <w:tabs>
          <w:tab w:val="left" w:pos="1134"/>
        </w:tabs>
        <w:ind w:left="1134" w:hanging="425"/>
        <w:jc w:val="both"/>
        <w:rPr>
          <w:lang w:val="es-PE"/>
        </w:rPr>
      </w:pPr>
      <w:r>
        <w:rPr>
          <w:lang w:val="es-PE"/>
        </w:rPr>
        <w:tab/>
        <w:t>El CONCESIONARIO declara lo siguiente:</w:t>
      </w:r>
    </w:p>
    <w:p w14:paraId="301314D2" w14:textId="77777777" w:rsidR="004412F1" w:rsidRDefault="005A12A3">
      <w:pPr>
        <w:numPr>
          <w:ilvl w:val="0"/>
          <w:numId w:val="79"/>
        </w:numPr>
        <w:jc w:val="both"/>
        <w:rPr>
          <w:lang w:val="es-PE"/>
        </w:rPr>
      </w:pPr>
      <w:r>
        <w:rPr>
          <w:lang w:val="es-PE"/>
        </w:rPr>
        <w:t>El objeto social único del CONCESIONARIO permite la prestación de Servicio y su domicilio está fijado en la provincia de Lima.</w:t>
      </w:r>
    </w:p>
    <w:p w14:paraId="67127BE7" w14:textId="3EDC3AEC" w:rsidR="004412F1" w:rsidRDefault="005A12A3">
      <w:pPr>
        <w:numPr>
          <w:ilvl w:val="0"/>
          <w:numId w:val="79"/>
        </w:numPr>
        <w:jc w:val="both"/>
        <w:rPr>
          <w:lang w:val="es-PE"/>
        </w:rPr>
      </w:pPr>
      <w:r>
        <w:rPr>
          <w:lang w:val="es-PE"/>
        </w:rPr>
        <w:t xml:space="preserve">El CONCESIONARIO tiene un capital social mínimo suscrito y pagado que cumple con lo establecido en el Literal b) de la Cláusula </w:t>
      </w:r>
      <w:r w:rsidR="00EC5E81">
        <w:rPr>
          <w:lang w:val="es-PE"/>
        </w:rPr>
        <w:t>3.3</w:t>
      </w:r>
      <w:r>
        <w:rPr>
          <w:lang w:val="es-PE"/>
        </w:rPr>
        <w:t xml:space="preserve">.  </w:t>
      </w:r>
    </w:p>
    <w:p w14:paraId="4B282EEC" w14:textId="09D3813C" w:rsidR="004412F1" w:rsidRDefault="005A12A3">
      <w:pPr>
        <w:numPr>
          <w:ilvl w:val="0"/>
          <w:numId w:val="79"/>
        </w:numPr>
        <w:jc w:val="both"/>
        <w:rPr>
          <w:lang w:val="es-PE"/>
        </w:rPr>
      </w:pPr>
      <w:r>
        <w:rPr>
          <w:lang w:val="es-PE"/>
        </w:rPr>
        <w:t xml:space="preserve">La conformación del capital del CONCESIONARIO vigente a la Fecha de Suscripción del Contrato se encuentra conforme a lo establecido en la Cláusula </w:t>
      </w:r>
      <w:r w:rsidR="00EC5E81">
        <w:rPr>
          <w:lang w:val="es-PE"/>
        </w:rPr>
        <w:t>3.3</w:t>
      </w:r>
      <w:r>
        <w:rPr>
          <w:lang w:val="es-PE"/>
        </w:rPr>
        <w:t>.</w:t>
      </w:r>
    </w:p>
    <w:p w14:paraId="5F9D040D" w14:textId="77777777" w:rsidR="004412F1" w:rsidRDefault="005A12A3">
      <w:pPr>
        <w:numPr>
          <w:ilvl w:val="0"/>
          <w:numId w:val="79"/>
        </w:numPr>
        <w:jc w:val="both"/>
        <w:rPr>
          <w:lang w:val="es-PE"/>
        </w:rPr>
      </w:pPr>
      <w:r>
        <w:rPr>
          <w:lang w:val="es-PE"/>
        </w:rPr>
        <w:t>El Socio Estratégico es propietario y titular de por lo menos la Participación Mínima.</w:t>
      </w:r>
    </w:p>
    <w:p w14:paraId="25B14B47" w14:textId="77777777" w:rsidR="004412F1" w:rsidRDefault="004412F1">
      <w:pPr>
        <w:ind w:left="1100" w:hanging="400"/>
        <w:rPr>
          <w:lang w:val="es-PE"/>
        </w:rPr>
      </w:pPr>
    </w:p>
    <w:p w14:paraId="1DA1B37E" w14:textId="77777777" w:rsidR="004412F1" w:rsidRDefault="005A12A3">
      <w:pPr>
        <w:numPr>
          <w:ilvl w:val="0"/>
          <w:numId w:val="78"/>
        </w:numPr>
        <w:tabs>
          <w:tab w:val="left" w:pos="1134"/>
        </w:tabs>
        <w:jc w:val="both"/>
      </w:pPr>
      <w:r>
        <w:t>Litigios</w:t>
      </w:r>
    </w:p>
    <w:p w14:paraId="5F6FB44D" w14:textId="77777777" w:rsidR="004412F1" w:rsidRDefault="005A12A3">
      <w:pPr>
        <w:ind w:left="1100"/>
        <w:jc w:val="both"/>
        <w:rPr>
          <w:lang w:val="es-PE"/>
        </w:rPr>
      </w:pPr>
      <w:r>
        <w:rPr>
          <w:lang w:val="es-PE"/>
        </w:rPr>
        <w:t xml:space="preserve">Que, no tiene conocimiento ni ha sido formalmente notificado de demandas, denuncias, juicios, arbitrajes u otros procedimientos legales en curso, ni sentencias, ni decisiones de cualquier clase no ejecutadas, contra el CONCESIONARIO y/o el Socio Estratégico que tengan por objeto prohibir o de otra manera impedir o limitar el cumplimiento de los compromisos u obligaciones contemplados en este Contrato. </w:t>
      </w:r>
    </w:p>
    <w:p w14:paraId="5B64CB68" w14:textId="77777777" w:rsidR="004412F1" w:rsidRDefault="004412F1">
      <w:pPr>
        <w:tabs>
          <w:tab w:val="left" w:pos="1134"/>
        </w:tabs>
        <w:ind w:left="1134" w:hanging="425"/>
        <w:jc w:val="both"/>
        <w:rPr>
          <w:lang w:val="es-PE"/>
        </w:rPr>
      </w:pPr>
    </w:p>
    <w:p w14:paraId="44DC4207" w14:textId="77777777" w:rsidR="004412F1" w:rsidRDefault="005A12A3">
      <w:pPr>
        <w:numPr>
          <w:ilvl w:val="0"/>
          <w:numId w:val="78"/>
        </w:numPr>
        <w:tabs>
          <w:tab w:val="left" w:pos="1134"/>
        </w:tabs>
        <w:jc w:val="both"/>
      </w:pPr>
      <w:r>
        <w:t>De la contratación</w:t>
      </w:r>
    </w:p>
    <w:p w14:paraId="50DDD9F0" w14:textId="77777777" w:rsidR="004412F1" w:rsidRDefault="005A12A3">
      <w:pPr>
        <w:ind w:left="1100"/>
        <w:jc w:val="both"/>
        <w:rPr>
          <w:lang w:val="es-PE"/>
        </w:rPr>
      </w:pPr>
      <w:r>
        <w:rPr>
          <w:lang w:val="es-PE"/>
        </w:rPr>
        <w:t>El CONCESIONARIO declara y reconoce expresamente que ha logrado dicha condición como consecuencia del Concurso.</w:t>
      </w:r>
    </w:p>
    <w:p w14:paraId="69FEAC65" w14:textId="77777777" w:rsidR="004412F1" w:rsidRDefault="005A12A3">
      <w:pPr>
        <w:ind w:left="1100"/>
        <w:jc w:val="both"/>
        <w:rPr>
          <w:lang w:val="es-PE"/>
        </w:rPr>
      </w:pPr>
      <w:r>
        <w:rPr>
          <w:lang w:val="es-PE"/>
        </w:rPr>
        <w:t>Que, el CONCESIONARIO sus accionistas o participacionistas no tienen impedimento ni están sujetos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a las Bases, la Propuesta Técnica, la Propuesta Económica y el presente Contrato.</w:t>
      </w:r>
    </w:p>
    <w:p w14:paraId="6A288138" w14:textId="77777777" w:rsidR="004412F1" w:rsidRDefault="004412F1">
      <w:pPr>
        <w:ind w:left="1100" w:hanging="400"/>
        <w:jc w:val="both"/>
        <w:rPr>
          <w:lang w:val="es-PE"/>
        </w:rPr>
      </w:pPr>
    </w:p>
    <w:p w14:paraId="2EF23C14" w14:textId="77777777" w:rsidR="004412F1" w:rsidRDefault="005A12A3">
      <w:pPr>
        <w:ind w:left="1100"/>
        <w:jc w:val="both"/>
        <w:rPr>
          <w:lang w:val="es-PE"/>
        </w:rPr>
      </w:pPr>
      <w:r>
        <w:rPr>
          <w:lang w:val="es-PE"/>
        </w:rPr>
        <w:t>Que, el CONCESIONARIO ni sus accionistas o participacionistas, tienen impedimento de contratar conforme a lo normado por el Artículo 1366 del Código Civil, el Artículo 29° del Decreto Legislativo N° 1362, y no se encuentra sancionado administrativamente con inhabilitación temporal o permanente en el ejercicio de sus derechos para contratar con el Estado.</w:t>
      </w:r>
    </w:p>
    <w:p w14:paraId="1DF792F9" w14:textId="77777777" w:rsidR="004412F1" w:rsidRDefault="004412F1">
      <w:pPr>
        <w:ind w:left="1100" w:hanging="400"/>
        <w:jc w:val="both"/>
        <w:rPr>
          <w:lang w:val="es-PE"/>
        </w:rPr>
      </w:pPr>
    </w:p>
    <w:p w14:paraId="3DCE2DC7" w14:textId="77777777" w:rsidR="004412F1" w:rsidRDefault="005A12A3">
      <w:pPr>
        <w:numPr>
          <w:ilvl w:val="0"/>
          <w:numId w:val="78"/>
        </w:numPr>
        <w:tabs>
          <w:tab w:val="left" w:pos="1134"/>
        </w:tabs>
        <w:jc w:val="both"/>
      </w:pPr>
      <w:r>
        <w:t>Limitación de responsabilidad</w:t>
      </w:r>
    </w:p>
    <w:p w14:paraId="29BF0489" w14:textId="77777777" w:rsidR="004412F1" w:rsidRDefault="005A12A3">
      <w:pPr>
        <w:ind w:left="1100"/>
        <w:jc w:val="both"/>
        <w:rPr>
          <w:lang w:val="es-PE"/>
        </w:rPr>
      </w:pPr>
      <w:r>
        <w:rPr>
          <w:lang w:val="es-PE"/>
        </w:rPr>
        <w:t>Que el CONCESIONARIO y, en su caso, sus accionistas o participacionistas han basado su decisión, incluyendo la de formular, determinar y presentar la Propuesta Técnica, Propuesta Económica y suscribir el presente Contrato, en sus propias investigaciones, exámenes, inspecciones, visitas, entrevistas y otros.</w:t>
      </w:r>
    </w:p>
    <w:p w14:paraId="201DBC0F" w14:textId="77777777" w:rsidR="004412F1" w:rsidRDefault="004412F1">
      <w:pPr>
        <w:ind w:left="1100" w:hanging="400"/>
        <w:jc w:val="both"/>
        <w:rPr>
          <w:lang w:val="es-PE"/>
        </w:rPr>
      </w:pPr>
    </w:p>
    <w:p w14:paraId="2FC45F72" w14:textId="00FF3098" w:rsidR="004412F1" w:rsidRDefault="005A12A3">
      <w:pPr>
        <w:ind w:left="1100"/>
        <w:jc w:val="both"/>
        <w:rPr>
          <w:lang w:val="es-PE"/>
        </w:rPr>
      </w:pPr>
      <w:r>
        <w:rPr>
          <w:lang w:val="es-PE"/>
        </w:rPr>
        <w:t>En consecuencia, el MTC, PROINVERSIÓN y sus asesores y el Estado de la República del Perú o cualquier dependencia de éste, no garantizan, ni expresa ni implícitamente, la totalidad, integridad, fiabilidad, o veracidad de la información, verbal o escrita, que se suministre a los efectos de, o dentro del Concurso. En consecuencia, no se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esta Cláusula.</w:t>
      </w:r>
    </w:p>
    <w:p w14:paraId="1B8E63A5" w14:textId="77777777" w:rsidR="004412F1" w:rsidRDefault="004412F1">
      <w:pPr>
        <w:ind w:left="1100" w:hanging="400"/>
        <w:jc w:val="both"/>
        <w:rPr>
          <w:lang w:val="es-PE"/>
        </w:rPr>
      </w:pPr>
    </w:p>
    <w:p w14:paraId="40917281" w14:textId="5DEF536D" w:rsidR="004412F1" w:rsidRDefault="005A12A3">
      <w:pPr>
        <w:ind w:left="1100"/>
        <w:jc w:val="both"/>
        <w:rPr>
          <w:lang w:val="es-PE"/>
        </w:rPr>
      </w:pPr>
      <w:r>
        <w:rPr>
          <w:lang w:val="es-PE"/>
        </w:rPr>
        <w:t>La limitación antes enunciada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MTC, PROINVERSIÓN y sus asesores y el Estado de la República del Perú o cualquier dependencia de éstos. Del mismo modo, dicha limitación de responsabilidad alcanza a toda información, sea o no suministrada o formulada, directa o indirectamente, por cualquiera de las partes antes mencionadas.</w:t>
      </w:r>
    </w:p>
    <w:p w14:paraId="26E2963B" w14:textId="77777777" w:rsidR="004412F1" w:rsidRDefault="004412F1">
      <w:pPr>
        <w:ind w:left="1100" w:hanging="400"/>
        <w:jc w:val="both"/>
        <w:rPr>
          <w:lang w:val="es-PE"/>
        </w:rPr>
      </w:pPr>
    </w:p>
    <w:p w14:paraId="5DAA2754" w14:textId="77777777" w:rsidR="004412F1" w:rsidRDefault="005A12A3">
      <w:pPr>
        <w:ind w:left="1100"/>
        <w:jc w:val="both"/>
        <w:rPr>
          <w:lang w:val="es-PE"/>
        </w:rPr>
      </w:pPr>
      <w:r>
        <w:rPr>
          <w:lang w:val="es-PE"/>
        </w:rPr>
        <w:t>La limitación de responsabilidad comprende también a toda la información general alcanzada por PROINVERSIÓN, documentos de mercadeo, así como la proporcionada a través de Circulares o de cualquier otra forma de comunicación, la que se adquiera durante las visitas a la Sala de Datos, y la que se menciona en las Bases, incluyendo todos sus Formularios, ANEXOS y Apéndices.</w:t>
      </w:r>
    </w:p>
    <w:p w14:paraId="63B3AFCF" w14:textId="77777777" w:rsidR="004412F1" w:rsidRDefault="004412F1">
      <w:pPr>
        <w:tabs>
          <w:tab w:val="left" w:pos="1134"/>
        </w:tabs>
        <w:ind w:left="1134" w:hanging="425"/>
        <w:jc w:val="both"/>
        <w:rPr>
          <w:lang w:val="es-PE"/>
        </w:rPr>
      </w:pPr>
    </w:p>
    <w:p w14:paraId="7F6C806C" w14:textId="77777777" w:rsidR="004412F1" w:rsidRDefault="005A12A3">
      <w:pPr>
        <w:numPr>
          <w:ilvl w:val="0"/>
          <w:numId w:val="78"/>
        </w:numPr>
        <w:tabs>
          <w:tab w:val="left" w:pos="1134"/>
        </w:tabs>
        <w:ind w:left="1134" w:hanging="425"/>
        <w:jc w:val="both"/>
        <w:rPr>
          <w:lang w:val="es-PE"/>
        </w:rPr>
      </w:pPr>
      <w:bookmarkStart w:id="844" w:name="_3u2rp3q"/>
      <w:bookmarkStart w:id="845" w:name="_Ref299979157"/>
      <w:bookmarkEnd w:id="844"/>
      <w:r>
        <w:rPr>
          <w:lang w:val="es-PE"/>
        </w:rPr>
        <w:t>Que, a la Fecha de Suscripción del Contrato, toda la información, declaraciones, certificación y, en general, todos los documentos presentados en los Sobres Nº 1 y Nº 2 exigidos en las Bases en la etapa del Concurso permanecen vigentes.</w:t>
      </w:r>
      <w:bookmarkEnd w:id="845"/>
      <w:r>
        <w:rPr>
          <w:lang w:val="es-PE"/>
        </w:rPr>
        <w:t xml:space="preserve"> </w:t>
      </w:r>
    </w:p>
    <w:p w14:paraId="0087A27A" w14:textId="77777777" w:rsidR="004412F1" w:rsidRDefault="004412F1">
      <w:pPr>
        <w:ind w:left="1134"/>
        <w:jc w:val="both"/>
        <w:rPr>
          <w:lang w:val="es-PE"/>
        </w:rPr>
      </w:pPr>
    </w:p>
    <w:p w14:paraId="6E70E3E1" w14:textId="77777777" w:rsidR="004412F1" w:rsidRDefault="005A12A3">
      <w:pPr>
        <w:numPr>
          <w:ilvl w:val="0"/>
          <w:numId w:val="78"/>
        </w:numPr>
        <w:tabs>
          <w:tab w:val="left" w:pos="1134"/>
        </w:tabs>
        <w:ind w:left="1134" w:hanging="425"/>
        <w:jc w:val="both"/>
        <w:rPr>
          <w:lang w:val="es-PE"/>
        </w:rPr>
      </w:pPr>
      <w:r>
        <w:rPr>
          <w:lang w:val="es-PE"/>
        </w:rPr>
        <w:t>Que, a la Fecha de Suscripción del Contrato, el CONCESIONARIO declara que ni él, ni el Socio Estratégico, ni sus accionistas, participacionistas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Contrato de Concesión.</w:t>
      </w:r>
    </w:p>
    <w:p w14:paraId="7BE32C77" w14:textId="77777777" w:rsidR="004412F1" w:rsidRDefault="004412F1">
      <w:pPr>
        <w:ind w:left="1134"/>
        <w:jc w:val="both"/>
        <w:rPr>
          <w:lang w:val="es-PE"/>
        </w:rPr>
      </w:pPr>
      <w:bookmarkStart w:id="846" w:name="_2981zbj" w:colFirst="0" w:colLast="0"/>
      <w:bookmarkEnd w:id="846"/>
    </w:p>
    <w:p w14:paraId="552DD507" w14:textId="77777777" w:rsidR="004412F1" w:rsidRDefault="005A12A3">
      <w:pPr>
        <w:numPr>
          <w:ilvl w:val="0"/>
          <w:numId w:val="78"/>
        </w:numPr>
        <w:tabs>
          <w:tab w:val="left" w:pos="1134"/>
        </w:tabs>
        <w:ind w:left="1134" w:hanging="425"/>
        <w:jc w:val="both"/>
        <w:rPr>
          <w:lang w:val="es-PE"/>
        </w:rPr>
      </w:pPr>
      <w:bookmarkStart w:id="847" w:name="_Ref306275440"/>
      <w:r>
        <w:rPr>
          <w:lang w:val="es-PE"/>
        </w:rPr>
        <w:t>Que, la Participación Mínima del Socio Estratégico, el estatuto social y los documentos constitutivos del CONCESIONARIO cumplen y se mantendrán conforme a las exigencias de las Bases y el presente Contrato.</w:t>
      </w:r>
      <w:bookmarkEnd w:id="847"/>
    </w:p>
    <w:p w14:paraId="5A525ADD" w14:textId="77777777" w:rsidR="004412F1" w:rsidRDefault="004412F1">
      <w:pPr>
        <w:ind w:left="709"/>
        <w:jc w:val="both"/>
        <w:rPr>
          <w:lang w:val="es-PE"/>
        </w:rPr>
      </w:pPr>
    </w:p>
    <w:p w14:paraId="2474AAA7" w14:textId="77777777" w:rsidR="004412F1" w:rsidRDefault="005A12A3">
      <w:pPr>
        <w:numPr>
          <w:ilvl w:val="0"/>
          <w:numId w:val="78"/>
        </w:numPr>
        <w:tabs>
          <w:tab w:val="left" w:pos="1134"/>
        </w:tabs>
        <w:ind w:left="1134" w:hanging="425"/>
        <w:jc w:val="both"/>
        <w:rPr>
          <w:lang w:val="es-PE"/>
        </w:rPr>
      </w:pPr>
      <w:r>
        <w:rPr>
          <w:lang w:val="es-PE"/>
        </w:rPr>
        <w:lastRenderedPageBreak/>
        <w:t>El CONCESIONARIO deja constancia que los contratos que celebre con terceros no serán oponibles respecto del CONCEDENTE.</w:t>
      </w:r>
    </w:p>
    <w:p w14:paraId="2AC37E65" w14:textId="77777777" w:rsidR="004412F1" w:rsidRDefault="004412F1">
      <w:pPr>
        <w:tabs>
          <w:tab w:val="left" w:pos="1134"/>
        </w:tabs>
        <w:ind w:left="709"/>
        <w:jc w:val="both"/>
        <w:rPr>
          <w:lang w:val="es-PE"/>
        </w:rPr>
      </w:pPr>
    </w:p>
    <w:p w14:paraId="28D4A53C" w14:textId="77777777" w:rsidR="004412F1" w:rsidRDefault="005A12A3">
      <w:pPr>
        <w:numPr>
          <w:ilvl w:val="0"/>
          <w:numId w:val="78"/>
        </w:numPr>
        <w:tabs>
          <w:tab w:val="left" w:pos="1134"/>
        </w:tabs>
        <w:ind w:left="1134" w:hanging="425"/>
        <w:jc w:val="both"/>
        <w:rPr>
          <w:lang w:val="es-PE"/>
        </w:rPr>
      </w:pPr>
      <w:r>
        <w:rPr>
          <w:lang w:val="es-PE"/>
        </w:rPr>
        <w:t>Que, el CONCESIONARIO, sus accionistas o participacionistas renuncian de manera expresa, incondicional e irrevocable a invocar o ejercer cualquier privilegio o inmunidad, diplomática u otra, o reclamo por la vía diplomática que pudiese ser incoado por o contra el MTC o sus dependencias, PROINVERSIÓN, los asesores, el Estado o sus dependencias, bajo las Leyes y Disposiciones Aplicables o bajo cualquier otra legislación, con respecto a cualesquiera de las obligaciones que le correspondan o pudieran corresponder conforme a las Bases, la Propuesta Técnica, la Propuesta Económica y al presente Contrato o, por las controversias o conflictos que pudiesen surgir respecto del Contrato.</w:t>
      </w:r>
    </w:p>
    <w:p w14:paraId="00D3BFA6" w14:textId="77777777" w:rsidR="004412F1" w:rsidRDefault="004412F1">
      <w:pPr>
        <w:ind w:left="709" w:hanging="709"/>
        <w:jc w:val="both"/>
        <w:rPr>
          <w:color w:val="000000"/>
          <w:lang w:val="es-PE"/>
        </w:rPr>
      </w:pPr>
    </w:p>
    <w:p w14:paraId="566BF668" w14:textId="77777777" w:rsidR="004412F1" w:rsidRDefault="005A12A3">
      <w:pPr>
        <w:numPr>
          <w:ilvl w:val="0"/>
          <w:numId w:val="78"/>
        </w:numPr>
        <w:tabs>
          <w:tab w:val="left" w:pos="1134"/>
        </w:tabs>
        <w:ind w:left="1134" w:hanging="425"/>
        <w:jc w:val="both"/>
        <w:rPr>
          <w:lang w:val="es-PE"/>
        </w:rPr>
      </w:pPr>
      <w:bookmarkStart w:id="848" w:name="_odc9jc"/>
      <w:bookmarkStart w:id="849" w:name="_Ref295467558"/>
      <w:bookmarkEnd w:id="848"/>
      <w:r>
        <w:rPr>
          <w:lang w:val="es-PE"/>
        </w:rPr>
        <w:t>Que, el CONCESIONARIO, sus accionistas o participacionistas guardarán confidencialidad sobre la información de naturaleza reservada que con tal carácter les hubiere sido suministrada por el CONCEDENTE durante el Concurso, o aquella a cuya reserva obligan las Leyes y Disposiciones Aplicables. Sólo con la autorización previa y por escrito del CONCEDENTE, el CONCESIONARIO podrá divulgar la referida información confidencial o reservada.</w:t>
      </w:r>
      <w:bookmarkEnd w:id="849"/>
    </w:p>
    <w:p w14:paraId="06D8C8FB" w14:textId="77777777" w:rsidR="004412F1" w:rsidRDefault="004412F1">
      <w:pPr>
        <w:ind w:left="708"/>
        <w:rPr>
          <w:color w:val="000000"/>
          <w:lang w:val="es-PE"/>
        </w:rPr>
      </w:pPr>
    </w:p>
    <w:p w14:paraId="45A2F1EA" w14:textId="77777777" w:rsidR="004412F1" w:rsidRDefault="005A12A3">
      <w:pPr>
        <w:numPr>
          <w:ilvl w:val="0"/>
          <w:numId w:val="78"/>
        </w:numPr>
        <w:tabs>
          <w:tab w:val="left" w:pos="1134"/>
        </w:tabs>
        <w:ind w:left="1134" w:hanging="425"/>
        <w:jc w:val="both"/>
        <w:rPr>
          <w:lang w:val="es-PE"/>
        </w:rPr>
      </w:pPr>
      <w:r>
        <w:rPr>
          <w:lang w:val="es-PE"/>
        </w:rPr>
        <w:t>Que, el CONCESIONARIO deberá recibir los Bienes de la Concesión en el estado en que se encuentren, sin incluir reserva, condicionamiento, objeción u observación alguna relacionada al estado de los Bienes de la Concesión.</w:t>
      </w:r>
    </w:p>
    <w:p w14:paraId="172788B5" w14:textId="77777777" w:rsidR="004412F1" w:rsidRDefault="004412F1">
      <w:pPr>
        <w:rPr>
          <w:lang w:val="es-PE"/>
        </w:rPr>
      </w:pPr>
    </w:p>
    <w:p w14:paraId="62B45467" w14:textId="77777777" w:rsidR="004412F1" w:rsidRDefault="005A12A3">
      <w:pPr>
        <w:pStyle w:val="Ttulo2"/>
        <w:ind w:left="0"/>
        <w:jc w:val="both"/>
        <w:rPr>
          <w:rFonts w:ascii="Arial" w:eastAsia="Arial" w:hAnsi="Arial" w:cs="Arial"/>
          <w:b/>
          <w:bCs/>
          <w:u w:val="none"/>
        </w:rPr>
      </w:pPr>
      <w:bookmarkStart w:id="850" w:name="_38czs75"/>
      <w:bookmarkStart w:id="851" w:name="_Toc468837607"/>
      <w:bookmarkStart w:id="852" w:name="_Toc139294701"/>
      <w:bookmarkStart w:id="853" w:name="_Toc140089299"/>
      <w:bookmarkEnd w:id="850"/>
      <w:r>
        <w:rPr>
          <w:rFonts w:ascii="Arial" w:eastAsia="Arial" w:hAnsi="Arial" w:cs="Arial"/>
          <w:b/>
          <w:bCs/>
          <w:u w:val="none"/>
        </w:rPr>
        <w:t>DECLARACIONES DEL CONCEDENTE</w:t>
      </w:r>
      <w:bookmarkEnd w:id="851"/>
      <w:bookmarkEnd w:id="852"/>
      <w:bookmarkEnd w:id="853"/>
    </w:p>
    <w:p w14:paraId="3B16ECA7" w14:textId="77777777" w:rsidR="004412F1" w:rsidRDefault="004412F1">
      <w:pPr>
        <w:jc w:val="both"/>
        <w:rPr>
          <w:b/>
          <w:color w:val="000000"/>
          <w:lang w:val="es-ES"/>
        </w:rPr>
      </w:pPr>
    </w:p>
    <w:p w14:paraId="79819875" w14:textId="77777777" w:rsidR="004412F1" w:rsidRDefault="005A12A3">
      <w:pPr>
        <w:numPr>
          <w:ilvl w:val="1"/>
          <w:numId w:val="77"/>
        </w:numPr>
        <w:tabs>
          <w:tab w:val="left" w:pos="709"/>
        </w:tabs>
        <w:ind w:left="709" w:hanging="709"/>
        <w:jc w:val="both"/>
        <w:rPr>
          <w:color w:val="000000"/>
          <w:lang w:val="es-PE"/>
        </w:rPr>
      </w:pPr>
      <w:bookmarkStart w:id="854" w:name="_1nia2ey" w:colFirst="0" w:colLast="0"/>
      <w:bookmarkStart w:id="855" w:name="_Ref295467141"/>
      <w:bookmarkEnd w:id="854"/>
      <w:r>
        <w:rPr>
          <w:color w:val="000000"/>
          <w:lang w:val="es-PE"/>
        </w:rPr>
        <w:t>El CONCEDENTE, por su parte, garantiza al CONCESIONARIO, en la Fecha de Suscripción del Contrato, la veracidad y exactitud de las siguientes declaraciones y reconoce que la suscripción del Contrato por parte del CONCESIONARIO se basa en ellas:</w:t>
      </w:r>
      <w:bookmarkEnd w:id="855"/>
    </w:p>
    <w:p w14:paraId="7BC2BFE1" w14:textId="77777777" w:rsidR="004412F1" w:rsidRDefault="004412F1">
      <w:pPr>
        <w:jc w:val="both"/>
        <w:rPr>
          <w:color w:val="000000"/>
          <w:lang w:val="es-ES"/>
        </w:rPr>
      </w:pPr>
    </w:p>
    <w:p w14:paraId="794812D8" w14:textId="77777777" w:rsidR="004412F1" w:rsidRDefault="005A12A3">
      <w:pPr>
        <w:ind w:left="1134" w:hanging="425"/>
        <w:jc w:val="both"/>
        <w:rPr>
          <w:color w:val="000000"/>
          <w:lang w:val="es-PE"/>
        </w:rPr>
      </w:pPr>
      <w:r>
        <w:rPr>
          <w:color w:val="000000"/>
          <w:lang w:val="es-PE"/>
        </w:rPr>
        <w:t>a)</w:t>
      </w:r>
      <w:r>
        <w:rPr>
          <w:color w:val="000000"/>
          <w:lang w:val="es-PE"/>
        </w:rPr>
        <w:tab/>
        <w:t xml:space="preserve">Que, está debidamente autorizado conforme a las Leyes y Disposiciones Aplicables para actuar como el CONCEDENTE en el Contrato. La suscripción del Contrato por parte del CONCEDENTE se efectúa conforme a las Leyes y Disposiciones Aplicables, por tanto, ninguna otra acción o procedimiento por parte del CONCEDENTE o cualquier otra entidad gubernamental es necesaria para autorizar la suscripción del Contrato. El presente Contrato ha sido debida y válidamente firmado por el o los representantes autorizados del CONCEDENTE y, junto con la debida autorización y firma </w:t>
      </w:r>
      <w:proofErr w:type="gramStart"/>
      <w:r>
        <w:rPr>
          <w:color w:val="000000"/>
          <w:lang w:val="es-PE"/>
        </w:rPr>
        <w:t>del mismo</w:t>
      </w:r>
      <w:proofErr w:type="gramEnd"/>
      <w:r>
        <w:rPr>
          <w:color w:val="000000"/>
          <w:lang w:val="es-PE"/>
        </w:rPr>
        <w:t xml:space="preserve"> por parte del CONCESIONARIO, constituye una obligación válida y vinculante para el CONCEDENTE.</w:t>
      </w:r>
    </w:p>
    <w:p w14:paraId="5D07EF43" w14:textId="77777777" w:rsidR="004412F1" w:rsidRDefault="004412F1">
      <w:pPr>
        <w:ind w:left="426" w:hanging="426"/>
        <w:jc w:val="both"/>
        <w:rPr>
          <w:lang w:val="es-PE"/>
        </w:rPr>
      </w:pPr>
    </w:p>
    <w:p w14:paraId="1472D4DA" w14:textId="77777777" w:rsidR="004412F1" w:rsidRDefault="005A12A3">
      <w:pPr>
        <w:ind w:left="1134" w:hanging="425"/>
        <w:jc w:val="both"/>
        <w:rPr>
          <w:color w:val="000000"/>
          <w:lang w:val="es-PE"/>
        </w:rPr>
      </w:pPr>
      <w:r>
        <w:rPr>
          <w:color w:val="000000"/>
          <w:lang w:val="es-PE"/>
        </w:rPr>
        <w:t>b)</w:t>
      </w:r>
      <w:r>
        <w:rPr>
          <w:color w:val="000000"/>
          <w:lang w:val="es-PE"/>
        </w:rPr>
        <w:tab/>
        <w:t>Que, se ha cumplido con todos los actos administrativos, requisitos, exigencias y obligaciones necesarias para celebrar este Contrato y para dar debido cumplimiento a sus estipulaciones. Asimismo, que el Concurso fue efectuado en cumplimiento y observando las Leyes y Disposiciones Aplicables.</w:t>
      </w:r>
    </w:p>
    <w:p w14:paraId="145C7E2C" w14:textId="77777777" w:rsidR="004412F1" w:rsidRDefault="004412F1">
      <w:pPr>
        <w:jc w:val="both"/>
        <w:rPr>
          <w:lang w:val="es-PE"/>
        </w:rPr>
      </w:pPr>
    </w:p>
    <w:p w14:paraId="3B6122B2" w14:textId="77777777" w:rsidR="004412F1" w:rsidRDefault="005A12A3">
      <w:pPr>
        <w:ind w:left="1134" w:hanging="425"/>
        <w:jc w:val="both"/>
        <w:rPr>
          <w:color w:val="000000"/>
          <w:lang w:val="es-PE"/>
        </w:rPr>
      </w:pPr>
      <w:r>
        <w:rPr>
          <w:color w:val="000000"/>
          <w:lang w:val="es-PE"/>
        </w:rPr>
        <w:t>c)</w:t>
      </w:r>
      <w:r>
        <w:rPr>
          <w:color w:val="000000"/>
          <w:lang w:val="es-PE"/>
        </w:rPr>
        <w:tab/>
        <w:t xml:space="preserve">Que, no existen Leyes y Disposiciones Aplicables que impidan al CONCEDENTE el cumplimiento de sus obligaciones emanadas del presente Contrato. Que tampoco existen demandas, denuncias, juicios, investigaciones, litigios o procedimientos en curso ante órgano jurisdiccional, </w:t>
      </w:r>
      <w:r>
        <w:rPr>
          <w:color w:val="000000"/>
          <w:lang w:val="es-PE"/>
        </w:rPr>
        <w:lastRenderedPageBreak/>
        <w:t>tribunal arbitral o Autoridad Gubernamental, ni sentencias, laudos o decisiones de cualquier clase, no ejecutadas, que prohíban, se opongan o en cualquier forma impidan la firma o cumplimiento de los términos del presente Contrato por parte del CONCEDENTE.</w:t>
      </w:r>
    </w:p>
    <w:p w14:paraId="187CCFCC" w14:textId="77777777" w:rsidR="004412F1" w:rsidRDefault="004412F1">
      <w:pPr>
        <w:ind w:left="426" w:hanging="426"/>
        <w:jc w:val="both"/>
        <w:rPr>
          <w:lang w:val="es-PE"/>
        </w:rPr>
      </w:pPr>
    </w:p>
    <w:p w14:paraId="073C8361" w14:textId="13208533" w:rsidR="004412F1" w:rsidRDefault="005A12A3">
      <w:pPr>
        <w:ind w:left="1134" w:hanging="425"/>
        <w:jc w:val="both"/>
        <w:rPr>
          <w:color w:val="000000"/>
          <w:lang w:val="es-PE"/>
        </w:rPr>
      </w:pPr>
      <w:r>
        <w:rPr>
          <w:color w:val="000000"/>
          <w:lang w:val="es-PE"/>
        </w:rPr>
        <w:t>d)</w:t>
      </w:r>
      <w:r>
        <w:rPr>
          <w:color w:val="000000"/>
          <w:lang w:val="es-PE"/>
        </w:rPr>
        <w:tab/>
        <w:t xml:space="preserve">Que, el CONCESIONARIO tendrá derecho a la Explotación desde el día siguiente de la suscripción de la primera Acta de Entrega Parcial de Bienes de la Concesión, conforme a los términos previstos en el Contrato, y este derecho sólo concluirá en los supuestos de Caducidad de la Concesión previstos en el </w:t>
      </w:r>
      <w:hyperlink w:anchor="_ts64ni">
        <w:r w:rsidR="00EC5E81">
          <w:rPr>
            <w:color w:val="000000"/>
            <w:lang w:val="es-PE"/>
          </w:rPr>
          <w:t>CAPÍTULO</w:t>
        </w:r>
      </w:hyperlink>
      <w:r w:rsidR="00EC5E81">
        <w:rPr>
          <w:color w:val="000000"/>
          <w:lang w:val="es-PE"/>
        </w:rPr>
        <w:t xml:space="preserve"> XVII</w:t>
      </w:r>
      <w:r>
        <w:rPr>
          <w:color w:val="000000"/>
          <w:lang w:val="es-PE"/>
        </w:rPr>
        <w:t xml:space="preserve"> del Contrato.    </w:t>
      </w:r>
    </w:p>
    <w:p w14:paraId="3788D18B" w14:textId="77777777" w:rsidR="004412F1" w:rsidRDefault="004412F1">
      <w:pPr>
        <w:ind w:left="426" w:hanging="426"/>
        <w:jc w:val="both"/>
        <w:rPr>
          <w:lang w:val="es-PE"/>
        </w:rPr>
      </w:pPr>
    </w:p>
    <w:p w14:paraId="16DB88E8" w14:textId="77777777" w:rsidR="004412F1" w:rsidRDefault="005A12A3">
      <w:pPr>
        <w:numPr>
          <w:ilvl w:val="1"/>
          <w:numId w:val="80"/>
        </w:numPr>
        <w:tabs>
          <w:tab w:val="left" w:pos="1134"/>
        </w:tabs>
        <w:ind w:left="1134" w:hanging="425"/>
        <w:jc w:val="both"/>
        <w:rPr>
          <w:lang w:val="es-PE"/>
        </w:rPr>
      </w:pPr>
      <w:r>
        <w:rPr>
          <w:color w:val="000000"/>
          <w:lang w:val="es-PE"/>
        </w:rPr>
        <w:t>Que, la validez y alcances de las estipulaciones en el Contrato han sido formulados en base a las Leyes y Disposiciones Aplicables.</w:t>
      </w:r>
    </w:p>
    <w:p w14:paraId="7F1FE3BA" w14:textId="77777777" w:rsidR="004412F1" w:rsidRDefault="004412F1">
      <w:pPr>
        <w:ind w:left="1134" w:hanging="425"/>
        <w:jc w:val="both"/>
        <w:rPr>
          <w:color w:val="000000"/>
          <w:lang w:val="es-PE"/>
        </w:rPr>
      </w:pPr>
    </w:p>
    <w:p w14:paraId="0570404C" w14:textId="4BAAFF9B" w:rsidR="004412F1" w:rsidRDefault="005A12A3">
      <w:pPr>
        <w:numPr>
          <w:ilvl w:val="1"/>
          <w:numId w:val="80"/>
        </w:numPr>
        <w:tabs>
          <w:tab w:val="left" w:pos="1134"/>
        </w:tabs>
        <w:ind w:left="1134" w:hanging="425"/>
        <w:jc w:val="both"/>
        <w:rPr>
          <w:lang w:val="es-PE"/>
        </w:rPr>
      </w:pPr>
      <w:r>
        <w:rPr>
          <w:color w:val="000000"/>
          <w:lang w:val="es-PE"/>
        </w:rPr>
        <w:t>Que, cualquier controversia referente a Caducidad de la Concesión, suspensión o resolución del Contrato únicamente se resolverá de conformidad con lo dispuesto en e</w:t>
      </w:r>
      <w:r w:rsidR="00EC5E81">
        <w:rPr>
          <w:color w:val="000000"/>
          <w:lang w:val="es-PE"/>
        </w:rPr>
        <w:t>l CAPÍTULO XIX</w:t>
      </w:r>
      <w:r>
        <w:rPr>
          <w:color w:val="000000"/>
          <w:lang w:val="es-PE"/>
        </w:rPr>
        <w:t>.</w:t>
      </w:r>
    </w:p>
    <w:p w14:paraId="3E5F627A" w14:textId="77777777" w:rsidR="004412F1" w:rsidRDefault="004412F1">
      <w:pPr>
        <w:pStyle w:val="Prrafodelista"/>
        <w:rPr>
          <w:lang w:val="es-PE"/>
        </w:rPr>
      </w:pPr>
      <w:bookmarkStart w:id="856" w:name="_47hxl2r" w:colFirst="0" w:colLast="0"/>
      <w:bookmarkEnd w:id="856"/>
    </w:p>
    <w:p w14:paraId="6C51A501" w14:textId="77777777" w:rsidR="004412F1" w:rsidRDefault="005A12A3">
      <w:pPr>
        <w:numPr>
          <w:ilvl w:val="1"/>
          <w:numId w:val="80"/>
        </w:numPr>
        <w:tabs>
          <w:tab w:val="left" w:pos="1134"/>
        </w:tabs>
        <w:ind w:left="1134" w:hanging="425"/>
        <w:jc w:val="both"/>
        <w:rPr>
          <w:lang w:val="es-PE"/>
        </w:rPr>
      </w:pPr>
      <w:bookmarkStart w:id="857" w:name="_Ref295480137"/>
      <w:r>
        <w:rPr>
          <w:lang w:val="es-PE"/>
        </w:rPr>
        <w:t>Que, no existen pasivos, obligaciones, o contingencias administrativas, laborales, tributarias, judiciales, legales o de cualquier otra naturaleza, que de alguna manera afecten o puedan afectar en el futuro la Concesión, los Bienes del CONCEDENTE, o el derecho a la Explotación. En caso de presentarse pasivos o contingencias generadas antes de la Fecha de Suscripción del Contrato, éstos serán asumidos por el CONCEDENTE, de conformidad con lo dispuesto en las Leyes y Disposiciones Aplicables, o alternativamente será su responsabilidad el sanear aquella situación que pudiera afectar el derecho de Concesión otorgado en virtud del presente Contrato.</w:t>
      </w:r>
      <w:bookmarkEnd w:id="857"/>
    </w:p>
    <w:p w14:paraId="13340A88" w14:textId="77777777" w:rsidR="004412F1" w:rsidRDefault="004412F1">
      <w:pPr>
        <w:ind w:left="709"/>
        <w:jc w:val="both"/>
        <w:rPr>
          <w:color w:val="000000"/>
          <w:lang w:val="es-PE"/>
        </w:rPr>
      </w:pPr>
    </w:p>
    <w:p w14:paraId="4E84BDED" w14:textId="77777777" w:rsidR="004412F1" w:rsidRDefault="005A12A3">
      <w:pPr>
        <w:numPr>
          <w:ilvl w:val="1"/>
          <w:numId w:val="80"/>
        </w:numPr>
        <w:tabs>
          <w:tab w:val="left" w:pos="1134"/>
        </w:tabs>
        <w:ind w:left="1134" w:hanging="425"/>
        <w:jc w:val="both"/>
      </w:pPr>
      <w:bookmarkStart w:id="858" w:name="_2mn7vak" w:colFirst="0" w:colLast="0"/>
      <w:bookmarkStart w:id="859" w:name="_Ref295467157"/>
      <w:bookmarkEnd w:id="858"/>
      <w:r>
        <w:rPr>
          <w:color w:val="000000"/>
          <w:lang w:val="es-PE"/>
        </w:rPr>
        <w:t>Que, de conformidad con el numeral 25.1 del Artículo 25° del Decreto Legislativo N° 1362, el Poder Ejecutivo ha expedido el Decreto Supremo, por el cual se otorgan las seguridades y garantías del Estado de la República del Perú en respaldo de las obligaciones, declaraciones y garantías del CONCEDENTE establecidas en el Contrato de Concesión. Esta no es una garantía financiera.</w:t>
      </w:r>
      <w:bookmarkEnd w:id="859"/>
    </w:p>
    <w:p w14:paraId="5577019E" w14:textId="77777777" w:rsidR="004412F1" w:rsidRDefault="004412F1">
      <w:pPr>
        <w:ind w:left="708"/>
        <w:rPr>
          <w:color w:val="000000"/>
        </w:rPr>
      </w:pPr>
    </w:p>
    <w:p w14:paraId="5185E00A" w14:textId="77777777" w:rsidR="004412F1" w:rsidRDefault="005A12A3">
      <w:pPr>
        <w:numPr>
          <w:ilvl w:val="1"/>
          <w:numId w:val="80"/>
        </w:numPr>
        <w:tabs>
          <w:tab w:val="left" w:pos="1134"/>
        </w:tabs>
        <w:ind w:left="1134" w:hanging="425"/>
        <w:jc w:val="both"/>
        <w:rPr>
          <w:lang w:val="es-PE"/>
        </w:rPr>
      </w:pPr>
      <w:r>
        <w:rPr>
          <w:color w:val="000000"/>
          <w:lang w:val="es-PE"/>
        </w:rPr>
        <w:t>Que, mediante el presente Contrato, el CONCEDENTE autoriza al CONCESIONARIO a constituir hipoteca sobre la Concesión, conformes a lo previsto en el artículo 26 del Decreto Legislativo N° 1362.</w:t>
      </w:r>
    </w:p>
    <w:p w14:paraId="17F0D114" w14:textId="77777777" w:rsidR="004412F1" w:rsidRDefault="004412F1">
      <w:pPr>
        <w:ind w:left="708"/>
        <w:rPr>
          <w:color w:val="000000"/>
          <w:lang w:val="es-PE"/>
        </w:rPr>
      </w:pPr>
    </w:p>
    <w:p w14:paraId="0C919FE5" w14:textId="77777777" w:rsidR="004412F1" w:rsidRDefault="005A12A3">
      <w:pPr>
        <w:numPr>
          <w:ilvl w:val="1"/>
          <w:numId w:val="80"/>
        </w:numPr>
        <w:tabs>
          <w:tab w:val="left" w:pos="1134"/>
        </w:tabs>
        <w:ind w:left="1134" w:hanging="425"/>
        <w:jc w:val="both"/>
        <w:rPr>
          <w:lang w:val="es-PE"/>
        </w:rPr>
      </w:pPr>
      <w:r>
        <w:rPr>
          <w:color w:val="000000"/>
          <w:lang w:val="es-PE"/>
        </w:rPr>
        <w:t>Que ha cumplido con las siguientes metas de gestión para la liberación de predios y la liberación o remoción de Interferencias establecidas en la etapa de estructuración del Proyecto, según las Leyes y Disposiciones Aplicables.</w:t>
      </w:r>
    </w:p>
    <w:p w14:paraId="49AFCD70" w14:textId="77777777" w:rsidR="004412F1" w:rsidRDefault="004412F1">
      <w:pPr>
        <w:jc w:val="both"/>
        <w:rPr>
          <w:color w:val="000000"/>
          <w:lang w:val="es-PE"/>
        </w:rPr>
      </w:pPr>
    </w:p>
    <w:p w14:paraId="786912D5" w14:textId="77777777" w:rsidR="004412F1" w:rsidRDefault="005A12A3">
      <w:pPr>
        <w:pStyle w:val="Ttulo2"/>
        <w:ind w:left="0"/>
        <w:jc w:val="both"/>
        <w:rPr>
          <w:b/>
          <w:lang w:val="es-PE"/>
        </w:rPr>
      </w:pPr>
      <w:bookmarkStart w:id="860" w:name="_11si5id" w:colFirst="0" w:colLast="0"/>
      <w:bookmarkStart w:id="861" w:name="_Toc139294702"/>
      <w:bookmarkStart w:id="862" w:name="_Toc468837608"/>
      <w:bookmarkStart w:id="863" w:name="_Toc140089300"/>
      <w:bookmarkEnd w:id="860"/>
      <w:r>
        <w:rPr>
          <w:rFonts w:ascii="Arial" w:hAnsi="Arial"/>
          <w:b/>
          <w:u w:val="none"/>
          <w:lang w:val="es-PE"/>
        </w:rPr>
        <w:t>OBLIGACIONES DEL CONCESIONARIO A LA FECHA DE SUSCRIPCIÓN DEL CONTRATO</w:t>
      </w:r>
      <w:bookmarkEnd w:id="861"/>
      <w:bookmarkEnd w:id="862"/>
      <w:bookmarkEnd w:id="863"/>
    </w:p>
    <w:p w14:paraId="72046AB7" w14:textId="77777777" w:rsidR="004412F1" w:rsidRDefault="004412F1">
      <w:pPr>
        <w:rPr>
          <w:lang w:val="es-PE"/>
        </w:rPr>
      </w:pPr>
    </w:p>
    <w:p w14:paraId="2E7ED9B4" w14:textId="77777777" w:rsidR="004412F1" w:rsidRDefault="005A12A3">
      <w:pPr>
        <w:numPr>
          <w:ilvl w:val="1"/>
          <w:numId w:val="77"/>
        </w:numPr>
        <w:tabs>
          <w:tab w:val="left" w:pos="709"/>
        </w:tabs>
        <w:ind w:left="709" w:hanging="709"/>
        <w:jc w:val="both"/>
        <w:rPr>
          <w:color w:val="000000"/>
          <w:lang w:val="es-PE"/>
        </w:rPr>
      </w:pPr>
      <w:bookmarkStart w:id="864" w:name="_3ls5o66" w:colFirst="0" w:colLast="0"/>
      <w:bookmarkStart w:id="865" w:name="_Ref295467693"/>
      <w:bookmarkEnd w:id="864"/>
      <w:r>
        <w:rPr>
          <w:color w:val="000000"/>
          <w:lang w:val="es-PE"/>
        </w:rPr>
        <w:t>El CONCESIONARIO deberá haber cumplido a la Fecha de Suscripción del Contrato con lo siguiente:</w:t>
      </w:r>
      <w:bookmarkEnd w:id="865"/>
    </w:p>
    <w:p w14:paraId="5372A588" w14:textId="77777777" w:rsidR="004412F1" w:rsidRDefault="004412F1">
      <w:pPr>
        <w:jc w:val="both"/>
        <w:rPr>
          <w:color w:val="000000"/>
          <w:lang w:val="es-PE"/>
        </w:rPr>
      </w:pPr>
    </w:p>
    <w:p w14:paraId="704535C2" w14:textId="77777777" w:rsidR="004412F1" w:rsidRDefault="005A12A3">
      <w:pPr>
        <w:numPr>
          <w:ilvl w:val="0"/>
          <w:numId w:val="81"/>
        </w:numPr>
        <w:tabs>
          <w:tab w:val="left" w:pos="1134"/>
        </w:tabs>
        <w:ind w:left="1134" w:hanging="425"/>
        <w:jc w:val="both"/>
        <w:rPr>
          <w:lang w:val="es-PE"/>
        </w:rPr>
      </w:pPr>
      <w:r>
        <w:rPr>
          <w:lang w:val="es-PE"/>
        </w:rPr>
        <w:t xml:space="preserve">Entregar el testimonio de la escritura pública de constitución social y estatuto del CONCESIONARIO y en su caso, escritura pública de aumento de capital social y modificación parcial de estatutos, con la constancia de inscripción registral, con el objeto de acreditar: (i) que es una sociedad válidamente </w:t>
      </w:r>
      <w:r>
        <w:rPr>
          <w:lang w:val="es-PE"/>
        </w:rPr>
        <w:lastRenderedPageBreak/>
        <w:t xml:space="preserve">constituida </w:t>
      </w:r>
      <w:proofErr w:type="gramStart"/>
      <w:r>
        <w:rPr>
          <w:lang w:val="es-PE"/>
        </w:rPr>
        <w:t>de acuerdo a</w:t>
      </w:r>
      <w:proofErr w:type="gramEnd"/>
      <w:r>
        <w:rPr>
          <w:lang w:val="es-PE"/>
        </w:rPr>
        <w:t xml:space="preserve"> las Leyes y Disposiciones Aplicables, habiendo adoptado una de las formas reguladas por la Ley General de Sociedades y de acuerdo con lo establecido en las Bases. Este testimonio se adjunta al presente Contrato como </w:t>
      </w:r>
      <w:hyperlink w:anchor="_1ojhawc">
        <w:r>
          <w:rPr>
            <w:color w:val="000000"/>
            <w:lang w:val="es-PE"/>
          </w:rPr>
          <w:t>ANEXO V</w:t>
        </w:r>
      </w:hyperlink>
      <w:r>
        <w:rPr>
          <w:lang w:val="es-PE"/>
        </w:rPr>
        <w:t xml:space="preserve">; y, (ii) que cuenta como mínimo, con los mismos socios, accionistas, o integrantes que formaron parte del Adjudicatario; no permitiéndose en la estructura del accionariado del CONCESIONARIO, la participación de alguna persona jurídica que haya presentado, directa o indirectamente a través de alguna Empresa Vinculada, una propuesta económica en el Concurso. </w:t>
      </w:r>
    </w:p>
    <w:p w14:paraId="2A2C4E23" w14:textId="77777777" w:rsidR="004412F1" w:rsidRDefault="004412F1">
      <w:pPr>
        <w:ind w:left="709"/>
        <w:jc w:val="both"/>
        <w:rPr>
          <w:lang w:val="es-PE"/>
        </w:rPr>
      </w:pPr>
    </w:p>
    <w:p w14:paraId="00BE5588" w14:textId="77777777" w:rsidR="004412F1" w:rsidRDefault="005A12A3">
      <w:pPr>
        <w:numPr>
          <w:ilvl w:val="0"/>
          <w:numId w:val="81"/>
        </w:numPr>
        <w:tabs>
          <w:tab w:val="left" w:pos="1134"/>
        </w:tabs>
        <w:ind w:left="1134" w:hanging="425"/>
        <w:jc w:val="both"/>
        <w:rPr>
          <w:lang w:val="es-PE"/>
        </w:rPr>
      </w:pPr>
      <w:bookmarkStart w:id="866" w:name="_20xfydz" w:colFirst="0" w:colLast="0"/>
      <w:bookmarkStart w:id="867" w:name="_Ref467748975"/>
      <w:bookmarkStart w:id="868" w:name="_Ref275782605"/>
      <w:bookmarkEnd w:id="866"/>
      <w:r>
        <w:rPr>
          <w:lang w:val="es-PE"/>
        </w:rPr>
        <w:t xml:space="preserve">Acreditar que el veinticinco (25%) del Capital Social Mínimo establecido en las Bases del Contrato se encuentra íntegramente suscrito y pagado en efectivo. El capital social mínimo asciende a </w:t>
      </w:r>
      <w:r>
        <w:rPr>
          <w:highlight w:val="lightGray"/>
          <w:lang w:val="es-PE"/>
        </w:rPr>
        <w:t xml:space="preserve">US$ ________ (____________ </w:t>
      </w:r>
      <w:r>
        <w:rPr>
          <w:lang w:val="es-PE"/>
        </w:rPr>
        <w:t>y 00/100 dólares de los Estados Unidos de América) o su equivalente en Soles</w:t>
      </w:r>
      <w:bookmarkEnd w:id="867"/>
      <w:r>
        <w:rPr>
          <w:lang w:val="es-PE"/>
        </w:rPr>
        <w:t xml:space="preserve">. </w:t>
      </w:r>
    </w:p>
    <w:p w14:paraId="20E3FA74" w14:textId="77777777" w:rsidR="004412F1" w:rsidRDefault="004412F1">
      <w:pPr>
        <w:ind w:left="1134"/>
        <w:jc w:val="both"/>
        <w:rPr>
          <w:lang w:val="es-PE"/>
        </w:rPr>
      </w:pPr>
    </w:p>
    <w:p w14:paraId="650C08E2" w14:textId="77777777" w:rsidR="004412F1" w:rsidRDefault="005A12A3">
      <w:pPr>
        <w:ind w:left="1134"/>
        <w:jc w:val="both"/>
        <w:rPr>
          <w:lang w:val="es-PE"/>
        </w:rPr>
      </w:pPr>
      <w:r>
        <w:rPr>
          <w:lang w:val="es-PE"/>
        </w:rPr>
        <w:t>Posteriormente, el CONCESIONARIO integrará el capital social, a fin de que quede íntegramente suscrito y pagado de conformidad con las previsiones de la Ley General de Sociedades.  Para tal efecto, el capital social mínimo deberá estar totalmente suscrito y pagado antes de la conformidad del Cierre Financiero del Mantenimiento Periódico Inicial.</w:t>
      </w:r>
    </w:p>
    <w:p w14:paraId="19BDBC27" w14:textId="77777777" w:rsidR="004412F1" w:rsidRDefault="004412F1">
      <w:pPr>
        <w:ind w:left="1134"/>
        <w:jc w:val="both"/>
        <w:rPr>
          <w:lang w:val="es-PE"/>
        </w:rPr>
      </w:pPr>
    </w:p>
    <w:p w14:paraId="1EE7F17F" w14:textId="77777777" w:rsidR="004412F1" w:rsidRDefault="005A12A3">
      <w:pPr>
        <w:ind w:left="1134"/>
        <w:jc w:val="both"/>
        <w:rPr>
          <w:lang w:val="es-PE"/>
        </w:rPr>
      </w:pPr>
      <w:r>
        <w:rPr>
          <w:lang w:val="es-PE"/>
        </w:rPr>
        <w:t xml:space="preserve">A partir del mes veinticuatro (24) de la aceptación de la totalidad de las Intervenciones deberá mantener un capital social mínimo de __________ </w:t>
      </w:r>
    </w:p>
    <w:p w14:paraId="432859FF" w14:textId="77777777" w:rsidR="004412F1" w:rsidRDefault="004412F1">
      <w:pPr>
        <w:ind w:left="709"/>
        <w:jc w:val="both"/>
        <w:rPr>
          <w:lang w:val="es-PE"/>
        </w:rPr>
      </w:pPr>
    </w:p>
    <w:bookmarkEnd w:id="868"/>
    <w:p w14:paraId="7E1162B3" w14:textId="77777777" w:rsidR="004412F1" w:rsidRDefault="005A12A3">
      <w:pPr>
        <w:numPr>
          <w:ilvl w:val="0"/>
          <w:numId w:val="81"/>
        </w:numPr>
        <w:tabs>
          <w:tab w:val="left" w:pos="1134"/>
        </w:tabs>
        <w:ind w:left="1134" w:hanging="425"/>
        <w:jc w:val="both"/>
        <w:rPr>
          <w:lang w:val="es-PE"/>
        </w:rPr>
      </w:pPr>
      <w:r>
        <w:rPr>
          <w:lang w:val="es-PE"/>
        </w:rPr>
        <w:t>Entregar copia legalizada notarialmente de los documentos donde conste que sus órganos internos competentes han aprobado el presente Contrato y acreditar la inscripción en la oficina registral correspondiente de los poderes del representante legal del CONCESIONARIO que suscribe el Contrato en su nombre y representación.</w:t>
      </w:r>
    </w:p>
    <w:p w14:paraId="7C046FC6" w14:textId="77777777" w:rsidR="004412F1" w:rsidRDefault="004412F1">
      <w:pPr>
        <w:ind w:left="709"/>
        <w:jc w:val="both"/>
        <w:rPr>
          <w:lang w:val="es-PE"/>
        </w:rPr>
      </w:pPr>
    </w:p>
    <w:p w14:paraId="5140FDC8" w14:textId="77777777" w:rsidR="004412F1" w:rsidRDefault="005A12A3">
      <w:pPr>
        <w:numPr>
          <w:ilvl w:val="0"/>
          <w:numId w:val="81"/>
        </w:numPr>
        <w:tabs>
          <w:tab w:val="left" w:pos="1134"/>
        </w:tabs>
        <w:ind w:left="1134" w:hanging="425"/>
        <w:jc w:val="both"/>
        <w:rPr>
          <w:lang w:val="es-PE"/>
        </w:rPr>
      </w:pPr>
      <w:r>
        <w:rPr>
          <w:lang w:val="es-PE"/>
        </w:rPr>
        <w:t>Entregar copia legalizada notarialmente de los asientos del libro de matrícula de acciones o documento equivalente, en donde conste la conformación del accionariado o de las participaciones del CONCESIONARIO.</w:t>
      </w:r>
    </w:p>
    <w:p w14:paraId="4554CF6D" w14:textId="77777777" w:rsidR="004412F1" w:rsidRDefault="004412F1">
      <w:pPr>
        <w:jc w:val="both"/>
        <w:rPr>
          <w:lang w:val="es-PE"/>
        </w:rPr>
      </w:pPr>
    </w:p>
    <w:p w14:paraId="61A66668" w14:textId="77777777" w:rsidR="004412F1" w:rsidRDefault="005A12A3">
      <w:pPr>
        <w:numPr>
          <w:ilvl w:val="0"/>
          <w:numId w:val="81"/>
        </w:numPr>
        <w:tabs>
          <w:tab w:val="left" w:pos="1134"/>
        </w:tabs>
        <w:ind w:left="1134" w:hanging="425"/>
        <w:jc w:val="both"/>
        <w:rPr>
          <w:lang w:val="es-PE"/>
        </w:rPr>
      </w:pPr>
      <w:bookmarkStart w:id="869" w:name="_302dr9l"/>
      <w:bookmarkStart w:id="870" w:name="_Ref275929054"/>
      <w:bookmarkEnd w:id="869"/>
      <w:r>
        <w:rPr>
          <w:lang w:val="es-PE"/>
        </w:rPr>
        <w:t>Presentar el</w:t>
      </w:r>
      <w:bookmarkStart w:id="871" w:name="_Ref275782346"/>
      <w:bookmarkEnd w:id="870"/>
      <w:r>
        <w:rPr>
          <w:lang w:val="es-PE"/>
        </w:rPr>
        <w:t xml:space="preserve"> estatuto del CONCESIONARIO contenido como mínimo las siguientes disposiciones:</w:t>
      </w:r>
      <w:bookmarkEnd w:id="871"/>
    </w:p>
    <w:p w14:paraId="47B38D81" w14:textId="77777777" w:rsidR="004412F1" w:rsidRDefault="004412F1">
      <w:pPr>
        <w:jc w:val="both"/>
        <w:rPr>
          <w:lang w:val="es-PE"/>
        </w:rPr>
      </w:pPr>
    </w:p>
    <w:p w14:paraId="4E487304" w14:textId="41D328CB" w:rsidR="004412F1" w:rsidRDefault="005A12A3">
      <w:pPr>
        <w:numPr>
          <w:ilvl w:val="0"/>
          <w:numId w:val="82"/>
        </w:numPr>
        <w:ind w:hanging="437"/>
        <w:jc w:val="both"/>
        <w:rPr>
          <w:lang w:val="es-PE"/>
        </w:rPr>
      </w:pPr>
      <w:bookmarkStart w:id="872" w:name="_1f7o1he"/>
      <w:bookmarkStart w:id="873" w:name="_Ref275932057"/>
      <w:bookmarkEnd w:id="872"/>
      <w:r>
        <w:rPr>
          <w:lang w:val="es-PE"/>
        </w:rPr>
        <w:t>Una restricción a la libre transferencia, disposición o gravamen de acciones o participaciones que representen el treinta y cinco por ciento (35%) correspondiente a la Participación Mínima del Socio Estratégico que acreditó la capacidad o requisitos de operación durante la etapa de Concurso, a favor de terceros o a otro socio distinto del Socio Estratégico, hasta dos (02) años posteriores a la culminación de la Rehabilitación y Mejoramiento, Construcción del evitamiento San Clemente y el Mantenimiento Periódico Inicial</w:t>
      </w:r>
      <w:r w:rsidR="00A53C04">
        <w:rPr>
          <w:lang w:val="es-PE"/>
        </w:rPr>
        <w:t xml:space="preserve">. </w:t>
      </w:r>
      <w:r>
        <w:rPr>
          <w:lang w:val="es-PE"/>
        </w:rPr>
        <w:t xml:space="preserve">A partir de dicha fecha, el Socio Estratégico podrá transferir, disponer o gravar dichas acciones o participaciones previa aprobación del CONCEDENTE, con opinión del REGULADOR, quien deberá velar por el cumplimiento de los requisitos de operación exigidos en las Bases del Concurso, de modo tal que durante la vigencia del Contrato se cumplan en todo momento con dichos requisitos, bajo causal de Caducidad de la Concesión. Queda establecido </w:t>
      </w:r>
      <w:proofErr w:type="gramStart"/>
      <w:r>
        <w:rPr>
          <w:lang w:val="es-PE"/>
        </w:rPr>
        <w:t>que</w:t>
      </w:r>
      <w:proofErr w:type="gramEnd"/>
      <w:r>
        <w:rPr>
          <w:lang w:val="es-PE"/>
        </w:rPr>
        <w:t xml:space="preserve"> durante la vigencia de la Concesión, siempre se deberá mantener la Participación Mínima en el CONCESIONARIO.</w:t>
      </w:r>
      <w:bookmarkEnd w:id="873"/>
    </w:p>
    <w:p w14:paraId="4C714289" w14:textId="77777777" w:rsidR="004412F1" w:rsidRDefault="004412F1">
      <w:pPr>
        <w:ind w:left="1571"/>
        <w:jc w:val="both"/>
        <w:rPr>
          <w:lang w:val="es-PE"/>
        </w:rPr>
      </w:pPr>
    </w:p>
    <w:p w14:paraId="301252B2" w14:textId="28C2F8EC" w:rsidR="004412F1" w:rsidRDefault="005A12A3">
      <w:pPr>
        <w:ind w:left="1571"/>
        <w:jc w:val="both"/>
        <w:rPr>
          <w:lang w:val="es-PE"/>
        </w:rPr>
      </w:pPr>
      <w:r>
        <w:rPr>
          <w:lang w:val="es-PE"/>
        </w:rPr>
        <w:t xml:space="preserve">El estatuto deberá establecer que el procedimiento de aprobación del CONCEDENTE se rige por lo establecido en el presente Literal </w:t>
      </w:r>
      <w:r w:rsidR="006C7182">
        <w:rPr>
          <w:lang w:val="es-PE"/>
        </w:rPr>
        <w:t>e</w:t>
      </w:r>
      <w:r>
        <w:rPr>
          <w:lang w:val="es-PE"/>
        </w:rPr>
        <w:t>).</w:t>
      </w:r>
    </w:p>
    <w:p w14:paraId="49FB30BC" w14:textId="77777777" w:rsidR="004412F1" w:rsidRDefault="004412F1">
      <w:pPr>
        <w:tabs>
          <w:tab w:val="left" w:pos="709"/>
        </w:tabs>
        <w:ind w:left="709" w:hanging="283"/>
        <w:jc w:val="both"/>
        <w:rPr>
          <w:lang w:val="es-PE"/>
        </w:rPr>
      </w:pPr>
    </w:p>
    <w:p w14:paraId="44896D5F" w14:textId="77777777" w:rsidR="004412F1" w:rsidRDefault="005A12A3">
      <w:pPr>
        <w:numPr>
          <w:ilvl w:val="0"/>
          <w:numId w:val="82"/>
        </w:numPr>
        <w:ind w:left="1560" w:hanging="425"/>
        <w:jc w:val="both"/>
        <w:rPr>
          <w:lang w:val="es-PE"/>
        </w:rPr>
      </w:pPr>
      <w:r>
        <w:rPr>
          <w:lang w:val="es-PE"/>
        </w:rPr>
        <w:t xml:space="preserve">Una restricción a la libre transferencia, disposición o gravamen de las acciones o participaciones a favor de otros Postores (persona jurídica o consorcio) o de los integrantes de los Postores en caso de consorcio, durante la etapa de Concurso, restricción que se mantiene durante la vigencia de la Concesión. </w:t>
      </w:r>
    </w:p>
    <w:p w14:paraId="67359D84" w14:textId="77777777" w:rsidR="004412F1" w:rsidRDefault="004412F1">
      <w:pPr>
        <w:tabs>
          <w:tab w:val="left" w:pos="1560"/>
        </w:tabs>
        <w:ind w:left="774"/>
        <w:jc w:val="both"/>
        <w:rPr>
          <w:lang w:val="es-PE"/>
        </w:rPr>
      </w:pPr>
    </w:p>
    <w:p w14:paraId="0EE8C026" w14:textId="77777777" w:rsidR="004412F1" w:rsidRDefault="005A12A3">
      <w:pPr>
        <w:ind w:left="1571"/>
        <w:jc w:val="both"/>
        <w:rPr>
          <w:lang w:val="es-PE"/>
        </w:rPr>
      </w:pPr>
      <w:r>
        <w:rPr>
          <w:lang w:val="es-PE"/>
        </w:rPr>
        <w:t>La referida limitación comprende también la transferencia, disposición o gravamen de las acciones o participaciones, a favor de empresas que pudieran tener vinculación directa o indirecta o que formen parte de un Grupo Económico -conforme a las definiciones contenidas en la Resolución de la SMV N° 019-2015-SMV/01, o norma que la modifique o sustituya-, según corresponda, con Postores (persona jurídica o consorcio) o con integrantes de Postores en caso de consorcio durante la etapa de Concurso, distintas al Adjudicatario.</w:t>
      </w:r>
    </w:p>
    <w:p w14:paraId="12203A90" w14:textId="77777777" w:rsidR="004412F1" w:rsidRDefault="004412F1">
      <w:pPr>
        <w:tabs>
          <w:tab w:val="left" w:pos="709"/>
        </w:tabs>
        <w:ind w:left="709" w:hanging="283"/>
        <w:jc w:val="both"/>
        <w:rPr>
          <w:lang w:val="es-PE"/>
        </w:rPr>
      </w:pPr>
    </w:p>
    <w:p w14:paraId="79736819" w14:textId="77777777" w:rsidR="004412F1" w:rsidRDefault="005A12A3">
      <w:pPr>
        <w:numPr>
          <w:ilvl w:val="0"/>
          <w:numId w:val="82"/>
        </w:numPr>
        <w:ind w:left="1560" w:hanging="425"/>
        <w:jc w:val="both"/>
        <w:rPr>
          <w:lang w:val="es-PE"/>
        </w:rPr>
      </w:pPr>
      <w:r>
        <w:rPr>
          <w:lang w:val="es-PE"/>
        </w:rPr>
        <w:t>Que, todo proceso de reducción del capital social, fusión, escisión, transformación, disolución o liquidación, cualquier acuerdo, que directa o indirectamente suponga o pueda traer como consecuencia el aumento de capital social y, en general, cualquier modificación estatutaria del CONCESIONARIO requerirá del voto aprobatorio de los accionistas o participacionistas del CONCESIONARIO, incluido el Socio Estratégico, que en conjunto representen cuando menos, dos tercios (2/3) del capital social, tanto en primera como en segunda convocatoria y, asimismo, requerirá la opinión previa del REGULADOR, y la previa autorización del CONCEDENTE.</w:t>
      </w:r>
    </w:p>
    <w:p w14:paraId="5B6D735A" w14:textId="77777777" w:rsidR="004412F1" w:rsidRDefault="004412F1">
      <w:pPr>
        <w:ind w:left="1134"/>
        <w:jc w:val="both"/>
        <w:rPr>
          <w:lang w:val="es-PE"/>
        </w:rPr>
      </w:pPr>
    </w:p>
    <w:p w14:paraId="10EF2FAC" w14:textId="77777777" w:rsidR="004412F1" w:rsidRDefault="005A12A3">
      <w:pPr>
        <w:ind w:left="1560"/>
        <w:jc w:val="both"/>
        <w:rPr>
          <w:lang w:val="es-PE"/>
        </w:rPr>
      </w:pPr>
      <w:proofErr w:type="gramStart"/>
      <w:r>
        <w:rPr>
          <w:lang w:val="es-PE"/>
        </w:rPr>
        <w:t>En caso que</w:t>
      </w:r>
      <w:proofErr w:type="gramEnd"/>
      <w:r>
        <w:rPr>
          <w:lang w:val="es-PE"/>
        </w:rPr>
        <w:t xml:space="preserve"> el CONCESIONARIO decida llevar a cabo cualquiera de los procesos anteriormente mencionados, deberá presentar ante el CONCEDENTE, el proyecto de acuerdo de junta general u órgano equivalente que corresponda. Dicho proyecto también deberá ser remitido al REGULADOR para su opinión previa, la cual deberá ser emitida en un plazo máximo de quince (15) Días.</w:t>
      </w:r>
    </w:p>
    <w:p w14:paraId="43048325" w14:textId="77777777" w:rsidR="004412F1" w:rsidRDefault="004412F1">
      <w:pPr>
        <w:ind w:left="1560"/>
        <w:jc w:val="both"/>
        <w:rPr>
          <w:lang w:val="es-PE"/>
        </w:rPr>
      </w:pPr>
    </w:p>
    <w:p w14:paraId="1F27FBFC" w14:textId="77777777" w:rsidR="004412F1" w:rsidRDefault="005A12A3">
      <w:pPr>
        <w:ind w:left="1560"/>
        <w:jc w:val="both"/>
        <w:rPr>
          <w:lang w:val="es-PE"/>
        </w:rPr>
      </w:pPr>
      <w:r>
        <w:rPr>
          <w:lang w:val="es-PE"/>
        </w:rPr>
        <w:t>Una vez recibida la opinión previa del REGULADOR, el CONCEDENTE deberá pronunciarse respecto del proyecto de acuerdo en el plazo de treinta (30) Días. Si el CONCEDENTE no se pronunciase en el plazo establecido, dicho proyecto de acuerdo se entenderá como no aprobado.</w:t>
      </w:r>
    </w:p>
    <w:p w14:paraId="5BFAA858" w14:textId="77777777" w:rsidR="004412F1" w:rsidRDefault="004412F1">
      <w:pPr>
        <w:jc w:val="both"/>
        <w:rPr>
          <w:lang w:val="es-PE"/>
        </w:rPr>
      </w:pPr>
    </w:p>
    <w:p w14:paraId="3A1921D8" w14:textId="77777777" w:rsidR="004412F1" w:rsidRDefault="005A12A3">
      <w:pPr>
        <w:numPr>
          <w:ilvl w:val="0"/>
          <w:numId w:val="82"/>
        </w:numPr>
        <w:ind w:left="1560" w:hanging="425"/>
        <w:jc w:val="both"/>
        <w:rPr>
          <w:lang w:val="es-PE"/>
        </w:rPr>
      </w:pPr>
      <w:bookmarkStart w:id="874" w:name="_3z7bk57"/>
      <w:bookmarkStart w:id="875" w:name="_Ref275782718"/>
      <w:bookmarkEnd w:id="874"/>
      <w:r>
        <w:rPr>
          <w:lang w:val="es-PE"/>
        </w:rPr>
        <w:t>El CONCESIONARIO es una sociedad de propósito exclusivo, cuyo objeto social se circunscribe a aquellas actividades que sean necesarias para la ejecución del Contrato, consistiendo exclusivamente en el ejercicio de los derechos y obligaciones relativos a la Concesión, incluyendo la prestación de los Servicios Obligatorios. El objeto social deberá indicar además su calidad de CONCESIONARIO del Estado de la República del Perú.</w:t>
      </w:r>
      <w:bookmarkEnd w:id="875"/>
    </w:p>
    <w:p w14:paraId="71342831" w14:textId="77777777" w:rsidR="004412F1" w:rsidRDefault="004412F1">
      <w:pPr>
        <w:jc w:val="both"/>
        <w:rPr>
          <w:lang w:val="es-PE"/>
        </w:rPr>
      </w:pPr>
    </w:p>
    <w:p w14:paraId="78F6E000" w14:textId="77777777" w:rsidR="004412F1" w:rsidRDefault="005A12A3">
      <w:pPr>
        <w:numPr>
          <w:ilvl w:val="0"/>
          <w:numId w:val="82"/>
        </w:numPr>
        <w:tabs>
          <w:tab w:val="left" w:pos="1560"/>
        </w:tabs>
        <w:ind w:left="1560" w:hanging="425"/>
        <w:jc w:val="both"/>
        <w:rPr>
          <w:lang w:val="es-PE"/>
        </w:rPr>
      </w:pPr>
      <w:r>
        <w:rPr>
          <w:lang w:val="es-PE"/>
        </w:rPr>
        <w:t xml:space="preserve">Que, el plazo de vigencia de la constitución del CONCESIONARIO debe ser, como mínimo, hasta dos (2) años posteriores a la Fecha de Fin de la Concesión y que, si por cualquier motivo el CONCESIONARIO solicitase la prórroga de la Concesión, deberá prorrogar la duración de </w:t>
      </w:r>
      <w:r>
        <w:rPr>
          <w:lang w:val="es-PE"/>
        </w:rPr>
        <w:lastRenderedPageBreak/>
        <w:t>la sociedad por un plazo adicional, igual al de la prórroga más dos (2) años.</w:t>
      </w:r>
    </w:p>
    <w:p w14:paraId="31FC581C" w14:textId="77777777" w:rsidR="004412F1" w:rsidRDefault="004412F1">
      <w:pPr>
        <w:ind w:left="1560"/>
        <w:jc w:val="both"/>
        <w:rPr>
          <w:lang w:val="es-PE"/>
        </w:rPr>
      </w:pPr>
    </w:p>
    <w:p w14:paraId="38CD0A9B" w14:textId="77777777" w:rsidR="004412F1" w:rsidRDefault="005A12A3">
      <w:pPr>
        <w:numPr>
          <w:ilvl w:val="0"/>
          <w:numId w:val="82"/>
        </w:numPr>
        <w:tabs>
          <w:tab w:val="left" w:pos="1560"/>
        </w:tabs>
        <w:ind w:left="1560" w:hanging="425"/>
        <w:jc w:val="both"/>
        <w:rPr>
          <w:lang w:val="es-PE"/>
        </w:rPr>
      </w:pPr>
      <w:bookmarkStart w:id="876" w:name="_2eclud0"/>
      <w:bookmarkStart w:id="877" w:name="_Ref275782314"/>
      <w:bookmarkEnd w:id="876"/>
      <w:r>
        <w:rPr>
          <w:lang w:val="es-PE"/>
        </w:rPr>
        <w:t>Que, cualquier modificación en los contratos de ejecución de las Intervenciones respecto a los requisitos técnicos establecidos en las Bases, estarán sujetas cuando menos a lo siguiente: a) las modificaciones contractuales deberán ser puestas en conocimiento del CONCEDENTE y el REGULADOR; b) las modificaciones que impliquen cambios del Constructor (es), así como la celebración de nuevos contratos de ejecución de las Intervenciones, requerirán de la aprobación previa del CONCEDENTE, quien para tal efecto deberá solicitar la opinión previa  del REGULADOR; c) que en caso de cambio de Constructor, se deberá velar por el cumplimiento de los requisitos técnicos exigidos en las Bases del Concurso, de modo tal que durante la vigencia del Contrato se cumplan en todo momento con dichos requisitos, bajo causal de Caducidad de la Concesión.</w:t>
      </w:r>
      <w:bookmarkEnd w:id="877"/>
    </w:p>
    <w:p w14:paraId="2D1CAD62" w14:textId="77777777" w:rsidR="004412F1" w:rsidRDefault="004412F1">
      <w:pPr>
        <w:ind w:left="1134"/>
        <w:jc w:val="both"/>
        <w:rPr>
          <w:lang w:val="es-PE"/>
        </w:rPr>
      </w:pPr>
    </w:p>
    <w:p w14:paraId="4034509C" w14:textId="77777777" w:rsidR="004412F1" w:rsidRDefault="005A12A3">
      <w:pPr>
        <w:ind w:left="1560"/>
        <w:jc w:val="both"/>
        <w:rPr>
          <w:color w:val="000000"/>
          <w:lang w:val="es-PE"/>
        </w:rPr>
      </w:pPr>
      <w:r>
        <w:rPr>
          <w:color w:val="000000"/>
          <w:lang w:val="es-PE"/>
        </w:rPr>
        <w:t>Las restricciones indicadas en el párrafo precedente no resultarán de aplicación a la subcontratación que pueda realizar el Constructor.</w:t>
      </w:r>
    </w:p>
    <w:p w14:paraId="32053981" w14:textId="77777777" w:rsidR="004412F1" w:rsidRDefault="004412F1">
      <w:pPr>
        <w:ind w:left="426"/>
        <w:jc w:val="both"/>
        <w:rPr>
          <w:lang w:val="es-PE"/>
        </w:rPr>
      </w:pPr>
    </w:p>
    <w:p w14:paraId="0D7BD29F" w14:textId="5094897E" w:rsidR="004412F1" w:rsidRDefault="005A12A3">
      <w:pPr>
        <w:numPr>
          <w:ilvl w:val="0"/>
          <w:numId w:val="81"/>
        </w:numPr>
        <w:tabs>
          <w:tab w:val="left" w:pos="1134"/>
        </w:tabs>
        <w:ind w:left="1134" w:hanging="425"/>
        <w:jc w:val="both"/>
        <w:rPr>
          <w:lang w:val="es-PE"/>
        </w:rPr>
      </w:pPr>
      <w:r>
        <w:rPr>
          <w:lang w:val="es-PE"/>
        </w:rPr>
        <w:t>Entregar la Garantía de Fiel Cumplimiento de Contrato de Concesión, establecida en la Cláusula</w:t>
      </w:r>
      <w:r w:rsidR="00EC5E81">
        <w:rPr>
          <w:lang w:val="es-PE"/>
        </w:rPr>
        <w:t xml:space="preserve"> 11.12</w:t>
      </w:r>
      <w:r>
        <w:rPr>
          <w:lang w:val="es-PE"/>
        </w:rPr>
        <w:t>. Dicha garantía deberá ser plenamente ejecutable, al solo requerimiento unilateral del REGULADOR.</w:t>
      </w:r>
    </w:p>
    <w:p w14:paraId="624BDF8C" w14:textId="77777777" w:rsidR="004412F1" w:rsidRDefault="004412F1">
      <w:pPr>
        <w:ind w:left="1277" w:hanging="568"/>
        <w:jc w:val="both"/>
        <w:rPr>
          <w:lang w:val="es-PE"/>
        </w:rPr>
      </w:pPr>
    </w:p>
    <w:p w14:paraId="13CBEA22" w14:textId="77777777" w:rsidR="004412F1" w:rsidRDefault="005A12A3">
      <w:pPr>
        <w:numPr>
          <w:ilvl w:val="0"/>
          <w:numId w:val="81"/>
        </w:numPr>
        <w:tabs>
          <w:tab w:val="left" w:pos="1134"/>
        </w:tabs>
        <w:ind w:left="1134" w:hanging="425"/>
        <w:jc w:val="both"/>
        <w:rPr>
          <w:lang w:val="es-PE"/>
        </w:rPr>
      </w:pPr>
      <w:r>
        <w:rPr>
          <w:lang w:val="es-PE"/>
        </w:rPr>
        <w:t>Presentar una declaración jurada del Socio Estratégico mediante la cual se compromete a cumplir con los puntos que se detallan en la Cláusula 14.8 del Contrato.</w:t>
      </w:r>
    </w:p>
    <w:p w14:paraId="10E1DFE3" w14:textId="77777777" w:rsidR="004412F1" w:rsidRDefault="004412F1">
      <w:pPr>
        <w:ind w:hanging="360"/>
        <w:jc w:val="both"/>
        <w:rPr>
          <w:lang w:val="es-PE"/>
        </w:rPr>
      </w:pPr>
    </w:p>
    <w:p w14:paraId="4456D085" w14:textId="77777777" w:rsidR="004412F1" w:rsidRDefault="005A12A3">
      <w:pPr>
        <w:numPr>
          <w:ilvl w:val="0"/>
          <w:numId w:val="81"/>
        </w:numPr>
        <w:ind w:left="1134" w:hanging="425"/>
        <w:jc w:val="both"/>
      </w:pPr>
      <w:bookmarkStart w:id="878" w:name="_thw4kt" w:colFirst="0" w:colLast="0"/>
      <w:bookmarkStart w:id="879" w:name="_Ref275932735"/>
      <w:bookmarkEnd w:id="878"/>
      <w:r>
        <w:rPr>
          <w:lang w:val="es-PE"/>
        </w:rPr>
        <w:t xml:space="preserve">Presentar un escrito de compromiso para el pago del monto a favor de PROINVERSION, por concepto de gastos del proceso para la entrega en Concesión de la Carretera Longitudinal de la Sierra Tramo 4: Huancayo – Izcuchaca – Mayocc - Ayacucho/Ayacucho – Andahuaylas - Puente Sahuinto/Dv. </w:t>
      </w:r>
      <w:r>
        <w:t xml:space="preserve">Pisco – Huaytará - Ayacucho, correspondiente a [] 00/100 Dólares (US$ </w:t>
      </w:r>
      <w:bookmarkEnd w:id="879"/>
      <w:r>
        <w:t>[])</w:t>
      </w:r>
      <w:r>
        <w:rPr>
          <w:b/>
          <w:bCs/>
        </w:rPr>
        <w:t>.</w:t>
      </w:r>
    </w:p>
    <w:p w14:paraId="518A5BFA" w14:textId="77777777" w:rsidR="004412F1" w:rsidRDefault="004412F1">
      <w:pPr>
        <w:ind w:left="709"/>
        <w:jc w:val="both"/>
      </w:pPr>
    </w:p>
    <w:p w14:paraId="43F7619C" w14:textId="77777777" w:rsidR="004412F1" w:rsidRDefault="005A12A3">
      <w:pPr>
        <w:tabs>
          <w:tab w:val="left" w:pos="1134"/>
        </w:tabs>
        <w:ind w:left="1134"/>
        <w:jc w:val="both"/>
        <w:rPr>
          <w:lang w:val="es-PE"/>
        </w:rPr>
      </w:pPr>
      <w:r>
        <w:rPr>
          <w:lang w:val="es-PE"/>
        </w:rPr>
        <w:t>Dicho pago deberá ser efectuado a más tardar a los treinta (30) Días Calendario siguientes de la Fecha de Suscripción del Contrato. En caso de incumplimiento total o parcial de este pago, independientemente de las penalidades indicadas en la Tabla Nº 1 del ANEXO IX, PROINVERSIÓN podrá solicitar al REGULADOR la ejecución de la Garantía de Fiel Cumplimiento de Contrato de Concesión hasta por el monto adeudado.</w:t>
      </w:r>
    </w:p>
    <w:p w14:paraId="046864B5" w14:textId="77777777" w:rsidR="004412F1" w:rsidRDefault="004412F1">
      <w:pPr>
        <w:tabs>
          <w:tab w:val="left" w:pos="1134"/>
        </w:tabs>
        <w:ind w:left="1134"/>
        <w:jc w:val="both"/>
        <w:rPr>
          <w:lang w:val="es-PE"/>
        </w:rPr>
      </w:pPr>
    </w:p>
    <w:p w14:paraId="33EC2EB9" w14:textId="77777777" w:rsidR="004412F1" w:rsidRDefault="005A12A3">
      <w:pPr>
        <w:numPr>
          <w:ilvl w:val="0"/>
          <w:numId w:val="81"/>
        </w:numPr>
        <w:tabs>
          <w:tab w:val="left" w:pos="1134"/>
        </w:tabs>
        <w:ind w:left="1134" w:hanging="425"/>
        <w:jc w:val="both"/>
        <w:rPr>
          <w:lang w:val="es-PE"/>
        </w:rPr>
      </w:pPr>
      <w:bookmarkStart w:id="880" w:name="_3dhjn8m"/>
      <w:bookmarkStart w:id="881" w:name="_Ref275878337"/>
      <w:bookmarkEnd w:id="880"/>
      <w:r>
        <w:rPr>
          <w:lang w:val="es-PE"/>
        </w:rPr>
        <w:t>Entregar una Constancia en la cual el CONCESIONARIO que suscriba el Contrato de Concesión, respecto de la empresa o los integrantes del Consorcio según sea el caso, no está(n) inhabilitado(s) para participar en procesos de selección ni para contratar con el Estado, que emite el Organismo Supervisor de Contrataciones del Estado-OSCE y no haber dejado de ser concesionario por incumplimiento de un contrato de concesión conforme se indica en las Bases.</w:t>
      </w:r>
      <w:bookmarkEnd w:id="881"/>
    </w:p>
    <w:p w14:paraId="06C9472D" w14:textId="77777777" w:rsidR="004412F1" w:rsidRDefault="004412F1">
      <w:pPr>
        <w:ind w:left="709"/>
        <w:jc w:val="both"/>
        <w:rPr>
          <w:lang w:val="es-PE"/>
        </w:rPr>
      </w:pPr>
    </w:p>
    <w:p w14:paraId="72BC4643" w14:textId="77777777" w:rsidR="004412F1" w:rsidRDefault="005A12A3">
      <w:pPr>
        <w:numPr>
          <w:ilvl w:val="0"/>
          <w:numId w:val="81"/>
        </w:numPr>
        <w:tabs>
          <w:tab w:val="left" w:pos="1134"/>
        </w:tabs>
        <w:ind w:left="1134" w:hanging="425"/>
        <w:jc w:val="both"/>
        <w:rPr>
          <w:lang w:val="es-PE"/>
        </w:rPr>
      </w:pPr>
      <w:r>
        <w:rPr>
          <w:lang w:val="es-PE"/>
        </w:rPr>
        <w:t xml:space="preserve">Entregar una Declaración Jurada mediante la cual se acredita </w:t>
      </w:r>
      <w:proofErr w:type="gramStart"/>
      <w:r>
        <w:rPr>
          <w:lang w:val="es-PE"/>
        </w:rPr>
        <w:t>que</w:t>
      </w:r>
      <w:proofErr w:type="gramEnd"/>
      <w:r>
        <w:rPr>
          <w:lang w:val="es-PE"/>
        </w:rPr>
        <w:t xml:space="preserve"> a la Fecha de Suscripción del Contrato de Concesión, toda la información presentada en el Concurso mediante los Sobres Nº 1 y Nº 2 permanece vigente y es fidedigna, conforme al Formulario 1 del ANEXO N° 10 de las Bases.</w:t>
      </w:r>
    </w:p>
    <w:p w14:paraId="3BE06C08" w14:textId="77777777" w:rsidR="004412F1" w:rsidRDefault="004412F1">
      <w:pPr>
        <w:pStyle w:val="Prrafodelista"/>
        <w:rPr>
          <w:lang w:val="es-PE"/>
        </w:rPr>
      </w:pPr>
    </w:p>
    <w:p w14:paraId="2B9D33C4" w14:textId="29DBADCD" w:rsidR="004412F1" w:rsidRDefault="005A12A3">
      <w:pPr>
        <w:numPr>
          <w:ilvl w:val="0"/>
          <w:numId w:val="81"/>
        </w:numPr>
        <w:tabs>
          <w:tab w:val="left" w:pos="1134"/>
        </w:tabs>
        <w:ind w:left="1134" w:hanging="425"/>
        <w:jc w:val="both"/>
        <w:rPr>
          <w:szCs w:val="18"/>
          <w:lang w:val="es-PE" w:eastAsia="es-ES"/>
        </w:rPr>
      </w:pPr>
      <w:r>
        <w:rPr>
          <w:lang w:val="es-PE"/>
        </w:rPr>
        <w:t xml:space="preserve">Entregar un (1) cheque de gerencia a favor del REGULADOR para el inicio del proceso de contratación de los supervisores, el mismo que constituirá un pago a cuenta por el concepto de supervisión del Mantenimiento Periódico Inicial de acuerdo con la cláusula </w:t>
      </w:r>
      <w:r w:rsidR="0050722A">
        <w:rPr>
          <w:rFonts w:eastAsia="SimSun"/>
          <w:lang w:val="es-PE" w:eastAsia="zh-CN"/>
        </w:rPr>
        <w:t>6.4</w:t>
      </w:r>
      <w:r w:rsidR="00506159">
        <w:rPr>
          <w:rFonts w:eastAsia="SimSun"/>
          <w:lang w:val="es-PE" w:eastAsia="zh-CN"/>
        </w:rPr>
        <w:t>3</w:t>
      </w:r>
      <w:r>
        <w:rPr>
          <w:lang w:val="es-PE"/>
        </w:rPr>
        <w:t xml:space="preserve"> de la sección de Supervisión.</w:t>
      </w:r>
    </w:p>
    <w:p w14:paraId="48D7BD45" w14:textId="77777777" w:rsidR="004412F1" w:rsidRDefault="005A12A3">
      <w:pPr>
        <w:pStyle w:val="Prrafodelista"/>
        <w:rPr>
          <w:szCs w:val="18"/>
          <w:lang w:val="es-PE" w:eastAsia="es-ES"/>
        </w:rPr>
      </w:pPr>
      <w:r>
        <w:rPr>
          <w:szCs w:val="18"/>
          <w:lang w:val="es-PE" w:eastAsia="es-ES"/>
        </w:rPr>
        <w:t xml:space="preserve"> </w:t>
      </w:r>
    </w:p>
    <w:p w14:paraId="1784DC75" w14:textId="77777777" w:rsidR="004412F1" w:rsidRDefault="005A12A3">
      <w:pPr>
        <w:numPr>
          <w:ilvl w:val="0"/>
          <w:numId w:val="81"/>
        </w:numPr>
        <w:ind w:left="1134" w:hanging="425"/>
        <w:jc w:val="both"/>
        <w:rPr>
          <w:lang w:val="es-PE"/>
        </w:rPr>
      </w:pPr>
      <w:r>
        <w:rPr>
          <w:lang w:val="es-PE"/>
        </w:rPr>
        <w:t>Modelo económico financiero del proyecto formulado por el Adjudicatario para la presentación de la Propuesta Económica contenida en su Sobre N° 3. Dicho modelo deberá cumplir con lo establecido en las Leyes y Disposiciones Aplicables.</w:t>
      </w:r>
    </w:p>
    <w:p w14:paraId="5F0A268E" w14:textId="77777777" w:rsidR="004412F1" w:rsidRDefault="004412F1">
      <w:pPr>
        <w:ind w:left="1134" w:hanging="425"/>
        <w:jc w:val="both"/>
        <w:rPr>
          <w:lang w:val="es-PE"/>
        </w:rPr>
      </w:pPr>
    </w:p>
    <w:p w14:paraId="2375FC51" w14:textId="77777777" w:rsidR="004412F1" w:rsidRDefault="005A12A3">
      <w:pPr>
        <w:pStyle w:val="Ttulo2"/>
        <w:ind w:left="0"/>
        <w:jc w:val="both"/>
        <w:rPr>
          <w:rFonts w:ascii="Arial" w:hAnsi="Arial"/>
          <w:b/>
          <w:u w:val="none"/>
          <w:lang w:val="es-PE"/>
        </w:rPr>
      </w:pPr>
      <w:bookmarkStart w:id="882" w:name="_OBLIGACIONES_DEL_CONCESIONARIO_1"/>
      <w:bookmarkStart w:id="883" w:name="_DECLARACIONES_DEL_CONCEDENTE"/>
      <w:bookmarkStart w:id="884" w:name="_1smtxgf"/>
      <w:bookmarkStart w:id="885" w:name="_Toc468837609"/>
      <w:bookmarkStart w:id="886" w:name="_Toc139294703"/>
      <w:bookmarkStart w:id="887" w:name="_Toc140089301"/>
      <w:bookmarkStart w:id="888" w:name="_Toc131331992"/>
      <w:bookmarkStart w:id="889" w:name="_Toc131329905"/>
      <w:bookmarkStart w:id="890" w:name="_Toc131332913"/>
      <w:bookmarkStart w:id="891" w:name="_Toc131329318"/>
      <w:bookmarkStart w:id="892" w:name="_Toc131327933"/>
      <w:bookmarkStart w:id="893" w:name="_Toc131329086"/>
      <w:bookmarkStart w:id="894" w:name="_Toc131328750"/>
      <w:bookmarkEnd w:id="882"/>
      <w:bookmarkEnd w:id="883"/>
      <w:bookmarkEnd w:id="884"/>
      <w:r>
        <w:rPr>
          <w:rFonts w:ascii="Arial" w:hAnsi="Arial"/>
          <w:b/>
          <w:u w:val="none"/>
          <w:lang w:val="es-PE"/>
        </w:rPr>
        <w:t>OBLIGACIONES DEL CONCEDENTE A LA FECHA DE SUSCRIPCIÓN DEL CONTRATO</w:t>
      </w:r>
      <w:bookmarkEnd w:id="885"/>
      <w:bookmarkEnd w:id="886"/>
      <w:bookmarkEnd w:id="887"/>
    </w:p>
    <w:p w14:paraId="005D6408" w14:textId="77777777" w:rsidR="004412F1" w:rsidRDefault="004412F1">
      <w:pPr>
        <w:rPr>
          <w:lang w:val="es-PE"/>
        </w:rPr>
      </w:pPr>
    </w:p>
    <w:p w14:paraId="19D327A7" w14:textId="77777777" w:rsidR="004412F1" w:rsidRDefault="005A12A3">
      <w:pPr>
        <w:numPr>
          <w:ilvl w:val="1"/>
          <w:numId w:val="77"/>
        </w:numPr>
        <w:tabs>
          <w:tab w:val="left" w:pos="709"/>
        </w:tabs>
        <w:ind w:left="709" w:hanging="709"/>
        <w:jc w:val="both"/>
        <w:rPr>
          <w:color w:val="000000"/>
          <w:lang w:val="es-PE"/>
        </w:rPr>
      </w:pPr>
      <w:r>
        <w:rPr>
          <w:color w:val="000000"/>
          <w:lang w:val="es-PE"/>
        </w:rPr>
        <w:t>El CONCEDENTE a la Fecha de Suscripción del Contrato deberá cumplir con lo siguiente:</w:t>
      </w:r>
    </w:p>
    <w:p w14:paraId="54A4F39B" w14:textId="77777777" w:rsidR="004412F1" w:rsidRDefault="004412F1">
      <w:pPr>
        <w:rPr>
          <w:lang w:val="es-PE"/>
        </w:rPr>
      </w:pPr>
    </w:p>
    <w:bookmarkEnd w:id="888"/>
    <w:bookmarkEnd w:id="889"/>
    <w:bookmarkEnd w:id="890"/>
    <w:bookmarkEnd w:id="891"/>
    <w:bookmarkEnd w:id="892"/>
    <w:bookmarkEnd w:id="893"/>
    <w:bookmarkEnd w:id="894"/>
    <w:p w14:paraId="57226385" w14:textId="77777777" w:rsidR="004412F1" w:rsidRDefault="005A12A3">
      <w:pPr>
        <w:numPr>
          <w:ilvl w:val="1"/>
          <w:numId w:val="83"/>
        </w:numPr>
        <w:tabs>
          <w:tab w:val="left" w:pos="1276"/>
        </w:tabs>
        <w:ind w:left="1276" w:hanging="567"/>
        <w:jc w:val="both"/>
        <w:rPr>
          <w:lang w:val="es-PE"/>
        </w:rPr>
      </w:pPr>
      <w:r>
        <w:rPr>
          <w:lang w:val="es-PE"/>
        </w:rPr>
        <w:t>Devolver al CONCESIONARIO la Garantía de Validez, Vigencia y Seriedad de la Oferta presentada por el Adjudicatario durante el proceso del Concurso.</w:t>
      </w:r>
    </w:p>
    <w:p w14:paraId="5D50CC0B" w14:textId="77777777" w:rsidR="004412F1" w:rsidRDefault="004412F1">
      <w:pPr>
        <w:ind w:left="709"/>
        <w:jc w:val="both"/>
        <w:rPr>
          <w:lang w:val="es-PE"/>
        </w:rPr>
      </w:pPr>
    </w:p>
    <w:p w14:paraId="7FB09CF5" w14:textId="77777777" w:rsidR="004412F1" w:rsidRDefault="005A12A3">
      <w:pPr>
        <w:numPr>
          <w:ilvl w:val="1"/>
          <w:numId w:val="83"/>
        </w:numPr>
        <w:tabs>
          <w:tab w:val="left" w:pos="1276"/>
        </w:tabs>
        <w:ind w:left="1276" w:hanging="567"/>
        <w:jc w:val="both"/>
        <w:rPr>
          <w:lang w:val="es-PE"/>
        </w:rPr>
      </w:pPr>
      <w:r>
        <w:rPr>
          <w:lang w:val="es-PE"/>
        </w:rPr>
        <w:t>Entregar al CONCESIONARIO los listados que comprenda los Bienes de la Concesión correspondientes a las unidades de peaje y pesaje que le serán entregadas mediante cada Toma de Posesión.</w:t>
      </w:r>
    </w:p>
    <w:p w14:paraId="3582507A" w14:textId="77777777" w:rsidR="004412F1" w:rsidRDefault="004412F1">
      <w:pPr>
        <w:ind w:left="709"/>
        <w:jc w:val="both"/>
        <w:rPr>
          <w:lang w:val="es-PE"/>
        </w:rPr>
      </w:pPr>
    </w:p>
    <w:p w14:paraId="63561A55" w14:textId="77777777" w:rsidR="004412F1" w:rsidRDefault="005A12A3">
      <w:pPr>
        <w:numPr>
          <w:ilvl w:val="1"/>
          <w:numId w:val="83"/>
        </w:numPr>
        <w:tabs>
          <w:tab w:val="left" w:pos="1276"/>
        </w:tabs>
        <w:ind w:left="1276" w:hanging="567"/>
        <w:jc w:val="both"/>
        <w:rPr>
          <w:lang w:val="es-PE"/>
        </w:rPr>
      </w:pPr>
      <w:r>
        <w:rPr>
          <w:lang w:val="es-PE"/>
        </w:rPr>
        <w:t xml:space="preserve">Entregar al CONCESIONARIO los listados de los Bienes de la Concesión no incluidos en el Literal b) precedente, los mismos que serán entregados conforme el CONCEDENTE entregue los </w:t>
      </w:r>
      <w:proofErr w:type="gramStart"/>
      <w:r>
        <w:rPr>
          <w:lang w:val="es-PE"/>
        </w:rPr>
        <w:t>Sub Tramos</w:t>
      </w:r>
      <w:proofErr w:type="gramEnd"/>
      <w:r>
        <w:rPr>
          <w:lang w:val="es-PE"/>
        </w:rPr>
        <w:t xml:space="preserve"> correspondientes.</w:t>
      </w:r>
    </w:p>
    <w:p w14:paraId="793D09B0" w14:textId="77777777" w:rsidR="004412F1" w:rsidRDefault="004412F1">
      <w:pPr>
        <w:ind w:left="708"/>
        <w:rPr>
          <w:color w:val="000000"/>
          <w:lang w:val="es-PE"/>
        </w:rPr>
      </w:pPr>
    </w:p>
    <w:p w14:paraId="35A9AAD6" w14:textId="77777777" w:rsidR="004412F1" w:rsidRDefault="005A12A3">
      <w:pPr>
        <w:numPr>
          <w:ilvl w:val="1"/>
          <w:numId w:val="83"/>
        </w:numPr>
        <w:tabs>
          <w:tab w:val="left" w:pos="1276"/>
        </w:tabs>
        <w:ind w:left="1276" w:hanging="567"/>
        <w:jc w:val="both"/>
        <w:rPr>
          <w:lang w:val="es-PE"/>
        </w:rPr>
      </w:pPr>
      <w:r>
        <w:rPr>
          <w:lang w:val="es-PE"/>
        </w:rPr>
        <w:t>Entregar al CONCESIONARIO la relación de vehículos que se encuentran sujetos al régimen de Tarifa Diferenciada por cada unidad de peaje, de corresponder.</w:t>
      </w:r>
    </w:p>
    <w:p w14:paraId="490B9DFF" w14:textId="77777777" w:rsidR="004412F1" w:rsidRDefault="004412F1">
      <w:pPr>
        <w:ind w:left="709"/>
        <w:jc w:val="both"/>
        <w:rPr>
          <w:lang w:val="es-PE"/>
        </w:rPr>
      </w:pPr>
    </w:p>
    <w:p w14:paraId="5DB919B3" w14:textId="77777777" w:rsidR="004412F1" w:rsidRDefault="005A12A3">
      <w:pPr>
        <w:numPr>
          <w:ilvl w:val="1"/>
          <w:numId w:val="83"/>
        </w:numPr>
        <w:tabs>
          <w:tab w:val="left" w:pos="1276"/>
        </w:tabs>
        <w:ind w:left="1276" w:hanging="567"/>
        <w:jc w:val="both"/>
        <w:rPr>
          <w:lang w:val="es-PE"/>
        </w:rPr>
      </w:pPr>
      <w:r>
        <w:rPr>
          <w:lang w:val="es-PE"/>
        </w:rPr>
        <w:t>Entregar al CONCESIONARIO lo siguiente:</w:t>
      </w:r>
    </w:p>
    <w:p w14:paraId="211BCE9B" w14:textId="77777777" w:rsidR="004412F1" w:rsidRDefault="005A12A3">
      <w:pPr>
        <w:ind w:left="1701" w:hanging="425"/>
        <w:jc w:val="both"/>
        <w:rPr>
          <w:lang w:val="es-PE"/>
        </w:rPr>
      </w:pPr>
      <w:r>
        <w:rPr>
          <w:lang w:val="es-PE"/>
        </w:rPr>
        <w:t>(i)</w:t>
      </w:r>
      <w:r>
        <w:rPr>
          <w:lang w:val="es-PE"/>
        </w:rPr>
        <w:tab/>
        <w:t>Copia del Decreto Supremo publicado en el Diario Oficial El Peruano, al amparo de lo dispuesto en el numeral 25.1 del Artículo 25° del Decreto Legislativo N° 1362, en virtud del cual el Poder Ejecutivo otorgará al CONCESIONARIO la garantía del Estado en respaldo de las declaraciones y garantías del Concedente estipuladas en este Contrato, y,</w:t>
      </w:r>
    </w:p>
    <w:p w14:paraId="42D1DD56" w14:textId="77777777" w:rsidR="004412F1" w:rsidRDefault="005A12A3">
      <w:pPr>
        <w:ind w:left="1701" w:hanging="425"/>
        <w:jc w:val="both"/>
        <w:rPr>
          <w:lang w:val="es-PE"/>
        </w:rPr>
      </w:pPr>
      <w:r>
        <w:rPr>
          <w:lang w:val="es-PE"/>
        </w:rPr>
        <w:t>(ii)</w:t>
      </w:r>
      <w:r>
        <w:rPr>
          <w:lang w:val="es-PE"/>
        </w:rPr>
        <w:tab/>
        <w:t>Un ejemplar del Contrato de Seguridades y Garantías debidamente suscrito por las Autoridades Gubernamentales competentes, debidamente fechado, en aplicación de lo dispuesto en el Literal (i) anterior.</w:t>
      </w:r>
    </w:p>
    <w:p w14:paraId="0824FB98" w14:textId="77777777" w:rsidR="004412F1" w:rsidRDefault="004412F1">
      <w:pPr>
        <w:jc w:val="both"/>
        <w:rPr>
          <w:lang w:val="es-PE"/>
        </w:rPr>
      </w:pPr>
    </w:p>
    <w:p w14:paraId="0DD4B769" w14:textId="77777777" w:rsidR="004412F1" w:rsidRDefault="004412F1">
      <w:pPr>
        <w:jc w:val="both"/>
        <w:rPr>
          <w:lang w:val="es-PE"/>
        </w:rPr>
      </w:pPr>
    </w:p>
    <w:p w14:paraId="348CEBAC" w14:textId="77777777" w:rsidR="004412F1" w:rsidRDefault="005A12A3">
      <w:pPr>
        <w:numPr>
          <w:ilvl w:val="1"/>
          <w:numId w:val="77"/>
        </w:numPr>
        <w:tabs>
          <w:tab w:val="left" w:pos="709"/>
        </w:tabs>
        <w:ind w:left="709" w:hanging="709"/>
        <w:jc w:val="both"/>
        <w:rPr>
          <w:color w:val="000000"/>
          <w:lang w:val="es-PE"/>
        </w:rPr>
      </w:pPr>
      <w:r>
        <w:rPr>
          <w:color w:val="000000"/>
          <w:lang w:val="es-PE"/>
        </w:rPr>
        <w:t>Lo estipulado en el presente CAPÍTULO es requisito previo para que sean exigibles las obligaciones y los derechos del CONCEDENTE y del CONCESIONARIO bajo este Contrato.</w:t>
      </w:r>
    </w:p>
    <w:p w14:paraId="1D39E5A0" w14:textId="77777777" w:rsidR="004412F1" w:rsidRDefault="004412F1">
      <w:pPr>
        <w:tabs>
          <w:tab w:val="left" w:pos="709"/>
        </w:tabs>
        <w:ind w:left="709" w:hanging="709"/>
        <w:jc w:val="both"/>
        <w:rPr>
          <w:lang w:val="es-PE"/>
        </w:rPr>
      </w:pPr>
    </w:p>
    <w:p w14:paraId="512AF12F" w14:textId="77777777" w:rsidR="004412F1" w:rsidRDefault="005A12A3">
      <w:pPr>
        <w:numPr>
          <w:ilvl w:val="1"/>
          <w:numId w:val="77"/>
        </w:numPr>
        <w:tabs>
          <w:tab w:val="left" w:pos="709"/>
        </w:tabs>
        <w:ind w:left="709" w:hanging="709"/>
        <w:jc w:val="both"/>
        <w:rPr>
          <w:color w:val="000000"/>
          <w:lang w:val="es-PE"/>
        </w:rPr>
      </w:pPr>
      <w:r>
        <w:rPr>
          <w:color w:val="000000"/>
          <w:lang w:val="es-PE"/>
        </w:rPr>
        <w:t xml:space="preserve">El Contrato </w:t>
      </w:r>
      <w:proofErr w:type="gramStart"/>
      <w:r>
        <w:rPr>
          <w:color w:val="000000"/>
          <w:lang w:val="es-PE"/>
        </w:rPr>
        <w:t>entrará en vigencia</w:t>
      </w:r>
      <w:proofErr w:type="gramEnd"/>
      <w:r>
        <w:rPr>
          <w:color w:val="000000"/>
          <w:lang w:val="es-PE"/>
        </w:rPr>
        <w:t xml:space="preserve"> en la fecha de su suscripción.</w:t>
      </w:r>
    </w:p>
    <w:p w14:paraId="77736B8B" w14:textId="77777777" w:rsidR="004412F1" w:rsidRDefault="004412F1">
      <w:pPr>
        <w:jc w:val="both"/>
        <w:rPr>
          <w:lang w:val="es-PE"/>
        </w:rPr>
      </w:pPr>
    </w:p>
    <w:p w14:paraId="21F19AAD" w14:textId="77777777" w:rsidR="004412F1" w:rsidRDefault="005A12A3">
      <w:pPr>
        <w:pStyle w:val="Ttulo1"/>
        <w:rPr>
          <w:color w:val="000000"/>
          <w:lang w:val="es-PE"/>
        </w:rPr>
      </w:pPr>
      <w:bookmarkStart w:id="895" w:name="_DV_M690"/>
      <w:bookmarkStart w:id="896" w:name="_DV_M691"/>
      <w:bookmarkStart w:id="897" w:name="_4cmhg48"/>
      <w:bookmarkStart w:id="898" w:name="_CIERRE_FINANCIERO"/>
      <w:bookmarkStart w:id="899" w:name="_Toc131329908"/>
      <w:bookmarkStart w:id="900" w:name="_Toc131331995"/>
      <w:bookmarkStart w:id="901" w:name="_Toc131328753"/>
      <w:bookmarkStart w:id="902" w:name="_Toc131327936"/>
      <w:bookmarkStart w:id="903" w:name="_Toc139294704"/>
      <w:bookmarkStart w:id="904" w:name="_Toc131329321"/>
      <w:bookmarkStart w:id="905" w:name="_Toc131329089"/>
      <w:bookmarkStart w:id="906" w:name="_Toc131332916"/>
      <w:bookmarkStart w:id="907" w:name="_Toc468837610"/>
      <w:bookmarkStart w:id="908" w:name="_Toc140089302"/>
      <w:bookmarkEnd w:id="895"/>
      <w:bookmarkEnd w:id="896"/>
      <w:bookmarkEnd w:id="897"/>
      <w:bookmarkEnd w:id="898"/>
      <w:r>
        <w:rPr>
          <w:lang w:val="es-PE"/>
        </w:rPr>
        <w:t xml:space="preserve">CAPÍTULO </w:t>
      </w:r>
      <w:r>
        <w:rPr>
          <w:color w:val="000000" w:themeColor="text1"/>
          <w:lang w:val="es-PE"/>
        </w:rPr>
        <w:t>IV: PLAZO DE LA CONCESIÓN</w:t>
      </w:r>
      <w:bookmarkEnd w:id="899"/>
      <w:bookmarkEnd w:id="900"/>
      <w:bookmarkEnd w:id="901"/>
      <w:bookmarkEnd w:id="902"/>
      <w:bookmarkEnd w:id="903"/>
      <w:bookmarkEnd w:id="904"/>
      <w:bookmarkEnd w:id="905"/>
      <w:bookmarkEnd w:id="906"/>
      <w:bookmarkEnd w:id="907"/>
      <w:bookmarkEnd w:id="908"/>
    </w:p>
    <w:p w14:paraId="4CC796F8" w14:textId="77777777" w:rsidR="004412F1" w:rsidRDefault="004412F1">
      <w:pPr>
        <w:rPr>
          <w:b/>
          <w:lang w:val="es-PE"/>
        </w:rPr>
      </w:pPr>
    </w:p>
    <w:p w14:paraId="1FF783CF" w14:textId="77777777" w:rsidR="004412F1" w:rsidRDefault="005A12A3">
      <w:pPr>
        <w:pStyle w:val="Ttulo2"/>
        <w:ind w:left="0"/>
        <w:jc w:val="both"/>
        <w:rPr>
          <w:rFonts w:ascii="Arial" w:hAnsi="Arial"/>
          <w:b/>
          <w:color w:val="000000"/>
          <w:u w:val="none"/>
        </w:rPr>
      </w:pPr>
      <w:bookmarkStart w:id="909" w:name="_2rrrqc1"/>
      <w:bookmarkStart w:id="910" w:name="_Toc131328754"/>
      <w:bookmarkStart w:id="911" w:name="_Ref405095706"/>
      <w:bookmarkStart w:id="912" w:name="_Toc131329090"/>
      <w:bookmarkStart w:id="913" w:name="_Toc131327937"/>
      <w:bookmarkStart w:id="914" w:name="_Toc468837611"/>
      <w:bookmarkStart w:id="915" w:name="_Toc131329322"/>
      <w:bookmarkStart w:id="916" w:name="_Toc139294705"/>
      <w:bookmarkStart w:id="917" w:name="_Toc131329909"/>
      <w:bookmarkStart w:id="918" w:name="_Toc131331996"/>
      <w:bookmarkStart w:id="919" w:name="_Toc406846796"/>
      <w:bookmarkStart w:id="920" w:name="_Toc131332917"/>
      <w:bookmarkStart w:id="921" w:name="_Toc140089303"/>
      <w:bookmarkEnd w:id="909"/>
      <w:r>
        <w:rPr>
          <w:rFonts w:ascii="Arial" w:hAnsi="Arial"/>
          <w:b/>
          <w:color w:val="000000" w:themeColor="text1"/>
          <w:u w:val="none"/>
        </w:rPr>
        <w:lastRenderedPageBreak/>
        <w:t>PLAZO</w:t>
      </w:r>
      <w:bookmarkEnd w:id="910"/>
      <w:bookmarkEnd w:id="911"/>
      <w:bookmarkEnd w:id="912"/>
      <w:bookmarkEnd w:id="913"/>
      <w:bookmarkEnd w:id="914"/>
      <w:bookmarkEnd w:id="915"/>
      <w:bookmarkEnd w:id="916"/>
      <w:bookmarkEnd w:id="917"/>
      <w:bookmarkEnd w:id="918"/>
      <w:bookmarkEnd w:id="919"/>
      <w:bookmarkEnd w:id="920"/>
      <w:bookmarkEnd w:id="921"/>
    </w:p>
    <w:p w14:paraId="75885C43" w14:textId="77777777" w:rsidR="004412F1" w:rsidRDefault="004412F1">
      <w:pPr>
        <w:tabs>
          <w:tab w:val="left" w:pos="567"/>
          <w:tab w:val="left" w:pos="1440"/>
          <w:tab w:val="left" w:pos="2160"/>
          <w:tab w:val="left" w:pos="2880"/>
          <w:tab w:val="left" w:pos="3600"/>
        </w:tabs>
        <w:jc w:val="both"/>
      </w:pPr>
    </w:p>
    <w:p w14:paraId="0B485BCC" w14:textId="77777777" w:rsidR="004412F1" w:rsidRDefault="005A12A3">
      <w:pPr>
        <w:numPr>
          <w:ilvl w:val="1"/>
          <w:numId w:val="84"/>
        </w:numPr>
        <w:jc w:val="both"/>
        <w:rPr>
          <w:lang w:val="es-PE"/>
        </w:rPr>
      </w:pPr>
      <w:bookmarkStart w:id="922" w:name="_16x20ju" w:colFirst="0" w:colLast="0"/>
      <w:bookmarkStart w:id="923" w:name="_Ref272504415"/>
      <w:bookmarkEnd w:id="922"/>
      <w:r>
        <w:rPr>
          <w:color w:val="000000"/>
          <w:lang w:val="es-ES"/>
        </w:rPr>
        <w:t xml:space="preserve">La Concesión se otorga por un plazo de veinticinco (25) años, contados desde la Fecha de Suscripción del Contrato, </w:t>
      </w:r>
      <w:r>
        <w:rPr>
          <w:color w:val="000000"/>
          <w:lang w:val="es-PE"/>
        </w:rPr>
        <w:t>salvo los casos de prórroga o caducidad, conforme a los términos y condiciones previstos en el presente Contrato.</w:t>
      </w:r>
      <w:bookmarkEnd w:id="923"/>
    </w:p>
    <w:p w14:paraId="71F6527C" w14:textId="77777777" w:rsidR="004412F1" w:rsidRDefault="004412F1">
      <w:pPr>
        <w:ind w:left="709"/>
        <w:jc w:val="both"/>
        <w:rPr>
          <w:b/>
          <w:bCs/>
          <w:lang w:val="es-PE"/>
        </w:rPr>
      </w:pPr>
    </w:p>
    <w:p w14:paraId="11C753CA" w14:textId="5ABDE67C" w:rsidR="004412F1" w:rsidRDefault="005A12A3">
      <w:pPr>
        <w:ind w:left="709"/>
        <w:jc w:val="both"/>
        <w:rPr>
          <w:lang w:val="es-PE"/>
        </w:rPr>
      </w:pPr>
      <w:r>
        <w:rPr>
          <w:lang w:val="es-PE"/>
        </w:rPr>
        <w:t>Este Contrato estará vigente y surtirá plenos efectos jurídicos durante el plazo indicado en el párrafo anterior, concluyendo por cualquiera de las causales de Caducidad establecidas en el</w:t>
      </w:r>
      <w:r w:rsidR="00106B55">
        <w:rPr>
          <w:lang w:val="es-ES"/>
        </w:rPr>
        <w:t xml:space="preserve"> CAPÍTULO XVII</w:t>
      </w:r>
      <w:r>
        <w:rPr>
          <w:lang w:val="es-PE"/>
        </w:rPr>
        <w:t>.</w:t>
      </w:r>
    </w:p>
    <w:p w14:paraId="26E61FDC" w14:textId="77777777" w:rsidR="004412F1" w:rsidRDefault="004412F1">
      <w:pPr>
        <w:ind w:left="709"/>
        <w:jc w:val="both"/>
        <w:rPr>
          <w:lang w:val="es-PE"/>
        </w:rPr>
      </w:pPr>
    </w:p>
    <w:p w14:paraId="65610C97" w14:textId="77777777" w:rsidR="004412F1" w:rsidRDefault="005A12A3">
      <w:pPr>
        <w:numPr>
          <w:ilvl w:val="1"/>
          <w:numId w:val="84"/>
        </w:numPr>
        <w:jc w:val="both"/>
        <w:rPr>
          <w:lang w:val="es-PE"/>
        </w:rPr>
      </w:pPr>
      <w:r>
        <w:rPr>
          <w:color w:val="000000"/>
          <w:lang w:val="es-PE"/>
        </w:rPr>
        <w:t>En ningún caso, el plazo de la Concesión, contado desde la Fecha de Suscripción del Contrato sumado al plazo de cualquier prórroga o prórrogas, podrá exceder el plazo máximo establecido en las Leyes y Disposiciones Aplicables.</w:t>
      </w:r>
    </w:p>
    <w:p w14:paraId="572CFC9B" w14:textId="77777777" w:rsidR="004412F1" w:rsidRDefault="004412F1">
      <w:pPr>
        <w:jc w:val="both"/>
        <w:rPr>
          <w:color w:val="000000"/>
          <w:lang w:val="es-PE"/>
        </w:rPr>
      </w:pPr>
    </w:p>
    <w:p w14:paraId="73E3BAE5" w14:textId="77777777" w:rsidR="004412F1" w:rsidRDefault="005A12A3">
      <w:pPr>
        <w:pStyle w:val="Ttulo2"/>
        <w:ind w:left="0"/>
        <w:rPr>
          <w:rFonts w:ascii="Arial" w:eastAsia="Arial" w:hAnsi="Arial" w:cs="Arial"/>
          <w:b/>
          <w:bCs/>
          <w:lang w:val="es-PE"/>
        </w:rPr>
      </w:pPr>
      <w:bookmarkStart w:id="924" w:name="_3qwpj7n" w:colFirst="0" w:colLast="0"/>
      <w:bookmarkStart w:id="925" w:name="_Toc139294706"/>
      <w:bookmarkStart w:id="926" w:name="_Toc140089304"/>
      <w:bookmarkEnd w:id="924"/>
      <w:r>
        <w:rPr>
          <w:rFonts w:ascii="Arial" w:eastAsia="Arial" w:hAnsi="Arial" w:cs="Arial"/>
          <w:b/>
          <w:bCs/>
          <w:u w:val="none"/>
          <w:lang w:val="es-PE"/>
        </w:rPr>
        <w:t>PRÓRROGA DEL PLAZO DE LA CONCESIÓN</w:t>
      </w:r>
      <w:bookmarkEnd w:id="925"/>
      <w:bookmarkEnd w:id="926"/>
    </w:p>
    <w:p w14:paraId="0285D550" w14:textId="77777777" w:rsidR="004412F1" w:rsidRDefault="004412F1">
      <w:pPr>
        <w:ind w:left="709"/>
        <w:jc w:val="both"/>
        <w:rPr>
          <w:color w:val="000000"/>
          <w:lang w:val="es-PE"/>
        </w:rPr>
      </w:pPr>
    </w:p>
    <w:p w14:paraId="635503C0" w14:textId="77777777" w:rsidR="004412F1" w:rsidRDefault="005A12A3">
      <w:pPr>
        <w:numPr>
          <w:ilvl w:val="1"/>
          <w:numId w:val="84"/>
        </w:numPr>
        <w:jc w:val="both"/>
        <w:rPr>
          <w:lang w:val="es-PE"/>
        </w:rPr>
      </w:pPr>
      <w:r>
        <w:rPr>
          <w:color w:val="000000"/>
          <w:lang w:val="es-PE"/>
        </w:rPr>
        <w:t>El plazo de la Concesión podrá ser prorrogado previo a su vencimiento, por requerimiento del CONCEDENTE o a solicitud del CONCESIONARIO, mediante comunicación escrita debidamente fundamentada, con una anticipación no menor de dos (02) años anteriores al vencimiento del plazo de la Concesión, siempre que el CONCESIONARIO no haya incurrido en un incumplimiento grave subsanable de sus obligaciones contractuales señaladas en el Contrato de Concesión, durante toda la vigencia de este.</w:t>
      </w:r>
    </w:p>
    <w:p w14:paraId="4F7DC49A" w14:textId="77777777" w:rsidR="004412F1" w:rsidRDefault="004412F1">
      <w:pPr>
        <w:widowControl w:val="0"/>
        <w:tabs>
          <w:tab w:val="left" w:pos="705"/>
        </w:tabs>
        <w:ind w:left="720"/>
        <w:jc w:val="both"/>
        <w:rPr>
          <w:lang w:val="es-PE"/>
        </w:rPr>
      </w:pPr>
    </w:p>
    <w:p w14:paraId="26EC2F59" w14:textId="77777777" w:rsidR="004412F1" w:rsidRDefault="005A12A3">
      <w:pPr>
        <w:numPr>
          <w:ilvl w:val="1"/>
          <w:numId w:val="84"/>
        </w:numPr>
        <w:jc w:val="both"/>
        <w:rPr>
          <w:lang w:val="es-PE"/>
        </w:rPr>
      </w:pPr>
      <w:r>
        <w:rPr>
          <w:color w:val="000000"/>
          <w:lang w:val="es-PE"/>
        </w:rPr>
        <w:t xml:space="preserve">El CONCEDENTE, previa opinión del Regulador, se reserva el derecho de revisar las condiciones bajo las cuales podrá aceptar la prórroga de la Concesión. La decisión del CONCEDENTE constituye una decisión discrecional, por lo que no podrá ser materia de impugnación ni susceptible de ser cuestionada por el CONCESIONARIO mediante el mecanismo de solución de controversias. </w:t>
      </w:r>
    </w:p>
    <w:p w14:paraId="4DE13648" w14:textId="77777777" w:rsidR="004412F1" w:rsidRDefault="004412F1">
      <w:pPr>
        <w:jc w:val="both"/>
        <w:rPr>
          <w:lang w:val="es-PE"/>
        </w:rPr>
      </w:pPr>
    </w:p>
    <w:p w14:paraId="53EC56E6" w14:textId="77777777" w:rsidR="004412F1" w:rsidRDefault="005A12A3">
      <w:pPr>
        <w:numPr>
          <w:ilvl w:val="1"/>
          <w:numId w:val="84"/>
        </w:numPr>
        <w:jc w:val="both"/>
        <w:rPr>
          <w:lang w:val="es-PE"/>
        </w:rPr>
      </w:pPr>
      <w:r>
        <w:rPr>
          <w:color w:val="000000"/>
          <w:lang w:val="es-PE"/>
        </w:rPr>
        <w:t>Antes de prorrogar el plazo de la Concesión por vencimiento, el CONCEDENTE debe evaluar si durante el tiempo transcurrido de la Concesión, se han producido cambios en las condiciones materiales, tecnológicas y económicas, bajo las cuales se presta el Servicio, a fin de determinar si es pertinente el otorgamiento del plazo adicional o, en su caso, la convocatoria a un nuevo proceso de selección, considerando los principios de valor por dinero y competencia, así como otras condiciones o normas sectoriales que resulten aplicables. La prórroga del plazo deberá tramitarse conforme al procedimiento establecido en el Capítulo XX del presente Contrato y en los artículos 134 al 138 del Reglamento del Decreto Legislativo N° 1362.</w:t>
      </w:r>
    </w:p>
    <w:p w14:paraId="2CCEA13A" w14:textId="77777777" w:rsidR="004412F1" w:rsidRDefault="004412F1">
      <w:pPr>
        <w:suppressLineNumbers/>
        <w:suppressAutoHyphens/>
        <w:ind w:left="708"/>
        <w:rPr>
          <w:color w:val="000000"/>
          <w:lang w:val="es-ES"/>
        </w:rPr>
      </w:pPr>
    </w:p>
    <w:p w14:paraId="0E0C0896" w14:textId="77777777" w:rsidR="004412F1" w:rsidRDefault="005A12A3">
      <w:pPr>
        <w:pStyle w:val="Ttulo2"/>
        <w:ind w:left="0"/>
        <w:rPr>
          <w:rFonts w:ascii="Arial" w:eastAsia="Arial" w:hAnsi="Arial" w:cs="Arial"/>
          <w:b/>
          <w:bCs/>
          <w:u w:val="none"/>
          <w:lang w:val="es-PE"/>
        </w:rPr>
      </w:pPr>
      <w:bookmarkStart w:id="927" w:name="_261ztfg"/>
      <w:bookmarkStart w:id="928" w:name="_SUSPENSIÓN_DEL_PLAZO"/>
      <w:bookmarkStart w:id="929" w:name="_Toc131332918"/>
      <w:bookmarkStart w:id="930" w:name="_Toc131328755"/>
      <w:bookmarkStart w:id="931" w:name="_Toc55906364"/>
      <w:bookmarkStart w:id="932" w:name="_Toc131331997"/>
      <w:bookmarkStart w:id="933" w:name="_Toc131327938"/>
      <w:bookmarkStart w:id="934" w:name="_Toc131329091"/>
      <w:bookmarkStart w:id="935" w:name="_Toc131329323"/>
      <w:bookmarkStart w:id="936" w:name="_Toc131329910"/>
      <w:bookmarkStart w:id="937" w:name="_Toc139294707"/>
      <w:bookmarkStart w:id="938" w:name="_Toc468837612"/>
      <w:bookmarkStart w:id="939" w:name="_Toc140089305"/>
      <w:bookmarkEnd w:id="927"/>
      <w:bookmarkEnd w:id="928"/>
      <w:r>
        <w:rPr>
          <w:rFonts w:ascii="Arial" w:eastAsia="Arial" w:hAnsi="Arial" w:cs="Arial"/>
          <w:b/>
          <w:bCs/>
          <w:u w:val="none"/>
          <w:lang w:val="es-PE"/>
        </w:rPr>
        <w:t>SUSPENSIÓN DEL PLAZO</w:t>
      </w:r>
      <w:bookmarkEnd w:id="929"/>
      <w:bookmarkEnd w:id="930"/>
      <w:bookmarkEnd w:id="931"/>
      <w:bookmarkEnd w:id="932"/>
      <w:bookmarkEnd w:id="933"/>
      <w:bookmarkEnd w:id="934"/>
      <w:bookmarkEnd w:id="935"/>
      <w:bookmarkEnd w:id="936"/>
      <w:r>
        <w:rPr>
          <w:rFonts w:ascii="Arial" w:eastAsia="Arial" w:hAnsi="Arial" w:cs="Arial"/>
          <w:b/>
          <w:bCs/>
          <w:u w:val="none"/>
          <w:lang w:val="es-PE"/>
        </w:rPr>
        <w:t xml:space="preserve"> DE LA CONCESIÓN</w:t>
      </w:r>
      <w:bookmarkEnd w:id="937"/>
      <w:bookmarkEnd w:id="938"/>
      <w:bookmarkEnd w:id="939"/>
    </w:p>
    <w:p w14:paraId="7EB22626" w14:textId="77777777" w:rsidR="004412F1" w:rsidRDefault="004412F1">
      <w:pPr>
        <w:jc w:val="both"/>
        <w:rPr>
          <w:b/>
          <w:lang w:val="es-PE"/>
        </w:rPr>
      </w:pPr>
    </w:p>
    <w:p w14:paraId="136E80D6" w14:textId="77777777" w:rsidR="004412F1" w:rsidRDefault="005A12A3">
      <w:pPr>
        <w:numPr>
          <w:ilvl w:val="1"/>
          <w:numId w:val="84"/>
        </w:numPr>
        <w:jc w:val="both"/>
        <w:rPr>
          <w:rFonts w:eastAsia="Times New Roman"/>
          <w:bCs/>
          <w:szCs w:val="18"/>
          <w:lang w:val="es-ES" w:eastAsia="es-ES"/>
        </w:rPr>
      </w:pPr>
      <w:r>
        <w:rPr>
          <w:color w:val="000000"/>
          <w:lang w:val="es-PE"/>
        </w:rPr>
        <w:t xml:space="preserve">El plazo de la Concesión será suspendido conforme a las causales, procedimientos y alcances contemplados en el CAPÍTULO XVIII del Contrato, </w:t>
      </w:r>
      <w:r>
        <w:rPr>
          <w:rFonts w:eastAsia="Times New Roman"/>
          <w:bCs/>
          <w:color w:val="000000"/>
          <w:szCs w:val="18"/>
          <w:lang w:val="es-ES" w:eastAsia="es-ES"/>
        </w:rPr>
        <w:t>en la medida que los efectos de los eventos que generen la suspensión</w:t>
      </w:r>
      <w:r>
        <w:rPr>
          <w:color w:val="000000"/>
          <w:lang w:val="es-PE"/>
        </w:rPr>
        <w:t xml:space="preserve"> sean de tal magnitud que impidan el cumplimiento de todas las obligaciones a cargo del CONCESIONARIO. La solicitud de suspensión del plazo de la Concesión podrá ser presentada por cualquiera de las Partes del Contrato.</w:t>
      </w:r>
    </w:p>
    <w:p w14:paraId="11513D21" w14:textId="77777777" w:rsidR="004412F1" w:rsidRDefault="004412F1">
      <w:pPr>
        <w:tabs>
          <w:tab w:val="left" w:pos="705"/>
        </w:tabs>
        <w:ind w:left="720"/>
        <w:jc w:val="both"/>
        <w:rPr>
          <w:lang w:val="es-PE"/>
        </w:rPr>
      </w:pPr>
    </w:p>
    <w:p w14:paraId="74A2D4FB" w14:textId="77777777" w:rsidR="004412F1" w:rsidRDefault="005A12A3">
      <w:pPr>
        <w:numPr>
          <w:ilvl w:val="1"/>
          <w:numId w:val="84"/>
        </w:numPr>
        <w:jc w:val="both"/>
        <w:rPr>
          <w:lang w:val="es-PE"/>
        </w:rPr>
      </w:pPr>
      <w:r>
        <w:rPr>
          <w:color w:val="000000"/>
          <w:lang w:val="es-PE"/>
        </w:rPr>
        <w:t>En caso la referida suspensión se extienda</w:t>
      </w:r>
      <w:bookmarkStart w:id="940" w:name="_AMPLIACIÓN_DEL_PLAZO"/>
      <w:bookmarkEnd w:id="940"/>
      <w:r>
        <w:rPr>
          <w:color w:val="000000"/>
          <w:lang w:val="es-PE"/>
        </w:rPr>
        <w:t xml:space="preserve"> por más de ciento ochenta (180) Días Calendario contados desde la respectiva declaración, cualquiera de las Partes podrá invocar la Caducidad del Contrato por dicho evento. </w:t>
      </w:r>
    </w:p>
    <w:p w14:paraId="25D191A7" w14:textId="77777777" w:rsidR="004412F1" w:rsidRDefault="004412F1">
      <w:pPr>
        <w:jc w:val="both"/>
        <w:rPr>
          <w:lang w:val="es-PE"/>
        </w:rPr>
      </w:pPr>
      <w:bookmarkStart w:id="941" w:name="_l7a3n9" w:colFirst="0" w:colLast="0"/>
      <w:bookmarkStart w:id="942" w:name="_356xmb2"/>
      <w:bookmarkStart w:id="943" w:name="_Toc102405309"/>
      <w:bookmarkStart w:id="944" w:name="_Toc131332949"/>
      <w:bookmarkStart w:id="945" w:name="_Toc131329122"/>
      <w:bookmarkStart w:id="946" w:name="_Toc55906380"/>
      <w:bookmarkStart w:id="947" w:name="_Toc131327970"/>
      <w:bookmarkStart w:id="948" w:name="_Toc131332028"/>
      <w:bookmarkStart w:id="949" w:name="_Toc131329941"/>
      <w:bookmarkStart w:id="950" w:name="_Toc131328786"/>
      <w:bookmarkStart w:id="951" w:name="_Toc131329354"/>
      <w:bookmarkEnd w:id="941"/>
      <w:bookmarkEnd w:id="942"/>
    </w:p>
    <w:p w14:paraId="73CD7FDE" w14:textId="77777777" w:rsidR="004412F1" w:rsidRDefault="005A12A3">
      <w:pPr>
        <w:pStyle w:val="Ttulo1"/>
        <w:rPr>
          <w:color w:val="000000"/>
        </w:rPr>
      </w:pPr>
      <w:bookmarkStart w:id="952" w:name="_Toc131329915"/>
      <w:bookmarkStart w:id="953" w:name="_Toc131332923"/>
      <w:bookmarkStart w:id="954" w:name="_Toc131327944"/>
      <w:bookmarkStart w:id="955" w:name="_Toc131332002"/>
      <w:bookmarkStart w:id="956" w:name="_Toc131329096"/>
      <w:bookmarkStart w:id="957" w:name="_Toc468837614"/>
      <w:bookmarkStart w:id="958" w:name="_Toc139294708"/>
      <w:bookmarkStart w:id="959" w:name="_Toc55906367"/>
      <w:bookmarkStart w:id="960" w:name="_Toc131328760"/>
      <w:bookmarkStart w:id="961" w:name="_Toc131329328"/>
      <w:bookmarkStart w:id="962" w:name="_Toc140089306"/>
      <w:r>
        <w:t xml:space="preserve">CAPÍTULO </w:t>
      </w:r>
      <w:r>
        <w:rPr>
          <w:color w:val="000000" w:themeColor="text1"/>
        </w:rPr>
        <w:t>V: RÉGIMEN DE BIENES</w:t>
      </w:r>
      <w:bookmarkEnd w:id="952"/>
      <w:bookmarkEnd w:id="953"/>
      <w:bookmarkEnd w:id="954"/>
      <w:bookmarkEnd w:id="955"/>
      <w:bookmarkEnd w:id="956"/>
      <w:bookmarkEnd w:id="957"/>
      <w:bookmarkEnd w:id="958"/>
      <w:bookmarkEnd w:id="959"/>
      <w:bookmarkEnd w:id="960"/>
      <w:bookmarkEnd w:id="961"/>
      <w:bookmarkEnd w:id="962"/>
    </w:p>
    <w:p w14:paraId="2DAF5D70" w14:textId="77777777" w:rsidR="004412F1" w:rsidRDefault="004412F1">
      <w:pPr>
        <w:jc w:val="both"/>
        <w:rPr>
          <w:b/>
          <w:color w:val="000000"/>
        </w:rPr>
      </w:pPr>
    </w:p>
    <w:p w14:paraId="3BA059D8" w14:textId="77777777" w:rsidR="004412F1" w:rsidRDefault="005A12A3">
      <w:pPr>
        <w:pStyle w:val="Ttulo2"/>
        <w:ind w:left="0"/>
        <w:rPr>
          <w:rFonts w:ascii="Arial" w:hAnsi="Arial"/>
          <w:b/>
          <w:u w:val="none"/>
        </w:rPr>
      </w:pPr>
      <w:bookmarkStart w:id="963" w:name="_1kc7wiv"/>
      <w:bookmarkStart w:id="964" w:name="_Toc139294709"/>
      <w:bookmarkStart w:id="965" w:name="_Toc468837615"/>
      <w:bookmarkStart w:id="966" w:name="_Toc140089307"/>
      <w:bookmarkEnd w:id="963"/>
      <w:r>
        <w:rPr>
          <w:rFonts w:ascii="Arial" w:hAnsi="Arial"/>
          <w:b/>
          <w:u w:val="none"/>
        </w:rPr>
        <w:t>DISPOSICIONES GENERALES</w:t>
      </w:r>
      <w:bookmarkEnd w:id="964"/>
      <w:bookmarkEnd w:id="965"/>
      <w:bookmarkEnd w:id="966"/>
    </w:p>
    <w:p w14:paraId="11A38A3D" w14:textId="77777777" w:rsidR="004412F1" w:rsidRDefault="004412F1">
      <w:pPr>
        <w:jc w:val="both"/>
        <w:rPr>
          <w:color w:val="000000"/>
        </w:rPr>
      </w:pPr>
    </w:p>
    <w:p w14:paraId="49FB06AC" w14:textId="77777777" w:rsidR="004412F1" w:rsidRDefault="005A12A3">
      <w:pPr>
        <w:numPr>
          <w:ilvl w:val="1"/>
          <w:numId w:val="85"/>
        </w:numPr>
        <w:jc w:val="both"/>
      </w:pPr>
      <w:r>
        <w:rPr>
          <w:color w:val="000000"/>
        </w:rPr>
        <w:t>En el presente CAPÍTULO se regulan los aspectos relativos a los Bienes de la Concesión y Bienes del CONCESIONARIO.</w:t>
      </w:r>
    </w:p>
    <w:p w14:paraId="3E3BDD62" w14:textId="77777777" w:rsidR="004412F1" w:rsidRDefault="004412F1">
      <w:pPr>
        <w:suppressLineNumbers/>
        <w:suppressAutoHyphens/>
        <w:ind w:left="700" w:hanging="700"/>
        <w:jc w:val="both"/>
        <w:rPr>
          <w:color w:val="000000"/>
        </w:rPr>
      </w:pPr>
    </w:p>
    <w:p w14:paraId="19A8DDD5" w14:textId="77777777" w:rsidR="004412F1" w:rsidRDefault="005A12A3">
      <w:pPr>
        <w:numPr>
          <w:ilvl w:val="1"/>
          <w:numId w:val="85"/>
        </w:numPr>
        <w:suppressLineNumbers/>
        <w:suppressAutoHyphens/>
        <w:jc w:val="both"/>
      </w:pPr>
      <w:r>
        <w:rPr>
          <w:color w:val="000000"/>
        </w:rPr>
        <w:t>Los Bienes de la Concesión están afectos únicamente a la finalidad de la Concesión. No pueden ser transferidos separadamente de la Concesión. Tampoco pueden ser hipotecados, entregados en garantía, o en general gravados sin la autorización del CONCEDENTE y en observancia a las Leyes y Disposiciones Aplicables.</w:t>
      </w:r>
    </w:p>
    <w:p w14:paraId="7E52F710" w14:textId="77777777" w:rsidR="004412F1" w:rsidRDefault="004412F1">
      <w:pPr>
        <w:suppressLineNumbers/>
        <w:suppressAutoHyphens/>
        <w:ind w:left="709"/>
        <w:jc w:val="both"/>
        <w:rPr>
          <w:color w:val="000000"/>
          <w:highlight w:val="yellow"/>
        </w:rPr>
      </w:pPr>
    </w:p>
    <w:p w14:paraId="4FDD13FA" w14:textId="77777777" w:rsidR="004412F1" w:rsidRDefault="005A12A3">
      <w:pPr>
        <w:suppressLineNumbers/>
        <w:suppressAutoHyphens/>
        <w:ind w:left="709"/>
        <w:jc w:val="both"/>
        <w:rPr>
          <w:color w:val="000000"/>
        </w:rPr>
      </w:pPr>
      <w:r>
        <w:rPr>
          <w:color w:val="000000"/>
        </w:rPr>
        <w:t>Una vez ejecutadas las Intervenciones, los bienes</w:t>
      </w:r>
      <w:r>
        <w:rPr>
          <w:color w:val="000000"/>
          <w:lang w:val="es-PE"/>
        </w:rPr>
        <w:t xml:space="preserve"> </w:t>
      </w:r>
      <w:r>
        <w:rPr>
          <w:color w:val="000000"/>
        </w:rPr>
        <w:t>deberán ser</w:t>
      </w:r>
      <w:r>
        <w:rPr>
          <w:color w:val="000000"/>
          <w:lang w:val="es-PE"/>
        </w:rPr>
        <w:t xml:space="preserve"> </w:t>
      </w:r>
      <w:r>
        <w:rPr>
          <w:color w:val="000000"/>
        </w:rPr>
        <w:t>incorporados</w:t>
      </w:r>
      <w:r>
        <w:rPr>
          <w:color w:val="000000"/>
          <w:lang w:val="es-PE"/>
        </w:rPr>
        <w:t xml:space="preserve"> a la Concesión</w:t>
      </w:r>
      <w:r>
        <w:rPr>
          <w:color w:val="000000"/>
        </w:rPr>
        <w:t xml:space="preserve"> mediante </w:t>
      </w:r>
      <w:r>
        <w:rPr>
          <w:color w:val="000000"/>
          <w:lang w:val="es-PE"/>
        </w:rPr>
        <w:t>el procedimiento señalado en el Reglamento de Altas y Bajas del OSITRAN</w:t>
      </w:r>
      <w:r>
        <w:rPr>
          <w:color w:val="000000"/>
        </w:rPr>
        <w:t xml:space="preserve"> (Resolución de Consejo Directivo Nº 006-2006-CD-OSITRAN o norma que la sustituya).</w:t>
      </w:r>
    </w:p>
    <w:p w14:paraId="6F543EB3" w14:textId="77777777" w:rsidR="004412F1" w:rsidRDefault="004412F1">
      <w:pPr>
        <w:suppressLineNumbers/>
        <w:suppressAutoHyphens/>
        <w:ind w:left="709"/>
        <w:jc w:val="both"/>
        <w:rPr>
          <w:color w:val="000000"/>
        </w:rPr>
      </w:pPr>
    </w:p>
    <w:p w14:paraId="0DF653EA" w14:textId="77777777" w:rsidR="004412F1" w:rsidRPr="00763640" w:rsidRDefault="005A12A3">
      <w:pPr>
        <w:numPr>
          <w:ilvl w:val="1"/>
          <w:numId w:val="85"/>
        </w:numPr>
        <w:suppressLineNumbers/>
        <w:suppressAutoHyphens/>
        <w:jc w:val="both"/>
      </w:pPr>
      <w:r w:rsidRPr="00763640">
        <w:rPr>
          <w:color w:val="000000"/>
        </w:rPr>
        <w:t xml:space="preserve">Durante la vigencia de la Concesión, desde la Toma de Posesión, el CONCESIONARIO tiene sobre los Bienes de la Concesión los derechos exclusivos oponibles a terceros que este Contrato le otorga y el CONCEDENTE mantendrá la titularidad de los Bienes de la Concesión.  </w:t>
      </w:r>
    </w:p>
    <w:p w14:paraId="3DFDE74A" w14:textId="77777777" w:rsidR="004412F1" w:rsidRPr="00763640" w:rsidRDefault="004412F1">
      <w:pPr>
        <w:suppressLineNumbers/>
        <w:suppressAutoHyphens/>
        <w:jc w:val="both"/>
        <w:rPr>
          <w:color w:val="000000"/>
        </w:rPr>
      </w:pPr>
    </w:p>
    <w:p w14:paraId="509ECCF6" w14:textId="77777777" w:rsidR="004412F1" w:rsidRPr="00763640" w:rsidRDefault="005A12A3">
      <w:pPr>
        <w:ind w:left="720"/>
        <w:jc w:val="both"/>
        <w:rPr>
          <w:color w:val="000000"/>
        </w:rPr>
      </w:pPr>
      <w:r w:rsidRPr="00763640">
        <w:rPr>
          <w:color w:val="000000"/>
        </w:rPr>
        <w:t>En la Toma de Posesión del Sub Tramo correspondiente, el CONCESIONARIO no podrá negarse a recibirlo alegando la existencia de cargas y/o gravámenes sobre los Bienes de la Concesión y/o la falta de culminación de las gestiones del Saneamiento Físico Legal de las áreas de terreno o predios de los Sub Tramos que correspondan.  Para ello, el CONCEDENTE declara y garantiza que para cada Toma de Posesión, los bienes que entregará al CONCESIONARIO estarán disponibles en los términos regulados en la Cláusula 5.</w:t>
      </w:r>
      <w:r w:rsidRPr="00763640">
        <w:rPr>
          <w:color w:val="000000"/>
          <w:lang w:val="es-PE"/>
        </w:rPr>
        <w:t>10</w:t>
      </w:r>
      <w:r w:rsidRPr="00763640">
        <w:rPr>
          <w:color w:val="000000"/>
        </w:rPr>
        <w:t xml:space="preserve"> referida a la Disponibilidad de los Bienes de la Concesión. </w:t>
      </w:r>
    </w:p>
    <w:p w14:paraId="7729D35A" w14:textId="77777777" w:rsidR="004412F1" w:rsidRPr="00763640" w:rsidRDefault="004412F1">
      <w:pPr>
        <w:ind w:left="700"/>
        <w:jc w:val="both"/>
        <w:rPr>
          <w:color w:val="000000"/>
        </w:rPr>
      </w:pPr>
    </w:p>
    <w:p w14:paraId="1A9E29AB" w14:textId="77777777" w:rsidR="004412F1" w:rsidRPr="00763640" w:rsidRDefault="005A12A3">
      <w:pPr>
        <w:ind w:left="700"/>
        <w:jc w:val="both"/>
        <w:rPr>
          <w:color w:val="000000"/>
        </w:rPr>
      </w:pPr>
      <w:r w:rsidRPr="00763640">
        <w:rPr>
          <w:color w:val="000000"/>
        </w:rPr>
        <w:t>En el caso de los puentes listados en el A</w:t>
      </w:r>
      <w:r w:rsidRPr="00763640">
        <w:rPr>
          <w:color w:val="000000"/>
          <w:lang w:val="es-ES"/>
        </w:rPr>
        <w:t>péndice 11 del A</w:t>
      </w:r>
      <w:r w:rsidRPr="00763640">
        <w:rPr>
          <w:color w:val="000000"/>
        </w:rPr>
        <w:t>NEXO</w:t>
      </w:r>
      <w:r w:rsidRPr="00763640">
        <w:rPr>
          <w:color w:val="000000"/>
          <w:lang w:val="es-ES"/>
        </w:rPr>
        <w:t xml:space="preserve"> I</w:t>
      </w:r>
      <w:r w:rsidRPr="00763640">
        <w:rPr>
          <w:color w:val="000000"/>
        </w:rPr>
        <w:t xml:space="preserve"> del Contrato, en la Toma de Posesión del Sub Tramo correspondiente, el CONCEDENTE asume la responsabilidad por los vicios ocultos que estos bienes pudieran presentar por un periodo de siete (7) años contados desde la fecha de suscripción del Acta de Toma de Posesión del Sub Tramo referido.   </w:t>
      </w:r>
    </w:p>
    <w:p w14:paraId="40B15645" w14:textId="77777777" w:rsidR="004412F1" w:rsidRPr="00763640" w:rsidRDefault="004412F1">
      <w:pPr>
        <w:ind w:left="700"/>
        <w:jc w:val="both"/>
        <w:rPr>
          <w:color w:val="000000"/>
        </w:rPr>
      </w:pPr>
    </w:p>
    <w:p w14:paraId="6E47640A" w14:textId="77777777" w:rsidR="004412F1" w:rsidRPr="00763640" w:rsidRDefault="005A12A3">
      <w:pPr>
        <w:numPr>
          <w:ilvl w:val="1"/>
          <w:numId w:val="85"/>
        </w:numPr>
        <w:suppressLineNumbers/>
        <w:suppressAutoHyphens/>
        <w:jc w:val="both"/>
      </w:pPr>
      <w:r w:rsidRPr="00763640">
        <w:rPr>
          <w:color w:val="000000"/>
        </w:rPr>
        <w:t>Desde la Toma de Posesión, el CONCESIONARIO tendrá el derecho de uso y Explotación exclusivo de los Bienes de la Concesión, así como el ejercicio de los derechos que sean necesarios para que cumpla con las obligaciones a su cargo establecidas en el Contrato y las Leyes y Disposiciones Aplicables.</w:t>
      </w:r>
    </w:p>
    <w:p w14:paraId="43D5BEB5" w14:textId="77777777" w:rsidR="004412F1" w:rsidRDefault="004412F1">
      <w:pPr>
        <w:suppressLineNumbers/>
        <w:suppressAutoHyphens/>
        <w:ind w:left="700" w:hanging="700"/>
        <w:jc w:val="both"/>
        <w:rPr>
          <w:color w:val="000000"/>
          <w:sz w:val="18"/>
        </w:rPr>
      </w:pPr>
    </w:p>
    <w:p w14:paraId="7A01EEF5" w14:textId="77777777" w:rsidR="004412F1" w:rsidRDefault="005A12A3">
      <w:pPr>
        <w:numPr>
          <w:ilvl w:val="1"/>
          <w:numId w:val="85"/>
        </w:numPr>
        <w:suppressLineNumbers/>
        <w:suppressAutoHyphens/>
        <w:jc w:val="both"/>
      </w:pPr>
      <w:r>
        <w:rPr>
          <w:color w:val="000000"/>
        </w:rPr>
        <w:t>El CONCEDENTE se compromete a no ejercer actos de disposición sobre los Bienes de la Concesión, ni a constituir cargas ni gravámenes sobre los mismos, durante la vigencia de la Concesión.</w:t>
      </w:r>
    </w:p>
    <w:p w14:paraId="3739189A" w14:textId="77777777" w:rsidR="004412F1" w:rsidRDefault="004412F1">
      <w:pPr>
        <w:suppressLineNumbers/>
        <w:suppressAutoHyphens/>
        <w:jc w:val="both"/>
        <w:rPr>
          <w:color w:val="000000"/>
          <w:sz w:val="18"/>
        </w:rPr>
      </w:pPr>
    </w:p>
    <w:p w14:paraId="24719F7E" w14:textId="77777777" w:rsidR="004412F1" w:rsidRPr="00763640" w:rsidRDefault="005A12A3">
      <w:pPr>
        <w:numPr>
          <w:ilvl w:val="1"/>
          <w:numId w:val="85"/>
        </w:numPr>
        <w:suppressLineNumbers/>
        <w:suppressAutoHyphens/>
        <w:jc w:val="both"/>
      </w:pPr>
      <w:r>
        <w:rPr>
          <w:color w:val="000000"/>
        </w:rPr>
        <w:t>Desde la Fecha de Suscripción del Contrato hasta cada Toma de Posesión, los Bienes de la Concesión serán administrados por el CONCEDENTE, o por quien este disponga. Sin embargo, en ningún caso, el CONCEDENTE o el tercero designado para administrar dichos bienes podrá realizar actos que afecten de cualquier forma los derechos que asume el CONCESIONARIO en virtud del Contrato.</w:t>
      </w:r>
    </w:p>
    <w:p w14:paraId="3FE2A2B1" w14:textId="77777777" w:rsidR="00763640" w:rsidRDefault="00763640" w:rsidP="00763640">
      <w:pPr>
        <w:pStyle w:val="Prrafodelista"/>
      </w:pPr>
    </w:p>
    <w:p w14:paraId="36006C8E" w14:textId="77777777" w:rsidR="004412F1" w:rsidRDefault="004412F1">
      <w:pPr>
        <w:suppressLineNumbers/>
        <w:suppressAutoHyphens/>
        <w:ind w:left="720"/>
        <w:jc w:val="both"/>
        <w:rPr>
          <w:sz w:val="6"/>
        </w:rPr>
      </w:pPr>
    </w:p>
    <w:p w14:paraId="49515DE0" w14:textId="77777777" w:rsidR="004412F1" w:rsidRDefault="005A12A3">
      <w:pPr>
        <w:pStyle w:val="Ttulo2"/>
        <w:ind w:left="0"/>
        <w:jc w:val="both"/>
        <w:rPr>
          <w:b/>
        </w:rPr>
      </w:pPr>
      <w:bookmarkStart w:id="967" w:name="_44bvf6o" w:colFirst="0" w:colLast="0"/>
      <w:bookmarkStart w:id="968" w:name="_Toc139294710"/>
      <w:bookmarkStart w:id="969" w:name="_Toc131328761"/>
      <w:bookmarkStart w:id="970" w:name="_Toc94328501"/>
      <w:bookmarkStart w:id="971" w:name="_Toc94328761"/>
      <w:bookmarkStart w:id="972" w:name="_Toc94329509"/>
      <w:bookmarkStart w:id="973" w:name="_Toc94329263"/>
      <w:bookmarkStart w:id="974" w:name="_Toc131327945"/>
      <w:bookmarkStart w:id="975" w:name="_Toc131329916"/>
      <w:bookmarkStart w:id="976" w:name="_Toc94337828"/>
      <w:bookmarkStart w:id="977" w:name="_Toc102405283"/>
      <w:bookmarkStart w:id="978" w:name="_Toc94330141"/>
      <w:bookmarkStart w:id="979" w:name="_Toc131332003"/>
      <w:bookmarkStart w:id="980" w:name="_Toc131332924"/>
      <w:bookmarkStart w:id="981" w:name="_Toc94329017"/>
      <w:bookmarkStart w:id="982" w:name="_Toc131329097"/>
      <w:bookmarkStart w:id="983" w:name="_Toc94337597"/>
      <w:bookmarkStart w:id="984" w:name="_Toc131329329"/>
      <w:bookmarkStart w:id="985" w:name="_Toc140089308"/>
      <w:bookmarkStart w:id="986" w:name="_Toc468837616"/>
      <w:bookmarkEnd w:id="967"/>
      <w:r>
        <w:rPr>
          <w:rFonts w:ascii="Arial" w:hAnsi="Arial"/>
          <w:b/>
          <w:u w:val="none"/>
        </w:rPr>
        <w:t xml:space="preserve">ÁREAS DE TERRENO </w:t>
      </w:r>
      <w:r>
        <w:rPr>
          <w:rFonts w:ascii="Arial" w:eastAsia="Arial" w:hAnsi="Arial" w:cs="Arial"/>
          <w:b/>
          <w:bCs/>
          <w:u w:val="none"/>
        </w:rPr>
        <w:t xml:space="preserve">O PREDIOS </w:t>
      </w:r>
      <w:r>
        <w:rPr>
          <w:rFonts w:ascii="Arial" w:hAnsi="Arial"/>
          <w:b/>
          <w:u w:val="none"/>
        </w:rPr>
        <w:t>COMPRENDIDAS EN EL ÁREA DE LA CONCESIÓN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r>
        <w:rPr>
          <w:rFonts w:ascii="Arial" w:hAnsi="Arial"/>
          <w:b/>
          <w:u w:val="none"/>
        </w:rPr>
        <w:t xml:space="preserve"> </w:t>
      </w:r>
      <w:bookmarkEnd w:id="986"/>
    </w:p>
    <w:p w14:paraId="518B2F7E" w14:textId="77777777" w:rsidR="004412F1" w:rsidRDefault="004412F1">
      <w:pPr>
        <w:ind w:firstLine="360"/>
        <w:jc w:val="both"/>
      </w:pPr>
    </w:p>
    <w:p w14:paraId="63A9DBCC" w14:textId="77777777" w:rsidR="004412F1" w:rsidRPr="00763640" w:rsidRDefault="005A12A3">
      <w:pPr>
        <w:numPr>
          <w:ilvl w:val="1"/>
          <w:numId w:val="85"/>
        </w:numPr>
        <w:jc w:val="both"/>
      </w:pPr>
      <w:r w:rsidRPr="00763640">
        <w:rPr>
          <w:color w:val="000000"/>
        </w:rPr>
        <w:t>El CONCEDENTE está obligado a poner a disposición del CONCESIONARIO, el área de terreno o predios del Área de la Concesión en los plazos referidos en la Cláusula 5.</w:t>
      </w:r>
      <w:r w:rsidRPr="00763640">
        <w:rPr>
          <w:color w:val="000000"/>
          <w:lang w:val="es-PE"/>
        </w:rPr>
        <w:t>14 del presente Contrato</w:t>
      </w:r>
      <w:r w:rsidRPr="00763640">
        <w:rPr>
          <w:color w:val="000000"/>
        </w:rPr>
        <w:t xml:space="preserve">.  </w:t>
      </w:r>
    </w:p>
    <w:p w14:paraId="066217F3" w14:textId="77777777" w:rsidR="004412F1" w:rsidRPr="00763640" w:rsidRDefault="004412F1">
      <w:pPr>
        <w:tabs>
          <w:tab w:val="left" w:pos="567"/>
          <w:tab w:val="left" w:pos="1134"/>
          <w:tab w:val="left" w:pos="1701"/>
          <w:tab w:val="left" w:pos="2268"/>
          <w:tab w:val="left" w:pos="2835"/>
        </w:tabs>
        <w:jc w:val="both"/>
        <w:rPr>
          <w:color w:val="000000"/>
          <w:sz w:val="18"/>
        </w:rPr>
      </w:pPr>
    </w:p>
    <w:p w14:paraId="7C3D7BE6" w14:textId="77777777" w:rsidR="004412F1" w:rsidRPr="00763640" w:rsidRDefault="005A12A3">
      <w:pPr>
        <w:numPr>
          <w:ilvl w:val="1"/>
          <w:numId w:val="85"/>
        </w:numPr>
        <w:jc w:val="both"/>
      </w:pPr>
      <w:r w:rsidRPr="00763640">
        <w:rPr>
          <w:color w:val="000000"/>
        </w:rPr>
        <w:t xml:space="preserve">Después de recibidos los Bienes de la Concesión, éstos serán de uso exclusivo de la Concesión durante el plazo de ésta, según señalan las Leyes y Disposiciones Aplicables. Cualquier utilización en provecho del CONCESIONARIO distinto del uso antes señalado, deberá contar con la autorización del CONCEDENTE, previa opinión del REGULADOR. </w:t>
      </w:r>
    </w:p>
    <w:p w14:paraId="5DC7105A" w14:textId="77777777" w:rsidR="004412F1" w:rsidRDefault="004412F1">
      <w:pPr>
        <w:jc w:val="both"/>
        <w:rPr>
          <w:sz w:val="18"/>
        </w:rPr>
      </w:pPr>
    </w:p>
    <w:p w14:paraId="38CB38D1" w14:textId="77777777" w:rsidR="004412F1" w:rsidRDefault="005A12A3">
      <w:pPr>
        <w:pStyle w:val="Ttulo2"/>
        <w:ind w:left="0"/>
        <w:rPr>
          <w:b/>
          <w:bCs/>
        </w:rPr>
      </w:pPr>
      <w:bookmarkStart w:id="987" w:name="_2jh5peh" w:colFirst="0" w:colLast="0"/>
      <w:bookmarkStart w:id="988" w:name="_Toc139294711"/>
      <w:bookmarkStart w:id="989" w:name="_Toc140089309"/>
      <w:bookmarkEnd w:id="987"/>
      <w:r>
        <w:rPr>
          <w:rFonts w:ascii="Arial" w:eastAsia="Arial" w:hAnsi="Arial" w:cs="Arial"/>
          <w:b/>
          <w:bCs/>
          <w:u w:val="none"/>
        </w:rPr>
        <w:t>ADQUISICIÓN DE TERRENOS O PREDIOS Y LIBERACIÓN DE INTERFERENCIAS</w:t>
      </w:r>
      <w:bookmarkEnd w:id="988"/>
      <w:bookmarkEnd w:id="989"/>
    </w:p>
    <w:p w14:paraId="674F87E2" w14:textId="77777777" w:rsidR="004412F1" w:rsidRDefault="005A12A3">
      <w:pPr>
        <w:tabs>
          <w:tab w:val="left" w:pos="720"/>
        </w:tabs>
        <w:ind w:left="720" w:hanging="720"/>
        <w:jc w:val="both"/>
      </w:pPr>
      <w:r>
        <w:t xml:space="preserve"> </w:t>
      </w:r>
    </w:p>
    <w:p w14:paraId="711CE0C2" w14:textId="77777777" w:rsidR="004412F1" w:rsidRDefault="005A12A3">
      <w:pPr>
        <w:numPr>
          <w:ilvl w:val="1"/>
          <w:numId w:val="85"/>
        </w:numPr>
        <w:jc w:val="both"/>
        <w:rPr>
          <w:rFonts w:eastAsia="Times New Roman"/>
          <w:bCs/>
          <w:szCs w:val="18"/>
          <w:lang w:val="es-ES" w:eastAsia="es-ES"/>
        </w:rPr>
      </w:pPr>
      <w:r>
        <w:rPr>
          <w:color w:val="000000"/>
        </w:rPr>
        <w:t xml:space="preserve">El CONCEDENTE es responsable de la adquisición de los terrenos o predios afectados dentro del Derecho de Vía, así como de la liberación de Interferencias, dentro del Área de la Concesión.   </w:t>
      </w:r>
    </w:p>
    <w:p w14:paraId="7BE775BF" w14:textId="77777777" w:rsidR="004412F1" w:rsidRDefault="005A12A3">
      <w:pPr>
        <w:jc w:val="both"/>
        <w:rPr>
          <w:rFonts w:ascii="Courier New" w:eastAsia="Courier New" w:hAnsi="Courier New" w:cs="Courier New"/>
          <w:color w:val="000000"/>
        </w:rPr>
      </w:pPr>
      <w:r>
        <w:rPr>
          <w:color w:val="000000"/>
        </w:rPr>
        <w:t xml:space="preserve">  </w:t>
      </w:r>
    </w:p>
    <w:p w14:paraId="799D2994" w14:textId="77777777" w:rsidR="004412F1" w:rsidRDefault="005A12A3">
      <w:pPr>
        <w:pStyle w:val="Ttulo2"/>
        <w:ind w:left="0"/>
        <w:rPr>
          <w:b/>
          <w:bCs/>
        </w:rPr>
      </w:pPr>
      <w:bookmarkStart w:id="990" w:name="_ymfzma" w:colFirst="0" w:colLast="0"/>
      <w:bookmarkStart w:id="991" w:name="_Toc139294712"/>
      <w:bookmarkStart w:id="992" w:name="_Toc140089310"/>
      <w:bookmarkEnd w:id="990"/>
      <w:r>
        <w:rPr>
          <w:rFonts w:ascii="Arial" w:eastAsia="Arial" w:hAnsi="Arial" w:cs="Arial"/>
          <w:b/>
          <w:bCs/>
          <w:u w:val="none"/>
        </w:rPr>
        <w:t>DISPONIBILIDAD DE LOS BIENES DE LA CONCESIÓN</w:t>
      </w:r>
      <w:bookmarkEnd w:id="991"/>
      <w:bookmarkEnd w:id="992"/>
    </w:p>
    <w:p w14:paraId="1D510316" w14:textId="77777777" w:rsidR="004412F1" w:rsidRDefault="005A12A3">
      <w:pPr>
        <w:tabs>
          <w:tab w:val="left" w:pos="720"/>
        </w:tabs>
        <w:jc w:val="both"/>
      </w:pPr>
      <w:r>
        <w:t xml:space="preserve"> </w:t>
      </w:r>
    </w:p>
    <w:p w14:paraId="47F02142" w14:textId="77777777" w:rsidR="004412F1" w:rsidRPr="00763640" w:rsidRDefault="005A12A3">
      <w:pPr>
        <w:numPr>
          <w:ilvl w:val="1"/>
          <w:numId w:val="85"/>
        </w:numPr>
        <w:jc w:val="both"/>
      </w:pPr>
      <w:r w:rsidRPr="00763640">
        <w:rPr>
          <w:color w:val="000000"/>
        </w:rPr>
        <w:t>El CONCEDENTE deberá contar con la disponibilidad, entendida como la posesión efectiva y pacífica del Área de la Concesión, en los plazos establecidos en la Cláusula 5.</w:t>
      </w:r>
      <w:r w:rsidRPr="00763640">
        <w:rPr>
          <w:color w:val="000000"/>
          <w:lang w:val="es-PE"/>
        </w:rPr>
        <w:t>14 del presente Contrato</w:t>
      </w:r>
      <w:r w:rsidRPr="00763640">
        <w:rPr>
          <w:color w:val="000000"/>
        </w:rPr>
        <w:t xml:space="preserve">. A estos efectos, el CONCEDENTE y CONCESIONARIO deberán suscribir el Acta de Entrega Parcial de los Bienes de la Concesión, en cada oportunidad, con intervención del REGULADOR, en la que se acredite la disponibilidad de los Bienes de la Concesión. </w:t>
      </w:r>
    </w:p>
    <w:p w14:paraId="6238B8A4" w14:textId="77777777" w:rsidR="004412F1" w:rsidRPr="00763640" w:rsidRDefault="005A12A3">
      <w:pPr>
        <w:ind w:left="720"/>
        <w:jc w:val="both"/>
        <w:rPr>
          <w:rFonts w:ascii="Courier New" w:eastAsia="Courier New" w:hAnsi="Courier New" w:cs="Courier New"/>
          <w:color w:val="000000"/>
        </w:rPr>
      </w:pPr>
      <w:r w:rsidRPr="00763640">
        <w:rPr>
          <w:color w:val="000000"/>
        </w:rPr>
        <w:t xml:space="preserve"> </w:t>
      </w:r>
    </w:p>
    <w:p w14:paraId="35105959" w14:textId="77777777" w:rsidR="004412F1" w:rsidRPr="00763640" w:rsidRDefault="005A12A3">
      <w:pPr>
        <w:numPr>
          <w:ilvl w:val="1"/>
          <w:numId w:val="85"/>
        </w:numPr>
        <w:jc w:val="both"/>
      </w:pPr>
      <w:r w:rsidRPr="00763640">
        <w:rPr>
          <w:color w:val="000000" w:themeColor="text1"/>
        </w:rPr>
        <w:t>De acuerdo con los plazos establecidos en la Cláusula 5.</w:t>
      </w:r>
      <w:r w:rsidRPr="00763640">
        <w:rPr>
          <w:color w:val="000000" w:themeColor="text1"/>
          <w:lang w:val="es-PE"/>
        </w:rPr>
        <w:t>14</w:t>
      </w:r>
      <w:r w:rsidRPr="00763640">
        <w:t xml:space="preserve"> y siguientes</w:t>
      </w:r>
      <w:r w:rsidRPr="00763640">
        <w:rPr>
          <w:color w:val="000000" w:themeColor="text1"/>
        </w:rPr>
        <w:t xml:space="preserve">, el CONCEDENTE entregará las Áreas de la Concesión que se encuentren disponibles. La disponibilidad deberá ser acreditada </w:t>
      </w:r>
      <w:r w:rsidRPr="00763640">
        <w:t>documentalmente</w:t>
      </w:r>
      <w:r w:rsidRPr="00763640">
        <w:rPr>
          <w:color w:val="000000" w:themeColor="text1"/>
        </w:rPr>
        <w:t xml:space="preserve"> por el CONCEDENTE.</w:t>
      </w:r>
    </w:p>
    <w:p w14:paraId="4F408924" w14:textId="77777777" w:rsidR="004412F1" w:rsidRPr="00763640" w:rsidRDefault="005A12A3">
      <w:pPr>
        <w:ind w:left="720"/>
        <w:jc w:val="both"/>
        <w:rPr>
          <w:rFonts w:ascii="Courier New" w:eastAsia="Courier New" w:hAnsi="Courier New" w:cs="Courier New"/>
          <w:color w:val="000000"/>
        </w:rPr>
      </w:pPr>
      <w:r w:rsidRPr="00763640">
        <w:rPr>
          <w:color w:val="000000"/>
        </w:rPr>
        <w:t xml:space="preserve"> </w:t>
      </w:r>
    </w:p>
    <w:p w14:paraId="79DA13CC" w14:textId="77777777" w:rsidR="004412F1" w:rsidRPr="00763640" w:rsidRDefault="005A12A3">
      <w:pPr>
        <w:numPr>
          <w:ilvl w:val="1"/>
          <w:numId w:val="85"/>
        </w:numPr>
        <w:jc w:val="both"/>
        <w:rPr>
          <w:color w:val="000000"/>
          <w:lang w:val="es-ES"/>
        </w:rPr>
      </w:pPr>
      <w:r w:rsidRPr="00763640">
        <w:rPr>
          <w:color w:val="000000" w:themeColor="text1"/>
        </w:rPr>
        <w:t>En caso, en cada Toma de Posesión se verifique que el CONCEDENTE no cuenta con la disponibilidad de l</w:t>
      </w:r>
      <w:r w:rsidRPr="00763640">
        <w:t xml:space="preserve">as Áreas de la Concesión </w:t>
      </w:r>
      <w:r w:rsidRPr="00763640">
        <w:rPr>
          <w:color w:val="000000" w:themeColor="text1"/>
        </w:rPr>
        <w:t>relacionados con los Sub Tramos de Rehabilitación y Mejoramiento y Construcción del Evitamiento San Clemente; el CONCEDENTE tendrá, por única vez, un plazo adicional de seis (6) meses para el cumplimiento de la obligación</w:t>
      </w:r>
      <w:r w:rsidRPr="00763640">
        <w:rPr>
          <w:color w:val="000000" w:themeColor="text1"/>
          <w:lang w:val="es-ES"/>
        </w:rPr>
        <w:t xml:space="preserve"> a que se refiere la Cláusula </w:t>
      </w:r>
      <w:r w:rsidRPr="00763640">
        <w:rPr>
          <w:color w:val="000000" w:themeColor="text1"/>
        </w:rPr>
        <w:t>5.</w:t>
      </w:r>
      <w:r w:rsidRPr="00763640">
        <w:rPr>
          <w:color w:val="000000" w:themeColor="text1"/>
          <w:lang w:val="es-PE"/>
        </w:rPr>
        <w:t>10</w:t>
      </w:r>
      <w:r w:rsidRPr="00763640">
        <w:rPr>
          <w:color w:val="000000" w:themeColor="text1"/>
        </w:rPr>
        <w:t xml:space="preserve"> del Contrato, con relación al Sub Tramo que no cuente con la totalidad de la disponibilidad de los bienes, contados a partir del Día siguiente de la fecha de suscripción del Acta de Entrega Parcial de Bienes.</w:t>
      </w:r>
    </w:p>
    <w:p w14:paraId="3E3684A0" w14:textId="77777777" w:rsidR="004412F1" w:rsidRDefault="004412F1">
      <w:pPr>
        <w:ind w:left="720"/>
        <w:jc w:val="both"/>
        <w:rPr>
          <w:sz w:val="18"/>
          <w:lang w:val="es-ES"/>
        </w:rPr>
      </w:pPr>
    </w:p>
    <w:p w14:paraId="4C8AD05B" w14:textId="77777777" w:rsidR="004412F1" w:rsidRDefault="005A12A3">
      <w:pPr>
        <w:ind w:left="720"/>
        <w:jc w:val="both"/>
      </w:pPr>
      <w:bookmarkStart w:id="993" w:name="_3abhhcj" w:colFirst="0" w:colLast="0"/>
      <w:bookmarkEnd w:id="993"/>
      <w:r>
        <w:t>La Toma de Posesión para cada uno de los Sub Tramos comprenderá las áreas de terreno o predios comprendidas en el Área de la Concesión, así como de los Bienes de la Concesión comprendidos en el Inventario Inicial.</w:t>
      </w:r>
    </w:p>
    <w:p w14:paraId="046811EC" w14:textId="77777777" w:rsidR="004412F1" w:rsidRDefault="005A12A3">
      <w:pPr>
        <w:ind w:left="720"/>
        <w:jc w:val="both"/>
        <w:rPr>
          <w:rFonts w:ascii="Courier New" w:eastAsia="Courier New" w:hAnsi="Courier New" w:cs="Courier New"/>
          <w:color w:val="000000"/>
        </w:rPr>
      </w:pPr>
      <w:r>
        <w:rPr>
          <w:color w:val="000000"/>
        </w:rPr>
        <w:t xml:space="preserve"> </w:t>
      </w:r>
    </w:p>
    <w:p w14:paraId="27843C90" w14:textId="77777777" w:rsidR="004412F1" w:rsidRPr="00763640" w:rsidRDefault="005A12A3">
      <w:pPr>
        <w:numPr>
          <w:ilvl w:val="1"/>
          <w:numId w:val="85"/>
        </w:numPr>
        <w:jc w:val="both"/>
      </w:pPr>
      <w:r w:rsidRPr="00763640">
        <w:rPr>
          <w:color w:val="000000"/>
        </w:rPr>
        <w:t>En caso el retraso del CONCEDENTE exceda dicho periodo adicional, el CONCESIONARIO podrá modificar el Programa de Ejecución.  P</w:t>
      </w:r>
      <w:r w:rsidRPr="00763640">
        <w:t xml:space="preserve">ara los casos correspondientes a </w:t>
      </w:r>
      <w:r w:rsidRPr="00763640">
        <w:rPr>
          <w:color w:val="000000"/>
        </w:rPr>
        <w:t>los Sub Tramos de Rehabilitación y Mejoramiento o la Construcción del Evitamiento San Clemente, el CONCESIONARIO podrá invocar la Caducidad por incumplimiento del CONCEDENTE a que se refiere el Literal b) de la Cláusula 17.</w:t>
      </w:r>
      <w:r w:rsidRPr="00763640">
        <w:rPr>
          <w:color w:val="000000"/>
          <w:lang w:val="es-PE"/>
        </w:rPr>
        <w:t>9</w:t>
      </w:r>
      <w:r w:rsidRPr="00763640">
        <w:rPr>
          <w:color w:val="000000"/>
        </w:rPr>
        <w:t xml:space="preserve"> del Contrato. </w:t>
      </w:r>
    </w:p>
    <w:p w14:paraId="17143223" w14:textId="77777777" w:rsidR="004412F1" w:rsidRDefault="005A12A3">
      <w:pPr>
        <w:ind w:left="720"/>
        <w:jc w:val="both"/>
        <w:rPr>
          <w:color w:val="000000"/>
        </w:rPr>
      </w:pPr>
      <w:r>
        <w:rPr>
          <w:color w:val="000000"/>
        </w:rPr>
        <w:t xml:space="preserve"> </w:t>
      </w:r>
      <w:r>
        <w:rPr>
          <w:rFonts w:ascii="Courier New" w:eastAsia="Courier New" w:hAnsi="Courier New" w:cs="Courier New"/>
          <w:color w:val="000000"/>
        </w:rPr>
        <w:br/>
      </w:r>
      <w:r>
        <w:rPr>
          <w:b/>
          <w:bCs/>
        </w:rPr>
        <w:t xml:space="preserve">PLAZOS DE </w:t>
      </w:r>
      <w:bookmarkStart w:id="994" w:name="_ENTREGA_DEL_ÁREA"/>
      <w:bookmarkStart w:id="995" w:name="_Toc94329264"/>
      <w:bookmarkStart w:id="996" w:name="_Toc131327946"/>
      <w:bookmarkStart w:id="997" w:name="_Toc94337598"/>
      <w:bookmarkStart w:id="998" w:name="_Toc102405284"/>
      <w:bookmarkStart w:id="999" w:name="_Toc94328502"/>
      <w:bookmarkStart w:id="1000" w:name="_Toc94337829"/>
      <w:bookmarkStart w:id="1001" w:name="_Toc131329917"/>
      <w:bookmarkStart w:id="1002" w:name="_Toc131328762"/>
      <w:bookmarkStart w:id="1003" w:name="_Toc94328762"/>
      <w:bookmarkStart w:id="1004" w:name="_Toc468837617"/>
      <w:bookmarkStart w:id="1005" w:name="_Toc131329330"/>
      <w:bookmarkStart w:id="1006" w:name="_Toc94329510"/>
      <w:bookmarkStart w:id="1007" w:name="_Toc131329098"/>
      <w:bookmarkStart w:id="1008" w:name="_Toc131332004"/>
      <w:bookmarkStart w:id="1009" w:name="_Toc94329018"/>
      <w:bookmarkStart w:id="1010" w:name="_Toc131332925"/>
      <w:bookmarkStart w:id="1011" w:name="_Toc94330142"/>
      <w:bookmarkEnd w:id="994"/>
      <w:r>
        <w:rPr>
          <w:b/>
        </w:rPr>
        <w:t>ENTR</w:t>
      </w:r>
      <w:r>
        <w:rPr>
          <w:b/>
          <w:color w:val="000000"/>
        </w:rPr>
        <w:t>EGA DEL ÁREA DE LA CONCESIÓN</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7CD429AD" w14:textId="77777777" w:rsidR="004412F1" w:rsidRDefault="004412F1"/>
    <w:p w14:paraId="724FBE31" w14:textId="77777777" w:rsidR="004412F1" w:rsidRDefault="005A12A3">
      <w:pPr>
        <w:numPr>
          <w:ilvl w:val="1"/>
          <w:numId w:val="85"/>
        </w:numPr>
        <w:jc w:val="both"/>
      </w:pPr>
      <w:bookmarkStart w:id="1012" w:name="_1xrdshw"/>
      <w:bookmarkStart w:id="1013" w:name="_Ref271730443"/>
      <w:bookmarkEnd w:id="1012"/>
      <w:r>
        <w:rPr>
          <w:color w:val="000000" w:themeColor="text1"/>
        </w:rPr>
        <w:lastRenderedPageBreak/>
        <w:t>El Área de la Concesión de los Sub Tramos de Mantenimiento Periódico Inicial deberá ser entregada por el CONCEDENTE al CONCESIONARIO, en los siguientes plazos:</w:t>
      </w:r>
      <w:bookmarkEnd w:id="1013"/>
      <w:r>
        <w:rPr>
          <w:color w:val="000000" w:themeColor="text1"/>
        </w:rPr>
        <w:t xml:space="preserve"> </w:t>
      </w:r>
    </w:p>
    <w:p w14:paraId="784050D0" w14:textId="77777777" w:rsidR="004412F1" w:rsidRDefault="004412F1">
      <w:pPr>
        <w:jc w:val="both"/>
        <w:rPr>
          <w:color w:val="000000"/>
          <w:sz w:val="14"/>
        </w:rPr>
      </w:pPr>
    </w:p>
    <w:tbl>
      <w:tblPr>
        <w:tblW w:w="767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6"/>
        <w:gridCol w:w="4032"/>
      </w:tblGrid>
      <w:tr w:rsidR="004412F1" w14:paraId="2984FFB2" w14:textId="77777777">
        <w:trPr>
          <w:tblHeader/>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6934DF" w14:textId="77777777" w:rsidR="004412F1" w:rsidRDefault="005A12A3">
            <w:pPr>
              <w:ind w:firstLine="493"/>
              <w:jc w:val="center"/>
              <w:rPr>
                <w:color w:val="000000"/>
              </w:rPr>
            </w:pPr>
            <w:r>
              <w:rPr>
                <w:color w:val="000000"/>
              </w:rPr>
              <w:tab/>
              <w:t>Sub Tramo</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1E2BDA" w14:textId="77777777" w:rsidR="004412F1" w:rsidRDefault="005A12A3">
            <w:pPr>
              <w:jc w:val="center"/>
              <w:rPr>
                <w:color w:val="000000"/>
              </w:rPr>
            </w:pPr>
            <w:r>
              <w:rPr>
                <w:color w:val="000000"/>
              </w:rPr>
              <w:t>Plazo de entrega</w:t>
            </w:r>
          </w:p>
        </w:tc>
      </w:tr>
      <w:tr w:rsidR="004412F1" w14:paraId="09C50570"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521DA9" w14:textId="77777777" w:rsidR="004412F1" w:rsidRDefault="005A12A3">
            <w:pPr>
              <w:jc w:val="center"/>
              <w:rPr>
                <w:color w:val="000000"/>
              </w:rPr>
            </w:pPr>
            <w:r>
              <w:rPr>
                <w:rFonts w:ascii="Arial Narrow" w:hAnsi="Arial Narrow"/>
                <w:lang w:val="es-CL"/>
              </w:rPr>
              <w:t>Mayocc - Huanta</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48DFF8" w14:textId="77777777" w:rsidR="004412F1" w:rsidRDefault="004412F1"/>
        </w:tc>
      </w:tr>
      <w:tr w:rsidR="004412F1" w14:paraId="1D77D237"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6E5315" w14:textId="77777777" w:rsidR="004412F1" w:rsidRDefault="005A12A3">
            <w:pPr>
              <w:rPr>
                <w:color w:val="000000"/>
              </w:rPr>
            </w:pPr>
            <w:r>
              <w:rPr>
                <w:rFonts w:ascii="Arial Narrow" w:hAnsi="Arial Narrow"/>
                <w:bCs/>
                <w:lang w:val="es-CL"/>
              </w:rPr>
              <w:t xml:space="preserve">Huanta - Ayacucho </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762BB7" w14:textId="77777777" w:rsidR="004412F1" w:rsidRDefault="004412F1"/>
        </w:tc>
      </w:tr>
      <w:tr w:rsidR="004412F1" w14:paraId="263EE280"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C84D71" w14:textId="77777777" w:rsidR="004412F1" w:rsidRDefault="005A12A3">
            <w:pPr>
              <w:rPr>
                <w:color w:val="000000"/>
              </w:rPr>
            </w:pPr>
            <w:r>
              <w:rPr>
                <w:rFonts w:ascii="Arial Narrow" w:hAnsi="Arial Narrow"/>
                <w:bCs/>
                <w:lang w:val="es-CL"/>
              </w:rPr>
              <w:t>Ayacucho - Abra Tocto</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74FAA23" w14:textId="77777777" w:rsidR="004412F1" w:rsidRDefault="004412F1"/>
        </w:tc>
      </w:tr>
      <w:tr w:rsidR="004412F1" w14:paraId="58C9A5DE"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83FD8C" w14:textId="77777777" w:rsidR="004412F1" w:rsidRDefault="005A12A3">
            <w:pPr>
              <w:rPr>
                <w:color w:val="000000"/>
              </w:rPr>
            </w:pPr>
            <w:r>
              <w:rPr>
                <w:rFonts w:ascii="Arial Narrow" w:hAnsi="Arial Narrow"/>
                <w:bCs/>
                <w:lang w:val="es-CL"/>
              </w:rPr>
              <w:t>Abra Tocto - Ocros</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A2D4C7" w14:textId="77777777" w:rsidR="004412F1" w:rsidRDefault="004412F1"/>
        </w:tc>
      </w:tr>
      <w:tr w:rsidR="004412F1" w14:paraId="23E7507D" w14:textId="77777777">
        <w:trPr>
          <w:trHeight w:val="387"/>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ED0BBE" w14:textId="77777777" w:rsidR="004412F1" w:rsidRDefault="005A12A3">
            <w:pPr>
              <w:rPr>
                <w:color w:val="000000"/>
              </w:rPr>
            </w:pPr>
            <w:r>
              <w:rPr>
                <w:rFonts w:ascii="Arial Narrow" w:hAnsi="Arial Narrow"/>
                <w:bCs/>
                <w:lang w:val="es-CL"/>
              </w:rPr>
              <w:t>Ocros - Chincheros</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E8468D" w14:textId="77777777" w:rsidR="004412F1" w:rsidRDefault="004412F1"/>
        </w:tc>
      </w:tr>
      <w:tr w:rsidR="004412F1" w14:paraId="75A27EB3" w14:textId="77777777">
        <w:trPr>
          <w:trHeight w:val="405"/>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0786E7" w14:textId="77777777" w:rsidR="004412F1" w:rsidRDefault="005A12A3">
            <w:pPr>
              <w:rPr>
                <w:color w:val="000000"/>
              </w:rPr>
            </w:pPr>
            <w:r>
              <w:rPr>
                <w:rFonts w:ascii="Arial Narrow" w:hAnsi="Arial Narrow"/>
                <w:bCs/>
                <w:lang w:val="es-CL"/>
              </w:rPr>
              <w:t>Chincheros - Abra 1</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CF454D" w14:textId="77777777" w:rsidR="004412F1" w:rsidRDefault="004412F1"/>
        </w:tc>
      </w:tr>
      <w:tr w:rsidR="004412F1" w14:paraId="486B1E3E"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E39029" w14:textId="77777777" w:rsidR="004412F1" w:rsidRDefault="005A12A3">
            <w:pPr>
              <w:rPr>
                <w:color w:val="000000"/>
              </w:rPr>
            </w:pPr>
            <w:r>
              <w:rPr>
                <w:rFonts w:ascii="Arial Narrow" w:hAnsi="Arial Narrow"/>
                <w:bCs/>
                <w:lang w:val="es-CL"/>
              </w:rPr>
              <w:t xml:space="preserve">Abra 1 - Andahuaylas </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1E6DE8" w14:textId="77777777" w:rsidR="004412F1" w:rsidRDefault="004412F1"/>
        </w:tc>
      </w:tr>
      <w:tr w:rsidR="004412F1" w14:paraId="1EEA83E4"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741CDE" w14:textId="77777777" w:rsidR="004412F1" w:rsidRDefault="005A12A3">
            <w:pPr>
              <w:rPr>
                <w:color w:val="000000"/>
              </w:rPr>
            </w:pPr>
            <w:proofErr w:type="gramStart"/>
            <w:r>
              <w:rPr>
                <w:rFonts w:ascii="Arial Narrow" w:hAnsi="Arial Narrow"/>
                <w:bCs/>
                <w:lang w:val="es-CL"/>
              </w:rPr>
              <w:t>Andahuaylas  -</w:t>
            </w:r>
            <w:proofErr w:type="gramEnd"/>
            <w:r>
              <w:rPr>
                <w:rFonts w:ascii="Arial Narrow" w:hAnsi="Arial Narrow"/>
                <w:bCs/>
                <w:lang w:val="es-CL"/>
              </w:rPr>
              <w:t xml:space="preserve"> Dv. Kishuara </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846384" w14:textId="77777777" w:rsidR="004412F1" w:rsidRDefault="004412F1"/>
        </w:tc>
      </w:tr>
      <w:tr w:rsidR="004412F1" w14:paraId="134666FF" w14:textId="77777777">
        <w:trPr>
          <w:trHeight w:val="50"/>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D27980" w14:textId="77777777" w:rsidR="004412F1" w:rsidRDefault="005A12A3">
            <w:pPr>
              <w:rPr>
                <w:color w:val="000000"/>
              </w:rPr>
            </w:pPr>
            <w:r>
              <w:rPr>
                <w:rFonts w:ascii="Arial Narrow" w:hAnsi="Arial Narrow"/>
                <w:bCs/>
                <w:lang w:val="es-CL"/>
              </w:rPr>
              <w:t>Dv. Kishuara - Puente Sahuinto</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8BFBC5" w14:textId="77777777" w:rsidR="004412F1" w:rsidRDefault="004412F1"/>
        </w:tc>
      </w:tr>
      <w:tr w:rsidR="004412F1" w14:paraId="4EBA78FA"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EA017B" w14:textId="77777777" w:rsidR="004412F1" w:rsidRDefault="005A12A3">
            <w:pPr>
              <w:rPr>
                <w:color w:val="000000"/>
              </w:rPr>
            </w:pPr>
            <w:r>
              <w:rPr>
                <w:rFonts w:ascii="Arial Narrow" w:hAnsi="Arial Narrow"/>
                <w:bCs/>
                <w:lang w:val="es-CL"/>
              </w:rPr>
              <w:t>San Clemente - Puente Choclococha</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247920B" w14:textId="77777777" w:rsidR="004412F1" w:rsidRDefault="004412F1"/>
        </w:tc>
      </w:tr>
      <w:tr w:rsidR="004412F1" w14:paraId="58D09F28" w14:textId="77777777">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BFE583" w14:textId="77777777" w:rsidR="004412F1" w:rsidRDefault="005A12A3">
            <w:pPr>
              <w:rPr>
                <w:color w:val="000000"/>
              </w:rPr>
            </w:pPr>
            <w:r>
              <w:rPr>
                <w:rFonts w:ascii="Arial Narrow" w:hAnsi="Arial Narrow"/>
                <w:bCs/>
                <w:lang w:val="es-CL"/>
              </w:rPr>
              <w:t xml:space="preserve">Puente Choclococha - Ayacucho </w:t>
            </w:r>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D4B27F" w14:textId="77777777" w:rsidR="004412F1" w:rsidRDefault="004412F1"/>
        </w:tc>
      </w:tr>
    </w:tbl>
    <w:p w14:paraId="5676A675" w14:textId="77777777" w:rsidR="004412F1" w:rsidRDefault="004412F1">
      <w:pPr>
        <w:ind w:left="708"/>
        <w:jc w:val="both"/>
        <w:rPr>
          <w:color w:val="000000"/>
        </w:rPr>
      </w:pPr>
    </w:p>
    <w:p w14:paraId="20DCCA0C" w14:textId="77777777" w:rsidR="004412F1" w:rsidRDefault="005A12A3">
      <w:pPr>
        <w:ind w:left="708"/>
        <w:jc w:val="both"/>
        <w:rPr>
          <w:color w:val="000000"/>
        </w:rPr>
      </w:pPr>
      <w:r>
        <w:rPr>
          <w:color w:val="000000"/>
        </w:rPr>
        <w:t>Con relación a las áreas de la</w:t>
      </w:r>
      <w:r>
        <w:t>s</w:t>
      </w:r>
      <w:r>
        <w:rPr>
          <w:color w:val="000000"/>
        </w:rPr>
        <w:t xml:space="preserve"> unidades de peaje existentes de los Sub Tramos de Mantenimiento Periódico Inicial, éstas se entregarán </w:t>
      </w:r>
      <w:r>
        <w:t xml:space="preserve">por el CONCEDENTE </w:t>
      </w:r>
      <w:r>
        <w:rPr>
          <w:color w:val="000000"/>
        </w:rPr>
        <w:t>al CONCESIONARIO en los siguientes plazos:</w:t>
      </w:r>
    </w:p>
    <w:p w14:paraId="513FE548" w14:textId="77777777" w:rsidR="004412F1" w:rsidRDefault="004412F1">
      <w:pPr>
        <w:ind w:left="708"/>
        <w:jc w:val="both"/>
        <w:rPr>
          <w:color w:val="000000"/>
          <w:sz w:val="14"/>
        </w:rPr>
      </w:pPr>
    </w:p>
    <w:tbl>
      <w:tblPr>
        <w:tblW w:w="77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110"/>
      </w:tblGrid>
      <w:tr w:rsidR="004412F1" w14:paraId="17F43E1C"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4BDA78" w14:textId="77777777" w:rsidR="004412F1" w:rsidRDefault="005A12A3">
            <w:pPr>
              <w:rPr>
                <w:rFonts w:ascii="Arial Narrow" w:hAnsi="Arial Narrow"/>
                <w:bCs/>
                <w:szCs w:val="18"/>
                <w:lang w:val="es-CL" w:eastAsia="es-ES"/>
              </w:rPr>
            </w:pPr>
            <w:r>
              <w:rPr>
                <w:rFonts w:ascii="Arial Narrow" w:hAnsi="Arial Narrow"/>
                <w:bCs/>
                <w:szCs w:val="18"/>
                <w:lang w:val="es-CL" w:eastAsia="es-ES"/>
              </w:rPr>
              <w:t>Unidad de Peaje Existente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08E2DE" w14:textId="77777777" w:rsidR="004412F1" w:rsidRDefault="005A12A3">
            <w:pPr>
              <w:rPr>
                <w:rFonts w:ascii="Arial Narrow" w:hAnsi="Arial Narrow"/>
                <w:bCs/>
                <w:szCs w:val="18"/>
                <w:lang w:val="es-CL" w:eastAsia="es-ES"/>
              </w:rPr>
            </w:pPr>
            <w:r>
              <w:rPr>
                <w:rFonts w:ascii="Arial Narrow" w:hAnsi="Arial Narrow"/>
                <w:bCs/>
                <w:szCs w:val="18"/>
                <w:lang w:val="es-CL" w:eastAsia="es-ES"/>
              </w:rPr>
              <w:t>Plazo de entrega</w:t>
            </w:r>
          </w:p>
        </w:tc>
      </w:tr>
      <w:tr w:rsidR="004412F1" w14:paraId="7C767D3F"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FF7B63" w14:textId="77777777" w:rsidR="004412F1" w:rsidRDefault="005A12A3">
            <w:pPr>
              <w:rPr>
                <w:rFonts w:ascii="Arial Narrow" w:hAnsi="Arial Narrow"/>
                <w:bCs/>
                <w:szCs w:val="18"/>
                <w:lang w:val="es-CL" w:eastAsia="es-ES"/>
              </w:rPr>
            </w:pPr>
            <w:r>
              <w:rPr>
                <w:rFonts w:ascii="Arial Narrow" w:hAnsi="Arial Narrow"/>
                <w:bCs/>
                <w:szCs w:val="18"/>
                <w:lang w:val="es-CL" w:eastAsia="es-ES"/>
              </w:rPr>
              <w:t xml:space="preserve"> Pacra</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2D35D1" w14:textId="77777777" w:rsidR="004412F1" w:rsidRDefault="004412F1">
            <w:pPr>
              <w:rPr>
                <w:rFonts w:ascii="Arial Narrow" w:hAnsi="Arial Narrow"/>
                <w:bCs/>
                <w:szCs w:val="18"/>
                <w:lang w:val="es-CL" w:eastAsia="es-ES"/>
              </w:rPr>
            </w:pPr>
          </w:p>
        </w:tc>
      </w:tr>
      <w:tr w:rsidR="004412F1" w14:paraId="749D27C6"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AFD06C" w14:textId="77777777" w:rsidR="004412F1" w:rsidRDefault="005A12A3">
            <w:pPr>
              <w:rPr>
                <w:rFonts w:ascii="Arial Narrow" w:hAnsi="Arial Narrow"/>
                <w:bCs/>
                <w:szCs w:val="18"/>
                <w:lang w:val="es-CL" w:eastAsia="es-ES"/>
              </w:rPr>
            </w:pPr>
            <w:r>
              <w:rPr>
                <w:rFonts w:ascii="Arial Narrow" w:hAnsi="Arial Narrow"/>
                <w:bCs/>
                <w:szCs w:val="18"/>
                <w:lang w:val="es-CL" w:eastAsia="es-ES"/>
              </w:rPr>
              <w:t xml:space="preserve"> Rumichaca</w:t>
            </w:r>
          </w:p>
        </w:tc>
        <w:tc>
          <w:tcPr>
            <w:tcW w:w="4110" w:type="dxa"/>
            <w:shd w:val="clear" w:color="auto" w:fill="auto"/>
            <w:tcMar>
              <w:top w:w="0" w:type="dxa"/>
              <w:left w:w="108" w:type="dxa"/>
              <w:bottom w:w="0" w:type="dxa"/>
              <w:right w:w="108" w:type="dxa"/>
            </w:tcMar>
          </w:tcPr>
          <w:p w14:paraId="3BDBA6DC" w14:textId="77777777" w:rsidR="004412F1" w:rsidRDefault="004412F1">
            <w:pPr>
              <w:rPr>
                <w:rFonts w:ascii="Arial Narrow" w:hAnsi="Arial Narrow"/>
                <w:bCs/>
                <w:szCs w:val="18"/>
                <w:lang w:val="es-CL" w:eastAsia="es-ES"/>
              </w:rPr>
            </w:pPr>
          </w:p>
        </w:tc>
      </w:tr>
      <w:tr w:rsidR="004412F1" w14:paraId="10B097FB"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0BDFAC" w14:textId="77777777" w:rsidR="004412F1" w:rsidRDefault="005A12A3">
            <w:pPr>
              <w:rPr>
                <w:rFonts w:ascii="Arial Narrow" w:hAnsi="Arial Narrow"/>
                <w:bCs/>
                <w:szCs w:val="18"/>
                <w:lang w:val="es-CL" w:eastAsia="es-ES"/>
              </w:rPr>
            </w:pPr>
            <w:r>
              <w:rPr>
                <w:rFonts w:ascii="Arial Narrow" w:hAnsi="Arial Narrow"/>
                <w:bCs/>
                <w:szCs w:val="18"/>
                <w:lang w:val="es-CL" w:eastAsia="es-ES"/>
              </w:rPr>
              <w:t xml:space="preserve"> Socos</w:t>
            </w:r>
          </w:p>
        </w:tc>
        <w:tc>
          <w:tcPr>
            <w:tcW w:w="4110" w:type="dxa"/>
            <w:shd w:val="clear" w:color="auto" w:fill="auto"/>
            <w:tcMar>
              <w:top w:w="0" w:type="dxa"/>
              <w:left w:w="108" w:type="dxa"/>
              <w:bottom w:w="0" w:type="dxa"/>
              <w:right w:w="108" w:type="dxa"/>
            </w:tcMar>
          </w:tcPr>
          <w:p w14:paraId="7E90B65A" w14:textId="77777777" w:rsidR="004412F1" w:rsidRDefault="004412F1">
            <w:pPr>
              <w:rPr>
                <w:rFonts w:ascii="Arial Narrow" w:hAnsi="Arial Narrow"/>
                <w:bCs/>
                <w:szCs w:val="18"/>
                <w:lang w:val="es-CL" w:eastAsia="es-ES"/>
              </w:rPr>
            </w:pPr>
          </w:p>
        </w:tc>
      </w:tr>
    </w:tbl>
    <w:p w14:paraId="61C32045" w14:textId="77777777" w:rsidR="004412F1" w:rsidRDefault="004412F1">
      <w:pPr>
        <w:ind w:left="708"/>
        <w:jc w:val="both"/>
        <w:rPr>
          <w:color w:val="000000"/>
        </w:rPr>
      </w:pPr>
    </w:p>
    <w:p w14:paraId="15B9D7BA" w14:textId="77777777" w:rsidR="004412F1" w:rsidRDefault="005A12A3">
      <w:pPr>
        <w:numPr>
          <w:ilvl w:val="1"/>
          <w:numId w:val="85"/>
        </w:numPr>
        <w:jc w:val="both"/>
      </w:pPr>
      <w:r>
        <w:rPr>
          <w:color w:val="000000" w:themeColor="text1"/>
        </w:rPr>
        <w:t xml:space="preserve">La entrega del Área de la Concesión de los Sub Tramos de Rehabilitación y Mejoramiento deberá ser entregada por el CONCEDENTE al CONCESIONARIO, en los siguientes </w:t>
      </w:r>
      <w:r>
        <w:t>hitos</w:t>
      </w:r>
      <w:r>
        <w:rPr>
          <w:color w:val="000000" w:themeColor="text1"/>
        </w:rPr>
        <w:t>:</w:t>
      </w:r>
    </w:p>
    <w:p w14:paraId="1595BA30" w14:textId="77777777" w:rsidR="004412F1" w:rsidRDefault="004412F1">
      <w:pPr>
        <w:ind w:left="708"/>
        <w:jc w:val="both"/>
        <w:rPr>
          <w:color w:val="000000"/>
        </w:rPr>
      </w:pPr>
    </w:p>
    <w:tbl>
      <w:tblPr>
        <w:tblW w:w="767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6"/>
        <w:gridCol w:w="4032"/>
      </w:tblGrid>
      <w:tr w:rsidR="004412F1" w14:paraId="4C41C2AF" w14:textId="77777777">
        <w:trPr>
          <w:trHeight w:val="341"/>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147F15" w14:textId="77777777" w:rsidR="004412F1" w:rsidRDefault="005A12A3">
            <w:pPr>
              <w:rPr>
                <w:rFonts w:ascii="Arial Narrow" w:hAnsi="Arial Narrow"/>
                <w:bCs/>
                <w:szCs w:val="18"/>
                <w:lang w:val="es-CL" w:eastAsia="es-ES"/>
              </w:rPr>
            </w:pPr>
            <w:proofErr w:type="gramStart"/>
            <w:r>
              <w:rPr>
                <w:rFonts w:ascii="Arial Narrow" w:hAnsi="Arial Narrow"/>
                <w:bCs/>
                <w:szCs w:val="18"/>
                <w:lang w:val="es-CL" w:eastAsia="es-ES"/>
              </w:rPr>
              <w:t>Sub Tramo</w:t>
            </w:r>
            <w:proofErr w:type="gramEnd"/>
          </w:p>
        </w:tc>
        <w:tc>
          <w:tcPr>
            <w:tcW w:w="4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5C1296" w14:textId="77777777" w:rsidR="004412F1" w:rsidRDefault="005A12A3">
            <w:pPr>
              <w:rPr>
                <w:rFonts w:ascii="Arial Narrow" w:hAnsi="Arial Narrow"/>
                <w:bCs/>
                <w:szCs w:val="18"/>
                <w:lang w:val="es-CL" w:eastAsia="es-ES"/>
              </w:rPr>
            </w:pPr>
            <w:r>
              <w:rPr>
                <w:rFonts w:ascii="Arial Narrow" w:hAnsi="Arial Narrow"/>
                <w:bCs/>
                <w:szCs w:val="18"/>
                <w:lang w:val="es-CL" w:eastAsia="es-ES"/>
              </w:rPr>
              <w:t>Plazo de entrega</w:t>
            </w:r>
          </w:p>
        </w:tc>
      </w:tr>
      <w:tr w:rsidR="004412F1" w14:paraId="41D89602" w14:textId="77777777">
        <w:trPr>
          <w:trHeight w:val="341"/>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D68446" w14:textId="77777777" w:rsidR="004412F1" w:rsidRDefault="005A12A3">
            <w:pPr>
              <w:rPr>
                <w:rFonts w:ascii="Arial Narrow" w:hAnsi="Arial Narrow"/>
                <w:bCs/>
                <w:szCs w:val="18"/>
                <w:lang w:val="es-CL" w:eastAsia="es-ES"/>
              </w:rPr>
            </w:pPr>
            <w:r>
              <w:rPr>
                <w:rFonts w:ascii="Arial Narrow" w:hAnsi="Arial Narrow"/>
                <w:bCs/>
                <w:szCs w:val="18"/>
                <w:lang w:val="es-CL" w:eastAsia="es-ES"/>
              </w:rPr>
              <w:t>Huancayo - Izcuchaca</w:t>
            </w:r>
            <w:r>
              <w:rPr>
                <w:rFonts w:ascii="Arial Narrow" w:hAnsi="Arial Narrow"/>
                <w:bCs/>
                <w:szCs w:val="18"/>
                <w:lang w:val="es-CL" w:eastAsia="es-ES"/>
              </w:rPr>
              <w:br/>
              <w:t xml:space="preserve"> Tramo 3</w:t>
            </w:r>
          </w:p>
        </w:tc>
        <w:tc>
          <w:tcPr>
            <w:tcW w:w="40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9D3CF4" w14:textId="77777777" w:rsidR="004412F1" w:rsidRDefault="004412F1">
            <w:pPr>
              <w:rPr>
                <w:rFonts w:ascii="Arial Narrow" w:hAnsi="Arial Narrow"/>
                <w:bCs/>
                <w:szCs w:val="18"/>
                <w:lang w:val="es-CL" w:eastAsia="es-ES"/>
              </w:rPr>
            </w:pPr>
          </w:p>
          <w:p w14:paraId="44386071" w14:textId="77777777" w:rsidR="004412F1" w:rsidRDefault="004412F1">
            <w:pPr>
              <w:rPr>
                <w:rFonts w:ascii="Arial Narrow" w:hAnsi="Arial Narrow"/>
                <w:bCs/>
                <w:szCs w:val="18"/>
                <w:lang w:val="es-CL" w:eastAsia="es-ES"/>
              </w:rPr>
            </w:pPr>
          </w:p>
        </w:tc>
      </w:tr>
      <w:tr w:rsidR="004412F1" w14:paraId="0827B4F6" w14:textId="77777777">
        <w:trPr>
          <w:trHeight w:val="417"/>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FFA517" w14:textId="77777777" w:rsidR="004412F1" w:rsidRDefault="005A12A3">
            <w:r>
              <w:rPr>
                <w:rFonts w:ascii="Arial Narrow" w:hAnsi="Arial Narrow"/>
                <w:lang w:val="es-CL"/>
              </w:rPr>
              <w:t>Huancayo - Izcuchaca</w:t>
            </w:r>
            <w:r>
              <w:rPr>
                <w:rFonts w:ascii="Arial Narrow" w:hAnsi="Arial Narrow"/>
                <w:lang w:val="es-CL"/>
              </w:rPr>
              <w:br/>
              <w:t xml:space="preserve"> Tramo 4</w:t>
            </w:r>
          </w:p>
        </w:tc>
        <w:tc>
          <w:tcPr>
            <w:tcW w:w="4032" w:type="dxa"/>
            <w:vMerge/>
            <w:shd w:val="clear" w:color="auto" w:fill="auto"/>
            <w:tcMar>
              <w:top w:w="0" w:type="dxa"/>
              <w:left w:w="108" w:type="dxa"/>
              <w:bottom w:w="0" w:type="dxa"/>
              <w:right w:w="108" w:type="dxa"/>
            </w:tcMar>
            <w:vAlign w:val="center"/>
          </w:tcPr>
          <w:p w14:paraId="666D3F71" w14:textId="77777777" w:rsidR="004412F1" w:rsidRDefault="004412F1">
            <w:pPr>
              <w:spacing w:line="276" w:lineRule="auto"/>
              <w:rPr>
                <w:color w:val="000000"/>
              </w:rPr>
            </w:pPr>
          </w:p>
        </w:tc>
      </w:tr>
      <w:tr w:rsidR="004412F1" w14:paraId="693B9FBC" w14:textId="77777777">
        <w:trPr>
          <w:trHeight w:val="409"/>
        </w:trPr>
        <w:tc>
          <w:tcPr>
            <w:tcW w:w="3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55EBD9" w14:textId="77777777" w:rsidR="004412F1" w:rsidRDefault="005A12A3">
            <w:r>
              <w:rPr>
                <w:rFonts w:ascii="Arial Narrow" w:hAnsi="Arial Narrow"/>
                <w:lang w:val="es-CL"/>
              </w:rPr>
              <w:t>Izcuchaca - Mayocc</w:t>
            </w:r>
          </w:p>
        </w:tc>
        <w:tc>
          <w:tcPr>
            <w:tcW w:w="4032" w:type="dxa"/>
            <w:vMerge/>
            <w:shd w:val="clear" w:color="auto" w:fill="auto"/>
            <w:tcMar>
              <w:top w:w="0" w:type="dxa"/>
              <w:left w:w="108" w:type="dxa"/>
              <w:bottom w:w="0" w:type="dxa"/>
              <w:right w:w="108" w:type="dxa"/>
            </w:tcMar>
            <w:vAlign w:val="center"/>
          </w:tcPr>
          <w:p w14:paraId="5945E3A9" w14:textId="77777777" w:rsidR="004412F1" w:rsidRDefault="004412F1">
            <w:pPr>
              <w:spacing w:line="276" w:lineRule="auto"/>
              <w:rPr>
                <w:color w:val="000000"/>
              </w:rPr>
            </w:pPr>
          </w:p>
        </w:tc>
      </w:tr>
    </w:tbl>
    <w:p w14:paraId="2F6BEB3B" w14:textId="77777777" w:rsidR="004412F1" w:rsidRDefault="004412F1">
      <w:pPr>
        <w:ind w:left="720"/>
        <w:jc w:val="both"/>
        <w:rPr>
          <w:color w:val="000000"/>
        </w:rPr>
      </w:pPr>
    </w:p>
    <w:p w14:paraId="5A2BFA8B" w14:textId="77777777" w:rsidR="004412F1" w:rsidRDefault="005A12A3">
      <w:pPr>
        <w:ind w:left="708"/>
        <w:jc w:val="both"/>
      </w:pPr>
      <w:r>
        <w:t>Con relación a las áreas de la unidad de peaje existente</w:t>
      </w:r>
      <w:r>
        <w:rPr>
          <w:color w:val="000000"/>
        </w:rPr>
        <w:t xml:space="preserve"> de los Sub Tramos de Rehabilitación y Mejoramiento, esta se entregará </w:t>
      </w:r>
      <w:r>
        <w:t>por el CONCEDENTE al CONCESIONARIO en el siguiente plazo:</w:t>
      </w:r>
    </w:p>
    <w:p w14:paraId="6437849B" w14:textId="77777777" w:rsidR="004412F1" w:rsidRDefault="004412F1">
      <w:pPr>
        <w:ind w:left="708"/>
        <w:rPr>
          <w:color w:val="000000"/>
        </w:rPr>
      </w:pPr>
    </w:p>
    <w:tbl>
      <w:tblPr>
        <w:tblW w:w="779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110"/>
      </w:tblGrid>
      <w:tr w:rsidR="004412F1" w14:paraId="3265C8D7"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E70D8B" w14:textId="77777777" w:rsidR="004412F1" w:rsidRDefault="005A12A3">
            <w:pPr>
              <w:rPr>
                <w:bCs/>
                <w:szCs w:val="18"/>
                <w:lang w:val="es-ES" w:eastAsia="es-ES"/>
              </w:rPr>
            </w:pPr>
            <w:r>
              <w:rPr>
                <w:bCs/>
                <w:szCs w:val="18"/>
                <w:lang w:val="es-ES" w:eastAsia="es-ES"/>
              </w:rPr>
              <w:t>Unidad de peaje</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F6229" w14:textId="77777777" w:rsidR="004412F1" w:rsidRDefault="005A12A3">
            <w:pPr>
              <w:rPr>
                <w:bCs/>
                <w:szCs w:val="18"/>
                <w:lang w:val="es-ES" w:eastAsia="es-ES"/>
              </w:rPr>
            </w:pPr>
            <w:r>
              <w:rPr>
                <w:bCs/>
                <w:szCs w:val="18"/>
                <w:lang w:val="es-ES" w:eastAsia="es-ES"/>
              </w:rPr>
              <w:t>Plazo de entrega</w:t>
            </w:r>
          </w:p>
        </w:tc>
      </w:tr>
      <w:tr w:rsidR="004412F1" w14:paraId="1817A357" w14:textId="77777777">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5D6A305" w14:textId="77777777" w:rsidR="004412F1" w:rsidRDefault="005A12A3">
            <w:pPr>
              <w:rPr>
                <w:bCs/>
                <w:szCs w:val="18"/>
                <w:lang w:val="es-ES" w:eastAsia="es-ES"/>
              </w:rPr>
            </w:pPr>
            <w:r>
              <w:rPr>
                <w:bCs/>
                <w:szCs w:val="18"/>
                <w:lang w:val="es-ES" w:eastAsia="es-ES"/>
              </w:rPr>
              <w:t>Chacapampa</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38B22A" w14:textId="77777777" w:rsidR="004412F1" w:rsidRDefault="004412F1">
            <w:pPr>
              <w:rPr>
                <w:bCs/>
                <w:szCs w:val="18"/>
                <w:lang w:val="es-ES" w:eastAsia="es-ES"/>
              </w:rPr>
            </w:pPr>
          </w:p>
        </w:tc>
      </w:tr>
    </w:tbl>
    <w:p w14:paraId="5DE20F47" w14:textId="77777777" w:rsidR="004412F1" w:rsidRDefault="004412F1">
      <w:pPr>
        <w:ind w:left="708"/>
        <w:rPr>
          <w:color w:val="000000"/>
        </w:rPr>
      </w:pPr>
    </w:p>
    <w:p w14:paraId="44710C5B" w14:textId="77777777" w:rsidR="004412F1" w:rsidRPr="00763640" w:rsidRDefault="005A12A3">
      <w:pPr>
        <w:numPr>
          <w:ilvl w:val="1"/>
          <w:numId w:val="85"/>
        </w:numPr>
        <w:jc w:val="both"/>
        <w:rPr>
          <w:color w:val="000000" w:themeColor="text1"/>
        </w:rPr>
      </w:pPr>
      <w:r w:rsidRPr="00763640">
        <w:rPr>
          <w:color w:val="000000" w:themeColor="text1"/>
        </w:rPr>
        <w:t xml:space="preserve">Para la Construcción del Evitamiento San Clemente, la entrega del Área de la Concesión, deberá ser entregada por el CONCEDENTE al CONCESIONARIO, hasta treinta (30) Días Calendario antes del inicio de la ejecución de la Intervención Construcción del Evitamiento San Clemente. </w:t>
      </w:r>
    </w:p>
    <w:p w14:paraId="3FF3D8AC" w14:textId="77777777" w:rsidR="004412F1" w:rsidRPr="00763640" w:rsidRDefault="004412F1">
      <w:pPr>
        <w:ind w:left="708"/>
        <w:rPr>
          <w:color w:val="000000"/>
          <w:sz w:val="18"/>
          <w:szCs w:val="18"/>
        </w:rPr>
      </w:pPr>
    </w:p>
    <w:p w14:paraId="08CC219E" w14:textId="77777777" w:rsidR="004412F1" w:rsidRPr="00763640" w:rsidRDefault="005A12A3">
      <w:pPr>
        <w:numPr>
          <w:ilvl w:val="1"/>
          <w:numId w:val="85"/>
        </w:numPr>
        <w:jc w:val="both"/>
      </w:pPr>
      <w:r w:rsidRPr="00763640">
        <w:rPr>
          <w:color w:val="000000" w:themeColor="text1"/>
        </w:rPr>
        <w:t xml:space="preserve">La entrega de </w:t>
      </w:r>
      <w:r w:rsidRPr="00763640">
        <w:t>la</w:t>
      </w:r>
      <w:r w:rsidRPr="00763640">
        <w:rPr>
          <w:color w:val="000000" w:themeColor="text1"/>
        </w:rPr>
        <w:t xml:space="preserve">s áreas de terreno o predios </w:t>
      </w:r>
      <w:r w:rsidRPr="00763640">
        <w:t xml:space="preserve">de las nuevas unidades de peaje en los Sub Tramos de Mantenimiento Periódico Inicial y Rehabilitación y </w:t>
      </w:r>
      <w:r w:rsidRPr="00763640">
        <w:lastRenderedPageBreak/>
        <w:t xml:space="preserve">Mejoramiento, </w:t>
      </w:r>
      <w:r w:rsidRPr="00763640">
        <w:rPr>
          <w:color w:val="000000" w:themeColor="text1"/>
        </w:rPr>
        <w:t>no condiciona la ejecución de las respectivas Intervenciones por parte del Concesionario.</w:t>
      </w:r>
    </w:p>
    <w:p w14:paraId="1A3269CA" w14:textId="77777777" w:rsidR="004412F1" w:rsidRPr="00763640" w:rsidRDefault="004412F1">
      <w:pPr>
        <w:ind w:left="720"/>
        <w:jc w:val="both"/>
        <w:rPr>
          <w:color w:val="000000"/>
        </w:rPr>
      </w:pPr>
    </w:p>
    <w:p w14:paraId="1B11377D" w14:textId="77777777" w:rsidR="004412F1" w:rsidRPr="00763640" w:rsidRDefault="005A12A3">
      <w:pPr>
        <w:numPr>
          <w:ilvl w:val="1"/>
          <w:numId w:val="85"/>
        </w:numPr>
        <w:jc w:val="both"/>
      </w:pPr>
      <w:r w:rsidRPr="00763640">
        <w:rPr>
          <w:color w:val="000000" w:themeColor="text1"/>
        </w:rPr>
        <w:t>El incumplimiento del CONCESIONARIO de asistir a recibir las Áreas de la Concesión en los plazos referidos en las Cláusulas precedentes dará lugar a la aplicación de una penalidad según lo establecido en la Tabla N° 2 del ANEXO IX.</w:t>
      </w:r>
    </w:p>
    <w:p w14:paraId="7E8A665C" w14:textId="77777777" w:rsidR="004412F1" w:rsidRPr="00763640" w:rsidRDefault="004412F1">
      <w:pPr>
        <w:ind w:left="720"/>
        <w:jc w:val="both"/>
        <w:rPr>
          <w:color w:val="000000"/>
        </w:rPr>
      </w:pPr>
    </w:p>
    <w:p w14:paraId="1E85E138" w14:textId="77777777" w:rsidR="004412F1" w:rsidRPr="00763640" w:rsidRDefault="005A12A3">
      <w:pPr>
        <w:ind w:left="720"/>
        <w:jc w:val="both"/>
        <w:rPr>
          <w:rFonts w:eastAsia="SimSun"/>
          <w:b/>
          <w:bCs/>
          <w:lang w:eastAsia="zh-CN"/>
        </w:rPr>
      </w:pPr>
      <w:bookmarkStart w:id="1014" w:name="_4hr1b5p" w:colFirst="0" w:colLast="0"/>
      <w:bookmarkStart w:id="1015" w:name="_Toc139294713"/>
      <w:bookmarkEnd w:id="1014"/>
      <w:r w:rsidRPr="00763640">
        <w:rPr>
          <w:b/>
        </w:rPr>
        <w:t xml:space="preserve">ENTREGA DEL </w:t>
      </w:r>
      <w:r w:rsidRPr="00763640">
        <w:rPr>
          <w:b/>
          <w:bCs/>
          <w:color w:val="000000"/>
          <w:szCs w:val="18"/>
          <w:lang w:val="es-ES" w:eastAsia="es-ES"/>
        </w:rPr>
        <w:t xml:space="preserve">DERECHO </w:t>
      </w:r>
      <w:r w:rsidRPr="00763640">
        <w:rPr>
          <w:b/>
        </w:rPr>
        <w:t>DE VÍA</w:t>
      </w:r>
      <w:bookmarkEnd w:id="1015"/>
    </w:p>
    <w:p w14:paraId="111DD652" w14:textId="77777777" w:rsidR="004412F1" w:rsidRPr="00763640" w:rsidRDefault="004412F1">
      <w:pPr>
        <w:ind w:left="709" w:hanging="708"/>
        <w:jc w:val="both"/>
        <w:rPr>
          <w:b/>
          <w:bCs/>
        </w:rPr>
      </w:pPr>
      <w:bookmarkStart w:id="1016" w:name="_2wwbldi" w:colFirst="0" w:colLast="0"/>
      <w:bookmarkEnd w:id="1016"/>
    </w:p>
    <w:p w14:paraId="40B3CB60" w14:textId="77777777" w:rsidR="004412F1" w:rsidRPr="00763640" w:rsidRDefault="005A12A3">
      <w:pPr>
        <w:numPr>
          <w:ilvl w:val="1"/>
          <w:numId w:val="85"/>
        </w:numPr>
        <w:jc w:val="both"/>
        <w:rPr>
          <w:lang w:val="es-PE"/>
        </w:rPr>
      </w:pPr>
      <w:r w:rsidRPr="00763640">
        <w:rPr>
          <w:lang w:val="es-PE"/>
        </w:rPr>
        <w:t xml:space="preserve">La Rehabilitación y Mejoramiento se iniciará en el plazo indicado en la Cláusula </w:t>
      </w:r>
      <w:r w:rsidRPr="00763640">
        <w:t>6.1</w:t>
      </w:r>
      <w:r w:rsidRPr="00763640">
        <w:rPr>
          <w:lang w:val="es-PE"/>
        </w:rPr>
        <w:t xml:space="preserve"> y no podrá iniciarse en la medida que el CONCEDENTE no hubiera cumplido con entregar </w:t>
      </w:r>
      <w:r w:rsidRPr="00763640">
        <w:t>total de la longitud de los</w:t>
      </w:r>
      <w:r w:rsidRPr="00763640">
        <w:rPr>
          <w:color w:val="000000"/>
        </w:rPr>
        <w:t xml:space="preserve"> </w:t>
      </w:r>
      <w:proofErr w:type="gramStart"/>
      <w:r w:rsidRPr="00763640">
        <w:rPr>
          <w:color w:val="000000"/>
        </w:rPr>
        <w:t xml:space="preserve">Sub </w:t>
      </w:r>
      <w:r w:rsidRPr="00763640">
        <w:t>Tramos</w:t>
      </w:r>
      <w:proofErr w:type="gramEnd"/>
      <w:r w:rsidRPr="00763640">
        <w:rPr>
          <w:color w:val="000000"/>
        </w:rPr>
        <w:t xml:space="preserve"> Izcuchaca – Mayocc </w:t>
      </w:r>
      <w:r w:rsidRPr="00763640">
        <w:t xml:space="preserve">y Huancayo-Izcuchaca (tramo 3 y 4) </w:t>
      </w:r>
      <w:r w:rsidRPr="00763640">
        <w:rPr>
          <w:lang w:val="es-PE"/>
        </w:rPr>
        <w:t xml:space="preserve">comprendido en el Derecho de Vía. </w:t>
      </w:r>
    </w:p>
    <w:p w14:paraId="4C8DF592" w14:textId="77777777" w:rsidR="004412F1" w:rsidRPr="00763640" w:rsidRDefault="004412F1">
      <w:pPr>
        <w:ind w:left="720"/>
        <w:jc w:val="both"/>
      </w:pPr>
    </w:p>
    <w:p w14:paraId="7D12B7C1" w14:textId="77777777" w:rsidR="004412F1" w:rsidRPr="00763640" w:rsidRDefault="005A12A3">
      <w:pPr>
        <w:ind w:left="720"/>
        <w:jc w:val="both"/>
        <w:rPr>
          <w:rFonts w:eastAsia="SimSun"/>
          <w:lang w:eastAsia="zh-CN"/>
        </w:rPr>
      </w:pPr>
      <w:r w:rsidRPr="00763640">
        <w:t>En caso que no se produzca la entrega de las áreas de terreno liberadas determinadas en el EDI y que tal atraso no permita al CONCESIONARIO iniciar o continuar con la Rehabilitación y Mejoramiento y presentarlas para su aceptación en el plazo máximo de ejecución previsto en la Cláusula 6.1, el CONCEDENTE deberá otorgar una modificación de plazo para la ejecución de la Rehabilitación y Mejoramiento en las condiciones fijadas en las Cláusulas 6.2</w:t>
      </w:r>
      <w:r w:rsidRPr="00763640">
        <w:rPr>
          <w:lang w:val="es-PE"/>
        </w:rPr>
        <w:t>4 y siguientes del presente Contrato</w:t>
      </w:r>
      <w:r w:rsidRPr="00763640">
        <w:t>.</w:t>
      </w:r>
    </w:p>
    <w:p w14:paraId="52205F86" w14:textId="77777777" w:rsidR="004412F1" w:rsidRPr="00763640" w:rsidRDefault="004412F1">
      <w:pPr>
        <w:jc w:val="both"/>
        <w:rPr>
          <w:rFonts w:eastAsia="SimSun"/>
          <w:lang w:eastAsia="zh-CN"/>
        </w:rPr>
      </w:pPr>
    </w:p>
    <w:p w14:paraId="3EFD6D9F" w14:textId="77777777" w:rsidR="004412F1" w:rsidRPr="00763640" w:rsidRDefault="005A12A3">
      <w:pPr>
        <w:ind w:left="720"/>
        <w:jc w:val="both"/>
        <w:rPr>
          <w:rFonts w:eastAsia="SimSun"/>
          <w:lang w:eastAsia="zh-CN"/>
        </w:rPr>
      </w:pPr>
      <w:bookmarkStart w:id="1017" w:name="_Toc131327947"/>
      <w:bookmarkStart w:id="1018" w:name="_Toc131332926"/>
      <w:bookmarkStart w:id="1019" w:name="_Toc94328763"/>
      <w:bookmarkStart w:id="1020" w:name="_Toc94330143"/>
      <w:bookmarkStart w:id="1021" w:name="_Toc131328763"/>
      <w:bookmarkStart w:id="1022" w:name="_Toc131329099"/>
      <w:bookmarkStart w:id="1023" w:name="_Toc94329511"/>
      <w:bookmarkStart w:id="1024" w:name="_Toc102405285"/>
      <w:bookmarkStart w:id="1025" w:name="_Toc94337830"/>
      <w:bookmarkStart w:id="1026" w:name="_Toc94337599"/>
      <w:bookmarkStart w:id="1027" w:name="_Toc94328503"/>
      <w:bookmarkStart w:id="1028" w:name="_Toc131329918"/>
      <w:bookmarkStart w:id="1029" w:name="_Toc131329331"/>
      <w:bookmarkStart w:id="1030" w:name="_Toc94329019"/>
      <w:bookmarkStart w:id="1031" w:name="_Toc131332005"/>
      <w:bookmarkStart w:id="1032" w:name="_Toc94329265"/>
      <w:r w:rsidRPr="00763640">
        <w:t>El CONCESIONARIO formulará el diagnostico técnico legal, plan de saneamiento físico legal y los expedientes individuales de los predios afectados por el derecho de vía del sub tramo Izcuchaca – Mayocc y Huancayo-Izcuchaca (tramo 3 y 4)  de acuerdo a los términos de referencia contenidos en el Apéndice 8 del ANEXO I del Contrato de Concesión.</w:t>
      </w:r>
    </w:p>
    <w:p w14:paraId="1B6353B7" w14:textId="77777777" w:rsidR="004412F1" w:rsidRPr="00763640" w:rsidRDefault="004412F1">
      <w:pPr>
        <w:ind w:left="720"/>
        <w:jc w:val="both"/>
        <w:rPr>
          <w:rFonts w:eastAsia="SimSun"/>
          <w:lang w:eastAsia="zh-CN"/>
        </w:rPr>
      </w:pPr>
    </w:p>
    <w:p w14:paraId="4C8F5CFC" w14:textId="77777777" w:rsidR="004412F1" w:rsidRPr="00763640" w:rsidRDefault="005A12A3">
      <w:pPr>
        <w:ind w:left="720"/>
        <w:jc w:val="both"/>
      </w:pPr>
      <w:r w:rsidRPr="00763640">
        <w:t>Previa conformidad y aprobación por parte del CONCEDENTE de los expedientes correspondientes, el CONCESIONARIO podrá, realizar las acciones necesarias para contar con la libre disponibilidad de las áreas. Los gastos en que incurra el CONCESIONARIO por la ejecución de dichas actividades serán aprobados y pagados por el CONCEDENTE.</w:t>
      </w:r>
    </w:p>
    <w:p w14:paraId="32EF10A8" w14:textId="77777777" w:rsidR="004412F1" w:rsidRPr="00763640" w:rsidRDefault="004412F1">
      <w:pPr>
        <w:ind w:left="720"/>
        <w:jc w:val="both"/>
        <w:rPr>
          <w:rFonts w:eastAsia="SimSun"/>
          <w:lang w:eastAsia="zh-CN"/>
        </w:rPr>
      </w:pPr>
    </w:p>
    <w:p w14:paraId="185EC018" w14:textId="77777777" w:rsidR="004412F1" w:rsidRPr="00763640" w:rsidRDefault="005A12A3">
      <w:pPr>
        <w:ind w:left="720"/>
        <w:jc w:val="both"/>
        <w:rPr>
          <w:rFonts w:eastAsia="SimSun"/>
          <w:lang w:eastAsia="zh-CN"/>
        </w:rPr>
      </w:pPr>
      <w:r w:rsidRPr="00763640">
        <w:t>El CONCEDENTE aplicará las disposiciones contenidas en el Decreto Legislativo N° 1192, la Ley N° 30230, así como del Reglamento aprobado mediante Decreto Supremo N° 019-2015-VIVIENDA, o normas que las sustituyan.</w:t>
      </w:r>
    </w:p>
    <w:p w14:paraId="05FC2201" w14:textId="77777777" w:rsidR="004412F1" w:rsidRPr="00763640" w:rsidRDefault="004412F1">
      <w:pPr>
        <w:ind w:left="720"/>
        <w:jc w:val="both"/>
        <w:rPr>
          <w:rFonts w:eastAsia="SimSun"/>
          <w:lang w:eastAsia="zh-CN"/>
        </w:rPr>
      </w:pPr>
    </w:p>
    <w:p w14:paraId="34B12634" w14:textId="77777777" w:rsidR="004412F1" w:rsidRPr="00763640" w:rsidRDefault="005A12A3">
      <w:pPr>
        <w:ind w:left="720"/>
        <w:jc w:val="both"/>
        <w:rPr>
          <w:rFonts w:eastAsia="Times New Roman"/>
          <w:bCs/>
          <w:szCs w:val="18"/>
          <w:lang w:val="es-ES" w:eastAsia="es-ES"/>
        </w:rPr>
      </w:pPr>
      <w:r w:rsidRPr="00763640">
        <w:rPr>
          <w:color w:val="000000" w:themeColor="text1"/>
        </w:rPr>
        <w:t xml:space="preserve">El Área de la Concesión se irá incrementando progresivamente hasta alcanzar el Derecho de Vía, luego de concluidos los procedimientos de responsabilidad del CONCEDENTE para la adquisición y expropiación de predios según corresponde. El Proyecto comprende los siguientes Derechos de Vía aprobados:  </w:t>
      </w:r>
    </w:p>
    <w:p w14:paraId="0B136851" w14:textId="77777777" w:rsidR="004412F1" w:rsidRPr="00763640" w:rsidRDefault="004412F1">
      <w:pPr>
        <w:ind w:left="709"/>
        <w:jc w:val="both"/>
      </w:pPr>
    </w:p>
    <w:tbl>
      <w:tblPr>
        <w:tblW w:w="7160"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21"/>
        <w:gridCol w:w="2268"/>
        <w:gridCol w:w="2371"/>
      </w:tblGrid>
      <w:tr w:rsidR="004412F1" w:rsidRPr="00763640" w14:paraId="21E95D15" w14:textId="77777777">
        <w:trPr>
          <w:trHeight w:val="386"/>
          <w:tblHeader/>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0295B396" w14:textId="77777777" w:rsidR="004412F1" w:rsidRPr="00763640" w:rsidRDefault="005A12A3">
            <w:pPr>
              <w:jc w:val="center"/>
              <w:rPr>
                <w:b/>
                <w:bCs/>
              </w:rPr>
            </w:pPr>
            <w:r w:rsidRPr="00763640">
              <w:rPr>
                <w:b/>
                <w:bCs/>
              </w:rPr>
              <w:t>Inicio - Fin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441731E5" w14:textId="77777777" w:rsidR="004412F1" w:rsidRPr="00763640" w:rsidRDefault="005A12A3">
            <w:pPr>
              <w:ind w:left="360" w:hanging="210"/>
              <w:jc w:val="center"/>
              <w:rPr>
                <w:b/>
                <w:bCs/>
              </w:rPr>
            </w:pPr>
            <w:r w:rsidRPr="00763640">
              <w:rPr>
                <w:b/>
                <w:bCs/>
              </w:rPr>
              <w:t>N° Resolución Ministerial</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48E20512" w14:textId="77777777" w:rsidR="004412F1" w:rsidRPr="00763640" w:rsidRDefault="005A12A3">
            <w:pPr>
              <w:ind w:left="360" w:hanging="238"/>
              <w:jc w:val="center"/>
              <w:rPr>
                <w:b/>
                <w:bCs/>
              </w:rPr>
            </w:pPr>
            <w:r w:rsidRPr="00763640">
              <w:rPr>
                <w:b/>
                <w:bCs/>
              </w:rPr>
              <w:t>Derecho de Vía</w:t>
            </w:r>
          </w:p>
        </w:tc>
      </w:tr>
      <w:tr w:rsidR="004412F1" w:rsidRPr="00763640" w14:paraId="0E88346B" w14:textId="77777777">
        <w:trPr>
          <w:trHeight w:val="424"/>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10A4A46E" w14:textId="77777777" w:rsidR="004412F1" w:rsidRPr="00763640" w:rsidRDefault="005A12A3">
            <w:r w:rsidRPr="00763640">
              <w:t>Dv. Huancayo – Pte. Chanchas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1744D379"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67195AF" w14:textId="77777777" w:rsidR="004412F1" w:rsidRPr="00763640" w:rsidRDefault="005A12A3">
            <w:pPr>
              <w:ind w:left="141"/>
            </w:pPr>
            <w:r w:rsidRPr="00763640">
              <w:t>20m (10m a cada lado del eje)</w:t>
            </w:r>
          </w:p>
        </w:tc>
      </w:tr>
      <w:tr w:rsidR="004412F1" w:rsidRPr="00763640" w14:paraId="7CDDBF3C" w14:textId="77777777">
        <w:trPr>
          <w:trHeight w:val="502"/>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1A4F982F" w14:textId="77777777" w:rsidR="004412F1" w:rsidRPr="00763640" w:rsidRDefault="005A12A3">
            <w:r w:rsidRPr="00763640">
              <w:t>Pte. Chanchas - Huayucachi</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7A8DF619"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32711AC" w14:textId="77777777" w:rsidR="004412F1" w:rsidRPr="00763640" w:rsidRDefault="005A12A3">
            <w:pPr>
              <w:ind w:left="141"/>
            </w:pPr>
            <w:r w:rsidRPr="00763640">
              <w:t>20m (10m a cada lado del eje)</w:t>
            </w:r>
          </w:p>
        </w:tc>
      </w:tr>
      <w:tr w:rsidR="004412F1" w:rsidRPr="00763640" w14:paraId="6953FF04"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61FE5323" w14:textId="77777777" w:rsidR="004412F1" w:rsidRPr="00763640" w:rsidRDefault="005A12A3">
            <w:r w:rsidRPr="00763640">
              <w:t>Huayucachi - Imperial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74C846BE"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24EEFD8" w14:textId="77777777" w:rsidR="004412F1" w:rsidRPr="00763640" w:rsidRDefault="005A12A3">
            <w:pPr>
              <w:ind w:left="141"/>
            </w:pPr>
            <w:r w:rsidRPr="00763640">
              <w:t>20m (10m a cada lado del eje)</w:t>
            </w:r>
          </w:p>
        </w:tc>
      </w:tr>
      <w:tr w:rsidR="004412F1" w:rsidRPr="00763640" w14:paraId="28D45AAE"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566B3C94" w14:textId="77777777" w:rsidR="004412F1" w:rsidRPr="00763640" w:rsidRDefault="005A12A3">
            <w:r w:rsidRPr="00763640">
              <w:lastRenderedPageBreak/>
              <w:t>Imperial - Izcuchaca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6AFFEAD5" w14:textId="77777777" w:rsidR="004412F1" w:rsidRPr="00763640" w:rsidRDefault="005A12A3">
            <w:pPr>
              <w:ind w:left="113"/>
            </w:pPr>
            <w:r w:rsidRPr="00763640">
              <w:t xml:space="preserve"> 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6E0CAE3" w14:textId="77777777" w:rsidR="004412F1" w:rsidRPr="00763640" w:rsidRDefault="005A12A3">
            <w:pPr>
              <w:ind w:left="134"/>
            </w:pPr>
            <w:r w:rsidRPr="00763640">
              <w:t>20m (10m a cada lado del eje)</w:t>
            </w:r>
          </w:p>
        </w:tc>
      </w:tr>
      <w:tr w:rsidR="004412F1" w:rsidRPr="00763640" w14:paraId="7CB66234"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75A7948F" w14:textId="77777777" w:rsidR="004412F1" w:rsidRPr="00763640" w:rsidRDefault="005A12A3">
            <w:r w:rsidRPr="00763640">
              <w:t>Izcuchaca - Mayocc</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38FB1980" w14:textId="77777777" w:rsidR="004412F1" w:rsidRPr="00763640" w:rsidRDefault="005A12A3">
            <w:pPr>
              <w:ind w:left="113"/>
            </w:pPr>
            <w:r w:rsidRPr="00763640">
              <w:t>RM N° 562-2006 -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40E1E8A" w14:textId="77777777" w:rsidR="004412F1" w:rsidRPr="00763640" w:rsidRDefault="005A12A3">
            <w:pPr>
              <w:ind w:left="134"/>
            </w:pPr>
            <w:r w:rsidRPr="00763640">
              <w:t>20m (10m a cada lado del eje)</w:t>
            </w:r>
          </w:p>
        </w:tc>
      </w:tr>
      <w:tr w:rsidR="004412F1" w:rsidRPr="00763640" w14:paraId="48C87AD0"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7BE26F6E" w14:textId="77777777" w:rsidR="004412F1" w:rsidRPr="00763640" w:rsidRDefault="005A12A3">
            <w:r w:rsidRPr="00763640">
              <w:t>Mayocc - Huanta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38D9C99F" w14:textId="77777777" w:rsidR="004412F1" w:rsidRPr="00763640" w:rsidRDefault="005A12A3">
            <w:pPr>
              <w:ind w:left="113"/>
            </w:pPr>
            <w:r w:rsidRPr="00763640">
              <w:t>RM N° 562-2006 -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6189994" w14:textId="77777777" w:rsidR="004412F1" w:rsidRPr="00763640" w:rsidRDefault="005A12A3">
            <w:pPr>
              <w:ind w:left="134"/>
            </w:pPr>
            <w:r w:rsidRPr="00763640">
              <w:t>20m (10m a cada lado del eje)</w:t>
            </w:r>
          </w:p>
        </w:tc>
      </w:tr>
      <w:tr w:rsidR="004412F1" w:rsidRPr="00763640" w14:paraId="7EA31AD2"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4E1C524E" w14:textId="77777777" w:rsidR="004412F1" w:rsidRPr="00763640" w:rsidRDefault="005A12A3">
            <w:r w:rsidRPr="00763640">
              <w:t>Huanta - Ayacucho (Emp PE-28A)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2F8E64E3" w14:textId="77777777" w:rsidR="004412F1" w:rsidRPr="00763640" w:rsidRDefault="005A12A3">
            <w:pPr>
              <w:ind w:left="113"/>
            </w:pPr>
            <w:r w:rsidRPr="00763640">
              <w:t>RM N° 562-2006 -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4C1172F" w14:textId="77777777" w:rsidR="004412F1" w:rsidRPr="00763640" w:rsidRDefault="005A12A3">
            <w:pPr>
              <w:ind w:left="134"/>
            </w:pPr>
            <w:r w:rsidRPr="00763640">
              <w:t>20m (10m a cada lado del eje)</w:t>
            </w:r>
          </w:p>
        </w:tc>
      </w:tr>
      <w:tr w:rsidR="004412F1" w:rsidRPr="00763640" w14:paraId="31D89CFA"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5248E5B2" w14:textId="77777777" w:rsidR="004412F1" w:rsidRPr="00763640" w:rsidRDefault="005A12A3">
            <w:r w:rsidRPr="00763640">
              <w:t>Ayacucho (Emp PE-28A) - Km. O+000 (Ayacucho)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51A0BDCC" w14:textId="77777777" w:rsidR="004412F1" w:rsidRPr="00763640" w:rsidRDefault="005A12A3">
            <w:pPr>
              <w:ind w:left="113"/>
            </w:pPr>
            <w:r w:rsidRPr="00763640">
              <w:t>RM N° 562-2006 -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E9E16AD" w14:textId="77777777" w:rsidR="004412F1" w:rsidRPr="00763640" w:rsidRDefault="005A12A3">
            <w:pPr>
              <w:ind w:left="134"/>
            </w:pPr>
            <w:r w:rsidRPr="00763640">
              <w:t>20m (10m a cada lado del eje)</w:t>
            </w:r>
          </w:p>
        </w:tc>
      </w:tr>
      <w:tr w:rsidR="004412F1" w:rsidRPr="00763640" w14:paraId="3E71D0D1"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5E0AEA27" w14:textId="77777777" w:rsidR="004412F1" w:rsidRPr="00763640" w:rsidRDefault="005A12A3">
            <w:r w:rsidRPr="00763640">
              <w:t>Km. O+000 (Ayacucho) - Abra Tocto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63C5B102" w14:textId="77777777" w:rsidR="004412F1" w:rsidRPr="00763640" w:rsidRDefault="005A12A3">
            <w:pPr>
              <w:ind w:left="113"/>
            </w:pPr>
            <w:r w:rsidRPr="00763640">
              <w:t>RM N°234-2013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2248793" w14:textId="77777777" w:rsidR="004412F1" w:rsidRPr="00763640" w:rsidRDefault="005A12A3">
            <w:pPr>
              <w:ind w:left="141"/>
            </w:pPr>
            <w:r w:rsidRPr="00763640">
              <w:t>20m (10m a cada lado del eje)</w:t>
            </w:r>
          </w:p>
        </w:tc>
      </w:tr>
      <w:tr w:rsidR="004412F1" w:rsidRPr="00763640" w14:paraId="6E2F3643" w14:textId="77777777">
        <w:trPr>
          <w:trHeight w:val="623"/>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2F64C788" w14:textId="77777777" w:rsidR="004412F1" w:rsidRPr="00763640" w:rsidRDefault="005A12A3">
            <w:r w:rsidRPr="00763640">
              <w:t>Abra Tocto - Ocros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48476B92"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6F69E98" w14:textId="77777777" w:rsidR="004412F1" w:rsidRPr="00763640" w:rsidRDefault="005A12A3">
            <w:pPr>
              <w:ind w:left="141"/>
            </w:pPr>
            <w:r w:rsidRPr="00763640">
              <w:t>20m (10m a cada lado del eje)</w:t>
            </w:r>
          </w:p>
        </w:tc>
      </w:tr>
      <w:tr w:rsidR="004412F1" w:rsidRPr="00763640" w14:paraId="1354D782"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24418AB9" w14:textId="77777777" w:rsidR="004412F1" w:rsidRPr="00763640" w:rsidRDefault="005A12A3">
            <w:r w:rsidRPr="00763640">
              <w:t>Ocros - Chincheros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0173A1B8"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C0FC066" w14:textId="77777777" w:rsidR="004412F1" w:rsidRPr="00763640" w:rsidRDefault="005A12A3">
            <w:pPr>
              <w:ind w:left="141"/>
            </w:pPr>
            <w:r w:rsidRPr="00763640">
              <w:t>20m (10m a cada lado del eje)</w:t>
            </w:r>
          </w:p>
        </w:tc>
      </w:tr>
      <w:tr w:rsidR="004412F1" w:rsidRPr="00763640" w14:paraId="6027BDAA"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38DC5BFC" w14:textId="77777777" w:rsidR="004412F1" w:rsidRPr="00763640" w:rsidRDefault="005A12A3">
            <w:r w:rsidRPr="00763640">
              <w:t>Chincheros - Santa María de Chicmo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78C1B081"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99D3C86" w14:textId="77777777" w:rsidR="004412F1" w:rsidRPr="00763640" w:rsidRDefault="005A12A3">
            <w:pPr>
              <w:ind w:left="134"/>
            </w:pPr>
            <w:r w:rsidRPr="00763640">
              <w:t>20m (10m a cada lado del eje)</w:t>
            </w:r>
          </w:p>
        </w:tc>
      </w:tr>
      <w:tr w:rsidR="004412F1" w:rsidRPr="00763640" w14:paraId="3E554DA6"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6FA40C8E" w14:textId="77777777" w:rsidR="004412F1" w:rsidRPr="00763640" w:rsidRDefault="005A12A3">
            <w:r w:rsidRPr="00763640">
              <w:t>Santa María de Chicmo - Andahuaylas (Emp PE-30B)</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03828FB6"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2CFF0CA" w14:textId="77777777" w:rsidR="004412F1" w:rsidRPr="00763640" w:rsidRDefault="005A12A3">
            <w:pPr>
              <w:ind w:left="134"/>
            </w:pPr>
            <w:r w:rsidRPr="00763640">
              <w:t>20m (10m a cada lado del eje)</w:t>
            </w:r>
          </w:p>
        </w:tc>
      </w:tr>
      <w:tr w:rsidR="004412F1" w:rsidRPr="00763640" w14:paraId="27484090"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6990B218" w14:textId="77777777" w:rsidR="004412F1" w:rsidRPr="00763640" w:rsidRDefault="005A12A3">
            <w:r w:rsidRPr="00763640">
              <w:t>Andahuaylas (Emp PE-30B) - Dv. Kishuara (Emp PE-3SE)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6F0D25EC" w14:textId="77777777" w:rsidR="004412F1" w:rsidRPr="00763640" w:rsidRDefault="005A12A3">
            <w:pPr>
              <w:ind w:left="113"/>
            </w:pPr>
            <w:r w:rsidRPr="00763640">
              <w:t>RM N° 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674BB74" w14:textId="77777777" w:rsidR="004412F1" w:rsidRPr="00763640" w:rsidRDefault="005A12A3">
            <w:pPr>
              <w:ind w:left="134"/>
            </w:pPr>
            <w:r w:rsidRPr="00763640">
              <w:t>20m (10m a cada lado del eje)</w:t>
            </w:r>
          </w:p>
        </w:tc>
      </w:tr>
      <w:tr w:rsidR="004412F1" w:rsidRPr="00763640" w14:paraId="155CACE4"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19E18B9D" w14:textId="77777777" w:rsidR="004412F1" w:rsidRPr="00763640" w:rsidRDefault="005A12A3">
            <w:r w:rsidRPr="00763640">
              <w:t xml:space="preserve">Dv. Kishuara (Emp PE-3SE) - Dv. Sahuinto (Emp PE-3S)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7CB5BB75" w14:textId="77777777" w:rsidR="004412F1" w:rsidRPr="00763640" w:rsidRDefault="005A12A3">
            <w:pPr>
              <w:ind w:left="113"/>
            </w:pPr>
            <w:r w:rsidRPr="00763640">
              <w:t>RM N°234-2013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2E564E6" w14:textId="77777777" w:rsidR="004412F1" w:rsidRPr="00763640" w:rsidRDefault="005A12A3">
            <w:pPr>
              <w:ind w:left="134"/>
            </w:pPr>
            <w:r w:rsidRPr="00763640">
              <w:t>20m (10m a cada lado del eje)</w:t>
            </w:r>
          </w:p>
        </w:tc>
      </w:tr>
      <w:tr w:rsidR="004412F1" w:rsidRPr="00763640" w14:paraId="45771A0E"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1F61586F" w14:textId="77777777" w:rsidR="004412F1" w:rsidRPr="00763640" w:rsidRDefault="005A12A3">
            <w:r w:rsidRPr="00763640">
              <w:t>San Clemente (Emp. PE-1S) - Puente Choclococha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748A573D" w14:textId="77777777" w:rsidR="004412F1" w:rsidRPr="00763640" w:rsidRDefault="005A12A3">
            <w:pPr>
              <w:ind w:left="113"/>
            </w:pPr>
            <w:r w:rsidRPr="00763640">
              <w:t>RM N° 304-2007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A41B2D9" w14:textId="77777777" w:rsidR="004412F1" w:rsidRPr="00763640" w:rsidRDefault="005A12A3">
            <w:pPr>
              <w:ind w:left="134"/>
            </w:pPr>
            <w:r w:rsidRPr="00763640">
              <w:t>20m (10m a cada lado del eje)</w:t>
            </w:r>
          </w:p>
        </w:tc>
      </w:tr>
      <w:tr w:rsidR="004412F1" w:rsidRPr="00763640" w14:paraId="4B8F14EE"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052F623B" w14:textId="77777777" w:rsidR="004412F1" w:rsidRPr="00763640" w:rsidRDefault="005A12A3">
            <w:r w:rsidRPr="00763640">
              <w:t>Puente Choclococha - Ayacucho (Emp. PE-28A)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05D82E6E" w14:textId="77777777" w:rsidR="004412F1" w:rsidRPr="00763640" w:rsidRDefault="005A12A3">
            <w:pPr>
              <w:ind w:left="113"/>
            </w:pPr>
            <w:r w:rsidRPr="00763640">
              <w:t>RM N° 304-2007 MTC/02</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179DFE4" w14:textId="77777777" w:rsidR="004412F1" w:rsidRPr="00763640" w:rsidRDefault="005A12A3">
            <w:pPr>
              <w:ind w:left="134"/>
            </w:pPr>
            <w:r w:rsidRPr="00763640">
              <w:t>20m (10m a cada lado del eje)</w:t>
            </w:r>
          </w:p>
        </w:tc>
      </w:tr>
      <w:tr w:rsidR="004412F1" w:rsidRPr="00763640" w14:paraId="4444469E" w14:textId="77777777">
        <w:trPr>
          <w:trHeight w:val="386"/>
        </w:trPr>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vAlign w:val="center"/>
          </w:tcPr>
          <w:p w14:paraId="4B22C5E7" w14:textId="77777777" w:rsidR="004412F1" w:rsidRPr="00763640" w:rsidRDefault="005A12A3">
            <w:r w:rsidRPr="00763640">
              <w:t>Evitamiento San Clemente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28" w:type="dxa"/>
              <w:bottom w:w="0" w:type="dxa"/>
              <w:right w:w="28" w:type="dxa"/>
            </w:tcMar>
          </w:tcPr>
          <w:p w14:paraId="100F07C9" w14:textId="77777777" w:rsidR="004412F1" w:rsidRPr="00763640" w:rsidRDefault="005A12A3">
            <w:pPr>
              <w:ind w:left="113"/>
            </w:pPr>
            <w:r w:rsidRPr="00763640">
              <w:t>RM N° []</w:t>
            </w:r>
          </w:p>
        </w:tc>
        <w:tc>
          <w:tcPr>
            <w:tcW w:w="2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2BAA6DD5" w14:textId="77777777" w:rsidR="004412F1" w:rsidRPr="00763640" w:rsidRDefault="005A12A3">
            <w:pPr>
              <w:ind w:left="134"/>
            </w:pPr>
            <w:r w:rsidRPr="00763640">
              <w:t>[]</w:t>
            </w:r>
          </w:p>
        </w:tc>
      </w:tr>
    </w:tbl>
    <w:p w14:paraId="0A55E4C2" w14:textId="77777777" w:rsidR="004412F1" w:rsidRDefault="004412F1">
      <w:pPr>
        <w:jc w:val="both"/>
        <w:rPr>
          <w:rFonts w:eastAsia="SimSun"/>
          <w:lang w:eastAsia="zh-CN"/>
        </w:rPr>
      </w:pPr>
    </w:p>
    <w:p w14:paraId="500A1BCB" w14:textId="77777777" w:rsidR="008E7BAC" w:rsidRPr="00763640" w:rsidRDefault="008E7BAC">
      <w:pPr>
        <w:jc w:val="both"/>
        <w:rPr>
          <w:rFonts w:eastAsia="SimSun"/>
          <w:lang w:eastAsia="zh-CN"/>
        </w:rPr>
      </w:pPr>
    </w:p>
    <w:p w14:paraId="0454CA57" w14:textId="77777777" w:rsidR="00155016" w:rsidRPr="00763640" w:rsidRDefault="00155016">
      <w:pPr>
        <w:jc w:val="both"/>
        <w:rPr>
          <w:rFonts w:eastAsia="SimSun"/>
          <w:lang w:eastAsia="zh-CN"/>
        </w:rPr>
      </w:pPr>
    </w:p>
    <w:p w14:paraId="21D6065A" w14:textId="77777777" w:rsidR="00155016" w:rsidRPr="00763640" w:rsidRDefault="00155016">
      <w:pPr>
        <w:jc w:val="both"/>
        <w:rPr>
          <w:rFonts w:eastAsia="SimSun"/>
          <w:lang w:eastAsia="zh-CN"/>
        </w:rPr>
      </w:pPr>
    </w:p>
    <w:p w14:paraId="1C359349" w14:textId="77777777" w:rsidR="004412F1" w:rsidRPr="00763640" w:rsidRDefault="005A12A3">
      <w:pPr>
        <w:pStyle w:val="Ttulo2"/>
        <w:ind w:left="0"/>
        <w:jc w:val="both"/>
        <w:rPr>
          <w:rFonts w:ascii="Arial" w:hAnsi="Arial"/>
          <w:b/>
          <w:bCs/>
          <w:u w:val="none"/>
        </w:rPr>
      </w:pPr>
      <w:bookmarkStart w:id="1033" w:name="_ENTREGA_DE_BIENES"/>
      <w:bookmarkStart w:id="1034" w:name="_Toc468837618"/>
      <w:bookmarkStart w:id="1035" w:name="_Toc140089311"/>
      <w:bookmarkEnd w:id="1033"/>
      <w:r w:rsidRPr="00763640">
        <w:rPr>
          <w:rFonts w:ascii="Arial" w:hAnsi="Arial"/>
          <w:b/>
          <w:u w:val="none"/>
        </w:rPr>
        <w:t xml:space="preserve">ENTREGA DE </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r w:rsidRPr="00763640">
        <w:rPr>
          <w:rFonts w:ascii="Arial" w:hAnsi="Arial"/>
          <w:b/>
          <w:u w:val="none"/>
        </w:rPr>
        <w:t>BIENES DE LA CONCESIÓN</w:t>
      </w:r>
      <w:bookmarkEnd w:id="1034"/>
      <w:bookmarkEnd w:id="1035"/>
      <w:r w:rsidRPr="00763640">
        <w:rPr>
          <w:rFonts w:ascii="Arial" w:hAnsi="Arial"/>
        </w:rPr>
        <w:t xml:space="preserve"> </w:t>
      </w:r>
    </w:p>
    <w:p w14:paraId="4E6022D2" w14:textId="77777777" w:rsidR="004412F1" w:rsidRPr="00763640" w:rsidRDefault="004412F1">
      <w:pPr>
        <w:jc w:val="both"/>
      </w:pPr>
    </w:p>
    <w:p w14:paraId="5924C12F" w14:textId="226D2367" w:rsidR="004412F1" w:rsidRPr="00763640" w:rsidRDefault="005A12A3">
      <w:pPr>
        <w:numPr>
          <w:ilvl w:val="1"/>
          <w:numId w:val="85"/>
        </w:numPr>
        <w:jc w:val="both"/>
      </w:pPr>
      <w:bookmarkStart w:id="1036" w:name="_Ref271822680"/>
      <w:r w:rsidRPr="00763640">
        <w:t xml:space="preserve">Conjuntamente con la entrega del área de terreno que corresponda al Área de la Concesión, se efectuará la entrega de los Bienes de la Concesión, incluidas las unidades de peaje que deberán entregarse al CONCESIONARIO, mediante la primera Acta de Entrega Parcial de Bienes, conforme a la Cláusula </w:t>
      </w:r>
      <w:r w:rsidRPr="00763640">
        <w:fldChar w:fldCharType="begin"/>
      </w:r>
      <w:r w:rsidRPr="00763640">
        <w:instrText xml:space="preserve"> REF _Ref271727997 \r \h  \* MERGEFORMAT </w:instrText>
      </w:r>
      <w:r w:rsidRPr="00763640">
        <w:fldChar w:fldCharType="separate"/>
      </w:r>
      <w:r w:rsidR="0077125D" w:rsidRPr="0077125D">
        <w:rPr>
          <w:lang w:val="es-PE"/>
        </w:rPr>
        <w:t>8.11</w:t>
      </w:r>
      <w:r w:rsidRPr="00763640">
        <w:fldChar w:fldCharType="end"/>
      </w:r>
      <w:r w:rsidRPr="00763640">
        <w:t>.</w:t>
      </w:r>
      <w:bookmarkEnd w:id="1036"/>
    </w:p>
    <w:p w14:paraId="7213FB51" w14:textId="77777777" w:rsidR="004412F1" w:rsidRPr="00763640" w:rsidRDefault="004412F1">
      <w:pPr>
        <w:ind w:left="720"/>
        <w:jc w:val="both"/>
      </w:pPr>
    </w:p>
    <w:p w14:paraId="039D4B10" w14:textId="594B743E" w:rsidR="004412F1" w:rsidRPr="00763640" w:rsidRDefault="005A12A3">
      <w:pPr>
        <w:numPr>
          <w:ilvl w:val="1"/>
          <w:numId w:val="85"/>
        </w:numPr>
        <w:jc w:val="both"/>
        <w:rPr>
          <w:rFonts w:eastAsia="SimSun"/>
          <w:color w:val="000000"/>
          <w:lang w:eastAsia="zh-CN"/>
        </w:rPr>
      </w:pPr>
      <w:bookmarkStart w:id="1037" w:name="_Ref273722005"/>
      <w:r w:rsidRPr="00763640">
        <w:t xml:space="preserve">La entrega de estos bienes se efectuará en los plazos y condiciones establecidas en las Cláusulas </w:t>
      </w:r>
      <w:r w:rsidRPr="00763640">
        <w:fldChar w:fldCharType="begin"/>
      </w:r>
      <w:r w:rsidRPr="00763640">
        <w:instrText xml:space="preserve"> REF _Ref271730443 \r \h  \* MERGEFORMAT </w:instrText>
      </w:r>
      <w:r w:rsidRPr="00763640">
        <w:fldChar w:fldCharType="separate"/>
      </w:r>
      <w:r w:rsidR="0077125D">
        <w:t>5.14</w:t>
      </w:r>
      <w:r w:rsidRPr="00763640">
        <w:fldChar w:fldCharType="end"/>
      </w:r>
      <w:r w:rsidRPr="00763640">
        <w:rPr>
          <w:lang w:val="es-PE"/>
        </w:rPr>
        <w:t>4</w:t>
      </w:r>
      <w:r w:rsidRPr="00763640">
        <w:t xml:space="preserve"> a 5.1</w:t>
      </w:r>
      <w:r w:rsidRPr="00763640">
        <w:rPr>
          <w:lang w:val="es-PE"/>
        </w:rPr>
        <w:t>6</w:t>
      </w:r>
      <w:r w:rsidRPr="00763640">
        <w:t xml:space="preserve"> para el área de terreno correspondiente al Área de la Concesión.</w:t>
      </w:r>
      <w:bookmarkStart w:id="1038" w:name="_1pgrrkc"/>
      <w:bookmarkStart w:id="1039" w:name="_qbtyoq"/>
      <w:bookmarkStart w:id="1040" w:name="_Toc94337600"/>
      <w:bookmarkStart w:id="1041" w:name="_Toc131329919"/>
      <w:bookmarkStart w:id="1042" w:name="_Toc94328764"/>
      <w:bookmarkStart w:id="1043" w:name="_Toc94329020"/>
      <w:bookmarkStart w:id="1044" w:name="_Toc131328764"/>
      <w:bookmarkStart w:id="1045" w:name="_Toc94337831"/>
      <w:bookmarkStart w:id="1046" w:name="_Toc131332927"/>
      <w:bookmarkStart w:id="1047" w:name="_Toc131329332"/>
      <w:bookmarkStart w:id="1048" w:name="_Toc94329266"/>
      <w:bookmarkStart w:id="1049" w:name="_Toc94328504"/>
      <w:bookmarkStart w:id="1050" w:name="_Toc94330144"/>
      <w:bookmarkStart w:id="1051" w:name="_Toc131332006"/>
      <w:bookmarkStart w:id="1052" w:name="_Toc131329100"/>
      <w:bookmarkStart w:id="1053" w:name="_Toc131327948"/>
      <w:bookmarkStart w:id="1054" w:name="_Toc94329512"/>
      <w:bookmarkStart w:id="1055" w:name="_Toc102405286"/>
      <w:bookmarkEnd w:id="1037"/>
      <w:bookmarkEnd w:id="1038"/>
      <w:bookmarkEnd w:id="1039"/>
    </w:p>
    <w:p w14:paraId="4455695F" w14:textId="77777777" w:rsidR="004412F1" w:rsidRPr="00763640" w:rsidRDefault="004412F1">
      <w:pPr>
        <w:jc w:val="both"/>
        <w:rPr>
          <w:rFonts w:eastAsia="SimSun"/>
          <w:color w:val="000000"/>
          <w:lang w:eastAsia="zh-CN"/>
        </w:rPr>
      </w:pPr>
    </w:p>
    <w:p w14:paraId="1BB84312" w14:textId="77777777" w:rsidR="004412F1" w:rsidRPr="00763640" w:rsidRDefault="005A12A3">
      <w:pPr>
        <w:pStyle w:val="Ttulo2"/>
        <w:ind w:left="0"/>
        <w:jc w:val="both"/>
        <w:rPr>
          <w:rFonts w:ascii="Arial" w:hAnsi="Arial"/>
          <w:b/>
          <w:bCs/>
          <w:u w:val="none"/>
        </w:rPr>
      </w:pPr>
      <w:bookmarkStart w:id="1056" w:name="_TOMA_DE_POSESIÓN"/>
      <w:bookmarkStart w:id="1057" w:name="_Toc468837619"/>
      <w:bookmarkStart w:id="1058" w:name="_Toc140089312"/>
      <w:bookmarkEnd w:id="1056"/>
      <w:r w:rsidRPr="00763640">
        <w:rPr>
          <w:rFonts w:ascii="Arial" w:hAnsi="Arial"/>
          <w:b/>
          <w:u w:val="none"/>
        </w:rPr>
        <w:lastRenderedPageBreak/>
        <w:t>TOMA DE POSESIÓN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7"/>
      <w:bookmarkEnd w:id="1058"/>
    </w:p>
    <w:p w14:paraId="06F1D00D" w14:textId="77777777" w:rsidR="004412F1" w:rsidRPr="00763640" w:rsidRDefault="004412F1">
      <w:pPr>
        <w:jc w:val="both"/>
      </w:pPr>
    </w:p>
    <w:p w14:paraId="05C73348" w14:textId="18432AC1" w:rsidR="004412F1" w:rsidRPr="00763640" w:rsidRDefault="005A12A3">
      <w:pPr>
        <w:numPr>
          <w:ilvl w:val="1"/>
          <w:numId w:val="85"/>
        </w:numPr>
        <w:jc w:val="both"/>
        <w:rPr>
          <w:lang w:val="es-ES"/>
        </w:rPr>
      </w:pPr>
      <w:bookmarkStart w:id="1059" w:name="_Ref271728385"/>
      <w:r w:rsidRPr="00763640">
        <w:t xml:space="preserve">La Toma de Posesión del área de terreno comprendida en el Área de la Concesión así como de los bienes entregados, se efectuará en uno o varios actos, dependiendo de lo indicado en la Cláusula </w:t>
      </w:r>
      <w:r w:rsidRPr="00763640">
        <w:fldChar w:fldCharType="begin"/>
      </w:r>
      <w:r w:rsidRPr="00763640">
        <w:instrText xml:space="preserve"> REF _Ref271730443 \r \h </w:instrText>
      </w:r>
      <w:r w:rsidR="00763640">
        <w:instrText xml:space="preserve"> \* MERGEFORMAT </w:instrText>
      </w:r>
      <w:r w:rsidRPr="00763640">
        <w:fldChar w:fldCharType="separate"/>
      </w:r>
      <w:r w:rsidR="0077125D">
        <w:t>5.14</w:t>
      </w:r>
      <w:r w:rsidRPr="00763640">
        <w:fldChar w:fldCharType="end"/>
      </w:r>
      <w:r w:rsidRPr="00763640">
        <w:rPr>
          <w:lang w:val="es-PE"/>
        </w:rPr>
        <w:t xml:space="preserve"> del presente Contrato</w:t>
      </w:r>
      <w:r w:rsidRPr="00763640">
        <w:t>.</w:t>
      </w:r>
      <w:bookmarkEnd w:id="1059"/>
    </w:p>
    <w:p w14:paraId="4606F93E" w14:textId="77777777" w:rsidR="004412F1" w:rsidRPr="00763640" w:rsidRDefault="004412F1">
      <w:pPr>
        <w:pStyle w:val="Textoindependiente"/>
        <w:rPr>
          <w:lang w:val="es-ES"/>
        </w:rPr>
      </w:pPr>
    </w:p>
    <w:p w14:paraId="1494A02F" w14:textId="1FF62B64" w:rsidR="004412F1" w:rsidRPr="00763640" w:rsidRDefault="005A12A3">
      <w:pPr>
        <w:numPr>
          <w:ilvl w:val="1"/>
          <w:numId w:val="85"/>
        </w:numPr>
        <w:jc w:val="both"/>
        <w:rPr>
          <w:lang w:val="es-ES"/>
        </w:rPr>
      </w:pPr>
      <w:r w:rsidRPr="00763640">
        <w:rPr>
          <w:lang w:val="es-ES"/>
        </w:rPr>
        <w:t xml:space="preserve">Durante el acto de Toma de Posesión, el CONCEDENTE y el CONCESIONARIO suscribirán las correspondientes Actas de Entrega Parcial de Bienes, las cuales formarán parte del Acta Integral de Entrega de Bienes. En las respectivas Actas de Entrega Parcial de Bienes se establecerán las condiciones generales de su entrega y la afectación específica al cumplimiento del objeto de la Concesión, especificando de la forma más detallada posible y respecto a cada uno de sus componentes, sus características, ubicación, estado de conservación, anotaciones sobre su funcionamiento o rendimiento y demás aspectos de interés. El contenido de lo establecido en las Actas de Entrega Parcial de </w:t>
      </w:r>
      <w:proofErr w:type="gramStart"/>
      <w:r w:rsidRPr="00763640">
        <w:rPr>
          <w:lang w:val="es-ES"/>
        </w:rPr>
        <w:t>Bienes,</w:t>
      </w:r>
      <w:proofErr w:type="gramEnd"/>
      <w:r w:rsidRPr="00763640">
        <w:rPr>
          <w:lang w:val="es-ES"/>
        </w:rPr>
        <w:t xml:space="preserve"> determinará la responsabilidad del CONCEDENTE y del CONCESIONARIO con relación a los Bienes </w:t>
      </w:r>
      <w:r w:rsidRPr="00763640">
        <w:t xml:space="preserve">de la Concesión </w:t>
      </w:r>
      <w:r w:rsidRPr="00763640">
        <w:rPr>
          <w:lang w:val="es-ES"/>
        </w:rPr>
        <w:t xml:space="preserve">a que se refiere la Cláusula </w:t>
      </w:r>
      <w:r w:rsidRPr="00763640">
        <w:rPr>
          <w:lang w:val="es-ES"/>
        </w:rPr>
        <w:fldChar w:fldCharType="begin"/>
      </w:r>
      <w:r w:rsidRPr="00763640">
        <w:rPr>
          <w:lang w:val="es-ES"/>
        </w:rPr>
        <w:instrText xml:space="preserve"> REF _Ref271822759 \r \h </w:instrText>
      </w:r>
      <w:r w:rsidR="00763640">
        <w:rPr>
          <w:lang w:val="es-ES"/>
        </w:rPr>
        <w:instrText xml:space="preserve"> \* MERGEFORMAT </w:instrText>
      </w:r>
      <w:r w:rsidRPr="00763640">
        <w:rPr>
          <w:lang w:val="es-ES"/>
        </w:rPr>
      </w:r>
      <w:r w:rsidRPr="00763640">
        <w:rPr>
          <w:lang w:val="es-ES"/>
        </w:rPr>
        <w:fldChar w:fldCharType="separate"/>
      </w:r>
      <w:r w:rsidR="0077125D">
        <w:rPr>
          <w:lang w:val="es-ES"/>
        </w:rPr>
        <w:t>5.33</w:t>
      </w:r>
      <w:r w:rsidRPr="00763640">
        <w:rPr>
          <w:lang w:val="es-ES"/>
        </w:rPr>
        <w:fldChar w:fldCharType="end"/>
      </w:r>
      <w:r w:rsidRPr="00763640">
        <w:rPr>
          <w:lang w:val="es-PE"/>
        </w:rPr>
        <w:t>6 y siguientes</w:t>
      </w:r>
      <w:r w:rsidRPr="00763640">
        <w:rPr>
          <w:lang w:val="es-ES"/>
        </w:rPr>
        <w:t xml:space="preserve"> del Contrato, así como las obligaciones de Conservación establecidas en</w:t>
      </w:r>
      <w:r w:rsidRPr="00763640">
        <w:rPr>
          <w:lang w:val="es-PE"/>
        </w:rPr>
        <w:t xml:space="preserve"> el Capítulo VII </w:t>
      </w:r>
      <w:r w:rsidRPr="00763640">
        <w:rPr>
          <w:lang w:val="es-ES"/>
        </w:rPr>
        <w:t>del Contrato.</w:t>
      </w:r>
    </w:p>
    <w:p w14:paraId="24D1EAB1" w14:textId="77777777" w:rsidR="004412F1" w:rsidRPr="00763640" w:rsidRDefault="004412F1">
      <w:pPr>
        <w:pStyle w:val="Textoindependiente"/>
        <w:rPr>
          <w:lang w:val="es-ES"/>
        </w:rPr>
      </w:pPr>
    </w:p>
    <w:p w14:paraId="242543F2" w14:textId="77777777" w:rsidR="004412F1" w:rsidRPr="00763640" w:rsidRDefault="005A12A3">
      <w:pPr>
        <w:numPr>
          <w:ilvl w:val="1"/>
          <w:numId w:val="85"/>
        </w:numPr>
        <w:jc w:val="both"/>
        <w:rPr>
          <w:lang w:val="es-ES"/>
        </w:rPr>
      </w:pPr>
      <w:r w:rsidRPr="00763640">
        <w:rPr>
          <w:lang w:val="es-ES"/>
        </w:rPr>
        <w:t>El Inventario Inicial y las Actas de Entrega Parcial de Bienes formarán parte del Acta Integral de Entrega de Bienes.</w:t>
      </w:r>
    </w:p>
    <w:p w14:paraId="44AC64DE" w14:textId="77777777" w:rsidR="004412F1" w:rsidRPr="00763640" w:rsidRDefault="004412F1">
      <w:pPr>
        <w:pStyle w:val="Textoindependiente"/>
        <w:rPr>
          <w:lang w:val="es-ES"/>
        </w:rPr>
      </w:pPr>
    </w:p>
    <w:p w14:paraId="24A67D34" w14:textId="77777777" w:rsidR="004412F1" w:rsidRPr="00763640" w:rsidRDefault="005A12A3">
      <w:pPr>
        <w:numPr>
          <w:ilvl w:val="1"/>
          <w:numId w:val="85"/>
        </w:numPr>
        <w:jc w:val="both"/>
      </w:pPr>
      <w:bookmarkStart w:id="1060" w:name="_Ref271728410"/>
      <w:r w:rsidRPr="00763640">
        <w:rPr>
          <w:lang w:val="es-ES"/>
        </w:rPr>
        <w:t xml:space="preserve">El Acta Integral de Entrega de </w:t>
      </w:r>
      <w:proofErr w:type="gramStart"/>
      <w:r w:rsidRPr="00763640">
        <w:rPr>
          <w:lang w:val="es-ES"/>
        </w:rPr>
        <w:t>Bienes</w:t>
      </w:r>
      <w:proofErr w:type="gramEnd"/>
      <w:r w:rsidRPr="00763640">
        <w:rPr>
          <w:lang w:val="es-ES"/>
        </w:rPr>
        <w:t xml:space="preserve"> así como las Actas de Entrega Parcial de Bienes se suscribirán en tres (3) originales, uno de los cuales será entregado en su oportunidad al REGULADOR por el CONCEDENTE.</w:t>
      </w:r>
      <w:bookmarkEnd w:id="1060"/>
    </w:p>
    <w:p w14:paraId="221E0497" w14:textId="77777777" w:rsidR="004412F1" w:rsidRPr="00763640" w:rsidRDefault="004412F1">
      <w:pPr>
        <w:jc w:val="both"/>
        <w:rPr>
          <w:rFonts w:eastAsia="SimSun"/>
          <w:color w:val="000000"/>
          <w:lang w:eastAsia="zh-CN"/>
        </w:rPr>
      </w:pPr>
    </w:p>
    <w:p w14:paraId="74A2E061" w14:textId="77777777" w:rsidR="004412F1" w:rsidRPr="00763640" w:rsidRDefault="005A12A3">
      <w:pPr>
        <w:pStyle w:val="Ttulo2"/>
        <w:ind w:left="0"/>
        <w:jc w:val="both"/>
        <w:rPr>
          <w:rFonts w:ascii="Arial" w:eastAsia="Arial" w:hAnsi="Arial" w:cs="Arial"/>
          <w:b/>
          <w:bCs/>
          <w:u w:val="none"/>
        </w:rPr>
      </w:pPr>
      <w:bookmarkStart w:id="1061" w:name="_49gfa85" w:colFirst="0" w:colLast="0"/>
      <w:bookmarkStart w:id="1062" w:name="_Toc94337832"/>
      <w:bookmarkStart w:id="1063" w:name="_Toc94337601"/>
      <w:bookmarkStart w:id="1064" w:name="_Toc94330145"/>
      <w:bookmarkStart w:id="1065" w:name="_Toc94328765"/>
      <w:bookmarkStart w:id="1066" w:name="_Toc94329267"/>
      <w:bookmarkStart w:id="1067" w:name="_Toc94329021"/>
      <w:bookmarkStart w:id="1068" w:name="_Toc94328505"/>
      <w:bookmarkStart w:id="1069" w:name="_Toc94329513"/>
      <w:bookmarkStart w:id="1070" w:name="_Toc468837620"/>
      <w:bookmarkStart w:id="1071" w:name="_Toc139294715"/>
      <w:bookmarkStart w:id="1072" w:name="_Toc140089313"/>
      <w:bookmarkStart w:id="1073" w:name="_Toc131332007"/>
      <w:bookmarkStart w:id="1074" w:name="_Toc131329920"/>
      <w:bookmarkStart w:id="1075" w:name="_Toc131329101"/>
      <w:bookmarkStart w:id="1076" w:name="_Toc131332928"/>
      <w:bookmarkStart w:id="1077" w:name="_Toc102405287"/>
      <w:bookmarkStart w:id="1078" w:name="_Toc131328765"/>
      <w:bookmarkStart w:id="1079" w:name="_Toc131329333"/>
      <w:bookmarkStart w:id="1080" w:name="_Toc131327949"/>
      <w:bookmarkEnd w:id="1061"/>
      <w:r w:rsidRPr="00763640">
        <w:rPr>
          <w:rFonts w:ascii="Arial" w:eastAsia="Arial" w:hAnsi="Arial" w:cs="Arial"/>
          <w:b/>
          <w:bCs/>
          <w:u w:val="none"/>
        </w:rPr>
        <w:t xml:space="preserve">FINES DEL USO DE LOS </w:t>
      </w:r>
      <w:bookmarkEnd w:id="1062"/>
      <w:bookmarkEnd w:id="1063"/>
      <w:bookmarkEnd w:id="1064"/>
      <w:bookmarkEnd w:id="1065"/>
      <w:bookmarkEnd w:id="1066"/>
      <w:bookmarkEnd w:id="1067"/>
      <w:bookmarkEnd w:id="1068"/>
      <w:bookmarkEnd w:id="1069"/>
      <w:r w:rsidRPr="00763640">
        <w:rPr>
          <w:rFonts w:ascii="Arial" w:eastAsia="Arial" w:hAnsi="Arial" w:cs="Arial"/>
          <w:b/>
          <w:bCs/>
          <w:u w:val="none"/>
        </w:rPr>
        <w:t>BIENES DE LA CONCESIÓN</w:t>
      </w:r>
      <w:bookmarkEnd w:id="1070"/>
      <w:bookmarkEnd w:id="1071"/>
      <w:bookmarkEnd w:id="1072"/>
      <w:r w:rsidRPr="00763640">
        <w:rPr>
          <w:rFonts w:ascii="Arial" w:eastAsia="Arial" w:hAnsi="Arial" w:cs="Arial"/>
        </w:rPr>
        <w:t xml:space="preserve"> </w:t>
      </w:r>
      <w:bookmarkEnd w:id="1073"/>
      <w:bookmarkEnd w:id="1074"/>
      <w:bookmarkEnd w:id="1075"/>
      <w:bookmarkEnd w:id="1076"/>
      <w:bookmarkEnd w:id="1077"/>
      <w:bookmarkEnd w:id="1078"/>
      <w:bookmarkEnd w:id="1079"/>
      <w:bookmarkEnd w:id="1080"/>
    </w:p>
    <w:p w14:paraId="2786ED0A" w14:textId="77777777" w:rsidR="004412F1" w:rsidRPr="00763640" w:rsidRDefault="004412F1">
      <w:pPr>
        <w:jc w:val="both"/>
        <w:rPr>
          <w:color w:val="000000"/>
        </w:rPr>
      </w:pPr>
    </w:p>
    <w:p w14:paraId="7E405F96" w14:textId="77777777" w:rsidR="004412F1" w:rsidRPr="00763640" w:rsidRDefault="005A12A3">
      <w:pPr>
        <w:numPr>
          <w:ilvl w:val="1"/>
          <w:numId w:val="85"/>
        </w:numPr>
        <w:jc w:val="both"/>
        <w:rPr>
          <w:lang w:val="es-ES"/>
        </w:rPr>
      </w:pPr>
      <w:r w:rsidRPr="00763640">
        <w:rPr>
          <w:color w:val="000000" w:themeColor="text1"/>
          <w:lang w:val="es-ES"/>
        </w:rPr>
        <w:t xml:space="preserve">Todos los Bienes </w:t>
      </w:r>
      <w:r w:rsidRPr="00763640">
        <w:rPr>
          <w:color w:val="000000" w:themeColor="text1"/>
        </w:rPr>
        <w:t xml:space="preserve">de la Concesión </w:t>
      </w:r>
      <w:r w:rsidRPr="00763640">
        <w:rPr>
          <w:color w:val="000000" w:themeColor="text1"/>
          <w:lang w:val="es-ES"/>
        </w:rPr>
        <w:t xml:space="preserve">que el CONCEDENTE entregue al CONCESIONARIO estarán destinados únicamente a la ejecución de la </w:t>
      </w:r>
      <w:r w:rsidRPr="00763640">
        <w:rPr>
          <w:color w:val="000000" w:themeColor="text1"/>
        </w:rPr>
        <w:t>Intervenciones y a la</w:t>
      </w:r>
      <w:r w:rsidRPr="00763640">
        <w:rPr>
          <w:color w:val="000000" w:themeColor="text1"/>
          <w:lang w:val="es-ES"/>
        </w:rPr>
        <w:t xml:space="preserve"> Conservación de los </w:t>
      </w:r>
      <w:proofErr w:type="gramStart"/>
      <w:r w:rsidRPr="00763640">
        <w:rPr>
          <w:color w:val="000000" w:themeColor="text1"/>
          <w:lang w:val="es-ES"/>
        </w:rPr>
        <w:t>Sub Tramos</w:t>
      </w:r>
      <w:proofErr w:type="gramEnd"/>
      <w:r w:rsidRPr="00763640">
        <w:rPr>
          <w:color w:val="000000" w:themeColor="text1"/>
          <w:lang w:val="es-ES"/>
        </w:rPr>
        <w:t xml:space="preserve"> de la Concesión, comprendiendo la prestación de los Servicios establecidos en este Contrato.</w:t>
      </w:r>
    </w:p>
    <w:p w14:paraId="069FFE39" w14:textId="77777777" w:rsidR="004412F1" w:rsidRPr="00763640" w:rsidRDefault="004412F1">
      <w:pPr>
        <w:jc w:val="both"/>
        <w:rPr>
          <w:rFonts w:ascii="Courier New" w:eastAsia="Courier New" w:hAnsi="Courier New"/>
          <w:b/>
          <w:color w:val="000000"/>
        </w:rPr>
      </w:pPr>
    </w:p>
    <w:p w14:paraId="42E88695" w14:textId="77777777" w:rsidR="004412F1" w:rsidRPr="00763640" w:rsidRDefault="005A12A3">
      <w:pPr>
        <w:pStyle w:val="Ttulo2"/>
        <w:ind w:left="0"/>
        <w:jc w:val="both"/>
        <w:rPr>
          <w:rFonts w:ascii="Arial" w:hAnsi="Arial"/>
          <w:b/>
          <w:u w:val="none"/>
        </w:rPr>
      </w:pPr>
      <w:bookmarkStart w:id="1081" w:name="_OBLIGACIONES_DEL_CONCESIONARIO"/>
      <w:bookmarkStart w:id="1082" w:name="_2olpkfy"/>
      <w:bookmarkStart w:id="1083" w:name="_Toc94328766"/>
      <w:bookmarkStart w:id="1084" w:name="_Toc94329268"/>
      <w:bookmarkStart w:id="1085" w:name="_Toc94329022"/>
      <w:bookmarkStart w:id="1086" w:name="_Toc94337602"/>
      <w:bookmarkStart w:id="1087" w:name="_Toc94328506"/>
      <w:bookmarkStart w:id="1088" w:name="_Toc94337833"/>
      <w:bookmarkStart w:id="1089" w:name="_Toc94330146"/>
      <w:bookmarkStart w:id="1090" w:name="_Toc94329514"/>
      <w:bookmarkStart w:id="1091" w:name="_Toc131329334"/>
      <w:bookmarkStart w:id="1092" w:name="_Toc102405288"/>
      <w:bookmarkStart w:id="1093" w:name="_Toc131329102"/>
      <w:bookmarkStart w:id="1094" w:name="_Toc139294716"/>
      <w:bookmarkStart w:id="1095" w:name="_Toc131328766"/>
      <w:bookmarkStart w:id="1096" w:name="_Toc131327950"/>
      <w:bookmarkStart w:id="1097" w:name="_Toc131332929"/>
      <w:bookmarkStart w:id="1098" w:name="_Toc131329921"/>
      <w:bookmarkStart w:id="1099" w:name="_Toc131332008"/>
      <w:bookmarkStart w:id="1100" w:name="_Toc468837621"/>
      <w:bookmarkStart w:id="1101" w:name="_Toc140089314"/>
      <w:bookmarkEnd w:id="1081"/>
      <w:bookmarkEnd w:id="1082"/>
      <w:r w:rsidRPr="00763640">
        <w:rPr>
          <w:rFonts w:ascii="Arial" w:hAnsi="Arial"/>
          <w:b/>
          <w:u w:val="none"/>
        </w:rPr>
        <w:t xml:space="preserve">OBLIGACIONES DEL CONCESIONARIO RESPECTO DE LOS </w:t>
      </w:r>
      <w:bookmarkEnd w:id="1083"/>
      <w:bookmarkEnd w:id="1084"/>
      <w:bookmarkEnd w:id="1085"/>
      <w:bookmarkEnd w:id="1086"/>
      <w:bookmarkEnd w:id="1087"/>
      <w:bookmarkEnd w:id="1088"/>
      <w:bookmarkEnd w:id="1089"/>
      <w:bookmarkEnd w:id="1090"/>
      <w:r w:rsidRPr="00763640">
        <w:rPr>
          <w:rFonts w:ascii="Arial" w:hAnsi="Arial"/>
          <w:b/>
          <w:u w:val="none"/>
        </w:rPr>
        <w:t xml:space="preserve">BIENES </w:t>
      </w:r>
      <w:r w:rsidRPr="00763640">
        <w:rPr>
          <w:rFonts w:ascii="Arial" w:eastAsia="Arial" w:hAnsi="Arial" w:cs="Arial"/>
          <w:b/>
          <w:bCs/>
          <w:u w:val="none"/>
        </w:rPr>
        <w:t>DE LA CONCESIÓN</w:t>
      </w:r>
      <w:bookmarkEnd w:id="1091"/>
      <w:bookmarkEnd w:id="1092"/>
      <w:bookmarkEnd w:id="1093"/>
      <w:bookmarkEnd w:id="1094"/>
      <w:bookmarkEnd w:id="1095"/>
      <w:bookmarkEnd w:id="1096"/>
      <w:bookmarkEnd w:id="1097"/>
      <w:bookmarkEnd w:id="1098"/>
      <w:bookmarkEnd w:id="1099"/>
      <w:bookmarkEnd w:id="1100"/>
      <w:bookmarkEnd w:id="1101"/>
    </w:p>
    <w:p w14:paraId="6D7FCC9B" w14:textId="77777777" w:rsidR="004412F1" w:rsidRPr="00763640" w:rsidRDefault="004412F1">
      <w:pPr>
        <w:jc w:val="both"/>
        <w:rPr>
          <w:rFonts w:ascii="Courier New" w:eastAsia="Courier New" w:hAnsi="Courier New"/>
          <w:color w:val="000000"/>
        </w:rPr>
      </w:pPr>
    </w:p>
    <w:p w14:paraId="5AD94547" w14:textId="77777777" w:rsidR="004412F1" w:rsidRPr="00763640" w:rsidRDefault="005A12A3">
      <w:pPr>
        <w:numPr>
          <w:ilvl w:val="1"/>
          <w:numId w:val="85"/>
        </w:numPr>
        <w:jc w:val="both"/>
        <w:rPr>
          <w:lang w:val="es-ES"/>
        </w:rPr>
      </w:pPr>
      <w:r w:rsidRPr="00763640">
        <w:t>Desde la Toma de Posesión, e</w:t>
      </w:r>
      <w:r w:rsidRPr="00763640">
        <w:rPr>
          <w:color w:val="000000" w:themeColor="text1"/>
        </w:rPr>
        <w:t>l CONCESIONARIO está obligado a realizar actividades destinadas a preservar, en el plazo fijado para la Concesión, el estado y la naturaleza de los Bienes de la Concesión recibidos del CONCEDENTE,</w:t>
      </w:r>
      <w:r w:rsidRPr="00763640">
        <w:rPr>
          <w:color w:val="000000" w:themeColor="text1"/>
          <w:lang w:val="es-PE"/>
        </w:rPr>
        <w:t xml:space="preserve"> quedando claramente acordado y entendido entre las Partes que tales bienes sufrirán el deterioro proveniente de su uso ordinario</w:t>
      </w:r>
      <w:r w:rsidRPr="00763640">
        <w:rPr>
          <w:color w:val="000000" w:themeColor="text1"/>
        </w:rPr>
        <w:t>.</w:t>
      </w:r>
      <w:r w:rsidRPr="00763640">
        <w:rPr>
          <w:rFonts w:eastAsia="SimSun" w:hint="eastAsia"/>
          <w:color w:val="000000" w:themeColor="text1"/>
        </w:rPr>
        <w:t xml:space="preserve"> </w:t>
      </w:r>
      <w:r w:rsidRPr="00763640">
        <w:rPr>
          <w:color w:val="000000" w:themeColor="text1"/>
        </w:rPr>
        <w:t xml:space="preserve">El CONCESIONARIO está obligado también a realizar actividades de Conservación, atender las Emergencias Viales y, en general, todos aquellos trabajos que procuren mantener la operatividad de los Bienes de la Concesión y eviten un impacto ambiental negativo </w:t>
      </w:r>
      <w:r w:rsidRPr="00763640">
        <w:rPr>
          <w:color w:val="000000" w:themeColor="text1"/>
          <w:lang w:val="es-PE"/>
        </w:rPr>
        <w:t>conforme al alcance definido en el Instrumento de Gestión Ambiental y/o Expediente Técnico respectivo</w:t>
      </w:r>
      <w:r w:rsidRPr="00763640">
        <w:rPr>
          <w:color w:val="000000" w:themeColor="text1"/>
        </w:rPr>
        <w:t>. El CONCESIONARIO</w:t>
      </w:r>
      <w:r w:rsidRPr="00763640">
        <w:rPr>
          <w:color w:val="000000" w:themeColor="text1"/>
          <w:lang w:val="es-ES"/>
        </w:rPr>
        <w:t xml:space="preserve"> está obligado a realizar las mejoras necesarias y útiles que requieran los Bienes </w:t>
      </w:r>
      <w:r w:rsidRPr="00763640">
        <w:rPr>
          <w:color w:val="000000" w:themeColor="text1"/>
        </w:rPr>
        <w:t>de la Concesión</w:t>
      </w:r>
      <w:r w:rsidRPr="00763640">
        <w:rPr>
          <w:color w:val="000000" w:themeColor="text1"/>
          <w:lang w:val="es-ES"/>
        </w:rPr>
        <w:t xml:space="preserve"> de acuerdo </w:t>
      </w:r>
      <w:r w:rsidRPr="00763640">
        <w:rPr>
          <w:color w:val="000000" w:themeColor="text1"/>
        </w:rPr>
        <w:t>con</w:t>
      </w:r>
      <w:r w:rsidRPr="00763640">
        <w:rPr>
          <w:color w:val="000000" w:themeColor="text1"/>
          <w:lang w:val="es-ES"/>
        </w:rPr>
        <w:t xml:space="preserve"> los Niveles de Servicio exigidos. </w:t>
      </w:r>
    </w:p>
    <w:p w14:paraId="5C438F15" w14:textId="77777777" w:rsidR="004412F1" w:rsidRPr="00763640" w:rsidRDefault="004412F1">
      <w:pPr>
        <w:jc w:val="both"/>
      </w:pPr>
    </w:p>
    <w:p w14:paraId="26D4EDC0" w14:textId="77777777" w:rsidR="004412F1" w:rsidRPr="00763640" w:rsidRDefault="005A12A3">
      <w:pPr>
        <w:ind w:left="708"/>
        <w:jc w:val="both"/>
      </w:pPr>
      <w:r w:rsidRPr="00763640">
        <w:t xml:space="preserve">Para tal efecto, se considera impacto ambiental negativo cualquier daño irreversible o un daño que requiera una acción de vigilancia, restauración, rehabilitación, reparación y la eventual compensación de aquellos impactos o </w:t>
      </w:r>
      <w:r w:rsidRPr="00763640">
        <w:lastRenderedPageBreak/>
        <w:t xml:space="preserve">alteraciones ambientales que se producen en uno, varios o en la totalidad de los factores que componen el ambiente, como resultado de la ejecución del proyecto o actividades con características, envergadura o localización con ciertas particularidades en el área de influencia. </w:t>
      </w:r>
    </w:p>
    <w:p w14:paraId="51B19F6A" w14:textId="77777777" w:rsidR="004412F1" w:rsidRPr="00763640" w:rsidRDefault="004412F1">
      <w:pPr>
        <w:jc w:val="both"/>
      </w:pPr>
    </w:p>
    <w:p w14:paraId="263D75FC" w14:textId="77777777" w:rsidR="004412F1" w:rsidRPr="00763640" w:rsidRDefault="005A12A3">
      <w:pPr>
        <w:numPr>
          <w:ilvl w:val="1"/>
          <w:numId w:val="85"/>
        </w:numPr>
        <w:jc w:val="both"/>
        <w:rPr>
          <w:lang w:val="es-PE"/>
        </w:rPr>
      </w:pPr>
      <w:bookmarkStart w:id="1102" w:name="_13qzunr"/>
      <w:bookmarkStart w:id="1103" w:name="_Ref271728091"/>
      <w:bookmarkEnd w:id="1102"/>
      <w:r w:rsidRPr="00763640">
        <w:rPr>
          <w:color w:val="000000" w:themeColor="text1"/>
        </w:rPr>
        <w:t xml:space="preserve">El CONCESIONARIO deberá reponer los Bienes de la Concesión perdidos, así como sustituir </w:t>
      </w:r>
      <w:r w:rsidRPr="00763640">
        <w:rPr>
          <w:color w:val="000000" w:themeColor="text1"/>
          <w:lang w:val="es-PE"/>
        </w:rPr>
        <w:t>aquellos que técnicamente no resulten adecuados para cumplir su objetivo</w:t>
      </w:r>
      <w:r w:rsidRPr="00763640">
        <w:rPr>
          <w:color w:val="000000" w:themeColor="text1"/>
        </w:rPr>
        <w:t>. Mediante </w:t>
      </w:r>
      <w:r w:rsidRPr="00763640">
        <w:rPr>
          <w:color w:val="000000" w:themeColor="text1"/>
          <w:lang w:val="es-PE"/>
        </w:rPr>
        <w:t>la suscripción de un Acta de Reversión de los Bienes, el CONCESIONARIO deberá haber efectuado la devolución al CONCEDENTE de los bienes a sustituir</w:t>
      </w:r>
      <w:r w:rsidRPr="00763640">
        <w:rPr>
          <w:color w:val="000000" w:themeColor="text1"/>
        </w:rPr>
        <w:t>.</w:t>
      </w:r>
      <w:r w:rsidRPr="00763640">
        <w:rPr>
          <w:color w:val="000000" w:themeColor="text1"/>
          <w:lang w:val="es-PE"/>
        </w:rPr>
        <w:t xml:space="preserve"> El CONCESIONARIO </w:t>
      </w:r>
      <w:r w:rsidRPr="00763640">
        <w:rPr>
          <w:color w:val="000000" w:themeColor="text1"/>
        </w:rPr>
        <w:t xml:space="preserve">informará al </w:t>
      </w:r>
      <w:r w:rsidRPr="00763640">
        <w:rPr>
          <w:color w:val="000000" w:themeColor="text1"/>
          <w:lang w:val="es-PE"/>
        </w:rPr>
        <w:t xml:space="preserve">CONCEDENTE </w:t>
      </w:r>
      <w:r w:rsidRPr="00763640">
        <w:rPr>
          <w:color w:val="000000" w:themeColor="text1"/>
        </w:rPr>
        <w:t>sobre los</w:t>
      </w:r>
      <w:r w:rsidRPr="00763640">
        <w:rPr>
          <w:color w:val="000000" w:themeColor="text1"/>
          <w:lang w:val="es-PE"/>
        </w:rPr>
        <w:t xml:space="preserve"> bienes </w:t>
      </w:r>
      <w:r w:rsidRPr="00763640">
        <w:rPr>
          <w:color w:val="000000" w:themeColor="text1"/>
        </w:rPr>
        <w:t xml:space="preserve">que reemplazan a los perdidos o que sustituyen a los devueltos, </w:t>
      </w:r>
      <w:r w:rsidRPr="00763640">
        <w:rPr>
          <w:color w:val="000000" w:themeColor="text1"/>
          <w:lang w:val="es-PE"/>
        </w:rPr>
        <w:t xml:space="preserve">mediante comunicación escrita, </w:t>
      </w:r>
      <w:r w:rsidRPr="00763640">
        <w:rPr>
          <w:color w:val="000000" w:themeColor="text1"/>
        </w:rPr>
        <w:t xml:space="preserve">con copia al REGULADOR, </w:t>
      </w:r>
      <w:r w:rsidRPr="00763640">
        <w:rPr>
          <w:color w:val="000000" w:themeColor="text1"/>
          <w:lang w:val="es-PE"/>
        </w:rPr>
        <w:t>en un plazo que no deberá exceder los noventa (90) Días Calendario de producida reposición o sustitución</w:t>
      </w:r>
      <w:r w:rsidRPr="00763640">
        <w:rPr>
          <w:color w:val="000000" w:themeColor="text1"/>
        </w:rPr>
        <w:t xml:space="preserve"> correspondiente. </w:t>
      </w:r>
      <w:r w:rsidRPr="00763640">
        <w:rPr>
          <w:color w:val="000000" w:themeColor="text1"/>
          <w:lang w:val="es-PE"/>
        </w:rPr>
        <w:t xml:space="preserve"> El </w:t>
      </w:r>
      <w:bookmarkEnd w:id="1103"/>
      <w:r w:rsidRPr="00763640">
        <w:rPr>
          <w:color w:val="000000" w:themeColor="text1"/>
        </w:rPr>
        <w:t>plazo para la reposición será fijado por acuerdo entre las Partes.</w:t>
      </w:r>
      <w:r w:rsidRPr="00763640">
        <w:rPr>
          <w:color w:val="000000" w:themeColor="text1"/>
          <w:lang w:val="es-PE"/>
        </w:rPr>
        <w:t xml:space="preserve"> El atraso en la reposición de </w:t>
      </w:r>
      <w:r w:rsidRPr="00763640">
        <w:rPr>
          <w:color w:val="000000" w:themeColor="text1"/>
        </w:rPr>
        <w:t>los Bienes de la Concesión</w:t>
      </w:r>
      <w:r w:rsidRPr="00763640">
        <w:rPr>
          <w:color w:val="000000" w:themeColor="text1"/>
          <w:lang w:val="es-PE"/>
        </w:rPr>
        <w:t xml:space="preserve"> será penalizado de acuerdo </w:t>
      </w:r>
      <w:r w:rsidRPr="00763640">
        <w:rPr>
          <w:color w:val="000000" w:themeColor="text1"/>
        </w:rPr>
        <w:t>con</w:t>
      </w:r>
      <w:r w:rsidRPr="00763640">
        <w:rPr>
          <w:color w:val="000000" w:themeColor="text1"/>
          <w:lang w:val="es-PE"/>
        </w:rPr>
        <w:t xml:space="preserve"> la Tabla N° 2 del ANEXO IX.</w:t>
      </w:r>
      <w:r w:rsidRPr="00763640">
        <w:rPr>
          <w:color w:val="000000" w:themeColor="text1"/>
        </w:rPr>
        <w:t xml:space="preserve"> </w:t>
      </w:r>
    </w:p>
    <w:p w14:paraId="1EE3FB2C" w14:textId="77777777" w:rsidR="004412F1" w:rsidRPr="00763640" w:rsidRDefault="004412F1">
      <w:pPr>
        <w:ind w:left="720"/>
        <w:jc w:val="both"/>
        <w:rPr>
          <w:color w:val="000000"/>
        </w:rPr>
      </w:pPr>
    </w:p>
    <w:p w14:paraId="2B278A6C" w14:textId="77777777" w:rsidR="004412F1" w:rsidRPr="00763640" w:rsidRDefault="005A12A3">
      <w:pPr>
        <w:numPr>
          <w:ilvl w:val="1"/>
          <w:numId w:val="85"/>
        </w:numPr>
        <w:jc w:val="both"/>
      </w:pPr>
      <w:bookmarkStart w:id="1104" w:name="_3nqndbk"/>
      <w:bookmarkStart w:id="1105" w:name="_Ref272155596"/>
      <w:bookmarkEnd w:id="1104"/>
      <w:r w:rsidRPr="00763640">
        <w:rPr>
          <w:color w:val="000000" w:themeColor="text1"/>
        </w:rPr>
        <w:t>Los Bienes de la Concesión que el CONCESIONARIO incorpore o construya durante la Concesión, en tanto adquieran la calificación de Bienes de la Concesión, no podrán ser transferidos separadamente de la Concesión, hipotecados, sujetos a garantía mobiliaria o sometidos a gravámenes de ningún tipo, durante el plazo de vigencia de la Concesión, sin la autorización del CONCEDENTE, previa opinión del REGULADOR.</w:t>
      </w:r>
      <w:bookmarkEnd w:id="1105"/>
    </w:p>
    <w:p w14:paraId="26F616FF" w14:textId="77777777" w:rsidR="004412F1" w:rsidRPr="00763640" w:rsidRDefault="004412F1">
      <w:pPr>
        <w:jc w:val="both"/>
        <w:rPr>
          <w:color w:val="000000"/>
          <w:lang w:val="es-ES"/>
        </w:rPr>
      </w:pPr>
    </w:p>
    <w:p w14:paraId="49DCEC3C" w14:textId="77777777" w:rsidR="004412F1" w:rsidRPr="00763640" w:rsidRDefault="005A12A3">
      <w:pPr>
        <w:numPr>
          <w:ilvl w:val="1"/>
          <w:numId w:val="85"/>
        </w:numPr>
        <w:jc w:val="both"/>
        <w:rPr>
          <w:lang w:val="es-ES"/>
        </w:rPr>
      </w:pPr>
      <w:r w:rsidRPr="00763640">
        <w:rPr>
          <w:color w:val="000000" w:themeColor="text1"/>
          <w:lang w:val="es-ES"/>
        </w:rPr>
        <w:t xml:space="preserve">Todos los Bienes </w:t>
      </w:r>
      <w:r w:rsidRPr="00763640">
        <w:rPr>
          <w:color w:val="000000" w:themeColor="text1"/>
        </w:rPr>
        <w:t>de la Concesión</w:t>
      </w:r>
      <w:r w:rsidRPr="00763640">
        <w:rPr>
          <w:color w:val="000000" w:themeColor="text1"/>
          <w:lang w:val="es-ES"/>
        </w:rPr>
        <w:t xml:space="preserve"> que no hubieran sido devueltos al CONCEDENTE con anterioridad a la Caducidad de la Concesión, formarán parte del Inventario Final y serán revertidos al CONCEDENTE.</w:t>
      </w:r>
    </w:p>
    <w:p w14:paraId="3B5F8B18" w14:textId="77777777" w:rsidR="004412F1" w:rsidRPr="00763640" w:rsidRDefault="004412F1">
      <w:pPr>
        <w:jc w:val="both"/>
        <w:rPr>
          <w:color w:val="000000"/>
          <w:lang w:val="es-ES"/>
        </w:rPr>
      </w:pPr>
    </w:p>
    <w:p w14:paraId="5B67F4A1" w14:textId="77777777" w:rsidR="004412F1" w:rsidRPr="00763640" w:rsidRDefault="005A12A3">
      <w:pPr>
        <w:numPr>
          <w:ilvl w:val="1"/>
          <w:numId w:val="85"/>
        </w:numPr>
        <w:jc w:val="both"/>
      </w:pPr>
      <w:r w:rsidRPr="00763640">
        <w:t>Tanto la reversión como la devolución de bienes que por cualquier causa realice el CONCESIONARIO al CONCEDENTE estará inafecta de todo tributo, creado o por crearse, según lo previsto por el Artículo 22 del Texto Único Ordenado de las normas con rango de Ley que regulan la entrega en concesión al sector privado de las obras públicas de infraestructura y de servicios públicos, aprobado por Decreto Supremo N° 059-96-PCM y su modificatoria, la Ley Nº 27156.</w:t>
      </w:r>
    </w:p>
    <w:p w14:paraId="3E20A752" w14:textId="77777777" w:rsidR="004412F1" w:rsidRPr="00763640" w:rsidRDefault="004412F1">
      <w:pPr>
        <w:jc w:val="both"/>
      </w:pPr>
    </w:p>
    <w:p w14:paraId="05BFBEAC" w14:textId="77777777" w:rsidR="004412F1" w:rsidRPr="00763640" w:rsidRDefault="005A12A3">
      <w:pPr>
        <w:numPr>
          <w:ilvl w:val="1"/>
          <w:numId w:val="85"/>
        </w:numPr>
        <w:jc w:val="both"/>
      </w:pPr>
      <w:r w:rsidRPr="00763640">
        <w:t>El CONCESIONARIO será responsable por los daños, perjuicios o pérdidas ocasionados a los Bienes de la Concesión que reciba desde la Toma de Posesión, hasta la Caducidad de la Concesión.</w:t>
      </w:r>
    </w:p>
    <w:p w14:paraId="280283B5" w14:textId="77777777" w:rsidR="004412F1" w:rsidRPr="00763640" w:rsidRDefault="004412F1">
      <w:pPr>
        <w:jc w:val="both"/>
      </w:pPr>
    </w:p>
    <w:p w14:paraId="03838B94" w14:textId="77777777" w:rsidR="004412F1" w:rsidRPr="00763640" w:rsidRDefault="005A12A3">
      <w:pPr>
        <w:numPr>
          <w:ilvl w:val="1"/>
          <w:numId w:val="85"/>
        </w:numPr>
        <w:jc w:val="both"/>
      </w:pPr>
      <w:bookmarkStart w:id="1106" w:name="_22vxnjd"/>
      <w:bookmarkStart w:id="1107" w:name="_Ref271822759"/>
      <w:bookmarkEnd w:id="1106"/>
      <w:r w:rsidRPr="00763640">
        <w:t>El CONCESIONARIO mantendrá indemne al CONCEDENTE respecto de y contra cualquier acción o excepción de naturaleza legal, administrativa, arbitral o contractual, o reclamo de cualquier naturaleza respecto de los Bienes de la Concesión, siempre y cuando esta situación se hubiera presentado a partir de la Toma de Posesión y hasta la reversión de los mismos por parte del CONCESIONARIO al CONCEDENTE; y que se origine en alguna causa no imputable al CONCEDENTE.</w:t>
      </w:r>
      <w:bookmarkEnd w:id="1107"/>
    </w:p>
    <w:p w14:paraId="688E518E" w14:textId="77777777" w:rsidR="004412F1" w:rsidRPr="00763640" w:rsidRDefault="004412F1">
      <w:pPr>
        <w:jc w:val="both"/>
      </w:pPr>
    </w:p>
    <w:p w14:paraId="36DB958B" w14:textId="77777777" w:rsidR="004412F1" w:rsidRPr="00763640" w:rsidRDefault="005A12A3">
      <w:pPr>
        <w:ind w:left="705"/>
        <w:jc w:val="both"/>
      </w:pPr>
      <w:r w:rsidRPr="00763640">
        <w:t xml:space="preserve">Por su parte el CONCEDENTE asumirá la responsabilidad por los daños y perjuicios que afecten al CONCESIONARIO como consecuencia de; (i) cualquier situación o hecho anterior a la Toma de Posesión, incluyendo la responsabilidad por los pasivos ambientales y laborales pre existentes, (ii) cualquier situación o hecho que habiéndose presentado después de la Toma de Posesión, se origine por causas surgidas con anterioridad a la misma y, (iii) cualquier situación o hecho imputable al CONCEDENTE. El CONCEDENTE mantendrá indemne al </w:t>
      </w:r>
      <w:r w:rsidRPr="00763640">
        <w:lastRenderedPageBreak/>
        <w:t xml:space="preserve">CONCESIONARIO respecto de cualquier reclamo o acción de terceros que se derive de tales hechos </w:t>
      </w:r>
    </w:p>
    <w:p w14:paraId="2104D0FC" w14:textId="77777777" w:rsidR="004412F1" w:rsidRPr="00763640" w:rsidRDefault="004412F1">
      <w:pPr>
        <w:jc w:val="both"/>
      </w:pPr>
    </w:p>
    <w:p w14:paraId="50D22511" w14:textId="77777777" w:rsidR="004412F1" w:rsidRPr="00763640" w:rsidRDefault="005A12A3">
      <w:pPr>
        <w:numPr>
          <w:ilvl w:val="1"/>
          <w:numId w:val="85"/>
        </w:numPr>
        <w:jc w:val="both"/>
        <w:rPr>
          <w:lang w:val="es-ES"/>
        </w:rPr>
      </w:pPr>
      <w:r w:rsidRPr="00763640">
        <w:rPr>
          <w:color w:val="000000" w:themeColor="text1"/>
        </w:rPr>
        <w:t xml:space="preserve">El CONCESIONARIO </w:t>
      </w:r>
      <w:r w:rsidRPr="00763640">
        <w:rPr>
          <w:color w:val="000000" w:themeColor="text1"/>
          <w:lang w:val="es-ES"/>
        </w:rPr>
        <w:t xml:space="preserve">será responsable ante el CONCEDENTE por la correcta administración y uso de los Bienes </w:t>
      </w:r>
      <w:r w:rsidRPr="00763640">
        <w:rPr>
          <w:color w:val="000000" w:themeColor="text1"/>
        </w:rPr>
        <w:t>de la Concesión</w:t>
      </w:r>
      <w:r w:rsidRPr="00763640">
        <w:rPr>
          <w:color w:val="000000" w:themeColor="text1"/>
          <w:lang w:val="es-ES"/>
        </w:rPr>
        <w:t>, así como por el riesgo de pérdida, destrucción y desfase tecnológico inherente a los mismos.</w:t>
      </w:r>
      <w:r w:rsidRPr="00763640">
        <w:rPr>
          <w:color w:val="000000" w:themeColor="text1"/>
        </w:rPr>
        <w:t xml:space="preserve"> </w:t>
      </w:r>
    </w:p>
    <w:p w14:paraId="28E4EEFE" w14:textId="77777777" w:rsidR="004412F1" w:rsidRPr="00763640" w:rsidRDefault="004412F1">
      <w:pPr>
        <w:jc w:val="both"/>
      </w:pPr>
    </w:p>
    <w:p w14:paraId="71B15CBD" w14:textId="77777777" w:rsidR="004412F1" w:rsidRPr="00763640" w:rsidRDefault="005A12A3">
      <w:pPr>
        <w:numPr>
          <w:ilvl w:val="1"/>
          <w:numId w:val="85"/>
        </w:numPr>
        <w:jc w:val="both"/>
      </w:pPr>
      <w:bookmarkStart w:id="1108" w:name="_i17xr6"/>
      <w:bookmarkStart w:id="1109" w:name="_Ref352604279"/>
      <w:bookmarkEnd w:id="1108"/>
      <w:r w:rsidRPr="00763640">
        <w:t xml:space="preserve">El CONCESIONARIO, con el objetivo de mitigar los riesgos del Contrato se obliga a contratar pólizas de seguro en los términos que fija el </w:t>
      </w:r>
      <w:hyperlink w:anchor="_uzqle7">
        <w:r w:rsidRPr="00763640">
          <w:rPr>
            <w:color w:val="000000" w:themeColor="text1"/>
          </w:rPr>
          <w:t>Capítulo XII</w:t>
        </w:r>
      </w:hyperlink>
      <w:r w:rsidRPr="00763640">
        <w:t xml:space="preserve"> del presente Contrato.</w:t>
      </w:r>
      <w:bookmarkEnd w:id="1109"/>
      <w:r w:rsidRPr="00763640">
        <w:t xml:space="preserve"> </w:t>
      </w:r>
    </w:p>
    <w:p w14:paraId="3C3FB007" w14:textId="77777777" w:rsidR="004412F1" w:rsidRPr="00763640" w:rsidRDefault="004412F1">
      <w:pPr>
        <w:jc w:val="both"/>
      </w:pPr>
    </w:p>
    <w:p w14:paraId="7250CFA3" w14:textId="77777777" w:rsidR="004412F1" w:rsidRPr="00763640" w:rsidRDefault="005A12A3">
      <w:pPr>
        <w:numPr>
          <w:ilvl w:val="1"/>
          <w:numId w:val="85"/>
        </w:numPr>
        <w:jc w:val="both"/>
      </w:pPr>
      <w:bookmarkStart w:id="1110" w:name="_320vgez"/>
      <w:bookmarkStart w:id="1111" w:name="_Ref273550292"/>
      <w:bookmarkEnd w:id="1110"/>
      <w:r w:rsidRPr="00763640">
        <w:t>El CONCESIONARIO será responsable y estará obligado a pagar los impuestos, tasas y contribuciones que se apliquen a los Bienes de la Concesión, de acuerdo con las Leyes y Disposiciones Aplicables.</w:t>
      </w:r>
      <w:bookmarkEnd w:id="1111"/>
      <w:r w:rsidRPr="00763640">
        <w:t xml:space="preserve"> </w:t>
      </w:r>
    </w:p>
    <w:p w14:paraId="213A8AEA" w14:textId="77777777" w:rsidR="004412F1" w:rsidRPr="00763640" w:rsidRDefault="004412F1">
      <w:pPr>
        <w:jc w:val="both"/>
        <w:rPr>
          <w:b/>
          <w:color w:val="000000"/>
        </w:rPr>
      </w:pPr>
      <w:bookmarkStart w:id="1112" w:name="_1h65qms" w:colFirst="0" w:colLast="0"/>
      <w:bookmarkStart w:id="1113" w:name="_Toc94337603"/>
      <w:bookmarkStart w:id="1114" w:name="_Toc94330147"/>
      <w:bookmarkStart w:id="1115" w:name="_Toc94328767"/>
      <w:bookmarkStart w:id="1116" w:name="_Toc94337834"/>
      <w:bookmarkStart w:id="1117" w:name="_Toc94329269"/>
      <w:bookmarkStart w:id="1118" w:name="_Toc94329023"/>
      <w:bookmarkStart w:id="1119" w:name="_Toc94329515"/>
      <w:bookmarkStart w:id="1120" w:name="_Toc94328507"/>
      <w:bookmarkStart w:id="1121" w:name="_Toc131332930"/>
      <w:bookmarkStart w:id="1122" w:name="_Toc131329103"/>
      <w:bookmarkStart w:id="1123" w:name="_Toc131329922"/>
      <w:bookmarkStart w:id="1124" w:name="_Toc102405289"/>
      <w:bookmarkStart w:id="1125" w:name="_Toc131332009"/>
      <w:bookmarkStart w:id="1126" w:name="_Toc131329335"/>
      <w:bookmarkStart w:id="1127" w:name="_Toc131328767"/>
      <w:bookmarkStart w:id="1128" w:name="_Toc131327951"/>
      <w:bookmarkEnd w:id="1112"/>
    </w:p>
    <w:p w14:paraId="5DEFFFA8" w14:textId="77777777" w:rsidR="004412F1" w:rsidRPr="00763640" w:rsidRDefault="005A12A3">
      <w:pPr>
        <w:pStyle w:val="Ttulo2"/>
        <w:ind w:left="0"/>
        <w:rPr>
          <w:rFonts w:ascii="Arial" w:eastAsia="Arial" w:hAnsi="Arial" w:cs="Arial"/>
          <w:b/>
          <w:bCs/>
          <w:u w:val="none"/>
        </w:rPr>
      </w:pPr>
      <w:bookmarkStart w:id="1129" w:name="_415t9al"/>
      <w:bookmarkStart w:id="1130" w:name="_DEVOLUCIÓN_DE_LOS"/>
      <w:bookmarkStart w:id="1131" w:name="_Toc468837622"/>
      <w:bookmarkStart w:id="1132" w:name="_Toc139294717"/>
      <w:bookmarkStart w:id="1133" w:name="_Toc140089315"/>
      <w:bookmarkEnd w:id="1129"/>
      <w:bookmarkEnd w:id="1130"/>
      <w:r w:rsidRPr="00763640">
        <w:rPr>
          <w:rFonts w:ascii="Arial" w:eastAsia="Arial" w:hAnsi="Arial" w:cs="Arial"/>
          <w:b/>
          <w:bCs/>
          <w:u w:val="none"/>
        </w:rPr>
        <w:t xml:space="preserve">DEVOLUCIÓN DE LOS </w:t>
      </w:r>
      <w:bookmarkEnd w:id="1113"/>
      <w:bookmarkEnd w:id="1114"/>
      <w:bookmarkEnd w:id="1115"/>
      <w:bookmarkEnd w:id="1116"/>
      <w:bookmarkEnd w:id="1117"/>
      <w:bookmarkEnd w:id="1118"/>
      <w:bookmarkEnd w:id="1119"/>
      <w:bookmarkEnd w:id="1120"/>
      <w:r w:rsidRPr="00763640">
        <w:rPr>
          <w:rFonts w:ascii="Arial" w:eastAsia="Arial" w:hAnsi="Arial" w:cs="Arial"/>
          <w:b/>
          <w:bCs/>
          <w:u w:val="none"/>
        </w:rPr>
        <w:t>BIENES DE LA CONCESIÓN</w:t>
      </w:r>
      <w:bookmarkEnd w:id="1131"/>
      <w:bookmarkEnd w:id="1132"/>
      <w:bookmarkEnd w:id="1133"/>
      <w:r w:rsidRPr="00763640">
        <w:rPr>
          <w:rFonts w:ascii="Arial" w:eastAsia="Arial" w:hAnsi="Arial" w:cs="Arial"/>
          <w:b/>
          <w:bCs/>
          <w:u w:val="none"/>
        </w:rPr>
        <w:t xml:space="preserve"> </w:t>
      </w:r>
      <w:bookmarkEnd w:id="1121"/>
      <w:bookmarkEnd w:id="1122"/>
      <w:bookmarkEnd w:id="1123"/>
      <w:bookmarkEnd w:id="1124"/>
      <w:bookmarkEnd w:id="1125"/>
      <w:bookmarkEnd w:id="1126"/>
      <w:bookmarkEnd w:id="1127"/>
      <w:bookmarkEnd w:id="1128"/>
    </w:p>
    <w:p w14:paraId="5B2FC944" w14:textId="77777777" w:rsidR="004412F1" w:rsidRPr="00763640" w:rsidRDefault="004412F1">
      <w:pPr>
        <w:jc w:val="both"/>
        <w:rPr>
          <w:color w:val="000000"/>
        </w:rPr>
      </w:pPr>
    </w:p>
    <w:p w14:paraId="53490B7F" w14:textId="77777777" w:rsidR="004412F1" w:rsidRPr="00763640" w:rsidRDefault="005A12A3">
      <w:pPr>
        <w:numPr>
          <w:ilvl w:val="1"/>
          <w:numId w:val="85"/>
        </w:numPr>
        <w:jc w:val="both"/>
      </w:pPr>
      <w:r w:rsidRPr="00763640">
        <w:rPr>
          <w:color w:val="000000" w:themeColor="text1"/>
        </w:rPr>
        <w:t xml:space="preserve">Producida la Caducidad de la Concesión por cualquier causa, el CONCESIONARIO tiene la obligación de devolver al CONCEDENTE dentro de los treinta (30) Días Calendario siguientes, en un único acto, o mediante entregas parciales, todas aquellas áreas de terreno comprendidas dentro del Área de la Concesión que le fueron entregadas por el CONCEDENTE en la Toma de Posesión o por constitución de servidumbres u otros actos posteriores, en buen estado de conservación </w:t>
      </w:r>
      <w:r w:rsidRPr="00763640">
        <w:rPr>
          <w:color w:val="000000" w:themeColor="text1"/>
          <w:lang w:val="es-PE"/>
        </w:rPr>
        <w:t>(salvo por el deterioro proveniente de su uso ordinario)</w:t>
      </w:r>
      <w:r w:rsidRPr="00763640">
        <w:rPr>
          <w:color w:val="000000" w:themeColor="text1"/>
        </w:rPr>
        <w:t>, libres de ocupantes y en condiciones de uso y explotación según los parámetros técnicos del ANEXO I y las indicaciones que haya efectuado el REGULADOR.</w:t>
      </w:r>
    </w:p>
    <w:p w14:paraId="344AE027" w14:textId="77777777" w:rsidR="004412F1" w:rsidRPr="00763640" w:rsidRDefault="004412F1">
      <w:pPr>
        <w:ind w:left="705"/>
        <w:jc w:val="both"/>
        <w:rPr>
          <w:color w:val="000000"/>
          <w:lang w:val="es-PE"/>
        </w:rPr>
      </w:pPr>
    </w:p>
    <w:p w14:paraId="378609EA" w14:textId="77777777" w:rsidR="004412F1" w:rsidRPr="00763640" w:rsidRDefault="005A12A3">
      <w:pPr>
        <w:ind w:left="705"/>
        <w:jc w:val="both"/>
        <w:rPr>
          <w:color w:val="000000"/>
          <w:lang w:val="es-PE"/>
        </w:rPr>
      </w:pPr>
      <w:r w:rsidRPr="00763640">
        <w:rPr>
          <w:color w:val="000000"/>
          <w:lang w:val="es-PE"/>
        </w:rPr>
        <w:t xml:space="preserve">La obligación contenida en la presente Cláusula no </w:t>
      </w:r>
      <w:proofErr w:type="gramStart"/>
      <w:r w:rsidRPr="00763640">
        <w:rPr>
          <w:color w:val="000000"/>
          <w:lang w:val="es-PE"/>
        </w:rPr>
        <w:t>será de aplicación</w:t>
      </w:r>
      <w:proofErr w:type="gramEnd"/>
      <w:r w:rsidRPr="00763640">
        <w:rPr>
          <w:color w:val="000000"/>
          <w:lang w:val="es-PE"/>
        </w:rPr>
        <w:t xml:space="preserve"> en los casos en que los bienes o áreas de terreno no hayan sido entregados en las condiciones previstas en el presente Contrato o que hayan sido ocupadas por terceros por razones no imputables al CONCESIONARIO. </w:t>
      </w:r>
    </w:p>
    <w:p w14:paraId="2C37365E" w14:textId="77777777" w:rsidR="004412F1" w:rsidRPr="00763640" w:rsidRDefault="004412F1">
      <w:pPr>
        <w:jc w:val="both"/>
        <w:rPr>
          <w:color w:val="000000"/>
          <w:lang w:val="es-PE"/>
        </w:rPr>
      </w:pPr>
    </w:p>
    <w:p w14:paraId="5D2D7E40" w14:textId="77777777" w:rsidR="004412F1" w:rsidRPr="00763640" w:rsidRDefault="005A12A3">
      <w:pPr>
        <w:numPr>
          <w:ilvl w:val="1"/>
          <w:numId w:val="85"/>
        </w:numPr>
        <w:jc w:val="both"/>
      </w:pPr>
      <w:r w:rsidRPr="00763640">
        <w:rPr>
          <w:color w:val="000000" w:themeColor="text1"/>
          <w:lang w:val="es-ES"/>
        </w:rPr>
        <w:t xml:space="preserve">De la misma forma, producida la Caducidad de la Concesión por cualquier causa, </w:t>
      </w:r>
      <w:r w:rsidRPr="00763640">
        <w:rPr>
          <w:color w:val="000000" w:themeColor="text1"/>
        </w:rPr>
        <w:t xml:space="preserve">el CONCESIONARIO </w:t>
      </w:r>
      <w:r w:rsidRPr="00763640">
        <w:rPr>
          <w:color w:val="000000" w:themeColor="text1"/>
          <w:lang w:val="es-ES"/>
        </w:rPr>
        <w:t>tiene la obligación de devolver al CONCEDENTE</w:t>
      </w:r>
      <w:r w:rsidRPr="00763640">
        <w:rPr>
          <w:color w:val="000000" w:themeColor="text1"/>
        </w:rPr>
        <w:t xml:space="preserve"> dentro de los treinta (30) Días Calendario siguientes, en un único acto, o mediante entregas parciales, </w:t>
      </w:r>
      <w:r w:rsidRPr="00763640">
        <w:rPr>
          <w:color w:val="000000" w:themeColor="text1"/>
          <w:lang w:val="es-ES"/>
        </w:rPr>
        <w:t xml:space="preserve">los Bienes </w:t>
      </w:r>
      <w:r w:rsidRPr="00763640">
        <w:rPr>
          <w:color w:val="000000" w:themeColor="text1"/>
        </w:rPr>
        <w:t>de la Concesión</w:t>
      </w:r>
      <w:r w:rsidRPr="00763640">
        <w:rPr>
          <w:color w:val="000000" w:themeColor="text1"/>
          <w:lang w:val="es-ES"/>
        </w:rPr>
        <w:t xml:space="preserve">. Los bienes se devolverán </w:t>
      </w:r>
      <w:r w:rsidRPr="00763640">
        <w:rPr>
          <w:color w:val="000000" w:themeColor="text1"/>
        </w:rPr>
        <w:t xml:space="preserve">en buen estado de conservación, </w:t>
      </w:r>
      <w:r w:rsidRPr="00763640">
        <w:rPr>
          <w:color w:val="000000" w:themeColor="text1"/>
          <w:lang w:val="es-PE"/>
        </w:rPr>
        <w:t>salvo el deterioro proveniente de su uso ordinario</w:t>
      </w:r>
      <w:r w:rsidRPr="00763640">
        <w:rPr>
          <w:color w:val="000000" w:themeColor="text1"/>
        </w:rPr>
        <w:t>, libres de ocupantes y en caso de que conforme a los términos del presente Contrato se encuentre obligado, en condiciones de uso y Explotación según los parámetros establecidos en el presente Contrato, las provisiones contenidas en el ANEXO I y las indicaciones que haya efectuado el REGULADOR.</w:t>
      </w:r>
    </w:p>
    <w:p w14:paraId="35514FBE" w14:textId="77777777" w:rsidR="004412F1" w:rsidRPr="00763640" w:rsidRDefault="004412F1">
      <w:pPr>
        <w:pStyle w:val="Prrafodelista"/>
        <w:ind w:left="705"/>
        <w:rPr>
          <w:lang w:val="es-ES"/>
        </w:rPr>
      </w:pPr>
    </w:p>
    <w:p w14:paraId="0B6CF47C" w14:textId="5E238E28" w:rsidR="004412F1" w:rsidRPr="00763640" w:rsidRDefault="005A12A3">
      <w:pPr>
        <w:pStyle w:val="Textoindependiente"/>
        <w:numPr>
          <w:ilvl w:val="1"/>
          <w:numId w:val="85"/>
        </w:numPr>
        <w:rPr>
          <w:lang w:val="es-ES"/>
        </w:rPr>
      </w:pPr>
      <w:r w:rsidRPr="00763640">
        <w:rPr>
          <w:lang w:val="es-ES"/>
        </w:rPr>
        <w:t xml:space="preserve">En caso se produzca alguna de las situaciones indicadas en </w:t>
      </w:r>
      <w:r w:rsidRPr="00763640">
        <w:rPr>
          <w:lang w:val="es-PE"/>
        </w:rPr>
        <w:t xml:space="preserve">la Definición contenida en </w:t>
      </w:r>
      <w:r w:rsidRPr="00763640">
        <w:rPr>
          <w:lang w:val="es-ES"/>
        </w:rPr>
        <w:t xml:space="preserve">el </w:t>
      </w:r>
      <w:r w:rsidR="00505AE0">
        <w:rPr>
          <w:lang w:val="es-ES"/>
        </w:rPr>
        <w:t>Numeral 1.2.2</w:t>
      </w:r>
      <w:r w:rsidRPr="00763640">
        <w:rPr>
          <w:lang w:val="es-PE"/>
        </w:rPr>
        <w:t>,</w:t>
      </w:r>
      <w:r w:rsidRPr="00763640">
        <w:rPr>
          <w:lang w:val="es-ES"/>
        </w:rPr>
        <w:t xml:space="preserve"> b) o c), el CONCESIONARIO pondrá a disposición del CONCEDENTE dicho bien mediante una comunicación escrita, con copia al REGULADOR.  </w:t>
      </w:r>
    </w:p>
    <w:p w14:paraId="6DEBDEF5" w14:textId="77777777" w:rsidR="004412F1" w:rsidRPr="00763640" w:rsidRDefault="004412F1">
      <w:pPr>
        <w:jc w:val="both"/>
        <w:rPr>
          <w:color w:val="000000"/>
          <w:lang w:val="es-ES"/>
        </w:rPr>
      </w:pPr>
    </w:p>
    <w:p w14:paraId="0CD559C3" w14:textId="12194276" w:rsidR="004412F1" w:rsidRPr="00763640" w:rsidRDefault="005A12A3">
      <w:pPr>
        <w:numPr>
          <w:ilvl w:val="1"/>
          <w:numId w:val="85"/>
        </w:numPr>
        <w:jc w:val="both"/>
      </w:pPr>
      <w:bookmarkStart w:id="1134" w:name="_2gb3jie"/>
      <w:bookmarkStart w:id="1135" w:name="_Ref271822825"/>
      <w:bookmarkEnd w:id="1134"/>
      <w:r w:rsidRPr="00763640">
        <w:rPr>
          <w:color w:val="000000" w:themeColor="text1"/>
        </w:rPr>
        <w:t xml:space="preserve">Durante el acto de devolución, por cualquiera de las situaciones previstas </w:t>
      </w:r>
      <w:r w:rsidRPr="00763640">
        <w:rPr>
          <w:lang w:val="es-ES"/>
        </w:rPr>
        <w:t xml:space="preserve">en </w:t>
      </w:r>
      <w:r w:rsidRPr="00763640">
        <w:rPr>
          <w:lang w:val="es-PE"/>
        </w:rPr>
        <w:t xml:space="preserve">la Definición contenida en </w:t>
      </w:r>
      <w:r w:rsidRPr="00763640">
        <w:rPr>
          <w:lang w:val="es-ES"/>
        </w:rPr>
        <w:t>el Numeral</w:t>
      </w:r>
      <w:r w:rsidR="00505AE0">
        <w:rPr>
          <w:lang w:val="es-ES"/>
        </w:rPr>
        <w:t xml:space="preserve"> 1.2.2</w:t>
      </w:r>
      <w:r w:rsidRPr="00763640">
        <w:rPr>
          <w:color w:val="000000" w:themeColor="text1"/>
        </w:rPr>
        <w:t>, el CONCESIONARIO y el CONCEDENTE suscribirán la respectiva Acta de Reversión de los Bienes. En el Acta se establecerá la descripción del bien objeto de la devolución, especificando en general, o para cada uno de sus componentes: sus características, ubicación, estado de conservación, anotaciones sobre funcionamiento o rendimiento y demás elementos de interés.</w:t>
      </w:r>
      <w:bookmarkEnd w:id="1135"/>
    </w:p>
    <w:p w14:paraId="6FE151F2" w14:textId="77777777" w:rsidR="004412F1" w:rsidRPr="00763640" w:rsidRDefault="004412F1">
      <w:pPr>
        <w:jc w:val="both"/>
        <w:rPr>
          <w:color w:val="000000"/>
          <w:lang w:val="es-ES"/>
        </w:rPr>
      </w:pPr>
    </w:p>
    <w:p w14:paraId="3211B563" w14:textId="77777777" w:rsidR="004412F1" w:rsidRPr="00763640" w:rsidRDefault="005A12A3">
      <w:pPr>
        <w:numPr>
          <w:ilvl w:val="1"/>
          <w:numId w:val="85"/>
        </w:numPr>
        <w:jc w:val="both"/>
        <w:rPr>
          <w:lang w:val="es-ES"/>
        </w:rPr>
      </w:pPr>
      <w:r w:rsidRPr="00763640">
        <w:rPr>
          <w:color w:val="000000" w:themeColor="text1"/>
          <w:lang w:val="es-ES"/>
        </w:rPr>
        <w:t xml:space="preserve">Formará parte del Acta de Reversión de los Bienes el Listado de Bienes </w:t>
      </w:r>
      <w:r w:rsidRPr="00763640">
        <w:rPr>
          <w:color w:val="000000" w:themeColor="text1"/>
        </w:rPr>
        <w:t>de la Concesión</w:t>
      </w:r>
      <w:r w:rsidRPr="00763640">
        <w:rPr>
          <w:color w:val="000000" w:themeColor="text1"/>
          <w:lang w:val="es-ES"/>
        </w:rPr>
        <w:t xml:space="preserve"> del Inventario Final, así como cualquier otro elemento que ayude a interpretar el objeto devuelto y su condición de estado. Dentro de los elementos interpretativos podrán incluirse planos, fotografías o esquemas.</w:t>
      </w:r>
    </w:p>
    <w:p w14:paraId="6C687632" w14:textId="77777777" w:rsidR="004412F1" w:rsidRPr="00763640" w:rsidRDefault="004412F1">
      <w:pPr>
        <w:ind w:hanging="964"/>
        <w:jc w:val="both"/>
        <w:rPr>
          <w:color w:val="000000"/>
          <w:lang w:val="es-ES"/>
        </w:rPr>
      </w:pPr>
    </w:p>
    <w:p w14:paraId="7E8B5731" w14:textId="77777777" w:rsidR="004412F1" w:rsidRPr="00763640" w:rsidRDefault="005A12A3">
      <w:pPr>
        <w:numPr>
          <w:ilvl w:val="1"/>
          <w:numId w:val="85"/>
        </w:numPr>
        <w:jc w:val="both"/>
        <w:rPr>
          <w:lang w:val="es-ES"/>
        </w:rPr>
      </w:pPr>
      <w:r w:rsidRPr="00763640">
        <w:rPr>
          <w:color w:val="000000" w:themeColor="text1"/>
          <w:lang w:val="es-ES"/>
        </w:rPr>
        <w:t>El Acta de Reversión de los Bienes se suscribirá en tres (3) originales, uno de los cuales será entregado al REGULADOR.</w:t>
      </w:r>
    </w:p>
    <w:p w14:paraId="429CFCE5" w14:textId="77777777" w:rsidR="004412F1" w:rsidRPr="00763640" w:rsidRDefault="004412F1">
      <w:pPr>
        <w:jc w:val="both"/>
        <w:rPr>
          <w:b/>
          <w:color w:val="000000"/>
          <w:lang w:val="es-ES"/>
        </w:rPr>
      </w:pPr>
    </w:p>
    <w:p w14:paraId="1B9EAE0B" w14:textId="77777777" w:rsidR="004412F1" w:rsidRPr="00763640" w:rsidRDefault="005A12A3">
      <w:pPr>
        <w:pStyle w:val="Ttulo2"/>
        <w:ind w:left="0"/>
        <w:rPr>
          <w:rFonts w:ascii="Arial" w:hAnsi="Arial"/>
          <w:b/>
          <w:u w:val="none"/>
        </w:rPr>
      </w:pPr>
      <w:bookmarkStart w:id="1136" w:name="_vgdtq7"/>
      <w:bookmarkStart w:id="1137" w:name="_Toc139294718"/>
      <w:bookmarkStart w:id="1138" w:name="_Toc468837623"/>
      <w:bookmarkStart w:id="1139" w:name="_Toc140089316"/>
      <w:bookmarkEnd w:id="1136"/>
      <w:r w:rsidRPr="00763640">
        <w:rPr>
          <w:rFonts w:ascii="Arial" w:hAnsi="Arial"/>
          <w:b/>
          <w:u w:val="none"/>
        </w:rPr>
        <w:t>DE LOS BIENES DEL CONCESIONARIO</w:t>
      </w:r>
      <w:bookmarkEnd w:id="1137"/>
      <w:bookmarkEnd w:id="1138"/>
      <w:bookmarkEnd w:id="1139"/>
      <w:r w:rsidRPr="00763640">
        <w:rPr>
          <w:rFonts w:ascii="Arial" w:eastAsia="Arial" w:hAnsi="Arial" w:cs="Arial"/>
          <w:b/>
          <w:bCs/>
          <w:u w:val="none"/>
        </w:rPr>
        <w:t xml:space="preserve"> </w:t>
      </w:r>
    </w:p>
    <w:p w14:paraId="31878F19" w14:textId="77777777" w:rsidR="004412F1" w:rsidRPr="00763640" w:rsidRDefault="004412F1">
      <w:pPr>
        <w:jc w:val="both"/>
        <w:rPr>
          <w:color w:val="000000"/>
          <w:lang w:val="es-ES"/>
        </w:rPr>
      </w:pPr>
    </w:p>
    <w:p w14:paraId="38898747" w14:textId="77777777" w:rsidR="004412F1" w:rsidRPr="00763640" w:rsidRDefault="005A12A3">
      <w:pPr>
        <w:numPr>
          <w:ilvl w:val="1"/>
          <w:numId w:val="85"/>
        </w:numPr>
        <w:jc w:val="both"/>
        <w:rPr>
          <w:lang w:val="es-PE"/>
        </w:rPr>
      </w:pPr>
      <w:r w:rsidRPr="00763640">
        <w:rPr>
          <w:color w:val="000000" w:themeColor="text1"/>
        </w:rPr>
        <w:t xml:space="preserve">Los Bienes del CONCESIONARIO que sean convenientes para la continuidad de las operaciones, podrán ser ofrecidos y adquiridos por el CONCEDENTE a la Caducidad de la Concesión, en un plazo no mayor de seis (6) meses, contados a partir de la fecha en la cual el CONCESIONARIO pone, de así decidirlo, a disposición del CONCEDENTE, la relación de los Bienes del CONCESIONARIO previa verificación de su estado de conservación y funcionamiento, así como </w:t>
      </w:r>
      <w:r w:rsidRPr="00763640">
        <w:rPr>
          <w:color w:val="000000" w:themeColor="text1"/>
          <w:lang w:val="es-PE"/>
        </w:rPr>
        <w:t xml:space="preserve">su valor de acuerdo </w:t>
      </w:r>
      <w:r w:rsidRPr="00763640">
        <w:rPr>
          <w:color w:val="000000" w:themeColor="text1"/>
        </w:rPr>
        <w:t>con</w:t>
      </w:r>
      <w:r w:rsidRPr="00763640">
        <w:rPr>
          <w:color w:val="000000" w:themeColor="text1"/>
          <w:lang w:val="es-PE"/>
        </w:rPr>
        <w:t xml:space="preserve"> las condiciones de mercado y </w:t>
      </w:r>
      <w:r w:rsidRPr="00763640">
        <w:rPr>
          <w:color w:val="000000" w:themeColor="text1"/>
        </w:rPr>
        <w:t xml:space="preserve">el interés público que </w:t>
      </w:r>
      <w:r w:rsidRPr="00763640">
        <w:t>persiga tal Bien</w:t>
      </w:r>
      <w:r w:rsidRPr="00763640">
        <w:rPr>
          <w:color w:val="000000" w:themeColor="text1"/>
          <w:lang w:val="es-PE"/>
        </w:rPr>
        <w:t>.</w:t>
      </w:r>
    </w:p>
    <w:p w14:paraId="0F17766D" w14:textId="77777777" w:rsidR="004412F1" w:rsidRPr="00763640" w:rsidRDefault="004412F1"/>
    <w:p w14:paraId="1226FFF4" w14:textId="77777777" w:rsidR="004412F1" w:rsidRPr="00763640" w:rsidRDefault="005A12A3">
      <w:pPr>
        <w:ind w:left="709"/>
        <w:jc w:val="both"/>
      </w:pPr>
      <w:r w:rsidRPr="00763640">
        <w:t>En ese sentido, el CONCEDENTE tiene la opción preferente de compra en el plazo indicado, cuyas condiciones de compra serán definidas por acuerdo entre las Partes.</w:t>
      </w:r>
    </w:p>
    <w:p w14:paraId="7D35EAA2" w14:textId="77777777" w:rsidR="004412F1" w:rsidRPr="00763640" w:rsidRDefault="004412F1">
      <w:pPr>
        <w:jc w:val="both"/>
        <w:rPr>
          <w:rFonts w:ascii="Courier New" w:hAnsi="Courier New"/>
          <w:b/>
          <w:color w:val="000000"/>
        </w:rPr>
      </w:pPr>
    </w:p>
    <w:p w14:paraId="1877557F" w14:textId="77777777" w:rsidR="004412F1" w:rsidRPr="00763640" w:rsidRDefault="005A12A3">
      <w:pPr>
        <w:pStyle w:val="Ttulo2"/>
        <w:ind w:left="0"/>
        <w:rPr>
          <w:rFonts w:ascii="Arial" w:eastAsia="Arial" w:hAnsi="Arial" w:cs="Arial"/>
          <w:b/>
          <w:bCs/>
          <w:u w:val="none"/>
        </w:rPr>
      </w:pPr>
      <w:bookmarkStart w:id="1140" w:name="_3fg1ce0"/>
      <w:bookmarkStart w:id="1141" w:name="_Toc94337835"/>
      <w:bookmarkStart w:id="1142" w:name="_Toc131332010"/>
      <w:bookmarkStart w:id="1143" w:name="_Toc94329270"/>
      <w:bookmarkStart w:id="1144" w:name="_Toc131329336"/>
      <w:bookmarkStart w:id="1145" w:name="_Toc102405290"/>
      <w:bookmarkStart w:id="1146" w:name="_Toc94337604"/>
      <w:bookmarkStart w:id="1147" w:name="_Toc139294719"/>
      <w:bookmarkStart w:id="1148" w:name="_Toc131332931"/>
      <w:bookmarkStart w:id="1149" w:name="_Toc94329024"/>
      <w:bookmarkStart w:id="1150" w:name="_Toc94330148"/>
      <w:bookmarkStart w:id="1151" w:name="_Toc131329104"/>
      <w:bookmarkStart w:id="1152" w:name="_Toc94329516"/>
      <w:bookmarkStart w:id="1153" w:name="_Toc131327952"/>
      <w:bookmarkStart w:id="1154" w:name="_Toc468837624"/>
      <w:bookmarkStart w:id="1155" w:name="_Toc94328768"/>
      <w:bookmarkStart w:id="1156" w:name="_Toc94328508"/>
      <w:bookmarkStart w:id="1157" w:name="_Toc131329923"/>
      <w:bookmarkStart w:id="1158" w:name="_Toc131328768"/>
      <w:bookmarkStart w:id="1159" w:name="_Toc140089317"/>
      <w:bookmarkEnd w:id="1140"/>
      <w:r w:rsidRPr="00763640">
        <w:rPr>
          <w:rFonts w:ascii="Arial" w:eastAsia="Arial" w:hAnsi="Arial" w:cs="Arial"/>
          <w:b/>
          <w:bCs/>
          <w:u w:val="none"/>
        </w:rPr>
        <w:t>DE LAS SERVIDUMBRES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35179A5E" w14:textId="77777777" w:rsidR="004412F1" w:rsidRPr="00763640" w:rsidRDefault="004412F1">
      <w:pPr>
        <w:ind w:left="708" w:hanging="708"/>
        <w:jc w:val="both"/>
      </w:pPr>
    </w:p>
    <w:p w14:paraId="6589C896" w14:textId="77777777" w:rsidR="004412F1" w:rsidRPr="00763640" w:rsidRDefault="005A12A3">
      <w:pPr>
        <w:numPr>
          <w:ilvl w:val="1"/>
          <w:numId w:val="85"/>
        </w:numPr>
        <w:jc w:val="both"/>
      </w:pPr>
      <w:r w:rsidRPr="00763640">
        <w:rPr>
          <w:color w:val="000000" w:themeColor="text1"/>
        </w:rPr>
        <w:t xml:space="preserve">El CONCEDENTE es responsable y se compromete a ejecutar los procedimientos de expropiación de derechos y/o de imposición de servidumbres que requiera el CONCESIONARIO para el cumplimiento de sus obligaciones conforme a este Contrato, previa solicitud de este último, conforme al procedimiento y cumpliendo los requisitos previstos en la ley de la materia, y las atribuciones conferidas por el Decreto Legislativo N° 1192 y demás Leyes y Disposiciones Aplicables, o normas que las sustituyan. Todos los costos relacionados con los procedimientos de expropiación de derechos y/o de imposición de servidumbres serán asumidos por el CONCEDENTE. </w:t>
      </w:r>
    </w:p>
    <w:p w14:paraId="71E1046C" w14:textId="77777777" w:rsidR="004412F1" w:rsidRPr="00763640" w:rsidRDefault="004412F1">
      <w:pPr>
        <w:jc w:val="both"/>
        <w:rPr>
          <w:color w:val="000000"/>
          <w:sz w:val="16"/>
        </w:rPr>
      </w:pPr>
    </w:p>
    <w:p w14:paraId="60738C95" w14:textId="77777777" w:rsidR="004412F1" w:rsidRPr="00763640" w:rsidRDefault="005A12A3">
      <w:pPr>
        <w:ind w:firstLine="705"/>
        <w:jc w:val="both"/>
        <w:rPr>
          <w:color w:val="000000"/>
        </w:rPr>
      </w:pPr>
      <w:r w:rsidRPr="00763640">
        <w:rPr>
          <w:color w:val="000000"/>
        </w:rPr>
        <w:t>Las servidumbres para la ocupación de bienes privados podrán ser:</w:t>
      </w:r>
    </w:p>
    <w:p w14:paraId="4BE518F4" w14:textId="77777777" w:rsidR="004412F1" w:rsidRPr="00763640" w:rsidRDefault="004412F1">
      <w:pPr>
        <w:ind w:left="284" w:firstLine="2"/>
        <w:jc w:val="both"/>
        <w:rPr>
          <w:color w:val="000000"/>
          <w:sz w:val="16"/>
        </w:rPr>
      </w:pPr>
    </w:p>
    <w:p w14:paraId="2EFB26E7" w14:textId="77777777" w:rsidR="004412F1" w:rsidRPr="00763640" w:rsidRDefault="005A12A3">
      <w:pPr>
        <w:numPr>
          <w:ilvl w:val="0"/>
          <w:numId w:val="86"/>
        </w:numPr>
        <w:tabs>
          <w:tab w:val="left" w:pos="1134"/>
        </w:tabs>
        <w:ind w:left="1134" w:hanging="425"/>
        <w:jc w:val="both"/>
        <w:rPr>
          <w:color w:val="000000"/>
        </w:rPr>
      </w:pPr>
      <w:r w:rsidRPr="00763640">
        <w:rPr>
          <w:color w:val="000000"/>
        </w:rPr>
        <w:t>De ocupación temporal de bienes de propiedad particular, indispensables para el cumplimiento de las obligaciones del Contrato.</w:t>
      </w:r>
    </w:p>
    <w:p w14:paraId="741032B9" w14:textId="77777777" w:rsidR="004412F1" w:rsidRPr="00763640" w:rsidRDefault="004412F1">
      <w:pPr>
        <w:ind w:left="2" w:firstLine="349"/>
        <w:jc w:val="both"/>
        <w:rPr>
          <w:color w:val="000000"/>
        </w:rPr>
      </w:pPr>
    </w:p>
    <w:p w14:paraId="2C76D600" w14:textId="77777777" w:rsidR="004412F1" w:rsidRPr="00763640" w:rsidRDefault="005A12A3">
      <w:pPr>
        <w:numPr>
          <w:ilvl w:val="0"/>
          <w:numId w:val="86"/>
        </w:numPr>
        <w:tabs>
          <w:tab w:val="left" w:pos="1134"/>
        </w:tabs>
        <w:ind w:left="1134" w:hanging="425"/>
        <w:jc w:val="both"/>
        <w:rPr>
          <w:color w:val="000000"/>
        </w:rPr>
      </w:pPr>
      <w:r w:rsidRPr="00763640">
        <w:rPr>
          <w:color w:val="000000"/>
        </w:rPr>
        <w:t>De tránsito, para el cumplimiento de las obligaciones del Contrato.</w:t>
      </w:r>
    </w:p>
    <w:p w14:paraId="65FC7BF7" w14:textId="77777777" w:rsidR="004412F1" w:rsidRPr="00763640" w:rsidRDefault="004412F1">
      <w:pPr>
        <w:ind w:firstLine="1134"/>
        <w:jc w:val="both"/>
        <w:rPr>
          <w:color w:val="000000"/>
        </w:rPr>
      </w:pPr>
    </w:p>
    <w:p w14:paraId="222C94E4" w14:textId="77777777" w:rsidR="004412F1" w:rsidRPr="00763640" w:rsidRDefault="005A12A3">
      <w:pPr>
        <w:numPr>
          <w:ilvl w:val="1"/>
          <w:numId w:val="85"/>
        </w:numPr>
        <w:jc w:val="both"/>
      </w:pPr>
      <w:r w:rsidRPr="00763640">
        <w:rPr>
          <w:color w:val="000000" w:themeColor="text1"/>
        </w:rPr>
        <w:t>Las servidumbres, una vez impuestas, serán consideradas como derechos de la Concesión.</w:t>
      </w:r>
    </w:p>
    <w:p w14:paraId="2358A05C" w14:textId="77777777" w:rsidR="004412F1" w:rsidRPr="00763640" w:rsidRDefault="004412F1">
      <w:pPr>
        <w:jc w:val="both"/>
        <w:rPr>
          <w:color w:val="000000"/>
        </w:rPr>
      </w:pPr>
    </w:p>
    <w:p w14:paraId="1A0C9F5F" w14:textId="77777777" w:rsidR="004412F1" w:rsidRPr="00763640" w:rsidRDefault="005A12A3">
      <w:pPr>
        <w:numPr>
          <w:ilvl w:val="1"/>
          <w:numId w:val="85"/>
        </w:numPr>
        <w:jc w:val="both"/>
      </w:pPr>
      <w:r w:rsidRPr="00763640">
        <w:rPr>
          <w:color w:val="000000" w:themeColor="text1"/>
        </w:rPr>
        <w:t>Las servidumbres de ocupación temporal, dan derecho al propietario del predio sirviente a percibir el pago de las indemnizaciones y compensaciones que establecen las Leyes y Disposiciones Aplicables. La negociación y el costo de las indemnizaciones a que hubiere lugar, como resultado de la imposición de tales servidumbres, corresponderán al CONCEDENTE, con cargo a sus propios recursos.</w:t>
      </w:r>
    </w:p>
    <w:p w14:paraId="714AD0F5" w14:textId="77777777" w:rsidR="004412F1" w:rsidRPr="00763640" w:rsidRDefault="004412F1">
      <w:pPr>
        <w:jc w:val="both"/>
        <w:rPr>
          <w:color w:val="000000"/>
        </w:rPr>
      </w:pPr>
    </w:p>
    <w:p w14:paraId="5E3F31DA" w14:textId="77777777" w:rsidR="004412F1" w:rsidRPr="00763640" w:rsidRDefault="005A12A3">
      <w:pPr>
        <w:numPr>
          <w:ilvl w:val="1"/>
          <w:numId w:val="85"/>
        </w:numPr>
        <w:jc w:val="both"/>
      </w:pPr>
      <w:r w:rsidRPr="00763640">
        <w:rPr>
          <w:color w:val="000000" w:themeColor="text1"/>
        </w:rPr>
        <w:t xml:space="preserve">El CONCEDENTE brindará las facilidades y efectuará las coordinaciones para que el CONCESIONARIO pueda utilizar el auxilio de la fuerza pública, siempre </w:t>
      </w:r>
      <w:r w:rsidRPr="00763640">
        <w:rPr>
          <w:color w:val="000000" w:themeColor="text1"/>
        </w:rPr>
        <w:lastRenderedPageBreak/>
        <w:t>que exista oposición del propietario o conductor del predio sirviente, sin perjuicio a que pueda iniciar las acciones legales a que hubiere lugar.</w:t>
      </w:r>
    </w:p>
    <w:p w14:paraId="396852EF" w14:textId="77777777" w:rsidR="004412F1" w:rsidRPr="00763640" w:rsidRDefault="004412F1">
      <w:pPr>
        <w:jc w:val="both"/>
      </w:pPr>
    </w:p>
    <w:p w14:paraId="72427363" w14:textId="77777777" w:rsidR="004412F1" w:rsidRPr="00763640" w:rsidRDefault="005A12A3">
      <w:pPr>
        <w:numPr>
          <w:ilvl w:val="1"/>
          <w:numId w:val="85"/>
        </w:numPr>
        <w:jc w:val="both"/>
      </w:pPr>
      <w:r w:rsidRPr="00763640">
        <w:t>El CONCEDENTE reconoce el derecho del CONCESIONARIO de evitar u oponerse a cualquier reparación o modificación que intente realizar cualquier entidad pública o privada, favorecida o no con una servidumbre, y cuyo ejercicio resulte incompatible con la infraestructura vial. El CONCESIONARIO podrá solicitar al CONCEDENTE su intervención para la adecuada defensa de su derecho.</w:t>
      </w:r>
    </w:p>
    <w:p w14:paraId="7A5191A0" w14:textId="77777777" w:rsidR="004412F1" w:rsidRPr="00763640" w:rsidRDefault="004412F1">
      <w:pPr>
        <w:jc w:val="both"/>
      </w:pPr>
    </w:p>
    <w:p w14:paraId="264CA049" w14:textId="77777777" w:rsidR="004412F1" w:rsidRPr="00763640" w:rsidRDefault="005A12A3">
      <w:pPr>
        <w:numPr>
          <w:ilvl w:val="1"/>
          <w:numId w:val="85"/>
        </w:numPr>
        <w:jc w:val="both"/>
      </w:pPr>
      <w:r w:rsidRPr="00763640">
        <w:t>En caso una servidumbre se extinguiera por culpa del CONCESIONARIO y por esta razón hubiera necesidad de una nueva servidumbre, corresponderá al CONCESIONARIO obtenerla por su cuenta y costo. Por el contrario, si por alguna razón no imputable al CONCESIONARIO, este perdiera el derecho a alguna servidumbre ya constituida, el CONCEDENTE estará obligado a obtener, por su cuenta y costo, la imposición de una nueva servidumbre a favor del CONCESIONARIO, que sustituya la anterior.</w:t>
      </w:r>
    </w:p>
    <w:p w14:paraId="64ADDF6B" w14:textId="77777777" w:rsidR="004412F1" w:rsidRPr="00763640" w:rsidRDefault="004412F1">
      <w:pPr>
        <w:jc w:val="both"/>
      </w:pPr>
    </w:p>
    <w:p w14:paraId="7D60EFF9" w14:textId="77777777" w:rsidR="004412F1" w:rsidRPr="00763640" w:rsidRDefault="005A12A3">
      <w:pPr>
        <w:pStyle w:val="Ttulo2"/>
        <w:ind w:left="0"/>
        <w:rPr>
          <w:rFonts w:ascii="Arial" w:eastAsia="Arial" w:hAnsi="Arial" w:cs="Arial"/>
          <w:b/>
          <w:bCs/>
          <w:u w:val="none"/>
        </w:rPr>
      </w:pPr>
      <w:bookmarkStart w:id="1160" w:name="_1ulbmlt"/>
      <w:bookmarkStart w:id="1161" w:name="_Toc94329517"/>
      <w:bookmarkStart w:id="1162" w:name="_Toc102405291"/>
      <w:bookmarkStart w:id="1163" w:name="_Toc131329337"/>
      <w:bookmarkStart w:id="1164" w:name="_Toc94330149"/>
      <w:bookmarkStart w:id="1165" w:name="_Toc94329025"/>
      <w:bookmarkStart w:id="1166" w:name="_Toc139294720"/>
      <w:bookmarkStart w:id="1167" w:name="_Toc468837625"/>
      <w:bookmarkStart w:id="1168" w:name="_Toc131332932"/>
      <w:bookmarkStart w:id="1169" w:name="_Toc94328769"/>
      <w:bookmarkStart w:id="1170" w:name="_Toc94337836"/>
      <w:bookmarkStart w:id="1171" w:name="_Toc94328509"/>
      <w:bookmarkStart w:id="1172" w:name="_Toc94337605"/>
      <w:bookmarkStart w:id="1173" w:name="_Toc131329924"/>
      <w:bookmarkStart w:id="1174" w:name="_Toc131327953"/>
      <w:bookmarkStart w:id="1175" w:name="_Toc94329271"/>
      <w:bookmarkStart w:id="1176" w:name="_Toc131328769"/>
      <w:bookmarkStart w:id="1177" w:name="_Toc131332011"/>
      <w:bookmarkStart w:id="1178" w:name="_Toc131329105"/>
      <w:bookmarkStart w:id="1179" w:name="_Toc140089318"/>
      <w:bookmarkEnd w:id="1160"/>
      <w:r w:rsidRPr="00763640">
        <w:rPr>
          <w:rFonts w:ascii="Arial" w:eastAsia="Arial" w:hAnsi="Arial" w:cs="Arial"/>
          <w:b/>
          <w:bCs/>
          <w:u w:val="none"/>
        </w:rPr>
        <w:t>DEFENSAS POSESORIAS</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AE31713" w14:textId="77777777" w:rsidR="004412F1" w:rsidRPr="00763640" w:rsidRDefault="004412F1">
      <w:pPr>
        <w:jc w:val="both"/>
      </w:pPr>
    </w:p>
    <w:p w14:paraId="44F8F1DE" w14:textId="77777777" w:rsidR="004412F1" w:rsidRPr="00763640" w:rsidRDefault="005A12A3">
      <w:pPr>
        <w:numPr>
          <w:ilvl w:val="1"/>
          <w:numId w:val="85"/>
        </w:numPr>
        <w:jc w:val="both"/>
      </w:pPr>
      <w:r w:rsidRPr="00763640">
        <w:rPr>
          <w:color w:val="000000" w:themeColor="text1"/>
        </w:rPr>
        <w:t>El CONCESIONARIO tiene la obligación de ejercitar las siguientes modalidades de defensa posesoria a partir de la Toma de Posesión, tanto para el caso de intento de usurpación del área comprometida en el Área de la Concesión, como en el caso de actividades incompatibles con el buen uso de dicha área por parte de terceros,</w:t>
      </w:r>
      <w:r w:rsidRPr="00763640">
        <w:rPr>
          <w:color w:val="000000" w:themeColor="text1"/>
          <w:lang w:val="es-PE"/>
        </w:rPr>
        <w:t xml:space="preserve"> siempre que el CONCEDENTE efectivamente le hubiese entregado dichas áreas desocupadas</w:t>
      </w:r>
      <w:r w:rsidRPr="00763640">
        <w:rPr>
          <w:color w:val="000000" w:themeColor="text1"/>
        </w:rPr>
        <w:t>:</w:t>
      </w:r>
    </w:p>
    <w:p w14:paraId="1D63B3CF" w14:textId="77777777" w:rsidR="004412F1" w:rsidRPr="00763640" w:rsidRDefault="004412F1">
      <w:pPr>
        <w:jc w:val="both"/>
      </w:pPr>
    </w:p>
    <w:p w14:paraId="14F5BDBB" w14:textId="77777777" w:rsidR="004412F1" w:rsidRPr="00763640" w:rsidRDefault="005A12A3">
      <w:pPr>
        <w:numPr>
          <w:ilvl w:val="0"/>
          <w:numId w:val="87"/>
        </w:numPr>
        <w:tabs>
          <w:tab w:val="left" w:pos="1134"/>
        </w:tabs>
        <w:ind w:left="1134" w:hanging="425"/>
        <w:jc w:val="both"/>
        <w:rPr>
          <w:color w:val="000000"/>
        </w:rPr>
      </w:pPr>
      <w:r w:rsidRPr="00763640">
        <w:rPr>
          <w:color w:val="000000"/>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327C64E2" w14:textId="77777777" w:rsidR="004412F1" w:rsidRPr="00763640" w:rsidRDefault="004412F1">
      <w:pPr>
        <w:ind w:left="709"/>
        <w:jc w:val="both"/>
        <w:rPr>
          <w:color w:val="000000"/>
        </w:rPr>
      </w:pPr>
    </w:p>
    <w:p w14:paraId="6937038C" w14:textId="77777777" w:rsidR="004412F1" w:rsidRPr="00763640" w:rsidRDefault="005A12A3">
      <w:pPr>
        <w:numPr>
          <w:ilvl w:val="0"/>
          <w:numId w:val="87"/>
        </w:numPr>
        <w:tabs>
          <w:tab w:val="left" w:pos="1134"/>
        </w:tabs>
        <w:ind w:left="1134" w:hanging="425"/>
        <w:jc w:val="both"/>
        <w:rPr>
          <w:color w:val="000000"/>
        </w:rPr>
      </w:pPr>
      <w:r w:rsidRPr="00763640">
        <w:rPr>
          <w:color w:val="000000"/>
        </w:rPr>
        <w:t>Defensa posesoria judicial, que el CONCESIONARIO deberá ejercitar, en caso que recaiga sobre la Concesión cualquier afectación, desposesión, ocupación o usurpación, debiendo comunicar al REGULADOR dichos hechos y hacer uso de los mecanismos y recursos judiciales que le permitan mantener indemne el derecho del CONCEDENTE sobre los Bienes de la Concesión.</w:t>
      </w:r>
    </w:p>
    <w:p w14:paraId="7E8FFCB4" w14:textId="77777777" w:rsidR="004412F1" w:rsidRPr="00763640" w:rsidRDefault="004412F1">
      <w:pPr>
        <w:ind w:left="1134" w:hanging="425"/>
        <w:jc w:val="both"/>
        <w:rPr>
          <w:color w:val="000000"/>
        </w:rPr>
      </w:pPr>
    </w:p>
    <w:p w14:paraId="74DE8657" w14:textId="77777777" w:rsidR="004412F1" w:rsidRPr="00763640" w:rsidRDefault="005A12A3">
      <w:pPr>
        <w:numPr>
          <w:ilvl w:val="1"/>
          <w:numId w:val="85"/>
        </w:numPr>
        <w:jc w:val="both"/>
      </w:pPr>
      <w:bookmarkStart w:id="1180" w:name="_2tq9fhf" w:colFirst="0" w:colLast="0"/>
      <w:bookmarkStart w:id="1181" w:name="_4ekz59m"/>
      <w:bookmarkStart w:id="1182" w:name="_Ref273550304"/>
      <w:bookmarkEnd w:id="1180"/>
      <w:bookmarkEnd w:id="1181"/>
      <w:r w:rsidRPr="00763640">
        <w:t>El ejercicio de las defensas antes descritas no exime de responsabilidad al  CONCESIONARIO, el cual, ante un supuesto como los descritos en el párrafo precedente, deberá coordinar inmediatamente con el CONCEDENTE las acciones legales que haya interpuesto o que vaya a interponer, en cuyo caso, el CONCEDENTE estará en libertad de entablar l</w:t>
      </w:r>
      <w:r>
        <w:t xml:space="preserve">as acciones legales que considere </w:t>
      </w:r>
      <w:r w:rsidRPr="00763640">
        <w:t>idóneas a fin de mantener indemne su derecho sobre los Bienes de la Concesión, siempre que estos reclamos se originen en hechos ocurridos después de la transferencia de dichos bienes al  CONCESIONARIO.</w:t>
      </w:r>
      <w:bookmarkEnd w:id="1182"/>
    </w:p>
    <w:p w14:paraId="17D4A8AD" w14:textId="77777777" w:rsidR="004412F1" w:rsidRPr="00763640" w:rsidRDefault="004412F1">
      <w:pPr>
        <w:tabs>
          <w:tab w:val="left" w:pos="709"/>
        </w:tabs>
        <w:ind w:left="709"/>
        <w:jc w:val="both"/>
        <w:rPr>
          <w:bCs/>
          <w:sz w:val="16"/>
        </w:rPr>
      </w:pPr>
      <w:bookmarkStart w:id="1183" w:name="_Toc102405293"/>
      <w:bookmarkStart w:id="1184" w:name="_Toc94329027"/>
      <w:bookmarkStart w:id="1185" w:name="_Toc94329273"/>
      <w:bookmarkStart w:id="1186" w:name="_Toc131332013"/>
      <w:bookmarkStart w:id="1187" w:name="_Toc131329926"/>
      <w:bookmarkStart w:id="1188" w:name="_Toc94337838"/>
      <w:bookmarkStart w:id="1189" w:name="_Toc131327955"/>
      <w:bookmarkStart w:id="1190" w:name="_Toc94328771"/>
      <w:bookmarkStart w:id="1191" w:name="_Toc94328511"/>
      <w:bookmarkStart w:id="1192" w:name="_Toc131329339"/>
      <w:bookmarkStart w:id="1193" w:name="_Toc131328771"/>
      <w:bookmarkStart w:id="1194" w:name="_Toc94337607"/>
      <w:bookmarkStart w:id="1195" w:name="_Toc131332934"/>
      <w:bookmarkStart w:id="1196" w:name="_Toc94329519"/>
      <w:bookmarkStart w:id="1197" w:name="_Toc94330151"/>
      <w:bookmarkStart w:id="1198" w:name="_Toc131329107"/>
    </w:p>
    <w:p w14:paraId="5457AC12" w14:textId="77777777" w:rsidR="004412F1" w:rsidRPr="00763640" w:rsidRDefault="005A12A3">
      <w:pPr>
        <w:tabs>
          <w:tab w:val="left" w:pos="709"/>
        </w:tabs>
        <w:ind w:left="709"/>
        <w:jc w:val="both"/>
        <w:rPr>
          <w:bCs/>
        </w:rPr>
      </w:pPr>
      <w:r w:rsidRPr="00763640">
        <w:t>El ejercicio de las defensas posesorias, tanto judiciales como extra judiciales, son responsabilidad del CONCESIONARIO, debiendo asumir el costo que ellas demanden.</w:t>
      </w:r>
    </w:p>
    <w:p w14:paraId="4271035C" w14:textId="77777777" w:rsidR="004412F1" w:rsidRPr="00763640" w:rsidRDefault="004412F1">
      <w:pPr>
        <w:tabs>
          <w:tab w:val="left" w:pos="709"/>
        </w:tabs>
        <w:ind w:left="709"/>
        <w:jc w:val="both"/>
        <w:rPr>
          <w:bCs/>
        </w:rPr>
      </w:pPr>
    </w:p>
    <w:p w14:paraId="049AAB94" w14:textId="77777777" w:rsidR="004412F1" w:rsidRPr="00763640" w:rsidRDefault="005A12A3">
      <w:pPr>
        <w:ind w:left="709"/>
        <w:jc w:val="both"/>
        <w:rPr>
          <w:lang w:val="es-PE"/>
        </w:rPr>
      </w:pPr>
      <w:r w:rsidRPr="00763640">
        <w:t xml:space="preserve">No ejercer la defensa posesoria  </w:t>
      </w:r>
      <w:r w:rsidRPr="00763640">
        <w:rPr>
          <w:lang w:val="es-PE"/>
        </w:rPr>
        <w:t>será penalizado de acuerdo a la Tabla N° 2 del ANEXO IX del presente Contrato.</w:t>
      </w:r>
    </w:p>
    <w:p w14:paraId="3CB5075C" w14:textId="77777777" w:rsidR="004412F1" w:rsidRPr="00763640" w:rsidRDefault="004412F1">
      <w:pPr>
        <w:jc w:val="both"/>
      </w:pPr>
    </w:p>
    <w:p w14:paraId="07E82FEA" w14:textId="77777777" w:rsidR="004412F1" w:rsidRPr="00763640" w:rsidRDefault="005A12A3">
      <w:pPr>
        <w:pStyle w:val="Ttulo2"/>
        <w:ind w:left="0"/>
        <w:rPr>
          <w:b/>
        </w:rPr>
      </w:pPr>
      <w:bookmarkStart w:id="1199" w:name="_18vjpp8" w:colFirst="0" w:colLast="0"/>
      <w:bookmarkStart w:id="1200" w:name="_Toc139294721"/>
      <w:bookmarkStart w:id="1201" w:name="_Toc140089319"/>
      <w:bookmarkStart w:id="1202" w:name="_Ref272156924"/>
      <w:bookmarkStart w:id="1203" w:name="_Ref272156915"/>
      <w:bookmarkStart w:id="1204" w:name="_Ref272156920"/>
      <w:bookmarkStart w:id="1205" w:name="_Ref272156894"/>
      <w:bookmarkStart w:id="1206" w:name="_Ref272156839"/>
      <w:bookmarkStart w:id="1207" w:name="_Ref272156905"/>
      <w:bookmarkStart w:id="1208" w:name="_Ref272156848"/>
      <w:bookmarkEnd w:id="1199"/>
      <w:r w:rsidRPr="00763640">
        <w:rPr>
          <w:rFonts w:ascii="Arial" w:eastAsia="Arial" w:hAnsi="Arial"/>
          <w:b/>
          <w:u w:val="none"/>
        </w:rPr>
        <w:lastRenderedPageBreak/>
        <w:t>INVENTARIOS</w:t>
      </w:r>
      <w:bookmarkEnd w:id="1200"/>
      <w:bookmarkEnd w:id="1201"/>
    </w:p>
    <w:p w14:paraId="7182CF2A" w14:textId="77777777" w:rsidR="004412F1" w:rsidRPr="00763640" w:rsidRDefault="004412F1">
      <w:pPr>
        <w:rPr>
          <w:b/>
        </w:rPr>
      </w:pPr>
    </w:p>
    <w:p w14:paraId="42527013" w14:textId="77777777" w:rsidR="004412F1" w:rsidRPr="00763640" w:rsidRDefault="005A12A3">
      <w:pPr>
        <w:numPr>
          <w:ilvl w:val="1"/>
          <w:numId w:val="85"/>
        </w:numPr>
        <w:jc w:val="both"/>
        <w:rPr>
          <w:b/>
        </w:rPr>
      </w:pPr>
      <w:r w:rsidRPr="00763640">
        <w:rPr>
          <w:b/>
          <w:color w:val="000000" w:themeColor="text1"/>
        </w:rPr>
        <w:t>Inventario Inicial</w:t>
      </w:r>
    </w:p>
    <w:p w14:paraId="6FA25F71" w14:textId="77777777" w:rsidR="004412F1" w:rsidRPr="00763640" w:rsidRDefault="005A12A3">
      <w:pPr>
        <w:ind w:left="709"/>
        <w:jc w:val="both"/>
      </w:pPr>
      <w:r w:rsidRPr="00763640">
        <w:t xml:space="preserve">El CONCEDENTE entregará al CONCESIONARIO un listado de los Bienes de la Concesión según lo dispuesto en el Literal b) y c) de la Cláusula 3.4, que contiene los bienes necesarios para iniciar la Explotación de cada Sub Tramo. </w:t>
      </w:r>
    </w:p>
    <w:p w14:paraId="43346A63" w14:textId="77777777" w:rsidR="004412F1" w:rsidRPr="00763640" w:rsidRDefault="004412F1">
      <w:pPr>
        <w:ind w:left="709"/>
        <w:jc w:val="both"/>
      </w:pPr>
    </w:p>
    <w:p w14:paraId="4CE22704" w14:textId="77777777" w:rsidR="004412F1" w:rsidRPr="00763640" w:rsidRDefault="005A12A3">
      <w:pPr>
        <w:ind w:left="709"/>
        <w:jc w:val="both"/>
        <w:rPr>
          <w:rFonts w:eastAsia="Times New Roman"/>
          <w:bCs/>
          <w:szCs w:val="18"/>
          <w:lang w:val="es-ES" w:eastAsia="es-ES"/>
        </w:rPr>
      </w:pPr>
      <w:r w:rsidRPr="00763640">
        <w:t xml:space="preserve">Siendo que el Inventario Vial con el que cuenta el CONCEDENTE es con fines de planificación, el CONCESIONARIO a partir de cada Toma de Posesión de los Sub Tramos de Mantenimiento Periódico Inicial y Rehabilitación y Mejoramiento, deberá complementarlo con el objeto de obtener y/o actualizar información técnica para cumplir con lo estipulado en el </w:t>
      </w:r>
      <w:r w:rsidRPr="00763640">
        <w:rPr>
          <w:lang w:val="es-PE"/>
        </w:rPr>
        <w:t>presente</w:t>
      </w:r>
      <w:r w:rsidRPr="00763640">
        <w:t xml:space="preserve"> Contrato, y así conformar el Inventario Inicial para cada Sub Tramo.</w:t>
      </w:r>
    </w:p>
    <w:p w14:paraId="1AFF9022" w14:textId="77777777" w:rsidR="004412F1" w:rsidRPr="00763640" w:rsidRDefault="004412F1">
      <w:pPr>
        <w:ind w:left="709"/>
        <w:jc w:val="both"/>
      </w:pPr>
    </w:p>
    <w:p w14:paraId="59492D5C" w14:textId="77777777" w:rsidR="004412F1" w:rsidRPr="00763640" w:rsidRDefault="005A12A3">
      <w:pPr>
        <w:ind w:left="709"/>
        <w:jc w:val="both"/>
        <w:rPr>
          <w:rFonts w:eastAsia="Times New Roman"/>
          <w:bCs/>
          <w:szCs w:val="18"/>
          <w:lang w:val="es-ES" w:eastAsia="es-ES"/>
        </w:rPr>
      </w:pPr>
      <w:r w:rsidRPr="00763640">
        <w:t xml:space="preserve">Para la revisión y aprobación del Inventario Inicial, el CONCEDENTE nombrará un comité de verificación, el que deberá contar con un representante del REGULADOR, en calidad de veedor. Dicho comité de verificación, en el plazo de treinta (30) Días, contados desde su nombramiento, dictaminará mediante un acta, la aceptación o rechazo del Inventario Inicial elaborado por el CONCESIONARIO. </w:t>
      </w:r>
    </w:p>
    <w:p w14:paraId="675E076C" w14:textId="77777777" w:rsidR="004412F1" w:rsidRPr="00763640" w:rsidRDefault="004412F1">
      <w:pPr>
        <w:ind w:left="709"/>
        <w:jc w:val="both"/>
      </w:pPr>
    </w:p>
    <w:p w14:paraId="1D4FB4BF" w14:textId="77777777" w:rsidR="004412F1" w:rsidRPr="00763640" w:rsidRDefault="005A12A3">
      <w:pPr>
        <w:ind w:left="709"/>
        <w:jc w:val="both"/>
        <w:rPr>
          <w:rFonts w:eastAsia="Times New Roman"/>
          <w:bCs/>
          <w:szCs w:val="18"/>
          <w:lang w:val="es-ES" w:eastAsia="es-ES"/>
        </w:rPr>
      </w:pPr>
      <w:r w:rsidRPr="00763640">
        <w:t>De no pronunciarse el comité de verificación en el plazo establecido, por única vez, tendrá un plazo adicional de diez (10) Días para emitir dicho pronunciamiento.</w:t>
      </w:r>
    </w:p>
    <w:p w14:paraId="15D5B631" w14:textId="77777777" w:rsidR="004412F1" w:rsidRPr="00763640" w:rsidRDefault="004412F1">
      <w:pPr>
        <w:ind w:left="709"/>
      </w:pPr>
    </w:p>
    <w:p w14:paraId="42BB2F1F" w14:textId="77777777" w:rsidR="004412F1" w:rsidRPr="00763640" w:rsidRDefault="005A12A3">
      <w:pPr>
        <w:ind w:left="709"/>
        <w:jc w:val="both"/>
        <w:rPr>
          <w:rFonts w:eastAsia="Times New Roman"/>
          <w:bCs/>
          <w:szCs w:val="18"/>
          <w:lang w:val="es-ES" w:eastAsia="es-ES"/>
        </w:rPr>
      </w:pPr>
      <w:r w:rsidRPr="00763640">
        <w:t xml:space="preserve">El acta de aceptación de los Inventarios Inicial de los Sub Tramos de Mantenimiento Periódico Inicial y Rehabilitación y Mejoramiento, así como las Actas de Entrega Parcial de Bienes serán formuladas por el CONCEDENTE y formarán parte del Acta Integral de Entrega de Bienes.  </w:t>
      </w:r>
    </w:p>
    <w:p w14:paraId="220B9061" w14:textId="77777777" w:rsidR="004412F1" w:rsidRPr="00763640" w:rsidRDefault="004412F1">
      <w:pPr>
        <w:ind w:left="709"/>
      </w:pPr>
    </w:p>
    <w:p w14:paraId="30AEA418" w14:textId="77777777" w:rsidR="004412F1" w:rsidRPr="00763640" w:rsidRDefault="005A12A3">
      <w:pPr>
        <w:numPr>
          <w:ilvl w:val="1"/>
          <w:numId w:val="85"/>
        </w:numPr>
        <w:jc w:val="both"/>
        <w:rPr>
          <w:rFonts w:eastAsia="Times New Roman"/>
          <w:b/>
          <w:bCs/>
          <w:szCs w:val="18"/>
          <w:lang w:val="es-ES" w:eastAsia="es-ES"/>
        </w:rPr>
      </w:pPr>
      <w:r w:rsidRPr="00763640">
        <w:rPr>
          <w:b/>
          <w:bCs/>
          <w:color w:val="000000" w:themeColor="text1"/>
        </w:rPr>
        <w:t>Inventario de las Intervenciones</w:t>
      </w:r>
    </w:p>
    <w:p w14:paraId="36D9F1CE" w14:textId="77777777" w:rsidR="004412F1" w:rsidRPr="00763640" w:rsidRDefault="005A12A3">
      <w:pPr>
        <w:ind w:left="709"/>
        <w:jc w:val="both"/>
      </w:pPr>
      <w:r w:rsidRPr="00763640">
        <w:t>Son los Bienes de la Concesión que resultan de la ejecución de las Intervenciones que será elaborado por el CONCESIONARIO y presentado al CONCEDENTE y al REGULADOR, de manera previa a la solicitud del último Hito Funcional o Hito Constructivo de las Intervenciones.</w:t>
      </w:r>
    </w:p>
    <w:p w14:paraId="621E3171" w14:textId="77777777" w:rsidR="004412F1" w:rsidRPr="00763640" w:rsidRDefault="004412F1">
      <w:pPr>
        <w:ind w:left="709"/>
        <w:jc w:val="both"/>
      </w:pPr>
    </w:p>
    <w:p w14:paraId="3B5BB270" w14:textId="77777777" w:rsidR="004412F1" w:rsidRPr="00763640" w:rsidRDefault="005A12A3">
      <w:pPr>
        <w:ind w:left="709"/>
        <w:jc w:val="both"/>
      </w:pPr>
      <w:r w:rsidRPr="00763640">
        <w:t>Este Inventario, deberá ser presentado en los formatos descritos en el Manual de Inventarios Viales aprobados mediante R</w:t>
      </w:r>
      <w:r w:rsidRPr="00763640">
        <w:rPr>
          <w:lang w:val="es-PE"/>
        </w:rPr>
        <w:t xml:space="preserve">esolución Directoral </w:t>
      </w:r>
      <w:r w:rsidRPr="00763640">
        <w:t>N° 09-2014-MTC/14 o normativa vigente.</w:t>
      </w:r>
    </w:p>
    <w:p w14:paraId="47D94C3A" w14:textId="77777777" w:rsidR="004412F1" w:rsidRPr="00763640" w:rsidRDefault="004412F1">
      <w:pPr>
        <w:ind w:left="709"/>
        <w:jc w:val="both"/>
        <w:rPr>
          <w:rFonts w:eastAsia="SimSun"/>
          <w:lang w:eastAsia="zh-CN"/>
        </w:rPr>
      </w:pPr>
    </w:p>
    <w:p w14:paraId="1A3E7578" w14:textId="77777777" w:rsidR="00C52C15" w:rsidRPr="00763640" w:rsidRDefault="00C52C15">
      <w:pPr>
        <w:ind w:left="709"/>
        <w:jc w:val="both"/>
        <w:rPr>
          <w:rFonts w:eastAsia="SimSun"/>
          <w:lang w:eastAsia="zh-CN"/>
        </w:rPr>
      </w:pPr>
    </w:p>
    <w:p w14:paraId="45569D35" w14:textId="77777777" w:rsidR="00C52C15" w:rsidRPr="00763640" w:rsidRDefault="00C52C15">
      <w:pPr>
        <w:ind w:left="709"/>
        <w:jc w:val="both"/>
        <w:rPr>
          <w:rFonts w:eastAsia="SimSun"/>
          <w:lang w:eastAsia="zh-CN"/>
        </w:rPr>
      </w:pPr>
    </w:p>
    <w:p w14:paraId="764E293B" w14:textId="77777777" w:rsidR="004412F1" w:rsidRPr="00763640" w:rsidRDefault="005A12A3">
      <w:pPr>
        <w:numPr>
          <w:ilvl w:val="1"/>
          <w:numId w:val="85"/>
        </w:numPr>
        <w:jc w:val="both"/>
        <w:rPr>
          <w:b/>
        </w:rPr>
      </w:pPr>
      <w:r w:rsidRPr="00763640">
        <w:rPr>
          <w:b/>
          <w:color w:val="000000" w:themeColor="text1"/>
        </w:rPr>
        <w:t>Inventario Anual</w:t>
      </w:r>
    </w:p>
    <w:p w14:paraId="2F90A64F" w14:textId="77777777" w:rsidR="004412F1" w:rsidRPr="00763640" w:rsidRDefault="005A12A3">
      <w:pPr>
        <w:ind w:left="709"/>
        <w:jc w:val="both"/>
      </w:pPr>
      <w:r w:rsidRPr="00763640">
        <w:t>Son los Bienes de la Concesión y Bienes del CONCESIONARIO con los que cuenta el CONCESIONARIO a las fechas de cierre  de cada año de vigencia del Contrato hasta su Caducidad, que será presentado por el CONCESIONARIO al CONCEDENTE y al REGULADOR, antes del 30 de enero de cada Año de la Concesión, y durante todo el Plazo de la Concesión.</w:t>
      </w:r>
    </w:p>
    <w:p w14:paraId="5B48F180" w14:textId="77777777" w:rsidR="004412F1" w:rsidRPr="00763640" w:rsidRDefault="004412F1">
      <w:pPr>
        <w:ind w:left="709"/>
        <w:jc w:val="both"/>
      </w:pPr>
    </w:p>
    <w:p w14:paraId="18659C4F" w14:textId="77777777" w:rsidR="004412F1" w:rsidRPr="00763640" w:rsidRDefault="005A12A3">
      <w:pPr>
        <w:ind w:left="709"/>
        <w:jc w:val="both"/>
      </w:pPr>
      <w:r w:rsidRPr="00763640">
        <w:t>Este Inventario, deberá ser presentado en los formatos descritos en el Manual de Inventarios Viales aprobados mediante R</w:t>
      </w:r>
      <w:r w:rsidRPr="00763640">
        <w:rPr>
          <w:lang w:val="es-PE"/>
        </w:rPr>
        <w:t xml:space="preserve">esolución Directoral </w:t>
      </w:r>
      <w:r w:rsidRPr="00763640">
        <w:t>N° 09-2014-MTC/14 o normativa vigente.</w:t>
      </w:r>
    </w:p>
    <w:p w14:paraId="0D2A5041" w14:textId="77777777" w:rsidR="004412F1" w:rsidRPr="00763640" w:rsidRDefault="004412F1"/>
    <w:p w14:paraId="2B558104" w14:textId="77777777" w:rsidR="004412F1" w:rsidRPr="00763640" w:rsidRDefault="005A12A3">
      <w:pPr>
        <w:numPr>
          <w:ilvl w:val="1"/>
          <w:numId w:val="85"/>
        </w:numPr>
        <w:jc w:val="both"/>
        <w:rPr>
          <w:b/>
        </w:rPr>
      </w:pPr>
      <w:r w:rsidRPr="00763640">
        <w:rPr>
          <w:b/>
          <w:color w:val="000000" w:themeColor="text1"/>
        </w:rPr>
        <w:t>Inventario Final</w:t>
      </w:r>
    </w:p>
    <w:p w14:paraId="0A434129" w14:textId="77777777" w:rsidR="004412F1" w:rsidRPr="00763640" w:rsidRDefault="005A12A3">
      <w:pPr>
        <w:ind w:left="709"/>
        <w:jc w:val="both"/>
      </w:pPr>
      <w:r w:rsidRPr="00763640">
        <w:lastRenderedPageBreak/>
        <w:t>Son los Bienes de la Concesión y Bienes del CONCESIONARIO con los que cuenta el CONCESIONARIO a la fecha de Caducidad de la Concesión. Será formulado por el CONCESIONARIO.</w:t>
      </w:r>
    </w:p>
    <w:p w14:paraId="5127790B" w14:textId="77777777" w:rsidR="004412F1" w:rsidRPr="00763640" w:rsidRDefault="004412F1"/>
    <w:p w14:paraId="725B68D8" w14:textId="77777777" w:rsidR="004412F1" w:rsidRPr="00763640" w:rsidRDefault="005A12A3">
      <w:pPr>
        <w:ind w:left="709"/>
        <w:jc w:val="both"/>
        <w:rPr>
          <w:rFonts w:eastAsia="Times New Roman"/>
          <w:bCs/>
          <w:szCs w:val="18"/>
          <w:lang w:val="es-ES" w:eastAsia="es-ES"/>
        </w:rPr>
      </w:pPr>
      <w:r w:rsidRPr="00763640">
        <w:t xml:space="preserve">Para la revisión y aprobación de la información se nombrará un comité de verificación, el que deberá contar con un representante del REGULADOR, en calidad de veedor. Dicho comité de verificación, en el plazo de treinta (30) Días, contados desde su nombramiento, dictaminará mediante acta, la aceptación o rechazo del Inventario Final. </w:t>
      </w:r>
    </w:p>
    <w:p w14:paraId="37D21C1B" w14:textId="77777777" w:rsidR="004412F1" w:rsidRPr="00763640" w:rsidRDefault="004412F1">
      <w:pPr>
        <w:ind w:left="709"/>
        <w:jc w:val="both"/>
      </w:pPr>
    </w:p>
    <w:p w14:paraId="128D188B" w14:textId="77777777" w:rsidR="004412F1" w:rsidRPr="00763640" w:rsidRDefault="005A12A3">
      <w:pPr>
        <w:ind w:left="709"/>
        <w:jc w:val="both"/>
        <w:rPr>
          <w:rFonts w:eastAsia="Times New Roman"/>
          <w:bCs/>
          <w:szCs w:val="18"/>
          <w:lang w:val="es-ES" w:eastAsia="es-ES"/>
        </w:rPr>
      </w:pPr>
      <w:r w:rsidRPr="00763640">
        <w:t>De no pronunciarse el comité de verificación en el plazo establecido, por única vez, tendrá un plazo adicional de diez (10) Días para emitir dicho pronunciamiento.</w:t>
      </w:r>
    </w:p>
    <w:p w14:paraId="49F35314" w14:textId="77777777" w:rsidR="004412F1" w:rsidRPr="00763640" w:rsidRDefault="004412F1">
      <w:pPr>
        <w:ind w:left="709"/>
        <w:jc w:val="both"/>
      </w:pPr>
    </w:p>
    <w:p w14:paraId="16C70427" w14:textId="77777777" w:rsidR="004412F1" w:rsidRPr="00763640" w:rsidRDefault="005A12A3">
      <w:pPr>
        <w:ind w:left="709"/>
        <w:jc w:val="both"/>
      </w:pPr>
      <w:r w:rsidRPr="00763640">
        <w:t>El Acta de Aceptación pasará a formar parte del Inventario de Bienes de la Concesión.</w:t>
      </w:r>
    </w:p>
    <w:p w14:paraId="6BF7167F" w14:textId="77777777" w:rsidR="004412F1" w:rsidRPr="00763640" w:rsidRDefault="004412F1">
      <w:pPr>
        <w:ind w:left="709"/>
      </w:pPr>
    </w:p>
    <w:p w14:paraId="0126E72C" w14:textId="77777777" w:rsidR="004412F1" w:rsidRPr="00763640" w:rsidRDefault="005A12A3">
      <w:pPr>
        <w:pStyle w:val="Ttulo1"/>
        <w:jc w:val="both"/>
      </w:pPr>
      <w:bookmarkStart w:id="1209" w:name="_3sv78d1"/>
      <w:bookmarkStart w:id="1210" w:name="_Toc468837626"/>
      <w:bookmarkStart w:id="1211" w:name="_Toc139294722"/>
      <w:bookmarkStart w:id="1212" w:name="_Toc140089320"/>
      <w:bookmarkEnd w:id="1209"/>
      <w:r w:rsidRPr="00763640">
        <w:t xml:space="preserve">CAPÍTULO VI: </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763640">
        <w:t xml:space="preserve">EJECUCIÓN DE </w:t>
      </w:r>
      <w:bookmarkEnd w:id="1202"/>
      <w:bookmarkEnd w:id="1203"/>
      <w:bookmarkEnd w:id="1204"/>
      <w:bookmarkEnd w:id="1205"/>
      <w:bookmarkEnd w:id="1206"/>
      <w:bookmarkEnd w:id="1207"/>
      <w:bookmarkEnd w:id="1208"/>
      <w:bookmarkEnd w:id="1210"/>
      <w:r w:rsidRPr="00763640">
        <w:t>LAS INTERVENCIONES</w:t>
      </w:r>
      <w:bookmarkEnd w:id="1211"/>
      <w:bookmarkEnd w:id="1212"/>
    </w:p>
    <w:p w14:paraId="4C7F3F27" w14:textId="77777777" w:rsidR="004412F1" w:rsidRPr="00763640" w:rsidRDefault="004412F1"/>
    <w:p w14:paraId="48A68F8A" w14:textId="77777777" w:rsidR="004412F1" w:rsidRPr="00763640" w:rsidRDefault="005A12A3">
      <w:pPr>
        <w:pStyle w:val="Ttulo2"/>
        <w:ind w:left="0"/>
        <w:jc w:val="both"/>
        <w:rPr>
          <w:rFonts w:ascii="Arial" w:hAnsi="Arial"/>
          <w:b/>
          <w:u w:val="none"/>
        </w:rPr>
      </w:pPr>
      <w:bookmarkStart w:id="1213" w:name="_DESCRIPCIÓN_DE_LAS"/>
      <w:bookmarkStart w:id="1214" w:name="_280hiku"/>
      <w:bookmarkStart w:id="1215" w:name="_Toc131328772"/>
      <w:bookmarkStart w:id="1216" w:name="_Toc102405294"/>
      <w:bookmarkStart w:id="1217" w:name="_Toc94337839"/>
      <w:bookmarkStart w:id="1218" w:name="_Toc94330152"/>
      <w:bookmarkStart w:id="1219" w:name="_Toc131329927"/>
      <w:bookmarkStart w:id="1220" w:name="_Toc468837627"/>
      <w:bookmarkStart w:id="1221" w:name="_Toc94329520"/>
      <w:bookmarkStart w:id="1222" w:name="_Toc131327956"/>
      <w:bookmarkStart w:id="1223" w:name="_Toc94337608"/>
      <w:bookmarkStart w:id="1224" w:name="_Toc131329108"/>
      <w:bookmarkStart w:id="1225" w:name="_Toc131329340"/>
      <w:bookmarkStart w:id="1226" w:name="_Toc94329274"/>
      <w:bookmarkStart w:id="1227" w:name="_Toc131332014"/>
      <w:bookmarkStart w:id="1228" w:name="_Toc94328772"/>
      <w:bookmarkStart w:id="1229" w:name="_Toc94328512"/>
      <w:bookmarkStart w:id="1230" w:name="_Toc94329028"/>
      <w:bookmarkStart w:id="1231" w:name="_Toc131332935"/>
      <w:bookmarkStart w:id="1232" w:name="_Toc139294723"/>
      <w:bookmarkStart w:id="1233" w:name="_Toc140089321"/>
      <w:bookmarkEnd w:id="1213"/>
      <w:bookmarkEnd w:id="1214"/>
      <w:r w:rsidRPr="00763640">
        <w:rPr>
          <w:rFonts w:ascii="Arial" w:hAnsi="Arial"/>
          <w:b/>
          <w:u w:val="none"/>
        </w:rPr>
        <w:t xml:space="preserve">PLAZO DE EJECUCIÓN DE </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763640">
        <w:rPr>
          <w:rFonts w:ascii="Arial" w:eastAsia="Arial" w:hAnsi="Arial" w:cs="Arial"/>
          <w:b/>
          <w:bCs/>
          <w:u w:val="none"/>
        </w:rPr>
        <w:t>LAS INTERVENCIONES</w:t>
      </w:r>
      <w:bookmarkEnd w:id="1232"/>
      <w:bookmarkEnd w:id="1233"/>
    </w:p>
    <w:p w14:paraId="38DD744E" w14:textId="77777777" w:rsidR="004412F1" w:rsidRPr="00763640" w:rsidRDefault="004412F1"/>
    <w:p w14:paraId="22C39FA4" w14:textId="77777777" w:rsidR="004412F1" w:rsidRPr="00763640" w:rsidRDefault="005A12A3">
      <w:pPr>
        <w:numPr>
          <w:ilvl w:val="1"/>
          <w:numId w:val="88"/>
        </w:numPr>
        <w:jc w:val="both"/>
        <w:rPr>
          <w:rFonts w:eastAsia="Times New Roman"/>
          <w:bCs/>
          <w:color w:val="000000"/>
          <w:szCs w:val="18"/>
          <w:lang w:val="es-ES" w:eastAsia="es-ES"/>
        </w:rPr>
      </w:pPr>
      <w:bookmarkStart w:id="1234" w:name="_n5rssn" w:colFirst="0" w:colLast="0"/>
      <w:bookmarkStart w:id="1235" w:name="_Ref271729813"/>
      <w:bookmarkEnd w:id="1234"/>
      <w:r w:rsidRPr="00763640">
        <w:rPr>
          <w:color w:val="000000"/>
        </w:rPr>
        <w:t xml:space="preserve">El CONCESIONARIO se obliga a ejecutar las </w:t>
      </w:r>
      <w:r w:rsidRPr="00763640">
        <w:t>siguientes Intervenciones según se detalla a continuación:</w:t>
      </w:r>
    </w:p>
    <w:p w14:paraId="45D01F1C" w14:textId="77777777" w:rsidR="004412F1" w:rsidRPr="00763640" w:rsidRDefault="004412F1">
      <w:pPr>
        <w:ind w:left="720"/>
        <w:jc w:val="both"/>
      </w:pPr>
      <w:bookmarkStart w:id="1236" w:name="_m8vla6xa6ocr" w:colFirst="0" w:colLast="0"/>
      <w:bookmarkEnd w:id="1236"/>
    </w:p>
    <w:p w14:paraId="5C46486A" w14:textId="77777777" w:rsidR="004412F1" w:rsidRPr="00763640" w:rsidRDefault="005A12A3">
      <w:pPr>
        <w:numPr>
          <w:ilvl w:val="0"/>
          <w:numId w:val="89"/>
        </w:numPr>
        <w:ind w:leftChars="400" w:left="1320" w:hangingChars="200" w:hanging="440"/>
        <w:jc w:val="both"/>
      </w:pPr>
      <w:bookmarkStart w:id="1237" w:name="_eur4slzhqkyu"/>
      <w:bookmarkEnd w:id="1237"/>
      <w:r w:rsidRPr="00763640">
        <w:rPr>
          <w:color w:val="000000" w:themeColor="text1"/>
        </w:rPr>
        <w:t>el Ma</w:t>
      </w:r>
      <w:r w:rsidRPr="00763640">
        <w:t xml:space="preserve">ntenimiento Periódico Inicial en un plazo máximo  de treinta y seis (36) meses, que se iniciará a los treinta (30) Días Calendario de la conformidad del Cierre Financiero para la intervención del Mantenimiento Periódico Inicial de la Concesión; </w:t>
      </w:r>
      <w:bookmarkStart w:id="1238" w:name="_97pk19z1xxyq"/>
      <w:bookmarkEnd w:id="1238"/>
    </w:p>
    <w:p w14:paraId="0F550325" w14:textId="77777777" w:rsidR="004412F1" w:rsidRPr="00763640" w:rsidRDefault="004412F1">
      <w:pPr>
        <w:ind w:leftChars="400" w:left="1320" w:hangingChars="200" w:hanging="440"/>
        <w:jc w:val="both"/>
      </w:pPr>
    </w:p>
    <w:p w14:paraId="4B6666DA" w14:textId="77777777" w:rsidR="004412F1" w:rsidRPr="00763640" w:rsidRDefault="005A12A3">
      <w:pPr>
        <w:numPr>
          <w:ilvl w:val="0"/>
          <w:numId w:val="89"/>
        </w:numPr>
        <w:ind w:leftChars="400" w:left="1320" w:hangingChars="200" w:hanging="440"/>
        <w:jc w:val="both"/>
      </w:pPr>
      <w:r w:rsidRPr="00763640">
        <w:t>la Rehabilitación y Mejoramiento en un plazo máximo de treinta y seis (36) meses,  que se iniciará a los treinta (30) Días Calendario de la conformidad del Cierre Financiero para la Intervención de la Rehabilitación y Mejoramiento de la Concesión, y;</w:t>
      </w:r>
    </w:p>
    <w:p w14:paraId="32848CD1" w14:textId="77777777" w:rsidR="004412F1" w:rsidRPr="00763640" w:rsidRDefault="004412F1">
      <w:pPr>
        <w:ind w:leftChars="400" w:left="1320" w:hangingChars="200" w:hanging="440"/>
        <w:jc w:val="both"/>
      </w:pPr>
    </w:p>
    <w:p w14:paraId="221AFCAD" w14:textId="77777777" w:rsidR="004412F1" w:rsidRPr="00763640" w:rsidRDefault="005A12A3">
      <w:pPr>
        <w:ind w:leftChars="400" w:left="1320" w:hangingChars="200" w:hanging="440"/>
        <w:jc w:val="both"/>
        <w:rPr>
          <w:rFonts w:eastAsia="SimSun"/>
          <w:lang w:eastAsia="zh-CN"/>
        </w:rPr>
      </w:pPr>
      <w:bookmarkStart w:id="1239" w:name="_7x9k3gq8t3wp"/>
      <w:bookmarkEnd w:id="1239"/>
      <w:r w:rsidRPr="00763640">
        <w:t xml:space="preserve">(iii) la Construcción del evitamiento San Clemente en un plazo máximo de doce (12) meses, que se iniciará a los veinticuatro (24) meses posteriores al inicio de la ejecución de la Rehabilitación y Mejoramiento de la Concesión. </w:t>
      </w:r>
    </w:p>
    <w:p w14:paraId="005C4F05" w14:textId="77777777" w:rsidR="004412F1" w:rsidRPr="00763640" w:rsidRDefault="004412F1">
      <w:pPr>
        <w:ind w:left="720"/>
        <w:jc w:val="both"/>
        <w:rPr>
          <w:rFonts w:eastAsia="SimSun"/>
          <w:lang w:eastAsia="zh-CN"/>
        </w:rPr>
      </w:pPr>
    </w:p>
    <w:p w14:paraId="705021F2" w14:textId="77777777" w:rsidR="004412F1" w:rsidRPr="00763640" w:rsidRDefault="005A12A3">
      <w:pPr>
        <w:numPr>
          <w:ilvl w:val="1"/>
          <w:numId w:val="88"/>
        </w:numPr>
        <w:jc w:val="both"/>
        <w:rPr>
          <w:rFonts w:eastAsia="Times New Roman"/>
          <w:bCs/>
          <w:szCs w:val="18"/>
          <w:lang w:val="es-ES" w:eastAsia="es-ES"/>
        </w:rPr>
      </w:pPr>
      <w:bookmarkStart w:id="1240" w:name="_61v0m7bi6utf"/>
      <w:bookmarkStart w:id="1241" w:name="_6kdgzsh3tf6h" w:colFirst="0" w:colLast="0"/>
      <w:bookmarkEnd w:id="1240"/>
      <w:bookmarkEnd w:id="1241"/>
      <w:r w:rsidRPr="00763640">
        <w:rPr>
          <w:color w:val="000000" w:themeColor="text1"/>
        </w:rPr>
        <w:t>Para iniciar</w:t>
      </w:r>
      <w:r w:rsidRPr="00763640">
        <w:t xml:space="preserve"> </w:t>
      </w:r>
      <w:r w:rsidRPr="00763640">
        <w:rPr>
          <w:color w:val="000000" w:themeColor="text1"/>
        </w:rPr>
        <w:t>la ejecución de las Intervenciones se deberá verificar el cumplimiento de las condiciones indicadas en la</w:t>
      </w:r>
      <w:r w:rsidRPr="00763640">
        <w:rPr>
          <w:color w:val="000000" w:themeColor="text1"/>
          <w:lang w:val="es-PE"/>
        </w:rPr>
        <w:t>s</w:t>
      </w:r>
      <w:r w:rsidRPr="00763640">
        <w:rPr>
          <w:color w:val="000000" w:themeColor="text1"/>
        </w:rPr>
        <w:t xml:space="preserve"> Cláusula</w:t>
      </w:r>
      <w:r w:rsidRPr="00763640">
        <w:rPr>
          <w:color w:val="000000" w:themeColor="text1"/>
          <w:lang w:val="es-PE"/>
        </w:rPr>
        <w:t>s</w:t>
      </w:r>
      <w:r w:rsidRPr="00763640">
        <w:rPr>
          <w:color w:val="000000" w:themeColor="text1"/>
        </w:rPr>
        <w:t xml:space="preserve"> 6.2</w:t>
      </w:r>
      <w:r w:rsidRPr="00763640">
        <w:rPr>
          <w:color w:val="000000" w:themeColor="text1"/>
          <w:lang w:val="es-PE"/>
        </w:rPr>
        <w:t>1</w:t>
      </w:r>
      <w:r w:rsidRPr="00763640">
        <w:rPr>
          <w:color w:val="000000" w:themeColor="text1"/>
        </w:rPr>
        <w:t xml:space="preserve"> </w:t>
      </w:r>
      <w:r w:rsidRPr="00763640">
        <w:rPr>
          <w:color w:val="000000" w:themeColor="text1"/>
          <w:lang w:val="es-PE"/>
        </w:rPr>
        <w:t>al</w:t>
      </w:r>
      <w:r w:rsidRPr="00763640">
        <w:rPr>
          <w:color w:val="000000" w:themeColor="text1"/>
        </w:rPr>
        <w:t xml:space="preserve"> 6.2</w:t>
      </w:r>
      <w:r w:rsidRPr="00763640">
        <w:rPr>
          <w:color w:val="000000" w:themeColor="text1"/>
          <w:lang w:val="es-PE"/>
        </w:rPr>
        <w:t>3</w:t>
      </w:r>
      <w:r w:rsidRPr="00763640">
        <w:rPr>
          <w:color w:val="000000" w:themeColor="text1"/>
        </w:rPr>
        <w:t>, respectivamente.</w:t>
      </w:r>
      <w:bookmarkEnd w:id="1235"/>
      <w:r w:rsidRPr="00763640">
        <w:rPr>
          <w:color w:val="000000" w:themeColor="text1"/>
        </w:rPr>
        <w:t xml:space="preserve"> </w:t>
      </w:r>
    </w:p>
    <w:p w14:paraId="4D33246B" w14:textId="77777777" w:rsidR="004412F1" w:rsidRPr="00763640" w:rsidRDefault="004412F1">
      <w:pPr>
        <w:suppressLineNumbers/>
        <w:suppressAutoHyphens/>
        <w:jc w:val="both"/>
        <w:rPr>
          <w:color w:val="000000"/>
        </w:rPr>
      </w:pPr>
    </w:p>
    <w:p w14:paraId="3E090D7D" w14:textId="77777777" w:rsidR="004412F1" w:rsidRPr="00763640" w:rsidRDefault="005A12A3">
      <w:pPr>
        <w:pStyle w:val="Ttulo2"/>
        <w:ind w:left="0"/>
        <w:jc w:val="both"/>
        <w:rPr>
          <w:rFonts w:ascii="Arial" w:hAnsi="Arial"/>
          <w:b/>
          <w:u w:val="none"/>
        </w:rPr>
      </w:pPr>
      <w:bookmarkStart w:id="1242" w:name="_rs3hg2kliq75"/>
      <w:bookmarkStart w:id="1243" w:name="_375fbgg"/>
      <w:bookmarkStart w:id="1244" w:name="_Toc139294724"/>
      <w:bookmarkStart w:id="1245" w:name="_Toc468837628"/>
      <w:bookmarkStart w:id="1246" w:name="_Toc140089322"/>
      <w:bookmarkStart w:id="1247" w:name="_Toc94329029"/>
      <w:bookmarkStart w:id="1248" w:name="_Toc131328774"/>
      <w:bookmarkStart w:id="1249" w:name="_Toc131332016"/>
      <w:bookmarkStart w:id="1250" w:name="_Toc131329110"/>
      <w:bookmarkStart w:id="1251" w:name="_Toc94337840"/>
      <w:bookmarkStart w:id="1252" w:name="_Toc94328773"/>
      <w:bookmarkStart w:id="1253" w:name="_Toc94329521"/>
      <w:bookmarkStart w:id="1254" w:name="_Toc94328513"/>
      <w:bookmarkStart w:id="1255" w:name="_Toc131329342"/>
      <w:bookmarkStart w:id="1256" w:name="_Toc131329929"/>
      <w:bookmarkStart w:id="1257" w:name="_Toc102405296"/>
      <w:bookmarkStart w:id="1258" w:name="_Toc94330153"/>
      <w:bookmarkStart w:id="1259" w:name="_Toc131332937"/>
      <w:bookmarkStart w:id="1260" w:name="_Toc94337609"/>
      <w:bookmarkStart w:id="1261" w:name="_Toc94329275"/>
      <w:bookmarkStart w:id="1262" w:name="_Toc131327958"/>
      <w:bookmarkEnd w:id="1242"/>
      <w:bookmarkEnd w:id="1243"/>
      <w:r w:rsidRPr="00763640">
        <w:rPr>
          <w:rFonts w:ascii="Arial" w:hAnsi="Arial"/>
          <w:b/>
          <w:u w:val="none"/>
        </w:rPr>
        <w:t>MANTENIMIENTO PERIÓDICO INICIAL Y REHABILITACIÓN Y MEJORAMIENTO</w:t>
      </w:r>
      <w:bookmarkEnd w:id="1244"/>
      <w:bookmarkEnd w:id="1245"/>
      <w:bookmarkEnd w:id="1246"/>
    </w:p>
    <w:p w14:paraId="7C574E78" w14:textId="77777777" w:rsidR="004412F1" w:rsidRPr="00763640" w:rsidRDefault="004412F1"/>
    <w:p w14:paraId="3C6A5E89" w14:textId="77777777" w:rsidR="004412F1" w:rsidRDefault="005A12A3">
      <w:pPr>
        <w:numPr>
          <w:ilvl w:val="1"/>
          <w:numId w:val="88"/>
        </w:numPr>
        <w:suppressLineNumbers/>
        <w:suppressAutoHyphens/>
        <w:jc w:val="both"/>
        <w:rPr>
          <w:color w:val="000000"/>
        </w:rPr>
      </w:pPr>
      <w:bookmarkStart w:id="1263" w:name="_1maplo9"/>
      <w:bookmarkStart w:id="1264" w:name="_Ref352608069"/>
      <w:bookmarkEnd w:id="1263"/>
      <w:r w:rsidRPr="00763640">
        <w:rPr>
          <w:color w:val="000000" w:themeColor="text1"/>
        </w:rPr>
        <w:t>El CONCESIONARIO se obliga a ejecutar el Mantenimiento Periódico Inicial y la Rehabilitación y Mejoramiento correspondientes a la Concesión, sin perjuicio de las actividades de Conservación a que se refiere el Capítulo VII</w:t>
      </w:r>
      <w:r w:rsidRPr="00763640">
        <w:rPr>
          <w:color w:val="000000" w:themeColor="text1"/>
          <w:lang w:val="es-PE"/>
        </w:rPr>
        <w:t xml:space="preserve"> del presente Contrato</w:t>
      </w:r>
      <w:r w:rsidRPr="00763640">
        <w:rPr>
          <w:color w:val="000000" w:themeColor="text1"/>
        </w:rPr>
        <w:t>. La Rehabilitación y Mejoramiento será eje</w:t>
      </w:r>
      <w:r>
        <w:rPr>
          <w:color w:val="000000" w:themeColor="text1"/>
        </w:rPr>
        <w:t>cutada de acuerdo con los Estudios Definitivos de Ingeniería e Instrumento de Gestión Ambiental y el Mantenimiento Periódico Inicial de acuerdo al Expediente Técnico, en los Sub Tramos respectivos de acuerdo al siguiente detalle:</w:t>
      </w:r>
      <w:bookmarkEnd w:id="1264"/>
    </w:p>
    <w:p w14:paraId="57B97ADF" w14:textId="77777777" w:rsidR="004412F1" w:rsidRDefault="004412F1">
      <w:pPr>
        <w:ind w:left="720"/>
        <w:jc w:val="both"/>
        <w:rPr>
          <w:rFonts w:eastAsia="SimSun"/>
          <w:color w:val="000000"/>
          <w:lang w:eastAsia="zh-CN"/>
        </w:rPr>
      </w:pPr>
    </w:p>
    <w:p w14:paraId="01AB9355" w14:textId="77777777" w:rsidR="004412F1" w:rsidRDefault="005A12A3">
      <w:pPr>
        <w:ind w:firstLine="709"/>
        <w:jc w:val="both"/>
        <w:rPr>
          <w:b/>
        </w:rPr>
      </w:pPr>
      <w:r>
        <w:rPr>
          <w:b/>
        </w:rPr>
        <w:t>Mantenimiento Periódico Inicial</w:t>
      </w:r>
    </w:p>
    <w:p w14:paraId="2E3FE0F2" w14:textId="77777777" w:rsidR="004412F1" w:rsidRDefault="004412F1">
      <w:pPr>
        <w:ind w:firstLine="709"/>
        <w:jc w:val="both"/>
        <w:rPr>
          <w:b/>
          <w:lang w:val="es-ES" w:eastAsia="es-ES"/>
        </w:rPr>
      </w:pPr>
    </w:p>
    <w:tbl>
      <w:tblPr>
        <w:tblpPr w:leftFromText="141" w:rightFromText="141" w:vertAnchor="text" w:horzAnchor="margin" w:tblpXSpec="right" w:tblpY="79"/>
        <w:tblW w:w="7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2641"/>
        <w:gridCol w:w="1382"/>
        <w:gridCol w:w="1408"/>
        <w:gridCol w:w="1281"/>
      </w:tblGrid>
      <w:tr w:rsidR="004412F1" w14:paraId="72925A2F" w14:textId="77777777">
        <w:trPr>
          <w:trHeight w:val="23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A57F2D" w14:textId="77777777" w:rsidR="004412F1" w:rsidRDefault="005A12A3">
            <w:pPr>
              <w:jc w:val="center"/>
              <w:rPr>
                <w:sz w:val="18"/>
                <w:szCs w:val="18"/>
              </w:rPr>
            </w:pPr>
            <w:r>
              <w:rPr>
                <w:sz w:val="18"/>
                <w:szCs w:val="18"/>
              </w:rPr>
              <w:lastRenderedPageBreak/>
              <w:t>Sub Tamo</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0CDB54" w14:textId="77777777" w:rsidR="004412F1" w:rsidRDefault="005A12A3">
            <w:pPr>
              <w:jc w:val="center"/>
              <w:rPr>
                <w:color w:val="000000"/>
                <w:sz w:val="18"/>
                <w:szCs w:val="18"/>
              </w:rPr>
            </w:pPr>
            <w:r>
              <w:rPr>
                <w:color w:val="000000" w:themeColor="text1"/>
                <w:sz w:val="18"/>
                <w:szCs w:val="18"/>
              </w:rPr>
              <w:t>Nombre del Sub Tramo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471AA2" w14:textId="77777777" w:rsidR="004412F1" w:rsidRDefault="005A12A3">
            <w:pPr>
              <w:jc w:val="center"/>
              <w:rPr>
                <w:sz w:val="18"/>
                <w:szCs w:val="18"/>
              </w:rPr>
            </w:pPr>
            <w:r>
              <w:rPr>
                <w:sz w:val="18"/>
                <w:szCs w:val="18"/>
              </w:rPr>
              <w:t>Longitud del Sub Tramo (km)</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D568A8" w14:textId="77777777" w:rsidR="004412F1" w:rsidRDefault="005A12A3">
            <w:pPr>
              <w:jc w:val="center"/>
              <w:rPr>
                <w:sz w:val="18"/>
                <w:szCs w:val="18"/>
              </w:rPr>
            </w:pPr>
            <w:r>
              <w:rPr>
                <w:sz w:val="18"/>
                <w:szCs w:val="18"/>
              </w:rPr>
              <w:t>Hito Funcional (HF)</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1CCA87" w14:textId="77777777" w:rsidR="004412F1" w:rsidRDefault="005A12A3">
            <w:pPr>
              <w:jc w:val="center"/>
              <w:rPr>
                <w:sz w:val="18"/>
                <w:szCs w:val="18"/>
              </w:rPr>
            </w:pPr>
            <w:r>
              <w:rPr>
                <w:sz w:val="18"/>
                <w:szCs w:val="18"/>
              </w:rPr>
              <w:t>Longitud del HF (km)</w:t>
            </w:r>
          </w:p>
        </w:tc>
      </w:tr>
      <w:tr w:rsidR="004412F1" w14:paraId="1E03F0BC" w14:textId="77777777">
        <w:trPr>
          <w:trHeight w:val="47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39A9F4D" w14:textId="77777777" w:rsidR="004412F1" w:rsidRDefault="005A12A3">
            <w:pPr>
              <w:jc w:val="center"/>
              <w:rPr>
                <w:sz w:val="18"/>
                <w:szCs w:val="18"/>
              </w:rPr>
            </w:pPr>
            <w:r>
              <w:rPr>
                <w:sz w:val="18"/>
                <w:szCs w:val="18"/>
              </w:rPr>
              <w:t>S6</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DE5246" w14:textId="77777777" w:rsidR="004412F1" w:rsidRDefault="005A12A3">
            <w:pPr>
              <w:jc w:val="center"/>
              <w:rPr>
                <w:color w:val="000000"/>
                <w:sz w:val="18"/>
                <w:szCs w:val="18"/>
              </w:rPr>
            </w:pPr>
            <w:r>
              <w:rPr>
                <w:color w:val="000000" w:themeColor="text1"/>
                <w:sz w:val="18"/>
                <w:szCs w:val="18"/>
              </w:rPr>
              <w:t>Mayocc - Huanta</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07004D" w14:textId="77777777" w:rsidR="004412F1" w:rsidRDefault="005A12A3">
            <w:pPr>
              <w:jc w:val="center"/>
              <w:rPr>
                <w:sz w:val="18"/>
                <w:szCs w:val="18"/>
              </w:rPr>
            </w:pPr>
            <w:r>
              <w:rPr>
                <w:sz w:val="18"/>
                <w:szCs w:val="18"/>
              </w:rPr>
              <w:t>32,750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A35EA5"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729D28" w14:textId="77777777" w:rsidR="004412F1" w:rsidRDefault="005A12A3">
            <w:pPr>
              <w:jc w:val="center"/>
              <w:rPr>
                <w:sz w:val="18"/>
                <w:szCs w:val="18"/>
              </w:rPr>
            </w:pPr>
            <w:r>
              <w:rPr>
                <w:sz w:val="18"/>
                <w:szCs w:val="18"/>
              </w:rPr>
              <w:t>32,750</w:t>
            </w:r>
          </w:p>
        </w:tc>
      </w:tr>
      <w:tr w:rsidR="004412F1" w14:paraId="1B4A1A30" w14:textId="77777777">
        <w:trPr>
          <w:trHeight w:val="48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3710AD" w14:textId="77777777" w:rsidR="004412F1" w:rsidRDefault="005A12A3">
            <w:pPr>
              <w:jc w:val="center"/>
              <w:rPr>
                <w:sz w:val="18"/>
                <w:szCs w:val="18"/>
              </w:rPr>
            </w:pPr>
            <w:r>
              <w:rPr>
                <w:sz w:val="18"/>
                <w:szCs w:val="18"/>
              </w:rPr>
              <w:t>S7</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3876F0D" w14:textId="77777777" w:rsidR="004412F1" w:rsidRDefault="005A12A3">
            <w:pPr>
              <w:jc w:val="center"/>
              <w:rPr>
                <w:sz w:val="18"/>
                <w:szCs w:val="18"/>
              </w:rPr>
            </w:pPr>
            <w:r>
              <w:rPr>
                <w:color w:val="000000"/>
                <w:sz w:val="18"/>
                <w:szCs w:val="18"/>
              </w:rPr>
              <w:t>Huanta- Ayacucho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BC1406" w14:textId="77777777" w:rsidR="004412F1" w:rsidRDefault="005A12A3">
            <w:pPr>
              <w:jc w:val="center"/>
              <w:rPr>
                <w:sz w:val="18"/>
                <w:szCs w:val="18"/>
              </w:rPr>
            </w:pPr>
            <w:r>
              <w:rPr>
                <w:sz w:val="18"/>
                <w:szCs w:val="18"/>
              </w:rPr>
              <w:t>42,250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58FCE7"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EAF1C6" w14:textId="77777777" w:rsidR="004412F1" w:rsidRDefault="005A12A3">
            <w:pPr>
              <w:jc w:val="center"/>
              <w:rPr>
                <w:sz w:val="18"/>
                <w:szCs w:val="18"/>
              </w:rPr>
            </w:pPr>
            <w:r>
              <w:rPr>
                <w:sz w:val="18"/>
                <w:szCs w:val="18"/>
              </w:rPr>
              <w:t>42,250</w:t>
            </w:r>
          </w:p>
        </w:tc>
      </w:tr>
      <w:tr w:rsidR="004412F1" w14:paraId="48F4A6D1" w14:textId="77777777">
        <w:trPr>
          <w:trHeight w:val="316"/>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DB7470" w14:textId="77777777" w:rsidR="004412F1" w:rsidRDefault="005A12A3">
            <w:pPr>
              <w:jc w:val="center"/>
              <w:rPr>
                <w:sz w:val="18"/>
                <w:szCs w:val="18"/>
              </w:rPr>
            </w:pPr>
            <w:r>
              <w:rPr>
                <w:sz w:val="18"/>
                <w:szCs w:val="18"/>
              </w:rPr>
              <w:t>S9</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0EADB9" w14:textId="77777777" w:rsidR="004412F1" w:rsidRDefault="005A12A3">
            <w:pPr>
              <w:jc w:val="center"/>
              <w:rPr>
                <w:color w:val="000000"/>
                <w:sz w:val="18"/>
                <w:szCs w:val="18"/>
              </w:rPr>
            </w:pPr>
            <w:r>
              <w:rPr>
                <w:color w:val="000000" w:themeColor="text1"/>
                <w:sz w:val="18"/>
                <w:szCs w:val="18"/>
              </w:rPr>
              <w:t>Ayacucho- Abra Tocto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2B8586" w14:textId="77777777" w:rsidR="004412F1" w:rsidRDefault="005A12A3">
            <w:pPr>
              <w:jc w:val="center"/>
              <w:rPr>
                <w:sz w:val="18"/>
                <w:szCs w:val="18"/>
              </w:rPr>
            </w:pPr>
            <w:r>
              <w:rPr>
                <w:sz w:val="18"/>
                <w:szCs w:val="18"/>
              </w:rPr>
              <w:t>48,830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AE2E22"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2CC0FE" w14:textId="77777777" w:rsidR="004412F1" w:rsidRDefault="005A12A3">
            <w:pPr>
              <w:jc w:val="center"/>
              <w:rPr>
                <w:color w:val="000000"/>
                <w:sz w:val="18"/>
                <w:szCs w:val="18"/>
              </w:rPr>
            </w:pPr>
            <w:r>
              <w:rPr>
                <w:sz w:val="18"/>
                <w:szCs w:val="18"/>
              </w:rPr>
              <w:t>48,830</w:t>
            </w:r>
          </w:p>
        </w:tc>
      </w:tr>
      <w:tr w:rsidR="004412F1" w14:paraId="6EBB7E7B" w14:textId="77777777">
        <w:trPr>
          <w:trHeight w:val="422"/>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B071E5" w14:textId="77777777" w:rsidR="004412F1" w:rsidRDefault="005A12A3">
            <w:pPr>
              <w:jc w:val="center"/>
              <w:rPr>
                <w:sz w:val="18"/>
                <w:szCs w:val="18"/>
              </w:rPr>
            </w:pPr>
            <w:r>
              <w:rPr>
                <w:sz w:val="18"/>
                <w:szCs w:val="18"/>
              </w:rPr>
              <w:t>S10</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0E5374" w14:textId="77777777" w:rsidR="004412F1" w:rsidRDefault="005A12A3">
            <w:pPr>
              <w:jc w:val="center"/>
              <w:rPr>
                <w:sz w:val="18"/>
                <w:szCs w:val="18"/>
              </w:rPr>
            </w:pPr>
            <w:r>
              <w:rPr>
                <w:color w:val="000000"/>
                <w:sz w:val="18"/>
                <w:szCs w:val="18"/>
              </w:rPr>
              <w:t>Abra Tocto- Ocros</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A46D51" w14:textId="77777777" w:rsidR="004412F1" w:rsidRDefault="005A12A3">
            <w:pPr>
              <w:jc w:val="center"/>
              <w:rPr>
                <w:sz w:val="18"/>
                <w:szCs w:val="18"/>
              </w:rPr>
            </w:pPr>
            <w:r>
              <w:rPr>
                <w:sz w:val="18"/>
                <w:szCs w:val="18"/>
              </w:rPr>
              <w:t>48,420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02B703"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33A7DD" w14:textId="77777777" w:rsidR="004412F1" w:rsidRDefault="005A12A3">
            <w:pPr>
              <w:jc w:val="center"/>
              <w:rPr>
                <w:sz w:val="18"/>
                <w:szCs w:val="18"/>
              </w:rPr>
            </w:pPr>
            <w:r>
              <w:rPr>
                <w:sz w:val="18"/>
                <w:szCs w:val="18"/>
              </w:rPr>
              <w:t>48,420</w:t>
            </w:r>
          </w:p>
        </w:tc>
      </w:tr>
      <w:tr w:rsidR="004412F1" w14:paraId="1C4DC236" w14:textId="77777777">
        <w:trPr>
          <w:trHeight w:val="358"/>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F0338A" w14:textId="77777777" w:rsidR="004412F1" w:rsidRDefault="005A12A3">
            <w:pPr>
              <w:jc w:val="center"/>
              <w:rPr>
                <w:sz w:val="18"/>
                <w:szCs w:val="18"/>
              </w:rPr>
            </w:pPr>
            <w:r>
              <w:rPr>
                <w:sz w:val="18"/>
                <w:szCs w:val="18"/>
              </w:rPr>
              <w:t>S11</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F5FC89" w14:textId="77777777" w:rsidR="004412F1" w:rsidRDefault="005A12A3">
            <w:pPr>
              <w:jc w:val="center"/>
              <w:rPr>
                <w:sz w:val="18"/>
                <w:szCs w:val="18"/>
              </w:rPr>
            </w:pPr>
            <w:r>
              <w:rPr>
                <w:color w:val="000000"/>
                <w:sz w:val="18"/>
                <w:szCs w:val="18"/>
              </w:rPr>
              <w:t>Ocros-Chincheros</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E617F2" w14:textId="77777777" w:rsidR="004412F1" w:rsidRDefault="005A12A3">
            <w:pPr>
              <w:jc w:val="center"/>
              <w:rPr>
                <w:sz w:val="18"/>
                <w:szCs w:val="18"/>
              </w:rPr>
            </w:pPr>
            <w:r>
              <w:rPr>
                <w:sz w:val="18"/>
                <w:szCs w:val="18"/>
              </w:rPr>
              <w:t>55,480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316246"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493FC95" w14:textId="77777777" w:rsidR="004412F1" w:rsidRDefault="005A12A3">
            <w:pPr>
              <w:jc w:val="center"/>
              <w:rPr>
                <w:sz w:val="18"/>
                <w:szCs w:val="18"/>
              </w:rPr>
            </w:pPr>
            <w:r>
              <w:rPr>
                <w:sz w:val="18"/>
                <w:szCs w:val="18"/>
              </w:rPr>
              <w:t>55,480</w:t>
            </w:r>
          </w:p>
        </w:tc>
      </w:tr>
      <w:tr w:rsidR="004412F1" w14:paraId="28DBDC6C" w14:textId="77777777">
        <w:trPr>
          <w:trHeight w:val="48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20628A" w14:textId="77777777" w:rsidR="004412F1" w:rsidRDefault="005A12A3">
            <w:pPr>
              <w:jc w:val="center"/>
              <w:rPr>
                <w:sz w:val="18"/>
                <w:szCs w:val="18"/>
              </w:rPr>
            </w:pPr>
            <w:r>
              <w:rPr>
                <w:sz w:val="18"/>
                <w:szCs w:val="18"/>
              </w:rPr>
              <w:t>S12</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712890" w14:textId="77777777" w:rsidR="004412F1" w:rsidRDefault="005A12A3">
            <w:pPr>
              <w:jc w:val="center"/>
              <w:rPr>
                <w:color w:val="000000"/>
                <w:sz w:val="18"/>
                <w:szCs w:val="18"/>
              </w:rPr>
            </w:pPr>
            <w:r>
              <w:rPr>
                <w:color w:val="000000" w:themeColor="text1"/>
                <w:sz w:val="18"/>
                <w:szCs w:val="18"/>
              </w:rPr>
              <w:t>Chincheros- Abra 1</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F2E13D2" w14:textId="77777777" w:rsidR="004412F1" w:rsidRDefault="005A12A3">
            <w:pPr>
              <w:jc w:val="center"/>
              <w:rPr>
                <w:sz w:val="18"/>
                <w:szCs w:val="18"/>
              </w:rPr>
            </w:pPr>
            <w:r>
              <w:rPr>
                <w:sz w:val="18"/>
                <w:szCs w:val="18"/>
              </w:rPr>
              <w:t>41,880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BB54B3"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AD4925" w14:textId="77777777" w:rsidR="004412F1" w:rsidRDefault="005A12A3">
            <w:pPr>
              <w:jc w:val="center"/>
              <w:rPr>
                <w:color w:val="000000"/>
                <w:sz w:val="18"/>
                <w:szCs w:val="18"/>
              </w:rPr>
            </w:pPr>
            <w:r>
              <w:rPr>
                <w:sz w:val="18"/>
                <w:szCs w:val="18"/>
              </w:rPr>
              <w:t>41,880</w:t>
            </w:r>
          </w:p>
        </w:tc>
      </w:tr>
      <w:tr w:rsidR="004412F1" w14:paraId="7D108CB3" w14:textId="77777777">
        <w:trPr>
          <w:trHeight w:val="472"/>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5A3D5C2" w14:textId="77777777" w:rsidR="004412F1" w:rsidRDefault="005A12A3">
            <w:pPr>
              <w:jc w:val="center"/>
              <w:rPr>
                <w:sz w:val="18"/>
                <w:szCs w:val="18"/>
              </w:rPr>
            </w:pPr>
            <w:r>
              <w:rPr>
                <w:sz w:val="18"/>
                <w:szCs w:val="18"/>
              </w:rPr>
              <w:t>S13</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4C21A2" w14:textId="77777777" w:rsidR="004412F1" w:rsidRDefault="005A12A3">
            <w:pPr>
              <w:jc w:val="center"/>
              <w:rPr>
                <w:color w:val="000000"/>
                <w:sz w:val="18"/>
                <w:szCs w:val="18"/>
              </w:rPr>
            </w:pPr>
            <w:r>
              <w:rPr>
                <w:color w:val="000000" w:themeColor="text1"/>
                <w:sz w:val="18"/>
                <w:szCs w:val="18"/>
              </w:rPr>
              <w:t>Abra 1- Andahuaylas</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8B31980" w14:textId="77777777" w:rsidR="004412F1" w:rsidRDefault="005A12A3">
            <w:pPr>
              <w:jc w:val="center"/>
              <w:rPr>
                <w:sz w:val="18"/>
                <w:szCs w:val="18"/>
              </w:rPr>
            </w:pPr>
            <w:r>
              <w:rPr>
                <w:sz w:val="18"/>
                <w:szCs w:val="18"/>
              </w:rPr>
              <w:t>42,140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E5E837"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40A5FF8" w14:textId="77777777" w:rsidR="004412F1" w:rsidRDefault="005A12A3">
            <w:pPr>
              <w:jc w:val="center"/>
              <w:rPr>
                <w:color w:val="000000"/>
                <w:sz w:val="18"/>
                <w:szCs w:val="18"/>
              </w:rPr>
            </w:pPr>
            <w:r>
              <w:rPr>
                <w:sz w:val="18"/>
                <w:szCs w:val="18"/>
              </w:rPr>
              <w:t>42,140</w:t>
            </w:r>
          </w:p>
        </w:tc>
      </w:tr>
      <w:tr w:rsidR="004412F1" w14:paraId="6D68590C" w14:textId="77777777">
        <w:trPr>
          <w:trHeight w:val="447"/>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F2A689" w14:textId="77777777" w:rsidR="004412F1" w:rsidRDefault="005A12A3">
            <w:pPr>
              <w:jc w:val="center"/>
              <w:rPr>
                <w:sz w:val="18"/>
                <w:szCs w:val="18"/>
              </w:rPr>
            </w:pPr>
            <w:r>
              <w:rPr>
                <w:sz w:val="18"/>
                <w:szCs w:val="18"/>
              </w:rPr>
              <w:t>S14</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EBCB2F" w14:textId="77777777" w:rsidR="004412F1" w:rsidRDefault="005A12A3">
            <w:pPr>
              <w:jc w:val="center"/>
              <w:rPr>
                <w:color w:val="000000"/>
                <w:sz w:val="18"/>
                <w:szCs w:val="18"/>
              </w:rPr>
            </w:pPr>
            <w:r>
              <w:rPr>
                <w:color w:val="000000" w:themeColor="text1"/>
                <w:sz w:val="18"/>
                <w:szCs w:val="18"/>
              </w:rPr>
              <w:t>Andahuaylas - Dv Kishuara</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DE95D4" w14:textId="77777777" w:rsidR="004412F1" w:rsidRDefault="005A12A3">
            <w:pPr>
              <w:jc w:val="center"/>
              <w:rPr>
                <w:sz w:val="18"/>
                <w:szCs w:val="18"/>
              </w:rPr>
            </w:pPr>
            <w:r>
              <w:rPr>
                <w:sz w:val="18"/>
                <w:szCs w:val="18"/>
              </w:rPr>
              <w:t>55,460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26B1FF"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873E27" w14:textId="77777777" w:rsidR="004412F1" w:rsidRDefault="005A12A3">
            <w:pPr>
              <w:jc w:val="center"/>
              <w:rPr>
                <w:color w:val="000000"/>
                <w:sz w:val="18"/>
                <w:szCs w:val="18"/>
              </w:rPr>
            </w:pPr>
            <w:r>
              <w:rPr>
                <w:sz w:val="18"/>
                <w:szCs w:val="18"/>
              </w:rPr>
              <w:t>55,460</w:t>
            </w:r>
          </w:p>
        </w:tc>
      </w:tr>
      <w:tr w:rsidR="004412F1" w14:paraId="2378CFDC" w14:textId="77777777">
        <w:trPr>
          <w:trHeight w:val="553"/>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72D1D5D" w14:textId="77777777" w:rsidR="004412F1" w:rsidRDefault="005A12A3">
            <w:pPr>
              <w:jc w:val="center"/>
              <w:rPr>
                <w:sz w:val="18"/>
                <w:szCs w:val="18"/>
              </w:rPr>
            </w:pPr>
            <w:r>
              <w:rPr>
                <w:sz w:val="18"/>
                <w:szCs w:val="18"/>
              </w:rPr>
              <w:t>S15</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CC6A4C" w14:textId="77777777" w:rsidR="004412F1" w:rsidRDefault="005A12A3">
            <w:pPr>
              <w:jc w:val="center"/>
              <w:rPr>
                <w:color w:val="000000"/>
                <w:sz w:val="18"/>
                <w:szCs w:val="18"/>
              </w:rPr>
            </w:pPr>
            <w:r>
              <w:rPr>
                <w:color w:val="000000" w:themeColor="text1"/>
                <w:sz w:val="18"/>
                <w:szCs w:val="18"/>
              </w:rPr>
              <w:t>Dv Kishuara- Pte Sahuinto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16ECEE" w14:textId="77777777" w:rsidR="004412F1" w:rsidRDefault="005A12A3">
            <w:pPr>
              <w:jc w:val="center"/>
              <w:rPr>
                <w:sz w:val="18"/>
                <w:szCs w:val="18"/>
              </w:rPr>
            </w:pPr>
            <w:r>
              <w:rPr>
                <w:sz w:val="18"/>
                <w:szCs w:val="18"/>
              </w:rPr>
              <w:t>76,080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8C4219"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D0988A" w14:textId="77777777" w:rsidR="004412F1" w:rsidRDefault="005A12A3">
            <w:pPr>
              <w:jc w:val="center"/>
              <w:rPr>
                <w:color w:val="000000"/>
                <w:sz w:val="18"/>
                <w:szCs w:val="18"/>
              </w:rPr>
            </w:pPr>
            <w:r>
              <w:rPr>
                <w:sz w:val="18"/>
                <w:szCs w:val="18"/>
              </w:rPr>
              <w:t>76,080</w:t>
            </w:r>
          </w:p>
        </w:tc>
      </w:tr>
      <w:tr w:rsidR="004412F1" w14:paraId="71771A25" w14:textId="77777777">
        <w:trPr>
          <w:trHeight w:val="278"/>
        </w:trPr>
        <w:tc>
          <w:tcPr>
            <w:tcW w:w="10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CAE9C9" w14:textId="77777777" w:rsidR="004412F1" w:rsidRDefault="005A12A3">
            <w:pPr>
              <w:jc w:val="center"/>
              <w:rPr>
                <w:sz w:val="18"/>
                <w:szCs w:val="18"/>
              </w:rPr>
            </w:pPr>
            <w:r>
              <w:rPr>
                <w:sz w:val="18"/>
                <w:szCs w:val="18"/>
              </w:rPr>
              <w:t>S16</w:t>
            </w:r>
          </w:p>
        </w:tc>
        <w:tc>
          <w:tcPr>
            <w:tcW w:w="2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77AD12" w14:textId="77777777" w:rsidR="004412F1" w:rsidRDefault="005A12A3">
            <w:pPr>
              <w:jc w:val="center"/>
              <w:rPr>
                <w:sz w:val="18"/>
                <w:szCs w:val="18"/>
              </w:rPr>
            </w:pPr>
            <w:r>
              <w:rPr>
                <w:color w:val="000000"/>
                <w:sz w:val="18"/>
                <w:szCs w:val="18"/>
              </w:rPr>
              <w:t>San Clemente - Pte Choclococha</w:t>
            </w:r>
          </w:p>
          <w:p w14:paraId="6D37587D" w14:textId="77777777" w:rsidR="004412F1" w:rsidRDefault="004412F1">
            <w:pPr>
              <w:jc w:val="center"/>
              <w:rPr>
                <w:sz w:val="18"/>
                <w:szCs w:val="18"/>
              </w:rPr>
            </w:pPr>
          </w:p>
        </w:tc>
        <w:tc>
          <w:tcPr>
            <w:tcW w:w="13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4AA227" w14:textId="77777777" w:rsidR="004412F1" w:rsidRDefault="005A12A3">
            <w:pPr>
              <w:jc w:val="center"/>
              <w:rPr>
                <w:sz w:val="18"/>
                <w:szCs w:val="18"/>
              </w:rPr>
            </w:pPr>
            <w:r>
              <w:rPr>
                <w:sz w:val="18"/>
                <w:szCs w:val="18"/>
              </w:rPr>
              <w:t>164,010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3B9DFD"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28DB70" w14:textId="77777777" w:rsidR="004412F1" w:rsidRDefault="005A12A3">
            <w:pPr>
              <w:jc w:val="center"/>
              <w:rPr>
                <w:sz w:val="18"/>
                <w:szCs w:val="18"/>
              </w:rPr>
            </w:pPr>
            <w:r>
              <w:rPr>
                <w:sz w:val="18"/>
                <w:szCs w:val="18"/>
              </w:rPr>
              <w:t>95,090</w:t>
            </w:r>
          </w:p>
        </w:tc>
      </w:tr>
      <w:tr w:rsidR="004412F1" w14:paraId="1308FB22" w14:textId="77777777">
        <w:trPr>
          <w:trHeight w:val="182"/>
        </w:trPr>
        <w:tc>
          <w:tcPr>
            <w:tcW w:w="1042" w:type="dxa"/>
            <w:vMerge/>
            <w:tcMar>
              <w:top w:w="0" w:type="dxa"/>
              <w:left w:w="108" w:type="dxa"/>
              <w:bottom w:w="0" w:type="dxa"/>
              <w:right w:w="108" w:type="dxa"/>
            </w:tcMar>
            <w:vAlign w:val="center"/>
          </w:tcPr>
          <w:p w14:paraId="01330212" w14:textId="77777777" w:rsidR="004412F1" w:rsidRDefault="004412F1">
            <w:pPr>
              <w:spacing w:line="276" w:lineRule="auto"/>
              <w:rPr>
                <w:sz w:val="18"/>
                <w:szCs w:val="18"/>
              </w:rPr>
            </w:pPr>
          </w:p>
        </w:tc>
        <w:tc>
          <w:tcPr>
            <w:tcW w:w="2641" w:type="dxa"/>
            <w:vMerge/>
            <w:tcMar>
              <w:top w:w="0" w:type="dxa"/>
              <w:left w:w="108" w:type="dxa"/>
              <w:bottom w:w="0" w:type="dxa"/>
              <w:right w:w="108" w:type="dxa"/>
            </w:tcMar>
            <w:vAlign w:val="center"/>
          </w:tcPr>
          <w:p w14:paraId="1CE30D23" w14:textId="77777777" w:rsidR="004412F1" w:rsidRDefault="004412F1">
            <w:pPr>
              <w:spacing w:line="276" w:lineRule="auto"/>
              <w:rPr>
                <w:sz w:val="18"/>
                <w:szCs w:val="18"/>
              </w:rPr>
            </w:pPr>
          </w:p>
        </w:tc>
        <w:tc>
          <w:tcPr>
            <w:tcW w:w="1382" w:type="dxa"/>
            <w:vMerge/>
            <w:tcMar>
              <w:top w:w="0" w:type="dxa"/>
              <w:left w:w="108" w:type="dxa"/>
              <w:bottom w:w="0" w:type="dxa"/>
              <w:right w:w="108" w:type="dxa"/>
            </w:tcMar>
            <w:vAlign w:val="center"/>
          </w:tcPr>
          <w:p w14:paraId="4D7BABB7" w14:textId="77777777" w:rsidR="004412F1" w:rsidRDefault="004412F1">
            <w:pPr>
              <w:spacing w:line="276" w:lineRule="auto"/>
              <w:rPr>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777312"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8644C5" w14:textId="77777777" w:rsidR="004412F1" w:rsidRDefault="005A12A3">
            <w:pPr>
              <w:jc w:val="center"/>
              <w:rPr>
                <w:sz w:val="18"/>
                <w:szCs w:val="18"/>
              </w:rPr>
            </w:pPr>
            <w:r>
              <w:rPr>
                <w:sz w:val="18"/>
                <w:szCs w:val="18"/>
              </w:rPr>
              <w:t>48,180</w:t>
            </w:r>
          </w:p>
        </w:tc>
      </w:tr>
      <w:tr w:rsidR="004412F1" w14:paraId="16421B3B" w14:textId="77777777">
        <w:trPr>
          <w:trHeight w:val="132"/>
        </w:trPr>
        <w:tc>
          <w:tcPr>
            <w:tcW w:w="1042" w:type="dxa"/>
            <w:vMerge/>
            <w:tcMar>
              <w:top w:w="0" w:type="dxa"/>
              <w:left w:w="108" w:type="dxa"/>
              <w:bottom w:w="0" w:type="dxa"/>
              <w:right w:w="108" w:type="dxa"/>
            </w:tcMar>
            <w:vAlign w:val="center"/>
          </w:tcPr>
          <w:p w14:paraId="5A96F85A" w14:textId="77777777" w:rsidR="004412F1" w:rsidRDefault="004412F1">
            <w:pPr>
              <w:spacing w:line="276" w:lineRule="auto"/>
              <w:rPr>
                <w:sz w:val="18"/>
                <w:szCs w:val="18"/>
              </w:rPr>
            </w:pPr>
          </w:p>
        </w:tc>
        <w:tc>
          <w:tcPr>
            <w:tcW w:w="2641" w:type="dxa"/>
            <w:vMerge/>
            <w:tcMar>
              <w:top w:w="0" w:type="dxa"/>
              <w:left w:w="108" w:type="dxa"/>
              <w:bottom w:w="0" w:type="dxa"/>
              <w:right w:w="108" w:type="dxa"/>
            </w:tcMar>
            <w:vAlign w:val="center"/>
          </w:tcPr>
          <w:p w14:paraId="6CC28CF4" w14:textId="77777777" w:rsidR="004412F1" w:rsidRDefault="004412F1">
            <w:pPr>
              <w:spacing w:line="276" w:lineRule="auto"/>
              <w:rPr>
                <w:sz w:val="18"/>
                <w:szCs w:val="18"/>
              </w:rPr>
            </w:pPr>
          </w:p>
        </w:tc>
        <w:tc>
          <w:tcPr>
            <w:tcW w:w="1382" w:type="dxa"/>
            <w:vMerge/>
            <w:tcMar>
              <w:top w:w="0" w:type="dxa"/>
              <w:left w:w="108" w:type="dxa"/>
              <w:bottom w:w="0" w:type="dxa"/>
              <w:right w:w="108" w:type="dxa"/>
            </w:tcMar>
            <w:vAlign w:val="center"/>
          </w:tcPr>
          <w:p w14:paraId="7EA65AEE" w14:textId="77777777" w:rsidR="004412F1" w:rsidRDefault="004412F1">
            <w:pPr>
              <w:spacing w:line="276" w:lineRule="auto"/>
              <w:rPr>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FB6B0D"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469EAD" w14:textId="77777777" w:rsidR="004412F1" w:rsidRDefault="005A12A3">
            <w:pPr>
              <w:jc w:val="center"/>
              <w:rPr>
                <w:sz w:val="18"/>
                <w:szCs w:val="18"/>
              </w:rPr>
            </w:pPr>
            <w:r>
              <w:rPr>
                <w:sz w:val="18"/>
                <w:szCs w:val="18"/>
              </w:rPr>
              <w:t>20,740</w:t>
            </w:r>
          </w:p>
        </w:tc>
      </w:tr>
      <w:tr w:rsidR="004412F1" w14:paraId="0A274BD3" w14:textId="77777777">
        <w:trPr>
          <w:trHeight w:val="260"/>
        </w:trPr>
        <w:tc>
          <w:tcPr>
            <w:tcW w:w="10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1B6BBF" w14:textId="77777777" w:rsidR="004412F1" w:rsidRDefault="005A12A3">
            <w:pPr>
              <w:jc w:val="center"/>
              <w:rPr>
                <w:sz w:val="18"/>
                <w:szCs w:val="18"/>
              </w:rPr>
            </w:pPr>
            <w:r>
              <w:rPr>
                <w:sz w:val="18"/>
                <w:szCs w:val="18"/>
              </w:rPr>
              <w:t>S17</w:t>
            </w:r>
          </w:p>
        </w:tc>
        <w:tc>
          <w:tcPr>
            <w:tcW w:w="2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01328A" w14:textId="77777777" w:rsidR="004412F1" w:rsidRDefault="005A12A3">
            <w:pPr>
              <w:jc w:val="center"/>
              <w:rPr>
                <w:color w:val="000000"/>
                <w:sz w:val="18"/>
                <w:szCs w:val="18"/>
              </w:rPr>
            </w:pPr>
            <w:r>
              <w:rPr>
                <w:color w:val="000000" w:themeColor="text1"/>
                <w:sz w:val="18"/>
                <w:szCs w:val="18"/>
              </w:rPr>
              <w:t>Pte Choclococha - Ayacucho</w:t>
            </w:r>
          </w:p>
          <w:p w14:paraId="0CFC9BCC" w14:textId="77777777" w:rsidR="004412F1" w:rsidRDefault="004412F1">
            <w:pPr>
              <w:jc w:val="center"/>
              <w:rPr>
                <w:color w:val="000000"/>
                <w:sz w:val="18"/>
                <w:szCs w:val="18"/>
              </w:rPr>
            </w:pPr>
          </w:p>
        </w:tc>
        <w:tc>
          <w:tcPr>
            <w:tcW w:w="13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F1A0E9" w14:textId="77777777" w:rsidR="004412F1" w:rsidRDefault="005A12A3">
            <w:pPr>
              <w:jc w:val="center"/>
              <w:rPr>
                <w:sz w:val="18"/>
                <w:szCs w:val="18"/>
              </w:rPr>
            </w:pPr>
            <w:r>
              <w:rPr>
                <w:sz w:val="18"/>
                <w:szCs w:val="18"/>
              </w:rPr>
              <w:t>165,820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B6EAE4"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5DFFB3" w14:textId="77777777" w:rsidR="004412F1" w:rsidRDefault="005A12A3">
            <w:pPr>
              <w:jc w:val="center"/>
              <w:rPr>
                <w:color w:val="000000"/>
                <w:sz w:val="18"/>
                <w:szCs w:val="18"/>
              </w:rPr>
            </w:pPr>
            <w:r>
              <w:rPr>
                <w:sz w:val="18"/>
                <w:szCs w:val="18"/>
              </w:rPr>
              <w:t>78,720</w:t>
            </w:r>
          </w:p>
        </w:tc>
      </w:tr>
      <w:tr w:rsidR="004412F1" w14:paraId="6710805D" w14:textId="77777777">
        <w:trPr>
          <w:trHeight w:val="266"/>
        </w:trPr>
        <w:tc>
          <w:tcPr>
            <w:tcW w:w="1042" w:type="dxa"/>
            <w:vMerge/>
            <w:tcMar>
              <w:top w:w="0" w:type="dxa"/>
              <w:left w:w="108" w:type="dxa"/>
              <w:bottom w:w="0" w:type="dxa"/>
              <w:right w:w="108" w:type="dxa"/>
            </w:tcMar>
            <w:vAlign w:val="center"/>
          </w:tcPr>
          <w:p w14:paraId="2094904E" w14:textId="77777777" w:rsidR="004412F1" w:rsidRDefault="004412F1">
            <w:pPr>
              <w:spacing w:line="276" w:lineRule="auto"/>
              <w:rPr>
                <w:color w:val="000000"/>
                <w:sz w:val="18"/>
                <w:szCs w:val="18"/>
              </w:rPr>
            </w:pPr>
          </w:p>
        </w:tc>
        <w:tc>
          <w:tcPr>
            <w:tcW w:w="2641" w:type="dxa"/>
            <w:vMerge/>
            <w:tcMar>
              <w:top w:w="0" w:type="dxa"/>
              <w:left w:w="108" w:type="dxa"/>
              <w:bottom w:w="0" w:type="dxa"/>
              <w:right w:w="108" w:type="dxa"/>
            </w:tcMar>
            <w:vAlign w:val="center"/>
          </w:tcPr>
          <w:p w14:paraId="7E70D214" w14:textId="77777777" w:rsidR="004412F1" w:rsidRDefault="004412F1">
            <w:pPr>
              <w:spacing w:line="276" w:lineRule="auto"/>
              <w:rPr>
                <w:color w:val="000000"/>
                <w:sz w:val="18"/>
                <w:szCs w:val="18"/>
              </w:rPr>
            </w:pPr>
          </w:p>
        </w:tc>
        <w:tc>
          <w:tcPr>
            <w:tcW w:w="1382" w:type="dxa"/>
            <w:vMerge/>
            <w:tcMar>
              <w:top w:w="0" w:type="dxa"/>
              <w:left w:w="108" w:type="dxa"/>
              <w:bottom w:w="0" w:type="dxa"/>
              <w:right w:w="108" w:type="dxa"/>
            </w:tcMar>
            <w:vAlign w:val="center"/>
          </w:tcPr>
          <w:p w14:paraId="49384FFD" w14:textId="77777777" w:rsidR="004412F1" w:rsidRDefault="004412F1">
            <w:pPr>
              <w:spacing w:line="276" w:lineRule="auto"/>
              <w:rPr>
                <w:color w:val="000000"/>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61672B"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3BF9053" w14:textId="77777777" w:rsidR="004412F1" w:rsidRDefault="005A12A3">
            <w:pPr>
              <w:jc w:val="center"/>
              <w:rPr>
                <w:color w:val="000000"/>
                <w:sz w:val="18"/>
                <w:szCs w:val="18"/>
              </w:rPr>
            </w:pPr>
            <w:r>
              <w:rPr>
                <w:sz w:val="18"/>
                <w:szCs w:val="18"/>
              </w:rPr>
              <w:t>87,100</w:t>
            </w:r>
          </w:p>
        </w:tc>
      </w:tr>
    </w:tbl>
    <w:p w14:paraId="7F19632C" w14:textId="77777777" w:rsidR="004412F1" w:rsidRDefault="004412F1">
      <w:pPr>
        <w:jc w:val="both"/>
      </w:pPr>
    </w:p>
    <w:p w14:paraId="0BFE84B3" w14:textId="77777777" w:rsidR="004412F1" w:rsidRDefault="004412F1">
      <w:pPr>
        <w:jc w:val="both"/>
      </w:pPr>
    </w:p>
    <w:p w14:paraId="3E35884A" w14:textId="77777777" w:rsidR="004412F1" w:rsidRDefault="004412F1">
      <w:pPr>
        <w:ind w:hanging="709"/>
        <w:jc w:val="both"/>
        <w:rPr>
          <w:b/>
        </w:rPr>
      </w:pPr>
    </w:p>
    <w:p w14:paraId="26BA60BE" w14:textId="77777777" w:rsidR="004412F1" w:rsidRDefault="004412F1">
      <w:pPr>
        <w:jc w:val="both"/>
        <w:rPr>
          <w:color w:val="000000"/>
        </w:rPr>
      </w:pPr>
    </w:p>
    <w:p w14:paraId="571E150A" w14:textId="77777777" w:rsidR="004412F1" w:rsidRDefault="004412F1">
      <w:pPr>
        <w:numPr>
          <w:ilvl w:val="249"/>
          <w:numId w:val="0"/>
        </w:numPr>
        <w:jc w:val="both"/>
        <w:rPr>
          <w:color w:val="000000"/>
        </w:rPr>
      </w:pPr>
    </w:p>
    <w:p w14:paraId="381A0D6E" w14:textId="77777777" w:rsidR="004412F1" w:rsidRDefault="004412F1">
      <w:pPr>
        <w:numPr>
          <w:ilvl w:val="249"/>
          <w:numId w:val="0"/>
        </w:numPr>
        <w:jc w:val="both"/>
        <w:rPr>
          <w:color w:val="000000"/>
        </w:rPr>
      </w:pPr>
    </w:p>
    <w:p w14:paraId="5A8204E8" w14:textId="77777777" w:rsidR="004412F1" w:rsidRDefault="004412F1">
      <w:pPr>
        <w:numPr>
          <w:ilvl w:val="249"/>
          <w:numId w:val="0"/>
        </w:numPr>
        <w:jc w:val="both"/>
        <w:rPr>
          <w:color w:val="000000"/>
        </w:rPr>
      </w:pPr>
    </w:p>
    <w:p w14:paraId="49033137" w14:textId="77777777" w:rsidR="004412F1" w:rsidRDefault="004412F1">
      <w:pPr>
        <w:numPr>
          <w:ilvl w:val="249"/>
          <w:numId w:val="0"/>
        </w:numPr>
        <w:jc w:val="both"/>
        <w:rPr>
          <w:color w:val="000000"/>
        </w:rPr>
      </w:pPr>
    </w:p>
    <w:p w14:paraId="1A83EB44" w14:textId="77777777" w:rsidR="004412F1" w:rsidRDefault="004412F1">
      <w:pPr>
        <w:numPr>
          <w:ilvl w:val="249"/>
          <w:numId w:val="0"/>
        </w:numPr>
        <w:jc w:val="both"/>
        <w:rPr>
          <w:color w:val="000000"/>
        </w:rPr>
      </w:pPr>
    </w:p>
    <w:p w14:paraId="51E552D7" w14:textId="77777777" w:rsidR="004412F1" w:rsidRDefault="004412F1">
      <w:pPr>
        <w:numPr>
          <w:ilvl w:val="249"/>
          <w:numId w:val="0"/>
        </w:numPr>
        <w:jc w:val="both"/>
        <w:rPr>
          <w:color w:val="000000"/>
        </w:rPr>
      </w:pPr>
    </w:p>
    <w:p w14:paraId="65A7D25A" w14:textId="77777777" w:rsidR="004412F1" w:rsidRDefault="004412F1">
      <w:pPr>
        <w:numPr>
          <w:ilvl w:val="249"/>
          <w:numId w:val="0"/>
        </w:numPr>
        <w:jc w:val="both"/>
        <w:rPr>
          <w:color w:val="000000"/>
        </w:rPr>
      </w:pPr>
    </w:p>
    <w:p w14:paraId="723DB523" w14:textId="77777777" w:rsidR="004412F1" w:rsidRDefault="004412F1">
      <w:pPr>
        <w:numPr>
          <w:ilvl w:val="249"/>
          <w:numId w:val="0"/>
        </w:numPr>
        <w:jc w:val="both"/>
        <w:rPr>
          <w:color w:val="000000"/>
        </w:rPr>
      </w:pPr>
    </w:p>
    <w:p w14:paraId="445AF5E0" w14:textId="77777777" w:rsidR="004412F1" w:rsidRDefault="004412F1">
      <w:pPr>
        <w:numPr>
          <w:ilvl w:val="249"/>
          <w:numId w:val="0"/>
        </w:numPr>
        <w:jc w:val="both"/>
        <w:rPr>
          <w:color w:val="000000"/>
        </w:rPr>
      </w:pPr>
    </w:p>
    <w:p w14:paraId="70977D72" w14:textId="77777777" w:rsidR="004412F1" w:rsidRDefault="004412F1">
      <w:pPr>
        <w:numPr>
          <w:ilvl w:val="249"/>
          <w:numId w:val="0"/>
        </w:numPr>
        <w:jc w:val="both"/>
        <w:rPr>
          <w:color w:val="000000"/>
        </w:rPr>
      </w:pPr>
    </w:p>
    <w:p w14:paraId="7EB46DE7" w14:textId="77777777" w:rsidR="004412F1" w:rsidRDefault="004412F1">
      <w:pPr>
        <w:numPr>
          <w:ilvl w:val="249"/>
          <w:numId w:val="0"/>
        </w:numPr>
        <w:jc w:val="both"/>
        <w:rPr>
          <w:color w:val="000000"/>
        </w:rPr>
      </w:pPr>
    </w:p>
    <w:p w14:paraId="6AE941E8" w14:textId="77777777" w:rsidR="004412F1" w:rsidRDefault="004412F1">
      <w:pPr>
        <w:ind w:firstLine="709"/>
        <w:jc w:val="both"/>
        <w:rPr>
          <w:b/>
        </w:rPr>
      </w:pPr>
    </w:p>
    <w:p w14:paraId="4B8EEE2A" w14:textId="77777777" w:rsidR="004412F1" w:rsidRDefault="005A12A3">
      <w:pPr>
        <w:ind w:firstLine="709"/>
        <w:jc w:val="both"/>
        <w:rPr>
          <w:b/>
          <w:bCs/>
        </w:rPr>
      </w:pPr>
      <w:r>
        <w:rPr>
          <w:b/>
        </w:rPr>
        <w:t>Rehabilitación y Mejoramiento</w:t>
      </w:r>
      <w:r>
        <w:rPr>
          <w:b/>
          <w:bCs/>
        </w:rPr>
        <w:t>:</w:t>
      </w:r>
    </w:p>
    <w:p w14:paraId="4553A73C" w14:textId="77777777" w:rsidR="004412F1" w:rsidRDefault="004412F1">
      <w:pPr>
        <w:ind w:firstLine="709"/>
        <w:jc w:val="both"/>
        <w:rPr>
          <w:b/>
          <w:bCs/>
          <w:lang w:val="es-ES" w:eastAsia="es-ES"/>
        </w:rPr>
      </w:pPr>
    </w:p>
    <w:tbl>
      <w:tblPr>
        <w:tblW w:w="7754"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2641"/>
        <w:gridCol w:w="1382"/>
        <w:gridCol w:w="1408"/>
        <w:gridCol w:w="1281"/>
      </w:tblGrid>
      <w:tr w:rsidR="004412F1" w14:paraId="1EACEA7E" w14:textId="77777777">
        <w:trPr>
          <w:trHeight w:val="915"/>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5438ACE" w14:textId="77777777" w:rsidR="004412F1" w:rsidRDefault="005A12A3">
            <w:pPr>
              <w:jc w:val="center"/>
              <w:rPr>
                <w:sz w:val="18"/>
                <w:szCs w:val="18"/>
              </w:rPr>
            </w:pPr>
            <w:r>
              <w:rPr>
                <w:sz w:val="18"/>
                <w:szCs w:val="18"/>
              </w:rPr>
              <w:t>Sub Tramo</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30CAC9" w14:textId="77777777" w:rsidR="004412F1" w:rsidRDefault="005A12A3">
            <w:pPr>
              <w:jc w:val="center"/>
              <w:rPr>
                <w:sz w:val="18"/>
                <w:szCs w:val="18"/>
              </w:rPr>
            </w:pPr>
            <w:r>
              <w:rPr>
                <w:sz w:val="18"/>
                <w:szCs w:val="18"/>
              </w:rPr>
              <w:t>Nombre del Sub Tramos</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E08BF0" w14:textId="77777777" w:rsidR="004412F1" w:rsidRDefault="005A12A3">
            <w:pPr>
              <w:jc w:val="center"/>
              <w:rPr>
                <w:sz w:val="18"/>
                <w:szCs w:val="18"/>
              </w:rPr>
            </w:pPr>
            <w:r>
              <w:rPr>
                <w:sz w:val="18"/>
                <w:szCs w:val="18"/>
              </w:rPr>
              <w:t>Longitud del Sub Tramo (km)</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654709" w14:textId="77777777" w:rsidR="004412F1" w:rsidRDefault="005A12A3">
            <w:pPr>
              <w:jc w:val="center"/>
              <w:rPr>
                <w:sz w:val="18"/>
                <w:szCs w:val="18"/>
              </w:rPr>
            </w:pPr>
            <w:r>
              <w:rPr>
                <w:sz w:val="18"/>
                <w:szCs w:val="18"/>
              </w:rPr>
              <w:t>Hito Constructivo (HC)</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62FDBD" w14:textId="77777777" w:rsidR="004412F1" w:rsidRDefault="005A12A3">
            <w:pPr>
              <w:jc w:val="center"/>
              <w:rPr>
                <w:sz w:val="18"/>
                <w:szCs w:val="18"/>
              </w:rPr>
            </w:pPr>
            <w:r>
              <w:rPr>
                <w:sz w:val="18"/>
                <w:szCs w:val="18"/>
              </w:rPr>
              <w:t>Longitud del HF (km)</w:t>
            </w:r>
          </w:p>
        </w:tc>
      </w:tr>
      <w:tr w:rsidR="004412F1" w14:paraId="5BBAFCBD" w14:textId="77777777">
        <w:trPr>
          <w:trHeight w:val="23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ACAB67" w14:textId="77777777" w:rsidR="004412F1" w:rsidRDefault="005A12A3">
            <w:pPr>
              <w:jc w:val="center"/>
              <w:rPr>
                <w:sz w:val="18"/>
                <w:szCs w:val="18"/>
              </w:rPr>
            </w:pPr>
            <w:r>
              <w:rPr>
                <w:sz w:val="18"/>
                <w:szCs w:val="18"/>
              </w:rPr>
              <w:t>S3</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388121" w14:textId="77777777" w:rsidR="004412F1" w:rsidRDefault="005A12A3">
            <w:pPr>
              <w:jc w:val="center"/>
              <w:rPr>
                <w:color w:val="000000"/>
                <w:sz w:val="18"/>
                <w:szCs w:val="18"/>
              </w:rPr>
            </w:pPr>
            <w:r>
              <w:rPr>
                <w:color w:val="000000" w:themeColor="text1"/>
                <w:sz w:val="18"/>
                <w:szCs w:val="18"/>
              </w:rPr>
              <w:t>Desvío Pampas - Acostambo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BED2B5" w14:textId="77777777" w:rsidR="004412F1" w:rsidRDefault="005A12A3">
            <w:pPr>
              <w:jc w:val="center"/>
              <w:rPr>
                <w:sz w:val="18"/>
                <w:szCs w:val="18"/>
              </w:rPr>
            </w:pPr>
            <w:r>
              <w:rPr>
                <w:sz w:val="18"/>
                <w:szCs w:val="18"/>
              </w:rPr>
              <w:t>10,080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A6768B"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1E9807" w14:textId="77777777" w:rsidR="004412F1" w:rsidRDefault="005A12A3">
            <w:pPr>
              <w:jc w:val="center"/>
              <w:rPr>
                <w:color w:val="000000"/>
                <w:sz w:val="18"/>
                <w:szCs w:val="18"/>
              </w:rPr>
            </w:pPr>
            <w:r>
              <w:rPr>
                <w:sz w:val="18"/>
                <w:szCs w:val="18"/>
              </w:rPr>
              <w:t>10,080</w:t>
            </w:r>
          </w:p>
        </w:tc>
      </w:tr>
      <w:tr w:rsidR="004412F1" w14:paraId="2B4D9A77" w14:textId="77777777">
        <w:trPr>
          <w:trHeight w:val="231"/>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7EC158" w14:textId="77777777" w:rsidR="004412F1" w:rsidRDefault="005A12A3">
            <w:pPr>
              <w:jc w:val="center"/>
              <w:rPr>
                <w:sz w:val="18"/>
                <w:szCs w:val="18"/>
              </w:rPr>
            </w:pPr>
            <w:r>
              <w:rPr>
                <w:sz w:val="18"/>
                <w:szCs w:val="18"/>
              </w:rPr>
              <w:t>S4</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CC08EA" w14:textId="77777777" w:rsidR="004412F1" w:rsidRDefault="005A12A3">
            <w:pPr>
              <w:jc w:val="center"/>
              <w:rPr>
                <w:color w:val="000000"/>
                <w:sz w:val="18"/>
                <w:szCs w:val="18"/>
              </w:rPr>
            </w:pPr>
            <w:r>
              <w:rPr>
                <w:color w:val="000000" w:themeColor="text1"/>
                <w:sz w:val="18"/>
                <w:szCs w:val="18"/>
              </w:rPr>
              <w:t>Acostambo - Izcuchaca</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EB879" w14:textId="77777777" w:rsidR="004412F1" w:rsidRDefault="005A12A3">
            <w:pPr>
              <w:jc w:val="center"/>
              <w:rPr>
                <w:sz w:val="18"/>
                <w:szCs w:val="18"/>
              </w:rPr>
            </w:pPr>
            <w:r>
              <w:rPr>
                <w:sz w:val="18"/>
                <w:szCs w:val="18"/>
              </w:rPr>
              <w:t>23,342</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77CE06"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27B4BD" w14:textId="77777777" w:rsidR="004412F1" w:rsidRDefault="005A12A3">
            <w:pPr>
              <w:jc w:val="center"/>
              <w:rPr>
                <w:color w:val="000000"/>
                <w:sz w:val="18"/>
                <w:szCs w:val="18"/>
              </w:rPr>
            </w:pPr>
            <w:r>
              <w:rPr>
                <w:sz w:val="18"/>
                <w:szCs w:val="18"/>
              </w:rPr>
              <w:t>23,342</w:t>
            </w:r>
          </w:p>
        </w:tc>
      </w:tr>
      <w:tr w:rsidR="004412F1" w14:paraId="160C3E8D" w14:textId="77777777">
        <w:trPr>
          <w:trHeight w:val="231"/>
        </w:trPr>
        <w:tc>
          <w:tcPr>
            <w:tcW w:w="10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2B9EF8" w14:textId="77777777" w:rsidR="004412F1" w:rsidRDefault="005A12A3">
            <w:pPr>
              <w:jc w:val="center"/>
              <w:rPr>
                <w:sz w:val="18"/>
                <w:szCs w:val="18"/>
              </w:rPr>
            </w:pPr>
            <w:r>
              <w:rPr>
                <w:sz w:val="18"/>
                <w:szCs w:val="18"/>
              </w:rPr>
              <w:t>S5</w:t>
            </w:r>
          </w:p>
        </w:tc>
        <w:tc>
          <w:tcPr>
            <w:tcW w:w="2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7E84D5" w14:textId="77777777" w:rsidR="004412F1" w:rsidRDefault="005A12A3">
            <w:pPr>
              <w:jc w:val="center"/>
              <w:rPr>
                <w:color w:val="000000"/>
                <w:sz w:val="18"/>
                <w:szCs w:val="18"/>
              </w:rPr>
            </w:pPr>
            <w:r>
              <w:rPr>
                <w:color w:val="000000" w:themeColor="text1"/>
                <w:sz w:val="18"/>
                <w:szCs w:val="18"/>
              </w:rPr>
              <w:t>Izcuchaca -</w:t>
            </w:r>
          </w:p>
          <w:p w14:paraId="17BAB912" w14:textId="77777777" w:rsidR="004412F1" w:rsidRDefault="005A12A3">
            <w:pPr>
              <w:jc w:val="center"/>
              <w:rPr>
                <w:color w:val="000000"/>
                <w:sz w:val="18"/>
                <w:szCs w:val="18"/>
              </w:rPr>
            </w:pPr>
            <w:r>
              <w:rPr>
                <w:color w:val="000000" w:themeColor="text1"/>
                <w:sz w:val="18"/>
                <w:szCs w:val="18"/>
              </w:rPr>
              <w:t>Mayocc</w:t>
            </w:r>
          </w:p>
        </w:tc>
        <w:tc>
          <w:tcPr>
            <w:tcW w:w="13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15AAB46" w14:textId="77777777" w:rsidR="004412F1" w:rsidRDefault="005A12A3">
            <w:pPr>
              <w:jc w:val="center"/>
              <w:rPr>
                <w:sz w:val="18"/>
                <w:szCs w:val="18"/>
              </w:rPr>
            </w:pPr>
            <w:r>
              <w:rPr>
                <w:sz w:val="18"/>
                <w:szCs w:val="18"/>
              </w:rPr>
              <w:t>115,235</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E697E10"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15F95C" w14:textId="77777777" w:rsidR="004412F1" w:rsidRDefault="005A12A3">
            <w:pPr>
              <w:jc w:val="center"/>
              <w:rPr>
                <w:sz w:val="18"/>
                <w:szCs w:val="18"/>
              </w:rPr>
            </w:pPr>
            <w:r>
              <w:rPr>
                <w:sz w:val="18"/>
                <w:szCs w:val="18"/>
              </w:rPr>
              <w:t>9,360</w:t>
            </w:r>
          </w:p>
        </w:tc>
      </w:tr>
      <w:tr w:rsidR="004412F1" w14:paraId="6B578BEF" w14:textId="77777777">
        <w:trPr>
          <w:trHeight w:val="231"/>
        </w:trPr>
        <w:tc>
          <w:tcPr>
            <w:tcW w:w="1042" w:type="dxa"/>
            <w:vMerge/>
            <w:tcMar>
              <w:top w:w="0" w:type="dxa"/>
              <w:left w:w="108" w:type="dxa"/>
              <w:bottom w:w="0" w:type="dxa"/>
              <w:right w:w="108" w:type="dxa"/>
            </w:tcMar>
            <w:vAlign w:val="center"/>
          </w:tcPr>
          <w:p w14:paraId="6EC87213" w14:textId="77777777" w:rsidR="004412F1" w:rsidRDefault="004412F1">
            <w:pPr>
              <w:spacing w:line="276" w:lineRule="auto"/>
              <w:rPr>
                <w:sz w:val="18"/>
                <w:szCs w:val="18"/>
              </w:rPr>
            </w:pPr>
          </w:p>
        </w:tc>
        <w:tc>
          <w:tcPr>
            <w:tcW w:w="2641" w:type="dxa"/>
            <w:vMerge/>
            <w:tcMar>
              <w:top w:w="0" w:type="dxa"/>
              <w:left w:w="108" w:type="dxa"/>
              <w:bottom w:w="0" w:type="dxa"/>
              <w:right w:w="108" w:type="dxa"/>
            </w:tcMar>
            <w:vAlign w:val="center"/>
          </w:tcPr>
          <w:p w14:paraId="1ACD2E5A" w14:textId="77777777" w:rsidR="004412F1" w:rsidRDefault="004412F1">
            <w:pPr>
              <w:spacing w:line="276" w:lineRule="auto"/>
              <w:rPr>
                <w:sz w:val="18"/>
                <w:szCs w:val="18"/>
              </w:rPr>
            </w:pPr>
          </w:p>
        </w:tc>
        <w:tc>
          <w:tcPr>
            <w:tcW w:w="1382" w:type="dxa"/>
            <w:vMerge/>
            <w:tcMar>
              <w:top w:w="0" w:type="dxa"/>
              <w:left w:w="108" w:type="dxa"/>
              <w:bottom w:w="0" w:type="dxa"/>
              <w:right w:w="108" w:type="dxa"/>
            </w:tcMar>
            <w:vAlign w:val="center"/>
          </w:tcPr>
          <w:p w14:paraId="4C77F874" w14:textId="77777777" w:rsidR="004412F1" w:rsidRDefault="004412F1">
            <w:pPr>
              <w:spacing w:line="276" w:lineRule="auto"/>
              <w:rPr>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83581A"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D7AEBF" w14:textId="77777777" w:rsidR="004412F1" w:rsidRDefault="005A12A3">
            <w:pPr>
              <w:jc w:val="center"/>
              <w:rPr>
                <w:sz w:val="18"/>
                <w:szCs w:val="18"/>
              </w:rPr>
            </w:pPr>
            <w:r>
              <w:rPr>
                <w:sz w:val="18"/>
                <w:szCs w:val="18"/>
              </w:rPr>
              <w:t>25,900</w:t>
            </w:r>
          </w:p>
        </w:tc>
      </w:tr>
      <w:tr w:rsidR="004412F1" w14:paraId="3A57AA88" w14:textId="77777777">
        <w:trPr>
          <w:trHeight w:val="231"/>
        </w:trPr>
        <w:tc>
          <w:tcPr>
            <w:tcW w:w="1042" w:type="dxa"/>
            <w:vMerge/>
            <w:tcMar>
              <w:top w:w="0" w:type="dxa"/>
              <w:left w:w="108" w:type="dxa"/>
              <w:bottom w:w="0" w:type="dxa"/>
              <w:right w:w="108" w:type="dxa"/>
            </w:tcMar>
            <w:vAlign w:val="center"/>
          </w:tcPr>
          <w:p w14:paraId="18A032A8" w14:textId="77777777" w:rsidR="004412F1" w:rsidRDefault="004412F1">
            <w:pPr>
              <w:spacing w:line="276" w:lineRule="auto"/>
              <w:rPr>
                <w:sz w:val="18"/>
                <w:szCs w:val="18"/>
              </w:rPr>
            </w:pPr>
          </w:p>
        </w:tc>
        <w:tc>
          <w:tcPr>
            <w:tcW w:w="2641" w:type="dxa"/>
            <w:vMerge/>
            <w:tcMar>
              <w:top w:w="0" w:type="dxa"/>
              <w:left w:w="108" w:type="dxa"/>
              <w:bottom w:w="0" w:type="dxa"/>
              <w:right w:w="108" w:type="dxa"/>
            </w:tcMar>
            <w:vAlign w:val="center"/>
          </w:tcPr>
          <w:p w14:paraId="54C420FC" w14:textId="77777777" w:rsidR="004412F1" w:rsidRDefault="004412F1">
            <w:pPr>
              <w:spacing w:line="276" w:lineRule="auto"/>
              <w:rPr>
                <w:sz w:val="18"/>
                <w:szCs w:val="18"/>
              </w:rPr>
            </w:pPr>
          </w:p>
        </w:tc>
        <w:tc>
          <w:tcPr>
            <w:tcW w:w="1382" w:type="dxa"/>
            <w:vMerge/>
            <w:tcMar>
              <w:top w:w="0" w:type="dxa"/>
              <w:left w:w="108" w:type="dxa"/>
              <w:bottom w:w="0" w:type="dxa"/>
              <w:right w:w="108" w:type="dxa"/>
            </w:tcMar>
            <w:vAlign w:val="center"/>
          </w:tcPr>
          <w:p w14:paraId="0332481B" w14:textId="77777777" w:rsidR="004412F1" w:rsidRDefault="004412F1">
            <w:pPr>
              <w:spacing w:line="276" w:lineRule="auto"/>
              <w:rPr>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04DE25"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CAFCF9" w14:textId="77777777" w:rsidR="004412F1" w:rsidRDefault="005A12A3">
            <w:pPr>
              <w:jc w:val="center"/>
              <w:rPr>
                <w:sz w:val="18"/>
                <w:szCs w:val="18"/>
              </w:rPr>
            </w:pPr>
            <w:r>
              <w:rPr>
                <w:sz w:val="18"/>
                <w:szCs w:val="18"/>
              </w:rPr>
              <w:t>45,860</w:t>
            </w:r>
          </w:p>
        </w:tc>
      </w:tr>
      <w:tr w:rsidR="004412F1" w14:paraId="6C43BD6A" w14:textId="77777777">
        <w:trPr>
          <w:trHeight w:val="231"/>
        </w:trPr>
        <w:tc>
          <w:tcPr>
            <w:tcW w:w="1042" w:type="dxa"/>
            <w:vMerge/>
            <w:tcMar>
              <w:top w:w="0" w:type="dxa"/>
              <w:left w:w="108" w:type="dxa"/>
              <w:bottom w:w="0" w:type="dxa"/>
              <w:right w:w="108" w:type="dxa"/>
            </w:tcMar>
            <w:vAlign w:val="center"/>
          </w:tcPr>
          <w:p w14:paraId="50360796" w14:textId="77777777" w:rsidR="004412F1" w:rsidRDefault="004412F1">
            <w:pPr>
              <w:spacing w:line="276" w:lineRule="auto"/>
              <w:rPr>
                <w:sz w:val="18"/>
                <w:szCs w:val="18"/>
              </w:rPr>
            </w:pPr>
          </w:p>
        </w:tc>
        <w:tc>
          <w:tcPr>
            <w:tcW w:w="2641" w:type="dxa"/>
            <w:vMerge/>
            <w:tcMar>
              <w:top w:w="0" w:type="dxa"/>
              <w:left w:w="108" w:type="dxa"/>
              <w:bottom w:w="0" w:type="dxa"/>
              <w:right w:w="108" w:type="dxa"/>
            </w:tcMar>
            <w:vAlign w:val="center"/>
          </w:tcPr>
          <w:p w14:paraId="43CDD9B6" w14:textId="77777777" w:rsidR="004412F1" w:rsidRDefault="004412F1">
            <w:pPr>
              <w:spacing w:line="276" w:lineRule="auto"/>
              <w:rPr>
                <w:sz w:val="18"/>
                <w:szCs w:val="18"/>
              </w:rPr>
            </w:pPr>
          </w:p>
        </w:tc>
        <w:tc>
          <w:tcPr>
            <w:tcW w:w="1382" w:type="dxa"/>
            <w:vMerge/>
            <w:tcMar>
              <w:top w:w="0" w:type="dxa"/>
              <w:left w:w="108" w:type="dxa"/>
              <w:bottom w:w="0" w:type="dxa"/>
              <w:right w:w="108" w:type="dxa"/>
            </w:tcMar>
            <w:vAlign w:val="center"/>
          </w:tcPr>
          <w:p w14:paraId="4B25FB40" w14:textId="77777777" w:rsidR="004412F1" w:rsidRDefault="004412F1">
            <w:pPr>
              <w:spacing w:line="276" w:lineRule="auto"/>
              <w:rPr>
                <w:sz w:val="18"/>
                <w:szCs w:val="18"/>
              </w:rPr>
            </w:pP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24A1D1" w14:textId="77777777" w:rsidR="004412F1"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60810E" w14:textId="77777777" w:rsidR="004412F1" w:rsidRDefault="005A12A3">
            <w:pPr>
              <w:jc w:val="center"/>
              <w:rPr>
                <w:sz w:val="18"/>
                <w:szCs w:val="18"/>
              </w:rPr>
            </w:pPr>
            <w:r>
              <w:rPr>
                <w:sz w:val="18"/>
                <w:szCs w:val="18"/>
              </w:rPr>
              <w:t>34,115</w:t>
            </w:r>
          </w:p>
        </w:tc>
      </w:tr>
    </w:tbl>
    <w:p w14:paraId="7DC688B6" w14:textId="77777777" w:rsidR="004412F1" w:rsidRDefault="004412F1">
      <w:pPr>
        <w:jc w:val="both"/>
      </w:pPr>
    </w:p>
    <w:p w14:paraId="44779C09" w14:textId="77777777" w:rsidR="004412F1" w:rsidRPr="00763640" w:rsidRDefault="005A12A3">
      <w:pPr>
        <w:numPr>
          <w:ilvl w:val="1"/>
          <w:numId w:val="88"/>
        </w:numPr>
        <w:jc w:val="both"/>
        <w:rPr>
          <w:color w:val="000000"/>
        </w:rPr>
      </w:pPr>
      <w:r w:rsidRPr="00763640">
        <w:rPr>
          <w:color w:val="000000"/>
        </w:rPr>
        <w:t xml:space="preserve">Los Sub Tramos donde el CONCESIONARIO tenga que ejecutar el Mantenimiento Periódico Inicial </w:t>
      </w:r>
      <w:r w:rsidRPr="00763640">
        <w:rPr>
          <w:color w:val="000000"/>
          <w:lang w:val="es-PE"/>
        </w:rPr>
        <w:t xml:space="preserve">y la </w:t>
      </w:r>
      <w:r w:rsidRPr="00763640">
        <w:rPr>
          <w:color w:val="000000"/>
        </w:rPr>
        <w:t>Rehabilitación y Mejoramiento</w:t>
      </w:r>
      <w:r w:rsidRPr="00763640">
        <w:rPr>
          <w:color w:val="000000"/>
          <w:lang w:val="es-PE"/>
        </w:rPr>
        <w:t xml:space="preserve">, </w:t>
      </w:r>
      <w:r w:rsidRPr="00763640">
        <w:rPr>
          <w:color w:val="000000"/>
        </w:rPr>
        <w:t>serán entregados por el CONCEDENTE en los plazos indicados en la Cláusula 5.</w:t>
      </w:r>
      <w:r w:rsidRPr="00763640">
        <w:rPr>
          <w:rFonts w:eastAsia="SimSun"/>
          <w:color w:val="000000"/>
          <w:lang w:eastAsia="zh-CN"/>
        </w:rPr>
        <w:t>1</w:t>
      </w:r>
      <w:r w:rsidRPr="00763640">
        <w:rPr>
          <w:rFonts w:eastAsia="SimSun"/>
          <w:color w:val="000000"/>
          <w:lang w:val="es-PE" w:eastAsia="zh-CN"/>
        </w:rPr>
        <w:t>4</w:t>
      </w:r>
      <w:r w:rsidRPr="00763640">
        <w:rPr>
          <w:color w:val="000000"/>
        </w:rPr>
        <w:t xml:space="preserve"> y sin exigencia de Niveles de Servicio.</w:t>
      </w:r>
    </w:p>
    <w:p w14:paraId="3BA9F118" w14:textId="77777777" w:rsidR="004412F1" w:rsidRPr="00763640" w:rsidRDefault="004412F1">
      <w:pPr>
        <w:ind w:left="709" w:hanging="709"/>
        <w:jc w:val="both"/>
        <w:rPr>
          <w:b/>
        </w:rPr>
      </w:pPr>
    </w:p>
    <w:p w14:paraId="0192E7CF" w14:textId="77777777" w:rsidR="004412F1" w:rsidRPr="00763640" w:rsidRDefault="005A12A3">
      <w:pPr>
        <w:pStyle w:val="Ttulo2"/>
        <w:ind w:left="0"/>
        <w:jc w:val="both"/>
      </w:pPr>
      <w:bookmarkStart w:id="1265" w:name="_Toc139294725"/>
      <w:bookmarkStart w:id="1266" w:name="_Toc140089323"/>
      <w:r w:rsidRPr="00763640">
        <w:rPr>
          <w:rFonts w:ascii="Arial" w:eastAsia="Arial" w:hAnsi="Arial" w:cs="Arial"/>
          <w:b/>
          <w:bCs/>
          <w:u w:val="none"/>
        </w:rPr>
        <w:t>CONSTRUCCIÓN DEL EVITAMIENTO SAN CLEMENTE</w:t>
      </w:r>
      <w:bookmarkEnd w:id="1265"/>
      <w:bookmarkEnd w:id="1266"/>
    </w:p>
    <w:p w14:paraId="7BD3AB9D" w14:textId="77777777" w:rsidR="004412F1" w:rsidRPr="00763640" w:rsidRDefault="004412F1">
      <w:pPr>
        <w:ind w:left="709"/>
        <w:jc w:val="both"/>
      </w:pPr>
    </w:p>
    <w:p w14:paraId="026BA7D1" w14:textId="77777777" w:rsidR="004412F1" w:rsidRPr="00763640" w:rsidRDefault="005A12A3">
      <w:pPr>
        <w:numPr>
          <w:ilvl w:val="1"/>
          <w:numId w:val="88"/>
        </w:numPr>
        <w:jc w:val="both"/>
        <w:rPr>
          <w:color w:val="000000"/>
          <w:lang w:val="es-PE"/>
        </w:rPr>
      </w:pPr>
      <w:r w:rsidRPr="00763640">
        <w:rPr>
          <w:color w:val="000000"/>
        </w:rPr>
        <w:t>El CONCESIONARIO se obliga a ejecutar la Construcción del evitamiento San Clemente de acuerdo con los Estudios Definitivos de Ingeniería e Instrumento de Gestión Ambiental</w:t>
      </w:r>
      <w:r w:rsidRPr="00763640">
        <w:rPr>
          <w:color w:val="000000"/>
          <w:lang w:val="es-PE"/>
        </w:rPr>
        <w:t>.</w:t>
      </w:r>
    </w:p>
    <w:p w14:paraId="7711ACA7" w14:textId="77777777" w:rsidR="004412F1" w:rsidRPr="00763640" w:rsidRDefault="004412F1">
      <w:pPr>
        <w:ind w:left="709"/>
        <w:jc w:val="both"/>
        <w:rPr>
          <w:lang w:val="es-PE"/>
        </w:rPr>
      </w:pPr>
    </w:p>
    <w:p w14:paraId="7C19778E" w14:textId="77777777" w:rsidR="004412F1" w:rsidRPr="00763640" w:rsidRDefault="005A12A3">
      <w:pPr>
        <w:numPr>
          <w:ilvl w:val="1"/>
          <w:numId w:val="88"/>
        </w:numPr>
        <w:jc w:val="both"/>
        <w:rPr>
          <w:color w:val="000000"/>
        </w:rPr>
      </w:pPr>
      <w:r w:rsidRPr="00763640">
        <w:rPr>
          <w:color w:val="000000" w:themeColor="text1"/>
        </w:rPr>
        <w:t>El Área de Concesión donde el CONCESIONARIO tenga que ejecutar la Construcción del Evitamiento San Clemente será entregada por el CONCEDENTE en el plazo indicado en la Cláusula 5.</w:t>
      </w:r>
      <w:r w:rsidRPr="00763640">
        <w:rPr>
          <w:rFonts w:eastAsia="SimSun" w:hint="eastAsia"/>
          <w:color w:val="000000" w:themeColor="text1"/>
          <w:lang w:eastAsia="zh-CN"/>
        </w:rPr>
        <w:t>1</w:t>
      </w:r>
      <w:r w:rsidRPr="00763640">
        <w:rPr>
          <w:rFonts w:eastAsia="SimSun"/>
          <w:color w:val="000000" w:themeColor="text1"/>
          <w:lang w:val="es-PE" w:eastAsia="zh-CN"/>
        </w:rPr>
        <w:t>6 del presente Contrato</w:t>
      </w:r>
      <w:r w:rsidRPr="00763640">
        <w:rPr>
          <w:color w:val="000000" w:themeColor="text1"/>
        </w:rPr>
        <w:t>.</w:t>
      </w:r>
    </w:p>
    <w:p w14:paraId="780C8149" w14:textId="77777777" w:rsidR="004412F1" w:rsidRPr="00763640" w:rsidRDefault="004412F1">
      <w:pPr>
        <w:ind w:left="709"/>
        <w:jc w:val="both"/>
      </w:pPr>
    </w:p>
    <w:tbl>
      <w:tblPr>
        <w:tblW w:w="7754"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2641"/>
        <w:gridCol w:w="1382"/>
        <w:gridCol w:w="1408"/>
        <w:gridCol w:w="1281"/>
      </w:tblGrid>
      <w:tr w:rsidR="004412F1" w:rsidRPr="00763640" w14:paraId="2BAA0529" w14:textId="77777777">
        <w:trPr>
          <w:trHeight w:val="424"/>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C8D3B8" w14:textId="77777777" w:rsidR="004412F1" w:rsidRPr="00763640" w:rsidRDefault="005A12A3">
            <w:pPr>
              <w:jc w:val="center"/>
              <w:rPr>
                <w:sz w:val="18"/>
                <w:szCs w:val="18"/>
              </w:rPr>
            </w:pPr>
            <w:r w:rsidRPr="00763640">
              <w:rPr>
                <w:sz w:val="18"/>
                <w:szCs w:val="18"/>
              </w:rPr>
              <w:lastRenderedPageBreak/>
              <w:t>Sub T</w:t>
            </w:r>
            <w:r w:rsidRPr="00763640">
              <w:rPr>
                <w:sz w:val="18"/>
                <w:szCs w:val="18"/>
                <w:lang w:val="es-PE"/>
              </w:rPr>
              <w:t>r</w:t>
            </w:r>
            <w:r w:rsidRPr="00763640">
              <w:rPr>
                <w:sz w:val="18"/>
                <w:szCs w:val="18"/>
              </w:rPr>
              <w:t>amo</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D6EF99C" w14:textId="77777777" w:rsidR="004412F1" w:rsidRPr="00763640" w:rsidRDefault="005A12A3">
            <w:pPr>
              <w:jc w:val="center"/>
              <w:rPr>
                <w:color w:val="000000"/>
                <w:sz w:val="18"/>
                <w:szCs w:val="18"/>
              </w:rPr>
            </w:pPr>
            <w:r w:rsidRPr="00763640">
              <w:rPr>
                <w:color w:val="000000" w:themeColor="text1"/>
                <w:sz w:val="18"/>
                <w:szCs w:val="18"/>
              </w:rPr>
              <w:t>Nombre del Sub Tramo</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6A9F40" w14:textId="77777777" w:rsidR="004412F1" w:rsidRPr="00763640" w:rsidRDefault="005A12A3">
            <w:pPr>
              <w:jc w:val="center"/>
              <w:rPr>
                <w:sz w:val="18"/>
                <w:szCs w:val="18"/>
              </w:rPr>
            </w:pPr>
            <w:r w:rsidRPr="00763640">
              <w:rPr>
                <w:sz w:val="18"/>
                <w:szCs w:val="18"/>
              </w:rPr>
              <w:t>Longitud del Sub Tramo (km)</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6C4253" w14:textId="77777777" w:rsidR="004412F1" w:rsidRPr="00763640" w:rsidRDefault="005A12A3">
            <w:pPr>
              <w:jc w:val="center"/>
              <w:rPr>
                <w:sz w:val="18"/>
                <w:szCs w:val="18"/>
              </w:rPr>
            </w:pPr>
            <w:r w:rsidRPr="00763640">
              <w:rPr>
                <w:sz w:val="18"/>
                <w:szCs w:val="18"/>
              </w:rPr>
              <w:t>Hito Constructivo (HC)</w:t>
            </w: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2394F75" w14:textId="77777777" w:rsidR="004412F1" w:rsidRPr="00763640" w:rsidRDefault="005A12A3">
            <w:pPr>
              <w:jc w:val="center"/>
              <w:rPr>
                <w:sz w:val="18"/>
                <w:szCs w:val="18"/>
              </w:rPr>
            </w:pPr>
            <w:r w:rsidRPr="00763640">
              <w:rPr>
                <w:sz w:val="18"/>
                <w:szCs w:val="18"/>
              </w:rPr>
              <w:t>Longitud del HF (km)</w:t>
            </w:r>
          </w:p>
        </w:tc>
      </w:tr>
      <w:tr w:rsidR="004412F1" w:rsidRPr="00763640" w14:paraId="7DFC8ADC" w14:textId="77777777">
        <w:trPr>
          <w:trHeight w:val="424"/>
        </w:trPr>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494BE93" w14:textId="77777777" w:rsidR="004412F1" w:rsidRPr="00763640" w:rsidRDefault="005A12A3">
            <w:pPr>
              <w:jc w:val="center"/>
              <w:rPr>
                <w:sz w:val="18"/>
                <w:szCs w:val="18"/>
              </w:rPr>
            </w:pPr>
            <w:r w:rsidRPr="00763640">
              <w:rPr>
                <w:sz w:val="18"/>
                <w:szCs w:val="18"/>
              </w:rPr>
              <w:t>-</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5FEE96" w14:textId="77777777" w:rsidR="004412F1" w:rsidRPr="00763640" w:rsidRDefault="005A12A3">
            <w:pPr>
              <w:jc w:val="center"/>
              <w:rPr>
                <w:sz w:val="18"/>
                <w:szCs w:val="18"/>
              </w:rPr>
            </w:pPr>
            <w:r w:rsidRPr="00763640">
              <w:rPr>
                <w:color w:val="000000"/>
                <w:sz w:val="18"/>
                <w:szCs w:val="18"/>
              </w:rPr>
              <w:t>Ev. San Clemente</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050BA87" w14:textId="77777777" w:rsidR="004412F1" w:rsidRPr="00763640" w:rsidRDefault="005A12A3">
            <w:pPr>
              <w:jc w:val="center"/>
              <w:rPr>
                <w:sz w:val="18"/>
                <w:szCs w:val="18"/>
              </w:rPr>
            </w:pPr>
            <w:r w:rsidRPr="00763640">
              <w:rPr>
                <w:sz w:val="18"/>
                <w:szCs w:val="18"/>
              </w:rPr>
              <w:t>5,260</w:t>
            </w:r>
          </w:p>
        </w:tc>
        <w:tc>
          <w:tcPr>
            <w:tcW w:w="1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4106BD7" w14:textId="77777777" w:rsidR="004412F1" w:rsidRPr="00763640" w:rsidRDefault="004412F1">
            <w:pPr>
              <w:jc w:val="center"/>
              <w:rPr>
                <w:sz w:val="18"/>
                <w:szCs w:val="18"/>
              </w:rPr>
            </w:pPr>
          </w:p>
        </w:tc>
        <w:tc>
          <w:tcPr>
            <w:tcW w:w="12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05E3AE" w14:textId="77777777" w:rsidR="004412F1" w:rsidRPr="00763640" w:rsidRDefault="005A12A3">
            <w:pPr>
              <w:jc w:val="center"/>
              <w:rPr>
                <w:sz w:val="18"/>
                <w:szCs w:val="18"/>
              </w:rPr>
            </w:pPr>
            <w:r w:rsidRPr="00763640">
              <w:rPr>
                <w:sz w:val="18"/>
                <w:szCs w:val="18"/>
              </w:rPr>
              <w:t>5,260</w:t>
            </w:r>
          </w:p>
        </w:tc>
      </w:tr>
    </w:tbl>
    <w:p w14:paraId="5C68157A" w14:textId="77777777" w:rsidR="004412F1" w:rsidRPr="00763640" w:rsidRDefault="004412F1"/>
    <w:p w14:paraId="200CD764" w14:textId="77777777" w:rsidR="004412F1" w:rsidRPr="00763640" w:rsidRDefault="005A12A3">
      <w:pPr>
        <w:pStyle w:val="Ttulo2"/>
        <w:ind w:left="0"/>
        <w:jc w:val="both"/>
        <w:rPr>
          <w:rFonts w:ascii="Arial" w:eastAsia="Arial" w:hAnsi="Arial" w:cs="Arial"/>
          <w:b/>
          <w:bCs/>
          <w:u w:val="none"/>
        </w:rPr>
      </w:pPr>
      <w:bookmarkStart w:id="1267" w:name="_46ad4c2"/>
      <w:bookmarkStart w:id="1268" w:name="_Toc468837629"/>
      <w:bookmarkStart w:id="1269" w:name="_Toc139294726"/>
      <w:bookmarkStart w:id="1270" w:name="_Toc140089324"/>
      <w:bookmarkEnd w:id="1267"/>
      <w:r w:rsidRPr="00763640">
        <w:rPr>
          <w:rFonts w:ascii="Arial" w:eastAsia="Arial" w:hAnsi="Arial" w:cs="Arial"/>
          <w:b/>
          <w:bCs/>
          <w:u w:val="none"/>
        </w:rPr>
        <w:t xml:space="preserve">SUPERVISIÓN DE </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8"/>
      <w:r w:rsidRPr="00763640">
        <w:rPr>
          <w:rFonts w:ascii="Arial" w:eastAsia="Arial" w:hAnsi="Arial" w:cs="Arial"/>
          <w:b/>
          <w:bCs/>
          <w:u w:val="none"/>
        </w:rPr>
        <w:t>LAS INTERVENCIONES</w:t>
      </w:r>
      <w:bookmarkEnd w:id="1269"/>
      <w:bookmarkEnd w:id="1270"/>
    </w:p>
    <w:p w14:paraId="27AFEAA6" w14:textId="77777777" w:rsidR="004412F1" w:rsidRPr="00763640" w:rsidRDefault="004412F1">
      <w:pPr>
        <w:jc w:val="both"/>
        <w:rPr>
          <w:color w:val="000000"/>
          <w:sz w:val="16"/>
        </w:rPr>
      </w:pPr>
    </w:p>
    <w:p w14:paraId="22C9BB8C" w14:textId="77777777" w:rsidR="004412F1" w:rsidRPr="00763640" w:rsidRDefault="005A12A3">
      <w:pPr>
        <w:numPr>
          <w:ilvl w:val="1"/>
          <w:numId w:val="88"/>
        </w:numPr>
        <w:suppressLineNumbers/>
        <w:suppressAutoHyphens/>
        <w:jc w:val="both"/>
        <w:rPr>
          <w:color w:val="000000"/>
          <w:lang w:val="es-ES"/>
        </w:rPr>
      </w:pPr>
      <w:bookmarkStart w:id="1271" w:name="_2lfnejv" w:colFirst="0" w:colLast="0"/>
      <w:bookmarkStart w:id="1272" w:name="_Ref352603626"/>
      <w:bookmarkEnd w:id="1271"/>
      <w:r w:rsidRPr="00763640">
        <w:rPr>
          <w:color w:val="000000"/>
          <w:lang w:val="es-ES"/>
        </w:rPr>
        <w:t xml:space="preserve">Corresponde al REGULADOR, </w:t>
      </w:r>
      <w:r w:rsidRPr="00763640">
        <w:rPr>
          <w:color w:val="000000"/>
          <w:lang w:val="es-PE"/>
        </w:rPr>
        <w:t xml:space="preserve">directamente o </w:t>
      </w:r>
      <w:r w:rsidRPr="00763640">
        <w:rPr>
          <w:color w:val="000000"/>
          <w:lang w:val="es-ES"/>
        </w:rPr>
        <w:t xml:space="preserve">a través del supervisor, efectuar las acciones de </w:t>
      </w:r>
      <w:r w:rsidRPr="00763640">
        <w:rPr>
          <w:color w:val="000000"/>
        </w:rPr>
        <w:t xml:space="preserve">supervisión y fiscalización </w:t>
      </w:r>
      <w:r w:rsidRPr="00763640">
        <w:rPr>
          <w:color w:val="000000"/>
          <w:lang w:val="es-ES"/>
        </w:rPr>
        <w:t xml:space="preserve">que le competen </w:t>
      </w:r>
      <w:r w:rsidRPr="00763640">
        <w:rPr>
          <w:color w:val="000000"/>
        </w:rPr>
        <w:t>respecto</w:t>
      </w:r>
      <w:r w:rsidRPr="00763640">
        <w:rPr>
          <w:color w:val="000000"/>
          <w:lang w:val="es-ES"/>
        </w:rPr>
        <w:t xml:space="preserve"> de </w:t>
      </w:r>
      <w:r w:rsidRPr="00763640">
        <w:rPr>
          <w:color w:val="000000"/>
        </w:rPr>
        <w:t xml:space="preserve">las Intervenciones.  </w:t>
      </w:r>
      <w:r w:rsidRPr="00763640">
        <w:rPr>
          <w:color w:val="000000"/>
          <w:lang w:val="es-ES"/>
        </w:rPr>
        <w:t xml:space="preserve"> Cuando el REGULADOR designe a un supervisor </w:t>
      </w:r>
      <w:r w:rsidRPr="00763640">
        <w:rPr>
          <w:color w:val="000000"/>
        </w:rPr>
        <w:t>para las Intervenciones</w:t>
      </w:r>
      <w:r w:rsidRPr="00763640">
        <w:rPr>
          <w:color w:val="000000"/>
          <w:lang w:val="es-ES"/>
        </w:rPr>
        <w:t xml:space="preserve">, deberá informar por escrito al CONCESIONARIO en un plazo máximo de cinco (5) Días, contados a partir de la fecha de suscripción del </w:t>
      </w:r>
      <w:r w:rsidRPr="00763640">
        <w:rPr>
          <w:color w:val="000000"/>
        </w:rPr>
        <w:t xml:space="preserve">(los) </w:t>
      </w:r>
      <w:r w:rsidRPr="00763640">
        <w:rPr>
          <w:color w:val="000000"/>
          <w:lang w:val="es-ES"/>
        </w:rPr>
        <w:t>contrato</w:t>
      </w:r>
      <w:r w:rsidRPr="00763640">
        <w:rPr>
          <w:color w:val="000000"/>
        </w:rPr>
        <w:t>(s)</w:t>
      </w:r>
      <w:r w:rsidRPr="00763640">
        <w:rPr>
          <w:color w:val="000000"/>
          <w:lang w:val="es-ES"/>
        </w:rPr>
        <w:t xml:space="preserve"> con el </w:t>
      </w:r>
      <w:r w:rsidRPr="00763640">
        <w:rPr>
          <w:color w:val="000000"/>
        </w:rPr>
        <w:t xml:space="preserve">(los) </w:t>
      </w:r>
      <w:r w:rsidRPr="00763640">
        <w:rPr>
          <w:color w:val="000000"/>
          <w:lang w:val="es-ES"/>
        </w:rPr>
        <w:t>supervisor</w:t>
      </w:r>
      <w:bookmarkEnd w:id="1272"/>
      <w:r w:rsidRPr="00763640">
        <w:rPr>
          <w:color w:val="000000"/>
        </w:rPr>
        <w:t xml:space="preserve">(es), según corresponda. </w:t>
      </w:r>
    </w:p>
    <w:p w14:paraId="302CAA26" w14:textId="77777777" w:rsidR="004412F1" w:rsidRPr="00763640" w:rsidRDefault="004412F1">
      <w:pPr>
        <w:jc w:val="both"/>
        <w:rPr>
          <w:color w:val="000000"/>
          <w:sz w:val="16"/>
          <w:lang w:val="es-ES"/>
        </w:rPr>
      </w:pPr>
    </w:p>
    <w:p w14:paraId="3C8847CD" w14:textId="77777777" w:rsidR="004412F1" w:rsidRPr="00763640" w:rsidRDefault="005A12A3">
      <w:pPr>
        <w:numPr>
          <w:ilvl w:val="1"/>
          <w:numId w:val="88"/>
        </w:numPr>
        <w:suppressLineNumbers/>
        <w:suppressAutoHyphens/>
        <w:ind w:left="709"/>
        <w:jc w:val="both"/>
        <w:rPr>
          <w:color w:val="000000"/>
          <w:lang w:val="es-ES"/>
        </w:rPr>
      </w:pPr>
      <w:bookmarkStart w:id="1273" w:name="_10kxoro" w:colFirst="0" w:colLast="0"/>
      <w:bookmarkStart w:id="1274" w:name="_Ref273550345"/>
      <w:bookmarkEnd w:id="1273"/>
      <w:r w:rsidRPr="00763640">
        <w:rPr>
          <w:color w:val="000000"/>
          <w:lang w:val="es-ES"/>
        </w:rPr>
        <w:t xml:space="preserve">El CONCESIONARIO deberá dar al REGULADOR o al </w:t>
      </w:r>
      <w:r w:rsidRPr="00763640">
        <w:rPr>
          <w:color w:val="000000"/>
        </w:rPr>
        <w:t xml:space="preserve">(los) </w:t>
      </w:r>
      <w:r w:rsidRPr="00763640">
        <w:rPr>
          <w:color w:val="000000"/>
          <w:lang w:val="es-ES"/>
        </w:rPr>
        <w:t>supervisor</w:t>
      </w:r>
      <w:r w:rsidRPr="00763640">
        <w:rPr>
          <w:color w:val="000000"/>
        </w:rPr>
        <w:t>(es)</w:t>
      </w:r>
      <w:r w:rsidRPr="00763640">
        <w:rPr>
          <w:color w:val="000000"/>
          <w:lang w:val="es-ES"/>
        </w:rPr>
        <w:t xml:space="preserve"> de </w:t>
      </w:r>
      <w:r w:rsidRPr="00763640">
        <w:rPr>
          <w:color w:val="000000"/>
        </w:rPr>
        <w:t>las Intervenciones</w:t>
      </w:r>
      <w:r w:rsidRPr="00763640">
        <w:rPr>
          <w:color w:val="000000"/>
          <w:lang w:val="es-ES"/>
        </w:rPr>
        <w:t xml:space="preserve"> y al equipo que </w:t>
      </w:r>
      <w:r w:rsidRPr="00763640">
        <w:rPr>
          <w:color w:val="000000"/>
        </w:rPr>
        <w:t>este</w:t>
      </w:r>
      <w:r w:rsidRPr="00763640">
        <w:rPr>
          <w:color w:val="000000"/>
          <w:lang w:val="es-ES"/>
        </w:rPr>
        <w:t xml:space="preserve"> disponga, de ser el caso, libre acceso al Área de la Concesión para realizar sin obstáculos su labor</w:t>
      </w:r>
      <w:r w:rsidRPr="00763640">
        <w:rPr>
          <w:color w:val="000000"/>
        </w:rPr>
        <w:t>. En caso de incumplimiento será penalizado de acuerdo a lo indicado en la Tabla N° 3 del ANEXO IX</w:t>
      </w:r>
      <w:r w:rsidRPr="00763640">
        <w:rPr>
          <w:color w:val="000000"/>
          <w:lang w:val="es-ES"/>
        </w:rPr>
        <w:t>.</w:t>
      </w:r>
      <w:bookmarkEnd w:id="1274"/>
    </w:p>
    <w:p w14:paraId="53374EB3" w14:textId="77777777" w:rsidR="004412F1" w:rsidRPr="00763640" w:rsidRDefault="004412F1">
      <w:pPr>
        <w:suppressLineNumbers/>
        <w:suppressAutoHyphens/>
        <w:ind w:left="709"/>
        <w:jc w:val="both"/>
        <w:rPr>
          <w:color w:val="000000"/>
          <w:lang w:val="es-ES"/>
        </w:rPr>
      </w:pPr>
    </w:p>
    <w:p w14:paraId="0BD310F5" w14:textId="77777777" w:rsidR="004412F1" w:rsidRPr="00763640" w:rsidRDefault="005A12A3">
      <w:pPr>
        <w:pStyle w:val="Ttulo2"/>
        <w:ind w:left="0"/>
        <w:jc w:val="both"/>
        <w:rPr>
          <w:rFonts w:ascii="Arial" w:hAnsi="Arial"/>
          <w:b/>
          <w:u w:val="none"/>
        </w:rPr>
      </w:pPr>
      <w:bookmarkStart w:id="1275" w:name="_3kkl7fh"/>
      <w:bookmarkStart w:id="1276" w:name="_Toc468837630"/>
      <w:bookmarkStart w:id="1277" w:name="_Toc139294727"/>
      <w:bookmarkStart w:id="1278" w:name="_Toc140089325"/>
      <w:bookmarkEnd w:id="1275"/>
      <w:r w:rsidRPr="00763640">
        <w:rPr>
          <w:rFonts w:ascii="Arial" w:eastAsia="Arial" w:hAnsi="Arial" w:cs="Arial"/>
          <w:b/>
          <w:bCs/>
          <w:u w:val="none"/>
        </w:rPr>
        <w:t>DEL EXPEDIENTE TÉCNICO</w:t>
      </w:r>
      <w:r w:rsidRPr="00763640">
        <w:rPr>
          <w:rFonts w:ascii="Arial" w:hAnsi="Arial"/>
          <w:b/>
          <w:u w:val="none"/>
        </w:rPr>
        <w:t xml:space="preserve"> PARA LA EJECUCIÓN DEL MANTENIMIENTO PERIÓDICO INICIAL</w:t>
      </w:r>
      <w:r w:rsidRPr="00763640">
        <w:rPr>
          <w:rFonts w:ascii="Arial" w:eastAsia="Arial" w:hAnsi="Arial" w:cs="Arial"/>
          <w:b/>
          <w:bCs/>
          <w:u w:val="none"/>
        </w:rPr>
        <w:t>, Y DE LOS ESTUDIOS DEFINITIVOS DE INGENIERÍA PARA</w:t>
      </w:r>
      <w:r w:rsidRPr="00763640">
        <w:rPr>
          <w:rFonts w:ascii="Arial" w:hAnsi="Arial"/>
          <w:b/>
          <w:u w:val="none"/>
        </w:rPr>
        <w:t xml:space="preserve"> LA </w:t>
      </w:r>
      <w:r w:rsidRPr="00763640">
        <w:rPr>
          <w:rFonts w:ascii="Arial" w:eastAsia="Arial" w:hAnsi="Arial" w:cs="Arial"/>
          <w:b/>
          <w:bCs/>
          <w:u w:val="none"/>
        </w:rPr>
        <w:t>REHABILITACIÓN Y MEJORAMIENTO</w:t>
      </w:r>
      <w:bookmarkEnd w:id="1276"/>
      <w:r w:rsidRPr="00763640">
        <w:rPr>
          <w:rFonts w:ascii="Arial" w:hAnsi="Arial"/>
          <w:b/>
          <w:u w:val="none"/>
        </w:rPr>
        <w:t xml:space="preserve"> </w:t>
      </w:r>
      <w:r w:rsidRPr="00763640">
        <w:rPr>
          <w:rFonts w:ascii="Arial" w:eastAsia="Arial" w:hAnsi="Arial" w:cs="Arial"/>
          <w:b/>
          <w:bCs/>
          <w:u w:val="none"/>
        </w:rPr>
        <w:t>Y LA CONSTRUCCIÓN DEL EVITAMIENTO SAN CLEMENTE</w:t>
      </w:r>
      <w:bookmarkEnd w:id="1277"/>
      <w:bookmarkEnd w:id="1278"/>
    </w:p>
    <w:p w14:paraId="3B3E3802" w14:textId="77777777" w:rsidR="004412F1" w:rsidRPr="00763640" w:rsidRDefault="004412F1">
      <w:pPr>
        <w:suppressLineNumbers/>
        <w:suppressAutoHyphens/>
        <w:jc w:val="both"/>
        <w:rPr>
          <w:color w:val="000000"/>
        </w:rPr>
      </w:pPr>
    </w:p>
    <w:p w14:paraId="5CF7769F" w14:textId="77777777" w:rsidR="004412F1" w:rsidRPr="00763640" w:rsidRDefault="005A12A3">
      <w:pPr>
        <w:numPr>
          <w:ilvl w:val="1"/>
          <w:numId w:val="88"/>
        </w:numPr>
        <w:suppressLineNumbers/>
        <w:suppressAutoHyphens/>
        <w:jc w:val="both"/>
        <w:rPr>
          <w:color w:val="000000"/>
        </w:rPr>
      </w:pPr>
      <w:r w:rsidRPr="00763640">
        <w:rPr>
          <w:color w:val="000000" w:themeColor="text1"/>
        </w:rPr>
        <w:t xml:space="preserve">Los desajustes, errores, defectos u omisiones en el Expediente Técnico para el Mantenimiento Periódico Inicial, o en los Estudios Definitivos de Ingeniería para la Rehabilitación y Mejoramiento o para la Construcción del evitamiento San Clemente, así como los respectivos Instrumentos de Gestión Ambiental, materia de </w:t>
      </w:r>
      <w:r w:rsidRPr="00763640">
        <w:t xml:space="preserve">conformidad </w:t>
      </w:r>
      <w:r w:rsidRPr="00763640">
        <w:rPr>
          <w:color w:val="000000" w:themeColor="text1"/>
        </w:rPr>
        <w:t>en su momento, que no hayan sido posible detectar y que se presenten con posterioridad a la aprobación que realiza el CONCEDENTE no eximen al CONCESIONARIO de la responsabilidad que le asiste por su formulación ni traslada el riesgo de diseño que en todo momento deberá asumir el CONCESIONARIO.</w:t>
      </w:r>
    </w:p>
    <w:p w14:paraId="1C8EA00F" w14:textId="77777777" w:rsidR="004412F1" w:rsidRPr="00763640" w:rsidRDefault="004412F1">
      <w:pPr>
        <w:suppressLineNumbers/>
        <w:suppressAutoHyphens/>
        <w:jc w:val="both"/>
        <w:rPr>
          <w:color w:val="000000"/>
          <w:sz w:val="16"/>
        </w:rPr>
      </w:pPr>
    </w:p>
    <w:p w14:paraId="269F2150" w14:textId="77777777" w:rsidR="004412F1" w:rsidRPr="00763640" w:rsidRDefault="005A12A3">
      <w:pPr>
        <w:ind w:left="720"/>
        <w:jc w:val="both"/>
        <w:rPr>
          <w:color w:val="000000" w:themeColor="text1"/>
        </w:rPr>
      </w:pPr>
      <w:bookmarkStart w:id="1279" w:name="_1zpvhna"/>
      <w:bookmarkStart w:id="1280" w:name="_Ref415664908"/>
      <w:bookmarkEnd w:id="1279"/>
      <w:r w:rsidRPr="00763640">
        <w:rPr>
          <w:color w:val="000000" w:themeColor="text1"/>
        </w:rPr>
        <w:t>El Expediente Técnico, que incluye el respectivo Instrumento de Gestión Ambiental, para el Mantenimiento Periódico Inicial de los Sub Tramos indicados en la Cláusula 6.</w:t>
      </w:r>
      <w:r w:rsidRPr="00763640">
        <w:rPr>
          <w:rFonts w:eastAsia="SimSun" w:hint="eastAsia"/>
          <w:color w:val="000000" w:themeColor="text1"/>
          <w:lang w:eastAsia="zh-CN"/>
        </w:rPr>
        <w:t>3</w:t>
      </w:r>
      <w:r w:rsidRPr="00763640">
        <w:rPr>
          <w:rFonts w:eastAsia="SimSun"/>
          <w:color w:val="000000" w:themeColor="text1"/>
          <w:lang w:val="es-PE" w:eastAsia="zh-CN"/>
        </w:rPr>
        <w:t xml:space="preserve"> del presente Contrato,</w:t>
      </w:r>
      <w:r w:rsidRPr="00763640">
        <w:rPr>
          <w:color w:val="000000" w:themeColor="text1"/>
        </w:rPr>
        <w:t xml:space="preserve"> los formulará el CONCESIONARIO, quien los presentará al CONCEDENTE, con copia al REGULADOR, de acuerdo a lo indicado en el cuadro siguiente:</w:t>
      </w:r>
      <w:bookmarkEnd w:id="1280"/>
      <w:r w:rsidRPr="00763640">
        <w:rPr>
          <w:color w:val="000000" w:themeColor="text1"/>
        </w:rPr>
        <w:t xml:space="preserve"> </w:t>
      </w:r>
    </w:p>
    <w:p w14:paraId="41CDC6F0" w14:textId="77777777" w:rsidR="004412F1" w:rsidRPr="00763640" w:rsidRDefault="004412F1">
      <w:pPr>
        <w:ind w:left="720"/>
        <w:jc w:val="both"/>
        <w:rPr>
          <w:color w:val="000000" w:themeColor="text1"/>
        </w:rPr>
      </w:pPr>
    </w:p>
    <w:tbl>
      <w:tblPr>
        <w:tblW w:w="87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
        <w:gridCol w:w="986"/>
        <w:gridCol w:w="757"/>
        <w:gridCol w:w="860"/>
        <w:gridCol w:w="1032"/>
        <w:gridCol w:w="748"/>
        <w:gridCol w:w="864"/>
        <w:gridCol w:w="1029"/>
        <w:gridCol w:w="765"/>
        <w:gridCol w:w="871"/>
      </w:tblGrid>
      <w:tr w:rsidR="004412F1" w:rsidRPr="00763640" w14:paraId="4113C65F" w14:textId="77777777">
        <w:trPr>
          <w:trHeight w:val="392"/>
          <w:jc w:val="right"/>
        </w:trPr>
        <w:tc>
          <w:tcPr>
            <w:tcW w:w="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55CCF7" w14:textId="77777777" w:rsidR="004412F1" w:rsidRPr="00763640" w:rsidRDefault="005A12A3">
            <w:pPr>
              <w:ind w:left="-142" w:firstLine="44"/>
              <w:jc w:val="center"/>
              <w:rPr>
                <w:i/>
                <w:iCs/>
                <w:sz w:val="13"/>
                <w:szCs w:val="13"/>
              </w:rPr>
            </w:pPr>
            <w:r w:rsidRPr="00763640">
              <w:rPr>
                <w:i/>
                <w:iCs/>
                <w:sz w:val="13"/>
                <w:szCs w:val="13"/>
              </w:rPr>
              <w:t>Estudios</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CA4E92A" w14:textId="77777777" w:rsidR="004412F1" w:rsidRPr="00763640" w:rsidRDefault="005A12A3">
            <w:pPr>
              <w:ind w:left="-108"/>
              <w:jc w:val="center"/>
              <w:rPr>
                <w:i/>
                <w:iCs/>
                <w:sz w:val="13"/>
                <w:szCs w:val="13"/>
              </w:rPr>
            </w:pPr>
            <w:r w:rsidRPr="00763640">
              <w:rPr>
                <w:i/>
                <w:iCs/>
                <w:sz w:val="13"/>
                <w:szCs w:val="13"/>
              </w:rPr>
              <w:t>Presentación del Concesionario</w:t>
            </w:r>
          </w:p>
          <w:p w14:paraId="2D91A409" w14:textId="77777777" w:rsidR="004412F1" w:rsidRPr="00763640" w:rsidRDefault="004412F1">
            <w:pPr>
              <w:jc w:val="center"/>
              <w:rPr>
                <w:i/>
                <w:iCs/>
                <w:sz w:val="13"/>
                <w:szCs w:val="13"/>
              </w:rPr>
            </w:pPr>
          </w:p>
        </w:tc>
        <w:tc>
          <w:tcPr>
            <w:tcW w:w="16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4EB474" w14:textId="77777777" w:rsidR="004412F1" w:rsidRPr="00763640" w:rsidRDefault="005A12A3">
            <w:pPr>
              <w:jc w:val="center"/>
              <w:rPr>
                <w:i/>
                <w:iCs/>
                <w:sz w:val="13"/>
                <w:szCs w:val="13"/>
              </w:rPr>
            </w:pPr>
            <w:r w:rsidRPr="00763640">
              <w:rPr>
                <w:i/>
                <w:iCs/>
                <w:sz w:val="13"/>
                <w:szCs w:val="13"/>
              </w:rPr>
              <w:t>Revisión</w:t>
            </w:r>
          </w:p>
        </w:tc>
        <w:tc>
          <w:tcPr>
            <w:tcW w:w="10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6D8F0C" w14:textId="77777777" w:rsidR="004412F1" w:rsidRPr="00763640" w:rsidRDefault="005A12A3">
            <w:pPr>
              <w:ind w:left="-76"/>
              <w:jc w:val="center"/>
              <w:rPr>
                <w:i/>
                <w:iCs/>
                <w:sz w:val="13"/>
                <w:szCs w:val="13"/>
              </w:rPr>
            </w:pPr>
            <w:r w:rsidRPr="00763640">
              <w:rPr>
                <w:i/>
                <w:iCs/>
                <w:sz w:val="13"/>
                <w:szCs w:val="13"/>
              </w:rPr>
              <w:t>Levantamiento observaciones Concesionario</w:t>
            </w:r>
          </w:p>
        </w:tc>
        <w:tc>
          <w:tcPr>
            <w:tcW w:w="16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3158F15" w14:textId="77777777" w:rsidR="004412F1" w:rsidRPr="00763640" w:rsidRDefault="005A12A3">
            <w:pPr>
              <w:jc w:val="center"/>
              <w:rPr>
                <w:i/>
                <w:iCs/>
                <w:sz w:val="13"/>
                <w:szCs w:val="13"/>
              </w:rPr>
            </w:pPr>
            <w:r w:rsidRPr="00763640">
              <w:rPr>
                <w:i/>
                <w:iCs/>
                <w:sz w:val="13"/>
                <w:szCs w:val="13"/>
              </w:rPr>
              <w:t>Evaluación levantamiento Observaciones</w:t>
            </w:r>
          </w:p>
        </w:tc>
        <w:tc>
          <w:tcPr>
            <w:tcW w:w="1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1EFCA8" w14:textId="77777777" w:rsidR="004412F1" w:rsidRPr="00763640" w:rsidRDefault="005A12A3">
            <w:pPr>
              <w:ind w:left="-80"/>
              <w:jc w:val="center"/>
              <w:rPr>
                <w:i/>
                <w:iCs/>
                <w:sz w:val="13"/>
                <w:szCs w:val="13"/>
              </w:rPr>
            </w:pPr>
            <w:r w:rsidRPr="00763640">
              <w:rPr>
                <w:i/>
                <w:iCs/>
                <w:sz w:val="13"/>
                <w:szCs w:val="13"/>
              </w:rPr>
              <w:t>Levantamiento observaciones Concesionario</w:t>
            </w:r>
          </w:p>
        </w:tc>
        <w:tc>
          <w:tcPr>
            <w:tcW w:w="1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CFA5AE" w14:textId="77777777" w:rsidR="004412F1" w:rsidRPr="00763640" w:rsidRDefault="005A12A3">
            <w:pPr>
              <w:ind w:left="-88"/>
              <w:jc w:val="center"/>
              <w:rPr>
                <w:i/>
                <w:iCs/>
                <w:sz w:val="13"/>
                <w:szCs w:val="13"/>
              </w:rPr>
            </w:pPr>
            <w:r w:rsidRPr="00763640">
              <w:rPr>
                <w:i/>
                <w:iCs/>
                <w:sz w:val="13"/>
                <w:szCs w:val="13"/>
              </w:rPr>
              <w:t>Evaluación levantamiento observaciones</w:t>
            </w:r>
          </w:p>
        </w:tc>
      </w:tr>
      <w:tr w:rsidR="004412F1" w:rsidRPr="00763640" w14:paraId="147EB20D" w14:textId="77777777">
        <w:trPr>
          <w:trHeight w:val="392"/>
          <w:jc w:val="right"/>
        </w:trPr>
        <w:tc>
          <w:tcPr>
            <w:tcW w:w="809" w:type="dxa"/>
            <w:vMerge/>
            <w:shd w:val="clear" w:color="auto" w:fill="auto"/>
            <w:tcMar>
              <w:top w:w="0" w:type="dxa"/>
              <w:left w:w="108" w:type="dxa"/>
              <w:bottom w:w="0" w:type="dxa"/>
              <w:right w:w="108" w:type="dxa"/>
            </w:tcMar>
            <w:vAlign w:val="center"/>
          </w:tcPr>
          <w:p w14:paraId="2EAE1343" w14:textId="77777777" w:rsidR="004412F1" w:rsidRPr="00763640" w:rsidRDefault="004412F1">
            <w:pPr>
              <w:spacing w:line="276" w:lineRule="auto"/>
              <w:rPr>
                <w:i/>
                <w:sz w:val="13"/>
                <w:szCs w:val="13"/>
              </w:rPr>
            </w:pPr>
          </w:p>
        </w:tc>
        <w:tc>
          <w:tcPr>
            <w:tcW w:w="986" w:type="dxa"/>
            <w:vMerge/>
            <w:shd w:val="clear" w:color="auto" w:fill="auto"/>
            <w:tcMar>
              <w:top w:w="0" w:type="dxa"/>
              <w:left w:w="108" w:type="dxa"/>
              <w:bottom w:w="0" w:type="dxa"/>
              <w:right w:w="108" w:type="dxa"/>
            </w:tcMar>
            <w:vAlign w:val="center"/>
          </w:tcPr>
          <w:p w14:paraId="6725C8A1" w14:textId="77777777" w:rsidR="004412F1" w:rsidRPr="00763640" w:rsidRDefault="004412F1">
            <w:pPr>
              <w:spacing w:line="276" w:lineRule="auto"/>
              <w:rPr>
                <w:i/>
                <w:sz w:val="13"/>
                <w:szCs w:val="13"/>
              </w:rPr>
            </w:pP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8EB9C8" w14:textId="77777777" w:rsidR="004412F1" w:rsidRPr="00763640" w:rsidRDefault="005A12A3">
            <w:pPr>
              <w:ind w:hanging="98"/>
              <w:jc w:val="center"/>
              <w:rPr>
                <w:i/>
                <w:iCs/>
                <w:sz w:val="13"/>
                <w:szCs w:val="13"/>
              </w:rPr>
            </w:pPr>
            <w:r w:rsidRPr="00763640">
              <w:rPr>
                <w:i/>
                <w:iCs/>
                <w:sz w:val="13"/>
                <w:szCs w:val="13"/>
              </w:rPr>
              <w:t>Regulador</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79F9B6" w14:textId="77777777" w:rsidR="004412F1" w:rsidRPr="00763640" w:rsidRDefault="005A12A3">
            <w:pPr>
              <w:ind w:hanging="99"/>
              <w:jc w:val="center"/>
              <w:rPr>
                <w:i/>
                <w:iCs/>
                <w:sz w:val="13"/>
                <w:szCs w:val="13"/>
              </w:rPr>
            </w:pPr>
            <w:r w:rsidRPr="00763640">
              <w:rPr>
                <w:i/>
                <w:iCs/>
                <w:sz w:val="13"/>
                <w:szCs w:val="13"/>
              </w:rPr>
              <w:t>Concedente</w:t>
            </w:r>
          </w:p>
        </w:tc>
        <w:tc>
          <w:tcPr>
            <w:tcW w:w="1032" w:type="dxa"/>
            <w:vMerge/>
            <w:shd w:val="clear" w:color="auto" w:fill="auto"/>
            <w:tcMar>
              <w:top w:w="0" w:type="dxa"/>
              <w:left w:w="108" w:type="dxa"/>
              <w:bottom w:w="0" w:type="dxa"/>
              <w:right w:w="108" w:type="dxa"/>
            </w:tcMar>
            <w:vAlign w:val="center"/>
          </w:tcPr>
          <w:p w14:paraId="0F6D7C9C" w14:textId="77777777" w:rsidR="004412F1" w:rsidRPr="00763640" w:rsidRDefault="004412F1">
            <w:pPr>
              <w:spacing w:line="276" w:lineRule="auto"/>
              <w:rPr>
                <w:i/>
                <w:sz w:val="13"/>
                <w:szCs w:val="13"/>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5216B4" w14:textId="77777777" w:rsidR="004412F1" w:rsidRPr="00763640" w:rsidRDefault="005A12A3">
            <w:pPr>
              <w:ind w:hanging="110"/>
              <w:jc w:val="center"/>
              <w:rPr>
                <w:i/>
                <w:iCs/>
                <w:sz w:val="13"/>
                <w:szCs w:val="13"/>
              </w:rPr>
            </w:pPr>
            <w:r w:rsidRPr="00763640">
              <w:rPr>
                <w:i/>
                <w:iCs/>
                <w:sz w:val="13"/>
                <w:szCs w:val="13"/>
              </w:rPr>
              <w:t>Regulador</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3DF3C6" w14:textId="77777777" w:rsidR="004412F1" w:rsidRPr="00763640" w:rsidRDefault="005A12A3">
            <w:pPr>
              <w:ind w:hanging="94"/>
              <w:jc w:val="center"/>
              <w:rPr>
                <w:i/>
                <w:iCs/>
                <w:sz w:val="13"/>
                <w:szCs w:val="13"/>
              </w:rPr>
            </w:pPr>
            <w:r w:rsidRPr="00763640">
              <w:rPr>
                <w:i/>
                <w:iCs/>
                <w:sz w:val="13"/>
                <w:szCs w:val="13"/>
              </w:rPr>
              <w:t>Concedente</w:t>
            </w:r>
          </w:p>
        </w:tc>
        <w:tc>
          <w:tcPr>
            <w:tcW w:w="1029" w:type="dxa"/>
            <w:vMerge/>
            <w:shd w:val="clear" w:color="auto" w:fill="auto"/>
            <w:tcMar>
              <w:top w:w="0" w:type="dxa"/>
              <w:left w:w="108" w:type="dxa"/>
              <w:bottom w:w="0" w:type="dxa"/>
              <w:right w:w="108" w:type="dxa"/>
            </w:tcMar>
            <w:vAlign w:val="center"/>
          </w:tcPr>
          <w:p w14:paraId="51BDBA7C" w14:textId="77777777" w:rsidR="004412F1" w:rsidRPr="00763640" w:rsidRDefault="004412F1">
            <w:pPr>
              <w:spacing w:line="276" w:lineRule="auto"/>
              <w:rPr>
                <w:i/>
                <w:sz w:val="13"/>
                <w:szCs w:val="13"/>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A812CA" w14:textId="77777777" w:rsidR="004412F1" w:rsidRPr="00763640" w:rsidRDefault="005A12A3">
            <w:pPr>
              <w:ind w:hanging="88"/>
              <w:jc w:val="center"/>
              <w:rPr>
                <w:i/>
                <w:iCs/>
                <w:sz w:val="13"/>
                <w:szCs w:val="13"/>
              </w:rPr>
            </w:pPr>
            <w:r w:rsidRPr="00763640">
              <w:rPr>
                <w:i/>
                <w:iCs/>
                <w:sz w:val="13"/>
                <w:szCs w:val="13"/>
              </w:rPr>
              <w:t>Regulador</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E5D73B" w14:textId="77777777" w:rsidR="004412F1" w:rsidRPr="00763640" w:rsidRDefault="005A12A3">
            <w:pPr>
              <w:ind w:left="-156"/>
              <w:jc w:val="center"/>
              <w:rPr>
                <w:i/>
                <w:iCs/>
                <w:sz w:val="13"/>
                <w:szCs w:val="13"/>
              </w:rPr>
            </w:pPr>
            <w:r w:rsidRPr="00763640">
              <w:rPr>
                <w:i/>
                <w:iCs/>
                <w:sz w:val="13"/>
                <w:szCs w:val="13"/>
              </w:rPr>
              <w:t xml:space="preserve">Concedente </w:t>
            </w:r>
            <w:r w:rsidRPr="00763640">
              <w:rPr>
                <w:i/>
                <w:iCs/>
                <w:sz w:val="13"/>
                <w:szCs w:val="13"/>
                <w:vertAlign w:val="superscript"/>
              </w:rPr>
              <w:t>(9)</w:t>
            </w:r>
          </w:p>
        </w:tc>
      </w:tr>
      <w:tr w:rsidR="004412F1" w:rsidRPr="00763640" w14:paraId="7B7C9A8B" w14:textId="77777777">
        <w:trPr>
          <w:trHeight w:val="392"/>
          <w:jc w:val="right"/>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81585D" w14:textId="77777777" w:rsidR="004412F1" w:rsidRPr="00763640" w:rsidRDefault="005A12A3">
            <w:pPr>
              <w:ind w:hanging="56"/>
              <w:jc w:val="center"/>
              <w:rPr>
                <w:i/>
                <w:iCs/>
                <w:sz w:val="18"/>
                <w:szCs w:val="18"/>
                <w:lang w:val="es-PE"/>
              </w:rPr>
            </w:pPr>
            <w:r w:rsidRPr="00763640">
              <w:rPr>
                <w:i/>
                <w:iCs/>
                <w:sz w:val="18"/>
                <w:szCs w:val="18"/>
                <w:lang w:val="es-PE"/>
              </w:rPr>
              <w:t>ET</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C27D81B" w14:textId="77777777" w:rsidR="004412F1" w:rsidRPr="00763640" w:rsidRDefault="005A12A3">
            <w:pPr>
              <w:jc w:val="center"/>
              <w:rPr>
                <w:i/>
                <w:iCs/>
                <w:sz w:val="18"/>
                <w:szCs w:val="18"/>
                <w:vertAlign w:val="superscript"/>
              </w:rPr>
            </w:pPr>
            <w:r w:rsidRPr="00763640">
              <w:rPr>
                <w:i/>
                <w:iCs/>
                <w:sz w:val="18"/>
                <w:szCs w:val="18"/>
                <w:vertAlign w:val="superscript"/>
              </w:rPr>
              <w:t>(1)</w:t>
            </w:r>
          </w:p>
          <w:p w14:paraId="6F9A41FF" w14:textId="77777777" w:rsidR="004412F1" w:rsidRPr="00763640" w:rsidRDefault="005A12A3">
            <w:pPr>
              <w:jc w:val="center"/>
              <w:rPr>
                <w:i/>
                <w:iCs/>
                <w:sz w:val="18"/>
                <w:szCs w:val="18"/>
                <w:vertAlign w:val="superscript"/>
                <w:lang w:val="es-PE"/>
              </w:rPr>
            </w:pPr>
            <w:r w:rsidRPr="00763640">
              <w:rPr>
                <w:i/>
                <w:iCs/>
                <w:sz w:val="18"/>
                <w:szCs w:val="18"/>
                <w:lang w:val="es-PE"/>
              </w:rPr>
              <w:t>540</w:t>
            </w: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E2CAB4" w14:textId="77777777" w:rsidR="004412F1" w:rsidRPr="00763640" w:rsidRDefault="005A12A3">
            <w:pPr>
              <w:jc w:val="center"/>
              <w:rPr>
                <w:i/>
                <w:iCs/>
                <w:sz w:val="18"/>
                <w:szCs w:val="18"/>
                <w:vertAlign w:val="superscript"/>
              </w:rPr>
            </w:pPr>
            <w:r w:rsidRPr="00763640">
              <w:rPr>
                <w:i/>
                <w:iCs/>
                <w:sz w:val="18"/>
                <w:szCs w:val="18"/>
                <w:vertAlign w:val="superscript"/>
              </w:rPr>
              <w:t>(2)</w:t>
            </w:r>
          </w:p>
          <w:p w14:paraId="168700A2" w14:textId="77777777" w:rsidR="004412F1" w:rsidRPr="00763640" w:rsidRDefault="005A12A3">
            <w:pPr>
              <w:jc w:val="center"/>
              <w:rPr>
                <w:i/>
                <w:iCs/>
                <w:sz w:val="18"/>
                <w:szCs w:val="18"/>
              </w:rPr>
            </w:pPr>
            <w:r w:rsidRPr="00763640">
              <w:rPr>
                <w:i/>
                <w:iCs/>
                <w:sz w:val="18"/>
                <w:szCs w:val="18"/>
              </w:rPr>
              <w:t>20</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43004E4" w14:textId="77777777" w:rsidR="004412F1" w:rsidRPr="00763640" w:rsidRDefault="005A12A3">
            <w:pPr>
              <w:jc w:val="center"/>
              <w:rPr>
                <w:i/>
                <w:iCs/>
                <w:sz w:val="18"/>
                <w:szCs w:val="18"/>
                <w:vertAlign w:val="superscript"/>
              </w:rPr>
            </w:pPr>
            <w:r w:rsidRPr="00763640">
              <w:rPr>
                <w:i/>
                <w:iCs/>
                <w:sz w:val="18"/>
                <w:szCs w:val="18"/>
                <w:vertAlign w:val="superscript"/>
              </w:rPr>
              <w:t>(3)</w:t>
            </w:r>
          </w:p>
          <w:p w14:paraId="513887F4" w14:textId="77777777" w:rsidR="004412F1" w:rsidRPr="00763640" w:rsidRDefault="005A12A3">
            <w:pPr>
              <w:jc w:val="center"/>
              <w:rPr>
                <w:i/>
                <w:iCs/>
                <w:sz w:val="18"/>
                <w:szCs w:val="18"/>
                <w:lang w:val="es-PE"/>
              </w:rPr>
            </w:pPr>
            <w:r w:rsidRPr="00763640">
              <w:rPr>
                <w:i/>
                <w:iCs/>
                <w:sz w:val="18"/>
                <w:szCs w:val="18"/>
                <w:lang w:val="es-PE"/>
              </w:rPr>
              <w:t>30</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0C46F6A" w14:textId="77777777" w:rsidR="004412F1" w:rsidRPr="00763640" w:rsidRDefault="005A12A3">
            <w:pPr>
              <w:jc w:val="center"/>
              <w:rPr>
                <w:i/>
                <w:iCs/>
                <w:sz w:val="18"/>
                <w:szCs w:val="18"/>
                <w:vertAlign w:val="superscript"/>
              </w:rPr>
            </w:pPr>
            <w:r w:rsidRPr="00763640">
              <w:rPr>
                <w:i/>
                <w:iCs/>
                <w:sz w:val="18"/>
                <w:szCs w:val="18"/>
                <w:vertAlign w:val="superscript"/>
              </w:rPr>
              <w:t>(4)</w:t>
            </w:r>
          </w:p>
          <w:p w14:paraId="0AF2EBD6" w14:textId="77777777" w:rsidR="004412F1" w:rsidRPr="00763640" w:rsidRDefault="005A12A3">
            <w:pPr>
              <w:jc w:val="center"/>
              <w:rPr>
                <w:i/>
                <w:iCs/>
                <w:sz w:val="18"/>
                <w:szCs w:val="18"/>
                <w:lang w:val="es-PE"/>
              </w:rPr>
            </w:pPr>
            <w:r w:rsidRPr="00763640">
              <w:rPr>
                <w:i/>
                <w:iCs/>
                <w:sz w:val="18"/>
                <w:szCs w:val="18"/>
                <w:lang w:val="es-PE"/>
              </w:rPr>
              <w:t>15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4E184F" w14:textId="77777777" w:rsidR="004412F1" w:rsidRPr="00763640" w:rsidRDefault="005A12A3">
            <w:pPr>
              <w:jc w:val="center"/>
              <w:rPr>
                <w:i/>
                <w:iCs/>
                <w:sz w:val="18"/>
                <w:szCs w:val="18"/>
                <w:vertAlign w:val="superscript"/>
              </w:rPr>
            </w:pPr>
            <w:r w:rsidRPr="00763640">
              <w:rPr>
                <w:i/>
                <w:iCs/>
                <w:sz w:val="18"/>
                <w:szCs w:val="18"/>
                <w:vertAlign w:val="superscript"/>
              </w:rPr>
              <w:t>(5)</w:t>
            </w:r>
          </w:p>
          <w:p w14:paraId="63074A14" w14:textId="77777777" w:rsidR="004412F1" w:rsidRPr="00763640" w:rsidRDefault="005A12A3">
            <w:pPr>
              <w:jc w:val="center"/>
              <w:rPr>
                <w:i/>
                <w:iCs/>
                <w:sz w:val="18"/>
                <w:szCs w:val="18"/>
              </w:rPr>
            </w:pPr>
            <w:r w:rsidRPr="00763640">
              <w:rPr>
                <w:i/>
                <w:iCs/>
                <w:sz w:val="18"/>
                <w:szCs w:val="18"/>
              </w:rPr>
              <w:t>20</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B1CC61" w14:textId="77777777" w:rsidR="004412F1" w:rsidRPr="00763640" w:rsidRDefault="005A12A3">
            <w:pPr>
              <w:jc w:val="center"/>
              <w:rPr>
                <w:i/>
                <w:iCs/>
                <w:sz w:val="18"/>
                <w:szCs w:val="18"/>
                <w:vertAlign w:val="superscript"/>
              </w:rPr>
            </w:pPr>
            <w:r w:rsidRPr="00763640">
              <w:rPr>
                <w:i/>
                <w:iCs/>
                <w:sz w:val="18"/>
                <w:szCs w:val="18"/>
                <w:vertAlign w:val="superscript"/>
              </w:rPr>
              <w:t>(6)</w:t>
            </w:r>
          </w:p>
          <w:p w14:paraId="24FA5EA3" w14:textId="77777777" w:rsidR="004412F1" w:rsidRPr="00763640" w:rsidRDefault="005A12A3">
            <w:pPr>
              <w:jc w:val="center"/>
              <w:rPr>
                <w:i/>
                <w:iCs/>
                <w:sz w:val="18"/>
                <w:szCs w:val="18"/>
                <w:lang w:val="es-PE"/>
              </w:rPr>
            </w:pPr>
            <w:r w:rsidRPr="00763640">
              <w:rPr>
                <w:i/>
                <w:iCs/>
                <w:sz w:val="18"/>
                <w:szCs w:val="18"/>
                <w:lang w:val="es-PE"/>
              </w:rPr>
              <w:t>30</w:t>
            </w:r>
          </w:p>
        </w:tc>
        <w:tc>
          <w:tcPr>
            <w:tcW w:w="1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40D4BF0" w14:textId="77777777" w:rsidR="004412F1" w:rsidRPr="00763640" w:rsidRDefault="005A12A3">
            <w:pPr>
              <w:jc w:val="center"/>
              <w:rPr>
                <w:i/>
                <w:iCs/>
                <w:sz w:val="18"/>
                <w:szCs w:val="18"/>
                <w:vertAlign w:val="superscript"/>
              </w:rPr>
            </w:pPr>
            <w:r w:rsidRPr="00763640">
              <w:rPr>
                <w:i/>
                <w:iCs/>
                <w:sz w:val="18"/>
                <w:szCs w:val="18"/>
                <w:vertAlign w:val="superscript"/>
              </w:rPr>
              <w:t>(7)</w:t>
            </w:r>
          </w:p>
          <w:p w14:paraId="7D26FCEB" w14:textId="77777777" w:rsidR="004412F1" w:rsidRPr="00763640" w:rsidRDefault="005A12A3">
            <w:pPr>
              <w:jc w:val="center"/>
              <w:rPr>
                <w:i/>
                <w:iCs/>
                <w:sz w:val="18"/>
                <w:szCs w:val="18"/>
                <w:lang w:val="es-PE"/>
              </w:rPr>
            </w:pPr>
            <w:r w:rsidRPr="00763640">
              <w:rPr>
                <w:i/>
                <w:iCs/>
                <w:sz w:val="18"/>
                <w:szCs w:val="18"/>
                <w:lang w:val="es-PE"/>
              </w:rPr>
              <w:t>15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C1AF31" w14:textId="77777777" w:rsidR="004412F1" w:rsidRPr="00763640" w:rsidRDefault="005A12A3">
            <w:pPr>
              <w:jc w:val="center"/>
              <w:rPr>
                <w:i/>
                <w:iCs/>
                <w:sz w:val="18"/>
                <w:szCs w:val="18"/>
                <w:vertAlign w:val="superscript"/>
              </w:rPr>
            </w:pPr>
            <w:r w:rsidRPr="00763640">
              <w:rPr>
                <w:i/>
                <w:iCs/>
                <w:sz w:val="18"/>
                <w:szCs w:val="18"/>
                <w:vertAlign w:val="superscript"/>
              </w:rPr>
              <w:t>(8)</w:t>
            </w:r>
          </w:p>
          <w:p w14:paraId="306AD354" w14:textId="77777777" w:rsidR="004412F1" w:rsidRPr="00763640" w:rsidRDefault="005A12A3">
            <w:pPr>
              <w:jc w:val="center"/>
              <w:rPr>
                <w:i/>
                <w:iCs/>
                <w:sz w:val="18"/>
                <w:szCs w:val="18"/>
              </w:rPr>
            </w:pPr>
            <w:r w:rsidRPr="00763640">
              <w:rPr>
                <w:i/>
                <w:iCs/>
                <w:sz w:val="18"/>
                <w:szCs w:val="18"/>
              </w:rPr>
              <w:t>15</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39FFE8" w14:textId="77777777" w:rsidR="004412F1" w:rsidRPr="00763640" w:rsidRDefault="005A12A3">
            <w:pPr>
              <w:jc w:val="center"/>
              <w:rPr>
                <w:i/>
                <w:iCs/>
                <w:sz w:val="18"/>
                <w:szCs w:val="18"/>
                <w:vertAlign w:val="superscript"/>
              </w:rPr>
            </w:pPr>
            <w:r w:rsidRPr="00763640">
              <w:rPr>
                <w:i/>
                <w:iCs/>
                <w:sz w:val="18"/>
                <w:szCs w:val="18"/>
                <w:vertAlign w:val="superscript"/>
              </w:rPr>
              <w:t>(9(10)</w:t>
            </w:r>
          </w:p>
          <w:p w14:paraId="051B1837" w14:textId="77777777" w:rsidR="004412F1" w:rsidRPr="00763640" w:rsidRDefault="005A12A3">
            <w:pPr>
              <w:jc w:val="center"/>
              <w:rPr>
                <w:i/>
                <w:iCs/>
                <w:sz w:val="18"/>
                <w:szCs w:val="18"/>
                <w:lang w:val="es-PE"/>
              </w:rPr>
            </w:pPr>
            <w:r w:rsidRPr="00763640">
              <w:rPr>
                <w:i/>
                <w:iCs/>
                <w:sz w:val="18"/>
                <w:szCs w:val="18"/>
                <w:lang w:val="es-PE"/>
              </w:rPr>
              <w:t>30</w:t>
            </w:r>
          </w:p>
        </w:tc>
      </w:tr>
    </w:tbl>
    <w:p w14:paraId="7641B8E9" w14:textId="77777777" w:rsidR="004412F1" w:rsidRPr="00763640" w:rsidRDefault="004412F1">
      <w:pPr>
        <w:ind w:left="709"/>
        <w:jc w:val="both"/>
      </w:pPr>
    </w:p>
    <w:p w14:paraId="525FAA92" w14:textId="77777777" w:rsidR="004412F1" w:rsidRPr="00763640" w:rsidRDefault="005A12A3">
      <w:pPr>
        <w:ind w:left="709"/>
        <w:jc w:val="both"/>
      </w:pPr>
      <w:r w:rsidRPr="00763640">
        <w:t xml:space="preserve">El plazo máximo para la conformidad del Expediente Técnico es de 660 Días Calendario contados a partir de la Fecha de Suscripción del Contrato.  </w:t>
      </w:r>
    </w:p>
    <w:p w14:paraId="3B1F7A7B" w14:textId="77777777" w:rsidR="004412F1" w:rsidRPr="00763640" w:rsidRDefault="004412F1">
      <w:pPr>
        <w:ind w:left="709"/>
        <w:jc w:val="both"/>
      </w:pPr>
    </w:p>
    <w:p w14:paraId="41AA998C" w14:textId="77777777" w:rsidR="004412F1" w:rsidRPr="00763640" w:rsidRDefault="005A12A3">
      <w:pPr>
        <w:ind w:left="709"/>
        <w:jc w:val="both"/>
      </w:pPr>
      <w:r w:rsidRPr="00763640">
        <w:t xml:space="preserve">De existir controversia sobre el pronunciamiento del CONCEDENTE, cualquiera de las Partes </w:t>
      </w:r>
      <w:r w:rsidRPr="00763640">
        <w:rPr>
          <w:color w:val="000000" w:themeColor="text1"/>
        </w:rPr>
        <w:t xml:space="preserve"> podrá ejercer su derecho de la aplicación del régimen de Solución de Controversias invocando lo dispuesto en el Capítulo XIX del Contrato</w:t>
      </w:r>
      <w:r w:rsidRPr="00763640">
        <w:t>, suspendiéndose el plazo máximo para la aprobación del Expediente Técnico hasta la emisión del pronunciamiento definitivo firme.</w:t>
      </w:r>
    </w:p>
    <w:p w14:paraId="48D17A08" w14:textId="77777777" w:rsidR="004412F1" w:rsidRPr="00763640" w:rsidRDefault="004412F1">
      <w:pPr>
        <w:ind w:left="851" w:right="-709"/>
        <w:jc w:val="both"/>
      </w:pPr>
    </w:p>
    <w:p w14:paraId="27436D82" w14:textId="77777777" w:rsidR="004412F1" w:rsidRPr="00763640" w:rsidRDefault="005A12A3">
      <w:pPr>
        <w:ind w:left="709"/>
        <w:jc w:val="both"/>
      </w:pPr>
      <w:r w:rsidRPr="00763640">
        <w:t>Los plazos son los máximos y están considerados en Días Calendario:</w:t>
      </w:r>
    </w:p>
    <w:p w14:paraId="60CCDD94" w14:textId="77777777" w:rsidR="004412F1" w:rsidRPr="00763640" w:rsidRDefault="005A12A3">
      <w:pPr>
        <w:ind w:left="1276" w:right="-709" w:hanging="567"/>
        <w:jc w:val="both"/>
        <w:rPr>
          <w:rFonts w:eastAsia="Times New Roman"/>
          <w:bCs/>
          <w:szCs w:val="18"/>
          <w:lang w:val="es-ES" w:eastAsia="es-ES"/>
        </w:rPr>
      </w:pPr>
      <w:r w:rsidRPr="00763640">
        <w:t>(1)</w:t>
      </w:r>
      <w:r w:rsidRPr="00763640">
        <w:tab/>
        <w:t xml:space="preserve">A partir del día siguiente de la Fecha de Suscripción del Contrato. </w:t>
      </w:r>
    </w:p>
    <w:p w14:paraId="2E5D704D" w14:textId="77777777" w:rsidR="004412F1" w:rsidRDefault="005A12A3">
      <w:pPr>
        <w:ind w:left="1276" w:hanging="567"/>
        <w:jc w:val="both"/>
        <w:rPr>
          <w:rFonts w:eastAsia="Times New Roman"/>
          <w:bCs/>
          <w:szCs w:val="18"/>
          <w:lang w:val="es-ES" w:eastAsia="es-ES"/>
        </w:rPr>
      </w:pPr>
      <w:r w:rsidRPr="00763640">
        <w:t>(2)</w:t>
      </w:r>
      <w:r w:rsidRPr="00763640">
        <w:tab/>
        <w:t>A partir del día siguiente de la recepción oficial del Expediente Técnico por parte del REGULADOR.</w:t>
      </w:r>
      <w:r>
        <w:t xml:space="preserve"> </w:t>
      </w:r>
    </w:p>
    <w:p w14:paraId="51AA0546" w14:textId="77777777" w:rsidR="004412F1" w:rsidRDefault="005A12A3">
      <w:pPr>
        <w:ind w:left="1276" w:hanging="567"/>
        <w:jc w:val="both"/>
        <w:rPr>
          <w:rFonts w:eastAsia="Times New Roman"/>
          <w:bCs/>
          <w:szCs w:val="18"/>
          <w:lang w:val="es-ES" w:eastAsia="es-ES"/>
        </w:rPr>
      </w:pPr>
      <w:r>
        <w:t xml:space="preserve">(3) </w:t>
      </w:r>
      <w:r>
        <w:tab/>
        <w:t xml:space="preserve">A partir del día siguiente de la recepción oficial  del Expediente Técnico por parte del CONCEDENTE. </w:t>
      </w:r>
    </w:p>
    <w:p w14:paraId="02993D54" w14:textId="77777777" w:rsidR="004412F1" w:rsidRDefault="005A12A3">
      <w:pPr>
        <w:ind w:left="1276" w:hanging="567"/>
        <w:jc w:val="both"/>
        <w:rPr>
          <w:rFonts w:eastAsia="Times New Roman"/>
          <w:bCs/>
          <w:szCs w:val="18"/>
          <w:lang w:val="es-ES" w:eastAsia="es-ES"/>
        </w:rPr>
      </w:pPr>
      <w:r>
        <w:t>(4)</w:t>
      </w:r>
      <w:r>
        <w:tab/>
        <w:t>A partir del día siguiente de la recepción oficial del pliego de observaciones del CONCEDENTE y del REGULADOR (el plazo se computa desde la última recepción).</w:t>
      </w:r>
    </w:p>
    <w:p w14:paraId="4BD26C66" w14:textId="77777777" w:rsidR="004412F1" w:rsidRDefault="005A12A3">
      <w:pPr>
        <w:ind w:left="1276" w:hanging="567"/>
        <w:jc w:val="both"/>
        <w:rPr>
          <w:rFonts w:eastAsia="Times New Roman"/>
          <w:bCs/>
          <w:szCs w:val="18"/>
          <w:lang w:val="es-ES" w:eastAsia="es-ES"/>
        </w:rPr>
      </w:pPr>
      <w:r>
        <w:t>(5)</w:t>
      </w:r>
      <w:r>
        <w:tab/>
        <w:t>A partir del día siguiente de la recepción oficial del levantamiento de observaciones presentado por el CONCESIONARIO.</w:t>
      </w:r>
    </w:p>
    <w:p w14:paraId="62955754" w14:textId="77777777" w:rsidR="004412F1" w:rsidRDefault="005A12A3">
      <w:pPr>
        <w:ind w:left="1276" w:hanging="567"/>
        <w:jc w:val="both"/>
        <w:rPr>
          <w:rFonts w:eastAsia="Times New Roman"/>
          <w:bCs/>
          <w:szCs w:val="18"/>
          <w:lang w:val="es-ES" w:eastAsia="es-ES"/>
        </w:rPr>
      </w:pPr>
      <w:r>
        <w:t>(6)</w:t>
      </w:r>
      <w:r>
        <w:tab/>
        <w:t>A partir del día siguiente de la  recepción oficial del levantamiento de observaciones presentado por el CONCESIONARIO.</w:t>
      </w:r>
    </w:p>
    <w:p w14:paraId="16440CEE" w14:textId="77777777" w:rsidR="004412F1" w:rsidRDefault="005A12A3">
      <w:pPr>
        <w:ind w:left="1276" w:hanging="567"/>
        <w:jc w:val="both"/>
      </w:pPr>
      <w:r>
        <w:t>(7)</w:t>
      </w:r>
      <w:r>
        <w:tab/>
        <w:t>A partir del día siguiente de la recepción oficial del pliego de observaciones del CONCEDENTE y del REGULADOR  (el plazo se computa desde la última recepción).</w:t>
      </w:r>
    </w:p>
    <w:p w14:paraId="4BB0D104" w14:textId="77777777" w:rsidR="004412F1" w:rsidRDefault="005A12A3">
      <w:pPr>
        <w:ind w:left="1276" w:hanging="567"/>
        <w:jc w:val="both"/>
      </w:pPr>
      <w:r>
        <w:t>(8)</w:t>
      </w:r>
      <w:r>
        <w:tab/>
        <w:t>A partir del día siguiente de la recepción oficial del levantamiento de observaciones presentado por el CONCESIONARIO.</w:t>
      </w:r>
    </w:p>
    <w:p w14:paraId="594F5607" w14:textId="77777777" w:rsidR="004412F1" w:rsidRDefault="005A12A3">
      <w:pPr>
        <w:ind w:left="1276" w:hanging="567"/>
        <w:jc w:val="both"/>
        <w:rPr>
          <w:rFonts w:eastAsia="Times New Roman"/>
          <w:bCs/>
          <w:szCs w:val="18"/>
          <w:lang w:val="es-ES" w:eastAsia="es-ES"/>
        </w:rPr>
      </w:pPr>
      <w:r>
        <w:t>(9)</w:t>
      </w:r>
      <w:r>
        <w:tab/>
        <w:t>A partir del día siguiente de la  recepción oficial del levantamiento de observaciones presentado por el CONCESIONARIO.</w:t>
      </w:r>
    </w:p>
    <w:p w14:paraId="53A420A2" w14:textId="77777777" w:rsidR="004412F1" w:rsidRDefault="005A12A3">
      <w:pPr>
        <w:ind w:left="1276" w:hanging="567"/>
        <w:jc w:val="both"/>
      </w:pPr>
      <w:r>
        <w:t>(10)</w:t>
      </w:r>
      <w:r>
        <w:tab/>
        <w:t>Con la opinión del REGULADOR y dentro del plazo indicado en (9), el CONCEDENTE emitirá su pronunciamiento dando conformidad o no al Expediente Técnico. La aprobación que realiza el CONCEDENTE no exime al CONCESIONARIO de la responsabilidad que le asiste por su formulación ni traslada el riesgo de diseño que en todo momento deberá asumir el CONCESIONARIO.</w:t>
      </w:r>
      <w:r>
        <w:tab/>
      </w:r>
    </w:p>
    <w:p w14:paraId="5A84DBBD" w14:textId="77777777" w:rsidR="004412F1" w:rsidRDefault="004412F1">
      <w:pPr>
        <w:ind w:left="1276" w:hanging="567"/>
        <w:jc w:val="both"/>
      </w:pPr>
    </w:p>
    <w:p w14:paraId="35EEC949" w14:textId="77777777" w:rsidR="004412F1" w:rsidRPr="00763640" w:rsidRDefault="005A12A3">
      <w:pPr>
        <w:ind w:left="709"/>
        <w:jc w:val="both"/>
        <w:rPr>
          <w:rFonts w:eastAsia="Times New Roman"/>
          <w:bCs/>
          <w:szCs w:val="18"/>
          <w:lang w:val="es-ES" w:eastAsia="es-ES"/>
        </w:rPr>
      </w:pPr>
      <w:r>
        <w:t xml:space="preserve">En caso el CONCEDENTE no se pronuncie en el plazo señalado, se entenderá por no conforme el Expediente Técnico. El CONCESIONARIO está obligado a levantar las observaciones tramitadas por el CONCEDENTE, de lo contrario estará sujeto a la </w:t>
      </w:r>
      <w:r w:rsidRPr="00763640">
        <w:t>penalidad indicada en la Tabla Nº 3 del ANEXO IX.</w:t>
      </w:r>
    </w:p>
    <w:p w14:paraId="24ACD761" w14:textId="77777777" w:rsidR="004412F1" w:rsidRPr="00763640" w:rsidRDefault="004412F1">
      <w:pPr>
        <w:ind w:left="709"/>
        <w:jc w:val="both"/>
      </w:pPr>
    </w:p>
    <w:p w14:paraId="15CF6042" w14:textId="77777777" w:rsidR="004412F1" w:rsidRPr="00763640" w:rsidRDefault="005A12A3">
      <w:pPr>
        <w:ind w:left="709"/>
        <w:jc w:val="both"/>
      </w:pPr>
      <w:r w:rsidRPr="00763640">
        <w:t>Las observaciones que realicen el CONCEDENTE y REGULADOR no supondrán en ningún caso algún incremento en el PAMPI.</w:t>
      </w:r>
      <w:r w:rsidRPr="00763640">
        <w:rPr>
          <w:lang w:val="es-PE"/>
        </w:rPr>
        <w:t xml:space="preserve"> </w:t>
      </w:r>
      <w:r w:rsidRPr="00763640">
        <w:t>Los Expedientes Técnicos para el Mantenimiento Periódico Inicial deben considerar el Mantenimiento Periódico Inicial de los puentes y pontones, badenes y todas las obras de arte, tal como se considera en los Términos de Referencia.</w:t>
      </w:r>
    </w:p>
    <w:p w14:paraId="4FAC8A69" w14:textId="77777777" w:rsidR="004412F1" w:rsidRPr="00763640" w:rsidRDefault="004412F1">
      <w:pPr>
        <w:ind w:left="709"/>
        <w:jc w:val="both"/>
      </w:pPr>
    </w:p>
    <w:p w14:paraId="2946AE18" w14:textId="77777777" w:rsidR="004412F1" w:rsidRPr="00763640" w:rsidRDefault="005A12A3">
      <w:pPr>
        <w:ind w:left="709"/>
        <w:jc w:val="both"/>
      </w:pPr>
      <w:r w:rsidRPr="00763640">
        <w:t>El CONCESIONARIO podrá presentar para conformidad el Expediente Técnico en forma parcial, como mínimo lo correspondiente a tres (3) Sub Tramos. Aprobado el Expediente Técnico, se iniciará el procedimiento de Cierre Financiero conforme el Capítulo X del presente Contrato.</w:t>
      </w:r>
    </w:p>
    <w:p w14:paraId="1791A14B" w14:textId="77777777" w:rsidR="004412F1" w:rsidRPr="00763640" w:rsidRDefault="004412F1">
      <w:pPr>
        <w:suppressLineNumbers/>
        <w:suppressAutoHyphens/>
        <w:ind w:left="709"/>
        <w:jc w:val="both"/>
        <w:rPr>
          <w:sz w:val="16"/>
        </w:rPr>
      </w:pPr>
    </w:p>
    <w:p w14:paraId="48E5742A" w14:textId="77777777" w:rsidR="004412F1" w:rsidRPr="00763640" w:rsidRDefault="005A12A3">
      <w:pPr>
        <w:numPr>
          <w:ilvl w:val="1"/>
          <w:numId w:val="88"/>
        </w:numPr>
        <w:suppressLineNumbers/>
        <w:suppressAutoHyphens/>
        <w:jc w:val="both"/>
      </w:pPr>
      <w:bookmarkStart w:id="1281" w:name="_Ref412564212"/>
      <w:r w:rsidRPr="00763640">
        <w:t>El Estudio Definitivo de Ingeniería e Instrumento de Gestión Ambiental para la Rehabilitación y Mejoramiento, para el Sub Tramo Izcuchaca – Mayocc lo formulará el CONCESIONARIO, quien lo presentará al CONCEDENTE, con copia al REGULADOR, de acuerdo a lo indicado en el cuadro siguiente:</w:t>
      </w:r>
      <w:bookmarkEnd w:id="1281"/>
    </w:p>
    <w:p w14:paraId="25A658C2" w14:textId="77777777" w:rsidR="004412F1" w:rsidRPr="00763640" w:rsidRDefault="004412F1">
      <w:pPr>
        <w:suppressLineNumbers/>
        <w:suppressAutoHyphens/>
        <w:jc w:val="both"/>
      </w:pPr>
    </w:p>
    <w:tbl>
      <w:tblPr>
        <w:tblW w:w="87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
        <w:gridCol w:w="986"/>
        <w:gridCol w:w="757"/>
        <w:gridCol w:w="860"/>
        <w:gridCol w:w="1032"/>
        <w:gridCol w:w="748"/>
        <w:gridCol w:w="864"/>
        <w:gridCol w:w="1029"/>
        <w:gridCol w:w="765"/>
        <w:gridCol w:w="871"/>
      </w:tblGrid>
      <w:tr w:rsidR="004412F1" w:rsidRPr="00763640" w14:paraId="10254D8E" w14:textId="77777777">
        <w:trPr>
          <w:trHeight w:val="392"/>
          <w:jc w:val="right"/>
        </w:trPr>
        <w:tc>
          <w:tcPr>
            <w:tcW w:w="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A7DAB9" w14:textId="77777777" w:rsidR="004412F1" w:rsidRPr="00763640" w:rsidRDefault="005A12A3">
            <w:pPr>
              <w:ind w:left="-142" w:firstLine="44"/>
              <w:jc w:val="center"/>
              <w:rPr>
                <w:i/>
                <w:iCs/>
                <w:sz w:val="13"/>
                <w:szCs w:val="13"/>
              </w:rPr>
            </w:pPr>
            <w:r w:rsidRPr="00763640">
              <w:rPr>
                <w:i/>
                <w:iCs/>
                <w:sz w:val="13"/>
                <w:szCs w:val="13"/>
              </w:rPr>
              <w:t>Estudios</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7ED9A7" w14:textId="77777777" w:rsidR="004412F1" w:rsidRPr="00763640" w:rsidRDefault="005A12A3">
            <w:pPr>
              <w:ind w:left="-108"/>
              <w:jc w:val="center"/>
              <w:rPr>
                <w:i/>
                <w:iCs/>
                <w:sz w:val="13"/>
                <w:szCs w:val="13"/>
              </w:rPr>
            </w:pPr>
            <w:r w:rsidRPr="00763640">
              <w:rPr>
                <w:i/>
                <w:iCs/>
                <w:sz w:val="13"/>
                <w:szCs w:val="13"/>
              </w:rPr>
              <w:t>Presentación del Concesionario</w:t>
            </w:r>
          </w:p>
          <w:p w14:paraId="1870AB9F" w14:textId="77777777" w:rsidR="004412F1" w:rsidRPr="00763640" w:rsidRDefault="004412F1">
            <w:pPr>
              <w:jc w:val="center"/>
              <w:rPr>
                <w:i/>
                <w:iCs/>
                <w:sz w:val="13"/>
                <w:szCs w:val="13"/>
              </w:rPr>
            </w:pPr>
          </w:p>
        </w:tc>
        <w:tc>
          <w:tcPr>
            <w:tcW w:w="16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5749EF8" w14:textId="77777777" w:rsidR="004412F1" w:rsidRPr="00763640" w:rsidRDefault="005A12A3">
            <w:pPr>
              <w:jc w:val="center"/>
              <w:rPr>
                <w:i/>
                <w:iCs/>
                <w:sz w:val="13"/>
                <w:szCs w:val="13"/>
              </w:rPr>
            </w:pPr>
            <w:r w:rsidRPr="00763640">
              <w:rPr>
                <w:i/>
                <w:iCs/>
                <w:sz w:val="13"/>
                <w:szCs w:val="13"/>
              </w:rPr>
              <w:t>Revisión</w:t>
            </w:r>
          </w:p>
        </w:tc>
        <w:tc>
          <w:tcPr>
            <w:tcW w:w="10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037060" w14:textId="77777777" w:rsidR="004412F1" w:rsidRPr="00763640" w:rsidRDefault="005A12A3">
            <w:pPr>
              <w:ind w:left="-76"/>
              <w:jc w:val="center"/>
              <w:rPr>
                <w:i/>
                <w:iCs/>
                <w:sz w:val="13"/>
                <w:szCs w:val="13"/>
              </w:rPr>
            </w:pPr>
            <w:r w:rsidRPr="00763640">
              <w:rPr>
                <w:i/>
                <w:iCs/>
                <w:sz w:val="13"/>
                <w:szCs w:val="13"/>
              </w:rPr>
              <w:t>Levantamiento observaciones Concesionario</w:t>
            </w:r>
          </w:p>
        </w:tc>
        <w:tc>
          <w:tcPr>
            <w:tcW w:w="16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CFAFC5F" w14:textId="77777777" w:rsidR="004412F1" w:rsidRPr="00763640" w:rsidRDefault="005A12A3">
            <w:pPr>
              <w:jc w:val="center"/>
              <w:rPr>
                <w:i/>
                <w:iCs/>
                <w:sz w:val="13"/>
                <w:szCs w:val="13"/>
              </w:rPr>
            </w:pPr>
            <w:r w:rsidRPr="00763640">
              <w:rPr>
                <w:i/>
                <w:iCs/>
                <w:sz w:val="13"/>
                <w:szCs w:val="13"/>
              </w:rPr>
              <w:t>Evaluación levantamiento Observaciones</w:t>
            </w:r>
          </w:p>
        </w:tc>
        <w:tc>
          <w:tcPr>
            <w:tcW w:w="1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B0BF20" w14:textId="77777777" w:rsidR="004412F1" w:rsidRPr="00763640" w:rsidRDefault="005A12A3">
            <w:pPr>
              <w:ind w:left="-80"/>
              <w:jc w:val="center"/>
              <w:rPr>
                <w:i/>
                <w:iCs/>
                <w:sz w:val="13"/>
                <w:szCs w:val="13"/>
              </w:rPr>
            </w:pPr>
            <w:r w:rsidRPr="00763640">
              <w:rPr>
                <w:i/>
                <w:iCs/>
                <w:sz w:val="13"/>
                <w:szCs w:val="13"/>
              </w:rPr>
              <w:t>Levantamiento observaciones Concesionario</w:t>
            </w:r>
          </w:p>
        </w:tc>
        <w:tc>
          <w:tcPr>
            <w:tcW w:w="1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A0F6B5" w14:textId="77777777" w:rsidR="004412F1" w:rsidRPr="00763640" w:rsidRDefault="005A12A3">
            <w:pPr>
              <w:ind w:left="-88"/>
              <w:jc w:val="center"/>
              <w:rPr>
                <w:i/>
                <w:iCs/>
                <w:sz w:val="13"/>
                <w:szCs w:val="13"/>
              </w:rPr>
            </w:pPr>
            <w:r w:rsidRPr="00763640">
              <w:rPr>
                <w:i/>
                <w:iCs/>
                <w:sz w:val="13"/>
                <w:szCs w:val="13"/>
              </w:rPr>
              <w:t>Evaluación levantamiento observaciones</w:t>
            </w:r>
          </w:p>
        </w:tc>
      </w:tr>
      <w:tr w:rsidR="004412F1" w:rsidRPr="00763640" w14:paraId="33647E20" w14:textId="77777777">
        <w:trPr>
          <w:trHeight w:val="392"/>
          <w:jc w:val="right"/>
        </w:trPr>
        <w:tc>
          <w:tcPr>
            <w:tcW w:w="809" w:type="dxa"/>
            <w:vMerge/>
            <w:shd w:val="clear" w:color="auto" w:fill="auto"/>
            <w:tcMar>
              <w:top w:w="0" w:type="dxa"/>
              <w:left w:w="108" w:type="dxa"/>
              <w:bottom w:w="0" w:type="dxa"/>
              <w:right w:w="108" w:type="dxa"/>
            </w:tcMar>
            <w:vAlign w:val="center"/>
          </w:tcPr>
          <w:p w14:paraId="021D0539" w14:textId="77777777" w:rsidR="004412F1" w:rsidRPr="00763640" w:rsidRDefault="004412F1">
            <w:pPr>
              <w:spacing w:line="276" w:lineRule="auto"/>
              <w:rPr>
                <w:i/>
                <w:sz w:val="13"/>
                <w:szCs w:val="13"/>
              </w:rPr>
            </w:pPr>
          </w:p>
        </w:tc>
        <w:tc>
          <w:tcPr>
            <w:tcW w:w="986" w:type="dxa"/>
            <w:vMerge/>
            <w:shd w:val="clear" w:color="auto" w:fill="auto"/>
            <w:tcMar>
              <w:top w:w="0" w:type="dxa"/>
              <w:left w:w="108" w:type="dxa"/>
              <w:bottom w:w="0" w:type="dxa"/>
              <w:right w:w="108" w:type="dxa"/>
            </w:tcMar>
            <w:vAlign w:val="center"/>
          </w:tcPr>
          <w:p w14:paraId="2E5E1DDF" w14:textId="77777777" w:rsidR="004412F1" w:rsidRPr="00763640" w:rsidRDefault="004412F1">
            <w:pPr>
              <w:spacing w:line="276" w:lineRule="auto"/>
              <w:rPr>
                <w:i/>
                <w:sz w:val="13"/>
                <w:szCs w:val="13"/>
              </w:rPr>
            </w:pP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ACB666" w14:textId="77777777" w:rsidR="004412F1" w:rsidRPr="00763640" w:rsidRDefault="005A12A3">
            <w:pPr>
              <w:ind w:hanging="98"/>
              <w:jc w:val="center"/>
              <w:rPr>
                <w:i/>
                <w:iCs/>
                <w:sz w:val="13"/>
                <w:szCs w:val="13"/>
              </w:rPr>
            </w:pPr>
            <w:r w:rsidRPr="00763640">
              <w:rPr>
                <w:i/>
                <w:iCs/>
                <w:sz w:val="13"/>
                <w:szCs w:val="13"/>
              </w:rPr>
              <w:t>Regulador</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DE5559" w14:textId="77777777" w:rsidR="004412F1" w:rsidRPr="00763640" w:rsidRDefault="005A12A3">
            <w:pPr>
              <w:ind w:hanging="99"/>
              <w:jc w:val="center"/>
              <w:rPr>
                <w:i/>
                <w:iCs/>
                <w:sz w:val="13"/>
                <w:szCs w:val="13"/>
              </w:rPr>
            </w:pPr>
            <w:r w:rsidRPr="00763640">
              <w:rPr>
                <w:i/>
                <w:iCs/>
                <w:sz w:val="13"/>
                <w:szCs w:val="13"/>
              </w:rPr>
              <w:t>Concedente</w:t>
            </w:r>
          </w:p>
        </w:tc>
        <w:tc>
          <w:tcPr>
            <w:tcW w:w="1032" w:type="dxa"/>
            <w:vMerge/>
            <w:shd w:val="clear" w:color="auto" w:fill="auto"/>
            <w:tcMar>
              <w:top w:w="0" w:type="dxa"/>
              <w:left w:w="108" w:type="dxa"/>
              <w:bottom w:w="0" w:type="dxa"/>
              <w:right w:w="108" w:type="dxa"/>
            </w:tcMar>
            <w:vAlign w:val="center"/>
          </w:tcPr>
          <w:p w14:paraId="7B7D1F8E" w14:textId="77777777" w:rsidR="004412F1" w:rsidRPr="00763640" w:rsidRDefault="004412F1">
            <w:pPr>
              <w:spacing w:line="276" w:lineRule="auto"/>
              <w:rPr>
                <w:i/>
                <w:sz w:val="13"/>
                <w:szCs w:val="13"/>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A307DD4" w14:textId="77777777" w:rsidR="004412F1" w:rsidRPr="00763640" w:rsidRDefault="005A12A3">
            <w:pPr>
              <w:ind w:hanging="110"/>
              <w:jc w:val="center"/>
              <w:rPr>
                <w:i/>
                <w:iCs/>
                <w:sz w:val="13"/>
                <w:szCs w:val="13"/>
              </w:rPr>
            </w:pPr>
            <w:r w:rsidRPr="00763640">
              <w:rPr>
                <w:i/>
                <w:iCs/>
                <w:sz w:val="13"/>
                <w:szCs w:val="13"/>
              </w:rPr>
              <w:t>Regulador</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57EF95" w14:textId="77777777" w:rsidR="004412F1" w:rsidRPr="00763640" w:rsidRDefault="005A12A3">
            <w:pPr>
              <w:ind w:hanging="94"/>
              <w:jc w:val="center"/>
              <w:rPr>
                <w:i/>
                <w:iCs/>
                <w:sz w:val="13"/>
                <w:szCs w:val="13"/>
              </w:rPr>
            </w:pPr>
            <w:r w:rsidRPr="00763640">
              <w:rPr>
                <w:i/>
                <w:iCs/>
                <w:sz w:val="13"/>
                <w:szCs w:val="13"/>
              </w:rPr>
              <w:t>Concedente</w:t>
            </w:r>
          </w:p>
        </w:tc>
        <w:tc>
          <w:tcPr>
            <w:tcW w:w="1029" w:type="dxa"/>
            <w:vMerge/>
            <w:shd w:val="clear" w:color="auto" w:fill="auto"/>
            <w:tcMar>
              <w:top w:w="0" w:type="dxa"/>
              <w:left w:w="108" w:type="dxa"/>
              <w:bottom w:w="0" w:type="dxa"/>
              <w:right w:w="108" w:type="dxa"/>
            </w:tcMar>
            <w:vAlign w:val="center"/>
          </w:tcPr>
          <w:p w14:paraId="258ED822" w14:textId="77777777" w:rsidR="004412F1" w:rsidRPr="00763640" w:rsidRDefault="004412F1">
            <w:pPr>
              <w:spacing w:line="276" w:lineRule="auto"/>
              <w:rPr>
                <w:i/>
                <w:sz w:val="13"/>
                <w:szCs w:val="13"/>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06623F" w14:textId="77777777" w:rsidR="004412F1" w:rsidRPr="00763640" w:rsidRDefault="005A12A3">
            <w:pPr>
              <w:ind w:hanging="88"/>
              <w:jc w:val="center"/>
              <w:rPr>
                <w:i/>
                <w:iCs/>
                <w:sz w:val="13"/>
                <w:szCs w:val="13"/>
              </w:rPr>
            </w:pPr>
            <w:r w:rsidRPr="00763640">
              <w:rPr>
                <w:i/>
                <w:iCs/>
                <w:sz w:val="13"/>
                <w:szCs w:val="13"/>
              </w:rPr>
              <w:t>Regulador</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F404AF" w14:textId="77777777" w:rsidR="004412F1" w:rsidRPr="00763640" w:rsidRDefault="005A12A3">
            <w:pPr>
              <w:ind w:left="-156"/>
              <w:jc w:val="center"/>
              <w:rPr>
                <w:i/>
                <w:iCs/>
                <w:sz w:val="13"/>
                <w:szCs w:val="13"/>
              </w:rPr>
            </w:pPr>
            <w:r w:rsidRPr="00763640">
              <w:rPr>
                <w:i/>
                <w:iCs/>
                <w:sz w:val="13"/>
                <w:szCs w:val="13"/>
              </w:rPr>
              <w:t xml:space="preserve">Concedente </w:t>
            </w:r>
            <w:r w:rsidRPr="00763640">
              <w:rPr>
                <w:i/>
                <w:iCs/>
                <w:sz w:val="13"/>
                <w:szCs w:val="13"/>
                <w:vertAlign w:val="superscript"/>
              </w:rPr>
              <w:t>(9)</w:t>
            </w:r>
          </w:p>
        </w:tc>
      </w:tr>
      <w:tr w:rsidR="004412F1" w:rsidRPr="00763640" w14:paraId="3AA13B6D" w14:textId="77777777">
        <w:trPr>
          <w:trHeight w:val="392"/>
          <w:jc w:val="right"/>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474F38" w14:textId="77777777" w:rsidR="004412F1" w:rsidRPr="00763640" w:rsidRDefault="005A12A3">
            <w:pPr>
              <w:ind w:hanging="56"/>
              <w:jc w:val="center"/>
              <w:rPr>
                <w:i/>
                <w:iCs/>
                <w:sz w:val="18"/>
                <w:szCs w:val="18"/>
              </w:rPr>
            </w:pPr>
            <w:r w:rsidRPr="00763640">
              <w:rPr>
                <w:i/>
                <w:iCs/>
                <w:sz w:val="18"/>
                <w:szCs w:val="18"/>
              </w:rPr>
              <w:t>EDI</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B6D6A9" w14:textId="77777777" w:rsidR="004412F1" w:rsidRPr="00763640" w:rsidRDefault="005A12A3">
            <w:pPr>
              <w:jc w:val="center"/>
              <w:rPr>
                <w:i/>
                <w:iCs/>
                <w:sz w:val="18"/>
                <w:szCs w:val="18"/>
                <w:vertAlign w:val="superscript"/>
              </w:rPr>
            </w:pPr>
            <w:r w:rsidRPr="00763640">
              <w:rPr>
                <w:i/>
                <w:iCs/>
                <w:sz w:val="18"/>
                <w:szCs w:val="18"/>
                <w:vertAlign w:val="superscript"/>
              </w:rPr>
              <w:t>(1)</w:t>
            </w:r>
          </w:p>
          <w:p w14:paraId="5C55D787" w14:textId="77777777" w:rsidR="004412F1" w:rsidRPr="00763640" w:rsidRDefault="005A12A3">
            <w:pPr>
              <w:jc w:val="center"/>
              <w:rPr>
                <w:i/>
                <w:iCs/>
                <w:sz w:val="18"/>
                <w:szCs w:val="18"/>
                <w:vertAlign w:val="superscript"/>
              </w:rPr>
            </w:pPr>
            <w:r w:rsidRPr="00763640">
              <w:rPr>
                <w:i/>
                <w:iCs/>
                <w:sz w:val="18"/>
                <w:szCs w:val="18"/>
              </w:rPr>
              <w:t>1440</w:t>
            </w: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43A307B" w14:textId="77777777" w:rsidR="004412F1" w:rsidRPr="00763640" w:rsidRDefault="005A12A3">
            <w:pPr>
              <w:jc w:val="center"/>
              <w:rPr>
                <w:i/>
                <w:iCs/>
                <w:sz w:val="18"/>
                <w:szCs w:val="18"/>
                <w:vertAlign w:val="superscript"/>
              </w:rPr>
            </w:pPr>
            <w:r w:rsidRPr="00763640">
              <w:rPr>
                <w:i/>
                <w:iCs/>
                <w:sz w:val="18"/>
                <w:szCs w:val="18"/>
                <w:vertAlign w:val="superscript"/>
              </w:rPr>
              <w:t>(2)</w:t>
            </w:r>
          </w:p>
          <w:p w14:paraId="2762C1BE" w14:textId="77777777" w:rsidR="004412F1" w:rsidRPr="00763640" w:rsidRDefault="005A12A3">
            <w:pPr>
              <w:jc w:val="center"/>
              <w:rPr>
                <w:i/>
                <w:iCs/>
                <w:sz w:val="18"/>
                <w:szCs w:val="18"/>
              </w:rPr>
            </w:pPr>
            <w:r w:rsidRPr="00763640">
              <w:rPr>
                <w:i/>
                <w:iCs/>
                <w:sz w:val="18"/>
                <w:szCs w:val="18"/>
              </w:rPr>
              <w:t>20</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AF4E73" w14:textId="77777777" w:rsidR="004412F1" w:rsidRPr="00763640" w:rsidRDefault="005A12A3">
            <w:pPr>
              <w:jc w:val="center"/>
              <w:rPr>
                <w:i/>
                <w:iCs/>
                <w:sz w:val="18"/>
                <w:szCs w:val="18"/>
                <w:vertAlign w:val="superscript"/>
              </w:rPr>
            </w:pPr>
            <w:r w:rsidRPr="00763640">
              <w:rPr>
                <w:i/>
                <w:iCs/>
                <w:sz w:val="18"/>
                <w:szCs w:val="18"/>
                <w:vertAlign w:val="superscript"/>
              </w:rPr>
              <w:t>(3)</w:t>
            </w:r>
          </w:p>
          <w:p w14:paraId="6A613CA2" w14:textId="77777777" w:rsidR="004412F1" w:rsidRPr="00763640" w:rsidRDefault="005A12A3">
            <w:pPr>
              <w:jc w:val="center"/>
              <w:rPr>
                <w:i/>
                <w:iCs/>
                <w:sz w:val="18"/>
                <w:szCs w:val="18"/>
              </w:rPr>
            </w:pPr>
            <w:r w:rsidRPr="00763640">
              <w:rPr>
                <w:i/>
                <w:iCs/>
                <w:sz w:val="18"/>
                <w:szCs w:val="18"/>
              </w:rPr>
              <w:t>65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600F29" w14:textId="77777777" w:rsidR="004412F1" w:rsidRPr="00763640" w:rsidRDefault="005A12A3">
            <w:pPr>
              <w:jc w:val="center"/>
              <w:rPr>
                <w:i/>
                <w:iCs/>
                <w:sz w:val="18"/>
                <w:szCs w:val="18"/>
                <w:vertAlign w:val="superscript"/>
              </w:rPr>
            </w:pPr>
            <w:r w:rsidRPr="00763640">
              <w:rPr>
                <w:i/>
                <w:iCs/>
                <w:sz w:val="18"/>
                <w:szCs w:val="18"/>
                <w:vertAlign w:val="superscript"/>
              </w:rPr>
              <w:t>(4)</w:t>
            </w:r>
          </w:p>
          <w:p w14:paraId="1332587C" w14:textId="77777777" w:rsidR="004412F1" w:rsidRPr="00763640" w:rsidRDefault="005A12A3">
            <w:pPr>
              <w:jc w:val="center"/>
              <w:rPr>
                <w:i/>
                <w:iCs/>
                <w:sz w:val="18"/>
                <w:szCs w:val="18"/>
              </w:rPr>
            </w:pPr>
            <w:r w:rsidRPr="00763640">
              <w:rPr>
                <w:i/>
                <w:iCs/>
                <w:sz w:val="18"/>
                <w:szCs w:val="18"/>
              </w:rPr>
              <w:t>65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79568E" w14:textId="77777777" w:rsidR="004412F1" w:rsidRPr="00763640" w:rsidRDefault="005A12A3">
            <w:pPr>
              <w:jc w:val="center"/>
              <w:rPr>
                <w:i/>
                <w:iCs/>
                <w:sz w:val="18"/>
                <w:szCs w:val="18"/>
                <w:vertAlign w:val="superscript"/>
              </w:rPr>
            </w:pPr>
            <w:r w:rsidRPr="00763640">
              <w:rPr>
                <w:i/>
                <w:iCs/>
                <w:sz w:val="18"/>
                <w:szCs w:val="18"/>
                <w:vertAlign w:val="superscript"/>
              </w:rPr>
              <w:t>(5)</w:t>
            </w:r>
          </w:p>
          <w:p w14:paraId="02FA4055" w14:textId="77777777" w:rsidR="004412F1" w:rsidRPr="00763640" w:rsidRDefault="005A12A3">
            <w:pPr>
              <w:jc w:val="center"/>
              <w:rPr>
                <w:i/>
                <w:iCs/>
                <w:sz w:val="18"/>
                <w:szCs w:val="18"/>
              </w:rPr>
            </w:pPr>
            <w:r w:rsidRPr="00763640">
              <w:rPr>
                <w:i/>
                <w:iCs/>
                <w:sz w:val="18"/>
                <w:szCs w:val="18"/>
              </w:rPr>
              <w:t>20</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82BFF0" w14:textId="77777777" w:rsidR="004412F1" w:rsidRPr="00763640" w:rsidRDefault="005A12A3">
            <w:pPr>
              <w:jc w:val="center"/>
              <w:rPr>
                <w:i/>
                <w:iCs/>
                <w:sz w:val="18"/>
                <w:szCs w:val="18"/>
                <w:vertAlign w:val="superscript"/>
              </w:rPr>
            </w:pPr>
            <w:r w:rsidRPr="00763640">
              <w:rPr>
                <w:i/>
                <w:iCs/>
                <w:sz w:val="18"/>
                <w:szCs w:val="18"/>
                <w:vertAlign w:val="superscript"/>
              </w:rPr>
              <w:t>(6)</w:t>
            </w:r>
          </w:p>
          <w:p w14:paraId="140A49D6" w14:textId="77777777" w:rsidR="004412F1" w:rsidRPr="00763640" w:rsidRDefault="005A12A3">
            <w:pPr>
              <w:jc w:val="center"/>
              <w:rPr>
                <w:i/>
                <w:iCs/>
                <w:sz w:val="18"/>
                <w:szCs w:val="18"/>
              </w:rPr>
            </w:pPr>
            <w:r w:rsidRPr="00763640">
              <w:rPr>
                <w:i/>
                <w:iCs/>
                <w:sz w:val="18"/>
                <w:szCs w:val="18"/>
              </w:rPr>
              <w:t>65</w:t>
            </w:r>
          </w:p>
        </w:tc>
        <w:tc>
          <w:tcPr>
            <w:tcW w:w="1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BF5395" w14:textId="77777777" w:rsidR="004412F1" w:rsidRPr="00763640" w:rsidRDefault="005A12A3">
            <w:pPr>
              <w:jc w:val="center"/>
              <w:rPr>
                <w:i/>
                <w:iCs/>
                <w:sz w:val="18"/>
                <w:szCs w:val="18"/>
                <w:vertAlign w:val="superscript"/>
              </w:rPr>
            </w:pPr>
            <w:r w:rsidRPr="00763640">
              <w:rPr>
                <w:i/>
                <w:iCs/>
                <w:sz w:val="18"/>
                <w:szCs w:val="18"/>
                <w:vertAlign w:val="superscript"/>
              </w:rPr>
              <w:t>(7)</w:t>
            </w:r>
          </w:p>
          <w:p w14:paraId="6BF667D9" w14:textId="77777777" w:rsidR="004412F1" w:rsidRPr="00763640" w:rsidRDefault="005A12A3">
            <w:pPr>
              <w:jc w:val="center"/>
              <w:rPr>
                <w:i/>
                <w:iCs/>
                <w:sz w:val="18"/>
                <w:szCs w:val="18"/>
              </w:rPr>
            </w:pPr>
            <w:r w:rsidRPr="00763640">
              <w:rPr>
                <w:i/>
                <w:iCs/>
                <w:sz w:val="18"/>
                <w:szCs w:val="18"/>
              </w:rPr>
              <w:t>65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FADF2C" w14:textId="77777777" w:rsidR="004412F1" w:rsidRPr="00763640" w:rsidRDefault="005A12A3">
            <w:pPr>
              <w:jc w:val="center"/>
              <w:rPr>
                <w:i/>
                <w:iCs/>
                <w:sz w:val="18"/>
                <w:szCs w:val="18"/>
                <w:vertAlign w:val="superscript"/>
              </w:rPr>
            </w:pPr>
            <w:r w:rsidRPr="00763640">
              <w:rPr>
                <w:i/>
                <w:iCs/>
                <w:sz w:val="18"/>
                <w:szCs w:val="18"/>
                <w:vertAlign w:val="superscript"/>
              </w:rPr>
              <w:t>(8)</w:t>
            </w:r>
          </w:p>
          <w:p w14:paraId="41509831" w14:textId="77777777" w:rsidR="004412F1" w:rsidRPr="00763640" w:rsidRDefault="005A12A3">
            <w:pPr>
              <w:jc w:val="center"/>
              <w:rPr>
                <w:i/>
                <w:iCs/>
                <w:sz w:val="18"/>
                <w:szCs w:val="18"/>
              </w:rPr>
            </w:pPr>
            <w:r w:rsidRPr="00763640">
              <w:rPr>
                <w:i/>
                <w:iCs/>
                <w:sz w:val="18"/>
                <w:szCs w:val="18"/>
              </w:rPr>
              <w:t>15</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EB5748" w14:textId="77777777" w:rsidR="004412F1" w:rsidRPr="00763640" w:rsidRDefault="005A12A3">
            <w:pPr>
              <w:jc w:val="center"/>
              <w:rPr>
                <w:i/>
                <w:iCs/>
                <w:sz w:val="18"/>
                <w:szCs w:val="18"/>
                <w:vertAlign w:val="superscript"/>
              </w:rPr>
            </w:pPr>
            <w:r w:rsidRPr="00763640">
              <w:rPr>
                <w:i/>
                <w:iCs/>
                <w:sz w:val="18"/>
                <w:szCs w:val="18"/>
                <w:vertAlign w:val="superscript"/>
              </w:rPr>
              <w:t>(9(10)</w:t>
            </w:r>
          </w:p>
          <w:p w14:paraId="1E8049F0" w14:textId="77777777" w:rsidR="004412F1" w:rsidRPr="00763640" w:rsidRDefault="005A12A3">
            <w:pPr>
              <w:jc w:val="center"/>
              <w:rPr>
                <w:i/>
                <w:iCs/>
                <w:sz w:val="18"/>
                <w:szCs w:val="18"/>
              </w:rPr>
            </w:pPr>
            <w:r w:rsidRPr="00763640">
              <w:rPr>
                <w:i/>
                <w:iCs/>
                <w:sz w:val="18"/>
                <w:szCs w:val="18"/>
              </w:rPr>
              <w:t>40</w:t>
            </w:r>
          </w:p>
        </w:tc>
      </w:tr>
    </w:tbl>
    <w:p w14:paraId="5671AA20" w14:textId="77777777" w:rsidR="004412F1" w:rsidRPr="00763640" w:rsidRDefault="004412F1">
      <w:pPr>
        <w:ind w:left="709"/>
        <w:jc w:val="both"/>
      </w:pPr>
    </w:p>
    <w:p w14:paraId="61986C2F" w14:textId="77777777" w:rsidR="004412F1" w:rsidRPr="00763640" w:rsidRDefault="004412F1">
      <w:pPr>
        <w:ind w:left="851"/>
        <w:jc w:val="both"/>
      </w:pPr>
    </w:p>
    <w:p w14:paraId="2F7B29C2" w14:textId="77777777" w:rsidR="004412F1" w:rsidRPr="00763640" w:rsidRDefault="005A12A3">
      <w:pPr>
        <w:ind w:left="709"/>
        <w:jc w:val="both"/>
      </w:pPr>
      <w:r w:rsidRPr="00763640">
        <w:t xml:space="preserve">El plazo máximo para la conformidad del EDI es de 1740 Días Calendario contados a partir de la Fecha de Suscripción del Contrato. </w:t>
      </w:r>
    </w:p>
    <w:p w14:paraId="22FDB36C" w14:textId="77777777" w:rsidR="004412F1" w:rsidRPr="00763640" w:rsidRDefault="004412F1">
      <w:pPr>
        <w:ind w:left="709"/>
        <w:jc w:val="both"/>
      </w:pPr>
    </w:p>
    <w:p w14:paraId="79D8F5B2" w14:textId="77777777" w:rsidR="004412F1" w:rsidRPr="00763640" w:rsidRDefault="005A12A3">
      <w:pPr>
        <w:ind w:left="709"/>
        <w:jc w:val="both"/>
      </w:pPr>
      <w:r w:rsidRPr="00763640">
        <w:t xml:space="preserve">De existir controversia sobre el pronunciamiento del CONCEDENTE, cualquiera de las Partes </w:t>
      </w:r>
      <w:r w:rsidRPr="00763640">
        <w:rPr>
          <w:color w:val="000000" w:themeColor="text1"/>
        </w:rPr>
        <w:t xml:space="preserve"> podrá ejercer su derecho de la aplicación del régimen de Solución de Controversias invocando lo dispuesto en el Capítulo XIX del Contrato</w:t>
      </w:r>
      <w:r w:rsidRPr="00763640">
        <w:t>, suspendiéndose el plazo máximo para la conformidad del EDI hasta la emisión del pronunciamiento definitivo firme.</w:t>
      </w:r>
    </w:p>
    <w:p w14:paraId="1356A81A" w14:textId="77777777" w:rsidR="004412F1" w:rsidRPr="00763640" w:rsidRDefault="004412F1">
      <w:pPr>
        <w:ind w:right="-709"/>
        <w:jc w:val="both"/>
      </w:pPr>
    </w:p>
    <w:p w14:paraId="7E7B996D" w14:textId="77777777" w:rsidR="004412F1" w:rsidRPr="00763640" w:rsidRDefault="005A12A3">
      <w:pPr>
        <w:jc w:val="both"/>
      </w:pPr>
      <w:r w:rsidRPr="00763640">
        <w:tab/>
        <w:t>Los plazos son los máximos y están considerados en Días Calendario:</w:t>
      </w:r>
    </w:p>
    <w:p w14:paraId="66B9DC56" w14:textId="77777777" w:rsidR="004412F1" w:rsidRPr="00763640" w:rsidRDefault="005A12A3">
      <w:pPr>
        <w:ind w:left="1276" w:hanging="567"/>
        <w:jc w:val="both"/>
      </w:pPr>
      <w:r w:rsidRPr="00763640">
        <w:t>(1)</w:t>
      </w:r>
      <w:r w:rsidRPr="00763640">
        <w:tab/>
        <w:t xml:space="preserve">A partir del día siguiente de la Fecha de Suscripción del Contrato. </w:t>
      </w:r>
    </w:p>
    <w:p w14:paraId="0346C542" w14:textId="77777777" w:rsidR="004412F1" w:rsidRPr="00763640" w:rsidRDefault="005A12A3">
      <w:pPr>
        <w:ind w:left="1276" w:hanging="567"/>
        <w:jc w:val="both"/>
      </w:pPr>
      <w:r w:rsidRPr="00763640">
        <w:t>(2)</w:t>
      </w:r>
      <w:r w:rsidRPr="00763640">
        <w:tab/>
        <w:t xml:space="preserve">A partir del día siguiente de la recepción oficial del Expediente Técnico por parte del REGULADOR. </w:t>
      </w:r>
    </w:p>
    <w:p w14:paraId="4D0A2BAC" w14:textId="77777777" w:rsidR="004412F1" w:rsidRPr="00763640" w:rsidRDefault="005A12A3">
      <w:pPr>
        <w:ind w:left="1276" w:hanging="567"/>
        <w:jc w:val="both"/>
        <w:rPr>
          <w:rFonts w:eastAsia="Times New Roman"/>
          <w:bCs/>
          <w:szCs w:val="18"/>
          <w:lang w:val="es-ES" w:eastAsia="es-ES"/>
        </w:rPr>
      </w:pPr>
      <w:r w:rsidRPr="00763640">
        <w:t xml:space="preserve">(3) </w:t>
      </w:r>
      <w:r w:rsidRPr="00763640">
        <w:tab/>
        <w:t xml:space="preserve">A partir del día siguiente de la recepción oficial del Expediente Técnico por parte del CONCEDENTE. </w:t>
      </w:r>
    </w:p>
    <w:p w14:paraId="1A3A5642" w14:textId="77777777" w:rsidR="004412F1" w:rsidRPr="00763640" w:rsidRDefault="005A12A3">
      <w:pPr>
        <w:ind w:left="1276" w:hanging="567"/>
        <w:jc w:val="both"/>
        <w:rPr>
          <w:rFonts w:eastAsia="Times New Roman"/>
          <w:bCs/>
          <w:szCs w:val="18"/>
          <w:lang w:val="es-ES" w:eastAsia="es-ES"/>
        </w:rPr>
      </w:pPr>
      <w:r w:rsidRPr="00763640">
        <w:t>(4)</w:t>
      </w:r>
      <w:r w:rsidRPr="00763640">
        <w:tab/>
        <w:t>A partir del día siguiente de la recepción oficial del pliego de observaciones del CONCEDENTE y del REGULADOR (el plazo se computa desde la última recepción).</w:t>
      </w:r>
    </w:p>
    <w:p w14:paraId="4B0BD441" w14:textId="77777777" w:rsidR="004412F1" w:rsidRPr="00763640" w:rsidRDefault="005A12A3">
      <w:pPr>
        <w:ind w:left="1276" w:hanging="567"/>
        <w:jc w:val="both"/>
        <w:rPr>
          <w:rFonts w:eastAsia="Times New Roman"/>
          <w:bCs/>
          <w:szCs w:val="18"/>
          <w:lang w:val="es-ES" w:eastAsia="es-ES"/>
        </w:rPr>
      </w:pPr>
      <w:r w:rsidRPr="00763640">
        <w:t>(5)</w:t>
      </w:r>
      <w:r w:rsidRPr="00763640">
        <w:tab/>
        <w:t>A partir del día siguiente de la recepción oficial del levantamiento de observaciones presentado por el CONCESIONARIO.</w:t>
      </w:r>
    </w:p>
    <w:p w14:paraId="1FDA96E2" w14:textId="77777777" w:rsidR="004412F1" w:rsidRPr="00763640" w:rsidRDefault="005A12A3">
      <w:pPr>
        <w:ind w:left="1276" w:hanging="567"/>
        <w:jc w:val="both"/>
        <w:rPr>
          <w:rFonts w:eastAsia="Times New Roman"/>
          <w:bCs/>
          <w:szCs w:val="18"/>
          <w:lang w:val="es-ES" w:eastAsia="es-ES"/>
        </w:rPr>
      </w:pPr>
      <w:r w:rsidRPr="00763640">
        <w:t>(6)</w:t>
      </w:r>
      <w:r w:rsidRPr="00763640">
        <w:tab/>
        <w:t>A partir del día siguiente de la recepción oficial del levantamiento de observaciones presentado por el CONCESIONARIO.</w:t>
      </w:r>
    </w:p>
    <w:p w14:paraId="1FDB2AB4" w14:textId="77777777" w:rsidR="004412F1" w:rsidRPr="00763640" w:rsidRDefault="005A12A3">
      <w:pPr>
        <w:ind w:left="1276" w:hanging="567"/>
        <w:jc w:val="both"/>
        <w:rPr>
          <w:rFonts w:eastAsia="Times New Roman"/>
          <w:bCs/>
          <w:szCs w:val="18"/>
          <w:lang w:val="es-ES" w:eastAsia="es-ES"/>
        </w:rPr>
      </w:pPr>
      <w:r w:rsidRPr="00763640">
        <w:t>(7)</w:t>
      </w:r>
      <w:r w:rsidRPr="00763640">
        <w:tab/>
        <w:t>A partir del día siguiente de la recepción oficial del pliego de observaciones del CONCEDENTE y del REGULADOR (el plazo se computa desde la última recepción).</w:t>
      </w:r>
    </w:p>
    <w:p w14:paraId="3602039F" w14:textId="77777777" w:rsidR="004412F1" w:rsidRPr="00763640" w:rsidRDefault="005A12A3">
      <w:pPr>
        <w:ind w:left="1276" w:hanging="567"/>
        <w:jc w:val="both"/>
        <w:rPr>
          <w:rFonts w:eastAsia="Times New Roman"/>
          <w:bCs/>
          <w:szCs w:val="18"/>
          <w:lang w:val="es-ES" w:eastAsia="es-ES"/>
        </w:rPr>
      </w:pPr>
      <w:r w:rsidRPr="00763640">
        <w:t>(8)</w:t>
      </w:r>
      <w:r w:rsidRPr="00763640">
        <w:tab/>
        <w:t>A partir del día siguiente de la recepción oficial del levantamiento de observaciones presentado por el CONCESIONARIO.</w:t>
      </w:r>
    </w:p>
    <w:p w14:paraId="0651C880" w14:textId="77777777" w:rsidR="004412F1" w:rsidRPr="00763640" w:rsidRDefault="005A12A3">
      <w:pPr>
        <w:ind w:left="1276" w:hanging="567"/>
        <w:jc w:val="both"/>
      </w:pPr>
      <w:r w:rsidRPr="00763640">
        <w:t>(9)</w:t>
      </w:r>
      <w:r w:rsidRPr="00763640">
        <w:tab/>
        <w:t>A partir del día siguiente de la recepción oficial del levantamiento de observaciones presentado por el CONCESIONARIO.</w:t>
      </w:r>
    </w:p>
    <w:p w14:paraId="0A8592E5" w14:textId="77777777" w:rsidR="004412F1" w:rsidRDefault="005A12A3">
      <w:pPr>
        <w:ind w:left="1276" w:hanging="567"/>
        <w:jc w:val="both"/>
      </w:pPr>
      <w:r w:rsidRPr="00763640">
        <w:t>(10)</w:t>
      </w:r>
      <w:r w:rsidRPr="00763640">
        <w:tab/>
        <w:t>Con la opinión del REGULADOR y dentro d</w:t>
      </w:r>
      <w:r>
        <w:t>el plazo indicado en (9), el CONCEDENTE emitirá su pronunciamiento dando conformidad o no al EDI. La aprobación que realiza el CONCEDENTE no exime al CONCESIONARIO de la responsabilidad que le asiste por su formulación ni traslada el riesgo de diseño que en todo momento deberá asumir el CONCESIONARIO.</w:t>
      </w:r>
    </w:p>
    <w:p w14:paraId="41611E1A" w14:textId="77777777" w:rsidR="004412F1" w:rsidRDefault="004412F1">
      <w:pPr>
        <w:ind w:left="709"/>
        <w:jc w:val="both"/>
      </w:pPr>
    </w:p>
    <w:p w14:paraId="45CCAD27" w14:textId="77777777" w:rsidR="004412F1" w:rsidRPr="00763640" w:rsidRDefault="005A12A3">
      <w:pPr>
        <w:ind w:left="709"/>
        <w:jc w:val="both"/>
        <w:rPr>
          <w:rFonts w:eastAsia="Times New Roman"/>
          <w:bCs/>
          <w:szCs w:val="18"/>
          <w:lang w:val="es-ES" w:eastAsia="es-ES"/>
        </w:rPr>
      </w:pPr>
      <w:r>
        <w:t xml:space="preserve">En caso el CONCEDENTE no se pronuncie en el plazo señalado, se entenderá por no conforme el Estudio Definitivo de Ingeniería. El CONCESIONARIO está obligado a levantar las observaciones tramitadas por el CONCEDENTE, de lo contrario estará sujeto a la penalidad </w:t>
      </w:r>
      <w:r w:rsidRPr="00763640">
        <w:t>indicada en la Tabla Nº 3 del ANEXO IX.</w:t>
      </w:r>
    </w:p>
    <w:p w14:paraId="581B859C" w14:textId="77777777" w:rsidR="004412F1" w:rsidRPr="00763640" w:rsidRDefault="004412F1">
      <w:pPr>
        <w:ind w:left="709"/>
        <w:jc w:val="both"/>
      </w:pPr>
    </w:p>
    <w:p w14:paraId="32E1A6B6" w14:textId="77777777" w:rsidR="004412F1" w:rsidRPr="00763640" w:rsidRDefault="005A12A3">
      <w:pPr>
        <w:ind w:left="709"/>
        <w:jc w:val="both"/>
      </w:pPr>
      <w:r w:rsidRPr="00763640">
        <w:t>Las observaciones que realicen el CONCEDENTE y REGULADOR no supondrán en ningún caso algún incremento en los pagos previstos en el Contrato.El EDI deberá ser formulado teniendo como base el PIP aprobado y los Términos de Referencia indicados en el Anexo 9 de las Bases.</w:t>
      </w:r>
      <w:r w:rsidRPr="00763640">
        <w:rPr>
          <w:lang w:val="es-PE"/>
        </w:rPr>
        <w:t xml:space="preserve"> </w:t>
      </w:r>
      <w:r w:rsidRPr="00763640">
        <w:rPr>
          <w:rFonts w:eastAsia="SimSun" w:hint="eastAsia"/>
          <w:lang w:eastAsia="zh-CN"/>
        </w:rPr>
        <w:t xml:space="preserve">El </w:t>
      </w:r>
      <w:r w:rsidRPr="00763640">
        <w:t xml:space="preserve">CONCESIONARIO </w:t>
      </w:r>
      <w:r w:rsidRPr="00763640">
        <w:rPr>
          <w:rFonts w:eastAsia="SimSun"/>
          <w:lang w:eastAsia="zh-CN"/>
        </w:rPr>
        <w:t>deberá</w:t>
      </w:r>
      <w:r w:rsidRPr="00763640">
        <w:rPr>
          <w:rFonts w:eastAsia="SimSun" w:hint="eastAsia"/>
          <w:lang w:eastAsia="zh-CN"/>
        </w:rPr>
        <w:t xml:space="preserve"> considerar necesariamente el Trazo </w:t>
      </w:r>
      <w:r w:rsidRPr="00763640">
        <w:rPr>
          <w:rFonts w:eastAsia="SimSun"/>
          <w:lang w:val="es-PE" w:eastAsia="zh-CN"/>
        </w:rPr>
        <w:t>contemplado en el</w:t>
      </w:r>
      <w:r w:rsidRPr="00763640">
        <w:rPr>
          <w:rFonts w:eastAsia="SimSun" w:hint="eastAsia"/>
          <w:lang w:eastAsia="zh-CN"/>
        </w:rPr>
        <w:t xml:space="preserve"> </w:t>
      </w:r>
      <w:r w:rsidRPr="00763640">
        <w:rPr>
          <w:rFonts w:eastAsia="SimSun"/>
          <w:lang w:eastAsia="zh-CN"/>
        </w:rPr>
        <w:t>apéndice</w:t>
      </w:r>
      <w:r w:rsidRPr="00763640">
        <w:rPr>
          <w:rFonts w:eastAsia="SimSun" w:hint="eastAsia"/>
          <w:lang w:eastAsia="zh-CN"/>
        </w:rPr>
        <w:t xml:space="preserve"> 12 del ANEXO I</w:t>
      </w:r>
      <w:r w:rsidRPr="00763640">
        <w:rPr>
          <w:rFonts w:eastAsia="SimSun"/>
          <w:lang w:val="es-PE" w:eastAsia="zh-CN"/>
        </w:rPr>
        <w:t xml:space="preserve"> del presente Contrato</w:t>
      </w:r>
      <w:r w:rsidRPr="00763640">
        <w:rPr>
          <w:rFonts w:hint="eastAsia"/>
        </w:rPr>
        <w:t>.</w:t>
      </w:r>
    </w:p>
    <w:p w14:paraId="15C56352" w14:textId="77777777" w:rsidR="004412F1" w:rsidRPr="00763640" w:rsidRDefault="004412F1">
      <w:pPr>
        <w:ind w:left="709"/>
        <w:jc w:val="both"/>
      </w:pPr>
    </w:p>
    <w:p w14:paraId="507FF40A" w14:textId="77777777" w:rsidR="004412F1" w:rsidRDefault="005A12A3">
      <w:pPr>
        <w:ind w:left="709"/>
        <w:jc w:val="both"/>
      </w:pPr>
      <w:r w:rsidRPr="00763640">
        <w:t>El CONCESIONARIO formulará a su costo el estudio definitivo del puente Mayocc y el CONCEDENTE pagará la ejecución de la obra de acuerdo con lo establecido en las Cláusulas 6.</w:t>
      </w:r>
      <w:r w:rsidRPr="00763640">
        <w:rPr>
          <w:lang w:val="es-PE"/>
        </w:rPr>
        <w:t>50</w:t>
      </w:r>
      <w:r w:rsidRPr="00763640">
        <w:t xml:space="preserve"> </w:t>
      </w:r>
      <w:r w:rsidRPr="00763640">
        <w:rPr>
          <w:lang w:val="es-ES"/>
        </w:rPr>
        <w:t>y</w:t>
      </w:r>
      <w:r w:rsidRPr="00763640">
        <w:t xml:space="preserve"> 6.</w:t>
      </w:r>
      <w:r w:rsidRPr="00763640">
        <w:rPr>
          <w:lang w:val="es-PE"/>
        </w:rPr>
        <w:t>51</w:t>
      </w:r>
      <w:r w:rsidRPr="00763640">
        <w:t xml:space="preserve">. Aprobado el </w:t>
      </w:r>
      <w:r w:rsidRPr="00763640">
        <w:rPr>
          <w:lang w:val="es-ES"/>
        </w:rPr>
        <w:t xml:space="preserve">Estudio Definitivo de </w:t>
      </w:r>
      <w:r w:rsidRPr="00763640">
        <w:rPr>
          <w:lang w:val="es-ES"/>
        </w:rPr>
        <w:lastRenderedPageBreak/>
        <w:t>Ingeniería e Instrumento de Gestión Ambiental</w:t>
      </w:r>
      <w:r w:rsidRPr="00763640">
        <w:t>, se iniciará el procedimiento de Cierre Financiero conforme el Capítulo X del presente Contrato.</w:t>
      </w:r>
    </w:p>
    <w:p w14:paraId="57C206C3" w14:textId="77777777" w:rsidR="004412F1" w:rsidRDefault="004412F1">
      <w:pPr>
        <w:ind w:left="709"/>
        <w:jc w:val="both"/>
      </w:pPr>
    </w:p>
    <w:p w14:paraId="498A4C98" w14:textId="77777777" w:rsidR="004412F1" w:rsidRDefault="005A12A3">
      <w:pPr>
        <w:numPr>
          <w:ilvl w:val="1"/>
          <w:numId w:val="88"/>
        </w:numPr>
        <w:jc w:val="both"/>
        <w:rPr>
          <w:color w:val="000000"/>
        </w:rPr>
      </w:pPr>
      <w:r>
        <w:rPr>
          <w:color w:val="000000"/>
        </w:rPr>
        <w:t xml:space="preserve">El Estudio Definitivo de Ingeniería e Instrumento de Gestión Ambiental para la Rehabilitación y Mejoramiento, para el Sub Tramo Huancayo - Izcuchaca lo formulará el CONCESIONARIO, quien lo presentará al CONCEDENTE, con copia al REGULADOR, de acuerdo a lo indicado en el cuadro siguiente: </w:t>
      </w:r>
    </w:p>
    <w:p w14:paraId="59A93052" w14:textId="77777777" w:rsidR="004412F1" w:rsidRDefault="004412F1">
      <w:pPr>
        <w:ind w:left="720"/>
        <w:jc w:val="both"/>
        <w:rPr>
          <w:color w:val="000000"/>
        </w:rPr>
      </w:pPr>
    </w:p>
    <w:tbl>
      <w:tblPr>
        <w:tblW w:w="872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
        <w:gridCol w:w="986"/>
        <w:gridCol w:w="757"/>
        <w:gridCol w:w="860"/>
        <w:gridCol w:w="1032"/>
        <w:gridCol w:w="748"/>
        <w:gridCol w:w="864"/>
        <w:gridCol w:w="1029"/>
        <w:gridCol w:w="765"/>
        <w:gridCol w:w="871"/>
      </w:tblGrid>
      <w:tr w:rsidR="004412F1" w14:paraId="63F1442E" w14:textId="77777777">
        <w:trPr>
          <w:trHeight w:val="392"/>
          <w:jc w:val="right"/>
        </w:trPr>
        <w:tc>
          <w:tcPr>
            <w:tcW w:w="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AF901B" w14:textId="77777777" w:rsidR="004412F1" w:rsidRDefault="005A12A3">
            <w:pPr>
              <w:ind w:left="-142" w:firstLine="44"/>
              <w:jc w:val="center"/>
              <w:rPr>
                <w:i/>
                <w:iCs/>
                <w:sz w:val="13"/>
                <w:szCs w:val="13"/>
              </w:rPr>
            </w:pPr>
            <w:r>
              <w:rPr>
                <w:i/>
                <w:iCs/>
                <w:sz w:val="13"/>
                <w:szCs w:val="13"/>
              </w:rPr>
              <w:t>Estudios</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383F3D" w14:textId="77777777" w:rsidR="004412F1" w:rsidRDefault="005A12A3">
            <w:pPr>
              <w:ind w:left="-108"/>
              <w:jc w:val="center"/>
              <w:rPr>
                <w:i/>
                <w:iCs/>
                <w:sz w:val="13"/>
                <w:szCs w:val="13"/>
              </w:rPr>
            </w:pPr>
            <w:r>
              <w:rPr>
                <w:i/>
                <w:iCs/>
                <w:sz w:val="13"/>
                <w:szCs w:val="13"/>
              </w:rPr>
              <w:t>Presentación del Concesionario</w:t>
            </w:r>
          </w:p>
          <w:p w14:paraId="24DEE26D" w14:textId="77777777" w:rsidR="004412F1" w:rsidRDefault="004412F1">
            <w:pPr>
              <w:jc w:val="center"/>
              <w:rPr>
                <w:i/>
                <w:iCs/>
                <w:sz w:val="13"/>
                <w:szCs w:val="13"/>
              </w:rPr>
            </w:pPr>
          </w:p>
        </w:tc>
        <w:tc>
          <w:tcPr>
            <w:tcW w:w="16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5A12C38" w14:textId="77777777" w:rsidR="004412F1" w:rsidRDefault="005A12A3">
            <w:pPr>
              <w:jc w:val="center"/>
              <w:rPr>
                <w:i/>
                <w:iCs/>
                <w:sz w:val="13"/>
                <w:szCs w:val="13"/>
              </w:rPr>
            </w:pPr>
            <w:r>
              <w:rPr>
                <w:i/>
                <w:iCs/>
                <w:sz w:val="13"/>
                <w:szCs w:val="13"/>
              </w:rPr>
              <w:t>Revisión</w:t>
            </w:r>
          </w:p>
        </w:tc>
        <w:tc>
          <w:tcPr>
            <w:tcW w:w="10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2A11CB" w14:textId="77777777" w:rsidR="004412F1" w:rsidRDefault="005A12A3">
            <w:pPr>
              <w:ind w:left="-76"/>
              <w:jc w:val="center"/>
              <w:rPr>
                <w:i/>
                <w:iCs/>
                <w:sz w:val="13"/>
                <w:szCs w:val="13"/>
              </w:rPr>
            </w:pPr>
            <w:r>
              <w:rPr>
                <w:i/>
                <w:iCs/>
                <w:sz w:val="13"/>
                <w:szCs w:val="13"/>
              </w:rPr>
              <w:t>Levantamiento observaciones Concesionario</w:t>
            </w:r>
          </w:p>
        </w:tc>
        <w:tc>
          <w:tcPr>
            <w:tcW w:w="16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F99473" w14:textId="77777777" w:rsidR="004412F1" w:rsidRDefault="005A12A3">
            <w:pPr>
              <w:jc w:val="center"/>
              <w:rPr>
                <w:i/>
                <w:iCs/>
                <w:sz w:val="13"/>
                <w:szCs w:val="13"/>
              </w:rPr>
            </w:pPr>
            <w:r>
              <w:rPr>
                <w:i/>
                <w:iCs/>
                <w:sz w:val="13"/>
                <w:szCs w:val="13"/>
              </w:rPr>
              <w:t>Evaluación levantamiento Observaciones</w:t>
            </w:r>
          </w:p>
        </w:tc>
        <w:tc>
          <w:tcPr>
            <w:tcW w:w="10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C0FBB6" w14:textId="77777777" w:rsidR="004412F1" w:rsidRDefault="005A12A3">
            <w:pPr>
              <w:ind w:left="-80"/>
              <w:jc w:val="center"/>
              <w:rPr>
                <w:i/>
                <w:iCs/>
                <w:sz w:val="13"/>
                <w:szCs w:val="13"/>
              </w:rPr>
            </w:pPr>
            <w:r>
              <w:rPr>
                <w:i/>
                <w:iCs/>
                <w:sz w:val="13"/>
                <w:szCs w:val="13"/>
              </w:rPr>
              <w:t>Levantamiento observaciones Concesionario</w:t>
            </w:r>
          </w:p>
        </w:tc>
        <w:tc>
          <w:tcPr>
            <w:tcW w:w="1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853939" w14:textId="77777777" w:rsidR="004412F1" w:rsidRDefault="005A12A3">
            <w:pPr>
              <w:ind w:left="-88"/>
              <w:jc w:val="center"/>
              <w:rPr>
                <w:i/>
                <w:iCs/>
                <w:sz w:val="13"/>
                <w:szCs w:val="13"/>
              </w:rPr>
            </w:pPr>
            <w:r>
              <w:rPr>
                <w:i/>
                <w:iCs/>
                <w:sz w:val="13"/>
                <w:szCs w:val="13"/>
              </w:rPr>
              <w:t>Evaluación levantamiento observaciones</w:t>
            </w:r>
          </w:p>
        </w:tc>
      </w:tr>
      <w:tr w:rsidR="004412F1" w14:paraId="3870261D" w14:textId="77777777">
        <w:trPr>
          <w:trHeight w:val="392"/>
          <w:jc w:val="right"/>
        </w:trPr>
        <w:tc>
          <w:tcPr>
            <w:tcW w:w="809" w:type="dxa"/>
            <w:vMerge/>
            <w:shd w:val="clear" w:color="auto" w:fill="auto"/>
            <w:tcMar>
              <w:top w:w="0" w:type="dxa"/>
              <w:left w:w="108" w:type="dxa"/>
              <w:bottom w:w="0" w:type="dxa"/>
              <w:right w:w="108" w:type="dxa"/>
            </w:tcMar>
            <w:vAlign w:val="center"/>
          </w:tcPr>
          <w:p w14:paraId="39D177F2" w14:textId="77777777" w:rsidR="004412F1" w:rsidRDefault="004412F1">
            <w:pPr>
              <w:spacing w:line="276" w:lineRule="auto"/>
              <w:rPr>
                <w:i/>
                <w:sz w:val="13"/>
                <w:szCs w:val="13"/>
              </w:rPr>
            </w:pPr>
          </w:p>
        </w:tc>
        <w:tc>
          <w:tcPr>
            <w:tcW w:w="986" w:type="dxa"/>
            <w:vMerge/>
            <w:shd w:val="clear" w:color="auto" w:fill="auto"/>
            <w:tcMar>
              <w:top w:w="0" w:type="dxa"/>
              <w:left w:w="108" w:type="dxa"/>
              <w:bottom w:w="0" w:type="dxa"/>
              <w:right w:w="108" w:type="dxa"/>
            </w:tcMar>
            <w:vAlign w:val="center"/>
          </w:tcPr>
          <w:p w14:paraId="33F35396" w14:textId="77777777" w:rsidR="004412F1" w:rsidRDefault="004412F1">
            <w:pPr>
              <w:spacing w:line="276" w:lineRule="auto"/>
              <w:rPr>
                <w:i/>
                <w:sz w:val="13"/>
                <w:szCs w:val="13"/>
              </w:rPr>
            </w:pP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DA5EB6" w14:textId="77777777" w:rsidR="004412F1" w:rsidRDefault="005A12A3">
            <w:pPr>
              <w:ind w:hanging="98"/>
              <w:jc w:val="center"/>
              <w:rPr>
                <w:i/>
                <w:iCs/>
                <w:sz w:val="13"/>
                <w:szCs w:val="13"/>
              </w:rPr>
            </w:pPr>
            <w:r>
              <w:rPr>
                <w:i/>
                <w:iCs/>
                <w:sz w:val="13"/>
                <w:szCs w:val="13"/>
              </w:rPr>
              <w:t>Regulador</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C702EF5" w14:textId="77777777" w:rsidR="004412F1" w:rsidRDefault="005A12A3">
            <w:pPr>
              <w:ind w:hanging="99"/>
              <w:jc w:val="center"/>
              <w:rPr>
                <w:i/>
                <w:iCs/>
                <w:sz w:val="13"/>
                <w:szCs w:val="13"/>
              </w:rPr>
            </w:pPr>
            <w:r>
              <w:rPr>
                <w:i/>
                <w:iCs/>
                <w:sz w:val="13"/>
                <w:szCs w:val="13"/>
              </w:rPr>
              <w:t>Concedente</w:t>
            </w:r>
          </w:p>
        </w:tc>
        <w:tc>
          <w:tcPr>
            <w:tcW w:w="1032" w:type="dxa"/>
            <w:vMerge/>
            <w:shd w:val="clear" w:color="auto" w:fill="auto"/>
            <w:tcMar>
              <w:top w:w="0" w:type="dxa"/>
              <w:left w:w="108" w:type="dxa"/>
              <w:bottom w:w="0" w:type="dxa"/>
              <w:right w:w="108" w:type="dxa"/>
            </w:tcMar>
            <w:vAlign w:val="center"/>
          </w:tcPr>
          <w:p w14:paraId="46C62161" w14:textId="77777777" w:rsidR="004412F1" w:rsidRDefault="004412F1">
            <w:pPr>
              <w:spacing w:line="276" w:lineRule="auto"/>
              <w:rPr>
                <w:i/>
                <w:sz w:val="13"/>
                <w:szCs w:val="13"/>
              </w:rPr>
            </w:pP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FB5ECE" w14:textId="77777777" w:rsidR="004412F1" w:rsidRDefault="005A12A3">
            <w:pPr>
              <w:ind w:hanging="110"/>
              <w:jc w:val="center"/>
              <w:rPr>
                <w:i/>
                <w:iCs/>
                <w:sz w:val="13"/>
                <w:szCs w:val="13"/>
              </w:rPr>
            </w:pPr>
            <w:r>
              <w:rPr>
                <w:i/>
                <w:iCs/>
                <w:sz w:val="13"/>
                <w:szCs w:val="13"/>
              </w:rPr>
              <w:t>Regulador</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70D322" w14:textId="77777777" w:rsidR="004412F1" w:rsidRDefault="005A12A3">
            <w:pPr>
              <w:ind w:hanging="94"/>
              <w:jc w:val="center"/>
              <w:rPr>
                <w:i/>
                <w:iCs/>
                <w:sz w:val="13"/>
                <w:szCs w:val="13"/>
              </w:rPr>
            </w:pPr>
            <w:r>
              <w:rPr>
                <w:i/>
                <w:iCs/>
                <w:sz w:val="13"/>
                <w:szCs w:val="13"/>
              </w:rPr>
              <w:t>Concedente</w:t>
            </w:r>
          </w:p>
        </w:tc>
        <w:tc>
          <w:tcPr>
            <w:tcW w:w="1029" w:type="dxa"/>
            <w:vMerge/>
            <w:shd w:val="clear" w:color="auto" w:fill="auto"/>
            <w:tcMar>
              <w:top w:w="0" w:type="dxa"/>
              <w:left w:w="108" w:type="dxa"/>
              <w:bottom w:w="0" w:type="dxa"/>
              <w:right w:w="108" w:type="dxa"/>
            </w:tcMar>
            <w:vAlign w:val="center"/>
          </w:tcPr>
          <w:p w14:paraId="3260B870" w14:textId="77777777" w:rsidR="004412F1" w:rsidRDefault="004412F1">
            <w:pPr>
              <w:spacing w:line="276" w:lineRule="auto"/>
              <w:rPr>
                <w:i/>
                <w:sz w:val="13"/>
                <w:szCs w:val="13"/>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90688B" w14:textId="77777777" w:rsidR="004412F1" w:rsidRDefault="005A12A3">
            <w:pPr>
              <w:ind w:hanging="88"/>
              <w:jc w:val="center"/>
              <w:rPr>
                <w:i/>
                <w:iCs/>
                <w:sz w:val="13"/>
                <w:szCs w:val="13"/>
              </w:rPr>
            </w:pPr>
            <w:r>
              <w:rPr>
                <w:i/>
                <w:iCs/>
                <w:sz w:val="13"/>
                <w:szCs w:val="13"/>
              </w:rPr>
              <w:t>Regulador</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077DC2" w14:textId="77777777" w:rsidR="004412F1" w:rsidRDefault="005A12A3">
            <w:pPr>
              <w:ind w:left="-156"/>
              <w:jc w:val="center"/>
              <w:rPr>
                <w:i/>
                <w:iCs/>
                <w:sz w:val="13"/>
                <w:szCs w:val="13"/>
              </w:rPr>
            </w:pPr>
            <w:r>
              <w:rPr>
                <w:i/>
                <w:iCs/>
                <w:sz w:val="13"/>
                <w:szCs w:val="13"/>
              </w:rPr>
              <w:t xml:space="preserve">Concedente </w:t>
            </w:r>
            <w:r>
              <w:rPr>
                <w:i/>
                <w:iCs/>
                <w:sz w:val="13"/>
                <w:szCs w:val="13"/>
                <w:vertAlign w:val="superscript"/>
              </w:rPr>
              <w:t>(9)</w:t>
            </w:r>
          </w:p>
        </w:tc>
      </w:tr>
      <w:tr w:rsidR="004412F1" w14:paraId="592BAFF0" w14:textId="77777777">
        <w:trPr>
          <w:trHeight w:val="392"/>
          <w:jc w:val="right"/>
        </w:trPr>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72E793" w14:textId="77777777" w:rsidR="004412F1" w:rsidRDefault="005A12A3">
            <w:pPr>
              <w:ind w:hanging="56"/>
              <w:jc w:val="center"/>
              <w:rPr>
                <w:i/>
                <w:iCs/>
                <w:sz w:val="18"/>
                <w:szCs w:val="18"/>
              </w:rPr>
            </w:pPr>
            <w:r>
              <w:rPr>
                <w:i/>
                <w:iCs/>
                <w:sz w:val="18"/>
                <w:szCs w:val="18"/>
              </w:rPr>
              <w:t>EDI</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2ABF5A" w14:textId="77777777" w:rsidR="004412F1" w:rsidRDefault="005A12A3">
            <w:pPr>
              <w:jc w:val="center"/>
              <w:rPr>
                <w:i/>
                <w:iCs/>
                <w:sz w:val="18"/>
                <w:szCs w:val="18"/>
                <w:vertAlign w:val="superscript"/>
              </w:rPr>
            </w:pPr>
            <w:r>
              <w:rPr>
                <w:i/>
                <w:iCs/>
                <w:sz w:val="18"/>
                <w:szCs w:val="18"/>
                <w:vertAlign w:val="superscript"/>
              </w:rPr>
              <w:t>(1)</w:t>
            </w:r>
          </w:p>
          <w:p w14:paraId="32FBCE71" w14:textId="77777777" w:rsidR="004412F1" w:rsidRDefault="005A12A3">
            <w:pPr>
              <w:jc w:val="center"/>
              <w:rPr>
                <w:i/>
                <w:iCs/>
                <w:sz w:val="18"/>
                <w:szCs w:val="18"/>
                <w:vertAlign w:val="superscript"/>
              </w:rPr>
            </w:pPr>
            <w:r>
              <w:rPr>
                <w:i/>
                <w:iCs/>
                <w:sz w:val="18"/>
                <w:szCs w:val="18"/>
              </w:rPr>
              <w:t>1440</w:t>
            </w: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2B8A83" w14:textId="77777777" w:rsidR="004412F1" w:rsidRDefault="005A12A3">
            <w:pPr>
              <w:jc w:val="center"/>
              <w:rPr>
                <w:i/>
                <w:iCs/>
                <w:sz w:val="18"/>
                <w:szCs w:val="18"/>
                <w:vertAlign w:val="superscript"/>
              </w:rPr>
            </w:pPr>
            <w:r>
              <w:rPr>
                <w:i/>
                <w:iCs/>
                <w:sz w:val="18"/>
                <w:szCs w:val="18"/>
                <w:vertAlign w:val="superscript"/>
              </w:rPr>
              <w:t>(2)</w:t>
            </w:r>
          </w:p>
          <w:p w14:paraId="7E6D85AC" w14:textId="77777777" w:rsidR="004412F1" w:rsidRDefault="005A12A3">
            <w:pPr>
              <w:jc w:val="center"/>
              <w:rPr>
                <w:i/>
                <w:iCs/>
                <w:sz w:val="18"/>
                <w:szCs w:val="18"/>
              </w:rPr>
            </w:pPr>
            <w:r>
              <w:rPr>
                <w:i/>
                <w:iCs/>
                <w:sz w:val="18"/>
                <w:szCs w:val="18"/>
              </w:rPr>
              <w:t>20</w:t>
            </w:r>
          </w:p>
        </w:tc>
        <w:tc>
          <w:tcPr>
            <w:tcW w:w="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AE1FA1" w14:textId="77777777" w:rsidR="004412F1" w:rsidRDefault="005A12A3">
            <w:pPr>
              <w:jc w:val="center"/>
              <w:rPr>
                <w:i/>
                <w:iCs/>
                <w:sz w:val="18"/>
                <w:szCs w:val="18"/>
                <w:vertAlign w:val="superscript"/>
              </w:rPr>
            </w:pPr>
            <w:r>
              <w:rPr>
                <w:i/>
                <w:iCs/>
                <w:sz w:val="18"/>
                <w:szCs w:val="18"/>
                <w:vertAlign w:val="superscript"/>
              </w:rPr>
              <w:t>(3)</w:t>
            </w:r>
          </w:p>
          <w:p w14:paraId="15004A85" w14:textId="77777777" w:rsidR="004412F1" w:rsidRDefault="005A12A3">
            <w:pPr>
              <w:jc w:val="center"/>
              <w:rPr>
                <w:i/>
                <w:iCs/>
                <w:sz w:val="18"/>
                <w:szCs w:val="18"/>
              </w:rPr>
            </w:pPr>
            <w:r>
              <w:rPr>
                <w:i/>
                <w:iCs/>
                <w:sz w:val="18"/>
                <w:szCs w:val="18"/>
              </w:rPr>
              <w:t>65</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377A6D" w14:textId="77777777" w:rsidR="004412F1" w:rsidRDefault="005A12A3">
            <w:pPr>
              <w:jc w:val="center"/>
              <w:rPr>
                <w:i/>
                <w:iCs/>
                <w:sz w:val="18"/>
                <w:szCs w:val="18"/>
                <w:vertAlign w:val="superscript"/>
              </w:rPr>
            </w:pPr>
            <w:r>
              <w:rPr>
                <w:i/>
                <w:iCs/>
                <w:sz w:val="18"/>
                <w:szCs w:val="18"/>
                <w:vertAlign w:val="superscript"/>
              </w:rPr>
              <w:t>(4)</w:t>
            </w:r>
          </w:p>
          <w:p w14:paraId="36608496" w14:textId="77777777" w:rsidR="004412F1" w:rsidRDefault="005A12A3">
            <w:pPr>
              <w:jc w:val="center"/>
              <w:rPr>
                <w:i/>
                <w:iCs/>
                <w:sz w:val="18"/>
                <w:szCs w:val="18"/>
              </w:rPr>
            </w:pPr>
            <w:r>
              <w:rPr>
                <w:i/>
                <w:iCs/>
                <w:sz w:val="18"/>
                <w:szCs w:val="18"/>
              </w:rPr>
              <w:t>65</w:t>
            </w:r>
          </w:p>
        </w:tc>
        <w:tc>
          <w:tcPr>
            <w:tcW w:w="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FCB31EE" w14:textId="77777777" w:rsidR="004412F1" w:rsidRDefault="005A12A3">
            <w:pPr>
              <w:jc w:val="center"/>
              <w:rPr>
                <w:i/>
                <w:iCs/>
                <w:sz w:val="18"/>
                <w:szCs w:val="18"/>
                <w:vertAlign w:val="superscript"/>
              </w:rPr>
            </w:pPr>
            <w:r>
              <w:rPr>
                <w:i/>
                <w:iCs/>
                <w:sz w:val="18"/>
                <w:szCs w:val="18"/>
                <w:vertAlign w:val="superscript"/>
              </w:rPr>
              <w:t>(5)</w:t>
            </w:r>
          </w:p>
          <w:p w14:paraId="21473D39" w14:textId="77777777" w:rsidR="004412F1" w:rsidRDefault="005A12A3">
            <w:pPr>
              <w:jc w:val="center"/>
              <w:rPr>
                <w:i/>
                <w:iCs/>
                <w:sz w:val="18"/>
                <w:szCs w:val="18"/>
              </w:rPr>
            </w:pPr>
            <w:r>
              <w:rPr>
                <w:i/>
                <w:iCs/>
                <w:sz w:val="18"/>
                <w:szCs w:val="18"/>
              </w:rPr>
              <w:t>20</w:t>
            </w:r>
          </w:p>
        </w:tc>
        <w:tc>
          <w:tcPr>
            <w:tcW w:w="8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046B4E" w14:textId="77777777" w:rsidR="004412F1" w:rsidRDefault="005A12A3">
            <w:pPr>
              <w:jc w:val="center"/>
              <w:rPr>
                <w:i/>
                <w:iCs/>
                <w:sz w:val="18"/>
                <w:szCs w:val="18"/>
                <w:vertAlign w:val="superscript"/>
              </w:rPr>
            </w:pPr>
            <w:r>
              <w:rPr>
                <w:i/>
                <w:iCs/>
                <w:sz w:val="18"/>
                <w:szCs w:val="18"/>
                <w:vertAlign w:val="superscript"/>
              </w:rPr>
              <w:t>(6)</w:t>
            </w:r>
          </w:p>
          <w:p w14:paraId="559560A2" w14:textId="77777777" w:rsidR="004412F1" w:rsidRDefault="005A12A3">
            <w:pPr>
              <w:jc w:val="center"/>
              <w:rPr>
                <w:i/>
                <w:iCs/>
                <w:sz w:val="18"/>
                <w:szCs w:val="18"/>
              </w:rPr>
            </w:pPr>
            <w:r>
              <w:rPr>
                <w:i/>
                <w:iCs/>
                <w:sz w:val="18"/>
                <w:szCs w:val="18"/>
              </w:rPr>
              <w:t>65</w:t>
            </w:r>
          </w:p>
        </w:tc>
        <w:tc>
          <w:tcPr>
            <w:tcW w:w="10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A903C3" w14:textId="77777777" w:rsidR="004412F1" w:rsidRDefault="005A12A3">
            <w:pPr>
              <w:jc w:val="center"/>
              <w:rPr>
                <w:i/>
                <w:iCs/>
                <w:sz w:val="18"/>
                <w:szCs w:val="18"/>
                <w:vertAlign w:val="superscript"/>
              </w:rPr>
            </w:pPr>
            <w:r>
              <w:rPr>
                <w:i/>
                <w:iCs/>
                <w:sz w:val="18"/>
                <w:szCs w:val="18"/>
                <w:vertAlign w:val="superscript"/>
              </w:rPr>
              <w:t>(7)</w:t>
            </w:r>
          </w:p>
          <w:p w14:paraId="150232AC" w14:textId="77777777" w:rsidR="004412F1" w:rsidRDefault="005A12A3">
            <w:pPr>
              <w:jc w:val="center"/>
              <w:rPr>
                <w:i/>
                <w:iCs/>
                <w:sz w:val="18"/>
                <w:szCs w:val="18"/>
              </w:rPr>
            </w:pPr>
            <w:r>
              <w:rPr>
                <w:i/>
                <w:iCs/>
                <w:sz w:val="18"/>
                <w:szCs w:val="18"/>
              </w:rPr>
              <w:t>65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5EBA5E" w14:textId="77777777" w:rsidR="004412F1" w:rsidRDefault="005A12A3">
            <w:pPr>
              <w:jc w:val="center"/>
              <w:rPr>
                <w:i/>
                <w:iCs/>
                <w:sz w:val="18"/>
                <w:szCs w:val="18"/>
                <w:vertAlign w:val="superscript"/>
              </w:rPr>
            </w:pPr>
            <w:r>
              <w:rPr>
                <w:i/>
                <w:iCs/>
                <w:sz w:val="18"/>
                <w:szCs w:val="18"/>
                <w:vertAlign w:val="superscript"/>
              </w:rPr>
              <w:t>(8)</w:t>
            </w:r>
          </w:p>
          <w:p w14:paraId="1D205F5F" w14:textId="77777777" w:rsidR="004412F1" w:rsidRDefault="005A12A3">
            <w:pPr>
              <w:jc w:val="center"/>
              <w:rPr>
                <w:i/>
                <w:iCs/>
                <w:sz w:val="18"/>
                <w:szCs w:val="18"/>
              </w:rPr>
            </w:pPr>
            <w:r>
              <w:rPr>
                <w:i/>
                <w:iCs/>
                <w:sz w:val="18"/>
                <w:szCs w:val="18"/>
              </w:rPr>
              <w:t>15</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F79454" w14:textId="77777777" w:rsidR="004412F1" w:rsidRDefault="005A12A3">
            <w:pPr>
              <w:jc w:val="center"/>
              <w:rPr>
                <w:i/>
                <w:iCs/>
                <w:sz w:val="18"/>
                <w:szCs w:val="18"/>
                <w:vertAlign w:val="superscript"/>
              </w:rPr>
            </w:pPr>
            <w:r>
              <w:rPr>
                <w:i/>
                <w:iCs/>
                <w:sz w:val="18"/>
                <w:szCs w:val="18"/>
                <w:vertAlign w:val="superscript"/>
              </w:rPr>
              <w:t>(9(10)</w:t>
            </w:r>
          </w:p>
          <w:p w14:paraId="1E024C09" w14:textId="77777777" w:rsidR="004412F1" w:rsidRDefault="005A12A3">
            <w:pPr>
              <w:jc w:val="center"/>
              <w:rPr>
                <w:i/>
                <w:iCs/>
                <w:sz w:val="18"/>
                <w:szCs w:val="18"/>
              </w:rPr>
            </w:pPr>
            <w:r>
              <w:rPr>
                <w:i/>
                <w:iCs/>
                <w:sz w:val="18"/>
                <w:szCs w:val="18"/>
              </w:rPr>
              <w:t>40</w:t>
            </w:r>
          </w:p>
        </w:tc>
      </w:tr>
    </w:tbl>
    <w:p w14:paraId="7C096CA4" w14:textId="77777777" w:rsidR="004412F1" w:rsidRDefault="004412F1">
      <w:pPr>
        <w:ind w:left="709"/>
        <w:jc w:val="both"/>
      </w:pPr>
    </w:p>
    <w:p w14:paraId="1099C358" w14:textId="77777777" w:rsidR="004412F1" w:rsidRPr="00763640" w:rsidRDefault="005A12A3">
      <w:pPr>
        <w:ind w:left="709"/>
        <w:jc w:val="both"/>
      </w:pPr>
      <w:r w:rsidRPr="00763640">
        <w:t xml:space="preserve">El plazo máximo para la conformidad del EDI es de 1740 Días Calendario contados a partir de la Fecha de Suscripción del Contrato.  </w:t>
      </w:r>
    </w:p>
    <w:p w14:paraId="75E7D2DE" w14:textId="77777777" w:rsidR="004412F1" w:rsidRPr="00763640" w:rsidRDefault="004412F1">
      <w:pPr>
        <w:ind w:left="709"/>
        <w:jc w:val="both"/>
      </w:pPr>
    </w:p>
    <w:p w14:paraId="59918EED" w14:textId="77777777" w:rsidR="004412F1" w:rsidRDefault="005A12A3">
      <w:pPr>
        <w:pBdr>
          <w:top w:val="none" w:sz="0" w:space="0" w:color="000000"/>
          <w:left w:val="none" w:sz="0" w:space="0" w:color="000000"/>
          <w:bottom w:val="none" w:sz="0" w:space="0" w:color="000000"/>
          <w:right w:val="none" w:sz="0" w:space="0" w:color="000000"/>
          <w:between w:val="none" w:sz="0" w:space="0" w:color="000000"/>
        </w:pBdr>
        <w:ind w:left="709"/>
        <w:jc w:val="both"/>
      </w:pPr>
      <w:r w:rsidRPr="00763640">
        <w:t xml:space="preserve">De existir controversia sobre el pronunciamiento del CONCEDENTE, cualquiera de las Partes </w:t>
      </w:r>
      <w:r w:rsidRPr="00763640">
        <w:rPr>
          <w:color w:val="000000" w:themeColor="text1"/>
        </w:rPr>
        <w:t xml:space="preserve"> podrá ejercer su derecho de la aplicación del régimen de Solución de Controversias invocando lo dispuesto en el Capítulo XIX del Contrato</w:t>
      </w:r>
      <w:r w:rsidRPr="00763640">
        <w:t>, suspendiéndose el plazo máximo para la conformidad  del EDI, hasta la emisión del pronunciamiento definitivo firme.</w:t>
      </w:r>
    </w:p>
    <w:p w14:paraId="4024F2BD" w14:textId="77777777" w:rsidR="004412F1" w:rsidRDefault="004412F1">
      <w:pPr>
        <w:ind w:left="709"/>
        <w:jc w:val="both"/>
        <w:rPr>
          <w:highlight w:val="yellow"/>
        </w:rPr>
      </w:pPr>
    </w:p>
    <w:p w14:paraId="648111ED" w14:textId="77777777" w:rsidR="004412F1" w:rsidRDefault="005A12A3">
      <w:pPr>
        <w:ind w:left="851" w:hanging="142"/>
        <w:jc w:val="both"/>
      </w:pPr>
      <w:r>
        <w:t>Los plazos son los máximos y están considerados en Días Calendario:</w:t>
      </w:r>
    </w:p>
    <w:p w14:paraId="4699A610" w14:textId="77777777" w:rsidR="004412F1" w:rsidRDefault="005A12A3">
      <w:pPr>
        <w:ind w:left="1276" w:right="-709" w:hanging="567"/>
        <w:jc w:val="both"/>
      </w:pPr>
      <w:r>
        <w:t>(1)</w:t>
      </w:r>
      <w:r>
        <w:tab/>
        <w:t xml:space="preserve">A partir del día siguiente de la Fecha de Suscripción del Contrato. </w:t>
      </w:r>
    </w:p>
    <w:p w14:paraId="0F847C0C" w14:textId="77777777" w:rsidR="004412F1" w:rsidRDefault="005A12A3">
      <w:pPr>
        <w:ind w:left="1276" w:hanging="567"/>
        <w:jc w:val="both"/>
      </w:pPr>
      <w:r>
        <w:t>(2)</w:t>
      </w:r>
      <w:r>
        <w:tab/>
        <w:t xml:space="preserve">A partir del día siguiente de la recepción oficial del Expediente Técnico por parte del REGULADOR. </w:t>
      </w:r>
    </w:p>
    <w:p w14:paraId="68978FBB" w14:textId="77777777" w:rsidR="004412F1" w:rsidRDefault="005A12A3">
      <w:pPr>
        <w:ind w:left="1276" w:hanging="567"/>
        <w:jc w:val="both"/>
      </w:pPr>
      <w:r>
        <w:t xml:space="preserve">(3) </w:t>
      </w:r>
      <w:r>
        <w:tab/>
        <w:t xml:space="preserve">A partir del día siguiente de la recepción oficial del Expediente Técnico por parte del CONCEDENTE. </w:t>
      </w:r>
    </w:p>
    <w:p w14:paraId="1971DBB1" w14:textId="77777777" w:rsidR="004412F1" w:rsidRDefault="005A12A3">
      <w:pPr>
        <w:ind w:left="1276" w:hanging="567"/>
        <w:jc w:val="both"/>
      </w:pPr>
      <w:r>
        <w:t>(4)</w:t>
      </w:r>
      <w:r>
        <w:tab/>
        <w:t>A partir del día siguiente de la recepción oficial del pliego de observaciones del CONCEDENTE y del REGULADOR (el plazo se computa desde la última recepción).</w:t>
      </w:r>
    </w:p>
    <w:p w14:paraId="4005D836" w14:textId="77777777" w:rsidR="004412F1" w:rsidRDefault="005A12A3">
      <w:pPr>
        <w:ind w:left="1276" w:hanging="567"/>
        <w:jc w:val="both"/>
      </w:pPr>
      <w:r>
        <w:t>(5)</w:t>
      </w:r>
      <w:r>
        <w:tab/>
        <w:t>A partir del día siguiente de la recepción oficial del levantamiento de observaciones presentado por el CONCESIONARIO.</w:t>
      </w:r>
    </w:p>
    <w:p w14:paraId="3B447153" w14:textId="77777777" w:rsidR="004412F1" w:rsidRDefault="005A12A3">
      <w:pPr>
        <w:ind w:left="1276" w:hanging="567"/>
        <w:jc w:val="both"/>
      </w:pPr>
      <w:r>
        <w:t>(6)</w:t>
      </w:r>
      <w:r>
        <w:tab/>
        <w:t>A partir del día siguiente de la recepción oficial del levantamiento de observaciones presentado por el CONCESIONARIO.</w:t>
      </w:r>
    </w:p>
    <w:p w14:paraId="4BBC5199" w14:textId="77777777" w:rsidR="004412F1" w:rsidRDefault="005A12A3">
      <w:pPr>
        <w:ind w:left="1276" w:hanging="567"/>
        <w:jc w:val="both"/>
      </w:pPr>
      <w:r>
        <w:t>(7)</w:t>
      </w:r>
      <w:r>
        <w:tab/>
        <w:t>A partir del día siguiente de la recepción oficial del pliego de observaciones del CONCEDENTE y del REGULADOR (el plazo se computa desde la última recepción).</w:t>
      </w:r>
    </w:p>
    <w:p w14:paraId="12932943" w14:textId="77777777" w:rsidR="004412F1" w:rsidRDefault="005A12A3">
      <w:pPr>
        <w:ind w:left="1276" w:hanging="567"/>
        <w:jc w:val="both"/>
      </w:pPr>
      <w:r>
        <w:t>(8)</w:t>
      </w:r>
      <w:r>
        <w:tab/>
        <w:t>A partir del día siguiente de la recepción oficial del levantamiento de observaciones presentado por el CONCESIONARIO.</w:t>
      </w:r>
    </w:p>
    <w:p w14:paraId="32A2982D" w14:textId="77777777" w:rsidR="004412F1" w:rsidRDefault="005A12A3">
      <w:pPr>
        <w:ind w:left="1276" w:hanging="567"/>
        <w:jc w:val="both"/>
      </w:pPr>
      <w:r>
        <w:t>(9)</w:t>
      </w:r>
      <w:r>
        <w:tab/>
        <w:t>A partir del día siguiente de la recepción oficial del levantamiento de observaciones presentado por el CONCESIONARIO.</w:t>
      </w:r>
    </w:p>
    <w:p w14:paraId="22B4CFF7" w14:textId="77777777" w:rsidR="004412F1" w:rsidRDefault="005A12A3">
      <w:pPr>
        <w:ind w:left="1276" w:hanging="567"/>
        <w:jc w:val="both"/>
        <w:rPr>
          <w:lang w:val="es-PE"/>
        </w:rPr>
      </w:pPr>
      <w:r>
        <w:t>(10)</w:t>
      </w:r>
      <w:r>
        <w:tab/>
        <w:t>Con la opinión del REGULADOR y dentro del plazo indicado en (9), el CONCEDENTE emitirá su pronunciamiento dando conformidad o no al EDI. La aprobación que realiza el CONCEDENTE no exime al CONCESIONARIO de la responsabilidad que le asiste por su formulación ni traslada el riesgo de diseño que en todo momento deberá asumir el CONCESIONARIO.</w:t>
      </w:r>
    </w:p>
    <w:p w14:paraId="0D9AF380" w14:textId="77777777" w:rsidR="004412F1" w:rsidRDefault="004412F1">
      <w:pPr>
        <w:ind w:left="709"/>
        <w:jc w:val="both"/>
      </w:pPr>
    </w:p>
    <w:p w14:paraId="0C7C34E5" w14:textId="77777777" w:rsidR="004412F1" w:rsidRPr="00763640" w:rsidRDefault="005A12A3">
      <w:pPr>
        <w:ind w:left="709"/>
        <w:jc w:val="both"/>
      </w:pPr>
      <w:r w:rsidRPr="00763640">
        <w:t>En caso el CONCEDENTE no se pronuncie en el plazo señalado, se entenderá por no conforme el Estudio Definitivo de Ingeniería. El CONCESIONARIO está obligado a levantar las observaciones al EDI, de lo contrario estará sujeto a la penalidad indicada en la Tabla Nº 3 del ANEXO IX.</w:t>
      </w:r>
    </w:p>
    <w:p w14:paraId="1405DBEF" w14:textId="77777777" w:rsidR="004412F1" w:rsidRPr="00763640" w:rsidRDefault="004412F1">
      <w:pPr>
        <w:ind w:left="709"/>
        <w:jc w:val="both"/>
        <w:rPr>
          <w:sz w:val="16"/>
          <w:lang w:val="es-PE"/>
        </w:rPr>
      </w:pPr>
    </w:p>
    <w:p w14:paraId="3FD30FC7" w14:textId="77777777" w:rsidR="004412F1" w:rsidRPr="00763640" w:rsidRDefault="005A12A3">
      <w:pPr>
        <w:ind w:left="709"/>
        <w:jc w:val="both"/>
      </w:pPr>
      <w:r w:rsidRPr="00763640">
        <w:t>Las observaciones que realicen el CONCEDENTE y REGULADOR no supondrán en ningún caso algún incremento en los pagos del Contrato.</w:t>
      </w:r>
      <w:r w:rsidRPr="00763640">
        <w:rPr>
          <w:lang w:val="es-PE"/>
        </w:rPr>
        <w:t xml:space="preserve"> </w:t>
      </w:r>
      <w:r w:rsidRPr="00763640">
        <w:t>El EDI deberá ser formulado teniendo como base el PIP aprobado y los Términos de Referencia indicados en el Anexo 9 de las Bases.</w:t>
      </w:r>
    </w:p>
    <w:p w14:paraId="1F1128BA" w14:textId="77777777" w:rsidR="004412F1" w:rsidRPr="00763640" w:rsidRDefault="004412F1">
      <w:pPr>
        <w:ind w:left="709"/>
        <w:jc w:val="both"/>
      </w:pPr>
    </w:p>
    <w:p w14:paraId="70541C78" w14:textId="77777777" w:rsidR="004412F1" w:rsidRDefault="005A12A3">
      <w:pPr>
        <w:ind w:left="709"/>
        <w:jc w:val="both"/>
        <w:rPr>
          <w:rFonts w:eastAsia="SimSun"/>
          <w:lang w:eastAsia="zh-CN"/>
        </w:rPr>
      </w:pPr>
      <w:r w:rsidRPr="00763640">
        <w:t>Aprobado el Estudio Definitivo de Ingeniería e Instrumento de Gestión Ambiental, se iniciará el procedimiento de Cierre Financiero conforme el Capítulo X del presente Contrato.</w:t>
      </w:r>
    </w:p>
    <w:p w14:paraId="65D50A92" w14:textId="77777777" w:rsidR="004412F1" w:rsidRDefault="004412F1">
      <w:pPr>
        <w:ind w:left="709"/>
        <w:jc w:val="both"/>
        <w:rPr>
          <w:rFonts w:eastAsia="SimSun"/>
          <w:lang w:eastAsia="zh-CN"/>
        </w:rPr>
      </w:pPr>
    </w:p>
    <w:p w14:paraId="3903814B" w14:textId="77777777" w:rsidR="004412F1" w:rsidRDefault="005A12A3">
      <w:pPr>
        <w:numPr>
          <w:ilvl w:val="1"/>
          <w:numId w:val="88"/>
        </w:numPr>
        <w:jc w:val="both"/>
        <w:rPr>
          <w:color w:val="000000"/>
        </w:rPr>
      </w:pPr>
      <w:r>
        <w:rPr>
          <w:color w:val="000000"/>
        </w:rPr>
        <w:t>El Estudio Definitivo de Ingeniería e Instrumento de Gestión Ambiental para la Construcción del Evitamiento San Clemente, lo formulará el CONCESIONARIO, quien lo presentará al CONCEDENTE, con copia al REGULADOR, de acuerdo a lo indicado en el cuadro siguiente:</w:t>
      </w:r>
    </w:p>
    <w:p w14:paraId="5683F68F" w14:textId="77777777" w:rsidR="004412F1" w:rsidRDefault="004412F1">
      <w:pPr>
        <w:ind w:left="709"/>
        <w:jc w:val="both"/>
      </w:pPr>
    </w:p>
    <w:tbl>
      <w:tblPr>
        <w:tblW w:w="8866"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983"/>
        <w:gridCol w:w="750"/>
        <w:gridCol w:w="833"/>
        <w:gridCol w:w="1050"/>
        <w:gridCol w:w="867"/>
        <w:gridCol w:w="900"/>
        <w:gridCol w:w="1016"/>
        <w:gridCol w:w="767"/>
        <w:gridCol w:w="883"/>
      </w:tblGrid>
      <w:tr w:rsidR="004412F1" w14:paraId="20ACF1D5" w14:textId="77777777">
        <w:trPr>
          <w:trHeight w:val="392"/>
        </w:trPr>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969D66" w14:textId="77777777" w:rsidR="004412F1" w:rsidRDefault="005A12A3">
            <w:pPr>
              <w:ind w:left="-142" w:firstLine="44"/>
              <w:jc w:val="center"/>
              <w:rPr>
                <w:i/>
                <w:iCs/>
                <w:sz w:val="13"/>
                <w:szCs w:val="13"/>
              </w:rPr>
            </w:pPr>
            <w:bookmarkStart w:id="1282" w:name="_1e03kqp"/>
            <w:bookmarkEnd w:id="1282"/>
            <w:r>
              <w:rPr>
                <w:i/>
                <w:iCs/>
                <w:sz w:val="13"/>
                <w:szCs w:val="13"/>
              </w:rPr>
              <w:t>Estudios</w:t>
            </w:r>
          </w:p>
        </w:tc>
        <w:tc>
          <w:tcPr>
            <w:tcW w:w="9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211689" w14:textId="77777777" w:rsidR="004412F1" w:rsidRDefault="005A12A3">
            <w:pPr>
              <w:ind w:left="-108"/>
              <w:jc w:val="center"/>
              <w:rPr>
                <w:i/>
                <w:iCs/>
                <w:sz w:val="13"/>
                <w:szCs w:val="13"/>
              </w:rPr>
            </w:pPr>
            <w:r>
              <w:rPr>
                <w:i/>
                <w:iCs/>
                <w:sz w:val="13"/>
                <w:szCs w:val="13"/>
              </w:rPr>
              <w:t>Presentación del Concesionario</w:t>
            </w:r>
          </w:p>
          <w:p w14:paraId="406A86B9" w14:textId="77777777" w:rsidR="004412F1" w:rsidRDefault="004412F1">
            <w:pPr>
              <w:jc w:val="center"/>
              <w:rPr>
                <w:i/>
                <w:iCs/>
                <w:sz w:val="13"/>
                <w:szCs w:val="13"/>
              </w:rPr>
            </w:pPr>
          </w:p>
        </w:tc>
        <w:tc>
          <w:tcPr>
            <w:tcW w:w="15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BF31E9" w14:textId="77777777" w:rsidR="004412F1" w:rsidRDefault="005A12A3">
            <w:pPr>
              <w:jc w:val="center"/>
              <w:rPr>
                <w:i/>
                <w:iCs/>
                <w:sz w:val="13"/>
                <w:szCs w:val="13"/>
              </w:rPr>
            </w:pPr>
            <w:r>
              <w:rPr>
                <w:i/>
                <w:iCs/>
                <w:sz w:val="13"/>
                <w:szCs w:val="13"/>
              </w:rPr>
              <w:t>Revisión</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EA9528" w14:textId="77777777" w:rsidR="004412F1" w:rsidRDefault="005A12A3">
            <w:pPr>
              <w:ind w:left="-76"/>
              <w:jc w:val="center"/>
              <w:rPr>
                <w:i/>
                <w:iCs/>
                <w:sz w:val="13"/>
                <w:szCs w:val="13"/>
              </w:rPr>
            </w:pPr>
            <w:r>
              <w:rPr>
                <w:i/>
                <w:iCs/>
                <w:sz w:val="13"/>
                <w:szCs w:val="13"/>
              </w:rPr>
              <w:t>Levantamiento observaciones Concesionario</w:t>
            </w:r>
          </w:p>
        </w:tc>
        <w:tc>
          <w:tcPr>
            <w:tcW w:w="17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68ED61" w14:textId="77777777" w:rsidR="004412F1" w:rsidRDefault="005A12A3">
            <w:pPr>
              <w:jc w:val="center"/>
              <w:rPr>
                <w:i/>
                <w:iCs/>
                <w:sz w:val="13"/>
                <w:szCs w:val="13"/>
              </w:rPr>
            </w:pPr>
            <w:r>
              <w:rPr>
                <w:i/>
                <w:iCs/>
                <w:sz w:val="13"/>
                <w:szCs w:val="13"/>
              </w:rPr>
              <w:t>Evaluación levantamiento Observaciones</w:t>
            </w:r>
          </w:p>
        </w:tc>
        <w:tc>
          <w:tcPr>
            <w:tcW w:w="10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6797E0" w14:textId="77777777" w:rsidR="004412F1" w:rsidRDefault="005A12A3">
            <w:pPr>
              <w:ind w:left="-80"/>
              <w:jc w:val="center"/>
              <w:rPr>
                <w:i/>
                <w:iCs/>
                <w:sz w:val="13"/>
                <w:szCs w:val="13"/>
              </w:rPr>
            </w:pPr>
            <w:r>
              <w:rPr>
                <w:i/>
                <w:iCs/>
                <w:sz w:val="13"/>
                <w:szCs w:val="13"/>
              </w:rPr>
              <w:t>Levantamiento observaciones Concesionario</w:t>
            </w:r>
          </w:p>
        </w:tc>
        <w:tc>
          <w:tcPr>
            <w:tcW w:w="1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3A4D1B" w14:textId="77777777" w:rsidR="004412F1" w:rsidRDefault="005A12A3">
            <w:pPr>
              <w:ind w:left="-88"/>
              <w:jc w:val="center"/>
              <w:rPr>
                <w:i/>
                <w:iCs/>
                <w:sz w:val="13"/>
                <w:szCs w:val="13"/>
              </w:rPr>
            </w:pPr>
            <w:r>
              <w:rPr>
                <w:i/>
                <w:iCs/>
                <w:sz w:val="13"/>
                <w:szCs w:val="13"/>
              </w:rPr>
              <w:t>Evaluación levantamiento observaciones</w:t>
            </w:r>
          </w:p>
        </w:tc>
      </w:tr>
      <w:tr w:rsidR="004412F1" w14:paraId="16B11BEF" w14:textId="77777777">
        <w:trPr>
          <w:trHeight w:val="392"/>
        </w:trPr>
        <w:tc>
          <w:tcPr>
            <w:tcW w:w="817" w:type="dxa"/>
            <w:vMerge/>
            <w:shd w:val="clear" w:color="auto" w:fill="auto"/>
            <w:tcMar>
              <w:top w:w="0" w:type="dxa"/>
              <w:left w:w="108" w:type="dxa"/>
              <w:bottom w:w="0" w:type="dxa"/>
              <w:right w:w="108" w:type="dxa"/>
            </w:tcMar>
            <w:vAlign w:val="center"/>
          </w:tcPr>
          <w:p w14:paraId="25C636DF" w14:textId="77777777" w:rsidR="004412F1" w:rsidRDefault="004412F1">
            <w:pPr>
              <w:spacing w:line="276" w:lineRule="auto"/>
              <w:rPr>
                <w:i/>
                <w:sz w:val="13"/>
                <w:szCs w:val="13"/>
              </w:rPr>
            </w:pPr>
          </w:p>
        </w:tc>
        <w:tc>
          <w:tcPr>
            <w:tcW w:w="983" w:type="dxa"/>
            <w:vMerge/>
            <w:shd w:val="clear" w:color="auto" w:fill="auto"/>
            <w:tcMar>
              <w:top w:w="0" w:type="dxa"/>
              <w:left w:w="108" w:type="dxa"/>
              <w:bottom w:w="0" w:type="dxa"/>
              <w:right w:w="108" w:type="dxa"/>
            </w:tcMar>
            <w:vAlign w:val="center"/>
          </w:tcPr>
          <w:p w14:paraId="4033CF38" w14:textId="77777777" w:rsidR="004412F1" w:rsidRDefault="004412F1">
            <w:pPr>
              <w:spacing w:line="276" w:lineRule="auto"/>
              <w:rPr>
                <w:i/>
                <w:sz w:val="13"/>
                <w:szCs w:val="13"/>
              </w:rPr>
            </w:pP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A178C1" w14:textId="77777777" w:rsidR="004412F1" w:rsidRDefault="005A12A3">
            <w:pPr>
              <w:ind w:hanging="98"/>
              <w:jc w:val="center"/>
              <w:rPr>
                <w:i/>
                <w:iCs/>
                <w:sz w:val="13"/>
                <w:szCs w:val="13"/>
              </w:rPr>
            </w:pPr>
            <w:r>
              <w:rPr>
                <w:i/>
                <w:iCs/>
                <w:sz w:val="13"/>
                <w:szCs w:val="13"/>
              </w:rPr>
              <w:t>Regulador</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A23CAF" w14:textId="77777777" w:rsidR="004412F1" w:rsidRDefault="005A12A3">
            <w:pPr>
              <w:ind w:hanging="99"/>
              <w:jc w:val="center"/>
              <w:rPr>
                <w:i/>
                <w:iCs/>
                <w:sz w:val="13"/>
                <w:szCs w:val="13"/>
              </w:rPr>
            </w:pPr>
            <w:r>
              <w:rPr>
                <w:i/>
                <w:iCs/>
                <w:sz w:val="13"/>
                <w:szCs w:val="13"/>
              </w:rPr>
              <w:t>Concedente</w:t>
            </w:r>
          </w:p>
        </w:tc>
        <w:tc>
          <w:tcPr>
            <w:tcW w:w="1050" w:type="dxa"/>
            <w:vMerge/>
            <w:shd w:val="clear" w:color="auto" w:fill="auto"/>
            <w:tcMar>
              <w:top w:w="0" w:type="dxa"/>
              <w:left w:w="108" w:type="dxa"/>
              <w:bottom w:w="0" w:type="dxa"/>
              <w:right w:w="108" w:type="dxa"/>
            </w:tcMar>
            <w:vAlign w:val="center"/>
          </w:tcPr>
          <w:p w14:paraId="71FEE4BB" w14:textId="77777777" w:rsidR="004412F1" w:rsidRDefault="004412F1">
            <w:pPr>
              <w:spacing w:line="276" w:lineRule="auto"/>
              <w:rPr>
                <w:i/>
                <w:sz w:val="13"/>
                <w:szCs w:val="13"/>
              </w:rPr>
            </w:pPr>
          </w:p>
        </w:tc>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99CDFF" w14:textId="77777777" w:rsidR="004412F1" w:rsidRDefault="005A12A3">
            <w:pPr>
              <w:ind w:hanging="110"/>
              <w:jc w:val="center"/>
              <w:rPr>
                <w:i/>
                <w:iCs/>
                <w:sz w:val="13"/>
                <w:szCs w:val="13"/>
              </w:rPr>
            </w:pPr>
            <w:r>
              <w:rPr>
                <w:i/>
                <w:iCs/>
                <w:sz w:val="13"/>
                <w:szCs w:val="13"/>
              </w:rPr>
              <w:t>Regulador</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809769" w14:textId="77777777" w:rsidR="004412F1" w:rsidRDefault="005A12A3">
            <w:pPr>
              <w:ind w:hanging="94"/>
              <w:jc w:val="center"/>
              <w:rPr>
                <w:i/>
                <w:iCs/>
                <w:sz w:val="13"/>
                <w:szCs w:val="13"/>
              </w:rPr>
            </w:pPr>
            <w:r>
              <w:rPr>
                <w:i/>
                <w:iCs/>
                <w:sz w:val="13"/>
                <w:szCs w:val="13"/>
              </w:rPr>
              <w:t>Concedente</w:t>
            </w:r>
          </w:p>
        </w:tc>
        <w:tc>
          <w:tcPr>
            <w:tcW w:w="1016" w:type="dxa"/>
            <w:vMerge/>
            <w:shd w:val="clear" w:color="auto" w:fill="auto"/>
            <w:tcMar>
              <w:top w:w="0" w:type="dxa"/>
              <w:left w:w="108" w:type="dxa"/>
              <w:bottom w:w="0" w:type="dxa"/>
              <w:right w:w="108" w:type="dxa"/>
            </w:tcMar>
            <w:vAlign w:val="center"/>
          </w:tcPr>
          <w:p w14:paraId="353D86F0" w14:textId="77777777" w:rsidR="004412F1" w:rsidRDefault="004412F1">
            <w:pPr>
              <w:spacing w:line="276" w:lineRule="auto"/>
              <w:rPr>
                <w:i/>
                <w:sz w:val="13"/>
                <w:szCs w:val="13"/>
              </w:rPr>
            </w:pP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6E7F54" w14:textId="77777777" w:rsidR="004412F1" w:rsidRDefault="005A12A3">
            <w:pPr>
              <w:ind w:hanging="88"/>
              <w:jc w:val="center"/>
              <w:rPr>
                <w:i/>
                <w:iCs/>
                <w:sz w:val="13"/>
                <w:szCs w:val="13"/>
              </w:rPr>
            </w:pPr>
            <w:r>
              <w:rPr>
                <w:i/>
                <w:iCs/>
                <w:sz w:val="13"/>
                <w:szCs w:val="13"/>
              </w:rPr>
              <w:t>Regulador</w:t>
            </w:r>
          </w:p>
        </w:tc>
        <w:tc>
          <w:tcPr>
            <w:tcW w:w="8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1780B2" w14:textId="77777777" w:rsidR="004412F1" w:rsidRDefault="005A12A3">
            <w:pPr>
              <w:ind w:left="-156"/>
              <w:jc w:val="center"/>
              <w:rPr>
                <w:i/>
                <w:iCs/>
                <w:sz w:val="13"/>
                <w:szCs w:val="13"/>
              </w:rPr>
            </w:pPr>
            <w:r>
              <w:rPr>
                <w:i/>
                <w:iCs/>
                <w:sz w:val="13"/>
                <w:szCs w:val="13"/>
              </w:rPr>
              <w:t>Concedente</w:t>
            </w:r>
          </w:p>
        </w:tc>
      </w:tr>
      <w:tr w:rsidR="004412F1" w14:paraId="36E2F5E4" w14:textId="77777777">
        <w:trPr>
          <w:trHeight w:val="392"/>
        </w:trPr>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896FA0" w14:textId="77777777" w:rsidR="004412F1" w:rsidRDefault="005A12A3">
            <w:pPr>
              <w:ind w:hanging="56"/>
              <w:jc w:val="center"/>
              <w:rPr>
                <w:i/>
                <w:iCs/>
                <w:sz w:val="18"/>
                <w:szCs w:val="18"/>
              </w:rPr>
            </w:pPr>
            <w:r>
              <w:rPr>
                <w:i/>
                <w:iCs/>
                <w:sz w:val="18"/>
                <w:szCs w:val="18"/>
              </w:rPr>
              <w:t>EDI</w:t>
            </w:r>
          </w:p>
        </w:tc>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8C11C2" w14:textId="77777777" w:rsidR="004412F1" w:rsidRDefault="005A12A3">
            <w:pPr>
              <w:jc w:val="center"/>
              <w:rPr>
                <w:i/>
                <w:iCs/>
                <w:sz w:val="18"/>
                <w:szCs w:val="18"/>
                <w:vertAlign w:val="superscript"/>
              </w:rPr>
            </w:pPr>
            <w:r>
              <w:rPr>
                <w:i/>
                <w:iCs/>
                <w:sz w:val="18"/>
                <w:szCs w:val="18"/>
                <w:vertAlign w:val="superscript"/>
              </w:rPr>
              <w:t>(1)</w:t>
            </w:r>
          </w:p>
          <w:p w14:paraId="1A922801" w14:textId="77777777" w:rsidR="004412F1" w:rsidRDefault="005A12A3">
            <w:pPr>
              <w:jc w:val="center"/>
              <w:rPr>
                <w:i/>
                <w:iCs/>
                <w:sz w:val="18"/>
                <w:szCs w:val="18"/>
              </w:rPr>
            </w:pPr>
            <w:r>
              <w:rPr>
                <w:i/>
                <w:iCs/>
                <w:sz w:val="18"/>
                <w:szCs w:val="18"/>
              </w:rPr>
              <w:t>1440</w:t>
            </w:r>
          </w:p>
        </w:tc>
        <w:tc>
          <w:tcPr>
            <w:tcW w:w="7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1570BF" w14:textId="77777777" w:rsidR="004412F1" w:rsidRDefault="005A12A3">
            <w:pPr>
              <w:jc w:val="center"/>
              <w:rPr>
                <w:i/>
                <w:iCs/>
                <w:sz w:val="18"/>
                <w:szCs w:val="18"/>
                <w:vertAlign w:val="superscript"/>
              </w:rPr>
            </w:pPr>
            <w:r>
              <w:rPr>
                <w:i/>
                <w:iCs/>
                <w:sz w:val="18"/>
                <w:szCs w:val="18"/>
                <w:vertAlign w:val="superscript"/>
              </w:rPr>
              <w:t>(2)</w:t>
            </w:r>
          </w:p>
          <w:p w14:paraId="75934D0A" w14:textId="77777777" w:rsidR="004412F1" w:rsidRDefault="005A12A3">
            <w:pPr>
              <w:jc w:val="center"/>
              <w:rPr>
                <w:i/>
                <w:iCs/>
                <w:sz w:val="18"/>
                <w:szCs w:val="18"/>
              </w:rPr>
            </w:pPr>
            <w:r>
              <w:rPr>
                <w:i/>
                <w:iCs/>
                <w:sz w:val="18"/>
                <w:szCs w:val="18"/>
              </w:rPr>
              <w:t>20</w:t>
            </w:r>
          </w:p>
        </w:tc>
        <w:tc>
          <w:tcPr>
            <w:tcW w:w="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FF6A00" w14:textId="77777777" w:rsidR="004412F1" w:rsidRDefault="005A12A3">
            <w:pPr>
              <w:jc w:val="center"/>
              <w:rPr>
                <w:i/>
                <w:iCs/>
                <w:sz w:val="18"/>
                <w:szCs w:val="18"/>
                <w:vertAlign w:val="superscript"/>
              </w:rPr>
            </w:pPr>
            <w:r>
              <w:rPr>
                <w:i/>
                <w:iCs/>
                <w:sz w:val="18"/>
                <w:szCs w:val="18"/>
                <w:vertAlign w:val="superscript"/>
              </w:rPr>
              <w:t>(3)</w:t>
            </w:r>
          </w:p>
          <w:p w14:paraId="17925519" w14:textId="77777777" w:rsidR="004412F1" w:rsidRDefault="005A12A3">
            <w:pPr>
              <w:jc w:val="center"/>
              <w:rPr>
                <w:i/>
                <w:iCs/>
                <w:sz w:val="18"/>
                <w:szCs w:val="18"/>
              </w:rPr>
            </w:pPr>
            <w:r>
              <w:rPr>
                <w:i/>
                <w:iCs/>
                <w:sz w:val="18"/>
                <w:szCs w:val="18"/>
              </w:rPr>
              <w:t>30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D7646A" w14:textId="77777777" w:rsidR="004412F1" w:rsidRDefault="005A12A3">
            <w:pPr>
              <w:jc w:val="center"/>
              <w:rPr>
                <w:i/>
                <w:iCs/>
                <w:sz w:val="18"/>
                <w:szCs w:val="18"/>
                <w:vertAlign w:val="superscript"/>
              </w:rPr>
            </w:pPr>
            <w:r>
              <w:rPr>
                <w:i/>
                <w:iCs/>
                <w:sz w:val="18"/>
                <w:szCs w:val="18"/>
                <w:vertAlign w:val="superscript"/>
              </w:rPr>
              <w:t>(4)</w:t>
            </w:r>
          </w:p>
          <w:p w14:paraId="59342986" w14:textId="77777777" w:rsidR="004412F1" w:rsidRDefault="005A12A3">
            <w:pPr>
              <w:jc w:val="center"/>
              <w:rPr>
                <w:i/>
                <w:iCs/>
                <w:sz w:val="18"/>
                <w:szCs w:val="18"/>
              </w:rPr>
            </w:pPr>
            <w:r>
              <w:rPr>
                <w:i/>
                <w:iCs/>
                <w:sz w:val="18"/>
                <w:szCs w:val="18"/>
              </w:rPr>
              <w:t>15</w:t>
            </w:r>
          </w:p>
        </w:tc>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29CC8D" w14:textId="77777777" w:rsidR="004412F1" w:rsidRDefault="005A12A3">
            <w:pPr>
              <w:ind w:hanging="94"/>
              <w:jc w:val="center"/>
              <w:rPr>
                <w:i/>
                <w:iCs/>
                <w:sz w:val="18"/>
                <w:szCs w:val="18"/>
                <w:vertAlign w:val="superscript"/>
              </w:rPr>
            </w:pPr>
            <w:r>
              <w:rPr>
                <w:i/>
                <w:iCs/>
                <w:sz w:val="18"/>
                <w:szCs w:val="18"/>
                <w:vertAlign w:val="superscript"/>
              </w:rPr>
              <w:t>(5)</w:t>
            </w:r>
          </w:p>
          <w:p w14:paraId="7B991303" w14:textId="77777777" w:rsidR="004412F1" w:rsidRDefault="005A12A3">
            <w:pPr>
              <w:ind w:hanging="94"/>
              <w:jc w:val="center"/>
              <w:rPr>
                <w:i/>
                <w:iCs/>
                <w:sz w:val="18"/>
                <w:szCs w:val="18"/>
              </w:rPr>
            </w:pPr>
            <w:r>
              <w:rPr>
                <w:i/>
                <w:iCs/>
                <w:sz w:val="18"/>
                <w:szCs w:val="18"/>
              </w:rPr>
              <w:t>20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7B5978" w14:textId="77777777" w:rsidR="004412F1" w:rsidRDefault="005A12A3">
            <w:pPr>
              <w:jc w:val="center"/>
              <w:rPr>
                <w:i/>
                <w:iCs/>
                <w:sz w:val="18"/>
                <w:szCs w:val="18"/>
                <w:vertAlign w:val="superscript"/>
              </w:rPr>
            </w:pPr>
            <w:r>
              <w:rPr>
                <w:i/>
                <w:iCs/>
                <w:sz w:val="18"/>
                <w:szCs w:val="18"/>
                <w:vertAlign w:val="superscript"/>
              </w:rPr>
              <w:t>(6)</w:t>
            </w:r>
          </w:p>
          <w:p w14:paraId="29242258" w14:textId="77777777" w:rsidR="004412F1" w:rsidRDefault="005A12A3">
            <w:pPr>
              <w:jc w:val="center"/>
              <w:rPr>
                <w:i/>
                <w:iCs/>
                <w:sz w:val="18"/>
                <w:szCs w:val="18"/>
              </w:rPr>
            </w:pPr>
            <w:r>
              <w:rPr>
                <w:i/>
                <w:iCs/>
                <w:sz w:val="18"/>
                <w:szCs w:val="18"/>
              </w:rPr>
              <w:t>30</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4643F6" w14:textId="77777777" w:rsidR="004412F1" w:rsidRDefault="005A12A3">
            <w:pPr>
              <w:jc w:val="center"/>
              <w:rPr>
                <w:i/>
                <w:iCs/>
                <w:sz w:val="18"/>
                <w:szCs w:val="18"/>
                <w:vertAlign w:val="superscript"/>
              </w:rPr>
            </w:pPr>
            <w:r>
              <w:rPr>
                <w:i/>
                <w:iCs/>
                <w:sz w:val="18"/>
                <w:szCs w:val="18"/>
                <w:vertAlign w:val="superscript"/>
              </w:rPr>
              <w:t>(7)</w:t>
            </w:r>
          </w:p>
          <w:p w14:paraId="24AA24D6" w14:textId="77777777" w:rsidR="004412F1" w:rsidRDefault="005A12A3">
            <w:pPr>
              <w:jc w:val="center"/>
              <w:rPr>
                <w:i/>
                <w:iCs/>
                <w:sz w:val="18"/>
                <w:szCs w:val="18"/>
              </w:rPr>
            </w:pPr>
            <w:r>
              <w:rPr>
                <w:i/>
                <w:iCs/>
                <w:sz w:val="18"/>
                <w:szCs w:val="18"/>
              </w:rPr>
              <w:t>15</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53F1DF" w14:textId="77777777" w:rsidR="004412F1" w:rsidRDefault="005A12A3">
            <w:pPr>
              <w:jc w:val="center"/>
              <w:rPr>
                <w:i/>
                <w:iCs/>
                <w:sz w:val="18"/>
                <w:szCs w:val="18"/>
                <w:vertAlign w:val="superscript"/>
              </w:rPr>
            </w:pPr>
            <w:r>
              <w:rPr>
                <w:i/>
                <w:iCs/>
                <w:sz w:val="18"/>
                <w:szCs w:val="18"/>
                <w:vertAlign w:val="superscript"/>
              </w:rPr>
              <w:t>(8)</w:t>
            </w:r>
          </w:p>
          <w:p w14:paraId="6572C077" w14:textId="77777777" w:rsidR="004412F1" w:rsidRDefault="005A12A3">
            <w:pPr>
              <w:jc w:val="center"/>
              <w:rPr>
                <w:i/>
                <w:iCs/>
                <w:sz w:val="18"/>
                <w:szCs w:val="18"/>
              </w:rPr>
            </w:pPr>
            <w:r>
              <w:rPr>
                <w:i/>
                <w:iCs/>
                <w:sz w:val="18"/>
                <w:szCs w:val="18"/>
              </w:rPr>
              <w:t>15</w:t>
            </w:r>
          </w:p>
        </w:tc>
        <w:tc>
          <w:tcPr>
            <w:tcW w:w="8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4E87DE" w14:textId="77777777" w:rsidR="004412F1" w:rsidRDefault="005A12A3">
            <w:pPr>
              <w:jc w:val="center"/>
              <w:rPr>
                <w:i/>
                <w:iCs/>
                <w:sz w:val="18"/>
                <w:szCs w:val="18"/>
                <w:vertAlign w:val="superscript"/>
              </w:rPr>
            </w:pPr>
            <w:r>
              <w:rPr>
                <w:i/>
                <w:iCs/>
                <w:sz w:val="18"/>
                <w:szCs w:val="18"/>
                <w:vertAlign w:val="superscript"/>
              </w:rPr>
              <w:t>(9) (10)</w:t>
            </w:r>
          </w:p>
          <w:p w14:paraId="25BF4C68" w14:textId="77777777" w:rsidR="004412F1" w:rsidRDefault="005A12A3">
            <w:pPr>
              <w:jc w:val="center"/>
              <w:rPr>
                <w:i/>
                <w:iCs/>
                <w:sz w:val="18"/>
                <w:szCs w:val="18"/>
              </w:rPr>
            </w:pPr>
            <w:r>
              <w:rPr>
                <w:i/>
                <w:iCs/>
                <w:sz w:val="18"/>
                <w:szCs w:val="18"/>
              </w:rPr>
              <w:t>30</w:t>
            </w:r>
          </w:p>
        </w:tc>
      </w:tr>
    </w:tbl>
    <w:p w14:paraId="3C0009F0" w14:textId="77777777" w:rsidR="004412F1" w:rsidRDefault="004412F1">
      <w:pPr>
        <w:ind w:left="709"/>
        <w:jc w:val="both"/>
      </w:pPr>
    </w:p>
    <w:p w14:paraId="688A1B6B" w14:textId="77777777" w:rsidR="004412F1" w:rsidRDefault="005A12A3">
      <w:pPr>
        <w:ind w:left="709"/>
        <w:jc w:val="both"/>
      </w:pPr>
      <w:r>
        <w:t xml:space="preserve">El plazo máximo para la conformidad del EDI es de 1560 Días Calendario contados a partir de la Fecha de Suscripción del Contrato. </w:t>
      </w:r>
    </w:p>
    <w:p w14:paraId="154AD2E8" w14:textId="77777777" w:rsidR="004412F1" w:rsidRDefault="004412F1">
      <w:pPr>
        <w:ind w:left="709"/>
        <w:jc w:val="both"/>
      </w:pPr>
    </w:p>
    <w:p w14:paraId="7289CB7F" w14:textId="77777777" w:rsidR="004412F1" w:rsidRPr="00763640" w:rsidRDefault="005A12A3">
      <w:pPr>
        <w:ind w:left="709"/>
        <w:jc w:val="both"/>
      </w:pPr>
      <w:r>
        <w:t xml:space="preserve">De existir </w:t>
      </w:r>
      <w:r w:rsidRPr="00763640">
        <w:t xml:space="preserve">controversia sobre el pronunciamiento del CONCEDENTE, cualquiera de las Partes </w:t>
      </w:r>
      <w:r w:rsidRPr="00763640">
        <w:rPr>
          <w:color w:val="000000" w:themeColor="text1"/>
        </w:rPr>
        <w:t xml:space="preserve"> podrá ejercer su derecho de la aplicación del régimen de Solución de Controversias invocando lo dispuesto en el Capítulo XIX del Contrato</w:t>
      </w:r>
      <w:r w:rsidRPr="00763640">
        <w:t>, suspendiéndose el plazo máximo para la aprobación del EDI, según corresponda, hasta la emisión del pronunciamiento definitivo firme.</w:t>
      </w:r>
    </w:p>
    <w:p w14:paraId="2B50B056" w14:textId="77777777" w:rsidR="004412F1" w:rsidRPr="00763640" w:rsidRDefault="004412F1">
      <w:pPr>
        <w:ind w:left="709"/>
        <w:jc w:val="both"/>
      </w:pPr>
    </w:p>
    <w:p w14:paraId="5189ADFB" w14:textId="77777777" w:rsidR="004412F1" w:rsidRDefault="005A12A3">
      <w:pPr>
        <w:ind w:left="709"/>
        <w:jc w:val="both"/>
      </w:pPr>
      <w:r>
        <w:t>Los plazos son los máximos y están considerados en Días Calendario</w:t>
      </w:r>
    </w:p>
    <w:p w14:paraId="29E44EC0" w14:textId="5C14B743" w:rsidR="004412F1" w:rsidRDefault="005A12A3" w:rsidP="00C52C15">
      <w:pPr>
        <w:ind w:left="1276" w:hanging="567"/>
        <w:jc w:val="both"/>
      </w:pPr>
      <w:r>
        <w:t>(1)</w:t>
      </w:r>
      <w:r>
        <w:tab/>
        <w:t xml:space="preserve">A partir del día siguiente de la Fecha de Suscripción del Contrato. </w:t>
      </w:r>
    </w:p>
    <w:p w14:paraId="36ADEA0D" w14:textId="77777777" w:rsidR="004412F1" w:rsidRDefault="005A12A3">
      <w:pPr>
        <w:ind w:left="1276" w:hanging="567"/>
        <w:jc w:val="both"/>
      </w:pPr>
      <w:r>
        <w:t>(2)</w:t>
      </w:r>
      <w:r>
        <w:tab/>
        <w:t xml:space="preserve">A partir del día siguiente de la recepción oficial del EDI por parte del REGULADOR. </w:t>
      </w:r>
    </w:p>
    <w:p w14:paraId="48F8C771" w14:textId="77777777" w:rsidR="004412F1" w:rsidRDefault="005A12A3">
      <w:pPr>
        <w:ind w:left="1276" w:hanging="567"/>
        <w:jc w:val="both"/>
      </w:pPr>
      <w:r>
        <w:t xml:space="preserve">(3) </w:t>
      </w:r>
      <w:r>
        <w:tab/>
        <w:t xml:space="preserve">A partir del día siguiente de la recepción oficial del EDI por parte del CONCEDENTE. </w:t>
      </w:r>
    </w:p>
    <w:p w14:paraId="0B082846" w14:textId="77777777" w:rsidR="004412F1" w:rsidRDefault="005A12A3">
      <w:pPr>
        <w:ind w:left="1276" w:hanging="567"/>
        <w:jc w:val="both"/>
      </w:pPr>
      <w:r>
        <w:t>(4)</w:t>
      </w:r>
      <w:r>
        <w:tab/>
        <w:t>A partir del día siguiente de la recepción oficial del pliego de observaciones del CONCEDENTE y del REGULADOR (el plazo se computa desde la última recepción).</w:t>
      </w:r>
    </w:p>
    <w:p w14:paraId="52FDC053" w14:textId="77777777" w:rsidR="004412F1" w:rsidRDefault="005A12A3">
      <w:pPr>
        <w:ind w:left="1276" w:hanging="567"/>
        <w:jc w:val="both"/>
      </w:pPr>
      <w:r>
        <w:t>(5)</w:t>
      </w:r>
      <w:r>
        <w:tab/>
        <w:t>A partir del día siguiente de la recepción oficial del levantamiento de observaciones presentado por el CONCESIONARIO.</w:t>
      </w:r>
    </w:p>
    <w:p w14:paraId="6BC80126" w14:textId="77777777" w:rsidR="004412F1" w:rsidRDefault="005A12A3">
      <w:pPr>
        <w:ind w:left="1276" w:hanging="567"/>
        <w:jc w:val="both"/>
      </w:pPr>
      <w:r>
        <w:t>(6)</w:t>
      </w:r>
      <w:r>
        <w:tab/>
        <w:t>A partir del día siguiente de la recepción oficial del levantamiento de observaciones presentado por el CONCESIONARIO.</w:t>
      </w:r>
    </w:p>
    <w:p w14:paraId="72E0F634" w14:textId="77777777" w:rsidR="004412F1" w:rsidRDefault="005A12A3">
      <w:pPr>
        <w:ind w:left="1276" w:hanging="567"/>
        <w:jc w:val="both"/>
      </w:pPr>
      <w:r>
        <w:t>(7)</w:t>
      </w:r>
      <w:r>
        <w:tab/>
        <w:t>A partir del día siguiente de la recepción oficial del pliego de observaciones del CONCEDENTE y del REGULADOR (el plazo se computa desde la última recepción).</w:t>
      </w:r>
    </w:p>
    <w:p w14:paraId="3B521C35" w14:textId="77777777" w:rsidR="004412F1" w:rsidRDefault="005A12A3">
      <w:pPr>
        <w:ind w:left="1276" w:hanging="567"/>
        <w:jc w:val="both"/>
      </w:pPr>
      <w:r>
        <w:t>(8)</w:t>
      </w:r>
      <w:r>
        <w:tab/>
        <w:t>A partir del día siguiente de la recepción oficial del levantamiento de observaciones presentado por el CONCESIONARIO.</w:t>
      </w:r>
    </w:p>
    <w:p w14:paraId="5810E5B5" w14:textId="77777777" w:rsidR="004412F1" w:rsidRDefault="005A12A3">
      <w:pPr>
        <w:ind w:left="1276" w:hanging="567"/>
        <w:jc w:val="both"/>
      </w:pPr>
      <w:r>
        <w:t>(9)</w:t>
      </w:r>
      <w:r>
        <w:tab/>
        <w:t>A partir del día siguiente de la recepción oficial del levantamiento de observaciones presentado por el CONCESIONARIO.</w:t>
      </w:r>
    </w:p>
    <w:p w14:paraId="1B494366" w14:textId="77777777" w:rsidR="004412F1" w:rsidRDefault="005A12A3">
      <w:pPr>
        <w:ind w:left="1276" w:hanging="567"/>
        <w:jc w:val="both"/>
      </w:pPr>
      <w:r>
        <w:t>(10)</w:t>
      </w:r>
      <w:r>
        <w:tab/>
        <w:t xml:space="preserve">Con la opinión del REGULADOR y dentro del plazo indicado en (9), el CONCEDENTE emitirá su pronunciamiento dando conformidad o no al EDI. La aprobación que realiza el CONCEDENTE no exime al CONCESIONARIO de la responsabilidad que le asiste por su formulación </w:t>
      </w:r>
      <w:r>
        <w:lastRenderedPageBreak/>
        <w:t xml:space="preserve">ni traslada el riesgo de diseño que en todo momento deberá asumir el CONCESIONARIO. </w:t>
      </w:r>
    </w:p>
    <w:p w14:paraId="64AB5015" w14:textId="77777777" w:rsidR="004412F1" w:rsidRDefault="004412F1">
      <w:pPr>
        <w:ind w:left="709"/>
        <w:jc w:val="both"/>
      </w:pPr>
    </w:p>
    <w:p w14:paraId="1B2C2008" w14:textId="77777777" w:rsidR="004412F1" w:rsidRDefault="005A12A3">
      <w:pPr>
        <w:ind w:left="709"/>
        <w:jc w:val="both"/>
      </w:pPr>
      <w:r w:rsidRPr="00763640">
        <w:t>En caso el CONCEDENTE no se pronuncie en el plazo señalado, se entenderá por no conforme el Estudio Definitivo de Ingeniería. El CONCESIONARIO está obligado a levantar las observaciones al EDI, de lo contrario estará sujeto a la penalidad indicada en la Tabla Nº 3 del ANEXO IX.</w:t>
      </w:r>
    </w:p>
    <w:p w14:paraId="06D583B0" w14:textId="77777777" w:rsidR="004412F1" w:rsidRDefault="004412F1">
      <w:pPr>
        <w:ind w:left="709"/>
        <w:jc w:val="both"/>
      </w:pPr>
    </w:p>
    <w:p w14:paraId="4829B3EE" w14:textId="77777777" w:rsidR="004412F1" w:rsidRDefault="005A12A3">
      <w:pPr>
        <w:ind w:left="709"/>
        <w:jc w:val="both"/>
        <w:rPr>
          <w:rFonts w:eastAsia="Times New Roman"/>
          <w:bCs/>
          <w:szCs w:val="18"/>
          <w:lang w:val="es-ES" w:eastAsia="es-ES"/>
        </w:rPr>
      </w:pPr>
      <w:r>
        <w:t>Las observaciones que realicen el CONCEDENTE y REGULADOR no supondrán en ningún caso algún incremento de ninguno de los pagos a favor del CONCESIONARIO regulados en este Contrato.</w:t>
      </w:r>
      <w:r>
        <w:rPr>
          <w:lang w:val="es-PE"/>
        </w:rPr>
        <w:t xml:space="preserve"> </w:t>
      </w:r>
      <w:r>
        <w:t xml:space="preserve">El EDI deberá ser formulado teniendo como base el PIP aprobado y los Términos de Referencia indicados en el Anexo 9 de las Bases. </w:t>
      </w:r>
    </w:p>
    <w:p w14:paraId="02E885C2" w14:textId="77777777" w:rsidR="004412F1" w:rsidRDefault="004412F1">
      <w:pPr>
        <w:ind w:left="720"/>
        <w:jc w:val="both"/>
      </w:pPr>
    </w:p>
    <w:p w14:paraId="2D602437" w14:textId="77777777" w:rsidR="004412F1" w:rsidRDefault="005A12A3">
      <w:pPr>
        <w:numPr>
          <w:ilvl w:val="1"/>
          <w:numId w:val="88"/>
        </w:numPr>
        <w:jc w:val="both"/>
        <w:rPr>
          <w:color w:val="000000"/>
        </w:rPr>
      </w:pPr>
      <w:r>
        <w:rPr>
          <w:color w:val="000000"/>
        </w:rPr>
        <w:t>Para la construcción de las nuevas unidades de peaje, el CONCESIONARIO presentará un expediente técnico para cada una de ellas.  Los referidos expedientes técnicos serán aprobados por el CONCEDENTE previa opinión del REGULADOR</w:t>
      </w:r>
      <w:r>
        <w:rPr>
          <w:rFonts w:eastAsia="SimSun" w:hint="eastAsia"/>
          <w:color w:val="000000"/>
          <w:lang w:eastAsia="zh-CN"/>
        </w:rPr>
        <w:t>,</w:t>
      </w:r>
      <w:r>
        <w:rPr>
          <w:rFonts w:eastAsia="SimSun"/>
          <w:color w:val="000000"/>
          <w:lang w:val="es-ES" w:eastAsia="zh-CN"/>
        </w:rPr>
        <w:t xml:space="preserve"> conforme lo indicado en el Anexo </w:t>
      </w:r>
      <w:r>
        <w:rPr>
          <w:rFonts w:eastAsia="SimSun"/>
          <w:color w:val="000000"/>
          <w:highlight w:val="lightGray"/>
          <w:lang w:val="es-ES" w:eastAsia="zh-CN"/>
        </w:rPr>
        <w:t>...</w:t>
      </w:r>
      <w:r>
        <w:rPr>
          <w:rFonts w:eastAsia="SimSun"/>
          <w:color w:val="000000"/>
          <w:lang w:val="es-PE" w:eastAsia="zh-CN"/>
        </w:rPr>
        <w:t xml:space="preserve"> del presente Contrato</w:t>
      </w:r>
    </w:p>
    <w:p w14:paraId="5C5A296C" w14:textId="77777777" w:rsidR="004412F1" w:rsidRDefault="004412F1">
      <w:pPr>
        <w:jc w:val="both"/>
        <w:rPr>
          <w:color w:val="000000"/>
        </w:rPr>
      </w:pPr>
    </w:p>
    <w:p w14:paraId="09F4041B" w14:textId="77777777" w:rsidR="004412F1" w:rsidRDefault="005A12A3">
      <w:pPr>
        <w:numPr>
          <w:ilvl w:val="1"/>
          <w:numId w:val="88"/>
        </w:numPr>
        <w:suppressLineNumbers/>
        <w:suppressAutoHyphens/>
        <w:jc w:val="both"/>
        <w:rPr>
          <w:color w:val="000000"/>
        </w:rPr>
      </w:pPr>
      <w:bookmarkStart w:id="1283" w:name="_3xzr3ei"/>
      <w:bookmarkEnd w:id="1283"/>
      <w:r>
        <w:rPr>
          <w:color w:val="000000" w:themeColor="text1"/>
        </w:rPr>
        <w:t>Durante la formulación de los Estudios Definitivos de Ingeniería y Expediente Técnico</w:t>
      </w:r>
      <w:bookmarkStart w:id="1284" w:name="_Ref412625165"/>
      <w:r>
        <w:rPr>
          <w:color w:val="000000" w:themeColor="text1"/>
        </w:rPr>
        <w:t>, el CONCESIONARIO se encuentra obligado a proporcionar al REGULADOR y al CONCEDENTE, toda la información disponible que estos últimos soliciten y facilitarle el acceso a las actividades y estudios que el CONCESIONARIO realice para este fin. La información deberá ser presentada en un plazo que no será mayor de diez (10) Días Calendario, contados a partir de la fecha en que el REGULADOR o el CONCEDENTE haya formulado por escrito la solicitud correspondiente.</w:t>
      </w:r>
      <w:bookmarkEnd w:id="1284"/>
    </w:p>
    <w:p w14:paraId="714E3A8D" w14:textId="77777777" w:rsidR="004412F1" w:rsidRDefault="004412F1">
      <w:pPr>
        <w:ind w:left="709"/>
      </w:pPr>
    </w:p>
    <w:p w14:paraId="61291CA5" w14:textId="77777777" w:rsidR="004412F1" w:rsidRDefault="005A12A3">
      <w:pPr>
        <w:numPr>
          <w:ilvl w:val="1"/>
          <w:numId w:val="88"/>
        </w:numPr>
        <w:jc w:val="both"/>
        <w:rPr>
          <w:color w:val="000000"/>
        </w:rPr>
      </w:pPr>
      <w:r>
        <w:rPr>
          <w:color w:val="000000"/>
        </w:rPr>
        <w:t>Cabe señalar que la información presentada por el CONCESIONARIO no constituye una presentación parcial de los estudios solicitados.</w:t>
      </w:r>
    </w:p>
    <w:p w14:paraId="013CD5AA" w14:textId="77777777" w:rsidR="004412F1" w:rsidRDefault="004412F1">
      <w:pPr>
        <w:ind w:left="709"/>
        <w:jc w:val="both"/>
        <w:rPr>
          <w:b/>
          <w:sz w:val="16"/>
        </w:rPr>
      </w:pPr>
    </w:p>
    <w:p w14:paraId="15DD8791" w14:textId="77777777" w:rsidR="004412F1" w:rsidRDefault="005A12A3">
      <w:pPr>
        <w:numPr>
          <w:ilvl w:val="1"/>
          <w:numId w:val="88"/>
        </w:numPr>
        <w:suppressLineNumbers/>
        <w:suppressAutoHyphens/>
        <w:jc w:val="both"/>
        <w:rPr>
          <w:color w:val="000000"/>
        </w:rPr>
      </w:pPr>
      <w:r>
        <w:rPr>
          <w:color w:val="000000" w:themeColor="text1"/>
        </w:rPr>
        <w:t xml:space="preserve">Durante el cumplimiento de los Programas de Ejecución el  CONCESIONARIO podrá proponer modificaciones al Expediente Técnico para el Mantenimiento Periódico Inicial, al Estudio Definitivo de Ingeniería para la Rehabilitación y Mejoramiento, y al Estudio Definitivo de Ingeniería para la Construcción del evitamiento San Clemente, las cuales, de considerarse conforme, deberán ser aprobadas por el CONCEDENTE en un plazo de Diez (10) Días Calendario desde la recepción de la opinión previa del REGULADOR el cual deberá emitirla  en un plazo máximo de quince (15) Días Calendario, sin que ello signifique la reducción de los Niveles de Servicio establecidos en el presente Contrato ni la generación de mayor cofinanciamiento a cargo del CONCEDENTE. </w:t>
      </w:r>
    </w:p>
    <w:p w14:paraId="6EA690FA" w14:textId="77777777" w:rsidR="004412F1" w:rsidRDefault="004412F1">
      <w:pPr>
        <w:suppressLineNumbers/>
        <w:suppressAutoHyphens/>
        <w:jc w:val="both"/>
        <w:rPr>
          <w:color w:val="000000" w:themeColor="text1"/>
        </w:rPr>
      </w:pPr>
    </w:p>
    <w:p w14:paraId="0714C138" w14:textId="77777777" w:rsidR="004412F1" w:rsidRDefault="005A12A3">
      <w:pPr>
        <w:suppressLineNumbers/>
        <w:suppressAutoHyphens/>
        <w:ind w:leftChars="300" w:left="660"/>
        <w:jc w:val="both"/>
        <w:rPr>
          <w:color w:val="000000"/>
        </w:rPr>
      </w:pPr>
      <w:r>
        <w:rPr>
          <w:color w:val="000000" w:themeColor="text1"/>
        </w:rPr>
        <w:t>En caso se propongan modificaciones al Instrumento de Gestión Ambiental, estas deberán ser aprobadas por la Autoridad Ambiental Competente previo a su implementación.</w:t>
      </w:r>
    </w:p>
    <w:p w14:paraId="42453CE9" w14:textId="77777777" w:rsidR="004412F1" w:rsidRDefault="004412F1">
      <w:pPr>
        <w:ind w:left="709"/>
        <w:jc w:val="both"/>
        <w:rPr>
          <w:rFonts w:eastAsia="SimSun"/>
          <w:lang w:eastAsia="zh-CN"/>
        </w:rPr>
      </w:pPr>
    </w:p>
    <w:p w14:paraId="6D7416A8" w14:textId="77777777" w:rsidR="00763640" w:rsidRPr="00763640" w:rsidRDefault="00763640">
      <w:pPr>
        <w:ind w:left="709"/>
        <w:jc w:val="both"/>
        <w:rPr>
          <w:rFonts w:eastAsia="SimSun"/>
          <w:lang w:eastAsia="zh-CN"/>
        </w:rPr>
      </w:pPr>
    </w:p>
    <w:p w14:paraId="753E9FFE" w14:textId="77777777" w:rsidR="004412F1" w:rsidRDefault="005A12A3">
      <w:pPr>
        <w:pStyle w:val="Ttulo2"/>
        <w:ind w:left="0"/>
        <w:jc w:val="both"/>
        <w:rPr>
          <w:rFonts w:ascii="Arial" w:hAnsi="Arial"/>
          <w:b/>
          <w:u w:val="none"/>
        </w:rPr>
      </w:pPr>
      <w:bookmarkStart w:id="1285" w:name="_2d51dmb"/>
      <w:bookmarkStart w:id="1286" w:name="_Toc139294728"/>
      <w:bookmarkStart w:id="1287" w:name="_Toc468837631"/>
      <w:bookmarkStart w:id="1288" w:name="_Toc140089326"/>
      <w:bookmarkEnd w:id="1285"/>
      <w:r>
        <w:rPr>
          <w:rFonts w:ascii="Arial" w:hAnsi="Arial"/>
          <w:b/>
          <w:u w:val="none"/>
        </w:rPr>
        <w:t xml:space="preserve">LIBRO DE OBRA DE </w:t>
      </w:r>
      <w:r>
        <w:rPr>
          <w:rFonts w:ascii="Arial" w:eastAsia="Arial" w:hAnsi="Arial" w:cs="Arial"/>
          <w:b/>
          <w:bCs/>
          <w:u w:val="none"/>
        </w:rPr>
        <w:t>LAS INTERVENCIONES</w:t>
      </w:r>
      <w:r>
        <w:rPr>
          <w:rFonts w:ascii="Arial" w:hAnsi="Arial"/>
          <w:b/>
          <w:u w:val="none"/>
        </w:rPr>
        <w:t xml:space="preserve"> Y LIBRO DE SUGERENCIAS Y RECLAMOS</w:t>
      </w:r>
      <w:bookmarkEnd w:id="1286"/>
      <w:bookmarkEnd w:id="1287"/>
      <w:bookmarkEnd w:id="1288"/>
    </w:p>
    <w:p w14:paraId="7E8CBBF2" w14:textId="77777777" w:rsidR="004412F1" w:rsidRDefault="004412F1">
      <w:pPr>
        <w:jc w:val="both"/>
      </w:pPr>
    </w:p>
    <w:p w14:paraId="781329AC" w14:textId="77777777" w:rsidR="004412F1" w:rsidRDefault="005A12A3">
      <w:pPr>
        <w:numPr>
          <w:ilvl w:val="1"/>
          <w:numId w:val="88"/>
        </w:numPr>
        <w:suppressLineNumbers/>
        <w:suppressAutoHyphens/>
        <w:jc w:val="both"/>
        <w:rPr>
          <w:color w:val="000000" w:themeColor="text1"/>
          <w:lang w:val="es-GT"/>
        </w:rPr>
      </w:pPr>
      <w:bookmarkStart w:id="1289" w:name="_sabnu4"/>
      <w:bookmarkStart w:id="1290" w:name="_Ref273550373"/>
      <w:bookmarkEnd w:id="1289"/>
      <w:r>
        <w:rPr>
          <w:color w:val="000000" w:themeColor="text1"/>
          <w:lang w:val="es-GT"/>
        </w:rPr>
        <w:t xml:space="preserve">A partir del inicio </w:t>
      </w:r>
      <w:r>
        <w:rPr>
          <w:color w:val="000000" w:themeColor="text1"/>
        </w:rPr>
        <w:t xml:space="preserve">de cada una de las Intervenciones, </w:t>
      </w:r>
      <w:r>
        <w:rPr>
          <w:color w:val="000000" w:themeColor="text1"/>
          <w:lang w:val="es-GT"/>
        </w:rPr>
        <w:t xml:space="preserve">el CONCESIONARIO se obliga a abrir y mantener un Libro de Obra </w:t>
      </w:r>
      <w:r>
        <w:rPr>
          <w:color w:val="000000" w:themeColor="text1"/>
        </w:rPr>
        <w:t>para cada una de las Intervenciones.</w:t>
      </w:r>
      <w:r>
        <w:rPr>
          <w:color w:val="000000" w:themeColor="text1"/>
          <w:lang w:val="es-GT"/>
        </w:rPr>
        <w:t xml:space="preserve"> </w:t>
      </w:r>
    </w:p>
    <w:p w14:paraId="1232A7F2" w14:textId="77777777" w:rsidR="004412F1" w:rsidRDefault="004412F1">
      <w:pPr>
        <w:suppressLineNumbers/>
        <w:suppressAutoHyphens/>
        <w:jc w:val="both"/>
        <w:rPr>
          <w:color w:val="000000" w:themeColor="text1"/>
          <w:lang w:val="es-GT"/>
        </w:rPr>
      </w:pPr>
    </w:p>
    <w:p w14:paraId="3C619727" w14:textId="77777777" w:rsidR="004412F1" w:rsidRDefault="005A12A3">
      <w:pPr>
        <w:suppressLineNumbers/>
        <w:suppressAutoHyphens/>
        <w:ind w:leftChars="300" w:left="660"/>
        <w:jc w:val="both"/>
        <w:rPr>
          <w:color w:val="000000" w:themeColor="text1"/>
          <w:lang w:val="es-GT"/>
        </w:rPr>
      </w:pPr>
      <w:r>
        <w:rPr>
          <w:color w:val="000000" w:themeColor="text1"/>
          <w:lang w:val="es-GT"/>
        </w:rPr>
        <w:t xml:space="preserve">En </w:t>
      </w:r>
      <w:r>
        <w:rPr>
          <w:color w:val="000000" w:themeColor="text1"/>
        </w:rPr>
        <w:t>dichos Libros</w:t>
      </w:r>
      <w:r>
        <w:rPr>
          <w:color w:val="000000" w:themeColor="text1"/>
          <w:lang w:val="es-GT"/>
        </w:rPr>
        <w:t xml:space="preserve"> de Obra</w:t>
      </w:r>
      <w:r>
        <w:rPr>
          <w:color w:val="000000" w:themeColor="text1"/>
          <w:lang w:val="es-PE"/>
        </w:rPr>
        <w:t>,</w:t>
      </w:r>
      <w:r>
        <w:rPr>
          <w:color w:val="000000" w:themeColor="text1"/>
          <w:lang w:val="es-GT"/>
        </w:rPr>
        <w:t xml:space="preserve"> se anotarán los hechos más importantes durante la ejecución de los mismos, incluyendo entre otros: relación de fuentes de </w:t>
      </w:r>
      <w:r>
        <w:rPr>
          <w:color w:val="000000" w:themeColor="text1"/>
          <w:lang w:val="es-GT"/>
        </w:rPr>
        <w:lastRenderedPageBreak/>
        <w:t xml:space="preserve">materiales que se estén empleando; relación de proveedores y subcontratistas; copia de resultados de ensayo o de pruebas de puesta en funcionamiento; copia de comunicaciones entre el CONCESIONARIO y el REGULADOR; copia de los Informes de Avance; relación de los eventos que han afectado el cumplimiento del calendario de avance; consultas y respuestas </w:t>
      </w:r>
      <w:r>
        <w:rPr>
          <w:color w:val="000000" w:themeColor="text1"/>
        </w:rPr>
        <w:t xml:space="preserve">cursadas </w:t>
      </w:r>
      <w:r>
        <w:rPr>
          <w:color w:val="000000" w:themeColor="text1"/>
          <w:lang w:val="es-GT"/>
        </w:rPr>
        <w:t>entre</w:t>
      </w:r>
      <w:r>
        <w:rPr>
          <w:color w:val="000000" w:themeColor="text1"/>
        </w:rPr>
        <w:t xml:space="preserve"> EL CONCESIONARIO y</w:t>
      </w:r>
      <w:r>
        <w:rPr>
          <w:color w:val="000000" w:themeColor="text1"/>
          <w:lang w:val="es-GT"/>
        </w:rPr>
        <w:t xml:space="preserve"> el REGULADOR o supervisor designado por éste, referido a todo evento trascendente que </w:t>
      </w:r>
      <w:r>
        <w:rPr>
          <w:color w:val="000000" w:themeColor="text1"/>
          <w:lang w:val="es-PE"/>
        </w:rPr>
        <w:t xml:space="preserve">tenga relación con el proceso de ejecución de </w:t>
      </w:r>
      <w:r>
        <w:rPr>
          <w:color w:val="000000" w:themeColor="text1"/>
        </w:rPr>
        <w:t>las Intervenciones</w:t>
      </w:r>
      <w:r>
        <w:rPr>
          <w:color w:val="000000" w:themeColor="text1"/>
          <w:lang w:val="es-GT"/>
        </w:rPr>
        <w:t xml:space="preserve"> y cualquier otra información útil para documentar </w:t>
      </w:r>
      <w:r>
        <w:rPr>
          <w:color w:val="000000" w:themeColor="text1"/>
        </w:rPr>
        <w:t>dicho</w:t>
      </w:r>
      <w:r>
        <w:rPr>
          <w:color w:val="000000" w:themeColor="text1"/>
          <w:lang w:val="es-GT"/>
        </w:rPr>
        <w:t xml:space="preserve"> proceso</w:t>
      </w:r>
      <w:r>
        <w:rPr>
          <w:color w:val="000000" w:themeColor="text1"/>
        </w:rPr>
        <w:t xml:space="preserve">. </w:t>
      </w:r>
      <w:r>
        <w:rPr>
          <w:color w:val="000000" w:themeColor="text1"/>
          <w:lang w:val="es-GT"/>
        </w:rPr>
        <w:t xml:space="preserve"> Se anotarán, por último, las condiciones en que se pone en servicio la carretera.</w:t>
      </w:r>
      <w:bookmarkEnd w:id="1290"/>
    </w:p>
    <w:p w14:paraId="06F07B67" w14:textId="77777777" w:rsidR="004412F1" w:rsidRDefault="004412F1">
      <w:pPr>
        <w:jc w:val="both"/>
      </w:pPr>
    </w:p>
    <w:p w14:paraId="52BAD5CA" w14:textId="77777777" w:rsidR="004412F1" w:rsidRDefault="005A12A3">
      <w:pPr>
        <w:suppressLineNumbers/>
        <w:suppressAutoHyphens/>
        <w:ind w:left="709"/>
        <w:jc w:val="both"/>
        <w:rPr>
          <w:color w:val="000000"/>
          <w:lang w:val="es-GT"/>
        </w:rPr>
      </w:pPr>
      <w:bookmarkStart w:id="1291" w:name="_3c9z6hx" w:colFirst="0" w:colLast="0"/>
      <w:bookmarkStart w:id="1292" w:name="_Ref272156389"/>
      <w:bookmarkEnd w:id="1291"/>
      <w:r>
        <w:rPr>
          <w:color w:val="000000"/>
          <w:lang w:val="es-PE"/>
        </w:rPr>
        <w:t xml:space="preserve">El </w:t>
      </w:r>
      <w:r>
        <w:rPr>
          <w:color w:val="000000"/>
          <w:lang w:val="es-GT"/>
        </w:rPr>
        <w:t xml:space="preserve">Libro de Obra de </w:t>
      </w:r>
      <w:r>
        <w:rPr>
          <w:color w:val="000000"/>
        </w:rPr>
        <w:t>cada una de las Intervenciones</w:t>
      </w:r>
      <w:r>
        <w:rPr>
          <w:color w:val="000000"/>
          <w:lang w:val="es-GT"/>
        </w:rPr>
        <w:t xml:space="preserve"> deberá llevarse en original, el mismo que deberá estar debidamente legalizado notarialmente, con las páginas numeradas correlativamente, pudiendo adoptarse el sistema mecanizado de hojas sueltas.</w:t>
      </w:r>
      <w:bookmarkEnd w:id="1292"/>
    </w:p>
    <w:p w14:paraId="64A88923" w14:textId="77777777" w:rsidR="004412F1" w:rsidRDefault="004412F1">
      <w:pPr>
        <w:suppressLineNumbers/>
        <w:suppressAutoHyphens/>
        <w:jc w:val="both"/>
        <w:rPr>
          <w:color w:val="000000"/>
          <w:sz w:val="16"/>
          <w:lang w:val="es-GT"/>
        </w:rPr>
      </w:pPr>
    </w:p>
    <w:p w14:paraId="30A1ECFE" w14:textId="77777777" w:rsidR="004412F1" w:rsidRPr="00763640" w:rsidRDefault="005A12A3">
      <w:pPr>
        <w:suppressLineNumbers/>
        <w:suppressAutoHyphens/>
        <w:ind w:left="709"/>
        <w:jc w:val="both"/>
        <w:rPr>
          <w:color w:val="000000"/>
          <w:sz w:val="16"/>
          <w:lang w:val="es-GT"/>
        </w:rPr>
      </w:pPr>
      <w:r>
        <w:rPr>
          <w:color w:val="000000"/>
        </w:rPr>
        <w:t xml:space="preserve">No </w:t>
      </w:r>
      <w:r w:rsidRPr="00763640">
        <w:rPr>
          <w:color w:val="000000"/>
        </w:rPr>
        <w:t>mantener un Libro de Obra o n</w:t>
      </w:r>
      <w:r w:rsidRPr="00763640">
        <w:rPr>
          <w:color w:val="000000"/>
          <w:lang w:val="es-ES"/>
        </w:rPr>
        <w:t>o permitir tanto al CONCEDENTE como al REGULADOR el libre acceso al Libro de Obra durante la ejecución</w:t>
      </w:r>
      <w:r w:rsidRPr="00763640">
        <w:rPr>
          <w:color w:val="000000"/>
          <w:lang w:val="es-PE"/>
        </w:rPr>
        <w:t xml:space="preserve"> </w:t>
      </w:r>
      <w:r w:rsidRPr="00763640">
        <w:rPr>
          <w:color w:val="000000"/>
        </w:rPr>
        <w:t>de las Intervenciones</w:t>
      </w:r>
      <w:r w:rsidRPr="00763640">
        <w:rPr>
          <w:color w:val="000000"/>
          <w:lang w:val="es-PE"/>
        </w:rPr>
        <w:t xml:space="preserve"> será penalizado de acuerdo a la Tabla N° 3</w:t>
      </w:r>
      <w:r w:rsidRPr="00763640">
        <w:rPr>
          <w:color w:val="000000"/>
        </w:rPr>
        <w:t xml:space="preserve"> </w:t>
      </w:r>
      <w:r w:rsidRPr="00763640">
        <w:rPr>
          <w:color w:val="000000"/>
          <w:lang w:val="es-PE"/>
        </w:rPr>
        <w:t xml:space="preserve"> del ANEXO IX.</w:t>
      </w:r>
    </w:p>
    <w:p w14:paraId="4F0D879E" w14:textId="77777777" w:rsidR="004412F1" w:rsidRPr="00763640" w:rsidRDefault="004412F1">
      <w:pPr>
        <w:suppressLineNumbers/>
        <w:suppressAutoHyphens/>
        <w:jc w:val="both"/>
        <w:rPr>
          <w:color w:val="000000"/>
          <w:sz w:val="16"/>
          <w:lang w:val="es-GT"/>
        </w:rPr>
      </w:pPr>
    </w:p>
    <w:p w14:paraId="55188CD7" w14:textId="77777777" w:rsidR="004412F1" w:rsidRPr="00763640" w:rsidRDefault="005A12A3">
      <w:pPr>
        <w:numPr>
          <w:ilvl w:val="1"/>
          <w:numId w:val="88"/>
        </w:numPr>
        <w:suppressLineNumbers/>
        <w:suppressAutoHyphens/>
        <w:jc w:val="both"/>
        <w:rPr>
          <w:color w:val="000000"/>
          <w:lang w:val="es-GT"/>
        </w:rPr>
      </w:pPr>
      <w:bookmarkStart w:id="1293" w:name="_1rf9gpq"/>
      <w:bookmarkStart w:id="1294" w:name="_Ref412646753"/>
      <w:bookmarkEnd w:id="1293"/>
      <w:r w:rsidRPr="00763640">
        <w:rPr>
          <w:color w:val="000000" w:themeColor="text1"/>
          <w:lang w:val="es-GT"/>
        </w:rPr>
        <w:t>Del mismo modo, el CONCESIONARIO se obliga a abrir durante el plazo de Explotación de la Concesión, un Libro de Sugerencias y Reclamos y todos los demás mecanismos establecidos sobre la materia en el Reglamento de Atención de Reclamos y Solución de Controversias del REGULADOR.</w:t>
      </w:r>
      <w:bookmarkEnd w:id="1294"/>
    </w:p>
    <w:p w14:paraId="29E00925" w14:textId="77777777" w:rsidR="004412F1" w:rsidRPr="00763640" w:rsidRDefault="004412F1">
      <w:pPr>
        <w:suppressLineNumbers/>
        <w:suppressAutoHyphens/>
        <w:jc w:val="both"/>
        <w:rPr>
          <w:color w:val="000000"/>
          <w:lang w:val="es-GT"/>
        </w:rPr>
      </w:pPr>
    </w:p>
    <w:p w14:paraId="12CB9FA5" w14:textId="77777777" w:rsidR="004412F1" w:rsidRDefault="005A12A3">
      <w:pPr>
        <w:ind w:left="705"/>
        <w:jc w:val="both"/>
        <w:rPr>
          <w:rFonts w:eastAsia="Times New Roman"/>
          <w:bCs/>
          <w:szCs w:val="18"/>
          <w:lang w:val="es-ES" w:eastAsia="es-ES"/>
        </w:rPr>
      </w:pPr>
      <w:r w:rsidRPr="00763640">
        <w:t>No mantener un Libro de Sugerencias y Reclamos durante todo el plazo de la Explotación, será penalizado de acuerdo con la Tabla N° 3 del ANEXO IX.</w:t>
      </w:r>
    </w:p>
    <w:p w14:paraId="28B83032" w14:textId="77777777" w:rsidR="004412F1" w:rsidRDefault="004412F1">
      <w:pPr>
        <w:ind w:left="705"/>
        <w:jc w:val="both"/>
      </w:pPr>
    </w:p>
    <w:p w14:paraId="3D1DAAEE" w14:textId="77777777" w:rsidR="004412F1" w:rsidRDefault="005A12A3">
      <w:pPr>
        <w:pStyle w:val="Ttulo2"/>
        <w:ind w:left="0"/>
        <w:jc w:val="both"/>
        <w:rPr>
          <w:rFonts w:ascii="Arial" w:hAnsi="Arial"/>
          <w:b/>
          <w:u w:val="none"/>
        </w:rPr>
      </w:pPr>
      <w:bookmarkStart w:id="1295" w:name="_PROGRAMA_DE_EJECUCIÓN"/>
      <w:bookmarkStart w:id="1296" w:name="_4bewzdj"/>
      <w:bookmarkStart w:id="1297" w:name="_Toc131329113"/>
      <w:bookmarkStart w:id="1298" w:name="_Toc94329032"/>
      <w:bookmarkStart w:id="1299" w:name="_Toc94328776"/>
      <w:bookmarkStart w:id="1300" w:name="_Toc131329932"/>
      <w:bookmarkStart w:id="1301" w:name="_Toc131332019"/>
      <w:bookmarkStart w:id="1302" w:name="_Toc131329345"/>
      <w:bookmarkStart w:id="1303" w:name="_Toc94328516"/>
      <w:bookmarkStart w:id="1304" w:name="_Toc134448814"/>
      <w:bookmarkStart w:id="1305" w:name="_Toc94329524"/>
      <w:bookmarkStart w:id="1306" w:name="_Toc131332940"/>
      <w:bookmarkStart w:id="1307" w:name="_Toc94329278"/>
      <w:bookmarkStart w:id="1308" w:name="_Toc131328777"/>
      <w:bookmarkStart w:id="1309" w:name="_Toc468837632"/>
      <w:bookmarkStart w:id="1310" w:name="_Toc102405300"/>
      <w:bookmarkStart w:id="1311" w:name="_Toc131327961"/>
      <w:bookmarkStart w:id="1312" w:name="_Toc94330156"/>
      <w:bookmarkStart w:id="1313" w:name="_Toc94337612"/>
      <w:bookmarkStart w:id="1314" w:name="_Toc94337843"/>
      <w:bookmarkStart w:id="1315" w:name="_Toc139294729"/>
      <w:bookmarkStart w:id="1316" w:name="_Toc140089327"/>
      <w:bookmarkEnd w:id="1295"/>
      <w:bookmarkEnd w:id="1296"/>
      <w:r>
        <w:rPr>
          <w:rFonts w:ascii="Arial" w:hAnsi="Arial"/>
          <w:b/>
          <w:u w:val="none"/>
        </w:rPr>
        <w:t>PROGRAMACIÓN DE</w:t>
      </w:r>
      <w:r>
        <w:rPr>
          <w:rFonts w:ascii="Arial" w:hAnsi="Arial"/>
          <w:b/>
          <w:u w:val="none"/>
          <w:lang w:val="es-ES"/>
        </w:rPr>
        <w:t xml:space="preserve"> </w:t>
      </w:r>
      <w:r>
        <w:rPr>
          <w:rFonts w:ascii="Arial" w:hAnsi="Arial"/>
          <w:b/>
          <w:u w:val="none"/>
        </w:rPr>
        <w:t xml:space="preserve">LA EJECUCIÓN DE </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rPr>
          <w:rFonts w:ascii="Arial" w:eastAsia="Arial" w:hAnsi="Arial" w:cs="Arial"/>
          <w:b/>
          <w:bCs/>
          <w:u w:val="none"/>
        </w:rPr>
        <w:t>LAS INTERVENCIONES</w:t>
      </w:r>
      <w:bookmarkEnd w:id="1315"/>
      <w:bookmarkEnd w:id="1316"/>
    </w:p>
    <w:p w14:paraId="36335237" w14:textId="77777777" w:rsidR="004412F1" w:rsidRDefault="004412F1">
      <w:pPr>
        <w:jc w:val="both"/>
      </w:pPr>
    </w:p>
    <w:p w14:paraId="69E5D514" w14:textId="77777777" w:rsidR="004412F1" w:rsidRDefault="005A12A3">
      <w:pPr>
        <w:numPr>
          <w:ilvl w:val="1"/>
          <w:numId w:val="88"/>
        </w:numPr>
        <w:suppressLineNumbers/>
        <w:suppressAutoHyphens/>
        <w:jc w:val="both"/>
        <w:rPr>
          <w:color w:val="000000"/>
          <w:lang w:val="es-ES"/>
        </w:rPr>
      </w:pPr>
      <w:bookmarkStart w:id="1317" w:name="_2qk79lc"/>
      <w:bookmarkStart w:id="1318" w:name="_Ref271728216"/>
      <w:bookmarkEnd w:id="1317"/>
      <w:r>
        <w:rPr>
          <w:color w:val="000000" w:themeColor="text1"/>
          <w:lang w:val="es-ES"/>
        </w:rPr>
        <w:t xml:space="preserve">El planeamiento de la ejecución de </w:t>
      </w:r>
      <w:r>
        <w:rPr>
          <w:color w:val="000000" w:themeColor="text1"/>
        </w:rPr>
        <w:t>las Intervenciones</w:t>
      </w:r>
      <w:r>
        <w:rPr>
          <w:color w:val="000000" w:themeColor="text1"/>
          <w:lang w:val="es-ES"/>
        </w:rPr>
        <w:t xml:space="preserve"> corresponde al CONCESIONARIO, el mismo que se reflejará en el respectivo Programa de Ejecución.</w:t>
      </w:r>
      <w:bookmarkEnd w:id="1318"/>
    </w:p>
    <w:p w14:paraId="312C5CF3" w14:textId="77777777" w:rsidR="004412F1" w:rsidRDefault="004412F1">
      <w:pPr>
        <w:suppressLineNumbers/>
        <w:suppressAutoHyphens/>
        <w:jc w:val="both"/>
        <w:rPr>
          <w:color w:val="000000"/>
          <w:lang w:val="es-ES"/>
        </w:rPr>
      </w:pPr>
    </w:p>
    <w:p w14:paraId="0DF69359" w14:textId="77777777" w:rsidR="004412F1" w:rsidRDefault="005A12A3">
      <w:pPr>
        <w:ind w:left="709"/>
        <w:jc w:val="both"/>
        <w:rPr>
          <w:color w:val="000000"/>
          <w:lang w:val="es-ES"/>
        </w:rPr>
      </w:pPr>
      <w:r>
        <w:rPr>
          <w:color w:val="000000" w:themeColor="text1"/>
          <w:lang w:val="es-ES"/>
        </w:rPr>
        <w:t xml:space="preserve">Con una anticipación de treinta (30) Días Calendario al inicio de </w:t>
      </w:r>
      <w:r>
        <w:rPr>
          <w:color w:val="000000" w:themeColor="text1"/>
        </w:rPr>
        <w:t>las Intervenciones</w:t>
      </w:r>
      <w:r>
        <w:rPr>
          <w:color w:val="000000" w:themeColor="text1"/>
          <w:lang w:val="es-ES"/>
        </w:rPr>
        <w:t xml:space="preserve"> el CONCESIONARIO deberá presentar al REGULADOR, en medios magnéticos y físicos el Programa de Ejecución respectivo que incluya </w:t>
      </w:r>
      <w:r>
        <w:rPr>
          <w:color w:val="000000" w:themeColor="text1"/>
          <w:lang w:val="es-MX"/>
        </w:rPr>
        <w:t xml:space="preserve">todas las sub partidas y cantidades necesarias para la ejecución de </w:t>
      </w:r>
      <w:r>
        <w:rPr>
          <w:color w:val="000000" w:themeColor="text1"/>
        </w:rPr>
        <w:t>cada una de las Intervenciones</w:t>
      </w:r>
      <w:r>
        <w:rPr>
          <w:color w:val="000000" w:themeColor="text1"/>
          <w:lang w:val="es-ES"/>
        </w:rPr>
        <w:t xml:space="preserve">, </w:t>
      </w:r>
      <w:r>
        <w:rPr>
          <w:color w:val="000000" w:themeColor="text1"/>
          <w:lang w:val="es-MX"/>
        </w:rPr>
        <w:t xml:space="preserve">contenidas en </w:t>
      </w:r>
      <w:r>
        <w:rPr>
          <w:color w:val="000000" w:themeColor="text1"/>
        </w:rPr>
        <w:t>los Estudios Definitivos</w:t>
      </w:r>
      <w:r>
        <w:rPr>
          <w:color w:val="000000" w:themeColor="text1"/>
          <w:lang w:val="es-MX"/>
        </w:rPr>
        <w:t xml:space="preserve"> de Ingeniería</w:t>
      </w:r>
      <w:r>
        <w:rPr>
          <w:color w:val="000000" w:themeColor="text1"/>
          <w:lang w:val="es-ES"/>
        </w:rPr>
        <w:t xml:space="preserve"> o </w:t>
      </w:r>
      <w:r>
        <w:rPr>
          <w:color w:val="000000" w:themeColor="text1"/>
        </w:rPr>
        <w:t>en el Expediente Técnico</w:t>
      </w:r>
      <w:r>
        <w:rPr>
          <w:color w:val="000000" w:themeColor="text1"/>
          <w:lang w:val="es-ES"/>
        </w:rPr>
        <w:t xml:space="preserve">, según corresponda, el mismo que deberá emitir su conformidad en un plazo máximo de diez (10) Días Calendario para el programa de la Rehabilitación y Mejoramiento y </w:t>
      </w:r>
      <w:r>
        <w:rPr>
          <w:color w:val="000000" w:themeColor="text1"/>
        </w:rPr>
        <w:t xml:space="preserve">Construcción del Evitamiento San Clemente, y </w:t>
      </w:r>
      <w:r>
        <w:rPr>
          <w:color w:val="000000" w:themeColor="text1"/>
          <w:lang w:val="es-ES"/>
        </w:rPr>
        <w:t>de quince (15) Días Calendario para el programa del Mantenimiento Periódico Inicial; luego de la opinión previa del REGULADOR, el CONCEDENTE  deberá emitir su conformidad en un plazo de diez (10) y de quince (15) Días Calendario, respectivamente.</w:t>
      </w:r>
    </w:p>
    <w:p w14:paraId="477F723B" w14:textId="77777777" w:rsidR="004412F1" w:rsidRDefault="004412F1">
      <w:pPr>
        <w:ind w:left="709"/>
        <w:jc w:val="both"/>
        <w:rPr>
          <w:color w:val="000000"/>
          <w:lang w:val="es-ES"/>
        </w:rPr>
      </w:pPr>
    </w:p>
    <w:p w14:paraId="7F4E2469" w14:textId="77777777" w:rsidR="004412F1" w:rsidRPr="00763640" w:rsidRDefault="005A12A3">
      <w:pPr>
        <w:ind w:left="705"/>
        <w:jc w:val="both"/>
        <w:rPr>
          <w:color w:val="000000"/>
          <w:lang w:val="es-PE"/>
        </w:rPr>
      </w:pPr>
      <w:r w:rsidRPr="00763640">
        <w:rPr>
          <w:color w:val="000000"/>
          <w:lang w:val="es-ES"/>
        </w:rPr>
        <w:t xml:space="preserve">El Programa de Ejecución, en cada caso, deberá respetar los plazos máximos establecidos en la Cláusula </w:t>
      </w:r>
      <w:r w:rsidRPr="00763640">
        <w:rPr>
          <w:color w:val="000000"/>
        </w:rPr>
        <w:t>6.1.  El atraso en la presentación del Programa de Ejecución al REGULADOR será penalizado de acuerdo con la Tabla N° 3 del ANEXO IX.</w:t>
      </w:r>
      <w:r w:rsidRPr="00763640">
        <w:rPr>
          <w:color w:val="000000"/>
          <w:lang w:val="es-PE"/>
        </w:rPr>
        <w:t xml:space="preserve"> </w:t>
      </w:r>
    </w:p>
    <w:p w14:paraId="73D7CE52" w14:textId="77777777" w:rsidR="004412F1" w:rsidRPr="00763640" w:rsidRDefault="004412F1">
      <w:pPr>
        <w:ind w:left="705"/>
        <w:jc w:val="both"/>
        <w:rPr>
          <w:color w:val="000000"/>
          <w:lang w:val="es-ES"/>
        </w:rPr>
      </w:pPr>
    </w:p>
    <w:p w14:paraId="39131B7F" w14:textId="77777777" w:rsidR="004412F1" w:rsidRPr="00763640" w:rsidRDefault="005A12A3">
      <w:pPr>
        <w:ind w:left="709"/>
        <w:jc w:val="both"/>
        <w:rPr>
          <w:color w:val="000000"/>
          <w:lang w:val="es-ES"/>
        </w:rPr>
      </w:pPr>
      <w:r w:rsidRPr="00763640">
        <w:rPr>
          <w:color w:val="000000"/>
          <w:lang w:val="es-ES"/>
        </w:rPr>
        <w:t>El REGULADOR deberá verificar el cumplimiento del Programa de Ejecución.</w:t>
      </w:r>
    </w:p>
    <w:p w14:paraId="2D12ACC8" w14:textId="77777777" w:rsidR="004412F1" w:rsidRPr="00763640" w:rsidRDefault="004412F1">
      <w:pPr>
        <w:ind w:left="709"/>
        <w:jc w:val="both"/>
        <w:rPr>
          <w:color w:val="000000"/>
          <w:lang w:val="es-ES"/>
        </w:rPr>
      </w:pPr>
    </w:p>
    <w:p w14:paraId="407B3FBC" w14:textId="77777777" w:rsidR="004412F1" w:rsidRDefault="005A12A3">
      <w:pPr>
        <w:ind w:left="705"/>
        <w:jc w:val="both"/>
        <w:rPr>
          <w:color w:val="000000"/>
        </w:rPr>
      </w:pPr>
      <w:r w:rsidRPr="00763640">
        <w:rPr>
          <w:color w:val="000000" w:themeColor="text1"/>
          <w:lang w:val="es-ES"/>
        </w:rPr>
        <w:lastRenderedPageBreak/>
        <w:t xml:space="preserve">En caso de demora en </w:t>
      </w:r>
      <w:r w:rsidRPr="00763640">
        <w:rPr>
          <w:color w:val="000000" w:themeColor="text1"/>
        </w:rPr>
        <w:t xml:space="preserve">el inicio de las Intervenciones, según sea el caso, o en la terminación de la ejecución de </w:t>
      </w:r>
      <w:proofErr w:type="gramStart"/>
      <w:r w:rsidRPr="00763640">
        <w:rPr>
          <w:color w:val="000000" w:themeColor="text1"/>
        </w:rPr>
        <w:t>los mismos</w:t>
      </w:r>
      <w:proofErr w:type="gramEnd"/>
      <w:r w:rsidRPr="00763640">
        <w:rPr>
          <w:color w:val="000000" w:themeColor="text1"/>
          <w:lang w:val="es-ES"/>
        </w:rPr>
        <w:t xml:space="preserve"> por causas imputables al CONCESIONARIO, </w:t>
      </w:r>
      <w:r w:rsidRPr="00763640">
        <w:rPr>
          <w:color w:val="000000" w:themeColor="text1"/>
        </w:rPr>
        <w:t>se aplicará la penalidad establecida en la Tabla N° 3</w:t>
      </w:r>
      <w:r w:rsidRPr="00763640">
        <w:rPr>
          <w:color w:val="000000" w:themeColor="text1"/>
          <w:lang w:val="es-ES"/>
        </w:rPr>
        <w:t xml:space="preserve"> </w:t>
      </w:r>
      <w:r w:rsidRPr="00763640">
        <w:rPr>
          <w:color w:val="000000" w:themeColor="text1"/>
        </w:rPr>
        <w:t>del ANEXO IX, hasta un máximo equivalente al cinco por ciento (5%) de los presupuestos contenidos en el Estudio Definitivo de Ingeniería e Instrumento de Gestión Ambiental o en el Expediente Técnico, según sea el caso. En caso se supere el porcentaje indicado, será causal de Caducidad.</w:t>
      </w:r>
    </w:p>
    <w:p w14:paraId="5348E949" w14:textId="77777777" w:rsidR="004412F1" w:rsidRDefault="004412F1">
      <w:pPr>
        <w:ind w:left="705"/>
        <w:jc w:val="both"/>
        <w:rPr>
          <w:color w:val="000000"/>
        </w:rPr>
      </w:pPr>
    </w:p>
    <w:p w14:paraId="2F2A7521" w14:textId="77777777" w:rsidR="004412F1" w:rsidRDefault="005A12A3">
      <w:pPr>
        <w:ind w:left="705"/>
        <w:jc w:val="both"/>
        <w:rPr>
          <w:color w:val="000000"/>
        </w:rPr>
      </w:pPr>
      <w:r>
        <w:rPr>
          <w:color w:val="000000"/>
        </w:rPr>
        <w:t>El REGULADOR en base al Programa de Ejecución efectuará el Control de Avance.</w:t>
      </w:r>
    </w:p>
    <w:p w14:paraId="0ADC4424" w14:textId="77777777" w:rsidR="004412F1" w:rsidRDefault="004412F1">
      <w:pPr>
        <w:ind w:left="705"/>
        <w:jc w:val="both"/>
        <w:rPr>
          <w:color w:val="000000"/>
        </w:rPr>
      </w:pPr>
    </w:p>
    <w:p w14:paraId="3F2EC1B1" w14:textId="77777777" w:rsidR="004412F1" w:rsidRDefault="005A12A3">
      <w:pPr>
        <w:numPr>
          <w:ilvl w:val="1"/>
          <w:numId w:val="88"/>
        </w:numPr>
        <w:suppressLineNumbers/>
        <w:suppressAutoHyphens/>
        <w:jc w:val="both"/>
        <w:rPr>
          <w:color w:val="000000"/>
          <w:lang w:val="es-ES"/>
        </w:rPr>
      </w:pPr>
      <w:bookmarkStart w:id="1319" w:name="_15phjt5"/>
      <w:bookmarkStart w:id="1320" w:name="_Ref271728250"/>
      <w:bookmarkEnd w:id="1319"/>
      <w:r>
        <w:rPr>
          <w:color w:val="000000" w:themeColor="text1"/>
          <w:lang w:val="es-ES"/>
        </w:rPr>
        <w:t xml:space="preserve">El Programa de Ejecución deberá ser formulado teniendo en cuenta que se garantizará que el tránsito no será interrumpido por un período mayor a seis (6) horas por día, previa coordinación con el REGULADOR, en el sector intervenido durante la ejecución de los trabajos. De darse casos especiales, el CONCESIONARIO podrá solicitar al REGULADOR </w:t>
      </w:r>
      <w:r>
        <w:rPr>
          <w:color w:val="000000" w:themeColor="text1"/>
        </w:rPr>
        <w:t xml:space="preserve">la </w:t>
      </w:r>
      <w:r>
        <w:rPr>
          <w:color w:val="000000" w:themeColor="text1"/>
          <w:lang w:val="es-ES"/>
        </w:rPr>
        <w:t>ampliación del período indicado.</w:t>
      </w:r>
      <w:bookmarkEnd w:id="1320"/>
    </w:p>
    <w:p w14:paraId="7FC96802" w14:textId="77777777" w:rsidR="004412F1" w:rsidRDefault="004412F1">
      <w:pPr>
        <w:ind w:left="705"/>
        <w:jc w:val="both"/>
        <w:rPr>
          <w:b/>
          <w:color w:val="000000"/>
        </w:rPr>
      </w:pPr>
      <w:bookmarkStart w:id="1321" w:name="_INICIO_DE_EJECUCIÓN"/>
      <w:bookmarkStart w:id="1322" w:name="_3pp52gy" w:colFirst="0" w:colLast="0"/>
      <w:bookmarkStart w:id="1323" w:name="_Toc134448815"/>
      <w:bookmarkStart w:id="1324" w:name="_Toc131329933"/>
      <w:bookmarkStart w:id="1325" w:name="_Toc102405301"/>
      <w:bookmarkStart w:id="1326" w:name="_Toc131329114"/>
      <w:bookmarkStart w:id="1327" w:name="_Toc131332020"/>
      <w:bookmarkStart w:id="1328" w:name="_Toc131328778"/>
      <w:bookmarkStart w:id="1329" w:name="_Toc131332941"/>
      <w:bookmarkStart w:id="1330" w:name="_Toc131327962"/>
      <w:bookmarkStart w:id="1331" w:name="_Toc131329346"/>
      <w:bookmarkEnd w:id="1321"/>
      <w:bookmarkEnd w:id="1322"/>
    </w:p>
    <w:p w14:paraId="6CA80438" w14:textId="77777777" w:rsidR="004412F1" w:rsidRDefault="005A12A3">
      <w:pPr>
        <w:pStyle w:val="Ttulo2"/>
        <w:ind w:left="0"/>
        <w:jc w:val="both"/>
        <w:rPr>
          <w:rFonts w:ascii="Arial" w:hAnsi="Arial"/>
          <w:b/>
          <w:u w:val="none"/>
        </w:rPr>
      </w:pPr>
      <w:bookmarkStart w:id="1332" w:name="_24ufcor"/>
      <w:bookmarkStart w:id="1333" w:name="_Toc468837633"/>
      <w:bookmarkStart w:id="1334" w:name="_Toc139294730"/>
      <w:bookmarkStart w:id="1335" w:name="_Toc140089328"/>
      <w:bookmarkEnd w:id="1332"/>
      <w:r>
        <w:rPr>
          <w:rFonts w:ascii="Arial" w:hAnsi="Arial"/>
          <w:b/>
          <w:u w:val="none"/>
        </w:rPr>
        <w:t xml:space="preserve">INICIO DE </w:t>
      </w:r>
      <w:bookmarkEnd w:id="1323"/>
      <w:bookmarkEnd w:id="1324"/>
      <w:bookmarkEnd w:id="1325"/>
      <w:bookmarkEnd w:id="1326"/>
      <w:bookmarkEnd w:id="1327"/>
      <w:bookmarkEnd w:id="1328"/>
      <w:bookmarkEnd w:id="1329"/>
      <w:bookmarkEnd w:id="1330"/>
      <w:bookmarkEnd w:id="1331"/>
      <w:r>
        <w:rPr>
          <w:rFonts w:ascii="Arial" w:hAnsi="Arial"/>
          <w:b/>
          <w:u w:val="none"/>
        </w:rPr>
        <w:t xml:space="preserve">EJECUCIÓN DE </w:t>
      </w:r>
      <w:bookmarkEnd w:id="1333"/>
      <w:r>
        <w:rPr>
          <w:rFonts w:ascii="Arial" w:eastAsia="Arial" w:hAnsi="Arial" w:cs="Arial"/>
          <w:b/>
          <w:bCs/>
          <w:u w:val="none"/>
        </w:rPr>
        <w:t>LAS INTERVENCIONES</w:t>
      </w:r>
      <w:bookmarkEnd w:id="1334"/>
      <w:bookmarkEnd w:id="1335"/>
    </w:p>
    <w:p w14:paraId="04B6BCFA" w14:textId="77777777" w:rsidR="004412F1" w:rsidRDefault="004412F1">
      <w:pPr>
        <w:ind w:left="705"/>
        <w:jc w:val="both"/>
        <w:rPr>
          <w:color w:val="000000"/>
        </w:rPr>
      </w:pPr>
    </w:p>
    <w:p w14:paraId="717C7432" w14:textId="77777777" w:rsidR="004412F1" w:rsidRPr="00763640" w:rsidRDefault="005A12A3">
      <w:pPr>
        <w:numPr>
          <w:ilvl w:val="1"/>
          <w:numId w:val="88"/>
        </w:numPr>
        <w:suppressLineNumbers/>
        <w:tabs>
          <w:tab w:val="left" w:pos="1276"/>
        </w:tabs>
        <w:suppressAutoHyphens/>
        <w:jc w:val="both"/>
        <w:rPr>
          <w:color w:val="000000"/>
        </w:rPr>
      </w:pPr>
      <w:bookmarkStart w:id="1336" w:name="_jzpmwk"/>
      <w:bookmarkStart w:id="1337" w:name="_Ref355011171"/>
      <w:bookmarkEnd w:id="1336"/>
      <w:r w:rsidRPr="00763640">
        <w:rPr>
          <w:color w:val="000000" w:themeColor="text1"/>
        </w:rPr>
        <w:t>El Mantenimiento Periódico Inicial se deberá iniciar a más tardar a los veintisiete (27) meses de la Fecha de Suscripción del Contrato. Para ello, será necesaria la verificación por parte del CONCEDENTE de las siguientes condiciones:</w:t>
      </w:r>
      <w:bookmarkEnd w:id="1337"/>
    </w:p>
    <w:p w14:paraId="4E8296E7" w14:textId="77777777" w:rsidR="004412F1" w:rsidRPr="00763640" w:rsidRDefault="004412F1">
      <w:pPr>
        <w:suppressLineNumbers/>
        <w:suppressAutoHyphens/>
        <w:jc w:val="both"/>
        <w:rPr>
          <w:color w:val="000000"/>
        </w:rPr>
      </w:pPr>
    </w:p>
    <w:p w14:paraId="02E3F5C3" w14:textId="77777777" w:rsidR="004412F1" w:rsidRPr="00763640" w:rsidRDefault="005A12A3">
      <w:pPr>
        <w:numPr>
          <w:ilvl w:val="0"/>
          <w:numId w:val="90"/>
        </w:numPr>
        <w:jc w:val="both"/>
      </w:pPr>
      <w:r w:rsidRPr="00763640">
        <w:t>Que se haya entregado al CONCESIONARIO el Área de la Concesión para los Sub Tramos de Mantenimiento Periódico Inicial según lo establecido en el Capítulo V.</w:t>
      </w:r>
    </w:p>
    <w:p w14:paraId="7E57E525" w14:textId="77777777" w:rsidR="004412F1" w:rsidRPr="00763640" w:rsidRDefault="005A12A3">
      <w:pPr>
        <w:numPr>
          <w:ilvl w:val="0"/>
          <w:numId w:val="90"/>
        </w:numPr>
        <w:jc w:val="both"/>
      </w:pPr>
      <w:bookmarkStart w:id="1338" w:name="_33zd5kd"/>
      <w:bookmarkStart w:id="1339" w:name="_Ref467748919"/>
      <w:bookmarkEnd w:id="1338"/>
      <w:r w:rsidRPr="00763640">
        <w:t xml:space="preserve">El CONCESIONARIO haya acreditado el Cierre Financiero del </w:t>
      </w:r>
      <w:bookmarkEnd w:id="1339"/>
      <w:r w:rsidRPr="00763640">
        <w:t xml:space="preserve">Manteniemiento Periódico Inicial, de acuerdo con lo establecido en </w:t>
      </w:r>
      <w:r w:rsidRPr="00763640">
        <w:rPr>
          <w:lang w:val="es-PE"/>
        </w:rPr>
        <w:t>el</w:t>
      </w:r>
      <w:r w:rsidRPr="00763640">
        <w:t xml:space="preserve"> Capítulo X. </w:t>
      </w:r>
    </w:p>
    <w:p w14:paraId="0CFEBC33" w14:textId="77777777" w:rsidR="004412F1" w:rsidRPr="00763640" w:rsidRDefault="005A12A3">
      <w:pPr>
        <w:numPr>
          <w:ilvl w:val="0"/>
          <w:numId w:val="90"/>
        </w:numPr>
        <w:jc w:val="both"/>
      </w:pPr>
      <w:r w:rsidRPr="00763640">
        <w:t>El CONCESIONARIO haya obtenido la aprobación del Expediente Técnico, y de corresponder el Instrumento de Gestión Ambiental, para la ejecución del Mantenimiento Periódico Inicial.</w:t>
      </w:r>
    </w:p>
    <w:p w14:paraId="2386AF65" w14:textId="77777777" w:rsidR="004412F1" w:rsidRPr="00763640" w:rsidRDefault="005A12A3">
      <w:pPr>
        <w:numPr>
          <w:ilvl w:val="0"/>
          <w:numId w:val="90"/>
        </w:numPr>
        <w:ind w:left="1134" w:hanging="425"/>
        <w:jc w:val="both"/>
      </w:pPr>
      <w:r w:rsidRPr="00763640">
        <w:t xml:space="preserve">El CONCESIONARIO haya presentado el Programa de Ejecución y obtenido la conformidad del CONCEDENTE. </w:t>
      </w:r>
    </w:p>
    <w:p w14:paraId="01037862" w14:textId="77777777" w:rsidR="004412F1" w:rsidRPr="00763640" w:rsidRDefault="005A12A3">
      <w:pPr>
        <w:numPr>
          <w:ilvl w:val="0"/>
          <w:numId w:val="90"/>
        </w:numPr>
        <w:ind w:left="1134" w:hanging="425"/>
        <w:jc w:val="both"/>
      </w:pPr>
      <w:r w:rsidRPr="00763640">
        <w:t>El CONCESIONARIO haya presentado copia legalizada del(los) contrato(s) de ejecución de las intervenciones del Mantenimiento Periódico Inicial, en los términos establecidos en las Bases</w:t>
      </w:r>
      <w:r w:rsidRPr="00763640">
        <w:rPr>
          <w:rFonts w:eastAsia="SimSun" w:hint="eastAsia"/>
          <w:lang w:eastAsia="zh-CN"/>
        </w:rPr>
        <w:t>.</w:t>
      </w:r>
    </w:p>
    <w:p w14:paraId="7D2DEE09" w14:textId="77777777" w:rsidR="004412F1" w:rsidRPr="00763640" w:rsidRDefault="005A12A3">
      <w:pPr>
        <w:numPr>
          <w:ilvl w:val="0"/>
          <w:numId w:val="90"/>
        </w:numPr>
        <w:ind w:left="1134" w:hanging="425"/>
        <w:jc w:val="both"/>
      </w:pPr>
      <w:r w:rsidRPr="00763640">
        <w:t>El CONCESIONARIO haya presentado la documentación que acredite la inscripción en la Oficina Registral correspondiente de los Estatutos de la (s) persona (s) jurídica (s) que actuará (n) como Constructor (es)</w:t>
      </w:r>
    </w:p>
    <w:p w14:paraId="6611D670" w14:textId="77777777" w:rsidR="004412F1" w:rsidRPr="00763640" w:rsidRDefault="005A12A3">
      <w:pPr>
        <w:numPr>
          <w:ilvl w:val="0"/>
          <w:numId w:val="90"/>
        </w:numPr>
        <w:ind w:left="1134" w:hanging="425"/>
        <w:jc w:val="both"/>
      </w:pPr>
      <w:r w:rsidRPr="00763640">
        <w:t>El CONCESIONARIO haya presentado copia legalizada notarialmente de los asientos de su libro de matrícula de acciones o documento equivalente donde conste el número de las acciones o participaciones del (los) Constructor(es) en la composición accionaria del CONCESIONARIO. Dicha documentación no será necesaria en caso la participación del Constructor se haya formalizado mediante la suscripción de un contrato.</w:t>
      </w:r>
    </w:p>
    <w:p w14:paraId="555C8624" w14:textId="77777777" w:rsidR="004412F1" w:rsidRPr="00763640" w:rsidRDefault="005A12A3">
      <w:pPr>
        <w:numPr>
          <w:ilvl w:val="0"/>
          <w:numId w:val="90"/>
        </w:numPr>
        <w:jc w:val="both"/>
      </w:pPr>
      <w:bookmarkStart w:id="1340" w:name="_1j4nfs6"/>
      <w:bookmarkStart w:id="1341" w:name="_Ref412616071"/>
      <w:bookmarkEnd w:id="1340"/>
      <w:r w:rsidRPr="00763640">
        <w:t>El CONCESIONARIO haya cumplido con entregar la Garantía de Fiel Cumplimiento de Ejecución de Intervención correspondiente al Mantenimiento Periódico Inicial, de acuerdo con lo señalado en la</w:t>
      </w:r>
      <w:r w:rsidRPr="00763640">
        <w:rPr>
          <w:lang w:val="es-PE"/>
        </w:rPr>
        <w:t>s</w:t>
      </w:r>
      <w:r w:rsidRPr="00763640">
        <w:t xml:space="preserve"> Cláusula</w:t>
      </w:r>
      <w:r w:rsidRPr="00763640">
        <w:rPr>
          <w:lang w:val="es-PE"/>
        </w:rPr>
        <w:t>s</w:t>
      </w:r>
      <w:r w:rsidRPr="00763640">
        <w:t xml:space="preserve"> 11.</w:t>
      </w:r>
      <w:r w:rsidRPr="00763640">
        <w:rPr>
          <w:lang w:val="es-PE"/>
        </w:rPr>
        <w:t>9</w:t>
      </w:r>
      <w:r w:rsidRPr="00763640">
        <w:t xml:space="preserve"> y siguientes.</w:t>
      </w:r>
      <w:bookmarkEnd w:id="1341"/>
    </w:p>
    <w:p w14:paraId="5992EBCB" w14:textId="77777777" w:rsidR="004412F1" w:rsidRPr="00763640" w:rsidRDefault="005A12A3">
      <w:pPr>
        <w:numPr>
          <w:ilvl w:val="0"/>
          <w:numId w:val="90"/>
        </w:numPr>
        <w:jc w:val="both"/>
      </w:pPr>
      <w:bookmarkStart w:id="1342" w:name="_434ayfz"/>
      <w:bookmarkStart w:id="1343" w:name="_Ref412650224"/>
      <w:bookmarkEnd w:id="1342"/>
      <w:r w:rsidRPr="00763640">
        <w:t xml:space="preserve">El CONCESIONARIO haya contratado las Pólizas de Seguros de acuerdo con lo señalado en la Cláusula </w:t>
      </w:r>
      <w:bookmarkEnd w:id="1343"/>
      <w:r w:rsidRPr="00763640">
        <w:t>12.8.</w:t>
      </w:r>
    </w:p>
    <w:p w14:paraId="746CA6FB" w14:textId="77777777" w:rsidR="004412F1" w:rsidRPr="00763640" w:rsidRDefault="005A12A3">
      <w:pPr>
        <w:numPr>
          <w:ilvl w:val="0"/>
          <w:numId w:val="90"/>
        </w:numPr>
        <w:jc w:val="both"/>
        <w:rPr>
          <w:color w:val="000000"/>
        </w:rPr>
      </w:pPr>
      <w:r w:rsidRPr="00763640">
        <w:rPr>
          <w:color w:val="000000" w:themeColor="text1"/>
        </w:rPr>
        <w:lastRenderedPageBreak/>
        <w:t>El CONCESIONARIO haya obtenido de las Autoridades Gubernamentales los Títulos Habilitantes y otros permisos, licencias y autorizaciones correspondientes.</w:t>
      </w:r>
    </w:p>
    <w:p w14:paraId="074EDC08" w14:textId="77777777" w:rsidR="004412F1" w:rsidRPr="00763640" w:rsidRDefault="004412F1">
      <w:pPr>
        <w:ind w:left="709"/>
        <w:jc w:val="both"/>
      </w:pPr>
    </w:p>
    <w:p w14:paraId="775BC14C" w14:textId="77777777" w:rsidR="004412F1" w:rsidRPr="00763640" w:rsidRDefault="005A12A3">
      <w:pPr>
        <w:numPr>
          <w:ilvl w:val="1"/>
          <w:numId w:val="88"/>
        </w:numPr>
        <w:suppressLineNumbers/>
        <w:suppressAutoHyphens/>
        <w:jc w:val="both"/>
        <w:rPr>
          <w:color w:val="000000"/>
        </w:rPr>
      </w:pPr>
      <w:bookmarkStart w:id="1344" w:name="_2i9l8ns"/>
      <w:bookmarkStart w:id="1345" w:name="_Ref271823069"/>
      <w:bookmarkEnd w:id="1344"/>
      <w:r w:rsidRPr="00763640">
        <w:rPr>
          <w:color w:val="000000" w:themeColor="text1"/>
        </w:rPr>
        <w:t>La ejecución de la Rehabilitación y Mejoramiento se deberá iniciar a los sesenta y tres (63) meses de la Fecha de Suscripción del Contrato. Para ello, será necesaria la verificación por parte del CONCEDENTE de las siguientes condiciones:</w:t>
      </w:r>
      <w:bookmarkEnd w:id="1345"/>
    </w:p>
    <w:p w14:paraId="161368C3" w14:textId="77777777" w:rsidR="004412F1" w:rsidRPr="00763640" w:rsidRDefault="004412F1">
      <w:pPr>
        <w:suppressLineNumbers/>
        <w:suppressAutoHyphens/>
        <w:jc w:val="both"/>
        <w:rPr>
          <w:color w:val="000000"/>
          <w:sz w:val="28"/>
        </w:rPr>
      </w:pPr>
    </w:p>
    <w:p w14:paraId="01A6C6E7" w14:textId="77777777" w:rsidR="004412F1" w:rsidRPr="00763640" w:rsidRDefault="005A12A3">
      <w:pPr>
        <w:numPr>
          <w:ilvl w:val="0"/>
          <w:numId w:val="91"/>
        </w:numPr>
        <w:jc w:val="both"/>
      </w:pPr>
      <w:r w:rsidRPr="00763640">
        <w:t xml:space="preserve">El CONCEDENTE haya aprobado el Estudio Definitivo de Ingeniería y la Autoridad Ambiental Competente haya aprobado el Instrumento de Gestión Ambiental para la ejecución de la Rehabilitación y Mejoramiento. </w:t>
      </w:r>
    </w:p>
    <w:p w14:paraId="76293906" w14:textId="77777777" w:rsidR="004412F1" w:rsidRPr="00763640" w:rsidRDefault="005A12A3">
      <w:pPr>
        <w:numPr>
          <w:ilvl w:val="0"/>
          <w:numId w:val="91"/>
        </w:numPr>
        <w:tabs>
          <w:tab w:val="left" w:pos="567"/>
          <w:tab w:val="left" w:pos="1134"/>
        </w:tabs>
        <w:ind w:left="1134" w:hanging="425"/>
        <w:jc w:val="both"/>
      </w:pPr>
      <w:r w:rsidRPr="00763640">
        <w:t>El CONCESIONARIO haya cumplido con realizar el Cierre Financiero de la Rehabilitación y Mejoramiento correspondiente, en los términos indicados en el Capítulo X.</w:t>
      </w:r>
    </w:p>
    <w:p w14:paraId="267D825C" w14:textId="77777777" w:rsidR="004412F1" w:rsidRPr="00763640" w:rsidRDefault="005A12A3">
      <w:pPr>
        <w:numPr>
          <w:ilvl w:val="0"/>
          <w:numId w:val="91"/>
        </w:numPr>
        <w:tabs>
          <w:tab w:val="left" w:pos="567"/>
          <w:tab w:val="left" w:pos="1134"/>
        </w:tabs>
        <w:ind w:left="1134" w:hanging="425"/>
        <w:jc w:val="both"/>
      </w:pPr>
      <w:r w:rsidRPr="00763640">
        <w:t xml:space="preserve">Se haya efectuado la entrega integral de las Áreas de la Concesión necesarias para dar inicio a la Rehabilitación y Mejoramiento,  de acuerdo con lo indicado en </w:t>
      </w:r>
      <w:r w:rsidRPr="00763640">
        <w:rPr>
          <w:lang w:val="es-PE"/>
        </w:rPr>
        <w:t xml:space="preserve">el </w:t>
      </w:r>
      <w:r w:rsidRPr="00763640">
        <w:t>Capítulo V.</w:t>
      </w:r>
    </w:p>
    <w:p w14:paraId="37FEC715" w14:textId="77777777" w:rsidR="004412F1" w:rsidRPr="00763640" w:rsidRDefault="005A12A3">
      <w:pPr>
        <w:numPr>
          <w:ilvl w:val="0"/>
          <w:numId w:val="91"/>
        </w:numPr>
        <w:jc w:val="both"/>
      </w:pPr>
      <w:r w:rsidRPr="00763640">
        <w:t>Se haya presentado el Programa de Ejecución y obtenid</w:t>
      </w:r>
      <w:r w:rsidRPr="00763640">
        <w:rPr>
          <w:lang w:val="es-ES"/>
        </w:rPr>
        <w:t>o</w:t>
      </w:r>
      <w:r w:rsidRPr="00763640">
        <w:t xml:space="preserve"> la conformidad del CONCEDENTE</w:t>
      </w:r>
      <w:r w:rsidRPr="00763640">
        <w:rPr>
          <w:lang w:val="es-ES"/>
        </w:rPr>
        <w:t>.</w:t>
      </w:r>
      <w:r w:rsidRPr="00763640">
        <w:t xml:space="preserve"> </w:t>
      </w:r>
    </w:p>
    <w:p w14:paraId="44284B4B" w14:textId="77777777" w:rsidR="004412F1" w:rsidRPr="00763640" w:rsidRDefault="005A12A3">
      <w:pPr>
        <w:numPr>
          <w:ilvl w:val="0"/>
          <w:numId w:val="91"/>
        </w:numPr>
        <w:tabs>
          <w:tab w:val="left" w:pos="567"/>
          <w:tab w:val="left" w:pos="1134"/>
        </w:tabs>
        <w:ind w:left="1134" w:hanging="425"/>
        <w:jc w:val="both"/>
      </w:pPr>
      <w:r w:rsidRPr="00763640">
        <w:t>El CONCESIONARIO haya presentado la copia legalizada del(los) contrato(s) de  ejecución de las intervenciones de la Rehabilitación y Mejoramiento, en los términos establecidos en las Bases,</w:t>
      </w:r>
    </w:p>
    <w:p w14:paraId="58DD4DD8" w14:textId="77777777" w:rsidR="004412F1" w:rsidRPr="00763640" w:rsidRDefault="005A12A3">
      <w:pPr>
        <w:numPr>
          <w:ilvl w:val="0"/>
          <w:numId w:val="91"/>
        </w:numPr>
        <w:ind w:left="1134" w:hanging="425"/>
        <w:jc w:val="both"/>
      </w:pPr>
      <w:r w:rsidRPr="00763640">
        <w:t xml:space="preserve"> El CONCESIONARIO haya presentado copia legalizada notarialmente de los asientos de su libro de matrícula de acciones o documento equivalente donde conste el número de las acciones o participaciones del (los) Constructor(es) en la composición accionaria del CONCESIONARIO. Dicha documentación no será necesaria en caso la participación del Constructor se haya formalizado mediante la suscripción de un contrato.</w:t>
      </w:r>
    </w:p>
    <w:p w14:paraId="3D0029E4" w14:textId="77777777" w:rsidR="004412F1" w:rsidRPr="00763640" w:rsidRDefault="005A12A3">
      <w:pPr>
        <w:numPr>
          <w:ilvl w:val="0"/>
          <w:numId w:val="91"/>
        </w:numPr>
        <w:jc w:val="both"/>
      </w:pPr>
      <w:bookmarkStart w:id="1346" w:name="_xevivl"/>
      <w:bookmarkEnd w:id="1346"/>
      <w:r w:rsidRPr="00763640">
        <w:t>El CONCESIONARIO haya cumplido con entregar la Garantía de Fiel Cumplimiento de Ejecución de la Intervención correspondiente a la Rehabilitación y Mejoramiento, de acuerdo con lo señalado en la</w:t>
      </w:r>
      <w:r w:rsidRPr="00763640">
        <w:rPr>
          <w:lang w:val="es-PE"/>
        </w:rPr>
        <w:t>s</w:t>
      </w:r>
      <w:r w:rsidRPr="00763640">
        <w:t xml:space="preserve"> Cláusula</w:t>
      </w:r>
      <w:r w:rsidRPr="00763640">
        <w:rPr>
          <w:lang w:val="es-PE"/>
        </w:rPr>
        <w:t>s</w:t>
      </w:r>
      <w:r w:rsidRPr="00763640">
        <w:t xml:space="preserve"> 11.</w:t>
      </w:r>
      <w:r w:rsidRPr="00763640">
        <w:rPr>
          <w:lang w:val="es-PE"/>
        </w:rPr>
        <w:t>9</w:t>
      </w:r>
      <w:r w:rsidRPr="00763640">
        <w:t xml:space="preserve"> y siguientes.</w:t>
      </w:r>
    </w:p>
    <w:p w14:paraId="4A53E22D" w14:textId="77777777" w:rsidR="004412F1" w:rsidRPr="00763640" w:rsidRDefault="005A12A3">
      <w:pPr>
        <w:numPr>
          <w:ilvl w:val="0"/>
          <w:numId w:val="91"/>
        </w:numPr>
        <w:jc w:val="both"/>
      </w:pPr>
      <w:r w:rsidRPr="00763640">
        <w:t>El CONCESIONARIO mantenga vigente las Pólizas de Seguros, de acuerdo con lo señalado en la Cláusula 12.8.</w:t>
      </w:r>
    </w:p>
    <w:p w14:paraId="0F18A3BB" w14:textId="77777777" w:rsidR="004412F1" w:rsidRPr="00763640" w:rsidRDefault="005A12A3">
      <w:pPr>
        <w:numPr>
          <w:ilvl w:val="0"/>
          <w:numId w:val="91"/>
        </w:numPr>
        <w:ind w:left="1134" w:hanging="425"/>
        <w:jc w:val="both"/>
        <w:rPr>
          <w:color w:val="000000"/>
        </w:rPr>
      </w:pPr>
      <w:r w:rsidRPr="00763640">
        <w:rPr>
          <w:color w:val="000000" w:themeColor="text1"/>
        </w:rPr>
        <w:t>El CONCESIONARIO haya obtenido de las Autoridades Gubernamentales los Títulos Habilitantes y otros permisos, licencias y autorizaciones correspondientes.</w:t>
      </w:r>
    </w:p>
    <w:p w14:paraId="3F4DE612" w14:textId="77777777" w:rsidR="004412F1" w:rsidRPr="00763640" w:rsidRDefault="004412F1">
      <w:pPr>
        <w:ind w:left="1134" w:hanging="425"/>
        <w:jc w:val="both"/>
      </w:pPr>
    </w:p>
    <w:p w14:paraId="2A800FAA" w14:textId="77777777" w:rsidR="004412F1" w:rsidRPr="00763640" w:rsidRDefault="005A12A3">
      <w:pPr>
        <w:numPr>
          <w:ilvl w:val="1"/>
          <w:numId w:val="88"/>
        </w:numPr>
        <w:jc w:val="both"/>
        <w:rPr>
          <w:color w:val="000000"/>
        </w:rPr>
      </w:pPr>
      <w:r w:rsidRPr="00763640">
        <w:rPr>
          <w:color w:val="000000" w:themeColor="text1"/>
        </w:rPr>
        <w:t>La ejecución de la Construcción del Evitamiento San Clemente se deberá iniciar a más tardar a los ochenta y siete (87) meses de la Fecha de Suscripción del Contrato. Para ello, será necesaria la verificación por parte del CONCEDENTE de las siguientes condiciones:</w:t>
      </w:r>
    </w:p>
    <w:p w14:paraId="0DE5BF68" w14:textId="77777777" w:rsidR="004412F1" w:rsidRPr="00763640" w:rsidRDefault="004412F1">
      <w:pPr>
        <w:ind w:left="349"/>
        <w:jc w:val="both"/>
      </w:pPr>
    </w:p>
    <w:p w14:paraId="41ECB9AB" w14:textId="77777777" w:rsidR="004412F1" w:rsidRPr="00763640" w:rsidRDefault="005A12A3">
      <w:pPr>
        <w:numPr>
          <w:ilvl w:val="0"/>
          <w:numId w:val="92"/>
        </w:numPr>
        <w:jc w:val="both"/>
      </w:pPr>
      <w:r w:rsidRPr="00763640">
        <w:t xml:space="preserve">El CONCEDENTE haya aprobado el Estudio Definitivo de Ingeniería y la Autoridad Ambiental Competente haya aprobado el Instrumento de Gestión Ambiental para la ejecución de la Construcción del Evitamiento San Clemente. </w:t>
      </w:r>
    </w:p>
    <w:p w14:paraId="319BBA80" w14:textId="77777777" w:rsidR="004412F1" w:rsidRPr="00763640" w:rsidRDefault="005A12A3">
      <w:pPr>
        <w:numPr>
          <w:ilvl w:val="0"/>
          <w:numId w:val="92"/>
        </w:numPr>
        <w:ind w:left="1134" w:hanging="425"/>
        <w:jc w:val="both"/>
      </w:pPr>
      <w:r w:rsidRPr="00763640">
        <w:t xml:space="preserve">Se haya efectuado la entrega integral de las Áreas de la Concesión necesarias para dar inicio a la Construcción del Evitamiento San Clemente,  de acuerdo a lo indicado en </w:t>
      </w:r>
      <w:r w:rsidRPr="00763640">
        <w:rPr>
          <w:lang w:val="es-PE"/>
        </w:rPr>
        <w:t xml:space="preserve">el </w:t>
      </w:r>
      <w:r w:rsidRPr="00763640">
        <w:t>Capítulo V.</w:t>
      </w:r>
    </w:p>
    <w:p w14:paraId="3E4E9120" w14:textId="77777777" w:rsidR="004412F1" w:rsidRPr="00763640" w:rsidRDefault="005A12A3">
      <w:pPr>
        <w:numPr>
          <w:ilvl w:val="0"/>
          <w:numId w:val="92"/>
        </w:numPr>
        <w:jc w:val="both"/>
      </w:pPr>
      <w:r w:rsidRPr="00763640">
        <w:t xml:space="preserve">Se haya presentado el Programa de Ejecución y obtenida la conformidad del CONCEDENTE, </w:t>
      </w:r>
    </w:p>
    <w:p w14:paraId="67223D2F" w14:textId="77777777" w:rsidR="004412F1" w:rsidRPr="00763640" w:rsidRDefault="005A12A3">
      <w:pPr>
        <w:numPr>
          <w:ilvl w:val="0"/>
          <w:numId w:val="92"/>
        </w:numPr>
        <w:ind w:left="1134" w:hanging="425"/>
        <w:jc w:val="both"/>
      </w:pPr>
      <w:r w:rsidRPr="00763640">
        <w:lastRenderedPageBreak/>
        <w:t xml:space="preserve">El CONCESIONARIO haya presentado la copia legalizada del(los) contrato(s) de ejecución para la </w:t>
      </w:r>
      <w:r w:rsidRPr="00763640">
        <w:rPr>
          <w:color w:val="000000" w:themeColor="text1"/>
        </w:rPr>
        <w:t>Construcción del Evitamiento San Clemente</w:t>
      </w:r>
      <w:r w:rsidRPr="00763640">
        <w:t>, en los términos establecidos en las Bases</w:t>
      </w:r>
      <w:r w:rsidRPr="00763640">
        <w:rPr>
          <w:rFonts w:eastAsia="SimSun" w:hint="eastAsia"/>
          <w:lang w:eastAsia="zh-CN"/>
        </w:rPr>
        <w:t>.</w:t>
      </w:r>
    </w:p>
    <w:p w14:paraId="279215A2" w14:textId="77777777" w:rsidR="004412F1" w:rsidRPr="00763640" w:rsidRDefault="005A12A3">
      <w:pPr>
        <w:numPr>
          <w:ilvl w:val="0"/>
          <w:numId w:val="92"/>
        </w:numPr>
        <w:ind w:left="1134" w:hanging="425"/>
        <w:jc w:val="both"/>
      </w:pPr>
      <w:r w:rsidRPr="00763640">
        <w:t>Se encuentre vigente la inscripción en la Oficina Registral correspondiente de los Estatutos de la(s) persona(s) jurídica(s) que está(n) actuando como Constructor (es).</w:t>
      </w:r>
    </w:p>
    <w:p w14:paraId="2A54AE5C" w14:textId="77777777" w:rsidR="004412F1" w:rsidRPr="00763640" w:rsidRDefault="005A12A3">
      <w:pPr>
        <w:numPr>
          <w:ilvl w:val="0"/>
          <w:numId w:val="92"/>
        </w:numPr>
        <w:jc w:val="both"/>
      </w:pPr>
      <w:r w:rsidRPr="00763640">
        <w:t xml:space="preserve">Se encuentren vigentes los asientos del libro de matrícula de acciones o documento equivalente donde conste la conformación a la Fecha de Suscripción del Contrato del accionariado o de las participaciones del Constructor. Dicha acreditación no será necesaria en caso la participación del Constructor se haya formalizado mediante la suscripción de un contrato, </w:t>
      </w:r>
    </w:p>
    <w:p w14:paraId="0DB1D658" w14:textId="77777777" w:rsidR="004412F1" w:rsidRPr="00763640" w:rsidRDefault="005A12A3">
      <w:pPr>
        <w:numPr>
          <w:ilvl w:val="0"/>
          <w:numId w:val="92"/>
        </w:numPr>
        <w:jc w:val="both"/>
      </w:pPr>
      <w:bookmarkStart w:id="1347" w:name="_Ref274043060"/>
      <w:bookmarkStart w:id="1348" w:name="_Ref412616021"/>
      <w:r w:rsidRPr="00763640">
        <w:t>El CONCESIONARIO haya cumplido con entregar la Garantía de Fiel Cumplimiento de Ejecución de Intervención correspondiente al Evitamiento San Clemente, de acuerdo con lo señalado en la</w:t>
      </w:r>
      <w:r w:rsidRPr="00763640">
        <w:rPr>
          <w:lang w:val="es-PE"/>
        </w:rPr>
        <w:t>s</w:t>
      </w:r>
      <w:r w:rsidRPr="00763640">
        <w:t xml:space="preserve"> Cláusula</w:t>
      </w:r>
      <w:r w:rsidRPr="00763640">
        <w:rPr>
          <w:lang w:val="es-PE"/>
        </w:rPr>
        <w:t>s</w:t>
      </w:r>
      <w:r w:rsidRPr="00763640">
        <w:t xml:space="preserve"> 11.</w:t>
      </w:r>
      <w:r w:rsidRPr="00763640">
        <w:rPr>
          <w:lang w:val="es-PE"/>
        </w:rPr>
        <w:t>9</w:t>
      </w:r>
      <w:r w:rsidRPr="00763640">
        <w:t xml:space="preserve"> y</w:t>
      </w:r>
      <w:bookmarkEnd w:id="1347"/>
      <w:r w:rsidRPr="00763640">
        <w:t xml:space="preserve"> siguientes</w:t>
      </w:r>
      <w:bookmarkEnd w:id="1348"/>
      <w:r w:rsidRPr="00763640">
        <w:t>.</w:t>
      </w:r>
    </w:p>
    <w:p w14:paraId="7A78960D" w14:textId="77777777" w:rsidR="004412F1" w:rsidRPr="00763640" w:rsidRDefault="005A12A3">
      <w:pPr>
        <w:numPr>
          <w:ilvl w:val="0"/>
          <w:numId w:val="92"/>
        </w:numPr>
        <w:jc w:val="both"/>
      </w:pPr>
      <w:r w:rsidRPr="00763640">
        <w:t>El CONCESIONARIO mantenga vigente las Pólizas de Seguros, de acuerdo con lo señalado en la Cláusula 12.8.</w:t>
      </w:r>
    </w:p>
    <w:p w14:paraId="7F2177BD" w14:textId="77777777" w:rsidR="004412F1" w:rsidRPr="00763640" w:rsidRDefault="005A12A3">
      <w:pPr>
        <w:numPr>
          <w:ilvl w:val="0"/>
          <w:numId w:val="92"/>
        </w:numPr>
        <w:jc w:val="both"/>
        <w:rPr>
          <w:color w:val="000000"/>
        </w:rPr>
      </w:pPr>
      <w:r w:rsidRPr="00763640">
        <w:rPr>
          <w:color w:val="000000" w:themeColor="text1"/>
        </w:rPr>
        <w:t>El CONCESIONARIO haya obtenido de las Autoridades Gubernamentales los Títulos Habilitantes y otros permisos, licencias y autorizaciones correspondientes.</w:t>
      </w:r>
    </w:p>
    <w:p w14:paraId="41FB9A27" w14:textId="77777777" w:rsidR="004412F1" w:rsidRPr="00763640" w:rsidRDefault="004412F1">
      <w:pPr>
        <w:ind w:left="1134" w:hanging="425"/>
        <w:jc w:val="both"/>
      </w:pPr>
    </w:p>
    <w:p w14:paraId="6C5593D2" w14:textId="77777777" w:rsidR="004412F1" w:rsidRPr="00763640" w:rsidRDefault="005A12A3">
      <w:pPr>
        <w:pStyle w:val="Ttulo2"/>
        <w:ind w:left="0"/>
        <w:jc w:val="both"/>
        <w:rPr>
          <w:rFonts w:ascii="Arial" w:hAnsi="Arial"/>
          <w:b/>
          <w:u w:val="none"/>
        </w:rPr>
      </w:pPr>
      <w:bookmarkStart w:id="1349" w:name="_MODIFICACIÓN_DE_PLAZOS"/>
      <w:bookmarkStart w:id="1350" w:name="_3hej1je"/>
      <w:bookmarkStart w:id="1351" w:name="_Toc468837634"/>
      <w:bookmarkStart w:id="1352" w:name="_Toc139294731"/>
      <w:bookmarkStart w:id="1353" w:name="_Toc140089329"/>
      <w:bookmarkEnd w:id="1349"/>
      <w:bookmarkEnd w:id="1350"/>
      <w:r w:rsidRPr="00763640">
        <w:rPr>
          <w:rFonts w:ascii="Arial" w:hAnsi="Arial"/>
          <w:b/>
          <w:u w:val="none"/>
        </w:rPr>
        <w:t xml:space="preserve">MODIFICACIÓN DE PLAZOS PARA </w:t>
      </w:r>
      <w:r w:rsidRPr="00763640">
        <w:rPr>
          <w:rFonts w:ascii="Arial" w:eastAsia="Arial" w:hAnsi="Arial" w:cs="Arial"/>
          <w:b/>
          <w:bCs/>
          <w:u w:val="none"/>
        </w:rPr>
        <w:t xml:space="preserve">LA </w:t>
      </w:r>
      <w:r w:rsidRPr="00763640">
        <w:rPr>
          <w:rFonts w:ascii="Arial" w:hAnsi="Arial"/>
          <w:b/>
          <w:u w:val="none"/>
        </w:rPr>
        <w:t xml:space="preserve">EJECUCIÓN </w:t>
      </w:r>
      <w:bookmarkEnd w:id="1351"/>
      <w:r w:rsidRPr="00763640">
        <w:rPr>
          <w:rFonts w:ascii="Arial" w:eastAsia="Arial" w:hAnsi="Arial" w:cs="Arial"/>
          <w:b/>
          <w:bCs/>
          <w:u w:val="none"/>
        </w:rPr>
        <w:t>DE LAS INTERVENCIONES</w:t>
      </w:r>
      <w:bookmarkEnd w:id="1352"/>
      <w:bookmarkEnd w:id="1353"/>
    </w:p>
    <w:p w14:paraId="2A14CE56" w14:textId="77777777" w:rsidR="004412F1" w:rsidRPr="00763640" w:rsidRDefault="004412F1">
      <w:pPr>
        <w:ind w:left="1134" w:hanging="425"/>
        <w:jc w:val="both"/>
      </w:pPr>
    </w:p>
    <w:p w14:paraId="7B3C7435" w14:textId="77777777" w:rsidR="004412F1" w:rsidRPr="00763640" w:rsidRDefault="005A12A3">
      <w:pPr>
        <w:numPr>
          <w:ilvl w:val="1"/>
          <w:numId w:val="88"/>
        </w:numPr>
        <w:suppressLineNumbers/>
        <w:suppressAutoHyphens/>
        <w:jc w:val="both"/>
        <w:rPr>
          <w:color w:val="000000"/>
        </w:rPr>
      </w:pPr>
      <w:bookmarkStart w:id="1354" w:name="_1wjtbr7"/>
      <w:bookmarkStart w:id="1355" w:name="_Ref271822503"/>
      <w:bookmarkEnd w:id="1354"/>
      <w:r w:rsidRPr="00763640">
        <w:rPr>
          <w:color w:val="000000" w:themeColor="text1"/>
        </w:rPr>
        <w:t xml:space="preserve">En caso el CONCESIONARIO modifique un plazo parcial considerado en el Programa de Ejecución, que no implique la modificación del plazo total, deberá enviar el Programa de Ejecución modificado al CONCEDENTE </w:t>
      </w:r>
      <w:r w:rsidRPr="00763640">
        <w:rPr>
          <w:color w:val="000000" w:themeColor="text1"/>
          <w:lang w:val="es-ES"/>
        </w:rPr>
        <w:t>antes de su vencimiento</w:t>
      </w:r>
      <w:r w:rsidRPr="00763640">
        <w:rPr>
          <w:color w:val="000000" w:themeColor="text1"/>
        </w:rPr>
        <w:t>.</w:t>
      </w:r>
      <w:bookmarkEnd w:id="1355"/>
      <w:r w:rsidRPr="00763640">
        <w:rPr>
          <w:color w:val="000000" w:themeColor="text1"/>
        </w:rPr>
        <w:t xml:space="preserve"> </w:t>
      </w:r>
    </w:p>
    <w:p w14:paraId="59431395" w14:textId="77777777" w:rsidR="004412F1" w:rsidRPr="00763640" w:rsidRDefault="004412F1">
      <w:pPr>
        <w:jc w:val="both"/>
      </w:pPr>
    </w:p>
    <w:p w14:paraId="7D531E8E" w14:textId="77777777" w:rsidR="004412F1" w:rsidRPr="00763640" w:rsidRDefault="005A12A3">
      <w:pPr>
        <w:numPr>
          <w:ilvl w:val="1"/>
          <w:numId w:val="88"/>
        </w:numPr>
        <w:suppressLineNumbers/>
        <w:suppressAutoHyphens/>
        <w:jc w:val="both"/>
        <w:rPr>
          <w:color w:val="000000" w:themeColor="text1"/>
          <w:lang w:val="es-PE"/>
        </w:rPr>
      </w:pPr>
      <w:r w:rsidRPr="00763640">
        <w:rPr>
          <w:color w:val="000000" w:themeColor="text1"/>
        </w:rPr>
        <w:t>En cada oportunidad que el CONCESIONARIO requiera una prórroga del plazo total</w:t>
      </w:r>
      <w:r w:rsidRPr="00763640">
        <w:rPr>
          <w:color w:val="000000" w:themeColor="text1"/>
          <w:lang w:val="es-PE"/>
        </w:rPr>
        <w:t xml:space="preserve"> de ejecución de </w:t>
      </w:r>
      <w:r w:rsidRPr="00763640">
        <w:rPr>
          <w:color w:val="000000" w:themeColor="text1"/>
        </w:rPr>
        <w:t xml:space="preserve">las Intervenciones la solicitud deberá </w:t>
      </w:r>
      <w:r w:rsidRPr="00763640">
        <w:rPr>
          <w:color w:val="000000" w:themeColor="text1"/>
          <w:lang w:val="es-PE"/>
        </w:rPr>
        <w:t xml:space="preserve">incluir </w:t>
      </w:r>
      <w:r w:rsidRPr="00763640">
        <w:rPr>
          <w:color w:val="000000" w:themeColor="text1"/>
        </w:rPr>
        <w:t xml:space="preserve">el </w:t>
      </w:r>
      <w:r w:rsidRPr="00763640">
        <w:rPr>
          <w:color w:val="000000" w:themeColor="text1"/>
          <w:lang w:val="es-PE"/>
        </w:rPr>
        <w:t>Programa de Ejecución</w:t>
      </w:r>
      <w:r w:rsidRPr="00763640">
        <w:rPr>
          <w:color w:val="000000" w:themeColor="text1"/>
        </w:rPr>
        <w:t xml:space="preserve"> reformulado. La solicitud será presentada</w:t>
      </w:r>
      <w:r w:rsidRPr="00763640">
        <w:rPr>
          <w:color w:val="000000" w:themeColor="text1"/>
          <w:lang w:val="es-PE"/>
        </w:rPr>
        <w:t xml:space="preserve"> al CONCEDENTE, con copia al REGULADOR</w:t>
      </w:r>
      <w:r w:rsidRPr="00763640">
        <w:rPr>
          <w:color w:val="000000" w:themeColor="text1"/>
        </w:rPr>
        <w:t>,</w:t>
      </w:r>
      <w:r w:rsidRPr="00763640">
        <w:rPr>
          <w:color w:val="000000" w:themeColor="text1"/>
          <w:lang w:val="es-PE"/>
        </w:rPr>
        <w:t xml:space="preserve"> quien deberá emitir su opinión al CONCEDENTE en un plazo máximo de treinta (30) Días Calendario, contado a partir de la notificación de la solicitud. </w:t>
      </w:r>
    </w:p>
    <w:p w14:paraId="78C82F35" w14:textId="77777777" w:rsidR="004412F1" w:rsidRPr="00763640" w:rsidRDefault="004412F1">
      <w:pPr>
        <w:suppressLineNumbers/>
        <w:suppressAutoHyphens/>
        <w:ind w:leftChars="300" w:left="660"/>
        <w:jc w:val="both"/>
        <w:rPr>
          <w:color w:val="000000" w:themeColor="text1"/>
          <w:lang w:val="es-PE"/>
        </w:rPr>
      </w:pPr>
    </w:p>
    <w:p w14:paraId="32C80DC0" w14:textId="77777777" w:rsidR="004412F1" w:rsidRPr="00763640" w:rsidRDefault="005A12A3">
      <w:pPr>
        <w:suppressLineNumbers/>
        <w:suppressAutoHyphens/>
        <w:ind w:leftChars="300" w:left="660"/>
        <w:jc w:val="both"/>
        <w:rPr>
          <w:color w:val="000000" w:themeColor="text1"/>
          <w:lang w:val="es-ES"/>
        </w:rPr>
      </w:pPr>
      <w:r w:rsidRPr="00763640">
        <w:rPr>
          <w:color w:val="000000" w:themeColor="text1"/>
          <w:lang w:val="es-PE"/>
        </w:rPr>
        <w:t xml:space="preserve">El CONCEDENTE deberá pronunciarse en el </w:t>
      </w:r>
      <w:r w:rsidRPr="00763640">
        <w:rPr>
          <w:color w:val="000000" w:themeColor="text1"/>
        </w:rPr>
        <w:t>plazo</w:t>
      </w:r>
      <w:r w:rsidRPr="00763640">
        <w:rPr>
          <w:color w:val="000000" w:themeColor="text1"/>
          <w:lang w:val="es-PE"/>
        </w:rPr>
        <w:t xml:space="preserve"> de treinta (30) Días Calendario a partir de la recepción de la opinión del REGULADOR. </w:t>
      </w:r>
      <w:r w:rsidRPr="00763640">
        <w:rPr>
          <w:color w:val="000000" w:themeColor="text1"/>
        </w:rPr>
        <w:t>D</w:t>
      </w:r>
      <w:r w:rsidRPr="00763640">
        <w:rPr>
          <w:color w:val="000000" w:themeColor="text1"/>
          <w:lang w:val="es-ES"/>
        </w:rPr>
        <w:t xml:space="preserve">icho plazo empieza a correr desde que reciba la opinión del REGULADOR o al vencimiento del plazo sin la emisión de esta opinión, lo que ocurra primero. </w:t>
      </w:r>
    </w:p>
    <w:p w14:paraId="3FC43E37" w14:textId="77777777" w:rsidR="004412F1" w:rsidRPr="00763640" w:rsidRDefault="004412F1">
      <w:pPr>
        <w:suppressLineNumbers/>
        <w:suppressAutoHyphens/>
        <w:ind w:leftChars="300" w:left="660"/>
        <w:jc w:val="both"/>
        <w:rPr>
          <w:color w:val="000000" w:themeColor="text1"/>
          <w:lang w:val="es-ES"/>
        </w:rPr>
      </w:pPr>
    </w:p>
    <w:p w14:paraId="6693980C" w14:textId="77777777" w:rsidR="004412F1" w:rsidRPr="00763640" w:rsidRDefault="005A12A3">
      <w:pPr>
        <w:suppressLineNumbers/>
        <w:suppressAutoHyphens/>
        <w:ind w:leftChars="300" w:left="660"/>
        <w:jc w:val="both"/>
        <w:rPr>
          <w:color w:val="000000"/>
          <w:lang w:val="es-PE"/>
        </w:rPr>
      </w:pPr>
      <w:r w:rsidRPr="00763640">
        <w:rPr>
          <w:color w:val="000000" w:themeColor="text1"/>
          <w:lang w:val="es-PE"/>
        </w:rPr>
        <w:t xml:space="preserve">Transcurrido el plazo indicado, el silencio del CONCEDENTE </w:t>
      </w:r>
      <w:r w:rsidRPr="00763640">
        <w:rPr>
          <w:color w:val="000000" w:themeColor="text1"/>
        </w:rPr>
        <w:t>deberá</w:t>
      </w:r>
      <w:r w:rsidRPr="00763640">
        <w:rPr>
          <w:color w:val="000000" w:themeColor="text1"/>
          <w:lang w:val="es-PE"/>
        </w:rPr>
        <w:t xml:space="preserve"> interpretarse como una denegatoria del pedido de </w:t>
      </w:r>
      <w:r w:rsidRPr="00763640">
        <w:rPr>
          <w:color w:val="000000" w:themeColor="text1"/>
        </w:rPr>
        <w:t>prórroga</w:t>
      </w:r>
      <w:r w:rsidRPr="00763640">
        <w:rPr>
          <w:color w:val="000000" w:themeColor="text1"/>
          <w:lang w:val="es-PE"/>
        </w:rPr>
        <w:t xml:space="preserve">. Cuando las </w:t>
      </w:r>
      <w:r w:rsidRPr="00763640">
        <w:rPr>
          <w:color w:val="000000" w:themeColor="text1"/>
        </w:rPr>
        <w:t>prórrogas</w:t>
      </w:r>
      <w:r w:rsidRPr="00763640">
        <w:rPr>
          <w:color w:val="000000" w:themeColor="text1"/>
          <w:lang w:val="es-PE"/>
        </w:rPr>
        <w:t xml:space="preserve"> sean concedidas por causas no imputables al CONCESIONARIO, impedirán la aplicación de penalidades y de las demás medidas previstas para sancionar el incumplimiento contractual por causa de demora en la ejecución de la </w:t>
      </w:r>
      <w:r w:rsidRPr="00763640">
        <w:rPr>
          <w:color w:val="000000" w:themeColor="text1"/>
        </w:rPr>
        <w:t>Intervención</w:t>
      </w:r>
      <w:r w:rsidRPr="00763640">
        <w:rPr>
          <w:color w:val="000000" w:themeColor="text1"/>
          <w:lang w:val="es-PE"/>
        </w:rPr>
        <w:t xml:space="preserve"> correspondiente.</w:t>
      </w:r>
    </w:p>
    <w:p w14:paraId="473CFCEB" w14:textId="77777777" w:rsidR="004412F1" w:rsidRPr="00763640" w:rsidRDefault="004412F1">
      <w:pPr>
        <w:suppressLineNumbers/>
        <w:suppressAutoHyphens/>
        <w:jc w:val="both"/>
        <w:rPr>
          <w:color w:val="000000"/>
          <w:lang w:val="es-PE"/>
        </w:rPr>
      </w:pPr>
    </w:p>
    <w:p w14:paraId="09BFA72E" w14:textId="77777777" w:rsidR="004412F1" w:rsidRPr="00763640" w:rsidRDefault="005A12A3">
      <w:pPr>
        <w:ind w:left="705"/>
        <w:jc w:val="both"/>
        <w:rPr>
          <w:color w:val="000000"/>
          <w:u w:color="FFFF00"/>
        </w:rPr>
      </w:pPr>
      <w:bookmarkStart w:id="1356" w:name="_4gjguf0" w:colFirst="0" w:colLast="0"/>
      <w:bookmarkStart w:id="1357" w:name="_Ref271822535"/>
      <w:bookmarkEnd w:id="1356"/>
      <w:r w:rsidRPr="00763640">
        <w:rPr>
          <w:color w:val="000000"/>
        </w:rPr>
        <w:t xml:space="preserve">En </w:t>
      </w:r>
      <w:bookmarkEnd w:id="1357"/>
      <w:r w:rsidRPr="00763640">
        <w:rPr>
          <w:color w:val="000000"/>
          <w:u w:color="FFFF00"/>
        </w:rPr>
        <w:t xml:space="preserve">caso </w:t>
      </w:r>
      <w:r w:rsidRPr="00763640">
        <w:rPr>
          <w:color w:val="000000"/>
        </w:rPr>
        <w:t>de aprobación total</w:t>
      </w:r>
      <w:r w:rsidRPr="00763640">
        <w:rPr>
          <w:color w:val="000000"/>
          <w:u w:color="FFFF00"/>
        </w:rPr>
        <w:t xml:space="preserve"> o </w:t>
      </w:r>
      <w:r w:rsidRPr="00763640">
        <w:rPr>
          <w:color w:val="000000"/>
        </w:rPr>
        <w:t>parcial</w:t>
      </w:r>
      <w:r w:rsidRPr="00763640">
        <w:rPr>
          <w:color w:val="000000"/>
          <w:u w:color="FFFF00"/>
        </w:rPr>
        <w:t xml:space="preserve"> de la </w:t>
      </w:r>
      <w:r w:rsidRPr="00763640">
        <w:rPr>
          <w:color w:val="000000"/>
        </w:rPr>
        <w:t>solicitud de prórroga,</w:t>
      </w:r>
      <w:r w:rsidRPr="00763640">
        <w:rPr>
          <w:color w:val="000000"/>
          <w:u w:color="FFFF00"/>
        </w:rPr>
        <w:t xml:space="preserve"> el plazo de ejecución de la </w:t>
      </w:r>
      <w:r w:rsidRPr="00763640">
        <w:rPr>
          <w:color w:val="000000"/>
        </w:rPr>
        <w:t xml:space="preserve">respectiva Intervención se ampliará por </w:t>
      </w:r>
      <w:r w:rsidRPr="00763640">
        <w:rPr>
          <w:color w:val="000000"/>
          <w:u w:color="FFFF00"/>
        </w:rPr>
        <w:t xml:space="preserve">el mismo tiempo de duración de </w:t>
      </w:r>
      <w:r w:rsidRPr="00763640">
        <w:rPr>
          <w:color w:val="000000"/>
        </w:rPr>
        <w:t>la prórroga aprobada.</w:t>
      </w:r>
    </w:p>
    <w:p w14:paraId="187D4117" w14:textId="77777777" w:rsidR="004412F1" w:rsidRPr="00763640" w:rsidRDefault="004412F1">
      <w:pPr>
        <w:ind w:left="705"/>
        <w:jc w:val="both"/>
        <w:rPr>
          <w:color w:val="000000"/>
          <w:u w:color="FFFF00"/>
        </w:rPr>
      </w:pPr>
    </w:p>
    <w:p w14:paraId="1836DDBC" w14:textId="77777777" w:rsidR="004412F1" w:rsidRPr="00763640" w:rsidRDefault="005A12A3">
      <w:pPr>
        <w:pStyle w:val="Ttulo2"/>
        <w:ind w:left="0"/>
        <w:jc w:val="both"/>
        <w:rPr>
          <w:rFonts w:ascii="Arial" w:hAnsi="Arial"/>
          <w:b/>
          <w:u w:val="none"/>
        </w:rPr>
      </w:pPr>
      <w:bookmarkStart w:id="1358" w:name="_CIRCULACIÓN_DEL_TRÁNSITO"/>
      <w:bookmarkStart w:id="1359" w:name="_nezm1vde5s6x"/>
      <w:bookmarkStart w:id="1360" w:name="_Toc131329347"/>
      <w:bookmarkStart w:id="1361" w:name="_Toc468837635"/>
      <w:bookmarkStart w:id="1362" w:name="_Toc94328777"/>
      <w:bookmarkStart w:id="1363" w:name="_Toc94329279"/>
      <w:bookmarkStart w:id="1364" w:name="_Toc94329033"/>
      <w:bookmarkStart w:id="1365" w:name="_Toc139294732"/>
      <w:bookmarkStart w:id="1366" w:name="_Toc94337844"/>
      <w:bookmarkStart w:id="1367" w:name="_Toc131332021"/>
      <w:bookmarkStart w:id="1368" w:name="_Toc131328779"/>
      <w:bookmarkStart w:id="1369" w:name="_Toc102405302"/>
      <w:bookmarkStart w:id="1370" w:name="_Toc131329115"/>
      <w:bookmarkStart w:id="1371" w:name="_Toc131329934"/>
      <w:bookmarkStart w:id="1372" w:name="_Toc94337613"/>
      <w:bookmarkStart w:id="1373" w:name="_Toc94329525"/>
      <w:bookmarkStart w:id="1374" w:name="_Toc131327963"/>
      <w:bookmarkStart w:id="1375" w:name="_Toc94330157"/>
      <w:bookmarkStart w:id="1376" w:name="_Toc94328517"/>
      <w:bookmarkStart w:id="1377" w:name="_Toc131332942"/>
      <w:bookmarkStart w:id="1378" w:name="_Toc140089330"/>
      <w:bookmarkEnd w:id="1358"/>
      <w:bookmarkEnd w:id="1359"/>
      <w:r w:rsidRPr="00763640">
        <w:rPr>
          <w:rFonts w:ascii="Arial" w:hAnsi="Arial"/>
          <w:b/>
          <w:u w:val="none"/>
        </w:rPr>
        <w:t>TRANSITABILIDAD DURANTE LA EJECUCIÓN DEL MANTENIMIENTO PERIÓDICO INICIAL</w:t>
      </w:r>
      <w:r w:rsidRPr="00763640">
        <w:rPr>
          <w:rFonts w:ascii="Arial" w:eastAsia="Arial" w:hAnsi="Arial" w:cs="Arial"/>
          <w:b/>
          <w:bCs/>
          <w:u w:val="none"/>
        </w:rPr>
        <w:t xml:space="preserve"> Y DE LA </w:t>
      </w:r>
      <w:r w:rsidRPr="00763640">
        <w:rPr>
          <w:rFonts w:ascii="Arial" w:eastAsia="Arial" w:hAnsi="Arial"/>
          <w:b/>
          <w:u w:val="none"/>
          <w:lang w:val="es-PE"/>
        </w:rPr>
        <w:t>REHABILITACIÓN Y MEJORAMIENTO</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763640">
        <w:rPr>
          <w:rFonts w:ascii="Arial" w:hAnsi="Arial"/>
          <w:b/>
          <w:u w:val="none"/>
        </w:rPr>
        <w:t xml:space="preserve"> </w:t>
      </w:r>
    </w:p>
    <w:p w14:paraId="0BE528A0" w14:textId="77777777" w:rsidR="004412F1" w:rsidRPr="00763640" w:rsidRDefault="004412F1">
      <w:pPr>
        <w:jc w:val="both"/>
        <w:rPr>
          <w:b/>
        </w:rPr>
      </w:pPr>
    </w:p>
    <w:p w14:paraId="715445DC" w14:textId="77777777" w:rsidR="004412F1" w:rsidRPr="00763640" w:rsidRDefault="005A12A3">
      <w:pPr>
        <w:numPr>
          <w:ilvl w:val="1"/>
          <w:numId w:val="88"/>
        </w:numPr>
        <w:jc w:val="both"/>
        <w:rPr>
          <w:rFonts w:eastAsia="Times New Roman"/>
          <w:bCs/>
          <w:color w:val="000000"/>
          <w:szCs w:val="18"/>
          <w:lang w:val="es-ES" w:eastAsia="es-ES"/>
        </w:rPr>
      </w:pPr>
      <w:bookmarkStart w:id="1379" w:name="_1au1eum"/>
      <w:bookmarkStart w:id="1380" w:name="_Ref273550427"/>
      <w:bookmarkEnd w:id="1379"/>
      <w:r w:rsidRPr="00763640">
        <w:rPr>
          <w:color w:val="000000" w:themeColor="text1"/>
        </w:rPr>
        <w:lastRenderedPageBreak/>
        <w:t xml:space="preserve">El CONCESIONARIO queda obligado, mientras ejecute las Intervenciones, a cumplir las Leyes y Disposiciones Aplicables en materia de gestión de tráfico contenidas en las Especificaciones Técnicas Generales para Construcción de Carreteras y el Manual de Dispositivos de Control de Tránsito Automotor; a seguir las indicaciones del Estudio Definitivo de Ingeniería e Instrumento de Gestión Ambiental o del Expediente Técnico,  según corresponda; y, a cumplir con las indicaciones y recomendaciones que al respecto determine el REGULADOR, las cuales no podrán establecer obligaciones adicionales para el CONCESIONARIO, a aquellas previstas en este Contrato y en las Leyes y Disposiciones Aplicables. </w:t>
      </w:r>
    </w:p>
    <w:p w14:paraId="4908EA8E" w14:textId="77777777" w:rsidR="004412F1" w:rsidRPr="00763640" w:rsidRDefault="004412F1">
      <w:pPr>
        <w:ind w:left="720"/>
        <w:jc w:val="both"/>
      </w:pPr>
      <w:bookmarkStart w:id="1381" w:name="_7mzvwbd5snlx" w:colFirst="0" w:colLast="0"/>
      <w:bookmarkEnd w:id="1381"/>
    </w:p>
    <w:p w14:paraId="761B1722" w14:textId="77777777" w:rsidR="004412F1" w:rsidRPr="00763640" w:rsidRDefault="005A12A3">
      <w:pPr>
        <w:numPr>
          <w:ilvl w:val="1"/>
          <w:numId w:val="88"/>
        </w:numPr>
        <w:jc w:val="both"/>
        <w:rPr>
          <w:color w:val="000000"/>
        </w:rPr>
      </w:pPr>
      <w:bookmarkStart w:id="1382" w:name="_brc7g56wcye5" w:colFirst="0" w:colLast="0"/>
      <w:bookmarkEnd w:id="1382"/>
      <w:r w:rsidRPr="00763640">
        <w:rPr>
          <w:color w:val="000000"/>
        </w:rPr>
        <w:t xml:space="preserve">El cumplimiento de esta obligación no implicará el pago de compensación </w:t>
      </w:r>
      <w:r w:rsidRPr="00763640">
        <w:rPr>
          <w:bCs/>
          <w:color w:val="000000" w:themeColor="text1"/>
          <w:szCs w:val="18"/>
          <w:lang w:val="es-ES" w:eastAsia="es-ES"/>
        </w:rPr>
        <w:t xml:space="preserve">extraordinaria </w:t>
      </w:r>
      <w:r w:rsidRPr="00763640">
        <w:rPr>
          <w:color w:val="000000"/>
        </w:rPr>
        <w:t>alguna para el CONCESIONARIO.</w:t>
      </w:r>
      <w:bookmarkEnd w:id="1380"/>
      <w:r w:rsidRPr="00763640">
        <w:rPr>
          <w:color w:val="000000"/>
        </w:rPr>
        <w:t xml:space="preserve"> El incumplimiento de la indicada obligación generará una penalidad de acuerdo con lo indicado en la Tabla N° 3 del ANEXO IX. </w:t>
      </w:r>
    </w:p>
    <w:p w14:paraId="0853737C" w14:textId="77777777" w:rsidR="004412F1" w:rsidRPr="00763640" w:rsidRDefault="004412F1">
      <w:pPr>
        <w:suppressLineNumbers/>
        <w:suppressAutoHyphens/>
        <w:ind w:left="709"/>
        <w:jc w:val="both"/>
        <w:rPr>
          <w:rFonts w:eastAsia="SimSun"/>
          <w:color w:val="000000"/>
        </w:rPr>
      </w:pPr>
    </w:p>
    <w:p w14:paraId="0482008A" w14:textId="77777777" w:rsidR="004412F1" w:rsidRPr="00763640" w:rsidRDefault="005A12A3">
      <w:pPr>
        <w:ind w:left="709"/>
        <w:jc w:val="both"/>
        <w:rPr>
          <w:rFonts w:eastAsia="SimSun"/>
          <w:color w:val="000000"/>
          <w:lang w:val="es-ES"/>
        </w:rPr>
      </w:pPr>
      <w:r w:rsidRPr="00763640">
        <w:rPr>
          <w:rFonts w:eastAsia="SimSun"/>
          <w:color w:val="000000"/>
        </w:rPr>
        <w:t xml:space="preserve">Desde la Toma de Posesión de los Sub Tramos donde ejecutará la Rehabilitación y Mejoramiento y el Mantenimiento Periódico Inicial hasta el inicio de cada una de las </w:t>
      </w:r>
      <w:r w:rsidRPr="00763640">
        <w:rPr>
          <w:rFonts w:eastAsia="SimSun"/>
          <w:color w:val="000000"/>
          <w:lang w:val="es-ES" w:eastAsia="zh-CN"/>
        </w:rPr>
        <w:t>I</w:t>
      </w:r>
      <w:r w:rsidRPr="00763640">
        <w:rPr>
          <w:rFonts w:eastAsia="SimSun"/>
          <w:color w:val="000000"/>
          <w:lang w:eastAsia="zh-CN"/>
        </w:rPr>
        <w:t>ntervenciones</w:t>
      </w:r>
      <w:r w:rsidRPr="00763640">
        <w:rPr>
          <w:rFonts w:eastAsia="SimSun"/>
          <w:color w:val="000000"/>
        </w:rPr>
        <w:t>, el CONCESIONARIO realizará el Mantenimiento Rutinario correspondiente</w:t>
      </w:r>
      <w:r w:rsidRPr="00763640">
        <w:rPr>
          <w:rFonts w:eastAsia="SimSun"/>
          <w:color w:val="000000"/>
          <w:lang w:val="es-ES"/>
        </w:rPr>
        <w:t>.</w:t>
      </w:r>
    </w:p>
    <w:p w14:paraId="0A5B7338" w14:textId="77777777" w:rsidR="004412F1" w:rsidRPr="00763640" w:rsidRDefault="004412F1">
      <w:pPr>
        <w:ind w:left="709"/>
        <w:jc w:val="both"/>
        <w:rPr>
          <w:rFonts w:eastAsia="SimSun"/>
          <w:color w:val="000000"/>
        </w:rPr>
      </w:pPr>
    </w:p>
    <w:p w14:paraId="715FF0F3" w14:textId="77777777" w:rsidR="004412F1" w:rsidRPr="00763640" w:rsidRDefault="005A12A3">
      <w:pPr>
        <w:numPr>
          <w:ilvl w:val="1"/>
          <w:numId w:val="88"/>
        </w:numPr>
        <w:suppressLineNumbers/>
        <w:suppressAutoHyphens/>
        <w:jc w:val="both"/>
        <w:rPr>
          <w:color w:val="000000"/>
        </w:rPr>
      </w:pPr>
      <w:bookmarkStart w:id="1383" w:name="_3utoxif"/>
      <w:bookmarkStart w:id="1384" w:name="_Ref273550446"/>
      <w:bookmarkEnd w:id="1383"/>
      <w:r w:rsidRPr="00763640">
        <w:rPr>
          <w:color w:val="000000" w:themeColor="text1"/>
        </w:rPr>
        <w:t>Sin perjuicio de lo establecido en la Cláusula que antecede, corresponde al CONCESIONARIO mantener transitables para todo tipo de vehículos, a su costo, los caminos públicos o variantes por los que fuera necesario desviar el tránsito a causa de la ejecución de la Rehabilitación y Mejoramiento y/o Mantenimiento Periódico Inicial. Dichos caminos deberán permitir el tránsito y reunir todas las condiciones como para permitir un tráfico fluido.</w:t>
      </w:r>
      <w:bookmarkEnd w:id="1384"/>
      <w:r w:rsidRPr="00763640">
        <w:t xml:space="preserve"> </w:t>
      </w:r>
      <w:r w:rsidRPr="00763640">
        <w:rPr>
          <w:color w:val="000000" w:themeColor="text1"/>
        </w:rPr>
        <w:t>El incumplimiento de la indicada obligación generará una penalidad de acuerdo con lo indicado en la Tabla N° 3 del ANEXO IX.</w:t>
      </w:r>
    </w:p>
    <w:p w14:paraId="08AB90AB" w14:textId="77777777" w:rsidR="004412F1" w:rsidRPr="00763640" w:rsidRDefault="004412F1">
      <w:pPr>
        <w:ind w:left="709"/>
        <w:jc w:val="both"/>
        <w:rPr>
          <w:color w:val="000000"/>
        </w:rPr>
      </w:pPr>
    </w:p>
    <w:p w14:paraId="38D9A34C" w14:textId="77777777" w:rsidR="004412F1" w:rsidRPr="00763640" w:rsidRDefault="005A12A3">
      <w:pPr>
        <w:numPr>
          <w:ilvl w:val="1"/>
          <w:numId w:val="88"/>
        </w:numPr>
        <w:jc w:val="both"/>
        <w:rPr>
          <w:rFonts w:eastAsia="Times New Roman"/>
          <w:bCs/>
          <w:color w:val="000000"/>
          <w:szCs w:val="18"/>
          <w:lang w:val="es-ES" w:eastAsia="es-ES"/>
        </w:rPr>
      </w:pPr>
      <w:bookmarkStart w:id="1385" w:name="_29yz7q8"/>
      <w:bookmarkStart w:id="1386" w:name="_Ref273550463"/>
      <w:bookmarkEnd w:id="1385"/>
      <w:r w:rsidRPr="00763640">
        <w:rPr>
          <w:color w:val="000000" w:themeColor="text1"/>
        </w:rPr>
        <w:t xml:space="preserve">Para el cumplimiento de la obligación descrita en la Cláusula anterior el CONCESIONARIO se obliga a presentar al REGULADOR para su aprobación, con treinta (30) Días Calendario de anticipación al inicio de cualquier tarea de ejecución de la Rehabilitación y Mejoramiento y/o Mantenimiento Periódico Inicial, un plan de tránsito provisorio, con expresa mención de los métodos, procedimientos y tecnologías que aseguren el tránsito fluido en todo el sector afectado. </w:t>
      </w:r>
    </w:p>
    <w:p w14:paraId="105A76C6" w14:textId="77777777" w:rsidR="004412F1" w:rsidRPr="00763640" w:rsidRDefault="004412F1">
      <w:pPr>
        <w:ind w:left="720"/>
        <w:jc w:val="both"/>
      </w:pPr>
      <w:bookmarkStart w:id="1387" w:name="_8ni717utte38" w:colFirst="0" w:colLast="0"/>
      <w:bookmarkEnd w:id="1387"/>
    </w:p>
    <w:p w14:paraId="798B4D70" w14:textId="77777777" w:rsidR="004412F1" w:rsidRPr="00763640" w:rsidRDefault="005A12A3">
      <w:pPr>
        <w:numPr>
          <w:ilvl w:val="1"/>
          <w:numId w:val="88"/>
        </w:numPr>
        <w:jc w:val="both"/>
        <w:rPr>
          <w:color w:val="000000"/>
          <w:lang w:val="es-ES"/>
        </w:rPr>
      </w:pPr>
      <w:bookmarkStart w:id="1388" w:name="_dazdof7twgnf" w:colFirst="0" w:colLast="0"/>
      <w:bookmarkEnd w:id="1388"/>
      <w:r w:rsidRPr="00763640">
        <w:rPr>
          <w:color w:val="000000"/>
          <w:lang w:val="es-ES"/>
        </w:rPr>
        <w:t xml:space="preserve">El REGULADOR emitirá su aprobación u opinión en un plazo no mayor a </w:t>
      </w:r>
      <w:r w:rsidRPr="00763640">
        <w:rPr>
          <w:color w:val="000000"/>
        </w:rPr>
        <w:t xml:space="preserve">veinte (20) </w:t>
      </w:r>
      <w:r w:rsidRPr="00763640">
        <w:rPr>
          <w:color w:val="000000"/>
          <w:lang w:val="es-ES"/>
        </w:rPr>
        <w:t xml:space="preserve">Días. En caso de no emitir pronunciamiento se entenderá que el </w:t>
      </w:r>
      <w:r w:rsidRPr="00763640">
        <w:rPr>
          <w:color w:val="000000"/>
        </w:rPr>
        <w:t>plan</w:t>
      </w:r>
      <w:r w:rsidRPr="00763640">
        <w:rPr>
          <w:color w:val="000000"/>
          <w:lang w:val="es-ES"/>
        </w:rPr>
        <w:t xml:space="preserve"> de </w:t>
      </w:r>
      <w:r w:rsidRPr="00763640">
        <w:rPr>
          <w:color w:val="000000"/>
        </w:rPr>
        <w:t>tránsito provisorio</w:t>
      </w:r>
      <w:r w:rsidRPr="00763640">
        <w:rPr>
          <w:color w:val="000000"/>
          <w:lang w:val="es-ES"/>
        </w:rPr>
        <w:t xml:space="preserve"> ha </w:t>
      </w:r>
      <w:r w:rsidRPr="00763640">
        <w:rPr>
          <w:bCs/>
          <w:color w:val="000000" w:themeColor="text1"/>
          <w:szCs w:val="18"/>
          <w:lang w:val="es-ES" w:eastAsia="es-ES"/>
        </w:rPr>
        <w:t xml:space="preserve">sido </w:t>
      </w:r>
      <w:r w:rsidRPr="00763640">
        <w:rPr>
          <w:color w:val="000000"/>
          <w:lang w:val="es-ES"/>
        </w:rPr>
        <w:t>aprobado. El REGULADOR podrá verificar en cualquier momento el cumplimiento del plan de tránsito provisorio y aplicar las sanciones que corresponda en caso de comprobarse incumplimientos. Una vez puesto en práctica el plan, el REGULADOR podrá, previo acuerdo con el CONCESIONARIO, proponer modificaciones al mismo.</w:t>
      </w:r>
      <w:bookmarkEnd w:id="1386"/>
    </w:p>
    <w:p w14:paraId="7026B4C6" w14:textId="77777777" w:rsidR="004412F1" w:rsidRPr="00763640" w:rsidRDefault="004412F1">
      <w:pPr>
        <w:ind w:left="709"/>
        <w:jc w:val="both"/>
        <w:rPr>
          <w:color w:val="000000"/>
        </w:rPr>
      </w:pPr>
    </w:p>
    <w:p w14:paraId="17F21023" w14:textId="77777777" w:rsidR="004412F1" w:rsidRPr="00763640" w:rsidRDefault="005A12A3">
      <w:pPr>
        <w:ind w:left="709"/>
        <w:jc w:val="both"/>
        <w:rPr>
          <w:color w:val="000000"/>
        </w:rPr>
      </w:pPr>
      <w:r w:rsidRPr="00763640">
        <w:rPr>
          <w:color w:val="000000"/>
        </w:rPr>
        <w:t>El incumplimiento de la presentación del plan de tránsito provisorio generará una penalidad de acuerdo con lo indicado en la Tabla N° 3 del ANEXO IX.</w:t>
      </w:r>
    </w:p>
    <w:p w14:paraId="3C61BA19" w14:textId="77777777" w:rsidR="004412F1" w:rsidRPr="00763640" w:rsidRDefault="004412F1">
      <w:pPr>
        <w:ind w:left="709"/>
        <w:jc w:val="both"/>
        <w:rPr>
          <w:color w:val="000000"/>
        </w:rPr>
      </w:pPr>
    </w:p>
    <w:p w14:paraId="0C2D3171" w14:textId="77777777" w:rsidR="004412F1" w:rsidRPr="00763640" w:rsidRDefault="005A12A3">
      <w:pPr>
        <w:numPr>
          <w:ilvl w:val="1"/>
          <w:numId w:val="88"/>
        </w:numPr>
        <w:suppressLineNumbers/>
        <w:suppressAutoHyphens/>
        <w:jc w:val="both"/>
        <w:rPr>
          <w:color w:val="000000"/>
          <w:lang w:val="es-ES"/>
        </w:rPr>
      </w:pPr>
      <w:r w:rsidRPr="00763640">
        <w:rPr>
          <w:color w:val="000000" w:themeColor="text1"/>
          <w:lang w:val="es-ES"/>
        </w:rPr>
        <w:t xml:space="preserve">De conformidad con la normatividad vigente sobre la materia, el CONCESIONARIO está obligado a garantizar la seguridad del tránsito debiendo proveer, colocar y mantener letreros y señales de peligro, diurno y nocturno, en el lugar de </w:t>
      </w:r>
      <w:r w:rsidRPr="00763640">
        <w:rPr>
          <w:color w:val="000000" w:themeColor="text1"/>
        </w:rPr>
        <w:t>las Intervenciones</w:t>
      </w:r>
      <w:r w:rsidRPr="00763640">
        <w:rPr>
          <w:color w:val="000000" w:themeColor="text1"/>
          <w:lang w:val="es-ES"/>
        </w:rPr>
        <w:t xml:space="preserve"> y durante todo el período de ejecución de </w:t>
      </w:r>
      <w:r w:rsidRPr="00763640">
        <w:rPr>
          <w:color w:val="000000" w:themeColor="text1"/>
        </w:rPr>
        <w:t>estas</w:t>
      </w:r>
      <w:r w:rsidRPr="00763640">
        <w:rPr>
          <w:color w:val="000000" w:themeColor="text1"/>
          <w:lang w:val="es-ES"/>
        </w:rPr>
        <w:t xml:space="preserve">. </w:t>
      </w:r>
    </w:p>
    <w:p w14:paraId="3CCE8628" w14:textId="77777777" w:rsidR="004412F1" w:rsidRPr="00763640" w:rsidRDefault="004412F1">
      <w:pPr>
        <w:suppressLineNumbers/>
        <w:suppressAutoHyphens/>
        <w:jc w:val="both"/>
        <w:rPr>
          <w:color w:val="000000"/>
          <w:lang w:val="es-ES"/>
        </w:rPr>
      </w:pPr>
    </w:p>
    <w:p w14:paraId="59FD78A8" w14:textId="77777777" w:rsidR="004412F1" w:rsidRPr="00763640" w:rsidRDefault="005A12A3">
      <w:pPr>
        <w:suppressLineNumbers/>
        <w:suppressAutoHyphens/>
        <w:ind w:left="709"/>
        <w:jc w:val="both"/>
        <w:rPr>
          <w:color w:val="000000"/>
          <w:lang w:val="es-ES"/>
        </w:rPr>
      </w:pPr>
      <w:r w:rsidRPr="00763640">
        <w:rPr>
          <w:color w:val="000000"/>
          <w:lang w:val="es-ES"/>
        </w:rPr>
        <w:lastRenderedPageBreak/>
        <w:t>A través de la utilización de carteles, avisos y/o letreros, el CONCESIONARIO deberá comunicar a la población afectada y Usuarios sobre las actividades indicadas por lo menos con setenta y dos (72) horas de anticipación.</w:t>
      </w:r>
    </w:p>
    <w:p w14:paraId="6C0AB3D9" w14:textId="77777777" w:rsidR="004412F1" w:rsidRPr="00763640" w:rsidRDefault="004412F1">
      <w:pPr>
        <w:ind w:left="708"/>
        <w:jc w:val="both"/>
        <w:rPr>
          <w:color w:val="000000"/>
          <w:lang w:val="es-ES"/>
        </w:rPr>
      </w:pPr>
    </w:p>
    <w:p w14:paraId="71A27E78" w14:textId="77777777" w:rsidR="004412F1" w:rsidRPr="00763640" w:rsidRDefault="005A12A3">
      <w:pPr>
        <w:pStyle w:val="Ttulo2"/>
        <w:ind w:left="0"/>
        <w:jc w:val="both"/>
        <w:rPr>
          <w:rFonts w:ascii="Arial" w:eastAsia="Arial" w:hAnsi="Arial" w:cs="Arial"/>
          <w:b/>
          <w:bCs/>
          <w:u w:val="none"/>
        </w:rPr>
      </w:pPr>
      <w:bookmarkStart w:id="1389" w:name="_p49hy1"/>
      <w:bookmarkStart w:id="1390" w:name="_ACEPTACIÓN_DE_LAS"/>
      <w:bookmarkStart w:id="1391" w:name="_Toc94328779"/>
      <w:bookmarkStart w:id="1392" w:name="_Toc131328781"/>
      <w:bookmarkStart w:id="1393" w:name="_Toc102405304"/>
      <w:bookmarkStart w:id="1394" w:name="_Toc131329349"/>
      <w:bookmarkStart w:id="1395" w:name="_Toc94329527"/>
      <w:bookmarkStart w:id="1396" w:name="_Toc131329936"/>
      <w:bookmarkStart w:id="1397" w:name="_Toc94329281"/>
      <w:bookmarkStart w:id="1398" w:name="_Toc94337615"/>
      <w:bookmarkStart w:id="1399" w:name="_Ref272745329"/>
      <w:bookmarkStart w:id="1400" w:name="_Toc131332944"/>
      <w:bookmarkStart w:id="1401" w:name="_Toc134448818"/>
      <w:bookmarkStart w:id="1402" w:name="_Toc131332023"/>
      <w:bookmarkStart w:id="1403" w:name="_Toc131327965"/>
      <w:bookmarkStart w:id="1404" w:name="_Toc468837636"/>
      <w:bookmarkStart w:id="1405" w:name="_Toc94330159"/>
      <w:bookmarkStart w:id="1406" w:name="_Toc131329117"/>
      <w:bookmarkStart w:id="1407" w:name="_Toc94328519"/>
      <w:bookmarkStart w:id="1408" w:name="_Ref272745319"/>
      <w:bookmarkStart w:id="1409" w:name="_Toc94329035"/>
      <w:bookmarkStart w:id="1410" w:name="_Toc94337846"/>
      <w:bookmarkStart w:id="1411" w:name="_Toc139294733"/>
      <w:bookmarkStart w:id="1412" w:name="_Toc140089331"/>
      <w:bookmarkEnd w:id="1389"/>
      <w:bookmarkEnd w:id="1390"/>
      <w:r w:rsidRPr="00763640">
        <w:rPr>
          <w:rFonts w:ascii="Arial" w:eastAsia="Arial" w:hAnsi="Arial" w:cs="Arial"/>
          <w:b/>
          <w:bCs/>
          <w:u w:val="none"/>
        </w:rPr>
        <w:t xml:space="preserve">ACEPTACIÓN </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r w:rsidRPr="00763640">
        <w:rPr>
          <w:rFonts w:ascii="Arial" w:eastAsia="Arial" w:hAnsi="Arial" w:cs="Arial"/>
          <w:b/>
          <w:bCs/>
          <w:u w:val="none"/>
        </w:rPr>
        <w:t>DE LAS INTERVENCIONES</w:t>
      </w:r>
      <w:bookmarkEnd w:id="1411"/>
      <w:bookmarkEnd w:id="1412"/>
      <w:r w:rsidRPr="00763640">
        <w:rPr>
          <w:rFonts w:ascii="Arial" w:eastAsia="Arial" w:hAnsi="Arial" w:cs="Arial"/>
          <w:b/>
          <w:bCs/>
          <w:u w:val="none"/>
        </w:rPr>
        <w:t xml:space="preserve"> </w:t>
      </w:r>
    </w:p>
    <w:p w14:paraId="01DABE81" w14:textId="77777777" w:rsidR="004412F1" w:rsidRPr="00763640" w:rsidRDefault="004412F1">
      <w:pPr>
        <w:suppressLineNumbers/>
        <w:suppressAutoHyphens/>
        <w:jc w:val="both"/>
        <w:rPr>
          <w:color w:val="000000"/>
        </w:rPr>
      </w:pPr>
    </w:p>
    <w:p w14:paraId="3FCB068C" w14:textId="77777777" w:rsidR="004412F1" w:rsidRPr="00763640" w:rsidRDefault="005A12A3">
      <w:pPr>
        <w:numPr>
          <w:ilvl w:val="1"/>
          <w:numId w:val="88"/>
        </w:numPr>
        <w:suppressLineNumbers/>
        <w:suppressAutoHyphens/>
        <w:jc w:val="both"/>
        <w:rPr>
          <w:lang w:val="es-PE"/>
        </w:rPr>
      </w:pPr>
      <w:bookmarkStart w:id="1413" w:name="_f4z5tswhinac"/>
      <w:bookmarkStart w:id="1414" w:name="_Ref467749276"/>
      <w:bookmarkStart w:id="1415" w:name="_Hlk138868077"/>
      <w:bookmarkEnd w:id="1413"/>
      <w:r w:rsidRPr="00763640">
        <w:t xml:space="preserve">Previo a la solicitud al CONCEDENTE de aceptación parcial o total </w:t>
      </w:r>
      <w:r w:rsidRPr="00763640">
        <w:rPr>
          <w:lang w:val="es-ES"/>
        </w:rPr>
        <w:t>de las Intervenciones,</w:t>
      </w:r>
      <w:r w:rsidRPr="00763640">
        <w:t xml:space="preserve"> el CONCESIONARIO deberá presentar al REGULADOR el </w:t>
      </w:r>
      <w:r w:rsidRPr="00763640">
        <w:rPr>
          <w:lang w:val="es-PE"/>
        </w:rPr>
        <w:t>Acta de Conformidad de Correcta Aplicación de los Planes de Manejo Ambiental emitido por la Dirección General de Asuntos Socio Ambientales del MTC.</w:t>
      </w:r>
      <w:bookmarkEnd w:id="1414"/>
    </w:p>
    <w:p w14:paraId="6AC6FEBA" w14:textId="77777777" w:rsidR="004412F1" w:rsidRPr="00763640" w:rsidRDefault="004412F1">
      <w:pPr>
        <w:suppressLineNumbers/>
        <w:suppressAutoHyphens/>
        <w:ind w:left="720"/>
        <w:jc w:val="both"/>
      </w:pPr>
    </w:p>
    <w:p w14:paraId="6F271C8E" w14:textId="00F5812F" w:rsidR="004412F1" w:rsidRPr="00763640" w:rsidRDefault="005A12A3">
      <w:pPr>
        <w:suppressLineNumbers/>
        <w:suppressAutoHyphens/>
        <w:ind w:left="720"/>
        <w:jc w:val="both"/>
      </w:pPr>
      <w:r w:rsidRPr="00763640">
        <w:t xml:space="preserve">Los requisitos para la emisión del Acta de Conformidad de Correcta Aplicación de los Planes de Manejo Ambiental no podrán exceder a las obligaciones socio-ambientales establecidas en </w:t>
      </w:r>
      <w:r w:rsidR="00D75431" w:rsidRPr="00763640">
        <w:rPr>
          <w:lang w:val="es-ES"/>
        </w:rPr>
        <w:t>el</w:t>
      </w:r>
      <w:r w:rsidRPr="00763640">
        <w:t xml:space="preserve"> </w:t>
      </w:r>
      <w:r w:rsidRPr="00763640">
        <w:rPr>
          <w:rFonts w:eastAsia="SimSun" w:hint="eastAsia"/>
          <w:lang w:eastAsia="zh-CN"/>
        </w:rPr>
        <w:t>C</w:t>
      </w:r>
      <w:r w:rsidRPr="00763640">
        <w:rPr>
          <w:rFonts w:eastAsia="SimSun"/>
          <w:lang w:val="es-ES" w:eastAsia="zh-CN"/>
        </w:rPr>
        <w:t>apítulo</w:t>
      </w:r>
      <w:r w:rsidRPr="00763640">
        <w:t xml:space="preserve"> XIII del </w:t>
      </w:r>
      <w:r w:rsidRPr="00763640">
        <w:rPr>
          <w:lang w:val="es-PE"/>
        </w:rPr>
        <w:t xml:space="preserve">presente </w:t>
      </w:r>
      <w:r w:rsidRPr="00763640">
        <w:t>Contrato y el Instrumento de Gestión Ambiental.</w:t>
      </w:r>
    </w:p>
    <w:p w14:paraId="4A7F5E82" w14:textId="77777777" w:rsidR="004412F1" w:rsidRPr="00763640" w:rsidRDefault="004412F1">
      <w:pPr>
        <w:ind w:left="720"/>
        <w:jc w:val="both"/>
        <w:rPr>
          <w:rFonts w:eastAsia="SimSun"/>
          <w:lang w:eastAsia="zh-CN"/>
        </w:rPr>
      </w:pPr>
    </w:p>
    <w:p w14:paraId="135982DC" w14:textId="77777777" w:rsidR="004412F1" w:rsidRPr="00763640" w:rsidRDefault="005A12A3">
      <w:pPr>
        <w:suppressLineNumbers/>
        <w:suppressAutoHyphens/>
        <w:ind w:left="709"/>
        <w:jc w:val="both"/>
        <w:rPr>
          <w:rFonts w:eastAsia="SimSun"/>
          <w:b/>
          <w:lang w:val="es-ES"/>
        </w:rPr>
      </w:pPr>
      <w:r w:rsidRPr="00763640">
        <w:rPr>
          <w:rFonts w:eastAsia="SimSun"/>
          <w:b/>
        </w:rPr>
        <w:t>Rehabilitación y Mejoramiento</w:t>
      </w:r>
      <w:r w:rsidRPr="00763640">
        <w:rPr>
          <w:rFonts w:eastAsia="SimSun"/>
          <w:b/>
          <w:lang w:val="es-ES"/>
        </w:rPr>
        <w:t xml:space="preserve"> </w:t>
      </w:r>
      <w:bookmarkStart w:id="1416" w:name="_Hlk138869151"/>
      <w:r w:rsidRPr="00763640">
        <w:rPr>
          <w:rFonts w:eastAsia="SimSun"/>
          <w:b/>
          <w:bCs/>
          <w:lang w:val="es-ES" w:eastAsia="zh-CN"/>
        </w:rPr>
        <w:t>o Construcción</w:t>
      </w:r>
      <w:r w:rsidRPr="00763640">
        <w:rPr>
          <w:rFonts w:eastAsia="SimSun"/>
          <w:b/>
          <w:lang w:val="es-ES"/>
        </w:rPr>
        <w:t xml:space="preserve"> del </w:t>
      </w:r>
      <w:r w:rsidRPr="00763640">
        <w:rPr>
          <w:rFonts w:eastAsia="SimSun"/>
          <w:b/>
          <w:bCs/>
          <w:lang w:val="es-ES" w:eastAsia="zh-CN"/>
        </w:rPr>
        <w:t>evitamiento San Clemente</w:t>
      </w:r>
      <w:bookmarkEnd w:id="1416"/>
    </w:p>
    <w:p w14:paraId="6BFDFF65" w14:textId="77777777" w:rsidR="004412F1" w:rsidRPr="00763640" w:rsidRDefault="004412F1">
      <w:pPr>
        <w:ind w:left="720"/>
        <w:jc w:val="both"/>
      </w:pPr>
      <w:bookmarkStart w:id="1417" w:name="_unahb8jypevu" w:colFirst="0" w:colLast="0"/>
      <w:bookmarkStart w:id="1418" w:name="_Ref272157251"/>
      <w:bookmarkStart w:id="1419" w:name="_Ref349657305"/>
      <w:bookmarkEnd w:id="1417"/>
    </w:p>
    <w:p w14:paraId="0A3BBEDB" w14:textId="77777777" w:rsidR="004412F1" w:rsidRPr="00763640" w:rsidRDefault="005A12A3">
      <w:pPr>
        <w:numPr>
          <w:ilvl w:val="1"/>
          <w:numId w:val="88"/>
        </w:numPr>
        <w:jc w:val="both"/>
      </w:pPr>
      <w:bookmarkStart w:id="1420" w:name="_r8l59k70v2oq"/>
      <w:bookmarkStart w:id="1421" w:name="_Ref419974202"/>
      <w:bookmarkEnd w:id="1420"/>
      <w:r w:rsidRPr="00763640">
        <w:t>En el plazo de cinco (5) Días de solicitada la aceptación parcial de la Rehabilitación y Mejoramiento</w:t>
      </w:r>
      <w:r w:rsidRPr="00763640">
        <w:rPr>
          <w:lang w:val="es-ES"/>
        </w:rPr>
        <w:t xml:space="preserve"> o de la Construcción del evitamiento San Clemente</w:t>
      </w:r>
      <w:r w:rsidRPr="00763640">
        <w:t xml:space="preserve">, el  CONCEDENTE nombrará un Comité de Aceptación, el que deberá contar por lo menos con un representante del REGULADOR en calidad de veedor. </w:t>
      </w:r>
    </w:p>
    <w:p w14:paraId="31158019" w14:textId="77777777" w:rsidR="004412F1" w:rsidRPr="00763640" w:rsidRDefault="004412F1">
      <w:pPr>
        <w:ind w:left="720"/>
        <w:jc w:val="both"/>
      </w:pPr>
    </w:p>
    <w:p w14:paraId="20DFFCD3" w14:textId="77777777" w:rsidR="004412F1" w:rsidRPr="00763640" w:rsidRDefault="005A12A3">
      <w:pPr>
        <w:ind w:left="720"/>
        <w:jc w:val="both"/>
      </w:pPr>
      <w:r w:rsidRPr="00763640">
        <w:t xml:space="preserve">El Comité de Aceptación, en el plazo de treinta (30) Días, contados desde su nombramiento, dictaminará mediante el Acta de Aceptación </w:t>
      </w:r>
      <w:r w:rsidRPr="00763640">
        <w:rPr>
          <w:lang w:val="es-ES"/>
        </w:rPr>
        <w:t xml:space="preserve">o Rechazo </w:t>
      </w:r>
      <w:r w:rsidRPr="00763640">
        <w:t xml:space="preserve">del </w:t>
      </w:r>
      <w:r w:rsidRPr="00763640">
        <w:rPr>
          <w:lang w:val="es-ES"/>
        </w:rPr>
        <w:t xml:space="preserve">Hito Constructivo, </w:t>
      </w:r>
      <w:r w:rsidRPr="00763640">
        <w:t xml:space="preserve">donde el Concesionario ha completado la ejecución de las intervenciones de Rehabilitación y Mejoramiento </w:t>
      </w:r>
      <w:bookmarkStart w:id="1422" w:name="_Hlk138869229"/>
      <w:r w:rsidRPr="00763640">
        <w:t>o de la Construcción del evitamiento San Clemente</w:t>
      </w:r>
      <w:r w:rsidRPr="00763640">
        <w:rPr>
          <w:lang w:val="es-ES"/>
        </w:rPr>
        <w:t>,</w:t>
      </w:r>
      <w:bookmarkEnd w:id="1422"/>
      <w:r w:rsidRPr="00763640">
        <w:t xml:space="preserve"> si su ejecución se encuentra conforme a lo exigido en el Contrato y determinará la aceptación o rechazo de la misma. Aceptada la obra, se entenderá concedida la autorización para la puesta en Servicio de la carretera correspondiente al </w:t>
      </w:r>
      <w:r w:rsidRPr="00763640">
        <w:rPr>
          <w:lang w:val="es-ES"/>
        </w:rPr>
        <w:t>Hito Constructivo fi</w:t>
      </w:r>
      <w:r w:rsidRPr="00763640">
        <w:t xml:space="preserve">nalizado. </w:t>
      </w:r>
    </w:p>
    <w:p w14:paraId="4BF2F7E7" w14:textId="77777777" w:rsidR="004412F1" w:rsidRPr="00763640" w:rsidRDefault="004412F1">
      <w:pPr>
        <w:ind w:left="720"/>
        <w:jc w:val="both"/>
      </w:pPr>
    </w:p>
    <w:p w14:paraId="431D3D2C" w14:textId="77777777" w:rsidR="004412F1" w:rsidRPr="00763640" w:rsidRDefault="005A12A3">
      <w:pPr>
        <w:numPr>
          <w:ilvl w:val="1"/>
          <w:numId w:val="88"/>
        </w:numPr>
        <w:jc w:val="both"/>
      </w:pPr>
      <w:r w:rsidRPr="00763640">
        <w:t>De no pronunciarse el Comité de Aceptación en el plazo establecido, el Comité, por única vez, tendrá un plazo adicional de diez (10) Días para emitir dicho pronunciamiento. Las Actas de Aceptación pasarán a formar parte del Inventario de Bienes de la Concesión.</w:t>
      </w:r>
      <w:bookmarkEnd w:id="1421"/>
    </w:p>
    <w:p w14:paraId="53C09C2C" w14:textId="77777777" w:rsidR="004412F1" w:rsidRPr="00763640" w:rsidRDefault="005A12A3">
      <w:pPr>
        <w:ind w:left="720"/>
        <w:jc w:val="both"/>
      </w:pPr>
      <w:bookmarkStart w:id="1423" w:name="_k774ru6o7jmk"/>
      <w:bookmarkEnd w:id="1423"/>
      <w:r w:rsidRPr="00763640">
        <w:t xml:space="preserve"> </w:t>
      </w:r>
    </w:p>
    <w:p w14:paraId="1F342000" w14:textId="77777777" w:rsidR="004412F1" w:rsidRPr="00763640" w:rsidRDefault="005A12A3">
      <w:pPr>
        <w:numPr>
          <w:ilvl w:val="1"/>
          <w:numId w:val="88"/>
        </w:numPr>
        <w:suppressLineNumbers/>
        <w:suppressAutoHyphens/>
        <w:jc w:val="both"/>
        <w:rPr>
          <w:color w:val="000000" w:themeColor="text1"/>
        </w:rPr>
      </w:pPr>
      <w:bookmarkStart w:id="1424" w:name="_kpi2x7n3jbj1"/>
      <w:bookmarkEnd w:id="1424"/>
      <w:r w:rsidRPr="00763640">
        <w:rPr>
          <w:color w:val="000000" w:themeColor="text1"/>
        </w:rPr>
        <w:t>El Comité de Aceptación aprobará con observaciones la Rehabilitación y Mejoramiento</w:t>
      </w:r>
      <w:r w:rsidRPr="00763640">
        <w:rPr>
          <w:color w:val="000000" w:themeColor="text1"/>
          <w:lang w:val="es-ES"/>
        </w:rPr>
        <w:t xml:space="preserve"> o de la Construcción del evitamiento San Clemente</w:t>
      </w:r>
      <w:r w:rsidRPr="00763640">
        <w:rPr>
          <w:color w:val="000000" w:themeColor="text1"/>
        </w:rPr>
        <w:t>,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w:t>
      </w:r>
    </w:p>
    <w:p w14:paraId="2DBC5593" w14:textId="77777777" w:rsidR="004412F1" w:rsidRPr="00763640" w:rsidRDefault="004412F1">
      <w:pPr>
        <w:ind w:left="720"/>
        <w:jc w:val="both"/>
        <w:rPr>
          <w:color w:val="000000" w:themeColor="text1"/>
        </w:rPr>
      </w:pPr>
    </w:p>
    <w:p w14:paraId="2D2BBD5F" w14:textId="77777777" w:rsidR="004412F1" w:rsidRPr="00763640" w:rsidRDefault="005A12A3">
      <w:pPr>
        <w:ind w:left="720"/>
        <w:jc w:val="both"/>
        <w:rPr>
          <w:color w:val="000000" w:themeColor="text1"/>
        </w:rPr>
      </w:pPr>
      <w:r w:rsidRPr="00763640">
        <w:rPr>
          <w:color w:val="000000" w:themeColor="text1"/>
        </w:rPr>
        <w:t>En caso de rechazo de la Rehabilitación y Mejoramiento o de la Construcción del evitamiento San Clemente,</w:t>
      </w:r>
      <w:r w:rsidRPr="00763640">
        <w:rPr>
          <w:color w:val="000000" w:themeColor="text1"/>
          <w:lang w:val="es-ES"/>
        </w:rPr>
        <w:t xml:space="preserve"> </w:t>
      </w:r>
      <w:r w:rsidRPr="00763640">
        <w:rPr>
          <w:color w:val="000000" w:themeColor="text1"/>
        </w:rPr>
        <w:t xml:space="preserve">por el Comité de Aceptación, el CONCESIONARIO deberá cumplir con levantar las objeciones o subsanar las irregularidades detectadas por el Comité de Aceptación, de modo tal que pueda procederse a la puesta en Servicio del sector de la carretera en el plazo que le fije el Comité de Aceptación, el mismo que en ningún caso deberá exceder los </w:t>
      </w:r>
      <w:r w:rsidRPr="00763640">
        <w:rPr>
          <w:color w:val="000000" w:themeColor="text1"/>
        </w:rPr>
        <w:lastRenderedPageBreak/>
        <w:t xml:space="preserve">ciento veinte (120) Días, contados desde la notificación del Comité de Aceptación. </w:t>
      </w:r>
    </w:p>
    <w:p w14:paraId="020CBE9B" w14:textId="77777777" w:rsidR="004412F1" w:rsidRPr="00763640" w:rsidRDefault="004412F1">
      <w:pPr>
        <w:ind w:left="720"/>
        <w:jc w:val="both"/>
        <w:rPr>
          <w:color w:val="000000" w:themeColor="text1"/>
        </w:rPr>
      </w:pPr>
    </w:p>
    <w:p w14:paraId="3DF8F2A9" w14:textId="77777777" w:rsidR="004412F1" w:rsidRPr="00763640" w:rsidRDefault="005A12A3">
      <w:pPr>
        <w:suppressLineNumbers/>
        <w:suppressAutoHyphens/>
        <w:ind w:left="720"/>
        <w:jc w:val="both"/>
        <w:rPr>
          <w:color w:val="000000"/>
        </w:rPr>
      </w:pPr>
      <w:r w:rsidRPr="00763640">
        <w:rPr>
          <w:color w:val="000000"/>
        </w:rPr>
        <w:t>El a</w:t>
      </w:r>
      <w:r w:rsidRPr="00763640">
        <w:rPr>
          <w:color w:val="000000"/>
          <w:lang w:val="es-PE"/>
        </w:rPr>
        <w:t>traso</w:t>
      </w:r>
      <w:r w:rsidRPr="00763640">
        <w:rPr>
          <w:color w:val="000000"/>
          <w:lang w:val="es-ES"/>
        </w:rPr>
        <w:t xml:space="preserve"> en el plazo estipulado para subsanar las observaciones </w:t>
      </w:r>
      <w:r w:rsidRPr="00763640">
        <w:rPr>
          <w:color w:val="000000"/>
        </w:rPr>
        <w:t>generará una penalidad de acuerdo a lo indicado en la Tabla</w:t>
      </w:r>
      <w:r w:rsidRPr="00763640">
        <w:rPr>
          <w:color w:val="000000"/>
          <w:lang w:val="es-ES"/>
        </w:rPr>
        <w:t xml:space="preserve"> N°</w:t>
      </w:r>
      <w:r w:rsidRPr="00763640">
        <w:rPr>
          <w:color w:val="000000"/>
        </w:rPr>
        <w:t xml:space="preserve"> 3 </w:t>
      </w:r>
      <w:r w:rsidRPr="00763640">
        <w:rPr>
          <w:color w:val="000000"/>
          <w:lang w:val="es-ES"/>
        </w:rPr>
        <w:t xml:space="preserve">del </w:t>
      </w:r>
      <w:r w:rsidRPr="00763640">
        <w:rPr>
          <w:color w:val="000000"/>
        </w:rPr>
        <w:t>ANEXO IX.</w:t>
      </w:r>
      <w:r w:rsidRPr="00763640">
        <w:rPr>
          <w:color w:val="000000"/>
          <w:lang w:val="es-ES"/>
        </w:rPr>
        <w:t xml:space="preserve"> </w:t>
      </w:r>
    </w:p>
    <w:p w14:paraId="128219A3" w14:textId="77777777" w:rsidR="004412F1" w:rsidRPr="00763640" w:rsidRDefault="004412F1">
      <w:pPr>
        <w:jc w:val="both"/>
        <w:rPr>
          <w:color w:val="000000"/>
        </w:rPr>
      </w:pPr>
    </w:p>
    <w:p w14:paraId="241E3D56" w14:textId="77777777" w:rsidR="004412F1" w:rsidRPr="00763640" w:rsidRDefault="005A12A3">
      <w:pPr>
        <w:numPr>
          <w:ilvl w:val="1"/>
          <w:numId w:val="88"/>
        </w:numPr>
        <w:jc w:val="both"/>
        <w:rPr>
          <w:color w:val="000000"/>
        </w:rPr>
      </w:pPr>
      <w:r w:rsidRPr="00763640">
        <w:rPr>
          <w:color w:val="000000" w:themeColor="text1"/>
        </w:rPr>
        <w:t>Cualquiera de las Partes que no esté de acuerdo con el pronunciamiento del Comité de Aceptación podrá solicitar que la controversia sea</w:t>
      </w:r>
      <w:r w:rsidRPr="00763640">
        <w:rPr>
          <w:color w:val="000000" w:themeColor="text1"/>
          <w:lang w:val="es-ES"/>
        </w:rPr>
        <w:t xml:space="preserve"> resuelta de acuerdo a lo dispuesto en el Capítulo XIX del presente Contrato</w:t>
      </w:r>
      <w:r w:rsidRPr="00763640">
        <w:rPr>
          <w:color w:val="000000" w:themeColor="text1"/>
        </w:rPr>
        <w:t xml:space="preserve">. </w:t>
      </w:r>
    </w:p>
    <w:p w14:paraId="3723CBC8" w14:textId="77777777" w:rsidR="004412F1" w:rsidRPr="00763640" w:rsidRDefault="004412F1">
      <w:pPr>
        <w:jc w:val="both"/>
        <w:rPr>
          <w:color w:val="000000"/>
        </w:rPr>
      </w:pPr>
    </w:p>
    <w:p w14:paraId="734D92B1" w14:textId="77777777" w:rsidR="004412F1" w:rsidRPr="00763640" w:rsidRDefault="005A12A3">
      <w:pPr>
        <w:numPr>
          <w:ilvl w:val="1"/>
          <w:numId w:val="88"/>
        </w:numPr>
        <w:suppressLineNumbers/>
        <w:suppressAutoHyphens/>
        <w:jc w:val="both"/>
        <w:rPr>
          <w:color w:val="000000"/>
        </w:rPr>
      </w:pPr>
      <w:r w:rsidRPr="00763640">
        <w:rPr>
          <w:color w:val="000000" w:themeColor="text1"/>
        </w:rPr>
        <w:t>En caso venza el plazo fijado por el Comité de Aceptación para la subsanación correspondiente, sin que la obra haya sido aceptado por causas imputables al CONCESIONARIO, el CONCEDENTE procederá a resolver el Contrato, previa opinión del REGULADOR conforme a lo prescrito en el Capítulo XV</w:t>
      </w:r>
      <w:r w:rsidRPr="00763640">
        <w:rPr>
          <w:color w:val="000000" w:themeColor="text1"/>
          <w:lang w:val="es-PE"/>
        </w:rPr>
        <w:t>I</w:t>
      </w:r>
      <w:r w:rsidRPr="00763640">
        <w:rPr>
          <w:color w:val="000000" w:themeColor="text1"/>
        </w:rPr>
        <w:t xml:space="preserve">I y a ejecutar la Garantía de Fiel Cumplimiento de Ejecución </w:t>
      </w:r>
      <w:r w:rsidRPr="00763640">
        <w:rPr>
          <w:color w:val="000000" w:themeColor="text1"/>
          <w:lang w:val="es-ES"/>
        </w:rPr>
        <w:t>correspondiente</w:t>
      </w:r>
      <w:r w:rsidRPr="00763640">
        <w:rPr>
          <w:color w:val="000000" w:themeColor="text1"/>
        </w:rPr>
        <w:t xml:space="preserve">. </w:t>
      </w:r>
    </w:p>
    <w:bookmarkEnd w:id="1418"/>
    <w:bookmarkEnd w:id="1419"/>
    <w:p w14:paraId="020184BE" w14:textId="77777777" w:rsidR="004412F1" w:rsidRPr="00763640" w:rsidRDefault="004412F1">
      <w:pPr>
        <w:suppressLineNumbers/>
        <w:suppressAutoHyphens/>
        <w:ind w:left="720" w:hanging="709"/>
        <w:jc w:val="both"/>
        <w:rPr>
          <w:b/>
          <w:color w:val="000000"/>
        </w:rPr>
      </w:pPr>
    </w:p>
    <w:p w14:paraId="0F4E2AFE" w14:textId="77777777" w:rsidR="004412F1" w:rsidRPr="00763640" w:rsidRDefault="005A12A3" w:rsidP="00161B9F">
      <w:pPr>
        <w:suppressLineNumbers/>
        <w:suppressAutoHyphens/>
        <w:ind w:left="709"/>
        <w:jc w:val="both"/>
        <w:rPr>
          <w:rFonts w:eastAsia="SimSun"/>
          <w:b/>
          <w:bCs/>
          <w:lang w:eastAsia="zh-CN"/>
        </w:rPr>
      </w:pPr>
      <w:bookmarkStart w:id="1425" w:name="_21od6so" w:colFirst="0" w:colLast="0"/>
      <w:bookmarkEnd w:id="1415"/>
      <w:bookmarkEnd w:id="1425"/>
      <w:r w:rsidRPr="00763640">
        <w:rPr>
          <w:rFonts w:eastAsia="SimSun"/>
          <w:b/>
        </w:rPr>
        <w:t>Mantenimiento</w:t>
      </w:r>
      <w:r w:rsidRPr="00763640">
        <w:rPr>
          <w:rFonts w:eastAsia="SimSun"/>
          <w:b/>
          <w:bCs/>
          <w:lang w:eastAsia="zh-CN"/>
        </w:rPr>
        <w:t xml:space="preserve"> Periódico Inicial</w:t>
      </w:r>
    </w:p>
    <w:p w14:paraId="44D40E12" w14:textId="77777777" w:rsidR="004412F1" w:rsidRPr="00763640" w:rsidRDefault="004412F1">
      <w:pPr>
        <w:suppressLineNumbers/>
        <w:suppressAutoHyphens/>
        <w:ind w:left="709" w:hanging="709"/>
        <w:rPr>
          <w:rFonts w:eastAsia="SimSun"/>
          <w:b/>
        </w:rPr>
      </w:pPr>
    </w:p>
    <w:p w14:paraId="162C9113" w14:textId="77777777" w:rsidR="004412F1" w:rsidRPr="00763640" w:rsidRDefault="005A12A3">
      <w:pPr>
        <w:numPr>
          <w:ilvl w:val="1"/>
          <w:numId w:val="88"/>
        </w:numPr>
        <w:jc w:val="both"/>
        <w:rPr>
          <w:rFonts w:eastAsia="Times New Roman"/>
          <w:bCs/>
          <w:color w:val="000000"/>
          <w:szCs w:val="18"/>
          <w:lang w:val="es-ES" w:eastAsia="es-ES"/>
        </w:rPr>
      </w:pPr>
      <w:bookmarkStart w:id="1426" w:name="_Ref352311986"/>
      <w:r w:rsidRPr="00763640">
        <w:rPr>
          <w:color w:val="000000" w:themeColor="text1"/>
        </w:rPr>
        <w:t xml:space="preserve">En el plazo de cinco (5) Días de solicitada la aceptación del Mantenimiento Periódico Inicial, el CONCEDENTE nombrará un Comité de Aceptación, el que deberá contar por lo menos con un representante del REGULADOR en calidad de veedor. </w:t>
      </w:r>
    </w:p>
    <w:p w14:paraId="46C632C9" w14:textId="77777777" w:rsidR="004412F1" w:rsidRPr="00763640" w:rsidRDefault="004412F1">
      <w:pPr>
        <w:ind w:left="720"/>
        <w:jc w:val="both"/>
        <w:rPr>
          <w:color w:val="000000"/>
        </w:rPr>
      </w:pPr>
    </w:p>
    <w:p w14:paraId="3C971B4B" w14:textId="77777777" w:rsidR="004412F1" w:rsidRPr="00763640" w:rsidRDefault="005A12A3">
      <w:pPr>
        <w:ind w:left="720"/>
        <w:jc w:val="both"/>
        <w:rPr>
          <w:rFonts w:eastAsia="SimSun"/>
          <w:bCs/>
          <w:color w:val="000000" w:themeColor="text1"/>
          <w:szCs w:val="18"/>
          <w:lang w:val="es-ES" w:eastAsia="zh-CN"/>
        </w:rPr>
      </w:pPr>
      <w:r w:rsidRPr="00763640">
        <w:rPr>
          <w:color w:val="000000" w:themeColor="text1"/>
        </w:rPr>
        <w:t xml:space="preserve">El Comité de Aceptación, en el plazo de treinta (30) Días, contados desde su nombramiento, dictaminará mediante el Acta de Aceptación o Rechazo del Hito Funcional correspondiente, si su ejecución se encuentra conforme a lo exigido en el Contrato y determinará la aceptación o rechazo de la misma. Aceptado el Mantenimiento Periódico Inicial, se entenderá concedida la autorización para la puesta en Servicio de la carretera correspondiente al Sub Tramo de la Concesión y el (las) Acta(s) de Aceptación, pasará(n) a formar parte del Inventario de Bienes de la Concesión. </w:t>
      </w:r>
    </w:p>
    <w:p w14:paraId="0BFED0A9" w14:textId="77777777" w:rsidR="004412F1" w:rsidRPr="00763640" w:rsidRDefault="004412F1">
      <w:pPr>
        <w:ind w:left="720"/>
        <w:jc w:val="both"/>
        <w:rPr>
          <w:rFonts w:eastAsia="SimSun"/>
          <w:color w:val="000000" w:themeColor="text1"/>
          <w:lang w:eastAsia="zh-CN"/>
        </w:rPr>
      </w:pPr>
    </w:p>
    <w:p w14:paraId="499790A7" w14:textId="77777777" w:rsidR="004412F1" w:rsidRPr="00763640" w:rsidRDefault="005A12A3">
      <w:pPr>
        <w:numPr>
          <w:ilvl w:val="1"/>
          <w:numId w:val="88"/>
        </w:numPr>
        <w:jc w:val="both"/>
        <w:rPr>
          <w:color w:val="000000"/>
        </w:rPr>
      </w:pPr>
      <w:r w:rsidRPr="00763640">
        <w:rPr>
          <w:color w:val="000000" w:themeColor="text1"/>
        </w:rPr>
        <w:t xml:space="preserve">De no pronunciarse el Comité de Aceptación en el plazo establecido, el Comité, por única vez, tendrá un plazo adicional de diez (10) Días para emitir dicho </w:t>
      </w:r>
      <w:r w:rsidRPr="00763640">
        <w:rPr>
          <w:bCs/>
          <w:color w:val="000000" w:themeColor="text1"/>
          <w:szCs w:val="18"/>
          <w:lang w:val="es-ES" w:eastAsia="es-ES"/>
        </w:rPr>
        <w:t>pronunciamiento</w:t>
      </w:r>
      <w:r w:rsidRPr="00763640">
        <w:rPr>
          <w:color w:val="000000" w:themeColor="text1"/>
        </w:rPr>
        <w:t xml:space="preserve">. Transcurrido el plazo adicional sin haberse producido el pronunciamiento del Comité, se entenderá que el </w:t>
      </w:r>
      <w:r w:rsidRPr="00763640">
        <w:rPr>
          <w:color w:val="000000" w:themeColor="text1"/>
          <w:lang w:val="es-ES"/>
        </w:rPr>
        <w:t xml:space="preserve">Hito Funcional </w:t>
      </w:r>
      <w:r w:rsidRPr="00763640">
        <w:rPr>
          <w:color w:val="000000" w:themeColor="text1"/>
        </w:rPr>
        <w:t>correspondiente no ha sido aceptado.</w:t>
      </w:r>
      <w:bookmarkEnd w:id="1426"/>
      <w:r w:rsidRPr="00763640">
        <w:rPr>
          <w:color w:val="000000" w:themeColor="text1"/>
        </w:rPr>
        <w:t xml:space="preserve"> </w:t>
      </w:r>
    </w:p>
    <w:p w14:paraId="5695256B" w14:textId="77777777" w:rsidR="004412F1" w:rsidRPr="00763640" w:rsidRDefault="004412F1">
      <w:pPr>
        <w:suppressLineNumbers/>
        <w:suppressAutoHyphens/>
        <w:ind w:left="720"/>
        <w:jc w:val="both"/>
        <w:rPr>
          <w:color w:val="000000"/>
        </w:rPr>
      </w:pPr>
    </w:p>
    <w:p w14:paraId="32C9500A" w14:textId="77777777" w:rsidR="004412F1" w:rsidRPr="00763640" w:rsidRDefault="005A12A3">
      <w:pPr>
        <w:numPr>
          <w:ilvl w:val="1"/>
          <w:numId w:val="88"/>
        </w:numPr>
        <w:suppressLineNumbers/>
        <w:suppressAutoHyphens/>
        <w:jc w:val="both"/>
        <w:rPr>
          <w:color w:val="000000"/>
        </w:rPr>
      </w:pPr>
      <w:bookmarkStart w:id="1427" w:name="_Ref272155553"/>
      <w:r w:rsidRPr="00763640">
        <w:rPr>
          <w:color w:val="000000"/>
        </w:rPr>
        <w:t>El Comité de Aceptación aprobará con observaciones el Mantenimiento Periódico Inicial en caso de que se encuentren defectos menores, cuya subsanación no represente más del uno por ciento (1.0%) del valor del presupuesto de ejecución. El CONCESIONARIO tendrá treinta (30) Días prorrogables por el Comité de Aceptación hasta un máximo de noventa (90) Días, para efectuar la subsanación de las observaciones, quedando concedida la autorización para la puesta en servicio de la carretera en el Sub Tramo correspondiente una vez verificado el levantamiento de las observaciones.</w:t>
      </w:r>
      <w:bookmarkEnd w:id="1427"/>
    </w:p>
    <w:p w14:paraId="70106520" w14:textId="77777777" w:rsidR="004412F1" w:rsidRPr="00763640" w:rsidRDefault="004412F1">
      <w:pPr>
        <w:suppressLineNumbers/>
        <w:suppressAutoHyphens/>
        <w:ind w:left="720"/>
        <w:jc w:val="both"/>
        <w:rPr>
          <w:color w:val="000000"/>
        </w:rPr>
      </w:pPr>
    </w:p>
    <w:p w14:paraId="40046021" w14:textId="77777777" w:rsidR="004412F1" w:rsidRPr="00763640" w:rsidRDefault="005A12A3">
      <w:pPr>
        <w:suppressLineNumbers/>
        <w:suppressAutoHyphens/>
        <w:ind w:left="720"/>
        <w:jc w:val="both"/>
        <w:rPr>
          <w:color w:val="000000"/>
        </w:rPr>
      </w:pPr>
      <w:r w:rsidRPr="00763640">
        <w:rPr>
          <w:color w:val="000000"/>
        </w:rPr>
        <w:t>El a</w:t>
      </w:r>
      <w:r w:rsidRPr="00763640">
        <w:rPr>
          <w:color w:val="000000"/>
          <w:lang w:val="es-PE"/>
        </w:rPr>
        <w:t>traso</w:t>
      </w:r>
      <w:r w:rsidRPr="00763640">
        <w:rPr>
          <w:color w:val="000000"/>
          <w:lang w:val="es-ES"/>
        </w:rPr>
        <w:t xml:space="preserve"> en el plazo estipulado para subsanar las observaciones </w:t>
      </w:r>
      <w:r w:rsidRPr="00763640">
        <w:rPr>
          <w:color w:val="000000"/>
        </w:rPr>
        <w:t>generará una penalidad de acuerdo a lo indicado en la Tabla</w:t>
      </w:r>
      <w:r w:rsidRPr="00763640">
        <w:rPr>
          <w:color w:val="000000"/>
          <w:lang w:val="es-ES"/>
        </w:rPr>
        <w:t xml:space="preserve"> N°</w:t>
      </w:r>
      <w:r w:rsidRPr="00763640">
        <w:rPr>
          <w:color w:val="000000"/>
        </w:rPr>
        <w:t xml:space="preserve"> 3 </w:t>
      </w:r>
      <w:r w:rsidRPr="00763640">
        <w:rPr>
          <w:color w:val="000000"/>
          <w:lang w:val="es-ES"/>
        </w:rPr>
        <w:t xml:space="preserve">del </w:t>
      </w:r>
      <w:r w:rsidRPr="00763640">
        <w:rPr>
          <w:color w:val="000000"/>
        </w:rPr>
        <w:t>ANEXO IX.</w:t>
      </w:r>
      <w:r w:rsidRPr="00763640">
        <w:rPr>
          <w:color w:val="000000"/>
          <w:lang w:val="es-ES"/>
        </w:rPr>
        <w:t xml:space="preserve"> </w:t>
      </w:r>
    </w:p>
    <w:p w14:paraId="02E8B439" w14:textId="77777777" w:rsidR="004412F1" w:rsidRPr="00763640" w:rsidRDefault="004412F1">
      <w:pPr>
        <w:suppressLineNumbers/>
        <w:suppressAutoHyphens/>
        <w:ind w:left="720"/>
        <w:jc w:val="both"/>
        <w:rPr>
          <w:color w:val="000000"/>
        </w:rPr>
      </w:pPr>
    </w:p>
    <w:p w14:paraId="3456A734" w14:textId="77777777" w:rsidR="004412F1" w:rsidRPr="00763640" w:rsidRDefault="005A12A3">
      <w:pPr>
        <w:suppressLineNumbers/>
        <w:suppressAutoHyphens/>
        <w:ind w:left="720"/>
        <w:jc w:val="both"/>
        <w:rPr>
          <w:color w:val="000000"/>
          <w:lang w:val="es-ES"/>
        </w:rPr>
      </w:pPr>
      <w:r w:rsidRPr="00763640">
        <w:rPr>
          <w:color w:val="000000"/>
        </w:rPr>
        <w:t xml:space="preserve">En caso de rechazo del Mantenimiento Periódico Inicial por el Comité de Aceptación, el CONCESIONARIO deberá cumplir con levantar las objeciones o subsanar las irregularidades detectadas por el Comité de Aceptación, de modo tal que pueda procederse a la puesta en Servicio del Sub Tramo correspondiente </w:t>
      </w:r>
      <w:r w:rsidRPr="00763640">
        <w:rPr>
          <w:color w:val="000000"/>
        </w:rPr>
        <w:lastRenderedPageBreak/>
        <w:t>de la carretera en el plazo que le fije el Comité de Aceptación, el mismo que en ningún caso deberá exceder los ciento veinte (120) Días, contados desde la notificación del Comité de Aceptación</w:t>
      </w:r>
      <w:r w:rsidRPr="00763640">
        <w:rPr>
          <w:color w:val="000000"/>
          <w:lang w:val="es-ES"/>
        </w:rPr>
        <w:t>.</w:t>
      </w:r>
    </w:p>
    <w:p w14:paraId="7B594E15" w14:textId="77777777" w:rsidR="004412F1" w:rsidRPr="00763640" w:rsidRDefault="004412F1">
      <w:pPr>
        <w:ind w:left="720"/>
        <w:jc w:val="both"/>
        <w:rPr>
          <w:color w:val="000000"/>
          <w:lang w:val="es-ES"/>
        </w:rPr>
      </w:pPr>
    </w:p>
    <w:p w14:paraId="2C156475" w14:textId="77777777" w:rsidR="004412F1" w:rsidRPr="00763640" w:rsidRDefault="005A12A3">
      <w:pPr>
        <w:numPr>
          <w:ilvl w:val="1"/>
          <w:numId w:val="88"/>
        </w:numPr>
        <w:suppressLineNumbers/>
        <w:suppressAutoHyphens/>
        <w:jc w:val="both"/>
        <w:rPr>
          <w:color w:val="FF0000"/>
        </w:rPr>
      </w:pPr>
      <w:bookmarkStart w:id="1428" w:name="_Ref272155724"/>
      <w:r w:rsidRPr="00763640">
        <w:rPr>
          <w:color w:val="000000" w:themeColor="text1"/>
        </w:rPr>
        <w:t xml:space="preserve">Cualquiera de las Partes que no esté de acuerdo con el pronunciamiento del Comité de Aceptación podrá solicitar que la controversia sea </w:t>
      </w:r>
      <w:bookmarkEnd w:id="1428"/>
      <w:r w:rsidRPr="00763640">
        <w:rPr>
          <w:color w:val="000000" w:themeColor="text1"/>
        </w:rPr>
        <w:t xml:space="preserve">resuelta de acuerdo a lo dispuesto en el Capítulo XIX del presente Contrato. </w:t>
      </w:r>
    </w:p>
    <w:p w14:paraId="4BBB947A" w14:textId="77777777" w:rsidR="004412F1" w:rsidRPr="00763640" w:rsidRDefault="004412F1">
      <w:pPr>
        <w:ind w:left="720"/>
        <w:jc w:val="both"/>
        <w:rPr>
          <w:color w:val="000000"/>
          <w:lang w:val="es-ES"/>
        </w:rPr>
      </w:pPr>
    </w:p>
    <w:p w14:paraId="763BDA18" w14:textId="77777777" w:rsidR="004412F1" w:rsidRPr="00763640" w:rsidRDefault="005A12A3">
      <w:pPr>
        <w:numPr>
          <w:ilvl w:val="1"/>
          <w:numId w:val="88"/>
        </w:numPr>
        <w:suppressLineNumbers/>
        <w:suppressAutoHyphens/>
        <w:jc w:val="both"/>
        <w:rPr>
          <w:color w:val="000000"/>
        </w:rPr>
      </w:pPr>
      <w:bookmarkStart w:id="1429" w:name="_Ref272503638"/>
      <w:r w:rsidRPr="00763640">
        <w:rPr>
          <w:color w:val="000000"/>
        </w:rPr>
        <w:t>En caso venza el plazo fijado por el Comité de Aceptación para la subsanación correspondiente, sin que el  Mantenimiento Periódico Inicial haya sido aceptado por causas imputables al CONCESIONARIO, el CONCEDENTE procederá a resolver el Contrato, previa opinión del REGULADOR conforme a lo prescrito en el CAPÍTULO XV</w:t>
      </w:r>
      <w:r w:rsidRPr="00763640">
        <w:rPr>
          <w:color w:val="000000"/>
          <w:lang w:val="es-PE"/>
        </w:rPr>
        <w:t>I</w:t>
      </w:r>
      <w:r w:rsidRPr="00763640">
        <w:rPr>
          <w:color w:val="000000"/>
        </w:rPr>
        <w:t xml:space="preserve">I y </w:t>
      </w:r>
      <w:r w:rsidRPr="00763640">
        <w:rPr>
          <w:color w:val="000000"/>
          <w:lang w:val="es-PE"/>
        </w:rPr>
        <w:t>a ejecutar la Garantía de Fiel Cumplimiento de Ejecución de Mantenimiento Periódico Inicial</w:t>
      </w:r>
      <w:r w:rsidRPr="00763640">
        <w:rPr>
          <w:color w:val="000000"/>
        </w:rPr>
        <w:t>, conforme a las disposiciones de este CAPÍTULO.</w:t>
      </w:r>
      <w:bookmarkEnd w:id="1429"/>
      <w:r w:rsidRPr="00763640">
        <w:rPr>
          <w:color w:val="000000"/>
        </w:rPr>
        <w:t xml:space="preserve"> </w:t>
      </w:r>
    </w:p>
    <w:p w14:paraId="712AB963" w14:textId="77777777" w:rsidR="004412F1" w:rsidRPr="00763640" w:rsidRDefault="004412F1">
      <w:pPr>
        <w:rPr>
          <w:rFonts w:eastAsia="SimSun"/>
          <w:lang w:eastAsia="zh-CN"/>
        </w:rPr>
      </w:pPr>
      <w:bookmarkStart w:id="1430" w:name="_Toc94329528"/>
      <w:bookmarkStart w:id="1431" w:name="_Toc131329350"/>
      <w:bookmarkStart w:id="1432" w:name="_Toc131328782"/>
      <w:bookmarkStart w:id="1433" w:name="_Toc94330160"/>
      <w:bookmarkStart w:id="1434" w:name="_Toc131332945"/>
      <w:bookmarkStart w:id="1435" w:name="_Toc131332024"/>
      <w:bookmarkStart w:id="1436" w:name="_Toc94329036"/>
      <w:bookmarkStart w:id="1437" w:name="_Toc94328780"/>
      <w:bookmarkStart w:id="1438" w:name="_Toc131329118"/>
      <w:bookmarkStart w:id="1439" w:name="_Toc94337616"/>
      <w:bookmarkStart w:id="1440" w:name="_Toc94328520"/>
      <w:bookmarkStart w:id="1441" w:name="_Toc134448819"/>
      <w:bookmarkStart w:id="1442" w:name="_Toc131329937"/>
      <w:bookmarkStart w:id="1443" w:name="_Toc102405305"/>
      <w:bookmarkStart w:id="1444" w:name="_Toc94337847"/>
      <w:bookmarkStart w:id="1445" w:name="_Toc131327966"/>
      <w:bookmarkStart w:id="1446" w:name="_Toc94329282"/>
    </w:p>
    <w:p w14:paraId="0F16EFBF" w14:textId="77777777" w:rsidR="004412F1" w:rsidRPr="00763640" w:rsidRDefault="005A12A3">
      <w:pPr>
        <w:pStyle w:val="Ttulo2"/>
        <w:ind w:left="0"/>
        <w:jc w:val="both"/>
        <w:rPr>
          <w:b/>
        </w:rPr>
      </w:pPr>
      <w:bookmarkStart w:id="1447" w:name="_gtnh0h" w:colFirst="0" w:colLast="0"/>
      <w:bookmarkStart w:id="1448" w:name="_OBRAS_ADICIONALES"/>
      <w:bookmarkStart w:id="1449" w:name="_Toc139294734"/>
      <w:bookmarkStart w:id="1450" w:name="_Toc140089332"/>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r w:rsidRPr="00763640">
        <w:rPr>
          <w:rFonts w:ascii="Arial" w:eastAsia="Arial" w:hAnsi="Arial" w:cs="Arial"/>
          <w:b/>
          <w:bCs/>
          <w:szCs w:val="18"/>
          <w:u w:val="none"/>
          <w:lang w:eastAsia="es-ES"/>
        </w:rPr>
        <w:t>PAGOS DEL</w:t>
      </w:r>
      <w:bookmarkStart w:id="1451" w:name="_Toc94337617"/>
      <w:bookmarkStart w:id="1452" w:name="_Toc94329529"/>
      <w:bookmarkStart w:id="1453" w:name="_Toc131332025"/>
      <w:bookmarkStart w:id="1454" w:name="_Toc94329283"/>
      <w:bookmarkStart w:id="1455" w:name="_Toc94329037"/>
      <w:bookmarkStart w:id="1456" w:name="_Toc94328781"/>
      <w:bookmarkStart w:id="1457" w:name="_Toc131332946"/>
      <w:bookmarkStart w:id="1458" w:name="_Toc468837638"/>
      <w:bookmarkStart w:id="1459" w:name="_Toc94328521"/>
      <w:bookmarkStart w:id="1460" w:name="_Toc131328783"/>
      <w:bookmarkStart w:id="1461" w:name="_Toc102405306"/>
      <w:bookmarkStart w:id="1462" w:name="_Toc131329938"/>
      <w:bookmarkStart w:id="1463" w:name="_Toc94330161"/>
      <w:bookmarkStart w:id="1464" w:name="_Toc131329119"/>
      <w:bookmarkStart w:id="1465" w:name="_Toc134448820"/>
      <w:bookmarkStart w:id="1466" w:name="_Toc94337848"/>
      <w:bookmarkStart w:id="1467" w:name="_Toc131327967"/>
      <w:bookmarkStart w:id="1468" w:name="_Toc131329351"/>
      <w:r w:rsidRPr="00763640">
        <w:rPr>
          <w:rFonts w:ascii="Arial" w:eastAsia="Arial" w:hAnsi="Arial" w:cs="Arial"/>
          <w:b/>
          <w:bCs/>
          <w:szCs w:val="18"/>
          <w:u w:val="none"/>
          <w:lang w:eastAsia="es-ES"/>
        </w:rPr>
        <w:t xml:space="preserve"> CONCESIONARIO POR CONCEPTO DE SUPERVISIÓN DE LAS </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r w:rsidRPr="00763640">
        <w:rPr>
          <w:rFonts w:ascii="Arial" w:eastAsia="Arial" w:hAnsi="Arial" w:cs="Arial"/>
          <w:b/>
          <w:bCs/>
          <w:u w:val="none"/>
        </w:rPr>
        <w:t>INTERVENCIONES</w:t>
      </w:r>
      <w:bookmarkEnd w:id="1449"/>
      <w:bookmarkEnd w:id="1450"/>
      <w:r w:rsidRPr="00763640">
        <w:rPr>
          <w:rFonts w:ascii="Arial" w:eastAsia="Arial" w:hAnsi="Arial" w:cs="Arial"/>
          <w:b/>
          <w:bCs/>
          <w:u w:val="none"/>
        </w:rPr>
        <w:t xml:space="preserve"> </w:t>
      </w:r>
    </w:p>
    <w:p w14:paraId="7DF831B3" w14:textId="77777777" w:rsidR="004412F1" w:rsidRPr="00763640" w:rsidRDefault="004412F1">
      <w:pPr>
        <w:ind w:left="705"/>
        <w:jc w:val="both"/>
      </w:pPr>
    </w:p>
    <w:p w14:paraId="35978C86" w14:textId="77777777" w:rsidR="004412F1" w:rsidRPr="00763640" w:rsidRDefault="005A12A3">
      <w:pPr>
        <w:pStyle w:val="Prrafodelista"/>
        <w:numPr>
          <w:ilvl w:val="1"/>
          <w:numId w:val="88"/>
        </w:numPr>
        <w:jc w:val="both"/>
      </w:pPr>
      <w:bookmarkStart w:id="1469" w:name="_30tazoa"/>
      <w:bookmarkEnd w:id="1469"/>
      <w:r w:rsidRPr="00763640">
        <w:t>El CONCESIONARIO deberá realizar los pagos que demande la supervisión contratada por el REGULADOR, para los fines exclusivamente de este Contrato, por un monto equivalente al seis por ciento (6%) de [] 00/100 Dólares (US$ []) por Rehabilitación y Mejoramiento más IGV, y de igual manera, seis por ciento (6%) de [] 00/100 Dólares (US$ []) incluido el IGV para el Mantenimiento Periódico Inicial y seis por ciento (6%) de [] 00/100 Dólares (US$ []) incluido el IGV para el para la Construcción del Evitamiento San Clemente. Los montos indicados representan el monto total por todo concepto relacionado a la supervisión de la Rehabilitación y Mejoramiento, incluyendo la Construcción del Evitamiento San Clemente, y Mantenimiento Periódico Inicial.</w:t>
      </w:r>
    </w:p>
    <w:p w14:paraId="11F6CB1F" w14:textId="77777777" w:rsidR="004412F1" w:rsidRPr="00763640" w:rsidRDefault="004412F1">
      <w:pPr>
        <w:ind w:left="794"/>
        <w:jc w:val="both"/>
        <w:rPr>
          <w:sz w:val="20"/>
          <w:szCs w:val="20"/>
        </w:rPr>
      </w:pPr>
    </w:p>
    <w:p w14:paraId="43DB20F4" w14:textId="77777777" w:rsidR="004412F1" w:rsidRPr="00763640" w:rsidRDefault="005A12A3">
      <w:pPr>
        <w:ind w:left="720" w:hanging="11"/>
        <w:jc w:val="both"/>
      </w:pPr>
      <w:r w:rsidRPr="00763640">
        <w:t xml:space="preserve">Con la finalidad de dotar al REGULADOR de fondos para el inicio del proceso de contratación del supervisor para la Rehabilitación y Mejoramiento, para el Mantenimiento Periódico Inicial y para la Construcción del Evitamiento San Clemente, el CONCESIONARIO deberá </w:t>
      </w:r>
      <w:r w:rsidRPr="00763640">
        <w:rPr>
          <w:lang w:val="es-ES"/>
        </w:rPr>
        <w:t>realizar</w:t>
      </w:r>
      <w:r w:rsidRPr="00763640">
        <w:t xml:space="preserve"> pagos a cuenta por el concepto de las mencionadas supervisiones, de acuerdo a lo siguiente:</w:t>
      </w:r>
    </w:p>
    <w:p w14:paraId="488C0F6D" w14:textId="77777777" w:rsidR="004412F1" w:rsidRPr="00763640" w:rsidRDefault="004412F1">
      <w:pPr>
        <w:ind w:left="720" w:hanging="11"/>
        <w:jc w:val="both"/>
      </w:pPr>
    </w:p>
    <w:p w14:paraId="403899D2" w14:textId="77777777" w:rsidR="004412F1" w:rsidRPr="00763640" w:rsidRDefault="005A12A3">
      <w:pPr>
        <w:numPr>
          <w:ilvl w:val="0"/>
          <w:numId w:val="93"/>
        </w:numPr>
        <w:ind w:left="993" w:hanging="284"/>
        <w:jc w:val="both"/>
      </w:pPr>
      <w:r w:rsidRPr="00763640">
        <w:t xml:space="preserve"> El CONCESIONARIO deberá entregar tres  (3) cheques de gerencia a favor del REGULADOR para el inicio del proceso de contratación de los supervisores: i) a la fecha de suscripción del contrato de concesión, por un monto de un millón y quinientos mil Dólares Americanos [] 00/100 Dólares (US$ []), el mismo que constituirá un pago a cuenta por el concepto de supervisión del Mantenimiento Periódico Inicial; i) 90 Días Calendario previos a la presentación del EDI de RyM, por un monto de [] 00/100 Dólares (US$ []), el mismo que constituirá un pago a cuenta por el concepto de supervisión de la Rehabilitación y Mejoramiento; y ii) 90 Días Calendario previos a la presentación del EDI para el Evitamiento San Clemente, por un monto de [] 00/100 Dólares (US$ []), el mismo que constituirá un pago a cuenta por el concepto de supervisión de la Construcción del Evitamiento San Clemente.</w:t>
      </w:r>
    </w:p>
    <w:p w14:paraId="5671E33B" w14:textId="77777777" w:rsidR="004412F1" w:rsidRPr="00763640" w:rsidRDefault="004412F1">
      <w:pPr>
        <w:ind w:left="1134"/>
        <w:jc w:val="both"/>
      </w:pPr>
    </w:p>
    <w:p w14:paraId="6A273562" w14:textId="77777777" w:rsidR="004412F1" w:rsidRPr="00763640" w:rsidRDefault="005A12A3">
      <w:pPr>
        <w:numPr>
          <w:ilvl w:val="0"/>
          <w:numId w:val="93"/>
        </w:numPr>
        <w:ind w:left="993" w:hanging="284"/>
        <w:jc w:val="both"/>
      </w:pPr>
      <w:r w:rsidRPr="00763640">
        <w:t xml:space="preserve">El saldo correspondiente para completar el 6% por la supervisión de las intervenciones por el Mantenimiento Periódico Inicial y de las intervenciones de la Rehabilitación y Mejoramiento, será pagado por el CONCESIONARIO en seis (06) cuotas semestrales iguales. La primera cuota correspondiente a los pagos de cada intervención deberá ser pagada a más tardar a los diez </w:t>
      </w:r>
      <w:r w:rsidRPr="00763640">
        <w:lastRenderedPageBreak/>
        <w:t xml:space="preserve">(10) Días Calendario contados desde la fecha de inicio de la ejecución de las referidas intervenciones. Las cinco (05) cuotas restantes correspondientes a cada pago, se realizarán con vencimientos semestrales, quince (15) Días Calendario previos a la culminación del semestre correspondiente. </w:t>
      </w:r>
    </w:p>
    <w:p w14:paraId="7D37E077" w14:textId="77777777" w:rsidR="004412F1" w:rsidRPr="00763640" w:rsidRDefault="004412F1">
      <w:pPr>
        <w:ind w:left="1134"/>
        <w:jc w:val="both"/>
      </w:pPr>
    </w:p>
    <w:p w14:paraId="63AB3CB3" w14:textId="77777777" w:rsidR="004412F1" w:rsidRPr="00763640" w:rsidRDefault="005A12A3">
      <w:pPr>
        <w:numPr>
          <w:ilvl w:val="0"/>
          <w:numId w:val="93"/>
        </w:numPr>
        <w:suppressLineNumbers/>
        <w:suppressAutoHyphens/>
        <w:ind w:left="993" w:hanging="284"/>
        <w:jc w:val="both"/>
        <w:rPr>
          <w:lang w:val="es-PE"/>
        </w:rPr>
      </w:pPr>
      <w:r w:rsidRPr="00763640">
        <w:t xml:space="preserve">El saldo correspondiente para completar el 6% por la supervisión de la </w:t>
      </w:r>
      <w:bookmarkStart w:id="1470" w:name="_Ref353354586"/>
      <w:r w:rsidRPr="00763640">
        <w:t xml:space="preserve">Construcción del Evitamiento San Clemente será pagado por el CONCESIONARIO </w:t>
      </w:r>
      <w:bookmarkStart w:id="1471" w:name="_Toc120419365"/>
      <w:bookmarkEnd w:id="1470"/>
      <w:r w:rsidRPr="00763640">
        <w:t>en una (01) sola cuota, la cual deberá ser pagada a más tardar a los diez (10</w:t>
      </w:r>
      <w:bookmarkEnd w:id="1471"/>
      <w:r w:rsidRPr="00763640">
        <w:rPr>
          <w:lang w:val="es-ES"/>
        </w:rPr>
        <w:t xml:space="preserve">) Días Calendario </w:t>
      </w:r>
      <w:r w:rsidRPr="00763640">
        <w:t>previos al inicio de la Construcción del Evitamiento San Clemente.</w:t>
      </w:r>
    </w:p>
    <w:p w14:paraId="3B448874" w14:textId="77777777" w:rsidR="004412F1" w:rsidRPr="00763640" w:rsidRDefault="004412F1">
      <w:pPr>
        <w:ind w:left="720"/>
        <w:jc w:val="both"/>
      </w:pPr>
    </w:p>
    <w:p w14:paraId="4F33936B" w14:textId="77777777" w:rsidR="004412F1" w:rsidRPr="00763640" w:rsidRDefault="005A12A3">
      <w:pPr>
        <w:numPr>
          <w:ilvl w:val="0"/>
          <w:numId w:val="93"/>
        </w:numPr>
        <w:ind w:left="993" w:hanging="284"/>
        <w:jc w:val="both"/>
      </w:pPr>
      <w:r w:rsidRPr="00763640">
        <w:t>En caso se generen mayores plazos de ejecución de obras por causas imputables a cualquiera de las partes (retraso en la entrega de terrenos, ampliaciones de plazo en la ejecución de las obras, errores de diseño, entre otros), y ello genere mayores costos en la Supervisión de la Obra, éstos serán asumidos por la parte que genere dicha contingencia.</w:t>
      </w:r>
    </w:p>
    <w:p w14:paraId="08AB6271" w14:textId="77777777" w:rsidR="004412F1" w:rsidRPr="00763640" w:rsidRDefault="004412F1">
      <w:pPr>
        <w:jc w:val="both"/>
        <w:rPr>
          <w:color w:val="000000"/>
        </w:rPr>
      </w:pPr>
      <w:bookmarkStart w:id="1472" w:name="_1fyl9w3" w:colFirst="0" w:colLast="0"/>
      <w:bookmarkEnd w:id="1472"/>
    </w:p>
    <w:p w14:paraId="31EC321D" w14:textId="77777777" w:rsidR="004412F1" w:rsidRPr="00763640" w:rsidRDefault="005A12A3">
      <w:pPr>
        <w:pStyle w:val="Ttulo2"/>
        <w:ind w:left="0"/>
        <w:jc w:val="both"/>
        <w:rPr>
          <w:rFonts w:ascii="Arial" w:eastAsia="Arial" w:hAnsi="Arial" w:cs="Arial"/>
          <w:b/>
          <w:bCs/>
          <w:u w:val="none"/>
        </w:rPr>
      </w:pPr>
      <w:bookmarkStart w:id="1473" w:name="_3zy8sjw"/>
      <w:bookmarkStart w:id="1474" w:name="_Toc468837641"/>
      <w:bookmarkStart w:id="1475" w:name="_Toc139294735"/>
      <w:bookmarkStart w:id="1476" w:name="_Toc140089333"/>
      <w:bookmarkEnd w:id="1473"/>
      <w:r w:rsidRPr="00763640">
        <w:rPr>
          <w:rFonts w:ascii="Arial" w:eastAsia="Arial" w:hAnsi="Arial" w:cs="Arial"/>
          <w:b/>
          <w:bCs/>
          <w:u w:val="none"/>
        </w:rPr>
        <w:t xml:space="preserve">COMPROMISO DE CONTRATAR MANO DE OBRA LOCAL PARA LA EJECUCIÓN DE </w:t>
      </w:r>
      <w:bookmarkEnd w:id="1474"/>
      <w:r w:rsidRPr="00763640">
        <w:rPr>
          <w:rFonts w:ascii="Arial" w:eastAsia="Arial" w:hAnsi="Arial" w:cs="Arial"/>
          <w:b/>
          <w:bCs/>
          <w:u w:val="none"/>
        </w:rPr>
        <w:t>LAS INTERVENCIONES</w:t>
      </w:r>
      <w:bookmarkEnd w:id="1475"/>
      <w:bookmarkEnd w:id="1476"/>
    </w:p>
    <w:p w14:paraId="4D4B4AB1" w14:textId="77777777" w:rsidR="004412F1" w:rsidRPr="00763640" w:rsidRDefault="004412F1">
      <w:pPr>
        <w:jc w:val="both"/>
      </w:pPr>
    </w:p>
    <w:p w14:paraId="5C7D3F11" w14:textId="77777777" w:rsidR="004412F1" w:rsidRPr="00763640" w:rsidRDefault="005A12A3">
      <w:pPr>
        <w:numPr>
          <w:ilvl w:val="1"/>
          <w:numId w:val="88"/>
        </w:numPr>
        <w:suppressLineNumbers/>
        <w:suppressAutoHyphens/>
        <w:jc w:val="both"/>
        <w:rPr>
          <w:color w:val="000000"/>
          <w:lang w:val="es-PE"/>
        </w:rPr>
      </w:pPr>
      <w:r w:rsidRPr="00763640">
        <w:rPr>
          <w:color w:val="000000" w:themeColor="text1"/>
          <w:lang w:val="es-PE"/>
        </w:rPr>
        <w:t xml:space="preserve">El CONCESIONARIO se compromete a realizar sus mejores esfuerzos para que él directamente o a través de él o los constructores, se contrate para la ejecución de </w:t>
      </w:r>
      <w:r w:rsidRPr="00763640">
        <w:rPr>
          <w:color w:val="000000" w:themeColor="text1"/>
        </w:rPr>
        <w:t>las Intervenciones</w:t>
      </w:r>
      <w:r w:rsidRPr="00763640">
        <w:rPr>
          <w:color w:val="000000" w:themeColor="text1"/>
          <w:lang w:val="es-PE"/>
        </w:rPr>
        <w:t xml:space="preserve">, a personas naturales o jurídicas residentes de los lugares en donde se ejecutarán las intervenciones indicadas, </w:t>
      </w:r>
      <w:r w:rsidRPr="00763640">
        <w:rPr>
          <w:color w:val="000000" w:themeColor="text1"/>
        </w:rPr>
        <w:t>en función a la especialización requerida por el tipo de trabajo a realizar</w:t>
      </w:r>
      <w:r w:rsidRPr="00763640">
        <w:rPr>
          <w:color w:val="000000" w:themeColor="text1"/>
          <w:lang w:val="es-PE"/>
        </w:rPr>
        <w:t xml:space="preserve">. </w:t>
      </w:r>
    </w:p>
    <w:p w14:paraId="4BE9560D" w14:textId="77777777" w:rsidR="004412F1" w:rsidRPr="00763640" w:rsidRDefault="004412F1"/>
    <w:p w14:paraId="5197199F" w14:textId="77777777" w:rsidR="004412F1" w:rsidRPr="00763640" w:rsidRDefault="005A12A3">
      <w:pPr>
        <w:pStyle w:val="Ttulo2"/>
        <w:ind w:left="0"/>
        <w:rPr>
          <w:rFonts w:ascii="Arial" w:eastAsia="Arial" w:hAnsi="Arial" w:cs="Arial"/>
          <w:b/>
          <w:bCs/>
          <w:u w:val="none"/>
        </w:rPr>
      </w:pPr>
      <w:bookmarkStart w:id="1477" w:name="_2f3j2rp"/>
      <w:bookmarkStart w:id="1478" w:name="_Toc468837642"/>
      <w:bookmarkStart w:id="1479" w:name="_Toc139294736"/>
      <w:bookmarkStart w:id="1480" w:name="_Toc140089334"/>
      <w:bookmarkEnd w:id="1477"/>
      <w:r w:rsidRPr="00763640">
        <w:rPr>
          <w:rFonts w:ascii="Arial" w:eastAsia="Arial" w:hAnsi="Arial" w:cs="Arial"/>
          <w:b/>
          <w:bCs/>
          <w:u w:val="none"/>
        </w:rPr>
        <w:t>RED DORSAL NACIONAL DE FIBRA ÓPTICA</w:t>
      </w:r>
      <w:bookmarkEnd w:id="1478"/>
      <w:bookmarkEnd w:id="1479"/>
      <w:bookmarkEnd w:id="1480"/>
    </w:p>
    <w:p w14:paraId="2CBECDFE" w14:textId="77777777" w:rsidR="004412F1" w:rsidRPr="00763640" w:rsidRDefault="004412F1">
      <w:pPr>
        <w:jc w:val="both"/>
        <w:rPr>
          <w:b/>
        </w:rPr>
      </w:pPr>
    </w:p>
    <w:p w14:paraId="2EF14BF6" w14:textId="77777777" w:rsidR="004412F1" w:rsidRPr="00763640" w:rsidRDefault="005A12A3">
      <w:pPr>
        <w:numPr>
          <w:ilvl w:val="1"/>
          <w:numId w:val="88"/>
        </w:numPr>
        <w:suppressLineNumbers/>
        <w:suppressAutoHyphens/>
        <w:jc w:val="both"/>
        <w:rPr>
          <w:color w:val="000000"/>
        </w:rPr>
      </w:pPr>
      <w:r w:rsidRPr="00763640">
        <w:rPr>
          <w:color w:val="000000" w:themeColor="text1"/>
        </w:rPr>
        <w:t>De conformidad con lo previsto por la Ley N° 29904 Ley de Promoción de la Banda Ancha y Construcción de la Red Dorsal Nacional de Fibra Óptica, el CONCESIONARIO se obliga al suministro e instalación de los ductos y cámaras, de acuerdo a exigencias de dicha norma en el Sub Tramo Huancayo-Izcuchaca y el evitamiento San Clemente.</w:t>
      </w:r>
    </w:p>
    <w:p w14:paraId="79FBE92A" w14:textId="77777777" w:rsidR="004412F1" w:rsidRPr="00763640" w:rsidRDefault="004412F1">
      <w:pPr>
        <w:suppressLineNumbers/>
        <w:suppressAutoHyphens/>
        <w:jc w:val="both"/>
        <w:rPr>
          <w:color w:val="000000"/>
        </w:rPr>
      </w:pPr>
    </w:p>
    <w:p w14:paraId="502CF76E" w14:textId="77777777" w:rsidR="004412F1" w:rsidRPr="00763640" w:rsidRDefault="005A12A3">
      <w:pPr>
        <w:suppressLineNumbers/>
        <w:suppressAutoHyphens/>
        <w:ind w:left="709"/>
        <w:jc w:val="both"/>
        <w:rPr>
          <w:rFonts w:eastAsia="SimSun"/>
          <w:color w:val="000000"/>
          <w:lang w:eastAsia="zh-CN"/>
        </w:rPr>
      </w:pPr>
      <w:r w:rsidRPr="00763640">
        <w:rPr>
          <w:color w:val="000000"/>
        </w:rPr>
        <w:t>La información técnica para la instalación de ductos y cámaras se encuentra en el Apéndice 9 del ANEXO I del Contrato.</w:t>
      </w:r>
    </w:p>
    <w:p w14:paraId="681D0482" w14:textId="77777777" w:rsidR="004412F1" w:rsidRPr="00763640" w:rsidRDefault="004412F1">
      <w:pPr>
        <w:jc w:val="both"/>
        <w:rPr>
          <w:rFonts w:eastAsia="SimSun"/>
          <w:color w:val="000000"/>
          <w:lang w:eastAsia="zh-CN"/>
        </w:rPr>
      </w:pPr>
    </w:p>
    <w:p w14:paraId="3C42EF5B" w14:textId="77777777" w:rsidR="004412F1" w:rsidRPr="00763640" w:rsidRDefault="005A12A3">
      <w:pPr>
        <w:pStyle w:val="Ttulo2"/>
        <w:suppressLineNumbers/>
        <w:suppressAutoHyphens/>
        <w:ind w:left="0"/>
        <w:rPr>
          <w:b/>
          <w:bCs/>
        </w:rPr>
      </w:pPr>
      <w:bookmarkStart w:id="1481" w:name="_u8tczi" w:colFirst="0" w:colLast="0"/>
      <w:bookmarkStart w:id="1482" w:name="_Toc139294737"/>
      <w:bookmarkStart w:id="1483" w:name="_Toc140089335"/>
      <w:bookmarkEnd w:id="1481"/>
      <w:r w:rsidRPr="00763640">
        <w:rPr>
          <w:rFonts w:ascii="Arial" w:eastAsia="Arial" w:hAnsi="Arial" w:cs="Arial"/>
          <w:b/>
          <w:bCs/>
          <w:u w:val="none"/>
        </w:rPr>
        <w:t>INVERSIONES</w:t>
      </w:r>
      <w:r w:rsidRPr="00763640">
        <w:rPr>
          <w:rFonts w:ascii="Arial" w:eastAsia="Arial" w:hAnsi="Arial"/>
          <w:b/>
          <w:u w:val="none"/>
        </w:rPr>
        <w:t xml:space="preserve"> POR SEGURIDAD VIAL</w:t>
      </w:r>
      <w:bookmarkEnd w:id="1482"/>
      <w:bookmarkEnd w:id="1483"/>
    </w:p>
    <w:p w14:paraId="6EE540C2" w14:textId="77777777" w:rsidR="004412F1" w:rsidRPr="00763640" w:rsidRDefault="004412F1">
      <w:pPr>
        <w:suppressLineNumbers/>
        <w:suppressAutoHyphens/>
        <w:jc w:val="both"/>
        <w:rPr>
          <w:color w:val="000000"/>
        </w:rPr>
      </w:pPr>
    </w:p>
    <w:p w14:paraId="6BF25659" w14:textId="77777777" w:rsidR="004412F1" w:rsidRPr="00763640" w:rsidRDefault="005A12A3">
      <w:pPr>
        <w:numPr>
          <w:ilvl w:val="1"/>
          <w:numId w:val="88"/>
        </w:numPr>
        <w:suppressLineNumbers/>
        <w:suppressAutoHyphens/>
        <w:jc w:val="both"/>
        <w:rPr>
          <w:color w:val="000000"/>
        </w:rPr>
      </w:pPr>
      <w:r w:rsidRPr="00763640">
        <w:rPr>
          <w:color w:val="000000" w:themeColor="text1"/>
        </w:rPr>
        <w:t xml:space="preserve">El CONCEDENTE con opinión técnica del REGULADOR podrá decidir la ejecución de obras por Seguridad Vial las cuales deberán ser distintas a las contempladas en el ANEXO I, Sección 2, numeral </w:t>
      </w:r>
      <w:r w:rsidRPr="00763640">
        <w:rPr>
          <w:rFonts w:eastAsia="SimSun" w:hint="eastAsia"/>
          <w:color w:val="000000" w:themeColor="text1"/>
        </w:rPr>
        <w:t>6</w:t>
      </w:r>
      <w:r w:rsidRPr="00763640">
        <w:rPr>
          <w:color w:val="000000" w:themeColor="text1"/>
        </w:rPr>
        <w:t>.</w:t>
      </w:r>
    </w:p>
    <w:p w14:paraId="4AE7888C" w14:textId="77777777" w:rsidR="004412F1" w:rsidRPr="00763640" w:rsidRDefault="004412F1">
      <w:pPr>
        <w:suppressLineNumbers/>
        <w:suppressAutoHyphens/>
        <w:ind w:left="709"/>
        <w:jc w:val="both"/>
        <w:rPr>
          <w:color w:val="000000"/>
        </w:rPr>
      </w:pPr>
    </w:p>
    <w:p w14:paraId="2F6E3236" w14:textId="77777777" w:rsidR="004412F1" w:rsidRPr="00763640" w:rsidRDefault="005A12A3">
      <w:pPr>
        <w:suppressLineNumbers/>
        <w:suppressAutoHyphens/>
        <w:ind w:left="709"/>
        <w:jc w:val="both"/>
        <w:rPr>
          <w:color w:val="000000"/>
        </w:rPr>
      </w:pPr>
      <w:r w:rsidRPr="00763640">
        <w:rPr>
          <w:color w:val="000000" w:themeColor="text1"/>
        </w:rPr>
        <w:t>Para la ejecución de la indicada obra, se procederá en función a lo establecido en la</w:t>
      </w:r>
      <w:r w:rsidRPr="00763640">
        <w:rPr>
          <w:color w:val="000000" w:themeColor="text1"/>
          <w:lang w:val="es-PE"/>
        </w:rPr>
        <w:t>s</w:t>
      </w:r>
      <w:r w:rsidRPr="00763640">
        <w:rPr>
          <w:color w:val="000000" w:themeColor="text1"/>
        </w:rPr>
        <w:t xml:space="preserve"> Cláusula</w:t>
      </w:r>
      <w:r w:rsidRPr="00763640">
        <w:rPr>
          <w:color w:val="000000" w:themeColor="text1"/>
          <w:lang w:val="es-PE"/>
        </w:rPr>
        <w:t>s</w:t>
      </w:r>
      <w:r w:rsidRPr="00763640">
        <w:rPr>
          <w:color w:val="000000" w:themeColor="text1"/>
        </w:rPr>
        <w:t xml:space="preserve"> 6.</w:t>
      </w:r>
      <w:r w:rsidRPr="00763640">
        <w:rPr>
          <w:color w:val="000000" w:themeColor="text1"/>
          <w:lang w:val="es-PE"/>
        </w:rPr>
        <w:t>50</w:t>
      </w:r>
      <w:r w:rsidRPr="00763640">
        <w:rPr>
          <w:color w:val="000000" w:themeColor="text1"/>
        </w:rPr>
        <w:t xml:space="preserve"> y 6.</w:t>
      </w:r>
      <w:r w:rsidRPr="00763640">
        <w:rPr>
          <w:color w:val="000000" w:themeColor="text1"/>
          <w:lang w:val="es-PE"/>
        </w:rPr>
        <w:t>51 del presente Contrato</w:t>
      </w:r>
      <w:r w:rsidRPr="00763640">
        <w:rPr>
          <w:color w:val="000000" w:themeColor="text1"/>
        </w:rPr>
        <w:t>.</w:t>
      </w:r>
    </w:p>
    <w:p w14:paraId="318902CE" w14:textId="77777777" w:rsidR="004412F1" w:rsidRPr="00763640" w:rsidRDefault="004412F1">
      <w:pPr>
        <w:suppressLineNumbers/>
        <w:suppressAutoHyphens/>
        <w:jc w:val="both"/>
        <w:rPr>
          <w:color w:val="000000"/>
        </w:rPr>
      </w:pPr>
    </w:p>
    <w:p w14:paraId="703D73B9" w14:textId="77777777" w:rsidR="004412F1" w:rsidRPr="00763640" w:rsidRDefault="005A12A3">
      <w:pPr>
        <w:pStyle w:val="Ttulo2"/>
        <w:suppressLineNumbers/>
        <w:suppressAutoHyphens/>
        <w:ind w:left="0"/>
        <w:rPr>
          <w:b/>
          <w:bCs/>
        </w:rPr>
      </w:pPr>
      <w:bookmarkStart w:id="1484" w:name="_2sioyqq" w:colFirst="0" w:colLast="0"/>
      <w:bookmarkStart w:id="1485" w:name="_3e8gvnb"/>
      <w:bookmarkStart w:id="1486" w:name="_Toc139294738"/>
      <w:bookmarkStart w:id="1487" w:name="_Toc140089336"/>
      <w:bookmarkEnd w:id="1484"/>
      <w:bookmarkEnd w:id="1485"/>
      <w:r w:rsidRPr="00763640">
        <w:rPr>
          <w:rFonts w:ascii="Arial" w:eastAsia="Arial" w:hAnsi="Arial"/>
          <w:b/>
          <w:u w:val="none"/>
        </w:rPr>
        <w:t>SECTOR CRÍTICO</w:t>
      </w:r>
      <w:bookmarkEnd w:id="1486"/>
      <w:bookmarkEnd w:id="1487"/>
    </w:p>
    <w:p w14:paraId="008D66B7" w14:textId="77777777" w:rsidR="004412F1" w:rsidRPr="00763640" w:rsidRDefault="004412F1">
      <w:pPr>
        <w:suppressLineNumbers/>
        <w:suppressAutoHyphens/>
        <w:jc w:val="both"/>
        <w:rPr>
          <w:b/>
          <w:color w:val="000000"/>
        </w:rPr>
      </w:pPr>
    </w:p>
    <w:p w14:paraId="4BAA1A2D" w14:textId="77777777" w:rsidR="004412F1" w:rsidRPr="00763640" w:rsidRDefault="005A12A3">
      <w:pPr>
        <w:numPr>
          <w:ilvl w:val="1"/>
          <w:numId w:val="88"/>
        </w:numPr>
        <w:suppressLineNumbers/>
        <w:suppressAutoHyphens/>
        <w:jc w:val="both"/>
        <w:rPr>
          <w:color w:val="000000"/>
        </w:rPr>
      </w:pPr>
      <w:r w:rsidRPr="00763640">
        <w:rPr>
          <w:lang w:val="es"/>
        </w:rPr>
        <w:t xml:space="preserve"> Los criterios objetivos para la identificación de un Sector </w:t>
      </w:r>
      <w:proofErr w:type="gramStart"/>
      <w:r w:rsidRPr="00763640">
        <w:rPr>
          <w:lang w:val="es"/>
        </w:rPr>
        <w:t>Crítico,</w:t>
      </w:r>
      <w:proofErr w:type="gramEnd"/>
      <w:r w:rsidRPr="00763640">
        <w:rPr>
          <w:lang w:val="es"/>
        </w:rPr>
        <w:t xml:space="preserve"> serán los siguientes:</w:t>
      </w:r>
    </w:p>
    <w:p w14:paraId="57BB03D1" w14:textId="77777777" w:rsidR="004412F1" w:rsidRPr="00763640" w:rsidRDefault="004412F1">
      <w:pPr>
        <w:ind w:left="360"/>
        <w:jc w:val="both"/>
        <w:rPr>
          <w:color w:val="000000"/>
        </w:rPr>
      </w:pPr>
    </w:p>
    <w:p w14:paraId="3C8E5B91" w14:textId="77777777" w:rsidR="004412F1" w:rsidRPr="00763640" w:rsidRDefault="005A12A3">
      <w:pPr>
        <w:pStyle w:val="Prrafodelista"/>
        <w:numPr>
          <w:ilvl w:val="0"/>
          <w:numId w:val="94"/>
        </w:numPr>
        <w:suppressLineNumbers/>
        <w:suppressAutoHyphens/>
        <w:ind w:left="1276" w:hanging="425"/>
        <w:jc w:val="both"/>
        <w:rPr>
          <w:color w:val="000000" w:themeColor="text1"/>
        </w:rPr>
      </w:pPr>
      <w:r w:rsidRPr="00763640">
        <w:t xml:space="preserve">Durante la formulación de los estudios y la ejecución de la Intervención de Mantenimiento Periódico Inicial y de Rehabilitación y Mejoramiento, serán </w:t>
      </w:r>
      <w:r w:rsidRPr="00763640">
        <w:rPr>
          <w:lang w:val="es"/>
        </w:rPr>
        <w:t xml:space="preserve">aquellos sectores en los cuales se ha perdido la funcionabilidad o </w:t>
      </w:r>
      <w:r w:rsidRPr="00763640">
        <w:rPr>
          <w:lang w:val="es"/>
        </w:rPr>
        <w:lastRenderedPageBreak/>
        <w:t>integralidad del Área de la Concesión, por efecto de la acción del clima, la naturaleza u otros factores diferentes del normal uso de la infraestructura vial</w:t>
      </w:r>
      <w:r w:rsidRPr="00763640">
        <w:rPr>
          <w:color w:val="000000" w:themeColor="text1"/>
        </w:rPr>
        <w:t>.</w:t>
      </w:r>
    </w:p>
    <w:p w14:paraId="12CD71A0" w14:textId="77777777" w:rsidR="00806FA6" w:rsidRPr="00763640" w:rsidRDefault="00806FA6" w:rsidP="00806FA6">
      <w:pPr>
        <w:pStyle w:val="Prrafodelista"/>
        <w:suppressLineNumbers/>
        <w:suppressAutoHyphens/>
        <w:ind w:left="1276"/>
        <w:jc w:val="both"/>
        <w:rPr>
          <w:color w:val="000000" w:themeColor="text1"/>
        </w:rPr>
      </w:pPr>
    </w:p>
    <w:p w14:paraId="3C5BA012" w14:textId="77777777" w:rsidR="004412F1" w:rsidRPr="00763640" w:rsidRDefault="005A12A3">
      <w:pPr>
        <w:pStyle w:val="Prrafodelista"/>
        <w:numPr>
          <w:ilvl w:val="0"/>
          <w:numId w:val="94"/>
        </w:numPr>
        <w:suppressLineNumbers/>
        <w:suppressAutoHyphens/>
        <w:spacing w:line="259" w:lineRule="auto"/>
        <w:ind w:left="1276" w:hanging="425"/>
        <w:jc w:val="both"/>
      </w:pPr>
      <w:bookmarkStart w:id="1488" w:name="_17nz8yj"/>
      <w:bookmarkEnd w:id="1488"/>
      <w:r w:rsidRPr="00763640">
        <w:t xml:space="preserve"> Durante la Conservación Vial :</w:t>
      </w:r>
    </w:p>
    <w:p w14:paraId="22189693" w14:textId="77777777" w:rsidR="004412F1" w:rsidRPr="00763640" w:rsidRDefault="005A12A3">
      <w:pPr>
        <w:suppressLineNumbers/>
        <w:suppressAutoHyphens/>
        <w:ind w:left="1800" w:hanging="382"/>
        <w:jc w:val="both"/>
      </w:pPr>
      <w:r w:rsidRPr="00763640">
        <w:t>i.</w:t>
      </w:r>
      <w:r w:rsidRPr="00763640">
        <w:tab/>
        <w:t>Que el sector evaluado no permita cumplir con los niveles de servicio establecidos en el Contrato de Concesión, por causas no imputables al CONCESIONARIO.</w:t>
      </w:r>
    </w:p>
    <w:p w14:paraId="24555C8C" w14:textId="77777777" w:rsidR="004412F1" w:rsidRPr="00763640" w:rsidRDefault="005A12A3">
      <w:pPr>
        <w:suppressLineNumbers/>
        <w:suppressAutoHyphens/>
        <w:ind w:left="1800" w:hanging="382"/>
        <w:jc w:val="both"/>
      </w:pPr>
      <w:r w:rsidRPr="00763640">
        <w:t>ii.</w:t>
      </w:r>
      <w:r w:rsidRPr="00763640">
        <w:tab/>
        <w:t>Que la causal del origen del Sector Crítico no sea por un inadecuado mantenimiento.</w:t>
      </w:r>
    </w:p>
    <w:p w14:paraId="79CC23D9" w14:textId="77777777" w:rsidR="004412F1" w:rsidRPr="00763640" w:rsidRDefault="005A12A3">
      <w:pPr>
        <w:suppressLineNumbers/>
        <w:suppressAutoHyphens/>
        <w:ind w:left="1800" w:hanging="382"/>
        <w:jc w:val="both"/>
        <w:rPr>
          <w:color w:val="000000"/>
        </w:rPr>
      </w:pPr>
      <w:r w:rsidRPr="00763640">
        <w:rPr>
          <w:lang w:val="es"/>
        </w:rPr>
        <w:t>iii.</w:t>
      </w:r>
      <w:r w:rsidRPr="00763640">
        <w:tab/>
      </w:r>
      <w:r w:rsidRPr="00763640">
        <w:rPr>
          <w:lang w:val="es"/>
        </w:rPr>
        <w:t>Que la causal del origen del Sector Crítico no sea por un defecto constructivo</w:t>
      </w:r>
      <w:r w:rsidRPr="00763640">
        <w:rPr>
          <w:color w:val="000000"/>
        </w:rPr>
        <w:t>.</w:t>
      </w:r>
    </w:p>
    <w:p w14:paraId="2788367E" w14:textId="77777777" w:rsidR="004412F1" w:rsidRPr="00763640" w:rsidRDefault="004412F1">
      <w:pPr>
        <w:suppressLineNumbers/>
        <w:suppressAutoHyphens/>
        <w:ind w:left="709"/>
        <w:jc w:val="both"/>
        <w:rPr>
          <w:color w:val="000000"/>
        </w:rPr>
      </w:pPr>
    </w:p>
    <w:p w14:paraId="2F9F4096" w14:textId="77777777" w:rsidR="004412F1" w:rsidRPr="00763640" w:rsidRDefault="005A12A3">
      <w:pPr>
        <w:numPr>
          <w:ilvl w:val="1"/>
          <w:numId w:val="88"/>
        </w:numPr>
        <w:suppressLineNumbers/>
        <w:suppressAutoHyphens/>
        <w:jc w:val="both"/>
      </w:pPr>
      <w:r w:rsidRPr="00763640">
        <w:t>Para su aprobación se tendrá en cuenta lo siguiente:</w:t>
      </w:r>
    </w:p>
    <w:p w14:paraId="0B7D98E8" w14:textId="77777777" w:rsidR="004412F1" w:rsidRPr="00763640" w:rsidRDefault="005A12A3">
      <w:pPr>
        <w:suppressLineNumbers/>
        <w:suppressAutoHyphens/>
        <w:ind w:left="720"/>
        <w:jc w:val="both"/>
        <w:rPr>
          <w:rFonts w:eastAsia="SimSun"/>
          <w:color w:val="000000"/>
        </w:rPr>
      </w:pPr>
      <w:r w:rsidRPr="00763640">
        <w:rPr>
          <w:lang w:val="es"/>
        </w:rPr>
        <w:t>Los Sectores Críticos serán aprobados por el CONCEDENTE, previa Opinión Técnica del REGULADOR, sustentado en un informe, el cual deberá contener, entre otros, la calificación como Sector Crítico en función de los criterios objetivos indicados en la cláusula precedente. Dicho informe, deberá considerar la causa que originó el problema; así como también información sobre la ubicación más cercana de botaderos, canteras y fuentes de agua.</w:t>
      </w:r>
    </w:p>
    <w:p w14:paraId="6C5FAAA9" w14:textId="77777777" w:rsidR="004412F1" w:rsidRPr="00763640" w:rsidRDefault="004412F1">
      <w:pPr>
        <w:suppressLineNumbers/>
        <w:suppressAutoHyphens/>
        <w:ind w:left="630"/>
        <w:jc w:val="both"/>
        <w:rPr>
          <w:color w:val="000000" w:themeColor="text1"/>
        </w:rPr>
      </w:pPr>
    </w:p>
    <w:p w14:paraId="2D22FFF2" w14:textId="77777777" w:rsidR="004412F1" w:rsidRPr="00763640" w:rsidRDefault="005A12A3">
      <w:pPr>
        <w:pStyle w:val="Prrafodelista"/>
        <w:numPr>
          <w:ilvl w:val="1"/>
          <w:numId w:val="88"/>
        </w:numPr>
        <w:suppressLineNumbers/>
        <w:suppressAutoHyphens/>
        <w:ind w:left="709" w:hanging="709"/>
        <w:jc w:val="both"/>
        <w:rPr>
          <w:color w:val="000000" w:themeColor="text1"/>
        </w:rPr>
      </w:pPr>
      <w:r w:rsidRPr="00763640">
        <w:rPr>
          <w:color w:val="000000" w:themeColor="text1"/>
          <w:lang w:val="es"/>
        </w:rPr>
        <w:t>Una vez aprobado el Sector Crítico, el CONCESIONARIO ejecutará los estudios definitivos para dar solución a los problemas presentados en dichos sectores. La ejecución de estas intervenciones está regulada en las Cláusulas 6.</w:t>
      </w:r>
      <w:r w:rsidRPr="00763640">
        <w:rPr>
          <w:color w:val="000000" w:themeColor="text1"/>
          <w:lang w:val="es-PE"/>
        </w:rPr>
        <w:t>50</w:t>
      </w:r>
      <w:r w:rsidRPr="00763640">
        <w:rPr>
          <w:color w:val="000000" w:themeColor="text1"/>
          <w:lang w:val="es"/>
        </w:rPr>
        <w:t xml:space="preserve"> y 6.</w:t>
      </w:r>
      <w:r w:rsidRPr="00763640">
        <w:rPr>
          <w:color w:val="000000" w:themeColor="text1"/>
          <w:lang w:val="es-PE"/>
        </w:rPr>
        <w:t>51</w:t>
      </w:r>
      <w:r w:rsidRPr="00763640">
        <w:rPr>
          <w:color w:val="000000" w:themeColor="text1"/>
          <w:lang w:val="es"/>
        </w:rPr>
        <w:t>, las cuales indican su tratamiento como Inversiones Adicionales.</w:t>
      </w:r>
    </w:p>
    <w:p w14:paraId="32C1A5C8" w14:textId="77777777" w:rsidR="004412F1" w:rsidRPr="00763640" w:rsidRDefault="004412F1">
      <w:pPr>
        <w:jc w:val="both"/>
        <w:rPr>
          <w:color w:val="000000"/>
        </w:rPr>
      </w:pPr>
    </w:p>
    <w:p w14:paraId="4A01AC58" w14:textId="77777777" w:rsidR="004412F1" w:rsidRPr="00763640" w:rsidRDefault="005A12A3">
      <w:pPr>
        <w:pStyle w:val="Ttulo2"/>
        <w:ind w:left="0"/>
      </w:pPr>
      <w:bookmarkStart w:id="1489" w:name="_3rnmrmc" w:colFirst="0" w:colLast="0"/>
      <w:bookmarkStart w:id="1490" w:name="_Toc139294739"/>
      <w:bookmarkStart w:id="1491" w:name="_Toc140089337"/>
      <w:bookmarkEnd w:id="1489"/>
      <w:r w:rsidRPr="00763640">
        <w:rPr>
          <w:rFonts w:ascii="Arial" w:eastAsia="Arial" w:hAnsi="Arial" w:cs="Arial"/>
          <w:b/>
          <w:bCs/>
          <w:u w:val="none"/>
        </w:rPr>
        <w:t>INVERSIONES ADICIONALES</w:t>
      </w:r>
      <w:bookmarkEnd w:id="1490"/>
      <w:bookmarkEnd w:id="1491"/>
    </w:p>
    <w:p w14:paraId="3D3D78C5" w14:textId="77777777" w:rsidR="004412F1" w:rsidRPr="00763640" w:rsidRDefault="004412F1">
      <w:pPr>
        <w:jc w:val="both"/>
        <w:rPr>
          <w:color w:val="000000"/>
        </w:rPr>
      </w:pPr>
    </w:p>
    <w:p w14:paraId="7A4EFE5F" w14:textId="77777777" w:rsidR="004412F1" w:rsidRPr="00763640" w:rsidRDefault="005A12A3">
      <w:pPr>
        <w:numPr>
          <w:ilvl w:val="1"/>
          <w:numId w:val="88"/>
        </w:numPr>
        <w:jc w:val="both"/>
        <w:rPr>
          <w:color w:val="000000"/>
        </w:rPr>
      </w:pPr>
      <w:bookmarkStart w:id="1492" w:name="_26sx1u5"/>
      <w:bookmarkEnd w:id="1492"/>
      <w:r w:rsidRPr="00763640">
        <w:rPr>
          <w:color w:val="000000" w:themeColor="text1"/>
        </w:rPr>
        <w:t>Si durante la vigencia de la Concesión cualquiera de las Partes determinara la necesidad de realizar Inversiones Adicionales, la Parte solicitante deberá presentar un informe al REGULADOR, con copia a la otra Parte, que sustente la necesidad de realizar dichas inversiones. Corresponderá al REGULADOR emitir en un plazo de quince (15) Días Calendario, su opinión previa de calificación de Inversión Adicional, la cual será comunicada al CONCEDENTE, quien dispondrá de un plazo de quince (15) Días Calendario, para determinar las Inversiones Adicionales a ejecutarse.</w:t>
      </w:r>
    </w:p>
    <w:p w14:paraId="4381766D" w14:textId="77777777" w:rsidR="004412F1" w:rsidRPr="00763640" w:rsidRDefault="004412F1">
      <w:pPr>
        <w:ind w:left="720"/>
        <w:jc w:val="both"/>
        <w:rPr>
          <w:color w:val="000000"/>
          <w:sz w:val="16"/>
          <w:szCs w:val="16"/>
        </w:rPr>
      </w:pPr>
    </w:p>
    <w:p w14:paraId="58A90D6F" w14:textId="77777777" w:rsidR="004412F1" w:rsidRPr="00763640" w:rsidRDefault="005A12A3">
      <w:pPr>
        <w:numPr>
          <w:ilvl w:val="1"/>
          <w:numId w:val="88"/>
        </w:numPr>
        <w:jc w:val="both"/>
        <w:rPr>
          <w:color w:val="000000"/>
        </w:rPr>
      </w:pPr>
      <w:r w:rsidRPr="00763640">
        <w:rPr>
          <w:color w:val="000000" w:themeColor="text1"/>
        </w:rPr>
        <w:t>Luego del pronunciamiento del CONCEDENTE, las Partes podrán acordar los términos y condiciones de la ejecución de dichas inversiones Adicionales, mediante una modificación contractual según lo regulado en el Decreto Legislativo N° 13</w:t>
      </w:r>
      <w:r w:rsidRPr="00763640">
        <w:rPr>
          <w:rFonts w:eastAsia="SimSun" w:hint="eastAsia"/>
          <w:color w:val="000000" w:themeColor="text1"/>
          <w:lang w:eastAsia="zh-CN"/>
        </w:rPr>
        <w:t>6</w:t>
      </w:r>
      <w:r w:rsidRPr="00763640">
        <w:rPr>
          <w:rFonts w:eastAsia="SimSun"/>
          <w:color w:val="000000" w:themeColor="text1"/>
          <w:lang w:val="es-ES" w:eastAsia="zh-CN"/>
        </w:rPr>
        <w:t>2</w:t>
      </w:r>
      <w:r w:rsidRPr="00763640">
        <w:rPr>
          <w:color w:val="000000" w:themeColor="text1"/>
        </w:rPr>
        <w:t xml:space="preserve"> y su reglamento, o sus modificaciones.</w:t>
      </w:r>
    </w:p>
    <w:p w14:paraId="6875535B" w14:textId="77777777" w:rsidR="004412F1" w:rsidRPr="00763640" w:rsidRDefault="004412F1">
      <w:pPr>
        <w:suppressLineNumbers/>
        <w:suppressAutoHyphens/>
        <w:jc w:val="both"/>
        <w:rPr>
          <w:color w:val="000000"/>
          <w:lang w:val="es-PE"/>
        </w:rPr>
      </w:pPr>
    </w:p>
    <w:p w14:paraId="34E5F407" w14:textId="77777777" w:rsidR="00C13EE4" w:rsidRPr="00763640" w:rsidRDefault="00C13EE4">
      <w:pPr>
        <w:suppressLineNumbers/>
        <w:suppressAutoHyphens/>
        <w:jc w:val="both"/>
        <w:rPr>
          <w:color w:val="000000"/>
          <w:lang w:val="es-PE"/>
        </w:rPr>
      </w:pPr>
    </w:p>
    <w:p w14:paraId="780BC9CF" w14:textId="77777777" w:rsidR="004412F1" w:rsidRPr="00763640" w:rsidRDefault="005A12A3">
      <w:pPr>
        <w:pStyle w:val="Ttulo1"/>
        <w:jc w:val="both"/>
        <w:rPr>
          <w:color w:val="000000"/>
          <w:lang w:val="es-PE"/>
        </w:rPr>
      </w:pPr>
      <w:bookmarkStart w:id="1493" w:name="_ly7c1y"/>
      <w:bookmarkStart w:id="1494" w:name="_Toc94337851"/>
      <w:bookmarkStart w:id="1495" w:name="_Toc94328524"/>
      <w:bookmarkStart w:id="1496" w:name="_Toc131329357"/>
      <w:bookmarkStart w:id="1497" w:name="_Toc102405314"/>
      <w:bookmarkStart w:id="1498" w:name="_Toc131329944"/>
      <w:bookmarkStart w:id="1499" w:name="_Toc468837643"/>
      <w:bookmarkStart w:id="1500" w:name="_Toc131332952"/>
      <w:bookmarkStart w:id="1501" w:name="_Toc94337620"/>
      <w:bookmarkStart w:id="1502" w:name="_Toc94330164"/>
      <w:bookmarkStart w:id="1503" w:name="_Toc94329532"/>
      <w:bookmarkStart w:id="1504" w:name="_Toc131327973"/>
      <w:bookmarkStart w:id="1505" w:name="_Toc139294740"/>
      <w:bookmarkStart w:id="1506" w:name="_Toc131329125"/>
      <w:bookmarkStart w:id="1507" w:name="_Toc131332031"/>
      <w:bookmarkStart w:id="1508" w:name="_Toc94329040"/>
      <w:bookmarkStart w:id="1509" w:name="_Toc94328784"/>
      <w:bookmarkStart w:id="1510" w:name="_Toc94329286"/>
      <w:bookmarkStart w:id="1511" w:name="_Toc131328789"/>
      <w:bookmarkStart w:id="1512" w:name="_Toc140089338"/>
      <w:bookmarkEnd w:id="943"/>
      <w:bookmarkEnd w:id="944"/>
      <w:bookmarkEnd w:id="945"/>
      <w:bookmarkEnd w:id="946"/>
      <w:bookmarkEnd w:id="947"/>
      <w:bookmarkEnd w:id="948"/>
      <w:bookmarkEnd w:id="949"/>
      <w:bookmarkEnd w:id="950"/>
      <w:bookmarkEnd w:id="951"/>
      <w:bookmarkEnd w:id="1493"/>
      <w:r w:rsidRPr="00763640">
        <w:rPr>
          <w:lang w:val="es-PE"/>
        </w:rPr>
        <w:t xml:space="preserve">CAPÍTULO </w:t>
      </w:r>
      <w:r w:rsidRPr="00763640">
        <w:rPr>
          <w:color w:val="000000" w:themeColor="text1"/>
          <w:lang w:val="es-PE"/>
        </w:rPr>
        <w:t>VII: DE LA CONSERVACIÓN</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7749FEC9" w14:textId="77777777" w:rsidR="004412F1" w:rsidRPr="00763640" w:rsidRDefault="004412F1">
      <w:pPr>
        <w:pStyle w:val="Subttulo"/>
        <w:rPr>
          <w:b w:val="0"/>
          <w:lang w:val="es-PE"/>
        </w:rPr>
      </w:pPr>
    </w:p>
    <w:p w14:paraId="6CC05722" w14:textId="77777777" w:rsidR="004412F1" w:rsidRPr="00763640" w:rsidRDefault="005A12A3">
      <w:pPr>
        <w:pStyle w:val="Ttulo2"/>
        <w:ind w:left="0"/>
        <w:rPr>
          <w:rFonts w:ascii="Arial" w:eastAsia="Arial" w:hAnsi="Arial" w:cs="Arial"/>
          <w:b/>
          <w:bCs/>
          <w:u w:val="none"/>
          <w:lang w:val="es-PE"/>
        </w:rPr>
      </w:pPr>
      <w:bookmarkStart w:id="1513" w:name="_35xuupr"/>
      <w:bookmarkStart w:id="1514" w:name="_OBLIGACIONES_DEL_CONCESIONARIO_"/>
      <w:bookmarkStart w:id="1515" w:name="_Toc94329041"/>
      <w:bookmarkStart w:id="1516" w:name="_Toc94330165"/>
      <w:bookmarkStart w:id="1517" w:name="_Toc94337621"/>
      <w:bookmarkStart w:id="1518" w:name="_Toc94329533"/>
      <w:bookmarkStart w:id="1519" w:name="_Toc94328525"/>
      <w:bookmarkStart w:id="1520" w:name="_Toc94328785"/>
      <w:bookmarkStart w:id="1521" w:name="_Toc94329287"/>
      <w:bookmarkStart w:id="1522" w:name="_Toc94337852"/>
      <w:bookmarkStart w:id="1523" w:name="_Toc102405315"/>
      <w:bookmarkStart w:id="1524" w:name="_Toc468837644"/>
      <w:bookmarkStart w:id="1525" w:name="_Toc131332953"/>
      <w:bookmarkStart w:id="1526" w:name="_Toc131329945"/>
      <w:bookmarkStart w:id="1527" w:name="_Toc131329358"/>
      <w:bookmarkStart w:id="1528" w:name="_Toc131327974"/>
      <w:bookmarkStart w:id="1529" w:name="_Toc131329126"/>
      <w:bookmarkStart w:id="1530" w:name="_Toc131328790"/>
      <w:bookmarkStart w:id="1531" w:name="_Toc139294741"/>
      <w:bookmarkStart w:id="1532" w:name="_Toc131332032"/>
      <w:bookmarkStart w:id="1533" w:name="_Toc140089339"/>
      <w:bookmarkEnd w:id="1513"/>
      <w:bookmarkEnd w:id="1514"/>
      <w:r w:rsidRPr="00763640">
        <w:rPr>
          <w:rFonts w:ascii="Arial" w:eastAsia="Arial" w:hAnsi="Arial" w:cs="Arial"/>
          <w:b/>
          <w:bCs/>
          <w:u w:val="none"/>
          <w:lang w:val="es-PE"/>
        </w:rPr>
        <w:t xml:space="preserve">OBLIGACIONES DEL </w:t>
      </w:r>
      <w:bookmarkEnd w:id="1515"/>
      <w:bookmarkEnd w:id="1516"/>
      <w:bookmarkEnd w:id="1517"/>
      <w:bookmarkEnd w:id="1518"/>
      <w:bookmarkEnd w:id="1519"/>
      <w:bookmarkEnd w:id="1520"/>
      <w:bookmarkEnd w:id="1521"/>
      <w:bookmarkEnd w:id="1522"/>
      <w:bookmarkEnd w:id="1523"/>
      <w:r w:rsidRPr="00763640">
        <w:rPr>
          <w:rFonts w:ascii="Arial" w:eastAsia="Arial" w:hAnsi="Arial" w:cs="Arial"/>
          <w:b/>
          <w:bCs/>
          <w:u w:val="none"/>
          <w:lang w:val="es-PE"/>
        </w:rPr>
        <w:t>CONCESIONARIO</w:t>
      </w:r>
      <w:bookmarkEnd w:id="1524"/>
      <w:bookmarkEnd w:id="1525"/>
      <w:bookmarkEnd w:id="1526"/>
      <w:bookmarkEnd w:id="1527"/>
      <w:bookmarkEnd w:id="1528"/>
      <w:bookmarkEnd w:id="1529"/>
      <w:bookmarkEnd w:id="1530"/>
      <w:bookmarkEnd w:id="1531"/>
      <w:bookmarkEnd w:id="1532"/>
      <w:bookmarkEnd w:id="1533"/>
    </w:p>
    <w:p w14:paraId="29DBA5C5" w14:textId="77777777" w:rsidR="004412F1" w:rsidRPr="00763640" w:rsidRDefault="004412F1">
      <w:pPr>
        <w:rPr>
          <w:lang w:val="es-PE"/>
        </w:rPr>
      </w:pPr>
    </w:p>
    <w:p w14:paraId="6A733820" w14:textId="77777777" w:rsidR="004412F1" w:rsidRPr="00763640" w:rsidRDefault="005A12A3">
      <w:pPr>
        <w:numPr>
          <w:ilvl w:val="1"/>
          <w:numId w:val="95"/>
        </w:numPr>
        <w:jc w:val="both"/>
        <w:rPr>
          <w:color w:val="000000"/>
          <w:lang w:val="es-ES"/>
        </w:rPr>
      </w:pPr>
      <w:bookmarkStart w:id="1534" w:name="_1l354xk" w:colFirst="0" w:colLast="0"/>
      <w:bookmarkStart w:id="1535" w:name="_Ref271822772"/>
      <w:bookmarkEnd w:id="1534"/>
      <w:r w:rsidRPr="00763640">
        <w:rPr>
          <w:color w:val="000000"/>
          <w:lang w:val="es-ES"/>
        </w:rPr>
        <w:t xml:space="preserve">El CONCESIONARIO se obliga a efectuar la Conservación de los Bienes </w:t>
      </w:r>
      <w:r w:rsidRPr="00763640">
        <w:rPr>
          <w:color w:val="000000"/>
          <w:lang w:val="es-PE"/>
        </w:rPr>
        <w:t>de la Concesión</w:t>
      </w:r>
      <w:r w:rsidRPr="00763640">
        <w:rPr>
          <w:color w:val="000000"/>
          <w:lang w:val="es-ES"/>
        </w:rPr>
        <w:t xml:space="preserve"> que haya recibido del CONCEDENTE, desde su recepción hasta la fecha de Caducidad de la Concesión, así como de</w:t>
      </w:r>
      <w:r w:rsidRPr="00763640">
        <w:rPr>
          <w:color w:val="000000"/>
          <w:lang w:val="es-PE"/>
        </w:rPr>
        <w:t xml:space="preserve"> los</w:t>
      </w:r>
      <w:r w:rsidRPr="00763640">
        <w:rPr>
          <w:color w:val="000000"/>
          <w:lang w:val="es-ES"/>
        </w:rPr>
        <w:t xml:space="preserve"> otros Bienes </w:t>
      </w:r>
      <w:r w:rsidRPr="00763640">
        <w:rPr>
          <w:color w:val="000000"/>
          <w:lang w:val="es-PE"/>
        </w:rPr>
        <w:t>de la Concesión</w:t>
      </w:r>
      <w:r w:rsidRPr="00763640">
        <w:rPr>
          <w:color w:val="000000"/>
          <w:lang w:val="es-ES"/>
        </w:rPr>
        <w:t xml:space="preserve"> que incorpore o sean incorporados a la Concesión, conforme los alcances del numeral 8.1 de la Sección 3 del Anexo I del presente Contrato.</w:t>
      </w:r>
      <w:bookmarkEnd w:id="1535"/>
    </w:p>
    <w:p w14:paraId="613D215A" w14:textId="77777777" w:rsidR="004412F1" w:rsidRPr="00763640" w:rsidRDefault="004412F1">
      <w:pPr>
        <w:jc w:val="both"/>
        <w:rPr>
          <w:color w:val="000000"/>
          <w:lang w:val="es-ES"/>
        </w:rPr>
      </w:pPr>
    </w:p>
    <w:p w14:paraId="013571F6" w14:textId="77777777" w:rsidR="004412F1" w:rsidRPr="00763640" w:rsidRDefault="005A12A3">
      <w:pPr>
        <w:numPr>
          <w:ilvl w:val="1"/>
          <w:numId w:val="95"/>
        </w:numPr>
        <w:jc w:val="both"/>
        <w:rPr>
          <w:color w:val="000000"/>
          <w:lang w:val="es-ES"/>
        </w:rPr>
      </w:pPr>
      <w:bookmarkStart w:id="1536" w:name="_452snld" w:colFirst="0" w:colLast="0"/>
      <w:bookmarkEnd w:id="1536"/>
      <w:r w:rsidRPr="00763640">
        <w:rPr>
          <w:color w:val="000000"/>
          <w:lang w:val="es-PE"/>
        </w:rPr>
        <w:t xml:space="preserve">La obligación del CONCESIONARIO es efectuar las actividades de Conservación para </w:t>
      </w:r>
      <w:r w:rsidRPr="00763640">
        <w:rPr>
          <w:color w:val="000000"/>
          <w:lang w:val="es-ES"/>
        </w:rPr>
        <w:t xml:space="preserve">el cumplimiento de </w:t>
      </w:r>
      <w:r w:rsidRPr="00763640">
        <w:rPr>
          <w:color w:val="000000"/>
          <w:lang w:val="es-PE"/>
        </w:rPr>
        <w:t xml:space="preserve">los Niveles de Servicio que establezca el </w:t>
      </w:r>
      <w:r w:rsidRPr="00763640">
        <w:rPr>
          <w:color w:val="000000"/>
          <w:lang w:val="es-PE"/>
        </w:rPr>
        <w:lastRenderedPageBreak/>
        <w:t xml:space="preserve">Contrato, los mismos que deberá mantener dentro de los parámetros indicados en el ANEXO I, a partir de: i) la emisión del CAMPI de cada </w:t>
      </w:r>
      <w:proofErr w:type="gramStart"/>
      <w:r w:rsidRPr="00763640">
        <w:rPr>
          <w:color w:val="000000"/>
          <w:lang w:val="es-PE"/>
        </w:rPr>
        <w:t>Sub Tramo</w:t>
      </w:r>
      <w:proofErr w:type="gramEnd"/>
      <w:r w:rsidRPr="00763640">
        <w:rPr>
          <w:color w:val="000000"/>
          <w:lang w:val="es-PE"/>
        </w:rPr>
        <w:t xml:space="preserve"> por la Intervención de Mantenimiento Periódico Inicial; ii) la emisión del último CAO por la Intervención</w:t>
      </w:r>
      <w:r w:rsidRPr="00763640">
        <w:rPr>
          <w:color w:val="000000"/>
          <w:lang w:val="es-ES"/>
        </w:rPr>
        <w:t xml:space="preserve"> de </w:t>
      </w:r>
      <w:r w:rsidRPr="00763640">
        <w:rPr>
          <w:color w:val="000000"/>
          <w:lang w:val="es-PE"/>
        </w:rPr>
        <w:t>Rehabilitación y Mejoramiento; y, iii) la recepción</w:t>
      </w:r>
      <w:r w:rsidRPr="00763640">
        <w:rPr>
          <w:color w:val="000000"/>
          <w:lang w:val="es-ES"/>
        </w:rPr>
        <w:t xml:space="preserve"> de la </w:t>
      </w:r>
      <w:r w:rsidRPr="00763640">
        <w:rPr>
          <w:color w:val="000000"/>
          <w:lang w:val="es-PE"/>
        </w:rPr>
        <w:t>Intervención Evitamiento San Clemente</w:t>
      </w:r>
      <w:r w:rsidRPr="00763640">
        <w:rPr>
          <w:color w:val="000000"/>
          <w:lang w:val="es-ES"/>
        </w:rPr>
        <w:t>.</w:t>
      </w:r>
    </w:p>
    <w:p w14:paraId="7A618BEF" w14:textId="77777777" w:rsidR="004412F1" w:rsidRPr="00763640" w:rsidRDefault="004412F1">
      <w:pPr>
        <w:ind w:left="709"/>
        <w:jc w:val="both"/>
        <w:rPr>
          <w:color w:val="000000"/>
          <w:lang w:val="es-ES"/>
        </w:rPr>
      </w:pPr>
    </w:p>
    <w:p w14:paraId="0B42380E" w14:textId="77777777" w:rsidR="004412F1" w:rsidRPr="00763640" w:rsidRDefault="005A12A3">
      <w:pPr>
        <w:numPr>
          <w:ilvl w:val="1"/>
          <w:numId w:val="95"/>
        </w:numPr>
        <w:jc w:val="both"/>
        <w:rPr>
          <w:color w:val="000000"/>
          <w:lang w:val="es-ES"/>
        </w:rPr>
      </w:pPr>
      <w:r w:rsidRPr="00763640">
        <w:rPr>
          <w:color w:val="000000"/>
          <w:lang w:val="es-ES"/>
        </w:rPr>
        <w:t xml:space="preserve">En la ejecución de las </w:t>
      </w:r>
      <w:r w:rsidRPr="00763640">
        <w:rPr>
          <w:color w:val="000000"/>
          <w:lang w:val="es-PE"/>
        </w:rPr>
        <w:t>actividades</w:t>
      </w:r>
      <w:r w:rsidRPr="00763640">
        <w:rPr>
          <w:color w:val="000000"/>
          <w:lang w:val="es-ES"/>
        </w:rPr>
        <w:t xml:space="preserve"> de Conservación se respetará igualmente las Leyes y Disposiciones Aplicables en todo en lo que no se oponga a lo establecido en el </w:t>
      </w:r>
      <w:r w:rsidRPr="00763640">
        <w:rPr>
          <w:color w:val="000000"/>
          <w:lang w:val="es-PE"/>
        </w:rPr>
        <w:t>ANEXO I.</w:t>
      </w:r>
    </w:p>
    <w:p w14:paraId="066D2338" w14:textId="77777777" w:rsidR="004412F1" w:rsidRPr="00763640" w:rsidRDefault="004412F1">
      <w:pPr>
        <w:jc w:val="both"/>
        <w:rPr>
          <w:color w:val="000000"/>
          <w:lang w:val="es-ES"/>
        </w:rPr>
      </w:pPr>
    </w:p>
    <w:p w14:paraId="23ECBC50" w14:textId="15AFD501" w:rsidR="004412F1" w:rsidRPr="00763640" w:rsidRDefault="005A12A3">
      <w:pPr>
        <w:numPr>
          <w:ilvl w:val="1"/>
          <w:numId w:val="95"/>
        </w:numPr>
        <w:jc w:val="both"/>
        <w:rPr>
          <w:color w:val="000000" w:themeColor="text1"/>
          <w:lang w:val="es-PE"/>
        </w:rPr>
      </w:pPr>
      <w:bookmarkStart w:id="1537" w:name="_Toc102405316"/>
      <w:bookmarkStart w:id="1538" w:name="_Toc94330166"/>
      <w:bookmarkStart w:id="1539" w:name="_Toc94328526"/>
      <w:bookmarkStart w:id="1540" w:name="_Toc94329534"/>
      <w:bookmarkStart w:id="1541" w:name="_Toc94329042"/>
      <w:bookmarkStart w:id="1542" w:name="_Toc94337622"/>
      <w:bookmarkStart w:id="1543" w:name="_Toc94328786"/>
      <w:bookmarkStart w:id="1544" w:name="_Toc94329288"/>
      <w:bookmarkStart w:id="1545" w:name="_Toc94337853"/>
      <w:bookmarkStart w:id="1546" w:name="_Toc131332954"/>
      <w:bookmarkStart w:id="1547" w:name="_Toc131329946"/>
      <w:bookmarkStart w:id="1548" w:name="_Toc131332033"/>
      <w:bookmarkStart w:id="1549" w:name="_Toc131329127"/>
      <w:bookmarkStart w:id="1550" w:name="_Toc131327975"/>
      <w:bookmarkStart w:id="1551" w:name="_Toc131328791"/>
      <w:bookmarkStart w:id="1552" w:name="_Toc131329359"/>
      <w:r w:rsidRPr="00763640">
        <w:rPr>
          <w:color w:val="000000" w:themeColor="text1"/>
          <w:lang w:val="es-PE"/>
        </w:rPr>
        <w:t xml:space="preserve">Desde la Toma de Posesión de cada uno de los </w:t>
      </w:r>
      <w:proofErr w:type="gramStart"/>
      <w:r w:rsidRPr="00763640">
        <w:rPr>
          <w:color w:val="000000" w:themeColor="text1"/>
          <w:lang w:val="es-PE"/>
        </w:rPr>
        <w:t>Sub Tramos</w:t>
      </w:r>
      <w:proofErr w:type="gramEnd"/>
      <w:r w:rsidRPr="00763640">
        <w:rPr>
          <w:color w:val="000000" w:themeColor="text1"/>
          <w:lang w:val="es-PE"/>
        </w:rPr>
        <w:t xml:space="preserve"> de la Concesión, el CONCESIONARIO realizará el Mantenimiento indicado en el numeral 8.1 </w:t>
      </w:r>
      <w:r w:rsidRPr="00763640">
        <w:rPr>
          <w:color w:val="000000" w:themeColor="text1"/>
          <w:lang w:val="es-ES"/>
        </w:rPr>
        <w:t xml:space="preserve">de la Sección 3 </w:t>
      </w:r>
      <w:r w:rsidRPr="00763640">
        <w:rPr>
          <w:color w:val="000000" w:themeColor="text1"/>
          <w:lang w:val="es-PE"/>
        </w:rPr>
        <w:t xml:space="preserve">del ANEXO </w:t>
      </w:r>
      <w:r w:rsidRPr="00763640">
        <w:rPr>
          <w:rFonts w:eastAsia="SimSun" w:hint="eastAsia"/>
          <w:color w:val="000000" w:themeColor="text1"/>
          <w:lang w:val="es-PE" w:eastAsia="zh-CN"/>
        </w:rPr>
        <w:t>I</w:t>
      </w:r>
      <w:r w:rsidRPr="00763640">
        <w:rPr>
          <w:color w:val="000000" w:themeColor="text1"/>
          <w:lang w:val="es-PE"/>
        </w:rPr>
        <w:t xml:space="preserve"> del Contrato de Concesión. Asimismo, el CONCESIONARIO deberá</w:t>
      </w:r>
      <w:r w:rsidR="00D01AFD" w:rsidRPr="00763640">
        <w:rPr>
          <w:color w:val="000000" w:themeColor="text1"/>
          <w:lang w:val="es-PE"/>
        </w:rPr>
        <w:t xml:space="preserve"> </w:t>
      </w:r>
      <w:r w:rsidRPr="00763640">
        <w:rPr>
          <w:color w:val="000000" w:themeColor="text1"/>
          <w:lang w:val="es-PE"/>
        </w:rPr>
        <w:t>efectuar la gestión ambiental que corresponda, en aplicación del Reglamento de Protección Ambiental para el Sector Transporte, aprobado mediante Decreto Supremo N° 008-2019-MTC.</w:t>
      </w:r>
    </w:p>
    <w:p w14:paraId="4C011FE7" w14:textId="77777777" w:rsidR="004412F1" w:rsidRPr="00763640" w:rsidRDefault="004412F1">
      <w:pPr>
        <w:ind w:left="709"/>
        <w:jc w:val="both"/>
        <w:rPr>
          <w:lang w:val="es-PE"/>
        </w:rPr>
      </w:pPr>
      <w:bookmarkStart w:id="1553" w:name="_2k82xt6" w:colFirst="0" w:colLast="0"/>
      <w:bookmarkEnd w:id="1553"/>
    </w:p>
    <w:p w14:paraId="6231CEC3" w14:textId="77777777" w:rsidR="004412F1" w:rsidRPr="00763640" w:rsidRDefault="005A12A3" w:rsidP="00077946">
      <w:pPr>
        <w:pStyle w:val="Ttulo2"/>
        <w:ind w:left="0"/>
        <w:rPr>
          <w:b/>
          <w:bCs/>
        </w:rPr>
      </w:pPr>
      <w:bookmarkStart w:id="1554" w:name="_zdd80z" w:colFirst="0" w:colLast="0"/>
      <w:bookmarkStart w:id="1555" w:name="_Toc139294742"/>
      <w:bookmarkStart w:id="1556" w:name="_Toc140089340"/>
      <w:bookmarkEnd w:id="1554"/>
      <w:r w:rsidRPr="00763640">
        <w:rPr>
          <w:rFonts w:ascii="Arial" w:eastAsia="Arial" w:hAnsi="Arial" w:cs="Arial"/>
          <w:b/>
          <w:bCs/>
          <w:u w:val="none"/>
        </w:rPr>
        <w:t>SUPERVISIÓN</w:t>
      </w:r>
      <w:r w:rsidRPr="00763640">
        <w:rPr>
          <w:rFonts w:ascii="Arial" w:eastAsia="Arial" w:hAnsi="Arial"/>
          <w:b/>
          <w:u w:val="none"/>
        </w:rPr>
        <w:t xml:space="preserve"> DE</w:t>
      </w:r>
      <w:bookmarkEnd w:id="1537"/>
      <w:bookmarkEnd w:id="1538"/>
      <w:bookmarkEnd w:id="1539"/>
      <w:bookmarkEnd w:id="1540"/>
      <w:bookmarkEnd w:id="1541"/>
      <w:bookmarkEnd w:id="1542"/>
      <w:bookmarkEnd w:id="1543"/>
      <w:bookmarkEnd w:id="1544"/>
      <w:bookmarkEnd w:id="1545"/>
      <w:r w:rsidRPr="00763640">
        <w:rPr>
          <w:rFonts w:ascii="Arial" w:eastAsia="Arial" w:hAnsi="Arial"/>
          <w:b/>
          <w:u w:val="none"/>
        </w:rPr>
        <w:t xml:space="preserve"> LA CONSERVACIÓN</w:t>
      </w:r>
      <w:bookmarkEnd w:id="1546"/>
      <w:bookmarkEnd w:id="1547"/>
      <w:bookmarkEnd w:id="1548"/>
      <w:bookmarkEnd w:id="1549"/>
      <w:bookmarkEnd w:id="1550"/>
      <w:bookmarkEnd w:id="1551"/>
      <w:bookmarkEnd w:id="1552"/>
      <w:bookmarkEnd w:id="1555"/>
      <w:bookmarkEnd w:id="1556"/>
    </w:p>
    <w:p w14:paraId="2BD5F39F" w14:textId="77777777" w:rsidR="004412F1" w:rsidRPr="00763640" w:rsidRDefault="004412F1">
      <w:pPr>
        <w:jc w:val="both"/>
      </w:pPr>
    </w:p>
    <w:p w14:paraId="49EFDA00" w14:textId="77777777" w:rsidR="004412F1" w:rsidRPr="00763640" w:rsidRDefault="005A12A3">
      <w:pPr>
        <w:numPr>
          <w:ilvl w:val="1"/>
          <w:numId w:val="95"/>
        </w:numPr>
        <w:jc w:val="both"/>
        <w:rPr>
          <w:color w:val="000000"/>
          <w:lang w:val="es-PE"/>
        </w:rPr>
      </w:pPr>
      <w:r w:rsidRPr="00763640">
        <w:rPr>
          <w:color w:val="000000"/>
          <w:lang w:val="es-PE"/>
        </w:rPr>
        <w:t>Corresponde al REGULADOR efectuar las acciones de fiscalización y supervisión que le competen para el desarrollo de las labores de Conservación indicadas en esta Sección del Contrato.</w:t>
      </w:r>
    </w:p>
    <w:p w14:paraId="118B1788" w14:textId="77777777" w:rsidR="004412F1" w:rsidRPr="00763640" w:rsidRDefault="004412F1">
      <w:pPr>
        <w:jc w:val="both"/>
        <w:rPr>
          <w:color w:val="000000"/>
          <w:lang w:val="es-PE"/>
        </w:rPr>
      </w:pPr>
    </w:p>
    <w:p w14:paraId="2012749B" w14:textId="77777777" w:rsidR="004412F1" w:rsidRPr="00763640" w:rsidRDefault="005A12A3">
      <w:pPr>
        <w:numPr>
          <w:ilvl w:val="1"/>
          <w:numId w:val="95"/>
        </w:numPr>
        <w:jc w:val="both"/>
        <w:rPr>
          <w:color w:val="000000"/>
          <w:lang w:val="es-PE"/>
        </w:rPr>
      </w:pPr>
      <w:r w:rsidRPr="00763640">
        <w:rPr>
          <w:color w:val="000000"/>
          <w:lang w:val="es-PE"/>
        </w:rPr>
        <w:t>El CONCESIONARIO dará al REGULADOR</w:t>
      </w:r>
      <w:r w:rsidRPr="00763640">
        <w:rPr>
          <w:b/>
          <w:color w:val="000000"/>
          <w:lang w:val="es-PE"/>
        </w:rPr>
        <w:t xml:space="preserve">, </w:t>
      </w:r>
      <w:r w:rsidRPr="00763640">
        <w:rPr>
          <w:color w:val="000000"/>
          <w:lang w:val="es-PE"/>
        </w:rPr>
        <w:t xml:space="preserve">o a quien </w:t>
      </w:r>
      <w:r w:rsidRPr="00763640">
        <w:rPr>
          <w:color w:val="000000"/>
          <w:lang w:val="es-ES"/>
        </w:rPr>
        <w:t>é</w:t>
      </w:r>
      <w:r w:rsidRPr="00763640">
        <w:rPr>
          <w:color w:val="000000"/>
          <w:lang w:val="es-PE"/>
        </w:rPr>
        <w:t xml:space="preserve">ste designe, libre acceso al Área de la Concesión para realizar sin obstáculos su labor. </w:t>
      </w:r>
    </w:p>
    <w:p w14:paraId="7F101A9F" w14:textId="77777777" w:rsidR="004412F1" w:rsidRPr="00763640" w:rsidRDefault="004412F1">
      <w:pPr>
        <w:jc w:val="both"/>
        <w:rPr>
          <w:color w:val="000000"/>
          <w:lang w:val="es-ES"/>
        </w:rPr>
      </w:pPr>
    </w:p>
    <w:p w14:paraId="27DA4E6F" w14:textId="77777777" w:rsidR="004412F1" w:rsidRPr="00763640" w:rsidRDefault="005A12A3">
      <w:pPr>
        <w:pStyle w:val="Ttulo2"/>
        <w:ind w:left="0"/>
        <w:rPr>
          <w:rFonts w:ascii="Arial" w:eastAsia="Arial" w:hAnsi="Arial" w:cs="Arial"/>
          <w:b/>
          <w:bCs/>
          <w:u w:val="none"/>
        </w:rPr>
      </w:pPr>
      <w:bookmarkStart w:id="1557" w:name="_3jd0qos"/>
      <w:bookmarkStart w:id="1558" w:name="_Toc94328527"/>
      <w:bookmarkStart w:id="1559" w:name="_Toc94330167"/>
      <w:bookmarkStart w:id="1560" w:name="_Toc131332034"/>
      <w:bookmarkStart w:id="1561" w:name="_Toc94329535"/>
      <w:bookmarkStart w:id="1562" w:name="_Toc131328792"/>
      <w:bookmarkStart w:id="1563" w:name="_Toc131327976"/>
      <w:bookmarkStart w:id="1564" w:name="_Toc94337623"/>
      <w:bookmarkStart w:id="1565" w:name="_Toc131332955"/>
      <w:bookmarkStart w:id="1566" w:name="_Toc131329128"/>
      <w:bookmarkStart w:id="1567" w:name="_Toc102405317"/>
      <w:bookmarkStart w:id="1568" w:name="_Toc94329043"/>
      <w:bookmarkStart w:id="1569" w:name="_Toc94329289"/>
      <w:bookmarkStart w:id="1570" w:name="_Toc94328787"/>
      <w:bookmarkStart w:id="1571" w:name="_Toc131329360"/>
      <w:bookmarkStart w:id="1572" w:name="_Toc131329947"/>
      <w:bookmarkStart w:id="1573" w:name="_Toc94337854"/>
      <w:bookmarkStart w:id="1574" w:name="_Toc139294743"/>
      <w:bookmarkStart w:id="1575" w:name="_Toc468837645"/>
      <w:bookmarkStart w:id="1576" w:name="_Toc140089341"/>
      <w:bookmarkEnd w:id="1557"/>
      <w:r w:rsidRPr="00763640">
        <w:rPr>
          <w:rFonts w:ascii="Arial" w:eastAsia="Arial" w:hAnsi="Arial" w:cs="Arial"/>
          <w:b/>
          <w:bCs/>
          <w:u w:val="none"/>
        </w:rPr>
        <w:t xml:space="preserve">PROGRAMAS DE </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Pr="00763640">
        <w:rPr>
          <w:rFonts w:ascii="Arial" w:eastAsia="Arial" w:hAnsi="Arial" w:cs="Arial"/>
          <w:b/>
          <w:bCs/>
          <w:u w:val="none"/>
        </w:rPr>
        <w:t>CONSERVACIÓN</w:t>
      </w:r>
      <w:bookmarkEnd w:id="1574"/>
      <w:bookmarkEnd w:id="1575"/>
      <w:bookmarkEnd w:id="1576"/>
    </w:p>
    <w:p w14:paraId="7CFFB7C9" w14:textId="77777777" w:rsidR="004412F1" w:rsidRPr="00763640" w:rsidRDefault="004412F1">
      <w:pPr>
        <w:jc w:val="both"/>
        <w:rPr>
          <w:color w:val="000000"/>
          <w:lang w:val="es-PE"/>
        </w:rPr>
      </w:pPr>
    </w:p>
    <w:p w14:paraId="793A9473" w14:textId="77777777" w:rsidR="004412F1" w:rsidRPr="00763640" w:rsidRDefault="005A12A3">
      <w:pPr>
        <w:numPr>
          <w:ilvl w:val="1"/>
          <w:numId w:val="95"/>
        </w:numPr>
        <w:jc w:val="both"/>
        <w:rPr>
          <w:color w:val="000000"/>
          <w:lang w:val="es-PE"/>
        </w:rPr>
      </w:pPr>
      <w:bookmarkStart w:id="1577" w:name="_1yib0wl" w:colFirst="0" w:colLast="0"/>
      <w:bookmarkStart w:id="1578" w:name="_Ref273550496"/>
      <w:bookmarkEnd w:id="1577"/>
      <w:r w:rsidRPr="00763640">
        <w:rPr>
          <w:color w:val="000000"/>
          <w:lang w:val="es-ES"/>
        </w:rPr>
        <w:t xml:space="preserve">La obligación asumida por el CONCESIONARIO conlleva la responsabilidad de definir las técnicas, procedimientos y la oportunidad de las labores de Conservación. A tales efectos, dentro de los plazos establecidos en el </w:t>
      </w:r>
      <w:r w:rsidRPr="00763640">
        <w:rPr>
          <w:color w:val="000000"/>
          <w:lang w:val="es-PE"/>
        </w:rPr>
        <w:t>ANEXO I,</w:t>
      </w:r>
      <w:r w:rsidRPr="00763640">
        <w:rPr>
          <w:color w:val="000000"/>
          <w:lang w:val="es-ES"/>
        </w:rPr>
        <w:t xml:space="preserve"> el CONCESIONARIO presentará al REGULADOR </w:t>
      </w:r>
      <w:r w:rsidRPr="00763640">
        <w:rPr>
          <w:color w:val="000000"/>
          <w:lang w:val="es-PE"/>
        </w:rPr>
        <w:t>con copia al CONCEDENTE</w:t>
      </w:r>
      <w:r w:rsidRPr="00763640">
        <w:rPr>
          <w:rFonts w:asciiTheme="majorHAnsi" w:hAnsiTheme="majorHAnsi"/>
          <w:color w:val="000000"/>
          <w:lang w:val="es-PE"/>
        </w:rPr>
        <w:t xml:space="preserve">, </w:t>
      </w:r>
      <w:r w:rsidRPr="00763640">
        <w:rPr>
          <w:color w:val="000000"/>
          <w:lang w:val="es-ES"/>
        </w:rPr>
        <w:t xml:space="preserve">un </w:t>
      </w:r>
      <w:r w:rsidRPr="00763640">
        <w:rPr>
          <w:color w:val="000000"/>
          <w:lang w:val="es-PE"/>
        </w:rPr>
        <w:t>Programa</w:t>
      </w:r>
      <w:r w:rsidRPr="00763640">
        <w:rPr>
          <w:color w:val="000000"/>
          <w:lang w:val="es-ES"/>
        </w:rPr>
        <w:t xml:space="preserve"> de Conservación</w:t>
      </w:r>
      <w:r w:rsidRPr="00763640">
        <w:rPr>
          <w:color w:val="000000"/>
          <w:lang w:val="es-PE"/>
        </w:rPr>
        <w:t xml:space="preserve"> para los tres (3) tipos de Intervención. Dicho plan será aprobado por el REGULADOR en un plazo máximo de veinte (20) Días desde la fecha de su presentación.</w:t>
      </w:r>
      <w:bookmarkEnd w:id="1578"/>
    </w:p>
    <w:p w14:paraId="575DF87C" w14:textId="77777777" w:rsidR="004412F1" w:rsidRPr="00763640" w:rsidRDefault="004412F1">
      <w:pPr>
        <w:jc w:val="both"/>
        <w:rPr>
          <w:color w:val="000000"/>
          <w:lang w:val="es-PE"/>
        </w:rPr>
      </w:pPr>
    </w:p>
    <w:p w14:paraId="4B129EDD" w14:textId="77777777" w:rsidR="004412F1" w:rsidRPr="00763640" w:rsidRDefault="005A12A3">
      <w:pPr>
        <w:ind w:left="709"/>
        <w:jc w:val="both"/>
        <w:rPr>
          <w:color w:val="000000"/>
          <w:lang w:val="es-ES"/>
        </w:rPr>
      </w:pPr>
      <w:r w:rsidRPr="00763640">
        <w:rPr>
          <w:color w:val="000000"/>
          <w:lang w:val="es-ES"/>
        </w:rPr>
        <w:t xml:space="preserve">En caso de no ser aprobado, el CONCESIONARIO deberá presentar nuevamente el </w:t>
      </w:r>
      <w:r w:rsidRPr="00763640">
        <w:rPr>
          <w:color w:val="000000"/>
          <w:lang w:val="es-PE"/>
        </w:rPr>
        <w:t>Programa</w:t>
      </w:r>
      <w:r w:rsidRPr="00763640">
        <w:rPr>
          <w:color w:val="000000"/>
          <w:lang w:val="es-ES"/>
        </w:rPr>
        <w:t xml:space="preserve"> de Conservación, para lo cual regirán los mismos plazos indicados en el párrafo anterior</w:t>
      </w:r>
      <w:r w:rsidRPr="00763640">
        <w:rPr>
          <w:color w:val="000000"/>
          <w:lang w:val="es-PE"/>
        </w:rPr>
        <w:t>.  Sin perjuicio de ello, el CONCESIONARIO se encuentra obligado a realizar las actividades de Conservación necesarias y suficientes para cumplir en todo momento con los Niveles de Servicio</w:t>
      </w:r>
      <w:r w:rsidRPr="00763640">
        <w:rPr>
          <w:color w:val="000000"/>
          <w:lang w:val="es-ES"/>
        </w:rPr>
        <w:t>.</w:t>
      </w:r>
    </w:p>
    <w:p w14:paraId="24655AC1" w14:textId="77777777" w:rsidR="004412F1" w:rsidRPr="00763640" w:rsidRDefault="004412F1">
      <w:pPr>
        <w:ind w:left="709"/>
        <w:jc w:val="both"/>
        <w:rPr>
          <w:color w:val="000000"/>
          <w:lang w:val="es-ES"/>
        </w:rPr>
      </w:pPr>
    </w:p>
    <w:p w14:paraId="5F57691D" w14:textId="1852CBC8" w:rsidR="004412F1" w:rsidRPr="00763640" w:rsidRDefault="005A12A3">
      <w:pPr>
        <w:ind w:left="705"/>
        <w:jc w:val="both"/>
        <w:rPr>
          <w:color w:val="000000"/>
          <w:lang w:val="es-ES"/>
        </w:rPr>
      </w:pPr>
      <w:r w:rsidRPr="00763640">
        <w:rPr>
          <w:color w:val="000000"/>
          <w:lang w:val="es-ES"/>
        </w:rPr>
        <w:t>El</w:t>
      </w:r>
      <w:r w:rsidRPr="00763640">
        <w:rPr>
          <w:color w:val="000000"/>
          <w:lang w:val="es-PE"/>
        </w:rPr>
        <w:t xml:space="preserve"> referido</w:t>
      </w:r>
      <w:r w:rsidRPr="00763640">
        <w:rPr>
          <w:color w:val="000000"/>
          <w:lang w:val="es-ES"/>
        </w:rPr>
        <w:t xml:space="preserve"> programa incluirá la descripción y justificación de las políticas utilizadas, el cronograma de las operaciones a realizar, las mediciones de niveles sobre las que se basa y su justificación técnica general, todo ello de conformidad con las disposiciones del </w:t>
      </w:r>
      <w:r w:rsidRPr="00763640">
        <w:rPr>
          <w:color w:val="000000"/>
          <w:lang w:val="es-PE"/>
        </w:rPr>
        <w:t xml:space="preserve">ANEXO I </w:t>
      </w:r>
      <w:r w:rsidRPr="00763640">
        <w:rPr>
          <w:color w:val="000000"/>
          <w:lang w:val="es-ES"/>
        </w:rPr>
        <w:t xml:space="preserve">del Contrato. El programa deberá garantizar </w:t>
      </w:r>
      <w:r w:rsidRPr="00763640">
        <w:rPr>
          <w:color w:val="000000"/>
          <w:lang w:val="es-PE"/>
        </w:rPr>
        <w:t xml:space="preserve">además </w:t>
      </w:r>
      <w:r w:rsidRPr="00763640">
        <w:rPr>
          <w:color w:val="000000"/>
          <w:lang w:val="es-ES"/>
        </w:rPr>
        <w:t xml:space="preserve">el tránsito fluido en los términos de la Cláusula </w:t>
      </w:r>
      <w:r w:rsidR="00C61F06" w:rsidRPr="00763640">
        <w:rPr>
          <w:color w:val="000000"/>
          <w:lang w:val="es-PE"/>
        </w:rPr>
        <w:t>6.26</w:t>
      </w:r>
      <w:r w:rsidRPr="00763640">
        <w:rPr>
          <w:color w:val="000000"/>
          <w:lang w:val="es-PE"/>
        </w:rPr>
        <w:t xml:space="preserve"> y siguientes del presente Contrato.</w:t>
      </w:r>
    </w:p>
    <w:p w14:paraId="376876EB" w14:textId="77777777" w:rsidR="004412F1" w:rsidRPr="00763640" w:rsidRDefault="004412F1">
      <w:pPr>
        <w:ind w:left="705"/>
        <w:jc w:val="both"/>
        <w:rPr>
          <w:color w:val="000000"/>
          <w:lang w:val="es-ES"/>
        </w:rPr>
      </w:pPr>
    </w:p>
    <w:p w14:paraId="3DA6F91A" w14:textId="77777777" w:rsidR="004412F1" w:rsidRPr="00763640" w:rsidRDefault="005A12A3">
      <w:pPr>
        <w:ind w:left="705"/>
        <w:jc w:val="both"/>
        <w:rPr>
          <w:color w:val="000000"/>
          <w:lang w:val="es-PE"/>
        </w:rPr>
      </w:pPr>
      <w:r w:rsidRPr="00763640">
        <w:rPr>
          <w:color w:val="000000"/>
          <w:lang w:val="es-PE"/>
        </w:rPr>
        <w:t>El Programa</w:t>
      </w:r>
      <w:r w:rsidRPr="00763640">
        <w:rPr>
          <w:color w:val="000000"/>
          <w:lang w:val="es-ES"/>
        </w:rPr>
        <w:t xml:space="preserve"> de Conservación </w:t>
      </w:r>
      <w:r w:rsidRPr="00763640">
        <w:rPr>
          <w:color w:val="000000"/>
          <w:lang w:val="es-PE"/>
        </w:rPr>
        <w:t xml:space="preserve">podrá ser modificado durante su implementación, en caso se encuentren condiciones diferentes a las previstas inicialmente, debiendo ser evaluadas por el REGULADOR y aprobadas por el CONCEDENTE. </w:t>
      </w:r>
    </w:p>
    <w:p w14:paraId="49AF2B38" w14:textId="77777777" w:rsidR="004412F1" w:rsidRPr="00763640" w:rsidRDefault="004412F1">
      <w:pPr>
        <w:ind w:left="705"/>
        <w:jc w:val="both"/>
        <w:rPr>
          <w:color w:val="000000"/>
          <w:lang w:val="es-PE"/>
        </w:rPr>
      </w:pPr>
    </w:p>
    <w:p w14:paraId="6019D5D7" w14:textId="77777777" w:rsidR="004412F1" w:rsidRPr="00763640" w:rsidRDefault="005A12A3">
      <w:pPr>
        <w:suppressLineNumbers/>
        <w:suppressAutoHyphens/>
        <w:ind w:left="709"/>
        <w:jc w:val="both"/>
        <w:rPr>
          <w:rFonts w:eastAsia="SimSun"/>
          <w:color w:val="000000"/>
          <w:lang w:val="es-PE"/>
        </w:rPr>
      </w:pPr>
      <w:r w:rsidRPr="00763640">
        <w:rPr>
          <w:color w:val="000000"/>
          <w:lang w:val="es-ES"/>
        </w:rPr>
        <w:lastRenderedPageBreak/>
        <w:t xml:space="preserve">El atraso en el plazo de </w:t>
      </w:r>
      <w:r w:rsidRPr="00763640">
        <w:rPr>
          <w:color w:val="000000"/>
          <w:lang w:val="es-PE"/>
        </w:rPr>
        <w:t xml:space="preserve">presentación del Programa de Conservación de la </w:t>
      </w:r>
      <w:proofErr w:type="gramStart"/>
      <w:r w:rsidRPr="00763640">
        <w:rPr>
          <w:color w:val="000000"/>
          <w:lang w:val="es-PE"/>
        </w:rPr>
        <w:t>Concesión,</w:t>
      </w:r>
      <w:proofErr w:type="gramEnd"/>
      <w:r w:rsidRPr="00763640">
        <w:rPr>
          <w:color w:val="000000"/>
          <w:lang w:val="es-PE"/>
        </w:rPr>
        <w:t xml:space="preserve"> generará una penalidad de acuerdo con lo indicado en la Tabla N° 4 del ANEXO IX.</w:t>
      </w:r>
      <w:r w:rsidRPr="00763640">
        <w:rPr>
          <w:color w:val="000000"/>
          <w:lang w:val="es-ES"/>
        </w:rPr>
        <w:t xml:space="preserve"> </w:t>
      </w:r>
    </w:p>
    <w:p w14:paraId="5A2D726B" w14:textId="77777777" w:rsidR="004412F1" w:rsidRPr="00763640" w:rsidRDefault="004412F1">
      <w:pPr>
        <w:ind w:left="709" w:firstLine="709"/>
        <w:jc w:val="both"/>
        <w:rPr>
          <w:rFonts w:eastAsia="SimSun"/>
          <w:color w:val="000000"/>
          <w:lang w:val="es-PE"/>
        </w:rPr>
      </w:pPr>
    </w:p>
    <w:p w14:paraId="1C8B607E" w14:textId="77777777" w:rsidR="004412F1" w:rsidRPr="00763640" w:rsidRDefault="005A12A3">
      <w:pPr>
        <w:pStyle w:val="Ttulo2"/>
        <w:ind w:left="0"/>
        <w:rPr>
          <w:rFonts w:ascii="Arial" w:eastAsia="Arial" w:hAnsi="Arial" w:cs="Arial"/>
          <w:b/>
          <w:bCs/>
          <w:u w:val="none"/>
        </w:rPr>
      </w:pPr>
      <w:bookmarkStart w:id="1579" w:name="_4ihyjke"/>
      <w:bookmarkStart w:id="1580" w:name="_Toc94329290"/>
      <w:bookmarkStart w:id="1581" w:name="_Toc94337624"/>
      <w:bookmarkStart w:id="1582" w:name="_Toc131329361"/>
      <w:bookmarkStart w:id="1583" w:name="_Toc131329129"/>
      <w:bookmarkStart w:id="1584" w:name="_Toc131332035"/>
      <w:bookmarkStart w:id="1585" w:name="_Toc131327977"/>
      <w:bookmarkStart w:id="1586" w:name="_Toc131329948"/>
      <w:bookmarkStart w:id="1587" w:name="_Toc94329044"/>
      <w:bookmarkStart w:id="1588" w:name="_Toc94337855"/>
      <w:bookmarkStart w:id="1589" w:name="_Toc131332956"/>
      <w:bookmarkStart w:id="1590" w:name="_Toc131328793"/>
      <w:bookmarkStart w:id="1591" w:name="_Toc94328528"/>
      <w:bookmarkStart w:id="1592" w:name="_Toc94330168"/>
      <w:bookmarkStart w:id="1593" w:name="_Toc94328788"/>
      <w:bookmarkStart w:id="1594" w:name="_Toc102405318"/>
      <w:bookmarkStart w:id="1595" w:name="_Toc94329536"/>
      <w:bookmarkStart w:id="1596" w:name="_Toc468837646"/>
      <w:bookmarkStart w:id="1597" w:name="_Toc139294744"/>
      <w:bookmarkStart w:id="1598" w:name="_Toc140089342"/>
      <w:bookmarkEnd w:id="1579"/>
      <w:r w:rsidRPr="00763640">
        <w:rPr>
          <w:rFonts w:ascii="Arial" w:eastAsia="Arial" w:hAnsi="Arial" w:cs="Arial"/>
          <w:b/>
          <w:bCs/>
          <w:u w:val="none"/>
        </w:rPr>
        <w:t>EMERGENCIA</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r w:rsidRPr="00763640">
        <w:rPr>
          <w:rFonts w:ascii="Arial" w:eastAsia="Arial" w:hAnsi="Arial" w:cs="Arial"/>
          <w:b/>
          <w:bCs/>
          <w:u w:val="none"/>
        </w:rPr>
        <w:t xml:space="preserve"> VIAL</w:t>
      </w:r>
      <w:bookmarkEnd w:id="1596"/>
      <w:bookmarkEnd w:id="1597"/>
      <w:bookmarkEnd w:id="1598"/>
    </w:p>
    <w:p w14:paraId="2A0191A6" w14:textId="77777777" w:rsidR="004412F1" w:rsidRPr="00763640" w:rsidRDefault="004412F1">
      <w:pPr>
        <w:ind w:firstLine="709"/>
        <w:jc w:val="both"/>
        <w:rPr>
          <w:color w:val="000000"/>
        </w:rPr>
      </w:pPr>
    </w:p>
    <w:p w14:paraId="193D58E9" w14:textId="77777777" w:rsidR="004412F1" w:rsidRPr="00763640" w:rsidRDefault="005A12A3">
      <w:pPr>
        <w:numPr>
          <w:ilvl w:val="1"/>
          <w:numId w:val="95"/>
        </w:numPr>
        <w:jc w:val="both"/>
        <w:rPr>
          <w:b/>
          <w:color w:val="000000"/>
          <w:lang w:val="es-PE"/>
        </w:rPr>
      </w:pPr>
      <w:bookmarkStart w:id="1599" w:name="_2xn8ts7"/>
      <w:bookmarkStart w:id="1600" w:name="_Ref349725361"/>
      <w:bookmarkStart w:id="1601" w:name="_Ref417889519"/>
      <w:bookmarkEnd w:id="1599"/>
      <w:r w:rsidRPr="00763640">
        <w:rPr>
          <w:color w:val="000000" w:themeColor="text1"/>
          <w:lang w:val="es-PE"/>
        </w:rPr>
        <w:t xml:space="preserve">En caso sucediera una situación de Emergencia Vial, de acuerdo </w:t>
      </w:r>
      <w:r w:rsidRPr="00763640">
        <w:rPr>
          <w:color w:val="000000" w:themeColor="text1"/>
          <w:lang w:val="es-ES"/>
        </w:rPr>
        <w:t>con</w:t>
      </w:r>
      <w:r w:rsidRPr="00763640">
        <w:rPr>
          <w:color w:val="000000" w:themeColor="text1"/>
          <w:lang w:val="es-PE"/>
        </w:rPr>
        <w:t xml:space="preserve"> la de</w:t>
      </w:r>
      <w:r w:rsidRPr="00763640">
        <w:rPr>
          <w:color w:val="000000" w:themeColor="text1"/>
          <w:lang w:val="es-ES"/>
        </w:rPr>
        <w:t>finición</w:t>
      </w:r>
      <w:r w:rsidRPr="00763640">
        <w:rPr>
          <w:color w:val="000000" w:themeColor="text1"/>
          <w:lang w:val="es-PE"/>
        </w:rPr>
        <w:t xml:space="preserve"> indicada en el CAPÍTULO I del Contrato, el CONCESIONARIO realizará las labores que sean necesarias para recuperar la Transitabilidad de la vía en el menor plazo posible, obligación que debe ejecutarse sin considerar la magnitud del evento.</w:t>
      </w:r>
      <w:bookmarkEnd w:id="1600"/>
      <w:r w:rsidRPr="00763640">
        <w:rPr>
          <w:color w:val="000000" w:themeColor="text1"/>
          <w:lang w:val="es-PE"/>
        </w:rPr>
        <w:t xml:space="preserve"> La valorización de los trabajos de esta etapa será por insumos aplicados (Materiales, mano de obra y equipo mecánico), con la conformidad del REGULADOR</w:t>
      </w:r>
      <w:r w:rsidRPr="00763640">
        <w:rPr>
          <w:color w:val="000000" w:themeColor="text1"/>
          <w:lang w:val="es-ES"/>
        </w:rPr>
        <w:t>.</w:t>
      </w:r>
      <w:bookmarkEnd w:id="1601"/>
    </w:p>
    <w:p w14:paraId="6188A0AF" w14:textId="77777777" w:rsidR="004412F1" w:rsidRPr="00763640" w:rsidRDefault="004412F1">
      <w:pPr>
        <w:ind w:left="720"/>
        <w:jc w:val="both"/>
        <w:rPr>
          <w:color w:val="000000" w:themeColor="text1"/>
          <w:lang w:val="es-ES"/>
        </w:rPr>
      </w:pPr>
    </w:p>
    <w:p w14:paraId="518942B3" w14:textId="77777777" w:rsidR="004412F1" w:rsidRDefault="005A12A3">
      <w:pPr>
        <w:ind w:left="720"/>
        <w:jc w:val="both"/>
        <w:rPr>
          <w:color w:val="000000"/>
          <w:lang w:val="es-ES"/>
        </w:rPr>
      </w:pPr>
      <w:proofErr w:type="gramStart"/>
      <w:r w:rsidRPr="00763640">
        <w:rPr>
          <w:color w:val="000000"/>
          <w:lang w:val="es-PE"/>
        </w:rPr>
        <w:t>Además</w:t>
      </w:r>
      <w:proofErr w:type="gramEnd"/>
      <w:r w:rsidRPr="00763640">
        <w:rPr>
          <w:color w:val="000000"/>
          <w:lang w:val="es-PE"/>
        </w:rPr>
        <w:t xml:space="preserve"> el CONCESIONARIO, </w:t>
      </w:r>
      <w:r w:rsidRPr="00763640">
        <w:rPr>
          <w:color w:val="000000"/>
          <w:lang w:val="es-ES"/>
        </w:rPr>
        <w:t>salvo lo indicado en la Cláusula 7.8, deberá reparar los daños ocasionados hasta recuperar el estado inicial o los Niveles</w:t>
      </w:r>
      <w:r w:rsidRPr="00763640">
        <w:rPr>
          <w:color w:val="000000"/>
          <w:lang w:val="es-PE"/>
        </w:rPr>
        <w:t xml:space="preserve"> de Servicio conforme a lo indicado en el ANEXO I</w:t>
      </w:r>
      <w:r w:rsidRPr="00763640">
        <w:rPr>
          <w:color w:val="000000"/>
          <w:lang w:val="es-ES"/>
        </w:rPr>
        <w:t xml:space="preserve"> del presente Contrato, según corresponda.</w:t>
      </w:r>
    </w:p>
    <w:p w14:paraId="19D0A0CD" w14:textId="77777777" w:rsidR="004412F1" w:rsidRDefault="004412F1">
      <w:pPr>
        <w:ind w:left="720"/>
        <w:jc w:val="both"/>
        <w:rPr>
          <w:color w:val="000000"/>
          <w:lang w:val="es-ES"/>
        </w:rPr>
      </w:pPr>
    </w:p>
    <w:p w14:paraId="73B58ECB" w14:textId="77777777" w:rsidR="004412F1" w:rsidRDefault="005A12A3">
      <w:pPr>
        <w:ind w:left="720"/>
        <w:jc w:val="both"/>
        <w:rPr>
          <w:color w:val="000000"/>
          <w:lang w:val="es-ES"/>
        </w:rPr>
      </w:pPr>
      <w:r>
        <w:rPr>
          <w:color w:val="000000"/>
          <w:lang w:val="es-ES"/>
        </w:rPr>
        <w:t>Las actividades para lograr lo especificado en los párrafos anteriores deberán ser cubiertas a través de los fondos de la cuenta de Emergencias Viales del Fideicomiso de Administración para retribuir al CONCESIONARIO por los gastos en los que haya incurrido.</w:t>
      </w:r>
    </w:p>
    <w:p w14:paraId="1733F60A" w14:textId="77777777" w:rsidR="004412F1" w:rsidRDefault="004412F1">
      <w:pPr>
        <w:ind w:left="720"/>
        <w:jc w:val="both"/>
        <w:rPr>
          <w:color w:val="000000"/>
          <w:lang w:val="es-ES"/>
        </w:rPr>
      </w:pPr>
    </w:p>
    <w:p w14:paraId="3F728D83" w14:textId="3750BB76" w:rsidR="004412F1" w:rsidRDefault="005A12A3">
      <w:pPr>
        <w:ind w:left="720"/>
        <w:jc w:val="both"/>
        <w:rPr>
          <w:color w:val="000000"/>
          <w:lang w:val="es-ES"/>
        </w:rPr>
      </w:pPr>
      <w:r>
        <w:rPr>
          <w:color w:val="000000"/>
          <w:lang w:val="es-ES"/>
        </w:rPr>
        <w:t xml:space="preserve">Luego que el CONCESIONARIO ejecute las medidas de recuperación de </w:t>
      </w:r>
      <w:r w:rsidR="004E3B50">
        <w:rPr>
          <w:color w:val="000000"/>
          <w:lang w:val="es-ES"/>
        </w:rPr>
        <w:t>T</w:t>
      </w:r>
      <w:r>
        <w:rPr>
          <w:color w:val="000000"/>
          <w:lang w:val="es-ES"/>
        </w:rPr>
        <w:t>ransitabilidad, contando con la conformidad del REGULADOR, el CONCEDENTE aprobará la utilización de los recursos de la cuenta de Emergencias Viales del Fideicomiso de Administración para el pago al CONCESIONARIO.</w:t>
      </w:r>
    </w:p>
    <w:p w14:paraId="28ABB70E" w14:textId="77777777" w:rsidR="004412F1" w:rsidRDefault="004412F1">
      <w:pPr>
        <w:ind w:left="720"/>
        <w:jc w:val="both"/>
        <w:rPr>
          <w:color w:val="000000"/>
          <w:lang w:val="es-ES"/>
        </w:rPr>
      </w:pPr>
    </w:p>
    <w:p w14:paraId="5E9A4D1B" w14:textId="77777777" w:rsidR="004412F1" w:rsidRDefault="005A12A3">
      <w:pPr>
        <w:ind w:left="720"/>
        <w:jc w:val="both"/>
        <w:rPr>
          <w:color w:val="000000"/>
          <w:lang w:val="es-ES"/>
        </w:rPr>
      </w:pPr>
      <w:r>
        <w:rPr>
          <w:color w:val="000000"/>
          <w:lang w:val="es-ES"/>
        </w:rPr>
        <w:t xml:space="preserve">De darse el caso que los fondos disponibles en la cuenta de Emergencias Viales del Fideicomiso de </w:t>
      </w:r>
      <w:proofErr w:type="gramStart"/>
      <w:r>
        <w:rPr>
          <w:color w:val="000000"/>
          <w:lang w:val="es-ES"/>
        </w:rPr>
        <w:t>Administración,</w:t>
      </w:r>
      <w:proofErr w:type="gramEnd"/>
      <w:r>
        <w:rPr>
          <w:color w:val="000000"/>
          <w:lang w:val="es-ES"/>
        </w:rPr>
        <w:t xml:space="preserve"> no sean suficientes, el CONCEDENTE cubrirá la diferencia con sus recursos.</w:t>
      </w:r>
    </w:p>
    <w:p w14:paraId="608CE76A" w14:textId="77777777" w:rsidR="004412F1" w:rsidRDefault="004412F1">
      <w:pPr>
        <w:ind w:left="720"/>
        <w:jc w:val="both"/>
        <w:rPr>
          <w:color w:val="000000"/>
          <w:sz w:val="20"/>
          <w:lang w:val="es-ES"/>
        </w:rPr>
      </w:pPr>
    </w:p>
    <w:p w14:paraId="1896A8D9" w14:textId="77777777" w:rsidR="004412F1" w:rsidRDefault="005A12A3">
      <w:pPr>
        <w:ind w:left="720"/>
        <w:jc w:val="both"/>
        <w:rPr>
          <w:color w:val="000000"/>
          <w:lang w:val="es-ES"/>
        </w:rPr>
      </w:pPr>
      <w:r>
        <w:rPr>
          <w:color w:val="000000"/>
          <w:lang w:val="es-ES"/>
        </w:rPr>
        <w:t>Para considerar una remoción de derrumbes como Emergencia Vial su volumen debe superar los 200m3</w:t>
      </w:r>
      <w:r>
        <w:rPr>
          <w:color w:val="000000"/>
          <w:vertAlign w:val="superscript"/>
          <w:lang w:val="es-ES"/>
        </w:rPr>
        <w:t xml:space="preserve"> </w:t>
      </w:r>
      <w:r>
        <w:rPr>
          <w:color w:val="000000"/>
          <w:lang w:val="es-ES"/>
        </w:rPr>
        <w:t>por cada evento.</w:t>
      </w:r>
    </w:p>
    <w:p w14:paraId="66D8506A" w14:textId="77777777" w:rsidR="004412F1" w:rsidRDefault="004412F1">
      <w:pPr>
        <w:ind w:left="709"/>
        <w:jc w:val="both"/>
        <w:rPr>
          <w:color w:val="000000"/>
          <w:sz w:val="20"/>
          <w:lang w:val="es-PE"/>
        </w:rPr>
      </w:pPr>
    </w:p>
    <w:p w14:paraId="1391EC92" w14:textId="77777777" w:rsidR="004412F1" w:rsidRDefault="005A12A3">
      <w:pPr>
        <w:numPr>
          <w:ilvl w:val="1"/>
          <w:numId w:val="95"/>
        </w:numPr>
        <w:jc w:val="both"/>
        <w:rPr>
          <w:color w:val="000000"/>
          <w:lang w:val="es-PE"/>
        </w:rPr>
      </w:pPr>
      <w:r>
        <w:rPr>
          <w:color w:val="000000"/>
          <w:lang w:val="es-PE"/>
        </w:rPr>
        <w:t xml:space="preserve">El CONCESIONARIO deberá dar cuenta al CONCEDENTE y al REGULADOR de las medidas tomadas, en un plazo no mayor de dos (2) Días Calendario de verificada la emergencia. En caso que las medidas de emergencia tomadas por el CONCESIONARIO requieran ser reforzadas con medidas definitivas tendientes a recuperar los Niveles de Servicio conforme a lo indicado en el ANEXO I, en un plazo no mayor de ciento ochenta (180) Días Calendario de haber comunicado la emergencia al CONCEDENTE, el CONCESIONARIO deberá presentar al CONCEDENTE con copia al REGULADOR un informe técnico el cual debe contener el presupuesto respectivo, detallando las medidas definitivas a ser tomadas. Este informe técnico también podrá ser requerido por el CONCEDENTE o REGULADOR, previa opinión de la Parte que no origina el requerimiento. Lo anterior no limita la responsabilidad del CONCESIONARIO de recuperar la Transitabilidad en el menor plazo posible </w:t>
      </w:r>
      <w:proofErr w:type="gramStart"/>
      <w:r>
        <w:rPr>
          <w:color w:val="000000"/>
          <w:lang w:val="es-PE"/>
        </w:rPr>
        <w:t>de acuerdo a</w:t>
      </w:r>
      <w:proofErr w:type="gramEnd"/>
      <w:r>
        <w:rPr>
          <w:color w:val="000000"/>
          <w:lang w:val="es-PE"/>
        </w:rPr>
        <w:t xml:space="preserve"> lo señalado en la Cláusula 7.8</w:t>
      </w:r>
      <w:r>
        <w:rPr>
          <w:color w:val="000000"/>
          <w:lang w:val="es-ES"/>
        </w:rPr>
        <w:t>.</w:t>
      </w:r>
    </w:p>
    <w:p w14:paraId="602D4C64" w14:textId="77777777" w:rsidR="004412F1" w:rsidRDefault="004412F1">
      <w:pPr>
        <w:ind w:left="720" w:firstLine="4"/>
        <w:jc w:val="both"/>
        <w:rPr>
          <w:color w:val="000000"/>
          <w:sz w:val="20"/>
          <w:lang w:val="es-ES"/>
        </w:rPr>
      </w:pPr>
    </w:p>
    <w:p w14:paraId="44D890BD" w14:textId="77777777" w:rsidR="004412F1" w:rsidRDefault="005A12A3">
      <w:pPr>
        <w:ind w:left="720"/>
        <w:jc w:val="both"/>
        <w:rPr>
          <w:color w:val="000000"/>
          <w:lang w:val="es-ES"/>
        </w:rPr>
      </w:pPr>
      <w:r>
        <w:rPr>
          <w:color w:val="000000"/>
          <w:lang w:val="es-PE"/>
        </w:rPr>
        <w:t>A tal efecto, dentro de un plazo no mayor a quince</w:t>
      </w:r>
      <w:r>
        <w:rPr>
          <w:color w:val="000000"/>
          <w:lang w:val="es-ES"/>
        </w:rPr>
        <w:t xml:space="preserve"> (15) Días contados desde la recepción de la opinión del REGULADOR, quien dispondrá de un plazo máximo de diez (10) Días para emitir su opinión previa</w:t>
      </w:r>
      <w:r>
        <w:rPr>
          <w:color w:val="000000"/>
          <w:lang w:val="es-PE"/>
        </w:rPr>
        <w:t xml:space="preserve">, el CONCEDENTE aprobará el </w:t>
      </w:r>
      <w:r>
        <w:rPr>
          <w:color w:val="000000"/>
          <w:lang w:val="es-PE"/>
        </w:rPr>
        <w:lastRenderedPageBreak/>
        <w:t>informe técnico antes indicado o podrá indicar al CONCESIONARIO la implementación de acciones alternativas o la reformulación de las propuestas</w:t>
      </w:r>
      <w:r>
        <w:rPr>
          <w:color w:val="000000"/>
          <w:lang w:val="es-ES"/>
        </w:rPr>
        <w:t>.</w:t>
      </w:r>
    </w:p>
    <w:p w14:paraId="43357887" w14:textId="77777777" w:rsidR="004412F1" w:rsidRDefault="004412F1">
      <w:pPr>
        <w:ind w:left="720"/>
        <w:jc w:val="both"/>
        <w:rPr>
          <w:color w:val="000000"/>
          <w:sz w:val="20"/>
          <w:lang w:val="es-ES"/>
        </w:rPr>
      </w:pPr>
    </w:p>
    <w:p w14:paraId="755DB306" w14:textId="77777777" w:rsidR="004412F1" w:rsidRDefault="005A12A3">
      <w:pPr>
        <w:ind w:left="720"/>
        <w:jc w:val="both"/>
        <w:rPr>
          <w:color w:val="000000"/>
          <w:lang w:val="es-ES"/>
        </w:rPr>
      </w:pPr>
      <w:r>
        <w:rPr>
          <w:color w:val="000000"/>
          <w:lang w:val="es-ES"/>
        </w:rPr>
        <w:t>En caso el CONCEDENTE no se pronuncie en el plazo previsto, se entenderá como no aprobado el informe técnico presentado por el CONCESIONARIO.</w:t>
      </w:r>
    </w:p>
    <w:p w14:paraId="26A9E12C" w14:textId="77777777" w:rsidR="004412F1" w:rsidRDefault="004412F1">
      <w:pPr>
        <w:ind w:left="720"/>
        <w:jc w:val="both"/>
        <w:rPr>
          <w:rFonts w:eastAsia="SimSun"/>
          <w:color w:val="000000"/>
          <w:sz w:val="20"/>
          <w:lang w:val="es-ES"/>
        </w:rPr>
      </w:pPr>
    </w:p>
    <w:p w14:paraId="5E300F5A" w14:textId="77777777" w:rsidR="004412F1" w:rsidRDefault="005A12A3">
      <w:pPr>
        <w:pStyle w:val="Ttulo2"/>
        <w:ind w:left="0"/>
        <w:rPr>
          <w:rFonts w:ascii="Arial" w:eastAsia="Arial" w:hAnsi="Arial" w:cs="Arial"/>
          <w:b/>
          <w:bCs/>
          <w:u w:val="none"/>
        </w:rPr>
      </w:pPr>
      <w:bookmarkStart w:id="1602" w:name="_1csj400"/>
      <w:bookmarkStart w:id="1603" w:name="_Toc131329362"/>
      <w:bookmarkStart w:id="1604" w:name="_Toc131327978"/>
      <w:bookmarkStart w:id="1605" w:name="_Toc131329949"/>
      <w:bookmarkStart w:id="1606" w:name="_Toc131329130"/>
      <w:bookmarkStart w:id="1607" w:name="_Toc139294745"/>
      <w:bookmarkStart w:id="1608" w:name="_Toc131332957"/>
      <w:bookmarkStart w:id="1609" w:name="_Toc102405319"/>
      <w:bookmarkStart w:id="1610" w:name="_Toc131332036"/>
      <w:bookmarkStart w:id="1611" w:name="_Toc131328794"/>
      <w:bookmarkStart w:id="1612" w:name="_Toc468837647"/>
      <w:bookmarkStart w:id="1613" w:name="_Toc140089343"/>
      <w:bookmarkEnd w:id="1602"/>
      <w:r>
        <w:rPr>
          <w:rFonts w:ascii="Arial" w:eastAsia="Arial" w:hAnsi="Arial" w:cs="Arial"/>
          <w:b/>
          <w:bCs/>
          <w:u w:val="none"/>
        </w:rPr>
        <w:t>INFORMACIÓN</w:t>
      </w:r>
      <w:bookmarkEnd w:id="1603"/>
      <w:bookmarkEnd w:id="1604"/>
      <w:bookmarkEnd w:id="1605"/>
      <w:bookmarkEnd w:id="1606"/>
      <w:bookmarkEnd w:id="1607"/>
      <w:bookmarkEnd w:id="1608"/>
      <w:bookmarkEnd w:id="1609"/>
      <w:bookmarkEnd w:id="1610"/>
      <w:bookmarkEnd w:id="1611"/>
      <w:bookmarkEnd w:id="1612"/>
      <w:bookmarkEnd w:id="1613"/>
    </w:p>
    <w:p w14:paraId="74C9DCA3" w14:textId="77777777" w:rsidR="004412F1" w:rsidRDefault="004412F1">
      <w:pPr>
        <w:jc w:val="both"/>
      </w:pPr>
    </w:p>
    <w:p w14:paraId="7F225D76" w14:textId="77777777" w:rsidR="004412F1" w:rsidRDefault="005A12A3">
      <w:pPr>
        <w:numPr>
          <w:ilvl w:val="1"/>
          <w:numId w:val="95"/>
        </w:numPr>
        <w:jc w:val="both"/>
        <w:rPr>
          <w:color w:val="000000"/>
          <w:lang w:val="es-PE"/>
        </w:rPr>
      </w:pPr>
      <w:bookmarkStart w:id="1614" w:name="_3ws6mnt"/>
      <w:bookmarkStart w:id="1615" w:name="_Ref274058108"/>
      <w:bookmarkEnd w:id="1614"/>
      <w:r>
        <w:rPr>
          <w:color w:val="000000" w:themeColor="text1"/>
          <w:lang w:val="es-PE"/>
        </w:rPr>
        <w:t>Es obligación del CONCESIONARIO proporcionar al REGULADOR informes relativos al desarrollo de la Conservación de la Concesión para su evaluación conforme al procedimiento establecido en el ANEXO I del Contrato. En dicho documento se deberá incluir información sobre resultados de Niveles de Servicio de las actividades de Conservación realizadas. El costo de la preparación de los informes corresponderá al CONCESIONARIO conforme al formato aprobado por el REGULADOR.</w:t>
      </w:r>
      <w:bookmarkEnd w:id="1615"/>
    </w:p>
    <w:p w14:paraId="646868A2" w14:textId="77777777" w:rsidR="004412F1" w:rsidRDefault="004412F1">
      <w:pPr>
        <w:jc w:val="both"/>
        <w:rPr>
          <w:color w:val="000000"/>
          <w:lang w:val="es-PE"/>
        </w:rPr>
      </w:pPr>
    </w:p>
    <w:p w14:paraId="1482F6EE" w14:textId="77777777" w:rsidR="004412F1" w:rsidRDefault="005A12A3">
      <w:pPr>
        <w:suppressLineNumbers/>
        <w:suppressAutoHyphens/>
        <w:ind w:left="709"/>
        <w:jc w:val="both"/>
        <w:rPr>
          <w:color w:val="000000"/>
          <w:lang w:val="es-PE"/>
        </w:rPr>
      </w:pPr>
      <w:r>
        <w:rPr>
          <w:color w:val="000000"/>
          <w:lang w:val="es-ES"/>
        </w:rPr>
        <w:t xml:space="preserve">El atraso en </w:t>
      </w:r>
      <w:r>
        <w:rPr>
          <w:color w:val="000000"/>
          <w:lang w:val="es-PE"/>
        </w:rPr>
        <w:t>la presentación de los informes relativos al desarrollo de la Conservación generará una penalidad de acuerdo con lo indicado en la Tabla N° 4 del ANEXO IX.</w:t>
      </w:r>
      <w:r>
        <w:rPr>
          <w:color w:val="000000"/>
          <w:lang w:val="es-ES"/>
        </w:rPr>
        <w:t xml:space="preserve"> </w:t>
      </w:r>
    </w:p>
    <w:p w14:paraId="7F47C766" w14:textId="77777777" w:rsidR="004412F1" w:rsidRDefault="004412F1">
      <w:pPr>
        <w:jc w:val="both"/>
        <w:rPr>
          <w:color w:val="000000"/>
          <w:lang w:val="es-PE"/>
        </w:rPr>
      </w:pPr>
      <w:bookmarkStart w:id="1616" w:name="_2bxgwvm" w:colFirst="0" w:colLast="0"/>
      <w:bookmarkStart w:id="1617" w:name="_OBRAS_QUE_SE"/>
      <w:bookmarkEnd w:id="1616"/>
      <w:bookmarkEnd w:id="1617"/>
    </w:p>
    <w:p w14:paraId="7FB98412" w14:textId="77777777" w:rsidR="004412F1" w:rsidRDefault="004412F1">
      <w:pPr>
        <w:jc w:val="both"/>
        <w:rPr>
          <w:color w:val="000000"/>
          <w:lang w:val="es-PE"/>
        </w:rPr>
      </w:pPr>
    </w:p>
    <w:p w14:paraId="0B0C95A9" w14:textId="77777777" w:rsidR="004412F1" w:rsidRDefault="005A12A3">
      <w:pPr>
        <w:pStyle w:val="Ttulo1"/>
        <w:jc w:val="both"/>
        <w:rPr>
          <w:lang w:val="es-PE"/>
        </w:rPr>
      </w:pPr>
      <w:bookmarkStart w:id="1618" w:name="_r2r73f"/>
      <w:bookmarkStart w:id="1619" w:name="_Toc131329951"/>
      <w:bookmarkStart w:id="1620" w:name="_Toc131332038"/>
      <w:bookmarkStart w:id="1621" w:name="_Toc139294746"/>
      <w:bookmarkStart w:id="1622" w:name="_Toc131327980"/>
      <w:bookmarkStart w:id="1623" w:name="_Toc131332959"/>
      <w:bookmarkStart w:id="1624" w:name="_Toc131329364"/>
      <w:bookmarkStart w:id="1625" w:name="_Toc468837648"/>
      <w:bookmarkStart w:id="1626" w:name="_Toc131328796"/>
      <w:bookmarkStart w:id="1627" w:name="_Toc131329132"/>
      <w:bookmarkStart w:id="1628" w:name="_Toc140089344"/>
      <w:bookmarkEnd w:id="1618"/>
      <w:r>
        <w:rPr>
          <w:lang w:val="es-PE"/>
        </w:rPr>
        <w:t>CAPÍTULO VIII: EXPLOTACIÓN DE LA CONCESIÓN</w:t>
      </w:r>
      <w:bookmarkEnd w:id="1619"/>
      <w:bookmarkEnd w:id="1620"/>
      <w:bookmarkEnd w:id="1621"/>
      <w:bookmarkEnd w:id="1622"/>
      <w:bookmarkEnd w:id="1623"/>
      <w:bookmarkEnd w:id="1624"/>
      <w:bookmarkEnd w:id="1625"/>
      <w:bookmarkEnd w:id="1626"/>
      <w:bookmarkEnd w:id="1627"/>
      <w:bookmarkEnd w:id="1628"/>
    </w:p>
    <w:p w14:paraId="7CD63641" w14:textId="77777777" w:rsidR="004412F1" w:rsidRDefault="004412F1">
      <w:pPr>
        <w:jc w:val="both"/>
        <w:rPr>
          <w:b/>
          <w:color w:val="000000"/>
          <w:lang w:val="es-MX"/>
        </w:rPr>
      </w:pPr>
      <w:bookmarkStart w:id="1629" w:name="_3b2epr8" w:colFirst="0" w:colLast="0"/>
      <w:bookmarkStart w:id="1630" w:name="_Toc131328797"/>
      <w:bookmarkStart w:id="1631" w:name="_Toc131332039"/>
      <w:bookmarkStart w:id="1632" w:name="_Toc131329133"/>
      <w:bookmarkStart w:id="1633" w:name="_Toc131332960"/>
      <w:bookmarkStart w:id="1634" w:name="_Toc131327981"/>
      <w:bookmarkStart w:id="1635" w:name="_Toc131329365"/>
      <w:bookmarkStart w:id="1636" w:name="_Toc131329952"/>
      <w:bookmarkEnd w:id="1629"/>
    </w:p>
    <w:p w14:paraId="40EC4EDA" w14:textId="77777777" w:rsidR="004412F1" w:rsidRDefault="005A12A3">
      <w:pPr>
        <w:pStyle w:val="Ttulo2"/>
        <w:ind w:left="0"/>
        <w:rPr>
          <w:rFonts w:ascii="Arial" w:hAnsi="Arial"/>
          <w:b/>
          <w:u w:val="none"/>
        </w:rPr>
      </w:pPr>
      <w:bookmarkStart w:id="1637" w:name="_1q7ozz1"/>
      <w:bookmarkStart w:id="1638" w:name="_Toc139294747"/>
      <w:bookmarkStart w:id="1639" w:name="_Toc468837649"/>
      <w:bookmarkStart w:id="1640" w:name="_Toc140089345"/>
      <w:bookmarkEnd w:id="1637"/>
      <w:r>
        <w:rPr>
          <w:rFonts w:ascii="Arial" w:hAnsi="Arial"/>
          <w:b/>
          <w:u w:val="none"/>
        </w:rPr>
        <w:t>DERECHOS Y DEBERES DEL CONCESIONARIO</w:t>
      </w:r>
      <w:bookmarkEnd w:id="1630"/>
      <w:bookmarkEnd w:id="1631"/>
      <w:bookmarkEnd w:id="1632"/>
      <w:bookmarkEnd w:id="1633"/>
      <w:bookmarkEnd w:id="1634"/>
      <w:bookmarkEnd w:id="1635"/>
      <w:bookmarkEnd w:id="1636"/>
      <w:bookmarkEnd w:id="1638"/>
      <w:bookmarkEnd w:id="1639"/>
      <w:bookmarkEnd w:id="1640"/>
    </w:p>
    <w:p w14:paraId="4499E91F" w14:textId="77777777" w:rsidR="004412F1" w:rsidRDefault="004412F1">
      <w:pPr>
        <w:jc w:val="both"/>
      </w:pPr>
    </w:p>
    <w:p w14:paraId="5F9121A0" w14:textId="77777777" w:rsidR="004412F1" w:rsidRDefault="005A12A3">
      <w:pPr>
        <w:numPr>
          <w:ilvl w:val="1"/>
          <w:numId w:val="96"/>
        </w:numPr>
        <w:jc w:val="both"/>
        <w:rPr>
          <w:rFonts w:eastAsia="Times New Roman"/>
          <w:bCs/>
          <w:color w:val="000000"/>
          <w:szCs w:val="18"/>
          <w:lang w:val="es-ES" w:eastAsia="es-ES"/>
        </w:rPr>
      </w:pPr>
      <w:r>
        <w:rPr>
          <w:color w:val="000000"/>
          <w:lang w:val="es-PE"/>
        </w:rPr>
        <w:t xml:space="preserve">La Explotación de los </w:t>
      </w:r>
      <w:proofErr w:type="gramStart"/>
      <w:r>
        <w:rPr>
          <w:color w:val="000000"/>
          <w:lang w:val="es-PE"/>
        </w:rPr>
        <w:t>Sub Tramos</w:t>
      </w:r>
      <w:proofErr w:type="gramEnd"/>
      <w:r>
        <w:rPr>
          <w:color w:val="000000"/>
          <w:lang w:val="es-PE"/>
        </w:rPr>
        <w:t xml:space="preserve"> de la Concesión </w:t>
      </w:r>
      <w:r>
        <w:rPr>
          <w:rFonts w:eastAsia="Times New Roman"/>
          <w:bCs/>
          <w:color w:val="000000"/>
          <w:szCs w:val="18"/>
          <w:lang w:val="es-ES" w:eastAsia="es-ES"/>
        </w:rPr>
        <w:t xml:space="preserve">por el CONCESIONARIO constituye un deber, en la medida en que el CONCESIONARIO está obligado a cumplir con determinados parámetros, niveles, capacidad y otros asociados a la inversión, así como </w:t>
      </w:r>
      <w:r>
        <w:rPr>
          <w:color w:val="000000"/>
          <w:lang w:val="es-PE"/>
        </w:rPr>
        <w:t>los estándares de Niveles de Servicio a partir de la oportunidad prevista en la Cláusula 7.1 del presente Contrato.</w:t>
      </w:r>
    </w:p>
    <w:p w14:paraId="5DC3EF62" w14:textId="77777777" w:rsidR="004412F1" w:rsidRDefault="005A12A3">
      <w:pPr>
        <w:jc w:val="both"/>
        <w:rPr>
          <w:color w:val="000000"/>
          <w:lang w:val="es-PE"/>
        </w:rPr>
      </w:pPr>
      <w:r>
        <w:rPr>
          <w:color w:val="000000"/>
          <w:lang w:val="es-PE"/>
        </w:rPr>
        <w:t xml:space="preserve"> </w:t>
      </w:r>
    </w:p>
    <w:p w14:paraId="40C370E5" w14:textId="77777777" w:rsidR="004412F1" w:rsidRDefault="005A12A3">
      <w:pPr>
        <w:ind w:left="709"/>
        <w:jc w:val="both"/>
        <w:rPr>
          <w:lang w:val="es-PE"/>
        </w:rPr>
      </w:pPr>
      <w:r>
        <w:rPr>
          <w:lang w:val="es-PE"/>
        </w:rPr>
        <w:t>Es deber del CONCESIONARIO, dentro de los límites del Contrato, responder por los actos de omisión y/o negligencia del personal a cargo de la Operación de la vía o de los contratistas que el CONCESIONARIO decida contratar.</w:t>
      </w:r>
    </w:p>
    <w:p w14:paraId="24CEE96B" w14:textId="77777777" w:rsidR="004412F1" w:rsidRDefault="004412F1">
      <w:pPr>
        <w:ind w:left="709"/>
        <w:jc w:val="both"/>
        <w:rPr>
          <w:lang w:val="es-PE"/>
        </w:rPr>
      </w:pPr>
    </w:p>
    <w:p w14:paraId="30DD7AC0" w14:textId="77777777" w:rsidR="004412F1" w:rsidRDefault="005A12A3">
      <w:pPr>
        <w:pStyle w:val="Ttulo2"/>
        <w:ind w:left="0"/>
        <w:rPr>
          <w:rFonts w:ascii="Arial" w:hAnsi="Arial"/>
          <w:b/>
          <w:u w:val="none"/>
        </w:rPr>
      </w:pPr>
      <w:bookmarkStart w:id="1641" w:name="_4a7cimu"/>
      <w:bookmarkStart w:id="1642" w:name="_Toc131328798"/>
      <w:bookmarkStart w:id="1643" w:name="_Toc131332040"/>
      <w:bookmarkStart w:id="1644" w:name="_Toc131332961"/>
      <w:bookmarkStart w:id="1645" w:name="_Toc131329953"/>
      <w:bookmarkStart w:id="1646" w:name="_Toc131329366"/>
      <w:bookmarkStart w:id="1647" w:name="_Toc131329134"/>
      <w:bookmarkStart w:id="1648" w:name="_Toc131327982"/>
      <w:bookmarkStart w:id="1649" w:name="_Toc139294748"/>
      <w:bookmarkStart w:id="1650" w:name="_Toc468837650"/>
      <w:bookmarkStart w:id="1651" w:name="_Toc140089346"/>
      <w:bookmarkEnd w:id="1641"/>
      <w:r>
        <w:rPr>
          <w:rFonts w:ascii="Arial" w:hAnsi="Arial"/>
          <w:b/>
          <w:u w:val="none"/>
        </w:rPr>
        <w:t>ORGANIZACIÓN DE LOS SERVICIO</w:t>
      </w:r>
      <w:bookmarkEnd w:id="1642"/>
      <w:bookmarkEnd w:id="1643"/>
      <w:bookmarkEnd w:id="1644"/>
      <w:bookmarkEnd w:id="1645"/>
      <w:bookmarkEnd w:id="1646"/>
      <w:bookmarkEnd w:id="1647"/>
      <w:bookmarkEnd w:id="1648"/>
      <w:r>
        <w:rPr>
          <w:rFonts w:ascii="Arial" w:hAnsi="Arial"/>
          <w:b/>
          <w:u w:val="none"/>
        </w:rPr>
        <w:t>S</w:t>
      </w:r>
      <w:bookmarkEnd w:id="1649"/>
      <w:bookmarkEnd w:id="1650"/>
      <w:bookmarkEnd w:id="1651"/>
    </w:p>
    <w:p w14:paraId="3BBAD92A" w14:textId="77777777" w:rsidR="004412F1" w:rsidRDefault="004412F1">
      <w:pPr>
        <w:jc w:val="both"/>
      </w:pPr>
    </w:p>
    <w:p w14:paraId="0A29E9B1" w14:textId="77777777" w:rsidR="004412F1" w:rsidRDefault="005A12A3">
      <w:pPr>
        <w:numPr>
          <w:ilvl w:val="1"/>
          <w:numId w:val="96"/>
        </w:numPr>
        <w:jc w:val="both"/>
        <w:rPr>
          <w:lang w:val="es-PE"/>
        </w:rPr>
      </w:pPr>
      <w:r>
        <w:rPr>
          <w:lang w:val="es-PE"/>
        </w:rPr>
        <w:t xml:space="preserve">Corresponde al CONCESIONARIO diseñar y administrar los Servicios que se proporcionarán a los Usuarios de los </w:t>
      </w:r>
      <w:proofErr w:type="gramStart"/>
      <w:r>
        <w:rPr>
          <w:lang w:val="es-PE"/>
        </w:rPr>
        <w:t>Sub Tramos</w:t>
      </w:r>
      <w:proofErr w:type="gramEnd"/>
      <w:r>
        <w:rPr>
          <w:lang w:val="es-PE"/>
        </w:rPr>
        <w:t xml:space="preserve">, de conformidad con los parámetros establecidos para tal efecto en las Bases y el Contrato de Concesión. </w:t>
      </w:r>
    </w:p>
    <w:p w14:paraId="04F6DF15" w14:textId="77777777" w:rsidR="004412F1" w:rsidRDefault="004412F1">
      <w:pPr>
        <w:jc w:val="both"/>
        <w:rPr>
          <w:lang w:val="es-PE"/>
        </w:rPr>
      </w:pPr>
    </w:p>
    <w:p w14:paraId="30EB2500" w14:textId="77777777" w:rsidR="001F57D6" w:rsidRDefault="001F57D6">
      <w:pPr>
        <w:jc w:val="both"/>
        <w:rPr>
          <w:lang w:val="es-PE"/>
        </w:rPr>
      </w:pPr>
    </w:p>
    <w:p w14:paraId="0DD8C973" w14:textId="77777777" w:rsidR="004412F1" w:rsidRDefault="005A12A3">
      <w:pPr>
        <w:pStyle w:val="Ttulo2"/>
        <w:ind w:left="0"/>
        <w:rPr>
          <w:rFonts w:ascii="Arial" w:hAnsi="Arial"/>
          <w:b/>
          <w:u w:val="none"/>
        </w:rPr>
      </w:pPr>
      <w:bookmarkStart w:id="1652" w:name="_2pcmsun"/>
      <w:bookmarkStart w:id="1653" w:name="_Toc94328793"/>
      <w:bookmarkStart w:id="1654" w:name="_Toc94337860"/>
      <w:bookmarkStart w:id="1655" w:name="_Toc94328533"/>
      <w:bookmarkStart w:id="1656" w:name="_Toc131327983"/>
      <w:bookmarkStart w:id="1657" w:name="_Toc139294749"/>
      <w:bookmarkStart w:id="1658" w:name="_Toc102405323"/>
      <w:bookmarkStart w:id="1659" w:name="_Toc94329049"/>
      <w:bookmarkStart w:id="1660" w:name="_Toc94329295"/>
      <w:bookmarkStart w:id="1661" w:name="_Toc131328799"/>
      <w:bookmarkStart w:id="1662" w:name="_Toc131329135"/>
      <w:bookmarkStart w:id="1663" w:name="_Toc131329367"/>
      <w:bookmarkStart w:id="1664" w:name="_Toc468837651"/>
      <w:bookmarkStart w:id="1665" w:name="_Toc131332041"/>
      <w:bookmarkStart w:id="1666" w:name="_Toc131332962"/>
      <w:bookmarkStart w:id="1667" w:name="_Toc94329541"/>
      <w:bookmarkStart w:id="1668" w:name="_Toc94337629"/>
      <w:bookmarkStart w:id="1669" w:name="_Toc94330173"/>
      <w:bookmarkStart w:id="1670" w:name="_Toc134448835"/>
      <w:bookmarkStart w:id="1671" w:name="_Toc131329954"/>
      <w:bookmarkStart w:id="1672" w:name="_Toc140089347"/>
      <w:bookmarkEnd w:id="1652"/>
      <w:r>
        <w:rPr>
          <w:rFonts w:ascii="Arial" w:hAnsi="Arial"/>
          <w:b/>
          <w:u w:val="none"/>
        </w:rPr>
        <w:t>SUPERVISIÓN DE LA EXPLOTACIÓN</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50B509AF" w14:textId="77777777" w:rsidR="004412F1" w:rsidRDefault="004412F1">
      <w:pPr>
        <w:jc w:val="both"/>
        <w:rPr>
          <w:color w:val="000000"/>
        </w:rPr>
      </w:pPr>
    </w:p>
    <w:p w14:paraId="4C414E4C" w14:textId="77777777" w:rsidR="004412F1" w:rsidRDefault="005A12A3">
      <w:pPr>
        <w:numPr>
          <w:ilvl w:val="1"/>
          <w:numId w:val="96"/>
        </w:numPr>
        <w:jc w:val="both"/>
        <w:rPr>
          <w:color w:val="000000"/>
          <w:lang w:val="es-ES"/>
        </w:rPr>
      </w:pPr>
      <w:r>
        <w:rPr>
          <w:color w:val="000000"/>
          <w:lang w:val="es-ES"/>
        </w:rPr>
        <w:t xml:space="preserve">Corresponde al REGULADOR efectuar las acciones de fiscalización </w:t>
      </w:r>
      <w:r>
        <w:rPr>
          <w:color w:val="000000"/>
          <w:lang w:val="es-PE"/>
        </w:rPr>
        <w:t>y supervisión</w:t>
      </w:r>
      <w:r>
        <w:rPr>
          <w:color w:val="000000"/>
          <w:lang w:val="es-ES"/>
        </w:rPr>
        <w:t xml:space="preserve"> que le competen para el desarrollo de las labores de Explotación de la Concesión indicadas en este CAPÍTULO del Contrato.</w:t>
      </w:r>
    </w:p>
    <w:p w14:paraId="00659DA5" w14:textId="77777777" w:rsidR="004412F1" w:rsidRDefault="004412F1">
      <w:pPr>
        <w:jc w:val="both"/>
        <w:rPr>
          <w:color w:val="000000"/>
          <w:lang w:val="es-PE"/>
        </w:rPr>
      </w:pPr>
    </w:p>
    <w:p w14:paraId="555D62DC" w14:textId="77777777" w:rsidR="004412F1" w:rsidRDefault="005A12A3">
      <w:pPr>
        <w:ind w:left="705"/>
        <w:jc w:val="both"/>
        <w:rPr>
          <w:color w:val="000000"/>
          <w:lang w:val="es-PE"/>
        </w:rPr>
      </w:pPr>
      <w:r>
        <w:rPr>
          <w:color w:val="000000"/>
          <w:lang w:val="es-PE"/>
        </w:rPr>
        <w:t xml:space="preserve">El REGULADOR estará a cargo de la verificación del cumplimiento de la obligación del CONCESIONARIO, de mantener determinados parámetros, niveles, capacidad y otros, así como con los estándares y los Niveles de Servicio propios de la Explotación de los </w:t>
      </w:r>
      <w:proofErr w:type="gramStart"/>
      <w:r>
        <w:rPr>
          <w:color w:val="000000"/>
          <w:lang w:val="es-PE"/>
        </w:rPr>
        <w:t>Sub Tramos</w:t>
      </w:r>
      <w:proofErr w:type="gramEnd"/>
      <w:r>
        <w:rPr>
          <w:color w:val="000000"/>
          <w:lang w:val="es-PE"/>
        </w:rPr>
        <w:t xml:space="preserve"> previstos en el presente Contrato. </w:t>
      </w:r>
    </w:p>
    <w:p w14:paraId="7AA67A4C" w14:textId="77777777" w:rsidR="004412F1" w:rsidRDefault="004412F1">
      <w:pPr>
        <w:jc w:val="both"/>
        <w:rPr>
          <w:color w:val="000000"/>
          <w:lang w:val="es-ES"/>
        </w:rPr>
      </w:pPr>
    </w:p>
    <w:p w14:paraId="5FAE9ECF" w14:textId="77777777" w:rsidR="004412F1" w:rsidRDefault="005A12A3">
      <w:pPr>
        <w:numPr>
          <w:ilvl w:val="1"/>
          <w:numId w:val="96"/>
        </w:numPr>
        <w:jc w:val="both"/>
        <w:rPr>
          <w:color w:val="000000"/>
          <w:lang w:val="es-ES"/>
        </w:rPr>
      </w:pPr>
      <w:r>
        <w:rPr>
          <w:color w:val="000000"/>
          <w:lang w:val="es-PE"/>
        </w:rPr>
        <w:t xml:space="preserve">El CONCESIONARIO está obligado a brindar la cooperación necesaria para la supervisión de la Explotación. </w:t>
      </w:r>
    </w:p>
    <w:p w14:paraId="490F45F0" w14:textId="77777777" w:rsidR="004412F1" w:rsidRDefault="004412F1">
      <w:pPr>
        <w:jc w:val="both"/>
        <w:rPr>
          <w:b/>
          <w:color w:val="000000"/>
          <w:lang w:val="es-PE"/>
        </w:rPr>
      </w:pPr>
    </w:p>
    <w:p w14:paraId="69FAE0C0" w14:textId="77777777" w:rsidR="004412F1" w:rsidRDefault="005A12A3">
      <w:pPr>
        <w:pStyle w:val="Ttulo2"/>
        <w:ind w:left="0"/>
        <w:rPr>
          <w:b/>
        </w:rPr>
      </w:pPr>
      <w:bookmarkStart w:id="1673" w:name="_14hx32g" w:colFirst="0" w:colLast="0"/>
      <w:bookmarkStart w:id="1674" w:name="_Toc139294750"/>
      <w:bookmarkStart w:id="1675" w:name="_Toc140089348"/>
      <w:bookmarkEnd w:id="1673"/>
      <w:r>
        <w:rPr>
          <w:rFonts w:ascii="Arial" w:eastAsia="Arial" w:hAnsi="Arial"/>
          <w:b/>
          <w:u w:val="none"/>
        </w:rPr>
        <w:t>INFORMACIÓN</w:t>
      </w:r>
      <w:bookmarkEnd w:id="1674"/>
      <w:bookmarkEnd w:id="1675"/>
    </w:p>
    <w:p w14:paraId="588D1A6A" w14:textId="77777777" w:rsidR="004412F1" w:rsidRDefault="004412F1">
      <w:pPr>
        <w:jc w:val="both"/>
      </w:pPr>
    </w:p>
    <w:p w14:paraId="383B273B" w14:textId="77777777" w:rsidR="004412F1" w:rsidRDefault="005A12A3">
      <w:pPr>
        <w:numPr>
          <w:ilvl w:val="1"/>
          <w:numId w:val="96"/>
        </w:numPr>
        <w:jc w:val="both"/>
        <w:rPr>
          <w:b/>
          <w:color w:val="000000"/>
          <w:lang w:val="es-PE"/>
        </w:rPr>
      </w:pPr>
      <w:bookmarkStart w:id="1676" w:name="_3ohklq9" w:colFirst="0" w:colLast="0"/>
      <w:bookmarkStart w:id="1677" w:name="_Ref273550813"/>
      <w:bookmarkEnd w:id="1676"/>
      <w:r>
        <w:rPr>
          <w:color w:val="000000"/>
          <w:lang w:val="es-PE"/>
        </w:rPr>
        <w:t xml:space="preserve">Es obligación del </w:t>
      </w:r>
      <w:r>
        <w:rPr>
          <w:color w:val="000000"/>
          <w:lang w:val="es-MX"/>
        </w:rPr>
        <w:t>CONCESIONARIO</w:t>
      </w:r>
      <w:r>
        <w:rPr>
          <w:color w:val="000000"/>
          <w:lang w:val="es-PE"/>
        </w:rPr>
        <w:t xml:space="preserve"> proporcionar al REGULADOR lo siguiente:</w:t>
      </w:r>
      <w:bookmarkEnd w:id="1677"/>
    </w:p>
    <w:p w14:paraId="505CCA4A" w14:textId="77777777" w:rsidR="004412F1" w:rsidRDefault="004412F1">
      <w:pPr>
        <w:jc w:val="both"/>
        <w:rPr>
          <w:lang w:val="es-PE"/>
        </w:rPr>
      </w:pPr>
    </w:p>
    <w:p w14:paraId="12C95A25" w14:textId="77777777" w:rsidR="004412F1" w:rsidRDefault="005A12A3">
      <w:pPr>
        <w:numPr>
          <w:ilvl w:val="0"/>
          <w:numId w:val="97"/>
        </w:numPr>
        <w:ind w:left="1134" w:hanging="425"/>
        <w:jc w:val="both"/>
        <w:rPr>
          <w:lang w:val="es-PE"/>
        </w:rPr>
      </w:pPr>
      <w:bookmarkStart w:id="1678" w:name="_23muvy2"/>
      <w:bookmarkStart w:id="1679" w:name="_Ref275934556"/>
      <w:bookmarkEnd w:id="1678"/>
      <w:r>
        <w:rPr>
          <w:lang w:val="es-PE"/>
        </w:rPr>
        <w:t>Informes relativos al desarrollo de la Explotación de la Concesión. El costo de la preparación de los informes corresponderá al CONCESIONARIO conforme al formato aprobado por el REGULADOR. Sin perjuicio de la obligación de presentar otros informes mencionados en el Contrato, la información periódica básica a proporcionar por el CONCESIONARIO se sujeta a lo establecido en el Reglamento General de Supervisión, aprobado mediante Resolución de Consejo Directivo Nº 024-2011-CD-OSITRAN, o norma que lo sustituya.</w:t>
      </w:r>
      <w:bookmarkEnd w:id="1679"/>
    </w:p>
    <w:p w14:paraId="5193E813" w14:textId="77777777" w:rsidR="004412F1" w:rsidRDefault="004412F1">
      <w:pPr>
        <w:ind w:left="1134"/>
        <w:jc w:val="both"/>
        <w:rPr>
          <w:lang w:val="es-PE"/>
        </w:rPr>
      </w:pPr>
    </w:p>
    <w:p w14:paraId="323B084E" w14:textId="77777777" w:rsidR="004412F1" w:rsidRDefault="005A12A3">
      <w:pPr>
        <w:ind w:left="1134"/>
        <w:jc w:val="both"/>
        <w:rPr>
          <w:lang w:val="es-PE"/>
        </w:rPr>
      </w:pPr>
      <w:r>
        <w:rPr>
          <w:lang w:val="es-PE"/>
        </w:rPr>
        <w:t>El atraso en la entrega de los informes indicados dará lugar a la aplicación de una penalidad según lo establecido en la Tabla N° 5 del ANEXO IX.</w:t>
      </w:r>
    </w:p>
    <w:p w14:paraId="1DBA654A" w14:textId="77777777" w:rsidR="004412F1" w:rsidRDefault="004412F1">
      <w:pPr>
        <w:ind w:left="1134"/>
        <w:jc w:val="both"/>
        <w:rPr>
          <w:lang w:val="es-PE"/>
        </w:rPr>
      </w:pPr>
    </w:p>
    <w:p w14:paraId="12CC9044" w14:textId="77777777" w:rsidR="004412F1" w:rsidRDefault="005A12A3">
      <w:pPr>
        <w:numPr>
          <w:ilvl w:val="0"/>
          <w:numId w:val="97"/>
        </w:numPr>
        <w:ind w:left="1134" w:hanging="425"/>
        <w:jc w:val="both"/>
        <w:rPr>
          <w:lang w:val="es-PE"/>
        </w:rPr>
      </w:pPr>
      <w:r>
        <w:rPr>
          <w:lang w:val="es-PE"/>
        </w:rPr>
        <w:t>A partir de la aceptación de las Intervenciones, informes trimestrales relativos al estado superficial y condición estructural de la vía y las actividades ejecutadas que le han permitido el cumplimiento de los Niveles de Servicio de la Concesión, de acuerdo con lo establecido en el ANEXO I. El REGULADOR deberá aprobar dichos informes en un plazo máximo de veinte (20) Días de recibido o solicitar la subsanación de observaciones en forma previa a la aprobación, en cuyo caso el REGULADOR deberá efectuar la aprobación en un plazo no mayor de siete (7) Días de subsanadas las observaciones.</w:t>
      </w:r>
    </w:p>
    <w:p w14:paraId="4CC74603" w14:textId="77777777" w:rsidR="004412F1" w:rsidRDefault="004412F1">
      <w:pPr>
        <w:ind w:left="1134"/>
        <w:jc w:val="both"/>
        <w:rPr>
          <w:lang w:val="es-PE"/>
        </w:rPr>
      </w:pPr>
    </w:p>
    <w:p w14:paraId="13D5BB9B" w14:textId="77777777" w:rsidR="004412F1" w:rsidRDefault="005A12A3">
      <w:pPr>
        <w:ind w:left="1134"/>
        <w:jc w:val="both"/>
        <w:rPr>
          <w:lang w:val="es-PE"/>
        </w:rPr>
      </w:pPr>
      <w:r>
        <w:rPr>
          <w:lang w:val="es-PE"/>
        </w:rPr>
        <w:t xml:space="preserve">El REGULADOR otorgará un plazo al CONCESIONARIO para subsanar las observaciones, plazo que será fijado en función a la magnitud de </w:t>
      </w:r>
      <w:proofErr w:type="gramStart"/>
      <w:r>
        <w:rPr>
          <w:lang w:val="es-PE"/>
        </w:rPr>
        <w:t>las mismas</w:t>
      </w:r>
      <w:proofErr w:type="gramEnd"/>
      <w:r>
        <w:rPr>
          <w:lang w:val="es-PE"/>
        </w:rPr>
        <w:t xml:space="preserve">. </w:t>
      </w:r>
    </w:p>
    <w:p w14:paraId="098AECF9" w14:textId="77777777" w:rsidR="004412F1" w:rsidRDefault="004412F1">
      <w:pPr>
        <w:ind w:left="1134"/>
        <w:jc w:val="both"/>
        <w:rPr>
          <w:lang w:val="es-PE"/>
        </w:rPr>
      </w:pPr>
    </w:p>
    <w:p w14:paraId="31B1C0C2" w14:textId="77777777" w:rsidR="004412F1" w:rsidRDefault="005A12A3">
      <w:pPr>
        <w:ind w:left="1134"/>
        <w:jc w:val="both"/>
        <w:rPr>
          <w:lang w:val="es-PE"/>
        </w:rPr>
      </w:pPr>
      <w:r>
        <w:rPr>
          <w:lang w:val="es-PE"/>
        </w:rPr>
        <w:t>Dará lugar a la aplicación de penalidades según lo establecido en la Tabla N° 5 del ANEXO IX, los siguientes incumplimientos:</w:t>
      </w:r>
    </w:p>
    <w:p w14:paraId="0B3CA414" w14:textId="77777777" w:rsidR="004412F1" w:rsidRDefault="004412F1">
      <w:pPr>
        <w:ind w:left="1134"/>
        <w:jc w:val="both"/>
        <w:rPr>
          <w:lang w:val="es-PE"/>
        </w:rPr>
      </w:pPr>
    </w:p>
    <w:p w14:paraId="306F3F53" w14:textId="77777777" w:rsidR="004412F1" w:rsidRDefault="005A12A3">
      <w:pPr>
        <w:ind w:left="1134"/>
        <w:jc w:val="both"/>
        <w:rPr>
          <w:lang w:val="es-PE"/>
        </w:rPr>
      </w:pPr>
      <w:r>
        <w:rPr>
          <w:lang w:val="es-PE"/>
        </w:rPr>
        <w:t xml:space="preserve">i) El atraso en la presentación del informe. </w:t>
      </w:r>
    </w:p>
    <w:p w14:paraId="36DD2580" w14:textId="77777777" w:rsidR="004412F1" w:rsidRDefault="005A12A3">
      <w:pPr>
        <w:ind w:left="1134"/>
        <w:jc w:val="both"/>
        <w:rPr>
          <w:lang w:val="es-PE"/>
        </w:rPr>
      </w:pPr>
      <w:r>
        <w:rPr>
          <w:lang w:val="es-PE"/>
        </w:rPr>
        <w:t xml:space="preserve">ii) El atraso en la presentación de la subsanación del informe. </w:t>
      </w:r>
    </w:p>
    <w:p w14:paraId="5CF46AE0" w14:textId="77777777" w:rsidR="004412F1" w:rsidRDefault="005A12A3">
      <w:pPr>
        <w:ind w:left="1134"/>
        <w:jc w:val="both"/>
        <w:rPr>
          <w:lang w:val="es-PE"/>
        </w:rPr>
      </w:pPr>
      <w:r>
        <w:rPr>
          <w:lang w:val="es-PE"/>
        </w:rPr>
        <w:t>iii) La no subsanación de las observaciones.</w:t>
      </w:r>
    </w:p>
    <w:p w14:paraId="27B5093D" w14:textId="77777777" w:rsidR="004412F1" w:rsidRDefault="004412F1">
      <w:pPr>
        <w:ind w:left="708"/>
        <w:rPr>
          <w:color w:val="000000"/>
          <w:lang w:val="es-PE"/>
        </w:rPr>
      </w:pPr>
    </w:p>
    <w:p w14:paraId="67303848" w14:textId="77777777" w:rsidR="004412F1" w:rsidRDefault="005A12A3">
      <w:pPr>
        <w:numPr>
          <w:ilvl w:val="0"/>
          <w:numId w:val="97"/>
        </w:numPr>
        <w:ind w:left="1134" w:hanging="425"/>
        <w:jc w:val="both"/>
        <w:rPr>
          <w:lang w:val="es-PE"/>
        </w:rPr>
      </w:pPr>
      <w:r>
        <w:rPr>
          <w:lang w:val="es-PE"/>
        </w:rPr>
        <w:t>A partir de la aceptación de las Intervenciones, informes anuales relativos a la evaluación y determinación de los Niveles de Servicio de la Concesión. Deberá acompañar los certificados de las evaluaciones, ensayos, pruebas, análisis, listados de mediciones, metodología del procesamiento de los datos, diseños utilizados, elementos gráficos y otros de acuerdo con lo establecido en el ANEXO I. El REGULADOR deberá aprobar dichos informes en un plazo máximo de treinta (30) Días de recibido o solicitar la subsanación de observaciones en forma previa a la aprobación, en cuyo caso el REGULADOR deberá efectuar la aprobación en un plazo no mayor de veinte (20) Días de subsanadas las observaciones.</w:t>
      </w:r>
    </w:p>
    <w:p w14:paraId="3FEC1B2A" w14:textId="77777777" w:rsidR="004412F1" w:rsidRDefault="004412F1">
      <w:pPr>
        <w:ind w:left="1134"/>
        <w:jc w:val="both"/>
        <w:rPr>
          <w:lang w:val="es-PE"/>
        </w:rPr>
      </w:pPr>
    </w:p>
    <w:p w14:paraId="5FDB0182" w14:textId="63572E1F" w:rsidR="004412F1" w:rsidRDefault="005A12A3">
      <w:pPr>
        <w:ind w:left="1134"/>
        <w:jc w:val="both"/>
        <w:rPr>
          <w:lang w:val="es-PE"/>
        </w:rPr>
      </w:pPr>
      <w:r>
        <w:rPr>
          <w:lang w:val="es-PE"/>
        </w:rPr>
        <w:t xml:space="preserve">El REGULADOR otorgará un plazo al CONCESIONARIO para subsanar las observaciones, plazo que será fijado en función a la magnitud de </w:t>
      </w:r>
      <w:proofErr w:type="gramStart"/>
      <w:r>
        <w:rPr>
          <w:lang w:val="es-PE"/>
        </w:rPr>
        <w:t>las mismas</w:t>
      </w:r>
      <w:proofErr w:type="gramEnd"/>
      <w:r>
        <w:rPr>
          <w:lang w:val="es-PE"/>
        </w:rPr>
        <w:t xml:space="preserve">. </w:t>
      </w:r>
    </w:p>
    <w:p w14:paraId="6FD5BD9A" w14:textId="77777777" w:rsidR="004412F1" w:rsidRDefault="004412F1">
      <w:pPr>
        <w:ind w:left="1134"/>
        <w:jc w:val="both"/>
        <w:rPr>
          <w:lang w:val="es-PE"/>
        </w:rPr>
      </w:pPr>
    </w:p>
    <w:p w14:paraId="75D7B3EE" w14:textId="77777777" w:rsidR="004412F1" w:rsidRDefault="005A12A3">
      <w:pPr>
        <w:ind w:left="1134"/>
        <w:jc w:val="both"/>
        <w:rPr>
          <w:lang w:val="es-PE"/>
        </w:rPr>
      </w:pPr>
      <w:r>
        <w:rPr>
          <w:lang w:val="es-PE"/>
        </w:rPr>
        <w:t>Dará lugar a la aplicación de penalidades según lo establecido en la Tabla N° 5 del ANEXO IX, los siguientes incumplimientos:</w:t>
      </w:r>
    </w:p>
    <w:p w14:paraId="6F1E9C62" w14:textId="77777777" w:rsidR="004412F1" w:rsidRDefault="004412F1">
      <w:pPr>
        <w:ind w:left="1134"/>
        <w:jc w:val="both"/>
        <w:rPr>
          <w:lang w:val="es-PE"/>
        </w:rPr>
      </w:pPr>
    </w:p>
    <w:p w14:paraId="04623D3D" w14:textId="77777777" w:rsidR="004412F1" w:rsidRDefault="005A12A3">
      <w:pPr>
        <w:ind w:left="1134"/>
        <w:jc w:val="both"/>
        <w:rPr>
          <w:lang w:val="es-PE"/>
        </w:rPr>
      </w:pPr>
      <w:r>
        <w:rPr>
          <w:lang w:val="es-PE"/>
        </w:rPr>
        <w:lastRenderedPageBreak/>
        <w:t xml:space="preserve">i) El atraso en la presentación del informe. </w:t>
      </w:r>
    </w:p>
    <w:p w14:paraId="47D3F459" w14:textId="77777777" w:rsidR="004412F1" w:rsidRDefault="005A12A3">
      <w:pPr>
        <w:ind w:left="1134"/>
        <w:jc w:val="both"/>
        <w:rPr>
          <w:lang w:val="es-PE"/>
        </w:rPr>
      </w:pPr>
      <w:r>
        <w:rPr>
          <w:lang w:val="es-PE"/>
        </w:rPr>
        <w:t xml:space="preserve">ii) El atraso en la presentación de la subsanación del informe. </w:t>
      </w:r>
    </w:p>
    <w:p w14:paraId="2951D419" w14:textId="77777777" w:rsidR="004412F1" w:rsidRDefault="005A12A3">
      <w:pPr>
        <w:ind w:left="1134"/>
        <w:jc w:val="both"/>
        <w:rPr>
          <w:lang w:val="es-PE"/>
        </w:rPr>
      </w:pPr>
      <w:r>
        <w:rPr>
          <w:lang w:val="es-PE"/>
        </w:rPr>
        <w:t>iii) La no subsanación de las observaciones.</w:t>
      </w:r>
    </w:p>
    <w:p w14:paraId="43428DC9" w14:textId="77777777" w:rsidR="004412F1" w:rsidRDefault="005A12A3">
      <w:pPr>
        <w:tabs>
          <w:tab w:val="left" w:pos="1418"/>
        </w:tabs>
        <w:ind w:left="1418" w:hanging="709"/>
        <w:jc w:val="both"/>
        <w:rPr>
          <w:lang w:val="es-PE"/>
        </w:rPr>
      </w:pPr>
      <w:r>
        <w:rPr>
          <w:lang w:val="es-PE"/>
        </w:rPr>
        <w:tab/>
      </w:r>
    </w:p>
    <w:p w14:paraId="6B463587" w14:textId="77777777" w:rsidR="004412F1" w:rsidRDefault="005A12A3">
      <w:pPr>
        <w:numPr>
          <w:ilvl w:val="1"/>
          <w:numId w:val="96"/>
        </w:numPr>
        <w:jc w:val="both"/>
        <w:rPr>
          <w:color w:val="000000"/>
          <w:lang w:val="es-PE"/>
        </w:rPr>
      </w:pPr>
      <w:r>
        <w:rPr>
          <w:color w:val="000000"/>
          <w:lang w:val="es-PE"/>
        </w:rPr>
        <w:t>El REGULADOR podrá realizar las pruebas, ensayos y en general mediciones de los Niveles de Servicio en la oportunidad que lo estime conveniente, con la finalidad de verificar los valores mínimos establecidos en el Contrato de Concesión, como resultado de las inspecciones realizadas de verificación del estado de la infraestructura.</w:t>
      </w:r>
    </w:p>
    <w:p w14:paraId="7F807041" w14:textId="77777777" w:rsidR="004412F1" w:rsidRDefault="005A12A3">
      <w:pPr>
        <w:tabs>
          <w:tab w:val="left" w:pos="567"/>
          <w:tab w:val="left" w:pos="1134"/>
          <w:tab w:val="left" w:pos="1701"/>
          <w:tab w:val="left" w:pos="2268"/>
          <w:tab w:val="left" w:pos="2835"/>
        </w:tabs>
        <w:jc w:val="both"/>
        <w:rPr>
          <w:color w:val="000000"/>
          <w:lang w:val="es-PE"/>
        </w:rPr>
      </w:pPr>
      <w:bookmarkStart w:id="1680" w:name="_is565v" w:colFirst="0" w:colLast="0"/>
      <w:bookmarkEnd w:id="1680"/>
      <w:r>
        <w:rPr>
          <w:color w:val="000000"/>
          <w:lang w:val="es-PE"/>
        </w:rPr>
        <w:t xml:space="preserve"> </w:t>
      </w:r>
    </w:p>
    <w:p w14:paraId="7D5F6352" w14:textId="77777777" w:rsidR="004412F1" w:rsidRDefault="005A12A3">
      <w:pPr>
        <w:pStyle w:val="Ttulo2"/>
        <w:ind w:left="0"/>
        <w:rPr>
          <w:rFonts w:ascii="Arial" w:eastAsia="Arial" w:hAnsi="Arial" w:cs="Arial"/>
          <w:b/>
          <w:bCs/>
          <w:u w:val="none"/>
          <w:lang w:val="es-PE"/>
        </w:rPr>
      </w:pPr>
      <w:bookmarkStart w:id="1681" w:name="_1hx2z1h"/>
      <w:bookmarkStart w:id="1682" w:name="_Toc139294751"/>
      <w:bookmarkStart w:id="1683" w:name="_Toc131329369"/>
      <w:bookmarkStart w:id="1684" w:name="_Toc131328801"/>
      <w:bookmarkStart w:id="1685" w:name="_Toc468837652"/>
      <w:bookmarkStart w:id="1686" w:name="_Toc131329956"/>
      <w:bookmarkStart w:id="1687" w:name="_Toc131332043"/>
      <w:bookmarkStart w:id="1688" w:name="_Toc131327985"/>
      <w:bookmarkStart w:id="1689" w:name="_Toc131329137"/>
      <w:bookmarkStart w:id="1690" w:name="_Toc131332964"/>
      <w:bookmarkStart w:id="1691" w:name="_Toc140089349"/>
      <w:bookmarkEnd w:id="1681"/>
      <w:r>
        <w:rPr>
          <w:rFonts w:ascii="Arial" w:eastAsia="Arial" w:hAnsi="Arial" w:cs="Arial"/>
          <w:b/>
          <w:bCs/>
          <w:u w:val="none"/>
          <w:lang w:val="es-PE"/>
        </w:rPr>
        <w:t>DERECHOS Y RECLAMOS DE LOS USUARIOS</w:t>
      </w:r>
      <w:bookmarkEnd w:id="1682"/>
      <w:bookmarkEnd w:id="1683"/>
      <w:bookmarkEnd w:id="1684"/>
      <w:bookmarkEnd w:id="1685"/>
      <w:bookmarkEnd w:id="1686"/>
      <w:bookmarkEnd w:id="1687"/>
      <w:bookmarkEnd w:id="1688"/>
      <w:bookmarkEnd w:id="1689"/>
      <w:bookmarkEnd w:id="1690"/>
      <w:bookmarkEnd w:id="1691"/>
    </w:p>
    <w:p w14:paraId="4F724EC7" w14:textId="77777777" w:rsidR="004412F1" w:rsidRDefault="004412F1">
      <w:pPr>
        <w:jc w:val="both"/>
        <w:rPr>
          <w:color w:val="000000"/>
          <w:lang w:val="es-PE"/>
        </w:rPr>
      </w:pPr>
    </w:p>
    <w:p w14:paraId="6F450A39" w14:textId="77777777" w:rsidR="004412F1" w:rsidRDefault="005A12A3">
      <w:pPr>
        <w:numPr>
          <w:ilvl w:val="1"/>
          <w:numId w:val="96"/>
        </w:numPr>
        <w:jc w:val="both"/>
        <w:rPr>
          <w:color w:val="000000"/>
          <w:lang w:val="es-PE"/>
        </w:rPr>
      </w:pPr>
      <w:r>
        <w:rPr>
          <w:color w:val="000000"/>
          <w:lang w:val="es-PE"/>
        </w:rPr>
        <w:t xml:space="preserve">Los derechos inherentes a los </w:t>
      </w:r>
      <w:proofErr w:type="gramStart"/>
      <w:r>
        <w:rPr>
          <w:color w:val="000000"/>
          <w:lang w:val="es-PE"/>
        </w:rPr>
        <w:t>Usuarios,</w:t>
      </w:r>
      <w:proofErr w:type="gramEnd"/>
      <w:r>
        <w:rPr>
          <w:color w:val="000000"/>
          <w:lang w:val="es-PE"/>
        </w:rPr>
        <w:t xml:space="preserve"> consistirán básicamente en la utilización de la vía, en la posibilidad de acceder a todos los Servicios Obligatorios de la Concesión, a recibir un Servicio conforme a lo establecido en el Contrato y a encontrarse informado sobre las características del mismo, y los demás que contemplan las Leyes y Disposiciones Aplicables y otros que pudieren establecerse en el Contrato y Normas Regulatorias. </w:t>
      </w:r>
    </w:p>
    <w:p w14:paraId="46A6160E" w14:textId="77777777" w:rsidR="004412F1" w:rsidRDefault="004412F1">
      <w:pPr>
        <w:jc w:val="both"/>
        <w:rPr>
          <w:lang w:val="es-PE"/>
        </w:rPr>
      </w:pPr>
    </w:p>
    <w:p w14:paraId="6CA8FFE9" w14:textId="75728018" w:rsidR="004412F1" w:rsidRDefault="005A12A3">
      <w:pPr>
        <w:numPr>
          <w:ilvl w:val="1"/>
          <w:numId w:val="96"/>
        </w:numPr>
        <w:jc w:val="both"/>
        <w:rPr>
          <w:color w:val="000000"/>
          <w:lang w:val="es-MX"/>
        </w:rPr>
      </w:pPr>
      <w:bookmarkStart w:id="1692" w:name="_41wqhpa" w:colFirst="0" w:colLast="0"/>
      <w:bookmarkStart w:id="1693" w:name="_Ref273983109"/>
      <w:bookmarkEnd w:id="1692"/>
      <w:r>
        <w:rPr>
          <w:color w:val="000000"/>
          <w:lang w:val="es-PE"/>
        </w:rPr>
        <w:t xml:space="preserve">El CONCESIONARIO </w:t>
      </w:r>
      <w:r>
        <w:rPr>
          <w:color w:val="000000"/>
          <w:lang w:val="es-MX"/>
        </w:rPr>
        <w:t xml:space="preserve">abrirá un libro de sugerencias y reclamos </w:t>
      </w:r>
      <w:r>
        <w:rPr>
          <w:color w:val="000000"/>
          <w:lang w:val="es-PE"/>
        </w:rPr>
        <w:t>de acuerdo a lo</w:t>
      </w:r>
      <w:r>
        <w:rPr>
          <w:color w:val="000000"/>
          <w:lang w:val="es-MX"/>
        </w:rPr>
        <w:t xml:space="preserve"> establecido en la Cláusula</w:t>
      </w:r>
      <w:r w:rsidR="00C24CE5">
        <w:rPr>
          <w:color w:val="000000"/>
          <w:lang w:val="es-MX"/>
        </w:rPr>
        <w:t xml:space="preserve"> 6.18</w:t>
      </w:r>
      <w:r>
        <w:rPr>
          <w:color w:val="000000"/>
          <w:lang w:val="es-PE"/>
        </w:rPr>
        <w:t>,</w:t>
      </w:r>
      <w:r>
        <w:rPr>
          <w:color w:val="000000"/>
          <w:lang w:val="es-MX"/>
        </w:rPr>
        <w:t xml:space="preserve"> en cada unidad de peaje, el que tendrá por finalidad registrar y dar trámite a todos los reclamos que presenten los Usuarios de los </w:t>
      </w:r>
      <w:proofErr w:type="gramStart"/>
      <w:r>
        <w:rPr>
          <w:color w:val="000000"/>
          <w:lang w:val="es-MX"/>
        </w:rPr>
        <w:t>Sub Tramos</w:t>
      </w:r>
      <w:proofErr w:type="gramEnd"/>
      <w:r>
        <w:rPr>
          <w:color w:val="000000"/>
          <w:lang w:val="es-MX"/>
        </w:rPr>
        <w:t xml:space="preserve">, de conformidad con lo establecido en el Reglamento de Atención de </w:t>
      </w:r>
      <w:r>
        <w:rPr>
          <w:color w:val="000000"/>
          <w:lang w:val="es-PE"/>
        </w:rPr>
        <w:t>Reclamos</w:t>
      </w:r>
      <w:r>
        <w:rPr>
          <w:color w:val="000000"/>
          <w:lang w:val="es-MX"/>
        </w:rPr>
        <w:t xml:space="preserve"> y Solución de Controversias de OSITRAN.</w:t>
      </w:r>
      <w:bookmarkEnd w:id="1693"/>
    </w:p>
    <w:p w14:paraId="2A6E6BE8" w14:textId="77777777" w:rsidR="004412F1" w:rsidRDefault="004412F1">
      <w:pPr>
        <w:jc w:val="both"/>
        <w:rPr>
          <w:lang w:val="es-PE"/>
        </w:rPr>
      </w:pPr>
    </w:p>
    <w:p w14:paraId="692E6A3C" w14:textId="77777777" w:rsidR="004412F1" w:rsidRDefault="005A12A3">
      <w:pPr>
        <w:numPr>
          <w:ilvl w:val="1"/>
          <w:numId w:val="96"/>
        </w:numPr>
        <w:ind w:left="709" w:hanging="709"/>
        <w:jc w:val="both"/>
        <w:rPr>
          <w:color w:val="000000"/>
          <w:lang w:val="es-PE"/>
        </w:rPr>
      </w:pPr>
      <w:bookmarkStart w:id="1694" w:name="_2h20rx3" w:colFirst="0" w:colLast="0"/>
      <w:bookmarkEnd w:id="1694"/>
      <w:r>
        <w:rPr>
          <w:color w:val="000000"/>
          <w:lang w:val="es-PE"/>
        </w:rPr>
        <w:t>Presentado el reclamo, el CONCESIONARIO (como entidad prestadora del servicio público) deberá pronunciarse en el plazo previsto en el Reglamento de Atención de Reclamos y Solución de Controversias de OSITRAN. En caso el usuario no se encuentre conforme con la resolución del reclamo, podrá interponer los recursos administrativos que el ordenamiento legal prevé.</w:t>
      </w:r>
      <w:bookmarkStart w:id="1695" w:name="_Toc131329138"/>
      <w:bookmarkStart w:id="1696" w:name="_Toc131332965"/>
      <w:bookmarkStart w:id="1697" w:name="_Toc131328802"/>
      <w:bookmarkStart w:id="1698" w:name="_Toc131329370"/>
      <w:bookmarkStart w:id="1699" w:name="_Toc131327986"/>
      <w:bookmarkStart w:id="1700" w:name="_Toc131332044"/>
      <w:bookmarkStart w:id="1701" w:name="_Toc131329957"/>
    </w:p>
    <w:p w14:paraId="34AE8086" w14:textId="77777777" w:rsidR="004412F1" w:rsidRDefault="004412F1">
      <w:pPr>
        <w:ind w:left="708"/>
        <w:rPr>
          <w:color w:val="000000"/>
          <w:lang w:val="es-PE"/>
        </w:rPr>
      </w:pPr>
    </w:p>
    <w:p w14:paraId="258570C5" w14:textId="77777777" w:rsidR="004412F1" w:rsidRDefault="005A12A3">
      <w:pPr>
        <w:pStyle w:val="Ttulo2"/>
        <w:ind w:left="0"/>
        <w:rPr>
          <w:rFonts w:ascii="Arial" w:eastAsia="Arial" w:hAnsi="Arial" w:cs="Arial"/>
          <w:b/>
          <w:bCs/>
          <w:u w:val="none"/>
        </w:rPr>
      </w:pPr>
      <w:bookmarkStart w:id="1702" w:name="_w7b24w"/>
      <w:bookmarkStart w:id="1703" w:name="_Toc139294752"/>
      <w:bookmarkStart w:id="1704" w:name="_Toc468837653"/>
      <w:bookmarkStart w:id="1705" w:name="_Toc140089350"/>
      <w:bookmarkEnd w:id="1702"/>
      <w:r>
        <w:rPr>
          <w:rFonts w:ascii="Arial" w:eastAsia="Arial" w:hAnsi="Arial" w:cs="Arial"/>
          <w:b/>
          <w:bCs/>
          <w:u w:val="none"/>
        </w:rPr>
        <w:t>REGLAMENTOS INTERNOS</w:t>
      </w:r>
      <w:bookmarkEnd w:id="1695"/>
      <w:bookmarkEnd w:id="1696"/>
      <w:bookmarkEnd w:id="1697"/>
      <w:bookmarkEnd w:id="1698"/>
      <w:bookmarkEnd w:id="1699"/>
      <w:bookmarkEnd w:id="1700"/>
      <w:bookmarkEnd w:id="1701"/>
      <w:bookmarkEnd w:id="1703"/>
      <w:bookmarkEnd w:id="1704"/>
      <w:bookmarkEnd w:id="1705"/>
    </w:p>
    <w:p w14:paraId="0B43F21D" w14:textId="77777777" w:rsidR="004412F1" w:rsidRDefault="004412F1">
      <w:pPr>
        <w:jc w:val="both"/>
        <w:rPr>
          <w:color w:val="000000"/>
        </w:rPr>
      </w:pPr>
    </w:p>
    <w:p w14:paraId="48ABED05" w14:textId="77777777" w:rsidR="004412F1" w:rsidRDefault="005A12A3">
      <w:pPr>
        <w:numPr>
          <w:ilvl w:val="1"/>
          <w:numId w:val="96"/>
        </w:numPr>
        <w:jc w:val="both"/>
        <w:rPr>
          <w:color w:val="000000"/>
          <w:lang w:val="es-PE"/>
        </w:rPr>
      </w:pPr>
      <w:bookmarkStart w:id="1706" w:name="_3g6yksp" w:colFirst="0" w:colLast="0"/>
      <w:bookmarkStart w:id="1707" w:name="_Ref273550828"/>
      <w:bookmarkEnd w:id="1706"/>
      <w:r>
        <w:rPr>
          <w:color w:val="000000"/>
          <w:lang w:val="es-PE"/>
        </w:rPr>
        <w:t xml:space="preserve">El CONCESIONARIO </w:t>
      </w:r>
      <w:r>
        <w:rPr>
          <w:color w:val="000000"/>
          <w:lang w:val="es-ES"/>
        </w:rPr>
        <w:t xml:space="preserve">deberá </w:t>
      </w:r>
      <w:r>
        <w:rPr>
          <w:color w:val="000000"/>
          <w:lang w:val="es-PE"/>
        </w:rPr>
        <w:t>solicitar la opinión previa del REGULADOR de los reglamentos internos señalados en los Literales</w:t>
      </w:r>
      <w:r>
        <w:rPr>
          <w:color w:val="000000"/>
          <w:lang w:val="es-ES"/>
        </w:rPr>
        <w:t xml:space="preserve"> siguientes, en un plazo no mayor de noventa (90) Días Calendario</w:t>
      </w:r>
      <w:r>
        <w:rPr>
          <w:color w:val="000000"/>
          <w:lang w:val="es-PE"/>
        </w:rPr>
        <w:t>,</w:t>
      </w:r>
      <w:r>
        <w:rPr>
          <w:color w:val="000000"/>
          <w:lang w:val="es-ES"/>
        </w:rPr>
        <w:t xml:space="preserve"> contados a partir de la Fecha de Suscripción del Contrato</w:t>
      </w:r>
      <w:r>
        <w:rPr>
          <w:color w:val="000000"/>
          <w:lang w:val="es-PE"/>
        </w:rPr>
        <w:t>:</w:t>
      </w:r>
      <w:bookmarkEnd w:id="1707"/>
    </w:p>
    <w:p w14:paraId="06B0B249" w14:textId="77777777" w:rsidR="004412F1" w:rsidRDefault="004412F1">
      <w:pPr>
        <w:jc w:val="both"/>
        <w:rPr>
          <w:color w:val="000000"/>
          <w:lang w:val="es-PE"/>
        </w:rPr>
      </w:pPr>
    </w:p>
    <w:p w14:paraId="43B4495A" w14:textId="77777777" w:rsidR="004412F1" w:rsidRDefault="005A12A3">
      <w:pPr>
        <w:numPr>
          <w:ilvl w:val="0"/>
          <w:numId w:val="98"/>
        </w:numPr>
        <w:tabs>
          <w:tab w:val="left" w:pos="1134"/>
        </w:tabs>
        <w:ind w:firstLine="0"/>
        <w:jc w:val="both"/>
        <w:rPr>
          <w:color w:val="000000"/>
          <w:lang w:val="es-ES"/>
        </w:rPr>
      </w:pPr>
      <w:r>
        <w:rPr>
          <w:color w:val="000000"/>
          <w:lang w:val="es-ES"/>
        </w:rPr>
        <w:t xml:space="preserve">De procedimientos operativos, incluyendo: </w:t>
      </w:r>
    </w:p>
    <w:p w14:paraId="766EC953" w14:textId="77777777" w:rsidR="004412F1" w:rsidRDefault="005A12A3">
      <w:pPr>
        <w:numPr>
          <w:ilvl w:val="0"/>
          <w:numId w:val="99"/>
        </w:numPr>
        <w:ind w:left="1560" w:hanging="284"/>
        <w:jc w:val="both"/>
        <w:rPr>
          <w:color w:val="000000"/>
          <w:lang w:val="es-PE"/>
        </w:rPr>
      </w:pPr>
      <w:r>
        <w:rPr>
          <w:color w:val="000000"/>
          <w:lang w:val="es-PE"/>
        </w:rPr>
        <w:t>Procedimientos para la recaudación en las unidades de peaje,</w:t>
      </w:r>
    </w:p>
    <w:p w14:paraId="132E67DF" w14:textId="77777777" w:rsidR="004412F1" w:rsidRDefault="005A12A3">
      <w:pPr>
        <w:numPr>
          <w:ilvl w:val="0"/>
          <w:numId w:val="99"/>
        </w:numPr>
        <w:ind w:left="1560" w:hanging="284"/>
        <w:jc w:val="both"/>
        <w:rPr>
          <w:color w:val="000000"/>
          <w:lang w:val="es-PE"/>
        </w:rPr>
      </w:pPr>
      <w:r>
        <w:rPr>
          <w:color w:val="000000"/>
          <w:lang w:val="es-PE"/>
        </w:rPr>
        <w:t>Procedimientos para la supervisión y el control de calidad.</w:t>
      </w:r>
    </w:p>
    <w:p w14:paraId="76538D15" w14:textId="77777777" w:rsidR="004412F1" w:rsidRDefault="004412F1">
      <w:pPr>
        <w:tabs>
          <w:tab w:val="left" w:pos="1134"/>
        </w:tabs>
        <w:ind w:left="1560"/>
        <w:jc w:val="both"/>
        <w:rPr>
          <w:color w:val="000000"/>
          <w:lang w:val="es-PE"/>
        </w:rPr>
      </w:pPr>
    </w:p>
    <w:p w14:paraId="7E584BDF" w14:textId="77777777" w:rsidR="004412F1" w:rsidRDefault="005A12A3">
      <w:pPr>
        <w:numPr>
          <w:ilvl w:val="0"/>
          <w:numId w:val="98"/>
        </w:numPr>
        <w:tabs>
          <w:tab w:val="left" w:pos="1134"/>
        </w:tabs>
        <w:ind w:firstLine="0"/>
        <w:jc w:val="both"/>
        <w:rPr>
          <w:color w:val="000000"/>
          <w:lang w:val="es-ES"/>
        </w:rPr>
      </w:pPr>
      <w:r>
        <w:rPr>
          <w:color w:val="000000"/>
          <w:lang w:val="es-ES"/>
        </w:rPr>
        <w:t>Para la atención de accidentes y emergencias.</w:t>
      </w:r>
    </w:p>
    <w:p w14:paraId="1C63A3EC" w14:textId="77777777" w:rsidR="004412F1" w:rsidRDefault="004412F1">
      <w:pPr>
        <w:ind w:left="709"/>
        <w:jc w:val="both"/>
        <w:rPr>
          <w:color w:val="000000"/>
          <w:lang w:val="es-ES"/>
        </w:rPr>
      </w:pPr>
    </w:p>
    <w:p w14:paraId="35945C97" w14:textId="77777777" w:rsidR="004412F1" w:rsidRDefault="005A12A3">
      <w:pPr>
        <w:ind w:left="705"/>
        <w:jc w:val="both"/>
        <w:rPr>
          <w:color w:val="000000"/>
          <w:lang w:val="es-PE"/>
        </w:rPr>
      </w:pPr>
      <w:r>
        <w:rPr>
          <w:color w:val="000000"/>
          <w:lang w:val="es-PE"/>
        </w:rPr>
        <w:t>La enumeración de los reglamentos mencionados no limita la facultad del REGULADOR de solicitar otros documentos e información de similar naturaleza vinculados con la regulación y control de la infraestructura concesionada.</w:t>
      </w:r>
    </w:p>
    <w:p w14:paraId="17B0EE1D" w14:textId="77777777" w:rsidR="004412F1" w:rsidRDefault="004412F1">
      <w:pPr>
        <w:ind w:left="705"/>
        <w:jc w:val="both"/>
        <w:rPr>
          <w:color w:val="000000"/>
          <w:lang w:val="es-ES"/>
        </w:rPr>
      </w:pPr>
    </w:p>
    <w:p w14:paraId="79AB9F88" w14:textId="77777777" w:rsidR="004412F1" w:rsidRDefault="005A12A3">
      <w:pPr>
        <w:ind w:left="705"/>
        <w:jc w:val="both"/>
        <w:rPr>
          <w:color w:val="000000"/>
          <w:lang w:val="es-ES"/>
        </w:rPr>
      </w:pPr>
      <w:r>
        <w:rPr>
          <w:color w:val="000000"/>
          <w:lang w:val="es-ES"/>
        </w:rPr>
        <w:t xml:space="preserve">El CONCESIONARIO deberá incorporar en la formulación de sus Reglamentos Internos, los principios </w:t>
      </w:r>
      <w:r>
        <w:rPr>
          <w:color w:val="000000"/>
          <w:lang w:val="es-PE"/>
        </w:rPr>
        <w:t xml:space="preserve">o procedimientos </w:t>
      </w:r>
      <w:r>
        <w:rPr>
          <w:color w:val="000000"/>
          <w:lang w:val="es-ES"/>
        </w:rPr>
        <w:t xml:space="preserve">aplicables de acuerdo </w:t>
      </w:r>
      <w:r>
        <w:rPr>
          <w:color w:val="000000"/>
          <w:lang w:val="es-PE"/>
        </w:rPr>
        <w:t>con</w:t>
      </w:r>
      <w:r>
        <w:rPr>
          <w:color w:val="000000"/>
          <w:lang w:val="es-ES"/>
        </w:rPr>
        <w:t xml:space="preserve"> lo establecido en las Normas Regulatorias</w:t>
      </w:r>
      <w:r>
        <w:rPr>
          <w:color w:val="000000"/>
          <w:lang w:val="es-PE"/>
        </w:rPr>
        <w:t>, las cuales prevalecerán en caso de duda o discrepancia sobre otra normativa aplicable</w:t>
      </w:r>
      <w:r>
        <w:rPr>
          <w:color w:val="000000"/>
          <w:lang w:val="es-ES"/>
        </w:rPr>
        <w:t>.</w:t>
      </w:r>
    </w:p>
    <w:p w14:paraId="48140BCF" w14:textId="77777777" w:rsidR="004412F1" w:rsidRDefault="004412F1">
      <w:pPr>
        <w:ind w:left="705"/>
        <w:jc w:val="both"/>
        <w:rPr>
          <w:color w:val="000000"/>
          <w:lang w:val="es-ES"/>
        </w:rPr>
      </w:pPr>
    </w:p>
    <w:p w14:paraId="4415D127" w14:textId="77777777" w:rsidR="004412F1" w:rsidRDefault="005A12A3">
      <w:pPr>
        <w:ind w:left="709"/>
        <w:jc w:val="both"/>
        <w:rPr>
          <w:lang w:val="es-PE"/>
        </w:rPr>
      </w:pPr>
      <w:r>
        <w:rPr>
          <w:lang w:val="es-PE"/>
        </w:rPr>
        <w:lastRenderedPageBreak/>
        <w:t>El atraso en la entrega de los reglamentos internos indicados dará lugar a la aplicación de una penalidad según lo establecido en la Tabla N° 5 del ANEXO IX.</w:t>
      </w:r>
    </w:p>
    <w:p w14:paraId="14058D8D" w14:textId="77777777" w:rsidR="004412F1" w:rsidRDefault="004412F1">
      <w:pPr>
        <w:ind w:left="705"/>
        <w:jc w:val="both"/>
        <w:rPr>
          <w:color w:val="000000"/>
          <w:lang w:val="es-ES"/>
        </w:rPr>
      </w:pPr>
    </w:p>
    <w:p w14:paraId="34141F88" w14:textId="77777777" w:rsidR="004412F1" w:rsidRDefault="005A12A3">
      <w:pPr>
        <w:pStyle w:val="Ttulo2"/>
        <w:ind w:left="0"/>
        <w:rPr>
          <w:rFonts w:ascii="Arial" w:hAnsi="Arial"/>
          <w:b/>
          <w:u w:val="none"/>
        </w:rPr>
      </w:pPr>
      <w:bookmarkStart w:id="1708" w:name="_INICIO_DE_LA"/>
      <w:bookmarkStart w:id="1709" w:name="_1vc8v0i"/>
      <w:bookmarkStart w:id="1710" w:name="_Toc131327987"/>
      <w:bookmarkStart w:id="1711" w:name="_Toc131329958"/>
      <w:bookmarkStart w:id="1712" w:name="_Toc468837654"/>
      <w:bookmarkStart w:id="1713" w:name="_Toc131332045"/>
      <w:bookmarkStart w:id="1714" w:name="_Toc131328803"/>
      <w:bookmarkStart w:id="1715" w:name="_Toc131329371"/>
      <w:bookmarkStart w:id="1716" w:name="_Toc131332966"/>
      <w:bookmarkStart w:id="1717" w:name="_Toc131329139"/>
      <w:bookmarkStart w:id="1718" w:name="_Toc139294753"/>
      <w:bookmarkStart w:id="1719" w:name="_Toc140089351"/>
      <w:bookmarkEnd w:id="1708"/>
      <w:bookmarkEnd w:id="1709"/>
      <w:r>
        <w:rPr>
          <w:rFonts w:ascii="Arial" w:hAnsi="Arial"/>
          <w:b/>
          <w:u w:val="none"/>
        </w:rPr>
        <w:t>INICIO DE LA EXPLOTACIÓN</w:t>
      </w:r>
      <w:bookmarkEnd w:id="1710"/>
      <w:bookmarkEnd w:id="1711"/>
      <w:bookmarkEnd w:id="1712"/>
      <w:bookmarkEnd w:id="1713"/>
      <w:bookmarkEnd w:id="1714"/>
      <w:bookmarkEnd w:id="1715"/>
      <w:bookmarkEnd w:id="1716"/>
      <w:bookmarkEnd w:id="1717"/>
      <w:bookmarkEnd w:id="1718"/>
      <w:bookmarkEnd w:id="1719"/>
    </w:p>
    <w:p w14:paraId="030A7EEC" w14:textId="77777777" w:rsidR="004412F1" w:rsidRDefault="004412F1">
      <w:pPr>
        <w:ind w:left="709" w:hanging="4"/>
        <w:jc w:val="both"/>
        <w:rPr>
          <w:color w:val="000000"/>
          <w:lang w:val="es-ES"/>
        </w:rPr>
      </w:pPr>
    </w:p>
    <w:p w14:paraId="44B3E765" w14:textId="77777777" w:rsidR="004412F1" w:rsidRDefault="005A12A3">
      <w:pPr>
        <w:numPr>
          <w:ilvl w:val="1"/>
          <w:numId w:val="96"/>
        </w:numPr>
        <w:jc w:val="both"/>
        <w:rPr>
          <w:color w:val="000000"/>
          <w:sz w:val="20"/>
          <w:lang w:val="es-PE"/>
        </w:rPr>
      </w:pPr>
      <w:bookmarkStart w:id="1720" w:name="_4fbwdob" w:colFirst="0" w:colLast="0"/>
      <w:bookmarkStart w:id="1721" w:name="_Ref271727997"/>
      <w:bookmarkEnd w:id="1720"/>
      <w:r>
        <w:rPr>
          <w:color w:val="000000"/>
          <w:lang w:val="es-ES"/>
        </w:rPr>
        <w:t>El inicio de la Explotación de la Concesión deberá producirse al día siguiente de la fecha de suscripción de la primera Acta de Entrega Parcial de Bienes, referida a la entrega, a favor del CONCESIONARIO, de las unidades de peaje existente</w:t>
      </w:r>
      <w:bookmarkEnd w:id="1721"/>
      <w:r>
        <w:rPr>
          <w:color w:val="000000"/>
          <w:lang w:val="es-ES"/>
        </w:rPr>
        <w:t xml:space="preserve">s, </w:t>
      </w:r>
      <w:r>
        <w:rPr>
          <w:color w:val="000000"/>
          <w:lang w:val="es-PE"/>
        </w:rPr>
        <w:t xml:space="preserve">acto que </w:t>
      </w:r>
      <w:proofErr w:type="gramStart"/>
      <w:r>
        <w:rPr>
          <w:color w:val="000000"/>
          <w:lang w:val="es-PE"/>
        </w:rPr>
        <w:t>dará inicio a</w:t>
      </w:r>
      <w:proofErr w:type="gramEnd"/>
      <w:r>
        <w:rPr>
          <w:color w:val="000000"/>
          <w:lang w:val="es-PE"/>
        </w:rPr>
        <w:t xml:space="preserve"> las obligaciones a cargo del CONCESIONARIO y al derecho al cobro de las Tarifas indicadas en la Cláusula 9.4.  La recaudación seguirá el tratamiento previsto en el Apéndice </w:t>
      </w:r>
      <w:r>
        <w:rPr>
          <w:color w:val="000000"/>
          <w:lang w:val="es-ES"/>
        </w:rPr>
        <w:t>1</w:t>
      </w:r>
      <w:r>
        <w:rPr>
          <w:color w:val="000000"/>
          <w:lang w:val="es-PE"/>
        </w:rPr>
        <w:t xml:space="preserve"> del ANEXO X</w:t>
      </w:r>
      <w:r>
        <w:rPr>
          <w:color w:val="000000"/>
          <w:lang w:val="es-ES"/>
        </w:rPr>
        <w:t>I</w:t>
      </w:r>
      <w:r>
        <w:rPr>
          <w:color w:val="000000"/>
          <w:lang w:val="es-PE"/>
        </w:rPr>
        <w:t>, para lo cual el CONCESIONARIO deberá haber cumplido necesariamente con mantener vigente la Garantía de Fiel Cumplimiento de Contrato de Concesión, las Pólizas de Seguros que exige el Contrato y haber constituido el Fideicomiso de Administración a que se refiere el ANEXO X</w:t>
      </w:r>
      <w:r>
        <w:rPr>
          <w:color w:val="000000"/>
          <w:lang w:val="es-ES"/>
        </w:rPr>
        <w:t>I</w:t>
      </w:r>
      <w:r>
        <w:rPr>
          <w:color w:val="000000"/>
          <w:lang w:val="es-PE"/>
        </w:rPr>
        <w:t>.</w:t>
      </w:r>
    </w:p>
    <w:p w14:paraId="44C0E85B" w14:textId="77777777" w:rsidR="004412F1" w:rsidRDefault="004412F1">
      <w:pPr>
        <w:jc w:val="both"/>
        <w:rPr>
          <w:color w:val="000000"/>
          <w:sz w:val="16"/>
          <w:lang w:val="es-PE"/>
        </w:rPr>
      </w:pPr>
    </w:p>
    <w:p w14:paraId="379ED3A9" w14:textId="77777777" w:rsidR="004412F1" w:rsidRDefault="005A12A3">
      <w:pPr>
        <w:ind w:left="709"/>
        <w:jc w:val="both"/>
        <w:rPr>
          <w:color w:val="000000"/>
          <w:lang w:val="es-PE"/>
        </w:rPr>
      </w:pPr>
      <w:r>
        <w:rPr>
          <w:color w:val="000000"/>
          <w:lang w:val="es-PE"/>
        </w:rPr>
        <w:t xml:space="preserve">De darse el caso que por causas no imputables al CONCESIONARIO no se pueda entregar alguno de los bienes indicados en el párrafo anterior, en el Acta de Entrega Parcial de Bienes se deberá consignar la situación, sin embargo, pese a ello se deberá </w:t>
      </w:r>
      <w:proofErr w:type="gramStart"/>
      <w:r>
        <w:rPr>
          <w:color w:val="000000"/>
          <w:lang w:val="es-PE"/>
        </w:rPr>
        <w:t>dar inicio a</w:t>
      </w:r>
      <w:proofErr w:type="gramEnd"/>
      <w:r>
        <w:rPr>
          <w:color w:val="000000"/>
          <w:lang w:val="es-PE"/>
        </w:rPr>
        <w:t xml:space="preserve"> la Explotación. </w:t>
      </w:r>
    </w:p>
    <w:p w14:paraId="632AC3BF" w14:textId="77777777" w:rsidR="004412F1" w:rsidRDefault="004412F1">
      <w:pPr>
        <w:ind w:left="709"/>
        <w:jc w:val="both"/>
        <w:rPr>
          <w:color w:val="000000"/>
          <w:lang w:val="es-PE"/>
        </w:rPr>
      </w:pPr>
    </w:p>
    <w:p w14:paraId="7AA46FEB" w14:textId="77777777" w:rsidR="004412F1" w:rsidRDefault="005A12A3">
      <w:pPr>
        <w:numPr>
          <w:ilvl w:val="1"/>
          <w:numId w:val="96"/>
        </w:numPr>
        <w:jc w:val="both"/>
        <w:rPr>
          <w:color w:val="000000"/>
          <w:lang w:val="es-ES"/>
        </w:rPr>
      </w:pPr>
      <w:bookmarkStart w:id="1722" w:name="_2uh6nw4" w:colFirst="0" w:colLast="0"/>
      <w:bookmarkStart w:id="1723" w:name="_Ref273550838"/>
      <w:bookmarkEnd w:id="1722"/>
      <w:r>
        <w:rPr>
          <w:color w:val="000000"/>
          <w:lang w:val="es-ES"/>
        </w:rPr>
        <w:t xml:space="preserve">Si cumplido lo indicado en la Cláusula anterior, el CONCESIONARIO no ha iniciado la Explotación de la Concesión, se le aplicará la penalidad indicada en la Tabla N° 5 del </w:t>
      </w:r>
      <w:bookmarkEnd w:id="1723"/>
      <w:r>
        <w:rPr>
          <w:color w:val="000000"/>
          <w:lang w:val="es-PE"/>
        </w:rPr>
        <w:t>ANEXO IX.</w:t>
      </w:r>
    </w:p>
    <w:p w14:paraId="11667C0A" w14:textId="77777777" w:rsidR="004412F1" w:rsidRDefault="004412F1">
      <w:pPr>
        <w:jc w:val="both"/>
        <w:rPr>
          <w:color w:val="000000"/>
          <w:sz w:val="16"/>
          <w:lang w:val="es-ES"/>
        </w:rPr>
      </w:pPr>
    </w:p>
    <w:p w14:paraId="23B1543E" w14:textId="77777777" w:rsidR="004412F1" w:rsidRDefault="005A12A3">
      <w:pPr>
        <w:numPr>
          <w:ilvl w:val="1"/>
          <w:numId w:val="96"/>
        </w:numPr>
        <w:jc w:val="both"/>
        <w:rPr>
          <w:color w:val="000000"/>
          <w:lang w:val="es-PE"/>
        </w:rPr>
      </w:pPr>
      <w:bookmarkStart w:id="1724" w:name="_19mgy3x" w:colFirst="0" w:colLast="0"/>
      <w:bookmarkStart w:id="1725" w:name="_Ref271728323"/>
      <w:bookmarkEnd w:id="1724"/>
      <w:r>
        <w:rPr>
          <w:color w:val="000000"/>
          <w:lang w:val="es-PE"/>
        </w:rPr>
        <w:t>Los Servicios Obligatorios que deberá implementar o proporcionar el CONCESIONARIO, se regirán bajo las siguientes condiciones:</w:t>
      </w:r>
      <w:bookmarkEnd w:id="1725"/>
    </w:p>
    <w:p w14:paraId="64F9825F" w14:textId="77777777" w:rsidR="004412F1" w:rsidRDefault="004412F1">
      <w:pPr>
        <w:jc w:val="both"/>
        <w:rPr>
          <w:color w:val="000000"/>
          <w:sz w:val="14"/>
          <w:lang w:val="es-PE"/>
        </w:rPr>
      </w:pPr>
    </w:p>
    <w:p w14:paraId="530B6B06" w14:textId="77777777" w:rsidR="004412F1" w:rsidRDefault="005A12A3">
      <w:pPr>
        <w:numPr>
          <w:ilvl w:val="0"/>
          <w:numId w:val="100"/>
        </w:numPr>
        <w:ind w:left="1134" w:hanging="425"/>
        <w:jc w:val="both"/>
        <w:rPr>
          <w:lang w:val="es-PE"/>
        </w:rPr>
      </w:pPr>
      <w:r>
        <w:rPr>
          <w:lang w:val="es-PE"/>
        </w:rPr>
        <w:t>Servicios que se implementarán en forma gratuita y según la regulación indicada en esta Cláusula:</w:t>
      </w:r>
    </w:p>
    <w:p w14:paraId="7815B053" w14:textId="77777777" w:rsidR="004412F1" w:rsidRDefault="004412F1">
      <w:pPr>
        <w:ind w:left="709"/>
        <w:jc w:val="both"/>
        <w:rPr>
          <w:lang w:val="es-PE"/>
        </w:rPr>
      </w:pPr>
    </w:p>
    <w:p w14:paraId="731A569C" w14:textId="77777777" w:rsidR="004412F1" w:rsidRDefault="005A12A3">
      <w:pPr>
        <w:numPr>
          <w:ilvl w:val="2"/>
          <w:numId w:val="100"/>
        </w:numPr>
        <w:ind w:left="1560" w:hanging="284"/>
        <w:jc w:val="both"/>
        <w:rPr>
          <w:color w:val="000000"/>
          <w:lang w:val="es-PE"/>
        </w:rPr>
      </w:pPr>
      <w:bookmarkStart w:id="1726" w:name="_3tm4grq" w:colFirst="0" w:colLast="0"/>
      <w:bookmarkStart w:id="1727" w:name="_Ref274033895"/>
      <w:bookmarkEnd w:id="1726"/>
      <w:r>
        <w:rPr>
          <w:color w:val="000000"/>
          <w:lang w:val="es-PE"/>
        </w:rPr>
        <w:t>Servicio de Central de Emergencia, que funcionará durante las veinticuatro (24) horas.</w:t>
      </w:r>
      <w:bookmarkEnd w:id="1727"/>
    </w:p>
    <w:p w14:paraId="5479A59E" w14:textId="77777777" w:rsidR="004412F1" w:rsidRDefault="004412F1">
      <w:pPr>
        <w:ind w:left="1985"/>
        <w:jc w:val="both"/>
        <w:rPr>
          <w:color w:val="000000"/>
          <w:lang w:val="es-PE"/>
        </w:rPr>
      </w:pPr>
    </w:p>
    <w:p w14:paraId="59D37D7B" w14:textId="77777777" w:rsidR="004412F1" w:rsidRDefault="005A12A3">
      <w:pPr>
        <w:ind w:left="1560"/>
        <w:jc w:val="both"/>
        <w:rPr>
          <w:color w:val="000000"/>
          <w:lang w:val="es-PE"/>
        </w:rPr>
      </w:pPr>
      <w:r>
        <w:rPr>
          <w:color w:val="000000"/>
          <w:lang w:val="es-PE"/>
        </w:rPr>
        <w:t xml:space="preserve">El CONCESIONARIO deberá atender las solicitudes de emergencias y/o accidentes que hubieren ocurrido en cualquier </w:t>
      </w:r>
      <w:proofErr w:type="gramStart"/>
      <w:r>
        <w:rPr>
          <w:color w:val="000000"/>
          <w:lang w:val="es-PE"/>
        </w:rPr>
        <w:t>Sub Tramo</w:t>
      </w:r>
      <w:proofErr w:type="gramEnd"/>
      <w:r>
        <w:rPr>
          <w:color w:val="000000"/>
          <w:lang w:val="es-PE"/>
        </w:rPr>
        <w:t xml:space="preserve"> de la Concesión, a través de la Central de Emergencias, comunicando las mismas o derivando las solicitudes a la Policía Nacional del Perú, algún centro hospitalario, médico, policlínico o similares, compañía de seguros, etc., según sea el caso.</w:t>
      </w:r>
    </w:p>
    <w:p w14:paraId="2181C4C8" w14:textId="77777777" w:rsidR="004412F1" w:rsidRDefault="004412F1">
      <w:pPr>
        <w:ind w:left="1985"/>
        <w:jc w:val="both"/>
        <w:rPr>
          <w:color w:val="000000"/>
          <w:lang w:val="es-PE"/>
        </w:rPr>
      </w:pPr>
    </w:p>
    <w:p w14:paraId="0A66F21E" w14:textId="77777777" w:rsidR="004412F1" w:rsidRDefault="005A12A3">
      <w:pPr>
        <w:numPr>
          <w:ilvl w:val="2"/>
          <w:numId w:val="100"/>
        </w:numPr>
        <w:ind w:left="1560" w:hanging="284"/>
        <w:jc w:val="both"/>
        <w:rPr>
          <w:color w:val="000000"/>
          <w:lang w:val="es-PE"/>
        </w:rPr>
      </w:pPr>
      <w:bookmarkStart w:id="1728" w:name="_28reqzj" w:colFirst="0" w:colLast="0"/>
      <w:bookmarkStart w:id="1729" w:name="_Ref274033926"/>
      <w:bookmarkEnd w:id="1728"/>
      <w:r>
        <w:rPr>
          <w:color w:val="000000"/>
          <w:lang w:val="es-PE"/>
        </w:rPr>
        <w:t>Sistema de Comunicación en Tiempo Real de Emergencia, cuyos terminales deberán estar ubicados a una distancia máxima de diez (10) kilómetros entre cada uno de ellos. Este sistema al menos deberá permitir la realización de llamadas gratuitas exclusivamente a la Central de Emergencia.</w:t>
      </w:r>
      <w:bookmarkEnd w:id="1729"/>
    </w:p>
    <w:p w14:paraId="2A632AFD" w14:textId="77777777" w:rsidR="004412F1" w:rsidRDefault="004412F1">
      <w:pPr>
        <w:ind w:left="1134"/>
        <w:jc w:val="both"/>
        <w:rPr>
          <w:color w:val="000000"/>
          <w:lang w:val="es-PE"/>
        </w:rPr>
      </w:pPr>
    </w:p>
    <w:p w14:paraId="3974E754" w14:textId="77777777" w:rsidR="004412F1" w:rsidRDefault="005A12A3">
      <w:pPr>
        <w:numPr>
          <w:ilvl w:val="2"/>
          <w:numId w:val="100"/>
        </w:numPr>
        <w:ind w:left="1560" w:hanging="284"/>
        <w:jc w:val="both"/>
        <w:rPr>
          <w:color w:val="000000"/>
          <w:lang w:val="es-PE"/>
        </w:rPr>
      </w:pPr>
      <w:r>
        <w:rPr>
          <w:color w:val="000000"/>
          <w:lang w:val="es-PE"/>
        </w:rPr>
        <w:t>Servicio de ambulancia para atención a heridos y traslado hacia un centro hospitalario, centro médico, policlínico, según sea el caso.</w:t>
      </w:r>
    </w:p>
    <w:p w14:paraId="54DB5CED" w14:textId="77777777" w:rsidR="004412F1" w:rsidRDefault="004412F1">
      <w:pPr>
        <w:ind w:left="708"/>
        <w:rPr>
          <w:color w:val="000000"/>
          <w:lang w:val="es-PE"/>
        </w:rPr>
      </w:pPr>
    </w:p>
    <w:p w14:paraId="7E88E103" w14:textId="77777777" w:rsidR="004412F1" w:rsidRDefault="005A12A3">
      <w:pPr>
        <w:numPr>
          <w:ilvl w:val="2"/>
          <w:numId w:val="100"/>
        </w:numPr>
        <w:ind w:left="1560" w:hanging="284"/>
        <w:jc w:val="both"/>
        <w:rPr>
          <w:color w:val="000000"/>
          <w:lang w:val="es-PE"/>
        </w:rPr>
      </w:pPr>
      <w:r>
        <w:rPr>
          <w:color w:val="000000"/>
          <w:lang w:val="es-PE"/>
        </w:rPr>
        <w:t>Servicio de traslado de vehículos que hubieran resultado averiados en la vía, hasta la estación de servicio más próxima, no debiendo exceder de cien (100) kilómetros.</w:t>
      </w:r>
    </w:p>
    <w:p w14:paraId="642D2606" w14:textId="77777777" w:rsidR="004412F1" w:rsidRDefault="004412F1">
      <w:pPr>
        <w:ind w:left="708" w:hanging="851"/>
        <w:rPr>
          <w:color w:val="000000"/>
          <w:lang w:val="es-PE"/>
        </w:rPr>
      </w:pPr>
    </w:p>
    <w:p w14:paraId="3318B0C9" w14:textId="77777777" w:rsidR="004412F1" w:rsidRDefault="005A12A3">
      <w:pPr>
        <w:numPr>
          <w:ilvl w:val="2"/>
          <w:numId w:val="100"/>
        </w:numPr>
        <w:ind w:left="1560" w:hanging="284"/>
        <w:jc w:val="both"/>
        <w:rPr>
          <w:color w:val="000000"/>
          <w:lang w:val="es-PE"/>
        </w:rPr>
      </w:pPr>
      <w:r>
        <w:rPr>
          <w:color w:val="000000"/>
          <w:lang w:val="es-PE"/>
        </w:rPr>
        <w:lastRenderedPageBreak/>
        <w:t xml:space="preserve">Una oficina para uso de la Policía Nacional del Perú, contigua a las zonas de localización de cada unidad de peaje, con su equipamiento básico y energía eléctrica, para apoyo a las labores de vigilancia y control (área total construida por cada oficina no menor de 25m2, incluyendo baño y cocina). Será de cargo del CONCESIONARIO el costo de los servicios de agua, energía y teléfono sujeto a las facilidades técnicas en la zona, hasta por un monto de Un Mil con 00/100 </w:t>
      </w:r>
      <w:proofErr w:type="gramStart"/>
      <w:r>
        <w:rPr>
          <w:color w:val="000000"/>
          <w:lang w:val="es-PE"/>
        </w:rPr>
        <w:t>Dólares Americanos</w:t>
      </w:r>
      <w:proofErr w:type="gramEnd"/>
      <w:r>
        <w:rPr>
          <w:color w:val="000000"/>
          <w:lang w:val="es-PE"/>
        </w:rPr>
        <w:t xml:space="preserve"> (US$ 1,000.00) mensuales por cada oficina de la Policía Nacional del Perú.</w:t>
      </w:r>
    </w:p>
    <w:p w14:paraId="5542EB7B" w14:textId="77777777" w:rsidR="004412F1" w:rsidRDefault="004412F1">
      <w:pPr>
        <w:jc w:val="both"/>
        <w:rPr>
          <w:color w:val="000000"/>
          <w:lang w:val="es-PE"/>
        </w:rPr>
      </w:pPr>
    </w:p>
    <w:p w14:paraId="0350AD12" w14:textId="77777777" w:rsidR="004412F1" w:rsidRDefault="005A12A3">
      <w:pPr>
        <w:numPr>
          <w:ilvl w:val="2"/>
          <w:numId w:val="100"/>
        </w:numPr>
        <w:ind w:left="1560" w:hanging="284"/>
        <w:jc w:val="both"/>
        <w:rPr>
          <w:color w:val="000000"/>
          <w:lang w:val="es-PE"/>
        </w:rPr>
      </w:pPr>
      <w:r>
        <w:rPr>
          <w:color w:val="000000"/>
          <w:lang w:val="es-PE"/>
        </w:rPr>
        <w:t>Servicios higiénicos ubicados en cada unidad de peaje, con el equipamiento necesario para ofrecer un servicio adecuado a los Usuarios.</w:t>
      </w:r>
    </w:p>
    <w:p w14:paraId="490C47C8" w14:textId="77777777" w:rsidR="004412F1" w:rsidRDefault="004412F1">
      <w:pPr>
        <w:ind w:left="1418"/>
        <w:jc w:val="both"/>
        <w:rPr>
          <w:color w:val="000000"/>
          <w:lang w:val="es-PE"/>
        </w:rPr>
      </w:pPr>
    </w:p>
    <w:p w14:paraId="772A9EFE" w14:textId="22510EEC" w:rsidR="004412F1" w:rsidRDefault="005A12A3">
      <w:pPr>
        <w:numPr>
          <w:ilvl w:val="0"/>
          <w:numId w:val="100"/>
        </w:numPr>
        <w:ind w:left="1134" w:hanging="425"/>
        <w:jc w:val="both"/>
        <w:rPr>
          <w:lang w:val="es-PE"/>
        </w:rPr>
      </w:pPr>
      <w:r>
        <w:rPr>
          <w:lang w:val="es-PE"/>
        </w:rPr>
        <w:t xml:space="preserve">Es requisito indispensable para la aplicación del régimen tarifario indicado en 9.4 </w:t>
      </w:r>
      <w:r w:rsidR="00DF71CA">
        <w:rPr>
          <w:lang w:val="es-PE"/>
        </w:rPr>
        <w:t>c</w:t>
      </w:r>
      <w:r>
        <w:rPr>
          <w:lang w:val="es-PE"/>
        </w:rPr>
        <w:t>), que los servicios indicados en el literal a) precedente estén en funcionamiento.</w:t>
      </w:r>
    </w:p>
    <w:p w14:paraId="3922773A" w14:textId="77777777" w:rsidR="004412F1" w:rsidRDefault="004412F1">
      <w:pPr>
        <w:ind w:left="1134"/>
        <w:jc w:val="both"/>
        <w:rPr>
          <w:color w:val="000000"/>
          <w:lang w:val="es-PE"/>
        </w:rPr>
      </w:pPr>
    </w:p>
    <w:p w14:paraId="7A44B6C5" w14:textId="77777777" w:rsidR="004412F1" w:rsidRDefault="005A12A3">
      <w:pPr>
        <w:ind w:left="1134"/>
        <w:jc w:val="both"/>
        <w:rPr>
          <w:color w:val="000000"/>
          <w:lang w:val="es-PE"/>
        </w:rPr>
      </w:pPr>
      <w:r>
        <w:rPr>
          <w:color w:val="000000"/>
          <w:lang w:val="es-PE"/>
        </w:rPr>
        <w:t xml:space="preserve">A la recepción de las unidades de peaje existentes, se deberá proporcionar el servicio indicado en los numerales iii) y iv) del literal a). Asimismo, a más tardar a los noventa (90) Días Calendario contados desde la Toma </w:t>
      </w:r>
      <w:r>
        <w:rPr>
          <w:color w:val="000000"/>
          <w:lang w:val="es-ES"/>
        </w:rPr>
        <w:t xml:space="preserve">de </w:t>
      </w:r>
      <w:r>
        <w:rPr>
          <w:color w:val="000000"/>
          <w:lang w:val="es-PE"/>
        </w:rPr>
        <w:t>Posesión de las unidades de peaje deberá estar en funcionamiento definitivo el servicio indicado en numeral vi) del literal a).</w:t>
      </w:r>
    </w:p>
    <w:p w14:paraId="3924A771" w14:textId="77777777" w:rsidR="004412F1" w:rsidRDefault="004412F1">
      <w:pPr>
        <w:ind w:left="1134"/>
        <w:jc w:val="both"/>
        <w:rPr>
          <w:color w:val="000000"/>
          <w:lang w:val="es-PE"/>
        </w:rPr>
      </w:pPr>
    </w:p>
    <w:p w14:paraId="4E3867E7" w14:textId="2194DCA2" w:rsidR="004412F1" w:rsidRDefault="005A12A3">
      <w:pPr>
        <w:ind w:left="1134"/>
        <w:jc w:val="both"/>
        <w:rPr>
          <w:color w:val="000000"/>
          <w:lang w:val="es-PE"/>
        </w:rPr>
      </w:pPr>
      <w:r>
        <w:rPr>
          <w:color w:val="000000"/>
          <w:lang w:val="es-PE"/>
        </w:rPr>
        <w:t xml:space="preserve">Cuando los </w:t>
      </w:r>
      <w:proofErr w:type="gramStart"/>
      <w:r>
        <w:rPr>
          <w:color w:val="000000"/>
          <w:lang w:val="es-PE"/>
        </w:rPr>
        <w:t>Sub Tramos</w:t>
      </w:r>
      <w:proofErr w:type="gramEnd"/>
      <w:r>
        <w:rPr>
          <w:color w:val="000000"/>
          <w:lang w:val="es-PE"/>
        </w:rPr>
        <w:t xml:space="preserve"> en los cuales el CONCESIONARIO haya ejecutado la Rehabilitación y Mejoramiento y/o el Mantenimiento Periódico Inicial, sean autorizados a ser puestos en servicio de acuerdo con lo indicado en la Cláusula </w:t>
      </w:r>
      <w:r w:rsidR="001E588D">
        <w:rPr>
          <w:color w:val="000000"/>
          <w:lang w:val="es-PE"/>
        </w:rPr>
        <w:t>6.32</w:t>
      </w:r>
      <w:r>
        <w:rPr>
          <w:color w:val="000000"/>
          <w:lang w:val="es-PE"/>
        </w:rPr>
        <w:t xml:space="preserve"> y siguientes, estas deberán contar con los servicios indicados en los numerales i) </w:t>
      </w:r>
      <w:r>
        <w:rPr>
          <w:color w:val="000000"/>
          <w:lang w:val="es-ES"/>
        </w:rPr>
        <w:t xml:space="preserve">al </w:t>
      </w:r>
      <w:r>
        <w:rPr>
          <w:color w:val="000000"/>
          <w:lang w:val="es-PE"/>
        </w:rPr>
        <w:t>vi) del literal a).</w:t>
      </w:r>
    </w:p>
    <w:p w14:paraId="64F6D831" w14:textId="77777777" w:rsidR="004412F1" w:rsidRDefault="004412F1">
      <w:pPr>
        <w:ind w:left="708"/>
        <w:jc w:val="both"/>
        <w:rPr>
          <w:lang w:val="es-PE"/>
        </w:rPr>
      </w:pPr>
    </w:p>
    <w:p w14:paraId="6CD0B062" w14:textId="77777777" w:rsidR="004412F1" w:rsidRDefault="005A12A3">
      <w:pPr>
        <w:numPr>
          <w:ilvl w:val="2"/>
          <w:numId w:val="101"/>
        </w:numPr>
        <w:tabs>
          <w:tab w:val="left" w:pos="1134"/>
        </w:tabs>
        <w:ind w:left="1134" w:hanging="425"/>
        <w:jc w:val="both"/>
        <w:rPr>
          <w:lang w:val="es-PE"/>
        </w:rPr>
      </w:pPr>
      <w:r>
        <w:rPr>
          <w:lang w:val="es-PE"/>
        </w:rPr>
        <w:t>Para la prestación de los Servicios Obligatorios, el CONCESIONARIO podrá optar por la provisión directa, el arriendo de los equipos o la subcontratación de estos. Si resultara de conveniencia, y cuando así fuera posible, parte de los Servicios Obligatorios podrán consolidarse en un mismo lugar físico, tomando en cuenta incluso a la unidad de peaje.</w:t>
      </w:r>
    </w:p>
    <w:p w14:paraId="1D0B7E9D" w14:textId="77777777" w:rsidR="004412F1" w:rsidRDefault="004412F1">
      <w:pPr>
        <w:ind w:left="1134"/>
        <w:jc w:val="both"/>
        <w:rPr>
          <w:lang w:val="es-PE"/>
        </w:rPr>
      </w:pPr>
    </w:p>
    <w:p w14:paraId="5D050CCC" w14:textId="77777777" w:rsidR="004412F1" w:rsidRDefault="005A12A3">
      <w:pPr>
        <w:ind w:left="1134"/>
        <w:jc w:val="both"/>
        <w:rPr>
          <w:lang w:val="es-PE"/>
        </w:rPr>
      </w:pPr>
      <w:r>
        <w:rPr>
          <w:lang w:val="es-PE"/>
        </w:rPr>
        <w:t xml:space="preserve">En cualquier caso, el CONCESIONARIO será el único responsable porque los Servicios Obligatorios sean prestados oportuna y eficientemente, de acuerdo con lo establecido en el </w:t>
      </w:r>
      <w:r>
        <w:rPr>
          <w:color w:val="000000" w:themeColor="text1"/>
          <w:lang w:val="es-PE"/>
        </w:rPr>
        <w:t>ANEXO I</w:t>
      </w:r>
      <w:r>
        <w:rPr>
          <w:lang w:val="es-PE"/>
        </w:rPr>
        <w:t>.</w:t>
      </w:r>
    </w:p>
    <w:p w14:paraId="25C8DE0E" w14:textId="77777777" w:rsidR="004412F1" w:rsidRDefault="004412F1">
      <w:pPr>
        <w:ind w:left="1134"/>
        <w:jc w:val="both"/>
        <w:rPr>
          <w:b/>
          <w:lang w:val="es-PE"/>
        </w:rPr>
      </w:pPr>
      <w:bookmarkStart w:id="1730" w:name="_nwp17c" w:colFirst="0" w:colLast="0"/>
      <w:bookmarkStart w:id="1731" w:name="_SERVICIOS_OPCIONALES"/>
      <w:bookmarkStart w:id="1732" w:name="_Toc131327989"/>
      <w:bookmarkStart w:id="1733" w:name="_Toc102405329"/>
      <w:bookmarkStart w:id="1734" w:name="_Toc131332968"/>
      <w:bookmarkStart w:id="1735" w:name="_Toc131332047"/>
      <w:bookmarkStart w:id="1736" w:name="_Toc131329141"/>
      <w:bookmarkStart w:id="1737" w:name="_Toc131329373"/>
      <w:bookmarkStart w:id="1738" w:name="_Toc131328805"/>
      <w:bookmarkStart w:id="1739" w:name="_Toc131329960"/>
      <w:bookmarkEnd w:id="1730"/>
      <w:bookmarkEnd w:id="1731"/>
    </w:p>
    <w:p w14:paraId="25FB80CD" w14:textId="77777777" w:rsidR="004412F1" w:rsidRDefault="005A12A3">
      <w:pPr>
        <w:ind w:left="720"/>
        <w:jc w:val="both"/>
        <w:rPr>
          <w:lang w:val="es-PE"/>
        </w:rPr>
      </w:pPr>
      <w:r w:rsidRPr="00524276">
        <w:rPr>
          <w:lang w:val="es-PE"/>
        </w:rPr>
        <w:t xml:space="preserve">El </w:t>
      </w:r>
      <w:r w:rsidRPr="00524276">
        <w:rPr>
          <w:color w:val="000000"/>
          <w:lang w:val="es-PE"/>
        </w:rPr>
        <w:t>incumplimiento</w:t>
      </w:r>
      <w:r w:rsidRPr="00524276">
        <w:rPr>
          <w:lang w:val="es-PE"/>
        </w:rPr>
        <w:t xml:space="preserve"> en la implementación de los Servicios Obligatorios dará lugar a la aplicación de la Penalidad establecida en la Tabla N° 5 del ANEXO IX</w:t>
      </w:r>
      <w:bookmarkEnd w:id="1732"/>
      <w:bookmarkEnd w:id="1733"/>
      <w:bookmarkEnd w:id="1734"/>
      <w:bookmarkEnd w:id="1735"/>
      <w:bookmarkEnd w:id="1736"/>
      <w:bookmarkEnd w:id="1737"/>
      <w:bookmarkEnd w:id="1738"/>
      <w:bookmarkEnd w:id="1739"/>
      <w:r w:rsidRPr="00524276">
        <w:rPr>
          <w:lang w:val="es-PE"/>
        </w:rPr>
        <w:t>.</w:t>
      </w:r>
    </w:p>
    <w:p w14:paraId="3C88F76A" w14:textId="77777777" w:rsidR="004412F1" w:rsidRDefault="004412F1">
      <w:pPr>
        <w:ind w:left="705"/>
        <w:rPr>
          <w:lang w:val="es-PE"/>
        </w:rPr>
      </w:pPr>
    </w:p>
    <w:p w14:paraId="6D886729" w14:textId="77777777" w:rsidR="004412F1" w:rsidRDefault="005A12A3" w:rsidP="00A75F02">
      <w:pPr>
        <w:pStyle w:val="Ttulo2"/>
        <w:ind w:left="0"/>
        <w:rPr>
          <w:b/>
          <w:lang w:val="es-PE"/>
        </w:rPr>
      </w:pPr>
      <w:bookmarkStart w:id="1740" w:name="_37wcjv5" w:colFirst="0" w:colLast="0"/>
      <w:bookmarkStart w:id="1741" w:name="_Toc139294754"/>
      <w:bookmarkStart w:id="1742" w:name="_Toc140089352"/>
      <w:bookmarkEnd w:id="1740"/>
      <w:r>
        <w:rPr>
          <w:rFonts w:ascii="Arial" w:eastAsia="Arial" w:hAnsi="Arial"/>
          <w:b/>
          <w:u w:val="none"/>
          <w:lang w:val="es-PE"/>
        </w:rPr>
        <w:t>NIVEL DE SATISFACCIÓN DEL USUARIO</w:t>
      </w:r>
      <w:bookmarkEnd w:id="1741"/>
      <w:bookmarkEnd w:id="1742"/>
    </w:p>
    <w:p w14:paraId="24EA7EF1" w14:textId="77777777" w:rsidR="004412F1" w:rsidRDefault="004412F1">
      <w:pPr>
        <w:ind w:left="705" w:hanging="705"/>
        <w:jc w:val="both"/>
        <w:rPr>
          <w:b/>
          <w:color w:val="000000"/>
          <w:lang w:val="es-PE"/>
        </w:rPr>
      </w:pPr>
    </w:p>
    <w:p w14:paraId="53149E85" w14:textId="2B173396" w:rsidR="004412F1" w:rsidRDefault="005A12A3">
      <w:pPr>
        <w:numPr>
          <w:ilvl w:val="1"/>
          <w:numId w:val="96"/>
        </w:numPr>
        <w:jc w:val="both"/>
        <w:rPr>
          <w:color w:val="000000"/>
          <w:lang w:val="es-PE"/>
        </w:rPr>
      </w:pPr>
      <w:r>
        <w:rPr>
          <w:color w:val="000000"/>
          <w:lang w:val="es-PE"/>
        </w:rPr>
        <w:t xml:space="preserve">El </w:t>
      </w:r>
      <w:r w:rsidR="00B472AD">
        <w:rPr>
          <w:color w:val="000000"/>
          <w:lang w:val="es-PE"/>
        </w:rPr>
        <w:t>CONCESIONARIO</w:t>
      </w:r>
      <w:r>
        <w:rPr>
          <w:color w:val="000000"/>
          <w:lang w:val="es-PE"/>
        </w:rPr>
        <w:t xml:space="preserve"> deberá presentar al Regulador en el mes de marzo y setiembre de cada año, los resultados de una encuesta de opinión de los Usuarios de la Concesión sobre aspectos relacionados a la satisfacción del servicio, realizada por una empresa encuestadora de prestigio, seleccionada por el Regulador en función a una terna que deberá ser presentada por el Concesionario.</w:t>
      </w:r>
    </w:p>
    <w:p w14:paraId="59122C48" w14:textId="77777777" w:rsidR="004412F1" w:rsidRDefault="004412F1">
      <w:pPr>
        <w:jc w:val="both"/>
        <w:rPr>
          <w:color w:val="000000"/>
          <w:lang w:val="es-PE"/>
        </w:rPr>
      </w:pPr>
    </w:p>
    <w:p w14:paraId="2939A970" w14:textId="77777777" w:rsidR="004412F1" w:rsidRDefault="005A12A3">
      <w:pPr>
        <w:ind w:left="709"/>
        <w:jc w:val="both"/>
        <w:rPr>
          <w:color w:val="000000"/>
          <w:lang w:val="es-PE"/>
        </w:rPr>
      </w:pPr>
      <w:r>
        <w:rPr>
          <w:color w:val="000000"/>
          <w:lang w:val="es-PE"/>
        </w:rPr>
        <w:t xml:space="preserve">Como mínimo las encuestas deberán contemplar los siguientes parámetros y condiciones del Servicio: estado general de las pistas, trato del personal </w:t>
      </w:r>
      <w:r>
        <w:rPr>
          <w:color w:val="000000"/>
          <w:lang w:val="es-PE"/>
        </w:rPr>
        <w:lastRenderedPageBreak/>
        <w:t>encargado del cobro de peajes, señalización vial, nivel de seguridad en la carretera, calidad en la prestación de los servicios obligatorios, tiempo de espera en cola en las unidades de peaje, u otras que recomiende el Regulador.</w:t>
      </w:r>
    </w:p>
    <w:p w14:paraId="2425FB04" w14:textId="77777777" w:rsidR="004412F1" w:rsidRDefault="004412F1">
      <w:pPr>
        <w:ind w:left="709"/>
        <w:jc w:val="both"/>
        <w:rPr>
          <w:color w:val="000000"/>
          <w:lang w:val="es-PE"/>
        </w:rPr>
      </w:pPr>
    </w:p>
    <w:p w14:paraId="601B8D50" w14:textId="77777777" w:rsidR="004412F1" w:rsidRDefault="005A12A3">
      <w:pPr>
        <w:ind w:left="709"/>
        <w:jc w:val="both"/>
        <w:rPr>
          <w:color w:val="000000"/>
          <w:lang w:val="es-PE"/>
        </w:rPr>
      </w:pPr>
      <w:r>
        <w:rPr>
          <w:color w:val="000000"/>
          <w:lang w:val="es-PE"/>
        </w:rPr>
        <w:t>Los resultados de dicha encuesta serán presentados al Regulador con copia al Concedente en un plazo no mayor de treinta (30) Días Calendario de haberla efectuado.</w:t>
      </w:r>
    </w:p>
    <w:p w14:paraId="1C090D22" w14:textId="77777777" w:rsidR="004412F1" w:rsidRDefault="004412F1">
      <w:pPr>
        <w:ind w:left="709"/>
        <w:jc w:val="both"/>
        <w:rPr>
          <w:color w:val="000000"/>
          <w:lang w:val="es-PE"/>
        </w:rPr>
      </w:pPr>
    </w:p>
    <w:p w14:paraId="22498761" w14:textId="77777777" w:rsidR="004412F1" w:rsidRDefault="004412F1">
      <w:pPr>
        <w:ind w:left="705"/>
        <w:jc w:val="both"/>
        <w:rPr>
          <w:color w:val="000000"/>
          <w:lang w:val="es-PE"/>
        </w:rPr>
      </w:pPr>
    </w:p>
    <w:p w14:paraId="79DB464A" w14:textId="77777777" w:rsidR="004412F1" w:rsidRDefault="005A12A3">
      <w:pPr>
        <w:pStyle w:val="Ttulo1"/>
        <w:rPr>
          <w:b w:val="0"/>
          <w:bCs w:val="0"/>
          <w:lang w:val="es-PE"/>
        </w:rPr>
      </w:pPr>
      <w:bookmarkStart w:id="1743" w:name="_1n1mu2y" w:colFirst="0" w:colLast="0"/>
      <w:bookmarkStart w:id="1744" w:name="_Toc139294755"/>
      <w:bookmarkStart w:id="1745" w:name="_Toc468837656"/>
      <w:bookmarkStart w:id="1746" w:name="_Toc140089353"/>
      <w:bookmarkStart w:id="1747" w:name="_Toc201751098"/>
      <w:bookmarkStart w:id="1748" w:name="_Toc131328806"/>
      <w:bookmarkStart w:id="1749" w:name="_Toc131329374"/>
      <w:bookmarkStart w:id="1750" w:name="_Toc131327990"/>
      <w:bookmarkStart w:id="1751" w:name="_Toc131332969"/>
      <w:bookmarkStart w:id="1752" w:name="_Toc134448841"/>
      <w:bookmarkStart w:id="1753" w:name="_Toc131329961"/>
      <w:bookmarkStart w:id="1754" w:name="_Toc131332048"/>
      <w:bookmarkStart w:id="1755" w:name="_Toc131329142"/>
      <w:bookmarkEnd w:id="1743"/>
      <w:r>
        <w:rPr>
          <w:lang w:val="es-PE"/>
        </w:rPr>
        <w:t>CAPÍTULO IX: EL PEAJE Y LA TARIFA</w:t>
      </w:r>
      <w:bookmarkEnd w:id="1744"/>
      <w:bookmarkEnd w:id="1745"/>
      <w:bookmarkEnd w:id="1746"/>
    </w:p>
    <w:p w14:paraId="6C246B9B" w14:textId="77777777" w:rsidR="004412F1" w:rsidRDefault="004412F1">
      <w:pPr>
        <w:jc w:val="both"/>
        <w:rPr>
          <w:b/>
          <w:sz w:val="16"/>
          <w:lang w:val="es-PE"/>
        </w:rPr>
      </w:pPr>
    </w:p>
    <w:p w14:paraId="4C411AB6" w14:textId="77777777" w:rsidR="004412F1" w:rsidRDefault="005A12A3">
      <w:pPr>
        <w:pStyle w:val="Ttulo2"/>
        <w:ind w:left="0"/>
        <w:rPr>
          <w:rFonts w:ascii="Arial" w:eastAsia="Arial" w:hAnsi="Arial" w:cs="Arial"/>
          <w:b/>
          <w:bCs/>
          <w:u w:val="none"/>
        </w:rPr>
      </w:pPr>
      <w:bookmarkStart w:id="1756" w:name="_EL_PEAJE_Y"/>
      <w:bookmarkStart w:id="1757" w:name="_471acqr"/>
      <w:bookmarkStart w:id="1758" w:name="_Toc139294756"/>
      <w:bookmarkStart w:id="1759" w:name="_Toc468837657"/>
      <w:bookmarkStart w:id="1760" w:name="_Toc140089354"/>
      <w:bookmarkEnd w:id="1756"/>
      <w:bookmarkEnd w:id="1757"/>
      <w:r>
        <w:rPr>
          <w:rFonts w:ascii="Arial" w:eastAsia="Arial" w:hAnsi="Arial" w:cs="Arial"/>
          <w:b/>
          <w:bCs/>
          <w:u w:val="none"/>
        </w:rPr>
        <w:t>EL PEAJE Y LA TARIFA</w:t>
      </w:r>
      <w:bookmarkEnd w:id="1758"/>
      <w:bookmarkEnd w:id="1759"/>
      <w:bookmarkEnd w:id="1760"/>
    </w:p>
    <w:p w14:paraId="78AA8644" w14:textId="77777777" w:rsidR="004412F1" w:rsidRDefault="004412F1">
      <w:pPr>
        <w:jc w:val="both"/>
        <w:rPr>
          <w:color w:val="000000"/>
        </w:rPr>
      </w:pPr>
    </w:p>
    <w:p w14:paraId="40EDC9DA" w14:textId="77777777" w:rsidR="004412F1" w:rsidRDefault="005A12A3">
      <w:pPr>
        <w:numPr>
          <w:ilvl w:val="1"/>
          <w:numId w:val="102"/>
        </w:numPr>
        <w:jc w:val="both"/>
        <w:rPr>
          <w:lang w:val="es-PE"/>
        </w:rPr>
      </w:pPr>
      <w:r>
        <w:rPr>
          <w:lang w:val="es-PE"/>
        </w:rPr>
        <w:t>El cobro de la Tarifa se efectuará a través de las unidades de peaje las cuales serán explotadas por el CONCESIONARIO, quien cobrará el monto de la Tarifa de acuerdo con lo indicado en la Cláusula 9.4. El cobro de las tarifas por montos superiores a los autorizados será penalizado de acuerdo con la Tabla N° 5 del ANEXO IX.</w:t>
      </w:r>
    </w:p>
    <w:p w14:paraId="7D658071" w14:textId="77777777" w:rsidR="004412F1" w:rsidRDefault="004412F1">
      <w:pPr>
        <w:ind w:left="705"/>
        <w:jc w:val="both"/>
        <w:rPr>
          <w:lang w:val="es-PE"/>
        </w:rPr>
      </w:pPr>
    </w:p>
    <w:p w14:paraId="39FD5D7F" w14:textId="77777777" w:rsidR="004412F1" w:rsidRDefault="005A12A3">
      <w:pPr>
        <w:numPr>
          <w:ilvl w:val="0"/>
          <w:numId w:val="103"/>
        </w:numPr>
        <w:ind w:left="1276" w:hanging="567"/>
        <w:jc w:val="both"/>
        <w:rPr>
          <w:color w:val="000000"/>
          <w:lang w:val="es-ES"/>
        </w:rPr>
      </w:pPr>
      <w:r>
        <w:rPr>
          <w:color w:val="000000"/>
          <w:lang w:val="es-ES"/>
        </w:rPr>
        <w:t>A</w:t>
      </w:r>
      <w:r>
        <w:rPr>
          <w:color w:val="000000"/>
          <w:lang w:val="es-PE"/>
        </w:rPr>
        <w:t xml:space="preserve"> la Fecha de Inicio de la Explotación le serán entregadas al CONCESIONARIO las siguientes unidades de peaje (Cuadro N° 9-1), para que este las explote en los términos indicados en las Cláusulas siguientes. </w:t>
      </w:r>
    </w:p>
    <w:p w14:paraId="47F8A116" w14:textId="77777777" w:rsidR="004412F1" w:rsidRDefault="004412F1">
      <w:pPr>
        <w:ind w:left="705"/>
        <w:jc w:val="both"/>
        <w:rPr>
          <w:lang w:val="es-PE"/>
        </w:rPr>
      </w:pPr>
    </w:p>
    <w:p w14:paraId="28489B91" w14:textId="77777777" w:rsidR="004412F1" w:rsidRDefault="005A12A3">
      <w:pPr>
        <w:ind w:firstLine="1276"/>
        <w:jc w:val="both"/>
        <w:rPr>
          <w:b/>
          <w:bCs/>
          <w:lang w:val="es-PE"/>
        </w:rPr>
      </w:pPr>
      <w:r>
        <w:rPr>
          <w:b/>
          <w:bCs/>
          <w:lang w:val="es-PE"/>
        </w:rPr>
        <w:t>Cuadro Nº 9-1: Unidades de peaje existentes</w:t>
      </w:r>
    </w:p>
    <w:p w14:paraId="0484C399" w14:textId="77777777" w:rsidR="004412F1" w:rsidRDefault="004412F1">
      <w:pPr>
        <w:ind w:firstLine="1276"/>
        <w:jc w:val="both"/>
        <w:rPr>
          <w:b/>
          <w:bCs/>
          <w:lang w:val="es-PE"/>
        </w:rPr>
      </w:pPr>
    </w:p>
    <w:tbl>
      <w:tblPr>
        <w:tblW w:w="7219" w:type="dxa"/>
        <w:tblInd w:w="138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26"/>
        <w:gridCol w:w="928"/>
        <w:gridCol w:w="2333"/>
        <w:gridCol w:w="1832"/>
      </w:tblGrid>
      <w:tr w:rsidR="004412F1" w14:paraId="3F4A9A1B"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5087B7" w14:textId="77777777" w:rsidR="004412F1" w:rsidRDefault="005A12A3">
            <w:pPr>
              <w:jc w:val="both"/>
              <w:rPr>
                <w:b/>
                <w:bCs/>
              </w:rPr>
            </w:pPr>
            <w:r>
              <w:rPr>
                <w:b/>
                <w:bCs/>
              </w:rPr>
              <w:t>DENOMINACIÓN</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736E17" w14:textId="77777777" w:rsidR="004412F1" w:rsidRDefault="005A12A3">
            <w:pPr>
              <w:jc w:val="both"/>
              <w:rPr>
                <w:b/>
                <w:bCs/>
              </w:rPr>
            </w:pPr>
            <w:r>
              <w:rPr>
                <w:b/>
                <w:bCs/>
              </w:rPr>
              <w:t>RUTA</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5356DF" w14:textId="77777777" w:rsidR="004412F1" w:rsidRDefault="005A12A3">
            <w:pPr>
              <w:jc w:val="both"/>
              <w:rPr>
                <w:b/>
                <w:bCs/>
              </w:rPr>
            </w:pPr>
            <w:r>
              <w:rPr>
                <w:b/>
                <w:bCs/>
              </w:rPr>
              <w:t>SUB TRAMO</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38A624" w14:textId="77777777" w:rsidR="004412F1" w:rsidRDefault="005A12A3">
            <w:pPr>
              <w:jc w:val="both"/>
              <w:rPr>
                <w:b/>
                <w:bCs/>
              </w:rPr>
            </w:pPr>
            <w:r>
              <w:rPr>
                <w:b/>
                <w:bCs/>
              </w:rPr>
              <w:t>UBICACIÓN</w:t>
            </w:r>
          </w:p>
        </w:tc>
      </w:tr>
      <w:tr w:rsidR="004412F1" w14:paraId="6DE4FE18"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C06CE48" w14:textId="77777777" w:rsidR="004412F1" w:rsidRDefault="005A12A3">
            <w:r>
              <w:t>UP Pacra</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C247D25" w14:textId="77777777" w:rsidR="004412F1" w:rsidRDefault="005A12A3">
            <w:r>
              <w:t>PE-28A</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E1B7E1" w14:textId="77777777" w:rsidR="004412F1" w:rsidRDefault="005A12A3">
            <w:pPr>
              <w:ind w:left="-44"/>
              <w:rPr>
                <w:lang w:val="es-PE"/>
              </w:rPr>
            </w:pPr>
            <w:r>
              <w:rPr>
                <w:lang w:val="es-PE"/>
              </w:rPr>
              <w:t>San Clemente (Emp. PE-1S) - Puente Choclococha</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57F87E" w14:textId="77777777" w:rsidR="004412F1" w:rsidRDefault="005A12A3">
            <w:r>
              <w:t>Km 73.341</w:t>
            </w:r>
          </w:p>
        </w:tc>
      </w:tr>
      <w:tr w:rsidR="004412F1" w14:paraId="425D583F"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4F4D688" w14:textId="77777777" w:rsidR="004412F1" w:rsidRDefault="005A12A3">
            <w:r>
              <w:t>UP Rumichaca</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FD6E3F7" w14:textId="77777777" w:rsidR="004412F1" w:rsidRDefault="005A12A3">
            <w:r>
              <w:t>PE-28A</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F45C4A" w14:textId="77777777" w:rsidR="004412F1" w:rsidRDefault="005A12A3">
            <w:pPr>
              <w:rPr>
                <w:lang w:val="es-PE"/>
              </w:rPr>
            </w:pPr>
            <w:r>
              <w:rPr>
                <w:lang w:val="es-PE"/>
              </w:rPr>
              <w:t>Puente Choclococha - Ayacucho (Emp. PE-28A)</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6854965" w14:textId="77777777" w:rsidR="004412F1" w:rsidRDefault="005A12A3">
            <w:r>
              <w:t>Km 196.921</w:t>
            </w:r>
          </w:p>
        </w:tc>
      </w:tr>
      <w:tr w:rsidR="004412F1" w14:paraId="37659E55"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20F3757" w14:textId="77777777" w:rsidR="004412F1" w:rsidRDefault="005A12A3">
            <w:r>
              <w:t>UP Socos</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CCABEE6" w14:textId="77777777" w:rsidR="004412F1" w:rsidRDefault="005A12A3">
            <w:r>
              <w:t>PE-28A</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90A6388" w14:textId="77777777" w:rsidR="004412F1" w:rsidRDefault="005A12A3">
            <w:pPr>
              <w:rPr>
                <w:lang w:val="es-PE"/>
              </w:rPr>
            </w:pPr>
            <w:r>
              <w:rPr>
                <w:lang w:val="es-PE"/>
              </w:rPr>
              <w:t>Puente Choclococha - Ayacucho (Emp. PE-28A)</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993A7C" w14:textId="77777777" w:rsidR="004412F1" w:rsidRDefault="005A12A3">
            <w:r>
              <w:t>Km 317.942</w:t>
            </w:r>
          </w:p>
        </w:tc>
      </w:tr>
      <w:tr w:rsidR="004412F1" w14:paraId="1341B164" w14:textId="77777777">
        <w:trPr>
          <w:trHeight w:val="300"/>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0780350" w14:textId="77777777" w:rsidR="004412F1" w:rsidRDefault="005A12A3">
            <w:pPr>
              <w:rPr>
                <w:rFonts w:ascii="Calibri" w:hAnsi="Calibri"/>
              </w:rPr>
            </w:pPr>
            <w:r>
              <w:rPr>
                <w:sz w:val="20"/>
                <w:lang w:val="es"/>
              </w:rPr>
              <w:t xml:space="preserve">UP </w:t>
            </w:r>
            <w:r>
              <w:rPr>
                <w:sz w:val="18"/>
                <w:szCs w:val="18"/>
                <w:lang w:val="en-US"/>
              </w:rPr>
              <w:t>Chacapampa</w:t>
            </w:r>
          </w:p>
        </w:tc>
        <w:tc>
          <w:tcPr>
            <w:tcW w:w="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723E523" w14:textId="77777777" w:rsidR="004412F1" w:rsidRDefault="005A12A3">
            <w:r>
              <w:t>PE-3S</w:t>
            </w:r>
          </w:p>
        </w:tc>
        <w:tc>
          <w:tcPr>
            <w:tcW w:w="2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71A37B9" w14:textId="77777777" w:rsidR="004412F1" w:rsidRDefault="005A12A3">
            <w:pPr>
              <w:rPr>
                <w:rFonts w:ascii="Calibri" w:hAnsi="Calibri"/>
              </w:rPr>
            </w:pPr>
            <w:r>
              <w:rPr>
                <w:sz w:val="20"/>
                <w:lang w:val="es"/>
              </w:rPr>
              <w:t>Huayucachi - Imperial</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3D87D0A" w14:textId="77777777" w:rsidR="004412F1" w:rsidRDefault="005A12A3">
            <w:pPr>
              <w:rPr>
                <w:rFonts w:ascii="Calibri" w:hAnsi="Calibri"/>
              </w:rPr>
            </w:pPr>
            <w:r>
              <w:rPr>
                <w:sz w:val="20"/>
                <w:lang w:val="es"/>
              </w:rPr>
              <w:t>Km 152.800</w:t>
            </w:r>
          </w:p>
        </w:tc>
      </w:tr>
    </w:tbl>
    <w:p w14:paraId="5A3F0B1D" w14:textId="77777777" w:rsidR="004412F1" w:rsidRDefault="004412F1">
      <w:pPr>
        <w:ind w:left="709"/>
        <w:jc w:val="both"/>
        <w:rPr>
          <w:b/>
          <w:color w:val="000000"/>
        </w:rPr>
      </w:pPr>
    </w:p>
    <w:p w14:paraId="3F9A43CF" w14:textId="77777777" w:rsidR="004412F1" w:rsidRDefault="004412F1">
      <w:pPr>
        <w:ind w:left="708"/>
        <w:jc w:val="both"/>
        <w:rPr>
          <w:b/>
          <w:bCs/>
          <w:color w:val="000000"/>
        </w:rPr>
      </w:pPr>
    </w:p>
    <w:p w14:paraId="1C2821BC" w14:textId="77777777" w:rsidR="004412F1" w:rsidRDefault="004412F1">
      <w:pPr>
        <w:ind w:left="708"/>
        <w:jc w:val="both"/>
        <w:rPr>
          <w:b/>
          <w:bCs/>
          <w:color w:val="000000"/>
        </w:rPr>
      </w:pPr>
    </w:p>
    <w:p w14:paraId="4AA2F25A" w14:textId="77777777" w:rsidR="004412F1" w:rsidRDefault="005A12A3">
      <w:pPr>
        <w:numPr>
          <w:ilvl w:val="0"/>
          <w:numId w:val="103"/>
        </w:numPr>
        <w:ind w:left="1276" w:hanging="567"/>
        <w:jc w:val="both"/>
        <w:rPr>
          <w:b/>
          <w:color w:val="000000"/>
          <w:lang w:val="es-PE"/>
        </w:rPr>
      </w:pPr>
      <w:r>
        <w:rPr>
          <w:color w:val="000000"/>
          <w:lang w:val="es-PE"/>
        </w:rPr>
        <w:t>En los casos indicados en el Literal c) de la Cláusula 9.4, el CONCESIONARIO se obliga a construir las unidades de peaje nuevas (Cuadro N° 9-2), y serán explotadas en los términos indicados en las Cláusulas siguientes.</w:t>
      </w:r>
    </w:p>
    <w:p w14:paraId="6838445B" w14:textId="77777777" w:rsidR="004412F1" w:rsidRDefault="004412F1">
      <w:pPr>
        <w:ind w:left="709"/>
        <w:jc w:val="both"/>
        <w:rPr>
          <w:b/>
          <w:color w:val="000000"/>
          <w:lang w:val="es-PE"/>
        </w:rPr>
      </w:pPr>
    </w:p>
    <w:p w14:paraId="51A332D8" w14:textId="77777777" w:rsidR="004412F1" w:rsidRDefault="005A12A3">
      <w:pPr>
        <w:ind w:left="709" w:firstLine="567"/>
        <w:jc w:val="both"/>
        <w:rPr>
          <w:b/>
          <w:color w:val="000000"/>
          <w:lang w:val="es-PE"/>
        </w:rPr>
      </w:pPr>
      <w:r>
        <w:rPr>
          <w:b/>
          <w:color w:val="000000"/>
          <w:lang w:val="es-PE"/>
        </w:rPr>
        <w:t xml:space="preserve">Cuadro Nº 9-2: Unidades de </w:t>
      </w:r>
      <w:r>
        <w:rPr>
          <w:b/>
          <w:bCs/>
          <w:color w:val="000000"/>
          <w:lang w:val="es-PE"/>
        </w:rPr>
        <w:t>peaje</w:t>
      </w:r>
      <w:r>
        <w:rPr>
          <w:b/>
          <w:color w:val="000000"/>
          <w:lang w:val="es-PE"/>
        </w:rPr>
        <w:t xml:space="preserve"> nuevas</w:t>
      </w:r>
      <w:r>
        <w:rPr>
          <w:b/>
          <w:color w:val="000000"/>
          <w:lang w:val="es-PE"/>
        </w:rPr>
        <w:tab/>
      </w:r>
    </w:p>
    <w:p w14:paraId="7CE275DC" w14:textId="77777777" w:rsidR="004412F1" w:rsidRDefault="004412F1">
      <w:pPr>
        <w:ind w:left="709" w:firstLine="425"/>
        <w:jc w:val="both"/>
        <w:rPr>
          <w:b/>
          <w:color w:val="000000"/>
          <w:lang w:val="es-PE"/>
        </w:rPr>
      </w:pPr>
    </w:p>
    <w:tbl>
      <w:tblPr>
        <w:tblW w:w="7167"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134"/>
        <w:gridCol w:w="2206"/>
        <w:gridCol w:w="1701"/>
      </w:tblGrid>
      <w:tr w:rsidR="004412F1" w14:paraId="6F6382EC"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D0809F" w14:textId="77777777" w:rsidR="004412F1" w:rsidRDefault="005A12A3">
            <w:pPr>
              <w:rPr>
                <w:b/>
                <w:color w:val="000000"/>
              </w:rPr>
            </w:pPr>
            <w:r>
              <w:rPr>
                <w:b/>
                <w:color w:val="000000"/>
              </w:rPr>
              <w:t>DENOMINACIÓN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E30570" w14:textId="77777777" w:rsidR="004412F1" w:rsidRDefault="005A12A3">
            <w:pPr>
              <w:rPr>
                <w:b/>
                <w:color w:val="000000"/>
              </w:rPr>
            </w:pPr>
            <w:r>
              <w:rPr>
                <w:b/>
                <w:color w:val="000000"/>
              </w:rPr>
              <w:t>RUTA</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5483F0" w14:textId="77777777" w:rsidR="004412F1" w:rsidRDefault="005A12A3">
            <w:pPr>
              <w:rPr>
                <w:b/>
                <w:color w:val="000000"/>
              </w:rPr>
            </w:pPr>
            <w:r>
              <w:rPr>
                <w:b/>
                <w:color w:val="000000"/>
              </w:rPr>
              <w:t>SUB TRAMO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565765" w14:textId="77777777" w:rsidR="004412F1" w:rsidRDefault="005A12A3">
            <w:pPr>
              <w:rPr>
                <w:b/>
                <w:color w:val="000000"/>
              </w:rPr>
            </w:pPr>
            <w:r>
              <w:rPr>
                <w:b/>
                <w:color w:val="000000"/>
              </w:rPr>
              <w:t>UBICACIÓN</w:t>
            </w:r>
          </w:p>
        </w:tc>
      </w:tr>
      <w:tr w:rsidR="004412F1" w14:paraId="63B98ED7" w14:textId="77777777">
        <w:trPr>
          <w:trHeight w:val="445"/>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7A291A4" w14:textId="77777777" w:rsidR="004412F1" w:rsidRDefault="005A12A3">
            <w:pPr>
              <w:rPr>
                <w:color w:val="000000"/>
                <w:sz w:val="20"/>
              </w:rPr>
            </w:pPr>
            <w:r>
              <w:rPr>
                <w:color w:val="000000"/>
                <w:sz w:val="20"/>
              </w:rPr>
              <w:t>UP La Esmeralda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BA2ECD" w14:textId="77777777" w:rsidR="004412F1" w:rsidRDefault="005A12A3">
            <w:pPr>
              <w:rPr>
                <w:color w:val="000000"/>
                <w:sz w:val="20"/>
              </w:rPr>
            </w:pPr>
            <w:r>
              <w:rPr>
                <w:color w:val="000000"/>
                <w:sz w:val="20"/>
              </w:rPr>
              <w:t>PE-3S</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A2295F" w14:textId="77777777" w:rsidR="004412F1" w:rsidRDefault="005A12A3">
            <w:pPr>
              <w:rPr>
                <w:color w:val="000000"/>
                <w:sz w:val="20"/>
              </w:rPr>
            </w:pPr>
            <w:r>
              <w:rPr>
                <w:color w:val="000000"/>
                <w:sz w:val="20"/>
              </w:rPr>
              <w:t>Izcuchaca - Mayocc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19CC25" w14:textId="77777777" w:rsidR="004412F1" w:rsidRDefault="005A12A3">
            <w:pPr>
              <w:rPr>
                <w:color w:val="000000"/>
                <w:sz w:val="20"/>
              </w:rPr>
            </w:pPr>
            <w:r>
              <w:rPr>
                <w:color w:val="000000"/>
                <w:sz w:val="20"/>
              </w:rPr>
              <w:t>Km 233.100</w:t>
            </w:r>
          </w:p>
        </w:tc>
      </w:tr>
      <w:tr w:rsidR="004412F1" w14:paraId="4249B2AC" w14:textId="77777777">
        <w:trPr>
          <w:trHeight w:val="457"/>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A9C16B" w14:textId="77777777" w:rsidR="004412F1" w:rsidRDefault="005A12A3">
            <w:pPr>
              <w:rPr>
                <w:color w:val="000000"/>
                <w:sz w:val="20"/>
              </w:rPr>
            </w:pPr>
            <w:r>
              <w:rPr>
                <w:color w:val="000000"/>
                <w:sz w:val="20"/>
              </w:rPr>
              <w:t>UP Huanta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6E149D" w14:textId="77777777" w:rsidR="004412F1" w:rsidRDefault="005A12A3">
            <w:pPr>
              <w:rPr>
                <w:color w:val="000000"/>
                <w:sz w:val="20"/>
              </w:rPr>
            </w:pPr>
            <w:r>
              <w:rPr>
                <w:color w:val="000000"/>
                <w:sz w:val="20"/>
              </w:rPr>
              <w:t>PE-3S</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19B6B4" w14:textId="77777777" w:rsidR="004412F1" w:rsidRDefault="005A12A3">
            <w:pPr>
              <w:rPr>
                <w:color w:val="000000"/>
                <w:sz w:val="20"/>
              </w:rPr>
            </w:pPr>
            <w:r>
              <w:rPr>
                <w:color w:val="000000"/>
                <w:sz w:val="20"/>
              </w:rPr>
              <w:t>Mayocc - Huanta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831857" w14:textId="77777777" w:rsidR="004412F1" w:rsidRDefault="005A12A3">
            <w:pPr>
              <w:rPr>
                <w:color w:val="000000"/>
                <w:sz w:val="20"/>
              </w:rPr>
            </w:pPr>
            <w:r>
              <w:rPr>
                <w:color w:val="000000"/>
                <w:sz w:val="20"/>
              </w:rPr>
              <w:t>Km 313.500</w:t>
            </w:r>
          </w:p>
        </w:tc>
      </w:tr>
      <w:tr w:rsidR="004412F1" w14:paraId="0EFF5A49" w14:textId="77777777">
        <w:trPr>
          <w:trHeight w:val="501"/>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0584DFF" w14:textId="77777777" w:rsidR="004412F1" w:rsidRDefault="005A12A3">
            <w:pPr>
              <w:rPr>
                <w:color w:val="000000"/>
                <w:sz w:val="20"/>
              </w:rPr>
            </w:pPr>
            <w:r>
              <w:rPr>
                <w:color w:val="000000"/>
                <w:sz w:val="20"/>
              </w:rPr>
              <w:t>UP Ocros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B4FD7C" w14:textId="77777777" w:rsidR="004412F1" w:rsidRDefault="005A12A3">
            <w:pPr>
              <w:rPr>
                <w:color w:val="000000"/>
                <w:sz w:val="20"/>
              </w:rPr>
            </w:pPr>
            <w:r>
              <w:rPr>
                <w:color w:val="000000"/>
                <w:sz w:val="20"/>
              </w:rPr>
              <w:t>PE-3S</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6D73B0" w14:textId="77777777" w:rsidR="004412F1" w:rsidRDefault="005A12A3">
            <w:pPr>
              <w:rPr>
                <w:color w:val="000000"/>
                <w:sz w:val="20"/>
              </w:rPr>
            </w:pPr>
            <w:r>
              <w:rPr>
                <w:color w:val="000000"/>
                <w:sz w:val="20"/>
              </w:rPr>
              <w:t>Ocros - Chincheros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FBE14F" w14:textId="77777777" w:rsidR="004412F1" w:rsidRDefault="005A12A3">
            <w:pPr>
              <w:rPr>
                <w:color w:val="000000"/>
                <w:sz w:val="20"/>
              </w:rPr>
            </w:pPr>
            <w:r>
              <w:rPr>
                <w:color w:val="000000"/>
                <w:sz w:val="20"/>
              </w:rPr>
              <w:t>Km 499.078</w:t>
            </w:r>
          </w:p>
        </w:tc>
      </w:tr>
      <w:tr w:rsidR="004412F1" w14:paraId="23688ACF"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375A0A" w14:textId="77777777" w:rsidR="004412F1" w:rsidRDefault="005A12A3">
            <w:pPr>
              <w:rPr>
                <w:color w:val="000000"/>
                <w:sz w:val="20"/>
              </w:rPr>
            </w:pPr>
            <w:r>
              <w:rPr>
                <w:color w:val="000000"/>
                <w:sz w:val="20"/>
              </w:rPr>
              <w:t>UP Chicmo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862253" w14:textId="77777777" w:rsidR="004412F1" w:rsidRDefault="005A12A3">
            <w:pPr>
              <w:rPr>
                <w:color w:val="000000"/>
                <w:sz w:val="20"/>
              </w:rPr>
            </w:pPr>
            <w:r>
              <w:rPr>
                <w:color w:val="000000"/>
                <w:sz w:val="20"/>
              </w:rPr>
              <w:t>PE-3S</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DFAB30" w14:textId="77777777" w:rsidR="004412F1" w:rsidRDefault="005A12A3">
            <w:pPr>
              <w:rPr>
                <w:color w:val="000000"/>
                <w:sz w:val="20"/>
              </w:rPr>
            </w:pPr>
            <w:r>
              <w:rPr>
                <w:color w:val="000000"/>
                <w:sz w:val="20"/>
                <w:lang w:val="es-PE"/>
              </w:rPr>
              <w:t xml:space="preserve">Santa María de Chicmo – </w:t>
            </w:r>
            <w:r>
              <w:rPr>
                <w:color w:val="000000"/>
                <w:sz w:val="20"/>
                <w:lang w:val="es-PE"/>
              </w:rPr>
              <w:lastRenderedPageBreak/>
              <w:t xml:space="preserve">Andahuaylas (Emp. </w:t>
            </w:r>
            <w:r>
              <w:rPr>
                <w:color w:val="000000"/>
                <w:sz w:val="20"/>
              </w:rPr>
              <w:t>PE-30B)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B70C87" w14:textId="77777777" w:rsidR="004412F1" w:rsidRDefault="005A12A3">
            <w:pPr>
              <w:rPr>
                <w:color w:val="000000"/>
                <w:sz w:val="20"/>
              </w:rPr>
            </w:pPr>
            <w:r>
              <w:rPr>
                <w:color w:val="000000"/>
                <w:sz w:val="20"/>
                <w:lang w:val="en-US"/>
              </w:rPr>
              <w:lastRenderedPageBreak/>
              <w:t>Km 624.725</w:t>
            </w:r>
          </w:p>
        </w:tc>
      </w:tr>
      <w:tr w:rsidR="004412F1" w14:paraId="3C0E259F" w14:textId="77777777">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A1F306" w14:textId="77777777" w:rsidR="004412F1" w:rsidRDefault="005A12A3">
            <w:pPr>
              <w:rPr>
                <w:color w:val="000000"/>
                <w:sz w:val="20"/>
              </w:rPr>
            </w:pPr>
            <w:r>
              <w:rPr>
                <w:color w:val="000000"/>
                <w:sz w:val="20"/>
                <w:lang w:val="en-US"/>
              </w:rPr>
              <w:t>UP Auquibamba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F5267C" w14:textId="77777777" w:rsidR="004412F1" w:rsidRDefault="005A12A3">
            <w:pPr>
              <w:rPr>
                <w:color w:val="000000"/>
                <w:sz w:val="20"/>
              </w:rPr>
            </w:pPr>
            <w:r>
              <w:rPr>
                <w:color w:val="000000"/>
                <w:sz w:val="20"/>
                <w:lang w:val="en-US"/>
              </w:rPr>
              <w:t>PE-3S</w:t>
            </w:r>
          </w:p>
        </w:tc>
        <w:tc>
          <w:tcPr>
            <w:tcW w:w="2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D2663F" w14:textId="77777777" w:rsidR="004412F1" w:rsidRDefault="005A12A3">
            <w:pPr>
              <w:rPr>
                <w:sz w:val="20"/>
                <w:lang w:val="es-PE"/>
              </w:rPr>
            </w:pPr>
            <w:r>
              <w:rPr>
                <w:sz w:val="20"/>
                <w:szCs w:val="20"/>
                <w:lang w:val="es"/>
              </w:rPr>
              <w:t xml:space="preserve"> </w:t>
            </w:r>
            <w:r>
              <w:rPr>
                <w:sz w:val="20"/>
                <w:lang w:val="es"/>
              </w:rPr>
              <w:t>Dv. Sahuinto (Emp PE-3S) – Puente Sahuinto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A95AD3" w14:textId="77777777" w:rsidR="004412F1" w:rsidRDefault="005A12A3">
            <w:pPr>
              <w:rPr>
                <w:color w:val="000000"/>
                <w:sz w:val="20"/>
                <w:lang w:val="en-US"/>
              </w:rPr>
            </w:pPr>
            <w:r>
              <w:rPr>
                <w:color w:val="000000"/>
                <w:sz w:val="20"/>
                <w:lang w:val="en-US"/>
              </w:rPr>
              <w:t>Km 740.833</w:t>
            </w:r>
          </w:p>
        </w:tc>
      </w:tr>
    </w:tbl>
    <w:p w14:paraId="05C61DDB" w14:textId="77777777" w:rsidR="004412F1" w:rsidRDefault="004412F1">
      <w:pPr>
        <w:ind w:firstLine="709"/>
        <w:jc w:val="both"/>
      </w:pPr>
    </w:p>
    <w:p w14:paraId="1C740CEA" w14:textId="77777777" w:rsidR="004412F1" w:rsidRDefault="005A12A3">
      <w:pPr>
        <w:ind w:left="1276"/>
        <w:jc w:val="both"/>
        <w:rPr>
          <w:strike/>
          <w:lang w:val="es-PE"/>
        </w:rPr>
      </w:pPr>
      <w:r>
        <w:rPr>
          <w:lang w:val="es"/>
        </w:rPr>
        <w:t xml:space="preserve"> La ubicación está referida a la nueva monumentación y la ubicación exacta de las unidades de Peaje indicadas en el cuadro 9-2 será coordinada con el CONCEDENTE</w:t>
      </w:r>
      <w:r>
        <w:rPr>
          <w:lang w:val="es-PE"/>
        </w:rPr>
        <w:t>.</w:t>
      </w:r>
    </w:p>
    <w:p w14:paraId="2B2022E2" w14:textId="77777777" w:rsidR="004412F1" w:rsidRDefault="004412F1">
      <w:pPr>
        <w:ind w:left="708"/>
        <w:jc w:val="both"/>
        <w:rPr>
          <w:color w:val="000000"/>
          <w:lang w:val="es-ES"/>
        </w:rPr>
      </w:pPr>
    </w:p>
    <w:p w14:paraId="0AE70295" w14:textId="77777777" w:rsidR="004412F1" w:rsidRDefault="005A12A3">
      <w:pPr>
        <w:ind w:left="1276"/>
        <w:jc w:val="both"/>
        <w:rPr>
          <w:color w:val="000000"/>
          <w:lang w:val="es-ES"/>
        </w:rPr>
      </w:pPr>
      <w:r>
        <w:rPr>
          <w:lang w:val="es"/>
        </w:rPr>
        <w:t>Posteriormente, el CONCESIONARIO y el CONCEDENTE podrán llegar a un acuerdo para modificar la ubicación de las unidades de peaje, para cuyo efecto el CONCESIONARIO deberá requerir la opinión previa del REGULADOR a la aprobación del CONCEDENTE, en cuyo caso el proponente de la modificación asumirá los costos necesarios</w:t>
      </w:r>
      <w:r>
        <w:rPr>
          <w:color w:val="000000"/>
          <w:lang w:val="es-ES"/>
        </w:rPr>
        <w:t xml:space="preserve">. </w:t>
      </w:r>
    </w:p>
    <w:p w14:paraId="5B5AD6BC" w14:textId="77777777" w:rsidR="004412F1" w:rsidRDefault="004412F1">
      <w:pPr>
        <w:ind w:left="1276"/>
        <w:jc w:val="both"/>
        <w:rPr>
          <w:color w:val="000000"/>
          <w:lang w:val="es-ES"/>
        </w:rPr>
      </w:pPr>
    </w:p>
    <w:p w14:paraId="46ECC483" w14:textId="77777777" w:rsidR="004412F1" w:rsidRDefault="005A12A3">
      <w:pPr>
        <w:tabs>
          <w:tab w:val="left" w:pos="1276"/>
        </w:tabs>
        <w:ind w:left="1276"/>
        <w:jc w:val="both"/>
        <w:rPr>
          <w:rFonts w:eastAsia="Times New Roman"/>
          <w:bCs/>
          <w:szCs w:val="18"/>
          <w:lang w:val="es-ES" w:eastAsia="es-ES"/>
        </w:rPr>
      </w:pPr>
      <w:r>
        <w:rPr>
          <w:lang w:val="es"/>
        </w:rPr>
        <w:t>La ubicación exacta o cualquier reubicación deberán realizarse lo más cerca posible de la contenida en el Cuadro antes presentado</w:t>
      </w:r>
      <w:r>
        <w:rPr>
          <w:lang w:val="es-PE"/>
        </w:rPr>
        <w:t xml:space="preserve">. </w:t>
      </w:r>
    </w:p>
    <w:p w14:paraId="043BA3BE" w14:textId="77777777" w:rsidR="004412F1" w:rsidRDefault="004412F1">
      <w:pPr>
        <w:tabs>
          <w:tab w:val="left" w:pos="1276"/>
        </w:tabs>
        <w:ind w:left="1276"/>
        <w:jc w:val="both"/>
        <w:rPr>
          <w:lang w:val="es-PE"/>
        </w:rPr>
      </w:pPr>
    </w:p>
    <w:p w14:paraId="7F0574CE" w14:textId="77777777" w:rsidR="004412F1" w:rsidRDefault="005A12A3">
      <w:pPr>
        <w:tabs>
          <w:tab w:val="left" w:pos="1276"/>
        </w:tabs>
        <w:ind w:left="1276"/>
        <w:jc w:val="both"/>
        <w:rPr>
          <w:rFonts w:eastAsia="Times New Roman"/>
          <w:bCs/>
          <w:szCs w:val="18"/>
          <w:lang w:val="es-ES" w:eastAsia="es-ES"/>
        </w:rPr>
      </w:pPr>
      <w:r>
        <w:rPr>
          <w:lang w:val="es"/>
        </w:rPr>
        <w:t xml:space="preserve">El CONCESIONARIO deberá tomar las previsiones del caso para la obtención de las áreas necesarias y para la construcción de las nuevas Unidades de Peaje, de manera que a la puesta en servicio de cualquier </w:t>
      </w:r>
      <w:proofErr w:type="gramStart"/>
      <w:r>
        <w:rPr>
          <w:lang w:val="es"/>
        </w:rPr>
        <w:t>Sub Tramo</w:t>
      </w:r>
      <w:proofErr w:type="gramEnd"/>
      <w:r>
        <w:rPr>
          <w:lang w:val="es"/>
        </w:rPr>
        <w:t xml:space="preserve"> esté construida y equipada la Unidad de Peaje asociada a los sub tramos correspondientes. A la finalización del Mantenimiento Periódico Inicial todas las Unidades de Peaje deberán estar implementadas, con excepción de la asociada al </w:t>
      </w:r>
      <w:proofErr w:type="gramStart"/>
      <w:r>
        <w:rPr>
          <w:lang w:val="es"/>
        </w:rPr>
        <w:t>Sub tramo</w:t>
      </w:r>
      <w:proofErr w:type="gramEnd"/>
      <w:r>
        <w:rPr>
          <w:lang w:val="es"/>
        </w:rPr>
        <w:t xml:space="preserve"> donde se ejecutará Rehabilitación y Mejoramiento. El incumplimiento de esta obligación por causas imputables al CONCESIONARIO implicará la aplicación de la penalidad indicada en el ANEXO IX</w:t>
      </w:r>
      <w:r>
        <w:rPr>
          <w:lang w:val="es-PE"/>
        </w:rPr>
        <w:t>.</w:t>
      </w:r>
    </w:p>
    <w:p w14:paraId="0F5EF94D" w14:textId="77777777" w:rsidR="004412F1" w:rsidRDefault="004412F1">
      <w:pPr>
        <w:tabs>
          <w:tab w:val="left" w:pos="1276"/>
        </w:tabs>
        <w:ind w:left="1276"/>
        <w:jc w:val="both"/>
        <w:rPr>
          <w:lang w:val="es-PE"/>
        </w:rPr>
      </w:pPr>
    </w:p>
    <w:p w14:paraId="498EB931" w14:textId="77777777" w:rsidR="004412F1" w:rsidRDefault="005A12A3">
      <w:pPr>
        <w:tabs>
          <w:tab w:val="left" w:pos="1276"/>
        </w:tabs>
        <w:ind w:left="1276"/>
        <w:jc w:val="both"/>
        <w:rPr>
          <w:rFonts w:eastAsia="Times New Roman"/>
          <w:bCs/>
          <w:szCs w:val="18"/>
          <w:lang w:val="es-ES" w:eastAsia="es-ES"/>
        </w:rPr>
      </w:pPr>
      <w:r>
        <w:rPr>
          <w:lang w:val="es"/>
        </w:rPr>
        <w:t>Luego que el CONCESIONARIO haya construido cada Unidad de Peaje nueva, éste debe solicitar al CONCEDENTE se adecue la Resolución de autorización de funcionamiento del nuevo local</w:t>
      </w:r>
      <w:r>
        <w:rPr>
          <w:lang w:val="es-PE"/>
        </w:rPr>
        <w:t>.</w:t>
      </w:r>
    </w:p>
    <w:p w14:paraId="03636BD0" w14:textId="77777777" w:rsidR="004412F1" w:rsidRDefault="004412F1">
      <w:pPr>
        <w:ind w:left="1276"/>
        <w:jc w:val="both"/>
        <w:rPr>
          <w:color w:val="000000"/>
          <w:lang w:val="es-ES"/>
        </w:rPr>
      </w:pPr>
    </w:p>
    <w:p w14:paraId="182BCA54" w14:textId="77777777" w:rsidR="004412F1" w:rsidRDefault="005A12A3">
      <w:pPr>
        <w:ind w:left="1276"/>
        <w:jc w:val="both"/>
        <w:rPr>
          <w:color w:val="000000"/>
          <w:lang w:val="es-ES"/>
        </w:rPr>
      </w:pPr>
      <w:r>
        <w:rPr>
          <w:lang w:val="es"/>
        </w:rPr>
        <w:t>La imposibilidad de construir y /o explotar una o varias unidades de peaje por causas no imputables al CONCESIONARIO, no será motivo de limitación para que el CONCEDENTE cumpla sus compromisos</w:t>
      </w:r>
      <w:r>
        <w:rPr>
          <w:color w:val="000000"/>
          <w:lang w:val="es-ES"/>
        </w:rPr>
        <w:t>.</w:t>
      </w:r>
    </w:p>
    <w:p w14:paraId="62FDC218" w14:textId="77777777" w:rsidR="004412F1" w:rsidRDefault="004412F1">
      <w:pPr>
        <w:ind w:left="708"/>
        <w:jc w:val="both"/>
        <w:rPr>
          <w:b/>
          <w:color w:val="000000"/>
          <w:lang w:val="es-ES"/>
        </w:rPr>
      </w:pPr>
    </w:p>
    <w:p w14:paraId="3C0BFACB" w14:textId="0B28F7E9" w:rsidR="004412F1" w:rsidRDefault="005A12A3">
      <w:pPr>
        <w:numPr>
          <w:ilvl w:val="0"/>
          <w:numId w:val="103"/>
        </w:numPr>
        <w:ind w:left="1276" w:hanging="567"/>
        <w:jc w:val="both"/>
        <w:rPr>
          <w:color w:val="000000"/>
          <w:lang w:val="es-PE"/>
        </w:rPr>
      </w:pPr>
      <w:r>
        <w:rPr>
          <w:color w:val="000000"/>
          <w:lang w:val="es-PE"/>
        </w:rPr>
        <w:t xml:space="preserve">En caso el CONCESIONARIO se vea imposibilitado de explotar las unidades de peaje, debido a actos de protestas sociales que impidan el funcionamiento de estas, comunicará por escrito al CONCEDENTE esta situación para que sea considerada como un evento de fuerza mayor, de conformidad con lo establecido en el literal a) de la Cláusula </w:t>
      </w:r>
      <w:r w:rsidR="008B19F0">
        <w:rPr>
          <w:color w:val="000000"/>
          <w:lang w:val="es-PE"/>
        </w:rPr>
        <w:t>18.1</w:t>
      </w:r>
      <w:r>
        <w:rPr>
          <w:color w:val="000000"/>
          <w:lang w:val="es-PE"/>
        </w:rPr>
        <w:t xml:space="preserve">. Asimismo, por esta misma causal, el CONCEDENTE con opinión del REGULADOR podrá modificar la ubicación de la unidad de peaje, para cuyo efecto el CONCEDENTE asumirá el costo incremental necesario, en caso de existir, que demande tal modificación. </w:t>
      </w:r>
    </w:p>
    <w:p w14:paraId="32A1230D" w14:textId="77777777" w:rsidR="004412F1" w:rsidRDefault="004412F1">
      <w:pPr>
        <w:ind w:left="709"/>
        <w:jc w:val="both"/>
        <w:rPr>
          <w:color w:val="000000"/>
          <w:lang w:val="es-PE"/>
        </w:rPr>
      </w:pPr>
    </w:p>
    <w:p w14:paraId="6ACA7360" w14:textId="77777777" w:rsidR="004412F1" w:rsidRDefault="005A12A3">
      <w:pPr>
        <w:pStyle w:val="Prrafodelista"/>
        <w:numPr>
          <w:ilvl w:val="0"/>
          <w:numId w:val="103"/>
        </w:numPr>
        <w:ind w:left="1260" w:hanging="540"/>
        <w:jc w:val="both"/>
        <w:rPr>
          <w:color w:val="000000" w:themeColor="text1"/>
          <w:lang w:val="es-PE"/>
        </w:rPr>
      </w:pPr>
      <w:r>
        <w:rPr>
          <w:color w:val="000000" w:themeColor="text1"/>
          <w:lang w:val="es-PE"/>
        </w:rPr>
        <w:t xml:space="preserve">Sin perjuicio de lo anterior, luego de la verificación por parte del </w:t>
      </w:r>
      <w:proofErr w:type="gramStart"/>
      <w:r>
        <w:rPr>
          <w:color w:val="000000" w:themeColor="text1"/>
          <w:lang w:val="es-PE"/>
        </w:rPr>
        <w:t xml:space="preserve">CONCEDENTE, </w:t>
      </w:r>
      <w:r>
        <w:rPr>
          <w:lang w:val="es-PE"/>
        </w:rPr>
        <w:t xml:space="preserve"> éste</w:t>
      </w:r>
      <w:proofErr w:type="gramEnd"/>
      <w:r>
        <w:rPr>
          <w:lang w:val="es-PE"/>
        </w:rPr>
        <w:t xml:space="preserve"> procederá a restablecer el orden social con el objetivo de permitir al CONCESIONARIO el cumplimiento de la obligación indicada</w:t>
      </w:r>
      <w:r>
        <w:rPr>
          <w:color w:val="000000" w:themeColor="text1"/>
          <w:lang w:val="es-PE"/>
        </w:rPr>
        <w:t>.</w:t>
      </w:r>
    </w:p>
    <w:p w14:paraId="73B918EA" w14:textId="77777777" w:rsidR="004412F1" w:rsidRDefault="004412F1">
      <w:pPr>
        <w:ind w:left="705"/>
        <w:jc w:val="both"/>
        <w:rPr>
          <w:color w:val="000000" w:themeColor="text1"/>
          <w:sz w:val="20"/>
          <w:lang w:val="es-PE"/>
        </w:rPr>
      </w:pPr>
    </w:p>
    <w:p w14:paraId="1EFDD0B5" w14:textId="77777777" w:rsidR="004412F1" w:rsidRDefault="005A12A3">
      <w:pPr>
        <w:pStyle w:val="Prrafodelista"/>
        <w:numPr>
          <w:ilvl w:val="0"/>
          <w:numId w:val="103"/>
        </w:numPr>
        <w:ind w:left="1260" w:hanging="540"/>
        <w:jc w:val="both"/>
        <w:rPr>
          <w:lang w:val="es-PE"/>
        </w:rPr>
      </w:pPr>
      <w:r>
        <w:rPr>
          <w:lang w:val="es-PE"/>
        </w:rPr>
        <w:t xml:space="preserve">El CONCEDENTE deberá agotar esfuerzos para que el CONCESIONARIO pueda cumplir con la obligación antes mencionada y en caso persista la </w:t>
      </w:r>
      <w:r>
        <w:rPr>
          <w:lang w:val="es-PE"/>
        </w:rPr>
        <w:lastRenderedPageBreak/>
        <w:t>referida resistencia social por más de seis (6) meses, el CONCEDENTE deberá declarar que existe una situación de conmoción social, con lo cual se podrá hacer uso de los seguros existentes para tal fin</w:t>
      </w:r>
    </w:p>
    <w:p w14:paraId="0A3C616F" w14:textId="77777777" w:rsidR="004412F1" w:rsidRDefault="004412F1">
      <w:pPr>
        <w:tabs>
          <w:tab w:val="left" w:pos="1709"/>
        </w:tabs>
        <w:ind w:left="708" w:firstLine="568"/>
        <w:jc w:val="both"/>
        <w:rPr>
          <w:color w:val="000000"/>
          <w:lang w:val="es-ES"/>
        </w:rPr>
      </w:pPr>
    </w:p>
    <w:p w14:paraId="4972A336" w14:textId="77777777" w:rsidR="004412F1" w:rsidRDefault="005A12A3">
      <w:pPr>
        <w:numPr>
          <w:ilvl w:val="1"/>
          <w:numId w:val="102"/>
        </w:numPr>
        <w:jc w:val="both"/>
        <w:rPr>
          <w:lang w:val="es-PE"/>
        </w:rPr>
      </w:pPr>
      <w:r>
        <w:rPr>
          <w:lang w:val="es-PE"/>
        </w:rPr>
        <w:t xml:space="preserve">Corresponde al CONCESIONARIO el cobro de la Tarifa.  </w:t>
      </w:r>
    </w:p>
    <w:p w14:paraId="4DEC17D2" w14:textId="20196447" w:rsidR="004412F1" w:rsidRDefault="005A12A3">
      <w:pPr>
        <w:ind w:left="720"/>
        <w:jc w:val="both"/>
        <w:rPr>
          <w:lang w:val="es-PE"/>
        </w:rPr>
      </w:pPr>
      <w:r>
        <w:rPr>
          <w:lang w:val="es-PE"/>
        </w:rPr>
        <w:t xml:space="preserve">Se exigirá el pago de la Tarifa a cada Usuario que utilice los </w:t>
      </w:r>
      <w:proofErr w:type="gramStart"/>
      <w:r>
        <w:rPr>
          <w:lang w:val="es-PE"/>
        </w:rPr>
        <w:t>Sub Tramos</w:t>
      </w:r>
      <w:proofErr w:type="gramEnd"/>
      <w:r>
        <w:rPr>
          <w:lang w:val="es-PE"/>
        </w:rPr>
        <w:t xml:space="preserve"> de la Concesión, de acuerdo con la categoría de vehículo, de conformidad </w:t>
      </w:r>
      <w:r>
        <w:rPr>
          <w:lang w:val="es-CL"/>
        </w:rPr>
        <w:t>con lo especificado en la Cláusula 9.4</w:t>
      </w:r>
      <w:r>
        <w:rPr>
          <w:lang w:val="es-PE"/>
        </w:rPr>
        <w:t>.</w:t>
      </w:r>
    </w:p>
    <w:p w14:paraId="755ABEE2" w14:textId="77777777" w:rsidR="004412F1" w:rsidRDefault="005A12A3">
      <w:pPr>
        <w:ind w:left="706"/>
        <w:jc w:val="both"/>
        <w:rPr>
          <w:color w:val="000000"/>
          <w:lang w:val="es-CL"/>
        </w:rPr>
      </w:pPr>
      <w:r>
        <w:rPr>
          <w:color w:val="000000"/>
          <w:lang w:val="es-CL"/>
        </w:rPr>
        <w:tab/>
      </w:r>
    </w:p>
    <w:p w14:paraId="3559DE03" w14:textId="77777777" w:rsidR="004412F1" w:rsidRDefault="005A12A3">
      <w:pPr>
        <w:ind w:left="706"/>
        <w:jc w:val="both"/>
        <w:rPr>
          <w:color w:val="000000"/>
          <w:lang w:val="es-PE"/>
        </w:rPr>
      </w:pPr>
      <w:r>
        <w:rPr>
          <w:color w:val="000000"/>
          <w:lang w:val="es-CL"/>
        </w:rPr>
        <w:t xml:space="preserve">Los vehículos utilizados para atender servicios de emergencia, tales como ambulancias, bomberos o vehículos de la Policía Nacional, así como vehículos militares en comisión, maniobras, ejercicios o convoyes, </w:t>
      </w:r>
      <w:r>
        <w:rPr>
          <w:color w:val="000000"/>
          <w:lang w:val="es-PE"/>
        </w:rPr>
        <w:t xml:space="preserve">y los vehículos de la Cruz Roja Peruana que realicen actividades con fines humanitarios estarán exentos del cobro de la Tarifa de acuerdo con lo señalado en el Decreto Ley Nº 22467, la Ley </w:t>
      </w:r>
      <w:r>
        <w:rPr>
          <w:color w:val="000000"/>
          <w:lang w:val="es-PE"/>
        </w:rPr>
        <w:tab/>
        <w:t>Nº 24423 y Leyes y Disposiciones Aplicables.</w:t>
      </w:r>
    </w:p>
    <w:p w14:paraId="53A6E0F2" w14:textId="77777777" w:rsidR="004412F1" w:rsidRDefault="004412F1">
      <w:pPr>
        <w:jc w:val="both"/>
        <w:rPr>
          <w:lang w:val="es-PE"/>
        </w:rPr>
      </w:pPr>
    </w:p>
    <w:p w14:paraId="4410852C" w14:textId="77777777" w:rsidR="004412F1" w:rsidRDefault="005A12A3">
      <w:pPr>
        <w:numPr>
          <w:ilvl w:val="1"/>
          <w:numId w:val="102"/>
        </w:numPr>
        <w:jc w:val="both"/>
        <w:rPr>
          <w:lang w:val="es-PE"/>
        </w:rPr>
      </w:pPr>
      <w:r>
        <w:rPr>
          <w:lang w:val="es-PE"/>
        </w:rPr>
        <w:t xml:space="preserve">El cobro de la Tarifa será por derecho de paso, lo que implica que se cobrará al Usuario de los </w:t>
      </w:r>
      <w:proofErr w:type="gramStart"/>
      <w:r>
        <w:rPr>
          <w:lang w:val="es-PE"/>
        </w:rPr>
        <w:t>Sub Tramos</w:t>
      </w:r>
      <w:proofErr w:type="gramEnd"/>
      <w:r>
        <w:rPr>
          <w:lang w:val="es-PE"/>
        </w:rPr>
        <w:t xml:space="preserve"> de la Concesión que no se encuentre exento de pago por el derecho de paso en las unidades de peaje.</w:t>
      </w:r>
    </w:p>
    <w:p w14:paraId="48D1B9FB" w14:textId="77777777" w:rsidR="004412F1" w:rsidRDefault="004412F1">
      <w:pPr>
        <w:ind w:left="705"/>
        <w:jc w:val="both"/>
        <w:rPr>
          <w:color w:val="000000"/>
          <w:lang w:val="es-ES"/>
        </w:rPr>
      </w:pPr>
    </w:p>
    <w:p w14:paraId="30D8B996" w14:textId="77777777" w:rsidR="004412F1" w:rsidRDefault="005A12A3">
      <w:pPr>
        <w:ind w:left="705"/>
        <w:jc w:val="both"/>
        <w:rPr>
          <w:b/>
          <w:color w:val="000000"/>
          <w:lang w:val="es-ES"/>
        </w:rPr>
      </w:pPr>
      <w:r>
        <w:rPr>
          <w:lang w:val="es"/>
        </w:rPr>
        <w:t xml:space="preserve"> El CONCESIONARIO podrá cambiar la tecnología que emplee para el cobro de la Tarifa, previa comunicación al REGULADOR y siempre que ésta le permita cumplir con los estándares de tiempo de atención al cliente señalados en el </w:t>
      </w:r>
      <w:r>
        <w:rPr>
          <w:color w:val="000000" w:themeColor="text1"/>
          <w:lang w:val="es"/>
        </w:rPr>
        <w:t>ANEXO I</w:t>
      </w:r>
      <w:r>
        <w:rPr>
          <w:color w:val="000000"/>
          <w:lang w:val="es-PE"/>
        </w:rPr>
        <w:t>.</w:t>
      </w:r>
    </w:p>
    <w:p w14:paraId="05547C73" w14:textId="77777777" w:rsidR="004412F1" w:rsidRDefault="004412F1">
      <w:pPr>
        <w:jc w:val="both"/>
        <w:rPr>
          <w:color w:val="000000"/>
          <w:sz w:val="24"/>
          <w:lang w:val="es-ES"/>
        </w:rPr>
      </w:pPr>
    </w:p>
    <w:p w14:paraId="1536E9CC" w14:textId="77777777" w:rsidR="004412F1" w:rsidRDefault="005A12A3">
      <w:pPr>
        <w:numPr>
          <w:ilvl w:val="1"/>
          <w:numId w:val="102"/>
        </w:numPr>
        <w:jc w:val="both"/>
        <w:rPr>
          <w:lang w:val="es-PE"/>
        </w:rPr>
      </w:pPr>
      <w:bookmarkStart w:id="1761" w:name="_2m6kmyk"/>
      <w:bookmarkStart w:id="1762" w:name="_Ref272156415"/>
      <w:bookmarkEnd w:id="1761"/>
      <w:r>
        <w:rPr>
          <w:lang w:val="es-PE"/>
        </w:rPr>
        <w:t>El régimen tarifario es el conjunto de reglas contenidas en el Contrato que regula la Tarifa que estará autorizado a cobrar el CONCESIONARIO durante la Explotación de la Concesión, conforme a lo siguiente:</w:t>
      </w:r>
      <w:bookmarkEnd w:id="1762"/>
    </w:p>
    <w:p w14:paraId="76B3FC6A" w14:textId="77777777" w:rsidR="004412F1" w:rsidRDefault="004412F1">
      <w:pPr>
        <w:ind w:left="1211"/>
        <w:jc w:val="both"/>
        <w:rPr>
          <w:color w:val="000000"/>
          <w:lang w:val="es-PE"/>
        </w:rPr>
      </w:pPr>
    </w:p>
    <w:p w14:paraId="71E76F62" w14:textId="77777777" w:rsidR="004412F1" w:rsidRDefault="005A12A3">
      <w:pPr>
        <w:numPr>
          <w:ilvl w:val="0"/>
          <w:numId w:val="104"/>
        </w:numPr>
        <w:ind w:left="1276" w:hanging="502"/>
        <w:jc w:val="both"/>
        <w:rPr>
          <w:lang w:val="es-PE"/>
        </w:rPr>
      </w:pPr>
      <w:bookmarkStart w:id="1763" w:name="_11bux6d" w:colFirst="0" w:colLast="0"/>
      <w:bookmarkStart w:id="1764" w:name="_Ref412628484"/>
      <w:bookmarkEnd w:id="1763"/>
      <w:r>
        <w:rPr>
          <w:color w:val="000000"/>
          <w:lang w:val="es-PE"/>
        </w:rPr>
        <w:t xml:space="preserve">Las Tarifas entrarán en vigor una vez que el CONCESIONARIO haya cumplido con la publicación del tarifario, de conformidad con lo establecido en </w:t>
      </w:r>
      <w:bookmarkEnd w:id="1764"/>
      <w:r>
        <w:rPr>
          <w:color w:val="000000"/>
          <w:lang w:val="es-PE"/>
        </w:rPr>
        <w:t>los artículos 47° y siguientes del Reglamento General de Tarifas de OSITRAN – RETA, aprobado mediante Resolución de Consejo Directivo Nº 003-2021-CD-OSITRAN, y sus normas modificatorias y/o sustitutorias. El REGULADOR velará por la idoneidad de los medios utilizados por el CONCESIONARIO para difundir información sobre las Tarifas y/o los Peajes, así como efectuar las recomendaciones que resulten necesarias para una correcta difusión, de conformidad con lo establecido en el artículo 13° del Reglamento de Usuarios de las Infraestructuras de Transporte de Uso Público, aprobado mediante Resolución de Consejo Directivo Nº 035-2017-CD-OSITRAN y sus normas modificatorias y/o sustitutoria</w:t>
      </w:r>
    </w:p>
    <w:p w14:paraId="56A8ECA0" w14:textId="77777777" w:rsidR="004412F1" w:rsidRDefault="004412F1">
      <w:pPr>
        <w:ind w:left="1211"/>
        <w:jc w:val="both"/>
        <w:rPr>
          <w:color w:val="000000"/>
          <w:lang w:val="es-PE"/>
        </w:rPr>
      </w:pPr>
    </w:p>
    <w:p w14:paraId="298A90DD" w14:textId="2622621C" w:rsidR="004412F1" w:rsidRDefault="005A12A3">
      <w:pPr>
        <w:numPr>
          <w:ilvl w:val="0"/>
          <w:numId w:val="104"/>
        </w:numPr>
        <w:ind w:hanging="502"/>
        <w:jc w:val="both"/>
        <w:rPr>
          <w:color w:val="000000"/>
          <w:lang w:val="es-ES"/>
        </w:rPr>
      </w:pPr>
      <w:r>
        <w:rPr>
          <w:color w:val="000000"/>
          <w:lang w:val="es-PE"/>
        </w:rPr>
        <w:t xml:space="preserve">A partir </w:t>
      </w:r>
      <w:r>
        <w:rPr>
          <w:lang w:val="es"/>
        </w:rPr>
        <w:t>de la fecha de inicio de la Explotación luego de cumplida la exigencia indicada en el literal a) y hasta antes que se produzca el incremento señalado en los párrafos siguientes de la presente Cláusula, en las unidades de peaje existentes, el CONCESIONARIO deberá cobrar el Peaje vigente para vehículos ligeros al cual se le deberá agregar el IGV, y cualquier otro tributo que pueda generarse. El resultado se redondeará a los cinco (5) céntimos de Sol hacia abajo. Para vehículos pesados, se deberá cobrar el Peaje vigente por eje, al cual se le multiplicará por el número de ejes cobrables y al resultado se le agregará el IGV y otros tributos que puedan generarse. El resultado será redondeado a los cinco (5) céntimos de Sol hacia abajo</w:t>
      </w:r>
      <w:r>
        <w:rPr>
          <w:color w:val="000000"/>
          <w:lang w:val="es-PE"/>
        </w:rPr>
        <w:t>.</w:t>
      </w:r>
    </w:p>
    <w:p w14:paraId="43E446DA" w14:textId="77777777" w:rsidR="004412F1" w:rsidRDefault="004412F1">
      <w:pPr>
        <w:ind w:left="709"/>
        <w:jc w:val="both"/>
        <w:rPr>
          <w:color w:val="000000"/>
          <w:lang w:val="es-ES"/>
        </w:rPr>
      </w:pPr>
    </w:p>
    <w:p w14:paraId="277EE77F" w14:textId="5784C586" w:rsidR="004412F1" w:rsidRDefault="005A12A3">
      <w:pPr>
        <w:numPr>
          <w:ilvl w:val="0"/>
          <w:numId w:val="104"/>
        </w:numPr>
        <w:ind w:hanging="502"/>
        <w:jc w:val="both"/>
        <w:rPr>
          <w:color w:val="000000"/>
          <w:sz w:val="10"/>
          <w:lang w:val="es-ES"/>
        </w:rPr>
      </w:pPr>
      <w:bookmarkStart w:id="1765" w:name="_3lbifu6" w:colFirst="0" w:colLast="0"/>
      <w:bookmarkStart w:id="1766" w:name="_Ref274033963"/>
      <w:bookmarkStart w:id="1767" w:name="_Ref351535614"/>
      <w:bookmarkEnd w:id="1765"/>
      <w:r>
        <w:rPr>
          <w:color w:val="000000"/>
          <w:lang w:val="es-PE"/>
        </w:rPr>
        <w:lastRenderedPageBreak/>
        <w:t xml:space="preserve">A partir de la aceptación de la Rehabilitación y Mejoramiento y/o Mantenimiento Periódico Inicial, y luego de cumplido el requerimiento del Literal a), así como de acuerdo con lo precisado en el Cuadro N° 9-3, el CONCESIONARIO deberá cobrar en las unidades de peaje un Peaje de Uno y 50/100 </w:t>
      </w:r>
      <w:proofErr w:type="gramStart"/>
      <w:r>
        <w:rPr>
          <w:color w:val="000000"/>
          <w:lang w:val="es-PE"/>
        </w:rPr>
        <w:t>Dólares</w:t>
      </w:r>
      <w:r w:rsidR="00EB7198">
        <w:rPr>
          <w:color w:val="000000"/>
          <w:lang w:val="es-PE"/>
        </w:rPr>
        <w:t xml:space="preserve"> </w:t>
      </w:r>
      <w:r>
        <w:rPr>
          <w:color w:val="000000"/>
          <w:lang w:val="es-PE"/>
        </w:rPr>
        <w:t>Americanos</w:t>
      </w:r>
      <w:proofErr w:type="gramEnd"/>
      <w:r>
        <w:rPr>
          <w:color w:val="000000"/>
          <w:lang w:val="es-PE"/>
        </w:rPr>
        <w:t xml:space="preserve"> (US$ 1.50) más el importe correspondiente al IGV y cualquier otro tributo aplicable, por sentido de desplazamiento.</w:t>
      </w:r>
      <w:bookmarkEnd w:id="1766"/>
      <w:r>
        <w:rPr>
          <w:color w:val="000000"/>
          <w:lang w:val="es-PE"/>
        </w:rPr>
        <w:t xml:space="preserve"> En el caso de las unidades de Peaje existentes, al darse estas condiciones, el Peaje se reajustará a Uno y 50/100 </w:t>
      </w:r>
      <w:proofErr w:type="gramStart"/>
      <w:r>
        <w:rPr>
          <w:color w:val="000000"/>
          <w:lang w:val="es-PE"/>
        </w:rPr>
        <w:t>Dólares Americanos</w:t>
      </w:r>
      <w:proofErr w:type="gramEnd"/>
      <w:r>
        <w:rPr>
          <w:color w:val="000000"/>
          <w:lang w:val="es-PE"/>
        </w:rPr>
        <w:t xml:space="preserve"> (US$ 1.50) más el importe correspondiente al IGV y cualquier otro tributo aplicable.</w:t>
      </w:r>
      <w:bookmarkEnd w:id="1767"/>
    </w:p>
    <w:p w14:paraId="4A83C5DB" w14:textId="77777777" w:rsidR="004412F1" w:rsidRDefault="004412F1">
      <w:pPr>
        <w:ind w:left="708"/>
        <w:rPr>
          <w:color w:val="000000"/>
          <w:sz w:val="10"/>
          <w:lang w:val="es-PE"/>
        </w:rPr>
      </w:pPr>
    </w:p>
    <w:p w14:paraId="3C4A50C7" w14:textId="77777777" w:rsidR="004412F1" w:rsidRDefault="005A12A3">
      <w:pPr>
        <w:ind w:left="1134"/>
        <w:jc w:val="both"/>
        <w:rPr>
          <w:color w:val="000000"/>
          <w:lang w:val="es-PE"/>
        </w:rPr>
      </w:pPr>
      <w:r>
        <w:rPr>
          <w:color w:val="000000"/>
          <w:lang w:val="es-PE"/>
        </w:rPr>
        <w:t xml:space="preserve">Todas las Tarifas serán cobradas en Soles, para lo cual se utilizará el Tipo de Cambio que corresponda al último día hábil del mes anterior a la </w:t>
      </w:r>
      <w:proofErr w:type="gramStart"/>
      <w:r>
        <w:rPr>
          <w:color w:val="000000"/>
          <w:lang w:val="es-PE"/>
        </w:rPr>
        <w:t>entrada en vigencia</w:t>
      </w:r>
      <w:proofErr w:type="gramEnd"/>
      <w:r>
        <w:rPr>
          <w:color w:val="000000"/>
          <w:lang w:val="es-PE"/>
        </w:rPr>
        <w:t xml:space="preserve"> de la nueva Tarifa. </w:t>
      </w:r>
    </w:p>
    <w:p w14:paraId="0A09C38E" w14:textId="77777777" w:rsidR="004412F1" w:rsidRDefault="004412F1">
      <w:pPr>
        <w:ind w:left="1276"/>
        <w:jc w:val="both"/>
        <w:rPr>
          <w:color w:val="000000"/>
          <w:lang w:val="es-PE"/>
        </w:rPr>
      </w:pPr>
    </w:p>
    <w:p w14:paraId="339FC939" w14:textId="77777777" w:rsidR="004412F1" w:rsidRDefault="005A12A3">
      <w:pPr>
        <w:pStyle w:val="Prrafodelista"/>
        <w:numPr>
          <w:ilvl w:val="0"/>
          <w:numId w:val="104"/>
        </w:numPr>
        <w:ind w:hanging="502"/>
        <w:jc w:val="both"/>
        <w:rPr>
          <w:color w:val="000000"/>
          <w:lang w:val="es-PE"/>
        </w:rPr>
      </w:pPr>
      <w:r>
        <w:rPr>
          <w:color w:val="000000"/>
          <w:lang w:val="es-ES"/>
        </w:rPr>
        <w:t>El CONCESIONARIO, para el caso del incremento señalado aplicará las siguientes reglas</w:t>
      </w:r>
      <w:r>
        <w:rPr>
          <w:color w:val="000000"/>
          <w:lang w:val="es-PE"/>
        </w:rPr>
        <w:t>:</w:t>
      </w:r>
    </w:p>
    <w:p w14:paraId="13F750BF" w14:textId="77777777" w:rsidR="004412F1" w:rsidRDefault="004412F1">
      <w:pPr>
        <w:ind w:left="709"/>
        <w:jc w:val="both"/>
        <w:rPr>
          <w:color w:val="000000"/>
          <w:lang w:val="es-PE"/>
        </w:rPr>
      </w:pPr>
    </w:p>
    <w:p w14:paraId="11E17C57" w14:textId="77777777" w:rsidR="004412F1" w:rsidRDefault="005A12A3">
      <w:pPr>
        <w:numPr>
          <w:ilvl w:val="0"/>
          <w:numId w:val="105"/>
        </w:numPr>
        <w:tabs>
          <w:tab w:val="left" w:pos="1701"/>
        </w:tabs>
        <w:ind w:left="1701" w:hanging="283"/>
        <w:jc w:val="both"/>
        <w:rPr>
          <w:lang w:val="es-PE"/>
        </w:rPr>
      </w:pPr>
      <w:r>
        <w:rPr>
          <w:color w:val="000000"/>
          <w:lang w:val="es-PE"/>
        </w:rPr>
        <w:t xml:space="preserve">Los Vehículos Ligeros pagarán el Peaje determinado, al cual se le agregará el IGV y otros tributos que puedan generarse. El resultado se deberá redondear a los cinco (5) céntimos de Sol hacia abajo. </w:t>
      </w:r>
    </w:p>
    <w:p w14:paraId="126BDDFD" w14:textId="77777777" w:rsidR="004412F1" w:rsidRDefault="005A12A3">
      <w:pPr>
        <w:numPr>
          <w:ilvl w:val="0"/>
          <w:numId w:val="105"/>
        </w:numPr>
        <w:tabs>
          <w:tab w:val="left" w:pos="1701"/>
        </w:tabs>
        <w:ind w:left="1701" w:hanging="283"/>
        <w:jc w:val="both"/>
        <w:rPr>
          <w:lang w:val="es-ES"/>
        </w:rPr>
      </w:pPr>
      <w:r>
        <w:rPr>
          <w:color w:val="000000"/>
          <w:lang w:val="es-PE"/>
        </w:rPr>
        <w:t xml:space="preserve">Los Vehículos Pesados pagarán el Peaje determinado por eje, se le multiplicará por el número de ejes cobrables y al resultado se le agregará el IGV y otros tributos que puedan generarse. El resultado se deberá redondear a los cinco (5) céntimos de Sol hacia abajo. </w:t>
      </w:r>
    </w:p>
    <w:p w14:paraId="4F2FF838" w14:textId="77777777" w:rsidR="004412F1" w:rsidRDefault="004412F1">
      <w:pPr>
        <w:ind w:left="1134"/>
        <w:jc w:val="both"/>
        <w:rPr>
          <w:color w:val="000000"/>
          <w:lang w:val="es-ES"/>
        </w:rPr>
      </w:pPr>
    </w:p>
    <w:p w14:paraId="7E5256DB" w14:textId="77777777" w:rsidR="004412F1" w:rsidRDefault="005A12A3">
      <w:pPr>
        <w:pStyle w:val="Prrafodelista"/>
        <w:numPr>
          <w:ilvl w:val="0"/>
          <w:numId w:val="104"/>
        </w:numPr>
        <w:ind w:hanging="502"/>
        <w:jc w:val="both"/>
        <w:rPr>
          <w:color w:val="000000"/>
          <w:lang w:val="es-ES"/>
        </w:rPr>
      </w:pPr>
      <w:r>
        <w:rPr>
          <w:color w:val="000000" w:themeColor="text1"/>
          <w:lang w:val="es-ES"/>
        </w:rPr>
        <w:t>En los literales precedentes, según corresponda, si la moneda fraccionaria que se encuentre vigente fuere mayor o menor a los cinco (5) céntimos de Sol, se efectuará el redondeo en función de esta moneda.</w:t>
      </w:r>
    </w:p>
    <w:p w14:paraId="37DAF995" w14:textId="77777777" w:rsidR="004412F1" w:rsidRDefault="004412F1">
      <w:pPr>
        <w:ind w:left="709"/>
        <w:jc w:val="both"/>
        <w:rPr>
          <w:color w:val="000000"/>
          <w:lang w:val="es-ES"/>
        </w:rPr>
      </w:pPr>
    </w:p>
    <w:p w14:paraId="66A5A3DD" w14:textId="77777777" w:rsidR="004412F1" w:rsidRDefault="005A12A3">
      <w:pPr>
        <w:pStyle w:val="Prrafodelista"/>
        <w:numPr>
          <w:ilvl w:val="0"/>
          <w:numId w:val="104"/>
        </w:numPr>
        <w:ind w:hanging="502"/>
        <w:jc w:val="both"/>
        <w:rPr>
          <w:color w:val="000000"/>
          <w:lang w:val="es-ES"/>
        </w:rPr>
      </w:pPr>
      <w:bookmarkStart w:id="1768" w:name="_20gsq1z" w:colFirst="0" w:colLast="0"/>
      <w:bookmarkStart w:id="1769" w:name="_Ref412628430"/>
      <w:bookmarkEnd w:id="1768"/>
      <w:r>
        <w:rPr>
          <w:lang w:val="es"/>
        </w:rPr>
        <w:t xml:space="preserve">Para efectos del cobro de la Tarifa o su incremento, se tendrá en cuenta la puesta en servicio de los </w:t>
      </w:r>
      <w:proofErr w:type="gramStart"/>
      <w:r>
        <w:rPr>
          <w:lang w:val="es"/>
        </w:rPr>
        <w:t>Sub Tramos</w:t>
      </w:r>
      <w:proofErr w:type="gramEnd"/>
      <w:r>
        <w:rPr>
          <w:lang w:val="es"/>
        </w:rPr>
        <w:t xml:space="preserve"> asociados a la respectiva unidad de peaje de acuerdo a lo precisado en el cuadro N° 9-3 y en el ANEXO XII: Activación y condiciones para el cobro en las Unidades de Peaje de la Concesión</w:t>
      </w:r>
      <w:r>
        <w:rPr>
          <w:color w:val="000000"/>
          <w:lang w:val="es-ES"/>
        </w:rPr>
        <w:t>.</w:t>
      </w:r>
      <w:bookmarkEnd w:id="1769"/>
      <w:r>
        <w:rPr>
          <w:color w:val="000000"/>
          <w:lang w:val="es-ES"/>
        </w:rPr>
        <w:t xml:space="preserve">  </w:t>
      </w:r>
    </w:p>
    <w:p w14:paraId="7B8C5436" w14:textId="77777777" w:rsidR="004412F1" w:rsidRDefault="004412F1">
      <w:pPr>
        <w:ind w:left="709"/>
        <w:jc w:val="both"/>
        <w:rPr>
          <w:color w:val="000000"/>
          <w:lang w:val="es-ES"/>
        </w:rPr>
      </w:pPr>
    </w:p>
    <w:p w14:paraId="51879048" w14:textId="77777777" w:rsidR="004412F1" w:rsidRDefault="005A12A3">
      <w:pPr>
        <w:ind w:left="2835" w:hanging="1701"/>
        <w:jc w:val="both"/>
        <w:rPr>
          <w:b/>
          <w:color w:val="000000"/>
          <w:lang w:val="es-ES"/>
        </w:rPr>
      </w:pPr>
      <w:r>
        <w:rPr>
          <w:b/>
          <w:color w:val="000000"/>
          <w:lang w:val="es-ES"/>
        </w:rPr>
        <w:t xml:space="preserve">Cuadro N° 9-3: </w:t>
      </w:r>
      <w:proofErr w:type="gramStart"/>
      <w:r>
        <w:rPr>
          <w:b/>
          <w:color w:val="000000"/>
          <w:lang w:val="es-ES"/>
        </w:rPr>
        <w:t xml:space="preserve">Sub </w:t>
      </w:r>
      <w:r>
        <w:rPr>
          <w:b/>
          <w:bCs/>
          <w:color w:val="000000"/>
          <w:lang w:val="es-PE"/>
        </w:rPr>
        <w:t>Tramos</w:t>
      </w:r>
      <w:proofErr w:type="gramEnd"/>
      <w:r>
        <w:rPr>
          <w:b/>
          <w:color w:val="000000"/>
          <w:lang w:val="es-ES"/>
        </w:rPr>
        <w:t xml:space="preserve"> puestos en servicio </w:t>
      </w:r>
      <w:r>
        <w:rPr>
          <w:b/>
          <w:bCs/>
          <w:color w:val="000000"/>
          <w:lang w:val="es-PE"/>
        </w:rPr>
        <w:t>previo al</w:t>
      </w:r>
      <w:r>
        <w:rPr>
          <w:b/>
          <w:color w:val="000000"/>
          <w:lang w:val="es-ES"/>
        </w:rPr>
        <w:t xml:space="preserve"> cobro de tarifas </w:t>
      </w:r>
      <w:r>
        <w:rPr>
          <w:b/>
          <w:bCs/>
          <w:color w:val="000000"/>
          <w:lang w:val="es-PE"/>
        </w:rPr>
        <w:t xml:space="preserve">(nuevas unidades de peaje) </w:t>
      </w:r>
      <w:r>
        <w:rPr>
          <w:b/>
          <w:color w:val="000000"/>
          <w:lang w:val="es-ES"/>
        </w:rPr>
        <w:t>o incremento</w:t>
      </w:r>
      <w:r>
        <w:rPr>
          <w:b/>
          <w:bCs/>
          <w:color w:val="000000"/>
          <w:lang w:val="es-PE"/>
        </w:rPr>
        <w:t xml:space="preserve"> (unidades de peaje existente.</w:t>
      </w:r>
    </w:p>
    <w:p w14:paraId="58B6ECF3" w14:textId="77777777" w:rsidR="004412F1" w:rsidRDefault="004412F1">
      <w:pPr>
        <w:ind w:left="1134"/>
        <w:jc w:val="both"/>
        <w:rPr>
          <w:color w:val="000000"/>
          <w:lang w:val="es-ES"/>
        </w:rPr>
      </w:pPr>
    </w:p>
    <w:tbl>
      <w:tblPr>
        <w:tblW w:w="7533" w:type="dxa"/>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8"/>
        <w:gridCol w:w="3223"/>
        <w:gridCol w:w="1271"/>
        <w:gridCol w:w="1061"/>
      </w:tblGrid>
      <w:tr w:rsidR="004412F1" w14:paraId="48F6F4C4" w14:textId="77777777">
        <w:trPr>
          <w:tblHeader/>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CAD1B76" w14:textId="77777777" w:rsidR="004412F1" w:rsidRDefault="005A12A3">
            <w:pPr>
              <w:jc w:val="center"/>
              <w:rPr>
                <w:color w:val="000000"/>
                <w:lang w:val="es-ES"/>
              </w:rPr>
            </w:pPr>
            <w:r>
              <w:rPr>
                <w:color w:val="000000"/>
                <w:lang w:val="es-ES"/>
              </w:rPr>
              <w:t>Unidades   de   peaje</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803815E" w14:textId="77777777" w:rsidR="004412F1" w:rsidRDefault="005A12A3">
            <w:pPr>
              <w:jc w:val="center"/>
              <w:rPr>
                <w:color w:val="000000"/>
                <w:lang w:val="es-ES"/>
              </w:rPr>
            </w:pPr>
            <w:proofErr w:type="gramStart"/>
            <w:r>
              <w:rPr>
                <w:color w:val="000000"/>
                <w:lang w:val="es-ES"/>
              </w:rPr>
              <w:t>Sub Tramo</w:t>
            </w:r>
            <w:proofErr w:type="gramEnd"/>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986C498" w14:textId="77777777" w:rsidR="004412F1" w:rsidRDefault="005A12A3">
            <w:pPr>
              <w:jc w:val="center"/>
              <w:rPr>
                <w:color w:val="000000"/>
                <w:lang w:val="es-ES"/>
              </w:rPr>
            </w:pPr>
            <w:r>
              <w:rPr>
                <w:color w:val="000000"/>
                <w:lang w:val="es-ES"/>
              </w:rPr>
              <w:t xml:space="preserve">Longitud </w:t>
            </w:r>
            <w:proofErr w:type="gramStart"/>
            <w:r>
              <w:rPr>
                <w:color w:val="000000"/>
                <w:lang w:val="es-ES"/>
              </w:rPr>
              <w:t>Sub Tramo</w:t>
            </w:r>
            <w:proofErr w:type="gramEnd"/>
            <w:r>
              <w:rPr>
                <w:color w:val="000000"/>
                <w:lang w:val="es-ES"/>
              </w:rPr>
              <w:t xml:space="preserve"> km</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230E612" w14:textId="77777777" w:rsidR="004412F1" w:rsidRDefault="005A12A3">
            <w:pPr>
              <w:jc w:val="center"/>
              <w:rPr>
                <w:color w:val="000000"/>
                <w:lang w:val="es-ES"/>
              </w:rPr>
            </w:pPr>
            <w:r>
              <w:rPr>
                <w:color w:val="000000"/>
                <w:lang w:val="es-ES"/>
              </w:rPr>
              <w:t>Longitud</w:t>
            </w:r>
          </w:p>
        </w:tc>
      </w:tr>
      <w:tr w:rsidR="004412F1" w14:paraId="37179E2E" w14:textId="77777777">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18CDD5" w14:textId="77777777" w:rsidR="004412F1" w:rsidRDefault="005A12A3">
            <w:pPr>
              <w:rPr>
                <w:rFonts w:eastAsia="SimSun"/>
                <w:color w:val="000000"/>
                <w:lang w:val="es-ES"/>
              </w:rPr>
            </w:pPr>
            <w:r>
              <w:rPr>
                <w:color w:val="000000"/>
                <w:lang w:val="es-ES"/>
              </w:rPr>
              <w:t>UP Chacapampa</w:t>
            </w:r>
            <w:r>
              <w:rPr>
                <w:color w:val="000000"/>
              </w:rPr>
              <w:t xml:space="preserve"> </w:t>
            </w:r>
          </w:p>
          <w:p w14:paraId="639D3AEB" w14:textId="77777777" w:rsidR="004412F1" w:rsidRDefault="005A12A3">
            <w:pPr>
              <w:rPr>
                <w:color w:val="000000"/>
                <w:lang w:val="es-ES"/>
              </w:rPr>
            </w:pPr>
            <w:r>
              <w:rPr>
                <w:color w:val="000000"/>
                <w:sz w:val="20"/>
                <w:lang w:val="es-ES"/>
              </w:rPr>
              <w:t>(En funcionamiento)</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EA41B5" w14:textId="77777777" w:rsidR="004412F1" w:rsidRDefault="005A12A3">
            <w:pPr>
              <w:jc w:val="both"/>
              <w:rPr>
                <w:color w:val="000000"/>
                <w:lang w:val="es-ES"/>
              </w:rPr>
            </w:pPr>
            <w:r>
              <w:rPr>
                <w:color w:val="000000"/>
                <w:lang w:val="es-ES"/>
              </w:rPr>
              <w:t>Dv. Huancayo – Pte. Chanchas</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E78BA8" w14:textId="77777777" w:rsidR="004412F1" w:rsidRDefault="005A12A3">
            <w:pPr>
              <w:jc w:val="both"/>
              <w:rPr>
                <w:color w:val="000000"/>
                <w:lang w:val="es-ES"/>
              </w:rPr>
            </w:pPr>
            <w:r>
              <w:rPr>
                <w:color w:val="000000"/>
                <w:sz w:val="20"/>
                <w:lang w:val="es-ES"/>
              </w:rPr>
              <w:t>3.834</w:t>
            </w:r>
          </w:p>
        </w:tc>
        <w:tc>
          <w:tcPr>
            <w:tcW w:w="1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7E569C5" w14:textId="77777777" w:rsidR="004412F1" w:rsidRDefault="005A12A3">
            <w:pPr>
              <w:jc w:val="center"/>
              <w:rPr>
                <w:color w:val="000000"/>
                <w:lang w:val="es-ES"/>
              </w:rPr>
            </w:pPr>
            <w:r>
              <w:rPr>
                <w:color w:val="000000"/>
                <w:lang w:val="es-ES"/>
              </w:rPr>
              <w:t>64.440</w:t>
            </w:r>
          </w:p>
        </w:tc>
      </w:tr>
      <w:tr w:rsidR="004412F1" w14:paraId="5A1B8857" w14:textId="77777777">
        <w:tc>
          <w:tcPr>
            <w:tcW w:w="1978" w:type="dxa"/>
            <w:vMerge/>
            <w:tcMar>
              <w:top w:w="0" w:type="dxa"/>
              <w:left w:w="108" w:type="dxa"/>
              <w:bottom w:w="0" w:type="dxa"/>
              <w:right w:w="108" w:type="dxa"/>
            </w:tcMar>
            <w:vAlign w:val="center"/>
          </w:tcPr>
          <w:p w14:paraId="201C2F0B"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4574C9" w14:textId="77777777" w:rsidR="004412F1" w:rsidRDefault="005A12A3">
            <w:pPr>
              <w:jc w:val="both"/>
              <w:rPr>
                <w:lang w:val="es"/>
              </w:rPr>
            </w:pPr>
            <w:r>
              <w:rPr>
                <w:lang w:val="es"/>
              </w:rPr>
              <w:t xml:space="preserve"> Pte. Chanchas - Huayucachi</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9E4147" w14:textId="77777777" w:rsidR="004412F1" w:rsidRDefault="005A12A3">
            <w:pPr>
              <w:jc w:val="both"/>
              <w:rPr>
                <w:color w:val="000000"/>
                <w:lang w:val="es-ES"/>
              </w:rPr>
            </w:pPr>
            <w:r>
              <w:rPr>
                <w:color w:val="000000"/>
                <w:lang w:val="es-ES"/>
              </w:rPr>
              <w:t>2.820</w:t>
            </w:r>
          </w:p>
        </w:tc>
        <w:tc>
          <w:tcPr>
            <w:tcW w:w="1061" w:type="dxa"/>
            <w:vMerge/>
            <w:tcMar>
              <w:top w:w="0" w:type="dxa"/>
              <w:left w:w="108" w:type="dxa"/>
              <w:bottom w:w="0" w:type="dxa"/>
              <w:right w:w="108" w:type="dxa"/>
            </w:tcMar>
            <w:vAlign w:val="center"/>
          </w:tcPr>
          <w:p w14:paraId="7D3AF6D0" w14:textId="77777777" w:rsidR="004412F1" w:rsidRDefault="004412F1">
            <w:pPr>
              <w:widowControl w:val="0"/>
              <w:spacing w:line="276" w:lineRule="auto"/>
              <w:rPr>
                <w:color w:val="000000"/>
                <w:lang w:val="es-ES"/>
              </w:rPr>
            </w:pPr>
          </w:p>
        </w:tc>
      </w:tr>
      <w:tr w:rsidR="004412F1" w14:paraId="66344C04" w14:textId="77777777">
        <w:tc>
          <w:tcPr>
            <w:tcW w:w="1978" w:type="dxa"/>
            <w:vMerge/>
            <w:tcMar>
              <w:top w:w="0" w:type="dxa"/>
              <w:left w:w="108" w:type="dxa"/>
              <w:bottom w:w="0" w:type="dxa"/>
              <w:right w:w="108" w:type="dxa"/>
            </w:tcMar>
            <w:vAlign w:val="center"/>
          </w:tcPr>
          <w:p w14:paraId="6D4A5854"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2B8FD7" w14:textId="77777777" w:rsidR="004412F1" w:rsidRDefault="005A12A3">
            <w:pPr>
              <w:jc w:val="both"/>
              <w:rPr>
                <w:lang w:val="es-ES"/>
              </w:rPr>
            </w:pPr>
            <w:r>
              <w:rPr>
                <w:lang w:val="es"/>
              </w:rPr>
              <w:t xml:space="preserve"> Huayucachi - Imperial</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3A18BA" w14:textId="77777777" w:rsidR="004412F1" w:rsidRDefault="005A12A3">
            <w:pPr>
              <w:jc w:val="both"/>
              <w:rPr>
                <w:color w:val="000000"/>
                <w:lang w:val="es-ES"/>
              </w:rPr>
            </w:pPr>
            <w:r>
              <w:rPr>
                <w:color w:val="000000"/>
                <w:lang w:val="es-ES"/>
              </w:rPr>
              <w:t>26.567</w:t>
            </w:r>
          </w:p>
        </w:tc>
        <w:tc>
          <w:tcPr>
            <w:tcW w:w="1061" w:type="dxa"/>
            <w:vMerge/>
            <w:tcMar>
              <w:top w:w="0" w:type="dxa"/>
              <w:left w:w="108" w:type="dxa"/>
              <w:bottom w:w="0" w:type="dxa"/>
              <w:right w:w="108" w:type="dxa"/>
            </w:tcMar>
            <w:vAlign w:val="center"/>
          </w:tcPr>
          <w:p w14:paraId="41D36772" w14:textId="77777777" w:rsidR="004412F1" w:rsidRDefault="004412F1">
            <w:pPr>
              <w:widowControl w:val="0"/>
              <w:spacing w:line="276" w:lineRule="auto"/>
              <w:rPr>
                <w:color w:val="000000"/>
                <w:lang w:val="es-ES"/>
              </w:rPr>
            </w:pPr>
          </w:p>
        </w:tc>
      </w:tr>
      <w:tr w:rsidR="004412F1" w14:paraId="79ACE0B7" w14:textId="77777777">
        <w:tc>
          <w:tcPr>
            <w:tcW w:w="1978" w:type="dxa"/>
            <w:vMerge/>
            <w:tcMar>
              <w:top w:w="0" w:type="dxa"/>
              <w:left w:w="108" w:type="dxa"/>
              <w:bottom w:w="0" w:type="dxa"/>
              <w:right w:w="108" w:type="dxa"/>
            </w:tcMar>
            <w:vAlign w:val="center"/>
          </w:tcPr>
          <w:p w14:paraId="7F5519DA"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CDCFAE" w14:textId="77777777" w:rsidR="004412F1" w:rsidRDefault="005A12A3">
            <w:pPr>
              <w:jc w:val="both"/>
              <w:rPr>
                <w:lang w:val="es-ES"/>
              </w:rPr>
            </w:pPr>
            <w:r>
              <w:rPr>
                <w:color w:val="000000"/>
              </w:rPr>
              <w:t xml:space="preserve"> – </w:t>
            </w:r>
            <w:r>
              <w:rPr>
                <w:lang w:val="es"/>
              </w:rPr>
              <w:t xml:space="preserve"> Imperial - Izcuchaca</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5406B" w14:textId="77777777" w:rsidR="004412F1" w:rsidRDefault="005A12A3">
            <w:pPr>
              <w:jc w:val="both"/>
              <w:rPr>
                <w:color w:val="000000"/>
                <w:lang w:val="es-ES"/>
              </w:rPr>
            </w:pPr>
            <w:r>
              <w:rPr>
                <w:color w:val="000000"/>
                <w:lang w:val="es-ES"/>
              </w:rPr>
              <w:t>31.219</w:t>
            </w:r>
          </w:p>
        </w:tc>
        <w:tc>
          <w:tcPr>
            <w:tcW w:w="1061" w:type="dxa"/>
            <w:vMerge/>
            <w:tcMar>
              <w:top w:w="0" w:type="dxa"/>
              <w:left w:w="108" w:type="dxa"/>
              <w:bottom w:w="0" w:type="dxa"/>
              <w:right w:w="108" w:type="dxa"/>
            </w:tcMar>
            <w:vAlign w:val="center"/>
          </w:tcPr>
          <w:p w14:paraId="36A52C9A" w14:textId="77777777" w:rsidR="004412F1" w:rsidRDefault="004412F1">
            <w:pPr>
              <w:widowControl w:val="0"/>
              <w:spacing w:line="276" w:lineRule="auto"/>
              <w:rPr>
                <w:color w:val="000000"/>
                <w:lang w:val="es-ES"/>
              </w:rPr>
            </w:pPr>
          </w:p>
        </w:tc>
      </w:tr>
      <w:tr w:rsidR="004412F1" w14:paraId="26FB1A81" w14:textId="77777777">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835C556" w14:textId="77777777" w:rsidR="004412F1" w:rsidRDefault="005A12A3">
            <w:pPr>
              <w:rPr>
                <w:color w:val="000000"/>
                <w:lang w:val="es-ES"/>
              </w:rPr>
            </w:pPr>
            <w:r>
              <w:rPr>
                <w:color w:val="000000"/>
                <w:lang w:val="es-ES"/>
              </w:rPr>
              <w:t>UP La Esmeralda</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E073FF" w14:textId="77777777" w:rsidR="004412F1" w:rsidRDefault="005A12A3">
            <w:pPr>
              <w:jc w:val="both"/>
              <w:rPr>
                <w:color w:val="000000"/>
                <w:lang w:val="es-ES"/>
              </w:rPr>
            </w:pPr>
            <w:r>
              <w:rPr>
                <w:color w:val="000000"/>
                <w:lang w:val="es-ES"/>
              </w:rPr>
              <w:t>Izcuchaca - Mayocc</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CECBEF" w14:textId="77777777" w:rsidR="004412F1" w:rsidRDefault="005A12A3">
            <w:pPr>
              <w:jc w:val="both"/>
              <w:rPr>
                <w:color w:val="000000"/>
                <w:lang w:val="es-ES"/>
              </w:rPr>
            </w:pPr>
            <w:r>
              <w:rPr>
                <w:color w:val="000000"/>
                <w:lang w:val="es-ES"/>
              </w:rPr>
              <w:t>116.863</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A7288E8" w14:textId="77777777" w:rsidR="004412F1" w:rsidRDefault="005A12A3">
            <w:pPr>
              <w:jc w:val="center"/>
              <w:rPr>
                <w:color w:val="000000"/>
                <w:lang w:val="es-ES"/>
              </w:rPr>
            </w:pPr>
            <w:r>
              <w:rPr>
                <w:color w:val="000000"/>
                <w:lang w:val="es-ES"/>
              </w:rPr>
              <w:t>116.863</w:t>
            </w:r>
          </w:p>
        </w:tc>
      </w:tr>
      <w:tr w:rsidR="004412F1" w14:paraId="40F87A42" w14:textId="77777777">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A3481C3" w14:textId="77777777" w:rsidR="004412F1" w:rsidRDefault="005A12A3">
            <w:pPr>
              <w:rPr>
                <w:color w:val="000000"/>
                <w:lang w:val="es-ES"/>
              </w:rPr>
            </w:pPr>
            <w:r>
              <w:rPr>
                <w:color w:val="000000"/>
                <w:lang w:val="es-ES"/>
              </w:rPr>
              <w:t>UP Huanta</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62C07A" w14:textId="77777777" w:rsidR="004412F1" w:rsidRDefault="005A12A3">
            <w:pPr>
              <w:jc w:val="both"/>
              <w:rPr>
                <w:color w:val="000000"/>
                <w:lang w:val="es-ES"/>
              </w:rPr>
            </w:pPr>
            <w:r>
              <w:rPr>
                <w:color w:val="000000"/>
                <w:lang w:val="es-ES"/>
              </w:rPr>
              <w:t>Mayocc - Huanta</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EC95C" w14:textId="77777777" w:rsidR="004412F1" w:rsidRDefault="005A12A3">
            <w:pPr>
              <w:jc w:val="both"/>
              <w:rPr>
                <w:color w:val="000000"/>
                <w:lang w:val="es-ES"/>
              </w:rPr>
            </w:pPr>
            <w:r>
              <w:rPr>
                <w:color w:val="000000"/>
                <w:lang w:val="es-ES"/>
              </w:rPr>
              <w:t>32.756</w:t>
            </w:r>
          </w:p>
        </w:tc>
        <w:tc>
          <w:tcPr>
            <w:tcW w:w="1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8FF9B60" w14:textId="77777777" w:rsidR="004412F1" w:rsidRDefault="005A12A3">
            <w:pPr>
              <w:jc w:val="center"/>
              <w:rPr>
                <w:color w:val="000000"/>
                <w:lang w:val="es-ES"/>
              </w:rPr>
            </w:pPr>
            <w:r>
              <w:rPr>
                <w:color w:val="000000"/>
                <w:lang w:val="es-ES"/>
              </w:rPr>
              <w:t>125.009</w:t>
            </w:r>
          </w:p>
        </w:tc>
      </w:tr>
      <w:tr w:rsidR="004412F1" w14:paraId="125ECC3A" w14:textId="77777777">
        <w:tc>
          <w:tcPr>
            <w:tcW w:w="1978" w:type="dxa"/>
            <w:vMerge/>
            <w:tcMar>
              <w:top w:w="0" w:type="dxa"/>
              <w:left w:w="108" w:type="dxa"/>
              <w:bottom w:w="0" w:type="dxa"/>
              <w:right w:w="108" w:type="dxa"/>
            </w:tcMar>
            <w:vAlign w:val="center"/>
          </w:tcPr>
          <w:p w14:paraId="1776FB4A"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92FA08" w14:textId="77777777" w:rsidR="004412F1" w:rsidRDefault="005A12A3">
            <w:pPr>
              <w:jc w:val="both"/>
              <w:rPr>
                <w:color w:val="000000"/>
                <w:lang w:val="es-ES"/>
              </w:rPr>
            </w:pPr>
            <w:r>
              <w:rPr>
                <w:color w:val="000000"/>
                <w:lang w:val="es-ES"/>
              </w:rPr>
              <w:t>Huanta - Ayacucho (Emp PE-28A)</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8EEEEF" w14:textId="77777777" w:rsidR="004412F1" w:rsidRDefault="005A12A3">
            <w:pPr>
              <w:jc w:val="both"/>
              <w:rPr>
                <w:color w:val="000000"/>
                <w:lang w:val="es-ES"/>
              </w:rPr>
            </w:pPr>
            <w:r>
              <w:rPr>
                <w:color w:val="000000"/>
                <w:lang w:val="es-ES"/>
              </w:rPr>
              <w:t>42.253</w:t>
            </w:r>
          </w:p>
        </w:tc>
        <w:tc>
          <w:tcPr>
            <w:tcW w:w="1061" w:type="dxa"/>
            <w:vMerge/>
            <w:tcMar>
              <w:top w:w="0" w:type="dxa"/>
              <w:left w:w="108" w:type="dxa"/>
              <w:bottom w:w="0" w:type="dxa"/>
              <w:right w:w="108" w:type="dxa"/>
            </w:tcMar>
            <w:vAlign w:val="center"/>
          </w:tcPr>
          <w:p w14:paraId="1D70FB20" w14:textId="77777777" w:rsidR="004412F1" w:rsidRDefault="004412F1">
            <w:pPr>
              <w:widowControl w:val="0"/>
              <w:spacing w:line="276" w:lineRule="auto"/>
              <w:rPr>
                <w:color w:val="000000"/>
                <w:lang w:val="es-ES"/>
              </w:rPr>
            </w:pPr>
          </w:p>
        </w:tc>
      </w:tr>
      <w:tr w:rsidR="004412F1" w14:paraId="071F4B78" w14:textId="77777777">
        <w:tc>
          <w:tcPr>
            <w:tcW w:w="1978" w:type="dxa"/>
            <w:vMerge/>
            <w:tcMar>
              <w:top w:w="0" w:type="dxa"/>
              <w:left w:w="108" w:type="dxa"/>
              <w:bottom w:w="0" w:type="dxa"/>
              <w:right w:w="108" w:type="dxa"/>
            </w:tcMar>
            <w:vAlign w:val="center"/>
          </w:tcPr>
          <w:p w14:paraId="59CD7920"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ACB956" w14:textId="77777777" w:rsidR="004412F1" w:rsidRDefault="005A12A3">
            <w:pPr>
              <w:jc w:val="both"/>
              <w:rPr>
                <w:color w:val="000000"/>
                <w:lang w:val="es-ES"/>
              </w:rPr>
            </w:pPr>
            <w:r>
              <w:rPr>
                <w:color w:val="000000"/>
                <w:lang w:val="es-ES"/>
              </w:rPr>
              <w:t>Km. 0+000 (Ayacucho) - Abra Tocto</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4EE3A0" w14:textId="77777777" w:rsidR="004412F1" w:rsidRDefault="005A12A3">
            <w:pPr>
              <w:jc w:val="both"/>
              <w:rPr>
                <w:color w:val="000000"/>
                <w:lang w:val="es-ES"/>
              </w:rPr>
            </w:pPr>
            <w:r>
              <w:rPr>
                <w:color w:val="000000"/>
                <w:lang w:val="es-ES"/>
              </w:rPr>
              <w:t>50.000</w:t>
            </w:r>
          </w:p>
        </w:tc>
        <w:tc>
          <w:tcPr>
            <w:tcW w:w="1061" w:type="dxa"/>
            <w:vMerge/>
            <w:tcMar>
              <w:top w:w="0" w:type="dxa"/>
              <w:left w:w="108" w:type="dxa"/>
              <w:bottom w:w="0" w:type="dxa"/>
              <w:right w:w="108" w:type="dxa"/>
            </w:tcMar>
            <w:vAlign w:val="center"/>
          </w:tcPr>
          <w:p w14:paraId="607F1A42" w14:textId="77777777" w:rsidR="004412F1" w:rsidRDefault="004412F1">
            <w:pPr>
              <w:widowControl w:val="0"/>
              <w:spacing w:line="276" w:lineRule="auto"/>
              <w:jc w:val="center"/>
              <w:rPr>
                <w:color w:val="000000"/>
                <w:lang w:val="es-ES"/>
              </w:rPr>
            </w:pPr>
          </w:p>
        </w:tc>
      </w:tr>
      <w:tr w:rsidR="004412F1" w14:paraId="48CD25F8" w14:textId="77777777">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69EE6E0" w14:textId="77777777" w:rsidR="004412F1" w:rsidRDefault="005A12A3">
            <w:pPr>
              <w:rPr>
                <w:color w:val="000000"/>
                <w:lang w:val="es-ES"/>
              </w:rPr>
            </w:pPr>
            <w:r>
              <w:rPr>
                <w:color w:val="000000"/>
                <w:lang w:val="es-ES"/>
              </w:rPr>
              <w:lastRenderedPageBreak/>
              <w:t>UP Ocros</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0C06A1" w14:textId="77777777" w:rsidR="004412F1" w:rsidRDefault="005A12A3">
            <w:pPr>
              <w:jc w:val="both"/>
              <w:rPr>
                <w:color w:val="000000"/>
                <w:lang w:val="es-ES"/>
              </w:rPr>
            </w:pPr>
            <w:r>
              <w:rPr>
                <w:color w:val="000000"/>
                <w:lang w:val="es-ES"/>
              </w:rPr>
              <w:t>Abra Tocto - Ocros</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670D81" w14:textId="77777777" w:rsidR="004412F1" w:rsidRDefault="005A12A3">
            <w:pPr>
              <w:jc w:val="both"/>
              <w:rPr>
                <w:color w:val="000000"/>
                <w:lang w:val="es-ES"/>
              </w:rPr>
            </w:pPr>
            <w:r>
              <w:rPr>
                <w:color w:val="000000"/>
                <w:lang w:val="es-ES"/>
              </w:rPr>
              <w:t>48.800</w:t>
            </w:r>
          </w:p>
        </w:tc>
        <w:tc>
          <w:tcPr>
            <w:tcW w:w="1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57DDE7D" w14:textId="77777777" w:rsidR="004412F1" w:rsidRDefault="005A12A3">
            <w:pPr>
              <w:jc w:val="center"/>
              <w:rPr>
                <w:color w:val="000000"/>
                <w:lang w:val="es-ES"/>
              </w:rPr>
            </w:pPr>
            <w:r>
              <w:rPr>
                <w:color w:val="000000"/>
                <w:lang w:val="es-ES"/>
              </w:rPr>
              <w:t>104.000</w:t>
            </w:r>
          </w:p>
        </w:tc>
      </w:tr>
      <w:tr w:rsidR="004412F1" w14:paraId="30A5D203" w14:textId="77777777">
        <w:tc>
          <w:tcPr>
            <w:tcW w:w="1978" w:type="dxa"/>
            <w:vMerge/>
            <w:tcMar>
              <w:top w:w="0" w:type="dxa"/>
              <w:left w:w="108" w:type="dxa"/>
              <w:bottom w:w="0" w:type="dxa"/>
              <w:right w:w="108" w:type="dxa"/>
            </w:tcMar>
            <w:vAlign w:val="center"/>
          </w:tcPr>
          <w:p w14:paraId="01367CA8"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58D92D" w14:textId="77777777" w:rsidR="004412F1" w:rsidRDefault="005A12A3">
            <w:pPr>
              <w:jc w:val="both"/>
              <w:rPr>
                <w:color w:val="000000"/>
                <w:lang w:val="es-ES"/>
              </w:rPr>
            </w:pPr>
            <w:r>
              <w:rPr>
                <w:color w:val="000000"/>
                <w:lang w:val="es-ES"/>
              </w:rPr>
              <w:t>Ocros - Chincheros</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906A44" w14:textId="77777777" w:rsidR="004412F1" w:rsidRDefault="005A12A3">
            <w:pPr>
              <w:jc w:val="both"/>
              <w:rPr>
                <w:color w:val="000000"/>
                <w:lang w:val="es-ES"/>
              </w:rPr>
            </w:pPr>
            <w:r>
              <w:rPr>
                <w:color w:val="000000"/>
                <w:lang w:val="es-ES"/>
              </w:rPr>
              <w:t>55.200</w:t>
            </w:r>
          </w:p>
        </w:tc>
        <w:tc>
          <w:tcPr>
            <w:tcW w:w="1061" w:type="dxa"/>
            <w:vMerge/>
            <w:tcMar>
              <w:top w:w="0" w:type="dxa"/>
              <w:left w:w="108" w:type="dxa"/>
              <w:bottom w:w="0" w:type="dxa"/>
              <w:right w:w="108" w:type="dxa"/>
            </w:tcMar>
            <w:vAlign w:val="center"/>
          </w:tcPr>
          <w:p w14:paraId="50498CA7" w14:textId="77777777" w:rsidR="004412F1" w:rsidRDefault="004412F1">
            <w:pPr>
              <w:widowControl w:val="0"/>
              <w:spacing w:line="276" w:lineRule="auto"/>
              <w:rPr>
                <w:color w:val="000000"/>
                <w:lang w:val="es-ES"/>
              </w:rPr>
            </w:pPr>
          </w:p>
        </w:tc>
      </w:tr>
      <w:tr w:rsidR="004412F1" w14:paraId="6A3BF3A7" w14:textId="77777777">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7693C8" w14:textId="77777777" w:rsidR="004412F1" w:rsidRDefault="005A12A3">
            <w:pPr>
              <w:rPr>
                <w:color w:val="000000"/>
                <w:lang w:val="es-ES"/>
              </w:rPr>
            </w:pPr>
            <w:r>
              <w:rPr>
                <w:color w:val="000000"/>
                <w:lang w:val="es-ES"/>
              </w:rPr>
              <w:t>UP Chicmo</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103F91" w14:textId="77777777" w:rsidR="004412F1" w:rsidRDefault="005A12A3">
            <w:pPr>
              <w:jc w:val="both"/>
              <w:rPr>
                <w:color w:val="000000"/>
                <w:lang w:val="es-ES"/>
              </w:rPr>
            </w:pPr>
            <w:r>
              <w:rPr>
                <w:color w:val="000000"/>
                <w:lang w:val="es-ES"/>
              </w:rPr>
              <w:t>Chincheros - Santa María de Chicmo</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636455" w14:textId="77777777" w:rsidR="004412F1" w:rsidRDefault="005A12A3">
            <w:pPr>
              <w:jc w:val="both"/>
              <w:rPr>
                <w:color w:val="000000"/>
                <w:lang w:val="es-ES"/>
              </w:rPr>
            </w:pPr>
            <w:r>
              <w:rPr>
                <w:color w:val="000000"/>
                <w:lang w:val="es-ES"/>
              </w:rPr>
              <w:t>66.022</w:t>
            </w:r>
          </w:p>
        </w:tc>
        <w:tc>
          <w:tcPr>
            <w:tcW w:w="1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0CF5BB" w14:textId="77777777" w:rsidR="004412F1" w:rsidRDefault="005A12A3">
            <w:pPr>
              <w:jc w:val="center"/>
              <w:rPr>
                <w:color w:val="000000"/>
                <w:lang w:val="es-ES"/>
              </w:rPr>
            </w:pPr>
            <w:r>
              <w:rPr>
                <w:color w:val="000000"/>
                <w:lang w:val="es-ES"/>
              </w:rPr>
              <w:t>86.362</w:t>
            </w:r>
          </w:p>
        </w:tc>
      </w:tr>
      <w:tr w:rsidR="004412F1" w14:paraId="07BB281B" w14:textId="77777777">
        <w:tc>
          <w:tcPr>
            <w:tcW w:w="1978" w:type="dxa"/>
            <w:vMerge/>
            <w:tcMar>
              <w:top w:w="0" w:type="dxa"/>
              <w:left w:w="108" w:type="dxa"/>
              <w:bottom w:w="0" w:type="dxa"/>
              <w:right w:w="108" w:type="dxa"/>
            </w:tcMar>
            <w:vAlign w:val="center"/>
          </w:tcPr>
          <w:p w14:paraId="18FF3D17" w14:textId="77777777" w:rsidR="004412F1" w:rsidRDefault="004412F1">
            <w:pPr>
              <w:widowControl w:val="0"/>
              <w:spacing w:line="276" w:lineRule="auto"/>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D752A8" w14:textId="77777777" w:rsidR="004412F1" w:rsidRDefault="005A12A3">
            <w:pPr>
              <w:jc w:val="both"/>
              <w:rPr>
                <w:color w:val="000000"/>
                <w:lang w:val="es-ES"/>
              </w:rPr>
            </w:pPr>
            <w:r>
              <w:rPr>
                <w:color w:val="000000"/>
                <w:lang w:val="es-ES"/>
              </w:rPr>
              <w:t>Santa María de Chicmo - Andahuaylas (Emp PE-30B)</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8AAC74" w14:textId="77777777" w:rsidR="004412F1" w:rsidRDefault="005A12A3">
            <w:pPr>
              <w:jc w:val="both"/>
              <w:rPr>
                <w:color w:val="000000"/>
                <w:lang w:val="es-ES"/>
              </w:rPr>
            </w:pPr>
            <w:r>
              <w:rPr>
                <w:color w:val="000000"/>
                <w:lang w:val="es-ES"/>
              </w:rPr>
              <w:t>20.340</w:t>
            </w:r>
          </w:p>
        </w:tc>
        <w:tc>
          <w:tcPr>
            <w:tcW w:w="1061" w:type="dxa"/>
            <w:vMerge/>
            <w:tcMar>
              <w:top w:w="0" w:type="dxa"/>
              <w:left w:w="108" w:type="dxa"/>
              <w:bottom w:w="0" w:type="dxa"/>
              <w:right w:w="108" w:type="dxa"/>
            </w:tcMar>
            <w:vAlign w:val="center"/>
          </w:tcPr>
          <w:p w14:paraId="0806CB8A" w14:textId="77777777" w:rsidR="004412F1" w:rsidRDefault="004412F1">
            <w:pPr>
              <w:widowControl w:val="0"/>
              <w:spacing w:line="276" w:lineRule="auto"/>
              <w:rPr>
                <w:color w:val="000000"/>
                <w:lang w:val="es-ES"/>
              </w:rPr>
            </w:pPr>
          </w:p>
        </w:tc>
      </w:tr>
      <w:tr w:rsidR="004412F1" w14:paraId="7F85EF12" w14:textId="77777777">
        <w:tc>
          <w:tcPr>
            <w:tcW w:w="19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1FE456A" w14:textId="77777777" w:rsidR="004412F1" w:rsidRDefault="005A12A3">
            <w:pPr>
              <w:rPr>
                <w:color w:val="000000"/>
                <w:lang w:val="es-ES"/>
              </w:rPr>
            </w:pPr>
            <w:r>
              <w:rPr>
                <w:color w:val="000000"/>
                <w:lang w:val="es-ES"/>
              </w:rPr>
              <w:t>UP Auquibamba</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B9B06E" w14:textId="77777777" w:rsidR="004412F1" w:rsidRDefault="005A12A3">
            <w:pPr>
              <w:jc w:val="both"/>
              <w:rPr>
                <w:color w:val="000000"/>
                <w:lang w:val="es-ES"/>
              </w:rPr>
            </w:pPr>
            <w:r>
              <w:rPr>
                <w:color w:val="000000"/>
                <w:lang w:val="en-US"/>
              </w:rPr>
              <w:t xml:space="preserve">Andahuaylas (Emp PE-30B) - Dv. </w:t>
            </w:r>
            <w:r>
              <w:rPr>
                <w:color w:val="000000"/>
                <w:lang w:val="es-ES"/>
              </w:rPr>
              <w:t>Kishuara (Emp PE-3SE)</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B212ED" w14:textId="77777777" w:rsidR="004412F1" w:rsidRDefault="005A12A3">
            <w:pPr>
              <w:jc w:val="both"/>
              <w:rPr>
                <w:color w:val="000000"/>
                <w:lang w:val="es-ES"/>
              </w:rPr>
            </w:pPr>
            <w:r>
              <w:rPr>
                <w:color w:val="000000"/>
                <w:lang w:val="es-ES"/>
              </w:rPr>
              <w:t>54.307</w:t>
            </w:r>
          </w:p>
        </w:tc>
        <w:tc>
          <w:tcPr>
            <w:tcW w:w="10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28CD2F5" w14:textId="77777777" w:rsidR="004412F1" w:rsidRDefault="005A12A3">
            <w:pPr>
              <w:jc w:val="center"/>
              <w:rPr>
                <w:color w:val="000000"/>
                <w:lang w:val="es-ES"/>
              </w:rPr>
            </w:pPr>
            <w:r>
              <w:rPr>
                <w:color w:val="000000"/>
                <w:lang w:val="es-ES"/>
              </w:rPr>
              <w:t>130.757</w:t>
            </w:r>
          </w:p>
        </w:tc>
      </w:tr>
      <w:tr w:rsidR="004412F1" w14:paraId="2BA8BFB7" w14:textId="77777777">
        <w:tc>
          <w:tcPr>
            <w:tcW w:w="1978" w:type="dxa"/>
            <w:vMerge/>
            <w:tcMar>
              <w:top w:w="0" w:type="dxa"/>
              <w:left w:w="108" w:type="dxa"/>
              <w:bottom w:w="0" w:type="dxa"/>
              <w:right w:w="108" w:type="dxa"/>
            </w:tcMar>
            <w:vAlign w:val="center"/>
          </w:tcPr>
          <w:p w14:paraId="50317F39" w14:textId="77777777" w:rsidR="004412F1" w:rsidRDefault="004412F1">
            <w:pPr>
              <w:widowControl w:val="0"/>
              <w:spacing w:line="276" w:lineRule="auto"/>
              <w:jc w:val="center"/>
              <w:rPr>
                <w:color w:val="000000"/>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EA86F3" w14:textId="77777777" w:rsidR="004412F1" w:rsidRDefault="005A12A3">
            <w:pPr>
              <w:jc w:val="both"/>
              <w:rPr>
                <w:color w:val="000000"/>
                <w:lang w:val="en-US"/>
              </w:rPr>
            </w:pPr>
            <w:r>
              <w:rPr>
                <w:color w:val="000000"/>
                <w:lang w:val="es-PE"/>
              </w:rPr>
              <w:t xml:space="preserve">Dv. Kishuara (Emp PE-3SE) - Dv. </w:t>
            </w:r>
            <w:r>
              <w:rPr>
                <w:color w:val="000000"/>
                <w:lang w:val="en-US"/>
              </w:rPr>
              <w:t>Sahuinto (Emp PE-3S)</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147D890" w14:textId="77777777" w:rsidR="004412F1" w:rsidRDefault="005A12A3">
            <w:pPr>
              <w:rPr>
                <w:color w:val="000000"/>
                <w:lang w:val="es-ES"/>
              </w:rPr>
            </w:pPr>
            <w:r>
              <w:rPr>
                <w:color w:val="000000"/>
                <w:lang w:val="es-ES"/>
              </w:rPr>
              <w:t>62.711</w:t>
            </w:r>
          </w:p>
        </w:tc>
        <w:tc>
          <w:tcPr>
            <w:tcW w:w="1061" w:type="dxa"/>
            <w:vMerge/>
            <w:tcMar>
              <w:top w:w="0" w:type="dxa"/>
              <w:left w:w="108" w:type="dxa"/>
              <w:bottom w:w="0" w:type="dxa"/>
              <w:right w:w="108" w:type="dxa"/>
            </w:tcMar>
            <w:vAlign w:val="center"/>
          </w:tcPr>
          <w:p w14:paraId="1C4C06AC" w14:textId="77777777" w:rsidR="004412F1" w:rsidRDefault="004412F1">
            <w:pPr>
              <w:widowControl w:val="0"/>
              <w:spacing w:line="276" w:lineRule="auto"/>
              <w:jc w:val="center"/>
              <w:rPr>
                <w:color w:val="000000"/>
                <w:lang w:val="es-ES"/>
              </w:rPr>
            </w:pPr>
          </w:p>
        </w:tc>
      </w:tr>
      <w:tr w:rsidR="004412F1" w14:paraId="69ACF516" w14:textId="77777777">
        <w:trPr>
          <w:trHeight w:val="300"/>
        </w:trPr>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CF910C" w14:textId="77777777" w:rsidR="004412F1" w:rsidRDefault="004412F1">
            <w:pPr>
              <w:rPr>
                <w:color w:val="000000" w:themeColor="text1"/>
                <w:lang w:val="es-ES"/>
              </w:rPr>
            </w:pP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FC2A5D" w14:textId="77777777" w:rsidR="004412F1" w:rsidRDefault="005A12A3">
            <w:pPr>
              <w:jc w:val="both"/>
              <w:rPr>
                <w:lang w:val="es-ES"/>
              </w:rPr>
            </w:pPr>
            <w:r>
              <w:rPr>
                <w:lang w:val="es"/>
              </w:rPr>
              <w:t>Dv. Sahuinto (Emp PE-3S) - Puente Sahuinto</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F203B0" w14:textId="77777777" w:rsidR="004412F1" w:rsidRDefault="005A12A3">
            <w:pPr>
              <w:rPr>
                <w:lang w:val="es-ES"/>
              </w:rPr>
            </w:pPr>
            <w:r>
              <w:rPr>
                <w:lang w:val="es"/>
              </w:rPr>
              <w:t>13.739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841881" w14:textId="77777777" w:rsidR="004412F1" w:rsidRDefault="004412F1">
            <w:pPr>
              <w:jc w:val="center"/>
              <w:rPr>
                <w:color w:val="000000" w:themeColor="text1"/>
                <w:lang w:val="es-ES"/>
              </w:rPr>
            </w:pPr>
          </w:p>
        </w:tc>
      </w:tr>
      <w:tr w:rsidR="004412F1" w14:paraId="5959EA3D" w14:textId="77777777">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434BB3" w14:textId="77777777" w:rsidR="004412F1" w:rsidRDefault="005A12A3">
            <w:pPr>
              <w:jc w:val="both"/>
              <w:rPr>
                <w:color w:val="000000"/>
                <w:lang w:val="es-ES"/>
              </w:rPr>
            </w:pPr>
            <w:r>
              <w:rPr>
                <w:color w:val="000000"/>
                <w:lang w:val="es-ES"/>
              </w:rPr>
              <w:t>UP Pacra</w:t>
            </w:r>
          </w:p>
          <w:p w14:paraId="4FBBCB6C" w14:textId="77777777" w:rsidR="004412F1" w:rsidRDefault="005A12A3">
            <w:pPr>
              <w:jc w:val="both"/>
              <w:rPr>
                <w:color w:val="000000"/>
                <w:lang w:val="es-ES"/>
              </w:rPr>
            </w:pPr>
            <w:r>
              <w:rPr>
                <w:color w:val="000000"/>
                <w:sz w:val="20"/>
                <w:lang w:val="es-ES"/>
              </w:rPr>
              <w:t>(En funcionamiento)</w:t>
            </w:r>
          </w:p>
        </w:tc>
        <w:tc>
          <w:tcPr>
            <w:tcW w:w="3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77CD51" w14:textId="77777777" w:rsidR="004412F1" w:rsidRDefault="005A12A3">
            <w:pPr>
              <w:jc w:val="both"/>
              <w:rPr>
                <w:color w:val="000000"/>
                <w:lang w:val="es-ES"/>
              </w:rPr>
            </w:pPr>
            <w:r>
              <w:rPr>
                <w:color w:val="000000"/>
                <w:lang w:val="es-ES"/>
              </w:rPr>
              <w:t>San Clemente (Emp. PE-1S) - Puente Choclococha</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90C8985" w14:textId="77777777" w:rsidR="004412F1" w:rsidRDefault="005A12A3">
            <w:pPr>
              <w:rPr>
                <w:color w:val="000000"/>
                <w:lang w:val="es-ES"/>
              </w:rPr>
            </w:pPr>
            <w:r>
              <w:rPr>
                <w:color w:val="000000"/>
                <w:lang w:val="es-ES"/>
              </w:rPr>
              <w:t>163.810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1049F23" w14:textId="77777777" w:rsidR="004412F1" w:rsidRDefault="005A12A3">
            <w:pPr>
              <w:jc w:val="center"/>
              <w:rPr>
                <w:color w:val="000000"/>
                <w:lang w:val="es-ES"/>
              </w:rPr>
            </w:pPr>
            <w:r>
              <w:rPr>
                <w:color w:val="000000"/>
                <w:lang w:val="es-ES"/>
              </w:rPr>
              <w:t>163.810</w:t>
            </w:r>
          </w:p>
        </w:tc>
      </w:tr>
      <w:tr w:rsidR="004412F1" w14:paraId="250C3A4B" w14:textId="77777777">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7C0EFC" w14:textId="77777777" w:rsidR="004412F1" w:rsidRDefault="005A12A3">
            <w:pPr>
              <w:jc w:val="both"/>
              <w:rPr>
                <w:color w:val="000000"/>
                <w:lang w:val="es-ES"/>
              </w:rPr>
            </w:pPr>
            <w:r>
              <w:rPr>
                <w:color w:val="000000"/>
                <w:lang w:val="es-ES"/>
              </w:rPr>
              <w:t>UP Rumichaca</w:t>
            </w:r>
          </w:p>
          <w:p w14:paraId="5757B7CE" w14:textId="77777777" w:rsidR="004412F1" w:rsidRDefault="005A12A3">
            <w:pPr>
              <w:jc w:val="both"/>
              <w:rPr>
                <w:color w:val="000000"/>
                <w:lang w:val="es-ES"/>
              </w:rPr>
            </w:pPr>
            <w:r>
              <w:rPr>
                <w:color w:val="000000"/>
                <w:sz w:val="20"/>
                <w:lang w:val="es-ES"/>
              </w:rPr>
              <w:t>(En funcionamiento)</w:t>
            </w:r>
          </w:p>
        </w:tc>
        <w:tc>
          <w:tcPr>
            <w:tcW w:w="32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B334701" w14:textId="77777777" w:rsidR="004412F1" w:rsidRDefault="005A12A3">
            <w:pPr>
              <w:jc w:val="both"/>
              <w:rPr>
                <w:color w:val="000000"/>
                <w:lang w:val="es-ES"/>
              </w:rPr>
            </w:pPr>
            <w:r>
              <w:rPr>
                <w:color w:val="000000"/>
                <w:lang w:val="es-ES"/>
              </w:rPr>
              <w:t>Puente Choclococha - Ayacucho (Emp. PE-28A)</w:t>
            </w:r>
          </w:p>
        </w:tc>
        <w:tc>
          <w:tcPr>
            <w:tcW w:w="12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937E427" w14:textId="77777777" w:rsidR="004412F1" w:rsidRDefault="005A12A3">
            <w:pPr>
              <w:rPr>
                <w:color w:val="000000"/>
                <w:lang w:val="es-ES"/>
              </w:rPr>
            </w:pPr>
            <w:r>
              <w:rPr>
                <w:color w:val="000000"/>
                <w:lang w:val="es-ES"/>
              </w:rPr>
              <w:t>172.066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038907F" w14:textId="77777777" w:rsidR="004412F1" w:rsidRDefault="005A12A3">
            <w:pPr>
              <w:jc w:val="center"/>
              <w:rPr>
                <w:color w:val="000000"/>
                <w:lang w:val="es-ES"/>
              </w:rPr>
            </w:pPr>
            <w:r>
              <w:rPr>
                <w:color w:val="000000"/>
                <w:lang w:val="es-ES"/>
              </w:rPr>
              <w:t>83.261</w:t>
            </w:r>
          </w:p>
        </w:tc>
      </w:tr>
      <w:tr w:rsidR="004412F1" w14:paraId="3F861A8C" w14:textId="77777777">
        <w:tc>
          <w:tcPr>
            <w:tcW w:w="1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252723" w14:textId="77777777" w:rsidR="004412F1" w:rsidRDefault="005A12A3">
            <w:pPr>
              <w:jc w:val="both"/>
              <w:rPr>
                <w:color w:val="000000"/>
                <w:lang w:val="es-ES"/>
              </w:rPr>
            </w:pPr>
            <w:r>
              <w:rPr>
                <w:color w:val="000000"/>
                <w:lang w:val="es-ES"/>
              </w:rPr>
              <w:t>UP Socos</w:t>
            </w:r>
          </w:p>
          <w:p w14:paraId="695B4606" w14:textId="77777777" w:rsidR="004412F1" w:rsidRDefault="005A12A3">
            <w:pPr>
              <w:jc w:val="both"/>
              <w:rPr>
                <w:color w:val="000000"/>
                <w:lang w:val="es-ES"/>
              </w:rPr>
            </w:pPr>
            <w:r>
              <w:rPr>
                <w:color w:val="000000"/>
                <w:sz w:val="20"/>
                <w:lang w:val="es-ES"/>
              </w:rPr>
              <w:t>(En funcionamiento)</w:t>
            </w:r>
          </w:p>
        </w:tc>
        <w:tc>
          <w:tcPr>
            <w:tcW w:w="3223" w:type="dxa"/>
            <w:vMerge/>
            <w:tcMar>
              <w:top w:w="0" w:type="dxa"/>
              <w:left w:w="108" w:type="dxa"/>
              <w:bottom w:w="0" w:type="dxa"/>
              <w:right w:w="108" w:type="dxa"/>
            </w:tcMar>
            <w:vAlign w:val="center"/>
          </w:tcPr>
          <w:p w14:paraId="6D9A4BFD" w14:textId="77777777" w:rsidR="004412F1" w:rsidRDefault="004412F1">
            <w:pPr>
              <w:widowControl w:val="0"/>
              <w:spacing w:line="276" w:lineRule="auto"/>
              <w:rPr>
                <w:color w:val="000000"/>
                <w:lang w:val="es-ES"/>
              </w:rPr>
            </w:pPr>
          </w:p>
        </w:tc>
        <w:tc>
          <w:tcPr>
            <w:tcW w:w="1271" w:type="dxa"/>
            <w:vMerge/>
            <w:tcMar>
              <w:top w:w="0" w:type="dxa"/>
              <w:left w:w="108" w:type="dxa"/>
              <w:bottom w:w="0" w:type="dxa"/>
              <w:right w:w="108" w:type="dxa"/>
            </w:tcMar>
            <w:vAlign w:val="center"/>
          </w:tcPr>
          <w:p w14:paraId="536213C2" w14:textId="77777777" w:rsidR="004412F1" w:rsidRDefault="004412F1">
            <w:pPr>
              <w:widowControl w:val="0"/>
              <w:spacing w:line="276" w:lineRule="auto"/>
              <w:rPr>
                <w:color w:val="000000"/>
                <w:lang w:val="es-ES"/>
              </w:rPr>
            </w:pP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49CD436" w14:textId="77777777" w:rsidR="004412F1" w:rsidRDefault="005A12A3">
            <w:pPr>
              <w:jc w:val="center"/>
              <w:rPr>
                <w:color w:val="000000"/>
                <w:lang w:val="es-ES"/>
              </w:rPr>
            </w:pPr>
            <w:r>
              <w:rPr>
                <w:color w:val="000000"/>
                <w:lang w:val="es-ES"/>
              </w:rPr>
              <w:t>88.805</w:t>
            </w:r>
          </w:p>
        </w:tc>
      </w:tr>
    </w:tbl>
    <w:p w14:paraId="16B53B50" w14:textId="77777777" w:rsidR="004412F1" w:rsidRDefault="004412F1">
      <w:pPr>
        <w:ind w:left="720"/>
        <w:jc w:val="both"/>
      </w:pPr>
      <w:bookmarkStart w:id="1770" w:name="_4kgg8ps" w:colFirst="0" w:colLast="0"/>
      <w:bookmarkStart w:id="1771" w:name="_Ref293646391"/>
      <w:bookmarkEnd w:id="1770"/>
    </w:p>
    <w:p w14:paraId="41B1265B" w14:textId="77777777" w:rsidR="004412F1" w:rsidRDefault="005A12A3">
      <w:pPr>
        <w:numPr>
          <w:ilvl w:val="1"/>
          <w:numId w:val="102"/>
        </w:numPr>
        <w:jc w:val="both"/>
        <w:rPr>
          <w:lang w:val="es-PE"/>
        </w:rPr>
      </w:pPr>
      <w:r>
        <w:rPr>
          <w:lang w:val="es-PE"/>
        </w:rPr>
        <w:t xml:space="preserve">Todos </w:t>
      </w:r>
      <w:r>
        <w:rPr>
          <w:lang w:val="es"/>
        </w:rPr>
        <w:t xml:space="preserve">los Peajes serán reajustados en forma ordinaria y empezarán a ser cobrados por el CONCESIONARIO, a partir del 20 de enero del Año Calendario subsiguiente al mes calendario de la aceptación de la totalidad de las intervenciones, las cuales incluyen la Rehabilitación y Mejoramiento, Mantenimiento Periódico Inicial a cargo del CONCESIONARIO y las intervenciones en los </w:t>
      </w:r>
      <w:proofErr w:type="gramStart"/>
      <w:r>
        <w:rPr>
          <w:lang w:val="es"/>
        </w:rPr>
        <w:t>Sub Tramos</w:t>
      </w:r>
      <w:proofErr w:type="gramEnd"/>
      <w:r>
        <w:rPr>
          <w:lang w:val="es"/>
        </w:rPr>
        <w:t xml:space="preserve"> a cargo del CONCEDENTE. Este reajuste ordinario se realizará cada doce (12) meses a partir de la fecha indicada anteriormente, y se llevará a cabo </w:t>
      </w:r>
      <w:proofErr w:type="gramStart"/>
      <w:r>
        <w:rPr>
          <w:lang w:val="es"/>
        </w:rPr>
        <w:t>de acuerdo al</w:t>
      </w:r>
      <w:proofErr w:type="gramEnd"/>
      <w:r>
        <w:rPr>
          <w:lang w:val="es"/>
        </w:rPr>
        <w:t xml:space="preserve"> siguiente método de ajuste de Peajes</w:t>
      </w:r>
      <w:r>
        <w:rPr>
          <w:lang w:val="es-PE"/>
        </w:rPr>
        <w:t>:</w:t>
      </w:r>
      <w:bookmarkEnd w:id="1771"/>
    </w:p>
    <w:p w14:paraId="44195709" w14:textId="77777777" w:rsidR="004412F1" w:rsidRDefault="004412F1">
      <w:pPr>
        <w:jc w:val="both"/>
        <w:rPr>
          <w:lang w:val="es-PE"/>
        </w:rPr>
      </w:pPr>
    </w:p>
    <w:p w14:paraId="1B2CD647" w14:textId="77777777" w:rsidR="004412F1" w:rsidRDefault="005A12A3">
      <w:pPr>
        <w:numPr>
          <w:ilvl w:val="0"/>
          <w:numId w:val="106"/>
        </w:numPr>
        <w:jc w:val="both"/>
        <w:rPr>
          <w:color w:val="000000"/>
          <w:lang w:val="es-PE"/>
        </w:rPr>
      </w:pPr>
      <w:r>
        <w:rPr>
          <w:color w:val="000000"/>
          <w:lang w:val="es-PE"/>
        </w:rPr>
        <w:t xml:space="preserve">En las unidades de peaje donde su Peaje Base sea de Un y 50/100 </w:t>
      </w:r>
      <w:proofErr w:type="gramStart"/>
      <w:r>
        <w:rPr>
          <w:color w:val="000000"/>
          <w:lang w:val="es-PE"/>
        </w:rPr>
        <w:t>Dólares Americanos</w:t>
      </w:r>
      <w:proofErr w:type="gramEnd"/>
      <w:r>
        <w:rPr>
          <w:color w:val="000000"/>
          <w:lang w:val="es-PE"/>
        </w:rPr>
        <w:t xml:space="preserve"> (US$ 1.50):</w:t>
      </w:r>
    </w:p>
    <w:p w14:paraId="22252BC0" w14:textId="77777777" w:rsidR="004412F1" w:rsidRDefault="004412F1">
      <w:pPr>
        <w:ind w:left="1134"/>
        <w:jc w:val="both"/>
        <w:rPr>
          <w:b/>
          <w:lang w:val="es-PE"/>
        </w:rPr>
      </w:pPr>
    </w:p>
    <w:p w14:paraId="070C22F2" w14:textId="77777777" w:rsidR="004412F1" w:rsidRDefault="005A12A3">
      <w:pPr>
        <w:ind w:left="1134"/>
        <w:jc w:val="both"/>
        <w:rPr>
          <w:b/>
          <w:bCs/>
        </w:rPr>
      </w:pPr>
      <w:r>
        <w:rPr>
          <w:b/>
          <w:noProof/>
          <w:sz w:val="36"/>
          <w:szCs w:val="36"/>
          <w:vertAlign w:val="subscript"/>
          <w:lang w:val="es-PE" w:eastAsia="es-PE"/>
        </w:rPr>
        <w:drawing>
          <wp:inline distT="0" distB="0" distL="114300" distR="114300" wp14:anchorId="308AD7E3" wp14:editId="5988FB2D">
            <wp:extent cx="4826000" cy="5207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9"/>
                    <a:srcRect/>
                    <a:stretch>
                      <a:fillRect/>
                    </a:stretch>
                  </pic:blipFill>
                  <pic:spPr>
                    <a:xfrm>
                      <a:off x="0" y="0"/>
                      <a:ext cx="4826000" cy="520700"/>
                    </a:xfrm>
                    <a:prstGeom prst="rect">
                      <a:avLst/>
                    </a:prstGeom>
                  </pic:spPr>
                </pic:pic>
              </a:graphicData>
            </a:graphic>
          </wp:inline>
        </w:drawing>
      </w:r>
    </w:p>
    <w:p w14:paraId="77A5483F" w14:textId="77777777" w:rsidR="004412F1" w:rsidRDefault="005A12A3">
      <w:pPr>
        <w:ind w:left="1134"/>
        <w:jc w:val="both"/>
        <w:rPr>
          <w:lang w:val="es-PE"/>
        </w:rPr>
      </w:pPr>
      <w:r>
        <w:rPr>
          <w:lang w:val="es-PE"/>
        </w:rPr>
        <w:t>Donde:</w:t>
      </w:r>
    </w:p>
    <w:p w14:paraId="1AD18AC8" w14:textId="77777777" w:rsidR="004412F1" w:rsidRDefault="004412F1">
      <w:pPr>
        <w:ind w:left="2127" w:hanging="1042"/>
        <w:jc w:val="both"/>
        <w:rPr>
          <w:lang w:val="es-PE"/>
        </w:rPr>
      </w:pPr>
    </w:p>
    <w:p w14:paraId="73C5D1BA" w14:textId="77777777" w:rsidR="004412F1" w:rsidRDefault="005A12A3">
      <w:pPr>
        <w:ind w:left="2127" w:hanging="993"/>
        <w:jc w:val="both"/>
        <w:rPr>
          <w:lang w:val="es-PE"/>
        </w:rPr>
      </w:pPr>
      <w:r>
        <w:rPr>
          <w:lang w:val="es-PE"/>
        </w:rPr>
        <w:t xml:space="preserve">Peaje_Base: Para el primer reajuste ordinario será igual a US$ 1.50. A partir del segundo reajuste ordinario será el monto del Peaje resultante del primer reajuste ordinario, convertido a </w:t>
      </w:r>
      <w:proofErr w:type="gramStart"/>
      <w:r>
        <w:rPr>
          <w:lang w:val="es-PE"/>
        </w:rPr>
        <w:t>Dólares</w:t>
      </w:r>
      <w:proofErr w:type="gramEnd"/>
      <w:r>
        <w:rPr>
          <w:lang w:val="es-PE"/>
        </w:rPr>
        <w:t xml:space="preserve"> al Tipo de Cambio de la fecha del primer reajuste.</w:t>
      </w:r>
    </w:p>
    <w:p w14:paraId="070BB9D2" w14:textId="77777777" w:rsidR="004412F1" w:rsidRDefault="004412F1">
      <w:pPr>
        <w:ind w:left="1134"/>
        <w:jc w:val="both"/>
        <w:rPr>
          <w:lang w:val="es-PE"/>
        </w:rPr>
      </w:pPr>
    </w:p>
    <w:p w14:paraId="67E45A78" w14:textId="77777777" w:rsidR="004412F1" w:rsidRDefault="005A12A3">
      <w:pPr>
        <w:ind w:left="1134"/>
        <w:jc w:val="both"/>
        <w:rPr>
          <w:rFonts w:eastAsia="Times New Roman"/>
          <w:bCs/>
          <w:color w:val="FF0000"/>
          <w:szCs w:val="18"/>
          <w:lang w:val="es-ES" w:eastAsia="es-ES"/>
        </w:rPr>
      </w:pPr>
      <w:r>
        <w:rPr>
          <w:lang w:val="es-PE"/>
        </w:rPr>
        <w:t>Sea i el último día hábil del mes anterior inmediato al 20 de enero del Año Calendario en que se realiza el reajuste tarifario.</w:t>
      </w:r>
      <w:r>
        <w:rPr>
          <w:color w:val="FF0000"/>
          <w:lang w:val="es-PE"/>
        </w:rPr>
        <w:t xml:space="preserve"> </w:t>
      </w:r>
    </w:p>
    <w:p w14:paraId="3E6F9BBD" w14:textId="77777777" w:rsidR="004412F1" w:rsidRDefault="004412F1">
      <w:pPr>
        <w:ind w:left="801"/>
        <w:jc w:val="both"/>
        <w:rPr>
          <w:lang w:val="es-PE"/>
        </w:rPr>
      </w:pPr>
    </w:p>
    <w:p w14:paraId="5AB67BF3" w14:textId="77777777" w:rsidR="004412F1" w:rsidRDefault="005A12A3">
      <w:pPr>
        <w:ind w:left="2127" w:hanging="1042"/>
        <w:jc w:val="both"/>
        <w:rPr>
          <w:lang w:val="es-PE"/>
        </w:rPr>
      </w:pPr>
      <w:r>
        <w:rPr>
          <w:lang w:val="es-PE"/>
        </w:rPr>
        <w:t xml:space="preserve">CPI: </w:t>
      </w:r>
      <w:r>
        <w:rPr>
          <w:lang w:val="es-PE"/>
        </w:rPr>
        <w:tab/>
        <w:t xml:space="preserve">Es el Índice de Precios al Consumidor (Consumer Price Index) de los Estados Unidos de América, publicado por el Departamento de Estadísticas Laborales (The Bureau of Labour Statistics). </w:t>
      </w:r>
    </w:p>
    <w:p w14:paraId="25BDEE66" w14:textId="77777777" w:rsidR="004412F1" w:rsidRDefault="004412F1">
      <w:pPr>
        <w:ind w:left="2127"/>
        <w:rPr>
          <w:lang w:val="es-PE"/>
        </w:rPr>
      </w:pPr>
    </w:p>
    <w:p w14:paraId="026F7FB9" w14:textId="77777777" w:rsidR="004412F1" w:rsidRDefault="005A12A3">
      <w:pPr>
        <w:ind w:left="2664" w:hanging="540"/>
        <w:rPr>
          <w:lang w:val="es-PE"/>
        </w:rPr>
      </w:pPr>
      <w:r>
        <w:rPr>
          <w:lang w:val="es-PE"/>
        </w:rPr>
        <w:t>CPI</w:t>
      </w:r>
      <w:r>
        <w:rPr>
          <w:vertAlign w:val="subscript"/>
          <w:lang w:val="es-PE"/>
        </w:rPr>
        <w:t>i</w:t>
      </w:r>
      <w:r>
        <w:rPr>
          <w:lang w:val="es-PE"/>
        </w:rPr>
        <w:t xml:space="preserve">: Registro de este índice del mes anterior disponible al día i </w:t>
      </w:r>
    </w:p>
    <w:p w14:paraId="0A838652" w14:textId="77777777" w:rsidR="004412F1" w:rsidRDefault="005A12A3">
      <w:pPr>
        <w:ind w:left="2664" w:hanging="540"/>
        <w:jc w:val="both"/>
        <w:rPr>
          <w:lang w:val="es-PE"/>
        </w:rPr>
      </w:pPr>
      <w:r>
        <w:rPr>
          <w:lang w:val="es-PE"/>
        </w:rPr>
        <w:t>CPI</w:t>
      </w:r>
      <w:r>
        <w:rPr>
          <w:vertAlign w:val="subscript"/>
          <w:lang w:val="es-PE"/>
        </w:rPr>
        <w:t>0</w:t>
      </w:r>
      <w:r>
        <w:rPr>
          <w:lang w:val="es-PE"/>
        </w:rPr>
        <w:t>: Para el primer reajuste ordinario el índice base corresponderá al registrado el mes de presentación de la oferta económica de los postores en el concurso. A partir del segundo reajuste ordinario el índice base corresponderá al índice registrado el mes del primer reajuste ordinario.</w:t>
      </w:r>
    </w:p>
    <w:p w14:paraId="72C4AE69" w14:textId="77777777" w:rsidR="004412F1" w:rsidRDefault="004412F1">
      <w:pPr>
        <w:ind w:left="2700" w:hanging="540"/>
        <w:rPr>
          <w:lang w:val="es-PE"/>
        </w:rPr>
      </w:pPr>
    </w:p>
    <w:p w14:paraId="7E63F2EF" w14:textId="77777777" w:rsidR="004412F1" w:rsidRDefault="005A12A3">
      <w:pPr>
        <w:ind w:left="2127" w:hanging="1042"/>
        <w:jc w:val="both"/>
        <w:rPr>
          <w:lang w:val="es-PE"/>
        </w:rPr>
      </w:pPr>
      <w:r>
        <w:rPr>
          <w:lang w:val="es-PE"/>
        </w:rPr>
        <w:t xml:space="preserve">IPC: </w:t>
      </w:r>
      <w:r>
        <w:rPr>
          <w:lang w:val="es-PE"/>
        </w:rPr>
        <w:tab/>
        <w:t>Es el Índice de Precios al Consumidor Mensual de Lima Metropolitana, publicado por el Instituto Nacional de Estadística e Informática (INEI).</w:t>
      </w:r>
    </w:p>
    <w:p w14:paraId="5B6BB508" w14:textId="77777777" w:rsidR="004412F1" w:rsidRDefault="004412F1">
      <w:pPr>
        <w:ind w:left="2127" w:hanging="1042"/>
        <w:rPr>
          <w:lang w:val="es-PE"/>
        </w:rPr>
      </w:pPr>
    </w:p>
    <w:p w14:paraId="4E0CD7A3" w14:textId="77777777" w:rsidR="004412F1" w:rsidRDefault="005A12A3">
      <w:pPr>
        <w:ind w:left="2610"/>
        <w:rPr>
          <w:lang w:val="es-PE"/>
        </w:rPr>
      </w:pPr>
      <w:r>
        <w:rPr>
          <w:lang w:val="es-PE"/>
        </w:rPr>
        <w:t>IPC</w:t>
      </w:r>
      <w:r>
        <w:rPr>
          <w:vertAlign w:val="subscript"/>
          <w:lang w:val="es-PE"/>
        </w:rPr>
        <w:t>i</w:t>
      </w:r>
      <w:r>
        <w:rPr>
          <w:lang w:val="es-PE"/>
        </w:rPr>
        <w:t xml:space="preserve">: Registro del índice de precios del mes anterior disponible al día i. </w:t>
      </w:r>
    </w:p>
    <w:p w14:paraId="5DB958FC" w14:textId="77777777" w:rsidR="004412F1" w:rsidRDefault="005A12A3">
      <w:pPr>
        <w:ind w:left="2632"/>
        <w:jc w:val="both"/>
        <w:rPr>
          <w:lang w:val="es-PE"/>
        </w:rPr>
      </w:pPr>
      <w:r>
        <w:rPr>
          <w:lang w:val="es-PE"/>
        </w:rPr>
        <w:t>IPC</w:t>
      </w:r>
      <w:r>
        <w:rPr>
          <w:vertAlign w:val="subscript"/>
          <w:lang w:val="es-PE"/>
        </w:rPr>
        <w:t>0</w:t>
      </w:r>
      <w:r>
        <w:rPr>
          <w:lang w:val="es-PE"/>
        </w:rPr>
        <w:t>: Para el primer reajuste ordinario el índice base corresponderá al registrado el mes de presentación de la oferta económica de los postores en el concurso. A partir del segundo reajuste ordinario el índice base corresponderá al índice registrado el mes del primer reajuste ordinario.</w:t>
      </w:r>
    </w:p>
    <w:p w14:paraId="2A97B468" w14:textId="77777777" w:rsidR="004412F1" w:rsidRDefault="004412F1">
      <w:pPr>
        <w:ind w:left="2127" w:hanging="1042"/>
        <w:rPr>
          <w:lang w:val="es-PE"/>
        </w:rPr>
      </w:pPr>
    </w:p>
    <w:p w14:paraId="18F0D319" w14:textId="77777777" w:rsidR="004412F1" w:rsidRDefault="005A12A3">
      <w:pPr>
        <w:ind w:left="2127" w:hanging="1042"/>
        <w:jc w:val="both"/>
        <w:rPr>
          <w:lang w:val="es-PE"/>
        </w:rPr>
      </w:pPr>
      <w:r>
        <w:rPr>
          <w:lang w:val="es-PE"/>
        </w:rPr>
        <w:t xml:space="preserve">TC: </w:t>
      </w:r>
      <w:r>
        <w:rPr>
          <w:lang w:val="es-PE"/>
        </w:rPr>
        <w:tab/>
        <w:t xml:space="preserve">Es el Tipo de Cambio, definido en el </w:t>
      </w:r>
      <w:r>
        <w:rPr>
          <w:lang w:val="es-ES"/>
        </w:rPr>
        <w:t xml:space="preserve">Capítulo I del presente </w:t>
      </w:r>
      <w:r>
        <w:rPr>
          <w:lang w:val="es-PE"/>
        </w:rPr>
        <w:t>Contrato.</w:t>
      </w:r>
    </w:p>
    <w:p w14:paraId="69DF2D56" w14:textId="77777777" w:rsidR="004412F1" w:rsidRDefault="004412F1">
      <w:pPr>
        <w:ind w:left="2127" w:hanging="1042"/>
        <w:rPr>
          <w:lang w:val="es-PE"/>
        </w:rPr>
      </w:pPr>
    </w:p>
    <w:p w14:paraId="31DB327B" w14:textId="77777777" w:rsidR="004412F1" w:rsidRDefault="005A12A3">
      <w:pPr>
        <w:ind w:left="2700" w:hanging="180"/>
        <w:rPr>
          <w:lang w:val="es-PE"/>
        </w:rPr>
      </w:pPr>
      <w:r>
        <w:rPr>
          <w:lang w:val="es-PE"/>
        </w:rPr>
        <w:t>TC</w:t>
      </w:r>
      <w:r>
        <w:rPr>
          <w:vertAlign w:val="subscript"/>
          <w:lang w:val="es-PE"/>
        </w:rPr>
        <w:t>i</w:t>
      </w:r>
      <w:r>
        <w:rPr>
          <w:lang w:val="es-PE"/>
        </w:rPr>
        <w:t xml:space="preserve">: Registro del Tipo de Cambio correspondiente al día i. </w:t>
      </w:r>
    </w:p>
    <w:p w14:paraId="412C6449" w14:textId="77777777" w:rsidR="004412F1" w:rsidRDefault="005A12A3">
      <w:pPr>
        <w:ind w:left="2552"/>
        <w:jc w:val="both"/>
        <w:rPr>
          <w:lang w:val="es-PE"/>
        </w:rPr>
      </w:pPr>
      <w:r>
        <w:rPr>
          <w:lang w:val="es-PE"/>
        </w:rPr>
        <w:t>TC</w:t>
      </w:r>
      <w:r>
        <w:rPr>
          <w:vertAlign w:val="subscript"/>
          <w:lang w:val="es-PE"/>
        </w:rPr>
        <w:t>0</w:t>
      </w:r>
      <w:r>
        <w:rPr>
          <w:lang w:val="es-PE"/>
        </w:rPr>
        <w:t>: Para el primer reajuste ordinario el índice base corresponderá al Tipo de Cambio registrado el último día hábil del mes de presentación de la oferta económica de los postores en el concurso. A partir del segundo reajuste ordinario corresponderá al Tipo de Cambio registrado en la fecha del primer reajuste ordinario.</w:t>
      </w:r>
    </w:p>
    <w:p w14:paraId="5F1028EC" w14:textId="77777777" w:rsidR="004412F1" w:rsidRDefault="004412F1">
      <w:pPr>
        <w:tabs>
          <w:tab w:val="left" w:pos="3869"/>
        </w:tabs>
        <w:ind w:left="1085"/>
        <w:jc w:val="both"/>
        <w:rPr>
          <w:lang w:val="es-PE"/>
        </w:rPr>
      </w:pPr>
    </w:p>
    <w:p w14:paraId="09FECEDD" w14:textId="77777777" w:rsidR="004412F1" w:rsidRDefault="005A12A3">
      <w:pPr>
        <w:tabs>
          <w:tab w:val="left" w:pos="3869"/>
        </w:tabs>
        <w:ind w:left="1134"/>
        <w:jc w:val="both"/>
        <w:rPr>
          <w:lang w:val="es-PE"/>
        </w:rPr>
      </w:pPr>
      <w:r>
        <w:rPr>
          <w:lang w:val="es-PE"/>
        </w:rPr>
        <w:t>El primer reajuste ordinario no podrá ser mayor del diez por ciento (10%) con respecto al Peaje vigente (en Soles).</w:t>
      </w:r>
    </w:p>
    <w:p w14:paraId="0F52A1B2" w14:textId="77777777" w:rsidR="004412F1" w:rsidRDefault="004412F1">
      <w:pPr>
        <w:tabs>
          <w:tab w:val="left" w:pos="3869"/>
        </w:tabs>
        <w:ind w:left="1085"/>
        <w:jc w:val="both"/>
        <w:rPr>
          <w:lang w:val="es-PE"/>
        </w:rPr>
      </w:pPr>
    </w:p>
    <w:p w14:paraId="7011DFFC" w14:textId="77777777" w:rsidR="004412F1" w:rsidRDefault="005A12A3">
      <w:pPr>
        <w:numPr>
          <w:ilvl w:val="0"/>
          <w:numId w:val="106"/>
        </w:numPr>
        <w:ind w:hanging="502"/>
        <w:jc w:val="both"/>
        <w:rPr>
          <w:b/>
          <w:color w:val="000000"/>
          <w:lang w:val="es-PE"/>
        </w:rPr>
      </w:pPr>
      <w:r>
        <w:rPr>
          <w:color w:val="000000"/>
          <w:lang w:val="es-CL"/>
        </w:rPr>
        <w:t xml:space="preserve">En la eventualidad de que dentro de un (1) Año Calendario se produzca una variación de más del diez por ciento (10%) desde el último reajuste ordinario, el </w:t>
      </w:r>
      <w:r>
        <w:rPr>
          <w:color w:val="000000"/>
          <w:lang w:val="es-PE"/>
        </w:rPr>
        <w:t xml:space="preserve">CONCEDENTE podrá solicitar al </w:t>
      </w:r>
      <w:r>
        <w:rPr>
          <w:color w:val="000000"/>
          <w:lang w:val="es-CL"/>
        </w:rPr>
        <w:t xml:space="preserve">REGULADOR </w:t>
      </w:r>
      <w:r>
        <w:rPr>
          <w:color w:val="000000"/>
          <w:lang w:val="es-PE"/>
        </w:rPr>
        <w:t>proceder</w:t>
      </w:r>
      <w:r>
        <w:rPr>
          <w:color w:val="000000"/>
          <w:lang w:val="es-CL"/>
        </w:rPr>
        <w:t xml:space="preserve"> a realizar un reajuste extraordinario, dentro de los treinta (30) Días Calendario de </w:t>
      </w:r>
      <w:r>
        <w:rPr>
          <w:color w:val="000000"/>
          <w:lang w:val="es-PE"/>
        </w:rPr>
        <w:t>realizada la referida solicitud</w:t>
      </w:r>
      <w:r>
        <w:rPr>
          <w:color w:val="000000"/>
          <w:lang w:val="es-CL"/>
        </w:rPr>
        <w:t xml:space="preserve">, en el cual el Peaje será fijado incorporando a la fórmula anterior, en el primer componente, el Tipo de Cambio del Día Calendario en que se produzca el reajuste extraordinario. </w:t>
      </w:r>
    </w:p>
    <w:p w14:paraId="78CABAD5" w14:textId="77777777" w:rsidR="004412F1" w:rsidRDefault="004412F1">
      <w:pPr>
        <w:tabs>
          <w:tab w:val="left" w:pos="1134"/>
        </w:tabs>
        <w:ind w:left="993"/>
        <w:jc w:val="both"/>
        <w:rPr>
          <w:lang w:val="es-PE"/>
        </w:rPr>
      </w:pPr>
    </w:p>
    <w:p w14:paraId="146E79FD" w14:textId="77777777" w:rsidR="004412F1" w:rsidRDefault="005A12A3">
      <w:pPr>
        <w:ind w:left="1218"/>
        <w:jc w:val="both"/>
        <w:rPr>
          <w:lang w:val="es-PE"/>
        </w:rPr>
      </w:pPr>
      <w:r>
        <w:rPr>
          <w:lang w:val="es-PE"/>
        </w:rPr>
        <w:t>Para efectuar el cobro en las unidades de peaje, el Peaje aplicable, en Soles, deberá multiplicarse por el número de ejes cobrables y al resultado se le deberá agregar el monto correspondiente al IGV y otros tributos que puedan generarse. El resultado se deberá redondear a los cinco (5) céntimos de Sol hacia abajo. En caso la menor moneda fraccionaria que se encuentre vigente fuere mayor o menor a los cinco (5) céntimos de Sol, se efectuará el redondeo en función de esta moneda.</w:t>
      </w:r>
    </w:p>
    <w:p w14:paraId="6D4A9515" w14:textId="77777777" w:rsidR="004412F1" w:rsidRDefault="004412F1">
      <w:pPr>
        <w:tabs>
          <w:tab w:val="left" w:pos="1134"/>
        </w:tabs>
        <w:ind w:left="993"/>
        <w:jc w:val="both"/>
        <w:rPr>
          <w:b/>
          <w:lang w:val="es-PE"/>
        </w:rPr>
      </w:pPr>
    </w:p>
    <w:p w14:paraId="61462CFB" w14:textId="77777777" w:rsidR="004412F1" w:rsidRDefault="005A12A3">
      <w:pPr>
        <w:numPr>
          <w:ilvl w:val="0"/>
          <w:numId w:val="106"/>
        </w:numPr>
        <w:ind w:hanging="502"/>
        <w:jc w:val="both"/>
        <w:rPr>
          <w:color w:val="000000"/>
          <w:lang w:val="es-PE"/>
        </w:rPr>
      </w:pPr>
      <w:r>
        <w:rPr>
          <w:color w:val="000000"/>
          <w:lang w:val="es-PE"/>
        </w:rPr>
        <w:t>En el marco del reajuste ordinario establecido en la presente Cláusula, las Tarifas Diferenciadas, de existir estas, serán reajustadas manteniendo la proporcionalidad en relación con la Tarifa. Para efectos de redondeo se tendrá en cuenta lo indicado en el párrafo precedente.</w:t>
      </w:r>
    </w:p>
    <w:p w14:paraId="5C3877D1" w14:textId="77777777" w:rsidR="004412F1" w:rsidRDefault="004412F1">
      <w:pPr>
        <w:ind w:left="709"/>
        <w:jc w:val="both"/>
        <w:rPr>
          <w:color w:val="000000"/>
          <w:lang w:val="es-PE"/>
        </w:rPr>
      </w:pPr>
    </w:p>
    <w:p w14:paraId="7D597692" w14:textId="77777777" w:rsidR="004412F1" w:rsidRDefault="005A12A3">
      <w:pPr>
        <w:numPr>
          <w:ilvl w:val="0"/>
          <w:numId w:val="106"/>
        </w:numPr>
        <w:ind w:hanging="502"/>
        <w:jc w:val="both"/>
        <w:rPr>
          <w:b/>
          <w:color w:val="000000"/>
          <w:lang w:val="es-PE"/>
        </w:rPr>
      </w:pPr>
      <w:r>
        <w:rPr>
          <w:color w:val="000000"/>
          <w:lang w:val="es-PE"/>
        </w:rPr>
        <w:t>En función a las Tarifas Diferenciadas que pudiera otorgar el CONCEDENTE durante la vigencia de la Concesión, este se obliga a que la recaudación por las Tarifas Diferenciadas no genere un ingreso superior al tres por ciento (3%) en relación con los ingresos totales anuales recaudados en las unidades de peaje.</w:t>
      </w:r>
    </w:p>
    <w:p w14:paraId="6C26C396" w14:textId="77777777" w:rsidR="004412F1" w:rsidRDefault="004412F1">
      <w:pPr>
        <w:ind w:left="709"/>
        <w:jc w:val="both"/>
        <w:rPr>
          <w:b/>
          <w:color w:val="000000"/>
          <w:lang w:val="es-ES"/>
        </w:rPr>
      </w:pPr>
    </w:p>
    <w:p w14:paraId="262A37C5" w14:textId="77777777" w:rsidR="004412F1" w:rsidRDefault="005A12A3">
      <w:pPr>
        <w:numPr>
          <w:ilvl w:val="0"/>
          <w:numId w:val="106"/>
        </w:numPr>
        <w:ind w:hanging="502"/>
        <w:jc w:val="both"/>
        <w:rPr>
          <w:color w:val="000000"/>
          <w:lang w:val="es-PE"/>
        </w:rPr>
      </w:pPr>
      <w:r>
        <w:rPr>
          <w:color w:val="000000"/>
          <w:lang w:val="es-PE"/>
        </w:rPr>
        <w:t xml:space="preserve">Las Tarifas reajustadas </w:t>
      </w:r>
      <w:proofErr w:type="gramStart"/>
      <w:r>
        <w:rPr>
          <w:color w:val="000000"/>
          <w:lang w:val="es-PE"/>
        </w:rPr>
        <w:t>entrarán en vigencia</w:t>
      </w:r>
      <w:proofErr w:type="gramEnd"/>
      <w:r>
        <w:rPr>
          <w:color w:val="000000"/>
          <w:lang w:val="es-PE"/>
        </w:rPr>
        <w:t xml:space="preserve"> luego que el CONCESIONARIO haya cumplido con la publicación del tarifario, de conformidad con lo establecido en el Artículo 33° del Reglamento General de Tarifas de OSITRAN - RETA.</w:t>
      </w:r>
    </w:p>
    <w:p w14:paraId="3CAA5828" w14:textId="77777777" w:rsidR="004412F1" w:rsidRDefault="004412F1">
      <w:pPr>
        <w:ind w:left="708"/>
        <w:rPr>
          <w:color w:val="000000"/>
          <w:lang w:val="es-PE"/>
        </w:rPr>
      </w:pPr>
    </w:p>
    <w:p w14:paraId="6E04DD55" w14:textId="77777777" w:rsidR="004412F1" w:rsidRDefault="005A12A3">
      <w:pPr>
        <w:pStyle w:val="Ttulo1"/>
        <w:rPr>
          <w:b w:val="0"/>
          <w:bCs w:val="0"/>
          <w:lang w:val="es-PE"/>
        </w:rPr>
      </w:pPr>
      <w:bookmarkStart w:id="1772" w:name="_2zlqixl" w:colFirst="0" w:colLast="0"/>
      <w:bookmarkStart w:id="1773" w:name="_Toc468837658"/>
      <w:bookmarkStart w:id="1774" w:name="_Toc139294757"/>
      <w:bookmarkStart w:id="1775" w:name="_Toc140089355"/>
      <w:bookmarkEnd w:id="1772"/>
      <w:r>
        <w:rPr>
          <w:lang w:val="es-PE"/>
        </w:rPr>
        <w:t>CAPÍTULO X: RÉGIMEN ECONÓMICO</w:t>
      </w:r>
      <w:bookmarkEnd w:id="1747"/>
      <w:r>
        <w:rPr>
          <w:lang w:val="es-PE"/>
        </w:rPr>
        <w:t>- FINANCIERO</w:t>
      </w:r>
      <w:bookmarkEnd w:id="1773"/>
      <w:bookmarkEnd w:id="1774"/>
      <w:bookmarkEnd w:id="1775"/>
    </w:p>
    <w:p w14:paraId="4BABE7CF" w14:textId="77777777" w:rsidR="004412F1" w:rsidRDefault="004412F1">
      <w:pPr>
        <w:ind w:left="709" w:hanging="709"/>
        <w:jc w:val="both"/>
        <w:rPr>
          <w:b/>
          <w:lang w:val="es-PE"/>
        </w:rPr>
      </w:pPr>
    </w:p>
    <w:p w14:paraId="1CE8D9A0" w14:textId="77777777" w:rsidR="004412F1" w:rsidRDefault="005A12A3">
      <w:pPr>
        <w:pStyle w:val="Ttulo2"/>
        <w:ind w:left="0"/>
        <w:jc w:val="both"/>
        <w:rPr>
          <w:rFonts w:eastAsia="SimSun"/>
          <w:b/>
          <w:bCs/>
          <w:lang w:val="es-PE" w:eastAsia="zh-CN"/>
        </w:rPr>
      </w:pPr>
      <w:bookmarkStart w:id="1776" w:name="_1er0t5e" w:colFirst="0" w:colLast="0"/>
      <w:bookmarkStart w:id="1777" w:name="_Toc139294758"/>
      <w:bookmarkStart w:id="1778" w:name="_Toc140089356"/>
      <w:bookmarkEnd w:id="1776"/>
      <w:r>
        <w:rPr>
          <w:rFonts w:ascii="Arial" w:eastAsia="Arial" w:hAnsi="Arial" w:cs="Arial"/>
          <w:b/>
          <w:bCs/>
          <w:u w:val="none"/>
          <w:lang w:val="es-PE"/>
        </w:rPr>
        <w:t>CIERRE FINANCIERO</w:t>
      </w:r>
      <w:bookmarkEnd w:id="1777"/>
      <w:bookmarkEnd w:id="1778"/>
    </w:p>
    <w:p w14:paraId="2BF19868" w14:textId="77777777" w:rsidR="004412F1" w:rsidRDefault="004412F1">
      <w:pPr>
        <w:jc w:val="both"/>
        <w:rPr>
          <w:rFonts w:eastAsia="SimSun"/>
          <w:lang w:val="es-PE" w:eastAsia="zh-CN"/>
        </w:rPr>
      </w:pPr>
      <w:bookmarkStart w:id="1779" w:name="_3yqobt7" w:colFirst="0" w:colLast="0"/>
      <w:bookmarkEnd w:id="1779"/>
    </w:p>
    <w:p w14:paraId="6E7099FB" w14:textId="77777777" w:rsidR="004412F1" w:rsidRDefault="004412F1">
      <w:pPr>
        <w:pStyle w:val="Prrafodelista"/>
        <w:numPr>
          <w:ilvl w:val="0"/>
          <w:numId w:val="102"/>
        </w:numPr>
        <w:contextualSpacing w:val="0"/>
        <w:jc w:val="both"/>
        <w:rPr>
          <w:vanish/>
        </w:rPr>
      </w:pPr>
      <w:bookmarkStart w:id="1780" w:name="_Ref45010310"/>
      <w:bookmarkStart w:id="1781" w:name="_Hlk40853329"/>
    </w:p>
    <w:p w14:paraId="70D027F8" w14:textId="77777777" w:rsidR="004412F1" w:rsidRDefault="005A12A3">
      <w:pPr>
        <w:numPr>
          <w:ilvl w:val="1"/>
          <w:numId w:val="102"/>
        </w:numPr>
        <w:jc w:val="both"/>
        <w:rPr>
          <w:lang w:val="es-PE"/>
        </w:rPr>
      </w:pPr>
      <w:r>
        <w:rPr>
          <w:lang w:val="es-PE"/>
        </w:rPr>
        <w:t xml:space="preserve">La obligación del CONCESIONARIO </w:t>
      </w:r>
      <w:bookmarkStart w:id="1782" w:name="_Toc131329143"/>
      <w:bookmarkStart w:id="1783" w:name="_Toc131327991"/>
      <w:bookmarkStart w:id="1784" w:name="_Toc131332049"/>
      <w:bookmarkStart w:id="1785" w:name="_Toc131328807"/>
      <w:bookmarkStart w:id="1786" w:name="_Toc131332970"/>
      <w:bookmarkStart w:id="1787" w:name="_Toc131329375"/>
      <w:bookmarkStart w:id="1788" w:name="_Toc131329962"/>
      <w:bookmarkEnd w:id="1748"/>
      <w:bookmarkEnd w:id="1749"/>
      <w:bookmarkEnd w:id="1750"/>
      <w:bookmarkEnd w:id="1751"/>
      <w:bookmarkEnd w:id="1752"/>
      <w:bookmarkEnd w:id="1753"/>
      <w:bookmarkEnd w:id="1754"/>
      <w:bookmarkEnd w:id="1755"/>
      <w:r>
        <w:rPr>
          <w:lang w:val="es-PE"/>
        </w:rPr>
        <w:t xml:space="preserve">de alcanzar el Cierre Financiero se entenderá cumplida cuando el CONCESIONARIO acredite que cuenta con compromisos de financiamiento suficientes para realizar las intervenciones de Mantenimiento Periódico Inicial y Rehabilitación y Mejoramiento. </w:t>
      </w:r>
      <w:bookmarkStart w:id="1789" w:name="_Hlk40853339"/>
      <w:r>
        <w:rPr>
          <w:lang w:val="es-PE"/>
        </w:rPr>
        <w:t xml:space="preserve">Sin perjuicio de la acreditación del Cierre Financiero, el CONCESIONARIO tiene la </w:t>
      </w:r>
      <w:bookmarkEnd w:id="1782"/>
      <w:bookmarkEnd w:id="1783"/>
      <w:bookmarkEnd w:id="1784"/>
      <w:bookmarkEnd w:id="1785"/>
      <w:bookmarkEnd w:id="1786"/>
      <w:bookmarkEnd w:id="1787"/>
      <w:bookmarkEnd w:id="1788"/>
      <w:r>
        <w:rPr>
          <w:lang w:val="es-PE"/>
        </w:rPr>
        <w:t>obligación de obtener el íntegro de los fondos necesarios para financiar las obligaciones que se encuentran a su cargo en virtud del Contrato de Concesión.</w:t>
      </w:r>
      <w:bookmarkEnd w:id="1780"/>
      <w:bookmarkEnd w:id="1781"/>
      <w:bookmarkEnd w:id="1789"/>
    </w:p>
    <w:p w14:paraId="7C9A439C" w14:textId="77777777" w:rsidR="004412F1" w:rsidRDefault="004412F1">
      <w:pPr>
        <w:widowControl w:val="0"/>
        <w:ind w:left="720" w:hanging="720"/>
        <w:jc w:val="both"/>
        <w:rPr>
          <w:lang w:val="es-PE"/>
        </w:rPr>
      </w:pPr>
    </w:p>
    <w:p w14:paraId="4520B4E1" w14:textId="77777777" w:rsidR="004412F1" w:rsidRDefault="005A12A3">
      <w:pPr>
        <w:numPr>
          <w:ilvl w:val="1"/>
          <w:numId w:val="102"/>
        </w:numPr>
        <w:jc w:val="both"/>
        <w:rPr>
          <w:lang w:val="es-PE"/>
        </w:rPr>
      </w:pPr>
      <w:r>
        <w:rPr>
          <w:lang w:val="es-PE"/>
        </w:rPr>
        <w:t>Para efectos del Contrato de Concesión, se realizarán dos cierres financieros correspondientes a las intervenciones de Mantenimiento Periódico Inicial y Rehabilitación y Mejoramiento, respectivamente. El Cierre Financiero correspondiente a las intervenciones de MPI considerará el monto aprobado en el Expediente Técnico (ET); mientras que, el Cierre Financiero correspondiente a las intervenciones de RyM considerará el monto aprobado en el Estudio Definitivo de Ingeniería (EDI).</w:t>
      </w:r>
    </w:p>
    <w:p w14:paraId="12C7E34C" w14:textId="77777777" w:rsidR="004412F1" w:rsidRDefault="004412F1">
      <w:pPr>
        <w:widowControl w:val="0"/>
        <w:ind w:left="720" w:hanging="720"/>
        <w:jc w:val="both"/>
        <w:rPr>
          <w:lang w:val="es-PE"/>
        </w:rPr>
      </w:pPr>
    </w:p>
    <w:p w14:paraId="19679FFF" w14:textId="4A299F5F" w:rsidR="004412F1" w:rsidRDefault="005A12A3">
      <w:pPr>
        <w:suppressLineNumbers/>
        <w:suppressAutoHyphens/>
        <w:ind w:left="720"/>
        <w:jc w:val="both"/>
        <w:rPr>
          <w:lang w:val="es-PE"/>
        </w:rPr>
      </w:pPr>
      <w:r>
        <w:rPr>
          <w:lang w:val="es-PE"/>
        </w:rPr>
        <w:t>En un plazo máximo de dos (02) meses, contados desde la fecha de conformidad del Expediente Técnico, el CONCESIONARIO deberá presentar los documentos señalados en l</w:t>
      </w:r>
      <w:r w:rsidR="00043489">
        <w:rPr>
          <w:lang w:val="es-PE"/>
        </w:rPr>
        <w:t>a</w:t>
      </w:r>
      <w:r>
        <w:rPr>
          <w:lang w:val="es-PE"/>
        </w:rPr>
        <w:t xml:space="preserve"> </w:t>
      </w:r>
      <w:r w:rsidR="00043489">
        <w:rPr>
          <w:lang w:val="es-PE"/>
        </w:rPr>
        <w:t xml:space="preserve">Cláusula </w:t>
      </w:r>
      <w:r>
        <w:rPr>
          <w:lang w:val="es-PE"/>
        </w:rPr>
        <w:t>10.4, y en un plazo máximo de cuatro (04) meses, contados desde la fecha de conformidad del Expediente Técnico, obtener la conformidad del cierre financiero ante PROINVERSIÓN para las intervenciones del Mantenimiento Periódico Inicial.</w:t>
      </w:r>
    </w:p>
    <w:p w14:paraId="3771B4C2" w14:textId="77777777" w:rsidR="004412F1" w:rsidRDefault="004412F1">
      <w:pPr>
        <w:widowControl w:val="0"/>
        <w:ind w:left="720"/>
        <w:jc w:val="both"/>
        <w:rPr>
          <w:lang w:val="es-PE"/>
        </w:rPr>
      </w:pPr>
    </w:p>
    <w:p w14:paraId="20303605" w14:textId="16340585" w:rsidR="004412F1" w:rsidRDefault="005A12A3">
      <w:pPr>
        <w:widowControl w:val="0"/>
        <w:ind w:left="720"/>
        <w:jc w:val="both"/>
        <w:rPr>
          <w:lang w:val="es-PE"/>
        </w:rPr>
      </w:pPr>
      <w:r>
        <w:rPr>
          <w:lang w:val="es-PE"/>
        </w:rPr>
        <w:t>En un plazo máximo de  dos (02) meses, contados desde la fecha de  conformidad del Estudio Definitivo de Ingeniería, el CONCESIONARIO deberá presentar los documentos señalados en l</w:t>
      </w:r>
      <w:r w:rsidR="00043489">
        <w:rPr>
          <w:lang w:val="es-PE"/>
        </w:rPr>
        <w:t>a</w:t>
      </w:r>
      <w:r>
        <w:rPr>
          <w:lang w:val="es-PE"/>
        </w:rPr>
        <w:t xml:space="preserve"> </w:t>
      </w:r>
      <w:r w:rsidR="00043489">
        <w:rPr>
          <w:lang w:val="es-PE"/>
        </w:rPr>
        <w:t>Cláusula</w:t>
      </w:r>
      <w:r>
        <w:rPr>
          <w:lang w:val="es-PE"/>
        </w:rPr>
        <w:t xml:space="preserve"> 10.4, y en un plazo máximo de cuatro (04) meses, contados desde la fecha de conformidad del Expediente Definitivo de Ingeniería, obtener la conformidad del cierre financiero ante PROINVERSIÓN para las intervenciones de la Rehabilitación y Mejoramiento, en los términos y condiciones establecidos en el presente Capítulo.</w:t>
      </w:r>
    </w:p>
    <w:p w14:paraId="7495127D" w14:textId="77777777" w:rsidR="004412F1" w:rsidRDefault="004412F1">
      <w:pPr>
        <w:widowControl w:val="0"/>
        <w:ind w:left="720" w:hanging="720"/>
        <w:jc w:val="both"/>
        <w:rPr>
          <w:lang w:val="es-PE"/>
        </w:rPr>
      </w:pPr>
    </w:p>
    <w:p w14:paraId="15F339DA" w14:textId="77777777" w:rsidR="004412F1" w:rsidRDefault="005A12A3">
      <w:pPr>
        <w:ind w:left="720"/>
        <w:jc w:val="both"/>
        <w:rPr>
          <w:lang w:val="es-PE"/>
        </w:rPr>
      </w:pPr>
      <w:r>
        <w:rPr>
          <w:lang w:val="es-PE"/>
        </w:rPr>
        <w:t xml:space="preserve">En caso de que el CONCESIONARIO determine que no podrá entregar a PROINVERSION los documentos necesarios para la conformidad del Cierre Financiero, dentro de un plazo máximo de dos (02) meses contados desde la conformidad del Expediente Técnico o del Estudio Definitivo de Ingeniería, según corresponda, podrá solicitar al CONCEDENTE con copia a PROINVERSIÓN un plazo adicional de hasta noventa (90) Días Calendario para obtener la conformidad del Cierre Financiero. Dicha solicitud deberá ser presentada como </w:t>
      </w:r>
      <w:r>
        <w:rPr>
          <w:lang w:val="es-PE"/>
        </w:rPr>
        <w:lastRenderedPageBreak/>
        <w:t>máximo a los dos (2) meses después de aprobado el EDI o el ET según corresponda. El CONCEDENTE tendrá un plazo de quince (15) Días para evaluar la solicitud, pudiendo solicitar información adicional o realizar las observaciones que considere pertinentes. El CONCESIONARIO tendrá un plazo de cinco (5) Días para presentar la información solicitada o absolver las observaciones. Una vez recibida la respuesta del CONCESIONARIO, el CONCEDENTE tendrá un plazo de cinco (5) Días para resolver la solicitud presentada. En caso el CONCEDENTE no emita su respuesta dentro de los plazos regulados en la presente Cláusula, se entenderá que este ha denegado la solicitud de ampliación de plazo de forma tácita</w:t>
      </w:r>
    </w:p>
    <w:p w14:paraId="2EFF1E2A" w14:textId="77777777" w:rsidR="004412F1" w:rsidRDefault="004412F1">
      <w:pPr>
        <w:ind w:left="720" w:hanging="720"/>
        <w:jc w:val="both"/>
        <w:rPr>
          <w:lang w:val="es-PE"/>
        </w:rPr>
      </w:pPr>
    </w:p>
    <w:p w14:paraId="0C34ED0E" w14:textId="77777777" w:rsidR="004412F1" w:rsidRDefault="005A12A3">
      <w:pPr>
        <w:ind w:left="720"/>
        <w:jc w:val="both"/>
        <w:rPr>
          <w:lang w:val="es-PE"/>
        </w:rPr>
      </w:pPr>
      <w:r>
        <w:rPr>
          <w:lang w:val="es-PE"/>
        </w:rPr>
        <w:t>Asimismo, si el CONCESIONARIO no ha obtenido el Cierre Financiero, el CONCEDENTE podrá invocar la Terminación por incumplimiento no subsanable del CONCESIONARIO conforme lo establecido en el Capítulo XVII.</w:t>
      </w:r>
    </w:p>
    <w:p w14:paraId="6576E39D" w14:textId="77777777" w:rsidR="004412F1" w:rsidRDefault="004412F1">
      <w:pPr>
        <w:ind w:left="720"/>
        <w:jc w:val="both"/>
        <w:rPr>
          <w:lang w:val="es-PE"/>
        </w:rPr>
      </w:pPr>
    </w:p>
    <w:p w14:paraId="1D06DA59" w14:textId="77777777" w:rsidR="004412F1" w:rsidRDefault="005A12A3">
      <w:pPr>
        <w:numPr>
          <w:ilvl w:val="1"/>
          <w:numId w:val="102"/>
        </w:numPr>
        <w:jc w:val="both"/>
        <w:rPr>
          <w:lang w:val="es-PE"/>
        </w:rPr>
      </w:pPr>
      <w:bookmarkStart w:id="1790" w:name="_Ref47388223"/>
      <w:r>
        <w:rPr>
          <w:lang w:val="es-PE"/>
        </w:rPr>
        <w:t>Cualquier operación de financiamiento del CONCESIONARIO no podrá tener como efecto, directo o indirecto, eximirlo de su obligación de cumplir con todas y cada una de las disposiciones del Contrato de Concesión y de las Leyes y Disposiciones Aplicables.</w:t>
      </w:r>
      <w:bookmarkEnd w:id="1790"/>
    </w:p>
    <w:p w14:paraId="2AF359C8" w14:textId="77777777" w:rsidR="004412F1" w:rsidRDefault="005A12A3">
      <w:pPr>
        <w:jc w:val="both"/>
        <w:rPr>
          <w:lang w:val="es-PE"/>
        </w:rPr>
      </w:pPr>
      <w:r>
        <w:rPr>
          <w:lang w:val="es-PE"/>
        </w:rPr>
        <w:tab/>
      </w:r>
    </w:p>
    <w:p w14:paraId="54C81224" w14:textId="77777777" w:rsidR="004412F1" w:rsidRDefault="005A12A3">
      <w:pPr>
        <w:pStyle w:val="Ttulo2"/>
        <w:ind w:left="0"/>
        <w:rPr>
          <w:b/>
          <w:bCs/>
          <w:lang w:val="es-PE"/>
        </w:rPr>
      </w:pPr>
      <w:bookmarkStart w:id="1791" w:name="_c2owt37o6zou" w:colFirst="0" w:colLast="0"/>
      <w:bookmarkStart w:id="1792" w:name="_Toc139294759"/>
      <w:bookmarkStart w:id="1793" w:name="_Toc140089357"/>
      <w:bookmarkEnd w:id="1791"/>
      <w:r>
        <w:rPr>
          <w:rFonts w:ascii="Arial" w:eastAsia="Arial" w:hAnsi="Arial" w:cs="Arial"/>
          <w:b/>
          <w:bCs/>
          <w:u w:val="none"/>
          <w:lang w:val="es-PE"/>
        </w:rPr>
        <w:t>PROCEDIMIENTO DE CONFORMIDAD DE LOS CIERRES FINANCIEROS</w:t>
      </w:r>
      <w:bookmarkEnd w:id="1792"/>
      <w:bookmarkEnd w:id="1793"/>
    </w:p>
    <w:p w14:paraId="1A6CC9AB" w14:textId="77777777" w:rsidR="004412F1" w:rsidRDefault="004412F1">
      <w:pPr>
        <w:ind w:left="720"/>
        <w:jc w:val="both"/>
        <w:rPr>
          <w:lang w:val="es-PE"/>
        </w:rPr>
      </w:pPr>
    </w:p>
    <w:p w14:paraId="5A816FC0" w14:textId="77777777" w:rsidR="004412F1" w:rsidRDefault="005A12A3">
      <w:pPr>
        <w:numPr>
          <w:ilvl w:val="1"/>
          <w:numId w:val="102"/>
        </w:numPr>
        <w:jc w:val="both"/>
        <w:rPr>
          <w:lang w:val="es-PE"/>
        </w:rPr>
      </w:pPr>
      <w:bookmarkStart w:id="1794" w:name="_vnnd2c5txsq2"/>
      <w:bookmarkEnd w:id="1794"/>
      <w:r>
        <w:rPr>
          <w:lang w:val="es-PE"/>
        </w:rPr>
        <w:t xml:space="preserve">Para obtener la conformidad de cada Cierre Financiero, el CONCESIONARIO solicitará a PROINVERSIÓN, con copia al CONCEDENTE, su conformidad al Cierre Financiero respectivo, presentando como mínimo, los siguientes documentos, según corresponda: </w:t>
      </w:r>
    </w:p>
    <w:p w14:paraId="32A8EF4B" w14:textId="77777777" w:rsidR="004412F1" w:rsidRDefault="004412F1">
      <w:pPr>
        <w:rPr>
          <w:color w:val="000000"/>
          <w:lang w:val="es-PE"/>
        </w:rPr>
      </w:pPr>
    </w:p>
    <w:p w14:paraId="15F0E238" w14:textId="77777777" w:rsidR="004412F1" w:rsidRDefault="005A12A3">
      <w:pPr>
        <w:numPr>
          <w:ilvl w:val="0"/>
          <w:numId w:val="107"/>
        </w:numPr>
        <w:ind w:left="1134" w:hanging="425"/>
        <w:jc w:val="both"/>
        <w:rPr>
          <w:lang w:val="es-PE"/>
        </w:rPr>
      </w:pPr>
      <w:r>
        <w:rPr>
          <w:color w:val="000000"/>
          <w:lang w:val="es-PE"/>
        </w:rPr>
        <w:t>Resumen ejecutivo que reseñe la cuantía de los montos comprometidos en cada uno de los contratos de crédito, contratos de financiamiento y/o contrato de emisión de obligaciones</w:t>
      </w:r>
    </w:p>
    <w:p w14:paraId="55234D3E" w14:textId="77777777" w:rsidR="004412F1" w:rsidRDefault="005A12A3">
      <w:pPr>
        <w:numPr>
          <w:ilvl w:val="0"/>
          <w:numId w:val="107"/>
        </w:numPr>
        <w:ind w:left="1134" w:hanging="425"/>
        <w:jc w:val="both"/>
        <w:rPr>
          <w:lang w:val="es-PE"/>
        </w:rPr>
      </w:pPr>
      <w:r>
        <w:rPr>
          <w:lang w:val="es-PE"/>
        </w:rPr>
        <w:t xml:space="preserve">Para el Cierre Financiero asociado a las intervenciones de Mantenimiento Periódico Inicial, deberá presentar un documento que acredite el pago en efectivo del cien por ciento (100%) del capital social mínimo suscrito y pagado en efectivo, conforme a lo indicado en el </w:t>
      </w:r>
      <w:r>
        <w:rPr>
          <w:color w:val="000000"/>
          <w:lang w:val="es-PE"/>
        </w:rPr>
        <w:t>Literal b) de la Cláusula 3.3</w:t>
      </w:r>
      <w:r>
        <w:rPr>
          <w:lang w:val="es-PE"/>
        </w:rPr>
        <w:t xml:space="preserve"> del Contrato de Concesión. Este capital mínimo deberá seguir vigente para el Cierre Financiero asociado a las intervenciones de Rehabilitación y Mantenimiento.</w:t>
      </w:r>
    </w:p>
    <w:p w14:paraId="465727A1" w14:textId="77777777" w:rsidR="004412F1" w:rsidRDefault="005A12A3">
      <w:pPr>
        <w:numPr>
          <w:ilvl w:val="0"/>
          <w:numId w:val="107"/>
        </w:numPr>
        <w:ind w:left="1134" w:hanging="425"/>
        <w:jc w:val="both"/>
        <w:rPr>
          <w:lang w:val="es-PE"/>
        </w:rPr>
      </w:pPr>
      <w:r>
        <w:rPr>
          <w:color w:val="000000"/>
          <w:lang w:val="es-PE"/>
        </w:rPr>
        <w:t xml:space="preserve">Copia legalizada notarialmente de los contratos de financiamiento, garantías, fideicomisos y en general cualquier texto contractual relevante que el CONCESIONARIO </w:t>
      </w:r>
      <w:r>
        <w:rPr>
          <w:lang w:val="es-PE"/>
        </w:rPr>
        <w:t>haya acordado con terceros que participarán en operaciones de financiamiento de la Concesión; y/o,</w:t>
      </w:r>
    </w:p>
    <w:p w14:paraId="189818BE" w14:textId="77777777" w:rsidR="004412F1" w:rsidRDefault="005A12A3">
      <w:pPr>
        <w:numPr>
          <w:ilvl w:val="0"/>
          <w:numId w:val="107"/>
        </w:numPr>
        <w:ind w:left="1134" w:hanging="425"/>
        <w:jc w:val="both"/>
        <w:rPr>
          <w:lang w:val="es-PE"/>
        </w:rPr>
      </w:pPr>
      <w:r>
        <w:rPr>
          <w:color w:val="000000"/>
          <w:lang w:val="es-PE"/>
        </w:rPr>
        <w:t xml:space="preserve">Copia legalizada notarialmente de los contratos de financiamiento, garantías, fideicomisos y en general cualquier texto contractual relevante que el CONCESIONARIO </w:t>
      </w:r>
      <w:r>
        <w:rPr>
          <w:lang w:val="es-PE"/>
        </w:rPr>
        <w:t>haya acordado con Empresas Vinculadas a este</w:t>
      </w:r>
      <w:r>
        <w:rPr>
          <w:color w:val="000000"/>
          <w:lang w:val="es-PE"/>
        </w:rPr>
        <w:t>.</w:t>
      </w:r>
    </w:p>
    <w:p w14:paraId="1DF9EEEB" w14:textId="77777777" w:rsidR="004412F1" w:rsidRDefault="005A12A3">
      <w:pPr>
        <w:numPr>
          <w:ilvl w:val="0"/>
          <w:numId w:val="107"/>
        </w:numPr>
        <w:ind w:left="1134" w:hanging="425"/>
        <w:jc w:val="both"/>
        <w:rPr>
          <w:lang w:val="es-PE"/>
        </w:rPr>
      </w:pPr>
      <w:r>
        <w:rPr>
          <w:color w:val="000000"/>
          <w:lang w:val="es-PE"/>
        </w:rPr>
        <w:t>Documentos que acrediten la suscripción y pago íntegro en efectivo de cualquier incremento del capital social por un monto mayor al mínimo indicado en el Literal b) de la Cláusula 3.3 del Contrato de Concesión.</w:t>
      </w:r>
    </w:p>
    <w:p w14:paraId="184F6233" w14:textId="77777777" w:rsidR="004412F1" w:rsidRDefault="005A12A3">
      <w:pPr>
        <w:numPr>
          <w:ilvl w:val="0"/>
          <w:numId w:val="107"/>
        </w:numPr>
        <w:ind w:left="1134" w:hanging="425"/>
        <w:jc w:val="both"/>
        <w:rPr>
          <w:lang w:val="es-PE"/>
        </w:rPr>
      </w:pPr>
      <w:r>
        <w:rPr>
          <w:lang w:val="es-PE"/>
        </w:rPr>
        <w:t xml:space="preserve">En caso el Cierre Financiero sea acreditado a través de una emisión de valores mobiliarios, instrumentos de deuda, titulización y/o cualquier forma de financiamiento en el mercado de capitales, sean estos nacionales y/o internacionales, el CONCESIONARIO deberá entregar a PROINVERSIÓN copias legalizadas notariales de los respectivos contratos marco de emisión o contratos equivalentes en otras jurisdicciones y/o los respectivos contratos de compraventa de RPI, PAMPI o instrumentos de deuda o contratos </w:t>
      </w:r>
      <w:r>
        <w:rPr>
          <w:lang w:val="es-PE"/>
        </w:rPr>
        <w:lastRenderedPageBreak/>
        <w:t>equivalentes en otras jurisdicciones. Sin perjuicio de lo anterior, de forma posterior a la acreditación del Cierre Financiero y a más tardar dentro de los diez (10) Días Hábiles después de la firma del Acta de Inicio de Obra correspondiente a la Intervención aplicable a dicho Cierre Financiero, el CONCESIONARIO deberá entregar a PROINVERSIÓN copia legalizada notarial de cualquier contrato o documentación complementaria a la documentación señalada en el presente párrafo que no hubiese sido suscrita a la fecha de presentación de la acreditación del Cierre Financiero ante PROINVERSIÓN.</w:t>
      </w:r>
    </w:p>
    <w:p w14:paraId="3876F42D" w14:textId="77777777" w:rsidR="004412F1" w:rsidRDefault="004412F1">
      <w:pPr>
        <w:ind w:left="720"/>
        <w:jc w:val="both"/>
        <w:rPr>
          <w:lang w:val="es-PE"/>
        </w:rPr>
      </w:pPr>
    </w:p>
    <w:p w14:paraId="46823E49" w14:textId="77777777" w:rsidR="004412F1" w:rsidRDefault="005A12A3">
      <w:pPr>
        <w:numPr>
          <w:ilvl w:val="1"/>
          <w:numId w:val="102"/>
        </w:numPr>
        <w:jc w:val="both"/>
        <w:rPr>
          <w:lang w:val="es-PE"/>
        </w:rPr>
      </w:pPr>
      <w:bookmarkStart w:id="1795" w:name="_kgl5i8wmfwko" w:colFirst="0" w:colLast="0"/>
      <w:bookmarkEnd w:id="1795"/>
      <w:r>
        <w:rPr>
          <w:lang w:val="es-PE"/>
        </w:rPr>
        <w:t xml:space="preserve">Recibida la solicitud del CONCESIONARIO, en los términos señalados en los numerales precedentes, PROINVERSIÓN otorgará la conformidad del Cierre Financiero, en un plazo máximo de sesenta (60) Días Calendario contados desde la fecha de presentación </w:t>
      </w:r>
      <w:proofErr w:type="gramStart"/>
      <w:r>
        <w:rPr>
          <w:lang w:val="es-PE"/>
        </w:rPr>
        <w:t>del mismo</w:t>
      </w:r>
      <w:proofErr w:type="gramEnd"/>
      <w:r>
        <w:rPr>
          <w:lang w:val="es-PE"/>
        </w:rPr>
        <w:t xml:space="preserve"> por parte del CONCESIONARIO, en los términos y condiciones establecidos en el presente Capítulo. PROINVERSIÓN en un plazo máximo de siete (7) Días deberá revisar que el íntegro de los documentos mencionados en la cláusula precedente han sido presentados. En caso de que PROINVERSIÓN considere que la documentación presentada por el CONCESIONARIO no se encuentra completa, podrá observar la solicitud, brindando un plazo máximo de cinco (5) Días para completar la documentación solicitada. Este plazo adicional no será considerado dentro de los dos (02) meses calendario dispuestos como plazo para la conformidad del cierre financiero por parte de PROINVERSIÓN, en la presente cláusula. Una vez completada la solicitud con el íntegro de la documentación requerida en la cláusula precedente, PROINVERSIÓN procederá a revisar el contenido de la documentación presentada.</w:t>
      </w:r>
    </w:p>
    <w:p w14:paraId="0D9C4B7E" w14:textId="77777777" w:rsidR="004412F1" w:rsidRDefault="004412F1">
      <w:pPr>
        <w:widowControl w:val="0"/>
        <w:ind w:left="709"/>
        <w:jc w:val="both"/>
        <w:rPr>
          <w:rFonts w:cstheme="minorHAnsi"/>
          <w:sz w:val="20"/>
          <w:szCs w:val="20"/>
          <w:lang w:val="es-PE"/>
        </w:rPr>
      </w:pPr>
    </w:p>
    <w:p w14:paraId="4008D380" w14:textId="77777777" w:rsidR="004412F1" w:rsidRDefault="005A12A3">
      <w:pPr>
        <w:numPr>
          <w:ilvl w:val="1"/>
          <w:numId w:val="102"/>
        </w:numPr>
        <w:suppressLineNumbers/>
        <w:suppressAutoHyphens/>
        <w:jc w:val="both"/>
        <w:rPr>
          <w:lang w:val="es-PE"/>
        </w:rPr>
      </w:pPr>
      <w:bookmarkStart w:id="1796" w:name="_Ref45010232"/>
      <w:r>
        <w:rPr>
          <w:lang w:val="es-PE"/>
        </w:rPr>
        <w:t xml:space="preserve">PROINVERSIÓN deberá emitir su conformidad al contenido de la información en </w:t>
      </w:r>
      <w:bookmarkEnd w:id="1796"/>
      <w:r>
        <w:rPr>
          <w:lang w:val="es-PE"/>
        </w:rPr>
        <w:t xml:space="preserve">el plazo señalado en la cláusula 10.5 del presente Contrato. En caso de existir observaciones, deberá emitirlas en un plazo máximo de quince (15) DÍas. </w:t>
      </w:r>
    </w:p>
    <w:p w14:paraId="2DA6AE37" w14:textId="77777777" w:rsidR="004412F1" w:rsidRDefault="004412F1">
      <w:pPr>
        <w:pStyle w:val="Prrafodelista"/>
        <w:rPr>
          <w:rFonts w:asciiTheme="minorHAnsi" w:hAnsiTheme="minorHAnsi"/>
          <w:sz w:val="20"/>
          <w:lang w:val="es-ES"/>
        </w:rPr>
      </w:pPr>
    </w:p>
    <w:p w14:paraId="6E765037" w14:textId="77777777" w:rsidR="004412F1" w:rsidRDefault="005A12A3">
      <w:pPr>
        <w:numPr>
          <w:ilvl w:val="1"/>
          <w:numId w:val="102"/>
        </w:numPr>
        <w:jc w:val="both"/>
        <w:rPr>
          <w:lang w:val="es-PE"/>
        </w:rPr>
      </w:pPr>
      <w:r>
        <w:rPr>
          <w:lang w:val="es-PE"/>
        </w:rPr>
        <w:t>En caso PROINVERSIÓN no emita su respuesta dentro de los plazos regulados en la Cláusula 10.5, se entenderá que se le ha dado la conformidad a la misma de forma tácita y deberá comunicarlo dentro del plazo máximo de dos (2) Días de manera simultánea al CONCEDENTE y al CONCESIONARIO, con copia al Ministerio de Economía y Finanzas, los documentos que acrediten el Cierre Financiero, conforme a las Leyes y Disposiciones Aplicables</w:t>
      </w:r>
      <w:r>
        <w:rPr>
          <w:lang w:val="es-ES"/>
        </w:rPr>
        <w:t>.</w:t>
      </w:r>
    </w:p>
    <w:p w14:paraId="4BF03ED2" w14:textId="77777777" w:rsidR="004412F1" w:rsidRDefault="004412F1">
      <w:pPr>
        <w:pStyle w:val="Prrafodelista"/>
        <w:rPr>
          <w:rFonts w:asciiTheme="minorHAnsi" w:hAnsiTheme="minorHAnsi" w:cstheme="minorHAnsi"/>
          <w:sz w:val="20"/>
          <w:szCs w:val="20"/>
          <w:lang w:val="es-PE"/>
        </w:rPr>
      </w:pPr>
    </w:p>
    <w:p w14:paraId="5AA6ED68" w14:textId="77777777" w:rsidR="004412F1" w:rsidRDefault="005A12A3">
      <w:pPr>
        <w:numPr>
          <w:ilvl w:val="1"/>
          <w:numId w:val="102"/>
        </w:numPr>
        <w:jc w:val="both"/>
        <w:rPr>
          <w:lang w:val="es-PE"/>
        </w:rPr>
      </w:pPr>
      <w:bookmarkStart w:id="1797" w:name="_Ref46815263"/>
      <w:bookmarkStart w:id="1798" w:name="_Hlk40853406"/>
      <w:r>
        <w:rPr>
          <w:lang w:val="es-PE"/>
        </w:rPr>
        <w:t>En caso de existir observaciones, el CONCESIONARIO tendrá cinco (5) Días para subsanarlas y remitir la documentación correspondiente a PROINVERSION.  Luego de transcurrido dicho plazo o de recibida la documentación, PROINVERSION tendrá el término remanente del plazo correspondiente, mencionado en las cláusulas 10.5 y 10.6, para comunicar al CONCEDENTE el resultado de la evaluación de la acreditación del Cierre Financiero del CONCESIONARIO.</w:t>
      </w:r>
      <w:bookmarkEnd w:id="1797"/>
      <w:r>
        <w:rPr>
          <w:lang w:val="es-PE"/>
        </w:rPr>
        <w:t xml:space="preserve"> </w:t>
      </w:r>
      <w:bookmarkStart w:id="1799" w:name="_Hlk40853411"/>
      <w:bookmarkEnd w:id="1798"/>
    </w:p>
    <w:p w14:paraId="50EE96EE" w14:textId="77777777" w:rsidR="004412F1" w:rsidRDefault="004412F1">
      <w:pPr>
        <w:ind w:left="720" w:hanging="720"/>
        <w:jc w:val="both"/>
        <w:rPr>
          <w:rFonts w:asciiTheme="minorHAnsi" w:hAnsiTheme="minorHAnsi" w:cstheme="minorHAnsi"/>
          <w:sz w:val="20"/>
          <w:szCs w:val="20"/>
          <w:lang w:val="es-PE"/>
        </w:rPr>
      </w:pPr>
    </w:p>
    <w:p w14:paraId="6C2114BB" w14:textId="77777777" w:rsidR="004412F1" w:rsidRDefault="005A12A3">
      <w:pPr>
        <w:numPr>
          <w:ilvl w:val="1"/>
          <w:numId w:val="102"/>
        </w:numPr>
        <w:jc w:val="both"/>
        <w:rPr>
          <w:lang w:val="es-PE"/>
        </w:rPr>
      </w:pPr>
      <w:r>
        <w:rPr>
          <w:lang w:val="es-PE"/>
        </w:rPr>
        <w:t xml:space="preserve">La no subsanación de observaciones comunicadas al CONCESIONARIO dentro de los plazos establecidos en las Cláusulas </w:t>
      </w:r>
      <w:proofErr w:type="gramStart"/>
      <w:r>
        <w:rPr>
          <w:lang w:val="es-PE"/>
        </w:rPr>
        <w:t>precedentes,</w:t>
      </w:r>
      <w:proofErr w:type="gramEnd"/>
      <w:r>
        <w:rPr>
          <w:lang w:val="es-PE"/>
        </w:rPr>
        <w:t xml:space="preserve"> será considerada un incumplimiento en la acreditación del Cierre Financiero.</w:t>
      </w:r>
    </w:p>
    <w:p w14:paraId="4C2535D4" w14:textId="77777777" w:rsidR="004412F1" w:rsidRDefault="004412F1">
      <w:pPr>
        <w:widowControl w:val="0"/>
        <w:ind w:left="720" w:hanging="720"/>
        <w:jc w:val="both"/>
        <w:rPr>
          <w:lang w:val="es-PE"/>
        </w:rPr>
      </w:pPr>
    </w:p>
    <w:p w14:paraId="4A8EF56F" w14:textId="77777777" w:rsidR="004412F1" w:rsidRDefault="005A12A3">
      <w:pPr>
        <w:numPr>
          <w:ilvl w:val="1"/>
          <w:numId w:val="102"/>
        </w:numPr>
        <w:jc w:val="both"/>
        <w:rPr>
          <w:lang w:val="es-PE"/>
        </w:rPr>
      </w:pPr>
      <w:bookmarkStart w:id="1800" w:name="_Hlk40853424"/>
      <w:bookmarkEnd w:id="1799"/>
      <w:r>
        <w:rPr>
          <w:lang w:val="es-PE"/>
        </w:rPr>
        <w:t xml:space="preserve">PROINVERSION revisará: </w:t>
      </w:r>
      <w:bookmarkStart w:id="1801" w:name="_Hlk42888034"/>
      <w:r>
        <w:rPr>
          <w:lang w:val="es-PE"/>
        </w:rPr>
        <w:t xml:space="preserve">(i) que la documentación presentada por el CONCESIONARIO conforme a la cláusula 10.4 del Contrato de Concesión se encuentre completa y debidamente firmada por las personas que cuentan con facultades o poderes suficientes para ello;, (ii) que el importe del contrato de financiamiento sea igual o mayor al exigido para la conformidad  del Cierre </w:t>
      </w:r>
      <w:r>
        <w:rPr>
          <w:lang w:val="es-PE"/>
        </w:rPr>
        <w:lastRenderedPageBreak/>
        <w:t>Financiero conforme a lo establecido en la cláusula 10.2; y, (iii) que el contrato de financiamiento sea firme, entendiéndose por ello que se han cumplido con todas las condiciones previas para la firma del contrato ya que el mismo se encuentra suscrito por personas que cuentan con facultades suficientes para ello</w:t>
      </w:r>
      <w:bookmarkEnd w:id="1800"/>
      <w:bookmarkEnd w:id="1801"/>
      <w:r>
        <w:rPr>
          <w:lang w:val="es-PE"/>
        </w:rPr>
        <w:t>.</w:t>
      </w:r>
    </w:p>
    <w:p w14:paraId="696A80FB" w14:textId="77777777" w:rsidR="004412F1" w:rsidRDefault="004412F1">
      <w:pPr>
        <w:widowControl w:val="0"/>
        <w:ind w:left="720" w:hanging="720"/>
        <w:jc w:val="both"/>
        <w:rPr>
          <w:lang w:val="es-PE"/>
        </w:rPr>
      </w:pPr>
    </w:p>
    <w:p w14:paraId="35E31F56" w14:textId="77777777" w:rsidR="004412F1" w:rsidRDefault="005A12A3">
      <w:pPr>
        <w:numPr>
          <w:ilvl w:val="1"/>
          <w:numId w:val="102"/>
        </w:numPr>
        <w:jc w:val="both"/>
        <w:rPr>
          <w:rFonts w:eastAsia="Times New Roman"/>
          <w:bCs/>
          <w:szCs w:val="18"/>
          <w:lang w:val="es-ES" w:eastAsia="es-ES"/>
        </w:rPr>
      </w:pPr>
      <w:r>
        <w:rPr>
          <w:lang w:val="es-PE"/>
        </w:rPr>
        <w:t>Una vez que PROINVERSIÓN tenga su pronunciamiento respecto a la solicitud de acreditación del Cierre Financiero, deberá comunicarlo dentro del plazo máximo de dos (2) Días de manera simultánea al CONCEDENTE y al CONCESIONARIO, con copia al Ministerio de Economía y Finanzas, los documentos que acrediten el Cierre Financiero, conforme a las Leyes y Disposiciones Aplicables.</w:t>
      </w:r>
    </w:p>
    <w:p w14:paraId="6535ED46" w14:textId="77777777" w:rsidR="004412F1" w:rsidRDefault="004412F1">
      <w:pPr>
        <w:widowControl w:val="0"/>
        <w:ind w:left="720" w:hanging="720"/>
        <w:jc w:val="both"/>
        <w:rPr>
          <w:lang w:val="es-PE"/>
        </w:rPr>
      </w:pPr>
    </w:p>
    <w:p w14:paraId="60DC77C3" w14:textId="77777777" w:rsidR="004412F1" w:rsidRDefault="005A12A3">
      <w:pPr>
        <w:ind w:left="720"/>
        <w:jc w:val="both"/>
        <w:rPr>
          <w:lang w:val="es-PE"/>
        </w:rPr>
      </w:pPr>
      <w:r>
        <w:rPr>
          <w:lang w:val="es-PE"/>
        </w:rPr>
        <w:t>En el evento que PROINVERSIÓN no emita su pronunciamiento en los plazos señalados en la presente cláusula, se entenderá que su opinión es favorable, siempre que, con tres (3) Días Hábiles de anticipación a la fecha de culminación del plazo que tiene PROINVERSIÓN para su pronunciamiento, el CONCESIONARIO le envié a PROINVERSIÓN una comunicación escrita sobre el vencimiento del plazo para su pronunciamiento. En caso el CONCESIONARIO no envíe dicha comunicación y PROINVERSIÓN no se pronuncie, su pronunciamiento se entenderá desfavorable.</w:t>
      </w:r>
    </w:p>
    <w:p w14:paraId="04EB4BCF" w14:textId="77777777" w:rsidR="004412F1" w:rsidRDefault="004412F1">
      <w:pPr>
        <w:ind w:left="720" w:hanging="720"/>
        <w:jc w:val="both"/>
        <w:rPr>
          <w:lang w:val="es-PE"/>
        </w:rPr>
      </w:pPr>
    </w:p>
    <w:p w14:paraId="51C8011D" w14:textId="77777777" w:rsidR="004412F1" w:rsidRDefault="005A12A3">
      <w:pPr>
        <w:numPr>
          <w:ilvl w:val="1"/>
          <w:numId w:val="102"/>
        </w:numPr>
        <w:jc w:val="both"/>
        <w:rPr>
          <w:lang w:val="es-PE"/>
        </w:rPr>
      </w:pPr>
      <w:r>
        <w:rPr>
          <w:lang w:val="es-PE"/>
        </w:rPr>
        <w:t>La conformidad al Cierre Financiero por parte de PROINVERSIÓN no enerva ni limita la responsabilidad exclusiva del CONCESIONARIO de contar con los recursos suficientes para ejecutar la Inversión y de cumplir con los demás fines del presente Contrato.</w:t>
      </w:r>
    </w:p>
    <w:p w14:paraId="00DFA93B" w14:textId="77777777" w:rsidR="004412F1" w:rsidRDefault="004412F1">
      <w:pPr>
        <w:ind w:left="720" w:hanging="720"/>
        <w:jc w:val="both"/>
        <w:rPr>
          <w:rFonts w:cstheme="minorHAnsi"/>
          <w:sz w:val="20"/>
          <w:szCs w:val="20"/>
          <w:lang w:val="es-PE"/>
        </w:rPr>
      </w:pPr>
    </w:p>
    <w:p w14:paraId="1F6BDAEF" w14:textId="77777777" w:rsidR="004412F1" w:rsidRDefault="005A12A3">
      <w:pPr>
        <w:numPr>
          <w:ilvl w:val="1"/>
          <w:numId w:val="102"/>
        </w:numPr>
        <w:jc w:val="both"/>
        <w:rPr>
          <w:lang w:val="es-PE"/>
        </w:rPr>
      </w:pPr>
      <w:bookmarkStart w:id="1802" w:name="_Ref96074695"/>
      <w:r>
        <w:rPr>
          <w:lang w:val="es-PE"/>
        </w:rPr>
        <w:t>Las operaciones de financiamiento suscritas con Empresas Vinculadas, Empresas Afiliadas, Empresas Matriz, Empresas Subsidiarias, o con terceros no contravienen al Contrato de Concesión y no son oponibles al Concedente, por tanto, queda establecido que el CONCEDENTE no asumirá obligaciones o deudas derivadas de dichas operaciones.</w:t>
      </w:r>
      <w:bookmarkEnd w:id="1802"/>
    </w:p>
    <w:p w14:paraId="07BAB388" w14:textId="77777777" w:rsidR="004412F1" w:rsidRDefault="004412F1">
      <w:pPr>
        <w:ind w:left="720" w:hanging="720"/>
        <w:jc w:val="both"/>
        <w:rPr>
          <w:sz w:val="20"/>
          <w:lang w:val="es-PE"/>
        </w:rPr>
      </w:pPr>
    </w:p>
    <w:p w14:paraId="208629EF" w14:textId="55D4E77A" w:rsidR="004412F1" w:rsidRDefault="005A12A3">
      <w:pPr>
        <w:numPr>
          <w:ilvl w:val="1"/>
          <w:numId w:val="102"/>
        </w:numPr>
        <w:jc w:val="both"/>
        <w:rPr>
          <w:lang w:val="es-PE"/>
        </w:rPr>
      </w:pPr>
      <w:bookmarkStart w:id="1803" w:name="_Ref96317210"/>
      <w:r>
        <w:rPr>
          <w:lang w:val="es-PE"/>
        </w:rPr>
        <w:t xml:space="preserve">Si el CONCESIONARIO no acredita el Cierre Financiero dentro de los plazos establecidos en la cláusula 10.2 del Contrato de Concesión, el CONCEDENTE podrá invocar la Terminación del Contrato por incumplimiento del CONCESIONARIO, de acuerdo con lo establecido en el literal </w:t>
      </w:r>
      <w:r w:rsidR="00FF32C1">
        <w:rPr>
          <w:lang w:val="es-PE"/>
        </w:rPr>
        <w:t>q</w:t>
      </w:r>
      <w:r>
        <w:rPr>
          <w:lang w:val="es-PE"/>
        </w:rPr>
        <w:t>) de la cláusula 17.4 del Contrato.</w:t>
      </w:r>
      <w:bookmarkEnd w:id="1803"/>
    </w:p>
    <w:p w14:paraId="56037686" w14:textId="77777777" w:rsidR="004412F1" w:rsidRDefault="004412F1">
      <w:pPr>
        <w:ind w:left="720" w:hanging="720"/>
        <w:jc w:val="both"/>
        <w:rPr>
          <w:lang w:val="es-PE"/>
        </w:rPr>
      </w:pPr>
    </w:p>
    <w:p w14:paraId="5DE6D9D1" w14:textId="77777777" w:rsidR="004412F1" w:rsidRDefault="005A12A3">
      <w:pPr>
        <w:ind w:left="720"/>
        <w:jc w:val="both"/>
        <w:rPr>
          <w:lang w:val="es-PE"/>
        </w:rPr>
      </w:pPr>
      <w:r>
        <w:rPr>
          <w:lang w:val="es-PE"/>
        </w:rPr>
        <w:t>Sin perjuicio de lo señalado anteriormente, a efecto de facilitar y acelerar el procedimiento de conformidad anteriormente descrito, PROINVERSIÓN y el CONCESIONARIO podrán intercambiar información y sostener las reuniones de trabajo que consideren oportunas de forma previa al inicio cada procedimiento para obtener la conformidad de PROINVERSIÓN a cada Cierre Financiero.</w:t>
      </w:r>
      <w:bookmarkStart w:id="1804" w:name="_DV_M893"/>
      <w:bookmarkStart w:id="1805" w:name="_DV_M894"/>
      <w:bookmarkStart w:id="1806" w:name="_DV_M891"/>
      <w:bookmarkStart w:id="1807" w:name="_DV_M881"/>
      <w:bookmarkStart w:id="1808" w:name="_DV_M884"/>
      <w:bookmarkStart w:id="1809" w:name="_DV_M902"/>
      <w:bookmarkStart w:id="1810" w:name="_DV_M916"/>
      <w:bookmarkStart w:id="1811" w:name="_DV_M921"/>
      <w:bookmarkStart w:id="1812" w:name="_DV_M885"/>
      <w:bookmarkStart w:id="1813" w:name="_DV_M915"/>
      <w:bookmarkStart w:id="1814" w:name="_DV_M909"/>
      <w:bookmarkStart w:id="1815" w:name="_DV_M877"/>
      <w:bookmarkStart w:id="1816" w:name="_DV_M918"/>
      <w:bookmarkStart w:id="1817" w:name="_DV_M882"/>
      <w:bookmarkStart w:id="1818" w:name="_DV_M888"/>
      <w:bookmarkStart w:id="1819" w:name="_DV_M896"/>
      <w:bookmarkStart w:id="1820" w:name="_DV_M917"/>
      <w:bookmarkStart w:id="1821" w:name="_DV_M920"/>
      <w:bookmarkStart w:id="1822" w:name="_DV_M951"/>
      <w:bookmarkStart w:id="1823" w:name="_DV_M949"/>
      <w:bookmarkStart w:id="1824" w:name="_DV_M906"/>
      <w:bookmarkStart w:id="1825" w:name="_DV_M911"/>
      <w:bookmarkStart w:id="1826" w:name="_DV_M892"/>
      <w:bookmarkStart w:id="1827" w:name="_DV_M878"/>
      <w:bookmarkStart w:id="1828" w:name="_DV_M914"/>
      <w:bookmarkStart w:id="1829" w:name="_DV_M938"/>
      <w:bookmarkStart w:id="1830" w:name="_DV_M948"/>
      <w:bookmarkStart w:id="1831" w:name="_DV_M919"/>
      <w:bookmarkStart w:id="1832" w:name="_DV_M934"/>
      <w:bookmarkStart w:id="1833" w:name="_DV_M904"/>
      <w:bookmarkStart w:id="1834" w:name="_DV_M947"/>
      <w:bookmarkStart w:id="1835" w:name="_DV_M875"/>
      <w:bookmarkStart w:id="1836" w:name="_DV_M880"/>
      <w:bookmarkStart w:id="1837" w:name="_DV_M876"/>
      <w:bookmarkStart w:id="1838" w:name="_DV_M895"/>
      <w:bookmarkStart w:id="1839" w:name="_DV_M939"/>
      <w:bookmarkStart w:id="1840" w:name="_DV_M935"/>
      <w:bookmarkStart w:id="1841" w:name="_DV_M942"/>
      <w:bookmarkStart w:id="1842" w:name="_DV_M897"/>
      <w:bookmarkStart w:id="1843" w:name="_DV_M924"/>
      <w:bookmarkStart w:id="1844" w:name="_DV_M886"/>
      <w:bookmarkStart w:id="1845" w:name="_DV_M903"/>
      <w:bookmarkStart w:id="1846" w:name="_DV_M913"/>
      <w:bookmarkStart w:id="1847" w:name="_DV_M932"/>
      <w:bookmarkStart w:id="1848" w:name="_DV_M937"/>
      <w:bookmarkStart w:id="1849" w:name="_DV_M952"/>
      <w:bookmarkStart w:id="1850" w:name="_DV_M933"/>
      <w:bookmarkStart w:id="1851" w:name="_DV_M943"/>
      <w:bookmarkStart w:id="1852" w:name="_DV_M922"/>
      <w:bookmarkStart w:id="1853" w:name="_DV_M936"/>
      <w:bookmarkStart w:id="1854" w:name="_DV_M890"/>
      <w:bookmarkStart w:id="1855" w:name="_DV_M900"/>
      <w:bookmarkStart w:id="1856" w:name="_DV_M941"/>
      <w:bookmarkStart w:id="1857" w:name="_DV_M907"/>
      <w:bookmarkStart w:id="1858" w:name="_DV_M944"/>
      <w:bookmarkStart w:id="1859" w:name="_DV_M912"/>
      <w:bookmarkStart w:id="1860" w:name="_DV_M946"/>
      <w:bookmarkStart w:id="1861" w:name="_DV_M879"/>
      <w:bookmarkStart w:id="1862" w:name="_DV_M905"/>
      <w:bookmarkStart w:id="1863" w:name="_DV_M898"/>
      <w:bookmarkStart w:id="1864" w:name="_DV_M950"/>
      <w:bookmarkStart w:id="1865" w:name="_DV_M931"/>
      <w:bookmarkStart w:id="1866" w:name="_DV_M883"/>
      <w:bookmarkStart w:id="1867" w:name="_DV_M923"/>
      <w:bookmarkStart w:id="1868" w:name="_DV_M945"/>
      <w:bookmarkStart w:id="1869" w:name="_DV_M889"/>
      <w:bookmarkStart w:id="1870" w:name="_DV_M940"/>
      <w:bookmarkStart w:id="1871" w:name="_DV_M910"/>
      <w:bookmarkStart w:id="1872" w:name="_DV_M901"/>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7C3F1511" w14:textId="77777777" w:rsidR="004412F1" w:rsidRDefault="004412F1">
      <w:pPr>
        <w:jc w:val="both"/>
        <w:rPr>
          <w:b/>
          <w:bCs/>
          <w:lang w:val="es-PE"/>
        </w:rPr>
      </w:pPr>
    </w:p>
    <w:p w14:paraId="41955817" w14:textId="77777777" w:rsidR="009F2944" w:rsidRDefault="009F2944">
      <w:pPr>
        <w:jc w:val="both"/>
        <w:rPr>
          <w:b/>
          <w:bCs/>
          <w:lang w:val="es-PE"/>
        </w:rPr>
      </w:pPr>
    </w:p>
    <w:p w14:paraId="1B182DD5" w14:textId="77777777" w:rsidR="004412F1" w:rsidRDefault="005A12A3" w:rsidP="00B246DC">
      <w:pPr>
        <w:pStyle w:val="Ttulo2"/>
        <w:ind w:left="0"/>
        <w:rPr>
          <w:b/>
          <w:bCs/>
        </w:rPr>
      </w:pPr>
      <w:bookmarkStart w:id="1873" w:name="_y5sraa" w:colFirst="0" w:colLast="0"/>
      <w:bookmarkStart w:id="1874" w:name="_Toc94337873"/>
      <w:bookmarkStart w:id="1875" w:name="_Toc94330186"/>
      <w:bookmarkStart w:id="1876" w:name="_Toc139294760"/>
      <w:bookmarkStart w:id="1877" w:name="_Toc94328547"/>
      <w:bookmarkStart w:id="1878" w:name="_Toc94329309"/>
      <w:bookmarkStart w:id="1879" w:name="_Toc94337642"/>
      <w:bookmarkStart w:id="1880" w:name="_Toc102405339"/>
      <w:bookmarkStart w:id="1881" w:name="_Toc94329063"/>
      <w:bookmarkStart w:id="1882" w:name="_Toc134448849"/>
      <w:bookmarkStart w:id="1883" w:name="_Toc94328807"/>
      <w:bookmarkStart w:id="1884" w:name="_Toc94329555"/>
      <w:bookmarkStart w:id="1885" w:name="_Toc140089358"/>
      <w:bookmarkEnd w:id="1873"/>
      <w:r w:rsidRPr="00B246DC">
        <w:rPr>
          <w:rFonts w:ascii="Arial" w:eastAsia="Arial" w:hAnsi="Arial" w:cs="Arial"/>
          <w:b/>
          <w:bCs/>
          <w:u w:val="none"/>
          <w:lang w:val="es-PE"/>
        </w:rPr>
        <w:t>EQUILIBRIO</w:t>
      </w:r>
      <w:r>
        <w:rPr>
          <w:rFonts w:ascii="Arial" w:eastAsia="Arial" w:hAnsi="Arial"/>
          <w:b/>
          <w:u w:val="none"/>
        </w:rPr>
        <w:t xml:space="preserve"> ECONÓMICO-FINANCIERO</w:t>
      </w:r>
      <w:bookmarkEnd w:id="1874"/>
      <w:bookmarkEnd w:id="1875"/>
      <w:bookmarkEnd w:id="1876"/>
      <w:bookmarkEnd w:id="1877"/>
      <w:bookmarkEnd w:id="1878"/>
      <w:bookmarkEnd w:id="1879"/>
      <w:bookmarkEnd w:id="1880"/>
      <w:bookmarkEnd w:id="1881"/>
      <w:bookmarkEnd w:id="1882"/>
      <w:bookmarkEnd w:id="1883"/>
      <w:bookmarkEnd w:id="1884"/>
      <w:bookmarkEnd w:id="1885"/>
    </w:p>
    <w:p w14:paraId="09A2F336" w14:textId="77777777" w:rsidR="004412F1" w:rsidRDefault="004412F1">
      <w:pPr>
        <w:suppressLineNumbers/>
        <w:suppressAutoHyphens/>
        <w:jc w:val="both"/>
        <w:rPr>
          <w:color w:val="000000"/>
        </w:rPr>
      </w:pPr>
    </w:p>
    <w:p w14:paraId="4B592640" w14:textId="77777777" w:rsidR="004412F1" w:rsidRDefault="005A12A3">
      <w:pPr>
        <w:numPr>
          <w:ilvl w:val="1"/>
          <w:numId w:val="102"/>
        </w:numPr>
        <w:jc w:val="both"/>
        <w:rPr>
          <w:lang w:val="es-PE"/>
        </w:rPr>
      </w:pPr>
      <w:bookmarkStart w:id="1886" w:name="_u29r85azb4lf"/>
      <w:bookmarkStart w:id="1887" w:name="_Ref271729061"/>
      <w:bookmarkEnd w:id="1886"/>
      <w:r>
        <w:rPr>
          <w:lang w:val="es-PE"/>
        </w:rPr>
        <w:t>Las Partes del Contrato de Concesión reconocen que, a la Fecha de Cierre, el Contrato de Concesión se encuentra en una situación de equilibrio económico financiero en términos de derechos, responsabilidades y riesgos asignados a las Partes del Contrato de Concesión.</w:t>
      </w:r>
      <w:bookmarkEnd w:id="1887"/>
    </w:p>
    <w:p w14:paraId="361D319A" w14:textId="77777777" w:rsidR="004412F1" w:rsidRDefault="004412F1">
      <w:pPr>
        <w:suppressLineNumbers/>
        <w:suppressAutoHyphens/>
        <w:ind w:left="720"/>
        <w:jc w:val="both"/>
        <w:rPr>
          <w:lang w:val="es-PE"/>
        </w:rPr>
      </w:pPr>
      <w:bookmarkStart w:id="1888" w:name="_kcuu6xh2d2k3" w:colFirst="0" w:colLast="0"/>
      <w:bookmarkEnd w:id="1888"/>
    </w:p>
    <w:p w14:paraId="1904BE4F" w14:textId="77777777" w:rsidR="004412F1" w:rsidRDefault="005A12A3">
      <w:pPr>
        <w:numPr>
          <w:ilvl w:val="1"/>
          <w:numId w:val="102"/>
        </w:numPr>
        <w:jc w:val="both"/>
        <w:rPr>
          <w:lang w:val="es-PE"/>
        </w:rPr>
      </w:pPr>
      <w:bookmarkStart w:id="1889" w:name="_efsx5rwgtdui" w:colFirst="0" w:colLast="0"/>
      <w:bookmarkEnd w:id="1889"/>
      <w:r>
        <w:rPr>
          <w:lang w:val="es-PE"/>
        </w:rPr>
        <w:t xml:space="preserve">Las Partes del Contrato de Concesión declaran su compromiso de mantener el equilibrio económico financiero en los términos que establece el Contrato de Concesión, durante su vigencia. </w:t>
      </w:r>
    </w:p>
    <w:p w14:paraId="66059C9C" w14:textId="77777777" w:rsidR="004412F1" w:rsidRDefault="004412F1">
      <w:pPr>
        <w:jc w:val="both"/>
        <w:rPr>
          <w:color w:val="000000"/>
          <w:lang w:val="es-PE"/>
        </w:rPr>
      </w:pPr>
    </w:p>
    <w:p w14:paraId="00560A8E" w14:textId="77777777" w:rsidR="004412F1" w:rsidRDefault="005A12A3">
      <w:pPr>
        <w:numPr>
          <w:ilvl w:val="1"/>
          <w:numId w:val="102"/>
        </w:numPr>
        <w:jc w:val="both"/>
        <w:rPr>
          <w:lang w:val="es-PE"/>
        </w:rPr>
      </w:pPr>
      <w:r>
        <w:rPr>
          <w:lang w:val="es-PE"/>
        </w:rPr>
        <w:t>El Contrato de Concesión estipula un mecanismo de restablecimiento del equilibrio económico financiero al cual tendrán derecho el CONCESIONARIO y el CONCEDENTE en caso de que, exclusiva y explícitamente debido a cambios en las Leyes y Disposiciones Aplicables, tengan impacto directo con aspectos económicos o financieros vinculados al presente Contrato, debiendo tener implicancias en la variación de ingresos y/o costos de inversión y/o costos de operación y mantenimiento asumidos por el CONCESIONARIO.</w:t>
      </w:r>
    </w:p>
    <w:p w14:paraId="7FDFA30D" w14:textId="77777777" w:rsidR="004412F1" w:rsidRDefault="004412F1">
      <w:pPr>
        <w:suppressLineNumbers/>
        <w:suppressAutoHyphens/>
        <w:jc w:val="both"/>
        <w:rPr>
          <w:color w:val="000000"/>
          <w:lang w:val="es-ES"/>
        </w:rPr>
      </w:pPr>
    </w:p>
    <w:p w14:paraId="417F3624" w14:textId="77777777" w:rsidR="004412F1" w:rsidRDefault="005A12A3">
      <w:pPr>
        <w:ind w:left="720"/>
        <w:jc w:val="both"/>
        <w:rPr>
          <w:color w:val="000000"/>
          <w:lang w:val="es-PE"/>
        </w:rPr>
      </w:pPr>
      <w:r>
        <w:rPr>
          <w:color w:val="000000"/>
          <w:lang w:val="es-PE"/>
        </w:rPr>
        <w:t>Cualquiera de las Partes del Contrato de Concesión que considere que el equilibrio económico financiero del Contrato de Concesión se ha visto afectado, podrá solicitar, por escrito, su restablecimiento al REGULADOR, con copia a la otra Parte del Contrato de Concesión, adjuntando un informe que sustente técnica, económica, financiera y legalmente dicha afectación, así como la propuesta para lograr el restablecimiento. La existencia de un desequilibrio no da lugar a la suspensión de plazo ni a la Terminación del Contrato de Concesión.</w:t>
      </w:r>
    </w:p>
    <w:p w14:paraId="484CD413" w14:textId="77777777" w:rsidR="004412F1" w:rsidRDefault="004412F1">
      <w:pPr>
        <w:ind w:left="709"/>
        <w:jc w:val="both"/>
        <w:rPr>
          <w:color w:val="000000"/>
          <w:lang w:val="es-PE"/>
        </w:rPr>
      </w:pPr>
    </w:p>
    <w:p w14:paraId="4670C44E" w14:textId="77777777" w:rsidR="004412F1" w:rsidRDefault="005A12A3">
      <w:pPr>
        <w:numPr>
          <w:ilvl w:val="1"/>
          <w:numId w:val="102"/>
        </w:numPr>
        <w:jc w:val="both"/>
        <w:rPr>
          <w:lang w:val="es-PE"/>
        </w:rPr>
      </w:pPr>
      <w:r>
        <w:rPr>
          <w:lang w:val="es-PE"/>
        </w:rPr>
        <w:t>Al respecto, corresponderá al REGULADOR evaluar y determinar la ruptura del equilibrio económico financiero, así como determinar el monto de compensación que permita restituir dicho equilibrio.</w:t>
      </w:r>
    </w:p>
    <w:p w14:paraId="6F27B149" w14:textId="77777777" w:rsidR="004412F1" w:rsidRDefault="004412F1">
      <w:pPr>
        <w:ind w:left="720"/>
        <w:jc w:val="both"/>
        <w:rPr>
          <w:lang w:val="es-PE"/>
        </w:rPr>
      </w:pPr>
    </w:p>
    <w:p w14:paraId="60C92C43" w14:textId="77777777" w:rsidR="004412F1" w:rsidRDefault="005A12A3">
      <w:pPr>
        <w:numPr>
          <w:ilvl w:val="1"/>
          <w:numId w:val="102"/>
        </w:numPr>
        <w:ind w:left="710"/>
        <w:jc w:val="both"/>
        <w:rPr>
          <w:lang w:val="es-PE"/>
        </w:rPr>
      </w:pPr>
      <w:r>
        <w:rPr>
          <w:lang w:val="es-PE"/>
        </w:rPr>
        <w:t>La afectación del equilibrio económico financiero se determinará en base al estado de resultado del último ejercicio anual auditado del CONCESIONARIO, según la información entregada por las Partes del Contrato de Concesión, donde se sustenten las variaciones de ingresos o costos referidos. Sin perjuicio de ello, el CONCEDENTE o el CONCESIONARIO podrán solicitar la información que sustente las variaciones señaladas.</w:t>
      </w:r>
    </w:p>
    <w:p w14:paraId="20B3F22A" w14:textId="77777777" w:rsidR="004412F1" w:rsidRDefault="004412F1">
      <w:pPr>
        <w:ind w:left="1409"/>
        <w:jc w:val="both"/>
        <w:rPr>
          <w:color w:val="000000"/>
          <w:sz w:val="24"/>
          <w:lang w:val="es-PE"/>
        </w:rPr>
      </w:pPr>
    </w:p>
    <w:p w14:paraId="325DF759" w14:textId="77777777" w:rsidR="004412F1" w:rsidRDefault="005A12A3">
      <w:pPr>
        <w:numPr>
          <w:ilvl w:val="1"/>
          <w:numId w:val="102"/>
        </w:numPr>
        <w:jc w:val="both"/>
        <w:rPr>
          <w:lang w:val="es-PE"/>
        </w:rPr>
      </w:pPr>
      <w:r>
        <w:rPr>
          <w:lang w:val="es-PE"/>
        </w:rPr>
        <w:t xml:space="preserve">El REGULADOR, establecerá la magnitud del desequilibrio en función a la diferencia entre: </w:t>
      </w:r>
    </w:p>
    <w:p w14:paraId="59E6CCC0" w14:textId="77777777" w:rsidR="004412F1" w:rsidRDefault="004412F1">
      <w:pPr>
        <w:ind w:left="1409"/>
        <w:jc w:val="both"/>
        <w:rPr>
          <w:color w:val="000000"/>
          <w:sz w:val="24"/>
          <w:lang w:val="es-PE"/>
        </w:rPr>
      </w:pPr>
    </w:p>
    <w:p w14:paraId="0649BD2B" w14:textId="77777777" w:rsidR="004412F1" w:rsidRDefault="005A12A3">
      <w:pPr>
        <w:numPr>
          <w:ilvl w:val="0"/>
          <w:numId w:val="108"/>
        </w:numPr>
        <w:jc w:val="both"/>
        <w:rPr>
          <w:color w:val="000000"/>
          <w:lang w:val="es-PE"/>
        </w:rPr>
      </w:pPr>
      <w:r>
        <w:rPr>
          <w:color w:val="000000"/>
          <w:lang w:val="es-PE"/>
        </w:rPr>
        <w:t xml:space="preserve">Los resultados antes de impuestos resultante </w:t>
      </w:r>
      <w:r>
        <w:rPr>
          <w:lang w:val="es-PE"/>
        </w:rPr>
        <w:t xml:space="preserve">del ejercicio obtenido por el CONCESIONARIO afectado por el desequilibrio económico; y </w:t>
      </w:r>
    </w:p>
    <w:p w14:paraId="55EABECF" w14:textId="77777777" w:rsidR="004412F1" w:rsidRDefault="005A12A3">
      <w:pPr>
        <w:numPr>
          <w:ilvl w:val="0"/>
          <w:numId w:val="108"/>
        </w:numPr>
        <w:jc w:val="both"/>
        <w:rPr>
          <w:color w:val="000000"/>
          <w:lang w:val="es-PE"/>
        </w:rPr>
      </w:pPr>
      <w:r>
        <w:rPr>
          <w:color w:val="000000"/>
          <w:lang w:val="es-PE"/>
        </w:rPr>
        <w:t>El recálculo del resultado antes de impuestos del mismo ejercicio, aplicando los valores de ingresos o costos que correspondan si no se hubieran generado los cambios en las Leyes y Disposiciones Aplicables.</w:t>
      </w:r>
    </w:p>
    <w:p w14:paraId="29A70123" w14:textId="77777777" w:rsidR="004412F1" w:rsidRDefault="004412F1">
      <w:pPr>
        <w:ind w:left="710"/>
        <w:jc w:val="both"/>
        <w:rPr>
          <w:color w:val="000000"/>
          <w:lang w:val="es-PE"/>
        </w:rPr>
      </w:pPr>
    </w:p>
    <w:p w14:paraId="06E371D0" w14:textId="77777777" w:rsidR="004412F1" w:rsidRDefault="005A12A3">
      <w:pPr>
        <w:ind w:left="710"/>
        <w:jc w:val="both"/>
        <w:rPr>
          <w:color w:val="000000"/>
          <w:lang w:val="es-PE"/>
        </w:rPr>
      </w:pPr>
      <w:r>
        <w:rPr>
          <w:color w:val="000000"/>
          <w:lang w:val="es-PE"/>
        </w:rPr>
        <w:t>Para tal efecto, el REGULADOR podrá solicitar al CONCESIONARIO o al CONCEDENTE la información que considere necesaria sobre los ingresos y costos que hayan sido afectados por los cambios en las Leyes y Disposiciones Aplicables.</w:t>
      </w:r>
    </w:p>
    <w:p w14:paraId="5E91E0B9" w14:textId="77777777" w:rsidR="004412F1" w:rsidRDefault="004412F1">
      <w:pPr>
        <w:ind w:left="710"/>
        <w:jc w:val="both"/>
        <w:rPr>
          <w:color w:val="000000"/>
          <w:lang w:val="es-PE"/>
        </w:rPr>
      </w:pPr>
    </w:p>
    <w:p w14:paraId="1D6700D6" w14:textId="77777777" w:rsidR="004412F1" w:rsidRDefault="005A12A3">
      <w:pPr>
        <w:ind w:left="710"/>
        <w:jc w:val="both"/>
        <w:rPr>
          <w:color w:val="000000"/>
          <w:lang w:val="es-PE"/>
        </w:rPr>
      </w:pPr>
      <w:r>
        <w:rPr>
          <w:color w:val="000000"/>
          <w:lang w:val="es-PE"/>
        </w:rPr>
        <w:t xml:space="preserve">De probarse que el desequilibrio se produce en varios períodos, sin haberse restituido el equilibrio económico financiero, se calculará la diferencia entre a) y b) de manera acumulada siguiendo el mismo procedimiento. </w:t>
      </w:r>
    </w:p>
    <w:p w14:paraId="1397CD3D" w14:textId="77777777" w:rsidR="004412F1" w:rsidRDefault="004412F1">
      <w:pPr>
        <w:ind w:left="1409"/>
        <w:jc w:val="both"/>
        <w:rPr>
          <w:color w:val="000000"/>
          <w:lang w:val="es-PE"/>
        </w:rPr>
      </w:pPr>
    </w:p>
    <w:p w14:paraId="41A9592E" w14:textId="77777777" w:rsidR="004412F1" w:rsidRDefault="005A12A3">
      <w:pPr>
        <w:ind w:left="710"/>
        <w:jc w:val="both"/>
        <w:rPr>
          <w:color w:val="000000"/>
          <w:lang w:val="es-PE"/>
        </w:rPr>
      </w:pPr>
      <w:r>
        <w:rPr>
          <w:color w:val="000000"/>
          <w:lang w:val="es-PE"/>
        </w:rPr>
        <w:t>Acto seguido se procederá a encontrar el porcentaje del desequilibrio a través de la siguiente expresión:</w:t>
      </w:r>
    </w:p>
    <w:p w14:paraId="18CF0025" w14:textId="77777777" w:rsidR="004412F1" w:rsidRDefault="004412F1">
      <w:pPr>
        <w:ind w:left="710"/>
        <w:jc w:val="both"/>
        <w:rPr>
          <w:color w:val="000000"/>
          <w:lang w:val="es-PE"/>
        </w:rPr>
      </w:pPr>
    </w:p>
    <w:p w14:paraId="58455B64" w14:textId="77777777" w:rsidR="004412F1" w:rsidRDefault="005A12A3">
      <w:pPr>
        <w:ind w:left="710"/>
        <w:jc w:val="center"/>
        <w:rPr>
          <w:color w:val="000000"/>
        </w:rPr>
      </w:pPr>
      <m:oMathPara>
        <m:oMath>
          <m:r>
            <m:rPr>
              <m:sty m:val="p"/>
            </m:rPr>
            <w:rPr>
              <w:rFonts w:ascii="Cambria Math" w:hAnsi="Cambria Math" w:cstheme="minorHAnsi"/>
              <w:sz w:val="20"/>
              <w:szCs w:val="20"/>
            </w:rPr>
            <m:t xml:space="preserve">Factor de desequilibrio= </m:t>
          </m:r>
          <m:d>
            <m:dPr>
              <m:begChr m:val="["/>
              <m:endChr m:val="]"/>
              <m:ctrlPr>
                <w:rPr>
                  <w:rFonts w:ascii="Cambria Math" w:hAnsi="Cambria Math" w:cstheme="minorHAnsi"/>
                  <w:sz w:val="20"/>
                  <w:szCs w:val="20"/>
                </w:rPr>
              </m:ctrlPr>
            </m:dPr>
            <m:e>
              <m:f>
                <m:fPr>
                  <m:ctrlPr>
                    <w:rPr>
                      <w:rFonts w:ascii="Cambria Math" w:hAnsi="Cambria Math" w:cstheme="minorHAnsi"/>
                      <w:sz w:val="20"/>
                      <w:szCs w:val="20"/>
                    </w:rPr>
                  </m:ctrlPr>
                </m:fPr>
                <m:num>
                  <m:r>
                    <m:rPr>
                      <m:sty m:val="p"/>
                    </m:rPr>
                    <w:rPr>
                      <w:rFonts w:ascii="Cambria Math" w:hAnsi="Cambria Math" w:cstheme="minorHAnsi"/>
                      <w:sz w:val="20"/>
                      <w:szCs w:val="20"/>
                    </w:rPr>
                    <m:t xml:space="preserve">Monto obtenido en </m:t>
                  </m:r>
                  <m:d>
                    <m:dPr>
                      <m:ctrlPr>
                        <w:rPr>
                          <w:rFonts w:ascii="Cambria Math" w:hAnsi="Cambria Math" w:cstheme="minorHAnsi"/>
                          <w:sz w:val="20"/>
                          <w:szCs w:val="20"/>
                        </w:rPr>
                      </m:ctrlPr>
                    </m:dPr>
                    <m:e>
                      <m:r>
                        <m:rPr>
                          <m:sty m:val="p"/>
                        </m:rPr>
                        <w:rPr>
                          <w:rFonts w:ascii="Cambria Math" w:hAnsi="Cambria Math" w:cstheme="minorHAnsi"/>
                          <w:sz w:val="20"/>
                          <w:szCs w:val="20"/>
                        </w:rPr>
                        <m:t>a</m:t>
                      </m:r>
                    </m:e>
                  </m:d>
                  <m:r>
                    <m:rPr>
                      <m:sty m:val="p"/>
                    </m:rPr>
                    <w:rPr>
                      <w:rFonts w:ascii="Cambria Math" w:hAnsi="Cambria Math" w:cstheme="minorHAnsi"/>
                      <w:sz w:val="20"/>
                      <w:szCs w:val="20"/>
                    </w:rPr>
                    <m:t xml:space="preserve">-Monto obtenido en </m:t>
                  </m:r>
                  <m:d>
                    <m:dPr>
                      <m:ctrlPr>
                        <w:rPr>
                          <w:rFonts w:ascii="Cambria Math" w:hAnsi="Cambria Math" w:cstheme="minorHAnsi"/>
                          <w:sz w:val="20"/>
                          <w:szCs w:val="20"/>
                        </w:rPr>
                      </m:ctrlPr>
                    </m:dPr>
                    <m:e>
                      <m:r>
                        <m:rPr>
                          <m:sty m:val="p"/>
                        </m:rPr>
                        <w:rPr>
                          <w:rFonts w:ascii="Cambria Math" w:hAnsi="Cambria Math" w:cstheme="minorHAnsi"/>
                          <w:sz w:val="20"/>
                          <w:szCs w:val="20"/>
                        </w:rPr>
                        <m:t>b</m:t>
                      </m:r>
                    </m:e>
                  </m:d>
                </m:num>
                <m:den>
                  <m:r>
                    <m:rPr>
                      <m:sty m:val="p"/>
                    </m:rPr>
                    <w:rPr>
                      <w:rFonts w:ascii="Cambria Math" w:hAnsi="Cambria Math" w:cstheme="minorHAnsi"/>
                      <w:sz w:val="20"/>
                      <w:szCs w:val="20"/>
                    </w:rPr>
                    <m:t xml:space="preserve">Monto obtenido en </m:t>
                  </m:r>
                  <m:d>
                    <m:dPr>
                      <m:ctrlPr>
                        <w:rPr>
                          <w:rFonts w:ascii="Cambria Math" w:hAnsi="Cambria Math" w:cstheme="minorHAnsi"/>
                          <w:sz w:val="20"/>
                          <w:szCs w:val="20"/>
                        </w:rPr>
                      </m:ctrlPr>
                    </m:dPr>
                    <m:e>
                      <m:r>
                        <m:rPr>
                          <m:sty m:val="p"/>
                        </m:rPr>
                        <w:rPr>
                          <w:rFonts w:ascii="Cambria Math" w:hAnsi="Cambria Math" w:cstheme="minorHAnsi"/>
                          <w:sz w:val="20"/>
                          <w:szCs w:val="20"/>
                        </w:rPr>
                        <m:t>b</m:t>
                      </m:r>
                    </m:e>
                  </m:d>
                </m:den>
              </m:f>
            </m:e>
          </m:d>
          <m:r>
            <m:rPr>
              <m:sty m:val="p"/>
            </m:rPr>
            <w:rPr>
              <w:rFonts w:ascii="Cambria Math" w:hAnsi="Cambria Math" w:cstheme="minorHAnsi"/>
              <w:sz w:val="20"/>
              <w:szCs w:val="20"/>
            </w:rPr>
            <m:t>×100%</m:t>
          </m:r>
        </m:oMath>
      </m:oMathPara>
    </w:p>
    <w:p w14:paraId="77CFDDE5" w14:textId="77777777" w:rsidR="004412F1" w:rsidRDefault="004412F1">
      <w:pPr>
        <w:ind w:left="710"/>
        <w:jc w:val="both"/>
        <w:rPr>
          <w:color w:val="000000"/>
        </w:rPr>
      </w:pPr>
    </w:p>
    <w:p w14:paraId="7C80A0D6" w14:textId="77777777" w:rsidR="004412F1" w:rsidRDefault="005A12A3">
      <w:pPr>
        <w:ind w:left="710"/>
        <w:jc w:val="both"/>
        <w:rPr>
          <w:color w:val="000000"/>
          <w:lang w:val="es-PE"/>
        </w:rPr>
      </w:pPr>
      <w:r>
        <w:rPr>
          <w:color w:val="000000"/>
          <w:lang w:val="es-PE"/>
        </w:rPr>
        <w:t xml:space="preserve">Si el porcentaje de desequilibrio, en valor absoluto, supera el diez por ciento (10%) se procederá a restablecerlo. </w:t>
      </w:r>
    </w:p>
    <w:p w14:paraId="6DA71B50" w14:textId="77777777" w:rsidR="004412F1" w:rsidRDefault="004412F1">
      <w:pPr>
        <w:ind w:left="710"/>
        <w:jc w:val="both"/>
        <w:rPr>
          <w:color w:val="000000"/>
          <w:lang w:val="es-PE"/>
        </w:rPr>
      </w:pPr>
    </w:p>
    <w:p w14:paraId="3ECFC9B8" w14:textId="77777777" w:rsidR="004412F1" w:rsidRDefault="005A12A3">
      <w:pPr>
        <w:ind w:left="710"/>
        <w:jc w:val="both"/>
        <w:rPr>
          <w:color w:val="000000"/>
          <w:lang w:val="es-PE"/>
        </w:rPr>
      </w:pPr>
      <w:r>
        <w:rPr>
          <w:color w:val="000000" w:themeColor="text1"/>
          <w:lang w:val="es-PE"/>
        </w:rPr>
        <w:t xml:space="preserve">Si el desequilibrio afecta al CONCESIONARIO (b&gt;a), el CONCEDENTE le otorgará una compensación equivalente a la diferencia del monto obtenido en el Literal b) de la Cláusula 10.20 menos el monto obtenido en el Literal a) de dicha cláusula. </w:t>
      </w:r>
    </w:p>
    <w:p w14:paraId="447A62D9" w14:textId="77777777" w:rsidR="004412F1" w:rsidRDefault="004412F1">
      <w:pPr>
        <w:ind w:left="710"/>
        <w:jc w:val="both"/>
        <w:rPr>
          <w:color w:val="000000"/>
          <w:lang w:val="es-PE"/>
        </w:rPr>
      </w:pPr>
    </w:p>
    <w:p w14:paraId="262EF1DB" w14:textId="77777777" w:rsidR="004412F1" w:rsidRDefault="005A12A3">
      <w:pPr>
        <w:ind w:left="710"/>
        <w:jc w:val="both"/>
        <w:rPr>
          <w:color w:val="000000"/>
          <w:lang w:val="es-PE"/>
        </w:rPr>
      </w:pPr>
      <w:r>
        <w:rPr>
          <w:color w:val="000000" w:themeColor="text1"/>
          <w:lang w:val="es-PE"/>
        </w:rPr>
        <w:t xml:space="preserve">Si el desequilibrio afecta al CONCEDENTE (b&lt;a), el CONCESIONARIO le otorgará una compensación al CONCEDENTE equivalente a la diferencia del monto obtenido en el Literal a) de la Cláusula 10.20 menos el monto obtenido en el Literal b) de dicha cláusula. </w:t>
      </w:r>
    </w:p>
    <w:p w14:paraId="72011BEC" w14:textId="77777777" w:rsidR="004412F1" w:rsidRDefault="004412F1">
      <w:pPr>
        <w:ind w:left="710"/>
        <w:jc w:val="both"/>
        <w:rPr>
          <w:color w:val="000000"/>
          <w:lang w:val="es-PE"/>
        </w:rPr>
      </w:pPr>
    </w:p>
    <w:p w14:paraId="2F9923DF" w14:textId="77777777" w:rsidR="004412F1" w:rsidRDefault="005A12A3">
      <w:pPr>
        <w:ind w:left="710"/>
        <w:jc w:val="both"/>
        <w:rPr>
          <w:color w:val="000000"/>
          <w:lang w:val="es-PE"/>
        </w:rPr>
      </w:pPr>
      <w:r>
        <w:rPr>
          <w:color w:val="000000"/>
          <w:lang w:val="es-PE"/>
        </w:rPr>
        <w:t>Si el monto obtenido en b) es igual a cero (0), para restablecer el equilibrio económico financiero sólo se tendrá en cuenta la diferencia de monto obtenido en (a) – monto obtenido en (b), sin ser necesario calcular el porcentaje de desequilibrio antes mencionado.</w:t>
      </w:r>
    </w:p>
    <w:p w14:paraId="2101F4A9" w14:textId="77777777" w:rsidR="004412F1" w:rsidRDefault="004412F1">
      <w:pPr>
        <w:ind w:left="710"/>
        <w:jc w:val="both"/>
        <w:rPr>
          <w:color w:val="000000"/>
          <w:lang w:val="es-PE"/>
        </w:rPr>
      </w:pPr>
    </w:p>
    <w:p w14:paraId="6313B848" w14:textId="77777777" w:rsidR="004412F1" w:rsidRDefault="005A12A3">
      <w:pPr>
        <w:numPr>
          <w:ilvl w:val="1"/>
          <w:numId w:val="102"/>
        </w:numPr>
        <w:jc w:val="both"/>
        <w:rPr>
          <w:lang w:val="es-PE"/>
        </w:rPr>
      </w:pPr>
      <w:r>
        <w:rPr>
          <w:lang w:val="es-PE"/>
        </w:rPr>
        <w:t>En el supuesto que alguna de las Partes del Contrato de Concesión invoque el restablecimiento del equilibrio económico financiero, corresponderá al REGULADOR determinar su procedencia, dentro de los treinta (30) Días siguientes de recibida la solicitud correspondiente, en aplicación de lo dispuesto en los párrafos precedentes.</w:t>
      </w:r>
    </w:p>
    <w:p w14:paraId="0691878A" w14:textId="77777777" w:rsidR="004412F1" w:rsidRDefault="004412F1">
      <w:pPr>
        <w:ind w:left="708"/>
        <w:jc w:val="both"/>
        <w:rPr>
          <w:lang w:val="es-PE"/>
        </w:rPr>
      </w:pPr>
    </w:p>
    <w:p w14:paraId="18096365" w14:textId="77777777" w:rsidR="004412F1" w:rsidRDefault="005A12A3">
      <w:pPr>
        <w:ind w:left="720"/>
        <w:jc w:val="both"/>
        <w:rPr>
          <w:lang w:val="es-ES"/>
        </w:rPr>
      </w:pPr>
      <w:r>
        <w:rPr>
          <w:lang w:val="es-PE"/>
        </w:rPr>
        <w:t>El REGULADOR deberá establecer, en un plazo no mayor a treinta (30) Días, luego de determinada la procedencia, el monto a pagar a favor de la Parte del Contrato de Concesión que invocó el restablecimiento, aplicando, para tal efecto, los criterios de valorización previstos en el presente capítulo. Se informará del resultado a la Partes del Contrato de Concesión a fin de que implementen lo que corresponda a cada una</w:t>
      </w:r>
      <w:r>
        <w:rPr>
          <w:lang w:val="es-ES"/>
        </w:rPr>
        <w:t>.</w:t>
      </w:r>
    </w:p>
    <w:p w14:paraId="3B36DE40" w14:textId="77777777" w:rsidR="004412F1" w:rsidRDefault="004412F1">
      <w:pPr>
        <w:ind w:left="708"/>
        <w:jc w:val="both"/>
        <w:rPr>
          <w:lang w:val="es-PE"/>
        </w:rPr>
      </w:pPr>
    </w:p>
    <w:p w14:paraId="42F91ECF" w14:textId="77777777" w:rsidR="004412F1" w:rsidRDefault="005A12A3">
      <w:pPr>
        <w:numPr>
          <w:ilvl w:val="1"/>
          <w:numId w:val="102"/>
        </w:numPr>
        <w:jc w:val="both"/>
        <w:rPr>
          <w:lang w:val="es-PE"/>
        </w:rPr>
      </w:pPr>
      <w:r>
        <w:rPr>
          <w:lang w:val="es-PE"/>
        </w:rPr>
        <w:t>En el supuesto que corresponda al CONCEDENTE realizar el pago, este deberá realizar las previsiones presupuestarias correspondientes en el presupuesto del siguiente año fiscal, a fin de que durante el primer trimestre de dicho ejercicio fiscal haga efectivo el pago correspondiente. Por cualquier retraso se reconocerá la Tasa Referencial más dos por ciento (1%) anual sobre el saldo no pagado por los días de retraso.</w:t>
      </w:r>
    </w:p>
    <w:p w14:paraId="6A1FB1B4" w14:textId="77777777" w:rsidR="004412F1" w:rsidRDefault="004412F1">
      <w:pPr>
        <w:ind w:left="709"/>
        <w:jc w:val="both"/>
        <w:rPr>
          <w:color w:val="000000"/>
          <w:lang w:val="es-PE"/>
        </w:rPr>
      </w:pPr>
    </w:p>
    <w:p w14:paraId="5CF143AB" w14:textId="77777777" w:rsidR="004412F1" w:rsidRDefault="005A12A3">
      <w:pPr>
        <w:numPr>
          <w:ilvl w:val="1"/>
          <w:numId w:val="102"/>
        </w:numPr>
        <w:jc w:val="both"/>
        <w:rPr>
          <w:lang w:val="es-PE"/>
        </w:rPr>
      </w:pPr>
      <w:bookmarkStart w:id="1890" w:name="_1xaqk5w"/>
      <w:bookmarkEnd w:id="1890"/>
      <w:r>
        <w:rPr>
          <w:lang w:val="es-PE"/>
        </w:rPr>
        <w:t>En el supuesto que corresponda al CONCESIONARIO realizar el pago, este deberá realizarlo durante el primer trimestre del ejercicio fiscal siguiente a aquel en el que se produjo la ruptura del equilibrio económico financiero. Por cualquier retraso se reconocerá la Tasa Referencial más dos por ciento (1%) anual sobre el saldo no pagado por los días de retraso.</w:t>
      </w:r>
    </w:p>
    <w:p w14:paraId="2EBDEBF0" w14:textId="77777777" w:rsidR="004412F1" w:rsidRDefault="004412F1">
      <w:pPr>
        <w:ind w:left="720"/>
        <w:jc w:val="both"/>
        <w:rPr>
          <w:lang w:val="es-PE"/>
        </w:rPr>
      </w:pPr>
    </w:p>
    <w:p w14:paraId="4711107B" w14:textId="77777777" w:rsidR="004412F1" w:rsidRDefault="005A12A3">
      <w:pPr>
        <w:numPr>
          <w:ilvl w:val="1"/>
          <w:numId w:val="102"/>
        </w:numPr>
        <w:jc w:val="both"/>
        <w:rPr>
          <w:lang w:val="es-PE"/>
        </w:rPr>
      </w:pPr>
      <w:r>
        <w:rPr>
          <w:lang w:val="es-PE"/>
        </w:rPr>
        <w:t>Las discrepancias sobre el resultado emitido por el REGULADOR serán resueltas de conformidad con los mecanismos de solución de controversias regulados en el CAPÍTULO XIX del presente Contrato, rigiendo las demás disposiciones de las cláusulas anteriores en lo que fueran pertinentes.</w:t>
      </w:r>
    </w:p>
    <w:p w14:paraId="74B224A8" w14:textId="77777777" w:rsidR="004412F1" w:rsidRDefault="004412F1">
      <w:pPr>
        <w:suppressLineNumbers/>
        <w:suppressAutoHyphens/>
        <w:ind w:left="720"/>
        <w:jc w:val="both"/>
        <w:rPr>
          <w:lang w:val="es-PE"/>
        </w:rPr>
      </w:pPr>
    </w:p>
    <w:p w14:paraId="71354966" w14:textId="77777777" w:rsidR="004412F1" w:rsidRDefault="005A12A3">
      <w:pPr>
        <w:numPr>
          <w:ilvl w:val="1"/>
          <w:numId w:val="102"/>
        </w:numPr>
        <w:suppressLineNumbers/>
        <w:suppressAutoHyphens/>
        <w:ind w:left="709"/>
        <w:jc w:val="both"/>
        <w:rPr>
          <w:lang w:val="es-PE"/>
        </w:rPr>
      </w:pPr>
      <w:r>
        <w:rPr>
          <w:lang w:val="es-PE"/>
        </w:rPr>
        <w:t>No se considerará aplicable lo indicado en esta cláusula para aquellos cambios producidos como consecuencia de disposiciones o Normas Regulatorias expedidas por el REGULADOR que fijen infracciones o sanciones o materias relacionadas a las anteriores, que estuviesen contemplados en el Contrato o que fueran como consecuencia de actos, hechos imputables o resultado del desempeño del CONCESIONARIO</w:t>
      </w:r>
      <w:bookmarkStart w:id="1891" w:name="_Toc136748099"/>
      <w:r>
        <w:rPr>
          <w:lang w:val="es-PE"/>
        </w:rPr>
        <w:t>.</w:t>
      </w:r>
    </w:p>
    <w:p w14:paraId="244DBE60" w14:textId="77777777" w:rsidR="004412F1" w:rsidRDefault="004412F1">
      <w:pPr>
        <w:ind w:left="720"/>
        <w:jc w:val="both"/>
        <w:rPr>
          <w:lang w:val="es-PE"/>
        </w:rPr>
      </w:pPr>
    </w:p>
    <w:p w14:paraId="558D2724" w14:textId="77777777" w:rsidR="004412F1" w:rsidRDefault="005A12A3">
      <w:pPr>
        <w:numPr>
          <w:ilvl w:val="1"/>
          <w:numId w:val="102"/>
        </w:numPr>
        <w:jc w:val="both"/>
        <w:rPr>
          <w:lang w:val="es-PE"/>
        </w:rPr>
      </w:pPr>
      <w:r>
        <w:rPr>
          <w:lang w:val="es-PE"/>
        </w:rPr>
        <w:lastRenderedPageBreak/>
        <w:t>De igual manera, queda establecido que en ningún supuesto la ruptura del equilibrio económico – financiero genera la suspensión de obligaciones del presente Contrato ni la Caducidad de la Concesión.</w:t>
      </w:r>
    </w:p>
    <w:p w14:paraId="232367BF" w14:textId="77777777" w:rsidR="004412F1" w:rsidRDefault="004412F1">
      <w:pPr>
        <w:suppressLineNumbers/>
        <w:suppressAutoHyphens/>
        <w:ind w:left="709"/>
        <w:jc w:val="both"/>
        <w:rPr>
          <w:color w:val="000000"/>
          <w:lang w:val="es-PE"/>
        </w:rPr>
      </w:pPr>
    </w:p>
    <w:p w14:paraId="204FD1CC" w14:textId="77777777" w:rsidR="004412F1" w:rsidRDefault="005A12A3">
      <w:pPr>
        <w:pStyle w:val="Ttulo2"/>
        <w:ind w:left="0"/>
        <w:jc w:val="both"/>
        <w:rPr>
          <w:rFonts w:ascii="Arial" w:eastAsia="Arial" w:hAnsi="Arial" w:cs="Arial"/>
          <w:b/>
          <w:bCs/>
          <w:u w:val="none"/>
        </w:rPr>
      </w:pPr>
      <w:bookmarkStart w:id="1892" w:name="_4hae2tp"/>
      <w:bookmarkStart w:id="1893" w:name="_Toc139294761"/>
      <w:bookmarkStart w:id="1894" w:name="_Toc468837662"/>
      <w:bookmarkStart w:id="1895" w:name="_Toc140089359"/>
      <w:bookmarkEnd w:id="1892"/>
      <w:r>
        <w:rPr>
          <w:rFonts w:ascii="Arial" w:eastAsia="Arial" w:hAnsi="Arial" w:cs="Arial"/>
          <w:b/>
          <w:bCs/>
          <w:u w:val="none"/>
        </w:rPr>
        <w:t>RÉGIMEN TRIBUTARIO DE LA CONCESIÓN</w:t>
      </w:r>
      <w:bookmarkEnd w:id="1891"/>
      <w:bookmarkEnd w:id="1893"/>
      <w:bookmarkEnd w:id="1894"/>
      <w:bookmarkEnd w:id="1895"/>
    </w:p>
    <w:p w14:paraId="3130368F" w14:textId="77777777" w:rsidR="004412F1" w:rsidRDefault="005A12A3">
      <w:pPr>
        <w:tabs>
          <w:tab w:val="left" w:pos="1584"/>
        </w:tabs>
        <w:jc w:val="both"/>
      </w:pPr>
      <w:r>
        <w:tab/>
      </w:r>
    </w:p>
    <w:p w14:paraId="21A9CF50" w14:textId="77777777" w:rsidR="004412F1" w:rsidRDefault="005A12A3">
      <w:pPr>
        <w:numPr>
          <w:ilvl w:val="1"/>
          <w:numId w:val="102"/>
        </w:numPr>
        <w:jc w:val="both"/>
        <w:rPr>
          <w:lang w:val="es-PE"/>
        </w:rPr>
      </w:pPr>
      <w:r>
        <w:rPr>
          <w:lang w:val="es-PE"/>
        </w:rPr>
        <w:t>El CONCESIONARIO estará sujeto a la legislación tributaria nacional, regional y municipal que le resulte aplicable, debiendo cumplir con todas las obligaciones de naturaleza tributaria que correspondan al ejercicio de su actividad. 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w:t>
      </w:r>
    </w:p>
    <w:p w14:paraId="0A82EEDB" w14:textId="77777777" w:rsidR="004412F1" w:rsidRDefault="004412F1">
      <w:pPr>
        <w:ind w:left="720"/>
        <w:jc w:val="both"/>
        <w:rPr>
          <w:rFonts w:eastAsia="SimSun"/>
          <w:lang w:val="es-PE" w:eastAsia="zh-CN"/>
        </w:rPr>
      </w:pPr>
    </w:p>
    <w:p w14:paraId="5C120346" w14:textId="77777777" w:rsidR="004412F1" w:rsidRDefault="005A12A3">
      <w:pPr>
        <w:pStyle w:val="Ttulo2"/>
        <w:ind w:left="0"/>
        <w:jc w:val="both"/>
        <w:rPr>
          <w:rFonts w:ascii="Arial" w:eastAsia="Arial" w:hAnsi="Arial" w:cs="Arial"/>
          <w:b/>
          <w:bCs/>
          <w:u w:val="none"/>
          <w:lang w:val="es-PE"/>
        </w:rPr>
      </w:pPr>
      <w:bookmarkStart w:id="1896" w:name="_Toc140089360"/>
      <w:r>
        <w:rPr>
          <w:rFonts w:ascii="Arial" w:eastAsia="Arial" w:hAnsi="Arial" w:cs="Arial"/>
          <w:b/>
          <w:bCs/>
          <w:u w:val="none"/>
          <w:lang w:val="es-PE"/>
        </w:rPr>
        <w:t>EL</w:t>
      </w:r>
      <w:r>
        <w:rPr>
          <w:rFonts w:ascii="Arial" w:eastAsia="Arial" w:hAnsi="Arial" w:cs="Arial"/>
          <w:b/>
          <w:bCs/>
          <w:u w:val="none"/>
        </w:rPr>
        <w:t xml:space="preserve"> </w:t>
      </w:r>
      <w:r>
        <w:rPr>
          <w:rFonts w:ascii="Arial" w:eastAsia="Arial" w:hAnsi="Arial" w:cs="Arial"/>
          <w:b/>
          <w:bCs/>
          <w:u w:val="none"/>
          <w:lang w:val="es-PE"/>
        </w:rPr>
        <w:t>COFINANCIAMIENTO</w:t>
      </w:r>
      <w:bookmarkEnd w:id="1896"/>
    </w:p>
    <w:p w14:paraId="3A148BB7" w14:textId="77777777" w:rsidR="004412F1" w:rsidRDefault="004412F1">
      <w:pPr>
        <w:ind w:left="720"/>
        <w:jc w:val="both"/>
      </w:pPr>
    </w:p>
    <w:p w14:paraId="4140CBEA" w14:textId="77777777" w:rsidR="004412F1" w:rsidRDefault="005A12A3">
      <w:pPr>
        <w:numPr>
          <w:ilvl w:val="1"/>
          <w:numId w:val="102"/>
        </w:numPr>
        <w:jc w:val="both"/>
        <w:rPr>
          <w:lang w:val="es-PE"/>
        </w:rPr>
      </w:pPr>
      <w:r>
        <w:rPr>
          <w:lang w:val="es-PE"/>
        </w:rPr>
        <w:t>Los recursos necesarios para el Cofinanciamiento se harán efectivos a través del CONCEDENTE, con cargo a los recursos de su presupuesto, conforme al siguiente procedimiento:</w:t>
      </w:r>
    </w:p>
    <w:p w14:paraId="6DDBA114" w14:textId="77777777" w:rsidR="004412F1" w:rsidRDefault="004412F1">
      <w:pPr>
        <w:jc w:val="both"/>
        <w:rPr>
          <w:lang w:val="es-PE"/>
        </w:rPr>
      </w:pPr>
    </w:p>
    <w:p w14:paraId="1DBF6AA3" w14:textId="77777777" w:rsidR="004412F1" w:rsidRDefault="005A12A3" w:rsidP="00DB390D">
      <w:pPr>
        <w:ind w:left="993" w:hanging="273"/>
        <w:jc w:val="both"/>
        <w:rPr>
          <w:lang w:val="es-PE"/>
        </w:rPr>
      </w:pPr>
      <w:r>
        <w:rPr>
          <w:lang w:val="es-PE"/>
        </w:rPr>
        <w:t>a) Los costos de la Rehabilitación y Mejoramiento, el Mantenimiento Periódico Inicial, la Construcción del Evitamiento San Clemente y de la Operación y Mantenimiento, en que incurra el CONCESIONARIO serán cubiertos con el RPI, PAMPI, PPO y RPMO, respectivamente, salvo en los casos específicos previstos en el presente Contrato.</w:t>
      </w:r>
    </w:p>
    <w:p w14:paraId="536AB81F" w14:textId="77777777" w:rsidR="004412F1" w:rsidRDefault="004412F1">
      <w:pPr>
        <w:ind w:left="720"/>
        <w:jc w:val="both"/>
        <w:rPr>
          <w:lang w:val="es-PE"/>
        </w:rPr>
      </w:pPr>
    </w:p>
    <w:p w14:paraId="40264CFC" w14:textId="77777777" w:rsidR="004412F1" w:rsidRDefault="005A12A3" w:rsidP="00DB390D">
      <w:pPr>
        <w:ind w:left="993" w:hanging="273"/>
        <w:jc w:val="both"/>
        <w:rPr>
          <w:lang w:val="es-PE"/>
        </w:rPr>
      </w:pPr>
      <w:r>
        <w:rPr>
          <w:lang w:val="es-PE"/>
        </w:rPr>
        <w:t>b) La regulación específica sobre el RPI, PAMPI, PPO y RPMO se encuentra en el ANEXO XI.</w:t>
      </w:r>
    </w:p>
    <w:p w14:paraId="18644394" w14:textId="77777777" w:rsidR="004412F1" w:rsidRDefault="004412F1">
      <w:pPr>
        <w:ind w:left="720"/>
        <w:jc w:val="both"/>
        <w:rPr>
          <w:lang w:val="es-PE"/>
        </w:rPr>
      </w:pPr>
    </w:p>
    <w:p w14:paraId="59814B0C" w14:textId="77777777" w:rsidR="004412F1" w:rsidRDefault="005A12A3" w:rsidP="00DB390D">
      <w:pPr>
        <w:ind w:left="993" w:hanging="273"/>
        <w:jc w:val="both"/>
        <w:rPr>
          <w:rFonts w:eastAsia="SimSun"/>
          <w:lang w:val="es-PE" w:eastAsia="zh-CN"/>
        </w:rPr>
      </w:pPr>
      <w:r>
        <w:rPr>
          <w:lang w:val="es-PE"/>
        </w:rPr>
        <w:t xml:space="preserve">c) El CONCEDENTE depositará en el Fideicomiso de Administración, </w:t>
      </w:r>
      <w:proofErr w:type="gramStart"/>
      <w:r>
        <w:rPr>
          <w:lang w:val="es-PE"/>
        </w:rPr>
        <w:t>de acuerdo a</w:t>
      </w:r>
      <w:proofErr w:type="gramEnd"/>
      <w:r>
        <w:rPr>
          <w:lang w:val="es-PE"/>
        </w:rPr>
        <w:t xml:space="preserve"> lo indicado en el ANEXO XI, el monto correspondiente al Cofinanciamiento incluyendo el IGV.</w:t>
      </w:r>
    </w:p>
    <w:p w14:paraId="5028F3BC" w14:textId="77777777" w:rsidR="004412F1" w:rsidRDefault="004412F1">
      <w:pPr>
        <w:jc w:val="both"/>
        <w:rPr>
          <w:lang w:val="es-PE"/>
        </w:rPr>
      </w:pPr>
    </w:p>
    <w:p w14:paraId="5BBABA34" w14:textId="77777777" w:rsidR="00DB390D" w:rsidRDefault="00DB390D">
      <w:pPr>
        <w:jc w:val="both"/>
        <w:rPr>
          <w:lang w:val="es-PE"/>
        </w:rPr>
      </w:pPr>
    </w:p>
    <w:p w14:paraId="4E1B4E1C" w14:textId="77777777" w:rsidR="004412F1" w:rsidRDefault="005A12A3">
      <w:pPr>
        <w:pStyle w:val="Ttulo1"/>
        <w:jc w:val="both"/>
        <w:rPr>
          <w:color w:val="000000"/>
          <w:lang w:val="es-PE"/>
        </w:rPr>
      </w:pPr>
      <w:bookmarkStart w:id="1897" w:name="_2wfod1i"/>
      <w:bookmarkStart w:id="1898" w:name="_Toc131332056"/>
      <w:bookmarkStart w:id="1899" w:name="_Toc468837663"/>
      <w:bookmarkStart w:id="1900" w:name="_Toc131332977"/>
      <w:bookmarkStart w:id="1901" w:name="_Toc131329969"/>
      <w:bookmarkStart w:id="1902" w:name="_Toc131328814"/>
      <w:bookmarkStart w:id="1903" w:name="_Toc131327998"/>
      <w:bookmarkStart w:id="1904" w:name="_Toc131329150"/>
      <w:bookmarkStart w:id="1905" w:name="_Toc139294762"/>
      <w:bookmarkStart w:id="1906" w:name="_Toc131329382"/>
      <w:bookmarkStart w:id="1907" w:name="_Toc140089361"/>
      <w:bookmarkEnd w:id="1897"/>
      <w:r>
        <w:rPr>
          <w:lang w:val="es-PE"/>
        </w:rPr>
        <w:t xml:space="preserve">CAPÍTULO </w:t>
      </w:r>
      <w:r>
        <w:rPr>
          <w:color w:val="000000" w:themeColor="text1"/>
          <w:lang w:val="es-PE"/>
        </w:rPr>
        <w:t>XI: GARANTÍAS</w:t>
      </w:r>
      <w:bookmarkEnd w:id="1898"/>
      <w:bookmarkEnd w:id="1899"/>
      <w:bookmarkEnd w:id="1900"/>
      <w:bookmarkEnd w:id="1901"/>
      <w:bookmarkEnd w:id="1902"/>
      <w:bookmarkEnd w:id="1903"/>
      <w:bookmarkEnd w:id="1904"/>
      <w:bookmarkEnd w:id="1905"/>
      <w:bookmarkEnd w:id="1906"/>
      <w:bookmarkEnd w:id="1907"/>
    </w:p>
    <w:p w14:paraId="089067B6" w14:textId="77777777" w:rsidR="004412F1" w:rsidRDefault="004412F1">
      <w:pPr>
        <w:jc w:val="both"/>
        <w:rPr>
          <w:color w:val="000000"/>
          <w:lang w:val="es-PE"/>
        </w:rPr>
      </w:pPr>
    </w:p>
    <w:p w14:paraId="26E754EF" w14:textId="77777777" w:rsidR="004412F1" w:rsidRDefault="005A12A3">
      <w:pPr>
        <w:pStyle w:val="Ttulo2"/>
        <w:ind w:left="0"/>
        <w:rPr>
          <w:rFonts w:ascii="Arial" w:eastAsia="Arial" w:hAnsi="Arial" w:cs="Arial"/>
          <w:b/>
          <w:bCs/>
          <w:u w:val="none"/>
          <w:lang w:val="es-PE"/>
        </w:rPr>
      </w:pPr>
      <w:bookmarkStart w:id="1908" w:name="_1bkyn9b"/>
      <w:bookmarkStart w:id="1909" w:name="_Toc131327999"/>
      <w:bookmarkStart w:id="1910" w:name="_Toc131329151"/>
      <w:bookmarkStart w:id="1911" w:name="_Toc131329970"/>
      <w:bookmarkStart w:id="1912" w:name="_Toc131329383"/>
      <w:bookmarkStart w:id="1913" w:name="_Toc468837664"/>
      <w:bookmarkStart w:id="1914" w:name="_Toc131328815"/>
      <w:bookmarkStart w:id="1915" w:name="_Toc131332978"/>
      <w:bookmarkStart w:id="1916" w:name="_Toc131332057"/>
      <w:bookmarkStart w:id="1917" w:name="_Toc139294763"/>
      <w:bookmarkStart w:id="1918" w:name="_Toc140089362"/>
      <w:bookmarkEnd w:id="1908"/>
      <w:r>
        <w:rPr>
          <w:rFonts w:ascii="Arial" w:eastAsia="Arial" w:hAnsi="Arial" w:cs="Arial"/>
          <w:b/>
          <w:bCs/>
          <w:u w:val="none"/>
          <w:lang w:val="es-PE"/>
        </w:rPr>
        <w:t>GARANTÍA DEL CONCEDENTE</w:t>
      </w:r>
      <w:bookmarkEnd w:id="1909"/>
      <w:bookmarkEnd w:id="1910"/>
      <w:bookmarkEnd w:id="1911"/>
      <w:bookmarkEnd w:id="1912"/>
      <w:bookmarkEnd w:id="1913"/>
      <w:bookmarkEnd w:id="1914"/>
      <w:bookmarkEnd w:id="1915"/>
      <w:bookmarkEnd w:id="1916"/>
      <w:bookmarkEnd w:id="1917"/>
      <w:bookmarkEnd w:id="1918"/>
    </w:p>
    <w:p w14:paraId="13B227EC" w14:textId="77777777" w:rsidR="004412F1" w:rsidRDefault="004412F1">
      <w:pPr>
        <w:jc w:val="both"/>
        <w:rPr>
          <w:color w:val="000000"/>
          <w:lang w:val="es-PE"/>
        </w:rPr>
      </w:pPr>
    </w:p>
    <w:p w14:paraId="34B24D12" w14:textId="77777777" w:rsidR="004412F1" w:rsidRDefault="005A12A3">
      <w:pPr>
        <w:numPr>
          <w:ilvl w:val="1"/>
          <w:numId w:val="109"/>
        </w:numPr>
        <w:ind w:hanging="704"/>
        <w:jc w:val="both"/>
        <w:rPr>
          <w:color w:val="000000"/>
          <w:lang w:val="es-PE"/>
        </w:rPr>
      </w:pPr>
      <w:r>
        <w:rPr>
          <w:color w:val="000000"/>
          <w:lang w:val="es-PE"/>
        </w:rPr>
        <w:t>De conformidad con lo establecido en el literal h) de la Cláusula 3.2 el CONCEDENTE otorga a favor del CONCESIONARIO la garantía del Estado de la República del Perú en respaldo de las obligaciones, declaraciones y garantías del CONCEDENTE establecidas en el Contrato de Concesión, la cual no constituye una garantía financiera.</w:t>
      </w:r>
    </w:p>
    <w:p w14:paraId="37437831" w14:textId="77777777" w:rsidR="004412F1" w:rsidRDefault="004412F1">
      <w:pPr>
        <w:jc w:val="both"/>
        <w:rPr>
          <w:lang w:val="es-PE"/>
        </w:rPr>
      </w:pPr>
    </w:p>
    <w:p w14:paraId="3266C2AC" w14:textId="77777777" w:rsidR="004412F1" w:rsidRDefault="005A12A3">
      <w:pPr>
        <w:pStyle w:val="Ttulo2"/>
        <w:ind w:left="0"/>
        <w:rPr>
          <w:rFonts w:ascii="Arial" w:eastAsia="Arial" w:hAnsi="Arial" w:cs="Arial"/>
          <w:b/>
          <w:bCs/>
          <w:u w:val="none"/>
        </w:rPr>
      </w:pPr>
      <w:bookmarkStart w:id="1919" w:name="_3vkm5x4"/>
      <w:bookmarkStart w:id="1920" w:name="_Toc55906401"/>
      <w:bookmarkStart w:id="1921" w:name="_Toc131329384"/>
      <w:bookmarkStart w:id="1922" w:name="_Toc131332979"/>
      <w:bookmarkStart w:id="1923" w:name="_Toc131329152"/>
      <w:bookmarkStart w:id="1924" w:name="_Toc468837665"/>
      <w:bookmarkStart w:id="1925" w:name="_Toc131329971"/>
      <w:bookmarkStart w:id="1926" w:name="_Toc131328000"/>
      <w:bookmarkStart w:id="1927" w:name="_Toc131328816"/>
      <w:bookmarkStart w:id="1928" w:name="_Toc139294764"/>
      <w:bookmarkStart w:id="1929" w:name="_Toc131332058"/>
      <w:bookmarkStart w:id="1930" w:name="_Toc140089363"/>
      <w:bookmarkEnd w:id="1919"/>
      <w:r>
        <w:rPr>
          <w:rFonts w:ascii="Arial" w:eastAsia="Arial" w:hAnsi="Arial" w:cs="Arial"/>
          <w:b/>
          <w:bCs/>
          <w:u w:val="none"/>
        </w:rPr>
        <w:t xml:space="preserve">GARANTÍAS A FAVOR DEL </w:t>
      </w:r>
      <w:bookmarkEnd w:id="1920"/>
      <w:r>
        <w:rPr>
          <w:rFonts w:ascii="Arial" w:eastAsia="Arial" w:hAnsi="Arial" w:cs="Arial"/>
          <w:b/>
          <w:bCs/>
          <w:u w:val="none"/>
        </w:rPr>
        <w:t>CONCEDENTE</w:t>
      </w:r>
      <w:bookmarkEnd w:id="1921"/>
      <w:bookmarkEnd w:id="1922"/>
      <w:bookmarkEnd w:id="1923"/>
      <w:bookmarkEnd w:id="1924"/>
      <w:bookmarkEnd w:id="1925"/>
      <w:bookmarkEnd w:id="1926"/>
      <w:bookmarkEnd w:id="1927"/>
      <w:bookmarkEnd w:id="1928"/>
      <w:bookmarkEnd w:id="1929"/>
      <w:bookmarkEnd w:id="1930"/>
    </w:p>
    <w:p w14:paraId="2B471647" w14:textId="77777777" w:rsidR="004412F1" w:rsidRDefault="004412F1"/>
    <w:p w14:paraId="612E7ACE" w14:textId="77777777" w:rsidR="004412F1" w:rsidRDefault="005A12A3">
      <w:pPr>
        <w:numPr>
          <w:ilvl w:val="1"/>
          <w:numId w:val="109"/>
        </w:numPr>
        <w:ind w:hanging="704"/>
        <w:jc w:val="both"/>
        <w:rPr>
          <w:color w:val="000000"/>
          <w:lang w:val="es-PE"/>
        </w:rPr>
      </w:pPr>
      <w:bookmarkStart w:id="1931" w:name="_GARANTÍA_DE_FIEL"/>
      <w:bookmarkEnd w:id="1931"/>
      <w:r>
        <w:rPr>
          <w:color w:val="000000"/>
          <w:lang w:val="es-PE"/>
        </w:rPr>
        <w:t>Las Garantías</w:t>
      </w:r>
      <w:bookmarkStart w:id="1932" w:name="_Ref271820794"/>
      <w:r>
        <w:rPr>
          <w:color w:val="000000"/>
          <w:lang w:val="es-PE"/>
        </w:rPr>
        <w:t xml:space="preserve"> de Fiel Cumplimiento </w:t>
      </w:r>
      <w:bookmarkEnd w:id="1932"/>
      <w:r>
        <w:rPr>
          <w:color w:val="000000"/>
          <w:lang w:val="es-PE"/>
        </w:rPr>
        <w:t>del Contrato de Concesión y de Fiel Cumplimiento de Ejecución de Intervenciones, que deberá proporcionar el CONCESIONARIO a favor del CONCEDENTE previstas en el presente Capítulo, deberán ser entregadas al CONCEDENTE y contar con las características de solidarias, incondicionales, irrevocables, sin beneficio de excusión, ni división y de realización automática.</w:t>
      </w:r>
    </w:p>
    <w:p w14:paraId="4F2A28F2" w14:textId="77777777" w:rsidR="004412F1" w:rsidRDefault="004412F1">
      <w:pPr>
        <w:suppressAutoHyphens/>
        <w:spacing w:line="260" w:lineRule="exact"/>
        <w:ind w:left="709"/>
        <w:jc w:val="both"/>
        <w:rPr>
          <w:rFonts w:ascii="Courier New" w:eastAsia="Courier New" w:hAnsi="Courier New"/>
          <w:color w:val="000000"/>
          <w:lang w:val="es-ES"/>
        </w:rPr>
      </w:pPr>
    </w:p>
    <w:p w14:paraId="1F71AC46" w14:textId="77777777" w:rsidR="004412F1" w:rsidRDefault="005A12A3">
      <w:pPr>
        <w:numPr>
          <w:ilvl w:val="1"/>
          <w:numId w:val="109"/>
        </w:numPr>
        <w:ind w:hanging="704"/>
        <w:jc w:val="both"/>
        <w:rPr>
          <w:color w:val="000000"/>
          <w:lang w:val="es-PE"/>
        </w:rPr>
      </w:pPr>
      <w:r>
        <w:rPr>
          <w:color w:val="000000"/>
          <w:lang w:val="es-PE"/>
        </w:rPr>
        <w:lastRenderedPageBreak/>
        <w:t xml:space="preserve">En todos los casos, las Garantías de Fiel Cumplimiento podrán estar constituidas por más de una carta fianza o alternativamente carta de crédito </w:t>
      </w:r>
      <w:r>
        <w:rPr>
          <w:i/>
          <w:iCs/>
          <w:color w:val="000000"/>
          <w:lang w:val="es-PE"/>
        </w:rPr>
        <w:t>stand by</w:t>
      </w:r>
      <w:r>
        <w:rPr>
          <w:color w:val="000000"/>
          <w:lang w:val="es-PE"/>
        </w:rPr>
        <w:t xml:space="preserve">, a condición de que sumen el total de monto exigido para las correspondientes garantías.  </w:t>
      </w:r>
    </w:p>
    <w:p w14:paraId="66EAC388" w14:textId="77777777" w:rsidR="004412F1" w:rsidRDefault="004412F1">
      <w:pPr>
        <w:ind w:left="708"/>
        <w:rPr>
          <w:color w:val="000000"/>
          <w:lang w:val="es-PE"/>
        </w:rPr>
      </w:pPr>
    </w:p>
    <w:p w14:paraId="575C2AE5" w14:textId="77777777" w:rsidR="004412F1" w:rsidRDefault="005A12A3">
      <w:pPr>
        <w:numPr>
          <w:ilvl w:val="1"/>
          <w:numId w:val="109"/>
        </w:numPr>
        <w:ind w:hanging="704"/>
        <w:jc w:val="both"/>
        <w:rPr>
          <w:lang w:val="es-PE"/>
        </w:rPr>
      </w:pPr>
      <w:bookmarkStart w:id="1933" w:name="_2apwg4x" w:colFirst="0" w:colLast="0"/>
      <w:bookmarkEnd w:id="1933"/>
      <w:r>
        <w:rPr>
          <w:color w:val="000000"/>
          <w:lang w:val="es-PE"/>
        </w:rPr>
        <w:t>Las Garantías de Fiel Cum</w:t>
      </w:r>
      <w:r>
        <w:rPr>
          <w:lang w:val="es-PE"/>
        </w:rPr>
        <w:t>plimiento deberán ser emitidas por alguna de las empresas bancarias, empresas de seguro, bancos extranjeros de primera categoría, instituciones multilaterales de crédito de las cuales la República del Perú sea miembro o entidades financieras internacionales autorizadas de conformidad con lo establecido a las Bases del Contrato. En caso dichas garantías sean emitidas por un banco extranjero de primera categoría o entidad financiera internacional autorizada de conformidad con lo establecido en el ANEXO II del presente Contrato, o una filial o sucursal de las mismas, deberán ser necesariamente confirmadas por una empresa bancaria del sistema financiero nacional autorizada de acuerdo con el ANEXO II del presente Contrato.</w:t>
      </w:r>
    </w:p>
    <w:p w14:paraId="05E68204" w14:textId="77777777" w:rsidR="004412F1" w:rsidRDefault="004412F1">
      <w:pPr>
        <w:suppressAutoHyphens/>
        <w:spacing w:line="260" w:lineRule="exact"/>
        <w:ind w:left="709"/>
        <w:jc w:val="both"/>
        <w:rPr>
          <w:color w:val="000000"/>
          <w:lang w:val="es-PE"/>
        </w:rPr>
      </w:pPr>
    </w:p>
    <w:p w14:paraId="7716795D" w14:textId="77777777" w:rsidR="004412F1" w:rsidRDefault="005A12A3">
      <w:pPr>
        <w:suppressAutoHyphens/>
        <w:spacing w:line="260" w:lineRule="exact"/>
        <w:ind w:left="709"/>
        <w:jc w:val="both"/>
        <w:rPr>
          <w:color w:val="000000"/>
          <w:lang w:val="es-PE"/>
        </w:rPr>
      </w:pPr>
      <w:r>
        <w:rPr>
          <w:color w:val="000000"/>
          <w:lang w:val="es-PE"/>
        </w:rPr>
        <w:t xml:space="preserve">En caso el CONCESIONARIO opte por una carta de crédito </w:t>
      </w:r>
      <w:r>
        <w:rPr>
          <w:i/>
          <w:iCs/>
          <w:color w:val="000000"/>
          <w:lang w:val="es-PE"/>
        </w:rPr>
        <w:t>stand-by</w:t>
      </w:r>
      <w:r>
        <w:rPr>
          <w:color w:val="000000"/>
          <w:lang w:val="es-PE"/>
        </w:rPr>
        <w:t>, esta podrá ser aceptada siempre que cuente con la previa aprobación del CONCEDENTE.  Dicha carta podrá revestir la formalidad que emplee el banco que efectúe la operación, siempre que cumpla con los requerimientos que se establecen en los modelos que constan en el ANEXO</w:t>
      </w:r>
      <w:r>
        <w:rPr>
          <w:color w:val="000000"/>
          <w:lang w:val="es-ES"/>
        </w:rPr>
        <w:t>S</w:t>
      </w:r>
      <w:r>
        <w:rPr>
          <w:color w:val="000000"/>
          <w:lang w:val="es-PE"/>
        </w:rPr>
        <w:t xml:space="preserve"> III </w:t>
      </w:r>
      <w:r>
        <w:rPr>
          <w:color w:val="000000"/>
          <w:lang w:val="es-ES"/>
        </w:rPr>
        <w:t xml:space="preserve">y IV </w:t>
      </w:r>
      <w:r>
        <w:rPr>
          <w:color w:val="000000"/>
          <w:lang w:val="es-PE"/>
        </w:rPr>
        <w:t>y sea emitida por un banco extranjero de primera categoría y confirmada por una empresa bancaria del sistema financiero nacional, ambas autorizadas de acuerdo con el ANEXO II del presente Contrato.</w:t>
      </w:r>
    </w:p>
    <w:p w14:paraId="343AE18B" w14:textId="77777777" w:rsidR="004412F1" w:rsidRDefault="004412F1">
      <w:pPr>
        <w:suppressAutoHyphens/>
        <w:spacing w:line="260" w:lineRule="exact"/>
        <w:ind w:left="709"/>
        <w:jc w:val="both"/>
        <w:rPr>
          <w:color w:val="000000"/>
          <w:lang w:val="es-PE"/>
        </w:rPr>
      </w:pPr>
    </w:p>
    <w:p w14:paraId="51EB559B" w14:textId="77777777" w:rsidR="004412F1" w:rsidRDefault="005A12A3">
      <w:pPr>
        <w:numPr>
          <w:ilvl w:val="1"/>
          <w:numId w:val="109"/>
        </w:numPr>
        <w:ind w:hanging="704"/>
        <w:jc w:val="both"/>
        <w:rPr>
          <w:rFonts w:eastAsia="Times New Roman"/>
          <w:bCs/>
          <w:color w:val="000000"/>
          <w:szCs w:val="18"/>
          <w:lang w:val="es-ES" w:eastAsia="es-ES"/>
        </w:rPr>
      </w:pPr>
      <w:bookmarkStart w:id="1934" w:name="_pv6qcq" w:colFirst="0" w:colLast="0"/>
      <w:bookmarkStart w:id="1935" w:name="_Ref412616106"/>
      <w:bookmarkEnd w:id="1934"/>
      <w:r>
        <w:rPr>
          <w:color w:val="000000"/>
          <w:lang w:val="es-PE"/>
        </w:rPr>
        <w:t xml:space="preserve">Las Garantías de Fiel Cumplimiento deberán ser expedidas y renovadas como mínimo por períodos anuales, a fin de mantenerlas vigentes de acuerdo con lo regulado en el presente Contrato, en caso contrario se aplicará la penalidad establecida en la Tabla N° 3 del ANEXO IX del Contrato. </w:t>
      </w:r>
    </w:p>
    <w:p w14:paraId="4C3FF96B" w14:textId="77777777" w:rsidR="004412F1" w:rsidRDefault="004412F1">
      <w:pPr>
        <w:ind w:left="704"/>
        <w:jc w:val="both"/>
        <w:rPr>
          <w:color w:val="000000"/>
          <w:lang w:val="es-PE"/>
        </w:rPr>
      </w:pPr>
    </w:p>
    <w:p w14:paraId="4D505D1B" w14:textId="77777777" w:rsidR="004412F1" w:rsidRDefault="005A12A3">
      <w:pPr>
        <w:numPr>
          <w:ilvl w:val="1"/>
          <w:numId w:val="109"/>
        </w:numPr>
        <w:ind w:hanging="704"/>
        <w:jc w:val="both"/>
        <w:rPr>
          <w:color w:val="000000"/>
          <w:lang w:val="es-PE"/>
        </w:rPr>
      </w:pPr>
      <w:r>
        <w:rPr>
          <w:color w:val="000000"/>
          <w:lang w:val="es-PE"/>
        </w:rPr>
        <w:t>El documento en el que consta cada garantía deberá ser devuelto al CONCESIONARIO luego de su vencimiento, siempre que el documento en el que consta su renovación haya sido previamente entregado al CONCEDENTE.</w:t>
      </w:r>
    </w:p>
    <w:p w14:paraId="1F10A97B" w14:textId="77777777" w:rsidR="004412F1" w:rsidRDefault="004412F1">
      <w:pPr>
        <w:ind w:left="704"/>
        <w:jc w:val="both"/>
        <w:rPr>
          <w:color w:val="000000"/>
          <w:lang w:val="es-PE"/>
        </w:rPr>
      </w:pPr>
    </w:p>
    <w:p w14:paraId="5D4290E6" w14:textId="77777777" w:rsidR="004412F1" w:rsidRDefault="005A12A3">
      <w:pPr>
        <w:numPr>
          <w:ilvl w:val="1"/>
          <w:numId w:val="109"/>
        </w:numPr>
        <w:ind w:hanging="704"/>
        <w:jc w:val="both"/>
        <w:rPr>
          <w:color w:val="000000"/>
          <w:lang w:val="es-PE"/>
        </w:rPr>
      </w:pPr>
      <w:r>
        <w:rPr>
          <w:color w:val="000000"/>
          <w:lang w:val="es-PE"/>
        </w:rPr>
        <w:t>Asimismo, queda establecido que las Garantías de Fiel Cumplimiento deberán ser renovadas aun cuando se haya iniciado los mecanismos de solución de controversias establecidos en el Capítulo XIX del presente Contrato.</w:t>
      </w:r>
    </w:p>
    <w:p w14:paraId="5DBDB0C1" w14:textId="77777777" w:rsidR="004412F1" w:rsidRDefault="004412F1">
      <w:pPr>
        <w:ind w:left="704"/>
        <w:jc w:val="both"/>
        <w:rPr>
          <w:color w:val="000000"/>
          <w:lang w:val="es-PE"/>
        </w:rPr>
      </w:pPr>
    </w:p>
    <w:p w14:paraId="5132B6DA" w14:textId="77777777" w:rsidR="004412F1" w:rsidRDefault="005A12A3">
      <w:pPr>
        <w:numPr>
          <w:ilvl w:val="1"/>
          <w:numId w:val="109"/>
        </w:numPr>
        <w:ind w:left="709" w:hanging="704"/>
        <w:jc w:val="both"/>
        <w:rPr>
          <w:color w:val="000000"/>
          <w:lang w:val="es-PE"/>
        </w:rPr>
      </w:pPr>
      <w:r>
        <w:rPr>
          <w:color w:val="000000"/>
          <w:lang w:val="es-PE"/>
        </w:rPr>
        <w:t>Si las Garantías de Fiel Cumplimiento no son renovadas y entregadas al CONCEDENTE por el CONCESIONARIO a más tardar treinta (30) Días Calendario antes de su vencimiento conforme a lo establecido en el párrafo anterior, el CONCEDENTE procederá a su ejecución total. Sin perjuicio de lo dispuesto en el literal i) de la cláusula 17.4, el monto de la garantía será retenido por el CONCEDENTE como garantía hasta que el CONCESIONARIO cumpla con renovar la carta fianza. Al cumplimiento de la renovación de la carta fianza correspondiente, el CONCEDENTE devolverá al CONCESIONARIO el monto de la garantía, sin intereses, y luego de deducidos los gastos en que haya incurrido, de ser el caso.</w:t>
      </w:r>
      <w:bookmarkEnd w:id="1935"/>
    </w:p>
    <w:p w14:paraId="219DA1C3" w14:textId="77777777" w:rsidR="004412F1" w:rsidRDefault="004412F1">
      <w:pPr>
        <w:jc w:val="both"/>
        <w:rPr>
          <w:color w:val="000000"/>
          <w:lang w:val="es-PE"/>
        </w:rPr>
      </w:pPr>
    </w:p>
    <w:p w14:paraId="37538424" w14:textId="77777777" w:rsidR="004412F1" w:rsidRDefault="005A12A3">
      <w:pPr>
        <w:numPr>
          <w:ilvl w:val="1"/>
          <w:numId w:val="109"/>
        </w:numPr>
        <w:ind w:hanging="704"/>
        <w:jc w:val="both"/>
        <w:rPr>
          <w:color w:val="000000"/>
          <w:lang w:val="es-PE"/>
        </w:rPr>
      </w:pPr>
      <w:r>
        <w:rPr>
          <w:color w:val="000000"/>
          <w:lang w:val="es-PE"/>
        </w:rPr>
        <w:t>El monto de la Garantía de Fiel Cumplimiento del Contrato y las Garantías de Fiel Cumplimiento de Ejecución de Intervenciones no constituye un límite a las penalidades o indemnizaciones que puedan corresponder por incumplimientos del CONCESIONARIO.</w:t>
      </w:r>
    </w:p>
    <w:p w14:paraId="1A012BCD" w14:textId="77777777" w:rsidR="004412F1" w:rsidRDefault="004412F1">
      <w:pPr>
        <w:jc w:val="both"/>
        <w:rPr>
          <w:color w:val="000000"/>
          <w:lang w:val="es-PE"/>
        </w:rPr>
      </w:pPr>
    </w:p>
    <w:p w14:paraId="39FA1F54" w14:textId="77777777" w:rsidR="004412F1" w:rsidRDefault="005A12A3">
      <w:pPr>
        <w:pStyle w:val="Ttulo2"/>
        <w:ind w:left="0"/>
        <w:jc w:val="both"/>
        <w:rPr>
          <w:rFonts w:ascii="Arial" w:eastAsia="Arial" w:hAnsi="Arial" w:cs="Arial"/>
          <w:b/>
          <w:bCs/>
          <w:u w:val="none"/>
          <w:lang w:val="es-PE"/>
        </w:rPr>
      </w:pPr>
      <w:bookmarkStart w:id="1936" w:name="_39uu90j"/>
      <w:bookmarkStart w:id="1937" w:name="_Toc139294765"/>
      <w:bookmarkStart w:id="1938" w:name="_Toc140089364"/>
      <w:bookmarkEnd w:id="1936"/>
      <w:r>
        <w:rPr>
          <w:rFonts w:ascii="Arial" w:eastAsia="Arial" w:hAnsi="Arial" w:cs="Arial"/>
          <w:b/>
          <w:bCs/>
          <w:u w:val="none"/>
          <w:lang w:val="es-PE"/>
        </w:rPr>
        <w:lastRenderedPageBreak/>
        <w:t>GARANTÍAS DE FIEL CUMPLIMIENTO DE EJECUCIÓN DE INTERVENCIONES</w:t>
      </w:r>
      <w:bookmarkEnd w:id="1937"/>
      <w:bookmarkEnd w:id="1938"/>
      <w:r>
        <w:rPr>
          <w:rFonts w:ascii="Arial" w:eastAsia="Arial" w:hAnsi="Arial" w:cs="Arial"/>
          <w:b/>
          <w:bCs/>
          <w:u w:val="none"/>
          <w:lang w:val="es-PE"/>
        </w:rPr>
        <w:t xml:space="preserve"> </w:t>
      </w:r>
    </w:p>
    <w:p w14:paraId="4B90BAC6" w14:textId="77777777" w:rsidR="004412F1" w:rsidRDefault="004412F1">
      <w:pPr>
        <w:suppressAutoHyphens/>
        <w:spacing w:line="260" w:lineRule="exact"/>
        <w:ind w:left="709" w:hanging="283"/>
        <w:jc w:val="both"/>
        <w:rPr>
          <w:color w:val="000000"/>
          <w:sz w:val="18"/>
          <w:lang w:val="es-PE"/>
        </w:rPr>
      </w:pPr>
    </w:p>
    <w:p w14:paraId="0A5A0EEE" w14:textId="77777777" w:rsidR="004412F1" w:rsidRDefault="005A12A3">
      <w:pPr>
        <w:numPr>
          <w:ilvl w:val="1"/>
          <w:numId w:val="109"/>
        </w:numPr>
        <w:ind w:left="709" w:hanging="704"/>
        <w:jc w:val="both"/>
        <w:rPr>
          <w:color w:val="333333"/>
          <w:lang w:val="es-PE"/>
        </w:rPr>
      </w:pPr>
      <w:bookmarkStart w:id="1939" w:name="_1p04j8c" w:colFirst="0" w:colLast="0"/>
      <w:bookmarkEnd w:id="1939"/>
      <w:r>
        <w:rPr>
          <w:color w:val="000000"/>
          <w:lang w:val="es-PE"/>
        </w:rPr>
        <w:t>Para garantizar la correcta y oportuna ejecución de las Intervenciones, de acuerdo con los Términos de Referencia indicados en las Bases, a los Estudios Definitivos de Ingeniería e Instrumento de Gestión Ambiental o a los Expedientes Técnicos, según corresponda, así como para garantizar el pago de las penalidades y demás sanciones, el CONCESIONARIO entregará al CONCEDENTE las Garantías de Fiel Cumplimiento de Ejecución de Intervenciones</w:t>
      </w:r>
      <w:r>
        <w:rPr>
          <w:color w:val="333333"/>
          <w:lang w:val="es-PE"/>
        </w:rPr>
        <w:t>.</w:t>
      </w:r>
    </w:p>
    <w:p w14:paraId="3BFB8180" w14:textId="77777777" w:rsidR="004412F1" w:rsidRDefault="004412F1">
      <w:pPr>
        <w:ind w:left="704"/>
        <w:jc w:val="both"/>
        <w:rPr>
          <w:b/>
          <w:color w:val="000000"/>
          <w:sz w:val="28"/>
          <w:lang w:val="es-PE"/>
        </w:rPr>
      </w:pPr>
    </w:p>
    <w:p w14:paraId="3AA3D874" w14:textId="77777777" w:rsidR="004412F1" w:rsidRDefault="005A12A3">
      <w:pPr>
        <w:numPr>
          <w:ilvl w:val="1"/>
          <w:numId w:val="109"/>
        </w:numPr>
        <w:ind w:left="709" w:hanging="709"/>
        <w:jc w:val="both"/>
        <w:rPr>
          <w:color w:val="000000"/>
          <w:lang w:val="es-PE"/>
        </w:rPr>
      </w:pPr>
      <w:r>
        <w:rPr>
          <w:color w:val="000000"/>
          <w:lang w:val="es-PE"/>
        </w:rPr>
        <w:t>Las Garantías de Fiel Cumplimiento de Ejecución de Intervenciones deberán ser emitidas a favor del CONCEDENTE, de acuerdo con el formato incluido como ANEXO I</w:t>
      </w:r>
      <w:r>
        <w:rPr>
          <w:color w:val="000000"/>
          <w:lang w:val="es-ES"/>
        </w:rPr>
        <w:t>V</w:t>
      </w:r>
      <w:r>
        <w:rPr>
          <w:color w:val="000000"/>
          <w:lang w:val="es-PE"/>
        </w:rPr>
        <w:t xml:space="preserve"> del presente Contrato por cada tipo de Intervención según lo siguiente: </w:t>
      </w:r>
    </w:p>
    <w:p w14:paraId="3AB3A286" w14:textId="77777777" w:rsidR="004412F1" w:rsidRDefault="004412F1">
      <w:pPr>
        <w:ind w:left="708"/>
        <w:rPr>
          <w:color w:val="000000"/>
          <w:lang w:val="es-PE"/>
        </w:rPr>
      </w:pPr>
    </w:p>
    <w:p w14:paraId="186EB3FE" w14:textId="580C223E" w:rsidR="004412F1" w:rsidRDefault="005A12A3">
      <w:pPr>
        <w:numPr>
          <w:ilvl w:val="0"/>
          <w:numId w:val="110"/>
        </w:numPr>
        <w:jc w:val="both"/>
        <w:rPr>
          <w:color w:val="000000"/>
          <w:lang w:val="es-PE"/>
        </w:rPr>
      </w:pPr>
      <w:r>
        <w:rPr>
          <w:color w:val="000000"/>
          <w:lang w:val="es-PE"/>
        </w:rPr>
        <w:t xml:space="preserve">Garantía de Fiel Cumplimiento de Ejecución de Rehabilitación y Mejoramiento por un monto </w:t>
      </w:r>
      <w:r w:rsidR="006B33E8">
        <w:rPr>
          <w:color w:val="000000"/>
          <w:lang w:val="es-PE"/>
        </w:rPr>
        <w:t xml:space="preserve">de </w:t>
      </w:r>
      <w:r>
        <w:rPr>
          <w:color w:val="000000"/>
          <w:lang w:val="es-PE"/>
        </w:rPr>
        <w:t xml:space="preserve">US$ [] ([] y 00/100 </w:t>
      </w:r>
      <w:proofErr w:type="gramStart"/>
      <w:r>
        <w:rPr>
          <w:color w:val="000000"/>
          <w:lang w:val="es-PE"/>
        </w:rPr>
        <w:t>Dólares Americanos</w:t>
      </w:r>
      <w:proofErr w:type="gramEnd"/>
      <w:r>
        <w:rPr>
          <w:color w:val="000000"/>
          <w:lang w:val="es-PE"/>
        </w:rPr>
        <w:t xml:space="preserve">), </w:t>
      </w:r>
    </w:p>
    <w:p w14:paraId="69FBCB6C" w14:textId="77777777" w:rsidR="004412F1" w:rsidRDefault="004412F1">
      <w:pPr>
        <w:ind w:left="709"/>
        <w:jc w:val="both"/>
        <w:rPr>
          <w:color w:val="000000"/>
          <w:sz w:val="16"/>
          <w:szCs w:val="16"/>
          <w:lang w:val="es-PE"/>
        </w:rPr>
      </w:pPr>
    </w:p>
    <w:p w14:paraId="7BB7D841" w14:textId="77777777" w:rsidR="004412F1" w:rsidRDefault="005A12A3">
      <w:pPr>
        <w:numPr>
          <w:ilvl w:val="0"/>
          <w:numId w:val="110"/>
        </w:numPr>
        <w:jc w:val="both"/>
        <w:rPr>
          <w:color w:val="000000"/>
          <w:lang w:val="es-PE"/>
        </w:rPr>
      </w:pPr>
      <w:r>
        <w:rPr>
          <w:color w:val="000000"/>
          <w:lang w:val="es-PE"/>
        </w:rPr>
        <w:t xml:space="preserve">Garantía de Fiel Cumplimiento de Ejecución de Construcción del Evitamiento San Clemente por un monto de US$ [] ([] y 00/100 </w:t>
      </w:r>
      <w:proofErr w:type="gramStart"/>
      <w:r>
        <w:rPr>
          <w:color w:val="000000"/>
          <w:lang w:val="es-PE"/>
        </w:rPr>
        <w:t>Dólares Americanos</w:t>
      </w:r>
      <w:proofErr w:type="gramEnd"/>
      <w:r>
        <w:rPr>
          <w:color w:val="000000"/>
          <w:lang w:val="es-PE"/>
        </w:rPr>
        <w:t xml:space="preserve">) y </w:t>
      </w:r>
    </w:p>
    <w:p w14:paraId="56F036A4" w14:textId="77777777" w:rsidR="004412F1" w:rsidRDefault="004412F1">
      <w:pPr>
        <w:ind w:left="709"/>
        <w:jc w:val="both"/>
        <w:rPr>
          <w:color w:val="000000"/>
          <w:lang w:val="es-PE"/>
        </w:rPr>
      </w:pPr>
    </w:p>
    <w:p w14:paraId="586D0353" w14:textId="5E704925" w:rsidR="004412F1" w:rsidRDefault="005A12A3" w:rsidP="00077E8D">
      <w:pPr>
        <w:numPr>
          <w:ilvl w:val="0"/>
          <w:numId w:val="110"/>
        </w:numPr>
        <w:jc w:val="both"/>
        <w:rPr>
          <w:color w:val="000000"/>
          <w:lang w:val="es-PE"/>
        </w:rPr>
      </w:pPr>
      <w:r w:rsidRPr="00077E8D">
        <w:rPr>
          <w:color w:val="000000"/>
          <w:lang w:val="es-PE"/>
        </w:rPr>
        <w:t>Garantía</w:t>
      </w:r>
      <w:r>
        <w:rPr>
          <w:color w:val="000000"/>
          <w:lang w:val="es-PE"/>
        </w:rPr>
        <w:t xml:space="preserve"> de Fiel Cumplimiento de Ejecución de Mantenimiento Periódico Inicial</w:t>
      </w:r>
      <w:r w:rsidR="006B33E8">
        <w:rPr>
          <w:color w:val="000000"/>
          <w:lang w:val="es-PE"/>
        </w:rPr>
        <w:t xml:space="preserve"> por un monto de</w:t>
      </w:r>
      <w:r>
        <w:rPr>
          <w:color w:val="000000"/>
          <w:lang w:val="es-PE"/>
        </w:rPr>
        <w:t xml:space="preserve"> US$ [] ([] y 00/100 </w:t>
      </w:r>
      <w:proofErr w:type="gramStart"/>
      <w:r>
        <w:rPr>
          <w:color w:val="000000"/>
          <w:lang w:val="es-PE"/>
        </w:rPr>
        <w:t>Dólares Americanos</w:t>
      </w:r>
      <w:proofErr w:type="gramEnd"/>
      <w:r>
        <w:rPr>
          <w:color w:val="000000"/>
          <w:lang w:val="es-PE"/>
        </w:rPr>
        <w:t xml:space="preserve">).  </w:t>
      </w:r>
    </w:p>
    <w:p w14:paraId="69256782" w14:textId="77777777" w:rsidR="004412F1" w:rsidRDefault="004412F1">
      <w:pPr>
        <w:jc w:val="both"/>
        <w:rPr>
          <w:lang w:val="es-PE"/>
        </w:rPr>
      </w:pPr>
    </w:p>
    <w:p w14:paraId="5B00D6B1" w14:textId="77777777" w:rsidR="004412F1" w:rsidRDefault="005A12A3">
      <w:pPr>
        <w:ind w:left="709"/>
        <w:jc w:val="both"/>
        <w:rPr>
          <w:color w:val="000000"/>
          <w:lang w:val="es-PE"/>
        </w:rPr>
      </w:pPr>
      <w:r>
        <w:rPr>
          <w:color w:val="000000"/>
          <w:lang w:val="es-PE"/>
        </w:rPr>
        <w:t xml:space="preserve">Estas </w:t>
      </w:r>
      <w:r>
        <w:rPr>
          <w:lang w:val="es-PE"/>
        </w:rPr>
        <w:t xml:space="preserve">garantías </w:t>
      </w:r>
      <w:r>
        <w:rPr>
          <w:color w:val="000000"/>
          <w:lang w:val="es-PE"/>
        </w:rPr>
        <w:t>deberán mantenerse vigente desde el inicio de cada Intervención hasta dos (02) años posteriores a la aceptación de cada Intervención.</w:t>
      </w:r>
    </w:p>
    <w:p w14:paraId="4A3936CA" w14:textId="77777777" w:rsidR="004412F1" w:rsidRDefault="004412F1">
      <w:pPr>
        <w:ind w:left="709"/>
        <w:jc w:val="both"/>
        <w:rPr>
          <w:b/>
          <w:bCs/>
          <w:color w:val="000000"/>
          <w:lang w:val="es-PE"/>
        </w:rPr>
      </w:pPr>
    </w:p>
    <w:p w14:paraId="0FF7D234" w14:textId="77777777" w:rsidR="004412F1" w:rsidRDefault="004412F1">
      <w:pPr>
        <w:jc w:val="both"/>
        <w:rPr>
          <w:lang w:val="es-PE"/>
        </w:rPr>
      </w:pPr>
    </w:p>
    <w:p w14:paraId="3147E12B" w14:textId="77777777" w:rsidR="004412F1" w:rsidRDefault="005A12A3">
      <w:pPr>
        <w:pStyle w:val="Ttulo2"/>
        <w:ind w:left="0"/>
        <w:rPr>
          <w:rFonts w:ascii="Arial" w:eastAsia="Arial" w:hAnsi="Arial" w:cs="Arial"/>
          <w:b/>
          <w:bCs/>
          <w:u w:val="none"/>
          <w:lang w:val="es-PE"/>
        </w:rPr>
      </w:pPr>
      <w:bookmarkStart w:id="1940" w:name="_GARANTÍA_DE_FIEL_"/>
      <w:bookmarkStart w:id="1941" w:name="_48zs1w5"/>
      <w:bookmarkStart w:id="1942" w:name="_Toc139294766"/>
      <w:bookmarkStart w:id="1943" w:name="_Toc102405348"/>
      <w:bookmarkStart w:id="1944" w:name="_Toc468837667"/>
      <w:bookmarkStart w:id="1945" w:name="_Toc140089365"/>
      <w:bookmarkEnd w:id="1940"/>
      <w:bookmarkEnd w:id="1941"/>
      <w:r>
        <w:rPr>
          <w:rFonts w:ascii="Arial" w:eastAsia="Arial" w:hAnsi="Arial" w:cs="Arial"/>
          <w:b/>
          <w:bCs/>
          <w:u w:val="none"/>
          <w:lang w:val="es-PE"/>
        </w:rPr>
        <w:t>GARANTÍA DE FIEL CUMPLIMIENTO DE CONTRATO DE CONCESIÓN</w:t>
      </w:r>
      <w:bookmarkEnd w:id="1942"/>
      <w:bookmarkEnd w:id="1943"/>
      <w:bookmarkEnd w:id="1944"/>
      <w:bookmarkEnd w:id="1945"/>
    </w:p>
    <w:p w14:paraId="2D960504" w14:textId="77777777" w:rsidR="004412F1" w:rsidRDefault="004412F1">
      <w:pPr>
        <w:jc w:val="both"/>
        <w:rPr>
          <w:lang w:val="es-PE"/>
        </w:rPr>
      </w:pPr>
    </w:p>
    <w:p w14:paraId="6F4B2E7C" w14:textId="77777777" w:rsidR="004412F1" w:rsidRPr="00524276" w:rsidRDefault="005A12A3">
      <w:pPr>
        <w:numPr>
          <w:ilvl w:val="1"/>
          <w:numId w:val="109"/>
        </w:numPr>
        <w:ind w:left="709" w:hanging="709"/>
        <w:jc w:val="both"/>
        <w:rPr>
          <w:color w:val="000000"/>
          <w:lang w:val="es-PE"/>
        </w:rPr>
      </w:pPr>
      <w:bookmarkStart w:id="1946" w:name="_2o52c3y" w:colFirst="0" w:colLast="0"/>
      <w:bookmarkStart w:id="1947" w:name="_Ref271729255"/>
      <w:bookmarkEnd w:id="1946"/>
      <w:r>
        <w:rPr>
          <w:color w:val="000000"/>
          <w:lang w:val="es-PE"/>
        </w:rPr>
        <w:t xml:space="preserve">Para garantizar el correcto y oportuno cumplimiento de todas y cada una de las obligaciones a cargo del CONCESIONARIO derivadas de la celebración del </w:t>
      </w:r>
      <w:r w:rsidRPr="00524276">
        <w:rPr>
          <w:color w:val="000000"/>
          <w:lang w:val="es-PE"/>
        </w:rPr>
        <w:t xml:space="preserve">Contrato, incluyendo sin limitación, a la Rehabilitación y Mejoramiento, Construcción del Evitamiento San Clemente, Mantenimiento Periódico Inicial y el pago de las penalidades pendientes de cobro, el CONCESIONARIO entregará a favor del CONCEDENTE, </w:t>
      </w:r>
      <w:proofErr w:type="gramStart"/>
      <w:r w:rsidRPr="00524276">
        <w:rPr>
          <w:color w:val="000000"/>
          <w:lang w:val="es-PE"/>
        </w:rPr>
        <w:t>de acuerdo al</w:t>
      </w:r>
      <w:proofErr w:type="gramEnd"/>
      <w:r w:rsidRPr="00524276">
        <w:rPr>
          <w:color w:val="000000"/>
          <w:lang w:val="es-PE"/>
        </w:rPr>
        <w:t xml:space="preserve"> formato incluido como ANEXO III del presente Contrato.</w:t>
      </w:r>
      <w:bookmarkEnd w:id="1947"/>
    </w:p>
    <w:p w14:paraId="3243488E" w14:textId="77777777" w:rsidR="004412F1" w:rsidRPr="00524276" w:rsidRDefault="004412F1">
      <w:pPr>
        <w:ind w:left="709"/>
        <w:jc w:val="both"/>
        <w:rPr>
          <w:color w:val="000000"/>
          <w:lang w:val="es-PE"/>
        </w:rPr>
      </w:pPr>
    </w:p>
    <w:p w14:paraId="5A432CA7" w14:textId="77777777" w:rsidR="004412F1" w:rsidRPr="00524276" w:rsidRDefault="005A12A3" w:rsidP="00BF26C5">
      <w:pPr>
        <w:numPr>
          <w:ilvl w:val="1"/>
          <w:numId w:val="109"/>
        </w:numPr>
        <w:ind w:left="709" w:hanging="709"/>
        <w:jc w:val="both"/>
        <w:rPr>
          <w:lang w:val="es-PE"/>
        </w:rPr>
      </w:pPr>
      <w:bookmarkStart w:id="1948" w:name="_13acmbr" w:colFirst="0" w:colLast="0"/>
      <w:bookmarkEnd w:id="1948"/>
      <w:r w:rsidRPr="00524276">
        <w:rPr>
          <w:color w:val="000000"/>
          <w:lang w:val="es-PE"/>
        </w:rPr>
        <w:t xml:space="preserve">La Garantía de Fiel Cumplimiento de Contrato de Concesión deberá ser emitida por un importe equivalente a US$ [] ([] y 00/100 </w:t>
      </w:r>
      <w:proofErr w:type="gramStart"/>
      <w:r w:rsidRPr="00524276">
        <w:rPr>
          <w:color w:val="000000"/>
          <w:lang w:val="es-PE"/>
        </w:rPr>
        <w:t>Dólares Americanos</w:t>
      </w:r>
      <w:proofErr w:type="gramEnd"/>
      <w:r w:rsidRPr="00524276">
        <w:rPr>
          <w:color w:val="000000"/>
          <w:lang w:val="es-PE"/>
        </w:rPr>
        <w:t>)</w:t>
      </w:r>
      <w:r w:rsidRPr="00524276">
        <w:rPr>
          <w:lang w:val="es-PE"/>
        </w:rPr>
        <w:t xml:space="preserve">. </w:t>
      </w:r>
    </w:p>
    <w:p w14:paraId="5E14DDEE" w14:textId="77777777" w:rsidR="004412F1" w:rsidRPr="00524276" w:rsidRDefault="004412F1">
      <w:pPr>
        <w:ind w:left="709"/>
        <w:jc w:val="both"/>
        <w:rPr>
          <w:lang w:val="es-PE"/>
        </w:rPr>
      </w:pPr>
      <w:bookmarkStart w:id="1949" w:name="_m61lbw25lktg" w:colFirst="0" w:colLast="0"/>
      <w:bookmarkEnd w:id="1949"/>
    </w:p>
    <w:p w14:paraId="6192D671" w14:textId="77777777" w:rsidR="004412F1" w:rsidRDefault="005A12A3">
      <w:pPr>
        <w:ind w:left="709"/>
        <w:jc w:val="both"/>
        <w:rPr>
          <w:color w:val="000000"/>
          <w:lang w:val="es-PE"/>
        </w:rPr>
      </w:pPr>
      <w:r w:rsidRPr="00524276">
        <w:rPr>
          <w:color w:val="000000"/>
          <w:lang w:val="es-PE"/>
        </w:rPr>
        <w:t>El CONCESIONARIO deberá mantener la Garantía de Fiel Cumplimiento del Contrato de Concesión vigente desde la Fecha de Suscripción del Contrato hasta por dos (2) años posteriores a la Fecha de Fin de la Concesión.</w:t>
      </w:r>
    </w:p>
    <w:p w14:paraId="593984DE" w14:textId="77777777" w:rsidR="004412F1" w:rsidRDefault="004412F1">
      <w:pPr>
        <w:ind w:left="709"/>
        <w:jc w:val="both"/>
        <w:rPr>
          <w:lang w:val="es-PE"/>
        </w:rPr>
      </w:pPr>
    </w:p>
    <w:p w14:paraId="0EAB0DFF" w14:textId="77777777" w:rsidR="004412F1" w:rsidRDefault="004412F1">
      <w:pPr>
        <w:ind w:left="709"/>
        <w:jc w:val="both"/>
        <w:rPr>
          <w:lang w:val="es-PE"/>
        </w:rPr>
      </w:pPr>
    </w:p>
    <w:p w14:paraId="53449ED7" w14:textId="77777777" w:rsidR="004412F1" w:rsidRDefault="005A12A3">
      <w:pPr>
        <w:pStyle w:val="Ttulo2"/>
        <w:ind w:left="0"/>
        <w:rPr>
          <w:rFonts w:ascii="Arial" w:hAnsi="Arial"/>
          <w:b/>
          <w:color w:val="000000"/>
          <w:lang w:val="es-PE"/>
        </w:rPr>
      </w:pPr>
      <w:bookmarkStart w:id="1950" w:name="_3na04zk" w:colFirst="0" w:colLast="0"/>
      <w:bookmarkStart w:id="1951" w:name="_EJECUCIÓN_DE_LAS"/>
      <w:bookmarkStart w:id="1952" w:name="_Toc131328817"/>
      <w:bookmarkStart w:id="1953" w:name="_Toc131329153"/>
      <w:bookmarkStart w:id="1954" w:name="_Toc131329972"/>
      <w:bookmarkStart w:id="1955" w:name="_Toc468837668"/>
      <w:bookmarkStart w:id="1956" w:name="_Toc131332980"/>
      <w:bookmarkStart w:id="1957" w:name="_Toc131328001"/>
      <w:bookmarkStart w:id="1958" w:name="_Toc131329385"/>
      <w:bookmarkStart w:id="1959" w:name="_Toc131332059"/>
      <w:bookmarkStart w:id="1960" w:name="_Toc139294767"/>
      <w:bookmarkStart w:id="1961" w:name="_Toc140089366"/>
      <w:bookmarkEnd w:id="1950"/>
      <w:bookmarkEnd w:id="1951"/>
      <w:r>
        <w:rPr>
          <w:rFonts w:ascii="Arial" w:eastAsia="Arial" w:hAnsi="Arial" w:cs="Arial"/>
          <w:b/>
          <w:bCs/>
          <w:u w:val="none"/>
          <w:lang w:val="es-PE"/>
        </w:rPr>
        <w:t>EJECUCIÓN</w:t>
      </w:r>
      <w:r>
        <w:rPr>
          <w:rFonts w:ascii="Arial" w:hAnsi="Arial"/>
          <w:b/>
          <w:color w:val="000000"/>
          <w:u w:val="none"/>
          <w:lang w:val="es-PE"/>
        </w:rPr>
        <w:t xml:space="preserve"> DE LAS GARANTÍAS</w:t>
      </w:r>
      <w:bookmarkEnd w:id="1952"/>
      <w:bookmarkEnd w:id="1953"/>
      <w:bookmarkEnd w:id="1954"/>
      <w:bookmarkEnd w:id="1955"/>
      <w:bookmarkEnd w:id="1956"/>
      <w:bookmarkEnd w:id="1957"/>
      <w:bookmarkEnd w:id="1958"/>
      <w:bookmarkEnd w:id="1959"/>
      <w:r>
        <w:rPr>
          <w:rFonts w:ascii="Arial" w:eastAsia="Arial" w:hAnsi="Arial" w:cs="Arial"/>
          <w:b/>
          <w:bCs/>
          <w:color w:val="000000"/>
          <w:u w:val="none"/>
          <w:lang w:val="es-PE"/>
        </w:rPr>
        <w:t xml:space="preserve"> DE FIEL CUMPLIMIENTO</w:t>
      </w:r>
      <w:bookmarkEnd w:id="1960"/>
      <w:bookmarkEnd w:id="1961"/>
    </w:p>
    <w:p w14:paraId="0A8E8895" w14:textId="77777777" w:rsidR="004412F1" w:rsidRDefault="004412F1">
      <w:pPr>
        <w:jc w:val="both"/>
        <w:rPr>
          <w:b/>
          <w:color w:val="000000"/>
          <w:lang w:val="es-PE"/>
        </w:rPr>
      </w:pPr>
      <w:bookmarkStart w:id="1962" w:name="_22faf7d" w:colFirst="0" w:colLast="0"/>
      <w:bookmarkEnd w:id="1962"/>
    </w:p>
    <w:p w14:paraId="191A73E1" w14:textId="77777777" w:rsidR="004412F1" w:rsidRDefault="005A12A3">
      <w:pPr>
        <w:numPr>
          <w:ilvl w:val="1"/>
          <w:numId w:val="109"/>
        </w:numPr>
        <w:ind w:left="709" w:hanging="709"/>
        <w:jc w:val="both"/>
        <w:rPr>
          <w:color w:val="000000"/>
          <w:lang w:val="es-PE"/>
        </w:rPr>
      </w:pPr>
      <w:bookmarkStart w:id="1963" w:name="_hkkpf6" w:colFirst="0" w:colLast="0"/>
      <w:bookmarkStart w:id="1964" w:name="_Ref272504339"/>
      <w:bookmarkEnd w:id="1963"/>
      <w:r>
        <w:rPr>
          <w:lang w:val="es-PE"/>
        </w:rPr>
        <w:t xml:space="preserve">Las Garantías de Fiel Cumplimiento podrán ser ejecutadas por el REGULADOR en forma total o parcial </w:t>
      </w:r>
      <w:bookmarkEnd w:id="1964"/>
      <w:r>
        <w:rPr>
          <w:lang w:val="es-PE"/>
        </w:rPr>
        <w:t xml:space="preserve">en los supuestos establecidos en el presente Contrato y/o cuando el CONCESIONARIO no hubiese pagado las penalidades o subsanado los incumplimientos, según corresponda, de las obligaciones </w:t>
      </w:r>
      <w:r>
        <w:rPr>
          <w:lang w:val="es-PE"/>
        </w:rPr>
        <w:lastRenderedPageBreak/>
        <w:t>garantizadas por dichas garantías dentro de los plazos otorgados para tales efectos. La</w:t>
      </w:r>
      <w:bookmarkStart w:id="1965" w:name="_Ref421080604"/>
      <w:r>
        <w:rPr>
          <w:lang w:val="es-PE"/>
        </w:rPr>
        <w:t xml:space="preserve"> ejecución </w:t>
      </w:r>
      <w:r>
        <w:rPr>
          <w:color w:val="000000"/>
          <w:lang w:val="es-PE"/>
        </w:rPr>
        <w:t>de las Garantías de Fiel Cumplimiento tendrá carácter indemnizatorio, sin perjuicio del pago de las penalidades que correspondan y que están respaldadas por dichas garantías.</w:t>
      </w:r>
    </w:p>
    <w:p w14:paraId="26DC379C" w14:textId="77777777" w:rsidR="004412F1" w:rsidRDefault="004412F1">
      <w:pPr>
        <w:ind w:left="709"/>
        <w:jc w:val="both"/>
        <w:rPr>
          <w:color w:val="000000"/>
          <w:lang w:val="es-PE"/>
        </w:rPr>
      </w:pPr>
    </w:p>
    <w:p w14:paraId="694E3057" w14:textId="77777777" w:rsidR="004412F1" w:rsidRDefault="005A12A3">
      <w:pPr>
        <w:numPr>
          <w:ilvl w:val="1"/>
          <w:numId w:val="109"/>
        </w:numPr>
        <w:ind w:left="709" w:hanging="709"/>
        <w:jc w:val="both"/>
        <w:rPr>
          <w:color w:val="000000"/>
          <w:lang w:val="es-PE"/>
        </w:rPr>
      </w:pPr>
      <w:bookmarkStart w:id="1966" w:name="_31k882z" w:colFirst="0" w:colLast="0"/>
      <w:bookmarkEnd w:id="1966"/>
      <w:r>
        <w:rPr>
          <w:color w:val="000000"/>
          <w:lang w:val="es-PE"/>
        </w:rPr>
        <w:t>En caso el CONCEDENTE ejecute total o parcialmente alguna de las Garantías de Fiel Cumplimiento, deberá indicarle a la entidad que emitió la garantía correspondiente la cuenta en la que deberá depositar los montos ejecutados.</w:t>
      </w:r>
    </w:p>
    <w:p w14:paraId="77A15D2F" w14:textId="77777777" w:rsidR="004412F1" w:rsidRDefault="004412F1">
      <w:pPr>
        <w:ind w:left="709"/>
        <w:jc w:val="both"/>
        <w:rPr>
          <w:color w:val="000000"/>
          <w:lang w:val="es-PE"/>
        </w:rPr>
      </w:pPr>
    </w:p>
    <w:p w14:paraId="0480BD47" w14:textId="77777777" w:rsidR="004412F1" w:rsidRDefault="005A12A3">
      <w:pPr>
        <w:numPr>
          <w:ilvl w:val="1"/>
          <w:numId w:val="109"/>
        </w:numPr>
        <w:ind w:left="709" w:hanging="709"/>
        <w:jc w:val="both"/>
        <w:rPr>
          <w:b/>
          <w:lang w:val="es-PE"/>
        </w:rPr>
      </w:pPr>
      <w:bookmarkStart w:id="1967" w:name="_msahvddcqsbz"/>
      <w:bookmarkEnd w:id="1967"/>
      <w:r>
        <w:rPr>
          <w:lang w:val="es-PE"/>
        </w:rPr>
        <w:t xml:space="preserve">En caso de ejecución total o parcial de alguna de las garantías mencionadas en el presente CAPÍTULO, el CONCESIONARIO deberá restituir dichas garantías a los montos establecidos en el presente Capítulo y en las mismas condiciones, en un plazo de treinta (30) Días Calendario contados a partir de la fecha en la cual se realizó la ejecución total o parcial de las mismas. En </w:t>
      </w:r>
      <w:bookmarkEnd w:id="1965"/>
      <w:r>
        <w:rPr>
          <w:lang w:val="es-PE"/>
        </w:rPr>
        <w:t xml:space="preserve">caso venciera dicho plazo sin que el CONCESIONARIO cumpla con restituir el monto total, este constituirá un incumplimiento no subsanable del CONCESIONARIO, por lo que el CONCEDENTE procederá de conformidad la Cláusula 17.4. De igual manera, para </w:t>
      </w:r>
      <w:bookmarkStart w:id="1968" w:name="_Ref272157430"/>
      <w:r>
        <w:rPr>
          <w:lang w:val="es-PE"/>
        </w:rPr>
        <w:t>la ejecución de las Garantías de Fiel Cumplimiento como consecuencia de la aplicación de penalidades previstas en el A</w:t>
      </w:r>
      <w:r>
        <w:rPr>
          <w:rFonts w:eastAsia="SimSun" w:hint="eastAsia"/>
          <w:lang w:val="es-PE" w:eastAsia="zh-CN"/>
        </w:rPr>
        <w:t>N</w:t>
      </w:r>
      <w:r>
        <w:rPr>
          <w:rFonts w:eastAsia="SimSun"/>
          <w:lang w:val="es-ES" w:eastAsia="zh-CN"/>
        </w:rPr>
        <w:t>EXO</w:t>
      </w:r>
      <w:r>
        <w:rPr>
          <w:lang w:val="es-PE"/>
        </w:rPr>
        <w:t xml:space="preserve"> IX, será de aplicación lo dispuesto en el presente Capítulo.</w:t>
      </w:r>
      <w:bookmarkEnd w:id="1968"/>
    </w:p>
    <w:p w14:paraId="59EA012B" w14:textId="77777777" w:rsidR="004412F1" w:rsidRDefault="004412F1">
      <w:pPr>
        <w:ind w:left="708"/>
        <w:jc w:val="both"/>
        <w:rPr>
          <w:b/>
          <w:color w:val="000000"/>
          <w:lang w:val="es-PE"/>
        </w:rPr>
      </w:pPr>
      <w:bookmarkStart w:id="1969" w:name="_40p60yl" w:colFirst="0" w:colLast="0"/>
      <w:bookmarkEnd w:id="1969"/>
    </w:p>
    <w:p w14:paraId="013BA731" w14:textId="77777777" w:rsidR="004412F1" w:rsidRDefault="005A12A3">
      <w:pPr>
        <w:numPr>
          <w:ilvl w:val="1"/>
          <w:numId w:val="109"/>
        </w:numPr>
        <w:ind w:left="709" w:hanging="709"/>
        <w:jc w:val="both"/>
        <w:rPr>
          <w:lang w:val="es-PE"/>
        </w:rPr>
      </w:pPr>
      <w:bookmarkStart w:id="1970" w:name="_zebl6rbw63sp" w:colFirst="0" w:colLast="0"/>
      <w:bookmarkEnd w:id="1970"/>
      <w:r>
        <w:rPr>
          <w:lang w:val="es-PE"/>
        </w:rPr>
        <w:t xml:space="preserve">En el evento en que se ejecute cualquiera de las Garantías de Fiel Cumplimiento, el valor de la reexpedición de dichas garantías, o el valor de cualesquiera otros gastos, estarán a cargo del CONCESIONARIO. </w:t>
      </w:r>
    </w:p>
    <w:p w14:paraId="6889AABC" w14:textId="77777777" w:rsidR="004412F1" w:rsidRDefault="004412F1">
      <w:pPr>
        <w:rPr>
          <w:lang w:val="es-PE"/>
        </w:rPr>
      </w:pPr>
      <w:bookmarkStart w:id="1971" w:name="_2fugb6e" w:colFirst="0" w:colLast="0"/>
      <w:bookmarkEnd w:id="1971"/>
    </w:p>
    <w:p w14:paraId="0467E763" w14:textId="77777777" w:rsidR="004412F1" w:rsidRDefault="004412F1">
      <w:pPr>
        <w:jc w:val="both"/>
        <w:rPr>
          <w:lang w:val="es-PE"/>
        </w:rPr>
      </w:pPr>
    </w:p>
    <w:p w14:paraId="21246DED" w14:textId="77777777" w:rsidR="004412F1" w:rsidRDefault="005A12A3">
      <w:pPr>
        <w:pStyle w:val="Ttulo1"/>
        <w:jc w:val="both"/>
        <w:rPr>
          <w:lang w:val="es-PE"/>
        </w:rPr>
      </w:pPr>
      <w:bookmarkStart w:id="1972" w:name="_uzqle7"/>
      <w:bookmarkStart w:id="1973" w:name="_Toc131329974"/>
      <w:bookmarkStart w:id="1974" w:name="_Toc131332982"/>
      <w:bookmarkStart w:id="1975" w:name="_Toc131329387"/>
      <w:bookmarkStart w:id="1976" w:name="_Toc131328819"/>
      <w:bookmarkStart w:id="1977" w:name="_Toc131329155"/>
      <w:bookmarkStart w:id="1978" w:name="_Toc55906403"/>
      <w:bookmarkStart w:id="1979" w:name="_Toc131328003"/>
      <w:bookmarkStart w:id="1980" w:name="_Toc131332061"/>
      <w:bookmarkStart w:id="1981" w:name="_Ref272768321"/>
      <w:bookmarkStart w:id="1982" w:name="_Toc139294768"/>
      <w:bookmarkStart w:id="1983" w:name="_Toc468837670"/>
      <w:bookmarkStart w:id="1984" w:name="_Toc140089367"/>
      <w:bookmarkEnd w:id="1972"/>
      <w:r>
        <w:rPr>
          <w:lang w:val="es-PE"/>
        </w:rPr>
        <w:t>CAPÍTULO XII: RÉGIMEN DE SEGUROS</w:t>
      </w:r>
      <w:bookmarkEnd w:id="1973"/>
      <w:bookmarkEnd w:id="1974"/>
      <w:bookmarkEnd w:id="1975"/>
      <w:bookmarkEnd w:id="1976"/>
      <w:bookmarkEnd w:id="1977"/>
      <w:bookmarkEnd w:id="1978"/>
      <w:bookmarkEnd w:id="1979"/>
      <w:bookmarkEnd w:id="1980"/>
      <w:r>
        <w:rPr>
          <w:lang w:val="es-PE"/>
        </w:rPr>
        <w:t xml:space="preserve"> Y RESPONSABILIDAD DEL CONCESIONARIO</w:t>
      </w:r>
      <w:bookmarkEnd w:id="1981"/>
      <w:bookmarkEnd w:id="1982"/>
      <w:bookmarkEnd w:id="1983"/>
      <w:bookmarkEnd w:id="1984"/>
    </w:p>
    <w:p w14:paraId="0D99CFFA" w14:textId="77777777" w:rsidR="004412F1" w:rsidRDefault="004412F1">
      <w:pPr>
        <w:rPr>
          <w:lang w:val="es-PE"/>
        </w:rPr>
      </w:pPr>
    </w:p>
    <w:p w14:paraId="60CC6A1B" w14:textId="77777777" w:rsidR="004412F1" w:rsidRDefault="005A12A3">
      <w:pPr>
        <w:pStyle w:val="Ttulo2"/>
        <w:ind w:left="0"/>
        <w:rPr>
          <w:rFonts w:ascii="Arial" w:eastAsia="Arial" w:hAnsi="Arial" w:cs="Arial"/>
          <w:b/>
          <w:bCs/>
        </w:rPr>
      </w:pPr>
      <w:bookmarkStart w:id="1985" w:name="_Toc139294769"/>
      <w:bookmarkStart w:id="1986" w:name="_Toc140089368"/>
      <w:r>
        <w:rPr>
          <w:rFonts w:ascii="Arial" w:eastAsia="Arial" w:hAnsi="Arial" w:cs="Arial"/>
          <w:b/>
          <w:bCs/>
          <w:u w:val="none"/>
        </w:rPr>
        <w:t>CONFORMIDAD DE LOS SEGUROS</w:t>
      </w:r>
      <w:bookmarkEnd w:id="1985"/>
      <w:bookmarkEnd w:id="1986"/>
    </w:p>
    <w:p w14:paraId="1D0F882B" w14:textId="77777777" w:rsidR="004412F1" w:rsidRDefault="004412F1">
      <w:pPr>
        <w:rPr>
          <w:b/>
          <w:bCs/>
        </w:rPr>
      </w:pPr>
    </w:p>
    <w:p w14:paraId="77E7A4D9" w14:textId="77777777" w:rsidR="004412F1" w:rsidRDefault="005A12A3">
      <w:pPr>
        <w:numPr>
          <w:ilvl w:val="1"/>
          <w:numId w:val="112"/>
        </w:numPr>
        <w:tabs>
          <w:tab w:val="left" w:pos="567"/>
          <w:tab w:val="left" w:pos="1134"/>
          <w:tab w:val="left" w:pos="1701"/>
          <w:tab w:val="left" w:pos="2268"/>
          <w:tab w:val="left" w:pos="2835"/>
        </w:tabs>
        <w:jc w:val="both"/>
        <w:rPr>
          <w:lang w:val="es-PE"/>
        </w:rPr>
      </w:pPr>
      <w:bookmarkStart w:id="1987" w:name="_3eze420" w:colFirst="0" w:colLast="0"/>
      <w:bookmarkStart w:id="1988" w:name="_Ref271729781"/>
      <w:bookmarkEnd w:id="1987"/>
      <w:r>
        <w:rPr>
          <w:color w:val="000000"/>
          <w:lang w:val="es-PE"/>
        </w:rPr>
        <w:t>El CONCESIONARIO se obliga a contar durante la vigencia del Contrato con los seguros de conformidad con lo establecido en el presente Capítulo, cuyas propuestas de pólizas deberán ser presentadas al REGULADOR para su aprobación.</w:t>
      </w:r>
      <w:bookmarkEnd w:id="1988"/>
    </w:p>
    <w:p w14:paraId="0CAC00C3" w14:textId="77777777" w:rsidR="004412F1" w:rsidRDefault="004412F1">
      <w:pPr>
        <w:tabs>
          <w:tab w:val="left" w:pos="567"/>
          <w:tab w:val="left" w:pos="1134"/>
          <w:tab w:val="left" w:pos="1701"/>
          <w:tab w:val="left" w:pos="2268"/>
          <w:tab w:val="left" w:pos="2835"/>
        </w:tabs>
        <w:jc w:val="both"/>
        <w:rPr>
          <w:color w:val="000000"/>
          <w:lang w:val="es-PE"/>
        </w:rPr>
      </w:pPr>
    </w:p>
    <w:p w14:paraId="3DA5E9EB" w14:textId="77777777" w:rsidR="004412F1" w:rsidRDefault="005A12A3">
      <w:pPr>
        <w:ind w:left="709"/>
        <w:jc w:val="both"/>
        <w:rPr>
          <w:lang w:val="es-PE"/>
        </w:rPr>
      </w:pPr>
      <w:r>
        <w:rPr>
          <w:lang w:val="es-PE"/>
        </w:rPr>
        <w:t xml:space="preserve">En ningún caso la aprobación de la póliza de seguro por parte del Regulador supondrá una transferencia y/o responsabilidad compartida del riesgo que tiene el CONCESIONARIO respecto de su contratación. </w:t>
      </w:r>
    </w:p>
    <w:p w14:paraId="210BB53D" w14:textId="77777777" w:rsidR="004412F1" w:rsidRDefault="004412F1">
      <w:pPr>
        <w:ind w:left="709"/>
        <w:jc w:val="both"/>
        <w:rPr>
          <w:lang w:val="es-PE"/>
        </w:rPr>
      </w:pPr>
    </w:p>
    <w:p w14:paraId="5934A8F8" w14:textId="77777777" w:rsidR="004412F1" w:rsidRDefault="005A12A3">
      <w:pPr>
        <w:numPr>
          <w:ilvl w:val="1"/>
          <w:numId w:val="112"/>
        </w:numPr>
        <w:jc w:val="both"/>
        <w:rPr>
          <w:lang w:val="es-PE"/>
        </w:rPr>
      </w:pPr>
      <w:r>
        <w:rPr>
          <w:color w:val="000000"/>
          <w:lang w:val="es-PE"/>
        </w:rPr>
        <w:t>El CONCEDENTE no asumirá ningún tipo de obligación o responsabilidad de pago ante cualquier compañía de seguro o reaseguro con respecto a las pólizas de seguro que se requieran en virtud del Contrato de Concesión.</w:t>
      </w:r>
    </w:p>
    <w:p w14:paraId="54431AB1" w14:textId="77777777" w:rsidR="004412F1" w:rsidRDefault="004412F1">
      <w:pPr>
        <w:jc w:val="both"/>
        <w:rPr>
          <w:color w:val="000000"/>
          <w:lang w:val="es-PE"/>
        </w:rPr>
      </w:pPr>
      <w:bookmarkStart w:id="1989" w:name="_1u4oe9t" w:colFirst="0" w:colLast="0"/>
      <w:bookmarkEnd w:id="1989"/>
    </w:p>
    <w:p w14:paraId="2D63E805" w14:textId="77777777" w:rsidR="004412F1" w:rsidRDefault="005A12A3">
      <w:pPr>
        <w:numPr>
          <w:ilvl w:val="1"/>
          <w:numId w:val="112"/>
        </w:numPr>
        <w:ind w:left="709" w:hanging="709"/>
        <w:jc w:val="both"/>
        <w:rPr>
          <w:color w:val="000000" w:themeColor="text1"/>
          <w:lang w:val="es-ES"/>
        </w:rPr>
      </w:pPr>
      <w:r>
        <w:rPr>
          <w:color w:val="000000"/>
          <w:lang w:val="es-PE"/>
        </w:rPr>
        <w:t xml:space="preserve">El CONCESIONARIO deberá contar con las pólizas de seguros que exige este Capítulo, en forma enunciativa y no limitativa, considerándose, en todo caso, como exigencias mínimas que podrán ser ampliadas y mejoradas por el CONCESIONARIO y cuya propuesta final </w:t>
      </w:r>
      <w:r>
        <w:rPr>
          <w:lang w:val="es-PE"/>
        </w:rPr>
        <w:t>cuente con conformidad d</w:t>
      </w:r>
      <w:r>
        <w:rPr>
          <w:color w:val="000000"/>
          <w:lang w:val="es-PE"/>
        </w:rPr>
        <w:t>el REGULADOR</w:t>
      </w:r>
      <w:r>
        <w:rPr>
          <w:color w:val="000000"/>
          <w:lang w:val="es-ES"/>
        </w:rPr>
        <w:t>.</w:t>
      </w:r>
    </w:p>
    <w:p w14:paraId="6CC8DAFC" w14:textId="77777777" w:rsidR="004412F1" w:rsidRDefault="004412F1">
      <w:pPr>
        <w:jc w:val="both"/>
        <w:rPr>
          <w:rFonts w:ascii="Courier New" w:eastAsia="Courier New" w:hAnsi="Courier New"/>
          <w:color w:val="000000"/>
          <w:lang w:val="es-ES"/>
        </w:rPr>
      </w:pPr>
    </w:p>
    <w:p w14:paraId="7085E736" w14:textId="77777777" w:rsidR="004412F1" w:rsidRDefault="005A12A3">
      <w:pPr>
        <w:numPr>
          <w:ilvl w:val="1"/>
          <w:numId w:val="112"/>
        </w:numPr>
        <w:jc w:val="both"/>
        <w:rPr>
          <w:lang w:val="es-PE"/>
        </w:rPr>
      </w:pPr>
      <w:r>
        <w:rPr>
          <w:color w:val="000000"/>
          <w:lang w:val="es-PE"/>
        </w:rPr>
        <w:t xml:space="preserve">Las propuestas de pólizas deberán ser presentadas al REGULADOR, con copia al CONCEDENTE, para su </w:t>
      </w:r>
      <w:r>
        <w:rPr>
          <w:lang w:val="es-PE"/>
        </w:rPr>
        <w:t>conformidad</w:t>
      </w:r>
      <w:r>
        <w:rPr>
          <w:color w:val="000000"/>
          <w:lang w:val="es-PE"/>
        </w:rPr>
        <w:t xml:space="preserve">, conforme a lo señalado en las cláusulas siguientes. El incumplimiento en presentar las pólizas de seguro dará lugar a la </w:t>
      </w:r>
      <w:r>
        <w:rPr>
          <w:color w:val="000000"/>
          <w:lang w:val="es-PE"/>
        </w:rPr>
        <w:lastRenderedPageBreak/>
        <w:t>aplicación de una penalidad según lo establecido en el Tabla N° 6 del ANEXO IX del presente Contrato.</w:t>
      </w:r>
    </w:p>
    <w:p w14:paraId="5C03F196" w14:textId="77777777" w:rsidR="004412F1" w:rsidRDefault="004412F1">
      <w:pPr>
        <w:ind w:left="705"/>
        <w:jc w:val="both"/>
        <w:rPr>
          <w:rFonts w:ascii="Courier New" w:hAnsi="Courier New"/>
          <w:color w:val="000000"/>
          <w:lang w:val="es-PE"/>
        </w:rPr>
      </w:pPr>
    </w:p>
    <w:p w14:paraId="1E57E1C8" w14:textId="77777777" w:rsidR="004412F1" w:rsidRDefault="005A12A3" w:rsidP="00A767BB">
      <w:pPr>
        <w:ind w:left="705"/>
        <w:jc w:val="both"/>
        <w:rPr>
          <w:lang w:val="es-PE"/>
        </w:rPr>
      </w:pPr>
      <w:bookmarkStart w:id="1990" w:name="_4e4bwxm" w:colFirst="0" w:colLast="0"/>
      <w:bookmarkStart w:id="1991" w:name="_Ref273550874"/>
      <w:bookmarkEnd w:id="1990"/>
      <w:r>
        <w:rPr>
          <w:color w:val="000000"/>
          <w:lang w:val="es-PE"/>
        </w:rPr>
        <w:t xml:space="preserve">En ningún caso la </w:t>
      </w:r>
      <w:r>
        <w:rPr>
          <w:lang w:val="es-PE"/>
        </w:rPr>
        <w:t xml:space="preserve">conformidad </w:t>
      </w:r>
      <w:r>
        <w:rPr>
          <w:color w:val="000000"/>
          <w:lang w:val="es-PE"/>
        </w:rPr>
        <w:t>de las pólizas de seguro por parte del REGULADOR supondrá una transferencia y/o responsabilidad compartida del riesgo que tiene el CONCESIONARIO respecto de su contratación.</w:t>
      </w:r>
    </w:p>
    <w:p w14:paraId="2C7D8AC7" w14:textId="77777777" w:rsidR="004412F1" w:rsidRDefault="004412F1">
      <w:pPr>
        <w:ind w:left="705"/>
        <w:jc w:val="both"/>
        <w:rPr>
          <w:lang w:val="es-PE"/>
        </w:rPr>
      </w:pPr>
      <w:bookmarkStart w:id="1992" w:name="_g0ogzx8ohshm" w:colFirst="0" w:colLast="0"/>
      <w:bookmarkEnd w:id="1992"/>
    </w:p>
    <w:p w14:paraId="6741B4F4" w14:textId="77777777" w:rsidR="004412F1" w:rsidRDefault="005A12A3">
      <w:pPr>
        <w:numPr>
          <w:ilvl w:val="1"/>
          <w:numId w:val="112"/>
        </w:numPr>
        <w:jc w:val="both"/>
        <w:rPr>
          <w:lang w:val="es-PE"/>
        </w:rPr>
      </w:pPr>
      <w:bookmarkStart w:id="1993" w:name="_xdmhidwnnb0d"/>
      <w:bookmarkEnd w:id="1993"/>
      <w:r>
        <w:rPr>
          <w:lang w:val="es-PE"/>
        </w:rPr>
        <w:t xml:space="preserve">Las propuestas de pólizas de los seguros indicados en la Cláusula 12.8, deberán ser presentadas por el CONCESIONARIO al REGULADOR, con copia al CONCEDENTE, con un plazo de cuarenta (40) Días Calendario de anticipación al inicio de la cobertura de cada seguro indicado dicha Cláusula. </w:t>
      </w:r>
    </w:p>
    <w:p w14:paraId="5EC7EB7A" w14:textId="77777777" w:rsidR="004412F1" w:rsidRDefault="004412F1">
      <w:pPr>
        <w:ind w:left="705"/>
        <w:jc w:val="both"/>
        <w:rPr>
          <w:lang w:val="es-PE"/>
        </w:rPr>
      </w:pPr>
      <w:bookmarkStart w:id="1994" w:name="_e1253xe834bu" w:colFirst="0" w:colLast="0"/>
      <w:bookmarkEnd w:id="1994"/>
    </w:p>
    <w:p w14:paraId="36A1844F" w14:textId="77777777" w:rsidR="004412F1" w:rsidRDefault="005A12A3">
      <w:pPr>
        <w:numPr>
          <w:ilvl w:val="1"/>
          <w:numId w:val="112"/>
        </w:numPr>
        <w:jc w:val="both"/>
        <w:rPr>
          <w:lang w:val="es-PE"/>
        </w:rPr>
      </w:pPr>
      <w:r>
        <w:rPr>
          <w:lang w:val="es-PE"/>
        </w:rPr>
        <w:t xml:space="preserve">Para todas las propuestas de pólizas, el REGULADOR cuenta con un plazo de veinte (20) Días Calendario para emitir su conformidad o efectuar observaciones desde </w:t>
      </w:r>
      <w:bookmarkEnd w:id="1991"/>
      <w:r>
        <w:rPr>
          <w:lang w:val="es-PE"/>
        </w:rPr>
        <w:t xml:space="preserve">su presentación por el CONCESIONARIO. </w:t>
      </w:r>
      <w:r>
        <w:rPr>
          <w:color w:val="000000"/>
          <w:lang w:val="es-PE"/>
        </w:rPr>
        <w:t xml:space="preserve">De efectuarse alguna observación por el REGULADOR, el CONCESIONARIO contará con diez (10) Días Calendario para subsanarla. El REGULADOR contará con un plazo de quince (15) Días Calendario finales para emitir su </w:t>
      </w:r>
      <w:r>
        <w:rPr>
          <w:lang w:val="es-PE"/>
        </w:rPr>
        <w:t>conformidad</w:t>
      </w:r>
      <w:r>
        <w:rPr>
          <w:color w:val="000000"/>
          <w:lang w:val="es-PE"/>
        </w:rPr>
        <w:t xml:space="preserve"> desde la presentación de la subsanación de observaciones por parte del CONCESIONARIO.</w:t>
      </w:r>
    </w:p>
    <w:p w14:paraId="6D5D8E22" w14:textId="77777777" w:rsidR="004412F1" w:rsidRDefault="004412F1">
      <w:pPr>
        <w:ind w:left="709"/>
        <w:jc w:val="both"/>
        <w:rPr>
          <w:rFonts w:ascii="Courier New" w:hAnsi="Courier New"/>
          <w:color w:val="000000"/>
          <w:lang w:val="es-PE"/>
        </w:rPr>
      </w:pPr>
    </w:p>
    <w:p w14:paraId="39229A79" w14:textId="77777777" w:rsidR="004412F1" w:rsidRDefault="005A12A3">
      <w:pPr>
        <w:ind w:left="720"/>
        <w:jc w:val="both"/>
        <w:rPr>
          <w:color w:val="000000"/>
          <w:lang w:val="es-PE"/>
        </w:rPr>
      </w:pPr>
      <w:r>
        <w:rPr>
          <w:color w:val="000000"/>
          <w:lang w:val="es-PE"/>
        </w:rPr>
        <w:t xml:space="preserve">De no efectuarse pronunciamiento alguno por el REGULADOR en los plazos anteriormente señalados, se entenderán </w:t>
      </w:r>
      <w:r>
        <w:rPr>
          <w:lang w:val="es-PE"/>
        </w:rPr>
        <w:t xml:space="preserve">conformes </w:t>
      </w:r>
      <w:r>
        <w:rPr>
          <w:color w:val="000000"/>
          <w:lang w:val="es-PE"/>
        </w:rPr>
        <w:t xml:space="preserve">las propuestas de pólizas, siempre que, con tres (3) Días de anticipación a la fecha de culminación del plazo que tiene el REGULADOR para su pronunciamiento, el CONCESIONARIO le envíe al REGULADOR una comunicación escrita sobre el vencimiento del plazo para su pronunciamiento. En caso el CONCESIONARIO no envíe dicha comunicación y el REGULADOR no se pronuncie, su pronunciamiento se entenderá desfavorable. En caso de </w:t>
      </w:r>
      <w:r>
        <w:rPr>
          <w:lang w:val="es-PE"/>
        </w:rPr>
        <w:t xml:space="preserve">conformidad </w:t>
      </w:r>
      <w:r>
        <w:rPr>
          <w:color w:val="000000"/>
          <w:lang w:val="es-PE"/>
        </w:rPr>
        <w:t xml:space="preserve">automática, si durante la vigencia de la póliza se verifica que no se cumple con alguna de las condiciones requeridas para las mismas, el CONCESIONARIO deberá adecuarla a lo que señale el CONCEDENTE o el REGULADOR en un plazo máximo de treinta (30) Días Calendario de comunicada la solicitud de adecuación, sin perjuicio de la aplicación de las sanciones que resulten pertinentes. </w:t>
      </w:r>
    </w:p>
    <w:p w14:paraId="7F8CF1FD" w14:textId="77777777" w:rsidR="004412F1" w:rsidRDefault="004412F1">
      <w:pPr>
        <w:ind w:left="720"/>
        <w:jc w:val="both"/>
        <w:rPr>
          <w:color w:val="000000"/>
          <w:lang w:val="es-PE"/>
        </w:rPr>
      </w:pPr>
    </w:p>
    <w:p w14:paraId="5D2C758A" w14:textId="77777777" w:rsidR="004412F1" w:rsidRDefault="005A12A3">
      <w:pPr>
        <w:ind w:left="720"/>
        <w:jc w:val="both"/>
        <w:rPr>
          <w:rFonts w:ascii="Courier New" w:hAnsi="Courier New"/>
          <w:color w:val="000000"/>
          <w:lang w:val="es-PE"/>
        </w:rPr>
      </w:pPr>
      <w:r>
        <w:rPr>
          <w:color w:val="000000"/>
          <w:lang w:val="es-PE"/>
        </w:rPr>
        <w:t>Las pólizas definitivas deberán estar contratadas y ser entregadas por el CONCESIONARIO al REGULADOR, con copia al CONCEDENTE, dentro de los diez (10) Días Calendario de aprobada la propuesta de póliza respectiva o de que esta se entienda aprobada conforme al párrafo anterior.</w:t>
      </w:r>
    </w:p>
    <w:p w14:paraId="0DA60813" w14:textId="77777777" w:rsidR="004412F1" w:rsidRDefault="004412F1">
      <w:pPr>
        <w:rPr>
          <w:lang w:val="es-PE"/>
        </w:rPr>
      </w:pPr>
      <w:bookmarkStart w:id="1995" w:name="_2t9m75f" w:colFirst="0" w:colLast="0"/>
      <w:bookmarkEnd w:id="1995"/>
    </w:p>
    <w:p w14:paraId="35908BAF" w14:textId="77777777" w:rsidR="004412F1" w:rsidRDefault="005A12A3">
      <w:pPr>
        <w:ind w:left="720"/>
        <w:jc w:val="both"/>
        <w:rPr>
          <w:color w:val="000000"/>
          <w:lang w:val="es-PE"/>
        </w:rPr>
      </w:pPr>
      <w:bookmarkStart w:id="1996" w:name="_18ewhd8" w:colFirst="0" w:colLast="0"/>
      <w:bookmarkStart w:id="1997" w:name="_Toc468837672"/>
      <w:bookmarkStart w:id="1998" w:name="_Toc94329566"/>
      <w:bookmarkStart w:id="1999" w:name="_Toc94328558"/>
      <w:bookmarkStart w:id="2000" w:name="_Toc94337653"/>
      <w:bookmarkStart w:id="2001" w:name="_Toc94337884"/>
      <w:bookmarkStart w:id="2002" w:name="_Toc102405353"/>
      <w:bookmarkStart w:id="2003" w:name="_Toc94329320"/>
      <w:bookmarkStart w:id="2004" w:name="_Toc94330197"/>
      <w:bookmarkStart w:id="2005" w:name="_Toc94329074"/>
      <w:bookmarkStart w:id="2006" w:name="_Toc94328818"/>
      <w:bookmarkEnd w:id="1996"/>
      <w:r>
        <w:rPr>
          <w:color w:val="000000"/>
          <w:lang w:val="es-PE"/>
        </w:rPr>
        <w:t>Asimismo, sin perjuicio de lo dispuesto en los párrafos anteriores, en caso de incumplimiento de las obligaciones del CONCESIONARIO, serán aplicables las penalidades previstas en el ANEXO IX del presente Contrato.</w:t>
      </w:r>
    </w:p>
    <w:p w14:paraId="054B76B2" w14:textId="77777777" w:rsidR="004412F1" w:rsidRDefault="004412F1">
      <w:pPr>
        <w:tabs>
          <w:tab w:val="left" w:pos="720"/>
        </w:tabs>
        <w:ind w:left="708"/>
        <w:jc w:val="both"/>
        <w:rPr>
          <w:lang w:val="es-PE"/>
        </w:rPr>
      </w:pPr>
    </w:p>
    <w:p w14:paraId="3B152E08" w14:textId="77777777" w:rsidR="004412F1" w:rsidRDefault="005A12A3">
      <w:pPr>
        <w:pStyle w:val="Ttulo2"/>
        <w:ind w:left="0"/>
        <w:rPr>
          <w:rFonts w:ascii="Courier New" w:hAnsi="Courier New"/>
          <w:b/>
        </w:rPr>
      </w:pPr>
      <w:bookmarkStart w:id="2007" w:name="_Toc139294770"/>
      <w:bookmarkStart w:id="2008" w:name="_Toc140089369"/>
      <w:r>
        <w:rPr>
          <w:rFonts w:ascii="Arial" w:hAnsi="Arial"/>
          <w:b/>
          <w:u w:val="none"/>
        </w:rPr>
        <w:t>PÓLIZAS DE SEGUROS</w:t>
      </w:r>
      <w:bookmarkEnd w:id="1997"/>
      <w:bookmarkEnd w:id="1998"/>
      <w:bookmarkEnd w:id="1999"/>
      <w:bookmarkEnd w:id="2000"/>
      <w:bookmarkEnd w:id="2001"/>
      <w:bookmarkEnd w:id="2002"/>
      <w:bookmarkEnd w:id="2003"/>
      <w:bookmarkEnd w:id="2004"/>
      <w:bookmarkEnd w:id="2005"/>
      <w:bookmarkEnd w:id="2006"/>
      <w:bookmarkEnd w:id="2007"/>
      <w:bookmarkEnd w:id="2008"/>
    </w:p>
    <w:p w14:paraId="3693B88E" w14:textId="77777777" w:rsidR="004412F1" w:rsidRDefault="004412F1">
      <w:pPr>
        <w:jc w:val="both"/>
        <w:rPr>
          <w:rFonts w:ascii="Courier New" w:hAnsi="Courier New"/>
          <w:b/>
          <w:color w:val="000000"/>
        </w:rPr>
      </w:pPr>
    </w:p>
    <w:p w14:paraId="5C1BFCA5" w14:textId="77777777" w:rsidR="004412F1" w:rsidRDefault="005A12A3">
      <w:pPr>
        <w:numPr>
          <w:ilvl w:val="1"/>
          <w:numId w:val="112"/>
        </w:numPr>
        <w:jc w:val="both"/>
        <w:rPr>
          <w:lang w:val="es-PE"/>
        </w:rPr>
      </w:pPr>
      <w:bookmarkStart w:id="2009" w:name="_3sek011" w:colFirst="0" w:colLast="0"/>
      <w:bookmarkStart w:id="2010" w:name="_Ref272155269"/>
      <w:bookmarkEnd w:id="2009"/>
      <w:r>
        <w:rPr>
          <w:color w:val="000000"/>
          <w:lang w:val="es-PE"/>
        </w:rPr>
        <w:t>Durante la vigencia del Contrato, el CONCESIONARIO tomará y mantendrá vigente, o causará que se tomen y mantengan vigentes, como mínimo las pólizas de seguros detalladas en la presente cláusula, que tendrán como objeto cubrir los siniestros que se produzcan relacionados con la ejecución de las Intervenciones y la Explotación. Las pólizas referidas deberán cumplir con los estándares de cobertura internacionalmente reconocidos en el mercado asegurador.</w:t>
      </w:r>
      <w:bookmarkEnd w:id="2010"/>
    </w:p>
    <w:p w14:paraId="38B836B6" w14:textId="77777777" w:rsidR="004412F1" w:rsidRDefault="004412F1">
      <w:pPr>
        <w:jc w:val="both"/>
        <w:rPr>
          <w:rFonts w:ascii="Courier New" w:hAnsi="Courier New"/>
          <w:color w:val="000000"/>
          <w:lang w:val="es-PE"/>
        </w:rPr>
      </w:pPr>
    </w:p>
    <w:p w14:paraId="0E17A5C2" w14:textId="77777777" w:rsidR="004412F1" w:rsidRDefault="005A12A3">
      <w:pPr>
        <w:ind w:left="709"/>
        <w:jc w:val="both"/>
        <w:rPr>
          <w:color w:val="000000"/>
          <w:lang w:val="es-PE"/>
        </w:rPr>
      </w:pPr>
      <w:r>
        <w:rPr>
          <w:color w:val="000000"/>
          <w:lang w:val="es-PE"/>
        </w:rPr>
        <w:lastRenderedPageBreak/>
        <w:t>En ningún caso deberán existir periodos de tiempo en los que los Bienes de la Concesión no se encuentren asegurados conforme al presente Contrato, incluso durante la transición entre pólizas o renovaciones de estas.</w:t>
      </w:r>
    </w:p>
    <w:p w14:paraId="3C3EBB73" w14:textId="77777777" w:rsidR="004412F1" w:rsidRDefault="004412F1">
      <w:pPr>
        <w:ind w:left="709"/>
        <w:jc w:val="both"/>
        <w:rPr>
          <w:color w:val="000000"/>
          <w:lang w:val="es-PE"/>
        </w:rPr>
      </w:pPr>
    </w:p>
    <w:p w14:paraId="4DA9F88D" w14:textId="77777777" w:rsidR="004412F1" w:rsidRDefault="005A12A3">
      <w:pPr>
        <w:ind w:left="709"/>
        <w:jc w:val="both"/>
        <w:rPr>
          <w:color w:val="000000"/>
          <w:lang w:val="es-PE"/>
        </w:rPr>
      </w:pPr>
      <w:r>
        <w:rPr>
          <w:color w:val="000000"/>
          <w:lang w:val="es-PE"/>
        </w:rPr>
        <w:t>En caso de incumplimiento de las obligaciones del CONCESIONARIO serán aplicables las penalidades previstas en el ANEXO IX del presente Contrato.</w:t>
      </w:r>
    </w:p>
    <w:p w14:paraId="0CB127E5" w14:textId="77777777" w:rsidR="004412F1" w:rsidRDefault="004412F1">
      <w:pPr>
        <w:jc w:val="both"/>
        <w:rPr>
          <w:rFonts w:ascii="Courier New" w:eastAsia="Courier New" w:hAnsi="Courier New" w:cs="Courier New"/>
          <w:color w:val="000000"/>
          <w:lang w:val="es-PE"/>
        </w:rPr>
      </w:pPr>
    </w:p>
    <w:p w14:paraId="03543A89" w14:textId="77777777" w:rsidR="004412F1" w:rsidRDefault="004412F1">
      <w:pPr>
        <w:tabs>
          <w:tab w:val="left" w:pos="720"/>
        </w:tabs>
        <w:ind w:left="11" w:hanging="11"/>
        <w:jc w:val="both"/>
        <w:rPr>
          <w:lang w:val="es-PE"/>
        </w:rPr>
      </w:pPr>
    </w:p>
    <w:p w14:paraId="5156520A" w14:textId="77777777" w:rsidR="004412F1" w:rsidRDefault="005A12A3">
      <w:pPr>
        <w:numPr>
          <w:ilvl w:val="0"/>
          <w:numId w:val="113"/>
        </w:numPr>
        <w:tabs>
          <w:tab w:val="left" w:pos="705"/>
          <w:tab w:val="left" w:pos="1134"/>
        </w:tabs>
        <w:ind w:left="431" w:firstLine="278"/>
        <w:jc w:val="both"/>
      </w:pPr>
      <w:bookmarkStart w:id="2011" w:name="_27jua8u"/>
      <w:bookmarkStart w:id="2012" w:name="_Ref272503741"/>
      <w:bookmarkEnd w:id="2011"/>
      <w:r>
        <w:rPr>
          <w:b/>
          <w:bCs/>
        </w:rPr>
        <w:t>Seguro de responsabilidad civil</w:t>
      </w:r>
      <w:r>
        <w:t>.</w:t>
      </w:r>
      <w:bookmarkEnd w:id="2012"/>
    </w:p>
    <w:p w14:paraId="77963348" w14:textId="77777777" w:rsidR="004412F1" w:rsidRDefault="005A12A3">
      <w:pPr>
        <w:ind w:left="1134"/>
        <w:jc w:val="both"/>
        <w:rPr>
          <w:color w:val="000000"/>
          <w:lang w:val="es-PE"/>
        </w:rPr>
      </w:pPr>
      <w:r>
        <w:rPr>
          <w:color w:val="000000"/>
          <w:lang w:val="es-ES"/>
        </w:rPr>
        <w:t xml:space="preserve">Desde </w:t>
      </w:r>
      <w:r>
        <w:rPr>
          <w:lang w:val="es-PE"/>
        </w:rPr>
        <w:t>la Toma</w:t>
      </w:r>
      <w:r>
        <w:rPr>
          <w:lang w:val="es-ES"/>
        </w:rPr>
        <w:t xml:space="preserve"> de </w:t>
      </w:r>
      <w:r>
        <w:rPr>
          <w:lang w:val="es-PE"/>
        </w:rPr>
        <w:t>Posesión</w:t>
      </w:r>
      <w:r>
        <w:rPr>
          <w:color w:val="000000"/>
          <w:lang w:val="es-ES"/>
        </w:rPr>
        <w:t xml:space="preserve">, el CONCESIONARIO </w:t>
      </w:r>
      <w:r>
        <w:rPr>
          <w:color w:val="000000"/>
          <w:lang w:val="es-PE"/>
        </w:rPr>
        <w:t xml:space="preserve">estará obligado a contratar una póliza de seguro por Responsabilidad Civil (RC) que cubrirá cualquier daño, pérdida o lesión que pudiere sobrevenir a bienes de terceros o a terceros a causa de cualquier acción u omisión del CONCESIONARIO, sus contratistas, subcontratistas, sus funcionarios y/o dependientes, en relación con la ejecución del presente Contrato. </w:t>
      </w:r>
    </w:p>
    <w:p w14:paraId="583A4658" w14:textId="77777777" w:rsidR="004412F1" w:rsidRDefault="004412F1">
      <w:pPr>
        <w:ind w:left="1134"/>
        <w:jc w:val="both"/>
        <w:rPr>
          <w:color w:val="000000"/>
          <w:lang w:val="es-PE"/>
        </w:rPr>
      </w:pPr>
    </w:p>
    <w:p w14:paraId="4EA97B1B" w14:textId="77777777" w:rsidR="004412F1" w:rsidRDefault="005A12A3">
      <w:pPr>
        <w:ind w:left="1134"/>
        <w:jc w:val="both"/>
        <w:rPr>
          <w:color w:val="000000"/>
          <w:lang w:val="es-PE"/>
        </w:rPr>
      </w:pPr>
      <w:r>
        <w:rPr>
          <w:color w:val="000000"/>
          <w:lang w:val="es-PE"/>
        </w:rPr>
        <w:t xml:space="preserve">En dicho seguro deberá figurar el CONCEDENTE como asegurado adicional. </w:t>
      </w:r>
    </w:p>
    <w:p w14:paraId="56E48C2E" w14:textId="77777777" w:rsidR="004412F1" w:rsidRDefault="004412F1">
      <w:pPr>
        <w:ind w:left="1134"/>
        <w:jc w:val="both"/>
        <w:rPr>
          <w:color w:val="000000"/>
          <w:lang w:val="es-PE"/>
        </w:rPr>
      </w:pPr>
    </w:p>
    <w:p w14:paraId="18E2A498" w14:textId="77777777" w:rsidR="004412F1" w:rsidRDefault="005A12A3">
      <w:pPr>
        <w:tabs>
          <w:tab w:val="left" w:pos="851"/>
          <w:tab w:val="left" w:pos="1134"/>
        </w:tabs>
        <w:ind w:left="1134"/>
        <w:jc w:val="both"/>
        <w:rPr>
          <w:lang w:val="es-PE"/>
        </w:rPr>
      </w:pPr>
      <w:r>
        <w:rPr>
          <w:lang w:val="es-PE"/>
        </w:rPr>
        <w:t>Este seguro deberá contar al menos con las siguientes coberturas:</w:t>
      </w:r>
    </w:p>
    <w:p w14:paraId="49D11391" w14:textId="77777777" w:rsidR="004412F1" w:rsidRDefault="004412F1">
      <w:pPr>
        <w:tabs>
          <w:tab w:val="left" w:pos="851"/>
          <w:tab w:val="left" w:pos="1560"/>
        </w:tabs>
        <w:ind w:left="1134"/>
        <w:jc w:val="both"/>
        <w:rPr>
          <w:lang w:val="es-PE"/>
        </w:rPr>
      </w:pPr>
    </w:p>
    <w:p w14:paraId="74E86BED" w14:textId="77777777" w:rsidR="004412F1" w:rsidRDefault="005A12A3">
      <w:pPr>
        <w:numPr>
          <w:ilvl w:val="0"/>
          <w:numId w:val="114"/>
        </w:numPr>
        <w:ind w:left="1418" w:hanging="284"/>
        <w:jc w:val="both"/>
        <w:rPr>
          <w:lang w:val="es-PE"/>
        </w:rPr>
      </w:pPr>
      <w:r>
        <w:rPr>
          <w:lang w:val="es-PE"/>
        </w:rPr>
        <w:t xml:space="preserve">RC por las actividades relacionadas con el Contrato, (RC Contractual). </w:t>
      </w:r>
    </w:p>
    <w:p w14:paraId="13816387" w14:textId="77777777" w:rsidR="004412F1" w:rsidRDefault="005A12A3">
      <w:pPr>
        <w:numPr>
          <w:ilvl w:val="0"/>
          <w:numId w:val="114"/>
        </w:numPr>
        <w:ind w:left="360" w:firstLine="774"/>
        <w:jc w:val="both"/>
      </w:pPr>
      <w:r>
        <w:t>RC por Construcción.</w:t>
      </w:r>
    </w:p>
    <w:p w14:paraId="65D3F268" w14:textId="77777777" w:rsidR="004412F1" w:rsidRDefault="005A12A3">
      <w:pPr>
        <w:numPr>
          <w:ilvl w:val="0"/>
          <w:numId w:val="114"/>
        </w:numPr>
        <w:ind w:left="360" w:firstLine="774"/>
        <w:jc w:val="both"/>
      </w:pPr>
      <w:r>
        <w:t>RC por Carga.</w:t>
      </w:r>
    </w:p>
    <w:p w14:paraId="0F075ABF" w14:textId="77777777" w:rsidR="004412F1" w:rsidRDefault="005A12A3">
      <w:pPr>
        <w:numPr>
          <w:ilvl w:val="0"/>
          <w:numId w:val="114"/>
        </w:numPr>
        <w:tabs>
          <w:tab w:val="left" w:pos="1418"/>
        </w:tabs>
        <w:ind w:left="1418" w:hanging="284"/>
        <w:jc w:val="both"/>
        <w:rPr>
          <w:lang w:val="es-PE"/>
        </w:rPr>
      </w:pPr>
      <w:r>
        <w:rPr>
          <w:lang w:val="es-PE"/>
        </w:rPr>
        <w:t>RC por Filtración, Polución o Contaminación Súbita, Imprevista y Accidental.</w:t>
      </w:r>
    </w:p>
    <w:p w14:paraId="2831187F" w14:textId="77777777" w:rsidR="004412F1" w:rsidRDefault="005A12A3">
      <w:pPr>
        <w:numPr>
          <w:ilvl w:val="0"/>
          <w:numId w:val="114"/>
        </w:numPr>
        <w:ind w:left="1418" w:hanging="284"/>
        <w:jc w:val="both"/>
        <w:rPr>
          <w:lang w:val="es-PE"/>
        </w:rPr>
      </w:pPr>
      <w:r>
        <w:rPr>
          <w:lang w:val="es-PE"/>
        </w:rPr>
        <w:t xml:space="preserve">RC Patronal incluyendo trabajos en altura y/o subterráneos. Los empleados y trabajadores de los subcontratistas también deberán ser incluidos dentro de este seguro o bajo una póliza independiente. </w:t>
      </w:r>
    </w:p>
    <w:p w14:paraId="7E858212" w14:textId="77777777" w:rsidR="004412F1" w:rsidRDefault="005A12A3">
      <w:pPr>
        <w:numPr>
          <w:ilvl w:val="0"/>
          <w:numId w:val="114"/>
        </w:numPr>
        <w:ind w:left="1418" w:hanging="284"/>
        <w:jc w:val="both"/>
      </w:pPr>
      <w:r>
        <w:t>RC Cruzada.</w:t>
      </w:r>
    </w:p>
    <w:p w14:paraId="62DBE6BF" w14:textId="77777777" w:rsidR="004412F1" w:rsidRDefault="005A12A3">
      <w:pPr>
        <w:numPr>
          <w:ilvl w:val="0"/>
          <w:numId w:val="114"/>
        </w:numPr>
        <w:ind w:left="1418" w:hanging="284"/>
        <w:jc w:val="both"/>
        <w:rPr>
          <w:lang w:val="es-PE"/>
        </w:rPr>
      </w:pPr>
      <w:r>
        <w:rPr>
          <w:lang w:val="es-PE"/>
        </w:rPr>
        <w:t>RC de Vehículos Motorizados y Equipo Móvil, que cubra todos los vehículos propios, arrendados o en leasing utilizados para el cumplimiento de las obligaciones del CONCESIONARIO que deriven del Contrato.</w:t>
      </w:r>
    </w:p>
    <w:p w14:paraId="2930111E" w14:textId="77777777" w:rsidR="004412F1" w:rsidRDefault="004412F1">
      <w:pPr>
        <w:jc w:val="both"/>
        <w:rPr>
          <w:lang w:val="es-PE"/>
        </w:rPr>
      </w:pPr>
    </w:p>
    <w:p w14:paraId="340D7CAC" w14:textId="77777777" w:rsidR="004412F1" w:rsidRDefault="005A12A3">
      <w:pPr>
        <w:numPr>
          <w:ilvl w:val="0"/>
          <w:numId w:val="113"/>
        </w:numPr>
        <w:tabs>
          <w:tab w:val="left" w:pos="705"/>
          <w:tab w:val="left" w:pos="1134"/>
        </w:tabs>
        <w:ind w:left="431" w:firstLine="278"/>
        <w:jc w:val="both"/>
        <w:rPr>
          <w:lang w:val="es-PE"/>
        </w:rPr>
      </w:pPr>
      <w:bookmarkStart w:id="2013" w:name="_mp4kgn"/>
      <w:bookmarkStart w:id="2014" w:name="_Ref467752748"/>
      <w:bookmarkEnd w:id="2013"/>
      <w:r>
        <w:rPr>
          <w:b/>
          <w:bCs/>
          <w:lang w:val="es-PE"/>
        </w:rPr>
        <w:t>Seguro sobre bienes en construcción</w:t>
      </w:r>
      <w:r>
        <w:rPr>
          <w:lang w:val="es-PE"/>
        </w:rPr>
        <w:t>.</w:t>
      </w:r>
      <w:bookmarkEnd w:id="2014"/>
      <w:r>
        <w:rPr>
          <w:lang w:val="es-PE"/>
        </w:rPr>
        <w:t xml:space="preserve"> </w:t>
      </w:r>
    </w:p>
    <w:p w14:paraId="0474A4FC" w14:textId="77777777" w:rsidR="004412F1" w:rsidRDefault="005A12A3">
      <w:pPr>
        <w:ind w:left="1134"/>
        <w:jc w:val="both"/>
        <w:rPr>
          <w:lang w:val="es-PE"/>
        </w:rPr>
      </w:pPr>
      <w:r>
        <w:rPr>
          <w:lang w:val="es-PE"/>
        </w:rPr>
        <w:t>El CONCESIONARIO está obligado a contratar, durante la ejecución de las Intervenciones, pólizas C.A.R (</w:t>
      </w:r>
      <w:r>
        <w:rPr>
          <w:i/>
          <w:lang w:val="es-PE"/>
        </w:rPr>
        <w:t>Construction All Risk</w:t>
      </w:r>
      <w:r>
        <w:rPr>
          <w:lang w:val="es-PE"/>
        </w:rPr>
        <w:t xml:space="preserve">) contra todo riesgo de construcción, que cubran dentro de la Cobertura Básica (“A”) el cien por ciento (100%) del valor de reposición de los bienes en construcción que resulten afectados.  Dichas </w:t>
      </w:r>
      <w:r>
        <w:rPr>
          <w:color w:val="000000" w:themeColor="text1"/>
          <w:lang w:val="es-PE"/>
        </w:rPr>
        <w:t xml:space="preserve">pólizas de seguro serán </w:t>
      </w:r>
      <w:proofErr w:type="gramStart"/>
      <w:r>
        <w:rPr>
          <w:color w:val="000000" w:themeColor="text1"/>
          <w:lang w:val="es-PE"/>
        </w:rPr>
        <w:t>contratada</w:t>
      </w:r>
      <w:proofErr w:type="gramEnd"/>
      <w:r>
        <w:rPr>
          <w:color w:val="000000" w:themeColor="text1"/>
          <w:lang w:val="es-PE"/>
        </w:rPr>
        <w:t xml:space="preserve">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y/o de terceros, campamentos permanentes y/o temporales, en la intemperie o bajo tierra, o áreas acuáticas</w:t>
      </w:r>
      <w:r>
        <w:rPr>
          <w:lang w:val="es-PE"/>
        </w:rPr>
        <w:t>.</w:t>
      </w:r>
    </w:p>
    <w:p w14:paraId="09EA0A80" w14:textId="77777777" w:rsidR="004412F1" w:rsidRDefault="004412F1">
      <w:pPr>
        <w:ind w:left="1134"/>
        <w:jc w:val="both"/>
        <w:rPr>
          <w:lang w:val="es-PE"/>
        </w:rPr>
      </w:pPr>
    </w:p>
    <w:p w14:paraId="72A197C1" w14:textId="77777777" w:rsidR="004412F1" w:rsidRDefault="005A12A3">
      <w:pPr>
        <w:ind w:left="1134"/>
        <w:jc w:val="both"/>
        <w:rPr>
          <w:lang w:val="es-PE"/>
        </w:rPr>
      </w:pPr>
      <w:r>
        <w:rPr>
          <w:lang w:val="es-PE"/>
        </w:rPr>
        <w:t xml:space="preserve">Adicionalmente a la Cobertura Básica (“A”) la póliza C.A.R. deberá contar con otras coberturas tales como: </w:t>
      </w:r>
    </w:p>
    <w:p w14:paraId="3C47BD5A" w14:textId="77777777" w:rsidR="004412F1" w:rsidRDefault="005A12A3">
      <w:pPr>
        <w:numPr>
          <w:ilvl w:val="0"/>
          <w:numId w:val="114"/>
        </w:numPr>
        <w:ind w:left="1418" w:hanging="284"/>
        <w:jc w:val="both"/>
        <w:rPr>
          <w:lang w:val="es-PE"/>
        </w:rPr>
      </w:pPr>
      <w:r>
        <w:rPr>
          <w:lang w:val="es-PE"/>
        </w:rPr>
        <w:t xml:space="preserve">Cobertura (B) que ampara los daños por terremoto, temblor, maremotos; </w:t>
      </w:r>
    </w:p>
    <w:p w14:paraId="2737F173" w14:textId="77777777" w:rsidR="004412F1" w:rsidRDefault="005A12A3">
      <w:pPr>
        <w:numPr>
          <w:ilvl w:val="0"/>
          <w:numId w:val="114"/>
        </w:numPr>
        <w:ind w:left="1418" w:hanging="284"/>
        <w:jc w:val="both"/>
        <w:rPr>
          <w:lang w:val="es-PE"/>
        </w:rPr>
      </w:pPr>
      <w:r>
        <w:rPr>
          <w:lang w:val="es-PE"/>
        </w:rPr>
        <w:t xml:space="preserve">Cobertura (C) que cubre la lluvia, inundación y </w:t>
      </w:r>
      <w:proofErr w:type="gramStart"/>
      <w:r>
        <w:rPr>
          <w:lang w:val="es-PE"/>
        </w:rPr>
        <w:t>huaycos</w:t>
      </w:r>
      <w:proofErr w:type="gramEnd"/>
      <w:r>
        <w:rPr>
          <w:lang w:val="es-PE"/>
        </w:rPr>
        <w:t xml:space="preserve">; </w:t>
      </w:r>
    </w:p>
    <w:p w14:paraId="283694C2" w14:textId="77777777" w:rsidR="004412F1" w:rsidRDefault="005A12A3">
      <w:pPr>
        <w:numPr>
          <w:ilvl w:val="0"/>
          <w:numId w:val="114"/>
        </w:numPr>
        <w:ind w:left="1418" w:hanging="284"/>
        <w:jc w:val="both"/>
        <w:rPr>
          <w:lang w:val="es-PE"/>
        </w:rPr>
      </w:pPr>
      <w:r>
        <w:rPr>
          <w:lang w:val="es-PE"/>
        </w:rPr>
        <w:t xml:space="preserve">Cobertura (D) que cubre los daños materiales hasta la recepción de la Obra; </w:t>
      </w:r>
    </w:p>
    <w:p w14:paraId="50F590FF" w14:textId="77777777" w:rsidR="004412F1" w:rsidRDefault="005A12A3">
      <w:pPr>
        <w:numPr>
          <w:ilvl w:val="0"/>
          <w:numId w:val="114"/>
        </w:numPr>
        <w:ind w:left="1418" w:hanging="284"/>
        <w:jc w:val="both"/>
        <w:rPr>
          <w:lang w:val="es-PE"/>
        </w:rPr>
      </w:pPr>
      <w:r>
        <w:rPr>
          <w:lang w:val="es-PE"/>
        </w:rPr>
        <w:t>Cobertura (G) de remoción de escombros;</w:t>
      </w:r>
    </w:p>
    <w:p w14:paraId="77C85B27" w14:textId="77777777" w:rsidR="004412F1" w:rsidRDefault="005A12A3">
      <w:pPr>
        <w:numPr>
          <w:ilvl w:val="0"/>
          <w:numId w:val="114"/>
        </w:numPr>
        <w:ind w:left="1418" w:hanging="284"/>
        <w:jc w:val="both"/>
        <w:rPr>
          <w:lang w:val="es-PE"/>
        </w:rPr>
      </w:pPr>
      <w:r>
        <w:rPr>
          <w:lang w:val="es-PE"/>
        </w:rPr>
        <w:lastRenderedPageBreak/>
        <w:t xml:space="preserve">Cobertura por riesgos políticos, tales como huelgas, conmociones civiles, daño malicioso, vandalismo y terrorismo; </w:t>
      </w:r>
    </w:p>
    <w:p w14:paraId="5C5DE32C" w14:textId="77777777" w:rsidR="004412F1" w:rsidRDefault="005A12A3">
      <w:pPr>
        <w:numPr>
          <w:ilvl w:val="0"/>
          <w:numId w:val="114"/>
        </w:numPr>
        <w:ind w:left="1418" w:hanging="284"/>
        <w:jc w:val="both"/>
        <w:rPr>
          <w:lang w:val="es-PE"/>
        </w:rPr>
      </w:pPr>
      <w:r>
        <w:rPr>
          <w:lang w:val="es-PE"/>
        </w:rPr>
        <w:t>Cobertura del mantenimiento amplio, otras propiedades adyacentes, debilitamiento de bases, masas y subsuelos; y,</w:t>
      </w:r>
    </w:p>
    <w:p w14:paraId="18E10081" w14:textId="6F64200A" w:rsidR="004412F1" w:rsidRDefault="005A12A3">
      <w:pPr>
        <w:numPr>
          <w:ilvl w:val="0"/>
          <w:numId w:val="114"/>
        </w:numPr>
        <w:ind w:left="1418" w:hanging="284"/>
        <w:jc w:val="both"/>
        <w:rPr>
          <w:lang w:val="es-PE"/>
        </w:rPr>
      </w:pPr>
      <w:r>
        <w:rPr>
          <w:lang w:val="es-PE"/>
        </w:rPr>
        <w:t xml:space="preserve">Cobertura de errores de diseño de los Estudios Definitivos de Ingeniería y Expediente Técnico aprobados de las Intervenciones, según corresponda, y los vicios ocultos asociados a estos. </w:t>
      </w:r>
    </w:p>
    <w:p w14:paraId="0ADD0F76" w14:textId="77777777" w:rsidR="004412F1" w:rsidRDefault="004412F1">
      <w:pPr>
        <w:ind w:left="1134"/>
        <w:jc w:val="both"/>
        <w:rPr>
          <w:lang w:val="es-PE"/>
        </w:rPr>
      </w:pPr>
    </w:p>
    <w:p w14:paraId="5DA6D6FD" w14:textId="77777777" w:rsidR="004412F1" w:rsidRDefault="005A12A3">
      <w:pPr>
        <w:ind w:left="1134"/>
        <w:jc w:val="both"/>
        <w:rPr>
          <w:lang w:val="es-PE"/>
        </w:rPr>
      </w:pPr>
      <w:r>
        <w:rPr>
          <w:lang w:val="es-PE"/>
        </w:rPr>
        <w:t>Además</w:t>
      </w:r>
      <w:r>
        <w:rPr>
          <w:color w:val="000000"/>
          <w:lang w:val="es-PE"/>
        </w:rPr>
        <w:t>, se deberá incluir una cobertura de “Responsabilidad Civil E y F”, la misma que deberá amparar los daños directos, indirectos y consecuenciales, durante toda la ejecución de cada Intervención.</w:t>
      </w:r>
    </w:p>
    <w:p w14:paraId="64929FCB" w14:textId="77777777" w:rsidR="004412F1" w:rsidRDefault="004412F1">
      <w:pPr>
        <w:ind w:left="1134"/>
        <w:jc w:val="both"/>
        <w:rPr>
          <w:lang w:val="es-PE"/>
        </w:rPr>
      </w:pPr>
    </w:p>
    <w:p w14:paraId="6809208F" w14:textId="77777777" w:rsidR="004412F1" w:rsidRDefault="005A12A3">
      <w:pPr>
        <w:ind w:left="1134"/>
        <w:jc w:val="both"/>
        <w:rPr>
          <w:lang w:val="es-PE"/>
        </w:rPr>
      </w:pPr>
      <w:r>
        <w:rPr>
          <w:lang w:val="es-PE"/>
        </w:rPr>
        <w:t>En este caso, la reposición de los bienes será cubierto con la Póliza C.A.R. prevista en el presente inciso, no pudiendo, en ningún caso, ser cubierto con la Cuenta de Emergencias Viales.</w:t>
      </w:r>
    </w:p>
    <w:p w14:paraId="41330AC8" w14:textId="77777777" w:rsidR="004412F1" w:rsidRDefault="004412F1">
      <w:pPr>
        <w:ind w:left="1416"/>
        <w:jc w:val="both"/>
        <w:rPr>
          <w:lang w:val="es-PE"/>
        </w:rPr>
      </w:pPr>
    </w:p>
    <w:p w14:paraId="5E3165A8" w14:textId="77777777" w:rsidR="004412F1" w:rsidRDefault="005A12A3">
      <w:pPr>
        <w:ind w:left="1134"/>
        <w:jc w:val="both"/>
        <w:rPr>
          <w:color w:val="000000"/>
          <w:lang w:val="es-PE"/>
        </w:rPr>
      </w:pPr>
      <w:r>
        <w:rPr>
          <w:color w:val="000000"/>
          <w:lang w:val="es-PE"/>
        </w:rPr>
        <w:t>Las pólizas contratadas tendrán como único beneficiario al CONCESIONARIO, el cual estará obligado a destinar de inmediato los fondos obtenidos en la reconstrucción de la infraestructura vial en el menor plazo posible.</w:t>
      </w:r>
    </w:p>
    <w:p w14:paraId="2815D76B" w14:textId="77777777" w:rsidR="004412F1" w:rsidRDefault="004412F1">
      <w:pPr>
        <w:ind w:left="1134"/>
        <w:jc w:val="both"/>
        <w:rPr>
          <w:lang w:val="es-PE"/>
        </w:rPr>
      </w:pPr>
    </w:p>
    <w:p w14:paraId="68F5E13C" w14:textId="77777777" w:rsidR="004412F1" w:rsidRDefault="005A12A3">
      <w:pPr>
        <w:ind w:left="1134"/>
        <w:jc w:val="both"/>
        <w:rPr>
          <w:rFonts w:eastAsia="Times New Roman"/>
          <w:bCs/>
          <w:szCs w:val="18"/>
          <w:lang w:val="es-ES" w:eastAsia="es-ES"/>
        </w:rPr>
      </w:pPr>
      <w:r>
        <w:rPr>
          <w:lang w:val="es-PE"/>
        </w:rPr>
        <w:t>El presente seguro deberá incluir una Cláusula en la que se establezca que los fondos producto de la indemnización por cualquier siniestro deberán ser destinados necesariamente a la reparación de los daños causados por el siniestro.</w:t>
      </w:r>
    </w:p>
    <w:p w14:paraId="3BCEB1EF" w14:textId="77777777" w:rsidR="004412F1" w:rsidRDefault="004412F1">
      <w:pPr>
        <w:ind w:left="708"/>
        <w:jc w:val="both"/>
        <w:rPr>
          <w:color w:val="000000"/>
          <w:lang w:val="es-PE"/>
        </w:rPr>
      </w:pPr>
    </w:p>
    <w:p w14:paraId="038CF053" w14:textId="77777777" w:rsidR="004412F1" w:rsidRDefault="005A12A3">
      <w:pPr>
        <w:ind w:left="1134"/>
        <w:jc w:val="both"/>
        <w:rPr>
          <w:color w:val="000000"/>
          <w:lang w:val="es-PE"/>
        </w:rPr>
      </w:pPr>
      <w:r>
        <w:rPr>
          <w:color w:val="000000"/>
          <w:lang w:val="es-PE"/>
        </w:rPr>
        <w:t>El valor declarado de la póliza de seguro será equivalente al valor de reposición del monto total de cada Intervención en ejecución y deberá adecuarse a la naturaleza de cada bien. En ningún caso se tomará en cuenta el valor contable de cada uno de ellos.</w:t>
      </w:r>
    </w:p>
    <w:p w14:paraId="50EC531A" w14:textId="77777777" w:rsidR="004412F1" w:rsidRDefault="004412F1">
      <w:pPr>
        <w:ind w:left="1134"/>
        <w:jc w:val="both"/>
        <w:rPr>
          <w:color w:val="000000"/>
          <w:lang w:val="es-PE"/>
        </w:rPr>
      </w:pPr>
    </w:p>
    <w:p w14:paraId="153CFA11" w14:textId="77777777" w:rsidR="004412F1" w:rsidRDefault="005A12A3">
      <w:pPr>
        <w:ind w:left="1134"/>
        <w:jc w:val="both"/>
        <w:rPr>
          <w:color w:val="000000"/>
          <w:lang w:val="es-PE"/>
        </w:rPr>
      </w:pPr>
      <w:r>
        <w:rPr>
          <w:color w:val="000000"/>
          <w:lang w:val="es-PE"/>
        </w:rPr>
        <w:t>El cálculo del monto correspondiente a cada Intervención en ejecución se establecerá sobre la base del Programa de Ejecución y su vigencia será hasta la aceptación de la respectiva Intervención.</w:t>
      </w:r>
    </w:p>
    <w:p w14:paraId="5F522E0C" w14:textId="77777777" w:rsidR="004412F1" w:rsidRDefault="004412F1">
      <w:pPr>
        <w:ind w:left="1842"/>
        <w:jc w:val="both"/>
        <w:rPr>
          <w:color w:val="000000"/>
          <w:lang w:val="es-PE"/>
        </w:rPr>
      </w:pPr>
    </w:p>
    <w:p w14:paraId="6EBD7453" w14:textId="39FAAC65" w:rsidR="004412F1" w:rsidRDefault="005A12A3">
      <w:pPr>
        <w:tabs>
          <w:tab w:val="left" w:pos="6946"/>
        </w:tabs>
        <w:ind w:left="1134"/>
        <w:jc w:val="both"/>
        <w:rPr>
          <w:color w:val="000000"/>
          <w:lang w:val="es-PE"/>
        </w:rPr>
      </w:pPr>
      <w:r>
        <w:rPr>
          <w:color w:val="000000"/>
          <w:lang w:val="es-PE"/>
        </w:rPr>
        <w:t xml:space="preserve">Una vez que se cuente con la aceptación de cada Hito Funcional o Hito Constructivo de cada Intervención según corresponda de la respectiva Intervención de acuerdo con lo establecido en las cláusulas </w:t>
      </w:r>
      <w:r w:rsidR="00161B9F">
        <w:rPr>
          <w:color w:val="000000"/>
          <w:lang w:val="es-PE"/>
        </w:rPr>
        <w:t>6.32</w:t>
      </w:r>
      <w:r>
        <w:rPr>
          <w:color w:val="000000"/>
          <w:lang w:val="es-PE"/>
        </w:rPr>
        <w:t xml:space="preserve"> al </w:t>
      </w:r>
      <w:r w:rsidR="00161B9F">
        <w:rPr>
          <w:color w:val="000000"/>
          <w:lang w:val="es-PE"/>
        </w:rPr>
        <w:t>6.42</w:t>
      </w:r>
      <w:r>
        <w:rPr>
          <w:color w:val="000000"/>
          <w:lang w:val="es-PE"/>
        </w:rPr>
        <w:t xml:space="preserve">, dichos bienes deberán pasar a estar cubiertos por la póliza contemplada en el literal siguiente.  </w:t>
      </w:r>
    </w:p>
    <w:p w14:paraId="7524788E" w14:textId="77777777" w:rsidR="004412F1" w:rsidRDefault="004412F1">
      <w:pPr>
        <w:ind w:left="1134"/>
        <w:jc w:val="both"/>
        <w:rPr>
          <w:color w:val="000000"/>
          <w:lang w:val="es-PE"/>
        </w:rPr>
      </w:pPr>
    </w:p>
    <w:p w14:paraId="1331C8B7" w14:textId="77777777" w:rsidR="004412F1" w:rsidRDefault="005A12A3">
      <w:pPr>
        <w:ind w:left="1134"/>
        <w:jc w:val="both"/>
        <w:rPr>
          <w:color w:val="000000"/>
          <w:lang w:val="es-PE"/>
        </w:rPr>
      </w:pPr>
      <w:r>
        <w:rPr>
          <w:color w:val="000000"/>
          <w:lang w:val="es-PE"/>
        </w:rPr>
        <w:t xml:space="preserve">La vigencia de esta póliza será desde el inicio de ejecución de cada Intervención y hasta la aceptación de toda la Intervención.  </w:t>
      </w:r>
    </w:p>
    <w:p w14:paraId="77EDC1F5" w14:textId="77777777" w:rsidR="004412F1" w:rsidRDefault="004412F1">
      <w:pPr>
        <w:ind w:left="1134"/>
        <w:jc w:val="both"/>
        <w:rPr>
          <w:color w:val="000000"/>
          <w:lang w:val="es-PE"/>
        </w:rPr>
      </w:pPr>
    </w:p>
    <w:p w14:paraId="7736DE05" w14:textId="77777777" w:rsidR="004412F1" w:rsidRDefault="005A12A3">
      <w:pPr>
        <w:numPr>
          <w:ilvl w:val="0"/>
          <w:numId w:val="113"/>
        </w:numPr>
        <w:tabs>
          <w:tab w:val="left" w:pos="705"/>
          <w:tab w:val="left" w:pos="1134"/>
        </w:tabs>
        <w:ind w:left="431" w:firstLine="278"/>
        <w:jc w:val="both"/>
        <w:rPr>
          <w:lang w:val="es-PE"/>
        </w:rPr>
      </w:pPr>
      <w:bookmarkStart w:id="2015" w:name="_36os34g"/>
      <w:bookmarkStart w:id="2016" w:name="_Ref467752702"/>
      <w:bookmarkEnd w:id="2015"/>
      <w:r>
        <w:rPr>
          <w:b/>
          <w:bCs/>
          <w:lang w:val="es-PE"/>
        </w:rPr>
        <w:t>Seguros sobre bienes en Operación</w:t>
      </w:r>
      <w:r>
        <w:rPr>
          <w:lang w:val="es-PE"/>
        </w:rPr>
        <w:t>.</w:t>
      </w:r>
      <w:bookmarkEnd w:id="2016"/>
    </w:p>
    <w:p w14:paraId="0EF05623" w14:textId="77777777" w:rsidR="004412F1" w:rsidRDefault="005A12A3">
      <w:pPr>
        <w:ind w:left="1134"/>
        <w:jc w:val="both"/>
        <w:rPr>
          <w:rFonts w:eastAsia="Times New Roman"/>
          <w:bCs/>
          <w:szCs w:val="18"/>
          <w:lang w:val="es-ES" w:eastAsia="es-ES"/>
        </w:rPr>
      </w:pPr>
      <w:r>
        <w:rPr>
          <w:lang w:val="es-PE"/>
        </w:rPr>
        <w:t xml:space="preserve">Desde la Toma de Posesión, el CONCESIONARIO está obligado a contratar por su cuenta y costo un Seguro sobre Bienes de la Concesión que esté operando, que cubra el cien por ciento (100%) del valor de reposición de dichos bienes, que resulten afectados, incluyendo huelgas, motines o conmoción social, siempre y cuando no represente una Emergencia Vial.    </w:t>
      </w:r>
    </w:p>
    <w:p w14:paraId="35253AFB" w14:textId="77777777" w:rsidR="004412F1" w:rsidRDefault="004412F1">
      <w:pPr>
        <w:ind w:left="1134"/>
        <w:jc w:val="both"/>
        <w:rPr>
          <w:lang w:val="es-PE"/>
        </w:rPr>
      </w:pPr>
    </w:p>
    <w:p w14:paraId="705486D9" w14:textId="77777777" w:rsidR="004412F1" w:rsidRDefault="005A12A3">
      <w:pPr>
        <w:ind w:left="1134"/>
        <w:jc w:val="both"/>
        <w:rPr>
          <w:lang w:val="es-PE"/>
        </w:rPr>
      </w:pPr>
      <w:r>
        <w:rPr>
          <w:color w:val="000000" w:themeColor="text1"/>
          <w:lang w:val="es-PE"/>
        </w:rPr>
        <w:t xml:space="preserve">El CONCESIONARIO deberá cumplir con contratar la mencionada póliza, amparando el riesgo patrimonial de las obras terminadas y en operación de </w:t>
      </w:r>
      <w:r>
        <w:rPr>
          <w:color w:val="000000" w:themeColor="text1"/>
          <w:lang w:val="es-PE"/>
        </w:rPr>
        <w:lastRenderedPageBreak/>
        <w:t>todo riesgo, la misma que deberá estar vigente desde la Toma de Posesión hasta la Fecha de Fin de la Concesión</w:t>
      </w:r>
      <w:r>
        <w:rPr>
          <w:lang w:val="es-PE"/>
        </w:rPr>
        <w:t xml:space="preserve">. </w:t>
      </w:r>
    </w:p>
    <w:p w14:paraId="75C62099" w14:textId="77777777" w:rsidR="004412F1" w:rsidRDefault="004412F1">
      <w:pPr>
        <w:ind w:left="1134"/>
        <w:jc w:val="both"/>
        <w:rPr>
          <w:lang w:val="es-PE"/>
        </w:rPr>
      </w:pPr>
    </w:p>
    <w:p w14:paraId="4CDD91D4" w14:textId="77777777" w:rsidR="004412F1" w:rsidRDefault="005A12A3">
      <w:pPr>
        <w:ind w:left="1134"/>
        <w:jc w:val="both"/>
        <w:rPr>
          <w:b/>
          <w:bCs/>
          <w:lang w:val="es-PE"/>
        </w:rPr>
      </w:pPr>
      <w:r>
        <w:rPr>
          <w:color w:val="000000"/>
          <w:lang w:val="es-PE"/>
        </w:rPr>
        <w:t>La cobertura deberá cubrir toda la Obra (incluyendo, obras civiles, equipamiento de todas sus instalaciones, equipos y existencias de cualquier clase y descripción), por todos los daños materiales que pueda sufrir cualquier bien de cualquier clase y descripción, lo cual será consistente con el presupuesto real ejecutado, con excepción de los trabajos preliminares o preparatorios que no formarán parte del valor asegurado, como gastos de demolición de edificaciones, retiro de pavimento, limpieza y eliminación de escombros, entre otros</w:t>
      </w:r>
      <w:r>
        <w:rPr>
          <w:lang w:val="es-PE"/>
        </w:rPr>
        <w:t>.</w:t>
      </w:r>
    </w:p>
    <w:p w14:paraId="6B3062C8" w14:textId="77777777" w:rsidR="004412F1" w:rsidRDefault="004412F1">
      <w:pPr>
        <w:ind w:left="1134"/>
        <w:rPr>
          <w:b/>
          <w:bCs/>
          <w:lang w:val="es-PE"/>
        </w:rPr>
      </w:pPr>
    </w:p>
    <w:p w14:paraId="3A4A7AA8" w14:textId="77777777" w:rsidR="004412F1" w:rsidRDefault="005A12A3">
      <w:pPr>
        <w:ind w:left="1134"/>
        <w:rPr>
          <w:lang w:val="es-PE"/>
        </w:rPr>
      </w:pPr>
      <w:r>
        <w:rPr>
          <w:color w:val="000000" w:themeColor="text1"/>
          <w:lang w:val="es-PE"/>
        </w:rPr>
        <w:t>Entre los riesgos cubiertos por esta póliza deberán estar incluidos los siguientes</w:t>
      </w:r>
      <w:r>
        <w:rPr>
          <w:lang w:val="es-PE"/>
        </w:rPr>
        <w:t>:</w:t>
      </w:r>
    </w:p>
    <w:p w14:paraId="56505D5D" w14:textId="77777777" w:rsidR="004412F1" w:rsidRDefault="004412F1">
      <w:pPr>
        <w:ind w:left="709"/>
        <w:rPr>
          <w:lang w:val="es-PE"/>
        </w:rPr>
      </w:pPr>
    </w:p>
    <w:p w14:paraId="641AACEC" w14:textId="77777777" w:rsidR="004412F1" w:rsidRDefault="005A12A3">
      <w:pPr>
        <w:numPr>
          <w:ilvl w:val="0"/>
          <w:numId w:val="114"/>
        </w:numPr>
        <w:ind w:left="1418" w:hanging="284"/>
        <w:jc w:val="both"/>
        <w:rPr>
          <w:lang w:val="es-PE"/>
        </w:rPr>
      </w:pPr>
      <w:r>
        <w:rPr>
          <w:lang w:val="es-PE"/>
        </w:rPr>
        <w:t xml:space="preserve">Cobertura por riesgos asociados a la integridad física y/o estructural de la infraestructura; </w:t>
      </w:r>
    </w:p>
    <w:p w14:paraId="6E68C867" w14:textId="77777777" w:rsidR="004412F1" w:rsidRDefault="005A12A3">
      <w:pPr>
        <w:numPr>
          <w:ilvl w:val="0"/>
          <w:numId w:val="114"/>
        </w:numPr>
        <w:ind w:left="1418" w:hanging="284"/>
        <w:jc w:val="both"/>
        <w:rPr>
          <w:lang w:val="es-PE"/>
        </w:rPr>
      </w:pPr>
      <w:r>
        <w:rPr>
          <w:lang w:val="es-PE"/>
        </w:rPr>
        <w:t xml:space="preserve">Cobertura por riesgos políticos tales como huelgas, conmociones civiles, daño malicioso, vandalismo y terrorismo; </w:t>
      </w:r>
    </w:p>
    <w:p w14:paraId="44DCFC1F" w14:textId="77777777" w:rsidR="004412F1" w:rsidRDefault="005A12A3">
      <w:pPr>
        <w:numPr>
          <w:ilvl w:val="0"/>
          <w:numId w:val="114"/>
        </w:numPr>
        <w:ind w:left="1418" w:hanging="284"/>
        <w:jc w:val="both"/>
        <w:rPr>
          <w:lang w:val="es-PE"/>
        </w:rPr>
      </w:pPr>
      <w:r>
        <w:rPr>
          <w:lang w:val="es-PE"/>
        </w:rPr>
        <w:t xml:space="preserve">Cobertura por riesgos de la naturaleza tales como terremotos, maremotos, inundación, </w:t>
      </w:r>
      <w:proofErr w:type="gramStart"/>
      <w:r>
        <w:rPr>
          <w:lang w:val="es-PE"/>
        </w:rPr>
        <w:t>huaycos</w:t>
      </w:r>
      <w:proofErr w:type="gramEnd"/>
      <w:r>
        <w:rPr>
          <w:lang w:val="es-PE"/>
        </w:rPr>
        <w:t xml:space="preserve"> y lluvias intensas;</w:t>
      </w:r>
    </w:p>
    <w:p w14:paraId="6CC10FE5" w14:textId="77777777" w:rsidR="004412F1" w:rsidRDefault="005A12A3">
      <w:pPr>
        <w:numPr>
          <w:ilvl w:val="0"/>
          <w:numId w:val="114"/>
        </w:numPr>
        <w:ind w:left="1418" w:hanging="284"/>
        <w:jc w:val="both"/>
        <w:rPr>
          <w:lang w:val="es-PE"/>
        </w:rPr>
      </w:pPr>
      <w:r>
        <w:rPr>
          <w:lang w:val="es-PE"/>
        </w:rPr>
        <w:t>Cobertura de riesgos por daños ambientales;</w:t>
      </w:r>
    </w:p>
    <w:p w14:paraId="458BADD7" w14:textId="77777777" w:rsidR="004412F1" w:rsidRDefault="005A12A3">
      <w:pPr>
        <w:numPr>
          <w:ilvl w:val="0"/>
          <w:numId w:val="114"/>
        </w:numPr>
        <w:ind w:left="1418" w:hanging="284"/>
        <w:jc w:val="both"/>
        <w:rPr>
          <w:lang w:val="es-PE"/>
        </w:rPr>
      </w:pPr>
      <w:r>
        <w:rPr>
          <w:lang w:val="es-PE"/>
        </w:rPr>
        <w:t xml:space="preserve">Cobertura por riesgos de rotura de maquinarias, equipo electrónico, todo riesgo de contratista, infortunio, equipos móviles y/o portátiles; </w:t>
      </w:r>
    </w:p>
    <w:p w14:paraId="1A98EF71" w14:textId="77777777" w:rsidR="004412F1" w:rsidRDefault="005A12A3">
      <w:pPr>
        <w:numPr>
          <w:ilvl w:val="0"/>
          <w:numId w:val="114"/>
        </w:numPr>
        <w:ind w:left="1418" w:hanging="284"/>
        <w:jc w:val="both"/>
        <w:rPr>
          <w:lang w:val="es-PE"/>
        </w:rPr>
      </w:pPr>
      <w:r>
        <w:rPr>
          <w:lang w:val="es-PE"/>
        </w:rPr>
        <w:t>Cobertura automática por nuevas adquisiciones, vehículos propios y/o de terceros dentro de los predios asegurados, riesgos por impacto de naves, aeronaves y vehículos;</w:t>
      </w:r>
    </w:p>
    <w:p w14:paraId="78268FD3" w14:textId="77777777" w:rsidR="004412F1" w:rsidRDefault="005A12A3">
      <w:pPr>
        <w:numPr>
          <w:ilvl w:val="0"/>
          <w:numId w:val="114"/>
        </w:numPr>
        <w:ind w:left="1418" w:hanging="284"/>
        <w:jc w:val="both"/>
        <w:rPr>
          <w:lang w:val="es-PE"/>
        </w:rPr>
      </w:pPr>
      <w:r>
        <w:rPr>
          <w:lang w:val="es-PE"/>
        </w:rPr>
        <w:t xml:space="preserve">Cobertura por hundimiento de terreno, corrimiento de tierras y movimientos de tierras; </w:t>
      </w:r>
    </w:p>
    <w:p w14:paraId="7A688051" w14:textId="77777777" w:rsidR="004412F1" w:rsidRDefault="005A12A3">
      <w:pPr>
        <w:numPr>
          <w:ilvl w:val="0"/>
          <w:numId w:val="114"/>
        </w:numPr>
        <w:ind w:left="1418" w:hanging="284"/>
        <w:jc w:val="both"/>
        <w:rPr>
          <w:lang w:val="es-PE"/>
        </w:rPr>
      </w:pPr>
      <w:r>
        <w:rPr>
          <w:lang w:val="es-PE"/>
        </w:rPr>
        <w:t>Cobertura por errores de diseño y los vicios ocultos que se puedan manifestar en la infraestructura; y,</w:t>
      </w:r>
    </w:p>
    <w:p w14:paraId="160FAE92" w14:textId="77777777" w:rsidR="004412F1" w:rsidRDefault="005A12A3">
      <w:pPr>
        <w:ind w:left="1416"/>
        <w:jc w:val="both"/>
        <w:rPr>
          <w:lang w:val="es-PE"/>
        </w:rPr>
      </w:pPr>
      <w:r>
        <w:rPr>
          <w:lang w:val="es-PE"/>
        </w:rPr>
        <w:t>Cobertura por riesgos de pérdidas directas por cualquier tipo de siniestro, incluyendo gastos de demolición, limpieza, remoción de escombros, gastos extras y gastos extraordinarios.</w:t>
      </w:r>
    </w:p>
    <w:p w14:paraId="72A8D65A" w14:textId="77777777" w:rsidR="004412F1" w:rsidRDefault="004412F1">
      <w:pPr>
        <w:ind w:left="1134"/>
        <w:jc w:val="both"/>
        <w:rPr>
          <w:color w:val="000000"/>
          <w:lang w:val="es-PE"/>
        </w:rPr>
      </w:pPr>
    </w:p>
    <w:p w14:paraId="52342731" w14:textId="77777777" w:rsidR="004412F1" w:rsidRDefault="005A12A3">
      <w:pPr>
        <w:ind w:left="1134"/>
        <w:jc w:val="both"/>
        <w:rPr>
          <w:color w:val="000000"/>
          <w:lang w:val="es-PE"/>
        </w:rPr>
      </w:pPr>
      <w:r>
        <w:rPr>
          <w:color w:val="000000" w:themeColor="text1"/>
          <w:lang w:val="es-PE"/>
        </w:rPr>
        <w:t>El CONCESIONARIO deberá declarar a la compañía aseguradora el valor de reposición total de las Obras a las que se refiere la presente Cláusula, incluyendo todas sus instalaciones, equipos y existencias, como valor total de la exposición del riesgo.</w:t>
      </w:r>
    </w:p>
    <w:p w14:paraId="35D05D3D" w14:textId="77777777" w:rsidR="004412F1" w:rsidRDefault="004412F1">
      <w:pPr>
        <w:ind w:left="709"/>
        <w:jc w:val="both"/>
        <w:rPr>
          <w:lang w:val="es-PE"/>
        </w:rPr>
      </w:pPr>
    </w:p>
    <w:p w14:paraId="1595D038" w14:textId="77777777" w:rsidR="004412F1" w:rsidRDefault="005A12A3">
      <w:pPr>
        <w:ind w:left="1134"/>
        <w:jc w:val="both"/>
        <w:rPr>
          <w:color w:val="000000"/>
          <w:lang w:val="es-PE"/>
        </w:rPr>
      </w:pPr>
      <w:r>
        <w:rPr>
          <w:color w:val="000000" w:themeColor="text1"/>
          <w:lang w:val="es-PE"/>
        </w:rPr>
        <w:t xml:space="preserve">El valor asegurado en todo momento debe incluir la cláusula de valor de reposición a nuevo. Dicha suma asegurada deberá ser como mínimo la máxima </w:t>
      </w:r>
      <w:r>
        <w:rPr>
          <w:lang w:val="es-PE"/>
        </w:rPr>
        <w:t>pérdida</w:t>
      </w:r>
      <w:r>
        <w:rPr>
          <w:color w:val="000000" w:themeColor="text1"/>
          <w:lang w:val="es-PE"/>
        </w:rPr>
        <w:t xml:space="preserve"> probable que resulte del estudio de riesgo indicado en la Cláusula 12.17 del Contrato.</w:t>
      </w:r>
    </w:p>
    <w:p w14:paraId="2F61ACC4" w14:textId="77777777" w:rsidR="004412F1" w:rsidRDefault="004412F1">
      <w:pPr>
        <w:jc w:val="both"/>
        <w:rPr>
          <w:lang w:val="es-PE"/>
        </w:rPr>
      </w:pPr>
    </w:p>
    <w:p w14:paraId="512DAC6D" w14:textId="77777777" w:rsidR="004412F1" w:rsidRDefault="005A12A3">
      <w:pPr>
        <w:ind w:left="1134"/>
        <w:jc w:val="both"/>
        <w:rPr>
          <w:rFonts w:eastAsia="Times New Roman"/>
          <w:bCs/>
          <w:szCs w:val="18"/>
          <w:lang w:val="es-ES" w:eastAsia="es-ES"/>
        </w:rPr>
      </w:pPr>
      <w:r>
        <w:rPr>
          <w:lang w:val="es-PE"/>
        </w:rPr>
        <w:t>Sin perjuicio de lo señalado, el CONCESIONARIO se obliga a destinar cualquier indemnización que obtenga derivada de la póliza señalada, a la reposición de los Bienes de la Concesión que se hubiesen perdido.</w:t>
      </w:r>
    </w:p>
    <w:p w14:paraId="603CA78A" w14:textId="77777777" w:rsidR="004412F1" w:rsidRDefault="004412F1">
      <w:pPr>
        <w:rPr>
          <w:lang w:val="es-PE"/>
        </w:rPr>
      </w:pPr>
    </w:p>
    <w:p w14:paraId="11F44016" w14:textId="77777777" w:rsidR="004412F1" w:rsidRDefault="005A12A3">
      <w:pPr>
        <w:ind w:left="1134"/>
        <w:jc w:val="both"/>
        <w:rPr>
          <w:rFonts w:eastAsia="Times New Roman"/>
          <w:bCs/>
          <w:szCs w:val="18"/>
          <w:lang w:val="es-ES" w:eastAsia="es-ES"/>
        </w:rPr>
      </w:pPr>
      <w:r>
        <w:rPr>
          <w:lang w:val="es-PE"/>
        </w:rPr>
        <w:t>Los motines, huelgas o conmociones sociales deberán estar cubiertos con el seguro sobre Bienes de la Concesión de acuerdo con lo previsto en el primer párrafo del presente inciso.</w:t>
      </w:r>
    </w:p>
    <w:p w14:paraId="624B557F" w14:textId="77777777" w:rsidR="004412F1" w:rsidRDefault="004412F1">
      <w:pPr>
        <w:ind w:left="1134"/>
        <w:jc w:val="both"/>
        <w:rPr>
          <w:lang w:val="es-PE"/>
        </w:rPr>
      </w:pPr>
    </w:p>
    <w:p w14:paraId="7F1BCA3E" w14:textId="77777777" w:rsidR="004412F1" w:rsidRDefault="005A12A3">
      <w:pPr>
        <w:tabs>
          <w:tab w:val="left" w:pos="567"/>
        </w:tabs>
        <w:ind w:left="1134"/>
        <w:jc w:val="both"/>
        <w:rPr>
          <w:color w:val="000000"/>
          <w:lang w:val="es-PE"/>
        </w:rPr>
      </w:pPr>
      <w:r>
        <w:rPr>
          <w:color w:val="000000" w:themeColor="text1"/>
          <w:lang w:val="es-PE"/>
        </w:rPr>
        <w:lastRenderedPageBreak/>
        <w:t xml:space="preserve">El CONCEDENTE, previa opinión del </w:t>
      </w:r>
      <w:proofErr w:type="gramStart"/>
      <w:r>
        <w:rPr>
          <w:color w:val="000000" w:themeColor="text1"/>
          <w:lang w:val="es-PE"/>
        </w:rPr>
        <w:t>REGULADOR,</w:t>
      </w:r>
      <w:proofErr w:type="gramEnd"/>
      <w:r>
        <w:rPr>
          <w:color w:val="000000" w:themeColor="text1"/>
          <w:lang w:val="es-PE"/>
        </w:rPr>
        <w:t xml:space="preserve"> suspenderá la obligación del CONCESIONARIO de contratar y mantener vigente la póliza que cubra daños a la Obra únicamente respecto de actos de terrorismo, si este tipo de seguro dejase de ser ofrecido en el mercado nacional e internacional. Para acreditar ello, el CONCESIONARIO deberá presentar un informe elaborado por una empresa especializada de reconocido prestigio internacional, distinta del </w:t>
      </w:r>
      <w:r>
        <w:rPr>
          <w:i/>
          <w:iCs/>
          <w:color w:val="000000" w:themeColor="text1"/>
          <w:lang w:val="es-PE"/>
        </w:rPr>
        <w:t>bróker</w:t>
      </w:r>
      <w:r>
        <w:rPr>
          <w:color w:val="000000" w:themeColor="text1"/>
          <w:lang w:val="es-PE"/>
        </w:rPr>
        <w:t xml:space="preserve">, corredor o asesor de seguros del CONCESIONARIO. La suspensión de esta obligación operará desde el momento en que </w:t>
      </w:r>
      <w:proofErr w:type="gramStart"/>
      <w:r>
        <w:rPr>
          <w:color w:val="000000" w:themeColor="text1"/>
          <w:lang w:val="es-PE"/>
        </w:rPr>
        <w:t>entre en vigencia</w:t>
      </w:r>
      <w:proofErr w:type="gramEnd"/>
      <w:r>
        <w:rPr>
          <w:color w:val="000000" w:themeColor="text1"/>
          <w:lang w:val="es-PE"/>
        </w:rPr>
        <w:t xml:space="preserve"> el tratamiento alternativo que deberán acordar el CONCESIONARIO y el CONCEDENTE por escrito para regular el supuesto en que la Obra sufra daños por actos de terrorismo. Si durante la suspensión a que se refiere este párrafo, el mercado nacional o internacional ofreciera nuevamente pólizas para cubrir daños causados por actos de terrorismo, el CONCESIONARIO deberá cumplir con informar sobre dicha situación al CONCEDENTE y al REGULADOR, reactivándose la obligación del CONCESIONARIO de contratar y mantener vigente la póliza que cubra este tipo de daños y el CONCESIONARIO deberá contratar dicha póliza dentro de los veinte (20) Días Calendario de requerido por escrito por el CONCEDENTE. Esta obligación retomará vigencia en el momento en que el CONCESIONARIO contrate la póliza para cubrir daños a la Obra por actos de terrorismo; o, una vez transcurrido el plazo de veinte (20) Días Calendario referido, lo que ocurra primero. </w:t>
      </w:r>
    </w:p>
    <w:p w14:paraId="682A95F2" w14:textId="77777777" w:rsidR="004412F1" w:rsidRDefault="004412F1">
      <w:pPr>
        <w:tabs>
          <w:tab w:val="left" w:pos="567"/>
        </w:tabs>
        <w:ind w:left="1134"/>
        <w:jc w:val="both"/>
        <w:rPr>
          <w:color w:val="000000"/>
          <w:lang w:val="es-PE"/>
        </w:rPr>
      </w:pPr>
    </w:p>
    <w:p w14:paraId="44C754A2" w14:textId="77777777" w:rsidR="004412F1" w:rsidRDefault="005A12A3">
      <w:pPr>
        <w:tabs>
          <w:tab w:val="left" w:pos="567"/>
        </w:tabs>
        <w:ind w:left="1134"/>
        <w:jc w:val="both"/>
        <w:rPr>
          <w:b/>
          <w:bCs/>
          <w:lang w:val="es-PE"/>
        </w:rPr>
      </w:pPr>
      <w:r>
        <w:rPr>
          <w:color w:val="000000"/>
          <w:lang w:val="es-PE"/>
        </w:rPr>
        <w:t xml:space="preserve">Simultáneamente con la </w:t>
      </w:r>
      <w:proofErr w:type="gramStart"/>
      <w:r>
        <w:rPr>
          <w:color w:val="000000"/>
          <w:lang w:val="es-PE"/>
        </w:rPr>
        <w:t>entrada en vigencia</w:t>
      </w:r>
      <w:proofErr w:type="gramEnd"/>
      <w:r>
        <w:rPr>
          <w:color w:val="000000"/>
          <w:lang w:val="es-PE"/>
        </w:rPr>
        <w:t xml:space="preserve"> de esta obligación, quedará sin efecto el tratamiento alternativo que hubiesen acordado las Partes, existiendo nuevamente la posibilidad de suspenderla en los mismos términos a que se refiere este párrafo, si ocurriera nuevamente el supuesto acá previsto.</w:t>
      </w:r>
    </w:p>
    <w:p w14:paraId="2E069E06" w14:textId="77777777" w:rsidR="004412F1" w:rsidRDefault="004412F1">
      <w:pPr>
        <w:ind w:left="1134"/>
        <w:jc w:val="both"/>
        <w:rPr>
          <w:lang w:val="es-PE"/>
        </w:rPr>
      </w:pPr>
    </w:p>
    <w:p w14:paraId="4EE9177B" w14:textId="77777777" w:rsidR="004412F1" w:rsidRDefault="005A12A3">
      <w:pPr>
        <w:numPr>
          <w:ilvl w:val="0"/>
          <w:numId w:val="113"/>
        </w:numPr>
        <w:tabs>
          <w:tab w:val="left" w:pos="705"/>
          <w:tab w:val="left" w:pos="1134"/>
        </w:tabs>
        <w:ind w:left="431" w:firstLine="278"/>
        <w:jc w:val="both"/>
      </w:pPr>
      <w:bookmarkStart w:id="2017" w:name="_1lu2dc9"/>
      <w:bookmarkStart w:id="2018" w:name="_Ref272503761"/>
      <w:bookmarkEnd w:id="2017"/>
      <w:r>
        <w:rPr>
          <w:b/>
          <w:bCs/>
        </w:rPr>
        <w:t>De riesgos laborales</w:t>
      </w:r>
      <w:r>
        <w:t>.</w:t>
      </w:r>
      <w:bookmarkEnd w:id="2018"/>
    </w:p>
    <w:p w14:paraId="5F36B893" w14:textId="77777777" w:rsidR="004412F1" w:rsidRDefault="005A12A3">
      <w:pPr>
        <w:ind w:left="1134"/>
        <w:jc w:val="both"/>
        <w:rPr>
          <w:lang w:val="es-PE"/>
        </w:rPr>
      </w:pPr>
      <w:r>
        <w:rPr>
          <w:lang w:val="es-PE"/>
        </w:rPr>
        <w:t>El CONCESIONARIO, como entidad empleadora, está obligado a contratar una póliza de seguro complementario de trabajo de riesgo, conforme lo regula la Ley Nº 26790 y sus reglamentos y cualquier norma modificatoria.</w:t>
      </w:r>
    </w:p>
    <w:p w14:paraId="5153D903" w14:textId="77777777" w:rsidR="004412F1" w:rsidRDefault="004412F1">
      <w:pPr>
        <w:ind w:left="1134"/>
        <w:jc w:val="both"/>
        <w:rPr>
          <w:lang w:val="es-PE"/>
        </w:rPr>
      </w:pPr>
    </w:p>
    <w:p w14:paraId="18B91A5D" w14:textId="77777777" w:rsidR="004412F1" w:rsidRDefault="005A12A3">
      <w:pPr>
        <w:ind w:left="1134"/>
        <w:jc w:val="both"/>
        <w:rPr>
          <w:lang w:val="es-PE"/>
        </w:rPr>
      </w:pPr>
      <w:r>
        <w:rPr>
          <w:lang w:val="es-PE"/>
        </w:rPr>
        <w:t>Asimismo, el CONCESIONARIO deberá verificar que las empresas de servicios especiales, agentes contratistas o subcontratistas con la que el CONCESIONARIO vaya a emplear o contratar, también cumplan con la norma señalada en el párrafo anterior, o, en su defecto, deberá contratar directamente dicho seguro por cuenta de ellas.</w:t>
      </w:r>
    </w:p>
    <w:p w14:paraId="10352633" w14:textId="77777777" w:rsidR="004412F1" w:rsidRDefault="004412F1">
      <w:pPr>
        <w:tabs>
          <w:tab w:val="left" w:pos="567"/>
        </w:tabs>
        <w:ind w:left="567"/>
        <w:jc w:val="both"/>
        <w:rPr>
          <w:lang w:val="es-PE"/>
        </w:rPr>
      </w:pPr>
    </w:p>
    <w:p w14:paraId="62071FC8" w14:textId="77777777" w:rsidR="004412F1" w:rsidRDefault="005A12A3">
      <w:pPr>
        <w:tabs>
          <w:tab w:val="left" w:pos="567"/>
        </w:tabs>
        <w:ind w:left="1134"/>
        <w:jc w:val="both"/>
        <w:rPr>
          <w:lang w:val="es-PE"/>
        </w:rPr>
      </w:pPr>
      <w:r>
        <w:rPr>
          <w:lang w:val="es-PE"/>
        </w:rPr>
        <w:t>Los montos asegurados y los amparos contemplados deberán corresponder a las exigencias contenidas en la mencionada ley.</w:t>
      </w:r>
    </w:p>
    <w:p w14:paraId="465B30C5" w14:textId="77777777" w:rsidR="004412F1" w:rsidRDefault="004412F1">
      <w:pPr>
        <w:tabs>
          <w:tab w:val="left" w:pos="567"/>
        </w:tabs>
        <w:ind w:left="1134"/>
        <w:jc w:val="both"/>
        <w:rPr>
          <w:lang w:val="es-PE"/>
        </w:rPr>
      </w:pPr>
    </w:p>
    <w:p w14:paraId="336ACBBC" w14:textId="77777777" w:rsidR="004412F1" w:rsidRDefault="005A12A3">
      <w:pPr>
        <w:numPr>
          <w:ilvl w:val="0"/>
          <w:numId w:val="113"/>
        </w:numPr>
        <w:tabs>
          <w:tab w:val="left" w:pos="705"/>
          <w:tab w:val="left" w:pos="1134"/>
        </w:tabs>
        <w:ind w:left="431" w:firstLine="278"/>
        <w:jc w:val="both"/>
      </w:pPr>
      <w:r>
        <w:rPr>
          <w:b/>
        </w:rPr>
        <w:t>Otras Pólizas.</w:t>
      </w:r>
    </w:p>
    <w:p w14:paraId="2316C0CB" w14:textId="77777777" w:rsidR="004412F1" w:rsidRDefault="005A12A3">
      <w:pPr>
        <w:tabs>
          <w:tab w:val="left" w:pos="567"/>
        </w:tabs>
        <w:ind w:left="1134"/>
        <w:jc w:val="both"/>
        <w:rPr>
          <w:lang w:val="es-PE"/>
        </w:rPr>
      </w:pPr>
      <w:r>
        <w:rPr>
          <w:lang w:val="es-PE"/>
        </w:rPr>
        <w:t xml:space="preserve">Sin perjuicio de las pólizas obligatorias indicadas en los Literales a) al d) de la presente cláusula, el CONCESIONARIO podrá, </w:t>
      </w:r>
      <w:proofErr w:type="gramStart"/>
      <w:r>
        <w:rPr>
          <w:lang w:val="es-PE"/>
        </w:rPr>
        <w:t>de acuerdo a</w:t>
      </w:r>
      <w:proofErr w:type="gramEnd"/>
      <w:r>
        <w:rPr>
          <w:lang w:val="es-PE"/>
        </w:rPr>
        <w:t xml:space="preserve"> su propia visión estratégica de manejo y distribución de los riesgos o bien para cumplir con lo establecido por el ordenamiento jurídico de la República del Perú o bien por cualquier otra causa debidamente justificada, tomar cualquier otra póliza de seguros a su propio costo, comunicando este hecho al CONCEDENTE y REGULADOR.</w:t>
      </w:r>
    </w:p>
    <w:p w14:paraId="3AEEE8E3" w14:textId="77777777" w:rsidR="004412F1" w:rsidRDefault="004412F1">
      <w:pPr>
        <w:tabs>
          <w:tab w:val="left" w:pos="567"/>
        </w:tabs>
        <w:ind w:left="1134"/>
        <w:jc w:val="both"/>
        <w:rPr>
          <w:b/>
          <w:lang w:val="es-PE"/>
        </w:rPr>
      </w:pPr>
      <w:bookmarkStart w:id="2019" w:name="_COMUNICACIÓN"/>
      <w:bookmarkStart w:id="2020" w:name="_45tpw02" w:colFirst="0" w:colLast="0"/>
      <w:bookmarkStart w:id="2021" w:name="_Toc94337654"/>
      <w:bookmarkStart w:id="2022" w:name="_Toc94337885"/>
      <w:bookmarkStart w:id="2023" w:name="_Toc94328819"/>
      <w:bookmarkStart w:id="2024" w:name="_Toc94328559"/>
      <w:bookmarkStart w:id="2025" w:name="_Toc94329321"/>
      <w:bookmarkStart w:id="2026" w:name="_Toc94329567"/>
      <w:bookmarkStart w:id="2027" w:name="_Toc94330198"/>
      <w:bookmarkStart w:id="2028" w:name="_Toc102405354"/>
      <w:bookmarkStart w:id="2029" w:name="_Toc94329075"/>
      <w:bookmarkEnd w:id="2019"/>
      <w:bookmarkEnd w:id="2020"/>
    </w:p>
    <w:p w14:paraId="7A692EB1" w14:textId="77777777" w:rsidR="004412F1" w:rsidRDefault="005A12A3">
      <w:pPr>
        <w:pStyle w:val="Ttulo2"/>
        <w:ind w:left="0"/>
        <w:rPr>
          <w:rFonts w:ascii="Arial" w:eastAsia="Arial" w:hAnsi="Arial" w:cs="Arial"/>
          <w:b/>
          <w:bCs/>
          <w:u w:val="none"/>
        </w:rPr>
      </w:pPr>
      <w:bookmarkStart w:id="2030" w:name="_2kz067v"/>
      <w:bookmarkStart w:id="2031" w:name="_Toc139294771"/>
      <w:bookmarkStart w:id="2032" w:name="_Toc468837673"/>
      <w:bookmarkStart w:id="2033" w:name="_Toc140089370"/>
      <w:bookmarkEnd w:id="2030"/>
      <w:r>
        <w:rPr>
          <w:rFonts w:ascii="Arial" w:eastAsia="Arial" w:hAnsi="Arial" w:cs="Arial"/>
          <w:b/>
          <w:bCs/>
          <w:u w:val="none"/>
        </w:rPr>
        <w:t>COMUNICACIÓN</w:t>
      </w:r>
      <w:bookmarkEnd w:id="2021"/>
      <w:bookmarkEnd w:id="2022"/>
      <w:bookmarkEnd w:id="2023"/>
      <w:bookmarkEnd w:id="2024"/>
      <w:bookmarkEnd w:id="2025"/>
      <w:bookmarkEnd w:id="2026"/>
      <w:bookmarkEnd w:id="2027"/>
      <w:bookmarkEnd w:id="2028"/>
      <w:bookmarkEnd w:id="2029"/>
      <w:bookmarkEnd w:id="2031"/>
      <w:bookmarkEnd w:id="2032"/>
      <w:bookmarkEnd w:id="2033"/>
    </w:p>
    <w:p w14:paraId="30314186" w14:textId="77777777" w:rsidR="004412F1" w:rsidRDefault="004412F1">
      <w:pPr>
        <w:tabs>
          <w:tab w:val="left" w:pos="720"/>
        </w:tabs>
        <w:ind w:left="11" w:hanging="11"/>
        <w:jc w:val="both"/>
      </w:pPr>
    </w:p>
    <w:p w14:paraId="6CAB8A05" w14:textId="77777777" w:rsidR="004412F1" w:rsidRDefault="005A12A3">
      <w:pPr>
        <w:numPr>
          <w:ilvl w:val="1"/>
          <w:numId w:val="112"/>
        </w:numPr>
        <w:tabs>
          <w:tab w:val="left" w:pos="567"/>
          <w:tab w:val="left" w:pos="1134"/>
          <w:tab w:val="left" w:pos="1701"/>
          <w:tab w:val="left" w:pos="2268"/>
          <w:tab w:val="left" w:pos="2835"/>
        </w:tabs>
        <w:jc w:val="both"/>
        <w:rPr>
          <w:lang w:val="es-PE"/>
        </w:rPr>
      </w:pPr>
      <w:r>
        <w:rPr>
          <w:color w:val="000000"/>
          <w:lang w:val="es-ES"/>
        </w:rPr>
        <w:lastRenderedPageBreak/>
        <w:t xml:space="preserve">  </w:t>
      </w:r>
      <w:bookmarkStart w:id="2034" w:name="_Ref272503562"/>
      <w:r>
        <w:rPr>
          <w:color w:val="000000"/>
          <w:lang w:val="es-PE"/>
        </w:rPr>
        <w:t>Las pólizas emitidas de conformidad con lo establecido en el Contrato deberán contener una estipulación que obligue a la compañía aseguradora respectiva a notificar por escrito al REGULADOR y al CONCEDENTE sobre cualquier omisión de pago de primas en que incurriese el CONCESIONARIO y sobre cualquier circunstancia que afecte la vigencia, validez o efectividad de la póliza, con una anticipación no menor a veinte (20) Días a la fecha en que el incumplimiento del CONCESIONARIO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 este Contrato.</w:t>
      </w:r>
      <w:bookmarkEnd w:id="2034"/>
    </w:p>
    <w:p w14:paraId="0BDAC194" w14:textId="77777777" w:rsidR="004412F1" w:rsidRDefault="004412F1">
      <w:pPr>
        <w:tabs>
          <w:tab w:val="left" w:pos="720"/>
        </w:tabs>
        <w:ind w:left="11" w:hanging="11"/>
        <w:jc w:val="both"/>
        <w:rPr>
          <w:lang w:val="es-PE"/>
        </w:rPr>
      </w:pPr>
    </w:p>
    <w:p w14:paraId="624103A2" w14:textId="77777777" w:rsidR="004412F1" w:rsidRDefault="005A12A3">
      <w:pPr>
        <w:tabs>
          <w:tab w:val="left" w:pos="720"/>
        </w:tabs>
        <w:ind w:left="705"/>
        <w:jc w:val="both"/>
        <w:rPr>
          <w:lang w:val="es-PE"/>
        </w:rPr>
      </w:pPr>
      <w:r>
        <w:rPr>
          <w:lang w:val="es-PE"/>
        </w:rPr>
        <w:t>La póliza respectiva deberá establecer, asimismo, que la caducidad o pérdida de vigencia de la póliza sólo se producirá si la compañía aseguradora ha cumplido previamente con la obligación a que se refiere el párrafo precedente.</w:t>
      </w:r>
    </w:p>
    <w:p w14:paraId="733558E2" w14:textId="77777777" w:rsidR="004412F1" w:rsidRDefault="004412F1">
      <w:pPr>
        <w:tabs>
          <w:tab w:val="left" w:pos="720"/>
        </w:tabs>
        <w:ind w:left="705"/>
        <w:jc w:val="both"/>
        <w:rPr>
          <w:lang w:val="es-PE"/>
        </w:rPr>
      </w:pPr>
      <w:bookmarkStart w:id="2035" w:name="_Toc94328820"/>
      <w:bookmarkStart w:id="2036" w:name="_Toc94328560"/>
      <w:bookmarkStart w:id="2037" w:name="_Toc94337655"/>
      <w:bookmarkStart w:id="2038" w:name="_Toc102405355"/>
      <w:bookmarkStart w:id="2039" w:name="_Toc94329076"/>
      <w:bookmarkStart w:id="2040" w:name="_Toc94337886"/>
      <w:bookmarkStart w:id="2041" w:name="_Toc94329322"/>
      <w:bookmarkStart w:id="2042" w:name="_Toc94330199"/>
      <w:bookmarkStart w:id="2043" w:name="_Toc94329568"/>
    </w:p>
    <w:p w14:paraId="609FB9AE" w14:textId="77777777" w:rsidR="004412F1" w:rsidRDefault="005A12A3">
      <w:pPr>
        <w:pStyle w:val="Ttulo2"/>
        <w:ind w:left="0"/>
        <w:rPr>
          <w:b/>
        </w:rPr>
      </w:pPr>
      <w:bookmarkStart w:id="2044" w:name="_3k3xz3h" w:colFirst="0" w:colLast="0"/>
      <w:bookmarkStart w:id="2045" w:name="_Toc139294772"/>
      <w:bookmarkStart w:id="2046" w:name="_Toc468837674"/>
      <w:bookmarkStart w:id="2047" w:name="_Toc140089371"/>
      <w:bookmarkEnd w:id="2044"/>
      <w:r>
        <w:rPr>
          <w:rFonts w:ascii="Arial" w:eastAsia="Arial" w:hAnsi="Arial" w:cs="Arial"/>
          <w:b/>
          <w:bCs/>
          <w:u w:val="none"/>
        </w:rPr>
        <w:t>RENOVACIÓN DE LAS PÓLIZAS</w:t>
      </w:r>
      <w:bookmarkEnd w:id="2035"/>
      <w:bookmarkEnd w:id="2036"/>
      <w:bookmarkEnd w:id="2037"/>
      <w:bookmarkEnd w:id="2038"/>
      <w:bookmarkEnd w:id="2039"/>
      <w:bookmarkEnd w:id="2040"/>
      <w:bookmarkEnd w:id="2041"/>
      <w:bookmarkEnd w:id="2042"/>
      <w:bookmarkEnd w:id="2043"/>
      <w:bookmarkEnd w:id="2045"/>
      <w:bookmarkEnd w:id="2046"/>
      <w:bookmarkEnd w:id="2047"/>
    </w:p>
    <w:p w14:paraId="6AA3317C" w14:textId="77777777" w:rsidR="004412F1" w:rsidRDefault="004412F1"/>
    <w:p w14:paraId="11AE43C2" w14:textId="55DF8B71" w:rsidR="004412F1" w:rsidRDefault="00220FB8">
      <w:pPr>
        <w:numPr>
          <w:ilvl w:val="1"/>
          <w:numId w:val="112"/>
        </w:numPr>
        <w:tabs>
          <w:tab w:val="left" w:pos="567"/>
          <w:tab w:val="left" w:pos="1134"/>
          <w:tab w:val="left" w:pos="1701"/>
          <w:tab w:val="left" w:pos="2268"/>
          <w:tab w:val="left" w:pos="2835"/>
        </w:tabs>
        <w:jc w:val="both"/>
        <w:rPr>
          <w:color w:val="000000" w:themeColor="text1"/>
          <w:lang w:val="es-PE"/>
        </w:rPr>
      </w:pPr>
      <w:r>
        <w:rPr>
          <w:color w:val="000000"/>
          <w:lang w:val="es-PE"/>
        </w:rPr>
        <w:t xml:space="preserve">  </w:t>
      </w:r>
      <w:r w:rsidR="005A12A3">
        <w:rPr>
          <w:color w:val="000000"/>
          <w:lang w:val="es-PE"/>
        </w:rPr>
        <w:t>El CONCESIONARIO se obliga a renovar o causar la renovación de las pólizas de seguro previstas en el presente Contrato, para lo cual deberá notificar al REGULADOR, con copia al CONCEDENTE, a más tardar cuarenta (40) Días Calendario antes del vencimiento de las pólizas correspondientes, las fechas en que efectuará las renovaciones de las mismas, remitiéndolas con el objeto que el REGULADOR pueda revisar y opinar respecto de las condiciones en que estas serán emitidas y cuya conformidad será realizada conforme a lo estipulado en la Cláusula 12.7.</w:t>
      </w:r>
    </w:p>
    <w:p w14:paraId="656A178E" w14:textId="77777777" w:rsidR="004412F1" w:rsidRDefault="004412F1">
      <w:pPr>
        <w:ind w:left="720"/>
        <w:jc w:val="both"/>
        <w:rPr>
          <w:rFonts w:ascii="Courier New" w:eastAsia="Courier New" w:hAnsi="Courier New"/>
          <w:color w:val="000000"/>
          <w:lang w:val="es-PE"/>
        </w:rPr>
      </w:pPr>
    </w:p>
    <w:p w14:paraId="321697A0" w14:textId="77777777" w:rsidR="004412F1" w:rsidRDefault="005A12A3">
      <w:pPr>
        <w:ind w:left="720"/>
        <w:jc w:val="both"/>
        <w:rPr>
          <w:color w:val="000000"/>
          <w:lang w:val="es-PE"/>
        </w:rPr>
      </w:pPr>
      <w:r>
        <w:rPr>
          <w:color w:val="000000"/>
          <w:lang w:val="es-PE"/>
        </w:rPr>
        <w:t>Una vez aprobada por parte del REGULADOR la renovación de la póliza de seguros, una copia de la referida póliza de seguros deberá ser remitida al REGULADOR, con copia al CONCEDENTE, en un plazo máximo de diez (10) Días Calendario.</w:t>
      </w:r>
    </w:p>
    <w:p w14:paraId="27C3A453" w14:textId="77777777" w:rsidR="004412F1" w:rsidRDefault="004412F1">
      <w:pPr>
        <w:tabs>
          <w:tab w:val="left" w:pos="567"/>
          <w:tab w:val="left" w:pos="1134"/>
          <w:tab w:val="left" w:pos="1701"/>
          <w:tab w:val="left" w:pos="2268"/>
          <w:tab w:val="left" w:pos="2835"/>
        </w:tabs>
        <w:ind w:left="705"/>
        <w:jc w:val="both"/>
        <w:rPr>
          <w:color w:val="000000"/>
          <w:sz w:val="24"/>
          <w:lang w:val="es-PE"/>
        </w:rPr>
      </w:pPr>
    </w:p>
    <w:p w14:paraId="1783DDC5" w14:textId="77777777" w:rsidR="004412F1" w:rsidRDefault="005A12A3">
      <w:pPr>
        <w:numPr>
          <w:ilvl w:val="1"/>
          <w:numId w:val="112"/>
        </w:numPr>
        <w:tabs>
          <w:tab w:val="left" w:pos="567"/>
          <w:tab w:val="left" w:pos="1134"/>
          <w:tab w:val="left" w:pos="1701"/>
          <w:tab w:val="left" w:pos="2268"/>
          <w:tab w:val="left" w:pos="2835"/>
        </w:tabs>
        <w:jc w:val="both"/>
        <w:rPr>
          <w:lang w:val="es-PE"/>
        </w:rPr>
      </w:pPr>
      <w:r>
        <w:rPr>
          <w:color w:val="000000"/>
          <w:lang w:val="es-PE"/>
        </w:rPr>
        <w:t xml:space="preserve">Cuando las renovaciones de las pólizas de seguro no impliquen una modificación de sus términos y condiciones, sólo será necesario informar tal hecho al REGULADOR, con copia al CONCEDENTE, con diez (10) Días Calendario de anticipación al vencimiento de las pólizas correspondientes. En dicho caso, el CONCESIONARIO deberá remitir al REGULADOR, con copia al CONCEDENTE, una copia de la póliza renovada </w:t>
      </w:r>
      <w:proofErr w:type="gramStart"/>
      <w:r>
        <w:rPr>
          <w:color w:val="000000"/>
          <w:lang w:val="es-PE"/>
        </w:rPr>
        <w:t>conjuntamente con</w:t>
      </w:r>
      <w:proofErr w:type="gramEnd"/>
      <w:r>
        <w:rPr>
          <w:color w:val="000000"/>
          <w:lang w:val="es-PE"/>
        </w:rPr>
        <w:t xml:space="preserve"> la comunicación anterior, para el control posterior respectivo.</w:t>
      </w:r>
    </w:p>
    <w:p w14:paraId="38DF8B56" w14:textId="77777777" w:rsidR="004412F1" w:rsidRDefault="004412F1">
      <w:pPr>
        <w:tabs>
          <w:tab w:val="left" w:pos="567"/>
          <w:tab w:val="left" w:pos="1134"/>
          <w:tab w:val="left" w:pos="1701"/>
          <w:tab w:val="left" w:pos="2268"/>
          <w:tab w:val="left" w:pos="2835"/>
        </w:tabs>
        <w:ind w:left="705"/>
        <w:jc w:val="both"/>
        <w:rPr>
          <w:color w:val="000000"/>
          <w:lang w:val="es-PE"/>
        </w:rPr>
      </w:pPr>
    </w:p>
    <w:p w14:paraId="72F121A1" w14:textId="77777777" w:rsidR="004412F1" w:rsidRDefault="005A12A3">
      <w:pPr>
        <w:numPr>
          <w:ilvl w:val="1"/>
          <w:numId w:val="112"/>
        </w:numPr>
        <w:tabs>
          <w:tab w:val="left" w:pos="567"/>
          <w:tab w:val="left" w:pos="1134"/>
          <w:tab w:val="left" w:pos="1701"/>
          <w:tab w:val="left" w:pos="2268"/>
          <w:tab w:val="left" w:pos="2835"/>
        </w:tabs>
        <w:jc w:val="both"/>
        <w:rPr>
          <w:lang w:val="es-PE"/>
        </w:rPr>
      </w:pPr>
      <w:r>
        <w:rPr>
          <w:color w:val="000000"/>
          <w:lang w:val="es-PE"/>
        </w:rPr>
        <w:t xml:space="preserve">Sin perjuicio de lo anterior, el CONCESIONARIO se compromete a presentar al REGULADOR, con copia al CONCEDENTE, anualmente, a más tardar al 30 de enero de cada año, y durante el plazo de la Concesión, una relación de las pólizas de seguro que correspondan ser tomadas y/o mantenidas durante cada Año Calendario, indicando como mínimo la cobertura, la vigencia de cada una, las compañías aseguradoras, las compañías reaseguradoras, las reclamaciones hechas durante el Año Calendario anterior y un certificado emitido por un representante autorizado de la compañía aseguradora indicando que el CONCESIONARIO ha cumplido durante el Año Calendario anterior con los términos de la presente Cláusula. </w:t>
      </w:r>
    </w:p>
    <w:p w14:paraId="27A410F4" w14:textId="77777777" w:rsidR="004412F1" w:rsidRDefault="004412F1">
      <w:pPr>
        <w:tabs>
          <w:tab w:val="left" w:pos="567"/>
          <w:tab w:val="left" w:pos="1134"/>
          <w:tab w:val="left" w:pos="1701"/>
          <w:tab w:val="left" w:pos="2268"/>
          <w:tab w:val="left" w:pos="2835"/>
        </w:tabs>
        <w:ind w:left="705"/>
        <w:jc w:val="both"/>
        <w:rPr>
          <w:color w:val="000000"/>
          <w:lang w:val="es-PE"/>
        </w:rPr>
      </w:pPr>
    </w:p>
    <w:p w14:paraId="5C2B3708" w14:textId="77777777" w:rsidR="004412F1" w:rsidRDefault="005A12A3">
      <w:pPr>
        <w:ind w:left="720"/>
        <w:jc w:val="both"/>
        <w:rPr>
          <w:rFonts w:ascii="Courier New" w:hAnsi="Courier New"/>
          <w:color w:val="000000"/>
          <w:lang w:val="es-PE"/>
        </w:rPr>
      </w:pPr>
      <w:r>
        <w:rPr>
          <w:color w:val="000000"/>
          <w:lang w:val="es-PE"/>
        </w:rPr>
        <w:t xml:space="preserve">Sin perjuicio de lo indicado precedentemente, durante el transcurso del Contrato y cada vez que el REGULADOR lo requiera, el CONCESIONARIO deberá </w:t>
      </w:r>
      <w:r>
        <w:rPr>
          <w:color w:val="000000"/>
          <w:lang w:val="es-PE"/>
        </w:rPr>
        <w:lastRenderedPageBreak/>
        <w:t>presentar prueba fehaciente ante el REGULADOR y el CONCEDENTE de que todas las pólizas de seguro siguen vigentes.</w:t>
      </w:r>
    </w:p>
    <w:p w14:paraId="00EB184F" w14:textId="77777777" w:rsidR="004412F1" w:rsidRDefault="004412F1">
      <w:pPr>
        <w:ind w:left="720"/>
        <w:jc w:val="both"/>
        <w:rPr>
          <w:rFonts w:ascii="Courier New" w:hAnsi="Courier New"/>
          <w:color w:val="000000"/>
          <w:lang w:val="es-PE"/>
        </w:rPr>
      </w:pPr>
    </w:p>
    <w:p w14:paraId="56103F7A" w14:textId="77777777" w:rsidR="004412F1" w:rsidRDefault="005A12A3">
      <w:pPr>
        <w:ind w:left="720"/>
        <w:jc w:val="both"/>
        <w:rPr>
          <w:rFonts w:ascii="Courier New" w:eastAsia="Courier New" w:hAnsi="Courier New" w:cs="Courier New"/>
          <w:color w:val="000000"/>
          <w:lang w:val="es-PE"/>
        </w:rPr>
      </w:pPr>
      <w:r>
        <w:rPr>
          <w:color w:val="000000"/>
          <w:lang w:val="es-PE"/>
        </w:rPr>
        <w:t>En caso de incumplimiento del CONCESIONARIO serán aplicables la penalidad prevista en la Tabla N° 6 del ANEXO IX.</w:t>
      </w:r>
    </w:p>
    <w:p w14:paraId="48600EAD" w14:textId="77777777" w:rsidR="004412F1" w:rsidRDefault="004412F1">
      <w:pPr>
        <w:tabs>
          <w:tab w:val="left" w:pos="720"/>
        </w:tabs>
        <w:ind w:left="11" w:hanging="11"/>
        <w:jc w:val="both"/>
        <w:rPr>
          <w:b/>
          <w:lang w:val="es-PE"/>
        </w:rPr>
      </w:pPr>
    </w:p>
    <w:p w14:paraId="281FE29C" w14:textId="77777777" w:rsidR="004412F1" w:rsidRDefault="004412F1">
      <w:pPr>
        <w:tabs>
          <w:tab w:val="left" w:pos="720"/>
        </w:tabs>
        <w:ind w:left="11" w:hanging="11"/>
        <w:jc w:val="both"/>
        <w:rPr>
          <w:b/>
          <w:lang w:val="es-PE"/>
        </w:rPr>
      </w:pPr>
      <w:bookmarkStart w:id="2048" w:name="_1z989ba" w:colFirst="0" w:colLast="0"/>
      <w:bookmarkStart w:id="2049" w:name="_DERECHO_DEL_CONCEDENTE"/>
      <w:bookmarkStart w:id="2050" w:name="_Toc94330200"/>
      <w:bookmarkStart w:id="2051" w:name="_Toc94329569"/>
      <w:bookmarkStart w:id="2052" w:name="_Toc102405356"/>
      <w:bookmarkStart w:id="2053" w:name="_Toc94337887"/>
      <w:bookmarkStart w:id="2054" w:name="_Toc94329323"/>
      <w:bookmarkStart w:id="2055" w:name="_Toc94328561"/>
      <w:bookmarkStart w:id="2056" w:name="_Toc94328821"/>
      <w:bookmarkStart w:id="2057" w:name="_Toc94337656"/>
      <w:bookmarkStart w:id="2058" w:name="_Toc94329077"/>
      <w:bookmarkEnd w:id="2048"/>
      <w:bookmarkEnd w:id="2049"/>
    </w:p>
    <w:p w14:paraId="6A453364" w14:textId="77777777" w:rsidR="004412F1" w:rsidRDefault="005A12A3">
      <w:pPr>
        <w:pStyle w:val="Ttulo2"/>
        <w:ind w:left="0"/>
        <w:rPr>
          <w:rFonts w:ascii="Arial" w:eastAsia="Arial" w:hAnsi="Arial" w:cs="Arial"/>
          <w:b/>
          <w:bCs/>
          <w:u w:val="none"/>
        </w:rPr>
      </w:pPr>
      <w:bookmarkStart w:id="2059" w:name="_4j8vrz3"/>
      <w:bookmarkStart w:id="2060" w:name="_Toc139294773"/>
      <w:bookmarkStart w:id="2061" w:name="_Toc468837675"/>
      <w:bookmarkStart w:id="2062" w:name="_Toc140089372"/>
      <w:bookmarkEnd w:id="2059"/>
      <w:r>
        <w:rPr>
          <w:rFonts w:ascii="Arial" w:eastAsia="Arial" w:hAnsi="Arial" w:cs="Arial"/>
          <w:b/>
          <w:bCs/>
          <w:u w:val="none"/>
        </w:rPr>
        <w:t>DERECHO DEL CONCEDENTE A ASEGURAR</w:t>
      </w:r>
      <w:bookmarkEnd w:id="2050"/>
      <w:bookmarkEnd w:id="2051"/>
      <w:bookmarkEnd w:id="2052"/>
      <w:bookmarkEnd w:id="2053"/>
      <w:bookmarkEnd w:id="2054"/>
      <w:bookmarkEnd w:id="2055"/>
      <w:bookmarkEnd w:id="2056"/>
      <w:bookmarkEnd w:id="2057"/>
      <w:bookmarkEnd w:id="2058"/>
      <w:bookmarkEnd w:id="2060"/>
      <w:bookmarkEnd w:id="2061"/>
      <w:bookmarkEnd w:id="2062"/>
    </w:p>
    <w:p w14:paraId="7BD1706C" w14:textId="77777777" w:rsidR="004412F1" w:rsidRDefault="004412F1">
      <w:pPr>
        <w:tabs>
          <w:tab w:val="left" w:pos="720"/>
        </w:tabs>
        <w:ind w:left="11" w:hanging="11"/>
        <w:jc w:val="both"/>
      </w:pPr>
    </w:p>
    <w:p w14:paraId="2CD2CB0F" w14:textId="77777777" w:rsidR="004412F1" w:rsidRDefault="005A12A3">
      <w:pPr>
        <w:numPr>
          <w:ilvl w:val="1"/>
          <w:numId w:val="112"/>
        </w:numPr>
        <w:tabs>
          <w:tab w:val="left" w:pos="567"/>
          <w:tab w:val="left" w:pos="1134"/>
          <w:tab w:val="left" w:pos="1701"/>
          <w:tab w:val="left" w:pos="2268"/>
          <w:tab w:val="left" w:pos="2835"/>
        </w:tabs>
        <w:jc w:val="both"/>
        <w:rPr>
          <w:color w:val="000000"/>
          <w:lang w:val="es-PE"/>
        </w:rPr>
      </w:pPr>
      <w:bookmarkStart w:id="2063" w:name="_2ye626w" w:colFirst="0" w:colLast="0"/>
      <w:bookmarkStart w:id="2064" w:name="_Ref272504591"/>
      <w:bookmarkEnd w:id="2063"/>
      <w:r>
        <w:rPr>
          <w:color w:val="000000"/>
          <w:lang w:val="es-PE"/>
        </w:rPr>
        <w:t>De verificarse el incumplimiento de la obligación del CONCESIONARIO de mantener vigentes las pólizas señaladas en los Literales a) al d) de la Cláusula 12.</w:t>
      </w:r>
      <w:r>
        <w:rPr>
          <w:color w:val="000000"/>
          <w:lang w:val="es-ES"/>
        </w:rPr>
        <w:t>8</w:t>
      </w:r>
      <w:r>
        <w:rPr>
          <w:color w:val="000000"/>
          <w:lang w:val="es-PE"/>
        </w:rPr>
        <w:t xml:space="preserve"> o el supuesto contemplado en la Cláusula 12.</w:t>
      </w:r>
      <w:r>
        <w:rPr>
          <w:color w:val="000000"/>
          <w:lang w:val="es-ES"/>
        </w:rPr>
        <w:t>15</w:t>
      </w:r>
      <w:r>
        <w:rPr>
          <w:color w:val="000000"/>
          <w:lang w:val="es-PE"/>
        </w:rPr>
        <w:t>, el CONCEDENTE tendrá derecho, procediendo de forma razonable, a adquirir por sí mismo estos seguros, en cuyo caso todos los montos pagados por el CONCEDENTE por este concepto deberán ser reembolsados por el CONCESIONARIO al CONCEDENTE, con un recargo de diez por ciento (10%) por concepto de penalidad dentro de los treinta (30) Días Calendario siguientes a la fecha en que el CONCEDENTE haya comunicado formalmente el ejercicio de la facultad comprendida en esta Cláusula. Cabe señalar que dicha penalidad será adicional a cualquier otra penalidad aplicable al CONCESIONARIO por incumplimiento de estas obligaciones.</w:t>
      </w:r>
      <w:bookmarkEnd w:id="2064"/>
    </w:p>
    <w:p w14:paraId="2DC4C09D" w14:textId="77777777" w:rsidR="004412F1" w:rsidRDefault="004412F1">
      <w:pPr>
        <w:tabs>
          <w:tab w:val="left" w:pos="567"/>
          <w:tab w:val="left" w:pos="1134"/>
          <w:tab w:val="left" w:pos="1701"/>
          <w:tab w:val="left" w:pos="2268"/>
          <w:tab w:val="left" w:pos="2835"/>
        </w:tabs>
        <w:ind w:left="705"/>
        <w:jc w:val="both"/>
        <w:rPr>
          <w:color w:val="000000"/>
          <w:lang w:val="es-PE"/>
        </w:rPr>
      </w:pPr>
    </w:p>
    <w:p w14:paraId="701E096B" w14:textId="77777777" w:rsidR="004412F1" w:rsidRDefault="005A12A3" w:rsidP="00220FB8">
      <w:pPr>
        <w:numPr>
          <w:ilvl w:val="1"/>
          <w:numId w:val="112"/>
        </w:numPr>
        <w:tabs>
          <w:tab w:val="left" w:pos="567"/>
          <w:tab w:val="left" w:pos="1134"/>
          <w:tab w:val="left" w:pos="1701"/>
          <w:tab w:val="left" w:pos="2268"/>
          <w:tab w:val="left" w:pos="2835"/>
        </w:tabs>
        <w:jc w:val="both"/>
        <w:rPr>
          <w:lang w:val="es-PE"/>
        </w:rPr>
      </w:pPr>
      <w:r>
        <w:rPr>
          <w:color w:val="000000" w:themeColor="text1"/>
          <w:lang w:val="es-PE"/>
        </w:rPr>
        <w:t>En caso de incumplimiento de la obligación de reembolso, así como del recargo señalado, el CONCEDENTE procederá a ejecutar en forma inmediata la Garantía de Fiel Cumplimiento del Contrato de Concesión, sin perjuicio de las eventuales acciones a que diera lugar el referido incumplimiento, entre ellas, la resolución del Contrato de conformidad con lo establecido en la cláusula 17.4.</w:t>
      </w:r>
    </w:p>
    <w:p w14:paraId="4B5C4B87" w14:textId="77777777" w:rsidR="004412F1" w:rsidRDefault="004412F1">
      <w:pPr>
        <w:tabs>
          <w:tab w:val="left" w:pos="567"/>
          <w:tab w:val="left" w:pos="1134"/>
          <w:tab w:val="left" w:pos="1701"/>
          <w:tab w:val="left" w:pos="2268"/>
          <w:tab w:val="left" w:pos="2835"/>
        </w:tabs>
        <w:ind w:left="705"/>
        <w:jc w:val="both"/>
        <w:rPr>
          <w:color w:val="000000"/>
          <w:lang w:val="es-PE"/>
        </w:rPr>
      </w:pPr>
    </w:p>
    <w:p w14:paraId="2ECA450C" w14:textId="77777777" w:rsidR="004412F1" w:rsidRDefault="005A12A3">
      <w:pPr>
        <w:pStyle w:val="Ttulo2"/>
        <w:ind w:left="0"/>
        <w:rPr>
          <w:rFonts w:ascii="Arial" w:eastAsia="Arial" w:hAnsi="Arial" w:cs="Arial"/>
          <w:b/>
          <w:bCs/>
          <w:u w:val="none"/>
        </w:rPr>
      </w:pPr>
      <w:bookmarkStart w:id="2065" w:name="_1djgcep"/>
      <w:bookmarkStart w:id="2066" w:name="_Toc102405360"/>
      <w:bookmarkStart w:id="2067" w:name="_Toc468837676"/>
      <w:bookmarkStart w:id="2068" w:name="_Toc94328564"/>
      <w:bookmarkStart w:id="2069" w:name="_Toc139294774"/>
      <w:bookmarkStart w:id="2070" w:name="_Toc94329326"/>
      <w:bookmarkStart w:id="2071" w:name="_Toc94337890"/>
      <w:bookmarkStart w:id="2072" w:name="_Toc94337659"/>
      <w:bookmarkStart w:id="2073" w:name="_Toc94330203"/>
      <w:bookmarkStart w:id="2074" w:name="_Toc94329080"/>
      <w:bookmarkStart w:id="2075" w:name="_Toc94328824"/>
      <w:bookmarkStart w:id="2076" w:name="_Toc94329572"/>
      <w:bookmarkStart w:id="2077" w:name="_Toc140089373"/>
      <w:bookmarkEnd w:id="2065"/>
      <w:r>
        <w:rPr>
          <w:rFonts w:ascii="Arial" w:eastAsia="Arial" w:hAnsi="Arial" w:cs="Arial"/>
          <w:b/>
          <w:bCs/>
          <w:u w:val="none"/>
        </w:rPr>
        <w:t>RESPONSABILIDAD DEL CONCESIONARIO</w:t>
      </w:r>
      <w:bookmarkEnd w:id="2066"/>
      <w:bookmarkEnd w:id="2067"/>
      <w:bookmarkEnd w:id="2068"/>
      <w:bookmarkEnd w:id="2069"/>
      <w:bookmarkEnd w:id="2070"/>
      <w:bookmarkEnd w:id="2071"/>
      <w:bookmarkEnd w:id="2072"/>
      <w:bookmarkEnd w:id="2073"/>
      <w:bookmarkEnd w:id="2074"/>
      <w:bookmarkEnd w:id="2075"/>
      <w:bookmarkEnd w:id="2076"/>
      <w:bookmarkEnd w:id="2077"/>
    </w:p>
    <w:p w14:paraId="20C7B062" w14:textId="77777777" w:rsidR="004412F1" w:rsidRDefault="004412F1">
      <w:pPr>
        <w:tabs>
          <w:tab w:val="left" w:pos="720"/>
        </w:tabs>
        <w:ind w:left="11" w:hanging="11"/>
        <w:jc w:val="both"/>
        <w:rPr>
          <w:b/>
        </w:rPr>
      </w:pPr>
    </w:p>
    <w:p w14:paraId="27C65CF8" w14:textId="77777777" w:rsidR="004412F1" w:rsidRDefault="005A12A3">
      <w:pPr>
        <w:numPr>
          <w:ilvl w:val="1"/>
          <w:numId w:val="112"/>
        </w:numPr>
        <w:tabs>
          <w:tab w:val="left" w:pos="567"/>
          <w:tab w:val="left" w:pos="1134"/>
          <w:tab w:val="left" w:pos="1701"/>
          <w:tab w:val="left" w:pos="2268"/>
          <w:tab w:val="left" w:pos="2835"/>
        </w:tabs>
        <w:jc w:val="both"/>
        <w:rPr>
          <w:lang w:val="es-PE"/>
        </w:rPr>
      </w:pPr>
      <w:r>
        <w:rPr>
          <w:color w:val="000000" w:themeColor="text1"/>
          <w:lang w:val="es-PE"/>
        </w:rPr>
        <w:t xml:space="preserve">La contratación de pólizas de seguros por parte del CONCESIONARIO no disminuye su responsabilidad por causas que le sean imputables a partir de la primera Toma de Posesión efectuada mediante el Acta de Entrega Parcial de Bienes, por lo que será responsable directo de sus obligaciones.  </w:t>
      </w:r>
    </w:p>
    <w:p w14:paraId="7FE966DD" w14:textId="77777777" w:rsidR="004412F1" w:rsidRDefault="004412F1">
      <w:pPr>
        <w:jc w:val="both"/>
        <w:rPr>
          <w:color w:val="000000"/>
          <w:sz w:val="16"/>
          <w:lang w:val="es-PE"/>
        </w:rPr>
      </w:pPr>
    </w:p>
    <w:p w14:paraId="381C2525" w14:textId="77777777" w:rsidR="004412F1" w:rsidRDefault="005A12A3">
      <w:pPr>
        <w:ind w:left="708"/>
        <w:jc w:val="both"/>
        <w:rPr>
          <w:color w:val="000000"/>
          <w:lang w:val="es-PE"/>
        </w:rPr>
      </w:pPr>
      <w:r>
        <w:rPr>
          <w:color w:val="000000"/>
          <w:lang w:val="es-PE"/>
        </w:rPr>
        <w:t xml:space="preserve">El CONCEDENTE no estará sujeto a ninguna responsabilidad por cualquier pérdida, daño, demanda o responsabilidad que provenga o se base en el uso, operación, condición o estado de las Obras en el Área de la Concesión desde (e incluyendo) la fecha en que se produzca la Toma de Posesión efectuada en forma progresiva mediante la entrega parcial de bienes y hasta (e incluyendo) </w:t>
      </w:r>
      <w:r>
        <w:rPr>
          <w:color w:val="000000"/>
          <w:lang w:val="es-ES"/>
        </w:rPr>
        <w:t xml:space="preserve">la </w:t>
      </w:r>
      <w:r>
        <w:rPr>
          <w:color w:val="000000"/>
          <w:lang w:val="es-PE"/>
        </w:rPr>
        <w:t>Fecha de Fin de la Concesión, debiendo el CONCESIONARIO indemnizar, defender y mantener indemne al CONCEDENTE, excepto cuando dichos eventos (i) sean causados por negligencia grave o dolo del CONCEDENTE (o cualquier trabajador, agente, o representante de éste); o, (ii) que sean causados única y directamente por cualquier acción regulatoria ilegal adoptada por el REGULADOR o cualquier otra Autoridad Gubernamental.</w:t>
      </w:r>
    </w:p>
    <w:p w14:paraId="2AC9D5D5" w14:textId="77777777" w:rsidR="004412F1" w:rsidRDefault="004412F1">
      <w:pPr>
        <w:ind w:left="708"/>
        <w:jc w:val="both"/>
        <w:rPr>
          <w:color w:val="000000"/>
          <w:sz w:val="16"/>
          <w:lang w:val="es-PE"/>
        </w:rPr>
      </w:pPr>
    </w:p>
    <w:p w14:paraId="1C1D1A9B" w14:textId="77777777" w:rsidR="004412F1" w:rsidRDefault="005A12A3">
      <w:pPr>
        <w:ind w:left="671"/>
        <w:jc w:val="both"/>
        <w:rPr>
          <w:b/>
          <w:color w:val="000000"/>
          <w:lang w:val="es-PE"/>
        </w:rPr>
      </w:pPr>
      <w:r>
        <w:rPr>
          <w:color w:val="000000"/>
          <w:lang w:val="es-PE"/>
        </w:rPr>
        <w:t>Asimismo, y con independencia de lo estipulado en la presente Cláusula y las obligaciones en esta establecidas, el CONCESIONARIO deberá pagar la totalidad de las sumas debidas a cualquier persona hasta el límite de su responsabilidad de acuerdo con las Leyes y Disposiciones Aplicables en el Estado de la República del Perú, vigentes en el momento en que se produce el daño.</w:t>
      </w:r>
    </w:p>
    <w:p w14:paraId="23927810" w14:textId="77777777" w:rsidR="004412F1" w:rsidRDefault="004412F1">
      <w:pPr>
        <w:tabs>
          <w:tab w:val="left" w:pos="720"/>
        </w:tabs>
        <w:ind w:left="682"/>
        <w:jc w:val="both"/>
        <w:rPr>
          <w:lang w:val="es-PE"/>
        </w:rPr>
      </w:pPr>
    </w:p>
    <w:p w14:paraId="4514C9CA" w14:textId="77777777" w:rsidR="004412F1" w:rsidRDefault="005A12A3">
      <w:pPr>
        <w:tabs>
          <w:tab w:val="left" w:pos="720"/>
        </w:tabs>
        <w:ind w:left="682"/>
        <w:jc w:val="both"/>
        <w:rPr>
          <w:lang w:val="es-PE"/>
        </w:rPr>
      </w:pPr>
      <w:r>
        <w:rPr>
          <w:lang w:val="es-PE"/>
        </w:rPr>
        <w:lastRenderedPageBreak/>
        <w:t>El CONCESIONARIO asumirá los costos de todo y cada uno de los deducibles y/o coaseguros que haya contratado en las pólizas de seguros requeridas.</w:t>
      </w:r>
    </w:p>
    <w:p w14:paraId="498E2B44" w14:textId="77777777" w:rsidR="004412F1" w:rsidRDefault="004412F1">
      <w:pPr>
        <w:tabs>
          <w:tab w:val="left" w:pos="720"/>
        </w:tabs>
        <w:ind w:left="682"/>
        <w:jc w:val="both"/>
        <w:rPr>
          <w:b/>
          <w:lang w:val="es-PE"/>
        </w:rPr>
      </w:pPr>
      <w:bookmarkStart w:id="2078" w:name="_OTRAS_RESPONSABILIDADES_Y"/>
      <w:bookmarkStart w:id="2079" w:name="_3xj3v2i" w:colFirst="0" w:colLast="0"/>
      <w:bookmarkStart w:id="2080" w:name="_Toc106666572"/>
      <w:bookmarkEnd w:id="2078"/>
      <w:bookmarkEnd w:id="2079"/>
    </w:p>
    <w:p w14:paraId="6E1EA438" w14:textId="77777777" w:rsidR="004412F1" w:rsidRDefault="005A12A3">
      <w:pPr>
        <w:pStyle w:val="Ttulo2"/>
        <w:ind w:left="0"/>
        <w:rPr>
          <w:rFonts w:ascii="Arial" w:hAnsi="Arial"/>
          <w:b/>
          <w:u w:val="none"/>
          <w:lang w:val="es-PE"/>
        </w:rPr>
      </w:pPr>
      <w:bookmarkStart w:id="2081" w:name="_2coe5ab"/>
      <w:bookmarkStart w:id="2082" w:name="_Toc468837677"/>
      <w:bookmarkStart w:id="2083" w:name="_Toc139294775"/>
      <w:bookmarkStart w:id="2084" w:name="_Toc140089374"/>
      <w:bookmarkEnd w:id="2081"/>
      <w:r>
        <w:rPr>
          <w:rFonts w:ascii="Arial" w:hAnsi="Arial"/>
          <w:b/>
          <w:u w:val="none"/>
          <w:lang w:val="es-PE"/>
        </w:rPr>
        <w:t>OTRAS RESPONSABILIDADES Y OBLIGACIONES DEL CONCESIONARIO</w:t>
      </w:r>
      <w:bookmarkEnd w:id="2080"/>
      <w:bookmarkEnd w:id="2082"/>
      <w:bookmarkEnd w:id="2083"/>
      <w:bookmarkEnd w:id="2084"/>
    </w:p>
    <w:p w14:paraId="288EF45A" w14:textId="77777777" w:rsidR="004412F1" w:rsidRDefault="004412F1">
      <w:pPr>
        <w:tabs>
          <w:tab w:val="left" w:pos="720"/>
        </w:tabs>
        <w:ind w:left="682"/>
        <w:jc w:val="both"/>
        <w:rPr>
          <w:lang w:val="es-PE"/>
        </w:rPr>
      </w:pPr>
    </w:p>
    <w:p w14:paraId="0F40EBDA" w14:textId="77777777" w:rsidR="004412F1" w:rsidRDefault="005A12A3">
      <w:pPr>
        <w:numPr>
          <w:ilvl w:val="1"/>
          <w:numId w:val="112"/>
        </w:numPr>
        <w:tabs>
          <w:tab w:val="left" w:pos="567"/>
          <w:tab w:val="left" w:pos="1134"/>
          <w:tab w:val="left" w:pos="1701"/>
          <w:tab w:val="left" w:pos="2268"/>
          <w:tab w:val="left" w:pos="2835"/>
        </w:tabs>
        <w:jc w:val="both"/>
        <w:rPr>
          <w:lang w:val="es-PE"/>
        </w:rPr>
      </w:pPr>
      <w:bookmarkStart w:id="2085" w:name="_rtofi4"/>
      <w:bookmarkStart w:id="2086" w:name="_Ref272503801"/>
      <w:bookmarkEnd w:id="2085"/>
      <w:r>
        <w:rPr>
          <w:color w:val="000000" w:themeColor="text1"/>
          <w:lang w:val="es-PE"/>
        </w:rPr>
        <w:t>El CONCESIONARIO contratará todas las pólizas de seguro que se requieran en virtud del presente Contrato con Compañías de Seguros y Reaseguros que tengan la calificación A o superior, al momento de contratar o renovar la póliza de seguro, según información de la Superintendencia de Banca, Seguros y AFP y/o una clasificadora de riesgo que opere en el Perú y/o en el extranjero. Los reaseguradores internacionales que cubran los riesgos del asegurador contratado por el CONCESIONARIO deberán tener una calificación mínima de A- otorgada por una entidad calificadora de riesgo internacional que clasifica a la República del Perú al momento de la contratación y de las sucesivas renovaciones. Las pólizas de seguros y contratos de seguros deberán encontrarse redactadas en idioma castellano.</w:t>
      </w:r>
    </w:p>
    <w:p w14:paraId="48A4C4CA" w14:textId="77777777" w:rsidR="004412F1" w:rsidRDefault="004412F1">
      <w:pPr>
        <w:tabs>
          <w:tab w:val="left" w:pos="567"/>
          <w:tab w:val="left" w:pos="1134"/>
          <w:tab w:val="left" w:pos="1701"/>
          <w:tab w:val="left" w:pos="2268"/>
          <w:tab w:val="left" w:pos="2835"/>
        </w:tabs>
        <w:ind w:left="705"/>
        <w:jc w:val="both"/>
        <w:rPr>
          <w:color w:val="000000"/>
          <w:lang w:val="es-PE"/>
        </w:rPr>
      </w:pPr>
    </w:p>
    <w:p w14:paraId="741E54DE" w14:textId="77777777" w:rsidR="004412F1" w:rsidRDefault="005A12A3">
      <w:pPr>
        <w:tabs>
          <w:tab w:val="left" w:pos="567"/>
          <w:tab w:val="left" w:pos="1134"/>
          <w:tab w:val="left" w:pos="1701"/>
          <w:tab w:val="left" w:pos="2268"/>
          <w:tab w:val="left" w:pos="2835"/>
        </w:tabs>
        <w:ind w:left="705"/>
        <w:jc w:val="both"/>
        <w:rPr>
          <w:color w:val="000000"/>
          <w:lang w:val="es-PE"/>
        </w:rPr>
      </w:pPr>
      <w:r>
        <w:rPr>
          <w:color w:val="000000"/>
          <w:lang w:val="es-PE"/>
        </w:rPr>
        <w:t>Asimismo, las compañías de seguros y reaseguros que proporcionen las pólizas previstas en el presente Contrato deberán estar autorizadas, registradas y hábiles, según la normativa aplicable a cada una y, de ser el caso, cumplir con la normativa de inspección, la vigilancia y el control de la Superintendencia de Banca, Seguros y AFP.</w:t>
      </w:r>
    </w:p>
    <w:p w14:paraId="4AAAC089" w14:textId="77777777" w:rsidR="004412F1" w:rsidRDefault="004412F1">
      <w:pPr>
        <w:tabs>
          <w:tab w:val="left" w:pos="567"/>
          <w:tab w:val="left" w:pos="1134"/>
          <w:tab w:val="left" w:pos="1701"/>
          <w:tab w:val="left" w:pos="2268"/>
          <w:tab w:val="left" w:pos="2835"/>
        </w:tabs>
        <w:ind w:left="705"/>
        <w:jc w:val="both"/>
        <w:rPr>
          <w:color w:val="000000"/>
          <w:lang w:val="es-PE"/>
        </w:rPr>
      </w:pPr>
    </w:p>
    <w:p w14:paraId="13A9133A" w14:textId="77777777" w:rsidR="004412F1" w:rsidRDefault="005A12A3" w:rsidP="00220FB8">
      <w:pPr>
        <w:numPr>
          <w:ilvl w:val="1"/>
          <w:numId w:val="112"/>
        </w:numPr>
        <w:tabs>
          <w:tab w:val="left" w:pos="567"/>
          <w:tab w:val="left" w:pos="1134"/>
          <w:tab w:val="left" w:pos="1701"/>
          <w:tab w:val="left" w:pos="2268"/>
          <w:tab w:val="left" w:pos="2835"/>
        </w:tabs>
        <w:jc w:val="both"/>
        <w:rPr>
          <w:color w:val="000000"/>
          <w:lang w:val="es-PE"/>
        </w:rPr>
      </w:pPr>
      <w:r>
        <w:rPr>
          <w:color w:val="000000"/>
          <w:lang w:val="es-PE"/>
        </w:rPr>
        <w:t>Los certificados de seguros para cada póliza antes indicadas deberán contener lo siguiente:</w:t>
      </w:r>
      <w:bookmarkEnd w:id="2086"/>
      <w:r>
        <w:rPr>
          <w:color w:val="000000"/>
          <w:lang w:val="es-PE"/>
        </w:rPr>
        <w:t xml:space="preserve"> </w:t>
      </w:r>
    </w:p>
    <w:p w14:paraId="5853482C" w14:textId="77777777" w:rsidR="004412F1" w:rsidRDefault="004412F1">
      <w:pPr>
        <w:tabs>
          <w:tab w:val="left" w:pos="720"/>
        </w:tabs>
        <w:ind w:left="11" w:hanging="11"/>
        <w:jc w:val="both"/>
        <w:rPr>
          <w:lang w:val="es-PE"/>
        </w:rPr>
      </w:pPr>
    </w:p>
    <w:p w14:paraId="0E04B15B" w14:textId="77777777" w:rsidR="004412F1" w:rsidRDefault="005A12A3">
      <w:pPr>
        <w:numPr>
          <w:ilvl w:val="0"/>
          <w:numId w:val="116"/>
        </w:numPr>
        <w:ind w:hanging="355"/>
        <w:jc w:val="both"/>
        <w:rPr>
          <w:lang w:val="es-PE"/>
        </w:rPr>
      </w:pPr>
      <w:r>
        <w:rPr>
          <w:lang w:val="es-PE"/>
        </w:rPr>
        <w:t>Una declaración en la que el CONCEDENTE aparezca como beneficiario adicional, según corresponda.</w:t>
      </w:r>
    </w:p>
    <w:p w14:paraId="65149CB7" w14:textId="77777777" w:rsidR="004412F1" w:rsidRDefault="005A12A3">
      <w:pPr>
        <w:numPr>
          <w:ilvl w:val="0"/>
          <w:numId w:val="116"/>
        </w:numPr>
        <w:ind w:hanging="355"/>
        <w:jc w:val="both"/>
        <w:rPr>
          <w:lang w:val="es-PE"/>
        </w:rPr>
      </w:pPr>
      <w:r>
        <w:rPr>
          <w:lang w:val="es-PE"/>
        </w:rPr>
        <w:t>Una declaración en la que la Compañía de Seguros haya renunciado a los derechos de subrogación con respecto al CONCEDENTE.</w:t>
      </w:r>
    </w:p>
    <w:p w14:paraId="62CCFC35" w14:textId="77777777" w:rsidR="004412F1" w:rsidRDefault="005A12A3">
      <w:pPr>
        <w:numPr>
          <w:ilvl w:val="0"/>
          <w:numId w:val="116"/>
        </w:numPr>
        <w:ind w:hanging="355"/>
        <w:jc w:val="both"/>
        <w:rPr>
          <w:lang w:val="es-PE"/>
        </w:rPr>
      </w:pPr>
      <w:r>
        <w:rPr>
          <w:lang w:val="es-PE"/>
        </w:rPr>
        <w:t>Una declaración de la compañía de seguros a través de la cual se obliga a notificar por escrito al REGULADOR y al CONCEDENTE sobre cualquier omisión de pago de primas en que incurriese el CONCESIONARIO y sobre cualquier circunstancia que afecte la vigencia, validez o efectividad de la póliza.</w:t>
      </w:r>
    </w:p>
    <w:p w14:paraId="6CF47463" w14:textId="77777777" w:rsidR="004412F1" w:rsidRDefault="005A12A3">
      <w:pPr>
        <w:numPr>
          <w:ilvl w:val="0"/>
          <w:numId w:val="116"/>
        </w:numPr>
        <w:ind w:hanging="355"/>
        <w:jc w:val="both"/>
        <w:rPr>
          <w:color w:val="000000"/>
          <w:lang w:val="es-PE"/>
        </w:rPr>
      </w:pPr>
      <w:r>
        <w:rPr>
          <w:color w:val="000000" w:themeColor="text1"/>
          <w:lang w:val="es-PE"/>
        </w:rPr>
        <w:t xml:space="preserve">Una declaración de la compañía de seguros según la cual, de ser aplicable, ha asumido la obligación de depositar los flujos dinerarios derivados de la póliza de seguro respectiva en el Fideicomiso de Administración en el caso que sea materialmente imposible la restitución, reposición o reparación de los bienes dañados, no estando obligada la compañía aseguradora o reaseguradora a pagar o depositar suma alguna al CONCESIONARIO. </w:t>
      </w:r>
    </w:p>
    <w:p w14:paraId="7921F2D2" w14:textId="77777777" w:rsidR="004412F1" w:rsidRDefault="004412F1">
      <w:pPr>
        <w:rPr>
          <w:b/>
          <w:bCs/>
          <w:color w:val="000000"/>
          <w:lang w:val="es-PE"/>
        </w:rPr>
      </w:pPr>
    </w:p>
    <w:p w14:paraId="266D620B" w14:textId="77777777" w:rsidR="004412F1" w:rsidRDefault="005A12A3">
      <w:pPr>
        <w:tabs>
          <w:tab w:val="left" w:pos="567"/>
          <w:tab w:val="left" w:pos="1134"/>
          <w:tab w:val="left" w:pos="1701"/>
          <w:tab w:val="left" w:pos="2268"/>
          <w:tab w:val="left" w:pos="2835"/>
        </w:tabs>
        <w:ind w:left="705"/>
        <w:jc w:val="both"/>
        <w:rPr>
          <w:color w:val="000000"/>
          <w:lang w:val="es-PE"/>
        </w:rPr>
      </w:pPr>
      <w:r>
        <w:rPr>
          <w:color w:val="000000"/>
          <w:lang w:val="es-PE"/>
        </w:rPr>
        <w:t>En caso de siniestro, el CONCESIONARIO deberá reportarlo sin dilación alguna a la compañía aseguradora y al mismo tiempo notificar del mismo al CONCEDENTE y al REGULADOR. Si la cobertura del seguro se cancela por falta de notificación oportuna de un siniestro, la responsabilidad en que se incurra será por cuenta del CONCESIONARIO y este libera de toda responsabilidad al CONCEDENTE, respecto al equivalente del monto que hubiera debido indemnizar a la parte asegurada en caso se hubiera notificado oportunamente del siniestro.</w:t>
      </w:r>
    </w:p>
    <w:p w14:paraId="4D570E4C" w14:textId="77777777" w:rsidR="004412F1" w:rsidRDefault="004412F1">
      <w:pPr>
        <w:tabs>
          <w:tab w:val="left" w:pos="567"/>
          <w:tab w:val="left" w:pos="1134"/>
          <w:tab w:val="left" w:pos="1701"/>
          <w:tab w:val="left" w:pos="2268"/>
          <w:tab w:val="left" w:pos="2835"/>
        </w:tabs>
        <w:ind w:left="705"/>
        <w:jc w:val="both"/>
        <w:rPr>
          <w:b/>
          <w:color w:val="000000"/>
          <w:sz w:val="24"/>
          <w:highlight w:val="green"/>
          <w:lang w:val="es-PE"/>
        </w:rPr>
      </w:pPr>
      <w:bookmarkStart w:id="2087" w:name="_3btby5x" w:colFirst="0" w:colLast="0"/>
      <w:bookmarkStart w:id="2088" w:name="_Toc94329327"/>
      <w:bookmarkStart w:id="2089" w:name="_Toc94329573"/>
      <w:bookmarkStart w:id="2090" w:name="_Toc94328825"/>
      <w:bookmarkStart w:id="2091" w:name="_Toc94337891"/>
      <w:bookmarkStart w:id="2092" w:name="_Toc94329081"/>
      <w:bookmarkStart w:id="2093" w:name="_Toc94330204"/>
      <w:bookmarkStart w:id="2094" w:name="_Toc94328565"/>
      <w:bookmarkStart w:id="2095" w:name="_Toc102405361"/>
      <w:bookmarkStart w:id="2096" w:name="_Toc94337660"/>
      <w:bookmarkEnd w:id="2087"/>
    </w:p>
    <w:p w14:paraId="1FCC4C55" w14:textId="77777777" w:rsidR="004412F1" w:rsidRDefault="005A12A3">
      <w:pPr>
        <w:pStyle w:val="Ttulo2"/>
        <w:ind w:left="0"/>
        <w:rPr>
          <w:rFonts w:ascii="Arial" w:eastAsia="Arial" w:hAnsi="Arial" w:cs="Arial"/>
          <w:b/>
          <w:bCs/>
          <w:u w:val="none"/>
        </w:rPr>
      </w:pPr>
      <w:bookmarkStart w:id="2097" w:name="_1qym8dq"/>
      <w:bookmarkStart w:id="2098" w:name="_Toc139294776"/>
      <w:bookmarkStart w:id="2099" w:name="_Toc468837678"/>
      <w:bookmarkStart w:id="2100" w:name="_Toc140089375"/>
      <w:bookmarkEnd w:id="2097"/>
      <w:r>
        <w:rPr>
          <w:rFonts w:ascii="Arial" w:eastAsia="Arial" w:hAnsi="Arial" w:cs="Arial"/>
          <w:b/>
          <w:bCs/>
          <w:u w:val="none"/>
        </w:rPr>
        <w:t>OBLIGACIÓN DEL CONCEDENTE</w:t>
      </w:r>
      <w:bookmarkEnd w:id="2088"/>
      <w:bookmarkEnd w:id="2089"/>
      <w:bookmarkEnd w:id="2090"/>
      <w:bookmarkEnd w:id="2091"/>
      <w:bookmarkEnd w:id="2092"/>
      <w:bookmarkEnd w:id="2093"/>
      <w:bookmarkEnd w:id="2094"/>
      <w:bookmarkEnd w:id="2095"/>
      <w:bookmarkEnd w:id="2096"/>
      <w:bookmarkEnd w:id="2098"/>
      <w:bookmarkEnd w:id="2099"/>
      <w:bookmarkEnd w:id="2100"/>
    </w:p>
    <w:p w14:paraId="7B9920BB" w14:textId="77777777" w:rsidR="004412F1" w:rsidRDefault="004412F1"/>
    <w:p w14:paraId="3C89AD8E" w14:textId="77777777" w:rsidR="004412F1" w:rsidRDefault="005A12A3" w:rsidP="00220FB8">
      <w:pPr>
        <w:numPr>
          <w:ilvl w:val="1"/>
          <w:numId w:val="112"/>
        </w:numPr>
        <w:tabs>
          <w:tab w:val="left" w:pos="567"/>
          <w:tab w:val="left" w:pos="1134"/>
          <w:tab w:val="left" w:pos="1701"/>
          <w:tab w:val="left" w:pos="2268"/>
          <w:tab w:val="left" w:pos="2835"/>
        </w:tabs>
        <w:jc w:val="both"/>
        <w:rPr>
          <w:lang w:val="es-PE"/>
        </w:rPr>
      </w:pPr>
      <w:r>
        <w:rPr>
          <w:color w:val="000000" w:themeColor="text1"/>
          <w:lang w:val="es-PE"/>
        </w:rPr>
        <w:lastRenderedPageBreak/>
        <w:t xml:space="preserve">En caso el CONCEDENTE recibiera algún monto de reembolso de daños producidos en cumplimiento de los términos pactados en las pólizas a que se refiere el presente CAPÍTULO, serán destinados única y exclusivamente a que el CONCESIONARIO repare dichos daños, de tal manera que pueda seguir explotando normalmente los </w:t>
      </w:r>
      <w:proofErr w:type="gramStart"/>
      <w:r>
        <w:rPr>
          <w:color w:val="000000" w:themeColor="text1"/>
          <w:lang w:val="es-PE"/>
        </w:rPr>
        <w:t>Sub Tramos</w:t>
      </w:r>
      <w:proofErr w:type="gramEnd"/>
      <w:r>
        <w:rPr>
          <w:color w:val="000000" w:themeColor="text1"/>
          <w:lang w:val="es-PE"/>
        </w:rPr>
        <w:t xml:space="preserve">. Para tal efecto, el CONCEDENTE deberá entregar los montos percibidos al CONCESIONARIO en un plazo que no deberá exceder de treinta (30) Días. </w:t>
      </w:r>
    </w:p>
    <w:p w14:paraId="08D3F1BD" w14:textId="77777777" w:rsidR="004412F1" w:rsidRDefault="004412F1">
      <w:pPr>
        <w:ind w:left="708"/>
        <w:rPr>
          <w:color w:val="000000"/>
          <w:lang w:val="es-PE"/>
        </w:rPr>
      </w:pPr>
    </w:p>
    <w:p w14:paraId="45ED8845" w14:textId="77777777" w:rsidR="004412F1" w:rsidRDefault="005A12A3" w:rsidP="00220FB8">
      <w:pPr>
        <w:pStyle w:val="Ttulo2"/>
        <w:ind w:left="0"/>
        <w:rPr>
          <w:b/>
          <w:bCs/>
        </w:rPr>
      </w:pPr>
      <w:bookmarkStart w:id="2101" w:name="_Toc139294777"/>
      <w:bookmarkStart w:id="2102" w:name="_Toc140089376"/>
      <w:r>
        <w:rPr>
          <w:rFonts w:ascii="Arial" w:eastAsia="Arial" w:hAnsi="Arial"/>
          <w:b/>
          <w:u w:val="none"/>
        </w:rPr>
        <w:t>ESTUDIO DE RIESGO</w:t>
      </w:r>
      <w:bookmarkEnd w:id="2101"/>
      <w:bookmarkEnd w:id="2102"/>
    </w:p>
    <w:p w14:paraId="4491AA24" w14:textId="77777777" w:rsidR="004412F1" w:rsidRDefault="004412F1">
      <w:pPr>
        <w:ind w:left="708"/>
        <w:rPr>
          <w:color w:val="000000"/>
        </w:rPr>
      </w:pPr>
    </w:p>
    <w:p w14:paraId="2338F036" w14:textId="07452682" w:rsidR="004412F1" w:rsidRDefault="005A12A3">
      <w:pPr>
        <w:numPr>
          <w:ilvl w:val="1"/>
          <w:numId w:val="112"/>
        </w:numPr>
        <w:tabs>
          <w:tab w:val="left" w:pos="567"/>
          <w:tab w:val="left" w:pos="1134"/>
          <w:tab w:val="left" w:pos="1701"/>
          <w:tab w:val="left" w:pos="2268"/>
          <w:tab w:val="left" w:pos="2835"/>
          <w:tab w:val="left" w:pos="4536"/>
        </w:tabs>
        <w:jc w:val="both"/>
        <w:rPr>
          <w:lang w:val="es-PE"/>
        </w:rPr>
      </w:pPr>
      <w:r>
        <w:rPr>
          <w:color w:val="000000" w:themeColor="text1"/>
          <w:lang w:val="es-PE"/>
        </w:rPr>
        <w:t xml:space="preserve">El CONCESIONARIO contratará los servicios de una empresa especializada de reconocido prestigio internacional, distinto del </w:t>
      </w:r>
      <w:r>
        <w:rPr>
          <w:i/>
          <w:color w:val="000000" w:themeColor="text1"/>
          <w:lang w:val="es-PE"/>
        </w:rPr>
        <w:t>broker</w:t>
      </w:r>
      <w:r>
        <w:rPr>
          <w:color w:val="000000" w:themeColor="text1"/>
          <w:lang w:val="es-PE"/>
        </w:rPr>
        <w:t xml:space="preserve">, corredor o asesor de seguros del CONCESIONARIO, para la realización del estudio de riesgo, con la finalidad de determinar la máxima pérdida probable de todos los bienes por asegurar, que pueda ser causada producto de los siniestros o eventos que ocurran y que estarán cubiertos por las pólizas mencionadas en la cláusula </w:t>
      </w:r>
      <w:r w:rsidR="00922CB5">
        <w:rPr>
          <w:color w:val="000000" w:themeColor="text1"/>
          <w:lang w:val="es-PE"/>
        </w:rPr>
        <w:t>12.7</w:t>
      </w:r>
      <w:r>
        <w:rPr>
          <w:color w:val="000000" w:themeColor="text1"/>
          <w:lang w:val="es-PE"/>
        </w:rPr>
        <w:t>, salvo por la póliza prevista en el inciso d) de dicha cláusula. La máxima pérdida probable será el monto mínimo de suma asegurada para cada póliza requerida.</w:t>
      </w:r>
    </w:p>
    <w:p w14:paraId="5A6405E2" w14:textId="77777777" w:rsidR="004412F1" w:rsidRDefault="004412F1">
      <w:pPr>
        <w:tabs>
          <w:tab w:val="left" w:pos="567"/>
          <w:tab w:val="left" w:pos="1134"/>
          <w:tab w:val="left" w:pos="1701"/>
          <w:tab w:val="left" w:pos="2268"/>
          <w:tab w:val="left" w:pos="2835"/>
        </w:tabs>
        <w:jc w:val="both"/>
        <w:rPr>
          <w:color w:val="000000"/>
          <w:lang w:val="es-PE"/>
        </w:rPr>
      </w:pPr>
    </w:p>
    <w:p w14:paraId="4A4286C4" w14:textId="77777777" w:rsidR="004412F1" w:rsidRDefault="005A12A3">
      <w:pPr>
        <w:ind w:left="708"/>
        <w:jc w:val="both"/>
        <w:rPr>
          <w:color w:val="000000"/>
          <w:lang w:val="es-PE"/>
        </w:rPr>
      </w:pPr>
      <w:r>
        <w:rPr>
          <w:color w:val="000000"/>
          <w:lang w:val="es-PE"/>
        </w:rPr>
        <w:t xml:space="preserve">A </w:t>
      </w:r>
      <w:r>
        <w:rPr>
          <w:lang w:val="es-PE"/>
        </w:rPr>
        <w:t xml:space="preserve">los cinco (5) Días posteriores a la </w:t>
      </w:r>
      <w:r>
        <w:rPr>
          <w:color w:val="000000"/>
          <w:lang w:val="es-PE"/>
        </w:rPr>
        <w:t>Fecha de Suscripción del Contrato, el CONCESIONARIO presentará al REGULADOR una relación con no menos de tres (03) empresas especializadas. El REGULADOR cuenta con un plazo de cinco (05) Días para elegir a una de las empresas especializadas propuestas y comunicar su decisión al CONCESIONARIO. De no darse dicha elección, dentro del plazo mencionado, el CONCESIONARIO podrá contratar a la empresa de su elección.</w:t>
      </w:r>
    </w:p>
    <w:p w14:paraId="7538FAF8" w14:textId="77777777" w:rsidR="004412F1" w:rsidRDefault="004412F1">
      <w:pPr>
        <w:ind w:left="708"/>
        <w:jc w:val="both"/>
        <w:rPr>
          <w:color w:val="000000"/>
          <w:lang w:val="es-PE"/>
        </w:rPr>
      </w:pPr>
    </w:p>
    <w:p w14:paraId="26010045" w14:textId="491CA715" w:rsidR="004412F1" w:rsidRDefault="005A12A3">
      <w:pPr>
        <w:ind w:left="708"/>
        <w:jc w:val="both"/>
        <w:rPr>
          <w:color w:val="000000"/>
          <w:lang w:val="es-PE"/>
        </w:rPr>
      </w:pPr>
      <w:r>
        <w:rPr>
          <w:color w:val="000000"/>
          <w:lang w:val="es-PE"/>
        </w:rPr>
        <w:t xml:space="preserve">A los treinta y cinco (35) Días contados desde la </w:t>
      </w:r>
      <w:r>
        <w:rPr>
          <w:lang w:val="es-PE"/>
        </w:rPr>
        <w:t>f</w:t>
      </w:r>
      <w:r>
        <w:rPr>
          <w:color w:val="000000"/>
          <w:lang w:val="es-PE"/>
        </w:rPr>
        <w:t xml:space="preserve">echa de la elección </w:t>
      </w:r>
      <w:r>
        <w:rPr>
          <w:lang w:val="es-PE"/>
        </w:rPr>
        <w:t>a que se refiere el párrafo anterior</w:t>
      </w:r>
      <w:r>
        <w:rPr>
          <w:color w:val="000000"/>
          <w:lang w:val="es-PE"/>
        </w:rPr>
        <w:t xml:space="preserve">, el CONCESIONARIO deberá presentar al CONCEDENTE, con copia al REGULADOR, los estudios de riesgo referidos en los incisos a) y c) de la Cláusula </w:t>
      </w:r>
      <w:r w:rsidR="00922CB5">
        <w:rPr>
          <w:color w:val="000000"/>
          <w:lang w:val="es-PE"/>
        </w:rPr>
        <w:t>12.7</w:t>
      </w:r>
      <w:r>
        <w:rPr>
          <w:color w:val="000000"/>
          <w:lang w:val="es-PE"/>
        </w:rPr>
        <w:t>.</w:t>
      </w:r>
    </w:p>
    <w:p w14:paraId="0F741A6E" w14:textId="77777777" w:rsidR="004412F1" w:rsidRDefault="004412F1">
      <w:pPr>
        <w:ind w:left="708"/>
        <w:jc w:val="both"/>
        <w:rPr>
          <w:color w:val="000000"/>
          <w:lang w:val="es-PE"/>
        </w:rPr>
      </w:pPr>
    </w:p>
    <w:p w14:paraId="7426ACBF" w14:textId="06E32E6E" w:rsidR="004412F1" w:rsidRDefault="005A12A3">
      <w:pPr>
        <w:ind w:left="708"/>
        <w:jc w:val="both"/>
        <w:rPr>
          <w:color w:val="000000"/>
          <w:lang w:val="es-PE"/>
        </w:rPr>
      </w:pPr>
      <w:r>
        <w:rPr>
          <w:color w:val="000000"/>
          <w:lang w:val="es-PE"/>
        </w:rPr>
        <w:t xml:space="preserve">Con relación al seguro del inciso c) de la Cláusula </w:t>
      </w:r>
      <w:r w:rsidR="00922CB5">
        <w:rPr>
          <w:color w:val="000000"/>
          <w:lang w:val="es-PE"/>
        </w:rPr>
        <w:t>12.7</w:t>
      </w:r>
      <w:r>
        <w:rPr>
          <w:color w:val="000000"/>
          <w:lang w:val="es-PE"/>
        </w:rPr>
        <w:t>, el estudio de riesgos antes mencionado deberá ser actualizado luego de aprobado el Inventario Inicial.</w:t>
      </w:r>
    </w:p>
    <w:p w14:paraId="0ABE23D6" w14:textId="77777777" w:rsidR="004412F1" w:rsidRDefault="004412F1">
      <w:pPr>
        <w:ind w:left="708"/>
        <w:jc w:val="both"/>
        <w:rPr>
          <w:color w:val="000000"/>
          <w:lang w:val="es-PE"/>
        </w:rPr>
      </w:pPr>
    </w:p>
    <w:p w14:paraId="3B717361" w14:textId="4416AEFC" w:rsidR="004412F1" w:rsidRDefault="005A12A3">
      <w:pPr>
        <w:ind w:left="708"/>
        <w:jc w:val="both"/>
        <w:rPr>
          <w:rFonts w:eastAsia="Times New Roman"/>
          <w:bCs/>
          <w:color w:val="000000"/>
          <w:szCs w:val="18"/>
          <w:lang w:val="es-ES" w:eastAsia="es-ES"/>
        </w:rPr>
      </w:pPr>
      <w:r>
        <w:rPr>
          <w:color w:val="000000"/>
          <w:lang w:val="es-PE"/>
        </w:rPr>
        <w:t xml:space="preserve">El CONCESIONARIO deberá presentar al CONCEDENTE, con copia al REGULADOR, el estudio de riesgo correspondiente al seguro referido en el inciso b) de la Cláusula </w:t>
      </w:r>
      <w:r w:rsidR="00922CB5">
        <w:rPr>
          <w:color w:val="000000"/>
          <w:lang w:val="es-PE"/>
        </w:rPr>
        <w:t>12.7</w:t>
      </w:r>
      <w:r>
        <w:rPr>
          <w:color w:val="000000"/>
          <w:lang w:val="es-PE"/>
        </w:rPr>
        <w:t>, al menos veinte (20) Días antes del inicio de la ejecución de cada una de las Intervenciones.</w:t>
      </w:r>
    </w:p>
    <w:p w14:paraId="0A641148" w14:textId="77777777" w:rsidR="004412F1" w:rsidRDefault="004412F1">
      <w:pPr>
        <w:ind w:left="708"/>
        <w:jc w:val="both"/>
        <w:rPr>
          <w:color w:val="000000"/>
          <w:lang w:val="es-PE"/>
        </w:rPr>
      </w:pPr>
    </w:p>
    <w:p w14:paraId="3BF79DBF" w14:textId="3826A74D" w:rsidR="004412F1" w:rsidRDefault="005A12A3">
      <w:pPr>
        <w:ind w:left="708"/>
        <w:jc w:val="both"/>
        <w:rPr>
          <w:color w:val="000000"/>
          <w:lang w:val="es-PE"/>
        </w:rPr>
      </w:pPr>
      <w:r>
        <w:rPr>
          <w:color w:val="000000"/>
          <w:lang w:val="es-PE"/>
        </w:rPr>
        <w:t xml:space="preserve">El CONCESIONARIO deberá presentar al CONCEDENTE, con copia al REGULADOR, el estudio de riesgo referido a los seguros indicados en el inciso a) y c) de la Cláusula </w:t>
      </w:r>
      <w:r w:rsidR="00922CB5">
        <w:rPr>
          <w:color w:val="000000"/>
          <w:lang w:val="es-PE"/>
        </w:rPr>
        <w:t>12.7</w:t>
      </w:r>
      <w:r>
        <w:rPr>
          <w:color w:val="000000"/>
          <w:lang w:val="es-PE"/>
        </w:rPr>
        <w:t xml:space="preserve"> correspondientes a los bienes que, como consecuencia de la aceptación de las Intervenciones, hayan adquirido la condición de Bienes de la Concesión, en un plazo no mayor a veinte (20) Días de aceptada la respectiva Intervención.</w:t>
      </w:r>
    </w:p>
    <w:p w14:paraId="256B70C5" w14:textId="77777777" w:rsidR="004412F1" w:rsidRDefault="004412F1">
      <w:pPr>
        <w:ind w:left="708"/>
        <w:jc w:val="both"/>
        <w:rPr>
          <w:color w:val="000000"/>
          <w:lang w:val="es-PE"/>
        </w:rPr>
      </w:pPr>
    </w:p>
    <w:p w14:paraId="25D1FAE1" w14:textId="77777777" w:rsidR="004412F1" w:rsidRDefault="005A12A3">
      <w:pPr>
        <w:ind w:left="708"/>
        <w:jc w:val="both"/>
        <w:rPr>
          <w:color w:val="000000"/>
          <w:lang w:val="es-PE"/>
        </w:rPr>
      </w:pPr>
      <w:r>
        <w:rPr>
          <w:color w:val="000000"/>
          <w:lang w:val="es-PE"/>
        </w:rPr>
        <w:t xml:space="preserve">Luego de la aceptación de cada Intervención, el CONCESIONARIO deberá entregar al CONCEDENTE, con copia al REGULADOR, dentro del primer trimestre de cada Año Calendario, un estudio de riesgos actualizado al 31 de diciembre del Año Calendario anterior. </w:t>
      </w:r>
    </w:p>
    <w:p w14:paraId="03923DE4" w14:textId="77777777" w:rsidR="004412F1" w:rsidRDefault="004412F1">
      <w:pPr>
        <w:tabs>
          <w:tab w:val="left" w:pos="567"/>
          <w:tab w:val="left" w:pos="1134"/>
          <w:tab w:val="left" w:pos="1701"/>
          <w:tab w:val="left" w:pos="2268"/>
          <w:tab w:val="left" w:pos="2835"/>
        </w:tabs>
        <w:jc w:val="both"/>
        <w:rPr>
          <w:color w:val="000000"/>
          <w:lang w:val="es-PE"/>
        </w:rPr>
      </w:pPr>
    </w:p>
    <w:p w14:paraId="1C5D177E" w14:textId="77777777" w:rsidR="004412F1" w:rsidRDefault="005A12A3" w:rsidP="001F60F2">
      <w:pPr>
        <w:pStyle w:val="Ttulo2"/>
        <w:ind w:left="0"/>
      </w:pPr>
      <w:bookmarkStart w:id="2103" w:name="_Toc139294778"/>
      <w:bookmarkStart w:id="2104" w:name="_Toc140089377"/>
      <w:r w:rsidRPr="001F60F2">
        <w:rPr>
          <w:rFonts w:ascii="Arial" w:eastAsia="Arial" w:hAnsi="Arial"/>
          <w:b/>
          <w:u w:val="none"/>
        </w:rPr>
        <w:t>EVENTOS</w:t>
      </w:r>
      <w:r>
        <w:rPr>
          <w:rFonts w:ascii="Arial" w:eastAsia="Arial" w:hAnsi="Arial" w:cs="Arial"/>
          <w:b/>
          <w:bCs/>
          <w:u w:val="none"/>
        </w:rPr>
        <w:t xml:space="preserve"> NO CUBIERTOS</w:t>
      </w:r>
      <w:bookmarkEnd w:id="2103"/>
      <w:bookmarkEnd w:id="2104"/>
      <w:r>
        <w:rPr>
          <w:rFonts w:ascii="Arial" w:eastAsia="Arial" w:hAnsi="Arial"/>
          <w:b/>
          <w:u w:val="none"/>
        </w:rPr>
        <w:t xml:space="preserve"> </w:t>
      </w:r>
    </w:p>
    <w:p w14:paraId="3A5AF113" w14:textId="77777777" w:rsidR="004412F1" w:rsidRDefault="004412F1">
      <w:pPr>
        <w:ind w:left="705"/>
      </w:pPr>
    </w:p>
    <w:p w14:paraId="4DDF3780" w14:textId="77777777" w:rsidR="004412F1" w:rsidRDefault="005A12A3">
      <w:pPr>
        <w:numPr>
          <w:ilvl w:val="1"/>
          <w:numId w:val="112"/>
        </w:numPr>
        <w:pBdr>
          <w:top w:val="none" w:sz="0" w:space="0" w:color="000000"/>
          <w:left w:val="none" w:sz="0" w:space="0" w:color="000000"/>
          <w:bottom w:val="none" w:sz="0" w:space="0" w:color="000000"/>
          <w:right w:val="none" w:sz="0" w:space="0" w:color="000000"/>
          <w:between w:val="none" w:sz="0" w:space="0" w:color="000000"/>
        </w:pBdr>
        <w:tabs>
          <w:tab w:val="left" w:pos="567"/>
          <w:tab w:val="left" w:pos="1134"/>
          <w:tab w:val="left" w:pos="1701"/>
          <w:tab w:val="left" w:pos="2268"/>
          <w:tab w:val="left" w:pos="2835"/>
        </w:tabs>
        <w:jc w:val="both"/>
        <w:rPr>
          <w:rFonts w:eastAsia="Times New Roman"/>
          <w:bCs/>
          <w:color w:val="000000" w:themeColor="text1"/>
          <w:szCs w:val="18"/>
          <w:lang w:val="es-ES" w:eastAsia="es-ES"/>
        </w:rPr>
      </w:pPr>
      <w:bookmarkStart w:id="2105" w:name="_4ay9r1j"/>
      <w:bookmarkEnd w:id="2105"/>
      <w:r>
        <w:rPr>
          <w:color w:val="000000" w:themeColor="text1"/>
          <w:lang w:val="es-PE"/>
        </w:rPr>
        <w:lastRenderedPageBreak/>
        <w:t xml:space="preserve">El CONCESIONARIO será responsable frente al CONCEDENTE o a los terceros que correspondan por las pérdidas, daños y responsabilidades no cubiertas por las pólizas de seguros mencionadas en el presente Capítulo, excepto únicamente en los casos de eventos no asegurables en el mercado nacional o internacional y/o aquellos eventos que tengan una parte no asegurable en el mercado nacional e internacional (y únicamente en aquella parte que no son asegurables). </w:t>
      </w:r>
    </w:p>
    <w:p w14:paraId="0760FBED" w14:textId="77777777" w:rsidR="004412F1" w:rsidRDefault="004412F1">
      <w:pPr>
        <w:pBdr>
          <w:top w:val="none" w:sz="0" w:space="0" w:color="000000"/>
          <w:left w:val="none" w:sz="0" w:space="0" w:color="000000"/>
          <w:bottom w:val="none" w:sz="0" w:space="0" w:color="000000"/>
          <w:right w:val="none" w:sz="0" w:space="0" w:color="000000"/>
          <w:between w:val="none" w:sz="0" w:space="0" w:color="000000"/>
        </w:pBdr>
        <w:tabs>
          <w:tab w:val="left" w:pos="567"/>
          <w:tab w:val="left" w:pos="1134"/>
          <w:tab w:val="left" w:pos="1701"/>
          <w:tab w:val="left" w:pos="2268"/>
          <w:tab w:val="left" w:pos="2835"/>
        </w:tabs>
        <w:jc w:val="both"/>
        <w:rPr>
          <w:lang w:val="es-PE"/>
        </w:rPr>
      </w:pPr>
    </w:p>
    <w:p w14:paraId="2EAD5F15" w14:textId="27291C04" w:rsidR="004412F1" w:rsidRDefault="005A12A3">
      <w:pPr>
        <w:pBdr>
          <w:top w:val="none" w:sz="0" w:space="0" w:color="000000"/>
          <w:left w:val="none" w:sz="0" w:space="0" w:color="000000"/>
          <w:bottom w:val="none" w:sz="0" w:space="0" w:color="000000"/>
          <w:right w:val="none" w:sz="0" w:space="0" w:color="000000"/>
          <w:between w:val="none" w:sz="0" w:space="0" w:color="000000"/>
        </w:pBdr>
        <w:tabs>
          <w:tab w:val="left" w:pos="567"/>
          <w:tab w:val="left" w:pos="1134"/>
          <w:tab w:val="left" w:pos="1701"/>
          <w:tab w:val="left" w:pos="2268"/>
          <w:tab w:val="left" w:pos="2835"/>
        </w:tabs>
        <w:ind w:left="705"/>
        <w:jc w:val="both"/>
        <w:rPr>
          <w:lang w:val="es-PE"/>
        </w:rPr>
      </w:pPr>
      <w:r>
        <w:rPr>
          <w:color w:val="000000" w:themeColor="text1"/>
          <w:lang w:val="es-PE"/>
        </w:rPr>
        <w:t>Para efectos de lo anterior, una vez acaecido el evento correspondiente, las Partes deberán acordar las pérdidas, daños y responsabilidades que deberán ser asumidas por cada una. En caso estas no consigan llegar a un acuerdo dentro del plazo de sesenta (60) Días Calendario de solicitado por cualquiera de ellas por escrito, podrán ejercer su derecho de la aplicación del régimen de Solución de Controversias invocando lo dispuesto en el Capítulo XIX del Contrato de Concesión.</w:t>
      </w:r>
    </w:p>
    <w:p w14:paraId="4C257402" w14:textId="77777777" w:rsidR="004412F1" w:rsidRDefault="004412F1">
      <w:pPr>
        <w:tabs>
          <w:tab w:val="left" w:pos="567"/>
          <w:tab w:val="left" w:pos="1134"/>
          <w:tab w:val="left" w:pos="1701"/>
          <w:tab w:val="left" w:pos="2268"/>
          <w:tab w:val="left" w:pos="2835"/>
        </w:tabs>
        <w:jc w:val="both"/>
        <w:rPr>
          <w:color w:val="000000"/>
          <w:lang w:val="es-PE"/>
        </w:rPr>
      </w:pPr>
    </w:p>
    <w:p w14:paraId="53E04039" w14:textId="77777777" w:rsidR="004412F1" w:rsidRDefault="004412F1">
      <w:pPr>
        <w:tabs>
          <w:tab w:val="left" w:pos="567"/>
          <w:tab w:val="left" w:pos="1134"/>
          <w:tab w:val="left" w:pos="1701"/>
          <w:tab w:val="left" w:pos="2268"/>
          <w:tab w:val="left" w:pos="2835"/>
        </w:tabs>
        <w:jc w:val="both"/>
        <w:rPr>
          <w:color w:val="000000"/>
          <w:lang w:val="es-PE"/>
        </w:rPr>
      </w:pPr>
    </w:p>
    <w:p w14:paraId="5D0CC031" w14:textId="77777777" w:rsidR="004412F1" w:rsidRDefault="005A12A3">
      <w:pPr>
        <w:pStyle w:val="Ttulo1"/>
        <w:rPr>
          <w:color w:val="FF0000"/>
          <w:lang w:val="es-PE"/>
        </w:rPr>
      </w:pPr>
      <w:bookmarkStart w:id="2106" w:name="_2q3k19c" w:colFirst="0" w:colLast="0"/>
      <w:bookmarkStart w:id="2107" w:name="_Toc468837679"/>
      <w:bookmarkStart w:id="2108" w:name="_Toc139294779"/>
      <w:bookmarkStart w:id="2109" w:name="_Toc140089378"/>
      <w:bookmarkStart w:id="2110" w:name="_Toc55906404"/>
      <w:bookmarkStart w:id="2111" w:name="_Toc131332990"/>
      <w:bookmarkStart w:id="2112" w:name="_Toc131332069"/>
      <w:bookmarkStart w:id="2113" w:name="_Toc131328011"/>
      <w:bookmarkStart w:id="2114" w:name="_Toc131329395"/>
      <w:bookmarkStart w:id="2115" w:name="_Toc131328827"/>
      <w:bookmarkStart w:id="2116" w:name="_Toc131329163"/>
      <w:bookmarkStart w:id="2117" w:name="_Toc131329982"/>
      <w:bookmarkEnd w:id="2106"/>
      <w:r>
        <w:rPr>
          <w:lang w:val="es-PE"/>
        </w:rPr>
        <w:t>CAPÍTULO XIII: CONSIDERACIONES SOCIO AMBIENTALES</w:t>
      </w:r>
      <w:bookmarkEnd w:id="2107"/>
      <w:bookmarkEnd w:id="2108"/>
      <w:bookmarkEnd w:id="2109"/>
    </w:p>
    <w:p w14:paraId="4D3610CF" w14:textId="77777777" w:rsidR="004412F1" w:rsidRDefault="004412F1">
      <w:pPr>
        <w:tabs>
          <w:tab w:val="left" w:pos="567"/>
          <w:tab w:val="left" w:pos="1134"/>
          <w:tab w:val="left" w:pos="1701"/>
          <w:tab w:val="left" w:pos="2268"/>
          <w:tab w:val="left" w:pos="2835"/>
        </w:tabs>
        <w:jc w:val="both"/>
        <w:rPr>
          <w:b/>
          <w:color w:val="000000"/>
          <w:sz w:val="24"/>
          <w:lang w:val="es-CL"/>
        </w:rPr>
      </w:pPr>
    </w:p>
    <w:p w14:paraId="2E2FBC74" w14:textId="77777777" w:rsidR="004412F1" w:rsidRDefault="005A12A3">
      <w:pPr>
        <w:pStyle w:val="Ttulo2"/>
        <w:ind w:left="0"/>
        <w:rPr>
          <w:rFonts w:ascii="Arial" w:eastAsia="Arial" w:hAnsi="Arial" w:cs="Arial"/>
          <w:b/>
          <w:bCs/>
          <w:u w:val="none"/>
          <w:lang w:val="es-PE"/>
        </w:rPr>
      </w:pPr>
      <w:bookmarkStart w:id="2118" w:name="_158ubh5"/>
      <w:bookmarkStart w:id="2119" w:name="_Toc139294780"/>
      <w:bookmarkStart w:id="2120" w:name="_Toc468837680"/>
      <w:bookmarkStart w:id="2121" w:name="_Toc140089379"/>
      <w:bookmarkEnd w:id="2118"/>
      <w:r>
        <w:rPr>
          <w:rFonts w:ascii="Arial" w:eastAsia="Arial" w:hAnsi="Arial" w:cs="Arial"/>
          <w:b/>
          <w:bCs/>
          <w:u w:val="none"/>
          <w:lang w:val="es-PE"/>
        </w:rPr>
        <w:t>OBLIGACIONES SOCIO AMBIENTALES DEL CONCESIONARIO</w:t>
      </w:r>
      <w:bookmarkEnd w:id="2119"/>
      <w:bookmarkEnd w:id="2120"/>
      <w:bookmarkEnd w:id="2121"/>
    </w:p>
    <w:p w14:paraId="785D6D27" w14:textId="77777777" w:rsidR="004412F1" w:rsidRDefault="004412F1">
      <w:pPr>
        <w:tabs>
          <w:tab w:val="left" w:pos="567"/>
          <w:tab w:val="left" w:pos="1134"/>
          <w:tab w:val="left" w:pos="1701"/>
          <w:tab w:val="left" w:pos="2268"/>
          <w:tab w:val="left" w:pos="2835"/>
        </w:tabs>
        <w:jc w:val="both"/>
        <w:rPr>
          <w:color w:val="000000"/>
          <w:sz w:val="24"/>
          <w:lang w:val="es-PE"/>
        </w:rPr>
      </w:pPr>
    </w:p>
    <w:p w14:paraId="33316828" w14:textId="77777777" w:rsidR="004412F1" w:rsidRDefault="005A12A3">
      <w:pPr>
        <w:numPr>
          <w:ilvl w:val="1"/>
          <w:numId w:val="118"/>
        </w:numPr>
        <w:jc w:val="both"/>
        <w:rPr>
          <w:lang w:val="es-PE"/>
        </w:rPr>
      </w:pPr>
      <w:r>
        <w:rPr>
          <w:lang w:val="es-PE"/>
        </w:rPr>
        <w:t>El CONCESIONARIO declara conocer las Leyes y Disposiciones Aplicables, incluida la normatividad internacional a que se refiere la Segunda Disposición Transitoria, Complementaria y Final de la Ley General del Ambiente, y las obligaciones que establece este Contrato en materia ambiental, en cuanto sean aplicables a las actividades reguladas por este Contrato.</w:t>
      </w:r>
    </w:p>
    <w:p w14:paraId="09758B18" w14:textId="77777777" w:rsidR="004412F1" w:rsidRDefault="004412F1">
      <w:pPr>
        <w:jc w:val="both"/>
        <w:rPr>
          <w:lang w:val="es-PE"/>
        </w:rPr>
      </w:pPr>
    </w:p>
    <w:p w14:paraId="7D65D2E9" w14:textId="77777777" w:rsidR="004412F1" w:rsidRDefault="005A12A3">
      <w:pPr>
        <w:ind w:left="709"/>
        <w:jc w:val="both"/>
        <w:rPr>
          <w:lang w:val="es-PE"/>
        </w:rPr>
      </w:pPr>
      <w:r>
        <w:rPr>
          <w:lang w:val="es-PE"/>
        </w:rPr>
        <w:t>El CONCESIONARIO se obliga a cumplir con dichas normas como componente indispensable de su gestión ambiental, implementando las medidas necesarias que aseguren un manejo apropiado en la Carretera Longitudinal de la Sierra Tramo 4: Huancayo-Izcuchaca-Mayocc-Ayacucho/Ayacucho-Andahuaylas-Pte Sahuinto/Dv. Pisco – Huaytará – Ayacucho.</w:t>
      </w:r>
    </w:p>
    <w:p w14:paraId="46592184" w14:textId="77777777" w:rsidR="004412F1" w:rsidRDefault="004412F1">
      <w:pPr>
        <w:ind w:left="709" w:hanging="709"/>
        <w:jc w:val="both"/>
        <w:rPr>
          <w:lang w:val="es-PE"/>
        </w:rPr>
      </w:pPr>
    </w:p>
    <w:p w14:paraId="64679BF1" w14:textId="77777777" w:rsidR="004412F1" w:rsidRDefault="005A12A3">
      <w:pPr>
        <w:ind w:left="709"/>
        <w:jc w:val="both"/>
      </w:pPr>
      <w:r>
        <w:rPr>
          <w:lang w:val="es-PE"/>
        </w:rPr>
        <w:t xml:space="preserve">Para tales efectos, deberá regirse por los Instrumentos de Gestión Ambiental que apruebe la Autoridad Ambiental Competente, así como los mandatos que ésta establezca en el marco de la normativa ambiental vigente. La certificación ambiental otorgada por la Autoridad Ambiental Competente no exime de responsabilidad al CONCESIONARIO respecto al cumplimiento de la normativa ambiental vigente. </w:t>
      </w:r>
      <w:r>
        <w:t>Su incumplimiento será sancionado por la Autoridad Ambiental Competente.</w:t>
      </w:r>
    </w:p>
    <w:p w14:paraId="75D66854" w14:textId="77777777" w:rsidR="004412F1" w:rsidRDefault="005A12A3">
      <w:pPr>
        <w:jc w:val="both"/>
      </w:pPr>
      <w:r>
        <w:tab/>
      </w:r>
    </w:p>
    <w:p w14:paraId="3D6D616A" w14:textId="77777777" w:rsidR="004412F1" w:rsidRDefault="005A12A3">
      <w:pPr>
        <w:numPr>
          <w:ilvl w:val="1"/>
          <w:numId w:val="118"/>
        </w:numPr>
        <w:jc w:val="both"/>
        <w:rPr>
          <w:lang w:val="es-PE"/>
        </w:rPr>
      </w:pPr>
      <w:r>
        <w:rPr>
          <w:lang w:val="es-PE"/>
        </w:rPr>
        <w:t>El CONCESIONARIO será responsable de la implementación de las áreas complementarias (Depósitos de Material Excedente (DMEs), campamentos, Plantas de Asfalto y Concreto, entre otros) que sean requeridas para la ejecución de las Intervenciones, que incorporará como mínimo las tareas de búsqueda, contratación, gestión de licencias y/o autorizaciones, y trabajos de adecuación y de cierre, entre otros, cumpliendo con los requisitos definidos en el contrato y la normatividad ambiental aplicable.</w:t>
      </w:r>
    </w:p>
    <w:p w14:paraId="283F05F0" w14:textId="77777777" w:rsidR="004412F1" w:rsidRDefault="005A12A3">
      <w:pPr>
        <w:ind w:left="709"/>
        <w:jc w:val="both"/>
        <w:rPr>
          <w:lang w:val="es-PE"/>
        </w:rPr>
      </w:pPr>
      <w:r>
        <w:rPr>
          <w:lang w:val="es-PE"/>
        </w:rPr>
        <w:t xml:space="preserve"> </w:t>
      </w:r>
      <w:r>
        <w:rPr>
          <w:lang w:val="es-PE"/>
        </w:rPr>
        <w:tab/>
      </w:r>
    </w:p>
    <w:p w14:paraId="14D38748" w14:textId="77777777" w:rsidR="004412F1" w:rsidRDefault="005A12A3">
      <w:pPr>
        <w:numPr>
          <w:ilvl w:val="1"/>
          <w:numId w:val="118"/>
        </w:numPr>
        <w:jc w:val="both"/>
        <w:rPr>
          <w:lang w:val="es-PE"/>
        </w:rPr>
      </w:pPr>
      <w:r>
        <w:rPr>
          <w:lang w:val="es-PE"/>
        </w:rPr>
        <w:t xml:space="preserve">El CONCESIONARIO no será responsable de la mitigación o impactos ambientales que se pudieran haber generado fuera o dentro del área de influencia de la Concesión, así como en otras áreas utilizadas para la instalación de canteras, depósitos de material excedente, uso u operación de almacenes, oficinas, talleres, patio de maquinarias, campamentos, accesos y otras áreas </w:t>
      </w:r>
      <w:r>
        <w:rPr>
          <w:lang w:val="es-PE"/>
        </w:rPr>
        <w:lastRenderedPageBreak/>
        <w:t>auxiliares, con anterioridad a la fecha de cada Toma de Posesión, aun cuando los efectos de la contaminación se produzcan después de dicha fecha.</w:t>
      </w:r>
    </w:p>
    <w:p w14:paraId="11F98663" w14:textId="77777777" w:rsidR="004412F1" w:rsidRDefault="004412F1">
      <w:pPr>
        <w:jc w:val="both"/>
        <w:rPr>
          <w:lang w:val="es-PE"/>
        </w:rPr>
      </w:pPr>
    </w:p>
    <w:p w14:paraId="2CA54468" w14:textId="77777777" w:rsidR="004412F1" w:rsidRDefault="005A12A3">
      <w:pPr>
        <w:ind w:left="709"/>
        <w:jc w:val="both"/>
        <w:rPr>
          <w:lang w:val="es-PE"/>
        </w:rPr>
      </w:pPr>
      <w:r>
        <w:rPr>
          <w:lang w:val="es-PE"/>
        </w:rPr>
        <w:t>Respecto de la contaminación o impactos ambientales que se pudieran generar fuera del área de influencia de la Concesión, a partir de la fecha de cada Toma de Posesión, el CONCESIONARIO será responsable únicamente en aquellos casos en que se demuestre que la causa del daño ambiental le sea imputable directa o indirectamente.</w:t>
      </w:r>
    </w:p>
    <w:p w14:paraId="5B3E0559" w14:textId="77777777" w:rsidR="004412F1" w:rsidRDefault="004412F1">
      <w:pPr>
        <w:ind w:left="709"/>
        <w:jc w:val="both"/>
        <w:rPr>
          <w:lang w:val="es-PE"/>
        </w:rPr>
      </w:pPr>
    </w:p>
    <w:p w14:paraId="756010AE" w14:textId="77777777" w:rsidR="004412F1" w:rsidRDefault="005A12A3">
      <w:pPr>
        <w:ind w:left="709"/>
        <w:jc w:val="both"/>
        <w:rPr>
          <w:lang w:val="es-PE"/>
        </w:rPr>
      </w:pPr>
      <w:r>
        <w:rPr>
          <w:lang w:val="es-PE"/>
        </w:rPr>
        <w:t>Dentro del área de influencia de la concesión, el CONCESIONARIO será solidariamente responsable con los subcontratistas del cumplimiento de la normativa ambiental vigente y de las obligaciones que le correspondan en virtud del presente contrato.</w:t>
      </w:r>
    </w:p>
    <w:p w14:paraId="016CCBE4" w14:textId="77777777" w:rsidR="004412F1" w:rsidRDefault="004412F1">
      <w:pPr>
        <w:ind w:left="709"/>
        <w:jc w:val="both"/>
        <w:rPr>
          <w:lang w:val="es-PE"/>
        </w:rPr>
      </w:pPr>
    </w:p>
    <w:p w14:paraId="45D693DD" w14:textId="77777777" w:rsidR="004412F1" w:rsidRDefault="005A12A3">
      <w:pPr>
        <w:numPr>
          <w:ilvl w:val="1"/>
          <w:numId w:val="118"/>
        </w:numPr>
        <w:jc w:val="both"/>
        <w:rPr>
          <w:lang w:val="es-PE"/>
        </w:rPr>
      </w:pPr>
      <w:r>
        <w:rPr>
          <w:lang w:val="es-PE"/>
        </w:rPr>
        <w:t>El CONCESIONARIO, a su propio costo, se obliga a tomar aquellas medidas preventivas que correspondan o que considere pertinentes, previamente aprobadas por la Autoridad Ambiental Competente, para evitar que en el desarrollo de sus actividades se generen riesgos ambientales que excedan los niveles o estándares tolerables de contaminación o deterioro del medio ambiente, de acuerdo a lo determinado en los Instrumentos de Gestión Ambiental aprobados por la Autoridad Ambiental Competente y en las Leyes y Disposiciones Aplicables.</w:t>
      </w:r>
    </w:p>
    <w:p w14:paraId="53F35B4E" w14:textId="77777777" w:rsidR="004412F1" w:rsidRDefault="004412F1">
      <w:pPr>
        <w:ind w:left="709"/>
        <w:jc w:val="both"/>
        <w:rPr>
          <w:lang w:val="es-PE"/>
        </w:rPr>
      </w:pPr>
    </w:p>
    <w:p w14:paraId="3A02925B" w14:textId="77777777" w:rsidR="004412F1" w:rsidRDefault="005A12A3">
      <w:pPr>
        <w:numPr>
          <w:ilvl w:val="1"/>
          <w:numId w:val="118"/>
        </w:numPr>
        <w:jc w:val="both"/>
        <w:rPr>
          <w:lang w:val="es-PE"/>
        </w:rPr>
      </w:pPr>
      <w:r>
        <w:rPr>
          <w:lang w:val="es-PE"/>
        </w:rPr>
        <w:tab/>
        <w:t>El incumplimiento de las obligaciones, en materia ambiental no contempladas expresamente en el Contrato y que se deriven de las Leyes Aplicables que se encuentren vigentes, por parte del CONCESIONARIO, será sancionado por la Autoridad Ambiental Competente.</w:t>
      </w:r>
    </w:p>
    <w:p w14:paraId="0FB590CB" w14:textId="77777777" w:rsidR="004412F1" w:rsidRDefault="004412F1">
      <w:pPr>
        <w:jc w:val="both"/>
        <w:rPr>
          <w:lang w:val="es-PE"/>
        </w:rPr>
      </w:pPr>
    </w:p>
    <w:p w14:paraId="43806628" w14:textId="77777777" w:rsidR="004412F1" w:rsidRDefault="005A12A3">
      <w:pPr>
        <w:numPr>
          <w:ilvl w:val="1"/>
          <w:numId w:val="118"/>
        </w:numPr>
        <w:jc w:val="both"/>
        <w:rPr>
          <w:lang w:val="es-PE"/>
        </w:rPr>
      </w:pPr>
      <w:r>
        <w:rPr>
          <w:lang w:val="es-PE"/>
        </w:rPr>
        <w:tab/>
        <w:t xml:space="preserve">El CONCESIONARIO llevará a cabo, la identificación y evaluación de los pasivos ambientales durante la elaboración de los Instrumentos de Gestión Ambiental, en coordinación con la Autoridad Ambiental Competente. </w:t>
      </w:r>
    </w:p>
    <w:p w14:paraId="2FDBDF07" w14:textId="77777777" w:rsidR="004412F1" w:rsidRDefault="004412F1">
      <w:pPr>
        <w:tabs>
          <w:tab w:val="left" w:pos="720"/>
        </w:tabs>
        <w:ind w:left="708" w:hanging="708"/>
        <w:jc w:val="both"/>
        <w:rPr>
          <w:lang w:val="es-PE"/>
        </w:rPr>
      </w:pPr>
    </w:p>
    <w:p w14:paraId="2107E8DC" w14:textId="77777777" w:rsidR="004412F1" w:rsidRDefault="004412F1">
      <w:pPr>
        <w:ind w:left="709"/>
        <w:jc w:val="both"/>
        <w:rPr>
          <w:lang w:val="es-PE"/>
        </w:rPr>
      </w:pPr>
    </w:p>
    <w:p w14:paraId="477D072E" w14:textId="77777777" w:rsidR="004412F1" w:rsidRDefault="005A12A3">
      <w:pPr>
        <w:pStyle w:val="Ttulo2"/>
        <w:ind w:left="0"/>
        <w:rPr>
          <w:rFonts w:ascii="Arial" w:eastAsia="Arial" w:hAnsi="Arial" w:cs="Arial"/>
          <w:b/>
          <w:bCs/>
          <w:u w:val="none"/>
        </w:rPr>
      </w:pPr>
      <w:bookmarkStart w:id="2122" w:name="_3p8hu4y"/>
      <w:bookmarkStart w:id="2123" w:name="_Toc468837681"/>
      <w:bookmarkStart w:id="2124" w:name="_Toc139294781"/>
      <w:bookmarkStart w:id="2125" w:name="_Toc140089380"/>
      <w:bookmarkEnd w:id="2122"/>
      <w:r>
        <w:rPr>
          <w:rFonts w:ascii="Arial" w:eastAsia="Arial" w:hAnsi="Arial" w:cs="Arial"/>
          <w:b/>
          <w:bCs/>
          <w:u w:val="none"/>
        </w:rPr>
        <w:t>DOCUMENTACIÓN AMBIENTAL DEL CONTRATO</w:t>
      </w:r>
      <w:bookmarkEnd w:id="2123"/>
      <w:bookmarkEnd w:id="2124"/>
      <w:bookmarkEnd w:id="2125"/>
    </w:p>
    <w:p w14:paraId="22893F96" w14:textId="77777777" w:rsidR="004412F1" w:rsidRDefault="004412F1">
      <w:pPr>
        <w:tabs>
          <w:tab w:val="left" w:pos="1080"/>
        </w:tabs>
        <w:jc w:val="both"/>
        <w:rPr>
          <w:b/>
        </w:rPr>
      </w:pPr>
    </w:p>
    <w:p w14:paraId="06592919" w14:textId="77777777" w:rsidR="004412F1" w:rsidRDefault="005A12A3">
      <w:pPr>
        <w:numPr>
          <w:ilvl w:val="1"/>
          <w:numId w:val="118"/>
        </w:numPr>
        <w:jc w:val="both"/>
        <w:rPr>
          <w:lang w:val="es-PE"/>
        </w:rPr>
      </w:pPr>
      <w:r>
        <w:rPr>
          <w:lang w:val="es-PE"/>
        </w:rPr>
        <w:t>La implementación de las condiciones y/o medidas establecidas en el Instrumento de Gestión Ambiental, serán de exclusiva responsabilidad y costo del CONCESIONARIO, debiendo dar cumplimiento a toda la normativa ambiental vigente, conforme al Reglamento de Supervisión y Fiscalización en Materia Ambiental para el Sector Transportes, aprobado por Decreto Supremo Nº 021-2021-MTC.</w:t>
      </w:r>
    </w:p>
    <w:p w14:paraId="258A6220" w14:textId="77777777" w:rsidR="004412F1" w:rsidRDefault="004412F1">
      <w:pPr>
        <w:jc w:val="both"/>
        <w:rPr>
          <w:lang w:val="es-PE"/>
        </w:rPr>
      </w:pPr>
    </w:p>
    <w:p w14:paraId="48E32863" w14:textId="77777777" w:rsidR="004412F1" w:rsidRDefault="005A12A3">
      <w:pPr>
        <w:keepNext/>
        <w:ind w:left="964" w:hanging="964"/>
        <w:jc w:val="both"/>
        <w:rPr>
          <w:b/>
          <w:color w:val="000000"/>
        </w:rPr>
      </w:pPr>
      <w:bookmarkStart w:id="2126" w:name="_24ds4cr" w:colFirst="0" w:colLast="0"/>
      <w:bookmarkStart w:id="2127" w:name="_ESTUDIO_DE_IMPACTO"/>
      <w:bookmarkStart w:id="2128" w:name="_Toc468837682"/>
      <w:bookmarkEnd w:id="2126"/>
      <w:bookmarkEnd w:id="2127"/>
      <w:r>
        <w:rPr>
          <w:b/>
          <w:color w:val="000000"/>
        </w:rPr>
        <w:t>GESTIÓN AMBIENTAL</w:t>
      </w:r>
      <w:bookmarkEnd w:id="2128"/>
    </w:p>
    <w:p w14:paraId="4D9131BC" w14:textId="77777777" w:rsidR="004412F1" w:rsidRDefault="004412F1">
      <w:pPr>
        <w:jc w:val="both"/>
      </w:pPr>
    </w:p>
    <w:p w14:paraId="562DD5FB" w14:textId="77777777" w:rsidR="004412F1" w:rsidRDefault="005A12A3">
      <w:pPr>
        <w:numPr>
          <w:ilvl w:val="1"/>
          <w:numId w:val="118"/>
        </w:numPr>
        <w:jc w:val="both"/>
        <w:rPr>
          <w:lang w:val="es-PE"/>
        </w:rPr>
      </w:pPr>
      <w:bookmarkStart w:id="2129" w:name="_jj2ekk" w:colFirst="0" w:colLast="0"/>
      <w:bookmarkEnd w:id="2129"/>
      <w:r>
        <w:rPr>
          <w:lang w:val="es-PE"/>
        </w:rPr>
        <w:tab/>
      </w:r>
      <w:bookmarkStart w:id="2130" w:name="_Ref272504163"/>
      <w:r>
        <w:rPr>
          <w:lang w:val="es-PE"/>
        </w:rPr>
        <w:t>El CONCESIONARIO está obligado a formular el Instrumento de Gestión Ambiental, en base a la Resolución de Clasificación y los términos de referencia aprobados por la Autoridad Ambiental Competente establecido en el Decreto Supremo N° 019-2009-MINAM, en los artículos que corresponda, o norma que la sustituya.</w:t>
      </w:r>
    </w:p>
    <w:p w14:paraId="3776F279" w14:textId="77777777" w:rsidR="004412F1" w:rsidRDefault="004412F1">
      <w:pPr>
        <w:jc w:val="both"/>
        <w:rPr>
          <w:lang w:val="es-PE"/>
        </w:rPr>
      </w:pPr>
    </w:p>
    <w:p w14:paraId="6940E233" w14:textId="77777777" w:rsidR="004412F1" w:rsidRDefault="005A12A3">
      <w:pPr>
        <w:ind w:left="709"/>
        <w:jc w:val="both"/>
        <w:rPr>
          <w:lang w:val="es-PE"/>
        </w:rPr>
      </w:pPr>
      <w:r>
        <w:rPr>
          <w:lang w:val="es-PE"/>
        </w:rPr>
        <w:t xml:space="preserve">Asimismo, el CONCESIONARIO deberá realizar la modificación, actualización y/o adecuación ambiental de las actividades en curso en los </w:t>
      </w:r>
      <w:proofErr w:type="gramStart"/>
      <w:r>
        <w:rPr>
          <w:lang w:val="es-PE"/>
        </w:rPr>
        <w:t>Sub Tramos</w:t>
      </w:r>
      <w:proofErr w:type="gramEnd"/>
      <w:r>
        <w:rPr>
          <w:lang w:val="es-PE"/>
        </w:rPr>
        <w:t xml:space="preserve">, luego de cada Toma de Posesión, en aplicación del Reglamento de Protección </w:t>
      </w:r>
      <w:r>
        <w:rPr>
          <w:lang w:val="es-PE"/>
        </w:rPr>
        <w:lastRenderedPageBreak/>
        <w:t>Ambiental para el Sector Transporte, aprobado mediante Decreto Supremo N° 004-2017-MTC.</w:t>
      </w:r>
    </w:p>
    <w:p w14:paraId="79329AFC" w14:textId="77777777" w:rsidR="004412F1" w:rsidRDefault="005A12A3">
      <w:pPr>
        <w:tabs>
          <w:tab w:val="left" w:pos="5203"/>
        </w:tabs>
        <w:jc w:val="both"/>
        <w:rPr>
          <w:lang w:val="es-PE"/>
        </w:rPr>
      </w:pPr>
      <w:r>
        <w:rPr>
          <w:lang w:val="es-PE"/>
        </w:rPr>
        <w:tab/>
      </w:r>
    </w:p>
    <w:p w14:paraId="2570BB4C" w14:textId="77777777" w:rsidR="004412F1" w:rsidRDefault="005A12A3">
      <w:pPr>
        <w:ind w:left="708"/>
        <w:jc w:val="both"/>
        <w:rPr>
          <w:lang w:val="es-PE"/>
        </w:rPr>
      </w:pPr>
      <w:r>
        <w:rPr>
          <w:lang w:val="es-PE"/>
        </w:rPr>
        <w:t>El CONCESIONARIO deberá considerar que la empresa consultora con la cual celebre el correspondiente Contrato de Prestación de Servicios para la formulación de los Instrumentos de Gestión Ambiental deberá cumplir con los requerimientos descritos en los términos de referencia aprobados por la Resolución de Clasificación antes señalada. Asimismo, deberá cumplir las normas ambientales vigentes y el Reglamento de Protección Ambiental para el Sector Transportes, aprobado mediante Decreto Supremo 004-2017-MTC, o norma que lo modifique o sustituya.</w:t>
      </w:r>
    </w:p>
    <w:p w14:paraId="70CE0EED" w14:textId="77777777" w:rsidR="004412F1" w:rsidRDefault="004412F1">
      <w:pPr>
        <w:ind w:left="708"/>
        <w:jc w:val="both"/>
        <w:rPr>
          <w:lang w:val="es-PE"/>
        </w:rPr>
      </w:pPr>
    </w:p>
    <w:p w14:paraId="2C1F7C68" w14:textId="77777777" w:rsidR="004412F1" w:rsidRDefault="005A12A3">
      <w:pPr>
        <w:ind w:left="708"/>
        <w:jc w:val="both"/>
        <w:rPr>
          <w:lang w:val="es-PE"/>
        </w:rPr>
      </w:pPr>
      <w:r>
        <w:rPr>
          <w:lang w:val="es-PE"/>
        </w:rPr>
        <w:t>El CONCESIONARIO, deberá elaborar el capítulo de afectaciones prediales como parte del instrumento de gestión ambiental, debiendo identificar a los afectados por las Intervenciones, considerando para tal fin el Plan de Afectaciones y Compensaciones y Reasentamientos Involuntarios  (PACRI) conforme el Reglamento de Protección Ambiental para el Sector Transportes, aprobado mediante Decreto Supremo N° 004-2017-MTC, estableciendo planes, programas, medidas, acciones, costos y cronograma de implementación.</w:t>
      </w:r>
    </w:p>
    <w:p w14:paraId="4EF4613F" w14:textId="77777777" w:rsidR="004412F1" w:rsidRDefault="004412F1">
      <w:pPr>
        <w:jc w:val="both"/>
        <w:rPr>
          <w:lang w:val="es-PE"/>
        </w:rPr>
      </w:pPr>
    </w:p>
    <w:p w14:paraId="104381F6" w14:textId="77777777" w:rsidR="004412F1" w:rsidRDefault="005A12A3">
      <w:pPr>
        <w:numPr>
          <w:ilvl w:val="1"/>
          <w:numId w:val="118"/>
        </w:numPr>
        <w:jc w:val="both"/>
        <w:rPr>
          <w:lang w:val="es-PE"/>
        </w:rPr>
      </w:pPr>
      <w:r>
        <w:rPr>
          <w:lang w:val="es-PE"/>
        </w:rPr>
        <w:t>El inicio de cada Intervención está sujeto a la aprobación del documento ambiental correspondiente y la certificación ambiental pertinente, establecida en el artículo 03° de la Ley del Sistema Nacional de Evaluación de Impacto Ambiental o norma que la sustituya, así como a las autorizaciones, licencias y/o permisos que apliquen por parte de las Autoridades Gubernamentales y/o privados.</w:t>
      </w:r>
    </w:p>
    <w:p w14:paraId="08DD6634" w14:textId="77777777" w:rsidR="004412F1" w:rsidRDefault="004412F1">
      <w:pPr>
        <w:jc w:val="both"/>
        <w:rPr>
          <w:lang w:val="es-PE"/>
        </w:rPr>
      </w:pPr>
    </w:p>
    <w:p w14:paraId="30A69655" w14:textId="77777777" w:rsidR="004412F1" w:rsidRDefault="005A12A3">
      <w:pPr>
        <w:numPr>
          <w:ilvl w:val="1"/>
          <w:numId w:val="118"/>
        </w:numPr>
        <w:jc w:val="both"/>
        <w:rPr>
          <w:lang w:val="es-PE"/>
        </w:rPr>
      </w:pPr>
      <w:r>
        <w:rPr>
          <w:lang w:val="es-PE"/>
        </w:rPr>
        <w:t xml:space="preserve">Dentro de los treinta (30) días hábiles posteriores al inicio de la ejecución de cada Intervención, el CONCESIONARIO deberá comunicar el hecho a la Autoridad Ambiental Competente. </w:t>
      </w:r>
    </w:p>
    <w:p w14:paraId="01E212A0" w14:textId="77777777" w:rsidR="004412F1" w:rsidRDefault="004412F1">
      <w:pPr>
        <w:jc w:val="both"/>
        <w:rPr>
          <w:lang w:val="es-PE"/>
        </w:rPr>
      </w:pPr>
    </w:p>
    <w:p w14:paraId="58F12C23" w14:textId="77777777" w:rsidR="004412F1" w:rsidRDefault="005A12A3">
      <w:pPr>
        <w:numPr>
          <w:ilvl w:val="1"/>
          <w:numId w:val="118"/>
        </w:numPr>
        <w:jc w:val="both"/>
        <w:rPr>
          <w:lang w:val="es-PE"/>
        </w:rPr>
      </w:pPr>
      <w:r>
        <w:rPr>
          <w:lang w:val="es-PE"/>
        </w:rPr>
        <w:t xml:space="preserve">Los informes de monitoreo ambiental y del cumplimiento de las obligaciones derivadas del Instrumento de Gestión Ambiental deberán ser presentados por el CONCESIONARIO a la Autoridad Ambiental Competente, en los plazos indicados en las Cláusulas 13.22 a 13.25, </w:t>
      </w:r>
      <w:proofErr w:type="gramStart"/>
      <w:r>
        <w:rPr>
          <w:lang w:val="es-PE"/>
        </w:rPr>
        <w:t>de acuerdo al</w:t>
      </w:r>
      <w:proofErr w:type="gramEnd"/>
      <w:r>
        <w:rPr>
          <w:lang w:val="es-PE"/>
        </w:rPr>
        <w:t xml:space="preserve"> contenido, y condiciones establecidas en los Instrumentos de Gestión Ambiental aprobados por esta, o cuando esta lo estime conveniente.</w:t>
      </w:r>
    </w:p>
    <w:p w14:paraId="37371468" w14:textId="77777777" w:rsidR="004412F1" w:rsidRDefault="004412F1">
      <w:pPr>
        <w:jc w:val="both"/>
        <w:rPr>
          <w:lang w:val="es-PE"/>
        </w:rPr>
      </w:pPr>
    </w:p>
    <w:p w14:paraId="5716B485" w14:textId="77777777" w:rsidR="004412F1" w:rsidRDefault="005A12A3">
      <w:pPr>
        <w:numPr>
          <w:ilvl w:val="1"/>
          <w:numId w:val="118"/>
        </w:numPr>
        <w:jc w:val="both"/>
        <w:rPr>
          <w:lang w:val="es-PE"/>
        </w:rPr>
      </w:pPr>
      <w:r>
        <w:rPr>
          <w:lang w:val="es-PE"/>
        </w:rPr>
        <w:t>En la eventualidad de requerir la modificación de uno o más de los Programas de Manejo Ambiental aprobados como parte del Instrumento de Gestión Ambiental, el CONCESIONARIO deberá presentarlos como propuesta a la Autoridad Ambiental Competente y al CONCEDENTE, para su aprobación, antes del inicio de la actividad correspondiente.</w:t>
      </w:r>
    </w:p>
    <w:p w14:paraId="1D182AE2" w14:textId="77777777" w:rsidR="004412F1" w:rsidRDefault="004412F1">
      <w:pPr>
        <w:jc w:val="both"/>
        <w:rPr>
          <w:lang w:val="es-PE"/>
        </w:rPr>
      </w:pPr>
    </w:p>
    <w:p w14:paraId="4331EE67" w14:textId="77777777" w:rsidR="004412F1" w:rsidRDefault="005A12A3">
      <w:pPr>
        <w:numPr>
          <w:ilvl w:val="1"/>
          <w:numId w:val="118"/>
        </w:numPr>
        <w:jc w:val="both"/>
        <w:rPr>
          <w:lang w:val="es-PE"/>
        </w:rPr>
      </w:pPr>
      <w:r>
        <w:rPr>
          <w:lang w:val="es-PE"/>
        </w:rPr>
        <w:t>A partir de cada Toma de Posesión, el CONCESIONARIO será responsable de la mitigación de los impactos socio ambientales que se generen en el Área de la Concesión y en su zona adyacente, y/o en las zonas en las cuales requieran realizar sus actividades en la medida que se demuestre que la causa del daño se hubiere originado como consecuencia de las actividades realizadas por el CONCESIONARIO. Dicha responsabilidad será determinada por la Autoridad Ambiental Competente, en el marco de la normatividad ambiental vigente.</w:t>
      </w:r>
    </w:p>
    <w:p w14:paraId="6D93B823" w14:textId="77777777" w:rsidR="004412F1" w:rsidRDefault="004412F1">
      <w:pPr>
        <w:jc w:val="both"/>
        <w:rPr>
          <w:lang w:val="es-PE"/>
        </w:rPr>
      </w:pPr>
    </w:p>
    <w:bookmarkEnd w:id="2130"/>
    <w:p w14:paraId="570C04EF" w14:textId="77777777" w:rsidR="004412F1" w:rsidRDefault="005A12A3">
      <w:pPr>
        <w:numPr>
          <w:ilvl w:val="1"/>
          <w:numId w:val="118"/>
        </w:numPr>
        <w:jc w:val="both"/>
        <w:rPr>
          <w:lang w:val="es-PE"/>
        </w:rPr>
      </w:pPr>
      <w:r>
        <w:rPr>
          <w:lang w:val="es-PE"/>
        </w:rPr>
        <w:t xml:space="preserve">En aplicación del Decreto Supremo No. 003 – 2011 – MINAM, si el área del proyecto de concesión estuviera afectando un Área Natural Protegida o su Zona </w:t>
      </w:r>
      <w:r>
        <w:rPr>
          <w:lang w:val="es-PE"/>
        </w:rPr>
        <w:lastRenderedPageBreak/>
        <w:t xml:space="preserve">de Amortiguamiento, el CONCEDENTE a través de la Dirección General de Concesiones solicitará al SERNANP la emisión de Compatibilidad previamente al otorgamiento de derechos orientados a la habilitación de infraestructura en las Áreas Naturales Protegidas y/o sus Zonas de Amortiguamiento y previamente a la formulación del instrumento de gestión ambiental correspondiente. </w:t>
      </w:r>
    </w:p>
    <w:p w14:paraId="03262629" w14:textId="77777777" w:rsidR="004412F1" w:rsidRDefault="004412F1">
      <w:pPr>
        <w:ind w:left="708"/>
        <w:rPr>
          <w:color w:val="000000"/>
          <w:lang w:val="es-PE"/>
        </w:rPr>
      </w:pPr>
    </w:p>
    <w:p w14:paraId="6992A47F" w14:textId="77777777" w:rsidR="004412F1" w:rsidRDefault="005A12A3">
      <w:pPr>
        <w:ind w:left="709"/>
        <w:jc w:val="both"/>
        <w:rPr>
          <w:lang w:val="es-PE"/>
        </w:rPr>
      </w:pPr>
      <w:r>
        <w:rPr>
          <w:lang w:val="es-PE"/>
        </w:rPr>
        <w:t xml:space="preserve">El incumplimiento de las obligaciones de carácter ambiental previstas en las Cláusulas 13.8 a 13.14 de este Contrato, distintas de aquellas que emanan de la legislación ambiental dará lugar a la imposición de penalidades, de acuerdo con lo establecido en la Tabla N° 7 del </w:t>
      </w:r>
      <w:hyperlink w:anchor="_48j4tk5">
        <w:r>
          <w:rPr>
            <w:color w:val="000000" w:themeColor="text1"/>
            <w:lang w:val="es-PE"/>
          </w:rPr>
          <w:t>ANEXO IX</w:t>
        </w:r>
      </w:hyperlink>
      <w:r>
        <w:rPr>
          <w:lang w:val="es-PE"/>
        </w:rPr>
        <w:t xml:space="preserve">.  </w:t>
      </w:r>
    </w:p>
    <w:p w14:paraId="39BD7F6B" w14:textId="77777777" w:rsidR="004412F1" w:rsidRDefault="004412F1">
      <w:pPr>
        <w:jc w:val="both"/>
        <w:rPr>
          <w:lang w:val="es-PE"/>
        </w:rPr>
      </w:pPr>
    </w:p>
    <w:p w14:paraId="35CE1033" w14:textId="77777777" w:rsidR="004412F1" w:rsidRDefault="005A12A3">
      <w:pPr>
        <w:keepNext/>
        <w:ind w:left="964" w:hanging="964"/>
        <w:jc w:val="both"/>
        <w:rPr>
          <w:rFonts w:ascii="CG Omega" w:hAnsi="CG Omega"/>
          <w:color w:val="000000"/>
          <w:u w:val="single"/>
        </w:rPr>
      </w:pPr>
      <w:r>
        <w:rPr>
          <w:b/>
          <w:color w:val="000000"/>
        </w:rPr>
        <w:t xml:space="preserve">ESPECIFICACIONES SOCIO AMBIENTALES </w:t>
      </w:r>
    </w:p>
    <w:p w14:paraId="3D5056AF" w14:textId="77777777" w:rsidR="004412F1" w:rsidRDefault="004412F1">
      <w:pPr>
        <w:jc w:val="both"/>
        <w:rPr>
          <w:b/>
          <w:bCs/>
        </w:rPr>
      </w:pPr>
    </w:p>
    <w:p w14:paraId="4E1A4F77" w14:textId="77777777" w:rsidR="004412F1" w:rsidRDefault="005A12A3">
      <w:pPr>
        <w:numPr>
          <w:ilvl w:val="1"/>
          <w:numId w:val="118"/>
        </w:numPr>
        <w:jc w:val="both"/>
        <w:rPr>
          <w:lang w:val="es-PE"/>
        </w:rPr>
      </w:pPr>
      <w:bookmarkStart w:id="2131" w:name="_33ipx8d"/>
      <w:bookmarkStart w:id="2132" w:name="_Ref273550939"/>
      <w:bookmarkEnd w:id="2131"/>
      <w:r>
        <w:rPr>
          <w:lang w:val="es-PE"/>
        </w:rPr>
        <w:t>Las especificaciones Socio Ambientales que deberá implementar el CONCESIONARIO consideran medidas de mitigación, compensación, prevención de riesgos, control de accidentes, seguimiento y monitoreo ambiental, según resulte pertinente, para aquellas actividades de las Intervenciones y de la Explotación que produzcan impactos negativos en algún componente ambiental, que no pueda revertirse sin la aplicación de tales medidas, o cuando sea necesario aplicarlas para cumplir con la legislación vigente.</w:t>
      </w:r>
    </w:p>
    <w:bookmarkEnd w:id="2132"/>
    <w:p w14:paraId="6267648A" w14:textId="77777777" w:rsidR="004412F1" w:rsidRDefault="004412F1">
      <w:pPr>
        <w:ind w:left="709"/>
        <w:jc w:val="both"/>
        <w:rPr>
          <w:lang w:val="es-PE"/>
        </w:rPr>
      </w:pPr>
    </w:p>
    <w:p w14:paraId="3388F9F2" w14:textId="77777777" w:rsidR="004412F1" w:rsidRDefault="005A12A3">
      <w:pPr>
        <w:ind w:left="709"/>
        <w:jc w:val="both"/>
        <w:rPr>
          <w:lang w:val="es-PE"/>
        </w:rPr>
      </w:pPr>
      <w:r>
        <w:rPr>
          <w:lang w:val="es-PE"/>
        </w:rPr>
        <w:t xml:space="preserve">El incumplimiento de presentar el </w:t>
      </w:r>
      <w:r>
        <w:rPr>
          <w:rFonts w:eastAsia="SimSun" w:hint="eastAsia"/>
          <w:lang w:val="es-PE" w:eastAsia="zh-CN"/>
        </w:rPr>
        <w:t>p</w:t>
      </w:r>
      <w:r>
        <w:rPr>
          <w:lang w:val="es-PE"/>
        </w:rPr>
        <w:t xml:space="preserve">lan de </w:t>
      </w:r>
      <w:r>
        <w:rPr>
          <w:rFonts w:eastAsia="SimSun" w:hint="eastAsia"/>
          <w:lang w:val="es-PE" w:eastAsia="zh-CN"/>
        </w:rPr>
        <w:t>p</w:t>
      </w:r>
      <w:r>
        <w:rPr>
          <w:lang w:val="es-PE"/>
        </w:rPr>
        <w:t xml:space="preserve">revención de </w:t>
      </w:r>
      <w:r>
        <w:rPr>
          <w:rFonts w:eastAsia="SimSun" w:hint="eastAsia"/>
          <w:lang w:val="es-PE" w:eastAsia="zh-CN"/>
        </w:rPr>
        <w:t>r</w:t>
      </w:r>
      <w:r>
        <w:rPr>
          <w:lang w:val="es-PE"/>
        </w:rPr>
        <w:t>iesgos</w:t>
      </w:r>
      <w:r>
        <w:rPr>
          <w:rFonts w:eastAsia="SimSun" w:hint="eastAsia"/>
          <w:lang w:val="es-PE" w:eastAsia="zh-CN"/>
        </w:rPr>
        <w:t xml:space="preserve"> </w:t>
      </w:r>
      <w:r>
        <w:rPr>
          <w:rFonts w:eastAsia="SimSun"/>
          <w:lang w:val="es-ES" w:eastAsia="zh-CN"/>
        </w:rPr>
        <w:t>o</w:t>
      </w:r>
      <w:r>
        <w:rPr>
          <w:lang w:val="es-PE"/>
        </w:rPr>
        <w:t xml:space="preserve"> el </w:t>
      </w:r>
      <w:r>
        <w:rPr>
          <w:rFonts w:eastAsia="SimSun" w:hint="eastAsia"/>
          <w:lang w:val="es-PE" w:eastAsia="zh-CN"/>
        </w:rPr>
        <w:t>p</w:t>
      </w:r>
      <w:r>
        <w:rPr>
          <w:lang w:val="es-PE"/>
        </w:rPr>
        <w:t xml:space="preserve">lan de </w:t>
      </w:r>
      <w:r>
        <w:rPr>
          <w:lang w:val="es-ES"/>
        </w:rPr>
        <w:t>c</w:t>
      </w:r>
      <w:r>
        <w:rPr>
          <w:lang w:val="es-PE"/>
        </w:rPr>
        <w:t xml:space="preserve">ontrol de </w:t>
      </w:r>
      <w:r>
        <w:rPr>
          <w:rFonts w:eastAsia="SimSun" w:hint="eastAsia"/>
          <w:lang w:val="es-PE" w:eastAsia="zh-CN"/>
        </w:rPr>
        <w:t>e</w:t>
      </w:r>
      <w:r>
        <w:rPr>
          <w:lang w:val="es-PE"/>
        </w:rPr>
        <w:t>mergencias dará lugar a la aplicación de una penalidad según lo establecido en la Tabla N° 7 del ANEXO IX.</w:t>
      </w:r>
    </w:p>
    <w:p w14:paraId="28E97D66" w14:textId="77777777" w:rsidR="004412F1" w:rsidRDefault="004412F1">
      <w:pPr>
        <w:ind w:left="709"/>
        <w:jc w:val="both"/>
        <w:rPr>
          <w:lang w:val="es-PE"/>
        </w:rPr>
      </w:pPr>
    </w:p>
    <w:p w14:paraId="207C8CA5" w14:textId="77777777" w:rsidR="004412F1" w:rsidRDefault="005A12A3">
      <w:pPr>
        <w:numPr>
          <w:ilvl w:val="1"/>
          <w:numId w:val="118"/>
        </w:numPr>
        <w:jc w:val="both"/>
        <w:rPr>
          <w:lang w:val="es-PE"/>
        </w:rPr>
      </w:pPr>
      <w:r>
        <w:rPr>
          <w:lang w:val="es-PE"/>
        </w:rPr>
        <w:t>Con el propósito de minimizar los impactos negativos ambientales determinados en el Instrumento de Gestión Ambiental, durante la ejecución de las Intervenciones, el CONCESIONARIO deberá cumplir con las especificaciones y medidas definidas en los Instrumentos de Gestión Ambiental aprobados, así como las medidas ambientales dispuestas en los mandatos de la Autoridad Ambiental Competente, producto de las acciones de supervisión y fiscalización ambiental realizadas. Ello sin perjuicio de las supervisiones que realice el REGULADOR, en el marco de sus competencias.</w:t>
      </w:r>
    </w:p>
    <w:p w14:paraId="652C6091" w14:textId="77777777" w:rsidR="004412F1" w:rsidRDefault="004412F1">
      <w:pPr>
        <w:ind w:left="705"/>
        <w:jc w:val="both"/>
        <w:rPr>
          <w:lang w:val="es-PE"/>
        </w:rPr>
      </w:pPr>
      <w:bookmarkStart w:id="2133" w:name="_1io07g6"/>
      <w:bookmarkStart w:id="2134" w:name="_Ref273551087"/>
      <w:bookmarkEnd w:id="2133"/>
    </w:p>
    <w:p w14:paraId="72819794" w14:textId="77777777" w:rsidR="004412F1" w:rsidRDefault="005A12A3">
      <w:pPr>
        <w:numPr>
          <w:ilvl w:val="1"/>
          <w:numId w:val="118"/>
        </w:numPr>
        <w:jc w:val="both"/>
        <w:rPr>
          <w:lang w:val="es-PE"/>
        </w:rPr>
      </w:pPr>
      <w:r>
        <w:rPr>
          <w:lang w:val="es-PE"/>
        </w:rPr>
        <w:t>Las medidas establecidas forman parte de los estudios correspondientes y deberán ser consideradas dentro de los criterios, procedimientos y acciones necesarias de implementar para el desarrollo de una adecuada y oportuna gestión socio ambiental del Contrato.</w:t>
      </w:r>
      <w:bookmarkStart w:id="2135" w:name="_Ref273550984"/>
      <w:bookmarkEnd w:id="2134"/>
    </w:p>
    <w:p w14:paraId="70A10119" w14:textId="77777777" w:rsidR="004412F1" w:rsidRDefault="004412F1">
      <w:pPr>
        <w:ind w:left="705" w:hanging="705"/>
        <w:jc w:val="both"/>
        <w:rPr>
          <w:lang w:val="es-PE"/>
        </w:rPr>
      </w:pPr>
    </w:p>
    <w:p w14:paraId="6BB4117E" w14:textId="77777777" w:rsidR="004412F1" w:rsidRDefault="005A12A3">
      <w:pPr>
        <w:tabs>
          <w:tab w:val="left" w:pos="709"/>
        </w:tabs>
        <w:ind w:left="709"/>
        <w:jc w:val="both"/>
        <w:rPr>
          <w:lang w:val="es-PE"/>
        </w:rPr>
      </w:pPr>
      <w:r>
        <w:rPr>
          <w:lang w:val="es-PE"/>
        </w:rPr>
        <w:t xml:space="preserve">El incumplimiento de las medidas establecidas en estas especificaciones y de las instrucciones impartidas por el REGULADOR, a través del libro de obras, distintas de aquellas que emanan de la legislación ambiental, hará incurrir al CONCESIONARIO en las penalidades establecidas en la Tabla N° 7 del </w:t>
      </w:r>
      <w:bookmarkEnd w:id="2135"/>
      <w:r>
        <w:fldChar w:fldCharType="begin"/>
      </w:r>
      <w:r>
        <w:rPr>
          <w:lang w:val="es-PE"/>
        </w:rPr>
        <w:instrText>HYPERLINK \l "_48j4tk5" \h</w:instrText>
      </w:r>
      <w:r>
        <w:fldChar w:fldCharType="separate"/>
      </w:r>
      <w:r>
        <w:rPr>
          <w:color w:val="000000" w:themeColor="text1"/>
          <w:lang w:val="es-PE"/>
        </w:rPr>
        <w:t>ANEXO IX</w:t>
      </w:r>
      <w:r>
        <w:rPr>
          <w:color w:val="000000" w:themeColor="text1"/>
        </w:rPr>
        <w:fldChar w:fldCharType="end"/>
      </w:r>
      <w:r>
        <w:rPr>
          <w:lang w:val="es-PE"/>
        </w:rPr>
        <w:t>.</w:t>
      </w:r>
    </w:p>
    <w:p w14:paraId="761000E3" w14:textId="77777777" w:rsidR="004412F1" w:rsidRDefault="004412F1">
      <w:pPr>
        <w:tabs>
          <w:tab w:val="left" w:pos="709"/>
        </w:tabs>
        <w:ind w:left="709"/>
        <w:jc w:val="both"/>
        <w:rPr>
          <w:lang w:val="es-PE"/>
        </w:rPr>
      </w:pPr>
    </w:p>
    <w:p w14:paraId="5EFEF6E1" w14:textId="77777777" w:rsidR="004412F1" w:rsidRDefault="005A12A3">
      <w:pPr>
        <w:numPr>
          <w:ilvl w:val="1"/>
          <w:numId w:val="118"/>
        </w:numPr>
        <w:jc w:val="both"/>
        <w:rPr>
          <w:lang w:val="es-PE"/>
        </w:rPr>
      </w:pPr>
      <w:r>
        <w:rPr>
          <w:lang w:val="es-PE"/>
        </w:rPr>
        <w:t>Para el tratamiento de los aspectos del Patrimonio Cultural, se considerarán las siguientes especificaciones:</w:t>
      </w:r>
    </w:p>
    <w:p w14:paraId="7651FDA9" w14:textId="77777777" w:rsidR="004412F1" w:rsidRDefault="005A12A3">
      <w:pPr>
        <w:numPr>
          <w:ilvl w:val="1"/>
          <w:numId w:val="119"/>
        </w:numPr>
        <w:ind w:left="1134" w:hanging="425"/>
        <w:jc w:val="both"/>
        <w:rPr>
          <w:color w:val="000000"/>
          <w:lang w:val="es-CL"/>
        </w:rPr>
      </w:pPr>
      <w:r>
        <w:rPr>
          <w:color w:val="000000"/>
          <w:lang w:val="es-CL"/>
        </w:rPr>
        <w:t>Normatividad ambiental aplicable</w:t>
      </w:r>
    </w:p>
    <w:p w14:paraId="427D3A20" w14:textId="77777777" w:rsidR="004412F1" w:rsidRDefault="005A12A3" w:rsidP="00C87048">
      <w:pPr>
        <w:numPr>
          <w:ilvl w:val="1"/>
          <w:numId w:val="120"/>
        </w:numPr>
        <w:tabs>
          <w:tab w:val="left" w:pos="1418"/>
        </w:tabs>
        <w:ind w:left="1418" w:hanging="284"/>
        <w:jc w:val="both"/>
        <w:rPr>
          <w:lang w:val="es-PE"/>
        </w:rPr>
      </w:pPr>
      <w:r>
        <w:rPr>
          <w:lang w:val="es-PE"/>
        </w:rPr>
        <w:t xml:space="preserve">La Ley General del Patrimonio Cultural de la Nación, Ley N° 28296, de fecha 22 de julio del año 2004, que reconoce como bien cultural los sitios arqueológicos, estipulando sanciones administrativas por caso de negligencia grave o dolo, en la conservación de los bienes del patrimonio cultural de la Nación y la modificatoria del Artículo 30, establecida en el Decreto Legislativo Nº 1003. De conformidad con el artículo 15 del </w:t>
      </w:r>
      <w:r>
        <w:rPr>
          <w:lang w:val="es-PE"/>
        </w:rPr>
        <w:lastRenderedPageBreak/>
        <w:t>Decreto de Urgencia N° 018-2019, en la elaboración de los EDI y los ET, el CONCESIONARIO debe asegurar la implementación de las medidas para garantizar la celeridad y predictibilidad en los procesos en materia de intervenciones arqueológicas, en coordinación con el CONCEDENTE y con el Ministerio de Cultura.</w:t>
      </w:r>
    </w:p>
    <w:p w14:paraId="592BAFAC" w14:textId="77777777" w:rsidR="004412F1" w:rsidRDefault="004412F1">
      <w:pPr>
        <w:ind w:left="1134"/>
        <w:jc w:val="both"/>
        <w:rPr>
          <w:lang w:val="es-PE"/>
        </w:rPr>
      </w:pPr>
    </w:p>
    <w:p w14:paraId="7BFF2F59" w14:textId="77777777" w:rsidR="004412F1" w:rsidRDefault="005A12A3">
      <w:pPr>
        <w:numPr>
          <w:ilvl w:val="1"/>
          <w:numId w:val="119"/>
        </w:numPr>
        <w:ind w:left="1134" w:hanging="425"/>
        <w:jc w:val="both"/>
        <w:rPr>
          <w:color w:val="000000"/>
          <w:lang w:val="es-PE"/>
        </w:rPr>
      </w:pPr>
      <w:r>
        <w:rPr>
          <w:color w:val="000000"/>
          <w:lang w:val="es-PE"/>
        </w:rPr>
        <w:t>En ningún caso, el CONCESIONARIO podrá adquirir título o derecho alguno sobre el material o resto arqueológico o histórico hallado.</w:t>
      </w:r>
    </w:p>
    <w:p w14:paraId="07C86FAF" w14:textId="77777777" w:rsidR="004412F1" w:rsidRDefault="004412F1">
      <w:pPr>
        <w:ind w:left="1134"/>
        <w:jc w:val="both"/>
        <w:rPr>
          <w:lang w:val="es-PE"/>
        </w:rPr>
      </w:pPr>
    </w:p>
    <w:p w14:paraId="2F7133EA" w14:textId="77777777" w:rsidR="004412F1" w:rsidRDefault="005A12A3">
      <w:pPr>
        <w:numPr>
          <w:ilvl w:val="1"/>
          <w:numId w:val="119"/>
        </w:numPr>
        <w:ind w:left="1134" w:hanging="425"/>
        <w:jc w:val="both"/>
        <w:rPr>
          <w:color w:val="000000"/>
          <w:lang w:val="es-PE"/>
        </w:rPr>
      </w:pPr>
      <w:r>
        <w:rPr>
          <w:color w:val="000000"/>
          <w:lang w:val="es-PE"/>
        </w:rPr>
        <w:t>Para la obtención de las Autorizaciones Proyectos de Evaluación Arqueológica - PEA, de Rescate Arqueológico - PRA, del Certificado de Inexistencia de Restos Arqueológicos - CIRA, y de la Autorización del Plan de Monitoreo Arqueológico - PMA, así como la aprobación de sus informes finales, de ser el caso, se deberá tener lo dispuesto en el Reglamento de Intervenciones Arqueológicas aprobado mediante el Decreto Supremo Nº 003-2014-MC y demás Leyes y Disposiciones Aplicables</w:t>
      </w:r>
    </w:p>
    <w:p w14:paraId="24E15959" w14:textId="77777777" w:rsidR="004412F1" w:rsidRDefault="004412F1">
      <w:pPr>
        <w:ind w:left="1789"/>
        <w:jc w:val="both"/>
        <w:rPr>
          <w:lang w:val="es-PE"/>
        </w:rPr>
      </w:pPr>
    </w:p>
    <w:p w14:paraId="742D6DCA" w14:textId="77777777" w:rsidR="004412F1" w:rsidRDefault="005A12A3">
      <w:pPr>
        <w:tabs>
          <w:tab w:val="left" w:pos="1134"/>
        </w:tabs>
        <w:ind w:left="1134"/>
        <w:jc w:val="both"/>
        <w:rPr>
          <w:rFonts w:eastAsia="Times New Roman"/>
          <w:bCs/>
          <w:szCs w:val="18"/>
          <w:lang w:val="es-ES" w:eastAsia="es-ES"/>
        </w:rPr>
      </w:pPr>
      <w:r>
        <w:rPr>
          <w:lang w:val="es-PE"/>
        </w:rPr>
        <w:t>Las excepciones a la tramitación del CIRA están reguladas y se aplican conforme el Artículo 57º del Reglamento de Intervenciones Arqueológicas aprobado mediante el Decreto Supremo Nº 003-2014-MC.  Los procedimientos de las intervenciones arqueológicas se regulan conforme al referido reglamento, los cuales son aplicables al presente Contrato.</w:t>
      </w:r>
    </w:p>
    <w:p w14:paraId="0DD9E302" w14:textId="77777777" w:rsidR="004412F1" w:rsidRDefault="004412F1">
      <w:pPr>
        <w:tabs>
          <w:tab w:val="left" w:pos="1134"/>
        </w:tabs>
        <w:ind w:left="1134"/>
        <w:jc w:val="both"/>
        <w:rPr>
          <w:lang w:val="es-PE"/>
        </w:rPr>
      </w:pPr>
    </w:p>
    <w:p w14:paraId="7AE68AAE" w14:textId="77777777" w:rsidR="004412F1" w:rsidRDefault="005A12A3">
      <w:pPr>
        <w:tabs>
          <w:tab w:val="left" w:pos="1134"/>
        </w:tabs>
        <w:ind w:left="1134"/>
        <w:jc w:val="both"/>
        <w:rPr>
          <w:rFonts w:eastAsia="Times New Roman"/>
          <w:bCs/>
          <w:szCs w:val="18"/>
          <w:lang w:val="es-ES" w:eastAsia="es-ES"/>
        </w:rPr>
      </w:pPr>
      <w:r>
        <w:rPr>
          <w:lang w:val="es-PE"/>
        </w:rPr>
        <w:t>Se deberá contemplar el Plan de Monitoreo Arqueológico para proyectos que se ejecuten sobre infraestructura preexistente, en consideración que no requerirá de la tramitación del CIRA, conforme el Reglamento de Intervenciones Arqueológicas aprobado mediante el Decreto Supremo Nº 003-2014-MC.</w:t>
      </w:r>
    </w:p>
    <w:p w14:paraId="796335EF" w14:textId="77777777" w:rsidR="004412F1" w:rsidRDefault="004412F1">
      <w:pPr>
        <w:tabs>
          <w:tab w:val="left" w:pos="1134"/>
        </w:tabs>
        <w:ind w:left="1134"/>
        <w:jc w:val="both"/>
        <w:rPr>
          <w:lang w:val="es-PE"/>
        </w:rPr>
      </w:pPr>
    </w:p>
    <w:p w14:paraId="6E19146C" w14:textId="77777777" w:rsidR="004412F1" w:rsidRDefault="005A12A3">
      <w:pPr>
        <w:numPr>
          <w:ilvl w:val="1"/>
          <w:numId w:val="119"/>
        </w:numPr>
        <w:ind w:left="1134" w:hanging="425"/>
        <w:jc w:val="both"/>
        <w:rPr>
          <w:color w:val="000000"/>
          <w:lang w:val="es-PE"/>
        </w:rPr>
      </w:pPr>
      <w:r>
        <w:rPr>
          <w:color w:val="000000"/>
          <w:lang w:val="es-PE"/>
        </w:rPr>
        <w:t>La obtención del correspondiente CIRA será responsabilidad del CONCESIONARIO para el caso de áreas que pudieran estar fuera del Derecho de Vía debiendo cumplirse conforme los requisitos y procedimientos estipulados en el Artículo 56º y 57º del Reglamento de Intervenciones Arqueológicas aprobado mediante el Decreto Supremo Nº 003-2014-MC.</w:t>
      </w:r>
    </w:p>
    <w:p w14:paraId="53316427" w14:textId="77777777" w:rsidR="004412F1" w:rsidRDefault="005A12A3">
      <w:pPr>
        <w:tabs>
          <w:tab w:val="left" w:pos="6320"/>
        </w:tabs>
        <w:ind w:left="709"/>
        <w:jc w:val="both"/>
        <w:rPr>
          <w:lang w:val="es-PE"/>
        </w:rPr>
      </w:pPr>
      <w:r>
        <w:rPr>
          <w:lang w:val="es-PE"/>
        </w:rPr>
        <w:tab/>
      </w:r>
    </w:p>
    <w:p w14:paraId="28DBFBD2" w14:textId="77777777" w:rsidR="004412F1" w:rsidRDefault="005A12A3">
      <w:pPr>
        <w:numPr>
          <w:ilvl w:val="1"/>
          <w:numId w:val="118"/>
        </w:numPr>
        <w:jc w:val="both"/>
        <w:rPr>
          <w:lang w:val="es-PE"/>
        </w:rPr>
      </w:pPr>
      <w:r>
        <w:rPr>
          <w:lang w:val="es-PE"/>
        </w:rPr>
        <w:t xml:space="preserve">Antes de iniciar la ejecución de cada Intervención, el CONCESIONARIO deberá realizar una serie de actividades tendientes a capacitar a sus trabajadores, en temas relacionados, entre otros con: </w:t>
      </w:r>
    </w:p>
    <w:p w14:paraId="1A585DFD" w14:textId="77777777" w:rsidR="004412F1" w:rsidRDefault="004412F1">
      <w:pPr>
        <w:tabs>
          <w:tab w:val="left" w:pos="720"/>
        </w:tabs>
        <w:ind w:left="709" w:hanging="709"/>
        <w:jc w:val="both"/>
        <w:rPr>
          <w:lang w:val="es-PE"/>
        </w:rPr>
      </w:pPr>
    </w:p>
    <w:p w14:paraId="4B1A7D50" w14:textId="77777777" w:rsidR="004412F1" w:rsidRDefault="005A12A3">
      <w:pPr>
        <w:numPr>
          <w:ilvl w:val="0"/>
          <w:numId w:val="121"/>
        </w:numPr>
        <w:tabs>
          <w:tab w:val="left" w:pos="1134"/>
        </w:tabs>
        <w:ind w:hanging="355"/>
        <w:jc w:val="both"/>
      </w:pPr>
      <w:r>
        <w:t>Manejo seguro.</w:t>
      </w:r>
    </w:p>
    <w:p w14:paraId="52464E10" w14:textId="77777777" w:rsidR="004412F1" w:rsidRDefault="005A12A3">
      <w:pPr>
        <w:numPr>
          <w:ilvl w:val="0"/>
          <w:numId w:val="121"/>
        </w:numPr>
        <w:tabs>
          <w:tab w:val="left" w:pos="1134"/>
        </w:tabs>
        <w:ind w:hanging="355"/>
        <w:jc w:val="both"/>
        <w:rPr>
          <w:lang w:val="es-PE"/>
        </w:rPr>
      </w:pPr>
      <w:r>
        <w:rPr>
          <w:lang w:val="es-PE"/>
        </w:rPr>
        <w:t>Procedimientos en caso de accidentes en campamentos, plantas de asfalto y hormigón, de explotación de canteras y depósitos de material excedente.</w:t>
      </w:r>
    </w:p>
    <w:p w14:paraId="6E2D9A25" w14:textId="77777777" w:rsidR="004412F1" w:rsidRDefault="005A12A3">
      <w:pPr>
        <w:numPr>
          <w:ilvl w:val="0"/>
          <w:numId w:val="121"/>
        </w:numPr>
        <w:tabs>
          <w:tab w:val="left" w:pos="1134"/>
        </w:tabs>
        <w:ind w:hanging="355"/>
        <w:jc w:val="both"/>
        <w:rPr>
          <w:lang w:val="es-PE"/>
        </w:rPr>
      </w:pPr>
      <w:r>
        <w:rPr>
          <w:lang w:val="es-PE"/>
        </w:rPr>
        <w:t>Procedimientos en caso de accidentes en los frentes de faenas.</w:t>
      </w:r>
    </w:p>
    <w:p w14:paraId="667F7194" w14:textId="77777777" w:rsidR="004412F1" w:rsidRDefault="004412F1">
      <w:pPr>
        <w:jc w:val="both"/>
        <w:rPr>
          <w:lang w:val="es-PE"/>
        </w:rPr>
      </w:pPr>
    </w:p>
    <w:p w14:paraId="42352996" w14:textId="77777777" w:rsidR="004412F1" w:rsidRDefault="004412F1">
      <w:pPr>
        <w:ind w:left="709"/>
        <w:jc w:val="both"/>
        <w:rPr>
          <w:lang w:val="es-PE"/>
        </w:rPr>
      </w:pPr>
    </w:p>
    <w:p w14:paraId="0C892BC6" w14:textId="77777777" w:rsidR="004412F1" w:rsidRDefault="005A12A3">
      <w:pPr>
        <w:pStyle w:val="Ttulo2"/>
        <w:ind w:left="0"/>
        <w:jc w:val="both"/>
        <w:rPr>
          <w:rFonts w:ascii="Arial" w:eastAsia="Arial" w:hAnsi="Arial" w:cs="Arial"/>
          <w:b/>
          <w:bCs/>
          <w:u w:val="none"/>
          <w:lang w:val="es-PE"/>
        </w:rPr>
      </w:pPr>
      <w:bookmarkStart w:id="2136" w:name="_42nnq3z"/>
      <w:bookmarkStart w:id="2137" w:name="_Toc139294782"/>
      <w:bookmarkStart w:id="2138" w:name="_Toc468837683"/>
      <w:bookmarkStart w:id="2139" w:name="_Toc140089381"/>
      <w:bookmarkEnd w:id="2136"/>
      <w:r>
        <w:rPr>
          <w:rFonts w:ascii="Arial" w:eastAsia="Arial" w:hAnsi="Arial" w:cs="Arial"/>
          <w:b/>
          <w:bCs/>
          <w:u w:val="none"/>
          <w:lang w:val="es-PE"/>
        </w:rPr>
        <w:t>TRATAMIENTO DE SOBRECOSTOS POR MEDIDAS AMBIENTALES NO CONTEMPLADAS EN EL CONTRATO</w:t>
      </w:r>
      <w:bookmarkEnd w:id="2137"/>
      <w:bookmarkEnd w:id="2138"/>
      <w:bookmarkEnd w:id="2139"/>
    </w:p>
    <w:p w14:paraId="0560FAF6" w14:textId="77777777" w:rsidR="004412F1" w:rsidRDefault="004412F1">
      <w:pPr>
        <w:jc w:val="both"/>
        <w:rPr>
          <w:lang w:val="es-PE"/>
        </w:rPr>
      </w:pPr>
    </w:p>
    <w:p w14:paraId="74887366" w14:textId="77777777" w:rsidR="004412F1" w:rsidRDefault="005A12A3">
      <w:pPr>
        <w:numPr>
          <w:ilvl w:val="1"/>
          <w:numId w:val="118"/>
        </w:numPr>
        <w:jc w:val="both"/>
        <w:rPr>
          <w:lang w:val="es-PE"/>
        </w:rPr>
      </w:pPr>
      <w:r>
        <w:rPr>
          <w:lang w:val="es-PE"/>
        </w:rPr>
        <w:t xml:space="preserve">Si durante la vigencia de la Concesión, el CONCEDENTE determinara la necesidad de implementar medidas de mitigación y/o compensación ambientales adicionales a las contempladas en el presente Contrato, estas serán consideradas como inversiones adicionales y, por lo tanto, se regirán por los procedimientos establecidos en el Contrato;  siempre y cuando dichas medidas </w:t>
      </w:r>
      <w:r>
        <w:rPr>
          <w:lang w:val="es-PE"/>
        </w:rPr>
        <w:lastRenderedPageBreak/>
        <w:t>no provengan de las medidas administrativas impuestas por la Autoridad Ambiental Competente en el marco de la supervisión y fiscalización ambiental.</w:t>
      </w:r>
    </w:p>
    <w:p w14:paraId="31C00D90" w14:textId="77777777" w:rsidR="004412F1" w:rsidRDefault="004412F1">
      <w:pPr>
        <w:ind w:left="709"/>
        <w:jc w:val="both"/>
        <w:rPr>
          <w:lang w:val="es-PE"/>
        </w:rPr>
      </w:pPr>
    </w:p>
    <w:p w14:paraId="2FD50A61" w14:textId="77777777" w:rsidR="004412F1" w:rsidRDefault="005A12A3">
      <w:pPr>
        <w:ind w:left="705"/>
        <w:jc w:val="both"/>
        <w:rPr>
          <w:lang w:val="es-PE"/>
        </w:rPr>
      </w:pPr>
      <w:r>
        <w:rPr>
          <w:lang w:val="es-PE"/>
        </w:rPr>
        <w:t xml:space="preserve">El incumplimiento de las obligaciones de carácter ambiental previstas en </w:t>
      </w:r>
      <w:r>
        <w:rPr>
          <w:lang w:val="es-ES"/>
        </w:rPr>
        <w:t xml:space="preserve">el Capitulo XIII </w:t>
      </w:r>
      <w:r>
        <w:rPr>
          <w:lang w:val="es-PE"/>
        </w:rPr>
        <w:t xml:space="preserve">de este Contrato, distintas de aquellas que emanan de la legislación ambiental dará lugar a la imposición de penalidades, de acuerdo con lo establecido en la Tabla N° 7 del ANEXO IX del presente Contrato.  </w:t>
      </w:r>
    </w:p>
    <w:p w14:paraId="1AFC0681" w14:textId="77777777" w:rsidR="004412F1" w:rsidRDefault="004412F1">
      <w:pPr>
        <w:ind w:left="709"/>
        <w:jc w:val="both"/>
        <w:rPr>
          <w:lang w:val="es-PE"/>
        </w:rPr>
      </w:pPr>
    </w:p>
    <w:p w14:paraId="51923F7B" w14:textId="77777777" w:rsidR="004412F1" w:rsidRDefault="004412F1">
      <w:pPr>
        <w:ind w:left="709"/>
        <w:jc w:val="both"/>
        <w:rPr>
          <w:rFonts w:eastAsia="SimSun"/>
          <w:lang w:val="es-PE" w:eastAsia="zh-CN"/>
        </w:rPr>
      </w:pPr>
    </w:p>
    <w:p w14:paraId="729A297F" w14:textId="77777777" w:rsidR="004412F1" w:rsidRDefault="005A12A3">
      <w:pPr>
        <w:pStyle w:val="Ttulo2"/>
        <w:ind w:left="0"/>
        <w:jc w:val="both"/>
        <w:rPr>
          <w:rFonts w:ascii="Arial" w:eastAsia="Arial" w:hAnsi="Arial" w:cs="Arial"/>
          <w:b/>
          <w:bCs/>
          <w:u w:val="none"/>
        </w:rPr>
      </w:pPr>
      <w:bookmarkStart w:id="2140" w:name="_Toc139294783"/>
      <w:bookmarkStart w:id="2141" w:name="_Toc140089382"/>
      <w:r>
        <w:rPr>
          <w:rFonts w:ascii="Arial" w:eastAsia="Arial" w:hAnsi="Arial" w:cs="Arial"/>
          <w:b/>
          <w:bCs/>
          <w:u w:val="none"/>
        </w:rPr>
        <w:t>MEJORA CONTINUA</w:t>
      </w:r>
      <w:bookmarkEnd w:id="2140"/>
      <w:bookmarkEnd w:id="2141"/>
    </w:p>
    <w:p w14:paraId="1F36E8D8" w14:textId="77777777" w:rsidR="004412F1" w:rsidRDefault="004412F1"/>
    <w:p w14:paraId="188F7C1D" w14:textId="77777777" w:rsidR="004412F1" w:rsidRDefault="005A12A3">
      <w:pPr>
        <w:numPr>
          <w:ilvl w:val="1"/>
          <w:numId w:val="118"/>
        </w:numPr>
        <w:jc w:val="both"/>
        <w:rPr>
          <w:lang w:val="es-PE"/>
        </w:rPr>
      </w:pPr>
      <w:r>
        <w:rPr>
          <w:lang w:val="es-PE"/>
        </w:rPr>
        <w:t>El CONCESIONARIO implementará un sistema de gestión ambiental reconocido internacionalmente y que pueda estar sujeto a auditoria y certificación por parte de una entidad distinta al CONCESIONARIO. El plazo para la implementación y certificación es de dos (02) años con posterioridad al inicio de la Explotación.</w:t>
      </w:r>
    </w:p>
    <w:p w14:paraId="53992F9D" w14:textId="77777777" w:rsidR="004412F1" w:rsidRDefault="004412F1">
      <w:pPr>
        <w:ind w:left="709"/>
        <w:jc w:val="both"/>
        <w:rPr>
          <w:lang w:val="es-PE"/>
        </w:rPr>
      </w:pPr>
    </w:p>
    <w:p w14:paraId="36C47406" w14:textId="77777777" w:rsidR="004412F1" w:rsidRDefault="005A12A3">
      <w:pPr>
        <w:pStyle w:val="Ttulo2"/>
        <w:ind w:left="0"/>
        <w:jc w:val="both"/>
        <w:rPr>
          <w:b/>
          <w:lang w:val="es-CL"/>
        </w:rPr>
      </w:pPr>
      <w:bookmarkStart w:id="2142" w:name="_Toc139294784"/>
      <w:bookmarkStart w:id="2143" w:name="_Toc140089383"/>
      <w:r>
        <w:rPr>
          <w:rFonts w:ascii="Arial" w:eastAsia="Arial" w:hAnsi="Arial"/>
          <w:b/>
          <w:u w:val="none"/>
          <w:lang w:val="es-CL"/>
        </w:rPr>
        <w:t xml:space="preserve">INFORMES AMBIENTALES DURANTE LA EJECUCIÓN DE </w:t>
      </w:r>
      <w:r>
        <w:rPr>
          <w:rFonts w:ascii="Arial" w:eastAsia="Arial" w:hAnsi="Arial" w:cs="Arial"/>
          <w:b/>
          <w:bCs/>
          <w:u w:val="none"/>
          <w:lang w:val="es-PE"/>
        </w:rPr>
        <w:t>LAS INTERVENCIONES</w:t>
      </w:r>
      <w:r>
        <w:rPr>
          <w:rFonts w:ascii="Arial" w:eastAsia="Arial" w:hAnsi="Arial"/>
          <w:b/>
          <w:u w:val="none"/>
          <w:lang w:val="es-CL"/>
        </w:rPr>
        <w:t xml:space="preserve"> Y EXPLOTACIÓN</w:t>
      </w:r>
      <w:bookmarkEnd w:id="2142"/>
      <w:bookmarkEnd w:id="2143"/>
    </w:p>
    <w:p w14:paraId="29A3E9CA" w14:textId="77777777" w:rsidR="004412F1" w:rsidRDefault="004412F1">
      <w:pPr>
        <w:jc w:val="both"/>
        <w:rPr>
          <w:b/>
          <w:lang w:val="es-PE"/>
        </w:rPr>
      </w:pPr>
    </w:p>
    <w:p w14:paraId="104CBB89" w14:textId="77777777" w:rsidR="004412F1" w:rsidRDefault="005A12A3">
      <w:pPr>
        <w:numPr>
          <w:ilvl w:val="1"/>
          <w:numId w:val="118"/>
        </w:numPr>
        <w:jc w:val="both"/>
        <w:rPr>
          <w:lang w:val="es-PE"/>
        </w:rPr>
      </w:pPr>
      <w:bookmarkStart w:id="2144" w:name="_2hsy0bs"/>
      <w:bookmarkStart w:id="2145" w:name="_Ref412624439"/>
      <w:bookmarkEnd w:id="2144"/>
      <w:r>
        <w:rPr>
          <w:lang w:val="es-PE"/>
        </w:rPr>
        <w:t>Dentro de los primeros quince (15) Días de cada mes, el CONCESIONARIO entregará a la Autoridad Ambiental Competente, con copia al REGULADOR, un informe ambiental que dé cuenta del cumplimiento de los respectivos componentes ambientales incluidos en el Instrumento de Gestión Ambiental y las Consideraciones Socio Ambientales del Contrato de Concesión durante la ejecución de las Intervenciones.</w:t>
      </w:r>
      <w:bookmarkEnd w:id="2145"/>
      <w:r>
        <w:rPr>
          <w:lang w:val="es-PE"/>
        </w:rPr>
        <w:t xml:space="preserve"> </w:t>
      </w:r>
    </w:p>
    <w:p w14:paraId="6AC31F61" w14:textId="77777777" w:rsidR="004412F1" w:rsidRDefault="004412F1">
      <w:pPr>
        <w:ind w:left="705"/>
        <w:jc w:val="both"/>
        <w:rPr>
          <w:lang w:val="es-PE"/>
        </w:rPr>
      </w:pPr>
    </w:p>
    <w:p w14:paraId="5A97B74F" w14:textId="77777777" w:rsidR="004412F1" w:rsidRDefault="005A12A3">
      <w:pPr>
        <w:numPr>
          <w:ilvl w:val="1"/>
          <w:numId w:val="118"/>
        </w:numPr>
        <w:jc w:val="both"/>
        <w:rPr>
          <w:lang w:val="es-PE"/>
        </w:rPr>
      </w:pPr>
      <w:r>
        <w:rPr>
          <w:lang w:val="es-PE"/>
        </w:rPr>
        <w:t>Durante la etapa de Explotación de la Concesión, los informes ambientales se entregarán a la Autoridad Ambiental Competente, con copia al REGULADOR, los primeros quince (15) días de cada trimestre, dando cuenta del cumplimiento de los respectivos componentes ambientales incluidos en el Instrumento de Gestión Ambiental y las Consideraciones Socio Ambientales del Contrato de Concesión.</w:t>
      </w:r>
    </w:p>
    <w:p w14:paraId="09604132" w14:textId="77777777" w:rsidR="004412F1" w:rsidRDefault="004412F1">
      <w:pPr>
        <w:jc w:val="both"/>
        <w:rPr>
          <w:lang w:val="es-PE"/>
        </w:rPr>
      </w:pPr>
    </w:p>
    <w:p w14:paraId="4CB1D96E" w14:textId="77777777" w:rsidR="004412F1" w:rsidRDefault="005A12A3">
      <w:pPr>
        <w:numPr>
          <w:ilvl w:val="1"/>
          <w:numId w:val="118"/>
        </w:numPr>
        <w:jc w:val="both"/>
        <w:rPr>
          <w:lang w:val="es-PE"/>
        </w:rPr>
      </w:pPr>
      <w:r>
        <w:rPr>
          <w:lang w:val="es-PE"/>
        </w:rPr>
        <w:t>En estos informes, el CONCESIONARIO deberá entregar información sobre las actividades realizadas, dar cuenta de las medidas definidas en el Instrumento de Gestión Ambiental; señalar los problemas ambientales una vez aplicadas las Especificaciones Socio Ambientales y Programas de Manejo Ambiental, y proponer medidas adicionales necesarias para mitigarlos y/o corregirlos.</w:t>
      </w:r>
    </w:p>
    <w:p w14:paraId="5DEF28A0" w14:textId="77777777" w:rsidR="004412F1" w:rsidRDefault="004412F1">
      <w:pPr>
        <w:jc w:val="both"/>
        <w:rPr>
          <w:lang w:val="es-PE"/>
        </w:rPr>
      </w:pPr>
    </w:p>
    <w:p w14:paraId="3AF66FE5" w14:textId="77777777" w:rsidR="004412F1" w:rsidRDefault="005A12A3">
      <w:pPr>
        <w:numPr>
          <w:ilvl w:val="1"/>
          <w:numId w:val="118"/>
        </w:numPr>
        <w:jc w:val="both"/>
        <w:rPr>
          <w:lang w:val="es-PE"/>
        </w:rPr>
      </w:pPr>
      <w:r>
        <w:rPr>
          <w:lang w:val="es-PE"/>
        </w:rPr>
        <w:t>Durante los cinco (5) primeros años calendarios de la Explotación, los informes serán presentados de manera trimestral a la Autoridad Ambiental Competente. A partir del sexto Año Calendario de la Explotación, y hasta la Fecha de Fin de la Concesión, los informes ambientales deberán ser entregados semestralmente por el CONCESIONARIO a la Autoridad Ambiental Competente dentro de los primeros quince (15) días calendario de cada semestre, con copia a REGULADOR.</w:t>
      </w:r>
    </w:p>
    <w:p w14:paraId="1B2F8201" w14:textId="77777777" w:rsidR="004412F1" w:rsidRDefault="004412F1">
      <w:pPr>
        <w:jc w:val="both"/>
        <w:rPr>
          <w:lang w:val="es-PE"/>
        </w:rPr>
      </w:pPr>
    </w:p>
    <w:p w14:paraId="089B23BA" w14:textId="77777777" w:rsidR="004412F1" w:rsidRDefault="005A12A3">
      <w:pPr>
        <w:numPr>
          <w:ilvl w:val="1"/>
          <w:numId w:val="118"/>
        </w:numPr>
        <w:jc w:val="both"/>
        <w:rPr>
          <w:lang w:val="es-PE"/>
        </w:rPr>
      </w:pPr>
      <w:r>
        <w:rPr>
          <w:lang w:val="es-PE"/>
        </w:rPr>
        <w:t>El incumplimiento de los plazos de entrega de los informes ambientales indicados en las Cláusulas precedentes dará lugar a la aplicación de una penalidad según lo establecido en la Tabla N° 7 del ANEXO IX.</w:t>
      </w:r>
    </w:p>
    <w:p w14:paraId="42B6555C" w14:textId="77777777" w:rsidR="004412F1" w:rsidRDefault="004412F1">
      <w:pPr>
        <w:jc w:val="both"/>
        <w:rPr>
          <w:lang w:val="es-PE"/>
        </w:rPr>
      </w:pPr>
    </w:p>
    <w:p w14:paraId="67F58C80" w14:textId="77777777" w:rsidR="004412F1" w:rsidRDefault="005A12A3">
      <w:pPr>
        <w:pStyle w:val="Ttulo2"/>
        <w:ind w:left="0"/>
        <w:jc w:val="both"/>
        <w:rPr>
          <w:rFonts w:ascii="Arial" w:eastAsia="Arial" w:hAnsi="Arial"/>
          <w:b/>
        </w:rPr>
      </w:pPr>
      <w:bookmarkStart w:id="2146" w:name="_Toc139294785"/>
      <w:bookmarkStart w:id="2147" w:name="_Toc140089384"/>
      <w:r>
        <w:rPr>
          <w:rFonts w:ascii="Arial" w:eastAsia="Arial" w:hAnsi="Arial"/>
          <w:b/>
          <w:u w:val="none"/>
        </w:rPr>
        <w:t>PENALIDADES</w:t>
      </w:r>
      <w:bookmarkEnd w:id="2146"/>
      <w:bookmarkEnd w:id="2147"/>
    </w:p>
    <w:p w14:paraId="521C01C9" w14:textId="77777777" w:rsidR="004412F1" w:rsidRDefault="004412F1">
      <w:pPr>
        <w:jc w:val="both"/>
        <w:rPr>
          <w:b/>
          <w:color w:val="000000"/>
        </w:rPr>
      </w:pPr>
    </w:p>
    <w:p w14:paraId="177D5C74" w14:textId="77777777" w:rsidR="004412F1" w:rsidRDefault="005A12A3">
      <w:pPr>
        <w:numPr>
          <w:ilvl w:val="1"/>
          <w:numId w:val="118"/>
        </w:numPr>
        <w:jc w:val="both"/>
        <w:rPr>
          <w:lang w:val="es-PE"/>
        </w:rPr>
      </w:pPr>
      <w:r>
        <w:rPr>
          <w:lang w:val="es-PE"/>
        </w:rPr>
        <w:lastRenderedPageBreak/>
        <w:tab/>
        <w:t>El incumplimiento de las obligaciones contractuales de carácter ambiental previstas en el presente Contrato y sus ANEXOS dará lugar a la imposición de penalidades, de acuerdo con lo establecido en el Tabla N° 7 del ANEXO IX; sin perjuicio de las sanciones y/o medidas administrativas que determine la Autoridad Ambiental Competente en el marco de sus funciones y competencias.</w:t>
      </w:r>
    </w:p>
    <w:p w14:paraId="3F509F37" w14:textId="77777777" w:rsidR="004412F1" w:rsidRDefault="004412F1">
      <w:pPr>
        <w:rPr>
          <w:lang w:val="es-PE"/>
        </w:rPr>
      </w:pPr>
    </w:p>
    <w:p w14:paraId="12F8C8FD" w14:textId="77777777" w:rsidR="004412F1" w:rsidRDefault="004412F1">
      <w:pPr>
        <w:jc w:val="both"/>
        <w:rPr>
          <w:lang w:val="es-PE"/>
        </w:rPr>
      </w:pPr>
    </w:p>
    <w:p w14:paraId="6D435ABD" w14:textId="77777777" w:rsidR="004412F1" w:rsidRDefault="005A12A3">
      <w:pPr>
        <w:pStyle w:val="Ttulo1"/>
        <w:rPr>
          <w:color w:val="000000"/>
          <w:lang w:val="es-PE"/>
        </w:rPr>
      </w:pPr>
      <w:bookmarkStart w:id="2148" w:name="_Hlt492455729"/>
      <w:bookmarkStart w:id="2149" w:name="_Hlt492458310"/>
      <w:bookmarkStart w:id="2150" w:name="_Toc92694764"/>
      <w:bookmarkStart w:id="2151" w:name="_Hlt492093864"/>
      <w:bookmarkStart w:id="2152" w:name="_Hlt492464642"/>
      <w:bookmarkStart w:id="2153" w:name="_Toc92694630"/>
      <w:bookmarkStart w:id="2154" w:name="_Toc92694827"/>
      <w:bookmarkStart w:id="2155" w:name="_Hlt13919222"/>
      <w:bookmarkStart w:id="2156" w:name="_wy8ajl"/>
      <w:bookmarkStart w:id="2157" w:name="_Hlt492457768"/>
      <w:bookmarkStart w:id="2158" w:name="_Hlt23593206"/>
      <w:bookmarkStart w:id="2159" w:name="_Hlt492447317"/>
      <w:bookmarkStart w:id="2160" w:name="_Hlt6293136"/>
      <w:bookmarkStart w:id="2161" w:name="_Hlt492093501"/>
      <w:bookmarkStart w:id="2162" w:name="_Hlt492440525"/>
      <w:bookmarkStart w:id="2163" w:name="_Hlt492458486"/>
      <w:bookmarkStart w:id="2164" w:name="_Toc92694651"/>
      <w:bookmarkStart w:id="2165" w:name="_Hlt6053934"/>
      <w:bookmarkStart w:id="2166" w:name="_Hlt6741543"/>
      <w:bookmarkStart w:id="2167" w:name="_Toc131332998"/>
      <w:bookmarkStart w:id="2168" w:name="_Toc131328019"/>
      <w:bookmarkStart w:id="2169" w:name="_Toc131329990"/>
      <w:bookmarkStart w:id="2170" w:name="_Toc139294786"/>
      <w:bookmarkStart w:id="2171" w:name="_Toc131328835"/>
      <w:bookmarkStart w:id="2172" w:name="_Toc131329403"/>
      <w:bookmarkStart w:id="2173" w:name="_Toc131329171"/>
      <w:bookmarkStart w:id="2174" w:name="_Toc468837684"/>
      <w:bookmarkStart w:id="2175" w:name="_Toc131332077"/>
      <w:bookmarkStart w:id="2176" w:name="_Toc140089385"/>
      <w:bookmarkEnd w:id="2110"/>
      <w:bookmarkEnd w:id="2111"/>
      <w:bookmarkEnd w:id="2112"/>
      <w:bookmarkEnd w:id="2113"/>
      <w:bookmarkEnd w:id="2114"/>
      <w:bookmarkEnd w:id="2115"/>
      <w:bookmarkEnd w:id="2116"/>
      <w:bookmarkEnd w:id="211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r>
        <w:rPr>
          <w:color w:val="000000" w:themeColor="text1"/>
          <w:lang w:val="es-PE"/>
        </w:rPr>
        <w:t>CAPITULO XIV: RELACIONES CON SOCIOS, TERCEROS Y PERSONAL</w:t>
      </w:r>
      <w:bookmarkEnd w:id="2167"/>
      <w:bookmarkEnd w:id="2168"/>
      <w:bookmarkEnd w:id="2169"/>
      <w:bookmarkEnd w:id="2170"/>
      <w:bookmarkEnd w:id="2171"/>
      <w:bookmarkEnd w:id="2172"/>
      <w:bookmarkEnd w:id="2173"/>
      <w:bookmarkEnd w:id="2174"/>
      <w:bookmarkEnd w:id="2175"/>
      <w:bookmarkEnd w:id="2176"/>
    </w:p>
    <w:p w14:paraId="4BFCF3C7" w14:textId="77777777" w:rsidR="004412F1" w:rsidRDefault="004412F1">
      <w:pPr>
        <w:ind w:left="708"/>
        <w:jc w:val="both"/>
        <w:rPr>
          <w:lang w:val="es-PE"/>
        </w:rPr>
      </w:pPr>
    </w:p>
    <w:p w14:paraId="42210185" w14:textId="77777777" w:rsidR="004412F1" w:rsidRDefault="005A12A3">
      <w:pPr>
        <w:keepNext/>
        <w:ind w:left="964" w:hanging="964"/>
        <w:jc w:val="both"/>
        <w:rPr>
          <w:b/>
          <w:color w:val="000000"/>
          <w:lang w:val="es-PE"/>
        </w:rPr>
      </w:pPr>
      <w:bookmarkStart w:id="2177" w:name="_3gxvt7e" w:colFirst="0" w:colLast="0"/>
      <w:bookmarkStart w:id="2178" w:name="_Toc468837685"/>
      <w:bookmarkEnd w:id="2177"/>
      <w:r>
        <w:rPr>
          <w:b/>
          <w:color w:val="000000"/>
          <w:lang w:val="es-PE"/>
        </w:rPr>
        <w:t>CESIÓN O TRANSFERENCIA DE LA CONCESIÓN</w:t>
      </w:r>
      <w:bookmarkEnd w:id="2178"/>
    </w:p>
    <w:p w14:paraId="07441832" w14:textId="77777777" w:rsidR="004412F1" w:rsidRDefault="004412F1">
      <w:pPr>
        <w:ind w:left="708"/>
        <w:jc w:val="both"/>
        <w:rPr>
          <w:lang w:val="es-PE"/>
        </w:rPr>
      </w:pPr>
    </w:p>
    <w:p w14:paraId="5A60F793" w14:textId="77777777" w:rsidR="004412F1" w:rsidRDefault="005A12A3">
      <w:pPr>
        <w:numPr>
          <w:ilvl w:val="1"/>
          <w:numId w:val="122"/>
        </w:numPr>
        <w:jc w:val="both"/>
        <w:rPr>
          <w:lang w:val="es-PE"/>
        </w:rPr>
      </w:pPr>
      <w:r>
        <w:rPr>
          <w:lang w:val="es-PE"/>
        </w:rPr>
        <w:t>El CONCESIONARIO no podrá transferir su derecho a la Concesión ni ceder su posición contractual sin la autorización previa por escrito del CONCEDENTE, la cual deberá tener en consideración la opinión técnica que previamente debe emitir el REGULADOR.</w:t>
      </w:r>
    </w:p>
    <w:p w14:paraId="5506B232" w14:textId="77777777" w:rsidR="004412F1" w:rsidRDefault="004412F1">
      <w:pPr>
        <w:ind w:left="708"/>
        <w:jc w:val="both"/>
        <w:rPr>
          <w:lang w:val="es-PE"/>
        </w:rPr>
      </w:pPr>
    </w:p>
    <w:p w14:paraId="7CEF024D" w14:textId="77777777" w:rsidR="004412F1" w:rsidRDefault="005A12A3">
      <w:pPr>
        <w:ind w:left="708"/>
        <w:jc w:val="both"/>
        <w:rPr>
          <w:lang w:val="es-PE"/>
        </w:rPr>
      </w:pPr>
      <w:r>
        <w:rPr>
          <w:lang w:val="es-PE"/>
        </w:rPr>
        <w:t>Para efecto de la autorización, el CONCESIONARIO deberá comunicar su intención de transferir la Concesión o ceder su posición contractual, acompañando lo siguiente:</w:t>
      </w:r>
    </w:p>
    <w:p w14:paraId="78383184" w14:textId="77777777" w:rsidR="004412F1" w:rsidRDefault="004412F1">
      <w:pPr>
        <w:ind w:left="708" w:hanging="708"/>
        <w:jc w:val="both"/>
        <w:rPr>
          <w:color w:val="000000"/>
          <w:lang w:val="es-ES"/>
        </w:rPr>
      </w:pPr>
    </w:p>
    <w:p w14:paraId="1ED08460" w14:textId="77777777" w:rsidR="004412F1" w:rsidRDefault="005A12A3">
      <w:pPr>
        <w:numPr>
          <w:ilvl w:val="0"/>
          <w:numId w:val="123"/>
        </w:numPr>
        <w:tabs>
          <w:tab w:val="left" w:pos="1276"/>
        </w:tabs>
        <w:ind w:left="1276" w:hanging="567"/>
        <w:jc w:val="both"/>
        <w:rPr>
          <w:color w:val="000000"/>
          <w:lang w:val="es-PE"/>
        </w:rPr>
      </w:pPr>
      <w:r>
        <w:rPr>
          <w:color w:val="000000"/>
          <w:lang w:val="es-PE"/>
        </w:rPr>
        <w:t xml:space="preserve">Contrato preparatorio o carta de intención de transferencia o cesión, debidamente suscrita por el cedente y el cesionario, </w:t>
      </w:r>
      <w:proofErr w:type="gramStart"/>
      <w:r>
        <w:rPr>
          <w:color w:val="000000"/>
          <w:lang w:val="es-PE"/>
        </w:rPr>
        <w:t>de acuerdo al</w:t>
      </w:r>
      <w:proofErr w:type="gramEnd"/>
      <w:r>
        <w:rPr>
          <w:color w:val="000000"/>
          <w:lang w:val="es-PE"/>
        </w:rPr>
        <w:t xml:space="preserve"> procedimiento y con las mayorías societarias exigidas por el Estatuto Social. En dichos documentos deberán constar la aceptación del cesionario para asumir cualquier daño y pagar cualquier otra suma debida por el cedente de acuerdo con lo previsto en el Contrato.</w:t>
      </w:r>
    </w:p>
    <w:p w14:paraId="40730E3F" w14:textId="77777777" w:rsidR="004412F1" w:rsidRDefault="004412F1">
      <w:pPr>
        <w:ind w:left="709"/>
        <w:jc w:val="both"/>
        <w:rPr>
          <w:color w:val="000000"/>
          <w:lang w:val="es-PE"/>
        </w:rPr>
      </w:pPr>
    </w:p>
    <w:p w14:paraId="18F669A5" w14:textId="77777777" w:rsidR="004412F1" w:rsidRDefault="005A12A3">
      <w:pPr>
        <w:numPr>
          <w:ilvl w:val="0"/>
          <w:numId w:val="123"/>
        </w:numPr>
        <w:tabs>
          <w:tab w:val="left" w:pos="1276"/>
        </w:tabs>
        <w:ind w:left="1276" w:hanging="567"/>
        <w:jc w:val="both"/>
        <w:rPr>
          <w:color w:val="000000"/>
          <w:lang w:val="es-PE"/>
        </w:rPr>
      </w:pPr>
      <w:r>
        <w:rPr>
          <w:color w:val="000000"/>
          <w:lang w:val="es-PE"/>
        </w:rPr>
        <w:t>Documentación que acredite la capacidad legal necesaria del cesionario.</w:t>
      </w:r>
    </w:p>
    <w:p w14:paraId="403FA1DA" w14:textId="77777777" w:rsidR="004412F1" w:rsidRDefault="004412F1">
      <w:pPr>
        <w:ind w:left="709"/>
        <w:jc w:val="both"/>
        <w:rPr>
          <w:color w:val="000000"/>
          <w:lang w:val="es-PE"/>
        </w:rPr>
      </w:pPr>
    </w:p>
    <w:p w14:paraId="643109E6" w14:textId="77777777" w:rsidR="004412F1" w:rsidRDefault="005A12A3">
      <w:pPr>
        <w:numPr>
          <w:ilvl w:val="0"/>
          <w:numId w:val="123"/>
        </w:numPr>
        <w:tabs>
          <w:tab w:val="left" w:pos="1276"/>
        </w:tabs>
        <w:ind w:left="1276" w:hanging="567"/>
        <w:jc w:val="both"/>
        <w:rPr>
          <w:color w:val="000000"/>
          <w:lang w:val="es-PE"/>
        </w:rPr>
      </w:pPr>
      <w:r>
        <w:rPr>
          <w:color w:val="000000"/>
          <w:lang w:val="es-PE"/>
        </w:rPr>
        <w:t>Documentación que acredite la capacidad financiera y técnica del cesionario, teniendo en cuenta las previsiones de las Bases y el Contrato de Concesión.</w:t>
      </w:r>
    </w:p>
    <w:p w14:paraId="4855B75D" w14:textId="77777777" w:rsidR="004412F1" w:rsidRDefault="004412F1">
      <w:pPr>
        <w:tabs>
          <w:tab w:val="left" w:pos="1134"/>
        </w:tabs>
        <w:ind w:firstLine="1"/>
        <w:jc w:val="both"/>
        <w:rPr>
          <w:lang w:val="es-PE"/>
        </w:rPr>
      </w:pPr>
    </w:p>
    <w:p w14:paraId="1B683976" w14:textId="77777777" w:rsidR="004412F1" w:rsidRDefault="005A12A3">
      <w:pPr>
        <w:numPr>
          <w:ilvl w:val="0"/>
          <w:numId w:val="123"/>
        </w:numPr>
        <w:tabs>
          <w:tab w:val="left" w:pos="1276"/>
        </w:tabs>
        <w:ind w:left="1276" w:hanging="567"/>
        <w:rPr>
          <w:color w:val="000000"/>
          <w:lang w:val="es-PE"/>
        </w:rPr>
      </w:pPr>
      <w:r>
        <w:rPr>
          <w:color w:val="000000"/>
          <w:lang w:val="es-PE"/>
        </w:rPr>
        <w:t>Acuerdo por el cual el tercero conviene en asumir cualquier daño y pagar cualquier otra suma debida y pagadera por el CONCESIONARIO.</w:t>
      </w:r>
    </w:p>
    <w:p w14:paraId="08713312" w14:textId="77777777" w:rsidR="004412F1" w:rsidRDefault="004412F1">
      <w:pPr>
        <w:ind w:left="709"/>
        <w:jc w:val="both"/>
        <w:rPr>
          <w:color w:val="000000"/>
          <w:lang w:val="es-PE"/>
        </w:rPr>
      </w:pPr>
    </w:p>
    <w:p w14:paraId="79C0ECC9" w14:textId="77777777" w:rsidR="004412F1" w:rsidRDefault="005A12A3">
      <w:pPr>
        <w:numPr>
          <w:ilvl w:val="0"/>
          <w:numId w:val="123"/>
        </w:numPr>
        <w:tabs>
          <w:tab w:val="left" w:pos="1276"/>
        </w:tabs>
        <w:ind w:left="1276" w:hanging="567"/>
        <w:jc w:val="both"/>
        <w:rPr>
          <w:color w:val="000000"/>
          <w:lang w:val="es-PE"/>
        </w:rPr>
      </w:pPr>
      <w:r>
        <w:rPr>
          <w:color w:val="000000"/>
          <w:lang w:val="es-PE"/>
        </w:rPr>
        <w:t>Acuerdo por el cual el Socio Estratégico es sustituido por uno de los accionistas del cesionario en la posición contractual que ocupaba el primero en el Contrato de Concesión. Dicho cesionario deberá cumplir los requisitos de operación indicados para la precalificación, conforme a lo señalado en las Bases del Concurso.</w:t>
      </w:r>
    </w:p>
    <w:p w14:paraId="7948E483" w14:textId="77777777" w:rsidR="004412F1" w:rsidRDefault="004412F1">
      <w:pPr>
        <w:ind w:left="709"/>
        <w:jc w:val="both"/>
        <w:rPr>
          <w:color w:val="000000"/>
          <w:lang w:val="es-PE"/>
        </w:rPr>
      </w:pPr>
    </w:p>
    <w:p w14:paraId="7C735B6A" w14:textId="77777777" w:rsidR="004412F1" w:rsidRDefault="005A12A3">
      <w:pPr>
        <w:ind w:left="708"/>
        <w:jc w:val="both"/>
        <w:rPr>
          <w:lang w:val="es-PE"/>
        </w:rPr>
      </w:pPr>
      <w:r>
        <w:rPr>
          <w:lang w:val="es-PE"/>
        </w:rPr>
        <w:t xml:space="preserve">El CONCESIONARIO deberá presentar toda la documentación señalada en la presente Cláusula tanto al CONCEDENTE como al REGULADOR. En un plazo no mayor de treinta (30) Días contados desde la presentación efectuada por el CONCESIONARIO, el REGULADOR deberá emitir opinión previa. A su vez, el CONCEDENTE deberá pronunciarse sobre la operación en un plazo máximo de cuarenta (40) Días, contados desde la recepción de la opinión del REGULADOR. </w:t>
      </w:r>
    </w:p>
    <w:p w14:paraId="7086EC03" w14:textId="77777777" w:rsidR="004412F1" w:rsidRDefault="004412F1">
      <w:pPr>
        <w:ind w:left="708"/>
        <w:jc w:val="both"/>
        <w:rPr>
          <w:lang w:val="es-PE"/>
        </w:rPr>
      </w:pPr>
    </w:p>
    <w:p w14:paraId="03192EB2" w14:textId="77777777" w:rsidR="004412F1" w:rsidRDefault="005A12A3">
      <w:pPr>
        <w:ind w:left="708"/>
        <w:jc w:val="both"/>
        <w:rPr>
          <w:lang w:val="es-PE"/>
        </w:rPr>
      </w:pPr>
      <w:r>
        <w:rPr>
          <w:lang w:val="es-PE"/>
        </w:rPr>
        <w:t xml:space="preserve">El asentimiento del CONCEDENTE no libera de la responsabilidad al CONCESIONARIO por la transferencia de su derecho a la Concesión o cesión de su posición contractual hasta por un plazo máximo de un (1) año desde la fecha de aprobación de la transferencia o cesión. Esto implica que durante este período el CONCESIONARIO será solidariamente responsable con el nuevo </w:t>
      </w:r>
      <w:r>
        <w:rPr>
          <w:lang w:val="es-PE"/>
        </w:rPr>
        <w:lastRenderedPageBreak/>
        <w:t>concesionario por los actos realizados hasta antes de la transferencia o cesión. El pronunciamiento negativo o la ausencia de pronunciamiento implican el rechazo de la operación.</w:t>
      </w:r>
    </w:p>
    <w:p w14:paraId="78212306" w14:textId="77777777" w:rsidR="004412F1" w:rsidRDefault="004412F1">
      <w:pPr>
        <w:ind w:left="708"/>
        <w:jc w:val="both"/>
        <w:rPr>
          <w:lang w:val="es-PE"/>
        </w:rPr>
      </w:pPr>
    </w:p>
    <w:p w14:paraId="2A499E83" w14:textId="77777777" w:rsidR="004412F1" w:rsidRDefault="004412F1">
      <w:pPr>
        <w:ind w:left="708"/>
        <w:jc w:val="both"/>
        <w:rPr>
          <w:lang w:val="es-PE"/>
        </w:rPr>
      </w:pPr>
    </w:p>
    <w:p w14:paraId="6552BF69" w14:textId="77777777" w:rsidR="004412F1" w:rsidRDefault="005A12A3">
      <w:pPr>
        <w:pStyle w:val="Ttulo2"/>
        <w:ind w:left="0"/>
        <w:rPr>
          <w:rFonts w:ascii="Arial" w:eastAsia="Arial" w:hAnsi="Arial" w:cs="Arial"/>
          <w:b/>
          <w:bCs/>
          <w:u w:val="none"/>
        </w:rPr>
      </w:pPr>
      <w:bookmarkStart w:id="2179" w:name="_1w363f7"/>
      <w:bookmarkStart w:id="2180" w:name="_CLÁUSULAS_EN_CONTRATOS"/>
      <w:bookmarkStart w:id="2181" w:name="_Toc139294787"/>
      <w:bookmarkStart w:id="2182" w:name="_Toc468837686"/>
      <w:bookmarkStart w:id="2183" w:name="_Toc140089386"/>
      <w:bookmarkEnd w:id="2179"/>
      <w:bookmarkEnd w:id="2180"/>
      <w:r>
        <w:rPr>
          <w:rFonts w:ascii="Arial" w:eastAsia="Arial" w:hAnsi="Arial" w:cs="Arial"/>
          <w:b/>
          <w:bCs/>
          <w:u w:val="none"/>
        </w:rPr>
        <w:t>CLÁUSULAS EN CONTRATOS</w:t>
      </w:r>
      <w:bookmarkEnd w:id="2181"/>
      <w:bookmarkEnd w:id="2182"/>
      <w:bookmarkEnd w:id="2183"/>
    </w:p>
    <w:p w14:paraId="32860559" w14:textId="77777777" w:rsidR="004412F1" w:rsidRDefault="004412F1">
      <w:pPr>
        <w:jc w:val="both"/>
      </w:pPr>
    </w:p>
    <w:p w14:paraId="5A87F7E1" w14:textId="77777777" w:rsidR="004412F1" w:rsidRDefault="005A12A3">
      <w:pPr>
        <w:numPr>
          <w:ilvl w:val="1"/>
          <w:numId w:val="122"/>
        </w:numPr>
        <w:jc w:val="both"/>
        <w:rPr>
          <w:lang w:val="es-PE"/>
        </w:rPr>
      </w:pPr>
      <w:bookmarkStart w:id="2184" w:name="_4g2tm30" w:colFirst="0" w:colLast="0"/>
      <w:bookmarkEnd w:id="2184"/>
      <w:r>
        <w:rPr>
          <w:lang w:val="es-PE"/>
        </w:rPr>
        <w:tab/>
      </w:r>
      <w:bookmarkStart w:id="2185" w:name="_Ref272506106"/>
      <w:r>
        <w:rPr>
          <w:lang w:val="es-PE"/>
        </w:rPr>
        <w:t xml:space="preserve">En todos los contratos, convenios o acuerdos que el CONCESIONARIO celebre </w:t>
      </w:r>
    </w:p>
    <w:p w14:paraId="2D3D56B2" w14:textId="77777777" w:rsidR="004412F1" w:rsidRDefault="005A12A3">
      <w:pPr>
        <w:ind w:left="705"/>
        <w:jc w:val="both"/>
        <w:rPr>
          <w:lang w:val="es-PE"/>
        </w:rPr>
      </w:pPr>
      <w:r>
        <w:rPr>
          <w:lang w:val="es-PE"/>
        </w:rPr>
        <w:t>con sus socios, terceros y personal, se deberán incluir cláusulas que contemplen los siguientes aspectos:</w:t>
      </w:r>
      <w:bookmarkEnd w:id="2185"/>
    </w:p>
    <w:p w14:paraId="49DB7BFF" w14:textId="77777777" w:rsidR="00E937C0" w:rsidRDefault="00E937C0">
      <w:pPr>
        <w:ind w:left="705"/>
        <w:jc w:val="both"/>
        <w:rPr>
          <w:lang w:val="es-PE"/>
        </w:rPr>
      </w:pPr>
    </w:p>
    <w:p w14:paraId="4A0CC851" w14:textId="1335F215" w:rsidR="004412F1" w:rsidRPr="005A0D61" w:rsidRDefault="005A12A3" w:rsidP="005A0D61">
      <w:pPr>
        <w:pStyle w:val="Prrafodelista"/>
        <w:numPr>
          <w:ilvl w:val="1"/>
          <w:numId w:val="86"/>
        </w:numPr>
        <w:jc w:val="both"/>
        <w:rPr>
          <w:lang w:val="es-PE"/>
        </w:rPr>
      </w:pPr>
      <w:r w:rsidRPr="005A0D61">
        <w:rPr>
          <w:lang w:val="es-PE"/>
        </w:rPr>
        <w:t>La resolución de los respectivos contratos por la Caducidad de la Concesión.</w:t>
      </w:r>
    </w:p>
    <w:p w14:paraId="676DA5DD" w14:textId="70C2A8EE" w:rsidR="004412F1" w:rsidRPr="005A0D61" w:rsidRDefault="005A12A3" w:rsidP="00515351">
      <w:pPr>
        <w:pStyle w:val="Prrafodelista"/>
        <w:numPr>
          <w:ilvl w:val="1"/>
          <w:numId w:val="86"/>
        </w:numPr>
        <w:jc w:val="both"/>
        <w:rPr>
          <w:lang w:val="es-PE"/>
        </w:rPr>
      </w:pPr>
      <w:r w:rsidRPr="005A0D61">
        <w:rPr>
          <w:lang w:val="es-PE"/>
        </w:rPr>
        <w:t>Que el plazo de vigencia no exceda el Plazo de la Concesión.</w:t>
      </w:r>
    </w:p>
    <w:p w14:paraId="7480F256" w14:textId="6FF04669" w:rsidR="004412F1" w:rsidRPr="00515351" w:rsidRDefault="005A12A3" w:rsidP="00515351">
      <w:pPr>
        <w:pStyle w:val="Prrafodelista"/>
        <w:numPr>
          <w:ilvl w:val="1"/>
          <w:numId w:val="86"/>
        </w:numPr>
        <w:jc w:val="both"/>
        <w:rPr>
          <w:lang w:val="es-PE"/>
        </w:rPr>
      </w:pPr>
      <w:r w:rsidRPr="00515351">
        <w:rPr>
          <w:lang w:val="es-PE"/>
        </w:rPr>
        <w:t xml:space="preserve">La renuncia a interponer acciones de responsabilidad civil contra el CONCEDENTE, el REGULADOR y sus funcionarios. </w:t>
      </w:r>
    </w:p>
    <w:p w14:paraId="27B21F73" w14:textId="77777777" w:rsidR="005A0D61" w:rsidRDefault="005A0D61">
      <w:pPr>
        <w:ind w:left="705"/>
        <w:jc w:val="both"/>
        <w:rPr>
          <w:lang w:val="es-PE"/>
        </w:rPr>
      </w:pPr>
    </w:p>
    <w:p w14:paraId="05DD17A1" w14:textId="23B64BC1" w:rsidR="004412F1" w:rsidRDefault="005A12A3">
      <w:pPr>
        <w:ind w:left="705"/>
        <w:jc w:val="both"/>
        <w:rPr>
          <w:lang w:val="es-PE"/>
        </w:rPr>
      </w:pPr>
      <w:r>
        <w:rPr>
          <w:lang w:val="es-PE"/>
        </w:rPr>
        <w:t>Sin perjuicio de ello, el CONCESIONARIO mantendrá indemne al CONCEDENTE, el REGULADOR y sus funcionarios por cualquier acción de responsabilidad civil en contra de ellos, derivada de la ejecución de estos contratos.</w:t>
      </w:r>
    </w:p>
    <w:p w14:paraId="6D6697A1" w14:textId="77777777" w:rsidR="005A0D61" w:rsidRDefault="005A0D61">
      <w:pPr>
        <w:ind w:left="705"/>
        <w:jc w:val="both"/>
        <w:rPr>
          <w:lang w:val="es-PE"/>
        </w:rPr>
      </w:pPr>
    </w:p>
    <w:p w14:paraId="4415BD53" w14:textId="6C7C1CB1" w:rsidR="004412F1" w:rsidRDefault="005A12A3">
      <w:pPr>
        <w:ind w:left="705"/>
        <w:jc w:val="both"/>
        <w:rPr>
          <w:lang w:val="es-PE"/>
        </w:rPr>
      </w:pPr>
      <w:r>
        <w:rPr>
          <w:lang w:val="es-PE"/>
        </w:rPr>
        <w:t>En ningún caso el CONCESIONARIO se exime de responsabilidad alguna frente al CONCEDENTE, por actos derivados de la ejecución de contratos suscritos con terceros, que pudiere tener incidencia alguna sobre la Concesión</w:t>
      </w:r>
      <w:r w:rsidR="005A0D61">
        <w:rPr>
          <w:lang w:val="es-PE"/>
        </w:rPr>
        <w:t>.</w:t>
      </w:r>
      <w:bookmarkStart w:id="2186" w:name="_2v83wat" w:colFirst="0" w:colLast="0"/>
      <w:bookmarkStart w:id="2187" w:name="_Toc82860227"/>
      <w:bookmarkStart w:id="2188" w:name="_Toc82860022"/>
      <w:bookmarkStart w:id="2189" w:name="_Toc82859816"/>
      <w:bookmarkStart w:id="2190" w:name="_Toc82859609"/>
      <w:bookmarkStart w:id="2191" w:name="_Toc82858740"/>
      <w:bookmarkStart w:id="2192" w:name="_Toc82860834"/>
      <w:bookmarkStart w:id="2193" w:name="_Toc82858961"/>
      <w:bookmarkStart w:id="2194" w:name="_Toc106603980"/>
      <w:bookmarkStart w:id="2195" w:name="_Toc82859396"/>
      <w:bookmarkStart w:id="2196" w:name="_Toc82860432"/>
      <w:bookmarkStart w:id="2197" w:name="_Toc106666590"/>
      <w:bookmarkStart w:id="2198" w:name="_Toc82859180"/>
      <w:bookmarkEnd w:id="2186"/>
    </w:p>
    <w:p w14:paraId="4540947F" w14:textId="77777777" w:rsidR="005A0D61" w:rsidRDefault="005A0D61">
      <w:pPr>
        <w:ind w:left="705"/>
        <w:jc w:val="both"/>
        <w:rPr>
          <w:lang w:val="es-PE"/>
        </w:rPr>
      </w:pPr>
    </w:p>
    <w:p w14:paraId="110CF6E4" w14:textId="77777777" w:rsidR="004412F1" w:rsidRDefault="005A12A3">
      <w:pPr>
        <w:pStyle w:val="Ttulo2"/>
        <w:ind w:left="0"/>
        <w:rPr>
          <w:rFonts w:ascii="Arial" w:hAnsi="Arial"/>
          <w:b/>
          <w:u w:val="none"/>
        </w:rPr>
      </w:pPr>
      <w:bookmarkStart w:id="2199" w:name="_1ade6im"/>
      <w:bookmarkStart w:id="2200" w:name="_Toc139294788"/>
      <w:bookmarkStart w:id="2201" w:name="_Toc468837687"/>
      <w:bookmarkStart w:id="2202" w:name="_Toc140089387"/>
      <w:bookmarkEnd w:id="2199"/>
      <w:r>
        <w:rPr>
          <w:rFonts w:ascii="Arial" w:hAnsi="Arial"/>
          <w:b/>
          <w:u w:val="none"/>
        </w:rPr>
        <w:t>RELACIONES DE PERSONAL</w:t>
      </w:r>
      <w:bookmarkEnd w:id="2187"/>
      <w:bookmarkEnd w:id="2188"/>
      <w:bookmarkEnd w:id="2189"/>
      <w:bookmarkEnd w:id="2190"/>
      <w:bookmarkEnd w:id="2191"/>
      <w:bookmarkEnd w:id="2192"/>
      <w:bookmarkEnd w:id="2193"/>
      <w:bookmarkEnd w:id="2194"/>
      <w:bookmarkEnd w:id="2195"/>
      <w:bookmarkEnd w:id="2196"/>
      <w:bookmarkEnd w:id="2197"/>
      <w:bookmarkEnd w:id="2198"/>
      <w:bookmarkEnd w:id="2200"/>
      <w:bookmarkEnd w:id="2201"/>
      <w:bookmarkEnd w:id="2202"/>
    </w:p>
    <w:p w14:paraId="39684539" w14:textId="77777777" w:rsidR="004412F1" w:rsidRDefault="004412F1">
      <w:pPr>
        <w:jc w:val="both"/>
      </w:pPr>
    </w:p>
    <w:p w14:paraId="70345E9E" w14:textId="77777777" w:rsidR="004412F1" w:rsidRDefault="005A12A3">
      <w:pPr>
        <w:numPr>
          <w:ilvl w:val="1"/>
          <w:numId w:val="122"/>
        </w:numPr>
        <w:jc w:val="both"/>
        <w:rPr>
          <w:lang w:val="es-PE"/>
        </w:rPr>
      </w:pPr>
      <w:r>
        <w:rPr>
          <w:lang w:val="es-PE"/>
        </w:rPr>
        <w:tab/>
        <w:t>Los contratos de trabajo de personal nacional o personal extranjero del CONCESIONARIO, la ejecución de dichos contratos y la resolución de estos se sujetan a las normas que regulan las relaciones laborales de los trabajadores de la actividad privada. Asimismo, serán de aplicación los regímenes especiales de trabajo en los supuestos que se presenten.</w:t>
      </w:r>
    </w:p>
    <w:p w14:paraId="241EB51B" w14:textId="77777777" w:rsidR="004412F1" w:rsidRDefault="004412F1">
      <w:pPr>
        <w:jc w:val="both"/>
        <w:rPr>
          <w:lang w:val="es-PE"/>
        </w:rPr>
      </w:pPr>
    </w:p>
    <w:p w14:paraId="4916A141" w14:textId="77777777" w:rsidR="004412F1" w:rsidRDefault="005A12A3">
      <w:pPr>
        <w:numPr>
          <w:ilvl w:val="1"/>
          <w:numId w:val="122"/>
        </w:numPr>
        <w:jc w:val="both"/>
        <w:rPr>
          <w:lang w:val="es-PE"/>
        </w:rPr>
      </w:pPr>
      <w:r>
        <w:rPr>
          <w:lang w:val="es-PE"/>
        </w:rPr>
        <w:tab/>
        <w:t>El CONCESIONARIO deberá cumplir estrictamente con la normativa laboral referida a las obligaciones formales del empleador (libros de planillas, boletas de pago y otras), el pago y retención de las cotizaciones previsionales, así como las obligaciones contractuales y legales referidas a la seguridad e higiene ocupacional.</w:t>
      </w:r>
    </w:p>
    <w:p w14:paraId="0435094B" w14:textId="77777777" w:rsidR="004412F1" w:rsidRDefault="004412F1">
      <w:pPr>
        <w:jc w:val="both"/>
        <w:rPr>
          <w:lang w:val="es-PE"/>
        </w:rPr>
      </w:pPr>
    </w:p>
    <w:p w14:paraId="01B22B16" w14:textId="77777777" w:rsidR="004412F1" w:rsidRDefault="005A12A3">
      <w:pPr>
        <w:numPr>
          <w:ilvl w:val="1"/>
          <w:numId w:val="122"/>
        </w:numPr>
        <w:jc w:val="both"/>
        <w:rPr>
          <w:lang w:val="es-PE"/>
        </w:rPr>
      </w:pPr>
      <w:r>
        <w:rPr>
          <w:lang w:val="es-PE"/>
        </w:rPr>
        <w:tab/>
        <w:t>El CONCESIONARIO deberá contar con un equipo de personal que ante cualquier situación de emergencia garantice la prestación adecuada del Servicio durante las veinticuatro (24) horas del día.</w:t>
      </w:r>
    </w:p>
    <w:p w14:paraId="2B2B9E3F" w14:textId="77777777" w:rsidR="004412F1" w:rsidRDefault="004412F1">
      <w:pPr>
        <w:jc w:val="both"/>
        <w:rPr>
          <w:lang w:val="es-PE"/>
        </w:rPr>
      </w:pPr>
    </w:p>
    <w:p w14:paraId="436293A8" w14:textId="77777777" w:rsidR="004412F1" w:rsidRDefault="005A12A3">
      <w:pPr>
        <w:numPr>
          <w:ilvl w:val="1"/>
          <w:numId w:val="122"/>
        </w:numPr>
        <w:jc w:val="both"/>
        <w:rPr>
          <w:lang w:val="es-PE"/>
        </w:rPr>
      </w:pPr>
      <w:r>
        <w:rPr>
          <w:lang w:val="es-PE"/>
        </w:rPr>
        <w:tab/>
        <w:t>En caso se produzca la Caducidad de la Concesión, el CONCESIONARIO es responsable exclusivo del pago de todos los beneficios laborales, tales como remuneraciones, condiciones de trabajo y demás beneficios convencionales o unilaterales, adeudados a sus trabajadores hasta la fecha en que se produjo la Caducidad de la Concesión. El CONCEDENTE no será responsable, en ningún caso, de dichos adeudos.</w:t>
      </w:r>
    </w:p>
    <w:p w14:paraId="37C76A6D" w14:textId="77777777" w:rsidR="004412F1" w:rsidRDefault="004412F1">
      <w:pPr>
        <w:jc w:val="both"/>
        <w:rPr>
          <w:lang w:val="es-PE"/>
        </w:rPr>
      </w:pPr>
    </w:p>
    <w:p w14:paraId="784A9BA1" w14:textId="77777777" w:rsidR="004412F1" w:rsidRDefault="005A12A3">
      <w:pPr>
        <w:ind w:left="705"/>
        <w:jc w:val="both"/>
        <w:rPr>
          <w:rFonts w:eastAsia="Times New Roman"/>
          <w:bCs/>
          <w:szCs w:val="18"/>
          <w:lang w:val="es-ES" w:eastAsia="es-ES"/>
        </w:rPr>
      </w:pPr>
      <w:r>
        <w:rPr>
          <w:lang w:val="es-PE"/>
        </w:rPr>
        <w:t xml:space="preserve">En el supuesto que judicialmente se </w:t>
      </w:r>
      <w:proofErr w:type="gramStart"/>
      <w:r>
        <w:rPr>
          <w:lang w:val="es-PE"/>
        </w:rPr>
        <w:t>ordenara</w:t>
      </w:r>
      <w:proofErr w:type="gramEnd"/>
      <w:r>
        <w:rPr>
          <w:lang w:val="es-PE"/>
        </w:rPr>
        <w:t xml:space="preserve"> al CONCEDENTE a pagar alguna acreencia laboral, que se hubiese generado mientras se encuentre en vigencia la Concesión, este podrá repetir contra el CONCESIONARIO.</w:t>
      </w:r>
    </w:p>
    <w:p w14:paraId="61416CFE" w14:textId="77777777" w:rsidR="004412F1" w:rsidRDefault="004412F1">
      <w:pPr>
        <w:jc w:val="both"/>
        <w:rPr>
          <w:lang w:val="es-PE"/>
        </w:rPr>
      </w:pPr>
    </w:p>
    <w:p w14:paraId="25FF2FB5" w14:textId="77777777" w:rsidR="004412F1" w:rsidRDefault="005A12A3">
      <w:pPr>
        <w:numPr>
          <w:ilvl w:val="1"/>
          <w:numId w:val="122"/>
        </w:numPr>
        <w:jc w:val="both"/>
        <w:rPr>
          <w:lang w:val="es-PE"/>
        </w:rPr>
      </w:pPr>
      <w:r>
        <w:rPr>
          <w:lang w:val="es-PE"/>
        </w:rPr>
        <w:lastRenderedPageBreak/>
        <w:tab/>
        <w:t xml:space="preserve">El CONCESIONARIO determinará libremente el número de personal que requiera contratar para la Explotación, incluyendo la operación de las unidades de peaje y sistema de pesaje. Sin embargo, el CONCESIONARIO dará prioridad en la contratación a los trabajadores que venían operando en los </w:t>
      </w:r>
      <w:proofErr w:type="gramStart"/>
      <w:r>
        <w:rPr>
          <w:lang w:val="es-PE"/>
        </w:rPr>
        <w:t>Sub Tramos</w:t>
      </w:r>
      <w:proofErr w:type="gramEnd"/>
      <w:r>
        <w:rPr>
          <w:lang w:val="es-PE"/>
        </w:rPr>
        <w:t>, en cuyo caso dichos trabajadores deberán haber sido previamente liquidados por el CONCEDENTE o por quien corresponda.</w:t>
      </w:r>
    </w:p>
    <w:p w14:paraId="49D5E7A7" w14:textId="77777777" w:rsidR="004412F1" w:rsidRDefault="004412F1">
      <w:pPr>
        <w:jc w:val="both"/>
        <w:rPr>
          <w:b/>
          <w:lang w:val="es-PE"/>
        </w:rPr>
      </w:pPr>
    </w:p>
    <w:p w14:paraId="2E24D4A6" w14:textId="77777777" w:rsidR="004412F1" w:rsidRDefault="005A12A3">
      <w:pPr>
        <w:pStyle w:val="Ttulo2"/>
        <w:ind w:left="0"/>
        <w:rPr>
          <w:rFonts w:ascii="Arial" w:eastAsia="Arial" w:hAnsi="Arial" w:cs="Arial"/>
          <w:b/>
          <w:bCs/>
          <w:u w:val="none"/>
        </w:rPr>
      </w:pPr>
      <w:bookmarkStart w:id="2203" w:name="_RELACIONES_CON_EL"/>
      <w:bookmarkStart w:id="2204" w:name="_3ud1p6f"/>
      <w:bookmarkStart w:id="2205" w:name="_Toc131328836"/>
      <w:bookmarkStart w:id="2206" w:name="_Toc131329404"/>
      <w:bookmarkStart w:id="2207" w:name="_Toc131328020"/>
      <w:bookmarkStart w:id="2208" w:name="_Toc131332999"/>
      <w:bookmarkStart w:id="2209" w:name="_Toc131329172"/>
      <w:bookmarkStart w:id="2210" w:name="_Toc131329991"/>
      <w:bookmarkStart w:id="2211" w:name="_Toc468837688"/>
      <w:bookmarkStart w:id="2212" w:name="_Toc139294789"/>
      <w:bookmarkStart w:id="2213" w:name="_Toc131332078"/>
      <w:bookmarkStart w:id="2214" w:name="_Toc140089388"/>
      <w:bookmarkEnd w:id="2203"/>
      <w:bookmarkEnd w:id="2204"/>
      <w:r>
        <w:rPr>
          <w:rFonts w:ascii="Arial" w:eastAsia="Arial" w:hAnsi="Arial" w:cs="Arial"/>
          <w:b/>
          <w:bCs/>
          <w:u w:val="none"/>
        </w:rPr>
        <w:t>RELACIONES CON EL SOCIO ESTRATÉGICO</w:t>
      </w:r>
      <w:bookmarkEnd w:id="2205"/>
      <w:bookmarkEnd w:id="2206"/>
      <w:bookmarkEnd w:id="2207"/>
      <w:bookmarkEnd w:id="2208"/>
      <w:bookmarkEnd w:id="2209"/>
      <w:bookmarkEnd w:id="2210"/>
      <w:bookmarkEnd w:id="2211"/>
      <w:bookmarkEnd w:id="2212"/>
      <w:bookmarkEnd w:id="2213"/>
      <w:bookmarkEnd w:id="2214"/>
    </w:p>
    <w:p w14:paraId="55FEBC1F" w14:textId="77777777" w:rsidR="004412F1" w:rsidRDefault="004412F1">
      <w:pPr>
        <w:jc w:val="both"/>
      </w:pPr>
    </w:p>
    <w:p w14:paraId="2883C69B" w14:textId="77777777" w:rsidR="004412F1" w:rsidRDefault="005A12A3">
      <w:pPr>
        <w:numPr>
          <w:ilvl w:val="1"/>
          <w:numId w:val="122"/>
        </w:numPr>
        <w:jc w:val="both"/>
        <w:rPr>
          <w:lang w:val="es-PE"/>
        </w:rPr>
      </w:pPr>
      <w:bookmarkStart w:id="2215" w:name="_29ibze8"/>
      <w:bookmarkStart w:id="2216" w:name="_Ref271730191"/>
      <w:bookmarkEnd w:id="2215"/>
      <w:r>
        <w:rPr>
          <w:lang w:val="es-PE"/>
        </w:rPr>
        <w:t>El Socio Estratégico, a la Fecha de Suscripción del Contrato, deberá comprometerse a:</w:t>
      </w:r>
      <w:bookmarkEnd w:id="2216"/>
    </w:p>
    <w:p w14:paraId="6266FDE0" w14:textId="77777777" w:rsidR="004412F1" w:rsidRDefault="004412F1">
      <w:pPr>
        <w:jc w:val="both"/>
        <w:rPr>
          <w:color w:val="000000"/>
          <w:lang w:val="es-PE"/>
        </w:rPr>
      </w:pPr>
    </w:p>
    <w:p w14:paraId="242664DA" w14:textId="77777777" w:rsidR="004412F1" w:rsidRDefault="005A12A3">
      <w:pPr>
        <w:numPr>
          <w:ilvl w:val="0"/>
          <w:numId w:val="125"/>
        </w:numPr>
        <w:tabs>
          <w:tab w:val="left" w:pos="1134"/>
        </w:tabs>
        <w:ind w:left="1134" w:hanging="425"/>
        <w:jc w:val="both"/>
        <w:rPr>
          <w:color w:val="000000"/>
          <w:lang w:val="es-PE"/>
        </w:rPr>
      </w:pPr>
      <w:r>
        <w:rPr>
          <w:color w:val="000000"/>
          <w:lang w:val="es-PE"/>
        </w:rPr>
        <w:t xml:space="preserve">Ajustar su conducta en las Juntas Generales del CONCESIONARIO de modo tal que faciliten con su voto los acuerdos y decisiones del máximo órgano de la sociedad en favor de asuntos vinculados con la cabal ejecución del Contrato. </w:t>
      </w:r>
    </w:p>
    <w:p w14:paraId="6FF7B6F0" w14:textId="77777777" w:rsidR="004412F1" w:rsidRDefault="004412F1">
      <w:pPr>
        <w:ind w:left="1134" w:hanging="425"/>
        <w:jc w:val="both"/>
        <w:rPr>
          <w:color w:val="000000"/>
          <w:sz w:val="16"/>
          <w:lang w:val="es-PE"/>
        </w:rPr>
      </w:pPr>
    </w:p>
    <w:p w14:paraId="0D321ACA" w14:textId="77777777" w:rsidR="004412F1" w:rsidRDefault="005A12A3">
      <w:pPr>
        <w:numPr>
          <w:ilvl w:val="0"/>
          <w:numId w:val="125"/>
        </w:numPr>
        <w:tabs>
          <w:tab w:val="left" w:pos="1134"/>
        </w:tabs>
        <w:ind w:left="1134" w:hanging="425"/>
        <w:jc w:val="both"/>
        <w:rPr>
          <w:color w:val="000000"/>
          <w:lang w:val="es-PE"/>
        </w:rPr>
      </w:pPr>
      <w:r>
        <w:rPr>
          <w:color w:val="000000"/>
          <w:lang w:val="es-PE"/>
        </w:rPr>
        <w:t xml:space="preserve">No impedir con sus actos u omisiones que el CONCESIONARIO desarrolle normalmente sus actividades y en especial aquellas que impliquen la ejecución del Contrato. </w:t>
      </w:r>
    </w:p>
    <w:p w14:paraId="563A65C3" w14:textId="77777777" w:rsidR="004412F1" w:rsidRDefault="004412F1">
      <w:pPr>
        <w:ind w:left="709"/>
        <w:jc w:val="both"/>
        <w:rPr>
          <w:color w:val="000000"/>
          <w:sz w:val="16"/>
          <w:lang w:val="es-PE"/>
        </w:rPr>
      </w:pPr>
    </w:p>
    <w:p w14:paraId="195ED464" w14:textId="77777777" w:rsidR="004412F1" w:rsidRDefault="005A12A3">
      <w:pPr>
        <w:numPr>
          <w:ilvl w:val="0"/>
          <w:numId w:val="125"/>
        </w:numPr>
        <w:tabs>
          <w:tab w:val="left" w:pos="1134"/>
        </w:tabs>
        <w:ind w:left="1134" w:hanging="425"/>
        <w:jc w:val="both"/>
        <w:rPr>
          <w:color w:val="000000"/>
          <w:lang w:val="es-PE"/>
        </w:rPr>
      </w:pPr>
      <w:r>
        <w:rPr>
          <w:color w:val="000000"/>
          <w:lang w:val="es-PE"/>
        </w:rPr>
        <w:t>Asumir las obligaciones, responsabilidades y garantías que le corresponda conforme a este Contrato y demás convenios vinculados.</w:t>
      </w:r>
    </w:p>
    <w:p w14:paraId="6606BF0B" w14:textId="77777777" w:rsidR="004412F1" w:rsidRDefault="004412F1">
      <w:pPr>
        <w:ind w:firstLine="60"/>
        <w:jc w:val="both"/>
        <w:rPr>
          <w:color w:val="000000"/>
          <w:sz w:val="16"/>
          <w:lang w:val="es-PE"/>
        </w:rPr>
      </w:pPr>
    </w:p>
    <w:p w14:paraId="2BDBE41C" w14:textId="77777777" w:rsidR="004412F1" w:rsidRDefault="005A12A3">
      <w:pPr>
        <w:numPr>
          <w:ilvl w:val="0"/>
          <w:numId w:val="125"/>
        </w:numPr>
        <w:tabs>
          <w:tab w:val="left" w:pos="1134"/>
        </w:tabs>
        <w:ind w:left="1134" w:hanging="425"/>
        <w:jc w:val="both"/>
        <w:rPr>
          <w:color w:val="000000"/>
          <w:lang w:val="es-PE"/>
        </w:rPr>
      </w:pPr>
      <w:r>
        <w:rPr>
          <w:color w:val="000000"/>
          <w:lang w:val="es-PE"/>
        </w:rPr>
        <w:t xml:space="preserve">Oponerse, a cualquier moción que presente un accionista o socio del CONCESIONARIO que proponga un aumento del capital social respecto del cual el Socio Estratégico no esté en capacidad de ejercer su derecho de suscripción preferente que le permita, cuando menos, seguir manteniendo la Participación Mínima en el CONCESIONARIO. </w:t>
      </w:r>
    </w:p>
    <w:p w14:paraId="2DCADB38" w14:textId="77777777" w:rsidR="004412F1" w:rsidRDefault="004412F1">
      <w:pPr>
        <w:tabs>
          <w:tab w:val="left" w:pos="1134"/>
        </w:tabs>
        <w:ind w:left="709"/>
        <w:jc w:val="both"/>
        <w:rPr>
          <w:rFonts w:ascii="Courier New" w:eastAsia="Courier New" w:hAnsi="Courier New"/>
          <w:color w:val="000000"/>
          <w:lang w:val="es-PE"/>
        </w:rPr>
      </w:pPr>
    </w:p>
    <w:p w14:paraId="5A48AD0A" w14:textId="77777777" w:rsidR="004412F1" w:rsidRDefault="005A12A3">
      <w:pPr>
        <w:pStyle w:val="Ttulo2"/>
        <w:ind w:left="0"/>
        <w:jc w:val="both"/>
        <w:rPr>
          <w:lang w:val="es-PE"/>
        </w:rPr>
      </w:pPr>
      <w:bookmarkStart w:id="2217" w:name="_onm9m1" w:colFirst="0" w:colLast="0"/>
      <w:bookmarkStart w:id="2218" w:name="_Toc468837689"/>
      <w:bookmarkStart w:id="2219" w:name="_Toc139294790"/>
      <w:bookmarkStart w:id="2220" w:name="_Toc140089389"/>
      <w:bookmarkEnd w:id="2217"/>
      <w:r>
        <w:rPr>
          <w:rFonts w:ascii="Arial" w:hAnsi="Arial"/>
          <w:b/>
          <w:u w:val="none"/>
          <w:lang w:val="es-PE"/>
        </w:rPr>
        <w:t xml:space="preserve">CONTRATOS DE </w:t>
      </w:r>
      <w:r>
        <w:rPr>
          <w:rFonts w:ascii="Arial" w:eastAsia="Arial" w:hAnsi="Arial" w:cs="Arial"/>
          <w:b/>
          <w:bCs/>
          <w:u w:val="none"/>
          <w:lang w:val="es-PE"/>
        </w:rPr>
        <w:t>EJECUCIÓN</w:t>
      </w:r>
      <w:r>
        <w:rPr>
          <w:rFonts w:ascii="Arial" w:hAnsi="Arial"/>
          <w:b/>
          <w:u w:val="none"/>
          <w:lang w:val="es-PE"/>
        </w:rPr>
        <w:t xml:space="preserve"> DE </w:t>
      </w:r>
      <w:bookmarkEnd w:id="2218"/>
      <w:r>
        <w:rPr>
          <w:rFonts w:ascii="Arial" w:eastAsia="Arial" w:hAnsi="Arial" w:cs="Arial"/>
          <w:b/>
          <w:bCs/>
          <w:u w:val="none"/>
          <w:lang w:val="es-PE"/>
        </w:rPr>
        <w:t>LAS INTERVENCIONES</w:t>
      </w:r>
      <w:bookmarkEnd w:id="2219"/>
      <w:bookmarkEnd w:id="2220"/>
    </w:p>
    <w:p w14:paraId="31232D3A" w14:textId="77777777" w:rsidR="004412F1" w:rsidRDefault="004412F1">
      <w:pPr>
        <w:tabs>
          <w:tab w:val="left" w:pos="5170"/>
        </w:tabs>
        <w:rPr>
          <w:lang w:val="es-PE"/>
        </w:rPr>
      </w:pPr>
      <w:bookmarkStart w:id="2221" w:name="_38n9s9u" w:colFirst="0" w:colLast="0"/>
      <w:bookmarkStart w:id="2222" w:name="_Toc106666591"/>
      <w:bookmarkStart w:id="2223" w:name="_Toc82859817"/>
      <w:bookmarkStart w:id="2224" w:name="_Toc82858741"/>
      <w:bookmarkStart w:id="2225" w:name="_Toc82859397"/>
      <w:bookmarkStart w:id="2226" w:name="_Toc82859610"/>
      <w:bookmarkStart w:id="2227" w:name="_Toc82860835"/>
      <w:bookmarkStart w:id="2228" w:name="_Toc106603981"/>
      <w:bookmarkStart w:id="2229" w:name="_Toc82859181"/>
      <w:bookmarkStart w:id="2230" w:name="_Toc82860023"/>
      <w:bookmarkStart w:id="2231" w:name="_Toc82858962"/>
      <w:bookmarkStart w:id="2232" w:name="_Toc82860228"/>
      <w:bookmarkStart w:id="2233" w:name="_Toc82860433"/>
      <w:bookmarkEnd w:id="2221"/>
    </w:p>
    <w:p w14:paraId="2D8AE6AF" w14:textId="77777777" w:rsidR="004412F1" w:rsidRDefault="005A12A3">
      <w:pPr>
        <w:numPr>
          <w:ilvl w:val="1"/>
          <w:numId w:val="122"/>
        </w:numPr>
        <w:jc w:val="both"/>
        <w:rPr>
          <w:lang w:val="es-PE"/>
        </w:rPr>
      </w:pPr>
      <w:bookmarkStart w:id="2234" w:name="_1nsk2hn"/>
      <w:bookmarkStart w:id="2235" w:name="_Toc199177243"/>
      <w:bookmarkEnd w:id="2222"/>
      <w:bookmarkEnd w:id="2223"/>
      <w:bookmarkEnd w:id="2224"/>
      <w:bookmarkEnd w:id="2225"/>
      <w:bookmarkEnd w:id="2226"/>
      <w:bookmarkEnd w:id="2227"/>
      <w:bookmarkEnd w:id="2228"/>
      <w:bookmarkEnd w:id="2229"/>
      <w:bookmarkEnd w:id="2230"/>
      <w:bookmarkEnd w:id="2231"/>
      <w:bookmarkEnd w:id="2232"/>
      <w:bookmarkEnd w:id="2233"/>
      <w:bookmarkEnd w:id="2234"/>
      <w:r>
        <w:rPr>
          <w:lang w:val="es-PE"/>
        </w:rPr>
        <w:t xml:space="preserve">A la fecha de inicio de la ejecución de cada una de las Intervenciones, el CONCESIONARIO deberá haber cumplido con suscribir con una o varias empresas, de acuerdo con lo señalado en las Bases del Concurso, uno o más contratos con el(los) Constructor(es) en los términos y condiciones establecidos en las Bases. </w:t>
      </w:r>
      <w:bookmarkEnd w:id="2235"/>
    </w:p>
    <w:p w14:paraId="44C08E88" w14:textId="77777777" w:rsidR="004412F1" w:rsidRDefault="004412F1">
      <w:pPr>
        <w:ind w:left="709" w:hanging="709"/>
        <w:jc w:val="both"/>
        <w:rPr>
          <w:lang w:val="es-PE"/>
        </w:rPr>
      </w:pPr>
    </w:p>
    <w:p w14:paraId="2A28D1C5" w14:textId="77777777" w:rsidR="004412F1" w:rsidRDefault="005A12A3">
      <w:pPr>
        <w:ind w:left="708"/>
        <w:jc w:val="both"/>
        <w:rPr>
          <w:rFonts w:eastAsia="Times New Roman"/>
          <w:bCs/>
          <w:szCs w:val="18"/>
          <w:lang w:val="es-ES" w:eastAsia="es-ES"/>
        </w:rPr>
      </w:pPr>
      <w:r>
        <w:rPr>
          <w:lang w:val="es-PE"/>
        </w:rPr>
        <w:t xml:space="preserve">El contrato con el o los Constructores no dará a estos ningún derecho invocable ni susceptible de hacer valer directamente frente al CONCEDENTE por ninguna causa o motivo y </w:t>
      </w:r>
      <w:proofErr w:type="gramStart"/>
      <w:r>
        <w:rPr>
          <w:lang w:val="es-PE"/>
        </w:rPr>
        <w:t>bajo ninguna circunstancia</w:t>
      </w:r>
      <w:proofErr w:type="gramEnd"/>
      <w:r>
        <w:rPr>
          <w:lang w:val="es-PE"/>
        </w:rPr>
        <w:t>, toda vez que la relación contractual es entre el CONCESIONARIO y Constructor (es), no teniendo este último con el CONCEDENTE vínculo alguno.</w:t>
      </w:r>
    </w:p>
    <w:p w14:paraId="7B044EA6" w14:textId="77777777" w:rsidR="004412F1" w:rsidRDefault="004412F1">
      <w:pPr>
        <w:ind w:left="708"/>
        <w:jc w:val="both"/>
        <w:rPr>
          <w:lang w:val="es-PE"/>
        </w:rPr>
      </w:pPr>
    </w:p>
    <w:p w14:paraId="6F4A3F92" w14:textId="77777777" w:rsidR="004412F1" w:rsidRDefault="005A12A3">
      <w:pPr>
        <w:ind w:left="708"/>
        <w:jc w:val="both"/>
        <w:rPr>
          <w:rFonts w:eastAsia="Times New Roman"/>
          <w:bCs/>
          <w:szCs w:val="18"/>
          <w:lang w:val="es-ES" w:eastAsia="es-ES"/>
        </w:rPr>
      </w:pPr>
      <w:r>
        <w:rPr>
          <w:lang w:val="es-PE"/>
        </w:rPr>
        <w:t xml:space="preserve">Para cualquier modificación en los contratos suscritos por el CONCESIONARIO con el o los Constructores, que hayan acreditado el cumplimiento de los requisitos durante la etapa del concurso, </w:t>
      </w:r>
      <w:r>
        <w:rPr>
          <w:rFonts w:eastAsia="Times New Roman"/>
          <w:bCs/>
          <w:szCs w:val="18"/>
          <w:lang w:val="es-ES" w:eastAsia="es-ES"/>
        </w:rPr>
        <w:t xml:space="preserve">o en caso de celebrarse nuevos contratos </w:t>
      </w:r>
      <w:r>
        <w:rPr>
          <w:lang w:val="es-PE"/>
        </w:rPr>
        <w:t>para la ejecución de las Intervenciones, será de observancia obligatoria lo siguiente:</w:t>
      </w:r>
    </w:p>
    <w:p w14:paraId="0E75BB41" w14:textId="77777777" w:rsidR="004412F1" w:rsidRDefault="004412F1">
      <w:pPr>
        <w:ind w:left="708"/>
        <w:jc w:val="both"/>
        <w:rPr>
          <w:lang w:val="es-PE"/>
        </w:rPr>
      </w:pPr>
    </w:p>
    <w:p w14:paraId="559D5FCA" w14:textId="77777777" w:rsidR="004412F1" w:rsidRDefault="005A12A3">
      <w:pPr>
        <w:ind w:left="993" w:hanging="284"/>
        <w:jc w:val="both"/>
        <w:rPr>
          <w:lang w:val="es-PE"/>
        </w:rPr>
      </w:pPr>
      <w:r>
        <w:rPr>
          <w:lang w:val="es-PE"/>
        </w:rPr>
        <w:t xml:space="preserve">a) Las modificaciones contractuales deberán ser puestas en conocimiento del CONCEDENTE y el REGULADOR; b) las modificaciones que impliquen cambios del Constructor (es), así como la celebración de nuevos contratos de construcción, requerirán de la aprobación previa del CONCEDENTE, quien para tal efecto deberá solicitar la opinión previa del REGULADOR; en </w:t>
      </w:r>
      <w:r>
        <w:rPr>
          <w:lang w:val="es-PE"/>
        </w:rPr>
        <w:lastRenderedPageBreak/>
        <w:t>cualquiera de los casos, se deberá velar por el cumplimiento de los requisitos técnicos exigidos en las Bases del Concurso, de modo tal que durante la vigencia del Contrato se cumpla en todo momento con dichos requisitos.</w:t>
      </w:r>
    </w:p>
    <w:p w14:paraId="1170A48C" w14:textId="77777777" w:rsidR="004412F1" w:rsidRDefault="004412F1">
      <w:pPr>
        <w:ind w:left="709"/>
        <w:jc w:val="both"/>
        <w:rPr>
          <w:lang w:val="es-PE"/>
        </w:rPr>
      </w:pPr>
    </w:p>
    <w:p w14:paraId="2965525F" w14:textId="77777777" w:rsidR="004412F1" w:rsidRDefault="005A12A3">
      <w:pPr>
        <w:ind w:left="993" w:hanging="284"/>
        <w:jc w:val="both"/>
        <w:rPr>
          <w:color w:val="000000"/>
          <w:lang w:val="es-PE"/>
        </w:rPr>
      </w:pPr>
      <w:r>
        <w:rPr>
          <w:color w:val="000000"/>
          <w:lang w:val="es-PE"/>
        </w:rPr>
        <w:t xml:space="preserve">b) </w:t>
      </w:r>
      <w:r>
        <w:rPr>
          <w:lang w:val="es-PE"/>
        </w:rPr>
        <w:t>El</w:t>
      </w:r>
      <w:r>
        <w:rPr>
          <w:color w:val="000000"/>
          <w:lang w:val="es-PE"/>
        </w:rPr>
        <w:t xml:space="preserve"> CONCEDENTE sólo podrá oponerse al cambio de Constructor (es) o a la celebración de nuevos contratos de construcción antes referidos, en caso se verifique que el Constructor propuesto no cumpla con las condiciones técnicas mínimas previstas en las Bases. El CONCEDENTE deberá emitir su opinión en el plazo de treinta (30) Días de presentada la solicitud del CONCESIONARIO. Si el CONCEDENTE no se pronunciase en el plazo establecido, se entenderá que la propuesta ha sido aceptada. La solicitud de cambio de Constructor (es) no implicará en ningún caso la extensión del plazo de ejecución de cada una de las Intervenciones, siendo los gastos generales que se generen durante dicho período asumidos por el CONCESIONARIO.</w:t>
      </w:r>
    </w:p>
    <w:p w14:paraId="2F15D33D" w14:textId="77777777" w:rsidR="004412F1" w:rsidRDefault="004412F1">
      <w:pPr>
        <w:ind w:left="708"/>
        <w:jc w:val="both"/>
        <w:rPr>
          <w:color w:val="000000"/>
          <w:spacing w:val="-3"/>
          <w:lang w:val="es-PE"/>
        </w:rPr>
      </w:pPr>
    </w:p>
    <w:p w14:paraId="7355A4FF" w14:textId="77777777" w:rsidR="004412F1" w:rsidRDefault="004412F1">
      <w:pPr>
        <w:ind w:left="708"/>
        <w:jc w:val="both"/>
        <w:rPr>
          <w:color w:val="000000"/>
          <w:spacing w:val="-3"/>
          <w:lang w:val="es-PE"/>
        </w:rPr>
      </w:pPr>
    </w:p>
    <w:p w14:paraId="37A7C2AC" w14:textId="77777777" w:rsidR="004412F1" w:rsidRDefault="005A12A3">
      <w:pPr>
        <w:pStyle w:val="Ttulo1"/>
        <w:jc w:val="both"/>
        <w:rPr>
          <w:lang w:val="es-PE"/>
        </w:rPr>
      </w:pPr>
      <w:bookmarkStart w:id="2236" w:name="_47s7l5g"/>
      <w:bookmarkStart w:id="2237" w:name="_Toc131332082"/>
      <w:bookmarkStart w:id="2238" w:name="_Toc131329995"/>
      <w:bookmarkStart w:id="2239" w:name="_Toc131329408"/>
      <w:bookmarkStart w:id="2240" w:name="_Toc139294791"/>
      <w:bookmarkStart w:id="2241" w:name="_Toc468837690"/>
      <w:bookmarkStart w:id="2242" w:name="_Toc131328840"/>
      <w:bookmarkStart w:id="2243" w:name="_Toc131329176"/>
      <w:bookmarkStart w:id="2244" w:name="_Toc55906408"/>
      <w:bookmarkStart w:id="2245" w:name="_Toc131333003"/>
      <w:bookmarkStart w:id="2246" w:name="_Toc131328024"/>
      <w:bookmarkStart w:id="2247" w:name="_Toc140089390"/>
      <w:bookmarkEnd w:id="2236"/>
      <w:r>
        <w:rPr>
          <w:lang w:val="es-PE"/>
        </w:rPr>
        <w:t>CAPÍTULO XV: COMPETENCIAS ADMINISTRATIVAS</w:t>
      </w:r>
      <w:bookmarkEnd w:id="2237"/>
      <w:bookmarkEnd w:id="2238"/>
      <w:bookmarkEnd w:id="2239"/>
      <w:bookmarkEnd w:id="2240"/>
      <w:bookmarkEnd w:id="2241"/>
      <w:bookmarkEnd w:id="2242"/>
      <w:bookmarkEnd w:id="2243"/>
      <w:bookmarkEnd w:id="2244"/>
      <w:bookmarkEnd w:id="2245"/>
      <w:bookmarkEnd w:id="2246"/>
      <w:bookmarkEnd w:id="2247"/>
    </w:p>
    <w:p w14:paraId="39E41A06" w14:textId="77777777" w:rsidR="004412F1" w:rsidRDefault="004412F1">
      <w:pPr>
        <w:jc w:val="both"/>
        <w:rPr>
          <w:lang w:val="es-PE"/>
        </w:rPr>
      </w:pPr>
    </w:p>
    <w:p w14:paraId="7EC73457" w14:textId="77777777" w:rsidR="004412F1" w:rsidRDefault="005A12A3">
      <w:pPr>
        <w:pStyle w:val="Ttulo2"/>
        <w:ind w:left="0"/>
        <w:rPr>
          <w:rFonts w:ascii="Arial" w:eastAsia="Arial" w:hAnsi="Arial" w:cs="Arial"/>
          <w:b/>
          <w:bCs/>
          <w:u w:val="none"/>
          <w:lang w:val="es-PE"/>
        </w:rPr>
      </w:pPr>
      <w:bookmarkStart w:id="2248" w:name="_2mxhvd9"/>
      <w:bookmarkStart w:id="2249" w:name="_Toc55906409"/>
      <w:bookmarkStart w:id="2250" w:name="_Toc131329996"/>
      <w:bookmarkStart w:id="2251" w:name="_Toc131328841"/>
      <w:bookmarkStart w:id="2252" w:name="_Toc131329177"/>
      <w:bookmarkStart w:id="2253" w:name="_Toc131328025"/>
      <w:bookmarkStart w:id="2254" w:name="_Toc139294792"/>
      <w:bookmarkStart w:id="2255" w:name="_Toc131332083"/>
      <w:bookmarkStart w:id="2256" w:name="_Toc131333004"/>
      <w:bookmarkStart w:id="2257" w:name="_Toc468837691"/>
      <w:bookmarkStart w:id="2258" w:name="_Toc131329409"/>
      <w:bookmarkStart w:id="2259" w:name="_Toc140089391"/>
      <w:bookmarkEnd w:id="2248"/>
      <w:r>
        <w:rPr>
          <w:rFonts w:ascii="Arial" w:eastAsia="Arial" w:hAnsi="Arial" w:cs="Arial"/>
          <w:b/>
          <w:bCs/>
          <w:u w:val="none"/>
          <w:lang w:val="es-PE"/>
        </w:rPr>
        <w:t>DISPOSICIONES COMUNES</w:t>
      </w:r>
      <w:bookmarkEnd w:id="2249"/>
      <w:bookmarkEnd w:id="2250"/>
      <w:bookmarkEnd w:id="2251"/>
      <w:bookmarkEnd w:id="2252"/>
      <w:bookmarkEnd w:id="2253"/>
      <w:bookmarkEnd w:id="2254"/>
      <w:bookmarkEnd w:id="2255"/>
      <w:bookmarkEnd w:id="2256"/>
      <w:bookmarkEnd w:id="2257"/>
      <w:bookmarkEnd w:id="2258"/>
      <w:bookmarkEnd w:id="2259"/>
    </w:p>
    <w:p w14:paraId="3B2FD77B" w14:textId="77777777" w:rsidR="004412F1" w:rsidRDefault="004412F1">
      <w:pPr>
        <w:jc w:val="both"/>
        <w:rPr>
          <w:lang w:val="es-PE"/>
        </w:rPr>
      </w:pPr>
    </w:p>
    <w:p w14:paraId="356A567C" w14:textId="77777777" w:rsidR="004412F1" w:rsidRDefault="005A12A3">
      <w:pPr>
        <w:numPr>
          <w:ilvl w:val="1"/>
          <w:numId w:val="126"/>
        </w:numPr>
        <w:jc w:val="both"/>
        <w:rPr>
          <w:lang w:val="es-PE"/>
        </w:rPr>
      </w:pPr>
      <w:r>
        <w:rPr>
          <w:lang w:val="es-PE"/>
        </w:rPr>
        <w:t>El CONCEDENTE y el REGULADOR cumplirán sus funciones relacionadas al presente Contrato, en estricto cumplimiento de las Leyes y Disposiciones Aplicables y dentro de sus respectivos ámbitos de competencia, para lo cual el CONCESIONARIO brindará las facilidades necesarias. El ejercicio de tales funciones, en ningún caso estará sujeto a autorizaciones, permisos o cualquier manifestación de voluntad del CONCESIONARIO. El CONCESIONARIO deberá prestar toda su colaboración para facilitar el cumplimiento de esas funciones, caso contrario será de aplicación lo dispuesto en el Reglamento de Incentivos, Infracciones y Sanciones de OSITRAN, aprobado mediante Resolución de Consejo Directivo Nº 009-2018-CD-OSITRAN, o la norma que lo sustituya, así como las demás Leyes y Disposiciones Aplicables.</w:t>
      </w:r>
    </w:p>
    <w:p w14:paraId="4B84B3DB" w14:textId="77777777" w:rsidR="004412F1" w:rsidRDefault="004412F1">
      <w:pPr>
        <w:jc w:val="both"/>
        <w:rPr>
          <w:b/>
          <w:color w:val="000000"/>
          <w:lang w:val="es-PE"/>
        </w:rPr>
      </w:pPr>
    </w:p>
    <w:p w14:paraId="3CF4A61C" w14:textId="77777777" w:rsidR="004412F1" w:rsidRDefault="005A12A3">
      <w:pPr>
        <w:pStyle w:val="Ttulo2"/>
        <w:ind w:left="0"/>
        <w:rPr>
          <w:b/>
          <w:bCs/>
        </w:rPr>
      </w:pPr>
      <w:bookmarkStart w:id="2260" w:name="_Toc139294793"/>
      <w:bookmarkStart w:id="2261" w:name="_Toc140089392"/>
      <w:r>
        <w:rPr>
          <w:rFonts w:ascii="Arial" w:eastAsia="Arial" w:hAnsi="Arial"/>
          <w:b/>
          <w:u w:val="none"/>
        </w:rPr>
        <w:t>OPINIONES PREVIAS</w:t>
      </w:r>
      <w:bookmarkEnd w:id="2260"/>
      <w:bookmarkEnd w:id="2261"/>
    </w:p>
    <w:p w14:paraId="109559F0" w14:textId="77777777" w:rsidR="004412F1" w:rsidRDefault="004412F1">
      <w:pPr>
        <w:jc w:val="both"/>
      </w:pPr>
    </w:p>
    <w:p w14:paraId="4CA816E4" w14:textId="77777777" w:rsidR="004412F1" w:rsidRDefault="005A12A3">
      <w:pPr>
        <w:numPr>
          <w:ilvl w:val="1"/>
          <w:numId w:val="126"/>
        </w:numPr>
        <w:jc w:val="both"/>
        <w:rPr>
          <w:lang w:val="es-PE"/>
        </w:rPr>
      </w:pPr>
      <w:r>
        <w:rPr>
          <w:lang w:val="es-PE"/>
        </w:rPr>
        <w:t xml:space="preserve">En los casos previstos en este Contrato en los que el ejercicio de las funciones que debe cumplir el CONCEDENTE o el REGULADOR requieran contar con una opinión previa, por parte de cualquiera de las entidades citadas, y que no se hubiesen establecido plazos, materias o procedimientos distintos para estos efectos, de manera expresa en las Cláusulas correspondientes, se deberán respetar las siguientes reglas supletorias: </w:t>
      </w:r>
    </w:p>
    <w:p w14:paraId="67830656" w14:textId="77777777" w:rsidR="004412F1" w:rsidRDefault="004412F1">
      <w:pPr>
        <w:jc w:val="both"/>
        <w:rPr>
          <w:lang w:val="es-PE"/>
        </w:rPr>
      </w:pPr>
    </w:p>
    <w:p w14:paraId="28970575" w14:textId="77777777" w:rsidR="004412F1" w:rsidRDefault="005A12A3">
      <w:pPr>
        <w:numPr>
          <w:ilvl w:val="0"/>
          <w:numId w:val="127"/>
        </w:numPr>
        <w:tabs>
          <w:tab w:val="left" w:pos="1134"/>
        </w:tabs>
        <w:ind w:left="1134" w:hanging="425"/>
        <w:jc w:val="both"/>
        <w:rPr>
          <w:color w:val="000000"/>
          <w:lang w:val="es-PE"/>
        </w:rPr>
      </w:pPr>
      <w:r>
        <w:rPr>
          <w:color w:val="000000"/>
          <w:lang w:val="es-PE"/>
        </w:rPr>
        <w:t>En los casos en los cuales una de las entidades sea responsable de formular una opinión, el plazo con el que contará la otra para emitir la suya será de la mitad del plazo más un Día con el que cuenta la entidad competente para pronunciarse conforme a lo previsto en este Contrato.</w:t>
      </w:r>
    </w:p>
    <w:p w14:paraId="44B928C7" w14:textId="77777777" w:rsidR="004412F1" w:rsidRDefault="005A12A3">
      <w:pPr>
        <w:numPr>
          <w:ilvl w:val="0"/>
          <w:numId w:val="127"/>
        </w:numPr>
        <w:tabs>
          <w:tab w:val="left" w:pos="1134"/>
        </w:tabs>
        <w:ind w:left="1134" w:hanging="425"/>
        <w:jc w:val="both"/>
        <w:rPr>
          <w:color w:val="000000"/>
          <w:lang w:val="es-PE"/>
        </w:rPr>
      </w:pPr>
      <w:r>
        <w:rPr>
          <w:color w:val="000000"/>
          <w:lang w:val="es-PE"/>
        </w:rPr>
        <w:t>El plazo máximo para emitir una opinión es de treinta (30) Días, salvo otras disposiciones expresas del Contrato. Este plazo se cuenta desde el día siguiente que la solicitud de opinión es recibida por la entidad correspondiente. En caso de presentar una misma solicitud en fechas distintas, se contará el plazo a partir de la notificación de la última solicitud.</w:t>
      </w:r>
    </w:p>
    <w:p w14:paraId="0E5E3AE1" w14:textId="77777777" w:rsidR="004412F1" w:rsidRDefault="005A12A3">
      <w:pPr>
        <w:numPr>
          <w:ilvl w:val="0"/>
          <w:numId w:val="127"/>
        </w:numPr>
        <w:tabs>
          <w:tab w:val="left" w:pos="1134"/>
        </w:tabs>
        <w:ind w:left="1134" w:hanging="425"/>
        <w:jc w:val="both"/>
        <w:rPr>
          <w:color w:val="000000"/>
          <w:lang w:val="es-PE"/>
        </w:rPr>
      </w:pPr>
      <w:r>
        <w:rPr>
          <w:color w:val="000000"/>
          <w:lang w:val="es-PE"/>
        </w:rPr>
        <w:t xml:space="preserve">En caso de requerir </w:t>
      </w:r>
      <w:proofErr w:type="gramStart"/>
      <w:r>
        <w:rPr>
          <w:color w:val="000000"/>
          <w:lang w:val="es-PE"/>
        </w:rPr>
        <w:t>mayor información</w:t>
      </w:r>
      <w:proofErr w:type="gramEnd"/>
      <w:r>
        <w:rPr>
          <w:color w:val="000000"/>
          <w:lang w:val="es-PE"/>
        </w:rPr>
        <w:t xml:space="preserve"> para emitir opinión, tanto el REGULADOR como el CONCEDENTE podrán optar por suspender el plazo mientras el CONCESIONARIO envía la información solicitada. El pedido de información deberá formularse dentro de los primeros diez (10) Días de </w:t>
      </w:r>
      <w:r>
        <w:rPr>
          <w:color w:val="000000"/>
          <w:lang w:val="es-PE"/>
        </w:rPr>
        <w:lastRenderedPageBreak/>
        <w:t>recibida la solicitud para emitir opinión, pudiendo repetirse el presente procedimiento hasta la entrega de la información solicitada al CONCESIONARIO.</w:t>
      </w:r>
    </w:p>
    <w:p w14:paraId="50058262" w14:textId="77777777" w:rsidR="004412F1" w:rsidRDefault="005A12A3">
      <w:pPr>
        <w:numPr>
          <w:ilvl w:val="0"/>
          <w:numId w:val="127"/>
        </w:numPr>
        <w:tabs>
          <w:tab w:val="left" w:pos="1134"/>
        </w:tabs>
        <w:ind w:left="1134" w:hanging="425"/>
        <w:jc w:val="both"/>
        <w:rPr>
          <w:color w:val="000000"/>
          <w:lang w:val="es-PE"/>
        </w:rPr>
      </w:pPr>
      <w:r>
        <w:rPr>
          <w:color w:val="000000"/>
          <w:lang w:val="es-PE"/>
        </w:rPr>
        <w:t>En caso una opinión no sea emitida dentro de los plazos señalados en el Contrato, incluida esta Cláusula o se haya incumplido en la entrega de información por el CONCEDENTE, el REGULADOR u otra entidad, se podrá prescindir de dicha opinión a efectos de cumplir con pronunciarse dentro de los plazos previstos contractualmente, salvo que la misma estuviera prevista expresamente en las Leyes y Disposiciones Aplicables como condición para la realización de algún acto.</w:t>
      </w:r>
    </w:p>
    <w:p w14:paraId="7E67CFBA" w14:textId="77777777" w:rsidR="004412F1" w:rsidRDefault="005A12A3">
      <w:pPr>
        <w:numPr>
          <w:ilvl w:val="0"/>
          <w:numId w:val="127"/>
        </w:numPr>
        <w:tabs>
          <w:tab w:val="left" w:pos="1134"/>
        </w:tabs>
        <w:ind w:left="1134" w:hanging="425"/>
        <w:jc w:val="both"/>
        <w:rPr>
          <w:color w:val="000000"/>
          <w:lang w:val="es-PE"/>
        </w:rPr>
      </w:pPr>
      <w:r>
        <w:rPr>
          <w:color w:val="000000"/>
          <w:lang w:val="es-PE"/>
        </w:rPr>
        <w:t xml:space="preserve">Las solicitudes de opiniones técnicas sobre renegociación y/o renovación del plazo de vigencia del contrato que se formulen al REGULADOR, se realizará </w:t>
      </w:r>
      <w:proofErr w:type="gramStart"/>
      <w:r>
        <w:rPr>
          <w:color w:val="000000"/>
          <w:lang w:val="es-PE"/>
        </w:rPr>
        <w:t>de acuerdo al</w:t>
      </w:r>
      <w:proofErr w:type="gramEnd"/>
      <w:r>
        <w:rPr>
          <w:color w:val="000000"/>
          <w:lang w:val="es-PE"/>
        </w:rPr>
        <w:t xml:space="preserve"> reglamento general del Organismo Supervisor de la Inversión en Infraestructura de Transporte de Uso Público – OSITRAN. </w:t>
      </w:r>
    </w:p>
    <w:p w14:paraId="6F990283" w14:textId="77777777" w:rsidR="004412F1" w:rsidRDefault="004412F1">
      <w:pPr>
        <w:ind w:left="698"/>
        <w:jc w:val="both"/>
        <w:rPr>
          <w:color w:val="000000"/>
          <w:lang w:val="es-PE"/>
        </w:rPr>
      </w:pPr>
    </w:p>
    <w:p w14:paraId="5C0243D0" w14:textId="77777777" w:rsidR="004412F1" w:rsidRDefault="005A12A3">
      <w:pPr>
        <w:numPr>
          <w:ilvl w:val="1"/>
          <w:numId w:val="126"/>
        </w:numPr>
        <w:jc w:val="both"/>
        <w:rPr>
          <w:lang w:val="es-PE"/>
        </w:rPr>
      </w:pPr>
      <w:r>
        <w:rPr>
          <w:lang w:val="es-PE"/>
        </w:rPr>
        <w:t>El CONCESIONARIO cumplirá con todos los requerimientos de información y procedimientos establecidos en este Contrato o que puedan ser establecidos por el CONCEDENTE y REGULADOR, en las materias de su competencia.</w:t>
      </w:r>
    </w:p>
    <w:p w14:paraId="5DF075E0" w14:textId="77777777" w:rsidR="004412F1" w:rsidRDefault="004412F1">
      <w:pPr>
        <w:jc w:val="both"/>
        <w:rPr>
          <w:lang w:val="es-PE"/>
        </w:rPr>
      </w:pPr>
    </w:p>
    <w:p w14:paraId="6CE7011E" w14:textId="77777777" w:rsidR="004412F1" w:rsidRDefault="005A12A3">
      <w:pPr>
        <w:ind w:left="705"/>
        <w:jc w:val="both"/>
        <w:rPr>
          <w:lang w:val="es-PE"/>
        </w:rPr>
      </w:pPr>
      <w:r>
        <w:rPr>
          <w:lang w:val="es-PE"/>
        </w:rPr>
        <w:t xml:space="preserve">El CONCESIONARIO deberá presentar los informes periódicos, estadísticas y cualquier otro dato con relación a sus actividades y operaciones, en las formas y plazos que establezcan el Contrato de Concesión o el CONCEDENTE y el REGULADOR en el respectivo requerimiento.   </w:t>
      </w:r>
    </w:p>
    <w:p w14:paraId="7522C791" w14:textId="77777777" w:rsidR="004412F1" w:rsidRDefault="004412F1">
      <w:pPr>
        <w:ind w:left="705"/>
        <w:jc w:val="both"/>
        <w:rPr>
          <w:lang w:val="es-PE"/>
        </w:rPr>
      </w:pPr>
    </w:p>
    <w:p w14:paraId="524F06A0" w14:textId="77777777" w:rsidR="004412F1" w:rsidRDefault="005A12A3">
      <w:pPr>
        <w:ind w:left="705"/>
        <w:jc w:val="both"/>
        <w:rPr>
          <w:lang w:val="es-PE"/>
        </w:rPr>
      </w:pPr>
      <w:r>
        <w:rPr>
          <w:lang w:val="es-PE"/>
        </w:rPr>
        <w:t xml:space="preserve">El CONCESIONARIO deberá facilitar la revisión de su documentación, archivos y otros datos que requieran el REGULADOR, con el fin de vigilar y hacer valer los términos de este Contrato. </w:t>
      </w:r>
    </w:p>
    <w:p w14:paraId="3CBE1931" w14:textId="77777777" w:rsidR="004412F1" w:rsidRDefault="004412F1">
      <w:pPr>
        <w:ind w:left="705"/>
        <w:jc w:val="both"/>
        <w:rPr>
          <w:lang w:val="es-PE"/>
        </w:rPr>
      </w:pPr>
    </w:p>
    <w:p w14:paraId="63D94A4F" w14:textId="77777777" w:rsidR="004412F1" w:rsidRDefault="005A12A3">
      <w:pPr>
        <w:ind w:left="705"/>
        <w:jc w:val="both"/>
        <w:rPr>
          <w:rFonts w:eastAsia="Times New Roman"/>
          <w:bCs/>
          <w:szCs w:val="18"/>
          <w:lang w:val="es-ES" w:eastAsia="es-ES"/>
        </w:rPr>
      </w:pPr>
      <w:r>
        <w:rPr>
          <w:lang w:val="es-PE"/>
        </w:rPr>
        <w:t>El incumplimiento de entrega de información a cargo del CONCESIONARIO se encuentra sometido a lo dispuesto por el Reglamento de Incentivos, Infracciones y Sanciones de OSITRAN.</w:t>
      </w:r>
    </w:p>
    <w:p w14:paraId="2204ACEA" w14:textId="77777777" w:rsidR="004412F1" w:rsidRDefault="004412F1">
      <w:pPr>
        <w:ind w:left="705"/>
        <w:jc w:val="both"/>
        <w:rPr>
          <w:lang w:val="es-PE"/>
        </w:rPr>
      </w:pPr>
    </w:p>
    <w:p w14:paraId="286A5C49" w14:textId="77777777" w:rsidR="004412F1" w:rsidRDefault="005A12A3">
      <w:pPr>
        <w:pStyle w:val="Ttulo2"/>
        <w:ind w:left="0"/>
        <w:rPr>
          <w:rFonts w:ascii="Arial" w:eastAsia="Arial" w:hAnsi="Arial" w:cs="Arial"/>
          <w:b/>
          <w:bCs/>
          <w:u w:val="none"/>
        </w:rPr>
      </w:pPr>
      <w:bookmarkStart w:id="2262" w:name="_122s5l2"/>
      <w:bookmarkStart w:id="2263" w:name="_Toc131333005"/>
      <w:bookmarkStart w:id="2264" w:name="_Toc131328842"/>
      <w:bookmarkStart w:id="2265" w:name="_Toc55906410"/>
      <w:bookmarkStart w:id="2266" w:name="_Toc139294794"/>
      <w:bookmarkStart w:id="2267" w:name="_Toc131329997"/>
      <w:bookmarkStart w:id="2268" w:name="_Toc468837692"/>
      <w:bookmarkStart w:id="2269" w:name="_Toc131329178"/>
      <w:bookmarkStart w:id="2270" w:name="_Toc131328026"/>
      <w:bookmarkStart w:id="2271" w:name="_Toc131329410"/>
      <w:bookmarkStart w:id="2272" w:name="_Toc131332084"/>
      <w:bookmarkStart w:id="2273" w:name="_Toc140089393"/>
      <w:bookmarkEnd w:id="2262"/>
      <w:r>
        <w:rPr>
          <w:rFonts w:ascii="Arial" w:eastAsia="Arial" w:hAnsi="Arial" w:cs="Arial"/>
          <w:b/>
          <w:bCs/>
          <w:u w:val="none"/>
        </w:rPr>
        <w:t>COMPETENCIAS Y FACULTADES DEL REGULADOR</w:t>
      </w:r>
      <w:bookmarkEnd w:id="2263"/>
      <w:bookmarkEnd w:id="2264"/>
      <w:bookmarkEnd w:id="2265"/>
      <w:bookmarkEnd w:id="2266"/>
      <w:bookmarkEnd w:id="2267"/>
      <w:bookmarkEnd w:id="2268"/>
      <w:bookmarkEnd w:id="2269"/>
      <w:bookmarkEnd w:id="2270"/>
      <w:bookmarkEnd w:id="2271"/>
      <w:bookmarkEnd w:id="2272"/>
      <w:bookmarkEnd w:id="2273"/>
    </w:p>
    <w:p w14:paraId="136316BE" w14:textId="77777777" w:rsidR="004412F1" w:rsidRDefault="004412F1">
      <w:pPr>
        <w:jc w:val="both"/>
      </w:pPr>
    </w:p>
    <w:p w14:paraId="5B6C2FAB" w14:textId="77777777" w:rsidR="004412F1" w:rsidRDefault="005A12A3">
      <w:pPr>
        <w:numPr>
          <w:ilvl w:val="1"/>
          <w:numId w:val="126"/>
        </w:numPr>
        <w:jc w:val="both"/>
        <w:rPr>
          <w:lang w:val="es-PE"/>
        </w:rPr>
      </w:pPr>
      <w:r>
        <w:rPr>
          <w:lang w:val="es-PE"/>
        </w:rPr>
        <w:t xml:space="preserve">El REGULADOR tiene competencia administrativa para ejercer todas las potestades atribuidas mediante la Ley Nº 27332 y Ley Nº 26917, así como sus normas modificatorias, complementarias y reglamentarias. </w:t>
      </w:r>
    </w:p>
    <w:p w14:paraId="606D993F" w14:textId="77777777" w:rsidR="004412F1" w:rsidRDefault="004412F1">
      <w:pPr>
        <w:ind w:left="705" w:hanging="705"/>
        <w:jc w:val="both"/>
        <w:rPr>
          <w:lang w:val="es-PE"/>
        </w:rPr>
      </w:pPr>
    </w:p>
    <w:p w14:paraId="679CF5D4" w14:textId="77777777" w:rsidR="004412F1" w:rsidRDefault="005A12A3">
      <w:pPr>
        <w:pStyle w:val="Ttulo2"/>
        <w:ind w:left="0"/>
        <w:rPr>
          <w:rFonts w:ascii="Arial" w:eastAsia="Arial" w:hAnsi="Arial" w:cs="Arial"/>
          <w:b/>
          <w:bCs/>
          <w:u w:val="none"/>
        </w:rPr>
      </w:pPr>
      <w:bookmarkStart w:id="2274" w:name="_3m2fo8v"/>
      <w:bookmarkStart w:id="2275" w:name="_Toc131328027"/>
      <w:bookmarkStart w:id="2276" w:name="_Toc131329179"/>
      <w:bookmarkStart w:id="2277" w:name="_Toc139294795"/>
      <w:bookmarkStart w:id="2278" w:name="_Toc131329411"/>
      <w:bookmarkStart w:id="2279" w:name="_Toc55906411"/>
      <w:bookmarkStart w:id="2280" w:name="_Toc131333006"/>
      <w:bookmarkStart w:id="2281" w:name="_Toc131329998"/>
      <w:bookmarkStart w:id="2282" w:name="_Toc131332085"/>
      <w:bookmarkStart w:id="2283" w:name="_Toc468837693"/>
      <w:bookmarkStart w:id="2284" w:name="_Toc131328843"/>
      <w:bookmarkStart w:id="2285" w:name="_Toc140089394"/>
      <w:bookmarkEnd w:id="2274"/>
      <w:r>
        <w:rPr>
          <w:rFonts w:ascii="Arial" w:eastAsia="Arial" w:hAnsi="Arial" w:cs="Arial"/>
          <w:b/>
          <w:bCs/>
          <w:u w:val="none"/>
        </w:rPr>
        <w:t>DE LA FUNCIÓN DE SUPERVISIÓN</w:t>
      </w:r>
      <w:bookmarkEnd w:id="2275"/>
      <w:bookmarkEnd w:id="2276"/>
      <w:bookmarkEnd w:id="2277"/>
      <w:bookmarkEnd w:id="2278"/>
      <w:bookmarkEnd w:id="2279"/>
      <w:bookmarkEnd w:id="2280"/>
      <w:bookmarkEnd w:id="2281"/>
      <w:bookmarkEnd w:id="2282"/>
      <w:bookmarkEnd w:id="2283"/>
      <w:bookmarkEnd w:id="2284"/>
      <w:bookmarkEnd w:id="2285"/>
    </w:p>
    <w:p w14:paraId="0B8FAE18" w14:textId="77777777" w:rsidR="004412F1" w:rsidRDefault="004412F1">
      <w:pPr>
        <w:jc w:val="both"/>
        <w:rPr>
          <w:color w:val="000000"/>
        </w:rPr>
      </w:pPr>
    </w:p>
    <w:p w14:paraId="22168DA9" w14:textId="77777777" w:rsidR="004412F1" w:rsidRDefault="005A12A3">
      <w:pPr>
        <w:numPr>
          <w:ilvl w:val="1"/>
          <w:numId w:val="126"/>
        </w:numPr>
        <w:jc w:val="both"/>
        <w:rPr>
          <w:lang w:val="es-PE"/>
        </w:rPr>
      </w:pPr>
      <w:r>
        <w:rPr>
          <w:lang w:val="es-PE"/>
        </w:rPr>
        <w:t xml:space="preserve">El REGULADOR tiene competencia para la supervisión al CONCESIONARIO en el cumplimiento de las obligaciones legales, contractuales, técnicas o administrativas, en los aspectos del ámbito de su competencia, conforme a la Ley Nº 27332 y Nº 26917, y los reglamentos que dicte sobre la materia. El CONCESIONARIO deberá </w:t>
      </w:r>
      <w:proofErr w:type="gramStart"/>
      <w:r>
        <w:rPr>
          <w:lang w:val="es-PE"/>
        </w:rPr>
        <w:t>proceder a dar</w:t>
      </w:r>
      <w:proofErr w:type="gramEnd"/>
      <w:r>
        <w:rPr>
          <w:lang w:val="es-PE"/>
        </w:rPr>
        <w:t xml:space="preserve"> cumplimiento a las disposiciones impartidas por el REGULADOR.</w:t>
      </w:r>
    </w:p>
    <w:p w14:paraId="5645560C" w14:textId="77777777" w:rsidR="004412F1" w:rsidRDefault="004412F1">
      <w:pPr>
        <w:ind w:left="709" w:hanging="709"/>
        <w:jc w:val="both"/>
        <w:rPr>
          <w:lang w:val="es-PE"/>
        </w:rPr>
      </w:pPr>
    </w:p>
    <w:p w14:paraId="3D02F967" w14:textId="4FC70E6A" w:rsidR="004412F1" w:rsidRDefault="005A12A3">
      <w:pPr>
        <w:ind w:left="705"/>
        <w:jc w:val="both"/>
        <w:rPr>
          <w:lang w:val="es-PE"/>
        </w:rPr>
      </w:pPr>
      <w:r>
        <w:rPr>
          <w:lang w:val="es-PE"/>
        </w:rPr>
        <w:t>Los costos derivados de la actividad de supervisión serán asumidos por el CONCESIONARIO, quien pagará al REGULADOR los montos indicados en la</w:t>
      </w:r>
      <w:r>
        <w:rPr>
          <w:rFonts w:eastAsia="SimSun"/>
          <w:lang w:val="es-ES" w:eastAsia="zh-CN"/>
        </w:rPr>
        <w:t>s</w:t>
      </w:r>
      <w:r>
        <w:rPr>
          <w:lang w:val="es-PE"/>
        </w:rPr>
        <w:t xml:space="preserve"> Cláusula</w:t>
      </w:r>
      <w:r>
        <w:rPr>
          <w:lang w:val="es-ES"/>
        </w:rPr>
        <w:t>s</w:t>
      </w:r>
      <w:r>
        <w:rPr>
          <w:lang w:val="es-PE"/>
        </w:rPr>
        <w:t xml:space="preserve"> </w:t>
      </w:r>
      <w:r w:rsidR="002521AE">
        <w:rPr>
          <w:lang w:val="es-PE"/>
        </w:rPr>
        <w:t>6.43</w:t>
      </w:r>
      <w:r>
        <w:rPr>
          <w:rFonts w:eastAsia="SimSun"/>
          <w:lang w:val="es-ES" w:eastAsia="zh-CN"/>
        </w:rPr>
        <w:t xml:space="preserve"> y 15.12</w:t>
      </w:r>
      <w:r>
        <w:rPr>
          <w:lang w:val="es-PE"/>
        </w:rPr>
        <w:t xml:space="preserve">, en las oportunidades indicadas en dichas Cláusulas. </w:t>
      </w:r>
    </w:p>
    <w:p w14:paraId="3626C59A" w14:textId="77777777" w:rsidR="004412F1" w:rsidRDefault="004412F1">
      <w:pPr>
        <w:jc w:val="both"/>
        <w:rPr>
          <w:color w:val="000000"/>
          <w:lang w:val="es-ES"/>
        </w:rPr>
      </w:pPr>
    </w:p>
    <w:p w14:paraId="08776EFA" w14:textId="77777777" w:rsidR="004412F1" w:rsidRDefault="005A12A3">
      <w:pPr>
        <w:suppressLineNumbers/>
        <w:suppressAutoHyphens/>
        <w:ind w:left="705"/>
        <w:jc w:val="both"/>
        <w:rPr>
          <w:color w:val="000000"/>
          <w:lang w:val="es-PE"/>
        </w:rPr>
      </w:pPr>
      <w:proofErr w:type="gramStart"/>
      <w:r>
        <w:rPr>
          <w:color w:val="000000"/>
          <w:lang w:val="es-PE"/>
        </w:rPr>
        <w:t>En caso que</w:t>
      </w:r>
      <w:proofErr w:type="gramEnd"/>
      <w:r>
        <w:rPr>
          <w:color w:val="000000"/>
          <w:lang w:val="es-PE"/>
        </w:rPr>
        <w:t xml:space="preserve"> el CONCESIONARIO no cancele los montos indicados en dichas Cláusulas, el REGULADOR podrá ejecutar la Garantía de Fiel Cumplimiento de Contrato de Concesión hasta el monto indicado.</w:t>
      </w:r>
    </w:p>
    <w:p w14:paraId="68E931FA" w14:textId="77777777" w:rsidR="004412F1" w:rsidRDefault="004412F1">
      <w:pPr>
        <w:jc w:val="both"/>
        <w:rPr>
          <w:color w:val="000000"/>
          <w:lang w:val="es-PE"/>
        </w:rPr>
      </w:pPr>
    </w:p>
    <w:p w14:paraId="552F36C2" w14:textId="77777777" w:rsidR="004412F1" w:rsidRDefault="005A12A3">
      <w:pPr>
        <w:numPr>
          <w:ilvl w:val="1"/>
          <w:numId w:val="126"/>
        </w:numPr>
        <w:jc w:val="both"/>
        <w:rPr>
          <w:lang w:val="es-PE"/>
        </w:rPr>
      </w:pPr>
      <w:r>
        <w:rPr>
          <w:lang w:val="es-PE"/>
        </w:rPr>
        <w:t>El REGULADOR designará a un supervisor para cada Intervención, los mismos que realizarán las actividades que el primero le asigne. La titularidad de la función se mantiene en el REGULADOR.</w:t>
      </w:r>
    </w:p>
    <w:p w14:paraId="0F54A2BF" w14:textId="77777777" w:rsidR="004412F1" w:rsidRDefault="004412F1">
      <w:pPr>
        <w:jc w:val="both"/>
        <w:rPr>
          <w:lang w:val="es-PE"/>
        </w:rPr>
      </w:pPr>
    </w:p>
    <w:p w14:paraId="3CF42CF0" w14:textId="77777777" w:rsidR="004412F1" w:rsidRDefault="005A12A3">
      <w:pPr>
        <w:pStyle w:val="Ttulo2"/>
        <w:ind w:left="0"/>
        <w:rPr>
          <w:rFonts w:ascii="Arial" w:eastAsia="Arial" w:hAnsi="Arial" w:cs="Arial"/>
          <w:b/>
          <w:bCs/>
          <w:u w:val="none"/>
        </w:rPr>
      </w:pPr>
      <w:bookmarkStart w:id="2286" w:name="_217pygo"/>
      <w:bookmarkStart w:id="2287" w:name="_Toc139294796"/>
      <w:bookmarkStart w:id="2288" w:name="_Toc468837694"/>
      <w:bookmarkStart w:id="2289" w:name="_Toc131333007"/>
      <w:bookmarkStart w:id="2290" w:name="_Toc131329180"/>
      <w:bookmarkStart w:id="2291" w:name="_Toc131329412"/>
      <w:bookmarkStart w:id="2292" w:name="_Toc131332086"/>
      <w:bookmarkStart w:id="2293" w:name="_Toc131328028"/>
      <w:bookmarkStart w:id="2294" w:name="_Toc131328844"/>
      <w:bookmarkStart w:id="2295" w:name="_Toc131329999"/>
      <w:bookmarkStart w:id="2296" w:name="_Toc55906412"/>
      <w:bookmarkStart w:id="2297" w:name="_Toc140089395"/>
      <w:bookmarkEnd w:id="2286"/>
      <w:r>
        <w:rPr>
          <w:rFonts w:ascii="Arial" w:eastAsia="Arial" w:hAnsi="Arial" w:cs="Arial"/>
          <w:b/>
          <w:bCs/>
          <w:u w:val="none"/>
        </w:rPr>
        <w:t>DE LA FUNCIÓN SANCIONADORA</w:t>
      </w:r>
      <w:bookmarkEnd w:id="2287"/>
      <w:bookmarkEnd w:id="2288"/>
      <w:bookmarkEnd w:id="2289"/>
      <w:bookmarkEnd w:id="2290"/>
      <w:bookmarkEnd w:id="2291"/>
      <w:bookmarkEnd w:id="2292"/>
      <w:bookmarkEnd w:id="2293"/>
      <w:bookmarkEnd w:id="2294"/>
      <w:bookmarkEnd w:id="2295"/>
      <w:bookmarkEnd w:id="2296"/>
      <w:bookmarkEnd w:id="2297"/>
    </w:p>
    <w:p w14:paraId="7E6CCBD3" w14:textId="77777777" w:rsidR="004412F1" w:rsidRDefault="004412F1">
      <w:pPr>
        <w:jc w:val="both"/>
        <w:rPr>
          <w:color w:val="000000"/>
          <w:lang w:val="es-ES"/>
        </w:rPr>
      </w:pPr>
    </w:p>
    <w:p w14:paraId="2ED45949" w14:textId="77777777" w:rsidR="004412F1" w:rsidRDefault="005A12A3">
      <w:pPr>
        <w:numPr>
          <w:ilvl w:val="1"/>
          <w:numId w:val="126"/>
        </w:numPr>
        <w:jc w:val="both"/>
        <w:rPr>
          <w:lang w:val="es-PE"/>
        </w:rPr>
      </w:pPr>
      <w:r>
        <w:rPr>
          <w:lang w:val="es-PE"/>
        </w:rPr>
        <w:t xml:space="preserve">El REGULADOR tiene competencia para aplicar sanciones al CONCESIONARIO en caso de incumplimiento de sus obligaciones, conforme a la Ley Nº 27332 y Nº 26917 y los reglamentos que dicte sobre la materia. El CONCESIONARIO deberá proceder al cumplimiento de las sanciones que imponga el REGULADOR </w:t>
      </w:r>
      <w:proofErr w:type="gramStart"/>
      <w:r>
        <w:rPr>
          <w:lang w:val="es-PE"/>
        </w:rPr>
        <w:t>de acuerdo a</w:t>
      </w:r>
      <w:proofErr w:type="gramEnd"/>
      <w:r>
        <w:rPr>
          <w:lang w:val="es-PE"/>
        </w:rPr>
        <w:t xml:space="preserve"> las Normas Regulatorias. 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14:paraId="23721445" w14:textId="77777777" w:rsidR="004412F1" w:rsidRDefault="004412F1">
      <w:pPr>
        <w:ind w:left="709" w:hanging="709"/>
        <w:jc w:val="both"/>
        <w:rPr>
          <w:lang w:val="es-PE"/>
        </w:rPr>
      </w:pPr>
    </w:p>
    <w:p w14:paraId="6A80713B" w14:textId="77777777" w:rsidR="004412F1" w:rsidRDefault="005A12A3">
      <w:pPr>
        <w:ind w:left="708"/>
        <w:jc w:val="both"/>
        <w:rPr>
          <w:rFonts w:eastAsia="Times New Roman"/>
          <w:bCs/>
          <w:color w:val="000000"/>
          <w:szCs w:val="18"/>
          <w:lang w:val="es-ES" w:eastAsia="es-ES"/>
        </w:rPr>
      </w:pPr>
      <w:r>
        <w:rPr>
          <w:color w:val="000000" w:themeColor="text1"/>
          <w:lang w:val="es-PE"/>
        </w:rPr>
        <w:t>Las sanciones administrativas impuestas entre otras autoridades administrativas, por la Administración Tributaria,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del incumplimiento.</w:t>
      </w:r>
    </w:p>
    <w:p w14:paraId="5C84E04A" w14:textId="77777777" w:rsidR="004412F1" w:rsidRDefault="004412F1">
      <w:pPr>
        <w:ind w:left="709" w:hanging="4"/>
        <w:jc w:val="both"/>
        <w:rPr>
          <w:color w:val="000000"/>
          <w:sz w:val="20"/>
          <w:lang w:val="es-ES"/>
        </w:rPr>
      </w:pPr>
    </w:p>
    <w:p w14:paraId="709D5A63" w14:textId="77777777" w:rsidR="004412F1" w:rsidRDefault="005A12A3">
      <w:pPr>
        <w:pStyle w:val="Ttulo2"/>
        <w:suppressLineNumbers/>
        <w:suppressAutoHyphens/>
        <w:ind w:left="0"/>
      </w:pPr>
      <w:bookmarkStart w:id="2298" w:name="_PENALIDADES_CONTRACTUALES"/>
      <w:bookmarkStart w:id="2299" w:name="_4l7dh4h" w:colFirst="0" w:colLast="0"/>
      <w:bookmarkStart w:id="2300" w:name="_Toc139294797"/>
      <w:bookmarkStart w:id="2301" w:name="_Toc468837695"/>
      <w:bookmarkStart w:id="2302" w:name="_Toc140089396"/>
      <w:bookmarkEnd w:id="2298"/>
      <w:bookmarkEnd w:id="2299"/>
      <w:r>
        <w:rPr>
          <w:rFonts w:ascii="Arial" w:eastAsia="Arial" w:hAnsi="Arial"/>
          <w:b/>
          <w:u w:val="none"/>
        </w:rPr>
        <w:t>PENALIDADES CONTRACTUALES</w:t>
      </w:r>
      <w:bookmarkEnd w:id="2300"/>
      <w:bookmarkEnd w:id="2301"/>
      <w:bookmarkEnd w:id="2302"/>
    </w:p>
    <w:p w14:paraId="5FA16A32" w14:textId="77777777" w:rsidR="004412F1" w:rsidRDefault="004412F1">
      <w:pPr>
        <w:ind w:firstLine="705"/>
        <w:jc w:val="both"/>
        <w:rPr>
          <w:b/>
          <w:color w:val="000000"/>
          <w:sz w:val="20"/>
          <w:lang w:val="es-ES"/>
        </w:rPr>
      </w:pPr>
    </w:p>
    <w:p w14:paraId="4E73DF19" w14:textId="77777777" w:rsidR="004412F1" w:rsidRDefault="005A12A3">
      <w:pPr>
        <w:numPr>
          <w:ilvl w:val="1"/>
          <w:numId w:val="126"/>
        </w:numPr>
        <w:jc w:val="both"/>
        <w:rPr>
          <w:lang w:val="es-PE"/>
        </w:rPr>
      </w:pPr>
      <w:r>
        <w:rPr>
          <w:lang w:val="es-PE"/>
        </w:rPr>
        <w:t xml:space="preserve">El REGULADOR es competente para aplicar al CONCESIONARIO las penalidades establecidas en el ANEXO IX del presente Contrato, ante el incumplimiento de las obligaciones pactadas a cargo del CONCESIONARIO. El CONCESIONARIO no estará exento de responsabilidad aún en los casos en que los incumplimientos sean consecuencia de contratos que celebre con terceros a nombre suyo. La aplicación de penalidades no exime al CONCESIONARIO del cumplimiento efectivo de sus obligaciones. El monto de las penalidades será abonado por el CONCESIONARIO al Fideicomiso de Administración en el plazo de diez (10) Días contados a partir del día siguiente de la notificación que reciba por parte del REGULADOR. </w:t>
      </w:r>
    </w:p>
    <w:p w14:paraId="4E42A13E" w14:textId="77777777" w:rsidR="004412F1" w:rsidRDefault="004412F1">
      <w:pPr>
        <w:jc w:val="both"/>
        <w:rPr>
          <w:lang w:val="es-PE"/>
        </w:rPr>
      </w:pPr>
    </w:p>
    <w:p w14:paraId="6D309539" w14:textId="77777777" w:rsidR="004412F1" w:rsidRDefault="005A12A3">
      <w:pPr>
        <w:ind w:left="705"/>
        <w:jc w:val="both"/>
        <w:rPr>
          <w:color w:val="000000"/>
          <w:lang w:val="es-PE"/>
        </w:rPr>
      </w:pPr>
      <w:r>
        <w:rPr>
          <w:color w:val="000000"/>
          <w:lang w:val="es-PE"/>
        </w:rPr>
        <w:t>El plazo para el abono de las penalidades a que se refiere la presente Cláusula será suspendido ante la impugnación de la penalidad por el CONCESIONARIO, reiniciándose el cómputo de dicho plazo en caso se confirme su imposición por el REGULADOR.</w:t>
      </w:r>
    </w:p>
    <w:p w14:paraId="7BD99368" w14:textId="77777777" w:rsidR="004412F1" w:rsidRDefault="004412F1">
      <w:pPr>
        <w:jc w:val="both"/>
        <w:rPr>
          <w:color w:val="000000"/>
          <w:sz w:val="20"/>
          <w:lang w:val="es-PE"/>
        </w:rPr>
      </w:pPr>
    </w:p>
    <w:p w14:paraId="64F8E59B" w14:textId="77777777" w:rsidR="004412F1" w:rsidRDefault="005A12A3">
      <w:pPr>
        <w:numPr>
          <w:ilvl w:val="1"/>
          <w:numId w:val="126"/>
        </w:numPr>
        <w:jc w:val="both"/>
        <w:rPr>
          <w:lang w:val="es-PE"/>
        </w:rPr>
      </w:pPr>
      <w:r>
        <w:rPr>
          <w:lang w:val="es-PE"/>
        </w:rPr>
        <w:t>El CONCESIONARIO podrá impugnar la penalidad para lo cual deberá presentar, en un plazo máximo de diez (10) Días, contado a partir del día siguiente de la fecha de notificación de esta, la impugnación por escrito dirigida al REGULADOR con el respectivo sustento.</w:t>
      </w:r>
    </w:p>
    <w:p w14:paraId="3B8D49A5" w14:textId="77777777" w:rsidR="004412F1" w:rsidRDefault="004412F1">
      <w:pPr>
        <w:jc w:val="both"/>
        <w:rPr>
          <w:lang w:val="es-PE"/>
        </w:rPr>
      </w:pPr>
    </w:p>
    <w:p w14:paraId="364F0CB8" w14:textId="77777777" w:rsidR="004412F1" w:rsidRDefault="005A12A3">
      <w:pPr>
        <w:ind w:left="705"/>
        <w:jc w:val="both"/>
        <w:rPr>
          <w:color w:val="000000"/>
          <w:lang w:val="es-PE"/>
        </w:rPr>
      </w:pPr>
      <w:r>
        <w:rPr>
          <w:color w:val="000000"/>
          <w:lang w:val="es-PE"/>
        </w:rPr>
        <w:t xml:space="preserve">El REGULADOR contará con un plazo máximo de quince (15) Días para emitir su pronunciamiento debidamente fundamentado. </w:t>
      </w:r>
      <w:proofErr w:type="gramStart"/>
      <w:r>
        <w:rPr>
          <w:color w:val="000000"/>
          <w:lang w:val="es-PE"/>
        </w:rPr>
        <w:t>En caso que</w:t>
      </w:r>
      <w:proofErr w:type="gramEnd"/>
      <w:r>
        <w:rPr>
          <w:color w:val="000000"/>
          <w:lang w:val="es-PE"/>
        </w:rPr>
        <w:t xml:space="preserve"> vencido el plazo antes indicado, el REGULADOR no emita pronunciamiento alguno, se entenderá por denegada la impugnación presentada. La decisión del REGULADOR tendrá el carácter de definitivo y no estará sujeta a reclamación alguna por parte del CONCESIONARIO.</w:t>
      </w:r>
    </w:p>
    <w:p w14:paraId="11A7B727" w14:textId="77777777" w:rsidR="004412F1" w:rsidRDefault="004412F1">
      <w:pPr>
        <w:jc w:val="both"/>
        <w:rPr>
          <w:color w:val="000000"/>
          <w:sz w:val="20"/>
          <w:lang w:val="es-PE"/>
        </w:rPr>
      </w:pPr>
    </w:p>
    <w:p w14:paraId="6A2A1182" w14:textId="1D653AB5" w:rsidR="004412F1" w:rsidRDefault="005A12A3">
      <w:pPr>
        <w:numPr>
          <w:ilvl w:val="1"/>
          <w:numId w:val="126"/>
        </w:numPr>
        <w:jc w:val="both"/>
        <w:rPr>
          <w:lang w:val="es-PE"/>
        </w:rPr>
      </w:pPr>
      <w:bookmarkStart w:id="2303" w:name="_30cnrca"/>
      <w:bookmarkStart w:id="2304" w:name="_Ref271820909"/>
      <w:bookmarkEnd w:id="2303"/>
      <w:proofErr w:type="gramStart"/>
      <w:r>
        <w:rPr>
          <w:lang w:val="es-PE"/>
        </w:rPr>
        <w:lastRenderedPageBreak/>
        <w:t>En caso que</w:t>
      </w:r>
      <w:proofErr w:type="gramEnd"/>
      <w:r>
        <w:rPr>
          <w:lang w:val="es-PE"/>
        </w:rPr>
        <w:t xml:space="preserve"> el CONCESIONARIO incumpla con pagar dichas penalidades dentro del plazo mencionado, el REGULADOR podrá ejecutar la Garantía de Fiel Cumplimiento del Contrato de Concesión o la Garantía de Fiel Cumplimiento de Ejecución de Intervenciones, según corresponda, hasta el monto al que ascienda la penalidad impuesta, debiendo el CONCESIONARIO cumplir con lo dispuesto en la Cláusula </w:t>
      </w:r>
      <w:bookmarkEnd w:id="2304"/>
      <w:r w:rsidR="0023411F">
        <w:rPr>
          <w:lang w:val="es-PE"/>
        </w:rPr>
        <w:t>11.16</w:t>
      </w:r>
      <w:r>
        <w:rPr>
          <w:lang w:val="es-PE"/>
        </w:rPr>
        <w:t>.</w:t>
      </w:r>
    </w:p>
    <w:p w14:paraId="6AEE86DC" w14:textId="77777777" w:rsidR="004412F1" w:rsidRDefault="004412F1">
      <w:pPr>
        <w:jc w:val="both"/>
        <w:rPr>
          <w:lang w:val="es-PE"/>
        </w:rPr>
      </w:pPr>
    </w:p>
    <w:p w14:paraId="5BB88F92" w14:textId="77777777" w:rsidR="004412F1" w:rsidRDefault="005A12A3">
      <w:pPr>
        <w:numPr>
          <w:ilvl w:val="1"/>
          <w:numId w:val="126"/>
        </w:numPr>
        <w:jc w:val="both"/>
        <w:rPr>
          <w:lang w:val="es-PE"/>
        </w:rPr>
      </w:pPr>
      <w:r>
        <w:rPr>
          <w:lang w:val="es-PE"/>
        </w:rPr>
        <w:t>El pago de las penalidades aplicables no podrá ser considerado como una afectación al flujo financiero de la Concesión y tampoco se podrá invocar por ello la ruptura del equilibrio económico-financiero.</w:t>
      </w:r>
    </w:p>
    <w:p w14:paraId="5268B25F" w14:textId="77777777" w:rsidR="004412F1" w:rsidRDefault="004412F1">
      <w:pPr>
        <w:rPr>
          <w:lang w:val="es-PE"/>
        </w:rPr>
      </w:pPr>
    </w:p>
    <w:p w14:paraId="158FDAA7" w14:textId="77777777" w:rsidR="004412F1" w:rsidRDefault="005A12A3">
      <w:pPr>
        <w:pStyle w:val="Ttulo2"/>
        <w:suppressLineNumbers/>
        <w:suppressAutoHyphens/>
        <w:ind w:left="0"/>
      </w:pPr>
      <w:bookmarkStart w:id="2305" w:name="_APORTE_POR_REGULACIÓN"/>
      <w:bookmarkStart w:id="2306" w:name="_1fhy1k3" w:colFirst="0" w:colLast="0"/>
      <w:bookmarkStart w:id="2307" w:name="_Toc468837696"/>
      <w:bookmarkStart w:id="2308" w:name="_Toc139294798"/>
      <w:bookmarkStart w:id="2309" w:name="_Toc140089397"/>
      <w:bookmarkEnd w:id="2305"/>
      <w:bookmarkEnd w:id="2306"/>
      <w:r>
        <w:rPr>
          <w:rFonts w:ascii="Arial" w:eastAsia="Arial" w:hAnsi="Arial"/>
          <w:b/>
          <w:u w:val="none"/>
        </w:rPr>
        <w:t>APORTE POR REGULACIÓN</w:t>
      </w:r>
      <w:bookmarkEnd w:id="2307"/>
      <w:bookmarkEnd w:id="2308"/>
      <w:bookmarkEnd w:id="2309"/>
    </w:p>
    <w:p w14:paraId="4AC400F9" w14:textId="77777777" w:rsidR="004412F1" w:rsidRDefault="004412F1">
      <w:pPr>
        <w:jc w:val="both"/>
        <w:rPr>
          <w:b/>
          <w:sz w:val="20"/>
          <w:lang w:val="es-ES"/>
        </w:rPr>
      </w:pPr>
    </w:p>
    <w:p w14:paraId="5C663529" w14:textId="77777777" w:rsidR="004412F1" w:rsidRDefault="005A12A3">
      <w:pPr>
        <w:numPr>
          <w:ilvl w:val="1"/>
          <w:numId w:val="126"/>
        </w:numPr>
        <w:jc w:val="both"/>
        <w:rPr>
          <w:lang w:val="es-PE"/>
        </w:rPr>
      </w:pPr>
      <w:bookmarkStart w:id="2310" w:name="_3zhlk7w"/>
      <w:bookmarkStart w:id="2311" w:name="_Ref272504302"/>
      <w:bookmarkEnd w:id="2310"/>
      <w:r>
        <w:rPr>
          <w:lang w:val="es-PE"/>
        </w:rPr>
        <w:t>El CONCESIONARIO está obligado a pagar directamente al REGULADOR el aporte por regulación a que se refiere la Ley No. 26917 y la Ley No. 27332, o normas que los modifiquen o sustituyan, en los términos, plazos y montos a que se refieren dichos dispositivos legales y las Normas Regulatorias emitidas por el REGULADOR sobre la materia, el mismo que se calculará y cobrará sobre el total de los ingresos facturados por parte del CONCESIONARIO. En caso de incumplimiento de la presente obligación, se aplicarán al CONCESIONARIO las sanciones administrativas que correspondan.</w:t>
      </w:r>
      <w:bookmarkEnd w:id="2311"/>
    </w:p>
    <w:p w14:paraId="58124487" w14:textId="77777777" w:rsidR="004412F1" w:rsidRDefault="004412F1">
      <w:pPr>
        <w:jc w:val="both"/>
        <w:rPr>
          <w:lang w:val="es-PE"/>
        </w:rPr>
      </w:pPr>
    </w:p>
    <w:p w14:paraId="4FDBD8B1" w14:textId="77777777" w:rsidR="004412F1" w:rsidRDefault="005A12A3">
      <w:pPr>
        <w:pStyle w:val="Ttulo1"/>
        <w:rPr>
          <w:lang w:val="es-PE"/>
        </w:rPr>
      </w:pPr>
      <w:bookmarkStart w:id="2312" w:name="_2emvufp"/>
      <w:bookmarkStart w:id="2313" w:name="_Toc139294799"/>
      <w:bookmarkStart w:id="2314" w:name="_Toc140089398"/>
      <w:bookmarkStart w:id="2315" w:name="_Toc131330000"/>
      <w:bookmarkStart w:id="2316" w:name="_Ref351537250"/>
      <w:bookmarkStart w:id="2317" w:name="_Toc131332087"/>
      <w:bookmarkStart w:id="2318" w:name="_Toc131333008"/>
      <w:bookmarkStart w:id="2319" w:name="_Toc131329413"/>
      <w:bookmarkStart w:id="2320" w:name="_Toc131329181"/>
      <w:bookmarkStart w:id="2321" w:name="_Toc131328029"/>
      <w:bookmarkStart w:id="2322" w:name="_Toc131328845"/>
      <w:bookmarkStart w:id="2323" w:name="_Toc468837697"/>
      <w:bookmarkEnd w:id="2312"/>
      <w:r>
        <w:rPr>
          <w:lang w:val="es-PE"/>
        </w:rPr>
        <w:t>CAPÍTULO XVI: FUERZA MAYOR O CASO FORTUITO</w:t>
      </w:r>
      <w:bookmarkEnd w:id="2313"/>
      <w:bookmarkEnd w:id="2314"/>
    </w:p>
    <w:p w14:paraId="4014DC7C" w14:textId="77777777" w:rsidR="004412F1" w:rsidRDefault="004412F1">
      <w:pPr>
        <w:jc w:val="both"/>
        <w:rPr>
          <w:lang w:val="es-PE"/>
        </w:rPr>
      </w:pPr>
    </w:p>
    <w:p w14:paraId="7B5B673F" w14:textId="77777777" w:rsidR="004412F1" w:rsidRDefault="005A12A3">
      <w:pPr>
        <w:numPr>
          <w:ilvl w:val="1"/>
          <w:numId w:val="128"/>
        </w:numPr>
        <w:ind w:hanging="846"/>
        <w:jc w:val="both"/>
        <w:rPr>
          <w:color w:val="000000"/>
          <w:lang w:val="es-PE"/>
        </w:rPr>
      </w:pPr>
      <w:r>
        <w:rPr>
          <w:color w:val="000000"/>
          <w:lang w:val="es-PE"/>
        </w:rPr>
        <w:t>Ni el CONCEDENTE o el CONCESIONARIO serán imputables por la inejecución de una obligación o por su cumplimiento parcial, tardío o defectuoso, si es provocada por fuerza mayor o caso fortuito, conforme a lo previsto en el presente capítulo.</w:t>
      </w:r>
    </w:p>
    <w:p w14:paraId="7C94D2CB" w14:textId="77777777" w:rsidR="004412F1" w:rsidRDefault="004412F1">
      <w:pPr>
        <w:ind w:left="846"/>
        <w:jc w:val="both"/>
        <w:rPr>
          <w:color w:val="000000"/>
          <w:lang w:val="es-PE"/>
        </w:rPr>
      </w:pPr>
    </w:p>
    <w:p w14:paraId="7467C023" w14:textId="77777777" w:rsidR="004412F1" w:rsidRDefault="005A12A3">
      <w:pPr>
        <w:numPr>
          <w:ilvl w:val="1"/>
          <w:numId w:val="128"/>
        </w:numPr>
        <w:ind w:hanging="846"/>
        <w:jc w:val="both"/>
        <w:rPr>
          <w:color w:val="000000"/>
          <w:lang w:val="es-PE"/>
        </w:rPr>
      </w:pPr>
      <w:r>
        <w:rPr>
          <w:color w:val="000000"/>
          <w:lang w:val="es-PE"/>
        </w:rPr>
        <w:t>Para fines del Contrato, existirá una situación de caso fortuito o fuerza mayor siempre que:</w:t>
      </w:r>
    </w:p>
    <w:p w14:paraId="4B42EB6F" w14:textId="77777777" w:rsidR="004412F1" w:rsidRDefault="004412F1">
      <w:pPr>
        <w:jc w:val="both"/>
        <w:rPr>
          <w:lang w:val="es-PE"/>
        </w:rPr>
      </w:pPr>
    </w:p>
    <w:p w14:paraId="614EF0BE" w14:textId="77777777" w:rsidR="004412F1" w:rsidRDefault="005A12A3">
      <w:pPr>
        <w:numPr>
          <w:ilvl w:val="0"/>
          <w:numId w:val="129"/>
        </w:numPr>
        <w:ind w:left="1560"/>
        <w:jc w:val="both"/>
        <w:rPr>
          <w:color w:val="000000"/>
          <w:lang w:val="es-PE"/>
        </w:rPr>
      </w:pPr>
      <w:r>
        <w:rPr>
          <w:color w:val="000000"/>
          <w:lang w:val="es-PE"/>
        </w:rPr>
        <w:t>Se produzca un evento, condición o circunstancia no imputable al CONCEDENTE o al CONCESIONARIO, de naturaleza extraordinaria, imprevisible e irresistible, que les impida cumplir con las obligaciones a su cargo o cause su cumplimiento parcial, tardío o defectuoso;</w:t>
      </w:r>
    </w:p>
    <w:p w14:paraId="2C7686AF" w14:textId="77777777" w:rsidR="004412F1" w:rsidRDefault="005A12A3">
      <w:pPr>
        <w:numPr>
          <w:ilvl w:val="0"/>
          <w:numId w:val="129"/>
        </w:numPr>
        <w:ind w:left="1560"/>
        <w:jc w:val="both"/>
        <w:rPr>
          <w:color w:val="000000"/>
          <w:lang w:val="es-PE"/>
        </w:rPr>
      </w:pPr>
      <w:r>
        <w:rPr>
          <w:color w:val="000000"/>
          <w:lang w:val="es-PE"/>
        </w:rPr>
        <w:t>El evento, condición o circunstancia respectiva deberá estar fuera del control razonable de quien invoque la causal, la cual, a pesar del ejercicio de diligencia debida y a pesar de todos los esfuerzos y medidas razonables para prevenir el evento, condición o circunstancia, evitar o mitigar sus efectos, no puede evitar que se configure la situación de incumplimiento;</w:t>
      </w:r>
    </w:p>
    <w:p w14:paraId="5A19C35C" w14:textId="77777777" w:rsidR="004412F1" w:rsidRDefault="005A12A3">
      <w:pPr>
        <w:numPr>
          <w:ilvl w:val="0"/>
          <w:numId w:val="129"/>
        </w:numPr>
        <w:ind w:left="1560"/>
        <w:jc w:val="both"/>
        <w:rPr>
          <w:color w:val="000000"/>
          <w:lang w:val="es-PE"/>
        </w:rPr>
      </w:pPr>
      <w:r>
        <w:rPr>
          <w:color w:val="000000"/>
          <w:lang w:val="es-PE"/>
        </w:rPr>
        <w:t>Dicho evento, condición o circunstancia no sea el resultado directo o indirecto de un incumplimiento de la Parte que alegue estar afectada de cumplir cualquiera de sus obligaciones previstas en el presente Contrato de Concesión; y,</w:t>
      </w:r>
    </w:p>
    <w:p w14:paraId="29688DD2" w14:textId="77777777" w:rsidR="004412F1" w:rsidRDefault="005A12A3">
      <w:pPr>
        <w:numPr>
          <w:ilvl w:val="0"/>
          <w:numId w:val="129"/>
        </w:numPr>
        <w:ind w:left="1560"/>
        <w:jc w:val="both"/>
        <w:rPr>
          <w:color w:val="000000"/>
          <w:lang w:val="es-PE"/>
        </w:rPr>
      </w:pPr>
      <w:r>
        <w:rPr>
          <w:color w:val="000000"/>
          <w:lang w:val="es-PE"/>
        </w:rPr>
        <w:t>Tal circunstancia, evento o condición sea notificado a la otra parte de conformidad al plazo y los términos previstos en el presente Capítulo.</w:t>
      </w:r>
    </w:p>
    <w:p w14:paraId="2B156C42" w14:textId="77777777" w:rsidR="004412F1" w:rsidRDefault="004412F1">
      <w:pPr>
        <w:jc w:val="both"/>
        <w:rPr>
          <w:lang w:val="es-PE"/>
        </w:rPr>
      </w:pPr>
    </w:p>
    <w:p w14:paraId="6FE6F7F1" w14:textId="77777777" w:rsidR="004412F1" w:rsidRDefault="005A12A3">
      <w:pPr>
        <w:ind w:left="709"/>
        <w:jc w:val="both"/>
        <w:rPr>
          <w:lang w:val="es-PE"/>
        </w:rPr>
      </w:pPr>
      <w:r>
        <w:rPr>
          <w:lang w:val="es-PE"/>
        </w:rPr>
        <w:t>La fuerza mayor o el caso fortuito, según su naturaleza y alcance respectivos, de acuerdo con las Leyes y Disposiciones Aplicables, incluyen, pero no se limitan a lo siguiente:</w:t>
      </w:r>
    </w:p>
    <w:p w14:paraId="0AC2BBD6" w14:textId="77777777" w:rsidR="004412F1" w:rsidRDefault="005A12A3">
      <w:pPr>
        <w:jc w:val="both"/>
        <w:rPr>
          <w:lang w:val="es-PE"/>
        </w:rPr>
      </w:pPr>
      <w:r>
        <w:rPr>
          <w:lang w:val="es-PE"/>
        </w:rPr>
        <w:t xml:space="preserve"> </w:t>
      </w:r>
    </w:p>
    <w:p w14:paraId="6BACA7C7" w14:textId="77777777" w:rsidR="004412F1" w:rsidRDefault="005A12A3">
      <w:pPr>
        <w:numPr>
          <w:ilvl w:val="0"/>
          <w:numId w:val="130"/>
        </w:numPr>
        <w:ind w:left="1560" w:hanging="567"/>
        <w:jc w:val="both"/>
        <w:rPr>
          <w:color w:val="000000"/>
          <w:lang w:val="es-PE"/>
        </w:rPr>
      </w:pPr>
      <w:r>
        <w:rPr>
          <w:color w:val="000000"/>
          <w:lang w:val="es-PE"/>
        </w:rPr>
        <w:lastRenderedPageBreak/>
        <w:t>Cualquier acto de guerra externa, interna o civil (declarada o no declarada), invasión, conflicto armado, bloqueo, revolución, motín, insurrección, conmoción civil o actos de terrorismo y cualquier ocupación o sitio, que impida al CONCESIONARIO o al CONCEDENTE cumplir con cualquiera de las obligaciones a su cargo.</w:t>
      </w:r>
    </w:p>
    <w:p w14:paraId="59AD6F7C" w14:textId="77777777" w:rsidR="004412F1" w:rsidRDefault="004412F1">
      <w:pPr>
        <w:ind w:left="1560" w:hanging="567"/>
        <w:jc w:val="both"/>
        <w:rPr>
          <w:lang w:val="es-PE"/>
        </w:rPr>
      </w:pPr>
    </w:p>
    <w:p w14:paraId="6D9ABAFD" w14:textId="77777777" w:rsidR="004412F1" w:rsidRDefault="005A12A3">
      <w:pPr>
        <w:numPr>
          <w:ilvl w:val="0"/>
          <w:numId w:val="130"/>
        </w:numPr>
        <w:ind w:left="1560" w:hanging="567"/>
        <w:jc w:val="both"/>
        <w:rPr>
          <w:color w:val="000000"/>
          <w:lang w:val="es-PE"/>
        </w:rPr>
      </w:pPr>
      <w:r>
        <w:rPr>
          <w:color w:val="000000"/>
          <w:lang w:val="es-PE"/>
        </w:rPr>
        <w:t xml:space="preserve">Cualquier paro, huelga, reclamo, protesta, </w:t>
      </w:r>
      <w:r>
        <w:rPr>
          <w:color w:val="000000"/>
          <w:highlight w:val="white"/>
          <w:lang w:val="es-PE"/>
        </w:rPr>
        <w:t>manifestación pública, acto de violencia o de fuerza</w:t>
      </w:r>
      <w:r>
        <w:rPr>
          <w:color w:val="000000"/>
          <w:lang w:val="es-PE"/>
        </w:rPr>
        <w:t xml:space="preserve"> proveniente de terceros que no mantengan una relación laboral o comercial con el CONCESIONARIO, CONCEDENTE o con las personas naturales o personas jurídicas contratadas por estos, que les impida cumplir con cualquiera de las obligaciones a su cargo.</w:t>
      </w:r>
    </w:p>
    <w:p w14:paraId="64047F08" w14:textId="77777777" w:rsidR="004412F1" w:rsidRDefault="004412F1">
      <w:pPr>
        <w:ind w:left="1560" w:hanging="567"/>
        <w:jc w:val="both"/>
        <w:rPr>
          <w:lang w:val="es-PE"/>
        </w:rPr>
      </w:pPr>
    </w:p>
    <w:p w14:paraId="1B8A5151" w14:textId="77777777" w:rsidR="004412F1" w:rsidRDefault="005A12A3">
      <w:pPr>
        <w:numPr>
          <w:ilvl w:val="0"/>
          <w:numId w:val="130"/>
        </w:numPr>
        <w:ind w:left="1560" w:hanging="567"/>
        <w:jc w:val="both"/>
        <w:rPr>
          <w:color w:val="000000"/>
          <w:lang w:val="es-PE"/>
        </w:rPr>
      </w:pPr>
      <w:r>
        <w:rPr>
          <w:color w:val="000000"/>
          <w:lang w:val="es-PE"/>
        </w:rPr>
        <w:t>Cualquier terremoto, inundación, incendio, explosión, o cualquier fenómeno natural, siempre que afecte de manera directa total o parcialmente los Bienes de la Concesión y que, a su vez, impida a las Partes cumplir con cualquiera de las obligaciones a su cargo.  Solo se considerarán eventos de caso fortuito o fuerza mayor siempre que estos no hayan sido calificados como Emergencia Vial.</w:t>
      </w:r>
    </w:p>
    <w:p w14:paraId="245E4A1F" w14:textId="77777777" w:rsidR="004412F1" w:rsidRDefault="004412F1">
      <w:pPr>
        <w:ind w:left="1560" w:hanging="567"/>
        <w:jc w:val="both"/>
        <w:rPr>
          <w:lang w:val="es-PE"/>
        </w:rPr>
      </w:pPr>
    </w:p>
    <w:p w14:paraId="504E5BDB" w14:textId="77777777" w:rsidR="004412F1" w:rsidRDefault="005A12A3">
      <w:pPr>
        <w:numPr>
          <w:ilvl w:val="0"/>
          <w:numId w:val="130"/>
        </w:numPr>
        <w:ind w:left="1560" w:hanging="567"/>
        <w:jc w:val="both"/>
        <w:rPr>
          <w:rFonts w:eastAsia="Times New Roman"/>
          <w:bCs/>
          <w:color w:val="000000"/>
          <w:szCs w:val="18"/>
          <w:lang w:val="es-ES" w:eastAsia="es-ES"/>
        </w:rPr>
      </w:pPr>
      <w:r>
        <w:rPr>
          <w:color w:val="000000"/>
          <w:lang w:val="es-PE"/>
        </w:rPr>
        <w:t>Cualquier epidemia, pandemia, contaminación, plaga o cualquier evento similar, que impida o limite al CONCESIONARIO o al CONCEDENTE cumplir con cualquiera de las obligaciones a su cargo.</w:t>
      </w:r>
    </w:p>
    <w:p w14:paraId="6926BD2B" w14:textId="77777777" w:rsidR="004412F1" w:rsidRDefault="004412F1">
      <w:pPr>
        <w:numPr>
          <w:ilvl w:val="0"/>
          <w:numId w:val="131"/>
        </w:numPr>
        <w:tabs>
          <w:tab w:val="clear" w:pos="720"/>
        </w:tabs>
        <w:ind w:left="1560" w:hanging="567"/>
        <w:jc w:val="both"/>
        <w:rPr>
          <w:lang w:val="es-PE"/>
        </w:rPr>
      </w:pPr>
    </w:p>
    <w:p w14:paraId="0E3407F2" w14:textId="77777777" w:rsidR="004412F1" w:rsidRDefault="005A12A3">
      <w:pPr>
        <w:numPr>
          <w:ilvl w:val="0"/>
          <w:numId w:val="130"/>
        </w:numPr>
        <w:ind w:left="1560" w:hanging="567"/>
        <w:jc w:val="both"/>
        <w:rPr>
          <w:rFonts w:eastAsia="Times New Roman"/>
          <w:bCs/>
          <w:color w:val="000000"/>
          <w:szCs w:val="18"/>
          <w:lang w:val="es-ES" w:eastAsia="es-ES"/>
        </w:rPr>
      </w:pPr>
      <w:r>
        <w:rPr>
          <w:color w:val="000000"/>
          <w:lang w:val="es-PE"/>
        </w:rPr>
        <w:t xml:space="preserve">La eventual confiscación, requisa, o destrucción total o parcial de la infraestructura de la Concesión y su imposibilidad de recuperación, ocasionados por orden de cualquier </w:t>
      </w:r>
      <w:proofErr w:type="gramStart"/>
      <w:r>
        <w:rPr>
          <w:color w:val="000000"/>
          <w:lang w:val="es-PE"/>
        </w:rPr>
        <w:t>autoridad pública</w:t>
      </w:r>
      <w:proofErr w:type="gramEnd"/>
      <w:r>
        <w:rPr>
          <w:color w:val="000000"/>
          <w:lang w:val="es-PE"/>
        </w:rPr>
        <w:t>, por causas no imputables al CONCESIONARIO, que afecten gravemente la ejecución del Contrato impidiendo al CONCESIONARIO cumplir con cualquiera de las obligaciones a su cargo.</w:t>
      </w:r>
    </w:p>
    <w:p w14:paraId="7D2182E9" w14:textId="77777777" w:rsidR="004412F1" w:rsidRDefault="004412F1">
      <w:pPr>
        <w:numPr>
          <w:ilvl w:val="0"/>
          <w:numId w:val="131"/>
        </w:numPr>
        <w:tabs>
          <w:tab w:val="clear" w:pos="720"/>
        </w:tabs>
        <w:ind w:left="708" w:hanging="284"/>
        <w:rPr>
          <w:color w:val="000000"/>
          <w:lang w:val="es-PE"/>
        </w:rPr>
      </w:pPr>
    </w:p>
    <w:p w14:paraId="09A82719" w14:textId="77777777" w:rsidR="004412F1" w:rsidRDefault="005A12A3">
      <w:pPr>
        <w:numPr>
          <w:ilvl w:val="0"/>
          <w:numId w:val="130"/>
        </w:numPr>
        <w:ind w:left="1560" w:hanging="567"/>
        <w:jc w:val="both"/>
        <w:rPr>
          <w:rFonts w:eastAsia="Times New Roman"/>
          <w:bCs/>
          <w:color w:val="000000"/>
          <w:szCs w:val="18"/>
          <w:lang w:val="es-ES" w:eastAsia="es-ES"/>
        </w:rPr>
      </w:pPr>
      <w:r>
        <w:rPr>
          <w:color w:val="000000"/>
          <w:highlight w:val="white"/>
          <w:lang w:val="es-PE"/>
        </w:rPr>
        <w:t xml:space="preserve">Aquellos descubrimientos de </w:t>
      </w:r>
      <w:r>
        <w:rPr>
          <w:color w:val="000000"/>
          <w:lang w:val="es-PE"/>
        </w:rPr>
        <w:t>restos arqueológicos que sean de una magnitud tal que impidan al CONCESIONARIO cumplir en forma definitiva con cualquiera de las obligaciones a su cargo.</w:t>
      </w:r>
    </w:p>
    <w:p w14:paraId="12F0A6B4" w14:textId="77777777" w:rsidR="004412F1" w:rsidRDefault="004412F1">
      <w:pPr>
        <w:ind w:left="1560" w:hanging="567"/>
        <w:jc w:val="both"/>
        <w:rPr>
          <w:lang w:val="es-PE"/>
        </w:rPr>
      </w:pPr>
    </w:p>
    <w:p w14:paraId="3537F8D8" w14:textId="77777777" w:rsidR="004412F1" w:rsidRDefault="005A12A3">
      <w:pPr>
        <w:numPr>
          <w:ilvl w:val="1"/>
          <w:numId w:val="128"/>
        </w:numPr>
        <w:ind w:left="709" w:hanging="709"/>
        <w:jc w:val="both"/>
        <w:rPr>
          <w:color w:val="000000"/>
          <w:lang w:val="es-PE"/>
        </w:rPr>
      </w:pPr>
      <w:r>
        <w:rPr>
          <w:color w:val="000000"/>
          <w:lang w:val="es-PE"/>
        </w:rPr>
        <w:t xml:space="preserve">En caso el CONCESIONARIO y/o el CONCEDENTE invoquen la fuerza mayor o caso fortuito deberá hacer los mejores esfuerzos propios de un agente diligente para asegurar la reiniciación de la actividad o prestación correspondiente en el menor tiempo posible después de la ocurrencia de dichos eventos. </w:t>
      </w:r>
    </w:p>
    <w:p w14:paraId="3F524BD0" w14:textId="77777777" w:rsidR="004412F1" w:rsidRDefault="004412F1">
      <w:pPr>
        <w:ind w:left="709"/>
        <w:jc w:val="both"/>
        <w:rPr>
          <w:color w:val="000000"/>
          <w:lang w:val="es-PE"/>
        </w:rPr>
      </w:pPr>
    </w:p>
    <w:p w14:paraId="53334021" w14:textId="77777777" w:rsidR="004412F1" w:rsidRDefault="005A12A3">
      <w:pPr>
        <w:ind w:left="709"/>
        <w:jc w:val="both"/>
        <w:rPr>
          <w:color w:val="000000"/>
          <w:lang w:val="es-PE"/>
        </w:rPr>
      </w:pPr>
      <w:r>
        <w:rPr>
          <w:color w:val="000000"/>
          <w:lang w:val="es-PE"/>
        </w:rPr>
        <w:t xml:space="preserve">La fuerza mayor o el caso fortuito no liberará al afectado con dicho evento del cumplimiento de obligaciones que no sean suspendidas como consecuencia </w:t>
      </w:r>
      <w:proofErr w:type="gramStart"/>
      <w:r>
        <w:rPr>
          <w:color w:val="000000"/>
          <w:lang w:val="es-PE"/>
        </w:rPr>
        <w:t>del mismo</w:t>
      </w:r>
      <w:proofErr w:type="gramEnd"/>
      <w:r>
        <w:rPr>
          <w:color w:val="000000"/>
          <w:lang w:val="es-PE"/>
        </w:rPr>
        <w:t xml:space="preserve">. </w:t>
      </w:r>
    </w:p>
    <w:p w14:paraId="70301C75" w14:textId="77777777" w:rsidR="004412F1" w:rsidRDefault="004412F1">
      <w:pPr>
        <w:ind w:left="709"/>
        <w:jc w:val="both"/>
        <w:rPr>
          <w:color w:val="000000"/>
          <w:lang w:val="es-PE"/>
        </w:rPr>
      </w:pPr>
    </w:p>
    <w:p w14:paraId="00C0B8FB" w14:textId="77777777" w:rsidR="004412F1" w:rsidRDefault="005A12A3">
      <w:pPr>
        <w:pStyle w:val="Ttulo1"/>
        <w:rPr>
          <w:lang w:val="es-PE"/>
        </w:rPr>
      </w:pPr>
      <w:bookmarkStart w:id="2324" w:name="_ts64ni"/>
      <w:bookmarkStart w:id="2325" w:name="_Toc139294800"/>
      <w:bookmarkStart w:id="2326" w:name="_Toc140089399"/>
      <w:bookmarkEnd w:id="2324"/>
      <w:r>
        <w:rPr>
          <w:lang w:val="es-PE"/>
        </w:rPr>
        <w:t>CAPÍTULO XVII: CADUCIDAD DE LA CONCESIÓN</w:t>
      </w:r>
      <w:bookmarkEnd w:id="2315"/>
      <w:bookmarkEnd w:id="2316"/>
      <w:bookmarkEnd w:id="2317"/>
      <w:bookmarkEnd w:id="2318"/>
      <w:bookmarkEnd w:id="2319"/>
      <w:bookmarkEnd w:id="2320"/>
      <w:bookmarkEnd w:id="2321"/>
      <w:bookmarkEnd w:id="2322"/>
      <w:bookmarkEnd w:id="2323"/>
      <w:bookmarkEnd w:id="2325"/>
      <w:bookmarkEnd w:id="2326"/>
    </w:p>
    <w:p w14:paraId="7C852E0D" w14:textId="77777777" w:rsidR="004412F1" w:rsidRDefault="004412F1">
      <w:pPr>
        <w:pStyle w:val="Ttulo"/>
        <w:jc w:val="both"/>
        <w:rPr>
          <w:lang w:val="es-PE"/>
        </w:rPr>
      </w:pPr>
    </w:p>
    <w:p w14:paraId="1C44A3C2" w14:textId="77777777" w:rsidR="004412F1" w:rsidRDefault="005A12A3">
      <w:pPr>
        <w:pStyle w:val="Ttulo2"/>
        <w:ind w:left="0"/>
        <w:rPr>
          <w:rFonts w:ascii="Arial" w:eastAsia="Arial" w:hAnsi="Arial" w:cs="Arial"/>
          <w:b/>
          <w:bCs/>
          <w:u w:val="none"/>
        </w:rPr>
      </w:pPr>
      <w:bookmarkStart w:id="2327" w:name="_3drtnbb"/>
      <w:bookmarkStart w:id="2328" w:name="_TERMINACIÓN_DEL_CONTRATO"/>
      <w:bookmarkStart w:id="2329" w:name="_Toc131333009"/>
      <w:bookmarkStart w:id="2330" w:name="_Toc131330001"/>
      <w:bookmarkStart w:id="2331" w:name="_Toc131332088"/>
      <w:bookmarkStart w:id="2332" w:name="_Toc139294801"/>
      <w:bookmarkStart w:id="2333" w:name="_Toc468837698"/>
      <w:bookmarkStart w:id="2334" w:name="_Toc131328030"/>
      <w:bookmarkStart w:id="2335" w:name="_Toc131329414"/>
      <w:bookmarkStart w:id="2336" w:name="_Toc131329182"/>
      <w:bookmarkStart w:id="2337" w:name="_Toc131328846"/>
      <w:bookmarkStart w:id="2338" w:name="_Toc140089400"/>
      <w:bookmarkEnd w:id="2327"/>
      <w:bookmarkEnd w:id="2328"/>
      <w:r>
        <w:rPr>
          <w:rFonts w:ascii="Arial" w:eastAsia="Arial" w:hAnsi="Arial" w:cs="Arial"/>
          <w:b/>
          <w:bCs/>
          <w:u w:val="none"/>
        </w:rPr>
        <w:t>TERMINACIÓN DEL CONTRATO</w:t>
      </w:r>
      <w:bookmarkEnd w:id="2329"/>
      <w:bookmarkEnd w:id="2330"/>
      <w:bookmarkEnd w:id="2331"/>
      <w:bookmarkEnd w:id="2332"/>
      <w:bookmarkEnd w:id="2333"/>
      <w:bookmarkEnd w:id="2334"/>
      <w:bookmarkEnd w:id="2335"/>
      <w:bookmarkEnd w:id="2336"/>
      <w:bookmarkEnd w:id="2337"/>
      <w:bookmarkEnd w:id="2338"/>
    </w:p>
    <w:p w14:paraId="104B123C" w14:textId="77777777" w:rsidR="004412F1" w:rsidRDefault="004412F1">
      <w:pPr>
        <w:jc w:val="both"/>
      </w:pPr>
    </w:p>
    <w:p w14:paraId="2B074996" w14:textId="77777777" w:rsidR="004412F1" w:rsidRDefault="005A12A3">
      <w:pPr>
        <w:numPr>
          <w:ilvl w:val="1"/>
          <w:numId w:val="132"/>
        </w:numPr>
        <w:jc w:val="both"/>
        <w:rPr>
          <w:lang w:val="es-PE"/>
        </w:rPr>
      </w:pPr>
      <w:bookmarkStart w:id="2339" w:name="_1sx3xj4"/>
      <w:bookmarkStart w:id="2340" w:name="_Ref272505741"/>
      <w:bookmarkEnd w:id="2339"/>
      <w:r>
        <w:rPr>
          <w:lang w:val="es-PE"/>
        </w:rPr>
        <w:t>La presente Concesión caducará, y por ende el Contrato terminará, por la verificación de alguna de las siguientes causales:</w:t>
      </w:r>
      <w:bookmarkEnd w:id="2340"/>
    </w:p>
    <w:p w14:paraId="519EC566" w14:textId="77777777" w:rsidR="004412F1" w:rsidRDefault="005A12A3">
      <w:pPr>
        <w:numPr>
          <w:ilvl w:val="0"/>
          <w:numId w:val="133"/>
        </w:numPr>
        <w:tabs>
          <w:tab w:val="left" w:pos="1276"/>
        </w:tabs>
        <w:ind w:firstLine="0"/>
        <w:rPr>
          <w:color w:val="000000"/>
          <w:lang w:val="es-PE"/>
        </w:rPr>
      </w:pPr>
      <w:bookmarkStart w:id="2341" w:name="_4cwrg6x" w:colFirst="0" w:colLast="0"/>
      <w:bookmarkStart w:id="2342" w:name="_Toc82860844"/>
      <w:bookmarkStart w:id="2343" w:name="_Toc82859826"/>
      <w:bookmarkStart w:id="2344" w:name="_Toc82860237"/>
      <w:bookmarkStart w:id="2345" w:name="_Toc82859406"/>
      <w:bookmarkStart w:id="2346" w:name="_Toc82860032"/>
      <w:bookmarkStart w:id="2347" w:name="_Toc82858971"/>
      <w:bookmarkStart w:id="2348" w:name="_Toc82859619"/>
      <w:bookmarkStart w:id="2349" w:name="_Toc106666602"/>
      <w:bookmarkStart w:id="2350" w:name="_Toc82860442"/>
      <w:bookmarkStart w:id="2351" w:name="_Toc82858750"/>
      <w:bookmarkStart w:id="2352" w:name="_Toc106603992"/>
      <w:bookmarkStart w:id="2353" w:name="_Toc82859190"/>
      <w:bookmarkEnd w:id="2341"/>
      <w:r>
        <w:rPr>
          <w:color w:val="000000"/>
          <w:lang w:val="es-PE"/>
        </w:rPr>
        <w:t>Vencimiento del Plazo de la Concesión.</w:t>
      </w:r>
    </w:p>
    <w:p w14:paraId="5307C5F3" w14:textId="77777777" w:rsidR="004412F1" w:rsidRDefault="005A12A3">
      <w:pPr>
        <w:numPr>
          <w:ilvl w:val="0"/>
          <w:numId w:val="133"/>
        </w:numPr>
        <w:tabs>
          <w:tab w:val="left" w:pos="1276"/>
        </w:tabs>
        <w:ind w:firstLine="0"/>
        <w:rPr>
          <w:color w:val="000000"/>
        </w:rPr>
      </w:pPr>
      <w:bookmarkStart w:id="2354" w:name="_2s21qeq" w:colFirst="0" w:colLast="0"/>
      <w:bookmarkStart w:id="2355" w:name="_Ref352187328"/>
      <w:bookmarkEnd w:id="2354"/>
      <w:r>
        <w:rPr>
          <w:color w:val="000000"/>
        </w:rPr>
        <w:t>Mutuo acuerdo.</w:t>
      </w:r>
      <w:bookmarkEnd w:id="2355"/>
    </w:p>
    <w:p w14:paraId="6C41EAB1" w14:textId="77777777" w:rsidR="004412F1" w:rsidRDefault="005A12A3">
      <w:pPr>
        <w:numPr>
          <w:ilvl w:val="0"/>
          <w:numId w:val="133"/>
        </w:numPr>
        <w:tabs>
          <w:tab w:val="left" w:pos="1276"/>
        </w:tabs>
        <w:ind w:firstLine="0"/>
        <w:rPr>
          <w:color w:val="000000"/>
        </w:rPr>
      </w:pPr>
      <w:bookmarkStart w:id="2356" w:name="_177c0mj" w:colFirst="0" w:colLast="0"/>
      <w:bookmarkStart w:id="2357" w:name="_Ref272505696"/>
      <w:bookmarkEnd w:id="2356"/>
      <w:r>
        <w:rPr>
          <w:color w:val="000000"/>
        </w:rPr>
        <w:t>Incumplimiento del CONCESIONARIO.</w:t>
      </w:r>
      <w:bookmarkEnd w:id="2357"/>
    </w:p>
    <w:p w14:paraId="37D58C53" w14:textId="77777777" w:rsidR="004412F1" w:rsidRDefault="005A12A3">
      <w:pPr>
        <w:numPr>
          <w:ilvl w:val="0"/>
          <w:numId w:val="133"/>
        </w:numPr>
        <w:tabs>
          <w:tab w:val="left" w:pos="1276"/>
        </w:tabs>
        <w:ind w:firstLine="0"/>
        <w:rPr>
          <w:color w:val="000000"/>
        </w:rPr>
      </w:pPr>
      <w:r>
        <w:rPr>
          <w:color w:val="000000"/>
        </w:rPr>
        <w:t>Incumplimiento del CONCEDENTE.</w:t>
      </w:r>
    </w:p>
    <w:p w14:paraId="16752818" w14:textId="77777777" w:rsidR="004412F1" w:rsidRDefault="005A12A3">
      <w:pPr>
        <w:numPr>
          <w:ilvl w:val="0"/>
          <w:numId w:val="133"/>
        </w:numPr>
        <w:tabs>
          <w:tab w:val="left" w:pos="1276"/>
        </w:tabs>
        <w:ind w:firstLine="0"/>
        <w:rPr>
          <w:color w:val="000000"/>
        </w:rPr>
      </w:pPr>
      <w:r>
        <w:rPr>
          <w:color w:val="000000"/>
        </w:rPr>
        <w:t>Decisión unilateral del CONCEDENTE.</w:t>
      </w:r>
    </w:p>
    <w:p w14:paraId="278FCF53" w14:textId="77777777" w:rsidR="004412F1" w:rsidRDefault="005A12A3">
      <w:pPr>
        <w:numPr>
          <w:ilvl w:val="0"/>
          <w:numId w:val="133"/>
        </w:numPr>
        <w:tabs>
          <w:tab w:val="left" w:pos="1276"/>
        </w:tabs>
        <w:ind w:firstLine="0"/>
        <w:rPr>
          <w:color w:val="000000"/>
          <w:lang w:val="es-PE"/>
        </w:rPr>
      </w:pPr>
      <w:bookmarkStart w:id="2358" w:name="_3r6zjac" w:colFirst="0" w:colLast="0"/>
      <w:bookmarkStart w:id="2359" w:name="_Ref272505717"/>
      <w:bookmarkEnd w:id="2358"/>
      <w:r>
        <w:rPr>
          <w:color w:val="000000"/>
          <w:lang w:val="es-PE"/>
        </w:rPr>
        <w:lastRenderedPageBreak/>
        <w:t>Fuerza Mayor o Caso Fortuito.</w:t>
      </w:r>
      <w:bookmarkEnd w:id="2359"/>
    </w:p>
    <w:p w14:paraId="53117C3E" w14:textId="77777777" w:rsidR="004412F1" w:rsidRDefault="005A12A3">
      <w:pPr>
        <w:numPr>
          <w:ilvl w:val="0"/>
          <w:numId w:val="133"/>
        </w:numPr>
        <w:tabs>
          <w:tab w:val="left" w:pos="1276"/>
        </w:tabs>
        <w:ind w:firstLine="0"/>
        <w:rPr>
          <w:lang w:val="es-PE"/>
        </w:rPr>
      </w:pPr>
      <w:bookmarkStart w:id="2360" w:name="_e7w5jqu2i5kr" w:colFirst="0" w:colLast="0"/>
      <w:bookmarkEnd w:id="2360"/>
      <w:r>
        <w:rPr>
          <w:color w:val="000000"/>
          <w:lang w:val="es-PE"/>
        </w:rPr>
        <w:t>Por aplicación de la Cláusula Anticorrupción.</w:t>
      </w:r>
    </w:p>
    <w:p w14:paraId="60D82F3D" w14:textId="77777777" w:rsidR="004412F1" w:rsidRDefault="005A12A3">
      <w:pPr>
        <w:numPr>
          <w:ilvl w:val="0"/>
          <w:numId w:val="133"/>
        </w:numPr>
        <w:ind w:left="709" w:firstLine="0"/>
        <w:rPr>
          <w:lang w:val="es-PE"/>
        </w:rPr>
      </w:pPr>
      <w:r>
        <w:rPr>
          <w:color w:val="000000" w:themeColor="text1"/>
          <w:lang w:val="es-PE"/>
        </w:rPr>
        <w:t>Las demás causales específicas establecidas en el presente Contrato.</w:t>
      </w:r>
    </w:p>
    <w:p w14:paraId="60991365" w14:textId="77777777" w:rsidR="004412F1" w:rsidRDefault="004412F1">
      <w:pPr>
        <w:ind w:left="705"/>
        <w:jc w:val="both"/>
        <w:rPr>
          <w:lang w:val="es-PE"/>
        </w:rPr>
      </w:pPr>
      <w:bookmarkStart w:id="2361" w:name="_tv248si0d857" w:colFirst="0" w:colLast="0"/>
      <w:bookmarkEnd w:id="2361"/>
    </w:p>
    <w:p w14:paraId="6B89FA88" w14:textId="77777777" w:rsidR="004412F1" w:rsidRDefault="005A12A3">
      <w:pPr>
        <w:ind w:left="705"/>
        <w:jc w:val="both"/>
        <w:rPr>
          <w:rFonts w:eastAsia="Times New Roman"/>
          <w:bCs/>
          <w:szCs w:val="18"/>
          <w:lang w:val="es-ES" w:eastAsia="es-ES"/>
        </w:rPr>
      </w:pPr>
      <w:bookmarkStart w:id="2362" w:name="_bh0dq1wqt701"/>
      <w:bookmarkEnd w:id="2362"/>
      <w:r>
        <w:rPr>
          <w:lang w:val="es-PE"/>
        </w:rPr>
        <w:t>Cualquiera sea la causal de caducidad, con excepción de la causal indicada en la Cláusula 17.2 del Contrato, el REGULADOR, en un plazo no mayor de treinta (30) Días, realizará en función a los avances en la Rehabilitación y Mejoramiento, el Mantenimiento Periódico Inicial y/o la Construcción del Evitamiento San Clemente y/o el Mantenimiento y Operación el cálculo de los compromisos pendientes de pago del CONCEDENTE al CONCESIONARIO, el mismo que será remitido al CONCEDENTE</w:t>
      </w:r>
      <w:bookmarkStart w:id="2363" w:name="_TÉRMINO_POR_VENCIMIENTO"/>
      <w:bookmarkEnd w:id="2363"/>
      <w:r>
        <w:rPr>
          <w:lang w:val="es-PE"/>
        </w:rPr>
        <w:t>.</w:t>
      </w:r>
    </w:p>
    <w:p w14:paraId="275D2260" w14:textId="77777777" w:rsidR="004412F1" w:rsidRDefault="004412F1">
      <w:pPr>
        <w:ind w:left="705"/>
        <w:jc w:val="both"/>
        <w:rPr>
          <w:lang w:val="es-PE"/>
        </w:rPr>
      </w:pPr>
      <w:bookmarkStart w:id="2364" w:name="_26c9ti5" w:colFirst="0" w:colLast="0"/>
      <w:bookmarkEnd w:id="2364"/>
    </w:p>
    <w:p w14:paraId="3AFC972A" w14:textId="77777777" w:rsidR="004412F1" w:rsidRDefault="005A12A3" w:rsidP="00AF7460">
      <w:pPr>
        <w:pStyle w:val="Ttulo2"/>
        <w:ind w:left="0"/>
        <w:rPr>
          <w:b/>
          <w:lang w:val="es-PE"/>
        </w:rPr>
      </w:pPr>
      <w:bookmarkStart w:id="2365" w:name="_Toc139294802"/>
      <w:bookmarkStart w:id="2366" w:name="_Toc140089401"/>
      <w:r w:rsidRPr="00AF7460">
        <w:rPr>
          <w:rFonts w:ascii="Arial" w:eastAsia="Arial" w:hAnsi="Arial" w:cs="Arial"/>
          <w:b/>
          <w:bCs/>
          <w:u w:val="none"/>
        </w:rPr>
        <w:t>VENCIMIENTO</w:t>
      </w:r>
      <w:r>
        <w:rPr>
          <w:rFonts w:ascii="Arial" w:eastAsia="Arial" w:hAnsi="Arial"/>
          <w:b/>
          <w:u w:val="none"/>
          <w:lang w:val="es-PE"/>
        </w:rPr>
        <w:t xml:space="preserve"> DEL PLAZO</w:t>
      </w:r>
      <w:bookmarkEnd w:id="2342"/>
      <w:bookmarkEnd w:id="2343"/>
      <w:bookmarkEnd w:id="2344"/>
      <w:bookmarkEnd w:id="2345"/>
      <w:bookmarkEnd w:id="2346"/>
      <w:bookmarkEnd w:id="2347"/>
      <w:bookmarkEnd w:id="2348"/>
      <w:bookmarkEnd w:id="2349"/>
      <w:bookmarkEnd w:id="2350"/>
      <w:bookmarkEnd w:id="2351"/>
      <w:bookmarkEnd w:id="2352"/>
      <w:bookmarkEnd w:id="2353"/>
      <w:bookmarkEnd w:id="2365"/>
      <w:bookmarkEnd w:id="2366"/>
    </w:p>
    <w:p w14:paraId="073FFB61" w14:textId="77777777" w:rsidR="004412F1" w:rsidRDefault="004412F1">
      <w:pPr>
        <w:jc w:val="both"/>
      </w:pPr>
    </w:p>
    <w:p w14:paraId="3C9B78E7" w14:textId="77777777" w:rsidR="004412F1" w:rsidRDefault="005A12A3">
      <w:pPr>
        <w:numPr>
          <w:ilvl w:val="1"/>
          <w:numId w:val="132"/>
        </w:numPr>
        <w:jc w:val="both"/>
        <w:rPr>
          <w:lang w:val="es-PE"/>
        </w:rPr>
      </w:pPr>
      <w:bookmarkStart w:id="2367" w:name="_lhk3py" w:colFirst="0" w:colLast="0"/>
      <w:bookmarkEnd w:id="2367"/>
      <w:r>
        <w:rPr>
          <w:lang w:val="es-PE"/>
        </w:rPr>
        <w:tab/>
      </w:r>
      <w:bookmarkStart w:id="2368" w:name="_Ref272504369"/>
      <w:r>
        <w:rPr>
          <w:lang w:val="es-PE"/>
        </w:rPr>
        <w:t xml:space="preserve">El Contrato terminará al vencimiento del plazo establecido en la Cláusula 4.1 o de cualquier plazo ampliatorio concedido conforme al </w:t>
      </w:r>
      <w:hyperlink w:anchor="_4cmhg48">
        <w:r>
          <w:rPr>
            <w:color w:val="000000"/>
            <w:lang w:val="es-PE"/>
          </w:rPr>
          <w:t>Capítulo IV</w:t>
        </w:r>
      </w:hyperlink>
      <w:r>
        <w:rPr>
          <w:lang w:val="es-PE"/>
        </w:rPr>
        <w:t xml:space="preserve"> del Contrato.</w:t>
      </w:r>
      <w:bookmarkEnd w:id="2368"/>
    </w:p>
    <w:p w14:paraId="337A0664" w14:textId="77777777" w:rsidR="004412F1" w:rsidRDefault="004412F1">
      <w:pPr>
        <w:jc w:val="both"/>
        <w:rPr>
          <w:lang w:val="es-PE"/>
        </w:rPr>
      </w:pPr>
    </w:p>
    <w:p w14:paraId="6B540750" w14:textId="77777777" w:rsidR="004412F1" w:rsidRDefault="005A12A3">
      <w:pPr>
        <w:ind w:left="705"/>
        <w:jc w:val="both"/>
        <w:rPr>
          <w:lang w:val="es-PE"/>
        </w:rPr>
      </w:pPr>
      <w:r>
        <w:rPr>
          <w:lang w:val="es-PE"/>
        </w:rPr>
        <w:t>La Caducidad de la Concesión por haberse vencido el plazo pactado no generará ninguna contraprestación adicional a la establecida en el presente Contrato, ni monto indemnizatorio alguno por eventuales daños que la Caducidad de la Concesión pueda generar para cualquiera de las Partes.</w:t>
      </w:r>
    </w:p>
    <w:p w14:paraId="11A971DD" w14:textId="77777777" w:rsidR="004412F1" w:rsidRDefault="004412F1">
      <w:pPr>
        <w:rPr>
          <w:lang w:val="es-PE"/>
        </w:rPr>
      </w:pPr>
    </w:p>
    <w:p w14:paraId="2C81F10B" w14:textId="77777777" w:rsidR="004412F1" w:rsidRDefault="005A12A3">
      <w:pPr>
        <w:pStyle w:val="Ttulo2"/>
        <w:ind w:left="0"/>
        <w:rPr>
          <w:rFonts w:ascii="Arial" w:eastAsia="Arial" w:hAnsi="Arial" w:cs="Arial"/>
          <w:b/>
          <w:bCs/>
          <w:u w:val="none"/>
        </w:rPr>
      </w:pPr>
      <w:bookmarkStart w:id="2369" w:name="_35h7mdr"/>
      <w:bookmarkStart w:id="2370" w:name="_Toc131328847"/>
      <w:bookmarkStart w:id="2371" w:name="_Toc131328031"/>
      <w:bookmarkStart w:id="2372" w:name="_Toc468837699"/>
      <w:bookmarkStart w:id="2373" w:name="_Toc131332089"/>
      <w:bookmarkStart w:id="2374" w:name="_Toc131329183"/>
      <w:bookmarkStart w:id="2375" w:name="_Toc131329415"/>
      <w:bookmarkStart w:id="2376" w:name="_Toc131333010"/>
      <w:bookmarkStart w:id="2377" w:name="_Toc131330002"/>
      <w:bookmarkStart w:id="2378" w:name="_Toc139294803"/>
      <w:bookmarkStart w:id="2379" w:name="_Toc140089402"/>
      <w:bookmarkEnd w:id="2369"/>
      <w:r>
        <w:rPr>
          <w:rFonts w:ascii="Arial" w:eastAsia="Arial" w:hAnsi="Arial" w:cs="Arial"/>
          <w:b/>
          <w:bCs/>
          <w:u w:val="none"/>
        </w:rPr>
        <w:t>TÉRMINO POR MUTUO ACUERDO</w:t>
      </w:r>
      <w:bookmarkEnd w:id="2370"/>
      <w:bookmarkEnd w:id="2371"/>
      <w:bookmarkEnd w:id="2372"/>
      <w:bookmarkEnd w:id="2373"/>
      <w:bookmarkEnd w:id="2374"/>
      <w:bookmarkEnd w:id="2375"/>
      <w:bookmarkEnd w:id="2376"/>
      <w:bookmarkEnd w:id="2377"/>
      <w:bookmarkEnd w:id="2378"/>
      <w:bookmarkEnd w:id="2379"/>
    </w:p>
    <w:p w14:paraId="100910F6" w14:textId="77777777" w:rsidR="004412F1" w:rsidRDefault="004412F1">
      <w:pPr>
        <w:jc w:val="both"/>
      </w:pPr>
    </w:p>
    <w:p w14:paraId="46DC584D" w14:textId="77777777" w:rsidR="004412F1" w:rsidRDefault="005A12A3">
      <w:pPr>
        <w:numPr>
          <w:ilvl w:val="1"/>
          <w:numId w:val="132"/>
        </w:numPr>
        <w:tabs>
          <w:tab w:val="left" w:pos="1333"/>
        </w:tabs>
        <w:jc w:val="both"/>
        <w:rPr>
          <w:lang w:val="es-PE"/>
        </w:rPr>
      </w:pPr>
      <w:r>
        <w:rPr>
          <w:lang w:val="es-PE"/>
        </w:rPr>
        <w:t>El Contrato terminará en cualquier momento, por acuerdo escrito entre el CONCESIONARIO y el CONCEDENTE, previa opinión del REGULADOR conforme a las Leyes y Disposiciones Aplicables.</w:t>
      </w:r>
    </w:p>
    <w:p w14:paraId="0E345EE3" w14:textId="77777777" w:rsidR="004412F1" w:rsidRDefault="004412F1">
      <w:pPr>
        <w:tabs>
          <w:tab w:val="left" w:pos="1333"/>
        </w:tabs>
        <w:ind w:left="705"/>
        <w:jc w:val="both"/>
        <w:rPr>
          <w:lang w:val="es-PE"/>
        </w:rPr>
      </w:pPr>
    </w:p>
    <w:p w14:paraId="0A28E6F0" w14:textId="0829773E" w:rsidR="004412F1" w:rsidRDefault="005A12A3">
      <w:pPr>
        <w:tabs>
          <w:tab w:val="left" w:pos="1333"/>
        </w:tabs>
        <w:ind w:left="705"/>
        <w:jc w:val="both"/>
        <w:rPr>
          <w:lang w:val="es-PE"/>
        </w:rPr>
      </w:pPr>
      <w:r>
        <w:rPr>
          <w:lang w:val="es-PE"/>
        </w:rPr>
        <w:t>El acuerdo deberá contener las reglas y el mecanismo de liquidación de la Concesión reguladas en la Cláusula 17.2</w:t>
      </w:r>
      <w:r w:rsidR="00865D92">
        <w:rPr>
          <w:lang w:val="es-ES"/>
        </w:rPr>
        <w:t>5</w:t>
      </w:r>
      <w:r>
        <w:rPr>
          <w:lang w:val="es-PE"/>
        </w:rPr>
        <w:t xml:space="preserve"> y siguientes, así como las reglas para la reversión de los Bienes de la Concesión, asegurándose la continuidad de los Servicios Obligatorios.  </w:t>
      </w:r>
    </w:p>
    <w:p w14:paraId="5E3028B4" w14:textId="77777777" w:rsidR="004412F1" w:rsidRDefault="004412F1">
      <w:pPr>
        <w:tabs>
          <w:tab w:val="left" w:pos="1333"/>
        </w:tabs>
        <w:ind w:left="705"/>
        <w:jc w:val="both"/>
        <w:rPr>
          <w:lang w:val="es-PE"/>
        </w:rPr>
      </w:pPr>
    </w:p>
    <w:p w14:paraId="78965EF9" w14:textId="77777777" w:rsidR="004412F1" w:rsidRDefault="005A12A3">
      <w:pPr>
        <w:tabs>
          <w:tab w:val="left" w:pos="1333"/>
        </w:tabs>
        <w:ind w:left="705"/>
        <w:jc w:val="both"/>
        <w:rPr>
          <w:lang w:val="es-ES"/>
        </w:rPr>
      </w:pPr>
      <w:r>
        <w:rPr>
          <w:lang w:val="es-PE"/>
        </w:rPr>
        <w:t>Para este fin, el</w:t>
      </w:r>
      <w:r>
        <w:rPr>
          <w:lang w:val="es-ES"/>
        </w:rPr>
        <w:t xml:space="preserve"> acuerdo deberá considerar el tiempo transcurrido desde la celebración del Contrato, </w:t>
      </w:r>
      <w:r>
        <w:rPr>
          <w:lang w:val="es-PE"/>
        </w:rPr>
        <w:t>los montos de avance de la Rehabilitación y Mejoramiento y/o Mantenimiento Periódico Inicial y/o la construcción del Evitamiento San Clemente ejecutados</w:t>
      </w:r>
      <w:r>
        <w:rPr>
          <w:lang w:val="es-ES"/>
        </w:rPr>
        <w:t xml:space="preserve">, los montos </w:t>
      </w:r>
      <w:r>
        <w:rPr>
          <w:lang w:val="es-PE"/>
        </w:rPr>
        <w:t xml:space="preserve">reconocidos y/o </w:t>
      </w:r>
      <w:r>
        <w:rPr>
          <w:lang w:val="es-ES"/>
        </w:rPr>
        <w:t>abonados por el CONCEDENTE por conceptos de PAMPI</w:t>
      </w:r>
      <w:r>
        <w:rPr>
          <w:lang w:val="es-PE"/>
        </w:rPr>
        <w:t>, RPI, PPO</w:t>
      </w:r>
      <w:r>
        <w:rPr>
          <w:lang w:val="es-ES"/>
        </w:rPr>
        <w:t xml:space="preserve"> o </w:t>
      </w:r>
      <w:r>
        <w:rPr>
          <w:lang w:val="es-PE"/>
        </w:rPr>
        <w:t>RPMO</w:t>
      </w:r>
      <w:r>
        <w:rPr>
          <w:lang w:val="es-ES"/>
        </w:rPr>
        <w:t>, según corresponda, y las circunstancias existentes a la fecha en que las Partes toman esa decisión, como criterios para determinar el mecanismo de liquidación. No se considerará monto indemnizatorio alguno por los daños que irrogue la Caducidad de la Concesión a las Partes.</w:t>
      </w:r>
    </w:p>
    <w:p w14:paraId="3BC671A4" w14:textId="77777777" w:rsidR="004412F1" w:rsidRDefault="005A12A3">
      <w:pPr>
        <w:tabs>
          <w:tab w:val="left" w:pos="1333"/>
        </w:tabs>
        <w:ind w:left="705"/>
        <w:jc w:val="both"/>
        <w:rPr>
          <w:lang w:val="es-PE"/>
        </w:rPr>
      </w:pPr>
      <w:r>
        <w:rPr>
          <w:lang w:val="es-PE"/>
        </w:rPr>
        <w:t xml:space="preserve"> </w:t>
      </w:r>
      <w:bookmarkStart w:id="2380" w:name="_Hlk139553970"/>
    </w:p>
    <w:p w14:paraId="47026BBB" w14:textId="77777777" w:rsidR="004412F1" w:rsidRDefault="005A12A3">
      <w:pPr>
        <w:pStyle w:val="Ttulo2"/>
        <w:ind w:left="0"/>
        <w:rPr>
          <w:rFonts w:ascii="Arial" w:eastAsia="Arial" w:hAnsi="Arial" w:cs="Arial"/>
          <w:b/>
          <w:bCs/>
          <w:u w:val="none"/>
        </w:rPr>
      </w:pPr>
      <w:bookmarkStart w:id="2381" w:name="_TÉRMINO_POR_INCUMPLIMIENTO"/>
      <w:bookmarkStart w:id="2382" w:name="_1kmhwlk"/>
      <w:bookmarkStart w:id="2383" w:name="_Toc139294804"/>
      <w:bookmarkStart w:id="2384" w:name="_Toc468837700"/>
      <w:bookmarkStart w:id="2385" w:name="_Toc131329416"/>
      <w:bookmarkStart w:id="2386" w:name="_Toc131332090"/>
      <w:bookmarkStart w:id="2387" w:name="_Toc131333011"/>
      <w:bookmarkStart w:id="2388" w:name="_Toc131330003"/>
      <w:bookmarkStart w:id="2389" w:name="_Toc131328032"/>
      <w:bookmarkStart w:id="2390" w:name="_Toc131328848"/>
      <w:bookmarkStart w:id="2391" w:name="_Toc131329184"/>
      <w:bookmarkStart w:id="2392" w:name="_Toc140089403"/>
      <w:bookmarkEnd w:id="2381"/>
      <w:bookmarkEnd w:id="2382"/>
      <w:r>
        <w:rPr>
          <w:rFonts w:ascii="Arial" w:eastAsia="Arial" w:hAnsi="Arial" w:cs="Arial"/>
          <w:b/>
          <w:bCs/>
          <w:u w:val="none"/>
        </w:rPr>
        <w:t>TÉRMINO POR INCUMPLIMIENTO DEL CONCESIONARIO</w:t>
      </w:r>
      <w:bookmarkEnd w:id="2383"/>
      <w:bookmarkEnd w:id="2384"/>
      <w:bookmarkEnd w:id="2385"/>
      <w:bookmarkEnd w:id="2386"/>
      <w:bookmarkEnd w:id="2387"/>
      <w:bookmarkEnd w:id="2388"/>
      <w:bookmarkEnd w:id="2389"/>
      <w:bookmarkEnd w:id="2390"/>
      <w:bookmarkEnd w:id="2391"/>
      <w:bookmarkEnd w:id="2392"/>
    </w:p>
    <w:p w14:paraId="42EBC5E4" w14:textId="77777777" w:rsidR="004412F1" w:rsidRDefault="004412F1">
      <w:pPr>
        <w:ind w:left="705"/>
        <w:jc w:val="both"/>
      </w:pPr>
    </w:p>
    <w:p w14:paraId="6A139750" w14:textId="77777777" w:rsidR="004412F1" w:rsidRDefault="005A12A3">
      <w:pPr>
        <w:numPr>
          <w:ilvl w:val="1"/>
          <w:numId w:val="132"/>
        </w:numPr>
        <w:jc w:val="both"/>
        <w:rPr>
          <w:lang w:val="es-PE"/>
        </w:rPr>
      </w:pPr>
      <w:bookmarkStart w:id="2393" w:name="_44m5f9d"/>
      <w:bookmarkStart w:id="2394" w:name="_Ref272503824"/>
      <w:bookmarkEnd w:id="2393"/>
      <w:r>
        <w:rPr>
          <w:lang w:val="es-PE"/>
        </w:rPr>
        <w:t xml:space="preserve">El Contrato terminará anticipadamente </w:t>
      </w:r>
      <w:proofErr w:type="gramStart"/>
      <w:r>
        <w:rPr>
          <w:lang w:val="es-PE"/>
        </w:rPr>
        <w:t>en caso que</w:t>
      </w:r>
      <w:proofErr w:type="gramEnd"/>
      <w:r>
        <w:rPr>
          <w:lang w:val="es-PE"/>
        </w:rPr>
        <w:t xml:space="preserve"> el CONCESIONARIO incurra en incumplimiento </w:t>
      </w:r>
      <w:r>
        <w:rPr>
          <w:lang w:val="es-ES"/>
        </w:rPr>
        <w:t>no subsanable</w:t>
      </w:r>
      <w:r>
        <w:rPr>
          <w:lang w:val="es-PE"/>
        </w:rPr>
        <w:t xml:space="preserve"> de sus obligaciones contractuales. Sin perjuicio de las penalidades y la aplicación de sanciones que procedan, se considerarán como causales de incumplimiento no subsanables de las obligaciones del CONCESIONARIO, aquellas señaladas expresamente en el Contrato, dentro de las cuales se encuentran las siguientes:</w:t>
      </w:r>
      <w:bookmarkEnd w:id="2394"/>
    </w:p>
    <w:p w14:paraId="0CA0CFF4" w14:textId="77777777" w:rsidR="004412F1" w:rsidRDefault="004412F1">
      <w:pPr>
        <w:ind w:left="705"/>
        <w:jc w:val="both"/>
        <w:rPr>
          <w:lang w:val="es-PE"/>
        </w:rPr>
      </w:pPr>
    </w:p>
    <w:p w14:paraId="105668BC" w14:textId="77777777" w:rsidR="004412F1" w:rsidRDefault="005A12A3">
      <w:pPr>
        <w:numPr>
          <w:ilvl w:val="0"/>
          <w:numId w:val="134"/>
        </w:numPr>
        <w:ind w:left="1134" w:hanging="425"/>
        <w:jc w:val="both"/>
        <w:rPr>
          <w:color w:val="000000"/>
          <w:lang w:val="es-PE"/>
        </w:rPr>
      </w:pPr>
      <w:r>
        <w:rPr>
          <w:color w:val="000000"/>
          <w:lang w:val="es-PE"/>
        </w:rPr>
        <w:lastRenderedPageBreak/>
        <w:t>Incumplimiento del CONCESIONARIO de la obligación de integrar su capital social mínimo, en el plazo y conforme a las estipulaciones previstas en el segundo párrafo del Literal b) de la Cláusula 3.3 del Contrato.</w:t>
      </w:r>
    </w:p>
    <w:p w14:paraId="5DFCA466" w14:textId="77777777" w:rsidR="004412F1" w:rsidRDefault="005A12A3">
      <w:pPr>
        <w:numPr>
          <w:ilvl w:val="0"/>
          <w:numId w:val="134"/>
        </w:numPr>
        <w:ind w:left="1134" w:hanging="425"/>
        <w:jc w:val="both"/>
        <w:rPr>
          <w:color w:val="000000"/>
          <w:lang w:val="es-PE"/>
        </w:rPr>
      </w:pPr>
      <w:r>
        <w:rPr>
          <w:color w:val="000000"/>
          <w:lang w:val="es-PE"/>
        </w:rPr>
        <w:t>La no concurrencia a la entrega del Área de la Concesión en el plazo y en la forma prevista en el Capítulo V.</w:t>
      </w:r>
    </w:p>
    <w:p w14:paraId="403BCE6C" w14:textId="77777777" w:rsidR="004412F1" w:rsidRDefault="005A12A3">
      <w:pPr>
        <w:numPr>
          <w:ilvl w:val="0"/>
          <w:numId w:val="134"/>
        </w:numPr>
        <w:ind w:left="1134" w:hanging="425"/>
        <w:jc w:val="both"/>
        <w:rPr>
          <w:color w:val="000000"/>
          <w:lang w:val="es-PE"/>
        </w:rPr>
      </w:pPr>
      <w:r>
        <w:rPr>
          <w:color w:val="000000"/>
          <w:lang w:val="es-PE"/>
        </w:rPr>
        <w:t>La generación de daños graves e irreparables al ambiente, al patrimonio histórico o a los recursos naturales, producto de la vulneración dolosa o culposa del CONCESIONARIO de las obligaciones del Instrumento de Gestión Ambiental respectivo y/o Contrato, declarada así por la Autoridad Competente mediante una resolución administrativa firme o con sentencia con carácter de cosa juzgada, según corresponda.</w:t>
      </w:r>
    </w:p>
    <w:p w14:paraId="516AD841" w14:textId="77777777" w:rsidR="004412F1" w:rsidRDefault="005A12A3">
      <w:pPr>
        <w:numPr>
          <w:ilvl w:val="0"/>
          <w:numId w:val="134"/>
        </w:numPr>
        <w:ind w:left="1134" w:hanging="425"/>
        <w:jc w:val="both"/>
        <w:rPr>
          <w:color w:val="000000"/>
          <w:lang w:val="es-PE"/>
        </w:rPr>
      </w:pPr>
      <w:r>
        <w:rPr>
          <w:color w:val="000000"/>
          <w:lang w:val="es-PE"/>
        </w:rPr>
        <w:t>La comisión de cualquier acto u omisión que constituya incumplimiento doloso del CONCESIONARIO que derivase en la comisión de un delito de acción pública en perjuicio del Usuario, del CONCEDENTE y/o del REGULADOR, declarado como tal mediante una sentencia judicial firme.</w:t>
      </w:r>
    </w:p>
    <w:p w14:paraId="0AF71959" w14:textId="77777777" w:rsidR="004412F1" w:rsidRDefault="005A12A3">
      <w:pPr>
        <w:numPr>
          <w:ilvl w:val="0"/>
          <w:numId w:val="134"/>
        </w:numPr>
        <w:ind w:left="1134" w:hanging="425"/>
        <w:jc w:val="both"/>
        <w:rPr>
          <w:color w:val="000000"/>
          <w:lang w:val="es-PE"/>
        </w:rPr>
      </w:pPr>
      <w:r>
        <w:rPr>
          <w:color w:val="000000"/>
          <w:lang w:val="es-PE"/>
        </w:rPr>
        <w:t>La transferencia de los derechos del CONCESIONARIO derivados del Contrato o la cesión de su posición contractual, sin autorización previa y por escrito del CONCEDENTE, con opinión técnica previa del REGULADOR, y sin observar lo previsto en el presente Contrato, así como las Leyes y Disposiciones Aplicables.</w:t>
      </w:r>
    </w:p>
    <w:p w14:paraId="449415BE" w14:textId="77777777" w:rsidR="004412F1" w:rsidRDefault="005A12A3">
      <w:pPr>
        <w:numPr>
          <w:ilvl w:val="0"/>
          <w:numId w:val="134"/>
        </w:numPr>
        <w:ind w:left="1134" w:hanging="425"/>
        <w:jc w:val="both"/>
        <w:rPr>
          <w:color w:val="000000"/>
          <w:lang w:val="es-PE"/>
        </w:rPr>
      </w:pPr>
      <w:r>
        <w:rPr>
          <w:color w:val="000000" w:themeColor="text1"/>
          <w:lang w:val="es-PE"/>
        </w:rPr>
        <w:t>El inicio, a instancia del CONCESIONARIO, de un proceso societario, administrativo o judicial para su disolución o liquidación.</w:t>
      </w:r>
    </w:p>
    <w:p w14:paraId="0012EC86" w14:textId="77777777" w:rsidR="004412F1" w:rsidRDefault="005A12A3">
      <w:pPr>
        <w:numPr>
          <w:ilvl w:val="0"/>
          <w:numId w:val="134"/>
        </w:numPr>
        <w:ind w:left="1134" w:hanging="425"/>
        <w:jc w:val="both"/>
        <w:rPr>
          <w:color w:val="000000"/>
          <w:lang w:val="es-PE"/>
        </w:rPr>
      </w:pPr>
      <w:r>
        <w:rPr>
          <w:color w:val="000000" w:themeColor="text1"/>
          <w:lang w:val="es-PE"/>
        </w:rPr>
        <w:t>La declaración judicial de quiebra de acuerdo con lo establecido en las Leyes y Disposiciones Aplicables.</w:t>
      </w:r>
    </w:p>
    <w:p w14:paraId="710883A1" w14:textId="77777777" w:rsidR="004412F1" w:rsidRDefault="005A12A3">
      <w:pPr>
        <w:numPr>
          <w:ilvl w:val="0"/>
          <w:numId w:val="134"/>
        </w:numPr>
        <w:ind w:left="1134" w:hanging="425"/>
        <w:jc w:val="both"/>
        <w:rPr>
          <w:color w:val="000000"/>
          <w:lang w:val="es-PE"/>
        </w:rPr>
      </w:pPr>
      <w:r>
        <w:rPr>
          <w:color w:val="000000" w:themeColor="text1"/>
          <w:lang w:val="es-PE"/>
        </w:rPr>
        <w:t>El inicio, a instancia del CONCESIONARIO de un procedimiento de fusión, escisión o transformación de sociedades u otra reorganización societaria, sin la correspondiente autorización del CONCEDENTE.</w:t>
      </w:r>
    </w:p>
    <w:p w14:paraId="6EAEA51B" w14:textId="77777777" w:rsidR="004412F1" w:rsidRDefault="005A12A3">
      <w:pPr>
        <w:numPr>
          <w:ilvl w:val="0"/>
          <w:numId w:val="134"/>
        </w:numPr>
        <w:ind w:left="1134" w:hanging="425"/>
        <w:jc w:val="both"/>
        <w:rPr>
          <w:color w:val="000000"/>
          <w:lang w:val="es-PE"/>
        </w:rPr>
      </w:pPr>
      <w:r>
        <w:rPr>
          <w:color w:val="000000" w:themeColor="text1"/>
          <w:lang w:val="es-PE"/>
        </w:rPr>
        <w:t>El incumplimiento del CONCESIONARIO de otorgar, restituir o renovar las Garantías de Fiel Cumplimiento señalada</w:t>
      </w:r>
      <w:r>
        <w:rPr>
          <w:color w:val="000000" w:themeColor="text1"/>
          <w:lang w:val="es-ES"/>
        </w:rPr>
        <w:t>s</w:t>
      </w:r>
      <w:r>
        <w:rPr>
          <w:color w:val="000000" w:themeColor="text1"/>
          <w:lang w:val="es-PE"/>
        </w:rPr>
        <w:t xml:space="preserve"> en el CAPÍTULO XI; o las pólizas de seguros exigidas en el CAPÍTULO XII; o si cualquiera de ellas fuera </w:t>
      </w:r>
      <w:proofErr w:type="gramStart"/>
      <w:r>
        <w:rPr>
          <w:color w:val="000000" w:themeColor="text1"/>
          <w:lang w:val="es-PE"/>
        </w:rPr>
        <w:t>emitida</w:t>
      </w:r>
      <w:proofErr w:type="gramEnd"/>
      <w:r>
        <w:rPr>
          <w:color w:val="000000" w:themeColor="text1"/>
          <w:lang w:val="es-PE"/>
        </w:rPr>
        <w:t xml:space="preserve"> en términos y condiciones distintas a las pactadas en el Contrato.</w:t>
      </w:r>
    </w:p>
    <w:p w14:paraId="3D0100C2" w14:textId="77777777" w:rsidR="004412F1" w:rsidRDefault="005A12A3">
      <w:pPr>
        <w:numPr>
          <w:ilvl w:val="0"/>
          <w:numId w:val="134"/>
        </w:numPr>
        <w:ind w:left="1134" w:hanging="425"/>
        <w:jc w:val="both"/>
        <w:rPr>
          <w:color w:val="000000"/>
          <w:lang w:val="es-PE"/>
        </w:rPr>
      </w:pPr>
      <w:r>
        <w:rPr>
          <w:color w:val="000000" w:themeColor="text1"/>
          <w:lang w:val="es-PE"/>
        </w:rPr>
        <w:t>La disposición de los Bienes de la Concesión en forma distinta a lo previsto en el Contrato por parte del CONCESIONARIO, sin autorización previa y por escrito del CONCEDENTE.</w:t>
      </w:r>
    </w:p>
    <w:p w14:paraId="6A86E75E" w14:textId="77777777" w:rsidR="004412F1" w:rsidRDefault="005A12A3">
      <w:pPr>
        <w:numPr>
          <w:ilvl w:val="0"/>
          <w:numId w:val="134"/>
        </w:numPr>
        <w:ind w:left="1134" w:hanging="425"/>
        <w:jc w:val="both"/>
        <w:rPr>
          <w:color w:val="000000"/>
          <w:lang w:val="es-PE"/>
        </w:rPr>
      </w:pPr>
      <w:r>
        <w:rPr>
          <w:color w:val="000000" w:themeColor="text1"/>
          <w:lang w:val="es-PE"/>
        </w:rPr>
        <w:t>La expedición de una orden judicial consentida o ejecutoriada, o una decisión administrativa firme que impida al CONCESIONARIO prestar el Servicio conforme lo establece el Contrato, o que le imponga un embargo, gravamen o secuestro que afecte, en todo o parte, a los Bienes de la Concesión, siempre que estas medidas se mantengan vigentes durante más de sesenta (60) Días Calendario o dentro del plazo mayor que haya fijado el REGULADOR por escrito, el cual se otorgará cuando medien causas razonables.</w:t>
      </w:r>
    </w:p>
    <w:p w14:paraId="5466F9A2" w14:textId="77777777" w:rsidR="004412F1" w:rsidRDefault="005A12A3">
      <w:pPr>
        <w:numPr>
          <w:ilvl w:val="0"/>
          <w:numId w:val="134"/>
        </w:numPr>
        <w:ind w:left="1134" w:hanging="425"/>
        <w:jc w:val="both"/>
        <w:rPr>
          <w:color w:val="000000"/>
          <w:lang w:val="es-PE"/>
        </w:rPr>
      </w:pPr>
      <w:r>
        <w:rPr>
          <w:color w:val="000000" w:themeColor="text1"/>
          <w:lang w:val="es-PE"/>
        </w:rPr>
        <w:t xml:space="preserve">Toda modificación de los contratos de ejecución de las </w:t>
      </w:r>
      <w:proofErr w:type="gramStart"/>
      <w:r>
        <w:rPr>
          <w:color w:val="000000" w:themeColor="text1"/>
          <w:lang w:val="es-PE"/>
        </w:rPr>
        <w:t>Intervenciones,  de</w:t>
      </w:r>
      <w:proofErr w:type="gramEnd"/>
      <w:r>
        <w:rPr>
          <w:color w:val="000000" w:themeColor="text1"/>
          <w:lang w:val="es-PE"/>
        </w:rPr>
        <w:t xml:space="preserve"> ser el caso o la suscripción de nuevos contratos de ejecución de las Intervenciones, sin observar lo señalado en el Numeral vi) del Literal e) de la Cláusula 3.3.</w:t>
      </w:r>
    </w:p>
    <w:p w14:paraId="0D8398B1" w14:textId="77777777" w:rsidR="004412F1" w:rsidRDefault="005A12A3">
      <w:pPr>
        <w:numPr>
          <w:ilvl w:val="0"/>
          <w:numId w:val="134"/>
        </w:numPr>
        <w:ind w:left="1134" w:hanging="425"/>
        <w:jc w:val="both"/>
        <w:rPr>
          <w:color w:val="000000"/>
          <w:lang w:val="es-PE"/>
        </w:rPr>
      </w:pPr>
      <w:r>
        <w:rPr>
          <w:color w:val="000000" w:themeColor="text1"/>
          <w:lang w:val="es-PE"/>
        </w:rPr>
        <w:t>El incumplimiento de las reglas para la participación del Socio Estratégico, establecidas en el Numeral i) del Literal e) de la Cláusula 3.3 del Contrato.</w:t>
      </w:r>
    </w:p>
    <w:p w14:paraId="0C8573CE" w14:textId="0D77FAC7" w:rsidR="004412F1" w:rsidRDefault="005A12A3">
      <w:pPr>
        <w:numPr>
          <w:ilvl w:val="0"/>
          <w:numId w:val="134"/>
        </w:numPr>
        <w:ind w:left="1134" w:hanging="425"/>
        <w:jc w:val="both"/>
        <w:rPr>
          <w:color w:val="000000"/>
          <w:lang w:val="es-PE"/>
        </w:rPr>
      </w:pPr>
      <w:bookmarkStart w:id="2395" w:name="_2jrfph6"/>
      <w:bookmarkEnd w:id="2395"/>
      <w:r>
        <w:rPr>
          <w:color w:val="000000" w:themeColor="text1"/>
          <w:lang w:val="es-PE"/>
        </w:rPr>
        <w:t>El rechazo del CONCEDENTE de las Intervenciones conforme a las Cláusulas 6.32</w:t>
      </w:r>
      <w:r w:rsidR="00C547F8">
        <w:rPr>
          <w:color w:val="000000" w:themeColor="text1"/>
          <w:lang w:val="es-PE"/>
        </w:rPr>
        <w:t xml:space="preserve"> </w:t>
      </w:r>
      <w:r>
        <w:rPr>
          <w:color w:val="000000" w:themeColor="text1"/>
          <w:lang w:val="es-PE"/>
        </w:rPr>
        <w:t>y</w:t>
      </w:r>
      <w:r>
        <w:rPr>
          <w:color w:val="000000" w:themeColor="text1"/>
          <w:lang w:val="es-ES"/>
        </w:rPr>
        <w:t xml:space="preserve"> </w:t>
      </w:r>
      <w:r w:rsidR="00C547F8">
        <w:rPr>
          <w:color w:val="000000" w:themeColor="text1"/>
          <w:lang w:val="es-ES"/>
        </w:rPr>
        <w:t>siguientes</w:t>
      </w:r>
      <w:r>
        <w:rPr>
          <w:color w:val="000000" w:themeColor="text1"/>
          <w:lang w:val="es-PE"/>
        </w:rPr>
        <w:t>,</w:t>
      </w:r>
      <w:r>
        <w:rPr>
          <w:color w:val="000000" w:themeColor="text1"/>
          <w:lang w:val="es-ES"/>
        </w:rPr>
        <w:t xml:space="preserve"> </w:t>
      </w:r>
      <w:r>
        <w:rPr>
          <w:color w:val="000000" w:themeColor="text1"/>
          <w:lang w:val="es-PE"/>
        </w:rPr>
        <w:t>independientemente del monto de las penalidades o sanciones que resulten aplicables.</w:t>
      </w:r>
    </w:p>
    <w:p w14:paraId="76B84D78" w14:textId="77777777" w:rsidR="004412F1" w:rsidRDefault="005A12A3">
      <w:pPr>
        <w:numPr>
          <w:ilvl w:val="0"/>
          <w:numId w:val="134"/>
        </w:numPr>
        <w:ind w:left="1134" w:hanging="425"/>
        <w:jc w:val="both"/>
        <w:rPr>
          <w:color w:val="000000"/>
          <w:lang w:val="es-PE"/>
        </w:rPr>
      </w:pPr>
      <w:r>
        <w:rPr>
          <w:color w:val="000000" w:themeColor="text1"/>
          <w:lang w:val="es-PE"/>
        </w:rPr>
        <w:t xml:space="preserve">El cobro de Tarifas, por montos superiores a los autorizados, verificada y penalizada de acuerdo con lo indicado en la Tabla N° 5 del ANEXO IX, hasta </w:t>
      </w:r>
      <w:r>
        <w:rPr>
          <w:color w:val="000000" w:themeColor="text1"/>
          <w:lang w:val="es-PE"/>
        </w:rPr>
        <w:lastRenderedPageBreak/>
        <w:t>en tres (3) oportunidades por el REGULADOR en un período de doce (12) meses.</w:t>
      </w:r>
    </w:p>
    <w:p w14:paraId="1780F82C" w14:textId="77777777" w:rsidR="004412F1" w:rsidRDefault="005A12A3">
      <w:pPr>
        <w:numPr>
          <w:ilvl w:val="0"/>
          <w:numId w:val="134"/>
        </w:numPr>
        <w:ind w:left="1134" w:hanging="425"/>
        <w:jc w:val="both"/>
        <w:rPr>
          <w:color w:val="000000"/>
          <w:lang w:val="es-PE"/>
        </w:rPr>
      </w:pPr>
      <w:r>
        <w:rPr>
          <w:color w:val="000000" w:themeColor="text1"/>
          <w:lang w:val="es-PE"/>
        </w:rPr>
        <w:t>Falsedad en la declaración señalada en el Literal g) de la Cláusula 3.1.</w:t>
      </w:r>
    </w:p>
    <w:p w14:paraId="49BD61F6" w14:textId="77777777" w:rsidR="004412F1" w:rsidRDefault="005A12A3">
      <w:pPr>
        <w:numPr>
          <w:ilvl w:val="0"/>
          <w:numId w:val="134"/>
        </w:numPr>
        <w:ind w:left="1134" w:hanging="425"/>
        <w:jc w:val="both"/>
        <w:rPr>
          <w:color w:val="000000"/>
          <w:lang w:val="es-PE"/>
        </w:rPr>
      </w:pPr>
      <w:r>
        <w:rPr>
          <w:color w:val="000000" w:themeColor="text1"/>
          <w:lang w:val="es-PE"/>
        </w:rPr>
        <w:t>Incumplimiento en la acreditación de, por lo menos, un (1) Cierre Financiero, conforme a lo indicado en el CAPÍTULO X.</w:t>
      </w:r>
    </w:p>
    <w:p w14:paraId="0163FA21" w14:textId="77777777" w:rsidR="004412F1" w:rsidRDefault="005A12A3">
      <w:pPr>
        <w:numPr>
          <w:ilvl w:val="0"/>
          <w:numId w:val="134"/>
        </w:numPr>
        <w:ind w:left="1134" w:hanging="425"/>
        <w:jc w:val="both"/>
        <w:rPr>
          <w:color w:val="000000"/>
          <w:lang w:val="es-PE"/>
        </w:rPr>
      </w:pPr>
      <w:r>
        <w:rPr>
          <w:color w:val="000000" w:themeColor="text1"/>
          <w:lang w:val="es-PE"/>
        </w:rPr>
        <w:t>No cumplir con los mandatos de los laudos arbitrales consentidos</w:t>
      </w:r>
      <w:r>
        <w:rPr>
          <w:color w:val="000000" w:themeColor="text1"/>
          <w:lang w:val="es-ES"/>
        </w:rPr>
        <w:t>,</w:t>
      </w:r>
      <w:r>
        <w:rPr>
          <w:color w:val="000000" w:themeColor="text1"/>
          <w:lang w:val="es-PE"/>
        </w:rPr>
        <w:t xml:space="preserve"> emitidos en su contra, relacionados a la Concesión.</w:t>
      </w:r>
    </w:p>
    <w:p w14:paraId="737F7CB5" w14:textId="77777777" w:rsidR="004412F1" w:rsidRDefault="005A12A3">
      <w:pPr>
        <w:numPr>
          <w:ilvl w:val="0"/>
          <w:numId w:val="134"/>
        </w:numPr>
        <w:ind w:left="1134" w:hanging="425"/>
        <w:jc w:val="both"/>
        <w:rPr>
          <w:color w:val="000000"/>
          <w:lang w:val="es-PE"/>
        </w:rPr>
      </w:pPr>
      <w:r>
        <w:rPr>
          <w:color w:val="000000" w:themeColor="text1"/>
          <w:lang w:val="es-PE"/>
        </w:rPr>
        <w:t>El incumplimiento de cualquier obligación establecida en el Contrato, distinta a las detalladas en los literales precedentes, que sean expresamente establecidas como causal de Caducidad.</w:t>
      </w:r>
    </w:p>
    <w:p w14:paraId="7CE018D9" w14:textId="286604C2" w:rsidR="004412F1" w:rsidRDefault="005A12A3">
      <w:pPr>
        <w:numPr>
          <w:ilvl w:val="0"/>
          <w:numId w:val="134"/>
        </w:numPr>
        <w:ind w:left="1134" w:hanging="425"/>
        <w:jc w:val="both"/>
        <w:rPr>
          <w:color w:val="000000"/>
          <w:lang w:val="es-PE"/>
        </w:rPr>
      </w:pPr>
      <w:r>
        <w:rPr>
          <w:lang w:val="es-PE"/>
        </w:rPr>
        <w:t>La aplicación de penalidades contractuales que se hubieren hecho efectivas o quedado consentidas durante la vigencia del Contrato, cuyo monto alcance el diez por ciento (10%) del presupuesto contenido en los Estudios Definitivos de Ingeniería e Instrumento de Gestión Ambiental para la Rehabilitación y Mejoramiento y para la construcción del Evitamiento San Clemente o el diez por ciento (10%) del presupuesto contenido en los Expedientes Técnicos para el Mantenimiento Periódico Inicial; excepto en el caso de superar el porcentaje indicado en la Cláusula</w:t>
      </w:r>
      <w:r w:rsidR="00B4636C">
        <w:rPr>
          <w:lang w:val="es-PE"/>
        </w:rPr>
        <w:t xml:space="preserve"> 6.19</w:t>
      </w:r>
      <w:r>
        <w:rPr>
          <w:lang w:val="es-PE"/>
        </w:rPr>
        <w:t xml:space="preserve"> por demora en el inicio de la Rehabilitación y Mejoramiento y/o Mantenimiento Periódico Inicial o en la terminación de la ejecución de las mismas.</w:t>
      </w:r>
    </w:p>
    <w:bookmarkEnd w:id="2380"/>
    <w:p w14:paraId="3C263432" w14:textId="77777777" w:rsidR="004412F1" w:rsidRDefault="004412F1" w:rsidP="003461A9">
      <w:pPr>
        <w:ind w:left="1134"/>
        <w:jc w:val="both"/>
        <w:rPr>
          <w:rFonts w:eastAsia="SimSun"/>
          <w:lang w:val="es-PE"/>
        </w:rPr>
      </w:pPr>
    </w:p>
    <w:p w14:paraId="20AD2347" w14:textId="77777777" w:rsidR="004412F1" w:rsidRDefault="004412F1">
      <w:pPr>
        <w:jc w:val="both"/>
        <w:rPr>
          <w:lang w:val="es-PE"/>
        </w:rPr>
      </w:pPr>
    </w:p>
    <w:p w14:paraId="2D2F2EB7" w14:textId="77777777" w:rsidR="004412F1" w:rsidRDefault="005A12A3">
      <w:pPr>
        <w:numPr>
          <w:ilvl w:val="1"/>
          <w:numId w:val="132"/>
        </w:numPr>
        <w:jc w:val="both"/>
        <w:rPr>
          <w:lang w:val="es-PE"/>
        </w:rPr>
      </w:pPr>
      <w:proofErr w:type="gramStart"/>
      <w:r>
        <w:rPr>
          <w:lang w:val="es-PE"/>
        </w:rPr>
        <w:t>En caso que</w:t>
      </w:r>
      <w:proofErr w:type="gramEnd"/>
      <w:r>
        <w:rPr>
          <w:lang w:val="es-PE"/>
        </w:rPr>
        <w:t xml:space="preserve"> el REGULADOR certifique alguno de los incumplimientos indicados precedentemente, y el CONCEDENTE opte por el término del Contrato, dicha decisión del CONCEDENTE deberá ser comunicada por este al CONCESIONARIO por escrito, con copia al REGULADOR, con una anticipación de noventa (90) Días Calendario, respecto de la fecha de término anticipado prevista.</w:t>
      </w:r>
    </w:p>
    <w:p w14:paraId="061FE6BE" w14:textId="77777777" w:rsidR="004412F1" w:rsidRDefault="005A12A3">
      <w:pPr>
        <w:numPr>
          <w:ilvl w:val="0"/>
          <w:numId w:val="136"/>
        </w:numPr>
        <w:jc w:val="both"/>
        <w:rPr>
          <w:color w:val="000000"/>
          <w:lang w:val="es-PE"/>
        </w:rPr>
      </w:pPr>
      <w:r>
        <w:rPr>
          <w:color w:val="000000"/>
          <w:lang w:val="es-PE"/>
        </w:rPr>
        <w:t xml:space="preserve"> </w:t>
      </w:r>
    </w:p>
    <w:p w14:paraId="10E3CCB6" w14:textId="028F8D28" w:rsidR="004412F1" w:rsidRDefault="005A12A3">
      <w:pPr>
        <w:numPr>
          <w:ilvl w:val="1"/>
          <w:numId w:val="132"/>
        </w:numPr>
        <w:jc w:val="both"/>
        <w:rPr>
          <w:lang w:val="es-PE"/>
        </w:rPr>
      </w:pPr>
      <w:r>
        <w:rPr>
          <w:color w:val="000000" w:themeColor="text1"/>
          <w:lang w:val="es-PE"/>
        </w:rPr>
        <w:t xml:space="preserve">La Caducidad por incumplimiento del CONCESIONARIO no genera ningún derecho de indemnización a favor del CONCESIONARIO por concepto de daños y perjuicios; sin perjuicio de la liquidación al CONCESIONARIO -de corresponder- </w:t>
      </w:r>
      <w:proofErr w:type="gramStart"/>
      <w:r>
        <w:rPr>
          <w:color w:val="000000" w:themeColor="text1"/>
          <w:lang w:val="es-PE"/>
        </w:rPr>
        <w:t>de acuerdo a</w:t>
      </w:r>
      <w:proofErr w:type="gramEnd"/>
      <w:r>
        <w:rPr>
          <w:color w:val="000000" w:themeColor="text1"/>
          <w:lang w:val="es-PE"/>
        </w:rPr>
        <w:t xml:space="preserve"> lo establecido en las Cláusulas 17.2</w:t>
      </w:r>
      <w:r w:rsidR="0024432E">
        <w:rPr>
          <w:color w:val="000000" w:themeColor="text1"/>
          <w:lang w:val="es-ES"/>
        </w:rPr>
        <w:t>5</w:t>
      </w:r>
      <w:r>
        <w:rPr>
          <w:color w:val="000000" w:themeColor="text1"/>
          <w:lang w:val="es-PE"/>
        </w:rPr>
        <w:t xml:space="preserve"> y siguientes. </w:t>
      </w:r>
    </w:p>
    <w:p w14:paraId="0E3112C0" w14:textId="77777777" w:rsidR="004412F1" w:rsidRDefault="004412F1">
      <w:pPr>
        <w:jc w:val="both"/>
        <w:rPr>
          <w:lang w:val="es-PE"/>
        </w:rPr>
      </w:pPr>
    </w:p>
    <w:p w14:paraId="0BA8FECF" w14:textId="77777777" w:rsidR="004412F1" w:rsidRDefault="005A12A3">
      <w:pPr>
        <w:numPr>
          <w:ilvl w:val="1"/>
          <w:numId w:val="132"/>
        </w:numPr>
        <w:jc w:val="both"/>
        <w:rPr>
          <w:lang w:val="es-PE"/>
        </w:rPr>
      </w:pPr>
      <w:r>
        <w:rPr>
          <w:color w:val="000000" w:themeColor="text1"/>
          <w:lang w:val="es-PE"/>
        </w:rPr>
        <w:t xml:space="preserve">La Caducidad por incumplimiento del CONCESIONARIO surtirá efectos independientemente de haber sido sometida tal terminación a procedimiento arbitral. </w:t>
      </w:r>
    </w:p>
    <w:p w14:paraId="6D44015F" w14:textId="77777777" w:rsidR="004412F1" w:rsidRDefault="004412F1">
      <w:pPr>
        <w:jc w:val="both"/>
        <w:rPr>
          <w:color w:val="000000"/>
          <w:sz w:val="24"/>
          <w:lang w:val="es-PE"/>
        </w:rPr>
      </w:pPr>
    </w:p>
    <w:p w14:paraId="64F57FDD" w14:textId="77777777" w:rsidR="004412F1" w:rsidRDefault="005A12A3">
      <w:pPr>
        <w:numPr>
          <w:ilvl w:val="1"/>
          <w:numId w:val="132"/>
        </w:numPr>
        <w:jc w:val="both"/>
        <w:rPr>
          <w:lang w:val="es-PE"/>
        </w:rPr>
      </w:pPr>
      <w:r>
        <w:rPr>
          <w:lang w:val="es-PE"/>
        </w:rPr>
        <w:t xml:space="preserve">Si la terminación del Contrato se produce por incumplimiento del CONCESIONARIO, el tratamiento de las garantías se realizará de la siguiente manera: </w:t>
      </w:r>
    </w:p>
    <w:p w14:paraId="39371FEC" w14:textId="77777777" w:rsidR="004412F1" w:rsidRDefault="005A12A3">
      <w:pPr>
        <w:numPr>
          <w:ilvl w:val="0"/>
          <w:numId w:val="137"/>
        </w:numPr>
        <w:tabs>
          <w:tab w:val="left" w:pos="567"/>
        </w:tabs>
        <w:ind w:hanging="563"/>
        <w:jc w:val="both"/>
        <w:rPr>
          <w:color w:val="000000"/>
          <w:lang w:val="es-PE"/>
        </w:rPr>
      </w:pPr>
      <w:r>
        <w:rPr>
          <w:color w:val="000000"/>
          <w:lang w:val="es-PE"/>
        </w:rPr>
        <w:t>En cualquier caso, el CONCEDENTE ejecutará el cien por ciento (100%) de la Garantía de Fiel Cumplimiento del Contrato de Concesión.</w:t>
      </w:r>
    </w:p>
    <w:p w14:paraId="12D06406" w14:textId="77777777" w:rsidR="004412F1" w:rsidRDefault="004412F1">
      <w:pPr>
        <w:ind w:left="709"/>
        <w:jc w:val="both"/>
        <w:rPr>
          <w:color w:val="000000"/>
          <w:lang w:val="es-PE"/>
        </w:rPr>
      </w:pPr>
    </w:p>
    <w:p w14:paraId="5F99F200" w14:textId="77777777" w:rsidR="004412F1" w:rsidRDefault="005A12A3">
      <w:pPr>
        <w:numPr>
          <w:ilvl w:val="0"/>
          <w:numId w:val="137"/>
        </w:numPr>
        <w:tabs>
          <w:tab w:val="left" w:pos="567"/>
        </w:tabs>
        <w:ind w:hanging="563"/>
        <w:jc w:val="both"/>
        <w:rPr>
          <w:color w:val="000000"/>
          <w:lang w:val="es-PE"/>
        </w:rPr>
      </w:pPr>
      <w:r>
        <w:rPr>
          <w:color w:val="000000"/>
          <w:lang w:val="es-PE"/>
        </w:rPr>
        <w:t xml:space="preserve">Adicionalmente, en caso de verificarse que la causal está vinculada a la ejecución de la Rehabilitación y Mejoramiento, Construcción del Evitamiento San Clemente y/o Mantenimiento Periódico Inicial, el CONCEDENTE ejecutará el cien por ciento (100%) del monto de Garantía de Fiel Cumplimiento de Ejecución de Rehabilitación y Mejoramiento y/o Garantía de Fiel Cumplimiento de Ejecución del Mantenimiento Periódico Inicial. </w:t>
      </w:r>
    </w:p>
    <w:p w14:paraId="2FE5D034" w14:textId="77777777" w:rsidR="004412F1" w:rsidRDefault="004412F1">
      <w:pPr>
        <w:jc w:val="both"/>
        <w:rPr>
          <w:color w:val="000000"/>
          <w:lang w:val="es-PE"/>
        </w:rPr>
      </w:pPr>
      <w:bookmarkStart w:id="2396" w:name="_ywpzoz" w:colFirst="0" w:colLast="0"/>
      <w:bookmarkStart w:id="2397" w:name="_Toc94329358"/>
      <w:bookmarkStart w:id="2398" w:name="_Toc94337691"/>
      <w:bookmarkStart w:id="2399" w:name="_Toc102405391"/>
      <w:bookmarkStart w:id="2400" w:name="_Toc94328596"/>
      <w:bookmarkStart w:id="2401" w:name="_Toc94328856"/>
      <w:bookmarkStart w:id="2402" w:name="_Toc94329112"/>
      <w:bookmarkStart w:id="2403" w:name="_Toc94330235"/>
      <w:bookmarkStart w:id="2404" w:name="_Toc94337922"/>
      <w:bookmarkStart w:id="2405" w:name="_Toc94329604"/>
      <w:bookmarkStart w:id="2406" w:name="_Toc131328849"/>
      <w:bookmarkStart w:id="2407" w:name="_Toc131329185"/>
      <w:bookmarkStart w:id="2408" w:name="_Toc131333012"/>
      <w:bookmarkStart w:id="2409" w:name="_Toc131329417"/>
      <w:bookmarkStart w:id="2410" w:name="_Toc131332091"/>
      <w:bookmarkStart w:id="2411" w:name="_Toc131328033"/>
      <w:bookmarkStart w:id="2412" w:name="_Toc131330004"/>
      <w:bookmarkEnd w:id="2396"/>
    </w:p>
    <w:p w14:paraId="1E712B71" w14:textId="77777777" w:rsidR="004412F1" w:rsidRDefault="005A12A3">
      <w:pPr>
        <w:pStyle w:val="Ttulo2"/>
        <w:ind w:left="0"/>
        <w:jc w:val="both"/>
        <w:rPr>
          <w:rFonts w:ascii="Arial" w:eastAsia="Arial" w:hAnsi="Arial" w:cs="Arial"/>
          <w:b/>
          <w:bCs/>
          <w:u w:val="none"/>
        </w:rPr>
      </w:pPr>
      <w:bookmarkStart w:id="2413" w:name="_3iwdics"/>
      <w:bookmarkStart w:id="2414" w:name="_Toc139294805"/>
      <w:bookmarkStart w:id="2415" w:name="_Toc468837701"/>
      <w:bookmarkStart w:id="2416" w:name="_Toc140089404"/>
      <w:bookmarkEnd w:id="2413"/>
      <w:r>
        <w:rPr>
          <w:rFonts w:ascii="Arial" w:eastAsia="Arial" w:hAnsi="Arial" w:cs="Arial"/>
          <w:b/>
          <w:bCs/>
          <w:u w:val="none"/>
        </w:rPr>
        <w:t xml:space="preserve">TÉRMINO POR INCUMPLIMIENTO </w:t>
      </w:r>
      <w:bookmarkEnd w:id="2397"/>
      <w:bookmarkEnd w:id="2398"/>
      <w:bookmarkEnd w:id="2399"/>
      <w:bookmarkEnd w:id="2400"/>
      <w:bookmarkEnd w:id="2401"/>
      <w:bookmarkEnd w:id="2402"/>
      <w:bookmarkEnd w:id="2403"/>
      <w:bookmarkEnd w:id="2404"/>
      <w:bookmarkEnd w:id="2405"/>
      <w:r>
        <w:rPr>
          <w:rFonts w:ascii="Arial" w:eastAsia="Arial" w:hAnsi="Arial" w:cs="Arial"/>
          <w:b/>
          <w:bCs/>
          <w:u w:val="none"/>
        </w:rPr>
        <w:t>DEL CONCEDENTE</w:t>
      </w:r>
      <w:bookmarkEnd w:id="2406"/>
      <w:bookmarkEnd w:id="2407"/>
      <w:bookmarkEnd w:id="2408"/>
      <w:bookmarkEnd w:id="2409"/>
      <w:bookmarkEnd w:id="2410"/>
      <w:bookmarkEnd w:id="2411"/>
      <w:bookmarkEnd w:id="2412"/>
      <w:bookmarkEnd w:id="2414"/>
      <w:bookmarkEnd w:id="2415"/>
      <w:bookmarkEnd w:id="2416"/>
    </w:p>
    <w:p w14:paraId="769C4BA4" w14:textId="77777777" w:rsidR="004412F1" w:rsidRDefault="004412F1">
      <w:pPr>
        <w:jc w:val="both"/>
        <w:rPr>
          <w:color w:val="000000"/>
        </w:rPr>
      </w:pPr>
    </w:p>
    <w:p w14:paraId="650EB841" w14:textId="77777777" w:rsidR="004412F1" w:rsidRDefault="005A12A3">
      <w:pPr>
        <w:numPr>
          <w:ilvl w:val="1"/>
          <w:numId w:val="132"/>
        </w:numPr>
        <w:jc w:val="both"/>
        <w:rPr>
          <w:lang w:val="es-PE"/>
        </w:rPr>
      </w:pPr>
      <w:r>
        <w:rPr>
          <w:lang w:val="es-PE"/>
        </w:rPr>
        <w:lastRenderedPageBreak/>
        <w:t>El CONCESIONARIO podrá poner término anticipadamente al Contrato en caso el CONCEDENTE incurra en incumplimiento no subsanable de sus obligaciones establecidas en el mismo, en caso no subsane el incumplimiento conforme a la presente Cláusula. Para este Contrato, es incumplimiento no subsanable de las obligaciones del CONCEDENTE, las siguientes:</w:t>
      </w:r>
    </w:p>
    <w:p w14:paraId="00BF8230" w14:textId="77777777" w:rsidR="004412F1" w:rsidRDefault="004412F1">
      <w:pPr>
        <w:jc w:val="both"/>
        <w:rPr>
          <w:color w:val="000000"/>
          <w:lang w:val="es-PE"/>
        </w:rPr>
      </w:pPr>
    </w:p>
    <w:p w14:paraId="4DF2267B" w14:textId="77777777" w:rsidR="004412F1" w:rsidRDefault="005A12A3">
      <w:pPr>
        <w:pStyle w:val="Textoindependiente"/>
        <w:numPr>
          <w:ilvl w:val="0"/>
          <w:numId w:val="138"/>
        </w:numPr>
        <w:ind w:left="1170" w:hanging="461"/>
        <w:rPr>
          <w:bCs w:val="0"/>
          <w:lang w:val="es-PE"/>
        </w:rPr>
      </w:pPr>
      <w:r>
        <w:rPr>
          <w:bCs w:val="0"/>
          <w:lang w:val="es-PE"/>
        </w:rPr>
        <w:t>Incumplimiento del CONCEDENTE en la observancia del procedimiento previsto para el restablecimiento del equilibrio económico financiero establecido en las cláusulas 10.15 y siguientes.</w:t>
      </w:r>
    </w:p>
    <w:p w14:paraId="5DBB1B9E" w14:textId="77777777" w:rsidR="004412F1" w:rsidRDefault="004412F1">
      <w:pPr>
        <w:pStyle w:val="Textoindependiente"/>
        <w:ind w:left="709"/>
        <w:rPr>
          <w:bCs w:val="0"/>
          <w:lang w:val="es-PE"/>
        </w:rPr>
      </w:pPr>
    </w:p>
    <w:p w14:paraId="6E1F6705" w14:textId="20569AC2" w:rsidR="004412F1" w:rsidRDefault="005A12A3">
      <w:pPr>
        <w:pStyle w:val="Textoindependiente"/>
        <w:numPr>
          <w:ilvl w:val="0"/>
          <w:numId w:val="138"/>
        </w:numPr>
        <w:tabs>
          <w:tab w:val="clear" w:pos="720"/>
        </w:tabs>
        <w:ind w:left="1134" w:hanging="425"/>
        <w:rPr>
          <w:bCs w:val="0"/>
          <w:lang w:val="es-PE"/>
        </w:rPr>
      </w:pPr>
      <w:r>
        <w:rPr>
          <w:bCs w:val="0"/>
          <w:lang w:val="es-PE"/>
        </w:rPr>
        <w:t xml:space="preserve">Incumplimiento del CONCEDENTE en la entrega del área de terreno para el inicio o continuación de la </w:t>
      </w:r>
      <w:r>
        <w:rPr>
          <w:rStyle w:val="Textoennegrita"/>
          <w:b w:val="0"/>
          <w:bCs/>
          <w:szCs w:val="22"/>
          <w:lang w:val="es-PE"/>
        </w:rPr>
        <w:t>Rehabilitación y Mejoramiento</w:t>
      </w:r>
      <w:r>
        <w:rPr>
          <w:rStyle w:val="Textoennegrita"/>
          <w:lang w:val="es-PE"/>
        </w:rPr>
        <w:t xml:space="preserve"> </w:t>
      </w:r>
      <w:r>
        <w:rPr>
          <w:bCs w:val="0"/>
          <w:lang w:val="es-PE"/>
        </w:rPr>
        <w:t>y/o Mantenimiento Periódico Inicial y/o Construcción del Evitamiento San Clemente, en los plazos previstos en la cláusula</w:t>
      </w:r>
      <w:r w:rsidR="00351180">
        <w:rPr>
          <w:lang w:val="es-PE"/>
        </w:rPr>
        <w:t xml:space="preserve"> 5.14</w:t>
      </w:r>
      <w:r>
        <w:rPr>
          <w:bCs w:val="0"/>
          <w:lang w:val="es-PE"/>
        </w:rPr>
        <w:t>.</w:t>
      </w:r>
    </w:p>
    <w:p w14:paraId="45C016DD" w14:textId="77777777" w:rsidR="004412F1" w:rsidRDefault="004412F1">
      <w:pPr>
        <w:pStyle w:val="Prrafodelista"/>
        <w:ind w:left="709"/>
        <w:rPr>
          <w:lang w:val="es-PE"/>
        </w:rPr>
      </w:pPr>
    </w:p>
    <w:p w14:paraId="4B3C7FF4" w14:textId="77777777" w:rsidR="004412F1" w:rsidRDefault="005A12A3">
      <w:pPr>
        <w:pStyle w:val="Textoindependiente"/>
        <w:numPr>
          <w:ilvl w:val="0"/>
          <w:numId w:val="138"/>
        </w:numPr>
        <w:tabs>
          <w:tab w:val="clear" w:pos="720"/>
        </w:tabs>
        <w:ind w:left="1134" w:hanging="425"/>
        <w:rPr>
          <w:bCs w:val="0"/>
          <w:lang w:val="es-PE"/>
        </w:rPr>
      </w:pPr>
      <w:r>
        <w:rPr>
          <w:lang w:val="es-PE"/>
        </w:rPr>
        <w:t>El retraso por un plazo de seis (6) meses consecutivos del pago del PAMPI, RPI, PPO y/o RPMO conforme a lo previsto en el Contrato.</w:t>
      </w:r>
    </w:p>
    <w:p w14:paraId="6B058815" w14:textId="77777777" w:rsidR="004412F1" w:rsidRDefault="004412F1">
      <w:pPr>
        <w:pStyle w:val="Textoindependiente"/>
        <w:tabs>
          <w:tab w:val="left" w:pos="284"/>
        </w:tabs>
        <w:ind w:left="1170" w:hanging="461"/>
        <w:rPr>
          <w:bCs w:val="0"/>
          <w:lang w:val="es-PE"/>
        </w:rPr>
      </w:pPr>
    </w:p>
    <w:p w14:paraId="4E4282AB" w14:textId="77777777" w:rsidR="004412F1" w:rsidRDefault="005A12A3">
      <w:pPr>
        <w:pStyle w:val="Textoindependiente"/>
        <w:tabs>
          <w:tab w:val="left" w:pos="426"/>
        </w:tabs>
        <w:ind w:left="708"/>
        <w:rPr>
          <w:bCs w:val="0"/>
          <w:lang w:val="es-PE"/>
        </w:rPr>
      </w:pPr>
      <w:r>
        <w:rPr>
          <w:bCs w:val="0"/>
          <w:lang w:val="es-PE"/>
        </w:rPr>
        <w:t xml:space="preserve">En el caso que </w:t>
      </w:r>
      <w:r>
        <w:rPr>
          <w:szCs w:val="22"/>
          <w:lang w:val="es-PE"/>
        </w:rPr>
        <w:t>el CONCESIONARIO</w:t>
      </w:r>
      <w:r>
        <w:rPr>
          <w:bCs w:val="0"/>
          <w:lang w:val="es-PE"/>
        </w:rPr>
        <w:t xml:space="preserve"> opte por la terminación del Contrato, deberá comunicarlo por escrito al CONCEDENTE y al REGULADOR con una anticipación de al menos noventa (90) Días Calendario respecto de la fecha de término anticipado prevista. Dentro de dicho plazo, el REGULADOR deberá comunicar su opinión vinculante respecto a lo comunicado al CONCESIONARIO.</w:t>
      </w:r>
    </w:p>
    <w:p w14:paraId="689BA978" w14:textId="77777777" w:rsidR="004412F1" w:rsidRDefault="004412F1">
      <w:pPr>
        <w:ind w:left="708"/>
        <w:jc w:val="both"/>
        <w:rPr>
          <w:lang w:val="es-PE"/>
        </w:rPr>
      </w:pPr>
    </w:p>
    <w:p w14:paraId="36C14825" w14:textId="69A4EB4B" w:rsidR="004412F1" w:rsidRDefault="005A12A3" w:rsidP="00AF7460">
      <w:pPr>
        <w:numPr>
          <w:ilvl w:val="1"/>
          <w:numId w:val="132"/>
        </w:numPr>
        <w:jc w:val="both"/>
        <w:rPr>
          <w:color w:val="000000"/>
          <w:lang w:val="es-PE"/>
        </w:rPr>
      </w:pPr>
      <w:bookmarkStart w:id="2417" w:name="_Ref272505297"/>
      <w:r>
        <w:rPr>
          <w:color w:val="000000"/>
          <w:lang w:val="es-PE"/>
        </w:rPr>
        <w:t>Para el caso de la resolución del Contrato por incumplimiento del CONCEDENTE en el supuesto establecido en los Literales a), b)</w:t>
      </w:r>
      <w:r w:rsidR="00AF7460">
        <w:rPr>
          <w:bCs/>
          <w:color w:val="000000"/>
          <w:lang w:val="es-PE"/>
        </w:rPr>
        <w:t xml:space="preserve"> y</w:t>
      </w:r>
      <w:r>
        <w:rPr>
          <w:color w:val="000000"/>
          <w:lang w:val="es-PE"/>
        </w:rPr>
        <w:t xml:space="preserve"> c)</w:t>
      </w:r>
      <w:r>
        <w:rPr>
          <w:lang w:val="es-PE"/>
        </w:rPr>
        <w:t xml:space="preserve"> </w:t>
      </w:r>
      <w:r>
        <w:rPr>
          <w:color w:val="000000"/>
          <w:lang w:val="es-PE"/>
        </w:rPr>
        <w:t xml:space="preserve">de </w:t>
      </w:r>
      <w:r>
        <w:rPr>
          <w:lang w:val="es-PE"/>
        </w:rPr>
        <w:t>esta</w:t>
      </w:r>
      <w:r>
        <w:rPr>
          <w:color w:val="000000"/>
          <w:lang w:val="es-PE"/>
        </w:rPr>
        <w:t xml:space="preserve"> cláusula, el cálculo del monto correspondiente a la valorización se procederá conforme con lo establecido en la</w:t>
      </w:r>
      <w:r>
        <w:rPr>
          <w:lang w:val="es-PE"/>
        </w:rPr>
        <w:t>s</w:t>
      </w:r>
      <w:r>
        <w:rPr>
          <w:color w:val="000000"/>
          <w:lang w:val="es-PE"/>
        </w:rPr>
        <w:t xml:space="preserve"> cláusulas 1</w:t>
      </w:r>
      <w:r>
        <w:rPr>
          <w:lang w:val="es-PE"/>
        </w:rPr>
        <w:t>7.2</w:t>
      </w:r>
      <w:r w:rsidR="0024432E">
        <w:rPr>
          <w:lang w:val="es-ES"/>
        </w:rPr>
        <w:t>5</w:t>
      </w:r>
      <w:r>
        <w:rPr>
          <w:color w:val="000000"/>
          <w:lang w:val="es-PE"/>
        </w:rPr>
        <w:t xml:space="preserve"> </w:t>
      </w:r>
      <w:r>
        <w:rPr>
          <w:lang w:val="es-PE"/>
        </w:rPr>
        <w:t>y siguientes</w:t>
      </w:r>
      <w:r>
        <w:rPr>
          <w:color w:val="000000"/>
          <w:lang w:val="es-PE"/>
        </w:rPr>
        <w:t>, según corresponda.</w:t>
      </w:r>
      <w:bookmarkEnd w:id="2417"/>
    </w:p>
    <w:p w14:paraId="2FF98E55" w14:textId="77777777" w:rsidR="004412F1" w:rsidRDefault="004412F1">
      <w:pPr>
        <w:jc w:val="both"/>
        <w:rPr>
          <w:rFonts w:eastAsia="SimSun"/>
          <w:color w:val="000000"/>
          <w:lang w:val="es-PE" w:eastAsia="zh-CN"/>
        </w:rPr>
      </w:pPr>
    </w:p>
    <w:p w14:paraId="13D61305" w14:textId="77777777" w:rsidR="004412F1" w:rsidRDefault="005A12A3">
      <w:pPr>
        <w:pStyle w:val="Textoindependiente"/>
        <w:tabs>
          <w:tab w:val="left" w:pos="426"/>
        </w:tabs>
        <w:ind w:left="708"/>
        <w:rPr>
          <w:bCs w:val="0"/>
          <w:color w:val="000000"/>
          <w:lang w:val="es-PE"/>
        </w:rPr>
      </w:pPr>
      <w:r>
        <w:rPr>
          <w:bCs w:val="0"/>
          <w:color w:val="000000"/>
          <w:lang w:val="es-PE"/>
        </w:rPr>
        <w:t>Adicionalmente, se deberá tomar en cuenta que se deberá calcular un monto a pagar al CONCESIONARIO, que será el resultante de la adición del monto de liquidación calculado más una compensación como medida de indemnización por los daños y perjuicios que la Terminación pueda ocasionar al CONCESIONARIO, la cual será igual al monto de la Garantía de Fiel Cumplimiento vigente a la fecha.</w:t>
      </w:r>
    </w:p>
    <w:p w14:paraId="16A46CE1" w14:textId="77777777" w:rsidR="004412F1" w:rsidRDefault="004412F1">
      <w:pPr>
        <w:jc w:val="both"/>
        <w:rPr>
          <w:color w:val="000000"/>
          <w:lang w:val="es-PE"/>
        </w:rPr>
      </w:pPr>
    </w:p>
    <w:p w14:paraId="3CF1A0D8" w14:textId="77777777" w:rsidR="004412F1" w:rsidRDefault="005A12A3">
      <w:pPr>
        <w:tabs>
          <w:tab w:val="left" w:pos="426"/>
        </w:tabs>
        <w:ind w:left="708"/>
        <w:jc w:val="both"/>
        <w:rPr>
          <w:rFonts w:eastAsia="SimSun"/>
          <w:color w:val="000000"/>
          <w:lang w:val="es-PE"/>
        </w:rPr>
      </w:pPr>
      <w:r>
        <w:rPr>
          <w:color w:val="000000"/>
          <w:lang w:val="es-PE"/>
        </w:rPr>
        <w:t xml:space="preserve">Los conceptos señalados en la presente Cláusula son </w:t>
      </w:r>
      <w:proofErr w:type="gramStart"/>
      <w:r>
        <w:rPr>
          <w:color w:val="000000"/>
          <w:lang w:val="es-PE"/>
        </w:rPr>
        <w:t>los únicos pagos a ser reconocidos</w:t>
      </w:r>
      <w:proofErr w:type="gramEnd"/>
      <w:r>
        <w:rPr>
          <w:color w:val="000000"/>
          <w:lang w:val="es-PE"/>
        </w:rPr>
        <w:t xml:space="preserve"> a favor del CONCESIONARIO.</w:t>
      </w:r>
    </w:p>
    <w:p w14:paraId="1CB465A6" w14:textId="77777777" w:rsidR="004412F1" w:rsidRDefault="004412F1">
      <w:pPr>
        <w:ind w:left="709"/>
        <w:jc w:val="both"/>
        <w:rPr>
          <w:lang w:val="es-PE"/>
        </w:rPr>
      </w:pPr>
    </w:p>
    <w:p w14:paraId="4FAC495A" w14:textId="77777777" w:rsidR="004412F1" w:rsidRDefault="005A12A3">
      <w:pPr>
        <w:pStyle w:val="Ttulo2"/>
        <w:ind w:left="0"/>
        <w:jc w:val="both"/>
        <w:rPr>
          <w:b/>
          <w:bCs/>
          <w:lang w:val="es-PE"/>
        </w:rPr>
      </w:pPr>
      <w:bookmarkStart w:id="2418" w:name="_4i1bb8e" w:colFirst="0" w:colLast="0"/>
      <w:bookmarkStart w:id="2419" w:name="_Toc468837702"/>
      <w:bookmarkStart w:id="2420" w:name="_Toc139294806"/>
      <w:bookmarkStart w:id="2421" w:name="_Toc131329418"/>
      <w:bookmarkStart w:id="2422" w:name="_Toc94329605"/>
      <w:bookmarkStart w:id="2423" w:name="_Toc94329113"/>
      <w:bookmarkStart w:id="2424" w:name="_Toc94337923"/>
      <w:bookmarkStart w:id="2425" w:name="_Toc131332092"/>
      <w:bookmarkStart w:id="2426" w:name="_Toc131329186"/>
      <w:bookmarkStart w:id="2427" w:name="_Toc94330236"/>
      <w:bookmarkStart w:id="2428" w:name="_Toc94328857"/>
      <w:bookmarkStart w:id="2429" w:name="_Toc131330005"/>
      <w:bookmarkStart w:id="2430" w:name="_Toc94337692"/>
      <w:bookmarkStart w:id="2431" w:name="_Toc94328597"/>
      <w:bookmarkStart w:id="2432" w:name="_Toc131333013"/>
      <w:bookmarkStart w:id="2433" w:name="_Toc131328850"/>
      <w:bookmarkStart w:id="2434" w:name="_Toc131328034"/>
      <w:bookmarkStart w:id="2435" w:name="_Toc102405392"/>
      <w:bookmarkStart w:id="2436" w:name="_Toc134448892"/>
      <w:bookmarkStart w:id="2437" w:name="_Toc94329359"/>
      <w:bookmarkStart w:id="2438" w:name="_Toc140089405"/>
      <w:bookmarkEnd w:id="2418"/>
      <w:r>
        <w:rPr>
          <w:rFonts w:ascii="Arial" w:eastAsia="Arial" w:hAnsi="Arial"/>
          <w:b/>
          <w:u w:val="none"/>
          <w:lang w:val="es-PE"/>
        </w:rPr>
        <w:t>FACULTAD DEL CONCEDENTE DE PONER TÉRMINO UNILATERAL AL CONTRATO</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1F86D671" w14:textId="77777777" w:rsidR="004412F1" w:rsidRDefault="004412F1">
      <w:pPr>
        <w:ind w:left="567"/>
        <w:jc w:val="both"/>
        <w:rPr>
          <w:color w:val="000000"/>
          <w:sz w:val="24"/>
          <w:lang w:val="es-PE"/>
        </w:rPr>
      </w:pPr>
    </w:p>
    <w:p w14:paraId="12DD713D" w14:textId="77777777" w:rsidR="004412F1" w:rsidRDefault="005A12A3">
      <w:pPr>
        <w:numPr>
          <w:ilvl w:val="1"/>
          <w:numId w:val="132"/>
        </w:numPr>
        <w:jc w:val="both"/>
        <w:rPr>
          <w:rFonts w:eastAsia="Times New Roman"/>
          <w:bCs/>
          <w:szCs w:val="18"/>
          <w:lang w:val="es-ES" w:eastAsia="es-ES"/>
        </w:rPr>
      </w:pPr>
      <w:r>
        <w:rPr>
          <w:lang w:val="es-PE"/>
        </w:rPr>
        <w:t xml:space="preserve">El CONCEDENTE tiene la facultad de poner término unilateral al Contrato, por razones de interés público debidamente fundadas, las cuales deberán ser individualizadas, justificadas y desarrolladas en una comunicación de carácter oficial que realice al CONCESIONARIO con una antelación no inferior a seis (6) meses del plazo previsto para la terminación </w:t>
      </w:r>
      <w:proofErr w:type="gramStart"/>
      <w:r>
        <w:rPr>
          <w:lang w:val="es-PE"/>
        </w:rPr>
        <w:t>del mismo</w:t>
      </w:r>
      <w:proofErr w:type="gramEnd"/>
      <w:r>
        <w:rPr>
          <w:lang w:val="es-PE"/>
        </w:rPr>
        <w:t>.</w:t>
      </w:r>
    </w:p>
    <w:p w14:paraId="544DEFE0" w14:textId="77777777" w:rsidR="004412F1" w:rsidRDefault="004412F1">
      <w:pPr>
        <w:ind w:left="705"/>
        <w:jc w:val="both"/>
        <w:rPr>
          <w:lang w:val="es-PE"/>
        </w:rPr>
      </w:pPr>
    </w:p>
    <w:p w14:paraId="4CF83F7D" w14:textId="77777777" w:rsidR="004412F1" w:rsidRDefault="005A12A3">
      <w:pPr>
        <w:ind w:left="705"/>
        <w:jc w:val="both"/>
        <w:rPr>
          <w:color w:val="000000"/>
          <w:lang w:val="es-PE"/>
        </w:rPr>
      </w:pPr>
      <w:r>
        <w:rPr>
          <w:color w:val="000000"/>
          <w:lang w:val="es-PE"/>
        </w:rPr>
        <w:t xml:space="preserve">La referida comunicación deberá además estar suscrita por el organismo del Estado de la República del Perú competente para atender tal problema de interés público. </w:t>
      </w:r>
    </w:p>
    <w:p w14:paraId="6AA87374" w14:textId="77777777" w:rsidR="004412F1" w:rsidRDefault="004412F1">
      <w:pPr>
        <w:jc w:val="both"/>
        <w:rPr>
          <w:lang w:val="es-PE"/>
        </w:rPr>
      </w:pPr>
    </w:p>
    <w:p w14:paraId="5B620933" w14:textId="125DB754" w:rsidR="004412F1" w:rsidRDefault="005A12A3">
      <w:pPr>
        <w:numPr>
          <w:ilvl w:val="1"/>
          <w:numId w:val="132"/>
        </w:numPr>
        <w:jc w:val="both"/>
        <w:rPr>
          <w:u w:val="single"/>
          <w:lang w:val="es-PE"/>
        </w:rPr>
      </w:pPr>
      <w:r>
        <w:rPr>
          <w:lang w:val="es-PE"/>
        </w:rPr>
        <w:lastRenderedPageBreak/>
        <w:t>Para el caso de la resolución por término unilateral al Contrato, el cálculo del monto correspondiente a la valorización se procederá conforme con lo establecido en la Cláusulas 17.2</w:t>
      </w:r>
      <w:r w:rsidR="0024432E">
        <w:rPr>
          <w:lang w:val="es-ES"/>
        </w:rPr>
        <w:t>5</w:t>
      </w:r>
      <w:r>
        <w:rPr>
          <w:lang w:val="es-PE"/>
        </w:rPr>
        <w:t xml:space="preserve"> y siguientes del Contrato, según corresponda.</w:t>
      </w:r>
    </w:p>
    <w:p w14:paraId="5B07BE1F" w14:textId="77777777" w:rsidR="004412F1" w:rsidRDefault="004412F1">
      <w:pPr>
        <w:ind w:left="705"/>
        <w:jc w:val="both"/>
        <w:rPr>
          <w:rFonts w:eastAsia="SimSun"/>
          <w:lang w:val="es-PE" w:eastAsia="zh-CN"/>
        </w:rPr>
      </w:pPr>
    </w:p>
    <w:p w14:paraId="531587DF" w14:textId="77777777" w:rsidR="004412F1" w:rsidRDefault="005A12A3">
      <w:pPr>
        <w:pStyle w:val="Textoindependiente"/>
        <w:tabs>
          <w:tab w:val="left" w:pos="426"/>
        </w:tabs>
        <w:ind w:left="708"/>
        <w:rPr>
          <w:rFonts w:eastAsia="SimSun"/>
          <w:bCs w:val="0"/>
          <w:color w:val="000000"/>
          <w:lang w:val="es-PE" w:eastAsia="zh-CN"/>
        </w:rPr>
      </w:pPr>
      <w:r>
        <w:rPr>
          <w:bCs w:val="0"/>
          <w:color w:val="000000"/>
          <w:lang w:val="es-PE"/>
        </w:rPr>
        <w:t>Adicionalmente, se deberá tomar en cuenta que se deberá calcular un monto a pagar al CONCESIONARIO, que será el resultante de la adición del monto de liquidación calculado más una compensación como medida de indemnización por los daños y perjuicios que la Terminación pueda ocasionar al CONCESIONARIO, la cual será igual al monto de la Garantía de Fiel Cumplimiento vigente a la fecha.</w:t>
      </w:r>
    </w:p>
    <w:p w14:paraId="7C0A6354" w14:textId="77777777" w:rsidR="004412F1" w:rsidRDefault="004412F1">
      <w:pPr>
        <w:ind w:left="705"/>
        <w:jc w:val="both"/>
        <w:rPr>
          <w:lang w:val="es-PE"/>
        </w:rPr>
      </w:pPr>
      <w:bookmarkStart w:id="2439" w:name="_2x6llg7"/>
      <w:bookmarkStart w:id="2440" w:name="_Toc131330006"/>
      <w:bookmarkStart w:id="2441" w:name="_Toc131328035"/>
      <w:bookmarkStart w:id="2442" w:name="_Toc131333014"/>
      <w:bookmarkStart w:id="2443" w:name="_Toc131329419"/>
      <w:bookmarkStart w:id="2444" w:name="_Toc131329187"/>
      <w:bookmarkStart w:id="2445" w:name="_Toc131328851"/>
      <w:bookmarkStart w:id="2446" w:name="_Toc131332093"/>
      <w:bookmarkEnd w:id="2439"/>
    </w:p>
    <w:p w14:paraId="35918E3E" w14:textId="77777777" w:rsidR="004412F1" w:rsidRDefault="005A12A3">
      <w:pPr>
        <w:pStyle w:val="Ttulo2"/>
        <w:ind w:left="0"/>
        <w:jc w:val="both"/>
        <w:rPr>
          <w:rFonts w:ascii="Arial" w:eastAsia="Arial" w:hAnsi="Arial" w:cs="Arial"/>
          <w:b/>
          <w:bCs/>
          <w:u w:val="none"/>
          <w:lang w:val="es-PE"/>
        </w:rPr>
      </w:pPr>
      <w:bookmarkStart w:id="2447" w:name="_1cbvvo0"/>
      <w:bookmarkStart w:id="2448" w:name="_Toc139294807"/>
      <w:bookmarkStart w:id="2449" w:name="_Toc468837703"/>
      <w:bookmarkStart w:id="2450" w:name="_Toc140089406"/>
      <w:bookmarkEnd w:id="2447"/>
      <w:r>
        <w:rPr>
          <w:rFonts w:ascii="Arial" w:eastAsia="Arial" w:hAnsi="Arial" w:cs="Arial"/>
          <w:b/>
          <w:bCs/>
          <w:u w:val="none"/>
          <w:lang w:val="es-PE"/>
        </w:rPr>
        <w:t>TERMINACIÓN POR FUERZA MAYOR O CASO FORTUITO</w:t>
      </w:r>
      <w:bookmarkEnd w:id="2440"/>
      <w:bookmarkEnd w:id="2441"/>
      <w:bookmarkEnd w:id="2442"/>
      <w:bookmarkEnd w:id="2443"/>
      <w:bookmarkEnd w:id="2444"/>
      <w:bookmarkEnd w:id="2445"/>
      <w:bookmarkEnd w:id="2446"/>
      <w:bookmarkEnd w:id="2448"/>
      <w:bookmarkEnd w:id="2449"/>
      <w:bookmarkEnd w:id="2450"/>
      <w:r>
        <w:rPr>
          <w:rFonts w:ascii="Arial" w:eastAsia="Arial" w:hAnsi="Arial" w:cs="Arial"/>
          <w:b/>
          <w:bCs/>
          <w:u w:val="none"/>
          <w:lang w:val="es-PE"/>
        </w:rPr>
        <w:t xml:space="preserve"> </w:t>
      </w:r>
    </w:p>
    <w:p w14:paraId="2C0ABCC3" w14:textId="77777777" w:rsidR="004412F1" w:rsidRDefault="004412F1">
      <w:pPr>
        <w:rPr>
          <w:lang w:val="es-PE"/>
        </w:rPr>
      </w:pPr>
    </w:p>
    <w:p w14:paraId="32F84F52" w14:textId="77777777" w:rsidR="004412F1" w:rsidRDefault="005A12A3">
      <w:pPr>
        <w:numPr>
          <w:ilvl w:val="1"/>
          <w:numId w:val="132"/>
        </w:numPr>
        <w:jc w:val="both"/>
        <w:rPr>
          <w:lang w:val="es-PE"/>
        </w:rPr>
      </w:pPr>
      <w:r>
        <w:rPr>
          <w:lang w:val="es-PE"/>
        </w:rPr>
        <w:t>El CONCESIONARIO tendrá la opción de resolver el Contrato por eventos de fuerza mayor o caso fortuito, siempre y cuando se verifique que se trata de alguno(s) de los eventos mencionados en la cláusula 16.2, siempre que haya vencido el plazo máximo de suspensión, el (los) cual (es) deberá(n) haber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7B07C564" w14:textId="77777777" w:rsidR="004412F1" w:rsidRDefault="004412F1">
      <w:pPr>
        <w:pStyle w:val="Textoindependiente"/>
        <w:ind w:left="720"/>
        <w:rPr>
          <w:lang w:val="es-PE"/>
        </w:rPr>
      </w:pPr>
    </w:p>
    <w:p w14:paraId="742C8DE7" w14:textId="77777777" w:rsidR="004412F1" w:rsidRDefault="005A12A3">
      <w:pPr>
        <w:pStyle w:val="Textoindependiente"/>
        <w:ind w:left="705"/>
        <w:rPr>
          <w:lang w:val="es-PE"/>
        </w:rPr>
      </w:pPr>
      <w:r>
        <w:rPr>
          <w:lang w:val="es-PE"/>
        </w:rPr>
        <w:t>Para el ejercicio de la facultad contemplada en este CAPÍTULO, el</w:t>
      </w:r>
      <w:r>
        <w:rPr>
          <w:szCs w:val="22"/>
          <w:lang w:val="es-PE"/>
        </w:rPr>
        <w:t xml:space="preserve"> CONCESIONARIO </w:t>
      </w:r>
      <w:r>
        <w:rPr>
          <w:lang w:val="es-PE"/>
        </w:rPr>
        <w:t xml:space="preserve">deberá observar el siguiente procedimiento: </w:t>
      </w:r>
    </w:p>
    <w:p w14:paraId="6C4CCB6E" w14:textId="77777777" w:rsidR="004412F1" w:rsidRDefault="004412F1">
      <w:pPr>
        <w:pStyle w:val="Textoindependiente"/>
        <w:rPr>
          <w:lang w:val="es-PE"/>
        </w:rPr>
      </w:pPr>
    </w:p>
    <w:p w14:paraId="5925262F" w14:textId="77777777" w:rsidR="004412F1" w:rsidRDefault="005A12A3">
      <w:pPr>
        <w:pStyle w:val="Textoindependiente"/>
        <w:numPr>
          <w:ilvl w:val="0"/>
          <w:numId w:val="140"/>
        </w:numPr>
        <w:ind w:left="1134" w:hanging="425"/>
      </w:pPr>
      <w:r>
        <w:rPr>
          <w:lang w:val="es-PE"/>
        </w:rPr>
        <w:t>Luego del vencimiento del plazo establecido en la presente cláusula, e</w:t>
      </w:r>
      <w:r>
        <w:rPr>
          <w:szCs w:val="22"/>
          <w:lang w:val="es-PE"/>
        </w:rPr>
        <w:t xml:space="preserve">l CONCESIONARIO </w:t>
      </w:r>
      <w:r>
        <w:rPr>
          <w:lang w:val="es-PE"/>
        </w:rPr>
        <w:t xml:space="preserve">deberá comunicar, por medio de un informe oficial, al CONCEDENTE y al REGULADOR que, con motivo de la ocurrencia de alguna(s) de las circunstancias antes descritas, ha optado por resolver el Contrato. </w:t>
      </w:r>
      <w:r>
        <w:t xml:space="preserve">Dicho informe deberá contener: </w:t>
      </w:r>
    </w:p>
    <w:p w14:paraId="0136B038" w14:textId="77777777" w:rsidR="004412F1" w:rsidRDefault="005A12A3">
      <w:pPr>
        <w:numPr>
          <w:ilvl w:val="0"/>
          <w:numId w:val="141"/>
        </w:numPr>
        <w:tabs>
          <w:tab w:val="clear" w:pos="915"/>
          <w:tab w:val="left" w:pos="1428"/>
        </w:tabs>
        <w:ind w:left="1418" w:hanging="284"/>
        <w:jc w:val="both"/>
        <w:rPr>
          <w:lang w:val="es-PE"/>
        </w:rPr>
      </w:pPr>
      <w:r>
        <w:rPr>
          <w:lang w:val="es-PE"/>
        </w:rPr>
        <w:t>Una descripción fundada de la causal invocada y de los efectos económicos o jurídicos de la misma.</w:t>
      </w:r>
    </w:p>
    <w:p w14:paraId="2A131156" w14:textId="77777777" w:rsidR="004412F1" w:rsidRDefault="005A12A3">
      <w:pPr>
        <w:numPr>
          <w:ilvl w:val="0"/>
          <w:numId w:val="141"/>
        </w:numPr>
        <w:ind w:left="1418" w:hanging="284"/>
        <w:jc w:val="both"/>
        <w:rPr>
          <w:lang w:val="es-PE"/>
        </w:rPr>
      </w:pPr>
      <w:r>
        <w:rPr>
          <w:lang w:val="es-PE"/>
        </w:rPr>
        <w:t>Una propuesta del procedimiento a seguir para la terminación del Contrato.</w:t>
      </w:r>
    </w:p>
    <w:p w14:paraId="388CE48A" w14:textId="77777777" w:rsidR="004412F1" w:rsidRDefault="004412F1">
      <w:pPr>
        <w:ind w:left="774"/>
        <w:jc w:val="both"/>
        <w:rPr>
          <w:lang w:val="es-PE"/>
        </w:rPr>
      </w:pPr>
    </w:p>
    <w:p w14:paraId="10284E60" w14:textId="77777777" w:rsidR="004412F1" w:rsidRDefault="005A12A3">
      <w:pPr>
        <w:pStyle w:val="Textoindependiente"/>
        <w:numPr>
          <w:ilvl w:val="0"/>
          <w:numId w:val="140"/>
        </w:numPr>
        <w:ind w:left="1134" w:hanging="425"/>
        <w:rPr>
          <w:lang w:val="es-PE"/>
        </w:rPr>
      </w:pPr>
      <w:r>
        <w:rPr>
          <w:lang w:val="es-PE"/>
        </w:rPr>
        <w:t>Dicha propuesta deberá ser entregada al CONCEDENTE y al REGULADOR, los cuales tendrán un plazo de veinte (20) Días para formularle observaciones.</w:t>
      </w:r>
    </w:p>
    <w:p w14:paraId="75537890" w14:textId="77777777" w:rsidR="004412F1" w:rsidRDefault="004412F1">
      <w:pPr>
        <w:ind w:left="360"/>
        <w:jc w:val="both"/>
        <w:rPr>
          <w:lang w:val="es-PE"/>
        </w:rPr>
      </w:pPr>
    </w:p>
    <w:p w14:paraId="1E45154A" w14:textId="77777777" w:rsidR="004412F1" w:rsidRDefault="005A12A3">
      <w:pPr>
        <w:pStyle w:val="Textoindependiente"/>
        <w:numPr>
          <w:ilvl w:val="0"/>
          <w:numId w:val="140"/>
        </w:numPr>
        <w:ind w:left="1134" w:hanging="425"/>
        <w:rPr>
          <w:lang w:val="es-PE"/>
        </w:rPr>
      </w:pPr>
      <w:r>
        <w:rPr>
          <w:lang w:val="es-PE"/>
        </w:rPr>
        <w:t>En caso de existir discrepancias en relación con el procedimiento propuesto por el CONCESIONARIO, éstas deberán someterse al conocimiento del árbitro establecido en el Capítulo X</w:t>
      </w:r>
      <w:r>
        <w:rPr>
          <w:rFonts w:eastAsia="SimSun" w:hint="eastAsia"/>
          <w:lang w:val="es-PE" w:eastAsia="zh-CN"/>
        </w:rPr>
        <w:t>I</w:t>
      </w:r>
      <w:r>
        <w:rPr>
          <w:rFonts w:eastAsia="SimSun"/>
          <w:lang w:val="es-ES" w:eastAsia="zh-CN"/>
        </w:rPr>
        <w:t>X</w:t>
      </w:r>
      <w:r>
        <w:rPr>
          <w:lang w:val="es-PE"/>
        </w:rPr>
        <w:t xml:space="preserve"> del presente Contrato.</w:t>
      </w:r>
    </w:p>
    <w:p w14:paraId="5B4E7DCA" w14:textId="77777777" w:rsidR="004412F1" w:rsidRDefault="004412F1">
      <w:pPr>
        <w:pStyle w:val="Textoindependiente"/>
        <w:ind w:left="709"/>
        <w:rPr>
          <w:lang w:val="es-PE"/>
        </w:rPr>
      </w:pPr>
    </w:p>
    <w:p w14:paraId="6D3C9A47" w14:textId="6F1FF952" w:rsidR="004412F1" w:rsidRDefault="005A12A3">
      <w:pPr>
        <w:ind w:left="709"/>
        <w:jc w:val="both"/>
        <w:rPr>
          <w:lang w:val="es-PE"/>
        </w:rPr>
      </w:pPr>
      <w:r>
        <w:rPr>
          <w:lang w:val="es-PE"/>
        </w:rPr>
        <w:t>En caso se produzca la Caducidad de la Concesión por caso fortuito o fuerza mayor previstos en la cláusula 16.2, el CONCESIONARIO tendrá derecho a recibir las sumas resultantes de la aplicación del procedimiento previsto en las Cláusulas 17.2</w:t>
      </w:r>
      <w:r w:rsidR="005F4796">
        <w:rPr>
          <w:lang w:val="es-ES"/>
        </w:rPr>
        <w:t>5</w:t>
      </w:r>
      <w:r>
        <w:rPr>
          <w:lang w:val="es-PE"/>
        </w:rPr>
        <w:t xml:space="preserve"> y siguientes. del presente Contrato.</w:t>
      </w:r>
    </w:p>
    <w:p w14:paraId="48F78536" w14:textId="77777777" w:rsidR="004412F1" w:rsidRDefault="004412F1">
      <w:pPr>
        <w:ind w:left="205"/>
        <w:jc w:val="both"/>
        <w:rPr>
          <w:lang w:val="es-PE"/>
        </w:rPr>
      </w:pPr>
    </w:p>
    <w:p w14:paraId="5ABE465A" w14:textId="4178AA4F" w:rsidR="004412F1" w:rsidRDefault="005A12A3">
      <w:pPr>
        <w:ind w:left="709"/>
        <w:jc w:val="both"/>
        <w:rPr>
          <w:lang w:val="es-PE"/>
        </w:rPr>
      </w:pPr>
      <w:r>
        <w:rPr>
          <w:lang w:val="es-PE"/>
        </w:rPr>
        <w:t>Dichas sumas podrán provenir de la indemnización derivada de los seguros contratados por el CONCESIONARIO, sólo en caso sea materialmente imposible la reconstrucción, reemplazo o reparación de los bienes dañados. En caso el monto de la indemnización de los seguros no sea suficiente para cubrir las sumas resultantes de la aplicación del procedimiento dispuesto en las cláusulas</w:t>
      </w:r>
      <w:r w:rsidR="0074634C">
        <w:rPr>
          <w:lang w:val="es-PE"/>
        </w:rPr>
        <w:t xml:space="preserve"> 17.2</w:t>
      </w:r>
      <w:r w:rsidR="005F4796">
        <w:rPr>
          <w:lang w:val="es-PE"/>
        </w:rPr>
        <w:t>5</w:t>
      </w:r>
      <w:r>
        <w:rPr>
          <w:lang w:val="es-PE"/>
        </w:rPr>
        <w:t xml:space="preserve"> </w:t>
      </w:r>
      <w:r>
        <w:rPr>
          <w:lang w:val="es-PE"/>
        </w:rPr>
        <w:lastRenderedPageBreak/>
        <w:t>y siguientes del presente Contrato, el CONCEDENTE deberá abonar el saldo hasta cubrir dicha diferencia.</w:t>
      </w:r>
    </w:p>
    <w:p w14:paraId="509DCD73" w14:textId="77777777" w:rsidR="004412F1" w:rsidRDefault="004412F1">
      <w:pPr>
        <w:ind w:left="205"/>
        <w:jc w:val="both"/>
        <w:rPr>
          <w:lang w:val="es-PE"/>
        </w:rPr>
      </w:pPr>
    </w:p>
    <w:p w14:paraId="50DF9E0D" w14:textId="77777777" w:rsidR="004412F1" w:rsidRDefault="005A12A3">
      <w:pPr>
        <w:pStyle w:val="Textoindependiente"/>
        <w:ind w:left="709"/>
        <w:rPr>
          <w:lang w:val="es-PE"/>
        </w:rPr>
      </w:pPr>
      <w:r>
        <w:rPr>
          <w:lang w:val="es-PE" w:eastAsia="es-PE"/>
        </w:rPr>
        <w:t>De igual forma, si luego de la aplicación del monto de la indemnización de los seguros contratados por el CONCESIONARIO a la reconstrucción, reemplazo o reparación de los bienes dañados, se hubiera un excedente, éste será transferido al CONCEDENTE.</w:t>
      </w:r>
    </w:p>
    <w:p w14:paraId="2DBF3A6E" w14:textId="77777777" w:rsidR="004412F1" w:rsidRDefault="004412F1">
      <w:pPr>
        <w:ind w:left="205"/>
        <w:jc w:val="both"/>
        <w:rPr>
          <w:lang w:val="es-PE"/>
        </w:rPr>
      </w:pPr>
    </w:p>
    <w:p w14:paraId="1C316268" w14:textId="77777777" w:rsidR="004412F1" w:rsidRDefault="005A12A3">
      <w:pPr>
        <w:pStyle w:val="Ttulo2"/>
        <w:ind w:left="0"/>
        <w:jc w:val="both"/>
        <w:rPr>
          <w:rFonts w:ascii="Arial" w:eastAsia="Arial" w:hAnsi="Arial" w:cs="Arial"/>
          <w:b/>
          <w:bCs/>
          <w:u w:val="none"/>
          <w:lang w:val="es-PE"/>
        </w:rPr>
      </w:pPr>
      <w:bookmarkStart w:id="2451" w:name="_3wbjebt"/>
      <w:bookmarkStart w:id="2452" w:name="_Toc139294808"/>
      <w:bookmarkStart w:id="2453" w:name="_Toc140089407"/>
      <w:bookmarkEnd w:id="2451"/>
      <w:r>
        <w:rPr>
          <w:rFonts w:ascii="Arial" w:eastAsia="Arial" w:hAnsi="Arial" w:cs="Arial"/>
          <w:b/>
          <w:bCs/>
          <w:u w:val="none"/>
          <w:lang w:val="es-PE"/>
        </w:rPr>
        <w:t>TERMINACIÓN POR APLICACIÓN DE LA CLÁUSULA ANTICORRUPCIÓN</w:t>
      </w:r>
      <w:bookmarkEnd w:id="2452"/>
      <w:bookmarkEnd w:id="2453"/>
    </w:p>
    <w:p w14:paraId="2D98FE75" w14:textId="77777777" w:rsidR="004412F1" w:rsidRDefault="004412F1">
      <w:pPr>
        <w:ind w:left="205"/>
        <w:jc w:val="both"/>
        <w:rPr>
          <w:lang w:val="es-PE"/>
        </w:rPr>
      </w:pPr>
    </w:p>
    <w:p w14:paraId="61669DB4" w14:textId="77777777" w:rsidR="004412F1" w:rsidRDefault="005A12A3">
      <w:pPr>
        <w:numPr>
          <w:ilvl w:val="1"/>
          <w:numId w:val="132"/>
        </w:numPr>
        <w:jc w:val="both"/>
        <w:rPr>
          <w:lang w:val="es-PE"/>
        </w:rPr>
      </w:pPr>
      <w:r>
        <w:rPr>
          <w:lang w:val="es-PE"/>
        </w:rPr>
        <w:t>El CONCESIONARIO declara que ni él, ni el Socio Estratégico, ni sus accionistas, participacionistas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Contrato de Concesión.</w:t>
      </w:r>
    </w:p>
    <w:p w14:paraId="38BCDC01" w14:textId="77777777" w:rsidR="004412F1" w:rsidRDefault="004412F1">
      <w:pPr>
        <w:ind w:left="705"/>
        <w:jc w:val="both"/>
        <w:rPr>
          <w:lang w:val="es-PE"/>
        </w:rPr>
      </w:pPr>
    </w:p>
    <w:p w14:paraId="4050F57E" w14:textId="5575B00A" w:rsidR="004412F1" w:rsidRDefault="005A12A3">
      <w:pPr>
        <w:numPr>
          <w:ilvl w:val="1"/>
          <w:numId w:val="132"/>
        </w:numPr>
        <w:jc w:val="both"/>
        <w:rPr>
          <w:lang w:val="es-PE"/>
        </w:rPr>
      </w:pPr>
      <w:r>
        <w:rPr>
          <w:lang w:val="es-PE"/>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de Concesión, la Concesión o el otorgamiento de la Buena Pro del Concurso, el Contrato quedará resuelto de pleno derecho y el CONCESIONARIO pagará al CONCEDENTE una penalidad equivalente al diez por ciento (10%) del monto que resultase de la aplicación del procedimiento de liquidación del Contrato establecido en la Cláusula 17.2</w:t>
      </w:r>
      <w:r w:rsidR="005F4796">
        <w:rPr>
          <w:lang w:val="es-ES"/>
        </w:rPr>
        <w:t>5</w:t>
      </w:r>
      <w:r>
        <w:rPr>
          <w:lang w:val="es-PE"/>
        </w:rPr>
        <w:t xml:space="preserve"> y siguientes, según corresponda, sin perjuicio de la ejecución de la Garantía de Fiel Cumplimiento del Contrato.  </w:t>
      </w:r>
    </w:p>
    <w:p w14:paraId="7CE6C886" w14:textId="77777777" w:rsidR="004412F1" w:rsidRDefault="004412F1">
      <w:pPr>
        <w:ind w:left="705"/>
        <w:jc w:val="both"/>
        <w:rPr>
          <w:lang w:val="es-PE"/>
        </w:rPr>
      </w:pPr>
    </w:p>
    <w:p w14:paraId="3CA7B025" w14:textId="77777777" w:rsidR="004412F1" w:rsidRDefault="005A12A3" w:rsidP="0074634C">
      <w:pPr>
        <w:numPr>
          <w:ilvl w:val="1"/>
          <w:numId w:val="132"/>
        </w:numPr>
        <w:jc w:val="both"/>
        <w:rPr>
          <w:lang w:val="es-CL"/>
        </w:rPr>
      </w:pPr>
      <w:r>
        <w:rPr>
          <w:lang w:val="es-PE"/>
        </w:rPr>
        <w:t>Para la determinación de la vinculación económica a que hace referencia el primer párrafo, será de aplicación lo previsto en la Resolución de la SMV Nº 019-2015-SMV/01 o norma que la modifique o sustituya, así como la definición de grupo económico contenida en el Decreto Supremo N° 147-2017-EF</w:t>
      </w:r>
      <w:r>
        <w:rPr>
          <w:lang w:val="es-CL"/>
        </w:rPr>
        <w:t>.</w:t>
      </w:r>
    </w:p>
    <w:p w14:paraId="081D51D6" w14:textId="77777777" w:rsidR="004412F1" w:rsidRDefault="004412F1">
      <w:pPr>
        <w:ind w:left="705"/>
        <w:jc w:val="both"/>
        <w:rPr>
          <w:lang w:val="es-PE"/>
        </w:rPr>
      </w:pPr>
    </w:p>
    <w:p w14:paraId="67D942C6" w14:textId="5BE863E1" w:rsidR="004412F1" w:rsidRDefault="005A12A3">
      <w:pPr>
        <w:numPr>
          <w:ilvl w:val="1"/>
          <w:numId w:val="132"/>
        </w:numPr>
        <w:jc w:val="both"/>
        <w:rPr>
          <w:u w:val="single"/>
          <w:lang w:val="es-PE"/>
        </w:rPr>
      </w:pPr>
      <w:r>
        <w:rPr>
          <w:lang w:val="es-PE"/>
        </w:rPr>
        <w:t xml:space="preserve">Para el caso de la resolución del Contrato por </w:t>
      </w:r>
      <w:r>
        <w:rPr>
          <w:lang w:val="es-ES"/>
        </w:rPr>
        <w:t>aplicación de la cláusula anticorrupción</w:t>
      </w:r>
      <w:r>
        <w:rPr>
          <w:lang w:val="es-PE"/>
        </w:rPr>
        <w:t>, el cálculo del monto correspondiente a la valorización se procederá conforme con lo establecido en la Cláusulas 17.2</w:t>
      </w:r>
      <w:r w:rsidR="005F4796">
        <w:rPr>
          <w:lang w:val="es-ES"/>
        </w:rPr>
        <w:t>5</w:t>
      </w:r>
      <w:r>
        <w:rPr>
          <w:lang w:val="es-PE"/>
        </w:rPr>
        <w:t xml:space="preserve"> y siguientes del Contrato, según corresponda.</w:t>
      </w:r>
    </w:p>
    <w:p w14:paraId="14E3A370" w14:textId="77777777" w:rsidR="004412F1" w:rsidRDefault="004412F1">
      <w:pPr>
        <w:ind w:left="705"/>
        <w:jc w:val="both"/>
        <w:rPr>
          <w:rFonts w:eastAsia="SimSun"/>
          <w:lang w:val="es-PE" w:eastAsia="zh-CN"/>
        </w:rPr>
      </w:pPr>
    </w:p>
    <w:p w14:paraId="7C01BCAD" w14:textId="77777777" w:rsidR="004412F1" w:rsidRDefault="005A12A3">
      <w:pPr>
        <w:ind w:left="705"/>
        <w:jc w:val="both"/>
        <w:rPr>
          <w:lang w:val="es-PE"/>
        </w:rPr>
      </w:pPr>
      <w:r>
        <w:rPr>
          <w:lang w:val="es-PE"/>
        </w:rPr>
        <w:t>La Caducidad por aplicación de la presente causal no genera ningún derecho de indemnización a favor del CONCESIONARIO, ni de sus Empresas Vinculadas por daños y perjuicios.</w:t>
      </w:r>
      <w:r>
        <w:rPr>
          <w:lang w:val="es-ES"/>
        </w:rPr>
        <w:t xml:space="preserve"> </w:t>
      </w:r>
    </w:p>
    <w:p w14:paraId="69B03381" w14:textId="77777777" w:rsidR="004412F1" w:rsidRDefault="004412F1">
      <w:pPr>
        <w:ind w:left="705"/>
        <w:jc w:val="both"/>
        <w:rPr>
          <w:lang w:val="es-PE"/>
        </w:rPr>
      </w:pPr>
    </w:p>
    <w:p w14:paraId="27B4C30B" w14:textId="77777777" w:rsidR="004412F1" w:rsidRDefault="005A12A3">
      <w:pPr>
        <w:numPr>
          <w:ilvl w:val="1"/>
          <w:numId w:val="132"/>
        </w:numPr>
        <w:jc w:val="both"/>
        <w:rPr>
          <w:lang w:val="es-PE"/>
        </w:rPr>
      </w:pPr>
      <w:r>
        <w:rPr>
          <w:lang w:val="es-PE"/>
        </w:rPr>
        <w:t>Para resolver el Contrato de Concesión en el presente caso, se seguirá el siguiente procedimiento:</w:t>
      </w:r>
    </w:p>
    <w:p w14:paraId="5CAB350B" w14:textId="77777777" w:rsidR="004412F1" w:rsidRDefault="004412F1">
      <w:pPr>
        <w:ind w:left="705"/>
        <w:jc w:val="both"/>
        <w:rPr>
          <w:lang w:val="es-PE"/>
        </w:rPr>
      </w:pPr>
    </w:p>
    <w:p w14:paraId="2F1EBBBE" w14:textId="77777777" w:rsidR="004412F1" w:rsidRDefault="005A12A3">
      <w:pPr>
        <w:numPr>
          <w:ilvl w:val="1"/>
          <w:numId w:val="132"/>
        </w:numPr>
        <w:jc w:val="both"/>
        <w:rPr>
          <w:lang w:val="es-PE"/>
        </w:rPr>
      </w:pPr>
      <w:r>
        <w:rPr>
          <w:lang w:val="es-PE"/>
        </w:rPr>
        <w:t>El CONCEDENTE comunicará por escrito al CONCESIONARIO, por conducto notarial, su intención de valerse de la Cláusula Anticorrupción para resolver el Contrato, por su incumplimiento por parte del CONCESIONARIO. Cuando esta comunicación se haga efectiva, la Caducidad se produce de pleno derecho.</w:t>
      </w:r>
    </w:p>
    <w:p w14:paraId="49152C35" w14:textId="77777777" w:rsidR="004412F1" w:rsidRDefault="004412F1">
      <w:pPr>
        <w:ind w:left="705"/>
        <w:jc w:val="both"/>
        <w:rPr>
          <w:lang w:val="es-PE"/>
        </w:rPr>
      </w:pPr>
    </w:p>
    <w:p w14:paraId="4C4DD255" w14:textId="7E0BF152" w:rsidR="004412F1" w:rsidRDefault="005A12A3">
      <w:pPr>
        <w:numPr>
          <w:ilvl w:val="1"/>
          <w:numId w:val="132"/>
        </w:numPr>
        <w:jc w:val="both"/>
        <w:rPr>
          <w:lang w:val="es-PE"/>
        </w:rPr>
      </w:pPr>
      <w:r>
        <w:rPr>
          <w:lang w:val="es-PE"/>
        </w:rPr>
        <w:lastRenderedPageBreak/>
        <w:t>Declarada la Caducidad de pleno derecho conforme lo señalado en el párrafo precedente, se procederá conforme a la Cláusulas 17.</w:t>
      </w:r>
      <w:r>
        <w:rPr>
          <w:rFonts w:eastAsia="SimSun" w:hint="eastAsia"/>
          <w:lang w:val="es-PE" w:eastAsia="zh-CN"/>
        </w:rPr>
        <w:t>2</w:t>
      </w:r>
      <w:r w:rsidR="005F4796">
        <w:rPr>
          <w:rFonts w:eastAsia="SimSun"/>
          <w:lang w:val="es-ES" w:eastAsia="zh-CN"/>
        </w:rPr>
        <w:t>5</w:t>
      </w:r>
      <w:r>
        <w:rPr>
          <w:rFonts w:eastAsia="SimSun"/>
          <w:lang w:val="es-ES" w:eastAsia="zh-CN"/>
        </w:rPr>
        <w:t xml:space="preserve"> y siguientes del presente Contrato</w:t>
      </w:r>
      <w:r>
        <w:rPr>
          <w:lang w:val="es-PE"/>
        </w:rPr>
        <w:t>.</w:t>
      </w:r>
    </w:p>
    <w:p w14:paraId="608AE1FD" w14:textId="77777777" w:rsidR="004412F1" w:rsidRDefault="004412F1">
      <w:pPr>
        <w:jc w:val="both"/>
        <w:rPr>
          <w:rFonts w:eastAsia="SimSun"/>
          <w:color w:val="000000"/>
          <w:lang w:val="es-PE" w:eastAsia="zh-CN"/>
        </w:rPr>
      </w:pPr>
    </w:p>
    <w:p w14:paraId="4B0CA251" w14:textId="77777777" w:rsidR="004412F1" w:rsidRDefault="005A12A3">
      <w:pPr>
        <w:pStyle w:val="Ttulo2"/>
        <w:ind w:left="0"/>
        <w:jc w:val="both"/>
        <w:rPr>
          <w:rFonts w:ascii="Arial" w:eastAsia="Arial" w:hAnsi="Arial" w:cs="Arial"/>
          <w:b/>
          <w:bCs/>
          <w:u w:val="none"/>
          <w:lang w:val="es-PE"/>
        </w:rPr>
      </w:pPr>
      <w:bookmarkStart w:id="2454" w:name="_2bgtojm"/>
      <w:bookmarkStart w:id="2455" w:name="_Toc468837704"/>
      <w:bookmarkStart w:id="2456" w:name="_Toc139294809"/>
      <w:bookmarkStart w:id="2457" w:name="_Toc140089408"/>
      <w:bookmarkEnd w:id="2454"/>
      <w:r>
        <w:rPr>
          <w:rFonts w:ascii="Arial" w:eastAsia="Arial" w:hAnsi="Arial" w:cs="Arial"/>
          <w:b/>
          <w:bCs/>
          <w:u w:val="none"/>
          <w:lang w:val="es-PE"/>
        </w:rPr>
        <w:t>DEVOLUCIÓN DE LA GARANTÍAS DE FIEL CUMPLIMIENTO</w:t>
      </w:r>
      <w:bookmarkEnd w:id="2455"/>
      <w:bookmarkEnd w:id="2456"/>
      <w:bookmarkEnd w:id="2457"/>
    </w:p>
    <w:p w14:paraId="3EBBDD7C" w14:textId="77777777" w:rsidR="004412F1" w:rsidRDefault="004412F1">
      <w:pPr>
        <w:tabs>
          <w:tab w:val="left" w:pos="284"/>
        </w:tabs>
        <w:ind w:left="705" w:hanging="705"/>
        <w:jc w:val="both"/>
        <w:rPr>
          <w:color w:val="000000"/>
          <w:lang w:val="es-PE"/>
        </w:rPr>
      </w:pPr>
    </w:p>
    <w:p w14:paraId="482CB2A4" w14:textId="77777777" w:rsidR="004412F1" w:rsidRDefault="005A12A3">
      <w:pPr>
        <w:numPr>
          <w:ilvl w:val="1"/>
          <w:numId w:val="132"/>
        </w:numPr>
        <w:jc w:val="both"/>
        <w:rPr>
          <w:lang w:val="es-PE"/>
        </w:rPr>
      </w:pPr>
      <w:r>
        <w:rPr>
          <w:lang w:val="es-PE"/>
        </w:rPr>
        <w:t>En el caso que la resolución del Contrato se produzca por acuerdo entre las Partes, por incumplimiento del CONCEDENTE, por decisión unilateral del CONCEDENTE o por Fuerza Mayor o Caso Fortuito, el CONCEDENTE devolverá al CONCESIONARIO la(s) Garantía(s) de Fiel Cumplimiento vigente(s) dentro de los dos (2) años posteriores a la Caducidad de la Concesión.</w:t>
      </w:r>
    </w:p>
    <w:p w14:paraId="75CE1A30" w14:textId="77777777" w:rsidR="004412F1" w:rsidRDefault="004412F1">
      <w:pPr>
        <w:ind w:left="4" w:hanging="705"/>
        <w:jc w:val="both"/>
        <w:rPr>
          <w:b/>
          <w:bCs/>
          <w:lang w:val="es-PE"/>
        </w:rPr>
      </w:pPr>
      <w:bookmarkStart w:id="2458" w:name="_qm3yrf" w:colFirst="0" w:colLast="0"/>
      <w:bookmarkEnd w:id="2458"/>
    </w:p>
    <w:p w14:paraId="7ECF90C1" w14:textId="77777777" w:rsidR="004412F1" w:rsidRDefault="005A12A3">
      <w:pPr>
        <w:pStyle w:val="Ttulo2"/>
        <w:ind w:left="0"/>
        <w:jc w:val="both"/>
        <w:rPr>
          <w:rFonts w:ascii="Arial" w:eastAsia="Arial" w:hAnsi="Arial" w:cs="Arial"/>
          <w:b/>
          <w:bCs/>
          <w:u w:val="none"/>
        </w:rPr>
      </w:pPr>
      <w:bookmarkStart w:id="2459" w:name="_VALOR_CONTABLE_NETO"/>
      <w:bookmarkStart w:id="2460" w:name="_EFECTOS_DE_LA"/>
      <w:bookmarkStart w:id="2461" w:name="_Toc102405394"/>
      <w:bookmarkStart w:id="2462" w:name="_Toc94329361"/>
      <w:bookmarkStart w:id="2463" w:name="_Toc131330007"/>
      <w:bookmarkStart w:id="2464" w:name="_Toc468837706"/>
      <w:bookmarkStart w:id="2465" w:name="_Toc131329420"/>
      <w:bookmarkStart w:id="2466" w:name="_Toc131328852"/>
      <w:bookmarkStart w:id="2467" w:name="_Toc94337925"/>
      <w:bookmarkStart w:id="2468" w:name="_Toc94330238"/>
      <w:bookmarkStart w:id="2469" w:name="_Toc131332094"/>
      <w:bookmarkStart w:id="2470" w:name="_Toc131328036"/>
      <w:bookmarkStart w:id="2471" w:name="_Toc131329188"/>
      <w:bookmarkStart w:id="2472" w:name="_Toc139294810"/>
      <w:bookmarkStart w:id="2473" w:name="_Toc94328859"/>
      <w:bookmarkStart w:id="2474" w:name="_Toc131333015"/>
      <w:bookmarkStart w:id="2475" w:name="_Toc94329607"/>
      <w:bookmarkStart w:id="2476" w:name="_Toc94329115"/>
      <w:bookmarkStart w:id="2477" w:name="_Toc94337694"/>
      <w:bookmarkStart w:id="2478" w:name="_Toc94328599"/>
      <w:bookmarkStart w:id="2479" w:name="_Toc140089409"/>
      <w:bookmarkEnd w:id="2459"/>
      <w:bookmarkEnd w:id="2460"/>
      <w:r>
        <w:rPr>
          <w:rFonts w:ascii="Arial" w:eastAsia="Arial" w:hAnsi="Arial" w:cs="Arial"/>
          <w:b/>
          <w:bCs/>
          <w:u w:val="none"/>
        </w:rPr>
        <w:t>EFECTOS DE LA TERMINACIÓN</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7BF13CE9" w14:textId="77777777" w:rsidR="004412F1" w:rsidRDefault="004412F1">
      <w:pPr>
        <w:tabs>
          <w:tab w:val="center" w:pos="4419"/>
          <w:tab w:val="right" w:pos="8838"/>
        </w:tabs>
        <w:jc w:val="both"/>
        <w:rPr>
          <w:b/>
          <w:color w:val="000000"/>
        </w:rPr>
      </w:pPr>
    </w:p>
    <w:p w14:paraId="70BAC023" w14:textId="77777777" w:rsidR="004412F1" w:rsidRDefault="005A12A3">
      <w:pPr>
        <w:numPr>
          <w:ilvl w:val="1"/>
          <w:numId w:val="132"/>
        </w:numPr>
        <w:ind w:left="709"/>
        <w:jc w:val="both"/>
        <w:rPr>
          <w:lang w:val="es-PE"/>
        </w:rPr>
      </w:pPr>
      <w:bookmarkStart w:id="2480" w:name="_1pr1rn1"/>
      <w:bookmarkStart w:id="2481" w:name="_Ref352187212"/>
      <w:bookmarkEnd w:id="2480"/>
      <w:r>
        <w:rPr>
          <w:lang w:val="es-PE"/>
        </w:rPr>
        <w:t>Los efectos de la Caducidad de la Concesión son, entre otros, los siguientes:</w:t>
      </w:r>
      <w:bookmarkEnd w:id="2481"/>
    </w:p>
    <w:p w14:paraId="4769E48B" w14:textId="77777777" w:rsidR="004412F1" w:rsidRDefault="004412F1">
      <w:pPr>
        <w:jc w:val="both"/>
        <w:rPr>
          <w:color w:val="000000"/>
          <w:lang w:val="es-PE"/>
        </w:rPr>
      </w:pPr>
    </w:p>
    <w:p w14:paraId="44717CA4" w14:textId="77777777" w:rsidR="004412F1" w:rsidRDefault="005A12A3">
      <w:pPr>
        <w:numPr>
          <w:ilvl w:val="0"/>
          <w:numId w:val="142"/>
        </w:numPr>
        <w:tabs>
          <w:tab w:val="left" w:pos="1134"/>
          <w:tab w:val="left" w:pos="1276"/>
        </w:tabs>
        <w:ind w:left="1134" w:hanging="425"/>
        <w:jc w:val="both"/>
        <w:rPr>
          <w:color w:val="000000"/>
          <w:lang w:val="es-PE"/>
        </w:rPr>
      </w:pPr>
      <w:bookmarkStart w:id="2482" w:name="_49qpaau" w:colFirst="0" w:colLast="0"/>
      <w:bookmarkStart w:id="2483" w:name="_Ref352187250"/>
      <w:bookmarkEnd w:id="2482"/>
      <w:r>
        <w:rPr>
          <w:color w:val="000000"/>
          <w:lang w:val="es-PE"/>
        </w:rPr>
        <w:t xml:space="preserve">La Caducidad de la Concesión produce la obligación del CONCESIONARIO de devolver las áreas de terreno comprendidas en el Área de la Concesión y entregar los Bienes de la Concesión al CONCEDENTE, conforme a los términos del </w:t>
      </w:r>
      <w:hyperlink w:anchor="_356xmb2">
        <w:r>
          <w:rPr>
            <w:color w:val="000000"/>
            <w:lang w:val="es-PE"/>
          </w:rPr>
          <w:t>CAPÍTULO V</w:t>
        </w:r>
      </w:hyperlink>
      <w:r>
        <w:rPr>
          <w:color w:val="000000"/>
          <w:lang w:val="es-PE"/>
        </w:rPr>
        <w:t xml:space="preserve"> del presente Contrato.</w:t>
      </w:r>
      <w:bookmarkEnd w:id="2483"/>
    </w:p>
    <w:p w14:paraId="50C778BE" w14:textId="77777777" w:rsidR="004412F1" w:rsidRDefault="004412F1">
      <w:pPr>
        <w:ind w:left="1"/>
        <w:jc w:val="both"/>
        <w:rPr>
          <w:lang w:val="es-PE"/>
        </w:rPr>
      </w:pPr>
    </w:p>
    <w:p w14:paraId="0F6FF0B6" w14:textId="77777777" w:rsidR="004412F1" w:rsidRDefault="005A12A3">
      <w:pPr>
        <w:ind w:left="1134"/>
        <w:jc w:val="both"/>
        <w:rPr>
          <w:color w:val="000000"/>
          <w:lang w:val="es-PE"/>
        </w:rPr>
      </w:pPr>
      <w:r>
        <w:rPr>
          <w:color w:val="000000"/>
          <w:lang w:val="es-PE"/>
        </w:rPr>
        <w:t xml:space="preserve">Sesenta (60) Días Calendario antes de que se produzca el término del Contrato, se </w:t>
      </w:r>
      <w:proofErr w:type="gramStart"/>
      <w:r>
        <w:rPr>
          <w:color w:val="000000"/>
          <w:lang w:val="es-PE"/>
        </w:rPr>
        <w:t>dará inicio a</w:t>
      </w:r>
      <w:proofErr w:type="gramEnd"/>
      <w:r>
        <w:rPr>
          <w:color w:val="000000"/>
          <w:lang w:val="es-PE"/>
        </w:rPr>
        <w:t xml:space="preserve"> la formulación del Inventario Final de los bienes, el mismo que se realizará con intervención del REGULADOR y deberá quedar concluido diez (10) Días antes de la fecha de vencimiento del Contrato.</w:t>
      </w:r>
    </w:p>
    <w:p w14:paraId="547227DE" w14:textId="77777777" w:rsidR="004412F1" w:rsidRDefault="004412F1">
      <w:pPr>
        <w:ind w:left="1411"/>
        <w:jc w:val="both"/>
        <w:rPr>
          <w:color w:val="000000"/>
          <w:sz w:val="18"/>
          <w:lang w:val="es-PE"/>
        </w:rPr>
      </w:pPr>
    </w:p>
    <w:p w14:paraId="3A7060DE" w14:textId="77777777" w:rsidR="004412F1" w:rsidRDefault="005A12A3">
      <w:pPr>
        <w:ind w:left="1134"/>
        <w:jc w:val="both"/>
        <w:rPr>
          <w:color w:val="000000"/>
          <w:lang w:val="es-PE"/>
        </w:rPr>
      </w:pPr>
      <w:r>
        <w:rPr>
          <w:color w:val="000000"/>
          <w:lang w:val="es-PE"/>
        </w:rPr>
        <w:t>En el supuesto de caducidad por mutuo acuerdo, el Inventario Final integrará este acuerdo como anexo del Contrato que se suscriba para el efecto.</w:t>
      </w:r>
    </w:p>
    <w:p w14:paraId="0440E9BC" w14:textId="77777777" w:rsidR="004412F1" w:rsidRDefault="004412F1">
      <w:pPr>
        <w:ind w:left="1134"/>
        <w:jc w:val="both"/>
        <w:rPr>
          <w:color w:val="000000"/>
          <w:sz w:val="16"/>
          <w:lang w:val="es-PE"/>
        </w:rPr>
      </w:pPr>
    </w:p>
    <w:p w14:paraId="495396E8" w14:textId="6E63B34D" w:rsidR="004412F1" w:rsidRDefault="005A12A3">
      <w:pPr>
        <w:ind w:left="1134"/>
        <w:jc w:val="both"/>
        <w:rPr>
          <w:color w:val="000000"/>
          <w:lang w:val="es-PE"/>
        </w:rPr>
      </w:pPr>
      <w:r>
        <w:rPr>
          <w:color w:val="000000"/>
          <w:lang w:val="es-PE"/>
        </w:rPr>
        <w:t xml:space="preserve">El Inventario Final de los bienes deberá contar con la aprobación </w:t>
      </w:r>
      <w:proofErr w:type="gramStart"/>
      <w:r>
        <w:rPr>
          <w:color w:val="000000"/>
          <w:lang w:val="es-PE"/>
        </w:rPr>
        <w:t>del CONCEDENTE</w:t>
      </w:r>
      <w:r w:rsidR="00524276">
        <w:rPr>
          <w:color w:val="000000"/>
          <w:lang w:val="es-PE"/>
        </w:rPr>
        <w:t xml:space="preserve"> </w:t>
      </w:r>
      <w:r>
        <w:rPr>
          <w:color w:val="000000"/>
          <w:lang w:val="es-PE"/>
        </w:rPr>
        <w:t>previa opinión</w:t>
      </w:r>
      <w:proofErr w:type="gramEnd"/>
      <w:r>
        <w:rPr>
          <w:color w:val="000000"/>
          <w:lang w:val="es-PE"/>
        </w:rPr>
        <w:t xml:space="preserve"> del REGULADOR. </w:t>
      </w:r>
    </w:p>
    <w:p w14:paraId="26D1124E" w14:textId="77777777" w:rsidR="004412F1" w:rsidRDefault="004412F1">
      <w:pPr>
        <w:ind w:left="431"/>
        <w:jc w:val="both"/>
        <w:rPr>
          <w:color w:val="000000"/>
          <w:sz w:val="16"/>
          <w:lang w:val="es-PE"/>
        </w:rPr>
      </w:pPr>
    </w:p>
    <w:p w14:paraId="3DB813E0" w14:textId="77777777" w:rsidR="004412F1" w:rsidRDefault="005A12A3">
      <w:pPr>
        <w:numPr>
          <w:ilvl w:val="0"/>
          <w:numId w:val="142"/>
        </w:numPr>
        <w:tabs>
          <w:tab w:val="left" w:pos="1134"/>
          <w:tab w:val="left" w:pos="1276"/>
        </w:tabs>
        <w:ind w:left="1134" w:hanging="425"/>
        <w:jc w:val="both"/>
        <w:rPr>
          <w:color w:val="000000"/>
          <w:lang w:val="es-PE"/>
        </w:rPr>
      </w:pPr>
      <w:bookmarkStart w:id="2484" w:name="_2ovzkin" w:colFirst="0" w:colLast="0"/>
      <w:bookmarkStart w:id="2485" w:name="_Ref351561836"/>
      <w:bookmarkEnd w:id="2484"/>
      <w:r>
        <w:rPr>
          <w:color w:val="000000"/>
          <w:lang w:val="es-PE"/>
        </w:rPr>
        <w:t>Producida la Caducidad de la Concesión, la actividad del CONCESIONARIO cesa y se extingue su derecho de explotar la infraestructura vial, derecho que es reasumido por el CONCEDENTE</w:t>
      </w:r>
      <w:bookmarkEnd w:id="2485"/>
      <w:r>
        <w:rPr>
          <w:color w:val="000000"/>
          <w:lang w:val="es-PE"/>
        </w:rPr>
        <w:t>.</w:t>
      </w:r>
    </w:p>
    <w:p w14:paraId="59DF5489" w14:textId="77777777" w:rsidR="004412F1" w:rsidRDefault="004412F1">
      <w:pPr>
        <w:ind w:left="360"/>
        <w:jc w:val="both"/>
        <w:rPr>
          <w:lang w:val="es-PE"/>
        </w:rPr>
      </w:pPr>
    </w:p>
    <w:p w14:paraId="67BAF5A4" w14:textId="77777777" w:rsidR="004412F1" w:rsidRDefault="005A12A3">
      <w:pPr>
        <w:ind w:left="1134"/>
        <w:jc w:val="both"/>
        <w:rPr>
          <w:color w:val="000000"/>
          <w:lang w:val="es-PE"/>
        </w:rPr>
      </w:pPr>
      <w:r>
        <w:rPr>
          <w:color w:val="000000"/>
          <w:lang w:val="es-PE"/>
        </w:rPr>
        <w:t>Asimismo, se extinguen todos los contratos a los que se refiere la Cláusula 14.2, salvo aquellos que expresamente el CONCEDENTE haya decidido mantener en vigencia y asumido la posición contractual del CONCESIONARIO.</w:t>
      </w:r>
    </w:p>
    <w:p w14:paraId="0A6E87AC" w14:textId="77777777" w:rsidR="004412F1" w:rsidRDefault="004412F1">
      <w:pPr>
        <w:ind w:left="431"/>
        <w:jc w:val="both"/>
        <w:rPr>
          <w:color w:val="000000"/>
          <w:sz w:val="16"/>
          <w:lang w:val="es-PE"/>
        </w:rPr>
      </w:pPr>
    </w:p>
    <w:p w14:paraId="4D5784F6" w14:textId="77777777" w:rsidR="004412F1" w:rsidRDefault="005A12A3">
      <w:pPr>
        <w:numPr>
          <w:ilvl w:val="0"/>
          <w:numId w:val="142"/>
        </w:numPr>
        <w:tabs>
          <w:tab w:val="left" w:pos="1134"/>
          <w:tab w:val="left" w:pos="1276"/>
        </w:tabs>
        <w:ind w:left="1134" w:hanging="425"/>
        <w:jc w:val="both"/>
        <w:rPr>
          <w:color w:val="000000"/>
          <w:lang w:val="es-PE"/>
        </w:rPr>
      </w:pPr>
      <w:r>
        <w:rPr>
          <w:color w:val="000000"/>
          <w:lang w:val="es-PE"/>
        </w:rPr>
        <w:t xml:space="preserve">Producida la Caducidad de la Concesión, el CONCEDENTE o el nuevo Concesionario que este designe se hará cargo </w:t>
      </w:r>
      <w:r>
        <w:rPr>
          <w:color w:val="000000"/>
          <w:lang w:val="es-ES"/>
        </w:rPr>
        <w:t xml:space="preserve">de los </w:t>
      </w:r>
      <w:proofErr w:type="gramStart"/>
      <w:r>
        <w:rPr>
          <w:color w:val="000000"/>
          <w:lang w:val="es-ES"/>
        </w:rPr>
        <w:t>Sub Tramos</w:t>
      </w:r>
      <w:proofErr w:type="gramEnd"/>
      <w:r>
        <w:rPr>
          <w:color w:val="000000"/>
          <w:lang w:val="es-PE"/>
        </w:rPr>
        <w:t>.</w:t>
      </w:r>
    </w:p>
    <w:p w14:paraId="3194A30A" w14:textId="77777777" w:rsidR="004412F1" w:rsidRDefault="004412F1">
      <w:pPr>
        <w:tabs>
          <w:tab w:val="left" w:pos="1134"/>
          <w:tab w:val="left" w:pos="1276"/>
        </w:tabs>
        <w:jc w:val="both"/>
        <w:rPr>
          <w:color w:val="000000"/>
          <w:lang w:val="es-PE"/>
        </w:rPr>
      </w:pPr>
    </w:p>
    <w:p w14:paraId="2E3F9006" w14:textId="77777777" w:rsidR="004412F1" w:rsidRDefault="005A12A3">
      <w:pPr>
        <w:tabs>
          <w:tab w:val="left" w:pos="1134"/>
          <w:tab w:val="left" w:pos="1276"/>
        </w:tabs>
        <w:jc w:val="both"/>
        <w:rPr>
          <w:b/>
          <w:color w:val="000000"/>
          <w:lang w:val="es-PE"/>
        </w:rPr>
      </w:pPr>
      <w:bookmarkStart w:id="2486" w:name="_Toc468837708"/>
      <w:r>
        <w:rPr>
          <w:b/>
          <w:color w:val="000000" w:themeColor="text1"/>
          <w:lang w:val="es-PE"/>
        </w:rPr>
        <w:t>PROCEDIMIENTO PARA EL RESCATE EN CASO DE RESOLUCIÓN DEL CONTRATO</w:t>
      </w:r>
      <w:bookmarkEnd w:id="2486"/>
    </w:p>
    <w:p w14:paraId="57850467" w14:textId="77777777" w:rsidR="004412F1" w:rsidRDefault="004412F1">
      <w:pPr>
        <w:jc w:val="both"/>
        <w:rPr>
          <w:b/>
          <w:color w:val="000000"/>
          <w:lang w:val="es-PE"/>
        </w:rPr>
      </w:pPr>
    </w:p>
    <w:p w14:paraId="2506D589" w14:textId="77777777" w:rsidR="004412F1" w:rsidRDefault="005A12A3">
      <w:pPr>
        <w:numPr>
          <w:ilvl w:val="1"/>
          <w:numId w:val="132"/>
        </w:numPr>
        <w:ind w:left="709"/>
        <w:jc w:val="both"/>
        <w:rPr>
          <w:lang w:val="es-PE"/>
        </w:rPr>
      </w:pPr>
      <w:bookmarkStart w:id="2487" w:name="_2367nm2" w:colFirst="0" w:colLast="0"/>
      <w:bookmarkStart w:id="2488" w:name="_Ref417890482"/>
      <w:bookmarkStart w:id="2489" w:name="_Ref352187060"/>
      <w:bookmarkEnd w:id="2487"/>
      <w:proofErr w:type="gramStart"/>
      <w:r>
        <w:rPr>
          <w:lang w:val="es-PE"/>
        </w:rPr>
        <w:t>En caso que</w:t>
      </w:r>
      <w:proofErr w:type="gramEnd"/>
      <w:r>
        <w:rPr>
          <w:lang w:val="es-PE"/>
        </w:rPr>
        <w:t xml:space="preserve"> cualquiera de las Partes invoque la resolución del Contrato de Concesión por cualquier motivo, o el CONCEDENTE decida unilateralmente la resolución del Contrato, corresponderá al CONCEDENTE adoptar las medidas necesarias, a fin de garantizar la continuidad del Servicio. En caso se presente una imposibilidad temporal para elegir un nuevo CONCESIONARIO, y con objeto de evitar la paralización del servicio, el REGULADOR elegirá a una empresa especializada, bajo las siguientes condiciones:</w:t>
      </w:r>
      <w:bookmarkEnd w:id="2488"/>
    </w:p>
    <w:p w14:paraId="123AB4C0" w14:textId="77777777" w:rsidR="004412F1" w:rsidRDefault="004412F1">
      <w:pPr>
        <w:ind w:left="705"/>
        <w:jc w:val="both"/>
        <w:rPr>
          <w:sz w:val="20"/>
          <w:lang w:val="es-MX"/>
        </w:rPr>
      </w:pPr>
    </w:p>
    <w:p w14:paraId="7134E444" w14:textId="77777777" w:rsidR="004412F1" w:rsidRDefault="005A12A3">
      <w:pPr>
        <w:numPr>
          <w:ilvl w:val="0"/>
          <w:numId w:val="143"/>
        </w:numPr>
        <w:tabs>
          <w:tab w:val="left" w:pos="1134"/>
          <w:tab w:val="left" w:pos="1276"/>
        </w:tabs>
        <w:ind w:left="1134" w:right="34" w:hanging="425"/>
        <w:jc w:val="both"/>
        <w:rPr>
          <w:color w:val="000000"/>
          <w:spacing w:val="-4"/>
          <w:lang w:val="es-PE"/>
        </w:rPr>
      </w:pPr>
      <w:r>
        <w:rPr>
          <w:color w:val="000000"/>
          <w:spacing w:val="-4"/>
          <w:lang w:val="es-PE"/>
        </w:rPr>
        <w:lastRenderedPageBreak/>
        <w:t>El REGULADOR nombrará a un tercero especializado, que tendrá a su cargo la Explotación de la Concesión y cumplirá todas las obligaciones del Contrato, hasta que este sea sustituido por una nueva Administración.</w:t>
      </w:r>
    </w:p>
    <w:p w14:paraId="1525FF97" w14:textId="77777777" w:rsidR="004412F1" w:rsidRDefault="004412F1">
      <w:pPr>
        <w:tabs>
          <w:tab w:val="left" w:pos="1134"/>
          <w:tab w:val="left" w:pos="1276"/>
        </w:tabs>
        <w:ind w:left="1134"/>
        <w:jc w:val="both"/>
        <w:rPr>
          <w:color w:val="000000"/>
          <w:spacing w:val="-4"/>
          <w:lang w:val="es-PE"/>
        </w:rPr>
      </w:pPr>
    </w:p>
    <w:p w14:paraId="6DCAF322" w14:textId="77777777" w:rsidR="004412F1" w:rsidRDefault="005A12A3">
      <w:pPr>
        <w:numPr>
          <w:ilvl w:val="0"/>
          <w:numId w:val="143"/>
        </w:numPr>
        <w:tabs>
          <w:tab w:val="left" w:pos="1134"/>
          <w:tab w:val="left" w:pos="1276"/>
        </w:tabs>
        <w:ind w:left="1134" w:right="34" w:hanging="425"/>
        <w:jc w:val="both"/>
        <w:rPr>
          <w:color w:val="000000"/>
          <w:spacing w:val="-4"/>
          <w:lang w:val="es-PE"/>
        </w:rPr>
      </w:pPr>
      <w:r>
        <w:rPr>
          <w:color w:val="000000"/>
          <w:lang w:val="es-PE"/>
        </w:rPr>
        <w:t>La explotación de la Concesión por la empresa especializada no podrá ser mayor a un (01) año calendario.</w:t>
      </w:r>
    </w:p>
    <w:p w14:paraId="1DDE50CC" w14:textId="77777777" w:rsidR="004412F1" w:rsidRDefault="004412F1">
      <w:pPr>
        <w:tabs>
          <w:tab w:val="left" w:pos="1134"/>
          <w:tab w:val="left" w:pos="1276"/>
        </w:tabs>
        <w:ind w:left="1134"/>
        <w:jc w:val="both"/>
        <w:rPr>
          <w:color w:val="000000"/>
          <w:spacing w:val="-4"/>
          <w:lang w:val="es-PE"/>
        </w:rPr>
      </w:pPr>
    </w:p>
    <w:p w14:paraId="74CE55E2" w14:textId="77777777" w:rsidR="004412F1" w:rsidRDefault="005A12A3">
      <w:pPr>
        <w:numPr>
          <w:ilvl w:val="0"/>
          <w:numId w:val="143"/>
        </w:numPr>
        <w:tabs>
          <w:tab w:val="left" w:pos="1134"/>
          <w:tab w:val="left" w:pos="1276"/>
        </w:tabs>
        <w:ind w:left="1134" w:right="34" w:hanging="425"/>
        <w:jc w:val="both"/>
        <w:rPr>
          <w:color w:val="000000"/>
          <w:spacing w:val="-4"/>
          <w:lang w:val="es-PE"/>
        </w:rPr>
      </w:pPr>
      <w:r>
        <w:rPr>
          <w:color w:val="000000"/>
          <w:spacing w:val="-4"/>
          <w:lang w:val="es-PE"/>
        </w:rPr>
        <w:t>El REGULADOR determinará el procedimiento para la elección y contratación del tercero especializado hasta la sustitución del CONCESIONARIO.</w:t>
      </w:r>
    </w:p>
    <w:p w14:paraId="2AC1ACA6" w14:textId="77777777" w:rsidR="004412F1" w:rsidRDefault="004412F1">
      <w:pPr>
        <w:tabs>
          <w:tab w:val="left" w:pos="1134"/>
          <w:tab w:val="left" w:pos="1276"/>
        </w:tabs>
        <w:ind w:left="1134"/>
        <w:jc w:val="both"/>
        <w:rPr>
          <w:color w:val="000000"/>
          <w:spacing w:val="-4"/>
          <w:lang w:val="es-PE"/>
        </w:rPr>
      </w:pPr>
    </w:p>
    <w:p w14:paraId="6309255C" w14:textId="77777777" w:rsidR="004412F1" w:rsidRDefault="005A12A3">
      <w:pPr>
        <w:numPr>
          <w:ilvl w:val="0"/>
          <w:numId w:val="143"/>
        </w:numPr>
        <w:tabs>
          <w:tab w:val="left" w:pos="1134"/>
          <w:tab w:val="left" w:pos="1276"/>
        </w:tabs>
        <w:ind w:left="1134" w:right="34" w:hanging="425"/>
        <w:jc w:val="both"/>
        <w:rPr>
          <w:color w:val="000000"/>
          <w:spacing w:val="-4"/>
          <w:lang w:val="es-PE"/>
        </w:rPr>
      </w:pPr>
      <w:r>
        <w:rPr>
          <w:color w:val="000000"/>
          <w:lang w:val="es-PE"/>
        </w:rPr>
        <w:t>Los costos y gastos en que incurra el REGULADOR para llevar a cabo el proceso de Selección y contratación de la empresa especializada serán asumidos por aquella Parte cuyo incumplimiento hubiere dado origen a la terminación del Contrato. En caso esto no se pueda determinar, los costos y gastos serán asumidos por el CONCEDENTE.</w:t>
      </w:r>
    </w:p>
    <w:p w14:paraId="70EB1814" w14:textId="77777777" w:rsidR="004412F1" w:rsidRDefault="004412F1">
      <w:pPr>
        <w:pStyle w:val="Textocomentario"/>
        <w:jc w:val="both"/>
        <w:rPr>
          <w:spacing w:val="-4"/>
          <w:sz w:val="22"/>
          <w:lang w:val="es-PE"/>
        </w:rPr>
      </w:pPr>
    </w:p>
    <w:p w14:paraId="0607B96C" w14:textId="77777777" w:rsidR="004412F1" w:rsidRDefault="005A12A3">
      <w:pPr>
        <w:numPr>
          <w:ilvl w:val="1"/>
          <w:numId w:val="132"/>
        </w:numPr>
        <w:ind w:left="709"/>
        <w:jc w:val="both"/>
        <w:rPr>
          <w:spacing w:val="-4"/>
          <w:lang w:val="es-PE"/>
        </w:rPr>
      </w:pPr>
      <w:r>
        <w:rPr>
          <w:spacing w:val="-4"/>
          <w:lang w:val="es-PE"/>
        </w:rPr>
        <w:t>El CONCEDENTE determinará el procedimiento para la sustitución del nuevo CONCESIONARIO</w:t>
      </w:r>
      <w:r>
        <w:rPr>
          <w:i/>
          <w:spacing w:val="-4"/>
          <w:lang w:val="es-PE"/>
        </w:rPr>
        <w:t>.</w:t>
      </w:r>
    </w:p>
    <w:bookmarkEnd w:id="2489"/>
    <w:p w14:paraId="716104FA" w14:textId="77777777" w:rsidR="004412F1" w:rsidRDefault="004412F1">
      <w:pPr>
        <w:jc w:val="both"/>
        <w:rPr>
          <w:color w:val="000000"/>
          <w:lang w:val="es-PE"/>
        </w:rPr>
      </w:pPr>
    </w:p>
    <w:p w14:paraId="3208D31F" w14:textId="77777777" w:rsidR="004412F1" w:rsidRDefault="005A12A3">
      <w:pPr>
        <w:pStyle w:val="Ttulo2"/>
        <w:ind w:left="0"/>
        <w:jc w:val="both"/>
        <w:rPr>
          <w:rFonts w:ascii="Arial" w:eastAsia="Arial" w:hAnsi="Arial" w:cs="Arial"/>
          <w:b/>
          <w:bCs/>
          <w:u w:val="none"/>
        </w:rPr>
      </w:pPr>
      <w:bookmarkStart w:id="2490" w:name="_ibhxtv"/>
      <w:bookmarkStart w:id="2491" w:name="_Toc139294811"/>
      <w:bookmarkStart w:id="2492" w:name="_Toc140089410"/>
      <w:bookmarkEnd w:id="2490"/>
      <w:r>
        <w:rPr>
          <w:rFonts w:ascii="Arial" w:eastAsia="Arial" w:hAnsi="Arial" w:cs="Arial"/>
          <w:b/>
          <w:bCs/>
          <w:u w:val="none"/>
          <w:lang w:val="es-ES"/>
        </w:rPr>
        <w:t>LIQUIDACIÓN DEL CONTRATO DE CONCESIÓN</w:t>
      </w:r>
      <w:bookmarkEnd w:id="2491"/>
      <w:bookmarkEnd w:id="2492"/>
    </w:p>
    <w:p w14:paraId="1798201C" w14:textId="77777777" w:rsidR="004412F1" w:rsidRDefault="004412F1">
      <w:pPr>
        <w:jc w:val="both"/>
        <w:rPr>
          <w:b/>
          <w:bCs/>
        </w:rPr>
      </w:pPr>
    </w:p>
    <w:p w14:paraId="42148F77" w14:textId="77777777" w:rsidR="004412F1" w:rsidRDefault="005A12A3">
      <w:pPr>
        <w:numPr>
          <w:ilvl w:val="1"/>
          <w:numId w:val="132"/>
        </w:numPr>
        <w:ind w:left="709"/>
        <w:jc w:val="both"/>
        <w:rPr>
          <w:lang w:val="es-PE"/>
        </w:rPr>
      </w:pPr>
      <w:bookmarkStart w:id="2493" w:name="_32b5gho" w:colFirst="0" w:colLast="0"/>
      <w:bookmarkStart w:id="2494" w:name="_Ref272505944"/>
      <w:bookmarkEnd w:id="2493"/>
      <w:r>
        <w:rPr>
          <w:lang w:val="es-PE"/>
        </w:rPr>
        <w:t xml:space="preserve">Una vez que el CONCEDENTE recibe el cálculo de los compromisos pendientes de pago al CONCESIONARIO, remitido por el REGULADOR, </w:t>
      </w:r>
      <w:proofErr w:type="gramStart"/>
      <w:r>
        <w:rPr>
          <w:lang w:val="es-PE"/>
        </w:rPr>
        <w:t>de acuerdo a</w:t>
      </w:r>
      <w:proofErr w:type="gramEnd"/>
      <w:r>
        <w:rPr>
          <w:lang w:val="es-PE"/>
        </w:rPr>
        <w:t xml:space="preserve"> lo indicado en la Cláusula 17.1 deberá aprobarlos oportunamente a fin de garantizar sean cancelados y/o considerados en la Ley del Presupuesto General de la República correspondiente.</w:t>
      </w:r>
      <w:bookmarkEnd w:id="2494"/>
      <w:r>
        <w:rPr>
          <w:lang w:val="es-PE"/>
        </w:rPr>
        <w:t xml:space="preserve"> </w:t>
      </w:r>
    </w:p>
    <w:p w14:paraId="29D09209" w14:textId="77777777" w:rsidR="004412F1" w:rsidRDefault="004412F1">
      <w:pPr>
        <w:pStyle w:val="Textoindependiente"/>
        <w:rPr>
          <w:rFonts w:asciiTheme="minorHAnsi" w:hAnsiTheme="minorHAnsi" w:cstheme="minorHAnsi"/>
          <w:bCs w:val="0"/>
          <w:szCs w:val="22"/>
          <w:lang w:val="es-PE"/>
        </w:rPr>
      </w:pPr>
    </w:p>
    <w:p w14:paraId="417F39E3" w14:textId="77777777" w:rsidR="004412F1" w:rsidRDefault="005A12A3">
      <w:pPr>
        <w:numPr>
          <w:ilvl w:val="1"/>
          <w:numId w:val="132"/>
        </w:numPr>
        <w:ind w:left="709"/>
        <w:jc w:val="both"/>
        <w:rPr>
          <w:lang w:val="es-PE"/>
        </w:rPr>
      </w:pPr>
      <w:bookmarkStart w:id="2495" w:name="_Ref272505393"/>
      <w:r>
        <w:rPr>
          <w:lang w:val="es-PE"/>
        </w:rPr>
        <w:t xml:space="preserve">Si la caducidad se produce antes del inicio de las intervenciones de Mantenimiento Periódico Inicial, se cancelará al CONCESIONARIO la RPMO pendiente de pago, proporcional a la fracción del trimestre transcurrido desde el último pago trimestral de la RPMO hasta la </w:t>
      </w:r>
      <w:bookmarkEnd w:id="2495"/>
      <w:r>
        <w:rPr>
          <w:lang w:val="es-PE"/>
        </w:rPr>
        <w:t>fecha en la que se declara el fin de la Concesión</w:t>
      </w:r>
      <w:r>
        <w:rPr>
          <w:lang w:val="es-ES"/>
        </w:rPr>
        <w:t xml:space="preserve"> por la Parte que la invoca</w:t>
      </w:r>
      <w:r>
        <w:rPr>
          <w:lang w:val="es-PE"/>
        </w:rPr>
        <w:t>.</w:t>
      </w:r>
    </w:p>
    <w:p w14:paraId="48DC9268" w14:textId="77777777" w:rsidR="004412F1" w:rsidRDefault="004412F1">
      <w:pPr>
        <w:rPr>
          <w:rFonts w:cstheme="minorHAnsi"/>
          <w:lang w:val="es-CL"/>
        </w:rPr>
      </w:pPr>
    </w:p>
    <w:p w14:paraId="50E96A8F" w14:textId="77777777" w:rsidR="004412F1" w:rsidRDefault="005A12A3">
      <w:pPr>
        <w:numPr>
          <w:ilvl w:val="1"/>
          <w:numId w:val="132"/>
        </w:numPr>
        <w:ind w:left="709"/>
        <w:jc w:val="both"/>
        <w:rPr>
          <w:lang w:val="es-PE"/>
        </w:rPr>
      </w:pPr>
      <w:bookmarkStart w:id="2496" w:name="_Ref272505486"/>
      <w:r>
        <w:rPr>
          <w:lang w:val="es-PE"/>
        </w:rPr>
        <w:t xml:space="preserve">Si la Caducidad se produce durante la ejecución de las intervenciones del Mantenimiento Periódico Inicial y/o Rehabilitación y Mejoramiento y/o Evitamiento San Clemente, se procederá </w:t>
      </w:r>
      <w:proofErr w:type="gramStart"/>
      <w:r>
        <w:rPr>
          <w:lang w:val="es-PE"/>
        </w:rPr>
        <w:t>de acuerdo a</w:t>
      </w:r>
      <w:proofErr w:type="gramEnd"/>
      <w:r>
        <w:rPr>
          <w:lang w:val="es-PE"/>
        </w:rPr>
        <w:t xml:space="preserve"> lo siguiente:</w:t>
      </w:r>
    </w:p>
    <w:p w14:paraId="25A9D46E" w14:textId="77777777" w:rsidR="004412F1" w:rsidRDefault="004412F1">
      <w:pPr>
        <w:ind w:left="705"/>
        <w:jc w:val="both"/>
        <w:rPr>
          <w:rFonts w:cstheme="minorHAnsi"/>
          <w:lang w:val="es-CL"/>
        </w:rPr>
      </w:pPr>
    </w:p>
    <w:p w14:paraId="7F4749B0" w14:textId="77777777" w:rsidR="004412F1" w:rsidRDefault="005A12A3">
      <w:pPr>
        <w:pStyle w:val="Prrafodelista"/>
        <w:numPr>
          <w:ilvl w:val="0"/>
          <w:numId w:val="144"/>
        </w:numPr>
        <w:ind w:left="1276" w:hanging="567"/>
        <w:contextualSpacing w:val="0"/>
        <w:jc w:val="both"/>
        <w:rPr>
          <w:lang w:val="es-CL"/>
        </w:rPr>
      </w:pPr>
      <w:r>
        <w:rPr>
          <w:lang w:val="es-CL"/>
        </w:rPr>
        <w:t>Se cancelará al CONCESIONARIO la RPMO pendiente de pago, proporcional a la fracción del trimestre transcurrido desde el último pago trimestral de la RPMO hasta la fecha en la que se declara el fin de la Concesión por la Parta que la invoca, según corresponda.</w:t>
      </w:r>
    </w:p>
    <w:p w14:paraId="6CE2DAF2" w14:textId="77777777" w:rsidR="004412F1" w:rsidRDefault="004412F1">
      <w:pPr>
        <w:ind w:left="709"/>
        <w:jc w:val="both"/>
        <w:rPr>
          <w:rFonts w:cstheme="minorHAnsi"/>
          <w:lang w:val="es-CL"/>
        </w:rPr>
      </w:pPr>
    </w:p>
    <w:p w14:paraId="55F6796A" w14:textId="77777777" w:rsidR="004412F1" w:rsidRDefault="005A12A3">
      <w:pPr>
        <w:pStyle w:val="Prrafodelista"/>
        <w:numPr>
          <w:ilvl w:val="0"/>
          <w:numId w:val="144"/>
        </w:numPr>
        <w:ind w:left="1276" w:hanging="567"/>
        <w:contextualSpacing w:val="0"/>
        <w:jc w:val="both"/>
        <w:rPr>
          <w:lang w:val="es-CL"/>
        </w:rPr>
      </w:pPr>
      <w:r>
        <w:rPr>
          <w:lang w:val="es-CL"/>
        </w:rPr>
        <w:t xml:space="preserve">El CONCEDENTE deberá pagar y continuar pagando los RPI-CAO, FPAMPI y PPO correspondientes a los CAO, CAMPI y Reportes de Revisión emitidos de conformidad con el presente Contrato. </w:t>
      </w:r>
    </w:p>
    <w:p w14:paraId="6B9CA8F4" w14:textId="77777777" w:rsidR="004412F1" w:rsidRDefault="004412F1">
      <w:pPr>
        <w:pStyle w:val="Prrafodelista"/>
        <w:rPr>
          <w:lang w:val="es-CL"/>
        </w:rPr>
      </w:pPr>
    </w:p>
    <w:p w14:paraId="740A837C" w14:textId="77777777" w:rsidR="004412F1" w:rsidRDefault="005A12A3">
      <w:pPr>
        <w:pStyle w:val="Prrafodelista"/>
        <w:numPr>
          <w:ilvl w:val="0"/>
          <w:numId w:val="144"/>
        </w:numPr>
        <w:ind w:left="1276" w:hanging="567"/>
        <w:contextualSpacing w:val="0"/>
        <w:jc w:val="both"/>
        <w:rPr>
          <w:lang w:val="es-CL"/>
        </w:rPr>
      </w:pPr>
      <w:r>
        <w:rPr>
          <w:lang w:val="es-CL"/>
        </w:rPr>
        <w:t xml:space="preserve">En el caso de existir avances ejecutadas pendientes de certificación por parte del REGULADOR por medio del CAO, siempre que se cumplan con los requisitos establecidos en el presente Contrato, con la excepción de los valores mínimos establecidos en el numeral 5 del Apéndice 4.1 del Anexo XI, los cuales no serán de aplicación, el REGULADOR emitirá el (los) Reporte(s) de Revisión que corresponda(n) y el (los) CAO correspondiente(s). Con ello se otorgará al CONCESIONARIO el derecho </w:t>
      </w:r>
      <w:r>
        <w:rPr>
          <w:lang w:val="es-CL"/>
        </w:rPr>
        <w:lastRenderedPageBreak/>
        <w:t>de cobro de los RPI-CAOs que estén pendientes, de conformidad con lo establecido en el presente Contrato.</w:t>
      </w:r>
    </w:p>
    <w:p w14:paraId="52632D26" w14:textId="77777777" w:rsidR="004412F1" w:rsidRDefault="004412F1">
      <w:pPr>
        <w:pStyle w:val="Prrafodelista"/>
        <w:rPr>
          <w:lang w:val="es-CL"/>
        </w:rPr>
      </w:pPr>
    </w:p>
    <w:p w14:paraId="41C7E372" w14:textId="77777777" w:rsidR="004412F1" w:rsidRDefault="005A12A3">
      <w:pPr>
        <w:pStyle w:val="Prrafodelista"/>
        <w:numPr>
          <w:ilvl w:val="0"/>
          <w:numId w:val="144"/>
        </w:numPr>
        <w:ind w:left="1276" w:hanging="567"/>
        <w:contextualSpacing w:val="0"/>
        <w:jc w:val="both"/>
        <w:rPr>
          <w:lang w:val="es-CL"/>
        </w:rPr>
      </w:pPr>
      <w:r>
        <w:rPr>
          <w:lang w:val="es-CL"/>
        </w:rPr>
        <w:t>En el caso de existir avances ejecutadas pendientes de certificación por parte del REGULADOR por medio del CAMPI, siempre que se cumplan con los requisitos establecidos en el presente Contrato, con la excepción de los valores mínimos establecidos en el numeral 5 del Apéndice 5.1 del Anexo XI, los cuales no serán de aplicación, el REGULADOR emitirá el (los) Reporte(s) de Revisión que corresponda(n) y el (los) CAMPI correspondiente(s). Con ello se otorgará al CONCESIONARIO el derecho de cobro de los y/o FPAMPI que estén pendientes, de conformidad con lo establecido en el presente Contrato.</w:t>
      </w:r>
    </w:p>
    <w:p w14:paraId="2C6D61AF" w14:textId="77777777" w:rsidR="004412F1" w:rsidRDefault="004412F1">
      <w:pPr>
        <w:pStyle w:val="Prrafodelista"/>
        <w:rPr>
          <w:lang w:val="es-CL"/>
        </w:rPr>
      </w:pPr>
    </w:p>
    <w:p w14:paraId="7B49452C" w14:textId="77777777" w:rsidR="004412F1" w:rsidRDefault="005A12A3">
      <w:pPr>
        <w:pStyle w:val="Prrafodelista"/>
        <w:numPr>
          <w:ilvl w:val="0"/>
          <w:numId w:val="144"/>
        </w:numPr>
        <w:ind w:left="1276" w:hanging="567"/>
        <w:contextualSpacing w:val="0"/>
        <w:jc w:val="both"/>
        <w:rPr>
          <w:lang w:val="es-CL"/>
        </w:rPr>
      </w:pPr>
      <w:r>
        <w:rPr>
          <w:lang w:val="es-CL"/>
        </w:rPr>
        <w:t>En el caso de existir avances ejecutados pendientes de reconocimiento por parte del REGULADOR por medio del PPO, siempre que se cumplan con los requisitos establecidos en el presente Contrato, con la excepción de los valores mínimos establecidos en el numeral 4 del Apéndice 7 del Anexo XI, los cuales no serán de aplicación, el REGULADOR emitirá el (los) Reporte(s) de Revisión que corresponda(n) para el pago respectivo, de conformidad con lo establecido en el presente Contrato.</w:t>
      </w:r>
    </w:p>
    <w:p w14:paraId="44EF9794" w14:textId="77777777" w:rsidR="004412F1" w:rsidRDefault="004412F1">
      <w:pPr>
        <w:pStyle w:val="Prrafodelista"/>
        <w:ind w:left="1276"/>
        <w:contextualSpacing w:val="0"/>
        <w:jc w:val="both"/>
        <w:rPr>
          <w:rFonts w:asciiTheme="minorHAnsi" w:hAnsiTheme="minorHAnsi"/>
          <w:sz w:val="20"/>
          <w:lang w:val="es-CL"/>
        </w:rPr>
      </w:pPr>
    </w:p>
    <w:p w14:paraId="3696E680" w14:textId="77777777" w:rsidR="004412F1" w:rsidRDefault="005A12A3" w:rsidP="008A1CB1">
      <w:pPr>
        <w:numPr>
          <w:ilvl w:val="1"/>
          <w:numId w:val="132"/>
        </w:numPr>
        <w:ind w:left="709"/>
        <w:jc w:val="both"/>
        <w:rPr>
          <w:lang w:val="es-CL"/>
        </w:rPr>
      </w:pPr>
      <w:r>
        <w:rPr>
          <w:lang w:val="es-PE"/>
        </w:rPr>
        <w:t>Si la Caducidad se produce después de aceptado el Mantenimiento Periódico Inicial y Rehabilitación y Mejoramiento y construcción del Evitamiento San Clemente, hasta el final de la Concesión</w:t>
      </w:r>
      <w:r>
        <w:rPr>
          <w:lang w:val="es-CL"/>
        </w:rPr>
        <w:t>.</w:t>
      </w:r>
    </w:p>
    <w:p w14:paraId="56159F41" w14:textId="77777777" w:rsidR="004412F1" w:rsidRDefault="004412F1">
      <w:pPr>
        <w:ind w:left="1134"/>
        <w:jc w:val="both"/>
        <w:rPr>
          <w:sz w:val="20"/>
          <w:lang w:val="es-CL"/>
        </w:rPr>
      </w:pPr>
    </w:p>
    <w:p w14:paraId="168B69E4" w14:textId="77777777" w:rsidR="004412F1" w:rsidRDefault="005A12A3">
      <w:pPr>
        <w:pStyle w:val="Prrafodelista"/>
        <w:numPr>
          <w:ilvl w:val="0"/>
          <w:numId w:val="145"/>
        </w:numPr>
        <w:ind w:left="1276" w:hanging="567"/>
        <w:contextualSpacing w:val="0"/>
        <w:jc w:val="both"/>
        <w:rPr>
          <w:lang w:val="es-CL"/>
        </w:rPr>
      </w:pPr>
      <w:r>
        <w:rPr>
          <w:lang w:val="es-CL"/>
        </w:rPr>
        <w:t>Se cancelará al CONCESIONARIO la RPMO pendiente de pago, proporcional a la fracción del trimestre transcurrido desde el último pago trimestral de la RPMO hasta la fecha en la que se declara el fin de la concesión por la Parte que la invoca.</w:t>
      </w:r>
    </w:p>
    <w:p w14:paraId="7D6A0B2B" w14:textId="77777777" w:rsidR="004412F1" w:rsidRDefault="004412F1">
      <w:pPr>
        <w:pStyle w:val="Prrafodelista"/>
        <w:ind w:left="1276"/>
        <w:contextualSpacing w:val="0"/>
        <w:jc w:val="both"/>
        <w:rPr>
          <w:lang w:val="es-CL"/>
        </w:rPr>
      </w:pPr>
    </w:p>
    <w:p w14:paraId="683B6B6D" w14:textId="77777777" w:rsidR="004412F1" w:rsidRDefault="005A12A3">
      <w:pPr>
        <w:pStyle w:val="Prrafodelista"/>
        <w:numPr>
          <w:ilvl w:val="0"/>
          <w:numId w:val="145"/>
        </w:numPr>
        <w:ind w:left="1276" w:hanging="567"/>
        <w:contextualSpacing w:val="0"/>
        <w:jc w:val="both"/>
        <w:rPr>
          <w:lang w:val="es-CL"/>
        </w:rPr>
      </w:pPr>
      <w:r>
        <w:rPr>
          <w:lang w:val="es-CL"/>
        </w:rPr>
        <w:t xml:space="preserve">El CONCEDENTE deberá pagar y continuar pagando los RPI-CAO y FPAMPI correspondientes a los CAO y CAMPI emitidos, así como los PPO pendientes de pago de conformidad con el Anexo XI. </w:t>
      </w:r>
    </w:p>
    <w:p w14:paraId="4A9529B6" w14:textId="77777777" w:rsidR="004412F1" w:rsidRDefault="004412F1">
      <w:pPr>
        <w:ind w:left="709"/>
        <w:jc w:val="both"/>
        <w:rPr>
          <w:sz w:val="20"/>
          <w:lang w:val="es-CL"/>
        </w:rPr>
      </w:pPr>
    </w:p>
    <w:p w14:paraId="576E0149" w14:textId="77777777" w:rsidR="004412F1" w:rsidRDefault="005A12A3">
      <w:pPr>
        <w:numPr>
          <w:ilvl w:val="1"/>
          <w:numId w:val="132"/>
        </w:numPr>
        <w:ind w:left="709"/>
        <w:jc w:val="both"/>
        <w:rPr>
          <w:lang w:val="es-PE"/>
        </w:rPr>
      </w:pPr>
      <w:bookmarkStart w:id="2497" w:name="_Ref412629118"/>
      <w:r>
        <w:rPr>
          <w:lang w:val="es-PE"/>
        </w:rPr>
        <w:t>Dichas obligaciones serán pagadas por el CONCEDENTE con recursos del Fideicomiso de Administración mientras tenga disponibilidad y posteriormente presupuestadas tomando en cuenta las disposiciones de las Leyes anuales de presupuesto, así como la Ley N° 28411 – Ley General del Sistema Nacional de Presupuesto.</w:t>
      </w:r>
      <w:bookmarkEnd w:id="2497"/>
    </w:p>
    <w:bookmarkEnd w:id="2496"/>
    <w:p w14:paraId="32342304" w14:textId="77777777" w:rsidR="004412F1" w:rsidRDefault="004412F1">
      <w:pPr>
        <w:jc w:val="both"/>
        <w:rPr>
          <w:color w:val="000000"/>
          <w:lang w:val="es-PE"/>
        </w:rPr>
      </w:pPr>
    </w:p>
    <w:p w14:paraId="15300D99" w14:textId="77777777" w:rsidR="004412F1" w:rsidRDefault="005A12A3">
      <w:pPr>
        <w:pStyle w:val="Ttulo1"/>
        <w:jc w:val="both"/>
        <w:rPr>
          <w:lang w:val="es-PE"/>
        </w:rPr>
      </w:pPr>
      <w:bookmarkStart w:id="2498" w:name="_3kuv7i6"/>
      <w:bookmarkStart w:id="2499" w:name="_Toc139294812"/>
      <w:bookmarkStart w:id="2500" w:name="_Toc140089411"/>
      <w:bookmarkStart w:id="2501" w:name="_Toc468837709"/>
      <w:bookmarkStart w:id="2502" w:name="_Toc131329421"/>
      <w:bookmarkStart w:id="2503" w:name="_Toc94328608"/>
      <w:bookmarkStart w:id="2504" w:name="_Toc131329189"/>
      <w:bookmarkStart w:id="2505" w:name="_Toc102405399"/>
      <w:bookmarkStart w:id="2506" w:name="_Toc94329124"/>
      <w:bookmarkStart w:id="2507" w:name="_Toc131330008"/>
      <w:bookmarkStart w:id="2508" w:name="_Toc94329370"/>
      <w:bookmarkStart w:id="2509" w:name="_Toc94328868"/>
      <w:bookmarkStart w:id="2510" w:name="_Toc94330243"/>
      <w:bookmarkStart w:id="2511" w:name="_Toc131328037"/>
      <w:bookmarkStart w:id="2512" w:name="_Toc94337930"/>
      <w:bookmarkStart w:id="2513" w:name="_Toc131332095"/>
      <w:bookmarkStart w:id="2514" w:name="_Toc131328853"/>
      <w:bookmarkStart w:id="2515" w:name="_Toc131333016"/>
      <w:bookmarkStart w:id="2516" w:name="_Toc94337699"/>
      <w:bookmarkStart w:id="2517" w:name="_Toc94329616"/>
      <w:bookmarkEnd w:id="2498"/>
      <w:r>
        <w:rPr>
          <w:lang w:val="es-PE"/>
        </w:rPr>
        <w:t>CAPÍTULO XVIII: SUSPENSIÓN DE LAS OBLIGACIONES</w:t>
      </w:r>
      <w:bookmarkEnd w:id="2499"/>
      <w:bookmarkEnd w:id="2500"/>
      <w:r>
        <w:rPr>
          <w:lang w:val="es-PE"/>
        </w:rPr>
        <w:t xml:space="preserve"> </w:t>
      </w:r>
      <w:bookmarkEnd w:id="2501"/>
    </w:p>
    <w:p w14:paraId="6F866272" w14:textId="77777777" w:rsidR="004412F1" w:rsidRDefault="004412F1">
      <w:pPr>
        <w:rPr>
          <w:sz w:val="16"/>
          <w:lang w:val="es-PE"/>
        </w:rPr>
      </w:pPr>
    </w:p>
    <w:p w14:paraId="117BB4A4" w14:textId="77777777" w:rsidR="004412F1" w:rsidRDefault="005A12A3">
      <w:pPr>
        <w:numPr>
          <w:ilvl w:val="1"/>
          <w:numId w:val="146"/>
        </w:numPr>
        <w:ind w:left="709" w:hanging="709"/>
        <w:jc w:val="both"/>
        <w:rPr>
          <w:color w:val="000000"/>
          <w:lang w:val="es-PE"/>
        </w:rPr>
      </w:pPr>
      <w:r>
        <w:rPr>
          <w:color w:val="000000"/>
          <w:lang w:val="es-PE"/>
        </w:rPr>
        <w:t xml:space="preserve">Para fines de este Contrato, existirá una situación de suspensión de obligaciones siempre que se produzca alguno de los siguientes eventos, por los cuales no se reconocerá perjuicio económico y financiero producto de la suspensión:  </w:t>
      </w:r>
    </w:p>
    <w:p w14:paraId="51CDA98E" w14:textId="77777777" w:rsidR="004412F1" w:rsidRDefault="004412F1">
      <w:pPr>
        <w:ind w:left="720"/>
        <w:jc w:val="both"/>
        <w:rPr>
          <w:lang w:val="es-PE"/>
        </w:rPr>
      </w:pPr>
    </w:p>
    <w:p w14:paraId="59EE8C58" w14:textId="77777777" w:rsidR="004412F1" w:rsidRDefault="005A12A3">
      <w:pPr>
        <w:numPr>
          <w:ilvl w:val="0"/>
          <w:numId w:val="147"/>
        </w:numPr>
        <w:ind w:left="1985" w:hanging="425"/>
        <w:jc w:val="both"/>
        <w:rPr>
          <w:lang w:val="es-PE"/>
        </w:rPr>
      </w:pPr>
      <w:bookmarkStart w:id="2518" w:name="_2005hpz"/>
      <w:bookmarkEnd w:id="2518"/>
      <w:r>
        <w:rPr>
          <w:lang w:val="es-PE"/>
        </w:rPr>
        <w:t xml:space="preserve">Fuerza mayor o caso fortuito, que afecte el cumplimiento de una obligación, </w:t>
      </w:r>
      <w:proofErr w:type="gramStart"/>
      <w:r>
        <w:rPr>
          <w:lang w:val="es-PE"/>
        </w:rPr>
        <w:t>de acuerdo a</w:t>
      </w:r>
      <w:proofErr w:type="gramEnd"/>
      <w:r>
        <w:rPr>
          <w:lang w:val="es-PE"/>
        </w:rPr>
        <w:t xml:space="preserve"> lo señalado en el CAPÍTULO XVI. </w:t>
      </w:r>
    </w:p>
    <w:p w14:paraId="2F8AEB0E" w14:textId="77777777" w:rsidR="004412F1" w:rsidRDefault="005A12A3">
      <w:pPr>
        <w:numPr>
          <w:ilvl w:val="0"/>
          <w:numId w:val="147"/>
        </w:numPr>
        <w:ind w:left="1985" w:hanging="425"/>
        <w:jc w:val="both"/>
      </w:pPr>
      <w:bookmarkStart w:id="2519" w:name="_4jzt0ds"/>
      <w:bookmarkStart w:id="2520" w:name="_Ref272506184"/>
      <w:bookmarkEnd w:id="2519"/>
      <w:r>
        <w:rPr>
          <w:lang w:val="es-PE"/>
        </w:rPr>
        <w:t>Acuerdo entre las Partes, derivado de circunstancias distintas a las referidas en el Literal precedente, y siempre que no sean atribuibles al CONCESIONARIO, en cuyo caso será necesario contar con la previa opinión del REGULADOR</w:t>
      </w:r>
      <w:bookmarkEnd w:id="2520"/>
      <w:r>
        <w:rPr>
          <w:lang w:val="es-PE"/>
        </w:rPr>
        <w:t xml:space="preserve">, la cual deberá ser emitida en un plazo máximo de diez (10) Días. </w:t>
      </w:r>
      <w:r>
        <w:t xml:space="preserve">Dicho acuerdo deberá constar en un acta. </w:t>
      </w:r>
    </w:p>
    <w:p w14:paraId="7F683ED1" w14:textId="77777777" w:rsidR="004412F1" w:rsidRDefault="005A12A3">
      <w:pPr>
        <w:numPr>
          <w:ilvl w:val="0"/>
          <w:numId w:val="147"/>
        </w:numPr>
        <w:ind w:left="1985" w:hanging="425"/>
        <w:jc w:val="both"/>
        <w:rPr>
          <w:lang w:val="es-PE"/>
        </w:rPr>
      </w:pPr>
      <w:r>
        <w:rPr>
          <w:lang w:val="es-PE"/>
        </w:rPr>
        <w:t>Los demás casos expresamente previstos en el presente Contrato.</w:t>
      </w:r>
    </w:p>
    <w:p w14:paraId="5D3EC3BF" w14:textId="77777777" w:rsidR="004412F1" w:rsidRDefault="004412F1">
      <w:pPr>
        <w:ind w:left="720"/>
        <w:jc w:val="both"/>
        <w:rPr>
          <w:lang w:val="es-PE"/>
        </w:rPr>
      </w:pPr>
    </w:p>
    <w:p w14:paraId="4BE85EE9" w14:textId="77777777" w:rsidR="004412F1" w:rsidRDefault="005A12A3">
      <w:pPr>
        <w:numPr>
          <w:ilvl w:val="1"/>
          <w:numId w:val="146"/>
        </w:numPr>
        <w:ind w:left="709" w:hanging="709"/>
        <w:jc w:val="both"/>
        <w:rPr>
          <w:color w:val="000000"/>
          <w:lang w:val="es-PE"/>
        </w:rPr>
      </w:pPr>
      <w:r>
        <w:rPr>
          <w:color w:val="000000"/>
          <w:lang w:val="es-PE"/>
        </w:rPr>
        <w:t>En caso se presentarán situaciones que impidan el cumplimiento de algunas de las obligaciones previstas en el presente Contrato, las Partes podrán solicitar la suspensión temporal de las obligaciones que se hayan visto afectadas, siempre y cuando dichas solicitudes no impliquen la ampliación del plazo de la Concesión y que tales situaciones no se hayan originado por un hecho imputable a la Parte que la solicita.</w:t>
      </w:r>
    </w:p>
    <w:p w14:paraId="2C8DF965" w14:textId="77777777" w:rsidR="004412F1" w:rsidRDefault="004412F1">
      <w:pPr>
        <w:ind w:left="720"/>
        <w:jc w:val="both"/>
        <w:rPr>
          <w:lang w:val="es-PE"/>
        </w:rPr>
      </w:pPr>
    </w:p>
    <w:p w14:paraId="5DA56EFB" w14:textId="77777777" w:rsidR="004412F1" w:rsidRDefault="005A12A3">
      <w:pPr>
        <w:numPr>
          <w:ilvl w:val="1"/>
          <w:numId w:val="146"/>
        </w:numPr>
        <w:ind w:left="709" w:hanging="709"/>
        <w:jc w:val="both"/>
        <w:rPr>
          <w:color w:val="000000"/>
          <w:lang w:val="es-PE"/>
        </w:rPr>
      </w:pPr>
      <w:r>
        <w:rPr>
          <w:color w:val="000000"/>
          <w:lang w:val="es-PE"/>
        </w:rPr>
        <w:t>Las solicitudes de suspensión del plazo de las obligaciones que se vean afectadas deberán estar acompañadas del debido sustento, conforme al procedimiento contemplado en el presente CAPÍTULO.</w:t>
      </w:r>
    </w:p>
    <w:p w14:paraId="2E9F847A" w14:textId="77777777" w:rsidR="004412F1" w:rsidRDefault="004412F1">
      <w:pPr>
        <w:ind w:left="709"/>
        <w:jc w:val="both"/>
        <w:rPr>
          <w:lang w:val="es-PE"/>
        </w:rPr>
      </w:pPr>
    </w:p>
    <w:p w14:paraId="38AA0860" w14:textId="77777777" w:rsidR="004412F1" w:rsidRDefault="005A12A3" w:rsidP="00E21796">
      <w:pPr>
        <w:pStyle w:val="Ttulo2"/>
        <w:ind w:left="0"/>
        <w:rPr>
          <w:rFonts w:ascii="Arial" w:eastAsia="Arial" w:hAnsi="Arial"/>
          <w:u w:val="none"/>
          <w:lang w:val="es-PE"/>
        </w:rPr>
      </w:pPr>
      <w:bookmarkStart w:id="2521" w:name="_2z53all" w:colFirst="0" w:colLast="0"/>
      <w:bookmarkStart w:id="2522" w:name="_Toc139294813"/>
      <w:bookmarkStart w:id="2523" w:name="_Toc468837710"/>
      <w:bookmarkStart w:id="2524" w:name="_Toc140089412"/>
      <w:bookmarkEnd w:id="2521"/>
      <w:r w:rsidRPr="00E21796">
        <w:rPr>
          <w:rFonts w:ascii="Arial" w:eastAsia="Arial" w:hAnsi="Arial" w:cs="Arial"/>
          <w:b/>
          <w:bCs/>
          <w:u w:val="none"/>
          <w:lang w:val="es-PE"/>
        </w:rPr>
        <w:t>PROCEDIMIENTO</w:t>
      </w:r>
      <w:r>
        <w:rPr>
          <w:rFonts w:ascii="Arial" w:eastAsia="Arial" w:hAnsi="Arial"/>
          <w:b/>
          <w:u w:val="none"/>
          <w:lang w:val="es-PE"/>
        </w:rPr>
        <w:t xml:space="preserve"> PARA LA DECLARACIÓN DE SUSPENSIÓN</w:t>
      </w:r>
      <w:bookmarkEnd w:id="2522"/>
      <w:bookmarkEnd w:id="2523"/>
      <w:bookmarkEnd w:id="2524"/>
    </w:p>
    <w:p w14:paraId="6E100C5C" w14:textId="77777777" w:rsidR="004412F1" w:rsidRDefault="004412F1">
      <w:pPr>
        <w:jc w:val="both"/>
        <w:rPr>
          <w:lang w:val="es-PE"/>
        </w:rPr>
      </w:pPr>
    </w:p>
    <w:p w14:paraId="78B71C2E" w14:textId="77777777" w:rsidR="004412F1" w:rsidRDefault="005A12A3">
      <w:pPr>
        <w:numPr>
          <w:ilvl w:val="1"/>
          <w:numId w:val="146"/>
        </w:numPr>
        <w:ind w:left="709" w:hanging="709"/>
        <w:jc w:val="both"/>
        <w:rPr>
          <w:rFonts w:eastAsia="Times New Roman"/>
          <w:bCs/>
          <w:szCs w:val="18"/>
          <w:lang w:val="es-ES" w:eastAsia="es-ES"/>
        </w:rPr>
      </w:pPr>
      <w:r>
        <w:rPr>
          <w:lang w:val="es-PE"/>
        </w:rPr>
        <w:t xml:space="preserve">A excepción de la causal mencionada en el Literal </w:t>
      </w:r>
      <w:r>
        <w:rPr>
          <w:color w:val="000000"/>
          <w:shd w:val="clear" w:color="auto" w:fill="E1E3E6"/>
          <w:lang w:val="es-PE"/>
        </w:rPr>
        <w:t>b)</w:t>
      </w:r>
      <w:r>
        <w:rPr>
          <w:lang w:val="es-PE"/>
        </w:rPr>
        <w:t xml:space="preserve"> de la Cláusula </w:t>
      </w:r>
      <w:r>
        <w:rPr>
          <w:color w:val="000000"/>
          <w:shd w:val="clear" w:color="auto" w:fill="E1E3E6"/>
          <w:lang w:val="es-PE"/>
        </w:rPr>
        <w:t>18.1</w:t>
      </w:r>
      <w:r>
        <w:rPr>
          <w:lang w:val="es-PE"/>
        </w:rPr>
        <w:t>, si una de las Partes no puede cumplir las obligaciones que se le imponen por el presente Contrato, debido a alguno de los eventos señalados en los literales a) y c) de la Cláusula 18.1, tal Parte notificará a la otra Parte y al REGULADOR, por escrito, dentro de los siete (7) Días de producido el evento, informando como mínimo lo siguiente:</w:t>
      </w:r>
    </w:p>
    <w:p w14:paraId="23C10D2B" w14:textId="77777777" w:rsidR="004412F1" w:rsidRDefault="004412F1">
      <w:pPr>
        <w:tabs>
          <w:tab w:val="left" w:pos="851"/>
        </w:tabs>
        <w:ind w:left="709" w:hanging="709"/>
        <w:jc w:val="both"/>
        <w:rPr>
          <w:lang w:val="es-PE"/>
        </w:rPr>
      </w:pPr>
    </w:p>
    <w:p w14:paraId="4022F939" w14:textId="77777777" w:rsidR="004412F1" w:rsidRDefault="005A12A3">
      <w:pPr>
        <w:numPr>
          <w:ilvl w:val="5"/>
          <w:numId w:val="148"/>
        </w:numPr>
        <w:tabs>
          <w:tab w:val="left" w:pos="709"/>
        </w:tabs>
        <w:ind w:left="1134" w:hanging="425"/>
        <w:jc w:val="both"/>
        <w:rPr>
          <w:color w:val="000000"/>
          <w:lang w:val="es-PE"/>
        </w:rPr>
      </w:pPr>
      <w:r>
        <w:rPr>
          <w:color w:val="000000"/>
          <w:lang w:val="es-PE"/>
        </w:rPr>
        <w:t xml:space="preserve">Los hechos que constituyen dicho evento, dentro de las siguientes setenta y dos (72) horas de haber ocurrido o haberse enterado de este, según sea el caso; </w:t>
      </w:r>
    </w:p>
    <w:p w14:paraId="18BFC7F1" w14:textId="77777777" w:rsidR="004412F1" w:rsidRDefault="005A12A3">
      <w:pPr>
        <w:numPr>
          <w:ilvl w:val="5"/>
          <w:numId w:val="148"/>
        </w:numPr>
        <w:tabs>
          <w:tab w:val="left" w:pos="709"/>
        </w:tabs>
        <w:ind w:left="1134" w:hanging="425"/>
        <w:jc w:val="both"/>
        <w:rPr>
          <w:color w:val="000000"/>
          <w:lang w:val="es-PE"/>
        </w:rPr>
      </w:pPr>
      <w:r>
        <w:rPr>
          <w:color w:val="000000"/>
          <w:lang w:val="es-PE"/>
        </w:rPr>
        <w:t xml:space="preserve">Las razones del incumplimiento, detalles de tal evento, la obligación o condición afectada, el periodo estimado de restricción total o parcial de sus actividades y el grado de impacto previsto; y, </w:t>
      </w:r>
    </w:p>
    <w:p w14:paraId="10661FED" w14:textId="77777777" w:rsidR="004412F1" w:rsidRDefault="005A12A3">
      <w:pPr>
        <w:numPr>
          <w:ilvl w:val="5"/>
          <w:numId w:val="148"/>
        </w:numPr>
        <w:tabs>
          <w:tab w:val="left" w:pos="709"/>
        </w:tabs>
        <w:ind w:left="1134" w:hanging="425"/>
        <w:jc w:val="both"/>
        <w:rPr>
          <w:color w:val="000000"/>
          <w:lang w:val="es-PE"/>
        </w:rPr>
      </w:pPr>
      <w:r>
        <w:rPr>
          <w:color w:val="000000"/>
          <w:lang w:val="es-PE"/>
        </w:rPr>
        <w:t>Las medidas de mitigación adoptadas, propuesta de régimen de seguros (la cual podrá incluir medidas como el endose o transferencia a favor del CONCEDENTE de las pólizas de seguro que hayan sido contratadas por el CONCESIONARIO), de garantías contractuales y de otras obligaciones cuyo cumplimiento no se vea perjudicado directamente por el evento</w:t>
      </w:r>
      <w:r>
        <w:rPr>
          <w:rFonts w:eastAsia="Times New Roman"/>
          <w:bCs/>
          <w:color w:val="000000"/>
          <w:szCs w:val="18"/>
          <w:lang w:val="es-ES" w:eastAsia="es-ES"/>
        </w:rPr>
        <w:t>.</w:t>
      </w:r>
    </w:p>
    <w:p w14:paraId="38E3837E" w14:textId="77777777" w:rsidR="004412F1" w:rsidRDefault="004412F1">
      <w:pPr>
        <w:jc w:val="both"/>
        <w:rPr>
          <w:lang w:val="es-PE"/>
        </w:rPr>
      </w:pPr>
    </w:p>
    <w:p w14:paraId="0B383BB0" w14:textId="77777777" w:rsidR="004412F1" w:rsidRDefault="005A12A3">
      <w:pPr>
        <w:tabs>
          <w:tab w:val="left" w:pos="851"/>
        </w:tabs>
        <w:ind w:left="709" w:hanging="709"/>
        <w:jc w:val="both"/>
        <w:rPr>
          <w:lang w:val="es-PE"/>
        </w:rPr>
      </w:pPr>
      <w:r>
        <w:rPr>
          <w:lang w:val="es-PE"/>
        </w:rPr>
        <w:tab/>
        <w:t>Adicionalmente, la Parte que se vea afectada por el evento deberá mantener a la otra Parte informada del desarrollo de este.</w:t>
      </w:r>
    </w:p>
    <w:p w14:paraId="07568A49" w14:textId="77777777" w:rsidR="004412F1" w:rsidRDefault="004412F1">
      <w:pPr>
        <w:ind w:left="718"/>
        <w:rPr>
          <w:lang w:val="es-PE"/>
        </w:rPr>
      </w:pPr>
    </w:p>
    <w:p w14:paraId="1E03C09A" w14:textId="77777777" w:rsidR="004412F1" w:rsidRDefault="005A12A3">
      <w:pPr>
        <w:ind w:left="709"/>
        <w:jc w:val="both"/>
        <w:rPr>
          <w:lang w:val="es-PE"/>
        </w:rPr>
      </w:pPr>
      <w:r>
        <w:rPr>
          <w:lang w:val="es-PE"/>
        </w:rPr>
        <w:t xml:space="preserve">En un plazo no mayor a siete (7) Días contados desde el Día siguiente de la fecha de comunicación de la solicitud de suspensión, la Parte que la haya recibido deberá remitir su opinión a la otra Parte y al REGULADOR. Por su parte, el REGULADOR deberá emitir y notificar su opinión técnica con la calificación del evento a las Partes, en un plazo no mayor a quince (15) Días contados desde el Día siguiente de la recepción de la opinión de la otra Parte. En caso el Regulador no se pronuncie en el plazo señalado, se entenderá que el Regulador emite un pronunciamiento técnico desfavorable, recibida la opinión del Regulador o vencido el plazo para su pronunciamiento, el CONCEDENTE tiene un plazo no mayor a quince (15) Días para emitir pronunciamiento y declarar la suspensión; en caso no se pronuncie dentro del plazo, se entenderá que el mismo es desfavorable. </w:t>
      </w:r>
    </w:p>
    <w:p w14:paraId="1100A2A0" w14:textId="77777777" w:rsidR="004412F1" w:rsidRDefault="004412F1">
      <w:pPr>
        <w:ind w:left="709" w:hanging="709"/>
        <w:jc w:val="both"/>
        <w:rPr>
          <w:lang w:val="es-PE"/>
        </w:rPr>
      </w:pPr>
    </w:p>
    <w:p w14:paraId="606B7CF6" w14:textId="77777777" w:rsidR="004412F1" w:rsidRDefault="005A12A3">
      <w:pPr>
        <w:numPr>
          <w:ilvl w:val="1"/>
          <w:numId w:val="146"/>
        </w:numPr>
        <w:ind w:left="709" w:hanging="709"/>
        <w:jc w:val="both"/>
        <w:rPr>
          <w:color w:val="000000"/>
          <w:lang w:val="es-PE"/>
        </w:rPr>
      </w:pPr>
      <w:r>
        <w:rPr>
          <w:color w:val="000000"/>
          <w:lang w:val="es-PE"/>
        </w:rPr>
        <w:t xml:space="preserve">Corresponderá al CONCEDENTE declarar la suspensión de la(s) obligación(es) y el periodo de suspensión respectivo, de conformidad con las Leyes y Disposiciones Aplicables.  Siempre que se haya declarado la suspensión, si la obligación(es) resulta(n) afectada(s) por un evento de Fuerza Mayor o Caso </w:t>
      </w:r>
      <w:r>
        <w:rPr>
          <w:color w:val="000000"/>
          <w:lang w:val="es-PE"/>
        </w:rPr>
        <w:lastRenderedPageBreak/>
        <w:t xml:space="preserve">Fortuito, quedará automáticamente suspendidas desde la ocurrencia del evento de Fuerza Mayor o Caso Fortuito y mientras dure dicho evento.  </w:t>
      </w:r>
    </w:p>
    <w:p w14:paraId="16A5C2FC" w14:textId="77777777" w:rsidR="004412F1" w:rsidRDefault="004412F1">
      <w:pPr>
        <w:ind w:left="708"/>
        <w:jc w:val="both"/>
        <w:rPr>
          <w:b/>
          <w:lang w:val="es-PE"/>
        </w:rPr>
      </w:pPr>
      <w:bookmarkStart w:id="2525" w:name="_1eadkte" w:colFirst="0" w:colLast="0"/>
      <w:bookmarkEnd w:id="2525"/>
    </w:p>
    <w:p w14:paraId="7035FA50" w14:textId="77777777" w:rsidR="004412F1" w:rsidRDefault="005A12A3">
      <w:pPr>
        <w:pStyle w:val="Ttulo2"/>
        <w:ind w:left="0"/>
        <w:rPr>
          <w:rFonts w:ascii="Arial" w:eastAsia="Arial" w:hAnsi="Arial" w:cs="Arial"/>
          <w:b/>
          <w:bCs/>
          <w:u w:val="none"/>
          <w:lang w:val="es-PE"/>
        </w:rPr>
      </w:pPr>
      <w:bookmarkStart w:id="2526" w:name="_3ya13h7"/>
      <w:bookmarkStart w:id="2527" w:name="_EFECTOS_DE_LA_"/>
      <w:bookmarkStart w:id="2528" w:name="_Toc139294814"/>
      <w:bookmarkStart w:id="2529" w:name="_Toc468837711"/>
      <w:bookmarkStart w:id="2530" w:name="_Toc140089413"/>
      <w:bookmarkEnd w:id="2526"/>
      <w:bookmarkEnd w:id="2527"/>
      <w:r>
        <w:rPr>
          <w:rFonts w:ascii="Arial" w:eastAsia="Arial" w:hAnsi="Arial" w:cs="Arial"/>
          <w:b/>
          <w:bCs/>
          <w:u w:val="none"/>
          <w:lang w:val="es-PE"/>
        </w:rPr>
        <w:t>EFECTOS DE LA DECLARACIÓN DE SUSPENSIÓN</w:t>
      </w:r>
      <w:bookmarkEnd w:id="2528"/>
      <w:bookmarkEnd w:id="2529"/>
      <w:bookmarkEnd w:id="2530"/>
    </w:p>
    <w:p w14:paraId="61D0B4D0" w14:textId="77777777" w:rsidR="004412F1" w:rsidRDefault="004412F1">
      <w:pPr>
        <w:jc w:val="both"/>
        <w:rPr>
          <w:lang w:val="es-PE"/>
        </w:rPr>
      </w:pPr>
    </w:p>
    <w:p w14:paraId="1EB5832E" w14:textId="77777777" w:rsidR="004412F1" w:rsidRDefault="005A12A3">
      <w:pPr>
        <w:numPr>
          <w:ilvl w:val="1"/>
          <w:numId w:val="146"/>
        </w:numPr>
        <w:ind w:left="709" w:hanging="709"/>
        <w:jc w:val="both"/>
        <w:rPr>
          <w:color w:val="000000"/>
          <w:lang w:val="es-PE"/>
        </w:rPr>
      </w:pPr>
      <w:bookmarkStart w:id="2531" w:name="_2dfbdp0" w:colFirst="0" w:colLast="0"/>
      <w:bookmarkEnd w:id="2531"/>
      <w:r>
        <w:rPr>
          <w:color w:val="000000"/>
          <w:lang w:val="es-PE"/>
        </w:rPr>
        <w:t xml:space="preserve">El deber del afectado de cumplir las obligaciones del Contrato será temporalmente suspendido durante el período que se haya aprobado, por la imposibilidad producida por cualquiera de las causales indicadas en las cláusulas precedentes. </w:t>
      </w:r>
    </w:p>
    <w:p w14:paraId="3476399A" w14:textId="77777777" w:rsidR="004412F1" w:rsidRDefault="004412F1">
      <w:pPr>
        <w:ind w:left="708"/>
        <w:jc w:val="both"/>
        <w:rPr>
          <w:lang w:val="es-PE"/>
        </w:rPr>
      </w:pPr>
      <w:bookmarkStart w:id="2532" w:name="_sklnwt" w:colFirst="0" w:colLast="0"/>
      <w:bookmarkStart w:id="2533" w:name="_Toc82860043"/>
      <w:bookmarkStart w:id="2534" w:name="_Toc82859837"/>
      <w:bookmarkStart w:id="2535" w:name="_Toc82858982"/>
      <w:bookmarkStart w:id="2536" w:name="_Toc82860248"/>
      <w:bookmarkStart w:id="2537" w:name="_Toc82858761"/>
      <w:bookmarkStart w:id="2538" w:name="_Toc82859417"/>
      <w:bookmarkStart w:id="2539" w:name="_Toc82859630"/>
      <w:bookmarkStart w:id="2540" w:name="_Toc82859201"/>
      <w:bookmarkEnd w:id="2532"/>
    </w:p>
    <w:p w14:paraId="368CA422" w14:textId="77777777" w:rsidR="004412F1" w:rsidRDefault="005A12A3">
      <w:pPr>
        <w:ind w:left="708"/>
        <w:jc w:val="both"/>
        <w:rPr>
          <w:lang w:val="es-PE"/>
        </w:rPr>
      </w:pPr>
      <w:r>
        <w:rPr>
          <w:lang w:val="es-PE"/>
        </w:rPr>
        <w:t xml:space="preserve">Ello sin perjuicio de la obligación del CONCESIONARIO de restablecer la Transitabilidad, en el menor tiempo posible una vez que cese la causal que dio origen a la suspensión. </w:t>
      </w:r>
    </w:p>
    <w:p w14:paraId="4C81885D" w14:textId="77777777" w:rsidR="004412F1" w:rsidRDefault="004412F1">
      <w:pPr>
        <w:ind w:left="708"/>
        <w:jc w:val="both"/>
        <w:rPr>
          <w:lang w:val="es-PE"/>
        </w:rPr>
      </w:pPr>
    </w:p>
    <w:p w14:paraId="205933B9" w14:textId="77777777" w:rsidR="004412F1" w:rsidRDefault="005A12A3">
      <w:pPr>
        <w:numPr>
          <w:ilvl w:val="1"/>
          <w:numId w:val="146"/>
        </w:numPr>
        <w:ind w:left="709" w:hanging="709"/>
        <w:jc w:val="both"/>
        <w:rPr>
          <w:color w:val="000000"/>
          <w:lang w:val="es-PE"/>
        </w:rPr>
      </w:pPr>
      <w:r>
        <w:rPr>
          <w:color w:val="000000"/>
          <w:lang w:val="es-PE"/>
        </w:rPr>
        <w:t>Una vez que cese el evento que generó la suspensión, la Parte afectada deberá notificar tal hecho, en un plazo máximo de un (01) Día a la otra Parte y al REGULADOR, el cual emitirá su opinión respecto de la reanudación de las obligaciones suspendidas y la comunicará al CONCEDENTE, en un plazo máximo de dos (02) Días. Con la opinión del Regulador, en un plazo máximo de dos (02) Días, el CONCEDENTE declarará el levantamiento de la suspensión y dispondrá la reanudación inmediata de las obligaciones, debiendo, a partir de entonces, reasumirse el cumplimiento de las obligaciones suspendidas del Contrato. La reanudación de las obligaciones quedará plasmada en el acta correspondiente del CONCEDENTE, en la que se dejará constancia de la fecha de reinicio, el plazo de duración de la suspensión, entre otras consideraciones.</w:t>
      </w:r>
    </w:p>
    <w:p w14:paraId="1922152E" w14:textId="77777777" w:rsidR="004412F1" w:rsidRDefault="004412F1">
      <w:pPr>
        <w:ind w:left="709"/>
        <w:jc w:val="both"/>
        <w:rPr>
          <w:color w:val="000000"/>
          <w:lang w:val="es-PE"/>
        </w:rPr>
      </w:pPr>
    </w:p>
    <w:p w14:paraId="4B933870" w14:textId="77777777" w:rsidR="004412F1" w:rsidRDefault="005A12A3">
      <w:pPr>
        <w:numPr>
          <w:ilvl w:val="1"/>
          <w:numId w:val="146"/>
        </w:numPr>
        <w:ind w:left="709" w:hanging="709"/>
        <w:jc w:val="both"/>
        <w:rPr>
          <w:color w:val="000000"/>
          <w:lang w:val="es-PE"/>
        </w:rPr>
      </w:pPr>
      <w:r>
        <w:rPr>
          <w:color w:val="000000"/>
          <w:lang w:val="es-PE"/>
        </w:rPr>
        <w:t>La fuerza mayor o caso fortuito no liberará a las Partes del cumplimiento de las obligaciones que no sean suspendidas por dichos eventos, así como tampoco liberará al Concesionario de la aplicación de penalidades, por los incumplimientos debidamente notificados por el REGULADOR con anterioridad a la declaración de suspensión.</w:t>
      </w:r>
      <w:bookmarkEnd w:id="2533"/>
      <w:bookmarkEnd w:id="2534"/>
      <w:bookmarkEnd w:id="2535"/>
      <w:bookmarkEnd w:id="2536"/>
      <w:bookmarkEnd w:id="2537"/>
      <w:bookmarkEnd w:id="2538"/>
      <w:bookmarkEnd w:id="2539"/>
      <w:bookmarkEnd w:id="2540"/>
    </w:p>
    <w:p w14:paraId="69E8F966" w14:textId="77777777" w:rsidR="004412F1" w:rsidRDefault="004412F1">
      <w:pPr>
        <w:jc w:val="both"/>
        <w:rPr>
          <w:lang w:val="es-PE"/>
        </w:rPr>
      </w:pPr>
    </w:p>
    <w:p w14:paraId="29B4C0A8" w14:textId="77777777" w:rsidR="004412F1" w:rsidRDefault="005A12A3">
      <w:pPr>
        <w:numPr>
          <w:ilvl w:val="1"/>
          <w:numId w:val="146"/>
        </w:numPr>
        <w:ind w:left="709" w:hanging="709"/>
        <w:jc w:val="both"/>
        <w:rPr>
          <w:color w:val="000000"/>
          <w:lang w:val="es-PE"/>
        </w:rPr>
      </w:pPr>
      <w:r>
        <w:rPr>
          <w:color w:val="000000"/>
          <w:lang w:val="es-PE"/>
        </w:rPr>
        <w:t>La suspensión de obligaciones no dará derecho al reconocimiento de perjuicio económico o financiero alguno, sino que, una vez el CONCEDENTE declare levantada la suspensión, se reanudarán las obligaciones suspendidas, debiendo las Partes acordar un nuevo cronograma, de ser aplicable, para el cumplimiento de las obligaciones, en el cual se considere un período equivalente al que duró la suspensión.</w:t>
      </w:r>
    </w:p>
    <w:p w14:paraId="164FB783" w14:textId="77777777" w:rsidR="004412F1" w:rsidRDefault="004412F1">
      <w:pPr>
        <w:jc w:val="both"/>
        <w:rPr>
          <w:lang w:val="es-PE"/>
        </w:rPr>
      </w:pPr>
    </w:p>
    <w:p w14:paraId="0B3FE533" w14:textId="77777777" w:rsidR="004412F1" w:rsidRDefault="005A12A3">
      <w:pPr>
        <w:numPr>
          <w:ilvl w:val="1"/>
          <w:numId w:val="146"/>
        </w:numPr>
        <w:ind w:left="709" w:hanging="709"/>
        <w:jc w:val="both"/>
        <w:rPr>
          <w:color w:val="000000"/>
          <w:lang w:val="es-PE"/>
        </w:rPr>
      </w:pPr>
      <w:r>
        <w:rPr>
          <w:color w:val="000000"/>
          <w:lang w:val="es-PE"/>
        </w:rPr>
        <w:t xml:space="preserve">Si durante la vigencia de la Concesión se diera la suspensión de algunas    obligaciones, se mantendrán aquellas que no han sido afectadas por la suspensión. </w:t>
      </w:r>
    </w:p>
    <w:p w14:paraId="2D488961" w14:textId="77777777" w:rsidR="004412F1" w:rsidRDefault="004412F1">
      <w:pPr>
        <w:ind w:left="708"/>
        <w:rPr>
          <w:color w:val="000000"/>
          <w:lang w:val="es-PE"/>
        </w:rPr>
      </w:pPr>
    </w:p>
    <w:p w14:paraId="52CB1C63" w14:textId="77777777" w:rsidR="004412F1" w:rsidRDefault="005A12A3">
      <w:pPr>
        <w:numPr>
          <w:ilvl w:val="1"/>
          <w:numId w:val="146"/>
        </w:numPr>
        <w:ind w:left="709" w:hanging="709"/>
        <w:jc w:val="both"/>
        <w:rPr>
          <w:color w:val="000000"/>
          <w:lang w:val="es-PE"/>
        </w:rPr>
      </w:pPr>
      <w:r>
        <w:rPr>
          <w:color w:val="000000"/>
          <w:lang w:val="es-PE"/>
        </w:rPr>
        <w:t>El incumplimiento de obligaciones producido a consecuencia de los supuestos indicados en la Cláusula 18.1, no será sancionado con las penalidades indicadas en el presente Contrato, conforme a los términos y condiciones previstas. En caso el CONCEDENTE declare improcedente la solicitud de suspensión temporal de las obligaciones, las penalidades correspondientes al CONCESIONARIO serán aplicadas de manera retroactiva.</w:t>
      </w:r>
    </w:p>
    <w:p w14:paraId="57CCD576" w14:textId="77777777" w:rsidR="004412F1" w:rsidRDefault="004412F1">
      <w:pPr>
        <w:tabs>
          <w:tab w:val="left" w:pos="709"/>
        </w:tabs>
        <w:jc w:val="both"/>
        <w:rPr>
          <w:lang w:val="es-PE"/>
        </w:rPr>
      </w:pPr>
    </w:p>
    <w:p w14:paraId="53D39836" w14:textId="77777777" w:rsidR="00524276" w:rsidRDefault="00524276">
      <w:pPr>
        <w:tabs>
          <w:tab w:val="left" w:pos="709"/>
        </w:tabs>
        <w:jc w:val="both"/>
        <w:rPr>
          <w:lang w:val="es-PE"/>
        </w:rPr>
      </w:pPr>
    </w:p>
    <w:p w14:paraId="6825FA1D" w14:textId="77777777" w:rsidR="004412F1" w:rsidRDefault="005A12A3">
      <w:pPr>
        <w:pStyle w:val="Ttulo1"/>
        <w:rPr>
          <w:lang w:val="es-PE"/>
        </w:rPr>
      </w:pPr>
      <w:bookmarkStart w:id="2541" w:name="_3ck96km"/>
      <w:bookmarkStart w:id="2542" w:name="_Toc468837713"/>
      <w:bookmarkStart w:id="2543" w:name="_Toc139294815"/>
      <w:bookmarkStart w:id="2544" w:name="_Toc196630228"/>
      <w:bookmarkStart w:id="2545" w:name="_Toc209499281"/>
      <w:bookmarkStart w:id="2546" w:name="_Toc140089414"/>
      <w:bookmarkStart w:id="2547" w:name="_Toc120419455"/>
      <w:bookmarkStart w:id="2548" w:name="_Toc117079869"/>
      <w:bookmarkEnd w:id="2541"/>
      <w:r>
        <w:rPr>
          <w:lang w:val="es-PE"/>
        </w:rPr>
        <w:t>CAPÍTULO XIX: SOLUCIÓN DE CONTROVERSIAS</w:t>
      </w:r>
      <w:bookmarkEnd w:id="2542"/>
      <w:bookmarkEnd w:id="2543"/>
      <w:bookmarkEnd w:id="2544"/>
      <w:bookmarkEnd w:id="2545"/>
      <w:bookmarkEnd w:id="2546"/>
    </w:p>
    <w:p w14:paraId="13F91A1B" w14:textId="77777777" w:rsidR="004412F1" w:rsidRDefault="004412F1">
      <w:pPr>
        <w:ind w:hanging="964"/>
        <w:jc w:val="both"/>
        <w:rPr>
          <w:lang w:val="es-PE"/>
        </w:rPr>
      </w:pPr>
    </w:p>
    <w:p w14:paraId="566B430B" w14:textId="77777777" w:rsidR="004412F1" w:rsidRDefault="005A12A3">
      <w:pPr>
        <w:pStyle w:val="Ttulo2"/>
        <w:ind w:left="0"/>
        <w:jc w:val="both"/>
        <w:rPr>
          <w:rFonts w:ascii="Arial" w:eastAsia="Arial" w:hAnsi="Arial" w:cs="Arial"/>
          <w:b/>
          <w:bCs/>
          <w:u w:val="none"/>
          <w:lang w:val="es-PE"/>
        </w:rPr>
      </w:pPr>
      <w:bookmarkStart w:id="2549" w:name="_1rpjgsf"/>
      <w:bookmarkStart w:id="2550" w:name="_Toc468837714"/>
      <w:bookmarkStart w:id="2551" w:name="_Toc139294816"/>
      <w:bookmarkStart w:id="2552" w:name="_Toc196630229"/>
      <w:bookmarkStart w:id="2553" w:name="_Toc209499282"/>
      <w:bookmarkStart w:id="2554" w:name="_Toc140089415"/>
      <w:bookmarkEnd w:id="2549"/>
      <w:r>
        <w:rPr>
          <w:rFonts w:ascii="Arial" w:eastAsia="Arial" w:hAnsi="Arial" w:cs="Arial"/>
          <w:b/>
          <w:bCs/>
          <w:u w:val="none"/>
          <w:lang w:val="es-PE"/>
        </w:rPr>
        <w:lastRenderedPageBreak/>
        <w:t>LEY APLICABLE</w:t>
      </w:r>
      <w:bookmarkEnd w:id="2550"/>
      <w:bookmarkEnd w:id="2551"/>
      <w:bookmarkEnd w:id="2552"/>
      <w:bookmarkEnd w:id="2553"/>
      <w:bookmarkEnd w:id="2554"/>
    </w:p>
    <w:p w14:paraId="6BF7D08A" w14:textId="77777777" w:rsidR="004412F1" w:rsidRDefault="004412F1">
      <w:pPr>
        <w:jc w:val="both"/>
        <w:rPr>
          <w:lang w:val="es-PE"/>
        </w:rPr>
      </w:pPr>
    </w:p>
    <w:p w14:paraId="1D082C48" w14:textId="77777777" w:rsidR="004412F1" w:rsidRDefault="005A12A3">
      <w:pPr>
        <w:numPr>
          <w:ilvl w:val="1"/>
          <w:numId w:val="149"/>
        </w:numPr>
        <w:tabs>
          <w:tab w:val="left" w:pos="709"/>
        </w:tabs>
        <w:ind w:left="709" w:hanging="709"/>
        <w:jc w:val="both"/>
        <w:rPr>
          <w:lang w:val="es-PE"/>
        </w:rPr>
      </w:pPr>
      <w:r>
        <w:rPr>
          <w:lang w:val="es-PE"/>
        </w:rPr>
        <w:t>El Contrato se regirá e interpretará de acuerdo con las Leyes y Disposiciones Aplicables. Por tanto, expresa que el contenido, ejecución, conflictos y demás consecuencias que de él se originen, se regirán por dicha legislación, la misma que el CONCESIONARIO declara conocer.</w:t>
      </w:r>
    </w:p>
    <w:p w14:paraId="5D977A3B" w14:textId="77777777" w:rsidR="004412F1" w:rsidRDefault="004412F1">
      <w:pPr>
        <w:jc w:val="both"/>
        <w:rPr>
          <w:lang w:val="es-PE"/>
        </w:rPr>
      </w:pPr>
    </w:p>
    <w:p w14:paraId="17390C7E" w14:textId="77777777" w:rsidR="004412F1" w:rsidRDefault="005A12A3">
      <w:pPr>
        <w:pStyle w:val="Ttulo2"/>
        <w:ind w:left="0"/>
        <w:jc w:val="both"/>
        <w:rPr>
          <w:rFonts w:ascii="Arial" w:eastAsia="Arial" w:hAnsi="Arial" w:cs="Arial"/>
          <w:b/>
          <w:bCs/>
          <w:u w:val="none"/>
        </w:rPr>
      </w:pPr>
      <w:bookmarkStart w:id="2555" w:name="_4bp6zg8"/>
      <w:bookmarkStart w:id="2556" w:name="_Toc139294817"/>
      <w:bookmarkStart w:id="2557" w:name="_Toc209499283"/>
      <w:bookmarkStart w:id="2558" w:name="_Toc196630230"/>
      <w:bookmarkStart w:id="2559" w:name="_Toc468837715"/>
      <w:bookmarkStart w:id="2560" w:name="_Toc140089416"/>
      <w:bookmarkEnd w:id="2555"/>
      <w:r>
        <w:rPr>
          <w:rFonts w:ascii="Arial" w:eastAsia="Arial" w:hAnsi="Arial" w:cs="Arial"/>
          <w:b/>
          <w:bCs/>
          <w:u w:val="none"/>
        </w:rPr>
        <w:t>ÁMBITO DE APLICACIÓN</w:t>
      </w:r>
      <w:bookmarkEnd w:id="2556"/>
      <w:bookmarkEnd w:id="2557"/>
      <w:bookmarkEnd w:id="2558"/>
      <w:bookmarkEnd w:id="2559"/>
      <w:bookmarkEnd w:id="2560"/>
    </w:p>
    <w:p w14:paraId="02A0F633" w14:textId="77777777" w:rsidR="004412F1" w:rsidRDefault="004412F1">
      <w:pPr>
        <w:jc w:val="both"/>
      </w:pPr>
    </w:p>
    <w:p w14:paraId="7411AD62" w14:textId="77777777" w:rsidR="004412F1" w:rsidRDefault="005A12A3">
      <w:pPr>
        <w:numPr>
          <w:ilvl w:val="1"/>
          <w:numId w:val="149"/>
        </w:numPr>
        <w:tabs>
          <w:tab w:val="left" w:pos="709"/>
        </w:tabs>
        <w:ind w:left="709" w:hanging="709"/>
        <w:jc w:val="both"/>
        <w:rPr>
          <w:lang w:val="es-PE"/>
        </w:rPr>
      </w:pPr>
      <w:bookmarkStart w:id="2561" w:name="_2quh9o1"/>
      <w:bookmarkStart w:id="2562" w:name="_Ref467753957"/>
      <w:bookmarkEnd w:id="2561"/>
      <w:r>
        <w:rPr>
          <w:lang w:val="es-PE"/>
        </w:rPr>
        <w:t>El presente CAPÍTULO regula la solución de controversias que se generen entre las Partes durante la Concesión y aquellas relacionadas con la resolución del Contrato y la Caducidad de la Concesión, con excepción de aquellas controversias que surjan respecto de los actos administrativos que emita el REGULADOR en ejercicio de sus funciones, en atención a lo dispuesto por la Ley Nº 27332, la Ley N° 26917, el Decreto Legislativo N° 1362 y sus respectivos Reglamentos</w:t>
      </w:r>
      <w:bookmarkEnd w:id="2562"/>
    </w:p>
    <w:p w14:paraId="653584E8" w14:textId="77777777" w:rsidR="004412F1" w:rsidRDefault="004412F1">
      <w:pPr>
        <w:jc w:val="both"/>
        <w:rPr>
          <w:lang w:val="es-PE"/>
        </w:rPr>
      </w:pPr>
    </w:p>
    <w:p w14:paraId="5138B63C" w14:textId="77777777" w:rsidR="004412F1" w:rsidRDefault="005A12A3">
      <w:pPr>
        <w:widowControl w:val="0"/>
        <w:suppressLineNumbers/>
        <w:suppressAutoHyphens/>
        <w:ind w:left="705"/>
        <w:jc w:val="both"/>
        <w:rPr>
          <w:color w:val="000000"/>
          <w:lang w:val="es-PE"/>
        </w:rPr>
      </w:pPr>
      <w:r>
        <w:rPr>
          <w:color w:val="000000"/>
          <w:lang w:val="es-PE"/>
        </w:rPr>
        <w:t>De conformidad con el Artículo 62 de la Constitución Política del Perú, se reconoce que los conflictos derivados de la relación contractual se solucionarán por el trato directo y en la vía arbitral, según los mecanismos de protección previstos en el Contrato.</w:t>
      </w:r>
    </w:p>
    <w:p w14:paraId="07B4029A" w14:textId="77777777" w:rsidR="004412F1" w:rsidRDefault="004412F1">
      <w:pPr>
        <w:rPr>
          <w:color w:val="000000"/>
          <w:sz w:val="14"/>
          <w:lang w:val="es-PE"/>
        </w:rPr>
      </w:pPr>
    </w:p>
    <w:p w14:paraId="1FD48984" w14:textId="77777777" w:rsidR="004412F1" w:rsidRDefault="005A12A3">
      <w:pPr>
        <w:ind w:left="709"/>
        <w:jc w:val="both"/>
        <w:rPr>
          <w:color w:val="000000"/>
          <w:lang w:val="es-PE"/>
        </w:rPr>
      </w:pPr>
      <w:r>
        <w:rPr>
          <w:color w:val="000000"/>
          <w:lang w:val="es-PE"/>
        </w:rPr>
        <w:t xml:space="preserve">Sin perjuicio de lo establecido en los párrafos anteriores, las Partes reconocen que la impugnación de las decisiones del REGULADOR (emitidas en el marco de sus funciones normativa, reguladora, supervisora, fiscalizadora, sancionadora y de solución de controversias), u otras entidades públicas en el ejercicio de sus competencias administrativas atribuidas por norma expresa, deberán llevarse a cabo conforme al proceso contencioso administrativo. </w:t>
      </w:r>
    </w:p>
    <w:p w14:paraId="37AC4FF1" w14:textId="77777777" w:rsidR="004412F1" w:rsidRDefault="004412F1">
      <w:pPr>
        <w:ind w:left="709"/>
        <w:jc w:val="both"/>
        <w:rPr>
          <w:color w:val="000000"/>
          <w:lang w:val="es-PE"/>
        </w:rPr>
      </w:pPr>
    </w:p>
    <w:p w14:paraId="688392DC" w14:textId="77777777" w:rsidR="004412F1" w:rsidRDefault="005A12A3">
      <w:pPr>
        <w:ind w:left="709"/>
        <w:jc w:val="both"/>
        <w:rPr>
          <w:color w:val="000000"/>
          <w:lang w:val="es-PE"/>
        </w:rPr>
      </w:pPr>
      <w:r>
        <w:rPr>
          <w:color w:val="000000"/>
          <w:lang w:val="es-PE"/>
        </w:rPr>
        <w:t>Tratándose de supuestos distintos a los establecidos en el párrafo precedente, la obligación de los árbitros de permitir la participación del REGULADOR, establecida en el Artículo 56 del Decreto Legislativo N° 1362, es para los procesos arbitrales en los que se discutan decisiones y materias vinculadas a la competencia del REGULADOR. En estos casos, el REGULADOR actuará bajo el principio de autonomía normativa establecido en la Ley N° 27332 y su ley de creación.</w:t>
      </w:r>
    </w:p>
    <w:p w14:paraId="1AA5F89C" w14:textId="77777777" w:rsidR="004412F1" w:rsidRDefault="004412F1">
      <w:pPr>
        <w:ind w:left="709"/>
        <w:jc w:val="both"/>
        <w:rPr>
          <w:color w:val="000000"/>
          <w:lang w:val="es-PE"/>
        </w:rPr>
      </w:pPr>
    </w:p>
    <w:p w14:paraId="6C3F47B8" w14:textId="77777777" w:rsidR="004412F1" w:rsidRDefault="005A12A3">
      <w:pPr>
        <w:pStyle w:val="Ttulo2"/>
        <w:ind w:left="0"/>
        <w:jc w:val="both"/>
        <w:rPr>
          <w:rFonts w:ascii="Arial" w:eastAsia="Arial" w:hAnsi="Arial" w:cs="Arial"/>
          <w:b/>
          <w:bCs/>
          <w:u w:val="none"/>
        </w:rPr>
      </w:pPr>
      <w:bookmarkStart w:id="2563" w:name="_15zrjvu"/>
      <w:bookmarkStart w:id="2564" w:name="_Toc209499284"/>
      <w:bookmarkStart w:id="2565" w:name="_Toc139294818"/>
      <w:bookmarkStart w:id="2566" w:name="_Toc196630231"/>
      <w:bookmarkStart w:id="2567" w:name="_Toc468837716"/>
      <w:bookmarkStart w:id="2568" w:name="_Toc140089417"/>
      <w:bookmarkEnd w:id="2563"/>
      <w:r>
        <w:rPr>
          <w:rFonts w:ascii="Arial" w:eastAsia="Arial" w:hAnsi="Arial" w:cs="Arial"/>
          <w:b/>
          <w:bCs/>
          <w:u w:val="none"/>
        </w:rPr>
        <w:t>CRITERIOS DE INTERPRETACIÓN</w:t>
      </w:r>
      <w:bookmarkEnd w:id="2564"/>
      <w:bookmarkEnd w:id="2565"/>
      <w:bookmarkEnd w:id="2566"/>
      <w:bookmarkEnd w:id="2567"/>
      <w:bookmarkEnd w:id="2568"/>
    </w:p>
    <w:p w14:paraId="52AF4FE2" w14:textId="77777777" w:rsidR="004412F1" w:rsidRDefault="004412F1">
      <w:pPr>
        <w:jc w:val="both"/>
      </w:pPr>
    </w:p>
    <w:p w14:paraId="2A987CA0" w14:textId="77777777" w:rsidR="004412F1" w:rsidRDefault="005A12A3">
      <w:pPr>
        <w:numPr>
          <w:ilvl w:val="1"/>
          <w:numId w:val="149"/>
        </w:numPr>
        <w:tabs>
          <w:tab w:val="left" w:pos="709"/>
        </w:tabs>
        <w:ind w:left="709" w:hanging="709"/>
        <w:jc w:val="both"/>
        <w:rPr>
          <w:lang w:val="es-PE"/>
        </w:rPr>
      </w:pPr>
      <w:r>
        <w:rPr>
          <w:lang w:val="es-PE"/>
        </w:rPr>
        <w:t xml:space="preserve">En caso de divergencia en la interpretación de este Contrato, se seguirá el siguiente orden de prelación para resolver dicha situación: </w:t>
      </w:r>
    </w:p>
    <w:p w14:paraId="36F1D2B4" w14:textId="77777777" w:rsidR="004412F1" w:rsidRDefault="004412F1">
      <w:pPr>
        <w:jc w:val="both"/>
        <w:rPr>
          <w:lang w:val="es-PE"/>
        </w:rPr>
      </w:pPr>
    </w:p>
    <w:p w14:paraId="762D0F4A" w14:textId="77777777" w:rsidR="004412F1" w:rsidRDefault="005A12A3">
      <w:pPr>
        <w:numPr>
          <w:ilvl w:val="0"/>
          <w:numId w:val="150"/>
        </w:numPr>
        <w:ind w:left="993" w:hanging="283"/>
        <w:jc w:val="both"/>
        <w:rPr>
          <w:lang w:val="es-PE"/>
        </w:rPr>
      </w:pPr>
      <w:r>
        <w:rPr>
          <w:lang w:val="es-PE"/>
        </w:rPr>
        <w:t xml:space="preserve">El Contrato y sus modificatorias; </w:t>
      </w:r>
    </w:p>
    <w:p w14:paraId="39B08A29" w14:textId="77777777" w:rsidR="004412F1" w:rsidRDefault="005A12A3">
      <w:pPr>
        <w:numPr>
          <w:ilvl w:val="0"/>
          <w:numId w:val="150"/>
        </w:numPr>
        <w:ind w:left="993" w:hanging="283"/>
        <w:jc w:val="both"/>
        <w:rPr>
          <w:lang w:val="es-PE"/>
        </w:rPr>
      </w:pPr>
      <w:r>
        <w:rPr>
          <w:lang w:val="es-PE"/>
        </w:rPr>
        <w:t>Circulares a que se hace referencia en las Bases; y</w:t>
      </w:r>
    </w:p>
    <w:p w14:paraId="44B11F89" w14:textId="77777777" w:rsidR="004412F1" w:rsidRDefault="005A12A3">
      <w:pPr>
        <w:numPr>
          <w:ilvl w:val="0"/>
          <w:numId w:val="150"/>
        </w:numPr>
        <w:ind w:left="993" w:hanging="283"/>
        <w:jc w:val="both"/>
      </w:pPr>
      <w:r>
        <w:t>Las Bases.</w:t>
      </w:r>
    </w:p>
    <w:p w14:paraId="5A13A009" w14:textId="77777777" w:rsidR="004412F1" w:rsidRDefault="004412F1">
      <w:pPr>
        <w:jc w:val="both"/>
      </w:pPr>
    </w:p>
    <w:p w14:paraId="3DEF6E3C" w14:textId="77777777" w:rsidR="004412F1" w:rsidRDefault="005A12A3">
      <w:pPr>
        <w:numPr>
          <w:ilvl w:val="1"/>
          <w:numId w:val="149"/>
        </w:numPr>
        <w:tabs>
          <w:tab w:val="left" w:pos="709"/>
        </w:tabs>
        <w:ind w:left="709" w:hanging="709"/>
        <w:jc w:val="both"/>
        <w:rPr>
          <w:lang w:val="es-PE"/>
        </w:rPr>
      </w:pPr>
      <w:r>
        <w:rPr>
          <w:lang w:val="es-PE"/>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2564BC08" w14:textId="77777777" w:rsidR="004412F1" w:rsidRDefault="004412F1">
      <w:pPr>
        <w:jc w:val="both"/>
        <w:rPr>
          <w:lang w:val="es-PE"/>
        </w:rPr>
      </w:pPr>
    </w:p>
    <w:p w14:paraId="248E3648" w14:textId="77777777" w:rsidR="004412F1" w:rsidRDefault="005A12A3">
      <w:pPr>
        <w:ind w:left="705"/>
        <w:jc w:val="both"/>
        <w:rPr>
          <w:lang w:val="es-PE"/>
        </w:rPr>
      </w:pPr>
      <w:r>
        <w:rPr>
          <w:lang w:val="es-PE"/>
        </w:rPr>
        <w:t xml:space="preserve">Los términos “ANEXO”, “Apéndice” “Cláusula”, “CAPÍTULO”, “Numeral” y “Literal” se entienden referidos al presente Contrato de Concesión, salvo que del contexto se deduzca inequívocamente y </w:t>
      </w:r>
      <w:proofErr w:type="gramStart"/>
      <w:r>
        <w:rPr>
          <w:lang w:val="es-PE"/>
        </w:rPr>
        <w:t>sin lugar a dudas</w:t>
      </w:r>
      <w:proofErr w:type="gramEnd"/>
      <w:r>
        <w:rPr>
          <w:lang w:val="es-PE"/>
        </w:rPr>
        <w:t xml:space="preserve"> que se refieren a otro documento.</w:t>
      </w:r>
    </w:p>
    <w:p w14:paraId="7EC5248C" w14:textId="77777777" w:rsidR="004412F1" w:rsidRDefault="004412F1">
      <w:pPr>
        <w:ind w:left="705"/>
        <w:jc w:val="both"/>
        <w:rPr>
          <w:lang w:val="es-PE"/>
        </w:rPr>
      </w:pPr>
    </w:p>
    <w:p w14:paraId="6C17F822" w14:textId="77777777" w:rsidR="004412F1" w:rsidRDefault="005A12A3">
      <w:pPr>
        <w:numPr>
          <w:ilvl w:val="1"/>
          <w:numId w:val="149"/>
        </w:numPr>
        <w:tabs>
          <w:tab w:val="left" w:pos="709"/>
        </w:tabs>
        <w:ind w:left="709" w:hanging="709"/>
        <w:jc w:val="both"/>
        <w:rPr>
          <w:lang w:val="es-PE"/>
        </w:rPr>
      </w:pPr>
      <w:r>
        <w:rPr>
          <w:lang w:val="es-PE"/>
        </w:rPr>
        <w:t>Los plazos establecidos se computarán en días, meses o años según corresponda.</w:t>
      </w:r>
    </w:p>
    <w:p w14:paraId="6E971221" w14:textId="77777777" w:rsidR="004412F1" w:rsidRDefault="004412F1">
      <w:pPr>
        <w:ind w:left="709"/>
        <w:jc w:val="both"/>
        <w:rPr>
          <w:color w:val="000000"/>
          <w:sz w:val="16"/>
          <w:lang w:val="es-PE"/>
        </w:rPr>
      </w:pPr>
    </w:p>
    <w:p w14:paraId="349F7DD7" w14:textId="77777777" w:rsidR="004412F1" w:rsidRDefault="005A12A3">
      <w:pPr>
        <w:ind w:left="709"/>
        <w:jc w:val="both"/>
        <w:rPr>
          <w:color w:val="000000"/>
          <w:lang w:val="es-PE"/>
        </w:rPr>
      </w:pPr>
      <w:r>
        <w:rPr>
          <w:color w:val="000000"/>
          <w:lang w:val="es-PE"/>
        </w:rPr>
        <w:t>Los títulos contenidos en el Contrato tienen únicamente el propósito de identificación y no deben ser considerados como parte del Contrato, para limitar o ampliar su contenido ni para determinar derechos y obligaciones de las Partes.</w:t>
      </w:r>
    </w:p>
    <w:p w14:paraId="65AB72B3" w14:textId="77777777" w:rsidR="004412F1" w:rsidRDefault="004412F1">
      <w:pPr>
        <w:ind w:left="709"/>
        <w:jc w:val="both"/>
        <w:rPr>
          <w:color w:val="000000"/>
          <w:sz w:val="18"/>
          <w:lang w:val="es-PE"/>
        </w:rPr>
      </w:pPr>
    </w:p>
    <w:p w14:paraId="7D5C35CF" w14:textId="77777777" w:rsidR="004412F1" w:rsidRDefault="005A12A3">
      <w:pPr>
        <w:numPr>
          <w:ilvl w:val="1"/>
          <w:numId w:val="149"/>
        </w:numPr>
        <w:tabs>
          <w:tab w:val="left" w:pos="709"/>
        </w:tabs>
        <w:ind w:left="709" w:hanging="709"/>
        <w:jc w:val="both"/>
      </w:pPr>
      <w:r>
        <w:rPr>
          <w:lang w:val="es-PE"/>
        </w:rPr>
        <w:t xml:space="preserve">Los términos en singular incluirán los mismos términos en plural y viceversa. </w:t>
      </w:r>
      <w:r>
        <w:t>Los términos en masculino incluyen al femenino y viceversa.</w:t>
      </w:r>
    </w:p>
    <w:p w14:paraId="55893EE8" w14:textId="77777777" w:rsidR="004412F1" w:rsidRDefault="004412F1">
      <w:pPr>
        <w:jc w:val="both"/>
      </w:pPr>
    </w:p>
    <w:p w14:paraId="0D3F3C1A" w14:textId="77777777" w:rsidR="004412F1" w:rsidRDefault="005A12A3">
      <w:pPr>
        <w:numPr>
          <w:ilvl w:val="1"/>
          <w:numId w:val="149"/>
        </w:numPr>
        <w:tabs>
          <w:tab w:val="left" w:pos="709"/>
        </w:tabs>
        <w:ind w:left="709" w:hanging="709"/>
        <w:jc w:val="both"/>
        <w:rPr>
          <w:lang w:val="es-PE"/>
        </w:rPr>
      </w:pPr>
      <w:r>
        <w:rPr>
          <w:lang w:val="es-PE"/>
        </w:rPr>
        <w:t>El uso de la disyunción “o” en una enumeración deberá entenderse que comprende excluyentemente a alguno de los elementos de tal enumeración.</w:t>
      </w:r>
    </w:p>
    <w:p w14:paraId="4DF1618C" w14:textId="77777777" w:rsidR="004412F1" w:rsidRDefault="004412F1">
      <w:pPr>
        <w:jc w:val="both"/>
        <w:rPr>
          <w:lang w:val="es-PE"/>
        </w:rPr>
      </w:pPr>
    </w:p>
    <w:p w14:paraId="4038293A" w14:textId="77777777" w:rsidR="004412F1" w:rsidRDefault="005A12A3">
      <w:pPr>
        <w:numPr>
          <w:ilvl w:val="1"/>
          <w:numId w:val="149"/>
        </w:numPr>
        <w:tabs>
          <w:tab w:val="left" w:pos="709"/>
        </w:tabs>
        <w:ind w:left="709" w:hanging="709"/>
        <w:jc w:val="both"/>
        <w:rPr>
          <w:lang w:val="es-PE"/>
        </w:rPr>
      </w:pPr>
      <w:r>
        <w:rPr>
          <w:lang w:val="es-PE"/>
        </w:rPr>
        <w:t>El uso de la conjunción “y” en una enumeración deberá entenderse que comprende a todos los elementos de dicha enumeración o lista.</w:t>
      </w:r>
    </w:p>
    <w:p w14:paraId="45926917" w14:textId="77777777" w:rsidR="004412F1" w:rsidRDefault="004412F1">
      <w:pPr>
        <w:jc w:val="both"/>
        <w:rPr>
          <w:lang w:val="es-PE"/>
        </w:rPr>
      </w:pPr>
    </w:p>
    <w:p w14:paraId="1CD67B16" w14:textId="77777777" w:rsidR="004412F1" w:rsidRDefault="005A12A3">
      <w:pPr>
        <w:numPr>
          <w:ilvl w:val="1"/>
          <w:numId w:val="149"/>
        </w:numPr>
        <w:ind w:left="709" w:hanging="709"/>
        <w:jc w:val="both"/>
        <w:rPr>
          <w:lang w:val="es-PE"/>
        </w:rPr>
      </w:pPr>
      <w:r>
        <w:rPr>
          <w:lang w:val="es-PE"/>
        </w:rPr>
        <w:t>Todos aquellas tarifas, ingresos, costos, gastos y similares a que tenga derecho o que sean de responsabilidad del CONCESIONARIO por la prestación de los Servicios deberán ser cobrados o pagados en la moneda que corresponda conforme a las Leyes y Disposiciones Aplicables y a los términos del Contrato.</w:t>
      </w:r>
    </w:p>
    <w:p w14:paraId="6B3CCBC3" w14:textId="77777777" w:rsidR="004412F1" w:rsidRDefault="004412F1">
      <w:pPr>
        <w:jc w:val="both"/>
        <w:rPr>
          <w:lang w:val="es-PE"/>
        </w:rPr>
      </w:pPr>
    </w:p>
    <w:p w14:paraId="1661F0B4" w14:textId="77777777" w:rsidR="004412F1" w:rsidRDefault="005A12A3">
      <w:pPr>
        <w:pStyle w:val="Ttulo2"/>
        <w:ind w:left="0"/>
        <w:jc w:val="both"/>
        <w:rPr>
          <w:rFonts w:ascii="Arial" w:eastAsia="Arial" w:hAnsi="Arial" w:cs="Arial"/>
          <w:b/>
          <w:bCs/>
          <w:u w:val="none"/>
        </w:rPr>
      </w:pPr>
      <w:bookmarkStart w:id="2569" w:name="_3pzf2jn"/>
      <w:bookmarkStart w:id="2570" w:name="_Toc139294819"/>
      <w:bookmarkStart w:id="2571" w:name="_Toc209499285"/>
      <w:bookmarkStart w:id="2572" w:name="_Toc468837717"/>
      <w:bookmarkStart w:id="2573" w:name="_Toc196630232"/>
      <w:bookmarkStart w:id="2574" w:name="_Toc140089418"/>
      <w:bookmarkEnd w:id="2569"/>
      <w:r>
        <w:rPr>
          <w:rFonts w:ascii="Arial" w:eastAsia="Arial" w:hAnsi="Arial" w:cs="Arial"/>
          <w:b/>
          <w:bCs/>
          <w:u w:val="none"/>
        </w:rPr>
        <w:t>RENUNCIA A RECLAMACIONES DIPLOMÁTICAS</w:t>
      </w:r>
      <w:bookmarkEnd w:id="2570"/>
      <w:bookmarkEnd w:id="2571"/>
      <w:bookmarkEnd w:id="2572"/>
      <w:bookmarkEnd w:id="2573"/>
      <w:bookmarkEnd w:id="2574"/>
    </w:p>
    <w:p w14:paraId="465BDC6B" w14:textId="77777777" w:rsidR="004412F1" w:rsidRDefault="004412F1">
      <w:pPr>
        <w:jc w:val="both"/>
      </w:pPr>
    </w:p>
    <w:p w14:paraId="4D23C319" w14:textId="77777777" w:rsidR="004412F1" w:rsidRDefault="005A12A3">
      <w:pPr>
        <w:numPr>
          <w:ilvl w:val="1"/>
          <w:numId w:val="149"/>
        </w:numPr>
        <w:tabs>
          <w:tab w:val="left" w:pos="709"/>
        </w:tabs>
        <w:ind w:left="709" w:hanging="709"/>
        <w:jc w:val="both"/>
        <w:rPr>
          <w:lang w:val="es-PE"/>
        </w:rPr>
      </w:pPr>
      <w:r>
        <w:rPr>
          <w:lang w:val="es-PE"/>
        </w:rPr>
        <w:t>El CONCESIONARIO y sus socios, accionistas o participacionistas renuncian de manera expresa, incondicional e irrevocable a cualquier reclamación diplomática, por las controversias o conflictos que pudiesen surgir del Contrato.</w:t>
      </w:r>
    </w:p>
    <w:p w14:paraId="700061D5" w14:textId="77777777" w:rsidR="004412F1" w:rsidRDefault="004412F1">
      <w:pPr>
        <w:jc w:val="both"/>
        <w:rPr>
          <w:lang w:val="es-PE"/>
        </w:rPr>
      </w:pPr>
    </w:p>
    <w:p w14:paraId="59B61AB8" w14:textId="77777777" w:rsidR="004412F1" w:rsidRDefault="005A12A3">
      <w:pPr>
        <w:pStyle w:val="Ttulo2"/>
        <w:ind w:left="0"/>
        <w:jc w:val="both"/>
        <w:rPr>
          <w:rFonts w:ascii="Arial" w:eastAsia="Arial" w:hAnsi="Arial" w:cs="Arial"/>
          <w:b/>
          <w:bCs/>
          <w:u w:val="none"/>
        </w:rPr>
      </w:pPr>
      <w:bookmarkStart w:id="2575" w:name="_254pcrg"/>
      <w:bookmarkStart w:id="2576" w:name="_TRATO_DIRECTO"/>
      <w:bookmarkStart w:id="2577" w:name="_Toc209499286"/>
      <w:bookmarkStart w:id="2578" w:name="_Toc139294820"/>
      <w:bookmarkStart w:id="2579" w:name="_Toc468837718"/>
      <w:bookmarkStart w:id="2580" w:name="_Toc196630233"/>
      <w:bookmarkStart w:id="2581" w:name="_Toc140089419"/>
      <w:bookmarkEnd w:id="2575"/>
      <w:bookmarkEnd w:id="2576"/>
      <w:r>
        <w:rPr>
          <w:rFonts w:ascii="Arial" w:eastAsia="Arial" w:hAnsi="Arial" w:cs="Arial"/>
          <w:b/>
          <w:bCs/>
          <w:u w:val="none"/>
        </w:rPr>
        <w:t>TRATO DIRECTO</w:t>
      </w:r>
      <w:bookmarkEnd w:id="2577"/>
      <w:bookmarkEnd w:id="2578"/>
      <w:bookmarkEnd w:id="2579"/>
      <w:bookmarkEnd w:id="2580"/>
      <w:bookmarkEnd w:id="2581"/>
    </w:p>
    <w:p w14:paraId="3A2BE5E0" w14:textId="77777777" w:rsidR="004412F1" w:rsidRDefault="004412F1">
      <w:pPr>
        <w:suppressLineNumbers/>
        <w:tabs>
          <w:tab w:val="left" w:pos="567"/>
          <w:tab w:val="left" w:pos="1134"/>
          <w:tab w:val="left" w:pos="1701"/>
          <w:tab w:val="left" w:pos="2268"/>
          <w:tab w:val="left" w:pos="2835"/>
        </w:tabs>
        <w:suppressAutoHyphens/>
        <w:jc w:val="both"/>
        <w:rPr>
          <w:color w:val="000000"/>
          <w:lang w:val="es-PE"/>
        </w:rPr>
      </w:pPr>
    </w:p>
    <w:p w14:paraId="411EA4D5" w14:textId="0679C6C5" w:rsidR="004412F1" w:rsidRDefault="005A12A3">
      <w:pPr>
        <w:numPr>
          <w:ilvl w:val="1"/>
          <w:numId w:val="149"/>
        </w:numPr>
        <w:ind w:left="709" w:hanging="709"/>
        <w:jc w:val="both"/>
        <w:rPr>
          <w:lang w:val="es-PE"/>
        </w:rPr>
      </w:pPr>
      <w:bookmarkStart w:id="2582" w:name="_k9zmz9"/>
      <w:bookmarkStart w:id="2583" w:name="_Ref272506491"/>
      <w:bookmarkEnd w:id="2582"/>
      <w:r>
        <w:rPr>
          <w:lang w:val="es-PE"/>
        </w:rPr>
        <w:t>Las Partes declaran que es su voluntad que todos los conflictos o incertidumbres con relevancia jurídica sobre materias de carácter disponible que pudieran surgir con respecto a la interpretación, ejecución, cumplimiento, y cualquier aspecto relativo a la existencia, validez o eficacia del Contrato o Caducidad de la Concesión, con excepción de los actos administrativos que emita el REGULADOR en ejercicio de sus funciones a que se refiere la</w:t>
      </w:r>
      <w:r w:rsidR="00250C3E">
        <w:rPr>
          <w:lang w:val="es-PE"/>
        </w:rPr>
        <w:t>s</w:t>
      </w:r>
      <w:r>
        <w:rPr>
          <w:lang w:val="es-PE"/>
        </w:rPr>
        <w:t xml:space="preserve"> Cláusula</w:t>
      </w:r>
      <w:r w:rsidR="00250C3E">
        <w:rPr>
          <w:lang w:val="es-PE"/>
        </w:rPr>
        <w:t>s</w:t>
      </w:r>
      <w:r>
        <w:rPr>
          <w:lang w:val="es-PE"/>
        </w:rPr>
        <w:t xml:space="preserve"> 1</w:t>
      </w:r>
      <w:r w:rsidR="00487FD1">
        <w:rPr>
          <w:lang w:val="es-PE"/>
        </w:rPr>
        <w:t>5.4</w:t>
      </w:r>
      <w:r w:rsidR="00250C3E">
        <w:rPr>
          <w:lang w:val="es-PE"/>
        </w:rPr>
        <w:t xml:space="preserve"> y siguientes</w:t>
      </w:r>
      <w:r>
        <w:rPr>
          <w:lang w:val="es-PE"/>
        </w:rPr>
        <w:t>, serán resueltos por trato directo entre las Partes.</w:t>
      </w:r>
      <w:bookmarkEnd w:id="2583"/>
    </w:p>
    <w:p w14:paraId="4FA64CC7" w14:textId="77777777" w:rsidR="004412F1" w:rsidRDefault="004412F1">
      <w:pPr>
        <w:jc w:val="both"/>
        <w:rPr>
          <w:lang w:val="es-PE"/>
        </w:rPr>
      </w:pPr>
    </w:p>
    <w:p w14:paraId="39DC607C" w14:textId="77777777" w:rsidR="004412F1" w:rsidRDefault="005A12A3">
      <w:pPr>
        <w:ind w:left="705"/>
        <w:jc w:val="both"/>
        <w:rPr>
          <w:lang w:val="es-PE"/>
        </w:rPr>
      </w:pPr>
      <w:r>
        <w:rPr>
          <w:lang w:val="es-PE"/>
        </w:rPr>
        <w:t>El plazo de trato directo para el caso del arbitraje nacional deberá ser de cuarenta y cinco (45) Días contados a partir de la fecha en que una Parte comunica a la otra, por escrito, salvo que las Partes hayan sometido la controversia al procedimiento y demás disposiciones aplicables en caso del amigable componedor previstas en el Título [] del Decreto Supremo N° [], Reglamento del Decreto Legislativo N° 1362. Cualquiera de las Partes en dirimencia o desacuerdo podrá dar por terminado por anticipado o inclusive podrá indicar que renuncia a hacer uso del trato directo.</w:t>
      </w:r>
    </w:p>
    <w:p w14:paraId="566E47FE" w14:textId="77777777" w:rsidR="004412F1" w:rsidRDefault="005A12A3">
      <w:pPr>
        <w:ind w:left="705"/>
        <w:jc w:val="both"/>
        <w:rPr>
          <w:lang w:val="es-PE"/>
        </w:rPr>
      </w:pPr>
      <w:r>
        <w:rPr>
          <w:lang w:val="es-PE"/>
        </w:rPr>
        <w:t xml:space="preserve"> </w:t>
      </w:r>
    </w:p>
    <w:p w14:paraId="5FCCB808" w14:textId="77777777" w:rsidR="004412F1" w:rsidRDefault="005A12A3">
      <w:pPr>
        <w:ind w:left="705"/>
        <w:jc w:val="both"/>
        <w:rPr>
          <w:lang w:val="es-PE"/>
        </w:rPr>
      </w:pPr>
      <w:r>
        <w:rPr>
          <w:lang w:val="es-PE"/>
        </w:rPr>
        <w:t>La solicitud de inicio de trato directo debe incluir una descripción comprensiva de la controversia y su debida fundamentación, así como estar acompañada de todos los medios probatorios correspondientes.</w:t>
      </w:r>
    </w:p>
    <w:p w14:paraId="4BBD062A" w14:textId="77777777" w:rsidR="004412F1" w:rsidRDefault="004412F1">
      <w:pPr>
        <w:ind w:left="709"/>
        <w:jc w:val="both"/>
        <w:rPr>
          <w:color w:val="000000"/>
          <w:sz w:val="16"/>
          <w:lang w:val="es-ES"/>
        </w:rPr>
      </w:pPr>
    </w:p>
    <w:p w14:paraId="2DA24B61" w14:textId="77777777" w:rsidR="004412F1" w:rsidRDefault="005A12A3">
      <w:pPr>
        <w:ind w:left="709"/>
        <w:jc w:val="both"/>
        <w:rPr>
          <w:color w:val="000000"/>
          <w:lang w:val="es-PE"/>
        </w:rPr>
      </w:pPr>
      <w:r>
        <w:rPr>
          <w:color w:val="000000"/>
          <w:lang w:val="es-PE"/>
        </w:rPr>
        <w:t xml:space="preserve">Cabe señalar que, de conformidad con lo establecido en el numeral [] del artículo [] del Decreto Supremo N° [], Reglamento del Decreto Legislativo N° 1362, sólo podrán someterse al procedimiento de Amigable Componedor aquellas controversias que pueden someterse a arbitraje, de conformidad con lo </w:t>
      </w:r>
      <w:r>
        <w:rPr>
          <w:color w:val="000000"/>
          <w:lang w:val="es-PE"/>
        </w:rPr>
        <w:lastRenderedPageBreak/>
        <w:t>dispuesto por el artículo 2 del Decreto Legislativo N° 1071, Decreto Legislativo que Norma el Arbitraje. Por tanto, no podrán someterse al procedimiento de Amigable Componedor las decisiones del REGULADOR (emitidas en el marco de sus funciones normativa, reguladora, supervisora, fiscalizadora, sancionadora y de solución de controversias) u otras entidades que se dicten en ejecución de sus competencias administrativas atribuidas por norma expresa, cuya vía de reclamo es la vía administrativa. Tampoco podrán someterse a procedimiento de Amigable Componedor las controversias sujetas a la Ley N° 28933: Ley que establece el sistema de coordinación y respuesta del Estado en controversias internacionales de inversión.</w:t>
      </w:r>
    </w:p>
    <w:p w14:paraId="4632A513" w14:textId="77777777" w:rsidR="004412F1" w:rsidRDefault="004412F1">
      <w:pPr>
        <w:ind w:left="709"/>
        <w:jc w:val="both"/>
        <w:rPr>
          <w:color w:val="000000"/>
          <w:lang w:val="es-PE"/>
        </w:rPr>
      </w:pPr>
    </w:p>
    <w:p w14:paraId="1FF3A5C4" w14:textId="77777777" w:rsidR="004412F1" w:rsidRDefault="005A12A3">
      <w:pPr>
        <w:ind w:left="709"/>
        <w:jc w:val="both"/>
        <w:rPr>
          <w:color w:val="000000"/>
          <w:sz w:val="16"/>
          <w:lang w:val="es-ES"/>
        </w:rPr>
      </w:pPr>
      <w:r>
        <w:rPr>
          <w:color w:val="000000"/>
          <w:lang w:val="es-PE"/>
        </w:rPr>
        <w:t xml:space="preserve">El Amigable Componedor propondrá una fórmula de solución de controversias, </w:t>
      </w:r>
      <w:proofErr w:type="gramStart"/>
      <w:r>
        <w:rPr>
          <w:color w:val="000000"/>
          <w:lang w:val="es-PE"/>
        </w:rPr>
        <w:t>que</w:t>
      </w:r>
      <w:proofErr w:type="gramEnd"/>
      <w:r>
        <w:rPr>
          <w:color w:val="000000"/>
          <w:lang w:val="es-PE"/>
        </w:rPr>
        <w:t xml:space="preserve"> de ser aceptada de manera parcial o total por las Partes, producirá los efectos legales de una transacción.</w:t>
      </w:r>
    </w:p>
    <w:p w14:paraId="612B1E34" w14:textId="77777777" w:rsidR="004412F1" w:rsidRDefault="004412F1">
      <w:pPr>
        <w:ind w:left="709"/>
        <w:jc w:val="both"/>
        <w:rPr>
          <w:color w:val="000000"/>
          <w:sz w:val="16"/>
          <w:lang w:val="es-ES"/>
        </w:rPr>
      </w:pPr>
    </w:p>
    <w:p w14:paraId="4E328E1A" w14:textId="77777777" w:rsidR="004412F1" w:rsidRDefault="005A12A3">
      <w:pPr>
        <w:ind w:left="709"/>
        <w:jc w:val="both"/>
        <w:rPr>
          <w:color w:val="000000"/>
          <w:lang w:val="es-ES"/>
        </w:rPr>
      </w:pPr>
      <w:r>
        <w:rPr>
          <w:color w:val="000000"/>
          <w:lang w:val="es-PE"/>
        </w:rPr>
        <w:t xml:space="preserve">De otro lado, tratándose </w:t>
      </w:r>
      <w:r>
        <w:rPr>
          <w:color w:val="000000"/>
          <w:lang w:val="es-ES"/>
        </w:rPr>
        <w:t>del arbitraje internacional, el periodo de negociación o trato directo será no menor a seis (6)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 La solicitud de inicio del trato directo debe incluir una descripción comprensiva de la controversia y su debida fundamentación, así como estar acompañada de todos los medios probatorios correspondientes.</w:t>
      </w:r>
    </w:p>
    <w:p w14:paraId="048253CA" w14:textId="77777777" w:rsidR="004412F1" w:rsidRDefault="004412F1">
      <w:pPr>
        <w:ind w:left="709"/>
        <w:jc w:val="both"/>
        <w:rPr>
          <w:color w:val="000000"/>
          <w:sz w:val="16"/>
          <w:lang w:val="es-PE"/>
        </w:rPr>
      </w:pPr>
    </w:p>
    <w:p w14:paraId="16D525C8" w14:textId="77777777" w:rsidR="004412F1" w:rsidRDefault="005A12A3">
      <w:pPr>
        <w:ind w:left="709"/>
        <w:jc w:val="both"/>
        <w:rPr>
          <w:color w:val="000000"/>
          <w:lang w:val="es-PE"/>
        </w:rPr>
      </w:pPr>
      <w:r>
        <w:rPr>
          <w:color w:val="000000"/>
          <w:lang w:val="es-PE"/>
        </w:rPr>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14:paraId="0A172261" w14:textId="77777777" w:rsidR="004412F1" w:rsidRDefault="004412F1">
      <w:pPr>
        <w:ind w:left="1418"/>
        <w:jc w:val="both"/>
        <w:rPr>
          <w:color w:val="000000"/>
          <w:sz w:val="16"/>
          <w:lang w:val="es-ES"/>
        </w:rPr>
      </w:pPr>
    </w:p>
    <w:p w14:paraId="348EA9F9" w14:textId="77777777" w:rsidR="004412F1" w:rsidRDefault="005A12A3">
      <w:pPr>
        <w:ind w:left="709"/>
        <w:jc w:val="both"/>
        <w:rPr>
          <w:color w:val="000000"/>
          <w:lang w:val="es-PE"/>
        </w:rPr>
      </w:pPr>
      <w:r>
        <w:rPr>
          <w:color w:val="000000"/>
          <w:lang w:val="es-PE"/>
        </w:rPr>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01B7AEA" w14:textId="77777777" w:rsidR="004412F1" w:rsidRDefault="004412F1">
      <w:pPr>
        <w:ind w:left="709"/>
        <w:jc w:val="both"/>
        <w:rPr>
          <w:color w:val="000000"/>
          <w:sz w:val="16"/>
          <w:lang w:val="es-PE"/>
        </w:rPr>
      </w:pPr>
    </w:p>
    <w:p w14:paraId="19474B76" w14:textId="77777777" w:rsidR="004412F1" w:rsidRDefault="005A12A3">
      <w:pPr>
        <w:ind w:left="709"/>
        <w:jc w:val="both"/>
        <w:rPr>
          <w:color w:val="000000"/>
          <w:lang w:val="es-PE"/>
        </w:rPr>
      </w:pPr>
      <w:r>
        <w:rPr>
          <w:color w:val="000000"/>
          <w:lang w:val="es-PE"/>
        </w:rPr>
        <w:t>Los conflictos o incertidumbres técnicas (cada una, una Controversia Técnica) serán resueltos conforme al procedimiento estipulado en el Literal a) de la Cláusula 19.12. Los conflictos o incertidumbres que no sean de carácter técnico (cada una, una Controversia No Técnica) serán resueltos conforme al procedimiento previsto en el Literal b) de la Cláusula 19.12.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 la Cláusula 19.12.</w:t>
      </w:r>
    </w:p>
    <w:p w14:paraId="5F26A949" w14:textId="77777777" w:rsidR="004412F1" w:rsidRDefault="004412F1">
      <w:pPr>
        <w:ind w:left="709"/>
        <w:jc w:val="both"/>
        <w:rPr>
          <w:rFonts w:eastAsia="SimSun"/>
          <w:color w:val="000000"/>
          <w:lang w:val="es-PE"/>
        </w:rPr>
      </w:pPr>
    </w:p>
    <w:p w14:paraId="693930EE" w14:textId="77777777" w:rsidR="004412F1" w:rsidRDefault="005A12A3">
      <w:pPr>
        <w:ind w:left="709"/>
        <w:jc w:val="both"/>
        <w:rPr>
          <w:rFonts w:eastAsia="SimSun"/>
          <w:bCs/>
          <w:color w:val="000000"/>
          <w:szCs w:val="18"/>
          <w:lang w:val="es-ES" w:eastAsia="es-ES"/>
        </w:rPr>
      </w:pPr>
      <w:r>
        <w:rPr>
          <w:color w:val="000000"/>
          <w:lang w:val="es-PE"/>
        </w:rPr>
        <w:t xml:space="preserve">Sin perjuicio de lo señalado en la presente Cláusula, en la etapa de trato directo, a solicitud de cualquiera de las partes, pueden someter sus controversias a una Junta de Resolución de Disputas, que emite una decisión de carácter vinculante </w:t>
      </w:r>
      <w:r>
        <w:rPr>
          <w:color w:val="000000"/>
          <w:lang w:val="es-PE"/>
        </w:rPr>
        <w:lastRenderedPageBreak/>
        <w:t>y ejecutable, sin perjuicio de la facultad de recurrir al arbitraje, salvo pacto distinto entre las partes. En caso se recurra al arbitraje, la decisión adoptada es considerada como un antecedente en la vía arbitral.</w:t>
      </w:r>
    </w:p>
    <w:p w14:paraId="52170B61" w14:textId="77777777" w:rsidR="004412F1" w:rsidRDefault="004412F1">
      <w:pPr>
        <w:ind w:left="709"/>
        <w:jc w:val="both"/>
        <w:rPr>
          <w:color w:val="000000"/>
          <w:lang w:val="es-PE"/>
        </w:rPr>
      </w:pPr>
    </w:p>
    <w:p w14:paraId="591C57D0" w14:textId="77777777" w:rsidR="004412F1" w:rsidRDefault="005A12A3">
      <w:pPr>
        <w:ind w:left="709"/>
        <w:jc w:val="both"/>
        <w:rPr>
          <w:rFonts w:eastAsia="SimSun"/>
          <w:bCs/>
          <w:color w:val="000000"/>
          <w:szCs w:val="18"/>
          <w:lang w:val="es-ES" w:eastAsia="es-ES"/>
        </w:rPr>
      </w:pPr>
      <w:r>
        <w:rPr>
          <w:color w:val="000000"/>
          <w:lang w:val="es-PE"/>
        </w:rPr>
        <w:t>El procedimiento señalado en el párrafo precedente no es de aplicación cuando se trate de controversias a las que sean aplicables los mecanismos y procedimientos de solución de controversias a que se refieren la Ley Nº 28933, Ley que establece el Sistema de Coordinación y Respuesta del Estado en Controvers</w:t>
      </w:r>
      <w:r>
        <w:rPr>
          <w:rFonts w:eastAsia="SimSun"/>
          <w:color w:val="000000"/>
          <w:lang w:val="es-PE"/>
        </w:rPr>
        <w:t>ia Internacionales de Inversión, o aquellos previstos en los tratados internacionales que obligan al Estado peruano.</w:t>
      </w:r>
    </w:p>
    <w:p w14:paraId="2F619CA8" w14:textId="77777777" w:rsidR="004412F1" w:rsidRDefault="004412F1">
      <w:pPr>
        <w:ind w:left="709"/>
        <w:jc w:val="both"/>
        <w:rPr>
          <w:color w:val="000000"/>
          <w:lang w:val="es-PE"/>
        </w:rPr>
      </w:pPr>
    </w:p>
    <w:p w14:paraId="4EC3A78E" w14:textId="77777777" w:rsidR="004412F1" w:rsidRDefault="005A12A3">
      <w:pPr>
        <w:ind w:left="709"/>
        <w:jc w:val="both"/>
        <w:rPr>
          <w:rFonts w:eastAsia="SimSun"/>
          <w:bCs/>
          <w:color w:val="000000"/>
          <w:szCs w:val="18"/>
          <w:lang w:val="es-ES" w:eastAsia="es-ES"/>
        </w:rPr>
      </w:pPr>
      <w:r>
        <w:rPr>
          <w:color w:val="000000"/>
          <w:lang w:val="es-PE"/>
        </w:rPr>
        <w:t>La Junta de Resolución de Disputas puede constituirse en cualquier momento luego de la suscripción del contrato, con el fin de desarrollar adicionalmente funciones de absolución de consultas y emisión de recomendaciones respecto a temas y/o cuestiones solicitadas por las Partes del presente Contrato.</w:t>
      </w:r>
    </w:p>
    <w:p w14:paraId="42FFDA36" w14:textId="77777777" w:rsidR="004412F1" w:rsidRDefault="004412F1">
      <w:pPr>
        <w:ind w:left="709"/>
        <w:jc w:val="both"/>
        <w:rPr>
          <w:color w:val="000000"/>
          <w:lang w:val="es-PE"/>
        </w:rPr>
      </w:pPr>
    </w:p>
    <w:p w14:paraId="6C632B79" w14:textId="77777777" w:rsidR="004412F1" w:rsidRDefault="005A12A3">
      <w:pPr>
        <w:ind w:left="709"/>
        <w:jc w:val="both"/>
        <w:rPr>
          <w:rFonts w:eastAsia="SimSun"/>
          <w:bCs/>
          <w:color w:val="000000"/>
          <w:szCs w:val="18"/>
          <w:lang w:val="es-ES" w:eastAsia="es-ES"/>
        </w:rPr>
      </w:pPr>
      <w:r>
        <w:rPr>
          <w:color w:val="000000"/>
          <w:lang w:val="es-PE"/>
        </w:rPr>
        <w:t>La Junta de Resolución de Disputas está conformada por tres (03) expertos que son designados por las partes de manera directa o por delegación a un Centro o Institución que administre mecanismos alternativos de resolución de conflictos.</w:t>
      </w:r>
    </w:p>
    <w:p w14:paraId="3387A357" w14:textId="77777777" w:rsidR="004412F1" w:rsidRDefault="004412F1">
      <w:pPr>
        <w:ind w:left="709"/>
        <w:jc w:val="both"/>
        <w:rPr>
          <w:color w:val="000000"/>
          <w:lang w:val="es-PE"/>
        </w:rPr>
      </w:pPr>
    </w:p>
    <w:p w14:paraId="7592071C" w14:textId="77777777" w:rsidR="004412F1" w:rsidRDefault="005A12A3">
      <w:pPr>
        <w:ind w:left="709"/>
        <w:jc w:val="both"/>
        <w:rPr>
          <w:rFonts w:eastAsia="SimSun"/>
          <w:bCs/>
          <w:color w:val="000000"/>
          <w:szCs w:val="18"/>
          <w:lang w:val="es-ES" w:eastAsia="es-ES"/>
        </w:rPr>
      </w:pPr>
      <w:r>
        <w:rPr>
          <w:color w:val="000000"/>
          <w:lang w:val="es-PE"/>
        </w:rPr>
        <w:t>Los miembros de la Junta de Resolución de Disputas realizan sus actividades de manera imparcial e independiente, y pueden ser de nacionalidad distinta a la de las Partes.</w:t>
      </w:r>
    </w:p>
    <w:p w14:paraId="7E27BA73" w14:textId="77777777" w:rsidR="004412F1" w:rsidRDefault="004412F1">
      <w:pPr>
        <w:ind w:left="709"/>
        <w:jc w:val="both"/>
        <w:rPr>
          <w:rFonts w:eastAsia="SimSun"/>
          <w:color w:val="000000"/>
          <w:lang w:val="es-PE"/>
        </w:rPr>
      </w:pPr>
    </w:p>
    <w:p w14:paraId="5528C297" w14:textId="77777777" w:rsidR="004412F1" w:rsidRDefault="004412F1">
      <w:pPr>
        <w:ind w:left="709"/>
        <w:jc w:val="both"/>
        <w:rPr>
          <w:color w:val="000000"/>
          <w:lang w:val="es-PE"/>
        </w:rPr>
      </w:pPr>
    </w:p>
    <w:p w14:paraId="17BDFB97" w14:textId="77777777" w:rsidR="004412F1" w:rsidRDefault="005A12A3">
      <w:pPr>
        <w:pStyle w:val="Ttulo2"/>
        <w:ind w:left="0"/>
        <w:jc w:val="both"/>
        <w:rPr>
          <w:rFonts w:ascii="Arial" w:eastAsia="Arial" w:hAnsi="Arial" w:cs="Arial"/>
          <w:b/>
          <w:bCs/>
          <w:u w:val="none"/>
        </w:rPr>
      </w:pPr>
      <w:bookmarkStart w:id="2584" w:name="_ARBITRAJE"/>
      <w:bookmarkStart w:id="2585" w:name="_349n5n2"/>
      <w:bookmarkStart w:id="2586" w:name="_Toc468837719"/>
      <w:bookmarkStart w:id="2587" w:name="_Toc139294821"/>
      <w:bookmarkStart w:id="2588" w:name="_Toc196630234"/>
      <w:bookmarkStart w:id="2589" w:name="_Toc209499287"/>
      <w:bookmarkStart w:id="2590" w:name="_Toc140089420"/>
      <w:bookmarkEnd w:id="2584"/>
      <w:bookmarkEnd w:id="2585"/>
      <w:r>
        <w:rPr>
          <w:rFonts w:ascii="Arial" w:eastAsia="Arial" w:hAnsi="Arial" w:cs="Arial"/>
          <w:b/>
          <w:bCs/>
          <w:u w:val="none"/>
        </w:rPr>
        <w:t>ARBITRAJE</w:t>
      </w:r>
      <w:bookmarkEnd w:id="2586"/>
      <w:bookmarkEnd w:id="2587"/>
      <w:bookmarkEnd w:id="2588"/>
      <w:bookmarkEnd w:id="2589"/>
      <w:bookmarkEnd w:id="2590"/>
    </w:p>
    <w:p w14:paraId="6E69966F" w14:textId="77777777" w:rsidR="004412F1" w:rsidRDefault="004412F1">
      <w:pPr>
        <w:jc w:val="both"/>
      </w:pPr>
    </w:p>
    <w:p w14:paraId="63BD2492" w14:textId="77777777" w:rsidR="004412F1" w:rsidRDefault="005A12A3">
      <w:pPr>
        <w:numPr>
          <w:ilvl w:val="1"/>
          <w:numId w:val="149"/>
        </w:numPr>
        <w:jc w:val="both"/>
      </w:pPr>
      <w:bookmarkStart w:id="2591" w:name="_1jexfuv"/>
      <w:bookmarkStart w:id="2592" w:name="_Ref272506388"/>
      <w:bookmarkEnd w:id="2591"/>
      <w:r>
        <w:t>Modalidades de procedimientos arbitrales:</w:t>
      </w:r>
      <w:bookmarkEnd w:id="2592"/>
    </w:p>
    <w:p w14:paraId="6A30E5CE" w14:textId="77777777" w:rsidR="004412F1" w:rsidRDefault="004412F1">
      <w:pPr>
        <w:jc w:val="both"/>
      </w:pPr>
    </w:p>
    <w:p w14:paraId="70ECF7D5" w14:textId="77777777" w:rsidR="004412F1" w:rsidRDefault="005A12A3">
      <w:pPr>
        <w:numPr>
          <w:ilvl w:val="0"/>
          <w:numId w:val="151"/>
        </w:numPr>
        <w:suppressLineNumbers/>
        <w:suppressAutoHyphens/>
        <w:ind w:left="993" w:hanging="288"/>
        <w:jc w:val="both"/>
        <w:rPr>
          <w:color w:val="000000"/>
          <w:lang w:val="es-PE"/>
        </w:rPr>
      </w:pPr>
      <w:bookmarkStart w:id="2593" w:name="_43ekyio" w:colFirst="0" w:colLast="0"/>
      <w:bookmarkStart w:id="2594" w:name="_Ref272506373"/>
      <w:bookmarkEnd w:id="2593"/>
      <w:r>
        <w:rPr>
          <w:color w:val="000000"/>
          <w:lang w:val="es-PE"/>
        </w:rPr>
        <w:t xml:space="preserve">Arbitraje de </w:t>
      </w:r>
      <w:proofErr w:type="gramStart"/>
      <w:r>
        <w:rPr>
          <w:color w:val="000000"/>
          <w:lang w:val="es-PE"/>
        </w:rPr>
        <w:t>Conciencia.-</w:t>
      </w:r>
      <w:proofErr w:type="gramEnd"/>
      <w:r>
        <w:rPr>
          <w:color w:val="000000"/>
          <w:lang w:val="es-PE"/>
        </w:rPr>
        <w:t xml:space="preserve">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bookmarkEnd w:id="2594"/>
    </w:p>
    <w:p w14:paraId="4DECAB14" w14:textId="77777777" w:rsidR="004412F1" w:rsidRDefault="004412F1">
      <w:pPr>
        <w:suppressLineNumbers/>
        <w:suppressAutoHyphens/>
        <w:ind w:left="993"/>
        <w:jc w:val="both"/>
        <w:rPr>
          <w:color w:val="000000"/>
          <w:lang w:val="es-PE"/>
        </w:rPr>
      </w:pPr>
    </w:p>
    <w:p w14:paraId="0B6BEC1F" w14:textId="77777777" w:rsidR="004412F1" w:rsidRDefault="005A12A3">
      <w:pPr>
        <w:ind w:left="993"/>
        <w:jc w:val="both"/>
        <w:rPr>
          <w:color w:val="000000"/>
          <w:lang w:val="es-PE"/>
        </w:rPr>
      </w:pPr>
      <w:r>
        <w:rPr>
          <w:color w:val="000000"/>
          <w:lang w:val="es-PE"/>
        </w:rPr>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de las Partes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w:t>
      </w:r>
      <w:r>
        <w:rPr>
          <w:color w:val="000000"/>
          <w:lang w:val="es-PE"/>
        </w:rPr>
        <w:lastRenderedPageBreak/>
        <w:t>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464E0A2C" w14:textId="77777777" w:rsidR="004412F1" w:rsidRDefault="004412F1">
      <w:pPr>
        <w:ind w:left="993"/>
        <w:jc w:val="both"/>
        <w:rPr>
          <w:color w:val="000000"/>
          <w:lang w:val="es-PE"/>
        </w:rPr>
      </w:pPr>
    </w:p>
    <w:p w14:paraId="3AE91A91" w14:textId="77777777" w:rsidR="004412F1" w:rsidRDefault="005A12A3">
      <w:pPr>
        <w:ind w:left="993"/>
        <w:jc w:val="both"/>
        <w:rPr>
          <w:color w:val="000000"/>
          <w:lang w:val="es-PE"/>
        </w:rPr>
      </w:pPr>
      <w:r>
        <w:rPr>
          <w:color w:val="000000"/>
          <w:lang w:val="es-PE"/>
        </w:rPr>
        <w:t>Los miembros del Tribunal deberán guardar absoluta reserva y mantener confidencialidad sobre toda la información que conozcan por su participación en la resolución de una Controversia Técnica.</w:t>
      </w:r>
    </w:p>
    <w:p w14:paraId="1BAD0BB0" w14:textId="77777777" w:rsidR="004412F1" w:rsidRDefault="004412F1">
      <w:pPr>
        <w:suppressLineNumbers/>
        <w:suppressAutoHyphens/>
        <w:ind w:left="900"/>
        <w:jc w:val="both"/>
        <w:rPr>
          <w:color w:val="000000"/>
          <w:lang w:val="es-ES"/>
        </w:rPr>
      </w:pPr>
    </w:p>
    <w:p w14:paraId="58A61EB3" w14:textId="77777777" w:rsidR="004412F1" w:rsidRDefault="005A12A3">
      <w:pPr>
        <w:suppressLineNumbers/>
        <w:suppressAutoHyphens/>
        <w:ind w:left="993"/>
        <w:jc w:val="both"/>
        <w:rPr>
          <w:color w:val="000000"/>
          <w:lang w:val="es-ES"/>
        </w:rPr>
      </w:pPr>
      <w:r>
        <w:rPr>
          <w:color w:val="000000"/>
          <w:lang w:val="es-ES"/>
        </w:rPr>
        <w:t>La controversia se resolverá a través de arbitraje nacional, siendo de aplicación los Reglamentos del Centro de Arbitraje de la Cámara de Comercio de Lima, en todo lo no previsto en el presente Contrato.</w:t>
      </w:r>
    </w:p>
    <w:p w14:paraId="77F4A8F8" w14:textId="77777777" w:rsidR="004412F1" w:rsidRDefault="004412F1">
      <w:pPr>
        <w:ind w:left="993"/>
        <w:jc w:val="both"/>
        <w:rPr>
          <w:color w:val="000000"/>
          <w:lang w:val="es-PE"/>
        </w:rPr>
      </w:pPr>
    </w:p>
    <w:p w14:paraId="00031A2C" w14:textId="77777777" w:rsidR="004412F1" w:rsidRDefault="005A12A3">
      <w:pPr>
        <w:numPr>
          <w:ilvl w:val="0"/>
          <w:numId w:val="151"/>
        </w:numPr>
        <w:suppressLineNumbers/>
        <w:suppressAutoHyphens/>
        <w:ind w:left="993" w:hanging="288"/>
        <w:jc w:val="both"/>
        <w:rPr>
          <w:b/>
          <w:color w:val="000000"/>
          <w:lang w:val="es-ES"/>
        </w:rPr>
      </w:pPr>
      <w:bookmarkStart w:id="2595" w:name="_2ijv8qh" w:colFirst="0" w:colLast="0"/>
      <w:bookmarkStart w:id="2596" w:name="_Ref272506413"/>
      <w:bookmarkEnd w:id="2595"/>
      <w:r>
        <w:rPr>
          <w:color w:val="000000"/>
          <w:lang w:val="es-PE"/>
        </w:rPr>
        <w:t xml:space="preserve">Arbitraje de </w:t>
      </w:r>
      <w:proofErr w:type="gramStart"/>
      <w:r>
        <w:rPr>
          <w:color w:val="000000"/>
          <w:lang w:val="es-PE"/>
        </w:rPr>
        <w:t>Derecho.-</w:t>
      </w:r>
      <w:proofErr w:type="gramEnd"/>
      <w:r>
        <w:rPr>
          <w:color w:val="000000"/>
          <w:lang w:val="es-PE"/>
        </w:rPr>
        <w:t xml:space="preserve"> Las Controversias No-Técnicas serán resueltas mediante arbitraje de derecho, procedimiento en el cual los árbitros deberán resolver de conformidad con la legislación peruana aplicable.  El arbitraje de derecho podrá ser local o internacional, </w:t>
      </w:r>
      <w:proofErr w:type="gramStart"/>
      <w:r>
        <w:rPr>
          <w:color w:val="000000"/>
          <w:lang w:val="es-PE"/>
        </w:rPr>
        <w:t>de acuerdo a</w:t>
      </w:r>
      <w:proofErr w:type="gramEnd"/>
      <w:r>
        <w:rPr>
          <w:color w:val="000000"/>
          <w:lang w:val="es-PE"/>
        </w:rPr>
        <w:t xml:space="preserve"> lo siguiente:</w:t>
      </w:r>
      <w:bookmarkEnd w:id="2596"/>
    </w:p>
    <w:p w14:paraId="120FC901" w14:textId="77777777" w:rsidR="004412F1" w:rsidRDefault="004412F1">
      <w:pPr>
        <w:ind w:left="992"/>
        <w:jc w:val="both"/>
        <w:rPr>
          <w:color w:val="000000"/>
          <w:lang w:val="es-PE"/>
        </w:rPr>
      </w:pPr>
    </w:p>
    <w:p w14:paraId="029ED5A1" w14:textId="33D34BE0" w:rsidR="004412F1" w:rsidRDefault="005A12A3">
      <w:pPr>
        <w:numPr>
          <w:ilvl w:val="0"/>
          <w:numId w:val="152"/>
        </w:numPr>
        <w:suppressLineNumbers/>
        <w:suppressAutoHyphens/>
        <w:ind w:left="1418" w:hanging="425"/>
        <w:jc w:val="both"/>
        <w:rPr>
          <w:color w:val="000000"/>
          <w:lang w:val="es-ES"/>
        </w:rPr>
      </w:pPr>
      <w:r>
        <w:rPr>
          <w:color w:val="000000"/>
          <w:lang w:val="es-PE"/>
        </w:rPr>
        <w:t xml:space="preserve">Cuando las Controversias No-Técnicas tengan un monto involucrado superior a Treinta Millones y 00/100 </w:t>
      </w:r>
      <w:proofErr w:type="gramStart"/>
      <w:r>
        <w:rPr>
          <w:color w:val="000000"/>
          <w:lang w:val="es-PE"/>
        </w:rPr>
        <w:t>Dólares</w:t>
      </w:r>
      <w:proofErr w:type="gramEnd"/>
      <w:r>
        <w:rPr>
          <w:color w:val="000000"/>
          <w:lang w:val="es-PE"/>
        </w:rPr>
        <w:t xml:space="preserve"> (US$ 30’000,000.00) o su equivalente en moneda nacional, las Partes tratarán de resolver dicha controversia vía trato directo dentro del plazo establecido en la Cláusula </w:t>
      </w:r>
      <w:r w:rsidR="00A350C4">
        <w:rPr>
          <w:color w:val="000000"/>
          <w:lang w:val="es-PE"/>
        </w:rPr>
        <w:t>19.11</w:t>
      </w:r>
      <w:r>
        <w:rPr>
          <w:color w:val="000000"/>
          <w:lang w:val="es-PE"/>
        </w:rPr>
        <w:t xml:space="preserve"> para el caso del arbitraje internacional, pudiendo ampliarse por decisión conjunta de las Partes en los términos establecidos</w:t>
      </w:r>
    </w:p>
    <w:p w14:paraId="22762D83" w14:textId="77777777" w:rsidR="004412F1" w:rsidRDefault="004412F1">
      <w:pPr>
        <w:suppressLineNumbers/>
        <w:suppressAutoHyphens/>
        <w:ind w:left="1712"/>
        <w:jc w:val="both"/>
        <w:rPr>
          <w:color w:val="000000"/>
          <w:lang w:val="es-ES"/>
        </w:rPr>
      </w:pPr>
    </w:p>
    <w:p w14:paraId="2ABCB646" w14:textId="77777777" w:rsidR="004412F1" w:rsidRDefault="005A12A3">
      <w:pPr>
        <w:numPr>
          <w:ilvl w:val="0"/>
          <w:numId w:val="152"/>
        </w:numPr>
        <w:suppressLineNumbers/>
        <w:suppressAutoHyphens/>
        <w:ind w:left="1418" w:hanging="425"/>
        <w:jc w:val="both"/>
        <w:rPr>
          <w:color w:val="000000"/>
          <w:lang w:val="es-ES"/>
        </w:rPr>
      </w:pPr>
      <w:r>
        <w:rPr>
          <w:color w:val="000000"/>
          <w:lang w:val="es-PE"/>
        </w:rPr>
        <w:t>En</w:t>
      </w:r>
      <w:r>
        <w:rPr>
          <w:color w:val="000000"/>
          <w:lang w:val="es-ES"/>
        </w:rPr>
        <w:t xml:space="preserve"> caso las Partes no se pusieran de acuerdo dentro del plazo de trato directo referido en el párrafo precedente, las controversias suscitada serán resueltas mediante arbitraje internacional de derecho, administrado  por el Centro Internacional de Arreglo de Diferencias Relativas a Inversiones (CIADI), siendo aplicables para este caso el reglamento y las reglas CIADI aplicables a los procedimientos de Arbitraje establecidas en el Convenio sobre Arreglo de Diferencias Relativas a Inversiones entre Estados y Nacionales de otros Estados, aprobado por el Perú mediante Resolución Legislativa Nº 26210, a cuyas Normas las Partes se someten incondicionalmente. Alternativamente, las Partes podrán acordar someter la controversia a otro fuero distinto al del CIADI si así lo estimaran conveniente.</w:t>
      </w:r>
    </w:p>
    <w:p w14:paraId="24A96CB1" w14:textId="77777777" w:rsidR="004412F1" w:rsidRDefault="004412F1">
      <w:pPr>
        <w:ind w:left="1712"/>
        <w:jc w:val="both"/>
        <w:rPr>
          <w:color w:val="000000"/>
          <w:lang w:val="es-ES"/>
        </w:rPr>
      </w:pPr>
    </w:p>
    <w:p w14:paraId="12BB888D" w14:textId="77777777" w:rsidR="004412F1" w:rsidRDefault="005A12A3">
      <w:pPr>
        <w:numPr>
          <w:ilvl w:val="0"/>
          <w:numId w:val="152"/>
        </w:numPr>
        <w:suppressLineNumbers/>
        <w:suppressAutoHyphens/>
        <w:ind w:left="1418" w:hanging="425"/>
        <w:jc w:val="both"/>
        <w:rPr>
          <w:color w:val="000000"/>
          <w:lang w:val="es-PE"/>
        </w:rPr>
      </w:pPr>
      <w:r>
        <w:rPr>
          <w:color w:val="000000"/>
          <w:lang w:val="es-PE"/>
        </w:rPr>
        <w:t xml:space="preserve">Para efectos de tramitar los procedimientos de arbitraje internacional de derecho, de conformidad con las reglas de arbitraje del CIADI, el CONCEDENTE en representación del Estado de la República del Perú declara que al CONCESIONARIO se le considerará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 </w:t>
      </w:r>
    </w:p>
    <w:p w14:paraId="3F723492" w14:textId="77777777" w:rsidR="004412F1" w:rsidRDefault="004412F1">
      <w:pPr>
        <w:ind w:left="1712"/>
        <w:jc w:val="both"/>
        <w:rPr>
          <w:color w:val="000000"/>
          <w:sz w:val="16"/>
          <w:lang w:val="es-PE"/>
        </w:rPr>
      </w:pPr>
    </w:p>
    <w:p w14:paraId="1B578EBC" w14:textId="77777777" w:rsidR="004412F1" w:rsidRDefault="005A12A3" w:rsidP="00E03735">
      <w:pPr>
        <w:numPr>
          <w:ilvl w:val="0"/>
          <w:numId w:val="152"/>
        </w:numPr>
        <w:suppressLineNumbers/>
        <w:suppressAutoHyphens/>
        <w:ind w:left="1418" w:hanging="425"/>
        <w:jc w:val="both"/>
        <w:rPr>
          <w:color w:val="000000"/>
          <w:lang w:val="es-PE"/>
        </w:rPr>
      </w:pPr>
      <w:r>
        <w:rPr>
          <w:color w:val="000000"/>
          <w:lang w:val="es-PE"/>
        </w:rPr>
        <w:t>El arbitraje tendrá lugar en la ciudad de Washington D.C., Estados Unidos de América, y será conducido en idioma castellano; sin perjuicio de que esta decisión dependa de aspectos prácticos como la elección de la firma de abogados, la disponibilidad de árbitros, expertos y testigos que se conocerán una vez iniciado el arbitraje.</w:t>
      </w:r>
    </w:p>
    <w:p w14:paraId="090B7B3F" w14:textId="77777777" w:rsidR="004412F1" w:rsidRDefault="004412F1">
      <w:pPr>
        <w:ind w:left="1712"/>
        <w:jc w:val="both"/>
        <w:rPr>
          <w:color w:val="000000"/>
          <w:lang w:val="es-PE"/>
        </w:rPr>
      </w:pPr>
    </w:p>
    <w:p w14:paraId="1883D52A" w14:textId="77777777" w:rsidR="004412F1" w:rsidRDefault="005A12A3">
      <w:pPr>
        <w:numPr>
          <w:ilvl w:val="0"/>
          <w:numId w:val="152"/>
        </w:numPr>
        <w:suppressLineNumbers/>
        <w:suppressAutoHyphens/>
        <w:ind w:left="1418" w:hanging="425"/>
        <w:jc w:val="both"/>
        <w:rPr>
          <w:color w:val="000000"/>
          <w:lang w:val="es-PE"/>
        </w:rPr>
      </w:pPr>
      <w:r>
        <w:rPr>
          <w:color w:val="000000"/>
          <w:lang w:val="es-PE"/>
        </w:rPr>
        <w:lastRenderedPageBreak/>
        <w:t xml:space="preserve">Si por cualquier razón CIADI declinara registrar el arbitraje promovido en virtud de la presente Cláusula, las Partes de manera anticipada aceptan someter, en los mismos términos antes señalados, las Controversias No Técnicas que: (a) tengan un monto involucrado superior a Treinta Millones y 00/100 Dólares (US$ 30’000,000.00) o su equivalente en moneda nacional, o (b) las Partes no estén de acuerdo sobre la cuantía de la materia controvertida, </w:t>
      </w:r>
      <w:r>
        <w:rPr>
          <w:color w:val="000000"/>
          <w:lang w:val="es-ES"/>
        </w:rPr>
        <w:t>al Reglamento</w:t>
      </w:r>
      <w:r>
        <w:rPr>
          <w:color w:val="000000"/>
          <w:lang w:val="es-PE"/>
        </w:rPr>
        <w:t xml:space="preserve">de Arbitraje del UNCITRAL </w:t>
      </w:r>
      <w:r>
        <w:rPr>
          <w:color w:val="000000"/>
          <w:lang w:val="es-ES"/>
        </w:rPr>
        <w:t>(siglas en inglés) o CNUDMI (siglas en castellano)</w:t>
      </w:r>
      <w:r>
        <w:rPr>
          <w:color w:val="000000"/>
          <w:lang w:val="es-PE"/>
        </w:rPr>
        <w:t>. En ese caso el arbitraje se llevará a cabo en Lima, Perú, en idioma Castellano, siendo aplicable la Ley Peruana.</w:t>
      </w:r>
    </w:p>
    <w:p w14:paraId="1495655B" w14:textId="77777777" w:rsidR="004412F1" w:rsidRDefault="004412F1">
      <w:pPr>
        <w:ind w:left="1712"/>
        <w:jc w:val="both"/>
        <w:rPr>
          <w:color w:val="000000"/>
          <w:lang w:val="es-PE"/>
        </w:rPr>
      </w:pPr>
    </w:p>
    <w:p w14:paraId="425E1745" w14:textId="77777777" w:rsidR="004412F1" w:rsidRDefault="005A12A3">
      <w:pPr>
        <w:numPr>
          <w:ilvl w:val="0"/>
          <w:numId w:val="152"/>
        </w:numPr>
        <w:suppressLineNumbers/>
        <w:suppressAutoHyphens/>
        <w:ind w:left="1418" w:hanging="425"/>
        <w:jc w:val="both"/>
        <w:rPr>
          <w:color w:val="000000"/>
          <w:lang w:val="es-PE"/>
        </w:rPr>
      </w:pPr>
      <w:r>
        <w:rPr>
          <w:color w:val="000000"/>
          <w:lang w:val="es-PE"/>
        </w:rPr>
        <w:t xml:space="preserve">Las Controversias No-Técnicas en las que el monto involucrado sea igual o menor a Treinta Millones y 00/100 </w:t>
      </w:r>
      <w:proofErr w:type="gramStart"/>
      <w:r>
        <w:rPr>
          <w:color w:val="000000"/>
          <w:lang w:val="es-PE"/>
        </w:rPr>
        <w:t>Dólares</w:t>
      </w:r>
      <w:proofErr w:type="gramEnd"/>
      <w:r>
        <w:rPr>
          <w:color w:val="000000"/>
          <w:lang w:val="es-PE"/>
        </w:rPr>
        <w:t xml:space="preserve"> (US$ 30’000,000.00), o su equivalente en moneda nacional, y aquellas controversias de puro derecho que no son cuantificables en dinero, serán resueltas mediante arbitraje de derecho, a través de un procedimiento que se seguirá de conformidad con los Reglamentos del Centro de Arbitraje de la Cámara de Comercio de Lima, a cuyas normas las Partes se someten incondicionalmente. Las Partes podrán someter las controversias a las reglas o procedimientos de otra institución distinta a la Cámara de Comercio de Lima, para ello se requerirá acuerdo expreso que deberá constar por escrito. El lugar del arbitraje será la ciudad de Lima, capital de la República del Perú; el idioma oficial a utilizarse será el castellano; y la ley aplicable, la ley peruana.</w:t>
      </w:r>
    </w:p>
    <w:p w14:paraId="2EAF8949" w14:textId="77777777" w:rsidR="004412F1" w:rsidRDefault="004412F1">
      <w:pPr>
        <w:ind w:left="1712"/>
        <w:jc w:val="both"/>
        <w:rPr>
          <w:b/>
          <w:color w:val="000000"/>
          <w:lang w:val="es-PE"/>
        </w:rPr>
      </w:pPr>
    </w:p>
    <w:p w14:paraId="1F32797B" w14:textId="77777777" w:rsidR="004412F1" w:rsidRDefault="005A12A3">
      <w:pPr>
        <w:pStyle w:val="Ttulo2"/>
        <w:ind w:left="0"/>
        <w:jc w:val="both"/>
        <w:rPr>
          <w:rFonts w:ascii="Arial" w:eastAsia="Arial" w:hAnsi="Arial" w:cs="Arial"/>
          <w:b/>
          <w:bCs/>
          <w:u w:val="none"/>
        </w:rPr>
      </w:pPr>
      <w:bookmarkStart w:id="2597" w:name="_xp5iya"/>
      <w:bookmarkStart w:id="2598" w:name="_Toc139294822"/>
      <w:bookmarkStart w:id="2599" w:name="_Toc196630235"/>
      <w:bookmarkStart w:id="2600" w:name="_Toc209499288"/>
      <w:bookmarkStart w:id="2601" w:name="_Toc468837720"/>
      <w:bookmarkStart w:id="2602" w:name="_Toc140089421"/>
      <w:bookmarkEnd w:id="2597"/>
      <w:r>
        <w:rPr>
          <w:rFonts w:ascii="Arial" w:eastAsia="Arial" w:hAnsi="Arial" w:cs="Arial"/>
          <w:b/>
          <w:bCs/>
          <w:u w:val="none"/>
        </w:rPr>
        <w:t>REGLAS PROCEDIMENTALES COMUNES</w:t>
      </w:r>
      <w:bookmarkEnd w:id="2598"/>
      <w:bookmarkEnd w:id="2599"/>
      <w:bookmarkEnd w:id="2600"/>
      <w:bookmarkEnd w:id="2601"/>
      <w:bookmarkEnd w:id="2602"/>
    </w:p>
    <w:p w14:paraId="6E6B33DB" w14:textId="77777777" w:rsidR="004412F1" w:rsidRDefault="004412F1">
      <w:pPr>
        <w:ind w:firstLine="4"/>
        <w:jc w:val="both"/>
      </w:pPr>
    </w:p>
    <w:p w14:paraId="21B14009" w14:textId="77777777" w:rsidR="004412F1" w:rsidRDefault="005A12A3">
      <w:pPr>
        <w:numPr>
          <w:ilvl w:val="1"/>
          <w:numId w:val="149"/>
        </w:numPr>
        <w:tabs>
          <w:tab w:val="left" w:pos="709"/>
        </w:tabs>
        <w:ind w:left="709" w:hanging="709"/>
        <w:jc w:val="both"/>
        <w:rPr>
          <w:lang w:val="es-PE"/>
        </w:rPr>
      </w:pPr>
      <w:r>
        <w:rPr>
          <w:lang w:val="es-PE"/>
        </w:rPr>
        <w:t>Tanto para el Arbitraje de Conciencia a que se refiere el Literal a) de la Cláusula 19.12 como para el Arbitraje de Derecho a que se refiere el Literal b) de la Cláusula 19.12, ya sea en su modalidad internacional o nacional, se aplicarán por igual las siguientes disposiciones generales:</w:t>
      </w:r>
    </w:p>
    <w:p w14:paraId="27F26D44" w14:textId="77777777" w:rsidR="004412F1" w:rsidRDefault="004412F1">
      <w:pPr>
        <w:jc w:val="both"/>
        <w:rPr>
          <w:lang w:val="es-PE"/>
        </w:rPr>
      </w:pPr>
    </w:p>
    <w:p w14:paraId="1A5694EF" w14:textId="77777777" w:rsidR="004412F1" w:rsidRDefault="005A12A3" w:rsidP="00E03735">
      <w:pPr>
        <w:numPr>
          <w:ilvl w:val="0"/>
          <w:numId w:val="153"/>
        </w:numPr>
        <w:suppressLineNumbers/>
        <w:suppressAutoHyphens/>
        <w:ind w:left="1134" w:hanging="425"/>
        <w:jc w:val="both"/>
        <w:rPr>
          <w:color w:val="000000"/>
          <w:lang w:val="es-ES"/>
        </w:rPr>
      </w:pPr>
      <w:r>
        <w:rPr>
          <w:color w:val="000000"/>
          <w:lang w:val="es-ES"/>
        </w:rPr>
        <w:t>El Tribunal Arbitral estará integrado por tres (3) miembros, elegirán preferentemente a un (01) profesional con una experiencia mínima de cinco (05) años en la materia controvertida o a un abogado con experiencia en materia de regulación o concesiones, según la naturaleza de la controversia. El requisito señalado no es de aplicación cuando se trate de controversias a las que sean aplicables los mecanismos y procedimientos de solución de controversias a que se refieren la Ley N° 28933, Ley que establece el Sistema de Coordinación y Respuesta del Estado en Controversias Internacionales de Inversión, o aquellos previstos en los tratados internacionales que obligan al Estado Peruano.</w:t>
      </w:r>
    </w:p>
    <w:p w14:paraId="069C5664" w14:textId="77777777" w:rsidR="004412F1" w:rsidRDefault="005A12A3" w:rsidP="00E03735">
      <w:pPr>
        <w:suppressLineNumbers/>
        <w:suppressAutoHyphens/>
        <w:ind w:left="1134"/>
        <w:jc w:val="both"/>
        <w:rPr>
          <w:color w:val="000000"/>
          <w:lang w:val="es-ES"/>
        </w:rPr>
      </w:pPr>
      <w:r>
        <w:rPr>
          <w:color w:val="000000"/>
          <w:lang w:val="es-ES"/>
        </w:rPr>
        <w:t xml:space="preserve">Cada Parte designará a un árbitro en un plazo no mayor a sesenta (60) Días de requerida y el tercero será designado por acuerdo de los dos árbitros designados por las Partes, quien a su vez se desempeñará como </w:t>
      </w:r>
      <w:proofErr w:type="gramStart"/>
      <w:r>
        <w:rPr>
          <w:color w:val="000000"/>
          <w:lang w:val="es-ES"/>
        </w:rPr>
        <w:t>Presidente</w:t>
      </w:r>
      <w:proofErr w:type="gramEnd"/>
      <w:r>
        <w:rPr>
          <w:color w:val="000000"/>
          <w:lang w:val="es-ES"/>
        </w:rPr>
        <w:t xml:space="preserve"> del Tribunal Arbitral. Si una de las Partes no cumpliera con designar a su Arbitro, o si los dos árbitros nombrados por las Partes no llegasen a un acuerdo sobre el nombramiento del tercer árbitro dentro de los diez (10) Días siguientes a la petición formal de arbitraje por una de las Partes o a la fecha del nombramiento del segundo árbitro, el segundo y/o el tercer árbitro será designado, a pedido de cualquiera de las Partes por la Cámara de Comercio de Lima, en el caso del Arbitraje de Conciencia, el Arbitraje de Derecho nacional, y de manera excepcional actuará como entidad nominadora, en el </w:t>
      </w:r>
      <w:r>
        <w:rPr>
          <w:color w:val="000000"/>
          <w:lang w:val="es-ES"/>
        </w:rPr>
        <w:lastRenderedPageBreak/>
        <w:t xml:space="preserve">caso  del Arbitraje promovido bajo las reglas UNCITRAL (CNUDMI); o por el CIADI en el caso del Arbitraje de Derecho internacional. </w:t>
      </w:r>
    </w:p>
    <w:p w14:paraId="36AAEB55" w14:textId="77777777" w:rsidR="004412F1" w:rsidRDefault="004412F1">
      <w:pPr>
        <w:suppressLineNumbers/>
        <w:suppressAutoHyphens/>
        <w:ind w:left="284"/>
        <w:jc w:val="both"/>
        <w:rPr>
          <w:color w:val="000000"/>
          <w:sz w:val="24"/>
          <w:lang w:val="es-ES"/>
        </w:rPr>
      </w:pPr>
    </w:p>
    <w:p w14:paraId="5612EDC6" w14:textId="77777777" w:rsidR="004412F1" w:rsidRDefault="005A12A3" w:rsidP="00E03735">
      <w:pPr>
        <w:numPr>
          <w:ilvl w:val="0"/>
          <w:numId w:val="153"/>
        </w:numPr>
        <w:suppressLineNumbers/>
        <w:suppressAutoHyphens/>
        <w:ind w:left="1134" w:hanging="425"/>
        <w:jc w:val="both"/>
        <w:rPr>
          <w:color w:val="000000"/>
          <w:lang w:val="es-ES"/>
        </w:rPr>
      </w:pPr>
      <w:r>
        <w:rPr>
          <w:color w:val="000000"/>
          <w:lang w:val="es-ES"/>
        </w:rPr>
        <w:t xml:space="preserve">Sin perjuicio de los actos administrativos a que se refiere la Cláusula </w:t>
      </w:r>
      <w:r>
        <w:rPr>
          <w:color w:val="000000"/>
          <w:lang w:val="es-PE"/>
        </w:rPr>
        <w:t>19.2,</w:t>
      </w:r>
      <w:r>
        <w:rPr>
          <w:color w:val="000000"/>
          <w:lang w:val="es-ES"/>
        </w:rPr>
        <w:t xml:space="preserve"> que están exceptuados de la presente sección, el Tribunal Arbitral puede suplir, a su discreción, cualquier diferencia o vacío existente en la legislación o en el Contrato, mediante la aplicación de los principios generales del derecho y los Convenios, Convenciones y/o Tratados de los que la República del Perú sea signatario.</w:t>
      </w:r>
    </w:p>
    <w:p w14:paraId="2F38B33A" w14:textId="77777777" w:rsidR="004412F1" w:rsidRDefault="004412F1">
      <w:pPr>
        <w:suppressLineNumbers/>
        <w:suppressAutoHyphens/>
        <w:jc w:val="both"/>
        <w:rPr>
          <w:color w:val="000000"/>
          <w:lang w:val="es-PE"/>
        </w:rPr>
      </w:pPr>
    </w:p>
    <w:p w14:paraId="2D4079EF" w14:textId="77777777" w:rsidR="004412F1" w:rsidRDefault="005A12A3" w:rsidP="00E03735">
      <w:pPr>
        <w:numPr>
          <w:ilvl w:val="0"/>
          <w:numId w:val="153"/>
        </w:numPr>
        <w:suppressLineNumbers/>
        <w:suppressAutoHyphens/>
        <w:ind w:left="1134" w:hanging="425"/>
        <w:jc w:val="both"/>
        <w:rPr>
          <w:color w:val="000000"/>
          <w:lang w:val="es-PE"/>
        </w:rPr>
      </w:pPr>
      <w:r>
        <w:rPr>
          <w:color w:val="000000"/>
          <w:lang w:val="es-PE"/>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reconsideración, apelación, casación o cualquier otro medio impugnatorio contra el laudo arbitral declarando que éste será obligatorio, de definitivo cumplimiento y de ejecución inmediata, salvo </w:t>
      </w:r>
      <w:r>
        <w:rPr>
          <w:color w:val="000000"/>
          <w:lang w:val="es-ES"/>
        </w:rPr>
        <w:t xml:space="preserve">en los recursos previstos en la Sección 5 del </w:t>
      </w:r>
      <w:r>
        <w:rPr>
          <w:color w:val="000000"/>
          <w:lang w:val="es-PE"/>
        </w:rPr>
        <w:t>Capítulo</w:t>
      </w:r>
      <w:r>
        <w:rPr>
          <w:color w:val="000000"/>
          <w:lang w:val="es-ES"/>
        </w:rPr>
        <w:t xml:space="preserve"> IV del Convenio sobre Arreglo de Diferencias Relativas a Inversiones entre Estados y Nacionales de otros Estados y </w:t>
      </w:r>
      <w:r>
        <w:rPr>
          <w:color w:val="000000"/>
          <w:lang w:val="es-PE"/>
        </w:rPr>
        <w:t xml:space="preserve">en las causales taxativamente previstas en el artículo 63 del  Decreto Legislativo N° 1071 y en el Convenio de Reglas de Arbitraje CIADI, cuando sea de aplicación.  </w:t>
      </w:r>
    </w:p>
    <w:p w14:paraId="1D9292B4" w14:textId="77777777" w:rsidR="004412F1" w:rsidRDefault="004412F1">
      <w:pPr>
        <w:suppressLineNumbers/>
        <w:suppressAutoHyphens/>
        <w:ind w:left="364" w:firstLine="4"/>
        <w:jc w:val="both"/>
        <w:rPr>
          <w:color w:val="000000"/>
          <w:lang w:val="es-PE"/>
        </w:rPr>
      </w:pPr>
    </w:p>
    <w:p w14:paraId="1B12C4CE" w14:textId="77777777" w:rsidR="004412F1" w:rsidRDefault="005A12A3" w:rsidP="00E03735">
      <w:pPr>
        <w:numPr>
          <w:ilvl w:val="0"/>
          <w:numId w:val="153"/>
        </w:numPr>
        <w:suppressLineNumbers/>
        <w:suppressAutoHyphens/>
        <w:ind w:left="1134" w:hanging="425"/>
        <w:jc w:val="both"/>
        <w:rPr>
          <w:color w:val="000000"/>
          <w:lang w:val="es-ES"/>
        </w:rPr>
      </w:pPr>
      <w:r>
        <w:rPr>
          <w:color w:val="000000"/>
          <w:lang w:val="es-ES"/>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w:t>
      </w:r>
      <w:r>
        <w:rPr>
          <w:color w:val="000000"/>
          <w:lang w:val="es-PE"/>
        </w:rPr>
        <w:t>cualquiera de las Garantía de Fiel Cumplimiento</w:t>
      </w:r>
      <w:r>
        <w:rPr>
          <w:color w:val="000000"/>
          <w:lang w:val="es-ES"/>
        </w:rPr>
        <w:t>, si fuera aplicable, quedará en suspenso el plazo respectivo y tales garantías no podrán ser ejecutadas por el motivo que suscitó el arbitraje y deberán ser mantenidas vigente durante el procedimiento arbitral.</w:t>
      </w:r>
    </w:p>
    <w:p w14:paraId="3A14DC44" w14:textId="77777777" w:rsidR="004412F1" w:rsidRDefault="004412F1">
      <w:pPr>
        <w:suppressLineNumbers/>
        <w:suppressAutoHyphens/>
        <w:ind w:left="709"/>
        <w:jc w:val="both"/>
        <w:rPr>
          <w:color w:val="000000"/>
          <w:lang w:val="es-ES"/>
        </w:rPr>
      </w:pPr>
    </w:p>
    <w:p w14:paraId="4D52F6D7" w14:textId="77777777" w:rsidR="004412F1" w:rsidRDefault="005A12A3" w:rsidP="00E03735">
      <w:pPr>
        <w:numPr>
          <w:ilvl w:val="0"/>
          <w:numId w:val="153"/>
        </w:numPr>
        <w:suppressLineNumbers/>
        <w:suppressAutoHyphens/>
        <w:ind w:left="1134" w:hanging="425"/>
        <w:jc w:val="both"/>
        <w:rPr>
          <w:color w:val="000000"/>
          <w:lang w:val="es-ES"/>
        </w:rPr>
      </w:pPr>
      <w:r>
        <w:rPr>
          <w:color w:val="000000"/>
          <w:lang w:val="es-ES"/>
        </w:rPr>
        <w:t>El Tribunal Arbitral tendrá la obligación de permitir la participación del REGULADOR en aquellos procesos arbitrales en los que se discutan decisiones o materias vinculadas a su competencia. En tal supuesto el REGULADOR podrá emplear mecanismos procesales de defensa reconocidos en las Leyes y Disposiciones Aplicables sin perjuicio de que actúe bajo el principio de autonomía normativa establecido en la Ley N° 27332 y su ley de creación, excepto cuando se trate de controversias a las que sean aplicables los mecanismos y procedimientos de solución de controversias a que se refieren la Ley N° 28933, Ley que establece el Sistema de Coordinación y Respuesta del Estado en Controversias Internacionales de Inversión, o aquellos previstos en los tratados internacionales que obligan al Estado Peruano.</w:t>
      </w:r>
    </w:p>
    <w:p w14:paraId="02D483A8" w14:textId="77777777" w:rsidR="004412F1" w:rsidRDefault="004412F1">
      <w:pPr>
        <w:suppressLineNumbers/>
        <w:suppressAutoHyphens/>
        <w:ind w:left="364" w:firstLine="4"/>
        <w:jc w:val="both"/>
        <w:rPr>
          <w:color w:val="000000"/>
          <w:lang w:val="es-PE"/>
        </w:rPr>
      </w:pPr>
    </w:p>
    <w:p w14:paraId="2DCB6693" w14:textId="77777777" w:rsidR="004412F1" w:rsidRDefault="005A12A3">
      <w:pPr>
        <w:numPr>
          <w:ilvl w:val="1"/>
          <w:numId w:val="149"/>
        </w:numPr>
        <w:suppressLineNumbers/>
        <w:suppressAutoHyphens/>
        <w:ind w:left="709" w:hanging="709"/>
        <w:jc w:val="both"/>
        <w:rPr>
          <w:lang w:val="es-PE"/>
        </w:rPr>
      </w:pPr>
      <w:r>
        <w:rPr>
          <w:lang w:val="es-PE"/>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w:t>
      </w:r>
      <w:r>
        <w:rPr>
          <w:lang w:val="es-PE"/>
        </w:rPr>
        <w:lastRenderedPageBreak/>
        <w:t>parcialmente a las posiciones de las Partes, el Tribunal Arbitral decidirá la distribución de los referidos gastos.</w:t>
      </w:r>
    </w:p>
    <w:p w14:paraId="6F2AE520" w14:textId="77777777" w:rsidR="004412F1" w:rsidRDefault="004412F1">
      <w:pPr>
        <w:ind w:left="284"/>
        <w:jc w:val="both"/>
        <w:rPr>
          <w:color w:val="000000"/>
          <w:sz w:val="24"/>
          <w:lang w:val="es-PE"/>
        </w:rPr>
      </w:pPr>
    </w:p>
    <w:p w14:paraId="5BA4F7A8" w14:textId="77777777" w:rsidR="004412F1" w:rsidRDefault="005A12A3">
      <w:pPr>
        <w:ind w:left="709"/>
        <w:jc w:val="both"/>
        <w:rPr>
          <w:color w:val="000000"/>
          <w:lang w:val="es-PE"/>
        </w:rPr>
      </w:pPr>
      <w:r>
        <w:rPr>
          <w:color w:val="000000"/>
          <w:lang w:val="es-PE"/>
        </w:rPr>
        <w:t>Se excluyen de lo dispuesto en esta Cláusula los costos y gastos tales como honorarios de asesores, costos internos u otros que resulten imputables a una Parte de manera individual.</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47"/>
      <w:bookmarkEnd w:id="2548"/>
    </w:p>
    <w:p w14:paraId="62BDCBC2" w14:textId="77777777" w:rsidR="004412F1" w:rsidRDefault="004412F1">
      <w:pPr>
        <w:ind w:left="284"/>
        <w:jc w:val="both"/>
        <w:rPr>
          <w:color w:val="000000"/>
          <w:lang w:val="es-PE"/>
        </w:rPr>
      </w:pPr>
    </w:p>
    <w:p w14:paraId="263EC89D" w14:textId="77777777" w:rsidR="004412F1" w:rsidRDefault="004412F1">
      <w:pPr>
        <w:ind w:left="284"/>
        <w:jc w:val="both"/>
        <w:rPr>
          <w:color w:val="000000"/>
          <w:lang w:val="es-PE"/>
        </w:rPr>
      </w:pPr>
    </w:p>
    <w:p w14:paraId="51A30188" w14:textId="77777777" w:rsidR="004412F1" w:rsidRDefault="005A12A3">
      <w:pPr>
        <w:pStyle w:val="Ttulo1"/>
      </w:pPr>
      <w:bookmarkStart w:id="2603" w:name="_3hot1m3"/>
      <w:bookmarkStart w:id="2604" w:name="_Toc117079876"/>
      <w:bookmarkStart w:id="2605" w:name="_Toc82860258"/>
      <w:bookmarkStart w:id="2606" w:name="_Toc468837721"/>
      <w:bookmarkStart w:id="2607" w:name="_Toc82860861"/>
      <w:bookmarkStart w:id="2608" w:name="_Toc82858992"/>
      <w:bookmarkStart w:id="2609" w:name="_Toc82860459"/>
      <w:bookmarkStart w:id="2610" w:name="_Toc120419462"/>
      <w:bookmarkStart w:id="2611" w:name="_Toc82859211"/>
      <w:bookmarkStart w:id="2612" w:name="_Toc82858771"/>
      <w:bookmarkStart w:id="2613" w:name="_Toc139294823"/>
      <w:bookmarkStart w:id="2614" w:name="_Toc82859640"/>
      <w:bookmarkStart w:id="2615" w:name="_Toc82860053"/>
      <w:bookmarkStart w:id="2616" w:name="_Toc82859847"/>
      <w:bookmarkStart w:id="2617" w:name="_Toc82859427"/>
      <w:bookmarkStart w:id="2618" w:name="_Toc140089422"/>
      <w:bookmarkStart w:id="2619" w:name="_Toc131328046"/>
      <w:bookmarkStart w:id="2620" w:name="_Toc131329430"/>
      <w:bookmarkStart w:id="2621" w:name="_Toc131328862"/>
      <w:bookmarkStart w:id="2622" w:name="_Toc131329198"/>
      <w:bookmarkStart w:id="2623" w:name="_Toc131330017"/>
      <w:bookmarkStart w:id="2624" w:name="_Toc131332104"/>
      <w:bookmarkStart w:id="2625" w:name="_Toc55906424"/>
      <w:bookmarkStart w:id="2626" w:name="_Toc131333025"/>
      <w:bookmarkEnd w:id="2603"/>
      <w:r>
        <w:t>CAPÍTULO XX: MODIFICACIONES AL CONTRATO</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bookmarkEnd w:id="2619"/>
    <w:bookmarkEnd w:id="2620"/>
    <w:bookmarkEnd w:id="2621"/>
    <w:bookmarkEnd w:id="2622"/>
    <w:bookmarkEnd w:id="2623"/>
    <w:bookmarkEnd w:id="2624"/>
    <w:bookmarkEnd w:id="2625"/>
    <w:bookmarkEnd w:id="2626"/>
    <w:p w14:paraId="757E97B8" w14:textId="77777777" w:rsidR="004412F1" w:rsidRDefault="004412F1">
      <w:pPr>
        <w:ind w:left="360"/>
        <w:jc w:val="both"/>
      </w:pPr>
    </w:p>
    <w:p w14:paraId="148F5B78" w14:textId="77777777" w:rsidR="004412F1" w:rsidRDefault="005A12A3">
      <w:pPr>
        <w:keepNext/>
        <w:keepLines/>
        <w:numPr>
          <w:ilvl w:val="1"/>
          <w:numId w:val="154"/>
        </w:numPr>
        <w:tabs>
          <w:tab w:val="left" w:pos="709"/>
        </w:tabs>
        <w:ind w:left="709" w:hanging="709"/>
        <w:jc w:val="both"/>
        <w:rPr>
          <w:lang w:val="es-ES"/>
        </w:rPr>
      </w:pPr>
      <w:r>
        <w:rPr>
          <w:color w:val="000000"/>
          <w:lang w:val="es-PE"/>
        </w:rPr>
        <w:t>Las modificaciones al Contrato de Concesión serán válidas cuando sean acordadas por escrito y suscritas por los representantes debidamente autorizados de las partes, mediante una adenda</w:t>
      </w:r>
      <w:r>
        <w:rPr>
          <w:color w:val="000000"/>
          <w:lang w:val="es-ES"/>
        </w:rPr>
        <w:t xml:space="preserve">, por causa debidamente </w:t>
      </w:r>
      <w:r>
        <w:rPr>
          <w:color w:val="000000"/>
          <w:lang w:val="es-PE"/>
        </w:rPr>
        <w:t>fundadas</w:t>
      </w:r>
      <w:r>
        <w:rPr>
          <w:color w:val="000000"/>
          <w:lang w:val="es-ES"/>
        </w:rPr>
        <w:t xml:space="preserve">, manteniendo las condiciones de competencia del proceso de promoción y el </w:t>
      </w:r>
      <w:r>
        <w:rPr>
          <w:color w:val="000000"/>
          <w:lang w:val="es-PE"/>
        </w:rPr>
        <w:t>equilibrio</w:t>
      </w:r>
      <w:r>
        <w:rPr>
          <w:color w:val="000000"/>
          <w:lang w:val="es-ES"/>
        </w:rPr>
        <w:t xml:space="preserve"> económico financiero de las prestaciones a cargo de las </w:t>
      </w:r>
      <w:r>
        <w:rPr>
          <w:color w:val="000000"/>
          <w:lang w:val="es-PE"/>
        </w:rPr>
        <w:t>partes</w:t>
      </w:r>
      <w:r>
        <w:rPr>
          <w:color w:val="000000"/>
          <w:lang w:val="es-ES"/>
        </w:rPr>
        <w:t>,</w:t>
      </w:r>
      <w:r>
        <w:rPr>
          <w:color w:val="000000"/>
          <w:lang w:val="es-PE"/>
        </w:rPr>
        <w:t xml:space="preserve"> </w:t>
      </w:r>
      <w:r>
        <w:rPr>
          <w:color w:val="000000"/>
          <w:lang w:val="es-ES"/>
        </w:rPr>
        <w:t xml:space="preserve">procurando no alterar asignación de riesgos </w:t>
      </w:r>
      <w:r>
        <w:rPr>
          <w:color w:val="000000"/>
          <w:lang w:val="es-PE"/>
        </w:rPr>
        <w:t>ni</w:t>
      </w:r>
      <w:r>
        <w:rPr>
          <w:color w:val="000000"/>
          <w:lang w:val="es-ES"/>
        </w:rPr>
        <w:t xml:space="preserve"> naturaleza del proyecto</w:t>
      </w:r>
      <w:r>
        <w:rPr>
          <w:color w:val="000000"/>
          <w:lang w:val="es-PE"/>
        </w:rPr>
        <w:t>, y cumpliendo con los requisitos pertinentes de las Leyes y Disposiciones Aplicables</w:t>
      </w:r>
      <w:r>
        <w:rPr>
          <w:color w:val="000000"/>
          <w:lang w:val="es-ES"/>
        </w:rPr>
        <w:t>.</w:t>
      </w:r>
    </w:p>
    <w:p w14:paraId="5AB4B42D" w14:textId="77777777" w:rsidR="004412F1" w:rsidRDefault="004412F1">
      <w:pPr>
        <w:jc w:val="both"/>
        <w:rPr>
          <w:color w:val="000000"/>
          <w:lang w:val="es-PE"/>
        </w:rPr>
      </w:pPr>
      <w:bookmarkStart w:id="2627" w:name="_1wu3btw" w:colFirst="0" w:colLast="0"/>
      <w:bookmarkStart w:id="2628" w:name="_Toc134448907"/>
      <w:bookmarkEnd w:id="2627"/>
    </w:p>
    <w:p w14:paraId="61711B48" w14:textId="77777777" w:rsidR="004412F1" w:rsidRDefault="005A12A3">
      <w:pPr>
        <w:numPr>
          <w:ilvl w:val="1"/>
          <w:numId w:val="154"/>
        </w:numPr>
        <w:ind w:left="709" w:hanging="709"/>
        <w:jc w:val="both"/>
        <w:rPr>
          <w:color w:val="000000"/>
          <w:lang w:val="es-PE"/>
        </w:rPr>
      </w:pPr>
      <w:r>
        <w:rPr>
          <w:color w:val="000000"/>
          <w:lang w:val="es-PE"/>
        </w:rPr>
        <w:t>Toda Solicitud de enmienda, adición o modificación del Contrato de Concesión por cualquiera de las Partes del Contrato de Concesión deberá ser presentada a la otra parte del Contrato de Concesión, con copia al REGULADOR, con el debido sustento técnico, legal, económico y financiero, de conformidad con el el Reglamento del Decreto Legislativo N° 1362 aprobado por Decreto Supremo N°240-2018-EF, las Leyes y Disposiciones Aplicables y normas modificatorias y/o sustitutorias.</w:t>
      </w:r>
    </w:p>
    <w:p w14:paraId="4B307970" w14:textId="77777777" w:rsidR="004412F1" w:rsidRDefault="004412F1">
      <w:pPr>
        <w:jc w:val="both"/>
        <w:rPr>
          <w:color w:val="000000"/>
          <w:lang w:val="es-PE"/>
        </w:rPr>
      </w:pPr>
    </w:p>
    <w:p w14:paraId="1DAFA730" w14:textId="77777777" w:rsidR="004412F1" w:rsidRDefault="005A12A3">
      <w:pPr>
        <w:numPr>
          <w:ilvl w:val="1"/>
          <w:numId w:val="154"/>
        </w:numPr>
        <w:ind w:left="709" w:hanging="709"/>
        <w:jc w:val="both"/>
        <w:rPr>
          <w:color w:val="000000"/>
          <w:lang w:val="es-PE"/>
        </w:rPr>
      </w:pPr>
      <w:bookmarkStart w:id="2629" w:name="_4gtquhp" w:colFirst="0" w:colLast="0"/>
      <w:bookmarkEnd w:id="2629"/>
      <w:r>
        <w:rPr>
          <w:color w:val="000000"/>
          <w:lang w:val="es-PE"/>
        </w:rPr>
        <w:t xml:space="preserve">Sin </w:t>
      </w:r>
      <w:r>
        <w:rPr>
          <w:color w:val="000000"/>
          <w:lang w:val="es-ES"/>
        </w:rPr>
        <w:t>perjuicio</w:t>
      </w:r>
      <w:r>
        <w:rPr>
          <w:color w:val="000000"/>
          <w:lang w:val="es-PE"/>
        </w:rPr>
        <w:t xml:space="preserve"> de lo dispuesto en el presente CAPÍTULO, para la tramitación de las modificaciones contractuales es de aplicación al presente Contrato las disposiciones y procedimiento contenido en el Decreto Legislativo No. 1362 y su Reglamento, así como en las Leyes y Disposiciones Aplicables que los modifiquen, complementen o sustituyan.</w:t>
      </w:r>
    </w:p>
    <w:p w14:paraId="76ADACAF" w14:textId="77777777" w:rsidR="004412F1" w:rsidRDefault="004412F1">
      <w:pPr>
        <w:rPr>
          <w:lang w:val="es-PE"/>
        </w:rPr>
      </w:pPr>
    </w:p>
    <w:p w14:paraId="7FC6A404" w14:textId="77777777" w:rsidR="004412F1" w:rsidRDefault="005A12A3">
      <w:pPr>
        <w:pStyle w:val="Ttulo1"/>
        <w:jc w:val="both"/>
      </w:pPr>
      <w:bookmarkStart w:id="2630" w:name="_2vz14pi"/>
      <w:bookmarkStart w:id="2631" w:name="_Toc468837722"/>
      <w:bookmarkStart w:id="2632" w:name="_Toc139294824"/>
      <w:bookmarkStart w:id="2633" w:name="_Toc140089423"/>
      <w:bookmarkEnd w:id="2630"/>
      <w:r>
        <w:t>CAPÍTULO XXI: DOMICILIOS</w:t>
      </w:r>
      <w:bookmarkEnd w:id="2628"/>
      <w:bookmarkEnd w:id="2631"/>
      <w:bookmarkEnd w:id="2632"/>
      <w:bookmarkEnd w:id="2633"/>
    </w:p>
    <w:p w14:paraId="028F23C5" w14:textId="77777777" w:rsidR="004412F1" w:rsidRDefault="004412F1">
      <w:pPr>
        <w:jc w:val="both"/>
        <w:rPr>
          <w:lang w:val="es-ES"/>
        </w:rPr>
      </w:pPr>
    </w:p>
    <w:p w14:paraId="485BE8D9" w14:textId="77777777" w:rsidR="004412F1" w:rsidRDefault="005A12A3">
      <w:pPr>
        <w:pStyle w:val="Ttulo2"/>
        <w:ind w:left="0"/>
        <w:jc w:val="both"/>
        <w:rPr>
          <w:b/>
          <w:bCs/>
        </w:rPr>
      </w:pPr>
      <w:bookmarkStart w:id="2634" w:name="_1b4bexb" w:colFirst="0" w:colLast="0"/>
      <w:bookmarkStart w:id="2635" w:name="_Toc131328864"/>
      <w:bookmarkStart w:id="2636" w:name="_Toc131329432"/>
      <w:bookmarkStart w:id="2637" w:name="_Toc131329200"/>
      <w:bookmarkStart w:id="2638" w:name="_Toc131333027"/>
      <w:bookmarkStart w:id="2639" w:name="_Toc131332106"/>
      <w:bookmarkStart w:id="2640" w:name="_Toc131328048"/>
      <w:bookmarkStart w:id="2641" w:name="_Toc55906426"/>
      <w:bookmarkStart w:id="2642" w:name="_Toc131330019"/>
      <w:bookmarkStart w:id="2643" w:name="_Toc139294825"/>
      <w:bookmarkStart w:id="2644" w:name="_Toc140089424"/>
      <w:bookmarkEnd w:id="2634"/>
      <w:r>
        <w:rPr>
          <w:rFonts w:ascii="Arial" w:eastAsia="Arial" w:hAnsi="Arial"/>
          <w:b/>
        </w:rPr>
        <w:t>FIJACIÓN</w:t>
      </w:r>
      <w:bookmarkEnd w:id="2635"/>
      <w:bookmarkEnd w:id="2636"/>
      <w:bookmarkEnd w:id="2637"/>
      <w:bookmarkEnd w:id="2638"/>
      <w:bookmarkEnd w:id="2639"/>
      <w:bookmarkEnd w:id="2640"/>
      <w:bookmarkEnd w:id="2641"/>
      <w:bookmarkEnd w:id="2642"/>
      <w:bookmarkEnd w:id="2643"/>
      <w:bookmarkEnd w:id="2644"/>
    </w:p>
    <w:p w14:paraId="0900B417" w14:textId="77777777" w:rsidR="004412F1" w:rsidRDefault="004412F1">
      <w:pPr>
        <w:jc w:val="both"/>
      </w:pPr>
    </w:p>
    <w:p w14:paraId="7B098602" w14:textId="77777777" w:rsidR="004412F1" w:rsidRDefault="005A12A3">
      <w:pPr>
        <w:numPr>
          <w:ilvl w:val="1"/>
          <w:numId w:val="155"/>
        </w:numPr>
        <w:jc w:val="both"/>
        <w:rPr>
          <w:color w:val="000000"/>
          <w:lang w:val="es-PE"/>
        </w:rPr>
      </w:pPr>
      <w:r>
        <w:rPr>
          <w:color w:val="000000"/>
          <w:lang w:val="es-PE"/>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p>
    <w:p w14:paraId="3766E8A6" w14:textId="77777777" w:rsidR="004412F1" w:rsidRDefault="004412F1">
      <w:pPr>
        <w:jc w:val="both"/>
        <w:rPr>
          <w:lang w:val="es-PE"/>
        </w:rPr>
      </w:pPr>
    </w:p>
    <w:p w14:paraId="01F7EDC4" w14:textId="77777777" w:rsidR="004412F1" w:rsidRDefault="005A12A3">
      <w:pPr>
        <w:ind w:left="705"/>
        <w:jc w:val="both"/>
        <w:rPr>
          <w:lang w:val="es-PE"/>
        </w:rPr>
      </w:pPr>
      <w:r>
        <w:rPr>
          <w:lang w:val="es-PE"/>
        </w:rPr>
        <w:t>Si va dirigida al CONCEDENTE:</w:t>
      </w:r>
    </w:p>
    <w:p w14:paraId="1F693A4B" w14:textId="77777777" w:rsidR="004412F1" w:rsidRDefault="005A12A3">
      <w:pPr>
        <w:ind w:left="705"/>
        <w:jc w:val="both"/>
        <w:rPr>
          <w:lang w:val="es-PE"/>
        </w:rPr>
      </w:pPr>
      <w:r>
        <w:rPr>
          <w:lang w:val="es-PE"/>
        </w:rPr>
        <w:t xml:space="preserve">Nombre: </w:t>
      </w:r>
      <w:r>
        <w:rPr>
          <w:lang w:val="es-PE"/>
        </w:rPr>
        <w:tab/>
        <w:t>Ministerio de Transportes y Comunicaciones.</w:t>
      </w:r>
    </w:p>
    <w:p w14:paraId="22EE0AAB" w14:textId="77777777" w:rsidR="004412F1" w:rsidRDefault="005A12A3">
      <w:pPr>
        <w:ind w:left="705"/>
        <w:jc w:val="both"/>
        <w:rPr>
          <w:lang w:val="es-PE"/>
        </w:rPr>
      </w:pPr>
      <w:r>
        <w:rPr>
          <w:lang w:val="es-PE"/>
        </w:rPr>
        <w:t xml:space="preserve">Dirección: </w:t>
      </w:r>
      <w:r>
        <w:rPr>
          <w:lang w:val="es-PE"/>
        </w:rPr>
        <w:tab/>
        <w:t>Jirón Zorritos Nº 1203, Lima 1.</w:t>
      </w:r>
    </w:p>
    <w:p w14:paraId="211C0E2D" w14:textId="77777777" w:rsidR="004412F1" w:rsidRDefault="005A12A3">
      <w:pPr>
        <w:ind w:left="705"/>
        <w:jc w:val="both"/>
        <w:rPr>
          <w:lang w:val="es-PE"/>
        </w:rPr>
      </w:pPr>
      <w:r>
        <w:rPr>
          <w:lang w:val="es-PE"/>
        </w:rPr>
        <w:t xml:space="preserve">Atención: </w:t>
      </w:r>
      <w:r>
        <w:rPr>
          <w:lang w:val="es-PE"/>
        </w:rPr>
        <w:tab/>
      </w:r>
      <w:proofErr w:type="gramStart"/>
      <w:r>
        <w:rPr>
          <w:lang w:val="es-PE"/>
        </w:rPr>
        <w:t>Director General</w:t>
      </w:r>
      <w:proofErr w:type="gramEnd"/>
      <w:r>
        <w:rPr>
          <w:lang w:val="es-PE"/>
        </w:rPr>
        <w:t xml:space="preserve"> de Concesiones en Transporte</w:t>
      </w:r>
    </w:p>
    <w:p w14:paraId="4C5895D6" w14:textId="77777777" w:rsidR="004412F1" w:rsidRDefault="004412F1">
      <w:pPr>
        <w:ind w:left="705"/>
        <w:jc w:val="both"/>
        <w:rPr>
          <w:lang w:val="es-PE"/>
        </w:rPr>
      </w:pPr>
    </w:p>
    <w:p w14:paraId="7D790323" w14:textId="77777777" w:rsidR="004412F1" w:rsidRDefault="004412F1">
      <w:pPr>
        <w:ind w:left="705"/>
        <w:jc w:val="both"/>
        <w:rPr>
          <w:lang w:val="es-PE"/>
        </w:rPr>
      </w:pPr>
    </w:p>
    <w:p w14:paraId="267A5219" w14:textId="77777777" w:rsidR="004412F1" w:rsidRDefault="005A12A3">
      <w:pPr>
        <w:ind w:left="705"/>
        <w:jc w:val="both"/>
        <w:rPr>
          <w:lang w:val="es-PE"/>
        </w:rPr>
      </w:pPr>
      <w:r>
        <w:rPr>
          <w:lang w:val="es-PE"/>
        </w:rPr>
        <w:t>Si va dirigida a EL CONCESIONARIO:</w:t>
      </w:r>
    </w:p>
    <w:p w14:paraId="3DAC50A4" w14:textId="77777777" w:rsidR="004412F1" w:rsidRDefault="005A12A3">
      <w:pPr>
        <w:ind w:left="705"/>
        <w:jc w:val="both"/>
        <w:rPr>
          <w:lang w:val="es-PE"/>
        </w:rPr>
      </w:pPr>
      <w:r>
        <w:rPr>
          <w:lang w:val="es-PE"/>
        </w:rPr>
        <w:t>Nombre:</w:t>
      </w:r>
    </w:p>
    <w:p w14:paraId="169E68F7" w14:textId="77777777" w:rsidR="004412F1" w:rsidRDefault="005A12A3">
      <w:pPr>
        <w:ind w:left="705"/>
        <w:jc w:val="both"/>
        <w:rPr>
          <w:lang w:val="es-PE"/>
        </w:rPr>
      </w:pPr>
      <w:r>
        <w:rPr>
          <w:lang w:val="es-PE"/>
        </w:rPr>
        <w:t>Dirección:</w:t>
      </w:r>
    </w:p>
    <w:p w14:paraId="562D86D9" w14:textId="77777777" w:rsidR="004412F1" w:rsidRDefault="005A12A3">
      <w:pPr>
        <w:ind w:left="705"/>
        <w:jc w:val="both"/>
        <w:rPr>
          <w:lang w:val="es-PE"/>
        </w:rPr>
      </w:pPr>
      <w:r>
        <w:rPr>
          <w:lang w:val="es-PE"/>
        </w:rPr>
        <w:t>Atención:</w:t>
      </w:r>
    </w:p>
    <w:p w14:paraId="2B9B18BC" w14:textId="77777777" w:rsidR="004412F1" w:rsidRDefault="004412F1">
      <w:pPr>
        <w:ind w:left="705"/>
        <w:jc w:val="both"/>
        <w:rPr>
          <w:lang w:val="es-PE"/>
        </w:rPr>
      </w:pPr>
    </w:p>
    <w:p w14:paraId="7810BF55" w14:textId="77777777" w:rsidR="004412F1" w:rsidRDefault="005A12A3">
      <w:pPr>
        <w:ind w:left="705"/>
        <w:jc w:val="both"/>
        <w:rPr>
          <w:lang w:val="es-PE"/>
        </w:rPr>
      </w:pPr>
      <w:r>
        <w:rPr>
          <w:lang w:val="es-PE"/>
        </w:rPr>
        <w:t>Si va dirigida al REGULADOR:</w:t>
      </w:r>
    </w:p>
    <w:p w14:paraId="35891452" w14:textId="77777777" w:rsidR="004412F1" w:rsidRDefault="005A12A3">
      <w:pPr>
        <w:tabs>
          <w:tab w:val="left" w:pos="2127"/>
        </w:tabs>
        <w:ind w:left="2127" w:hanging="1422"/>
        <w:jc w:val="both"/>
        <w:rPr>
          <w:lang w:val="es-PE"/>
        </w:rPr>
      </w:pPr>
      <w:r>
        <w:rPr>
          <w:lang w:val="es-PE"/>
        </w:rPr>
        <w:t xml:space="preserve">Nombre: </w:t>
      </w:r>
      <w:r>
        <w:rPr>
          <w:lang w:val="es-PE"/>
        </w:rPr>
        <w:tab/>
        <w:t>Organismo REGULADOR de la Inversión en Infraestructura de Transporte de Uso Público – OSITRAN</w:t>
      </w:r>
    </w:p>
    <w:p w14:paraId="66DD4BC1" w14:textId="77777777" w:rsidR="004412F1" w:rsidRDefault="005A12A3">
      <w:pPr>
        <w:ind w:left="705"/>
        <w:jc w:val="both"/>
        <w:rPr>
          <w:color w:val="000000"/>
          <w:lang w:val="es-PE"/>
        </w:rPr>
      </w:pPr>
      <w:r>
        <w:rPr>
          <w:lang w:val="es-PE"/>
        </w:rPr>
        <w:t xml:space="preserve">Dirección: </w:t>
      </w:r>
      <w:r>
        <w:rPr>
          <w:lang w:val="es-PE"/>
        </w:rPr>
        <w:tab/>
      </w:r>
      <w:r>
        <w:rPr>
          <w:color w:val="000000" w:themeColor="text1"/>
          <w:lang w:val="es-PE"/>
        </w:rPr>
        <w:t xml:space="preserve"> </w:t>
      </w:r>
    </w:p>
    <w:p w14:paraId="52B00D45" w14:textId="77777777" w:rsidR="004412F1" w:rsidRDefault="005A12A3">
      <w:pPr>
        <w:ind w:left="705"/>
        <w:jc w:val="both"/>
        <w:rPr>
          <w:lang w:val="es-PE"/>
        </w:rPr>
      </w:pPr>
      <w:r>
        <w:rPr>
          <w:lang w:val="es-PE"/>
        </w:rPr>
        <w:t>Atención:</w:t>
      </w:r>
      <w:r>
        <w:rPr>
          <w:lang w:val="es-PE"/>
        </w:rPr>
        <w:tab/>
        <w:t>Gerente de OSITRAN</w:t>
      </w:r>
    </w:p>
    <w:p w14:paraId="46F9E7F5" w14:textId="77777777" w:rsidR="004412F1" w:rsidRDefault="004412F1">
      <w:pPr>
        <w:rPr>
          <w:lang w:val="es-PE"/>
        </w:rPr>
      </w:pPr>
      <w:bookmarkStart w:id="2645" w:name="_3v3yxl4" w:colFirst="0" w:colLast="0"/>
      <w:bookmarkStart w:id="2646" w:name="_Toc55906427"/>
      <w:bookmarkEnd w:id="2645"/>
    </w:p>
    <w:p w14:paraId="7C447E50" w14:textId="77777777" w:rsidR="004412F1" w:rsidRDefault="005A12A3">
      <w:pPr>
        <w:pStyle w:val="Ttulo2"/>
        <w:ind w:left="0"/>
        <w:jc w:val="both"/>
        <w:rPr>
          <w:b/>
          <w:bCs/>
          <w:lang w:val="es-PE"/>
        </w:rPr>
      </w:pPr>
      <w:bookmarkStart w:id="2647" w:name="_2a997sx" w:colFirst="0" w:colLast="0"/>
      <w:bookmarkStart w:id="2648" w:name="_Toc131329201"/>
      <w:bookmarkStart w:id="2649" w:name="_Toc139294826"/>
      <w:bookmarkStart w:id="2650" w:name="_Toc131332107"/>
      <w:bookmarkStart w:id="2651" w:name="_Toc131329433"/>
      <w:bookmarkStart w:id="2652" w:name="_Toc131333028"/>
      <w:bookmarkStart w:id="2653" w:name="_Toc131330020"/>
      <w:bookmarkStart w:id="2654" w:name="_Toc131328049"/>
      <w:bookmarkStart w:id="2655" w:name="_Toc131328865"/>
      <w:bookmarkStart w:id="2656" w:name="_Toc140089425"/>
      <w:bookmarkEnd w:id="2647"/>
      <w:r>
        <w:rPr>
          <w:rFonts w:ascii="Arial" w:eastAsia="Arial" w:hAnsi="Arial"/>
          <w:b/>
          <w:u w:val="none"/>
          <w:lang w:val="es-PE"/>
        </w:rPr>
        <w:t>CAMBIOS DE DOMICILIO</w:t>
      </w:r>
      <w:bookmarkEnd w:id="2646"/>
      <w:bookmarkEnd w:id="2648"/>
      <w:bookmarkEnd w:id="2649"/>
      <w:bookmarkEnd w:id="2650"/>
      <w:bookmarkEnd w:id="2651"/>
      <w:bookmarkEnd w:id="2652"/>
      <w:bookmarkEnd w:id="2653"/>
      <w:bookmarkEnd w:id="2654"/>
      <w:bookmarkEnd w:id="2655"/>
      <w:bookmarkEnd w:id="2656"/>
    </w:p>
    <w:p w14:paraId="6AAEBADF" w14:textId="77777777" w:rsidR="004412F1" w:rsidRDefault="004412F1">
      <w:pPr>
        <w:jc w:val="both"/>
        <w:rPr>
          <w:lang w:val="es-PE"/>
        </w:rPr>
      </w:pPr>
    </w:p>
    <w:p w14:paraId="4C43E7EF" w14:textId="77777777" w:rsidR="004412F1" w:rsidRDefault="005A12A3">
      <w:pPr>
        <w:numPr>
          <w:ilvl w:val="1"/>
          <w:numId w:val="155"/>
        </w:numPr>
        <w:jc w:val="both"/>
        <w:rPr>
          <w:color w:val="000000"/>
          <w:lang w:val="es-PE"/>
        </w:rPr>
      </w:pPr>
      <w:r>
        <w:rPr>
          <w:color w:val="000000"/>
          <w:lang w:val="es-PE"/>
        </w:rPr>
        <w:t>Todo cambio de domicilio deberá ser comunicado por escrito a la otra Parte del Contrato y al REGULADOR.  Este nuevo domicilio deberá ser fijado cumpliendo los requisitos de la Cláusula precedente.</w:t>
      </w:r>
    </w:p>
    <w:p w14:paraId="64259D61" w14:textId="77777777" w:rsidR="004412F1" w:rsidRDefault="004412F1">
      <w:pPr>
        <w:jc w:val="both"/>
        <w:rPr>
          <w:lang w:val="es-PE"/>
        </w:rPr>
      </w:pPr>
    </w:p>
    <w:p w14:paraId="12137F1D" w14:textId="77777777" w:rsidR="004412F1" w:rsidRDefault="005A12A3">
      <w:pPr>
        <w:jc w:val="both"/>
        <w:rPr>
          <w:lang w:val="es-PE"/>
        </w:rPr>
      </w:pPr>
      <w:bookmarkStart w:id="2657" w:name="_peji0q"/>
      <w:bookmarkEnd w:id="2657"/>
      <w:r>
        <w:rPr>
          <w:lang w:val="es-PE"/>
        </w:rPr>
        <w:t>Firmado en Lima, en cuatro (4) ejemplares originales, uno para el CONCEDENTE, otro para el REGULADOR, uno para PROINVERSIÓN y el cuarto para el CONCESIONARIO, a los ....... días del mes de .................... de 202__.</w:t>
      </w:r>
      <w:bookmarkStart w:id="2658" w:name="_Toc131328053"/>
      <w:bookmarkStart w:id="2659" w:name="_Toc131329204"/>
      <w:bookmarkStart w:id="2660" w:name="_Toc131330023"/>
      <w:bookmarkStart w:id="2661" w:name="_Toc131332110"/>
      <w:bookmarkStart w:id="2662" w:name="_Toc131328869"/>
      <w:bookmarkStart w:id="2663" w:name="_Toc131333031"/>
      <w:bookmarkStart w:id="2664" w:name="_Toc131329436"/>
      <w:bookmarkStart w:id="2665" w:name="_Toc55906428"/>
    </w:p>
    <w:p w14:paraId="11002C18" w14:textId="77777777" w:rsidR="004412F1" w:rsidRDefault="004412F1">
      <w:pPr>
        <w:jc w:val="both"/>
        <w:rPr>
          <w:rFonts w:eastAsia="SimSun"/>
          <w:lang w:val="es-PE" w:eastAsia="zh-CN"/>
        </w:rPr>
      </w:pPr>
      <w:bookmarkStart w:id="2666" w:name="_39e70oj" w:colFirst="0" w:colLast="0"/>
      <w:bookmarkEnd w:id="2658"/>
      <w:bookmarkEnd w:id="2659"/>
      <w:bookmarkEnd w:id="2660"/>
      <w:bookmarkEnd w:id="2661"/>
      <w:bookmarkEnd w:id="2662"/>
      <w:bookmarkEnd w:id="2663"/>
      <w:bookmarkEnd w:id="2664"/>
      <w:bookmarkEnd w:id="2666"/>
    </w:p>
    <w:p w14:paraId="4EA83CCE" w14:textId="77777777" w:rsidR="004412F1" w:rsidRDefault="004412F1">
      <w:pPr>
        <w:jc w:val="both"/>
        <w:rPr>
          <w:rFonts w:eastAsia="SimSun"/>
          <w:lang w:val="es-PE" w:eastAsia="zh-CN"/>
        </w:rPr>
      </w:pPr>
    </w:p>
    <w:p w14:paraId="27318B7F" w14:textId="77777777" w:rsidR="004412F1" w:rsidRDefault="004412F1">
      <w:pPr>
        <w:jc w:val="both"/>
        <w:rPr>
          <w:rFonts w:eastAsia="SimSun"/>
          <w:lang w:val="es-PE" w:eastAsia="zh-CN"/>
        </w:rPr>
      </w:pPr>
    </w:p>
    <w:p w14:paraId="32C146C1" w14:textId="77777777" w:rsidR="004412F1" w:rsidRDefault="004412F1">
      <w:pPr>
        <w:jc w:val="both"/>
        <w:rPr>
          <w:rFonts w:eastAsia="SimSun"/>
          <w:lang w:val="es-PE" w:eastAsia="zh-CN"/>
        </w:rPr>
      </w:pPr>
    </w:p>
    <w:p w14:paraId="3BC415C2" w14:textId="77777777" w:rsidR="004412F1" w:rsidRDefault="004412F1">
      <w:pPr>
        <w:jc w:val="both"/>
        <w:rPr>
          <w:rFonts w:eastAsia="SimSun"/>
          <w:lang w:val="es-PE" w:eastAsia="zh-CN"/>
        </w:rPr>
      </w:pPr>
    </w:p>
    <w:p w14:paraId="6C837D6E" w14:textId="77777777" w:rsidR="004412F1" w:rsidRDefault="004412F1">
      <w:pPr>
        <w:jc w:val="both"/>
        <w:rPr>
          <w:rFonts w:eastAsia="SimSun"/>
          <w:lang w:val="es-PE" w:eastAsia="zh-CN"/>
        </w:rPr>
      </w:pPr>
    </w:p>
    <w:p w14:paraId="0B6FC985" w14:textId="77777777" w:rsidR="004412F1" w:rsidRDefault="004412F1">
      <w:pPr>
        <w:jc w:val="both"/>
        <w:rPr>
          <w:rFonts w:eastAsia="SimSun"/>
          <w:lang w:val="es-PE" w:eastAsia="zh-CN"/>
        </w:rPr>
      </w:pPr>
    </w:p>
    <w:p w14:paraId="5A929DCD" w14:textId="77777777" w:rsidR="004412F1" w:rsidRDefault="004412F1">
      <w:pPr>
        <w:jc w:val="both"/>
        <w:rPr>
          <w:rFonts w:eastAsia="SimSun"/>
          <w:lang w:val="es-PE" w:eastAsia="zh-CN"/>
        </w:rPr>
      </w:pPr>
    </w:p>
    <w:p w14:paraId="45BC9AF0" w14:textId="77777777" w:rsidR="004412F1" w:rsidRDefault="004412F1">
      <w:pPr>
        <w:jc w:val="both"/>
        <w:rPr>
          <w:rFonts w:eastAsia="SimSun"/>
          <w:lang w:val="es-PE" w:eastAsia="zh-CN"/>
        </w:rPr>
      </w:pPr>
    </w:p>
    <w:p w14:paraId="6F90BE61" w14:textId="77777777" w:rsidR="004412F1" w:rsidRDefault="004412F1">
      <w:pPr>
        <w:jc w:val="both"/>
        <w:rPr>
          <w:rFonts w:eastAsia="SimSun"/>
          <w:lang w:val="es-PE" w:eastAsia="zh-CN"/>
        </w:rPr>
      </w:pPr>
    </w:p>
    <w:p w14:paraId="1EE47D3C" w14:textId="77777777" w:rsidR="004412F1" w:rsidRDefault="004412F1">
      <w:pPr>
        <w:jc w:val="both"/>
        <w:rPr>
          <w:rFonts w:eastAsia="SimSun"/>
          <w:lang w:val="es-PE" w:eastAsia="zh-CN"/>
        </w:rPr>
      </w:pPr>
    </w:p>
    <w:p w14:paraId="3EA53326" w14:textId="77777777" w:rsidR="004412F1" w:rsidRDefault="004412F1">
      <w:pPr>
        <w:jc w:val="both"/>
        <w:rPr>
          <w:rFonts w:eastAsia="SimSun"/>
          <w:lang w:val="es-PE" w:eastAsia="zh-CN"/>
        </w:rPr>
      </w:pPr>
    </w:p>
    <w:p w14:paraId="62A8162A" w14:textId="77777777" w:rsidR="004412F1" w:rsidRDefault="004412F1">
      <w:pPr>
        <w:jc w:val="both"/>
        <w:rPr>
          <w:rFonts w:eastAsia="SimSun"/>
          <w:lang w:val="es-PE" w:eastAsia="zh-CN"/>
        </w:rPr>
      </w:pPr>
    </w:p>
    <w:p w14:paraId="65672F88" w14:textId="77777777" w:rsidR="004412F1" w:rsidRDefault="004412F1">
      <w:pPr>
        <w:jc w:val="both"/>
        <w:rPr>
          <w:rFonts w:eastAsia="SimSun"/>
          <w:lang w:val="es-PE" w:eastAsia="zh-CN"/>
        </w:rPr>
      </w:pPr>
    </w:p>
    <w:p w14:paraId="42977249" w14:textId="77777777" w:rsidR="004412F1" w:rsidRDefault="004412F1">
      <w:pPr>
        <w:jc w:val="both"/>
        <w:rPr>
          <w:rFonts w:eastAsia="SimSun"/>
          <w:lang w:val="es-PE" w:eastAsia="zh-CN"/>
        </w:rPr>
      </w:pPr>
    </w:p>
    <w:p w14:paraId="47083A5A" w14:textId="77777777" w:rsidR="004412F1" w:rsidRDefault="004412F1">
      <w:pPr>
        <w:jc w:val="both"/>
        <w:rPr>
          <w:rFonts w:eastAsia="SimSun"/>
          <w:lang w:val="es-PE" w:eastAsia="zh-CN"/>
        </w:rPr>
      </w:pPr>
    </w:p>
    <w:p w14:paraId="21B374C0" w14:textId="77777777" w:rsidR="004412F1" w:rsidRDefault="004412F1">
      <w:pPr>
        <w:jc w:val="both"/>
        <w:rPr>
          <w:rFonts w:eastAsia="SimSun"/>
          <w:lang w:val="es-PE" w:eastAsia="zh-CN"/>
        </w:rPr>
      </w:pPr>
    </w:p>
    <w:p w14:paraId="7C92AC5C" w14:textId="77777777" w:rsidR="004412F1" w:rsidRDefault="004412F1">
      <w:pPr>
        <w:jc w:val="both"/>
        <w:rPr>
          <w:rFonts w:eastAsia="SimSun"/>
          <w:lang w:val="es-PE" w:eastAsia="zh-CN"/>
        </w:rPr>
      </w:pPr>
    </w:p>
    <w:p w14:paraId="21EB319F" w14:textId="77777777" w:rsidR="004412F1" w:rsidRDefault="004412F1">
      <w:pPr>
        <w:jc w:val="both"/>
        <w:rPr>
          <w:rFonts w:eastAsia="SimSun"/>
          <w:lang w:val="es-PE" w:eastAsia="zh-CN"/>
        </w:rPr>
      </w:pPr>
    </w:p>
    <w:p w14:paraId="56DB5F53" w14:textId="77777777" w:rsidR="004412F1" w:rsidRDefault="004412F1">
      <w:pPr>
        <w:jc w:val="both"/>
        <w:rPr>
          <w:rFonts w:eastAsia="SimSun"/>
          <w:lang w:val="es-PE" w:eastAsia="zh-CN"/>
        </w:rPr>
      </w:pPr>
    </w:p>
    <w:p w14:paraId="38E4E6B1" w14:textId="77777777" w:rsidR="004412F1" w:rsidRDefault="004412F1">
      <w:pPr>
        <w:jc w:val="both"/>
        <w:rPr>
          <w:rFonts w:eastAsia="SimSun"/>
          <w:lang w:val="es-PE" w:eastAsia="zh-CN"/>
        </w:rPr>
      </w:pPr>
    </w:p>
    <w:p w14:paraId="1801D6E5" w14:textId="77777777" w:rsidR="00D01AFD" w:rsidRDefault="00D01AFD">
      <w:pPr>
        <w:jc w:val="both"/>
        <w:rPr>
          <w:rFonts w:eastAsia="SimSun"/>
          <w:lang w:val="es-PE" w:eastAsia="zh-CN"/>
        </w:rPr>
      </w:pPr>
    </w:p>
    <w:p w14:paraId="581BDF6F" w14:textId="77777777" w:rsidR="00D01AFD" w:rsidRDefault="00D01AFD">
      <w:pPr>
        <w:jc w:val="both"/>
        <w:rPr>
          <w:rFonts w:eastAsia="SimSun"/>
          <w:lang w:val="es-PE" w:eastAsia="zh-CN"/>
        </w:rPr>
      </w:pPr>
    </w:p>
    <w:p w14:paraId="7888167C" w14:textId="77777777" w:rsidR="00D01AFD" w:rsidRDefault="00D01AFD">
      <w:pPr>
        <w:jc w:val="both"/>
        <w:rPr>
          <w:rFonts w:eastAsia="SimSun"/>
          <w:lang w:val="es-PE" w:eastAsia="zh-CN"/>
        </w:rPr>
      </w:pPr>
    </w:p>
    <w:p w14:paraId="2B9C6660" w14:textId="77777777" w:rsidR="00D01AFD" w:rsidRDefault="00D01AFD">
      <w:pPr>
        <w:jc w:val="both"/>
        <w:rPr>
          <w:rFonts w:eastAsia="SimSun"/>
          <w:lang w:val="es-PE" w:eastAsia="zh-CN"/>
        </w:rPr>
      </w:pPr>
    </w:p>
    <w:p w14:paraId="4A016ED7" w14:textId="77777777" w:rsidR="00D01AFD" w:rsidRDefault="00D01AFD">
      <w:pPr>
        <w:jc w:val="both"/>
        <w:rPr>
          <w:rFonts w:eastAsia="SimSun"/>
          <w:lang w:val="es-PE" w:eastAsia="zh-CN"/>
        </w:rPr>
      </w:pPr>
    </w:p>
    <w:p w14:paraId="65158FF9" w14:textId="77777777" w:rsidR="00D01AFD" w:rsidRDefault="00D01AFD">
      <w:pPr>
        <w:jc w:val="both"/>
        <w:rPr>
          <w:rFonts w:eastAsia="SimSun"/>
          <w:lang w:val="es-PE" w:eastAsia="zh-CN"/>
        </w:rPr>
      </w:pPr>
    </w:p>
    <w:p w14:paraId="6C7D2B32" w14:textId="77777777" w:rsidR="00D01AFD" w:rsidRDefault="00D01AFD">
      <w:pPr>
        <w:jc w:val="both"/>
        <w:rPr>
          <w:rFonts w:eastAsia="SimSun"/>
          <w:lang w:val="es-PE" w:eastAsia="zh-CN"/>
        </w:rPr>
      </w:pPr>
    </w:p>
    <w:p w14:paraId="25B9EE2E" w14:textId="77777777" w:rsidR="00D01AFD" w:rsidRDefault="00D01AFD">
      <w:pPr>
        <w:jc w:val="both"/>
        <w:rPr>
          <w:rFonts w:eastAsia="SimSun"/>
          <w:lang w:val="es-PE" w:eastAsia="zh-CN"/>
        </w:rPr>
      </w:pPr>
    </w:p>
    <w:p w14:paraId="51992068" w14:textId="77777777" w:rsidR="00D01AFD" w:rsidRDefault="00D01AFD">
      <w:pPr>
        <w:jc w:val="both"/>
        <w:rPr>
          <w:rFonts w:eastAsia="SimSun"/>
          <w:lang w:val="es-PE" w:eastAsia="zh-CN"/>
        </w:rPr>
      </w:pPr>
    </w:p>
    <w:p w14:paraId="4072F196" w14:textId="77777777" w:rsidR="004412F1" w:rsidRDefault="004412F1">
      <w:pPr>
        <w:jc w:val="both"/>
        <w:rPr>
          <w:rFonts w:eastAsia="SimSun"/>
          <w:lang w:val="es-PE" w:eastAsia="zh-CN"/>
        </w:rPr>
      </w:pPr>
    </w:p>
    <w:p w14:paraId="14AAE6CE" w14:textId="77777777" w:rsidR="004412F1" w:rsidRDefault="004412F1">
      <w:pPr>
        <w:jc w:val="both"/>
        <w:rPr>
          <w:rFonts w:eastAsia="SimSun"/>
          <w:lang w:val="es-PE" w:eastAsia="zh-CN"/>
        </w:rPr>
      </w:pPr>
      <w:bookmarkStart w:id="2667" w:name="_Toc102405415"/>
    </w:p>
    <w:p w14:paraId="7B65221B" w14:textId="77777777" w:rsidR="004412F1" w:rsidRDefault="005A12A3">
      <w:pPr>
        <w:pStyle w:val="Ttulo1"/>
        <w:jc w:val="center"/>
        <w:rPr>
          <w:color w:val="000000"/>
          <w:lang w:val="pt-BR"/>
        </w:rPr>
      </w:pPr>
      <w:bookmarkStart w:id="2668" w:name="_ANEXO_I"/>
      <w:bookmarkStart w:id="2669" w:name="_Ref272156108"/>
      <w:bookmarkStart w:id="2670" w:name="_Ref272506265"/>
      <w:bookmarkStart w:id="2671" w:name="_Ref272156253"/>
      <w:bookmarkStart w:id="2672" w:name="_Ref272155481"/>
      <w:bookmarkStart w:id="2673" w:name="_Ref272156745"/>
      <w:bookmarkStart w:id="2674" w:name="_Ref272155876"/>
      <w:bookmarkStart w:id="2675" w:name="_Ref272156627"/>
      <w:bookmarkStart w:id="2676" w:name="_Ref272155974"/>
      <w:bookmarkStart w:id="2677" w:name="_Ref272745567"/>
      <w:bookmarkStart w:id="2678" w:name="_Ref272156315"/>
      <w:bookmarkStart w:id="2679" w:name="_Toc468837723"/>
      <w:bookmarkStart w:id="2680" w:name="_Ref272156238"/>
      <w:bookmarkStart w:id="2681" w:name="_Ref272156059"/>
      <w:bookmarkStart w:id="2682" w:name="_Ref272156185"/>
      <w:bookmarkStart w:id="2683" w:name="_Toc139294827"/>
      <w:bookmarkStart w:id="2684" w:name="_Ref272156332"/>
      <w:bookmarkStart w:id="2685" w:name="_Ref272155939"/>
      <w:bookmarkStart w:id="2686" w:name="_Toc140089426"/>
      <w:bookmarkStart w:id="2687" w:name="_Toc131333032"/>
      <w:bookmarkStart w:id="2688" w:name="_Toc134448911"/>
      <w:bookmarkStart w:id="2689" w:name="_Toc131328054"/>
      <w:bookmarkStart w:id="2690" w:name="_Toc131329437"/>
      <w:bookmarkStart w:id="2691" w:name="_Toc131332111"/>
      <w:bookmarkStart w:id="2692" w:name="_Toc131330024"/>
      <w:bookmarkStart w:id="2693" w:name="_Toc131329205"/>
      <w:bookmarkStart w:id="2694" w:name="_Toc131328870"/>
      <w:bookmarkEnd w:id="2668"/>
      <w:r>
        <w:rPr>
          <w:color w:val="000000"/>
          <w:lang w:val="pt-BR"/>
        </w:rPr>
        <w:t>ANEXO I</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14:paraId="71DA6BA1" w14:textId="77777777" w:rsidR="004412F1" w:rsidRDefault="004412F1">
      <w:pPr>
        <w:jc w:val="center"/>
        <w:rPr>
          <w:lang w:val="es-PE"/>
        </w:rPr>
      </w:pPr>
    </w:p>
    <w:p w14:paraId="635FE936" w14:textId="77777777" w:rsidR="004412F1" w:rsidRDefault="005A12A3">
      <w:pPr>
        <w:jc w:val="center"/>
        <w:rPr>
          <w:b/>
          <w:lang w:val="es-PE"/>
        </w:rPr>
      </w:pPr>
      <w:r>
        <w:rPr>
          <w:b/>
          <w:lang w:val="es-PE"/>
        </w:rPr>
        <w:t>PROCEDIMIENTOS PARA LA EXPLOTACIÓN Y PARA EL CONTROL DE LA GESTIÓN DEL CONCESIONARIO DE LA CARRETERA LONGITUDINAL DE LA SIERRA TRAMO 4: HUANCAYO-IZCUCHACA-MAYOCC-AYACUCHO/AYACUCHO-ANDAHUAYLAS-PTE SAHUINTO/DV. PISCO – HUAYTARÁ - AYACUCHO</w:t>
      </w:r>
    </w:p>
    <w:p w14:paraId="7182A1D8" w14:textId="77777777" w:rsidR="004412F1" w:rsidRDefault="004412F1">
      <w:pPr>
        <w:jc w:val="center"/>
        <w:rPr>
          <w:b/>
          <w:color w:val="000000"/>
          <w:lang w:val="es-ES"/>
        </w:rPr>
      </w:pPr>
    </w:p>
    <w:p w14:paraId="3B87C485" w14:textId="77777777" w:rsidR="004412F1" w:rsidRDefault="004412F1">
      <w:pPr>
        <w:jc w:val="center"/>
        <w:rPr>
          <w:lang w:val="es-PE"/>
        </w:rPr>
      </w:pPr>
    </w:p>
    <w:p w14:paraId="628AEF44" w14:textId="77777777" w:rsidR="004412F1" w:rsidRDefault="004412F1">
      <w:pPr>
        <w:jc w:val="center"/>
        <w:rPr>
          <w:lang w:val="es-PE"/>
        </w:rPr>
      </w:pPr>
    </w:p>
    <w:p w14:paraId="0709F273" w14:textId="77777777" w:rsidR="004412F1" w:rsidRDefault="004412F1">
      <w:pPr>
        <w:jc w:val="center"/>
        <w:rPr>
          <w:lang w:val="es-PE"/>
        </w:rPr>
      </w:pPr>
    </w:p>
    <w:p w14:paraId="23A6EB17" w14:textId="77777777" w:rsidR="004412F1" w:rsidRDefault="004412F1">
      <w:pPr>
        <w:jc w:val="center"/>
        <w:rPr>
          <w:lang w:val="es-PE"/>
        </w:rPr>
      </w:pPr>
    </w:p>
    <w:p w14:paraId="55958581" w14:textId="77777777" w:rsidR="004412F1" w:rsidRDefault="004412F1">
      <w:pPr>
        <w:jc w:val="center"/>
        <w:rPr>
          <w:lang w:val="es-PE"/>
        </w:rPr>
      </w:pPr>
    </w:p>
    <w:p w14:paraId="642F8FE3" w14:textId="77777777" w:rsidR="004412F1" w:rsidRDefault="004412F1">
      <w:pPr>
        <w:jc w:val="center"/>
        <w:rPr>
          <w:lang w:val="es-PE"/>
        </w:rPr>
      </w:pPr>
    </w:p>
    <w:p w14:paraId="0FAFD222" w14:textId="77777777" w:rsidR="004412F1" w:rsidRDefault="004412F1">
      <w:pPr>
        <w:jc w:val="center"/>
        <w:rPr>
          <w:lang w:val="es-PE"/>
        </w:rPr>
      </w:pPr>
    </w:p>
    <w:p w14:paraId="2E3EE230" w14:textId="77777777" w:rsidR="004412F1" w:rsidRDefault="004412F1">
      <w:pPr>
        <w:jc w:val="center"/>
        <w:rPr>
          <w:lang w:val="es-PE"/>
        </w:rPr>
      </w:pPr>
    </w:p>
    <w:p w14:paraId="3D781A90" w14:textId="77777777" w:rsidR="004412F1" w:rsidRDefault="004412F1">
      <w:pPr>
        <w:jc w:val="center"/>
        <w:rPr>
          <w:lang w:val="es-PE"/>
        </w:rPr>
      </w:pPr>
    </w:p>
    <w:p w14:paraId="439FD8F5" w14:textId="77777777" w:rsidR="004412F1" w:rsidRDefault="004412F1">
      <w:pPr>
        <w:jc w:val="center"/>
        <w:rPr>
          <w:lang w:val="es-PE"/>
        </w:rPr>
      </w:pPr>
    </w:p>
    <w:p w14:paraId="66531641" w14:textId="77777777" w:rsidR="004412F1" w:rsidRDefault="004412F1">
      <w:pPr>
        <w:jc w:val="center"/>
        <w:rPr>
          <w:lang w:val="es-PE"/>
        </w:rPr>
      </w:pPr>
    </w:p>
    <w:p w14:paraId="1C89A0FE" w14:textId="77777777" w:rsidR="004412F1" w:rsidRDefault="004412F1">
      <w:pPr>
        <w:jc w:val="center"/>
        <w:rPr>
          <w:lang w:val="es-PE"/>
        </w:rPr>
      </w:pPr>
    </w:p>
    <w:p w14:paraId="66F200E5" w14:textId="77777777" w:rsidR="004412F1" w:rsidRDefault="004412F1">
      <w:pPr>
        <w:jc w:val="center"/>
        <w:rPr>
          <w:lang w:val="es-PE"/>
        </w:rPr>
      </w:pPr>
    </w:p>
    <w:p w14:paraId="6D193C1D" w14:textId="77777777" w:rsidR="004412F1" w:rsidRDefault="004412F1">
      <w:pPr>
        <w:jc w:val="center"/>
        <w:rPr>
          <w:lang w:val="es-PE"/>
        </w:rPr>
      </w:pPr>
    </w:p>
    <w:p w14:paraId="7C240617" w14:textId="77777777" w:rsidR="004412F1" w:rsidRDefault="004412F1">
      <w:pPr>
        <w:jc w:val="center"/>
        <w:rPr>
          <w:lang w:val="es-PE"/>
        </w:rPr>
      </w:pPr>
    </w:p>
    <w:p w14:paraId="0D0A8D61" w14:textId="77777777" w:rsidR="004412F1" w:rsidRDefault="004412F1">
      <w:pPr>
        <w:jc w:val="center"/>
        <w:rPr>
          <w:lang w:val="es-PE"/>
        </w:rPr>
      </w:pPr>
    </w:p>
    <w:p w14:paraId="68DE80CD" w14:textId="77777777" w:rsidR="004412F1" w:rsidRDefault="004412F1">
      <w:pPr>
        <w:jc w:val="center"/>
        <w:rPr>
          <w:lang w:val="es-PE"/>
        </w:rPr>
      </w:pPr>
    </w:p>
    <w:p w14:paraId="3B002C03" w14:textId="77777777" w:rsidR="004412F1" w:rsidRDefault="004412F1">
      <w:pPr>
        <w:jc w:val="center"/>
        <w:rPr>
          <w:lang w:val="es-PE"/>
        </w:rPr>
      </w:pPr>
    </w:p>
    <w:p w14:paraId="10A54C61" w14:textId="77777777" w:rsidR="004412F1" w:rsidRDefault="004412F1">
      <w:pPr>
        <w:jc w:val="center"/>
        <w:rPr>
          <w:lang w:val="es-PE"/>
        </w:rPr>
      </w:pPr>
    </w:p>
    <w:p w14:paraId="306FDE2F" w14:textId="77777777" w:rsidR="004412F1" w:rsidRDefault="004412F1">
      <w:pPr>
        <w:jc w:val="center"/>
        <w:rPr>
          <w:lang w:val="es-PE"/>
        </w:rPr>
      </w:pPr>
    </w:p>
    <w:p w14:paraId="4EAB8CB6" w14:textId="77777777" w:rsidR="004412F1" w:rsidRDefault="004412F1">
      <w:pPr>
        <w:jc w:val="center"/>
        <w:rPr>
          <w:lang w:val="es-PE"/>
        </w:rPr>
      </w:pPr>
    </w:p>
    <w:p w14:paraId="26420194" w14:textId="77777777" w:rsidR="004412F1" w:rsidRDefault="004412F1">
      <w:pPr>
        <w:jc w:val="center"/>
        <w:rPr>
          <w:lang w:val="es-PE"/>
        </w:rPr>
      </w:pPr>
    </w:p>
    <w:p w14:paraId="4D434DFA" w14:textId="77777777" w:rsidR="004412F1" w:rsidRDefault="004412F1">
      <w:pPr>
        <w:jc w:val="center"/>
        <w:rPr>
          <w:lang w:val="es-PE"/>
        </w:rPr>
      </w:pPr>
    </w:p>
    <w:p w14:paraId="2A13470A" w14:textId="77777777" w:rsidR="004412F1" w:rsidRDefault="004412F1">
      <w:pPr>
        <w:jc w:val="center"/>
        <w:rPr>
          <w:lang w:val="es-PE"/>
        </w:rPr>
      </w:pPr>
    </w:p>
    <w:p w14:paraId="40990E98" w14:textId="77777777" w:rsidR="004412F1" w:rsidRDefault="004412F1">
      <w:pPr>
        <w:jc w:val="center"/>
        <w:rPr>
          <w:lang w:val="es-PE"/>
        </w:rPr>
      </w:pPr>
    </w:p>
    <w:p w14:paraId="4AD1AD64" w14:textId="77777777" w:rsidR="004412F1" w:rsidRDefault="004412F1">
      <w:pPr>
        <w:jc w:val="center"/>
        <w:rPr>
          <w:lang w:val="es-PE"/>
        </w:rPr>
      </w:pPr>
    </w:p>
    <w:p w14:paraId="68F5BCCD" w14:textId="77777777" w:rsidR="004412F1" w:rsidRDefault="004412F1">
      <w:pPr>
        <w:jc w:val="center"/>
        <w:rPr>
          <w:lang w:val="es-PE"/>
        </w:rPr>
      </w:pPr>
    </w:p>
    <w:p w14:paraId="3658FEC2" w14:textId="77777777" w:rsidR="004412F1" w:rsidRDefault="004412F1">
      <w:pPr>
        <w:jc w:val="center"/>
        <w:rPr>
          <w:lang w:val="es-PE"/>
        </w:rPr>
      </w:pPr>
    </w:p>
    <w:p w14:paraId="0F321CBD" w14:textId="77777777" w:rsidR="004412F1" w:rsidRDefault="004412F1">
      <w:pPr>
        <w:jc w:val="center"/>
        <w:rPr>
          <w:lang w:val="es-PE"/>
        </w:rPr>
      </w:pPr>
    </w:p>
    <w:p w14:paraId="10854459" w14:textId="77777777" w:rsidR="004412F1" w:rsidRDefault="004412F1">
      <w:pPr>
        <w:jc w:val="center"/>
        <w:rPr>
          <w:lang w:val="es-PE"/>
        </w:rPr>
      </w:pPr>
    </w:p>
    <w:p w14:paraId="639BBAF5" w14:textId="77777777" w:rsidR="004412F1" w:rsidRDefault="004412F1">
      <w:pPr>
        <w:jc w:val="center"/>
        <w:rPr>
          <w:lang w:val="es-PE"/>
        </w:rPr>
      </w:pPr>
    </w:p>
    <w:p w14:paraId="686044C9" w14:textId="77777777" w:rsidR="004412F1" w:rsidRDefault="004412F1">
      <w:pPr>
        <w:jc w:val="center"/>
        <w:rPr>
          <w:lang w:val="es-PE"/>
        </w:rPr>
      </w:pPr>
    </w:p>
    <w:p w14:paraId="503BAF8E" w14:textId="77777777" w:rsidR="004412F1" w:rsidRDefault="004412F1">
      <w:pPr>
        <w:jc w:val="center"/>
        <w:rPr>
          <w:lang w:val="es-PE"/>
        </w:rPr>
      </w:pPr>
    </w:p>
    <w:p w14:paraId="1CCAC0F1" w14:textId="77777777" w:rsidR="004412F1" w:rsidRDefault="004412F1">
      <w:pPr>
        <w:jc w:val="center"/>
        <w:rPr>
          <w:lang w:val="es-PE"/>
        </w:rPr>
      </w:pPr>
    </w:p>
    <w:p w14:paraId="295895AC" w14:textId="77777777" w:rsidR="004412F1" w:rsidRDefault="004412F1">
      <w:pPr>
        <w:jc w:val="center"/>
        <w:rPr>
          <w:lang w:val="es-PE"/>
        </w:rPr>
      </w:pPr>
    </w:p>
    <w:p w14:paraId="4672C332" w14:textId="77777777" w:rsidR="004412F1" w:rsidRDefault="004412F1">
      <w:pPr>
        <w:jc w:val="center"/>
        <w:rPr>
          <w:lang w:val="es-PE"/>
        </w:rPr>
      </w:pPr>
    </w:p>
    <w:p w14:paraId="3BB73B97" w14:textId="77777777" w:rsidR="004412F1" w:rsidRDefault="004412F1">
      <w:pPr>
        <w:jc w:val="center"/>
        <w:rPr>
          <w:lang w:val="es-PE"/>
        </w:rPr>
      </w:pPr>
    </w:p>
    <w:p w14:paraId="7F75F54E" w14:textId="77777777" w:rsidR="004412F1" w:rsidRDefault="004412F1">
      <w:pPr>
        <w:jc w:val="center"/>
        <w:rPr>
          <w:lang w:val="es-PE"/>
        </w:rPr>
      </w:pPr>
    </w:p>
    <w:p w14:paraId="6B50AF4A" w14:textId="77777777" w:rsidR="004412F1" w:rsidRDefault="004412F1">
      <w:pPr>
        <w:jc w:val="center"/>
        <w:rPr>
          <w:lang w:val="es-PE"/>
        </w:rPr>
      </w:pPr>
    </w:p>
    <w:p w14:paraId="116190C3" w14:textId="77777777" w:rsidR="004412F1" w:rsidRDefault="004412F1">
      <w:pPr>
        <w:jc w:val="center"/>
        <w:rPr>
          <w:lang w:val="es-PE"/>
        </w:rPr>
      </w:pPr>
    </w:p>
    <w:p w14:paraId="518A66F9" w14:textId="77777777" w:rsidR="004412F1" w:rsidRDefault="005A12A3">
      <w:pPr>
        <w:pStyle w:val="Ttulo2"/>
        <w:suppressLineNumbers/>
        <w:suppressAutoHyphens/>
        <w:ind w:left="0"/>
        <w:jc w:val="center"/>
        <w:rPr>
          <w:b/>
          <w:lang w:val="es-PE"/>
        </w:rPr>
      </w:pPr>
      <w:bookmarkStart w:id="2695" w:name="_Toc139294828"/>
      <w:bookmarkStart w:id="2696" w:name="_Toc140089427"/>
      <w:r>
        <w:rPr>
          <w:rFonts w:ascii="Arial" w:eastAsia="Arial" w:hAnsi="Arial"/>
          <w:b/>
          <w:lang w:val="es-PE"/>
        </w:rPr>
        <w:t>ÍNDICE</w:t>
      </w:r>
      <w:bookmarkEnd w:id="2695"/>
      <w:bookmarkEnd w:id="2696"/>
    </w:p>
    <w:p w14:paraId="459D4363" w14:textId="77777777" w:rsidR="004412F1" w:rsidRDefault="004412F1">
      <w:pPr>
        <w:tabs>
          <w:tab w:val="right" w:pos="8505"/>
        </w:tabs>
        <w:jc w:val="center"/>
        <w:rPr>
          <w:b/>
          <w:u w:val="single"/>
          <w:lang w:val="es-PE"/>
        </w:rPr>
      </w:pPr>
    </w:p>
    <w:p w14:paraId="3D2EFA24" w14:textId="77777777" w:rsidR="004412F1" w:rsidRDefault="004412F1">
      <w:pPr>
        <w:tabs>
          <w:tab w:val="right" w:pos="8505"/>
        </w:tabs>
        <w:jc w:val="center"/>
        <w:rPr>
          <w:b/>
          <w:u w:val="single"/>
          <w:lang w:val="es-PE"/>
        </w:rPr>
      </w:pPr>
    </w:p>
    <w:p w14:paraId="4E3F145D" w14:textId="77777777" w:rsidR="004412F1" w:rsidRDefault="005A12A3">
      <w:pPr>
        <w:tabs>
          <w:tab w:val="right" w:pos="8505"/>
        </w:tabs>
        <w:rPr>
          <w:u w:val="single"/>
          <w:lang w:val="es-PE"/>
        </w:rPr>
      </w:pPr>
      <w:r>
        <w:rPr>
          <w:u w:val="single"/>
          <w:lang w:val="es-PE"/>
        </w:rPr>
        <w:t>SECCIÓN 1: DE LA CONSERVACIÓN DE LA VÍA</w:t>
      </w:r>
    </w:p>
    <w:p w14:paraId="64FD1318" w14:textId="77777777" w:rsidR="004412F1" w:rsidRDefault="004412F1">
      <w:pPr>
        <w:tabs>
          <w:tab w:val="right" w:pos="8505"/>
        </w:tabs>
        <w:rPr>
          <w:lang w:val="es-PE"/>
        </w:rPr>
      </w:pPr>
    </w:p>
    <w:p w14:paraId="5BD25B5B" w14:textId="77777777" w:rsidR="004412F1" w:rsidRDefault="005A12A3">
      <w:pPr>
        <w:numPr>
          <w:ilvl w:val="0"/>
          <w:numId w:val="156"/>
        </w:numPr>
        <w:tabs>
          <w:tab w:val="left" w:pos="540"/>
          <w:tab w:val="right" w:pos="8505"/>
        </w:tabs>
      </w:pPr>
      <w:r>
        <w:t>INTRODUCCIÓN</w:t>
      </w:r>
    </w:p>
    <w:p w14:paraId="30079185" w14:textId="77777777" w:rsidR="004412F1" w:rsidRDefault="004412F1">
      <w:pPr>
        <w:tabs>
          <w:tab w:val="left" w:pos="540"/>
          <w:tab w:val="right" w:pos="8505"/>
        </w:tabs>
      </w:pPr>
    </w:p>
    <w:p w14:paraId="2D665E87" w14:textId="77777777" w:rsidR="004412F1" w:rsidRDefault="005A12A3">
      <w:pPr>
        <w:numPr>
          <w:ilvl w:val="0"/>
          <w:numId w:val="156"/>
        </w:numPr>
        <w:tabs>
          <w:tab w:val="left" w:pos="540"/>
          <w:tab w:val="right" w:pos="8505"/>
        </w:tabs>
      </w:pPr>
      <w:r>
        <w:t>CONSERVACIÓN POR NIVELES DE SERVICIO</w:t>
      </w:r>
    </w:p>
    <w:p w14:paraId="4B453842" w14:textId="77777777" w:rsidR="004412F1" w:rsidRDefault="004412F1">
      <w:pPr>
        <w:tabs>
          <w:tab w:val="left" w:pos="540"/>
          <w:tab w:val="right" w:pos="8505"/>
        </w:tabs>
        <w:ind w:left="288"/>
      </w:pPr>
    </w:p>
    <w:p w14:paraId="398C264D" w14:textId="77777777" w:rsidR="004412F1" w:rsidRDefault="005A12A3">
      <w:pPr>
        <w:numPr>
          <w:ilvl w:val="0"/>
          <w:numId w:val="156"/>
        </w:numPr>
        <w:tabs>
          <w:tab w:val="left" w:pos="540"/>
          <w:tab w:val="right" w:pos="8505"/>
        </w:tabs>
      </w:pPr>
      <w:r>
        <w:t>PROCEDIMIENTOS GENERALES</w:t>
      </w:r>
    </w:p>
    <w:p w14:paraId="50A62825" w14:textId="77777777" w:rsidR="004412F1" w:rsidRDefault="005A12A3">
      <w:pPr>
        <w:suppressLineNumbers/>
        <w:suppressAutoHyphens/>
        <w:ind w:firstLine="426"/>
        <w:jc w:val="both"/>
        <w:rPr>
          <w:color w:val="000000"/>
        </w:rPr>
      </w:pPr>
      <w:r>
        <w:rPr>
          <w:color w:val="000000"/>
        </w:rPr>
        <w:t>P</w:t>
      </w:r>
      <w:r>
        <w:rPr>
          <w:color w:val="000000"/>
          <w:lang w:val="es-ES"/>
        </w:rPr>
        <w:t>rogramas</w:t>
      </w:r>
      <w:r>
        <w:rPr>
          <w:color w:val="000000"/>
        </w:rPr>
        <w:t xml:space="preserve"> de Conservación</w:t>
      </w:r>
    </w:p>
    <w:p w14:paraId="115EFAEC" w14:textId="77777777" w:rsidR="004412F1" w:rsidRDefault="005A12A3">
      <w:pPr>
        <w:ind w:firstLine="426"/>
        <w:jc w:val="both"/>
        <w:rPr>
          <w:rFonts w:eastAsia="SimSun"/>
          <w:lang w:eastAsia="zh-CN"/>
        </w:rPr>
      </w:pPr>
      <w:r>
        <w:t>Incumplimientos</w:t>
      </w:r>
    </w:p>
    <w:p w14:paraId="03CCDD4B" w14:textId="77777777" w:rsidR="004412F1" w:rsidRDefault="005A12A3">
      <w:pPr>
        <w:ind w:firstLine="426"/>
        <w:jc w:val="both"/>
      </w:pPr>
      <w:r>
        <w:t>Comunicaciones</w:t>
      </w:r>
    </w:p>
    <w:p w14:paraId="65524A81" w14:textId="77777777" w:rsidR="004412F1" w:rsidRDefault="004412F1">
      <w:pPr>
        <w:tabs>
          <w:tab w:val="right" w:pos="8505"/>
        </w:tabs>
      </w:pPr>
    </w:p>
    <w:p w14:paraId="210122E9" w14:textId="77777777" w:rsidR="004412F1" w:rsidRDefault="005A12A3">
      <w:pPr>
        <w:numPr>
          <w:ilvl w:val="0"/>
          <w:numId w:val="156"/>
        </w:numPr>
        <w:tabs>
          <w:tab w:val="left" w:pos="426"/>
          <w:tab w:val="right" w:pos="8505"/>
        </w:tabs>
        <w:rPr>
          <w:lang w:val="es-PE"/>
        </w:rPr>
      </w:pPr>
      <w:r>
        <w:rPr>
          <w:lang w:val="es-PE"/>
        </w:rPr>
        <w:t>EVALUACIÓN DE LA GESTIÓN DE CONSERVACIÓN DE LA VÍA</w:t>
      </w:r>
    </w:p>
    <w:p w14:paraId="43A51BA3" w14:textId="77777777" w:rsidR="004412F1" w:rsidRDefault="005A12A3">
      <w:pPr>
        <w:suppressLineNumbers/>
        <w:suppressAutoHyphens/>
        <w:ind w:firstLine="426"/>
        <w:jc w:val="both"/>
        <w:rPr>
          <w:color w:val="000000"/>
          <w:lang w:val="es-PE"/>
        </w:rPr>
      </w:pPr>
      <w:r>
        <w:rPr>
          <w:color w:val="000000"/>
          <w:lang w:val="es-PE"/>
        </w:rPr>
        <w:t>Programa de Evaluación de la Gestión de Conservación de la Vía</w:t>
      </w:r>
    </w:p>
    <w:p w14:paraId="302211A2" w14:textId="77777777" w:rsidR="004412F1" w:rsidRDefault="005A12A3">
      <w:pPr>
        <w:suppressLineNumbers/>
        <w:suppressAutoHyphens/>
        <w:ind w:firstLine="426"/>
        <w:jc w:val="both"/>
        <w:rPr>
          <w:color w:val="000000"/>
          <w:lang w:val="es-PE"/>
        </w:rPr>
      </w:pPr>
      <w:r>
        <w:rPr>
          <w:color w:val="000000"/>
          <w:lang w:val="es-PE"/>
        </w:rPr>
        <w:t>Evaluaciones Continuas</w:t>
      </w:r>
    </w:p>
    <w:p w14:paraId="260B5064" w14:textId="77777777" w:rsidR="004412F1" w:rsidRDefault="005A12A3">
      <w:pPr>
        <w:suppressLineNumbers/>
        <w:suppressAutoHyphens/>
        <w:ind w:firstLine="426"/>
        <w:jc w:val="both"/>
        <w:rPr>
          <w:color w:val="000000"/>
          <w:lang w:val="es-PE"/>
        </w:rPr>
      </w:pPr>
      <w:r>
        <w:rPr>
          <w:color w:val="000000"/>
          <w:lang w:val="es-PE"/>
        </w:rPr>
        <w:t>Evaluaciones Semestrales</w:t>
      </w:r>
    </w:p>
    <w:p w14:paraId="1B17CC52" w14:textId="77777777" w:rsidR="004412F1" w:rsidRDefault="005A12A3">
      <w:pPr>
        <w:suppressLineNumbers/>
        <w:suppressAutoHyphens/>
        <w:ind w:firstLine="426"/>
        <w:jc w:val="both"/>
        <w:rPr>
          <w:color w:val="000000"/>
          <w:lang w:val="es-PE"/>
        </w:rPr>
      </w:pPr>
      <w:r>
        <w:rPr>
          <w:color w:val="000000"/>
          <w:lang w:val="es-PE"/>
        </w:rPr>
        <w:t>Evaluaciones Anuales</w:t>
      </w:r>
    </w:p>
    <w:p w14:paraId="7B061DE8" w14:textId="77777777" w:rsidR="004412F1" w:rsidRDefault="004412F1">
      <w:pPr>
        <w:tabs>
          <w:tab w:val="right" w:pos="8505"/>
        </w:tabs>
        <w:rPr>
          <w:lang w:val="es-PE"/>
        </w:rPr>
      </w:pPr>
    </w:p>
    <w:p w14:paraId="34B64F5C" w14:textId="77777777" w:rsidR="004412F1" w:rsidRDefault="005A12A3">
      <w:pPr>
        <w:numPr>
          <w:ilvl w:val="0"/>
          <w:numId w:val="156"/>
        </w:numPr>
        <w:tabs>
          <w:tab w:val="left" w:pos="426"/>
          <w:tab w:val="right" w:pos="8505"/>
        </w:tabs>
        <w:rPr>
          <w:lang w:val="es-PE"/>
        </w:rPr>
      </w:pPr>
      <w:r>
        <w:rPr>
          <w:lang w:val="es-PE"/>
        </w:rPr>
        <w:t>CÁLCULO DE LOS NIVELES DE SERVICIO</w:t>
      </w:r>
    </w:p>
    <w:p w14:paraId="510F3C7C" w14:textId="77777777" w:rsidR="004412F1" w:rsidRDefault="005A12A3">
      <w:pPr>
        <w:ind w:firstLine="426"/>
        <w:jc w:val="both"/>
        <w:rPr>
          <w:lang w:val="es-PE"/>
        </w:rPr>
      </w:pPr>
      <w:r>
        <w:rPr>
          <w:lang w:val="es-PE"/>
        </w:rPr>
        <w:t>Niveles de Servicio Individuales</w:t>
      </w:r>
    </w:p>
    <w:p w14:paraId="50904680" w14:textId="77777777" w:rsidR="004412F1" w:rsidRDefault="005A12A3">
      <w:pPr>
        <w:ind w:firstLine="426"/>
        <w:jc w:val="both"/>
        <w:rPr>
          <w:lang w:val="es-PE"/>
        </w:rPr>
      </w:pPr>
      <w:r>
        <w:rPr>
          <w:lang w:val="es-PE"/>
        </w:rPr>
        <w:t xml:space="preserve">Nivel de Servicio Global de un </w:t>
      </w:r>
      <w:proofErr w:type="gramStart"/>
      <w:r>
        <w:rPr>
          <w:lang w:val="es-PE"/>
        </w:rPr>
        <w:t>Sub Tramo</w:t>
      </w:r>
      <w:proofErr w:type="gramEnd"/>
    </w:p>
    <w:p w14:paraId="49ED7417" w14:textId="77777777" w:rsidR="004412F1" w:rsidRDefault="005A12A3">
      <w:pPr>
        <w:ind w:firstLine="426"/>
        <w:jc w:val="both"/>
        <w:rPr>
          <w:lang w:val="es-ES"/>
        </w:rPr>
      </w:pPr>
      <w:r>
        <w:rPr>
          <w:lang w:val="es-PE"/>
        </w:rPr>
        <w:t>Nivel de Servicio Global de</w:t>
      </w:r>
      <w:r>
        <w:rPr>
          <w:lang w:val="es-ES"/>
        </w:rPr>
        <w:t xml:space="preserve"> la Concesión</w:t>
      </w:r>
    </w:p>
    <w:p w14:paraId="358B7D28" w14:textId="77777777" w:rsidR="004412F1" w:rsidRDefault="004412F1">
      <w:pPr>
        <w:tabs>
          <w:tab w:val="right" w:pos="8505"/>
        </w:tabs>
        <w:rPr>
          <w:lang w:val="es-PE"/>
        </w:rPr>
      </w:pPr>
    </w:p>
    <w:p w14:paraId="434D4976" w14:textId="77777777" w:rsidR="004412F1" w:rsidRDefault="005A12A3">
      <w:pPr>
        <w:tabs>
          <w:tab w:val="right" w:pos="8505"/>
        </w:tabs>
        <w:rPr>
          <w:u w:val="single"/>
          <w:lang w:val="es"/>
        </w:rPr>
      </w:pPr>
      <w:r>
        <w:rPr>
          <w:u w:val="single"/>
          <w:lang w:val="es-PE"/>
        </w:rPr>
        <w:t>SECCIÓN 2: DE</w:t>
      </w:r>
      <w:r>
        <w:rPr>
          <w:u w:val="single"/>
          <w:lang w:val="es-ES"/>
        </w:rPr>
        <w:t xml:space="preserve"> LA </w:t>
      </w:r>
      <w:r>
        <w:rPr>
          <w:u w:val="single"/>
          <w:lang w:val="es"/>
        </w:rPr>
        <w:t>CONSERVACIÓN DE LAS INVERSIONES ADICIONALES</w:t>
      </w:r>
    </w:p>
    <w:p w14:paraId="07081D38" w14:textId="77777777" w:rsidR="004412F1" w:rsidRDefault="004412F1">
      <w:pPr>
        <w:tabs>
          <w:tab w:val="right" w:pos="8505"/>
        </w:tabs>
        <w:rPr>
          <w:u w:val="single"/>
          <w:lang w:val="es-ES"/>
        </w:rPr>
      </w:pPr>
    </w:p>
    <w:p w14:paraId="5D55AFA7" w14:textId="77777777" w:rsidR="004412F1" w:rsidRDefault="005A12A3">
      <w:pPr>
        <w:numPr>
          <w:ilvl w:val="0"/>
          <w:numId w:val="156"/>
        </w:numPr>
        <w:tabs>
          <w:tab w:val="left" w:pos="426"/>
          <w:tab w:val="right" w:pos="8505"/>
        </w:tabs>
        <w:rPr>
          <w:lang w:val="es-PE"/>
        </w:rPr>
      </w:pPr>
      <w:r>
        <w:rPr>
          <w:lang w:val="es-PE"/>
        </w:rPr>
        <w:t>EVALUACIÓN DE LA GESTIÓN DE CONSERVACIÓN DE LAS INVERSIONES ADICIONALES</w:t>
      </w:r>
    </w:p>
    <w:p w14:paraId="3B40905B" w14:textId="77777777" w:rsidR="004412F1" w:rsidRDefault="004412F1">
      <w:pPr>
        <w:tabs>
          <w:tab w:val="right" w:pos="8505"/>
        </w:tabs>
        <w:rPr>
          <w:rFonts w:eastAsia="SimSun"/>
          <w:lang w:val="es-PE" w:eastAsia="zh-CN"/>
        </w:rPr>
      </w:pPr>
    </w:p>
    <w:p w14:paraId="009977DB" w14:textId="77777777" w:rsidR="004412F1" w:rsidRDefault="005A12A3">
      <w:pPr>
        <w:tabs>
          <w:tab w:val="right" w:pos="8505"/>
        </w:tabs>
        <w:rPr>
          <w:u w:val="single"/>
        </w:rPr>
      </w:pPr>
      <w:r>
        <w:rPr>
          <w:u w:val="single"/>
        </w:rPr>
        <w:t xml:space="preserve">SECCIÓN </w:t>
      </w:r>
      <w:r>
        <w:rPr>
          <w:u w:val="single"/>
          <w:lang w:val="es-ES"/>
        </w:rPr>
        <w:t>3</w:t>
      </w:r>
      <w:r>
        <w:rPr>
          <w:u w:val="single"/>
        </w:rPr>
        <w:t>: DE LA EXPLOTACIÓN</w:t>
      </w:r>
    </w:p>
    <w:p w14:paraId="1A97AB35" w14:textId="77777777" w:rsidR="004412F1" w:rsidRDefault="004412F1">
      <w:pPr>
        <w:tabs>
          <w:tab w:val="right" w:pos="8505"/>
        </w:tabs>
      </w:pPr>
    </w:p>
    <w:p w14:paraId="478FCEE5" w14:textId="77777777" w:rsidR="004412F1" w:rsidRDefault="005A12A3">
      <w:pPr>
        <w:numPr>
          <w:ilvl w:val="0"/>
          <w:numId w:val="156"/>
        </w:numPr>
        <w:tabs>
          <w:tab w:val="left" w:pos="426"/>
          <w:tab w:val="right" w:pos="8505"/>
        </w:tabs>
        <w:rPr>
          <w:lang w:val="es-PE"/>
        </w:rPr>
      </w:pPr>
      <w:r>
        <w:rPr>
          <w:lang w:val="es-PE"/>
        </w:rPr>
        <w:t>EVALUACIÓN DE LA GESTIÓN DE EXPLOTACIÓN DEL CONCESIONARIO</w:t>
      </w:r>
    </w:p>
    <w:p w14:paraId="730106D6" w14:textId="77777777" w:rsidR="004412F1" w:rsidRDefault="005A12A3">
      <w:pPr>
        <w:ind w:firstLine="426"/>
        <w:jc w:val="both"/>
        <w:rPr>
          <w:lang w:val="es-PE"/>
        </w:rPr>
      </w:pPr>
      <w:proofErr w:type="gramStart"/>
      <w:r>
        <w:rPr>
          <w:lang w:val="es-PE"/>
        </w:rPr>
        <w:t>Parámetro de Condición a Utilizar</w:t>
      </w:r>
      <w:proofErr w:type="gramEnd"/>
    </w:p>
    <w:p w14:paraId="09702799" w14:textId="77777777" w:rsidR="004412F1" w:rsidRDefault="005A12A3">
      <w:pPr>
        <w:ind w:firstLine="426"/>
        <w:jc w:val="both"/>
        <w:rPr>
          <w:lang w:val="es-PE"/>
        </w:rPr>
      </w:pPr>
      <w:r>
        <w:rPr>
          <w:lang w:val="es-PE"/>
        </w:rPr>
        <w:t>Procedimientos</w:t>
      </w:r>
    </w:p>
    <w:p w14:paraId="2EABC2C5" w14:textId="77777777" w:rsidR="004412F1" w:rsidRDefault="005A12A3">
      <w:pPr>
        <w:ind w:firstLine="426"/>
        <w:jc w:val="both"/>
        <w:rPr>
          <w:lang w:val="es-PE"/>
        </w:rPr>
      </w:pPr>
      <w:r>
        <w:rPr>
          <w:lang w:val="es-PE"/>
        </w:rPr>
        <w:t>Nivel de Servicio y Plazo de Respuesta</w:t>
      </w:r>
    </w:p>
    <w:p w14:paraId="0E5BBD29" w14:textId="77777777" w:rsidR="004412F1" w:rsidRDefault="005A12A3">
      <w:pPr>
        <w:ind w:firstLine="426"/>
        <w:jc w:val="both"/>
      </w:pPr>
      <w:r>
        <w:t>Incumplimientos y Penalidades</w:t>
      </w:r>
    </w:p>
    <w:p w14:paraId="70748D35" w14:textId="77777777" w:rsidR="004412F1" w:rsidRDefault="004412F1">
      <w:pPr>
        <w:tabs>
          <w:tab w:val="left" w:pos="426"/>
          <w:tab w:val="right" w:pos="8505"/>
        </w:tabs>
      </w:pPr>
    </w:p>
    <w:p w14:paraId="425A16C0" w14:textId="77777777" w:rsidR="004412F1" w:rsidRDefault="005A12A3">
      <w:pPr>
        <w:numPr>
          <w:ilvl w:val="0"/>
          <w:numId w:val="156"/>
        </w:numPr>
        <w:rPr>
          <w:lang w:val="es-PE"/>
        </w:rPr>
      </w:pPr>
      <w:r>
        <w:rPr>
          <w:lang w:val="es-PE"/>
        </w:rPr>
        <w:t>CONDICIONES GENERALES PARA LA CONSERVACIÓN VIAL RUTINARIA</w:t>
      </w:r>
      <w:r>
        <w:rPr>
          <w:lang w:val="es-ES"/>
        </w:rPr>
        <w:t>, PERIÓDICA Y DE EMERGENCIA VIAL</w:t>
      </w:r>
      <w:r>
        <w:rPr>
          <w:lang w:val="es-PE"/>
        </w:rPr>
        <w:t xml:space="preserve"> </w:t>
      </w:r>
    </w:p>
    <w:p w14:paraId="15279E31" w14:textId="77777777" w:rsidR="004412F1" w:rsidRDefault="004412F1">
      <w:pPr>
        <w:rPr>
          <w:lang w:val="es-PE"/>
        </w:rPr>
      </w:pPr>
    </w:p>
    <w:p w14:paraId="2BEC7A7F" w14:textId="77777777" w:rsidR="004412F1" w:rsidRDefault="005A12A3">
      <w:pPr>
        <w:rPr>
          <w:u w:val="single"/>
        </w:rPr>
      </w:pPr>
      <w:r>
        <w:rPr>
          <w:u w:val="single"/>
        </w:rPr>
        <w:t xml:space="preserve">SECCIÓN </w:t>
      </w:r>
      <w:r>
        <w:rPr>
          <w:u w:val="single"/>
          <w:lang w:val="es-ES"/>
        </w:rPr>
        <w:t>4</w:t>
      </w:r>
      <w:r>
        <w:rPr>
          <w:u w:val="single"/>
        </w:rPr>
        <w:t>: OTRAS PROVISIONES</w:t>
      </w:r>
    </w:p>
    <w:p w14:paraId="2A24128F" w14:textId="77777777" w:rsidR="004412F1" w:rsidRDefault="004412F1"/>
    <w:p w14:paraId="44E8C92C" w14:textId="77777777" w:rsidR="004412F1" w:rsidRDefault="005A12A3">
      <w:pPr>
        <w:numPr>
          <w:ilvl w:val="0"/>
          <w:numId w:val="156"/>
        </w:numPr>
      </w:pPr>
      <w:r>
        <w:rPr>
          <w:lang w:val="es-ES"/>
        </w:rPr>
        <w:t xml:space="preserve">SERVICIOS POR </w:t>
      </w:r>
      <w:r>
        <w:t>EMERGENCIAS Y ACCIDENTES</w:t>
      </w:r>
    </w:p>
    <w:p w14:paraId="317A72EE" w14:textId="77777777" w:rsidR="004412F1" w:rsidRDefault="005A12A3">
      <w:pPr>
        <w:jc w:val="both"/>
      </w:pPr>
      <w:r>
        <w:rPr>
          <w:rFonts w:eastAsia="SimSun" w:hint="eastAsia"/>
          <w:lang w:eastAsia="zh-CN"/>
        </w:rPr>
        <w:t xml:space="preserve"> </w:t>
      </w:r>
      <w:r>
        <w:rPr>
          <w:rFonts w:eastAsia="SimSun"/>
          <w:lang w:val="es-ES" w:eastAsia="zh-CN"/>
        </w:rPr>
        <w:t xml:space="preserve">      </w:t>
      </w:r>
      <w:r>
        <w:t>Atención de Emergencias y Accidentes</w:t>
      </w:r>
    </w:p>
    <w:p w14:paraId="4197D50D" w14:textId="77777777" w:rsidR="004412F1" w:rsidRDefault="005A12A3">
      <w:pPr>
        <w:ind w:firstLine="426"/>
        <w:jc w:val="both"/>
        <w:rPr>
          <w:lang w:val="es-PE"/>
        </w:rPr>
      </w:pPr>
      <w:r>
        <w:rPr>
          <w:lang w:val="es-PE"/>
        </w:rPr>
        <w:t>Plazos para la Atención de Emergencias y Accidentes</w:t>
      </w:r>
    </w:p>
    <w:p w14:paraId="78D51D39" w14:textId="77777777" w:rsidR="004412F1" w:rsidRDefault="005A12A3">
      <w:pPr>
        <w:ind w:firstLine="426"/>
        <w:jc w:val="both"/>
      </w:pPr>
      <w:r>
        <w:t>Incumplimientos y Penalidades</w:t>
      </w:r>
    </w:p>
    <w:p w14:paraId="22CF1B2E" w14:textId="77777777" w:rsidR="004412F1" w:rsidRDefault="004412F1">
      <w:pPr>
        <w:ind w:firstLine="426"/>
        <w:jc w:val="both"/>
      </w:pPr>
    </w:p>
    <w:p w14:paraId="7E5276C5" w14:textId="77777777" w:rsidR="004412F1" w:rsidRDefault="005A12A3">
      <w:pPr>
        <w:numPr>
          <w:ilvl w:val="0"/>
          <w:numId w:val="156"/>
        </w:numPr>
      </w:pPr>
      <w:r>
        <w:t>SITUACIONES EXCEPCIONALES O ESPECIALES</w:t>
      </w:r>
    </w:p>
    <w:p w14:paraId="3CA35336" w14:textId="77777777" w:rsidR="004412F1" w:rsidRDefault="005A12A3">
      <w:pPr>
        <w:ind w:firstLine="426"/>
        <w:jc w:val="both"/>
      </w:pPr>
      <w:r>
        <w:t>Conservación de Puntos Críticos</w:t>
      </w:r>
    </w:p>
    <w:p w14:paraId="60BC0AF8" w14:textId="77777777" w:rsidR="004412F1" w:rsidRDefault="005A12A3">
      <w:pPr>
        <w:ind w:firstLine="426"/>
        <w:jc w:val="both"/>
      </w:pPr>
      <w:r>
        <w:t>Conservación en sectores no asfaltados</w:t>
      </w:r>
    </w:p>
    <w:p w14:paraId="28FDA975" w14:textId="77777777" w:rsidR="004412F1" w:rsidRDefault="005A12A3">
      <w:pPr>
        <w:ind w:firstLine="426"/>
        <w:jc w:val="both"/>
      </w:pPr>
      <w:r>
        <w:t>Congestión en Sub Tramos</w:t>
      </w:r>
    </w:p>
    <w:p w14:paraId="265AAD6B" w14:textId="77777777" w:rsidR="004412F1" w:rsidRDefault="005A12A3">
      <w:pPr>
        <w:ind w:firstLine="426"/>
        <w:jc w:val="both"/>
        <w:rPr>
          <w:lang w:val="es-PE"/>
        </w:rPr>
      </w:pPr>
      <w:r>
        <w:rPr>
          <w:lang w:val="es-PE"/>
        </w:rPr>
        <w:t xml:space="preserve">Conservación Rutinaria en </w:t>
      </w:r>
      <w:proofErr w:type="gramStart"/>
      <w:r>
        <w:rPr>
          <w:lang w:val="es-PE"/>
        </w:rPr>
        <w:t>Sub Tramos</w:t>
      </w:r>
      <w:proofErr w:type="gramEnd"/>
      <w:r>
        <w:rPr>
          <w:lang w:val="es-PE"/>
        </w:rPr>
        <w:t xml:space="preserve"> de Mantenimiento Periódico Inicial</w:t>
      </w:r>
    </w:p>
    <w:p w14:paraId="7FBBB962" w14:textId="77777777" w:rsidR="004412F1" w:rsidRDefault="005A12A3">
      <w:pPr>
        <w:ind w:firstLine="426"/>
        <w:jc w:val="both"/>
        <w:rPr>
          <w:lang w:val="es-PE"/>
        </w:rPr>
      </w:pPr>
      <w:r>
        <w:rPr>
          <w:lang w:val="es-PE"/>
        </w:rPr>
        <w:t>Otras Situaciones</w:t>
      </w:r>
    </w:p>
    <w:p w14:paraId="73AB1DE2" w14:textId="77777777" w:rsidR="004412F1" w:rsidRDefault="004412F1">
      <w:pPr>
        <w:tabs>
          <w:tab w:val="right" w:pos="8505"/>
        </w:tabs>
        <w:jc w:val="center"/>
        <w:rPr>
          <w:rFonts w:eastAsia="SimSun"/>
          <w:u w:val="single"/>
          <w:lang w:val="es-PE" w:eastAsia="zh-CN"/>
        </w:rPr>
      </w:pPr>
    </w:p>
    <w:p w14:paraId="06A65A58" w14:textId="77777777" w:rsidR="004412F1" w:rsidRDefault="005A12A3">
      <w:pPr>
        <w:tabs>
          <w:tab w:val="right" w:pos="8505"/>
        </w:tabs>
        <w:jc w:val="center"/>
        <w:rPr>
          <w:u w:val="single"/>
          <w:lang w:val="es-PE"/>
        </w:rPr>
      </w:pPr>
      <w:r>
        <w:rPr>
          <w:u w:val="single"/>
          <w:lang w:val="es-PE"/>
        </w:rPr>
        <w:t>APÉNDICES</w:t>
      </w:r>
    </w:p>
    <w:p w14:paraId="36E4A388" w14:textId="77777777" w:rsidR="004412F1" w:rsidRDefault="004412F1">
      <w:pPr>
        <w:tabs>
          <w:tab w:val="right" w:pos="8505"/>
        </w:tabs>
        <w:jc w:val="center"/>
        <w:rPr>
          <w:u w:val="single"/>
          <w:lang w:val="es-PE"/>
        </w:rPr>
      </w:pPr>
    </w:p>
    <w:p w14:paraId="7C626FC5" w14:textId="77777777" w:rsidR="004412F1" w:rsidRDefault="004412F1">
      <w:pPr>
        <w:tabs>
          <w:tab w:val="right" w:pos="8505"/>
        </w:tabs>
        <w:jc w:val="both"/>
        <w:rPr>
          <w:lang w:val="es-PE"/>
        </w:rPr>
      </w:pPr>
    </w:p>
    <w:p w14:paraId="6766D0D3" w14:textId="77777777" w:rsidR="004412F1" w:rsidRDefault="005A12A3">
      <w:pPr>
        <w:tabs>
          <w:tab w:val="left" w:pos="1418"/>
        </w:tabs>
        <w:ind w:left="1418" w:hanging="1418"/>
        <w:jc w:val="both"/>
        <w:rPr>
          <w:lang w:val="es-PE"/>
        </w:rPr>
      </w:pPr>
      <w:r>
        <w:rPr>
          <w:lang w:val="es-PE"/>
        </w:rPr>
        <w:t>Apéndice 1:</w:t>
      </w:r>
      <w:r>
        <w:rPr>
          <w:lang w:val="es-PE"/>
        </w:rPr>
        <w:tab/>
      </w:r>
      <w:proofErr w:type="gramStart"/>
      <w:r>
        <w:rPr>
          <w:lang w:val="es-PE"/>
        </w:rPr>
        <w:t>Sub Tramos</w:t>
      </w:r>
      <w:proofErr w:type="gramEnd"/>
      <w:r>
        <w:rPr>
          <w:lang w:val="es-PE"/>
        </w:rPr>
        <w:t xml:space="preserve"> e Hitos Funcionales de la Carretera Longitudinal de la Sierra Tramo 4: Huancayo-Izcuchaca-Mayocc-Ayacucho/Ayacucho-Andahuaylas-Pte Sahuinto/Dv. Pisco – Huaytará – Ayacucho</w:t>
      </w:r>
    </w:p>
    <w:p w14:paraId="6E661D05" w14:textId="77777777" w:rsidR="004412F1" w:rsidRDefault="005A12A3">
      <w:pPr>
        <w:tabs>
          <w:tab w:val="left" w:pos="1418"/>
          <w:tab w:val="right" w:pos="8505"/>
        </w:tabs>
        <w:ind w:left="1418" w:hanging="1418"/>
        <w:jc w:val="both"/>
        <w:rPr>
          <w:lang w:val="es-PE"/>
        </w:rPr>
      </w:pPr>
      <w:r>
        <w:rPr>
          <w:lang w:val="es-PE"/>
        </w:rPr>
        <w:t>Apéndice 2:</w:t>
      </w:r>
      <w:r>
        <w:rPr>
          <w:lang w:val="es-PE"/>
        </w:rPr>
        <w:tab/>
        <w:t>Parámetros de Condición y Niveles de Servicio Exigibles para la gestión del Concesionario de la Carretera Longitudinal de la Sierra Tramo 4: (Niveles de Servicio individuales y plazos de respuesta)</w:t>
      </w:r>
    </w:p>
    <w:p w14:paraId="5E743802" w14:textId="77777777" w:rsidR="004412F1" w:rsidRDefault="005A12A3">
      <w:pPr>
        <w:tabs>
          <w:tab w:val="left" w:pos="1418"/>
          <w:tab w:val="right" w:pos="8505"/>
        </w:tabs>
        <w:jc w:val="both"/>
        <w:rPr>
          <w:lang w:val="es-PE"/>
        </w:rPr>
      </w:pPr>
      <w:r>
        <w:rPr>
          <w:lang w:val="es-PE"/>
        </w:rPr>
        <w:t>Apéndice 3:</w:t>
      </w:r>
      <w:r>
        <w:rPr>
          <w:lang w:val="es-PE"/>
        </w:rPr>
        <w:tab/>
        <w:t>Formatos de Comunicación</w:t>
      </w:r>
    </w:p>
    <w:p w14:paraId="2B9593D9" w14:textId="77777777" w:rsidR="004412F1" w:rsidRDefault="005A12A3">
      <w:pPr>
        <w:tabs>
          <w:tab w:val="left" w:pos="1418"/>
          <w:tab w:val="right" w:pos="8505"/>
        </w:tabs>
        <w:jc w:val="both"/>
        <w:rPr>
          <w:lang w:val="es-PE"/>
        </w:rPr>
      </w:pPr>
      <w:r>
        <w:rPr>
          <w:lang w:val="es-PE"/>
        </w:rPr>
        <w:t>Apéndice 4:</w:t>
      </w:r>
      <w:r>
        <w:rPr>
          <w:lang w:val="es-PE"/>
        </w:rPr>
        <w:tab/>
        <w:t>Planillas para el Cálculo del Nivel de Servicio</w:t>
      </w:r>
    </w:p>
    <w:p w14:paraId="2455AD9F" w14:textId="77777777" w:rsidR="004412F1" w:rsidRDefault="005A12A3">
      <w:pPr>
        <w:tabs>
          <w:tab w:val="right" w:pos="8505"/>
        </w:tabs>
        <w:ind w:left="1418" w:hanging="1418"/>
        <w:jc w:val="both"/>
        <w:rPr>
          <w:lang w:val="es-PE"/>
        </w:rPr>
      </w:pPr>
      <w:r>
        <w:rPr>
          <w:lang w:val="es-PE"/>
        </w:rPr>
        <w:lastRenderedPageBreak/>
        <w:t>Apéndice 5:</w:t>
      </w:r>
      <w:r>
        <w:rPr>
          <w:lang w:val="es-PE"/>
        </w:rPr>
        <w:tab/>
        <w:t>Planilla de Cálculo de Nivel de Servicio Global (</w:t>
      </w:r>
      <w:proofErr w:type="gramStart"/>
      <w:r>
        <w:rPr>
          <w:lang w:val="es-PE"/>
        </w:rPr>
        <w:t>Sub Tramos</w:t>
      </w:r>
      <w:proofErr w:type="gramEnd"/>
      <w:r>
        <w:rPr>
          <w:lang w:val="es-PE"/>
        </w:rPr>
        <w:t xml:space="preserve"> individuales y toda la Concesión)</w:t>
      </w:r>
    </w:p>
    <w:p w14:paraId="05F272AC" w14:textId="77777777" w:rsidR="004412F1" w:rsidRDefault="005A12A3">
      <w:pPr>
        <w:tabs>
          <w:tab w:val="left" w:pos="1418"/>
        </w:tabs>
        <w:ind w:left="1418" w:hanging="1418"/>
        <w:jc w:val="both"/>
        <w:rPr>
          <w:lang w:val="es-PE"/>
        </w:rPr>
      </w:pPr>
      <w:r>
        <w:rPr>
          <w:lang w:val="es-PE"/>
        </w:rPr>
        <w:t>Apéndice 6:</w:t>
      </w:r>
      <w:r>
        <w:rPr>
          <w:lang w:val="es-PE"/>
        </w:rPr>
        <w:tab/>
        <w:t xml:space="preserve">Niveles de Servicio Globales Requeridos (por </w:t>
      </w:r>
      <w:proofErr w:type="gramStart"/>
      <w:r>
        <w:rPr>
          <w:lang w:val="es-PE"/>
        </w:rPr>
        <w:t>Sub Tramo</w:t>
      </w:r>
      <w:proofErr w:type="gramEnd"/>
      <w:r>
        <w:rPr>
          <w:lang w:val="es-PE"/>
        </w:rPr>
        <w:t xml:space="preserve"> y para la Concesión) </w:t>
      </w:r>
    </w:p>
    <w:p w14:paraId="4125F605" w14:textId="77777777" w:rsidR="004412F1" w:rsidRDefault="005A12A3">
      <w:pPr>
        <w:tabs>
          <w:tab w:val="left" w:pos="1418"/>
        </w:tabs>
        <w:ind w:left="1560" w:right="-142" w:hanging="1560"/>
        <w:jc w:val="both"/>
        <w:rPr>
          <w:lang w:val="es-PE"/>
        </w:rPr>
      </w:pPr>
      <w:r>
        <w:rPr>
          <w:lang w:val="es-PE"/>
        </w:rPr>
        <w:t>Apéndice 7:</w:t>
      </w:r>
      <w:r>
        <w:rPr>
          <w:lang w:val="es-PE"/>
        </w:rPr>
        <w:tab/>
        <w:t>Manual para Relevamiento de Defectos</w:t>
      </w:r>
    </w:p>
    <w:p w14:paraId="685BE6DF" w14:textId="77777777" w:rsidR="004412F1" w:rsidRDefault="005A12A3">
      <w:pPr>
        <w:tabs>
          <w:tab w:val="left" w:pos="1418"/>
          <w:tab w:val="right" w:pos="8505"/>
        </w:tabs>
        <w:ind w:left="1418" w:hanging="1418"/>
        <w:jc w:val="both"/>
        <w:rPr>
          <w:lang w:val="es-PE"/>
        </w:rPr>
      </w:pPr>
      <w:r>
        <w:rPr>
          <w:lang w:val="es-PE"/>
        </w:rPr>
        <w:t>Apéndice 8:</w:t>
      </w:r>
      <w:r>
        <w:rPr>
          <w:lang w:val="es-PE"/>
        </w:rPr>
        <w:tab/>
        <w:t>Términos de Referencia: Elaboración del Diagnostico Técnico Legal, Plan de Saneamiento Físico Legal y elaboración de Expedientes Individuales de Predios</w:t>
      </w:r>
    </w:p>
    <w:p w14:paraId="28B4D6AD" w14:textId="77777777" w:rsidR="004412F1" w:rsidRDefault="005A12A3">
      <w:pPr>
        <w:tabs>
          <w:tab w:val="left" w:pos="1418"/>
        </w:tabs>
        <w:ind w:left="1418" w:hanging="1418"/>
        <w:jc w:val="both"/>
        <w:rPr>
          <w:lang w:val="es-PE"/>
        </w:rPr>
      </w:pPr>
      <w:r>
        <w:rPr>
          <w:lang w:val="es-PE"/>
        </w:rPr>
        <w:t>Apéndice 9:</w:t>
      </w:r>
      <w:r>
        <w:rPr>
          <w:lang w:val="es-PE"/>
        </w:rPr>
        <w:tab/>
        <w:t>Información técnica para la instalación de ductos y cámaras</w:t>
      </w:r>
    </w:p>
    <w:p w14:paraId="3C9C6046" w14:textId="77777777" w:rsidR="004412F1" w:rsidRDefault="005A12A3">
      <w:pPr>
        <w:tabs>
          <w:tab w:val="left" w:pos="1418"/>
        </w:tabs>
        <w:ind w:left="1418" w:hanging="1418"/>
        <w:jc w:val="both"/>
        <w:rPr>
          <w:lang w:val="es-PE"/>
        </w:rPr>
      </w:pPr>
      <w:r>
        <w:rPr>
          <w:lang w:val="es-PE"/>
        </w:rPr>
        <w:t>Apéndice 1</w:t>
      </w:r>
      <w:r>
        <w:rPr>
          <w:lang w:val="es-ES"/>
        </w:rPr>
        <w:t>0</w:t>
      </w:r>
      <w:r>
        <w:rPr>
          <w:lang w:val="es-PE"/>
        </w:rPr>
        <w:t>:</w:t>
      </w:r>
      <w:r>
        <w:rPr>
          <w:lang w:val="es-PE"/>
        </w:rPr>
        <w:tab/>
        <w:t xml:space="preserve">Sistema de Peaje para la operación estandarizada </w:t>
      </w:r>
    </w:p>
    <w:p w14:paraId="56262476" w14:textId="77777777" w:rsidR="004412F1" w:rsidRDefault="005A12A3">
      <w:pPr>
        <w:tabs>
          <w:tab w:val="left" w:pos="1418"/>
        </w:tabs>
        <w:ind w:left="1418" w:hanging="1418"/>
        <w:jc w:val="both"/>
        <w:rPr>
          <w:rFonts w:eastAsia="SimSun"/>
          <w:lang w:val="es-PE"/>
        </w:rPr>
      </w:pPr>
      <w:r>
        <w:rPr>
          <w:lang w:val="es-PE"/>
        </w:rPr>
        <w:t>Apéndice</w:t>
      </w:r>
      <w:r>
        <w:rPr>
          <w:lang w:val="es-ES"/>
        </w:rPr>
        <w:t xml:space="preserve"> </w:t>
      </w:r>
      <w:proofErr w:type="gramStart"/>
      <w:r>
        <w:rPr>
          <w:lang w:val="es-PE"/>
        </w:rPr>
        <w:t>1</w:t>
      </w:r>
      <w:r>
        <w:rPr>
          <w:lang w:val="es-ES"/>
        </w:rPr>
        <w:t>1</w:t>
      </w:r>
      <w:r>
        <w:rPr>
          <w:lang w:val="es-PE"/>
        </w:rPr>
        <w:t>:Lista</w:t>
      </w:r>
      <w:proofErr w:type="gramEnd"/>
      <w:r>
        <w:rPr>
          <w:lang w:val="es-PE"/>
        </w:rPr>
        <w:t xml:space="preserve"> de puentes a ser entregados por el CONCEDENTE al CONCESIONARIO</w:t>
      </w:r>
    </w:p>
    <w:p w14:paraId="1051A434" w14:textId="77777777" w:rsidR="004412F1" w:rsidRDefault="005A12A3">
      <w:pPr>
        <w:tabs>
          <w:tab w:val="left" w:pos="1418"/>
        </w:tabs>
        <w:ind w:left="1418" w:hanging="1418"/>
        <w:jc w:val="both"/>
        <w:rPr>
          <w:rFonts w:eastAsia="SimSun"/>
          <w:lang w:val="es-ES" w:eastAsia="zh-CN"/>
        </w:rPr>
      </w:pPr>
      <w:proofErr w:type="gramStart"/>
      <w:r>
        <w:rPr>
          <w:lang w:val="es-PE"/>
        </w:rPr>
        <w:t>Apéndice</w:t>
      </w:r>
      <w:r>
        <w:rPr>
          <w:lang w:val="es-ES"/>
        </w:rPr>
        <w:t xml:space="preserve">  12</w:t>
      </w:r>
      <w:proofErr w:type="gramEnd"/>
      <w:r>
        <w:rPr>
          <w:lang w:val="es-ES"/>
        </w:rPr>
        <w:t xml:space="preserve">: Trazo aplicable a los Sub Tramos de Rehabilitación y mejoramiento de la Concesión. </w:t>
      </w:r>
    </w:p>
    <w:p w14:paraId="2715107F" w14:textId="77777777" w:rsidR="004412F1" w:rsidRDefault="005A12A3">
      <w:pPr>
        <w:pStyle w:val="Ttulo2"/>
        <w:suppressLineNumbers/>
        <w:suppressAutoHyphens/>
        <w:ind w:left="0"/>
        <w:jc w:val="center"/>
        <w:rPr>
          <w:rFonts w:ascii="Arial" w:hAnsi="Arial"/>
          <w:b/>
          <w:lang w:val="es-PE"/>
        </w:rPr>
      </w:pPr>
      <w:r>
        <w:rPr>
          <w:lang w:val="es-PE"/>
        </w:rPr>
        <w:br w:type="page"/>
      </w:r>
      <w:bookmarkStart w:id="2697" w:name="_Toc139294829"/>
      <w:bookmarkStart w:id="2698" w:name="_Toc140089428"/>
      <w:r>
        <w:rPr>
          <w:rFonts w:ascii="Arial" w:eastAsia="Arial" w:hAnsi="Arial"/>
          <w:b/>
          <w:lang w:val="es-PE"/>
        </w:rPr>
        <w:lastRenderedPageBreak/>
        <w:t>SECCIÓN</w:t>
      </w:r>
      <w:r>
        <w:rPr>
          <w:rFonts w:ascii="Arial" w:hAnsi="Arial"/>
          <w:b/>
          <w:lang w:val="es-PE"/>
        </w:rPr>
        <w:t xml:space="preserve"> 1</w:t>
      </w:r>
      <w:bookmarkEnd w:id="2697"/>
      <w:bookmarkEnd w:id="2698"/>
    </w:p>
    <w:p w14:paraId="6E26950D" w14:textId="77777777" w:rsidR="004412F1" w:rsidRDefault="004412F1">
      <w:pPr>
        <w:jc w:val="both"/>
        <w:rPr>
          <w:lang w:val="es-PE"/>
        </w:rPr>
      </w:pPr>
    </w:p>
    <w:p w14:paraId="59310769" w14:textId="77777777" w:rsidR="004412F1" w:rsidRPr="00137D97" w:rsidRDefault="005A12A3" w:rsidP="005C3944">
      <w:pPr>
        <w:ind w:left="567"/>
        <w:jc w:val="center"/>
        <w:outlineLvl w:val="1"/>
        <w:rPr>
          <w:b/>
          <w:lang w:val="es-PE"/>
        </w:rPr>
      </w:pPr>
      <w:bookmarkStart w:id="2699" w:name="_Toc140089429"/>
      <w:r w:rsidRPr="00137D97">
        <w:rPr>
          <w:b/>
          <w:lang w:val="es-PE"/>
        </w:rPr>
        <w:t>DE LA CONSERVACIÓN DE LA VÍA</w:t>
      </w:r>
      <w:bookmarkEnd w:id="2699"/>
      <w:r w:rsidRPr="00137D97">
        <w:rPr>
          <w:b/>
          <w:lang w:val="es-PE"/>
        </w:rPr>
        <w:t xml:space="preserve"> </w:t>
      </w:r>
    </w:p>
    <w:p w14:paraId="7FB14D20" w14:textId="77777777" w:rsidR="005C3944" w:rsidRPr="005C3944" w:rsidRDefault="005C3944" w:rsidP="00137D97">
      <w:pPr>
        <w:tabs>
          <w:tab w:val="left" w:pos="1134"/>
        </w:tabs>
        <w:ind w:left="567"/>
        <w:jc w:val="both"/>
      </w:pPr>
    </w:p>
    <w:p w14:paraId="27F71738" w14:textId="55E2FA83" w:rsidR="004412F1" w:rsidRDefault="005A12A3">
      <w:pPr>
        <w:numPr>
          <w:ilvl w:val="0"/>
          <w:numId w:val="157"/>
        </w:numPr>
        <w:tabs>
          <w:tab w:val="left" w:pos="1134"/>
        </w:tabs>
        <w:ind w:left="567" w:hanging="567"/>
        <w:jc w:val="both"/>
      </w:pPr>
      <w:r>
        <w:rPr>
          <w:b/>
        </w:rPr>
        <w:t>INTRODUCCIÓN</w:t>
      </w:r>
    </w:p>
    <w:p w14:paraId="4D42755E" w14:textId="77777777" w:rsidR="004412F1" w:rsidRDefault="004412F1">
      <w:pPr>
        <w:jc w:val="both"/>
      </w:pPr>
    </w:p>
    <w:p w14:paraId="099D6F91" w14:textId="77777777" w:rsidR="004412F1" w:rsidRDefault="005A12A3">
      <w:pPr>
        <w:numPr>
          <w:ilvl w:val="1"/>
          <w:numId w:val="158"/>
        </w:numPr>
        <w:jc w:val="both"/>
        <w:rPr>
          <w:lang w:val="es-PE"/>
        </w:rPr>
      </w:pPr>
      <w:r>
        <w:rPr>
          <w:lang w:val="es-PE"/>
        </w:rPr>
        <w:t xml:space="preserve">El presente ANEXO I forma parte integral del Contrato de Concesión de la Carretera Longitudinal de la Sierra Tramo 4: Huancayo-Izcuchaca-Mayocc-Ayacucho/Ayacucho-Andahuaylas-Pte Sahuinto/Dv. Pisco – Huaytará - Ayacucho y en el </w:t>
      </w:r>
      <w:r>
        <w:rPr>
          <w:color w:val="000000"/>
          <w:lang w:val="es-PE"/>
        </w:rPr>
        <w:t>Apéndice 1</w:t>
      </w:r>
      <w:r>
        <w:rPr>
          <w:lang w:val="es-PE"/>
        </w:rPr>
        <w:t xml:space="preserve"> se definen los </w:t>
      </w:r>
      <w:proofErr w:type="gramStart"/>
      <w:r>
        <w:rPr>
          <w:lang w:val="es-PE"/>
        </w:rPr>
        <w:t>Sub Tramos</w:t>
      </w:r>
      <w:proofErr w:type="gramEnd"/>
      <w:r>
        <w:rPr>
          <w:lang w:val="es-PE"/>
        </w:rPr>
        <w:t>.</w:t>
      </w:r>
    </w:p>
    <w:p w14:paraId="77CDCE09" w14:textId="77777777" w:rsidR="004412F1" w:rsidRDefault="004412F1">
      <w:pPr>
        <w:suppressLineNumbers/>
        <w:tabs>
          <w:tab w:val="left" w:pos="720"/>
        </w:tabs>
        <w:suppressAutoHyphens/>
        <w:jc w:val="both"/>
        <w:rPr>
          <w:color w:val="000000"/>
          <w:sz w:val="18"/>
          <w:lang w:val="es-ES"/>
        </w:rPr>
      </w:pPr>
    </w:p>
    <w:p w14:paraId="2D663099" w14:textId="77777777" w:rsidR="004412F1" w:rsidRDefault="005A12A3">
      <w:pPr>
        <w:numPr>
          <w:ilvl w:val="1"/>
          <w:numId w:val="158"/>
        </w:numPr>
        <w:jc w:val="both"/>
        <w:rPr>
          <w:lang w:val="es-PE"/>
        </w:rPr>
      </w:pPr>
      <w:r>
        <w:rPr>
          <w:lang w:val="es-PE"/>
        </w:rPr>
        <w:t>Los términos que se utilizan tienen el mismo sentido y alcance que en el texto principal del Contrato, según las definiciones que aparecen en su Numeral 1.11.</w:t>
      </w:r>
    </w:p>
    <w:p w14:paraId="446324D7" w14:textId="77777777" w:rsidR="004412F1" w:rsidRDefault="004412F1">
      <w:pPr>
        <w:tabs>
          <w:tab w:val="left" w:pos="1100"/>
        </w:tabs>
        <w:ind w:left="1100" w:hanging="500"/>
        <w:jc w:val="both"/>
        <w:rPr>
          <w:lang w:val="es-PE"/>
        </w:rPr>
      </w:pPr>
    </w:p>
    <w:p w14:paraId="2A891BFB" w14:textId="77777777" w:rsidR="004412F1" w:rsidRDefault="005A12A3">
      <w:pPr>
        <w:numPr>
          <w:ilvl w:val="1"/>
          <w:numId w:val="158"/>
        </w:numPr>
        <w:jc w:val="both"/>
        <w:rPr>
          <w:lang w:val="es-PE"/>
        </w:rPr>
      </w:pPr>
      <w:r>
        <w:rPr>
          <w:lang w:val="es-PE"/>
        </w:rPr>
        <w:t xml:space="preserve">El presente ANEXO tiene por objetivo establecer obligaciones contractuales complementarias para la ejecución de las tareas de Conservación según lo establecido en las Especificaciones Técnicas Generales para la Conservación de Carreteras (R.D. N°05-2014-MTC/27 de marzo 2014), y para el control de la prestación de los servicios brindados por parte del CONCESIONARIO. </w:t>
      </w:r>
    </w:p>
    <w:p w14:paraId="690337C9" w14:textId="77777777" w:rsidR="004412F1" w:rsidRDefault="004412F1">
      <w:pPr>
        <w:ind w:left="708"/>
        <w:rPr>
          <w:color w:val="000000"/>
          <w:lang w:val="es-PE"/>
        </w:rPr>
      </w:pPr>
    </w:p>
    <w:p w14:paraId="3B7FFE6D" w14:textId="77777777" w:rsidR="004412F1" w:rsidRDefault="004412F1">
      <w:pPr>
        <w:ind w:left="570"/>
        <w:jc w:val="both"/>
        <w:rPr>
          <w:lang w:val="es-PE"/>
        </w:rPr>
      </w:pPr>
    </w:p>
    <w:p w14:paraId="38505E5C" w14:textId="77777777" w:rsidR="004412F1" w:rsidRDefault="005A12A3">
      <w:pPr>
        <w:numPr>
          <w:ilvl w:val="0"/>
          <w:numId w:val="157"/>
        </w:numPr>
        <w:tabs>
          <w:tab w:val="left" w:pos="1134"/>
        </w:tabs>
        <w:jc w:val="both"/>
      </w:pPr>
      <w:r>
        <w:rPr>
          <w:b/>
        </w:rPr>
        <w:t>CONSERVACIÓN POR NIVELES DE SERVICIO</w:t>
      </w:r>
    </w:p>
    <w:p w14:paraId="7E40C330" w14:textId="77777777" w:rsidR="004412F1" w:rsidRDefault="004412F1">
      <w:pPr>
        <w:jc w:val="both"/>
      </w:pPr>
    </w:p>
    <w:p w14:paraId="158D0B7D" w14:textId="77777777" w:rsidR="004412F1" w:rsidRDefault="005A12A3">
      <w:pPr>
        <w:numPr>
          <w:ilvl w:val="1"/>
          <w:numId w:val="159"/>
        </w:numPr>
        <w:jc w:val="both"/>
        <w:rPr>
          <w:lang w:val="es-PE"/>
        </w:rPr>
      </w:pPr>
      <w:r>
        <w:rPr>
          <w:lang w:val="es-PE"/>
        </w:rPr>
        <w:t>El estado de los Bienes de la Concesión y de la infraestructura vial se expresará a través de parámetros de condición, que harán referencia a diversos aspectos: estado del pavimento, condición de los drenajes, estado de las señales, calidad de la transitabilidad, etc. Los límites aceptables para la medida de los parámetros de condición están dados por los “Niveles de Servicio” establecidos en este ANEXO.</w:t>
      </w:r>
    </w:p>
    <w:p w14:paraId="5EFE8869" w14:textId="77777777" w:rsidR="004412F1" w:rsidRDefault="004412F1">
      <w:pPr>
        <w:tabs>
          <w:tab w:val="left" w:pos="1100"/>
        </w:tabs>
        <w:ind w:left="1100" w:hanging="500"/>
        <w:jc w:val="both"/>
        <w:rPr>
          <w:lang w:val="es-PE"/>
        </w:rPr>
      </w:pPr>
    </w:p>
    <w:p w14:paraId="65C4015A" w14:textId="77777777" w:rsidR="004412F1" w:rsidRDefault="005A12A3">
      <w:pPr>
        <w:numPr>
          <w:ilvl w:val="1"/>
          <w:numId w:val="159"/>
        </w:numPr>
        <w:jc w:val="both"/>
        <w:rPr>
          <w:lang w:val="es-PE"/>
        </w:rPr>
      </w:pPr>
      <w:r>
        <w:rPr>
          <w:lang w:val="es-PE"/>
        </w:rPr>
        <w:t>Es obligación del CONCESIONARIO programar y ejecutar oportunamente las tareas de Conservación que permitan que en cualquier momento la medida de los parámetros de condición sea igual o esté por encima de los umbrales mínimos (o debajo de los máximos) establecidos por los Niveles de Servicio definidos en este ANEXO.</w:t>
      </w:r>
    </w:p>
    <w:p w14:paraId="2B74D867" w14:textId="77777777" w:rsidR="004412F1" w:rsidRDefault="004412F1">
      <w:pPr>
        <w:tabs>
          <w:tab w:val="left" w:pos="1100"/>
        </w:tabs>
        <w:ind w:left="1100" w:hanging="500"/>
        <w:jc w:val="both"/>
        <w:rPr>
          <w:lang w:val="es-PE"/>
        </w:rPr>
      </w:pPr>
    </w:p>
    <w:p w14:paraId="3C9EA0D0" w14:textId="77777777" w:rsidR="004412F1" w:rsidRDefault="005A12A3">
      <w:pPr>
        <w:numPr>
          <w:ilvl w:val="1"/>
          <w:numId w:val="159"/>
        </w:numPr>
        <w:jc w:val="both"/>
        <w:rPr>
          <w:lang w:val="es-PE"/>
        </w:rPr>
      </w:pPr>
      <w:r>
        <w:rPr>
          <w:lang w:val="es-PE"/>
        </w:rPr>
        <w:t>El CONCESIONARIO dispondrá en todo momento de la estructura, organización y recursos (físicos, técnicos y administrativos), que le permitan programar y ejecutar a lo largo del período de la Concesión, las tareas de Conservación Periódica, Rutinaria y atención de Emergencias Viales, necesarias para que la medida de los parámetros de condición se mantenga siempre igual o por encima de los umbrales mínimos (o debajo de los máximos) establecidos por los Niveles de Servicio definidos en este ANEXO.</w:t>
      </w:r>
    </w:p>
    <w:p w14:paraId="2C8C2AA6" w14:textId="77777777" w:rsidR="004412F1" w:rsidRDefault="004412F1">
      <w:pPr>
        <w:jc w:val="both"/>
        <w:rPr>
          <w:lang w:val="es-PE"/>
        </w:rPr>
      </w:pPr>
    </w:p>
    <w:p w14:paraId="184CE90A" w14:textId="77777777" w:rsidR="004412F1" w:rsidRDefault="005A12A3">
      <w:pPr>
        <w:numPr>
          <w:ilvl w:val="1"/>
          <w:numId w:val="159"/>
        </w:numPr>
        <w:jc w:val="both"/>
        <w:rPr>
          <w:lang w:val="es-PE"/>
        </w:rPr>
      </w:pPr>
      <w:r>
        <w:rPr>
          <w:lang w:val="es"/>
        </w:rPr>
        <w:t>Para el CONCESIONARIO esto significa detectar por sí mismo aquellos parámetros de condición cuya medida eventualmente se encuentre próxima de los límites admisibles establecidos por los correspondientes Niveles de Servicio y adoptar las medidas necesarias para su corrección oportuna, para estar siempre dentro de los Niveles de Servicio definidos en este ANEXO I</w:t>
      </w:r>
      <w:r>
        <w:rPr>
          <w:lang w:val="es-PE"/>
        </w:rPr>
        <w:t>.</w:t>
      </w:r>
    </w:p>
    <w:p w14:paraId="5994EA17" w14:textId="77777777" w:rsidR="004412F1" w:rsidRDefault="004412F1">
      <w:pPr>
        <w:jc w:val="both"/>
        <w:rPr>
          <w:lang w:val="es-PE"/>
        </w:rPr>
      </w:pPr>
    </w:p>
    <w:p w14:paraId="40E55CCE" w14:textId="77777777" w:rsidR="004412F1" w:rsidRDefault="005A12A3">
      <w:pPr>
        <w:numPr>
          <w:ilvl w:val="1"/>
          <w:numId w:val="159"/>
        </w:numPr>
        <w:jc w:val="both"/>
        <w:rPr>
          <w:lang w:val="es-PE"/>
        </w:rPr>
      </w:pPr>
      <w:r>
        <w:rPr>
          <w:lang w:val="es-PE"/>
        </w:rPr>
        <w:t xml:space="preserve">Los Niveles de Servicio pueden ser referidos a aspectos particulares del estado de la superficie de rodadura, del estado de los drenajes, del estado de los elementos de seguridad, etc. En este caso se denominan Niveles de Servicio individuales. Por otra parte, tanto para cada </w:t>
      </w:r>
      <w:proofErr w:type="gramStart"/>
      <w:r>
        <w:rPr>
          <w:lang w:val="es-PE"/>
        </w:rPr>
        <w:t>Sub Tramo</w:t>
      </w:r>
      <w:proofErr w:type="gramEnd"/>
      <w:r>
        <w:rPr>
          <w:lang w:val="es-PE"/>
        </w:rPr>
        <w:t xml:space="preserve"> como para la Concesión </w:t>
      </w:r>
      <w:r>
        <w:rPr>
          <w:lang w:val="es-PE"/>
        </w:rPr>
        <w:lastRenderedPageBreak/>
        <w:t>en su conjunto es posible establecer Niveles de Servicio que consideren todos los aspectos; a éstos se los denomina Niveles de Servicio globales.</w:t>
      </w:r>
    </w:p>
    <w:p w14:paraId="3A262C9E" w14:textId="77777777" w:rsidR="004412F1" w:rsidRDefault="004412F1">
      <w:pPr>
        <w:ind w:left="708"/>
        <w:rPr>
          <w:color w:val="000000"/>
          <w:lang w:val="es-PE"/>
        </w:rPr>
      </w:pPr>
    </w:p>
    <w:p w14:paraId="658A84CF" w14:textId="77777777" w:rsidR="004412F1" w:rsidRDefault="005A12A3">
      <w:pPr>
        <w:numPr>
          <w:ilvl w:val="1"/>
          <w:numId w:val="159"/>
        </w:numPr>
        <w:jc w:val="both"/>
        <w:rPr>
          <w:lang w:val="es-PE"/>
        </w:rPr>
      </w:pPr>
      <w:r>
        <w:rPr>
          <w:lang w:val="es-PE"/>
        </w:rPr>
        <w:t xml:space="preserve">Durante el plazo de Concesión, el CONCESIONARIO deberá cumplir en forma permanente con los Niveles de Servicio individuales establecidos en el Apéndice 2 de este ANEXO y con los Niveles de Servicio globales establecidos para cada </w:t>
      </w:r>
      <w:proofErr w:type="gramStart"/>
      <w:r>
        <w:rPr>
          <w:lang w:val="es-PE"/>
        </w:rPr>
        <w:t>Sub Tramo</w:t>
      </w:r>
      <w:proofErr w:type="gramEnd"/>
      <w:r>
        <w:rPr>
          <w:lang w:val="es-PE"/>
        </w:rPr>
        <w:t xml:space="preserve"> en el Apéndice 6 de este ANEXO.</w:t>
      </w:r>
    </w:p>
    <w:p w14:paraId="0E15EA1F" w14:textId="77777777" w:rsidR="004412F1" w:rsidRDefault="004412F1">
      <w:pPr>
        <w:tabs>
          <w:tab w:val="left" w:pos="1100"/>
        </w:tabs>
        <w:ind w:left="1100" w:hanging="500"/>
        <w:jc w:val="both"/>
        <w:rPr>
          <w:lang w:val="es-PE"/>
        </w:rPr>
      </w:pPr>
    </w:p>
    <w:p w14:paraId="79C35078" w14:textId="77777777" w:rsidR="004412F1" w:rsidRDefault="005A12A3">
      <w:pPr>
        <w:numPr>
          <w:ilvl w:val="1"/>
          <w:numId w:val="159"/>
        </w:numPr>
        <w:jc w:val="both"/>
        <w:rPr>
          <w:lang w:val="es-PE"/>
        </w:rPr>
      </w:pPr>
      <w:r>
        <w:rPr>
          <w:lang w:val="es-PE"/>
        </w:rPr>
        <w:t>El REGULADOR directamente o a través de quien éste designe, llevará adelante las tareas de fiscalización del cumplimiento de los Niveles de Servicio, esto es:  (a) verificar que se mantienen los parámetros de condición igual o por encima de los umbrales mínimos (o debajo de los máximos) establecidos por los Niveles de Servicio definidos en el Apéndice 2 de este ANEXO I, y (b) verificar que los niveles de servicio globales se mantienen dentro de los valores definidos para cada Sub Tramo y para la Concesión en el Apéndice 6 de este ANEXO.</w:t>
      </w:r>
    </w:p>
    <w:p w14:paraId="54F3080C" w14:textId="77777777" w:rsidR="004412F1" w:rsidRDefault="004412F1">
      <w:pPr>
        <w:tabs>
          <w:tab w:val="left" w:pos="1100"/>
        </w:tabs>
        <w:ind w:left="1100" w:hanging="500"/>
        <w:jc w:val="both"/>
        <w:rPr>
          <w:lang w:val="es-PE"/>
        </w:rPr>
      </w:pPr>
    </w:p>
    <w:p w14:paraId="0A88A953" w14:textId="77777777" w:rsidR="004412F1" w:rsidRDefault="005A12A3">
      <w:pPr>
        <w:numPr>
          <w:ilvl w:val="1"/>
          <w:numId w:val="159"/>
        </w:numPr>
        <w:ind w:left="567" w:hanging="567"/>
        <w:jc w:val="both"/>
        <w:rPr>
          <w:lang w:val="es-PE"/>
        </w:rPr>
      </w:pPr>
      <w:r>
        <w:rPr>
          <w:lang w:val="es-PE"/>
        </w:rPr>
        <w:t>El cumplimiento de los Niveles de Servicio individuales se verificará de manera continua e inopinadamente, mientras que el cumplimiento de los Niveles de Servicio globales se verificará periódicamente, según lo que se indica en el Numeral 5.4 al 5.7 del presente ANEXO.</w:t>
      </w:r>
    </w:p>
    <w:p w14:paraId="37D49D62" w14:textId="77777777" w:rsidR="004412F1" w:rsidRDefault="004412F1">
      <w:pPr>
        <w:ind w:left="708"/>
        <w:rPr>
          <w:b/>
          <w:color w:val="000000"/>
          <w:lang w:val="es-PE"/>
        </w:rPr>
      </w:pPr>
    </w:p>
    <w:p w14:paraId="72A69656" w14:textId="77777777" w:rsidR="004412F1" w:rsidRDefault="005A12A3">
      <w:pPr>
        <w:numPr>
          <w:ilvl w:val="0"/>
          <w:numId w:val="157"/>
        </w:numPr>
        <w:tabs>
          <w:tab w:val="left" w:pos="567"/>
          <w:tab w:val="left" w:pos="1134"/>
        </w:tabs>
        <w:ind w:left="567" w:hanging="567"/>
        <w:jc w:val="both"/>
      </w:pPr>
      <w:r>
        <w:rPr>
          <w:b/>
        </w:rPr>
        <w:t>PROCEDIMIENTOS GENERALES</w:t>
      </w:r>
    </w:p>
    <w:p w14:paraId="7BE243FF" w14:textId="77777777" w:rsidR="004412F1" w:rsidRDefault="004412F1">
      <w:pPr>
        <w:suppressLineNumbers/>
        <w:suppressAutoHyphens/>
        <w:ind w:firstLine="1"/>
        <w:jc w:val="both"/>
        <w:rPr>
          <w:color w:val="000000"/>
        </w:rPr>
      </w:pPr>
    </w:p>
    <w:p w14:paraId="32577710" w14:textId="77777777" w:rsidR="004412F1" w:rsidRDefault="005A12A3">
      <w:pPr>
        <w:ind w:firstLine="567"/>
        <w:rPr>
          <w:b/>
        </w:rPr>
      </w:pPr>
      <w:r>
        <w:rPr>
          <w:b/>
        </w:rPr>
        <w:t>Programas de Conservación</w:t>
      </w:r>
    </w:p>
    <w:p w14:paraId="607F6A2A" w14:textId="77777777" w:rsidR="004412F1" w:rsidRDefault="004412F1">
      <w:pPr>
        <w:ind w:firstLine="567"/>
        <w:rPr>
          <w:b/>
        </w:rPr>
      </w:pPr>
    </w:p>
    <w:p w14:paraId="1318C6CB" w14:textId="77777777" w:rsidR="004412F1" w:rsidRDefault="005A12A3">
      <w:pPr>
        <w:numPr>
          <w:ilvl w:val="1"/>
          <w:numId w:val="160"/>
        </w:numPr>
        <w:suppressLineNumbers/>
        <w:suppressAutoHyphens/>
        <w:ind w:left="567" w:hanging="567"/>
        <w:jc w:val="both"/>
        <w:rPr>
          <w:color w:val="000000"/>
          <w:lang w:val="es-PE"/>
        </w:rPr>
      </w:pPr>
      <w:r>
        <w:rPr>
          <w:color w:val="000000" w:themeColor="text1"/>
          <w:lang w:val="es-PE"/>
        </w:rPr>
        <w:t xml:space="preserve">Tal como se establece en el </w:t>
      </w:r>
      <w:hyperlink w:anchor="_4iylrwe">
        <w:r>
          <w:rPr>
            <w:color w:val="000000" w:themeColor="text1"/>
            <w:lang w:val="es-PE"/>
          </w:rPr>
          <w:t>CAPÍTULO VII</w:t>
        </w:r>
      </w:hyperlink>
      <w:r>
        <w:rPr>
          <w:color w:val="000000" w:themeColor="text1"/>
          <w:lang w:val="es-PE"/>
        </w:rPr>
        <w:t xml:space="preserve"> del Contrato, el CONCESIONARIO someterá para aprobación del REGULADOR un Programa de Conservación para </w:t>
      </w:r>
      <w:r>
        <w:rPr>
          <w:lang w:val="es"/>
        </w:rPr>
        <w:t>el correspondiente período, que describa las tareas que prevé ejecutar, con los diseños y especificaciones que correspondan</w:t>
      </w:r>
      <w:r>
        <w:rPr>
          <w:color w:val="000000" w:themeColor="text1"/>
          <w:lang w:val="es-PE"/>
        </w:rPr>
        <w:t>.</w:t>
      </w:r>
    </w:p>
    <w:p w14:paraId="388F250D" w14:textId="77777777" w:rsidR="004412F1" w:rsidRDefault="004412F1">
      <w:pPr>
        <w:jc w:val="both"/>
        <w:rPr>
          <w:lang w:val="es-PE"/>
        </w:rPr>
      </w:pPr>
    </w:p>
    <w:p w14:paraId="668D2C40" w14:textId="77777777" w:rsidR="004412F1" w:rsidRDefault="005A12A3">
      <w:pPr>
        <w:numPr>
          <w:ilvl w:val="1"/>
          <w:numId w:val="160"/>
        </w:numPr>
        <w:suppressLineNumbers/>
        <w:suppressAutoHyphens/>
        <w:ind w:left="567" w:hanging="567"/>
        <w:jc w:val="both"/>
        <w:rPr>
          <w:color w:val="000000"/>
          <w:lang w:val="es-PE"/>
        </w:rPr>
      </w:pPr>
      <w:r>
        <w:rPr>
          <w:color w:val="000000" w:themeColor="text1"/>
          <w:lang w:val="es-PE"/>
        </w:rPr>
        <w:t>El Programa de Conservación estará debidamente justificado en sus aspectos técnicos, indicando el análisis de estado sobre el que se basa, los indicadores considerados y las políticas aplicadas para la toma de decisiones.</w:t>
      </w:r>
    </w:p>
    <w:p w14:paraId="50E78CDC" w14:textId="77777777" w:rsidR="004412F1" w:rsidRDefault="004412F1">
      <w:pPr>
        <w:suppressLineNumbers/>
        <w:suppressAutoHyphens/>
        <w:jc w:val="both"/>
        <w:rPr>
          <w:color w:val="000000"/>
          <w:lang w:val="es-ES"/>
        </w:rPr>
      </w:pPr>
    </w:p>
    <w:p w14:paraId="5E13A631" w14:textId="77777777" w:rsidR="004412F1" w:rsidRDefault="005A12A3">
      <w:pPr>
        <w:numPr>
          <w:ilvl w:val="1"/>
          <w:numId w:val="160"/>
        </w:numPr>
        <w:suppressLineNumbers/>
        <w:suppressAutoHyphens/>
        <w:ind w:left="567" w:hanging="567"/>
        <w:jc w:val="both"/>
        <w:rPr>
          <w:color w:val="000000"/>
          <w:lang w:val="es-ES"/>
        </w:rPr>
      </w:pPr>
      <w:r>
        <w:rPr>
          <w:color w:val="000000" w:themeColor="text1"/>
          <w:lang w:val="es-PE"/>
        </w:rPr>
        <w:t>Los Programas</w:t>
      </w:r>
      <w:r>
        <w:rPr>
          <w:color w:val="000000" w:themeColor="text1"/>
          <w:lang w:val="es-ES"/>
        </w:rPr>
        <w:t xml:space="preserve"> de Conservación</w:t>
      </w:r>
      <w:r>
        <w:rPr>
          <w:color w:val="000000" w:themeColor="text1"/>
          <w:lang w:val="es-PE"/>
        </w:rPr>
        <w:t xml:space="preserve"> deberán incluir las políticas y el cronograma de las operaciones a realizar, con sus respectivas mediciones y su justificación técnica, todo ello tomando en cuenta los diagnósticos de las condiciones de la vía y las disposiciones del Contrato. El programa deberá garantizar el tránsito ininterrumpido durante su ejecución.</w:t>
      </w:r>
    </w:p>
    <w:p w14:paraId="32DB9093" w14:textId="77777777" w:rsidR="004412F1" w:rsidRDefault="004412F1">
      <w:pPr>
        <w:suppressLineNumbers/>
        <w:suppressAutoHyphens/>
        <w:ind w:left="567" w:hanging="567"/>
        <w:jc w:val="both"/>
        <w:rPr>
          <w:color w:val="000000"/>
          <w:lang w:val="es-PE"/>
        </w:rPr>
      </w:pPr>
    </w:p>
    <w:p w14:paraId="2C462B06" w14:textId="77777777" w:rsidR="004412F1" w:rsidRDefault="005A12A3">
      <w:pPr>
        <w:numPr>
          <w:ilvl w:val="1"/>
          <w:numId w:val="160"/>
        </w:numPr>
        <w:suppressLineNumbers/>
        <w:suppressAutoHyphens/>
        <w:ind w:left="567" w:hanging="567"/>
        <w:jc w:val="both"/>
        <w:rPr>
          <w:color w:val="000000"/>
          <w:lang w:val="es-PE"/>
        </w:rPr>
      </w:pPr>
      <w:r>
        <w:rPr>
          <w:color w:val="000000" w:themeColor="text1"/>
          <w:lang w:val="es-PE"/>
        </w:rPr>
        <w:t>El primer Programa de Conservación de cada tipo de Intervención deberá ser presentado al REGULADOR dentro de los primeros sesenta (60) Días Calendario de aceptada la respectiva Intervención.</w:t>
      </w:r>
    </w:p>
    <w:p w14:paraId="1AED53EF" w14:textId="77777777" w:rsidR="004412F1" w:rsidRDefault="004412F1">
      <w:pPr>
        <w:suppressLineNumbers/>
        <w:suppressAutoHyphens/>
        <w:jc w:val="both"/>
        <w:rPr>
          <w:color w:val="000000"/>
          <w:lang w:val="es-ES"/>
        </w:rPr>
      </w:pPr>
    </w:p>
    <w:p w14:paraId="1DB9A7A2" w14:textId="77777777" w:rsidR="004412F1" w:rsidRDefault="005A12A3">
      <w:pPr>
        <w:suppressLineNumbers/>
        <w:suppressAutoHyphens/>
        <w:ind w:left="567"/>
        <w:jc w:val="both"/>
        <w:rPr>
          <w:color w:val="000000"/>
          <w:lang w:val="es-PE"/>
        </w:rPr>
      </w:pPr>
      <w:r>
        <w:rPr>
          <w:color w:val="000000"/>
          <w:lang w:val="es-PE"/>
        </w:rPr>
        <w:t>Los siguientes Programas de Conservación deberán ser presentados al REGULADOR, dentro de los primeros quince (15) Días Calendario del mes de diciembre del año anterior al que corresponda su ejecución y abarcará hasta diciembre del año de ejecución de la Conservación. De la misma forma en el caso del último Año de Concesión, el programa de Conservación deberá comprender las actividades a realizarse hasta la fecha de vencimiento de la Concesión.</w:t>
      </w:r>
    </w:p>
    <w:p w14:paraId="7660A0FA" w14:textId="77777777" w:rsidR="004412F1" w:rsidRDefault="004412F1">
      <w:pPr>
        <w:suppressLineNumbers/>
        <w:suppressAutoHyphens/>
        <w:ind w:left="567"/>
        <w:jc w:val="both"/>
        <w:rPr>
          <w:color w:val="000000"/>
          <w:lang w:val="es-PE"/>
        </w:rPr>
      </w:pPr>
    </w:p>
    <w:p w14:paraId="740CA0AF" w14:textId="77777777" w:rsidR="004412F1" w:rsidRDefault="005A12A3">
      <w:pPr>
        <w:suppressLineNumbers/>
        <w:suppressAutoHyphens/>
        <w:ind w:left="567"/>
        <w:jc w:val="both"/>
        <w:rPr>
          <w:color w:val="000000"/>
          <w:lang w:val="es-PE"/>
        </w:rPr>
      </w:pPr>
      <w:r>
        <w:rPr>
          <w:color w:val="000000"/>
          <w:lang w:val="es-PE"/>
        </w:rPr>
        <w:t xml:space="preserve">Para efectos de la Conservación Periódica, el CONCESIONARIO presentará un expediente técnico respectivo al REGULADOR y al CONCEDENTE.  Luego de la opinión favorable del REGULADOR respecto a la ingeniería, el CONCEDENTE </w:t>
      </w:r>
      <w:r>
        <w:rPr>
          <w:color w:val="000000"/>
          <w:lang w:val="es-PE"/>
        </w:rPr>
        <w:lastRenderedPageBreak/>
        <w:t>revisará el expediente completo (ingeniería y presupuesto) y procederá a emitir observaciones o aprobar el mencionado expediente.</w:t>
      </w:r>
    </w:p>
    <w:p w14:paraId="237D622C" w14:textId="77777777" w:rsidR="004412F1" w:rsidRDefault="004412F1">
      <w:pPr>
        <w:ind w:left="567"/>
        <w:jc w:val="both"/>
        <w:rPr>
          <w:color w:val="000000"/>
          <w:lang w:val="es-PE"/>
        </w:rPr>
      </w:pPr>
    </w:p>
    <w:p w14:paraId="1C2BEA8F" w14:textId="77777777" w:rsidR="004412F1" w:rsidRDefault="005A12A3">
      <w:pPr>
        <w:numPr>
          <w:ilvl w:val="1"/>
          <w:numId w:val="160"/>
        </w:numPr>
        <w:ind w:left="567" w:hanging="567"/>
        <w:jc w:val="both"/>
        <w:rPr>
          <w:lang w:val="es-PE"/>
        </w:rPr>
      </w:pPr>
      <w:r>
        <w:rPr>
          <w:lang w:val="es-PE"/>
        </w:rPr>
        <w:t>Luego del primer programa de Conservación y hasta la Caducidad de la Concesión, el CONCESIONARIO deberá presentar durante los primeros siete (7) Días de cada mes, un informe con la descripción de las actividades de Conservación ejecutadas en el mes inmediato anterior, indicando las variaciones respecto de lo establecido en el programa de Conservación anual y su justificación.</w:t>
      </w:r>
    </w:p>
    <w:p w14:paraId="5BD228BE" w14:textId="77777777" w:rsidR="004412F1" w:rsidRDefault="004412F1">
      <w:pPr>
        <w:suppressLineNumbers/>
        <w:suppressAutoHyphens/>
        <w:ind w:left="567" w:hanging="567"/>
        <w:jc w:val="both"/>
        <w:rPr>
          <w:color w:val="000000"/>
          <w:lang w:val="es-ES"/>
        </w:rPr>
      </w:pPr>
    </w:p>
    <w:p w14:paraId="2871F517" w14:textId="77777777" w:rsidR="004412F1" w:rsidRDefault="005A12A3">
      <w:pPr>
        <w:numPr>
          <w:ilvl w:val="1"/>
          <w:numId w:val="160"/>
        </w:numPr>
        <w:ind w:left="567" w:hanging="567"/>
        <w:jc w:val="both"/>
        <w:rPr>
          <w:lang w:val="es-PE"/>
        </w:rPr>
      </w:pPr>
      <w:r>
        <w:rPr>
          <w:lang w:val="es-PE"/>
        </w:rPr>
        <w:t xml:space="preserve">El incumplimiento de la presentación anual del Programa de Conservación e informes mensuales en los términos, condiciones y plazos mencionados dará lugar a la imposición de una penalidad de acuerdo con lo regulado en la Tabla N° 4 del </w:t>
      </w:r>
      <w:hyperlink w:anchor="_kgcv8k">
        <w:r>
          <w:rPr>
            <w:color w:val="000000" w:themeColor="text1"/>
            <w:lang w:val="es-PE"/>
          </w:rPr>
          <w:t>ANEXO IX</w:t>
        </w:r>
      </w:hyperlink>
      <w:r>
        <w:rPr>
          <w:lang w:val="es-PE"/>
        </w:rPr>
        <w:t>.</w:t>
      </w:r>
    </w:p>
    <w:p w14:paraId="36D434B2" w14:textId="77777777" w:rsidR="004412F1" w:rsidRDefault="004412F1">
      <w:pPr>
        <w:suppressLineNumbers/>
        <w:suppressAutoHyphens/>
        <w:ind w:left="567" w:hanging="567"/>
        <w:jc w:val="both"/>
        <w:rPr>
          <w:color w:val="000000"/>
          <w:lang w:val="es-PE"/>
        </w:rPr>
      </w:pPr>
    </w:p>
    <w:p w14:paraId="05F65321" w14:textId="77777777" w:rsidR="004412F1" w:rsidRDefault="005A12A3">
      <w:pPr>
        <w:numPr>
          <w:ilvl w:val="1"/>
          <w:numId w:val="160"/>
        </w:numPr>
        <w:tabs>
          <w:tab w:val="left" w:pos="567"/>
        </w:tabs>
        <w:ind w:left="567" w:hanging="567"/>
        <w:jc w:val="both"/>
        <w:rPr>
          <w:lang w:val="es-PE"/>
        </w:rPr>
      </w:pPr>
      <w:r>
        <w:rPr>
          <w:lang w:val="es-PE"/>
        </w:rPr>
        <w:t>Este programa podrá ser objeto de ajustes y evaluaciones periódicas sea a pedido de las Partes o de oficio por el REGULADOR.</w:t>
      </w:r>
    </w:p>
    <w:p w14:paraId="55DFD0E2" w14:textId="77777777" w:rsidR="004412F1" w:rsidRDefault="004412F1">
      <w:pPr>
        <w:tabs>
          <w:tab w:val="left" w:pos="1100"/>
        </w:tabs>
        <w:ind w:left="567" w:hanging="567"/>
        <w:jc w:val="both"/>
        <w:rPr>
          <w:lang w:val="es-PE"/>
        </w:rPr>
      </w:pPr>
    </w:p>
    <w:p w14:paraId="065D5B47" w14:textId="77777777" w:rsidR="004412F1" w:rsidRDefault="005A12A3">
      <w:pPr>
        <w:numPr>
          <w:ilvl w:val="1"/>
          <w:numId w:val="160"/>
        </w:numPr>
        <w:tabs>
          <w:tab w:val="left" w:pos="567"/>
        </w:tabs>
        <w:ind w:left="567" w:hanging="567"/>
        <w:jc w:val="both"/>
        <w:rPr>
          <w:lang w:val="es-PE"/>
        </w:rPr>
      </w:pPr>
      <w:r>
        <w:rPr>
          <w:lang w:val="es-PE"/>
        </w:rPr>
        <w:t>Sin perjuicio de lo anterior, tres (3) años antes de la fecha estimada para el término del plazo de la Concesión, el CONCEDENTE y/o el REGULADOR, en coordinación con el CONCESIONARIO, podrán efectuar las revisiones necesarias en toda la infraestructura vial de los Sub Tramos, a fin de determinar las actividades de Conservación Periódica que el CONCESIONARIO deberá efectuar para que los Sub Tramos cumplan con los Niveles de Servicio exigidos en el ANEXO I por un período de por lo menos tres (03) años posteriores a la reversión de los Bienes de la Concesión.</w:t>
      </w:r>
    </w:p>
    <w:p w14:paraId="468358DB" w14:textId="77777777" w:rsidR="004412F1" w:rsidRDefault="004412F1">
      <w:pPr>
        <w:ind w:left="600"/>
        <w:jc w:val="both"/>
        <w:rPr>
          <w:lang w:val="es-PE"/>
        </w:rPr>
      </w:pPr>
    </w:p>
    <w:p w14:paraId="37F4ADE3" w14:textId="77777777" w:rsidR="004412F1" w:rsidRDefault="005A12A3">
      <w:pPr>
        <w:ind w:firstLine="570"/>
        <w:jc w:val="both"/>
        <w:rPr>
          <w:b/>
          <w:u w:val="single"/>
        </w:rPr>
      </w:pPr>
      <w:r>
        <w:rPr>
          <w:b/>
          <w:u w:val="single"/>
        </w:rPr>
        <w:t>Incumplimientos</w:t>
      </w:r>
    </w:p>
    <w:p w14:paraId="40BFBF9F" w14:textId="77777777" w:rsidR="004412F1" w:rsidRDefault="004412F1">
      <w:pPr>
        <w:ind w:firstLine="570"/>
        <w:jc w:val="both"/>
        <w:rPr>
          <w:b/>
          <w:u w:val="single"/>
        </w:rPr>
      </w:pPr>
    </w:p>
    <w:p w14:paraId="17270EA8" w14:textId="77777777" w:rsidR="004412F1" w:rsidRDefault="005A12A3">
      <w:pPr>
        <w:numPr>
          <w:ilvl w:val="1"/>
          <w:numId w:val="160"/>
        </w:numPr>
        <w:tabs>
          <w:tab w:val="left" w:pos="567"/>
        </w:tabs>
        <w:ind w:left="567" w:hanging="567"/>
        <w:jc w:val="both"/>
        <w:rPr>
          <w:lang w:val="es-PE"/>
        </w:rPr>
      </w:pPr>
      <w:r>
        <w:rPr>
          <w:lang w:val="es-PE"/>
        </w:rPr>
        <w:t xml:space="preserve">El incumplimiento de un Nivel de Servicio Individual indicado en el Apéndice </w:t>
      </w:r>
      <w:r>
        <w:rPr>
          <w:lang w:val="es-ES"/>
        </w:rPr>
        <w:t>2</w:t>
      </w:r>
      <w:r>
        <w:rPr>
          <w:lang w:val="es-PE"/>
        </w:rPr>
        <w:t xml:space="preserve"> del presente ANEXO</w:t>
      </w:r>
      <w:bookmarkStart w:id="2700" w:name="_Ref273551374"/>
      <w:r>
        <w:rPr>
          <w:lang w:val="es-PE"/>
        </w:rPr>
        <w:t xml:space="preserve"> dará lugar a la aplicación de la Penalidad indicada en la Tabla N° </w:t>
      </w:r>
      <w:r>
        <w:rPr>
          <w:lang w:val="es-ES"/>
        </w:rPr>
        <w:t>1</w:t>
      </w:r>
      <w:r>
        <w:rPr>
          <w:lang w:val="es-PE"/>
        </w:rPr>
        <w:t xml:space="preserve"> del ANEXO IX.  Para ello, el REGULADOR (o quien este determine) enviará una “Notificación de detección de parámetro de condición insuficiente” al CONCESIONARIO indicando el defecto encontrado, los hitos kilométricos entre los que se encuentra y el plazo para subsanarlo. </w:t>
      </w:r>
      <w:bookmarkEnd w:id="2700"/>
    </w:p>
    <w:p w14:paraId="5069F8FB" w14:textId="77777777" w:rsidR="004412F1" w:rsidRDefault="004412F1">
      <w:pPr>
        <w:ind w:left="567"/>
        <w:jc w:val="both"/>
        <w:rPr>
          <w:lang w:val="es-PE"/>
        </w:rPr>
      </w:pPr>
    </w:p>
    <w:p w14:paraId="0C8186A2" w14:textId="77777777" w:rsidR="004412F1" w:rsidRDefault="005A12A3">
      <w:pPr>
        <w:ind w:left="567"/>
        <w:jc w:val="both"/>
        <w:rPr>
          <w:lang w:val="es-PE"/>
        </w:rPr>
      </w:pPr>
      <w:r>
        <w:rPr>
          <w:lang w:val="es-PE"/>
        </w:rPr>
        <w:t xml:space="preserve">La no corrección del defecto en tiempo o forma se considerará, a su vez, un incumplimiento y dará origen a la Penalidad establecida en la Tabla N° </w:t>
      </w:r>
      <w:r>
        <w:rPr>
          <w:lang w:val="es-ES"/>
        </w:rPr>
        <w:t xml:space="preserve">1 </w:t>
      </w:r>
      <w:r>
        <w:rPr>
          <w:lang w:val="es-PE"/>
        </w:rPr>
        <w:t>del ANEXO IX del Contrato de Concesión.</w:t>
      </w:r>
    </w:p>
    <w:p w14:paraId="6016B956" w14:textId="77777777" w:rsidR="004412F1" w:rsidRDefault="004412F1">
      <w:pPr>
        <w:tabs>
          <w:tab w:val="left" w:pos="1100"/>
        </w:tabs>
        <w:ind w:left="1100" w:hanging="600"/>
        <w:jc w:val="both"/>
        <w:rPr>
          <w:lang w:val="es-PE"/>
        </w:rPr>
      </w:pPr>
    </w:p>
    <w:p w14:paraId="62D0F2D4" w14:textId="77777777" w:rsidR="004412F1" w:rsidRDefault="005A12A3">
      <w:pPr>
        <w:numPr>
          <w:ilvl w:val="1"/>
          <w:numId w:val="160"/>
        </w:numPr>
        <w:tabs>
          <w:tab w:val="left" w:pos="567"/>
        </w:tabs>
        <w:ind w:left="567" w:hanging="567"/>
        <w:jc w:val="both"/>
        <w:rPr>
          <w:lang w:val="es-PE"/>
        </w:rPr>
      </w:pPr>
      <w:bookmarkStart w:id="2701" w:name="_Ref273551421"/>
      <w:r>
        <w:rPr>
          <w:lang w:val="es-PE"/>
        </w:rPr>
        <w:t>Por su parte, la verificación del incumplimiento en mantener un Nivel de Servicio Global dará lugar a la aplicación de una P</w:t>
      </w:r>
      <w:r>
        <w:rPr>
          <w:lang w:val="es-ES"/>
        </w:rPr>
        <w:t>e</w:t>
      </w:r>
      <w:r>
        <w:rPr>
          <w:lang w:val="es-PE"/>
        </w:rPr>
        <w:t xml:space="preserve">nalidad según lo establecido en la Tabla N° </w:t>
      </w:r>
      <w:r>
        <w:rPr>
          <w:lang w:val="es-ES"/>
        </w:rPr>
        <w:t>1</w:t>
      </w:r>
      <w:r>
        <w:rPr>
          <w:lang w:val="es-PE"/>
        </w:rPr>
        <w:t xml:space="preserve"> del ANEXO</w:t>
      </w:r>
      <w:r>
        <w:rPr>
          <w:lang w:val="es-ES"/>
        </w:rPr>
        <w:t xml:space="preserve"> IX</w:t>
      </w:r>
      <w:r>
        <w:rPr>
          <w:lang w:val="es-PE"/>
        </w:rPr>
        <w:t>.</w:t>
      </w:r>
      <w:bookmarkEnd w:id="2701"/>
    </w:p>
    <w:p w14:paraId="0500A003" w14:textId="77777777" w:rsidR="004412F1" w:rsidRDefault="004412F1">
      <w:pPr>
        <w:jc w:val="both"/>
        <w:rPr>
          <w:lang w:val="es-PE"/>
        </w:rPr>
      </w:pPr>
    </w:p>
    <w:p w14:paraId="04074346" w14:textId="77777777" w:rsidR="004412F1" w:rsidRDefault="005A12A3">
      <w:pPr>
        <w:tabs>
          <w:tab w:val="left" w:pos="1100"/>
        </w:tabs>
        <w:ind w:left="1100" w:hanging="600"/>
        <w:jc w:val="both"/>
        <w:rPr>
          <w:b/>
          <w:u w:val="single"/>
        </w:rPr>
      </w:pPr>
      <w:r>
        <w:rPr>
          <w:b/>
          <w:u w:val="single"/>
        </w:rPr>
        <w:t>Comunicaciones</w:t>
      </w:r>
    </w:p>
    <w:p w14:paraId="25AC800A" w14:textId="77777777" w:rsidR="004412F1" w:rsidRDefault="004412F1">
      <w:pPr>
        <w:tabs>
          <w:tab w:val="left" w:pos="1100"/>
        </w:tabs>
        <w:ind w:left="1100" w:hanging="600"/>
        <w:jc w:val="both"/>
      </w:pPr>
    </w:p>
    <w:p w14:paraId="65B8CE88" w14:textId="77777777" w:rsidR="004412F1" w:rsidRDefault="005A12A3">
      <w:pPr>
        <w:numPr>
          <w:ilvl w:val="1"/>
          <w:numId w:val="160"/>
        </w:numPr>
        <w:ind w:left="567" w:hanging="567"/>
        <w:jc w:val="both"/>
        <w:rPr>
          <w:lang w:val="es"/>
        </w:rPr>
      </w:pPr>
      <w:r>
        <w:rPr>
          <w:lang w:val="es"/>
        </w:rPr>
        <w:t xml:space="preserve">Las “Notificaciones de detección de parámetro de condición insuficiente” así como las “Notificaciones de Incumplimiento” u otros comunicados que expedirá el REGULADOR, deberán ser presentadas al CONCESIONARIO por escrito y en su domicilio. Se tomará como recibida cualquier comunicación a partir de las 8 horas del primer Día siguiente a la emisión de </w:t>
      </w:r>
      <w:proofErr w:type="gramStart"/>
      <w:r>
        <w:rPr>
          <w:lang w:val="es"/>
        </w:rPr>
        <w:t>la misma</w:t>
      </w:r>
      <w:proofErr w:type="gramEnd"/>
      <w:r>
        <w:rPr>
          <w:lang w:val="es"/>
        </w:rPr>
        <w:t>.</w:t>
      </w:r>
    </w:p>
    <w:p w14:paraId="7DD81B82" w14:textId="77777777" w:rsidR="004412F1" w:rsidRDefault="005A12A3">
      <w:pPr>
        <w:pStyle w:val="Prrafodelista"/>
        <w:numPr>
          <w:ilvl w:val="0"/>
          <w:numId w:val="161"/>
        </w:numPr>
        <w:suppressLineNumbers/>
        <w:suppressAutoHyphens/>
        <w:ind w:left="1070" w:hanging="360"/>
        <w:jc w:val="both"/>
        <w:rPr>
          <w:lang w:val="es"/>
        </w:rPr>
      </w:pPr>
      <w:r>
        <w:rPr>
          <w:lang w:val="es"/>
        </w:rPr>
        <w:t xml:space="preserve"> </w:t>
      </w:r>
    </w:p>
    <w:p w14:paraId="66A43DD7" w14:textId="77777777" w:rsidR="004412F1" w:rsidRDefault="005A12A3">
      <w:pPr>
        <w:numPr>
          <w:ilvl w:val="1"/>
          <w:numId w:val="160"/>
        </w:numPr>
        <w:ind w:left="567" w:hanging="567"/>
        <w:jc w:val="both"/>
        <w:rPr>
          <w:lang w:val="es-PE"/>
        </w:rPr>
      </w:pPr>
      <w:r>
        <w:rPr>
          <w:lang w:val="es"/>
        </w:rPr>
        <w:t xml:space="preserve">En el Apéndice 3 de este ANEXO se presentan los formatos de </w:t>
      </w:r>
      <w:proofErr w:type="gramStart"/>
      <w:r>
        <w:rPr>
          <w:lang w:val="es"/>
        </w:rPr>
        <w:t>la notas</w:t>
      </w:r>
      <w:proofErr w:type="gramEnd"/>
      <w:r>
        <w:rPr>
          <w:lang w:val="es"/>
        </w:rPr>
        <w:t xml:space="preserve"> de comunicación a utilizar entre el CONCESIONARIO, el REGULADOR y/o su representante para el caso que se detecten parámetros de condición insuficientes</w:t>
      </w:r>
      <w:r>
        <w:rPr>
          <w:lang w:val="es-PE"/>
        </w:rPr>
        <w:t>.</w:t>
      </w:r>
    </w:p>
    <w:p w14:paraId="45E5456F" w14:textId="77777777" w:rsidR="004412F1" w:rsidRDefault="004412F1">
      <w:pPr>
        <w:ind w:left="567"/>
        <w:jc w:val="both"/>
        <w:rPr>
          <w:lang w:val="es-PE"/>
        </w:rPr>
      </w:pPr>
    </w:p>
    <w:p w14:paraId="07A5957C" w14:textId="77777777" w:rsidR="004412F1" w:rsidRDefault="004412F1">
      <w:pPr>
        <w:jc w:val="both"/>
        <w:rPr>
          <w:lang w:val="es-PE"/>
        </w:rPr>
      </w:pPr>
    </w:p>
    <w:p w14:paraId="76646792" w14:textId="77777777" w:rsidR="004412F1" w:rsidRDefault="005A12A3">
      <w:pPr>
        <w:numPr>
          <w:ilvl w:val="0"/>
          <w:numId w:val="157"/>
        </w:numPr>
        <w:tabs>
          <w:tab w:val="left" w:pos="1134"/>
        </w:tabs>
        <w:jc w:val="both"/>
        <w:rPr>
          <w:lang w:val="es-PE"/>
        </w:rPr>
      </w:pPr>
      <w:r>
        <w:rPr>
          <w:b/>
          <w:lang w:val="es-PE"/>
        </w:rPr>
        <w:t>EVALUACIÓN DE LA GESTIÓN DE CONSERVACIÓN DE LA VÍA</w:t>
      </w:r>
    </w:p>
    <w:p w14:paraId="04E64EB8" w14:textId="77777777" w:rsidR="004412F1" w:rsidRDefault="004412F1">
      <w:pPr>
        <w:jc w:val="both"/>
        <w:rPr>
          <w:lang w:val="es-PE"/>
        </w:rPr>
      </w:pPr>
    </w:p>
    <w:p w14:paraId="126693EE" w14:textId="77777777" w:rsidR="004412F1" w:rsidRDefault="005A12A3">
      <w:pPr>
        <w:numPr>
          <w:ilvl w:val="1"/>
          <w:numId w:val="162"/>
        </w:numPr>
        <w:jc w:val="both"/>
        <w:rPr>
          <w:lang w:val="es-PE"/>
        </w:rPr>
      </w:pPr>
      <w:r>
        <w:rPr>
          <w:lang w:val="es-PE"/>
        </w:rPr>
        <w:t>El CONCESIONARIO utilizará la referenciación kilométrica establecida por el CONCEDENTE en la totalidad de la vía concesionada.</w:t>
      </w:r>
    </w:p>
    <w:p w14:paraId="0445D5F3" w14:textId="77777777" w:rsidR="004412F1" w:rsidRDefault="004412F1">
      <w:pPr>
        <w:tabs>
          <w:tab w:val="left" w:pos="1100"/>
        </w:tabs>
        <w:ind w:left="1100" w:hanging="600"/>
        <w:jc w:val="both"/>
        <w:rPr>
          <w:lang w:val="es-PE"/>
        </w:rPr>
      </w:pPr>
    </w:p>
    <w:p w14:paraId="062D7F82" w14:textId="77777777" w:rsidR="004412F1" w:rsidRDefault="005A12A3">
      <w:pPr>
        <w:tabs>
          <w:tab w:val="left" w:pos="1100"/>
        </w:tabs>
        <w:ind w:left="1100" w:hanging="600"/>
        <w:jc w:val="both"/>
        <w:rPr>
          <w:b/>
          <w:u w:val="single"/>
          <w:lang w:val="es-PE"/>
        </w:rPr>
      </w:pPr>
      <w:r>
        <w:rPr>
          <w:b/>
          <w:u w:val="single"/>
          <w:lang w:val="es-PE"/>
        </w:rPr>
        <w:t>Programa de Evaluación de la Gestión de Conservación de la Vía.</w:t>
      </w:r>
    </w:p>
    <w:p w14:paraId="1A81427F" w14:textId="77777777" w:rsidR="004412F1" w:rsidRDefault="004412F1">
      <w:pPr>
        <w:tabs>
          <w:tab w:val="left" w:pos="1100"/>
        </w:tabs>
        <w:ind w:left="1100" w:hanging="600"/>
        <w:jc w:val="both"/>
        <w:rPr>
          <w:u w:val="single"/>
          <w:lang w:val="es-PE"/>
        </w:rPr>
      </w:pPr>
    </w:p>
    <w:p w14:paraId="6BE0B250" w14:textId="77777777" w:rsidR="004412F1" w:rsidRDefault="005A12A3">
      <w:pPr>
        <w:numPr>
          <w:ilvl w:val="1"/>
          <w:numId w:val="162"/>
        </w:numPr>
        <w:jc w:val="both"/>
        <w:rPr>
          <w:lang w:val="es-PE"/>
        </w:rPr>
      </w:pPr>
      <w:r>
        <w:rPr>
          <w:lang w:val="es-PE"/>
        </w:rPr>
        <w:t xml:space="preserve">Para asegurarse que los Niveles de Servicio que brinda el CONCESIONARIO se encuentren siempre dentro de los valores admisibles, el REGULADOR (o quien este designe) elaborará un Programa de Evaluación de la Gestión de la Concesión o cualquier otro mecanismo que le permita verificar el cumplimiento de los Niveles de Servicio individuales y globales, así como identificar eventuales defectos en la vía. </w:t>
      </w:r>
      <w:proofErr w:type="gramStart"/>
      <w:r>
        <w:rPr>
          <w:lang w:val="es-PE"/>
        </w:rPr>
        <w:t>Las evaluaciones a efectuar</w:t>
      </w:r>
      <w:proofErr w:type="gramEnd"/>
      <w:r>
        <w:rPr>
          <w:lang w:val="es-PE"/>
        </w:rPr>
        <w:t xml:space="preserve"> serán: Evaluaciones Continuas, Evaluaciones Semestrales y Evaluaciones Anuales.</w:t>
      </w:r>
    </w:p>
    <w:p w14:paraId="26259F66" w14:textId="77777777" w:rsidR="004412F1" w:rsidRDefault="004412F1">
      <w:pPr>
        <w:jc w:val="both"/>
        <w:rPr>
          <w:lang w:val="es-PE"/>
        </w:rPr>
      </w:pPr>
    </w:p>
    <w:p w14:paraId="0C60DB1C" w14:textId="77777777" w:rsidR="004412F1" w:rsidRDefault="005A12A3">
      <w:pPr>
        <w:numPr>
          <w:ilvl w:val="1"/>
          <w:numId w:val="162"/>
        </w:numPr>
        <w:jc w:val="both"/>
        <w:rPr>
          <w:lang w:val="es-PE"/>
        </w:rPr>
      </w:pPr>
      <w:r>
        <w:rPr>
          <w:lang w:val="es-PE"/>
        </w:rPr>
        <w:t xml:space="preserve">Los objetivos específicos del Programa de Evaluación de la Gestión de Conservación de la Vía u </w:t>
      </w:r>
      <w:proofErr w:type="gramStart"/>
      <w:r>
        <w:rPr>
          <w:lang w:val="es-PE"/>
        </w:rPr>
        <w:t>otro,</w:t>
      </w:r>
      <w:proofErr w:type="gramEnd"/>
      <w:r>
        <w:rPr>
          <w:lang w:val="es-PE"/>
        </w:rPr>
        <w:t xml:space="preserve"> son: (a) verificar el cumplimiento de los Niveles de Servicio individuales; (b) verificar el cumplimiento del nivel de servicio global prestado por el CONCESIONARIO; y (c) identificar la existencia de eventuales defectos en la Vía.</w:t>
      </w:r>
    </w:p>
    <w:p w14:paraId="7AC2667C" w14:textId="77777777" w:rsidR="004412F1" w:rsidRDefault="004412F1">
      <w:pPr>
        <w:tabs>
          <w:tab w:val="left" w:pos="1100"/>
        </w:tabs>
        <w:ind w:left="1100" w:hanging="600"/>
        <w:jc w:val="both"/>
        <w:rPr>
          <w:lang w:val="es-PE"/>
        </w:rPr>
      </w:pPr>
    </w:p>
    <w:p w14:paraId="0EE28E6C" w14:textId="77777777" w:rsidR="004412F1" w:rsidRDefault="005A12A3">
      <w:pPr>
        <w:numPr>
          <w:ilvl w:val="1"/>
          <w:numId w:val="162"/>
        </w:numPr>
        <w:jc w:val="both"/>
        <w:rPr>
          <w:lang w:val="es-PE"/>
        </w:rPr>
      </w:pPr>
      <w:r>
        <w:rPr>
          <w:lang w:val="es-PE"/>
        </w:rPr>
        <w:t>Para el Programa de Evaluación de la Gestión de Conservación de la Vía se emplearán las metodologías de relevamiento indicadas en el Apéndice 7 de este ANEXO.</w:t>
      </w:r>
    </w:p>
    <w:p w14:paraId="247E83F4" w14:textId="77777777" w:rsidR="004412F1" w:rsidRDefault="004412F1">
      <w:pPr>
        <w:rPr>
          <w:lang w:val="es-PE"/>
        </w:rPr>
      </w:pPr>
    </w:p>
    <w:p w14:paraId="2498DC64" w14:textId="77777777" w:rsidR="004412F1" w:rsidRDefault="005A12A3">
      <w:pPr>
        <w:ind w:firstLine="500"/>
        <w:rPr>
          <w:b/>
        </w:rPr>
      </w:pPr>
      <w:r>
        <w:rPr>
          <w:b/>
        </w:rPr>
        <w:t>Evaluaciones Continuas</w:t>
      </w:r>
    </w:p>
    <w:p w14:paraId="174BBD60" w14:textId="77777777" w:rsidR="004412F1" w:rsidRDefault="004412F1">
      <w:pPr>
        <w:jc w:val="both"/>
      </w:pPr>
    </w:p>
    <w:p w14:paraId="4FACC592" w14:textId="77777777" w:rsidR="004412F1" w:rsidRDefault="005A12A3">
      <w:pPr>
        <w:numPr>
          <w:ilvl w:val="1"/>
          <w:numId w:val="162"/>
        </w:numPr>
        <w:jc w:val="both"/>
        <w:rPr>
          <w:lang w:val="es-PE"/>
        </w:rPr>
      </w:pPr>
      <w:r>
        <w:rPr>
          <w:lang w:val="es-PE"/>
        </w:rPr>
        <w:t xml:space="preserve">El REGULADOR realizará Evaluaciones Continuas de todos los </w:t>
      </w:r>
      <w:proofErr w:type="gramStart"/>
      <w:r>
        <w:rPr>
          <w:lang w:val="es-PE"/>
        </w:rPr>
        <w:t>Sub Tramos</w:t>
      </w:r>
      <w:proofErr w:type="gramEnd"/>
      <w:r>
        <w:rPr>
          <w:lang w:val="es-PE"/>
        </w:rPr>
        <w:t xml:space="preserve"> de la vía, con el objetivo de identificar defectos localizados, y para verificar el cumplimiento de los Niveles de Servicio individuales. El REGULADOR también podrá fiscalizar las condiciones o prácticas de trabajo del CONCESIONARIO para que no resulten inseguras para los Usuarios, y podrá fiscalizar los procedimientos constructivos de manera de verificar el cumplimiento de los expedientes técnicos y las obligaciones contractuales.</w:t>
      </w:r>
    </w:p>
    <w:p w14:paraId="322446A2" w14:textId="77777777" w:rsidR="004412F1" w:rsidRDefault="004412F1">
      <w:pPr>
        <w:ind w:left="570"/>
        <w:jc w:val="both"/>
        <w:rPr>
          <w:lang w:val="es-PE"/>
        </w:rPr>
      </w:pPr>
    </w:p>
    <w:p w14:paraId="34B69177" w14:textId="77777777" w:rsidR="004412F1" w:rsidRDefault="005A12A3">
      <w:pPr>
        <w:numPr>
          <w:ilvl w:val="1"/>
          <w:numId w:val="162"/>
        </w:numPr>
        <w:jc w:val="both"/>
        <w:rPr>
          <w:lang w:val="es-PE"/>
        </w:rPr>
      </w:pPr>
      <w:r>
        <w:rPr>
          <w:lang w:val="es-PE"/>
        </w:rPr>
        <w:t>El REGULADOR efectuará las Evaluaciones Continuas en la oportunidad y lugares que considere conveniente, sin la necesidad de previo aviso al CONCESIONARIO. También podrá emplear información proporcionada por los Usuarios de la infraestructura vial o por el CONCEDENTE para detectar parámetros de condición insuficientes.</w:t>
      </w:r>
    </w:p>
    <w:p w14:paraId="5AF74930" w14:textId="77777777" w:rsidR="004412F1" w:rsidRDefault="004412F1">
      <w:pPr>
        <w:jc w:val="both"/>
        <w:rPr>
          <w:lang w:val="es-PE"/>
        </w:rPr>
      </w:pPr>
    </w:p>
    <w:p w14:paraId="5BBF90CD" w14:textId="77777777" w:rsidR="004412F1" w:rsidRDefault="005A12A3">
      <w:pPr>
        <w:numPr>
          <w:ilvl w:val="1"/>
          <w:numId w:val="162"/>
        </w:numPr>
        <w:jc w:val="both"/>
        <w:rPr>
          <w:lang w:val="es-PE"/>
        </w:rPr>
      </w:pPr>
      <w:r>
        <w:rPr>
          <w:lang w:val="es-PE"/>
        </w:rPr>
        <w:t xml:space="preserve">Si en una Evaluación Continua cualquiera se detectan parámetros de condición insuficientes en cualquier </w:t>
      </w:r>
      <w:proofErr w:type="gramStart"/>
      <w:r>
        <w:rPr>
          <w:lang w:val="es-PE"/>
        </w:rPr>
        <w:t>Sub Tramo</w:t>
      </w:r>
      <w:proofErr w:type="gramEnd"/>
      <w:r>
        <w:rPr>
          <w:lang w:val="es-PE"/>
        </w:rPr>
        <w:t xml:space="preserve"> evaluado, el REGULADOR emitirá una “Notificación de parámetro de condición insuficiente” por cada sección con defectos (indicada por los hitos kilométricos entre los cuales está comprendida).</w:t>
      </w:r>
    </w:p>
    <w:p w14:paraId="5F22E48F" w14:textId="77777777" w:rsidR="004412F1" w:rsidRDefault="004412F1">
      <w:pPr>
        <w:jc w:val="both"/>
        <w:rPr>
          <w:lang w:val="es-PE"/>
        </w:rPr>
      </w:pPr>
    </w:p>
    <w:p w14:paraId="58A724DA" w14:textId="77777777" w:rsidR="004412F1" w:rsidRDefault="005A12A3">
      <w:pPr>
        <w:numPr>
          <w:ilvl w:val="1"/>
          <w:numId w:val="162"/>
        </w:numPr>
        <w:ind w:left="567" w:hanging="567"/>
        <w:jc w:val="both"/>
        <w:rPr>
          <w:lang w:val="es-PE"/>
        </w:rPr>
      </w:pPr>
      <w:r>
        <w:rPr>
          <w:lang w:val="es-PE"/>
        </w:rPr>
        <w:t xml:space="preserve">Una vez recibida una “Notificación de parámetro de condición insuficiente”, el CONCESIONARIO deberá ejecutar los trabajos que eleven nuevamente la calidad de la vía a los Niveles de Servicio exigidos, disponiendo para ello de los plazos especificados en el Apéndice 2 de este ANEXO. </w:t>
      </w:r>
    </w:p>
    <w:p w14:paraId="1F3DB669" w14:textId="77777777" w:rsidR="004412F1" w:rsidRDefault="004412F1">
      <w:pPr>
        <w:jc w:val="both"/>
        <w:rPr>
          <w:lang w:val="es-PE"/>
        </w:rPr>
      </w:pPr>
    </w:p>
    <w:p w14:paraId="1D8B8D40" w14:textId="77777777" w:rsidR="004412F1" w:rsidRDefault="005A12A3">
      <w:pPr>
        <w:numPr>
          <w:ilvl w:val="1"/>
          <w:numId w:val="162"/>
        </w:numPr>
        <w:ind w:left="567" w:hanging="567"/>
        <w:jc w:val="both"/>
        <w:rPr>
          <w:lang w:val="es-PE"/>
        </w:rPr>
      </w:pPr>
      <w:r>
        <w:rPr>
          <w:lang w:val="es-PE"/>
        </w:rPr>
        <w:lastRenderedPageBreak/>
        <w:t xml:space="preserve">En el caso de defectos provocados por fenómenos naturales o accidentes, que a juicio del REGULADOR resulten de especial gravedad, el REGULADOR podrá ampliar los plazos de subsanación establecidos en el Apéndice 2 de este ANEXO.  </w:t>
      </w:r>
    </w:p>
    <w:p w14:paraId="0DB67F15" w14:textId="77777777" w:rsidR="004412F1" w:rsidRDefault="004412F1">
      <w:pPr>
        <w:tabs>
          <w:tab w:val="left" w:pos="1100"/>
        </w:tabs>
        <w:ind w:left="1100" w:hanging="600"/>
        <w:jc w:val="both"/>
        <w:rPr>
          <w:lang w:val="es-PE"/>
        </w:rPr>
      </w:pPr>
    </w:p>
    <w:p w14:paraId="2D361043" w14:textId="77777777" w:rsidR="004412F1" w:rsidRDefault="005A12A3">
      <w:pPr>
        <w:numPr>
          <w:ilvl w:val="1"/>
          <w:numId w:val="162"/>
        </w:numPr>
        <w:jc w:val="both"/>
        <w:rPr>
          <w:lang w:val="es-PE"/>
        </w:rPr>
      </w:pPr>
      <w:r>
        <w:rPr>
          <w:lang w:val="es-PE"/>
        </w:rPr>
        <w:t>Cuando el CONCESIONARIO repare completamente los defectos detallados en la “Notificación de parámetro de condición insuficiente”, comunicará por escrito o vía fax al REGULADOR informando la finalización de la reparación.</w:t>
      </w:r>
    </w:p>
    <w:p w14:paraId="0E1AA6B2" w14:textId="77777777" w:rsidR="004412F1" w:rsidRDefault="004412F1">
      <w:pPr>
        <w:tabs>
          <w:tab w:val="left" w:pos="1100"/>
        </w:tabs>
        <w:ind w:left="1100" w:hanging="600"/>
        <w:jc w:val="both"/>
        <w:rPr>
          <w:lang w:val="es-PE"/>
        </w:rPr>
      </w:pPr>
    </w:p>
    <w:p w14:paraId="2F79B1AA" w14:textId="77777777" w:rsidR="004412F1" w:rsidRDefault="005A12A3">
      <w:pPr>
        <w:numPr>
          <w:ilvl w:val="1"/>
          <w:numId w:val="162"/>
        </w:numPr>
        <w:jc w:val="both"/>
        <w:rPr>
          <w:lang w:val="es-PE"/>
        </w:rPr>
      </w:pPr>
      <w:bookmarkStart w:id="2702" w:name="_Ref273551494"/>
      <w:r>
        <w:rPr>
          <w:lang w:val="es-PE"/>
        </w:rPr>
        <w:t xml:space="preserve">En caso el REGULADOR o quien este designe, constatara que no se han realizado las reparaciones de los defectos indicados en la “Notificación de parámetro de condición insuficiente dentro de los plazos establecidos, el REGULADOR emitirá una “Notificación de Incumplimiento” aplicando las penalidades que correspondan y estableciendo nuevos plazos para alcanzar los Niveles de Servicio exigidos. Los nuevos plazos no determinarán que se deje de aplicar las penalidades que correspondan según lo establecido en </w:t>
      </w:r>
      <w:r>
        <w:rPr>
          <w:rFonts w:eastAsia="SimSun" w:hint="eastAsia"/>
          <w:lang w:val="es-PE" w:eastAsia="zh-CN"/>
        </w:rPr>
        <w:t>l</w:t>
      </w:r>
      <w:r>
        <w:rPr>
          <w:lang w:val="es-ES"/>
        </w:rPr>
        <w:t xml:space="preserve">a Tabla N°4 del </w:t>
      </w:r>
      <w:r>
        <w:rPr>
          <w:lang w:val="es-PE"/>
        </w:rPr>
        <w:t>ANEXO IX, hasta que se subsanen los defectos indicados en la correspondiente “Notificación de Incumplimiento”.</w:t>
      </w:r>
      <w:bookmarkEnd w:id="2702"/>
    </w:p>
    <w:p w14:paraId="6AA186AB" w14:textId="77777777" w:rsidR="004412F1" w:rsidRDefault="004412F1">
      <w:pPr>
        <w:jc w:val="both"/>
        <w:rPr>
          <w:lang w:val="es-PE"/>
        </w:rPr>
      </w:pPr>
    </w:p>
    <w:p w14:paraId="51B84C00" w14:textId="77777777" w:rsidR="004412F1" w:rsidRDefault="005A12A3">
      <w:pPr>
        <w:numPr>
          <w:ilvl w:val="1"/>
          <w:numId w:val="162"/>
        </w:numPr>
        <w:jc w:val="both"/>
        <w:rPr>
          <w:lang w:val="es-PE"/>
        </w:rPr>
      </w:pPr>
      <w:r>
        <w:rPr>
          <w:lang w:val="es-PE"/>
        </w:rPr>
        <w:t>La Conservación de desvíos asfaltados o afirmados será objeto de las evaluaciones continuas únicamente, por lo que dichos elementos no serán considerados en las evaluaciones semestrales o anuales. En caso de ser necesario, se utilizará el criterio de situación excepcional o especial de la Sección 4 del presente ANEXO para desarrollar criterios a aplicar a la evaluación de la Conservación de los desvíos.</w:t>
      </w:r>
    </w:p>
    <w:p w14:paraId="26487BD6" w14:textId="77777777" w:rsidR="004412F1" w:rsidRDefault="004412F1">
      <w:pPr>
        <w:jc w:val="both"/>
        <w:rPr>
          <w:lang w:val="es-PE"/>
        </w:rPr>
      </w:pPr>
    </w:p>
    <w:p w14:paraId="45C3806E" w14:textId="77777777" w:rsidR="004412F1" w:rsidRDefault="005A12A3">
      <w:pPr>
        <w:ind w:firstLine="567"/>
        <w:jc w:val="both"/>
        <w:rPr>
          <w:b/>
          <w:u w:val="single"/>
        </w:rPr>
      </w:pPr>
      <w:r>
        <w:rPr>
          <w:b/>
          <w:u w:val="single"/>
        </w:rPr>
        <w:t>Evaluaciones Semestrales</w:t>
      </w:r>
    </w:p>
    <w:p w14:paraId="7822E4EF" w14:textId="77777777" w:rsidR="004412F1" w:rsidRDefault="004412F1">
      <w:pPr>
        <w:jc w:val="both"/>
      </w:pPr>
    </w:p>
    <w:p w14:paraId="6DB59105" w14:textId="77777777" w:rsidR="004412F1" w:rsidRDefault="005A12A3">
      <w:pPr>
        <w:numPr>
          <w:ilvl w:val="1"/>
          <w:numId w:val="162"/>
        </w:numPr>
        <w:jc w:val="both"/>
        <w:rPr>
          <w:lang w:val="es-PE"/>
        </w:rPr>
      </w:pPr>
      <w:r>
        <w:rPr>
          <w:lang w:val="es-PE"/>
        </w:rPr>
        <w:t xml:space="preserve">El quinto y décimo primer mes de cada Año de la Concesión, el REGULADOR realizará una evaluación semestral con el objetivo de determinar el nivel de servicio global prestado por el CONCESIONARIO durante el semestre en curso para los diferentes </w:t>
      </w:r>
      <w:proofErr w:type="gramStart"/>
      <w:r>
        <w:rPr>
          <w:lang w:val="es-PE"/>
        </w:rPr>
        <w:t>Sub Tramos</w:t>
      </w:r>
      <w:proofErr w:type="gramEnd"/>
      <w:r>
        <w:rPr>
          <w:lang w:val="es-PE"/>
        </w:rPr>
        <w:t xml:space="preserve"> de la Concesión.</w:t>
      </w:r>
    </w:p>
    <w:p w14:paraId="698951BE" w14:textId="77777777" w:rsidR="004412F1" w:rsidRDefault="004412F1">
      <w:pPr>
        <w:tabs>
          <w:tab w:val="left" w:pos="1100"/>
        </w:tabs>
        <w:ind w:left="1100" w:hanging="600"/>
        <w:jc w:val="both"/>
        <w:rPr>
          <w:lang w:val="es-PE"/>
        </w:rPr>
      </w:pPr>
    </w:p>
    <w:p w14:paraId="5411D9A3" w14:textId="77777777" w:rsidR="004412F1" w:rsidRDefault="005A12A3">
      <w:pPr>
        <w:numPr>
          <w:ilvl w:val="1"/>
          <w:numId w:val="162"/>
        </w:numPr>
        <w:jc w:val="both"/>
        <w:rPr>
          <w:lang w:val="es-PE"/>
        </w:rPr>
      </w:pPr>
      <w:r>
        <w:rPr>
          <w:lang w:val="es-PE"/>
        </w:rPr>
        <w:t xml:space="preserve">La evaluación se hará en base a una muestra de los </w:t>
      </w:r>
      <w:proofErr w:type="gramStart"/>
      <w:r>
        <w:rPr>
          <w:lang w:val="es-PE"/>
        </w:rPr>
        <w:t>Sub Tramos</w:t>
      </w:r>
      <w:proofErr w:type="gramEnd"/>
      <w:r>
        <w:rPr>
          <w:lang w:val="es-PE"/>
        </w:rPr>
        <w:t xml:space="preserve"> de la Concesión. La selección de la muestra se realizará de acuerdo con el siguiente procedimiento:</w:t>
      </w:r>
    </w:p>
    <w:p w14:paraId="4BD72678" w14:textId="77777777" w:rsidR="004412F1" w:rsidRDefault="005A12A3">
      <w:pPr>
        <w:numPr>
          <w:ilvl w:val="0"/>
          <w:numId w:val="163"/>
        </w:numPr>
        <w:suppressLineNumbers/>
        <w:suppressAutoHyphens/>
        <w:ind w:left="993" w:hanging="426"/>
        <w:jc w:val="both"/>
        <w:rPr>
          <w:color w:val="000000"/>
          <w:lang w:val="es-PE"/>
        </w:rPr>
      </w:pPr>
      <w:r>
        <w:rPr>
          <w:color w:val="000000"/>
          <w:lang w:val="es-PE"/>
        </w:rPr>
        <w:t xml:space="preserve">Se subdividirá la Concesión en los </w:t>
      </w:r>
      <w:proofErr w:type="gramStart"/>
      <w:r>
        <w:rPr>
          <w:color w:val="000000"/>
          <w:lang w:val="es-PE"/>
        </w:rPr>
        <w:t>Sub Tramos</w:t>
      </w:r>
      <w:proofErr w:type="gramEnd"/>
      <w:r>
        <w:rPr>
          <w:color w:val="000000"/>
          <w:lang w:val="es-PE"/>
        </w:rPr>
        <w:t xml:space="preserve"> establecidos en el Apéndice 1 del presente ANEXO.</w:t>
      </w:r>
    </w:p>
    <w:p w14:paraId="17EBA4C9" w14:textId="77777777" w:rsidR="004412F1" w:rsidRDefault="004412F1">
      <w:pPr>
        <w:tabs>
          <w:tab w:val="left" w:pos="993"/>
        </w:tabs>
        <w:ind w:left="993"/>
        <w:jc w:val="both"/>
        <w:rPr>
          <w:lang w:val="es-PE"/>
        </w:rPr>
      </w:pPr>
    </w:p>
    <w:p w14:paraId="461D68AB" w14:textId="77777777" w:rsidR="004412F1" w:rsidRDefault="005A12A3">
      <w:pPr>
        <w:numPr>
          <w:ilvl w:val="0"/>
          <w:numId w:val="163"/>
        </w:numPr>
        <w:suppressLineNumbers/>
        <w:suppressAutoHyphens/>
        <w:ind w:left="993" w:hanging="426"/>
        <w:jc w:val="both"/>
        <w:rPr>
          <w:color w:val="000000"/>
          <w:lang w:val="es-PE"/>
        </w:rPr>
      </w:pPr>
      <w:r>
        <w:rPr>
          <w:color w:val="000000"/>
          <w:lang w:val="es-PE"/>
        </w:rPr>
        <w:t xml:space="preserve">Se subdividirá cada </w:t>
      </w:r>
      <w:proofErr w:type="gramStart"/>
      <w:r>
        <w:rPr>
          <w:color w:val="000000"/>
          <w:lang w:val="es-PE"/>
        </w:rPr>
        <w:t>Sub Tramo</w:t>
      </w:r>
      <w:proofErr w:type="gramEnd"/>
      <w:r>
        <w:rPr>
          <w:color w:val="000000"/>
          <w:lang w:val="es-PE"/>
        </w:rPr>
        <w:t xml:space="preserve">, en secciones de longitud igual a un (1) kilómetro, estableciéndose así un número total de secciones. (Si la longitud total del </w:t>
      </w:r>
      <w:proofErr w:type="gramStart"/>
      <w:r>
        <w:rPr>
          <w:color w:val="000000"/>
          <w:lang w:val="es-PE"/>
        </w:rPr>
        <w:t>Sub Tramo</w:t>
      </w:r>
      <w:proofErr w:type="gramEnd"/>
      <w:r>
        <w:rPr>
          <w:color w:val="000000"/>
          <w:lang w:val="es-PE"/>
        </w:rPr>
        <w:t xml:space="preserve"> no es entera, se definirá una sección especial correspondiente a la fracción de kilómetro restante. En cada </w:t>
      </w:r>
      <w:proofErr w:type="gramStart"/>
      <w:r>
        <w:rPr>
          <w:color w:val="000000"/>
          <w:lang w:val="es-PE"/>
        </w:rPr>
        <w:t>Sub Tramo</w:t>
      </w:r>
      <w:proofErr w:type="gramEnd"/>
      <w:r>
        <w:rPr>
          <w:color w:val="000000"/>
          <w:lang w:val="es-PE"/>
        </w:rPr>
        <w:t xml:space="preserve"> se definirá al menos una sección).</w:t>
      </w:r>
    </w:p>
    <w:p w14:paraId="7145440E" w14:textId="77777777" w:rsidR="004412F1" w:rsidRDefault="004412F1">
      <w:pPr>
        <w:tabs>
          <w:tab w:val="left" w:pos="993"/>
        </w:tabs>
        <w:ind w:left="993"/>
        <w:jc w:val="both"/>
        <w:rPr>
          <w:lang w:val="es-PE"/>
        </w:rPr>
      </w:pPr>
    </w:p>
    <w:p w14:paraId="0950C86C" w14:textId="77777777" w:rsidR="004412F1" w:rsidRDefault="005A12A3">
      <w:pPr>
        <w:numPr>
          <w:ilvl w:val="0"/>
          <w:numId w:val="163"/>
        </w:numPr>
        <w:suppressLineNumbers/>
        <w:suppressAutoHyphens/>
        <w:ind w:left="993" w:hanging="426"/>
        <w:jc w:val="both"/>
        <w:rPr>
          <w:color w:val="000000"/>
          <w:lang w:val="es-PE"/>
        </w:rPr>
      </w:pPr>
      <w:r>
        <w:rPr>
          <w:color w:val="000000"/>
          <w:lang w:val="es-PE"/>
        </w:rPr>
        <w:t xml:space="preserve">Se define como tamaño de la muestra a evaluar, al diez por ciento (10%) del número total de secciones de cada </w:t>
      </w:r>
      <w:proofErr w:type="gramStart"/>
      <w:r>
        <w:rPr>
          <w:color w:val="000000"/>
          <w:lang w:val="es-PE"/>
        </w:rPr>
        <w:t>Sub Tramo</w:t>
      </w:r>
      <w:proofErr w:type="gramEnd"/>
      <w:r>
        <w:rPr>
          <w:color w:val="000000"/>
          <w:lang w:val="es-PE"/>
        </w:rPr>
        <w:t xml:space="preserve">, elegidas al azar (se redondeará al número entero superior). Como mínimo se elegirá una sección en cada </w:t>
      </w:r>
      <w:proofErr w:type="gramStart"/>
      <w:r>
        <w:rPr>
          <w:color w:val="000000"/>
          <w:lang w:val="es-PE"/>
        </w:rPr>
        <w:t>Sub Tramo</w:t>
      </w:r>
      <w:proofErr w:type="gramEnd"/>
      <w:r>
        <w:rPr>
          <w:color w:val="000000"/>
          <w:lang w:val="es-PE"/>
        </w:rPr>
        <w:t>. Si en una sección aparece parcialmente un elemento discreto, como un puente, éste se considerará totalmente incluido en dicha sección.</w:t>
      </w:r>
    </w:p>
    <w:p w14:paraId="7B258A1B" w14:textId="77777777" w:rsidR="004412F1" w:rsidRDefault="004412F1">
      <w:pPr>
        <w:jc w:val="both"/>
        <w:rPr>
          <w:lang w:val="es-PE"/>
        </w:rPr>
      </w:pPr>
    </w:p>
    <w:p w14:paraId="6A303AD2" w14:textId="77777777" w:rsidR="004412F1" w:rsidRDefault="005A12A3">
      <w:pPr>
        <w:numPr>
          <w:ilvl w:val="1"/>
          <w:numId w:val="162"/>
        </w:numPr>
        <w:jc w:val="both"/>
        <w:rPr>
          <w:lang w:val="es-PE"/>
        </w:rPr>
      </w:pPr>
      <w:r>
        <w:rPr>
          <w:lang w:val="es-PE"/>
        </w:rPr>
        <w:t>El REGULADOR comunicará al CONCESIONARIO las fechas de una evaluación semestral con un mínimo de quince (15) Días Calendario de anticipación, a los efectos de que éste designe al personal técnico que la presenciará.</w:t>
      </w:r>
    </w:p>
    <w:p w14:paraId="574D84CC" w14:textId="77777777" w:rsidR="004412F1" w:rsidRDefault="004412F1">
      <w:pPr>
        <w:tabs>
          <w:tab w:val="left" w:pos="1100"/>
        </w:tabs>
        <w:ind w:left="1100" w:hanging="600"/>
        <w:jc w:val="both"/>
        <w:rPr>
          <w:lang w:val="es-PE"/>
        </w:rPr>
      </w:pPr>
    </w:p>
    <w:p w14:paraId="53EC5F46" w14:textId="77777777" w:rsidR="004412F1" w:rsidRDefault="005A12A3">
      <w:pPr>
        <w:numPr>
          <w:ilvl w:val="1"/>
          <w:numId w:val="162"/>
        </w:numPr>
        <w:jc w:val="both"/>
        <w:rPr>
          <w:lang w:val="es-PE"/>
        </w:rPr>
      </w:pPr>
      <w:r>
        <w:rPr>
          <w:lang w:val="es-PE"/>
        </w:rPr>
        <w:lastRenderedPageBreak/>
        <w:t xml:space="preserve">De la evaluación realizada se formulará un acta en tres (3) ejemplares idénticos, en donde se detallarán defectos, y localización de </w:t>
      </w:r>
      <w:proofErr w:type="gramStart"/>
      <w:r>
        <w:rPr>
          <w:lang w:val="es-PE"/>
        </w:rPr>
        <w:t>los mismos</w:t>
      </w:r>
      <w:proofErr w:type="gramEnd"/>
      <w:r>
        <w:rPr>
          <w:lang w:val="es-PE"/>
        </w:rPr>
        <w:t xml:space="preserve">, y las observaciones que pueda realizar el REGULADOR (o su representante), así como también consideraciones que el responsable técnico del CONCESIONARIO estime convenientes. Cada una de las partes, el REGULADOR y el CONCESIONARIO conservarán una versión del acta. La ausencia del personal técnico designado por el CONCESIONARIO y/o la falta de descargos en el acta, se tomará como conformidad </w:t>
      </w:r>
      <w:proofErr w:type="gramStart"/>
      <w:r>
        <w:rPr>
          <w:lang w:val="es-PE"/>
        </w:rPr>
        <w:t>del mismo</w:t>
      </w:r>
      <w:proofErr w:type="gramEnd"/>
      <w:r>
        <w:rPr>
          <w:lang w:val="es-PE"/>
        </w:rPr>
        <w:t xml:space="preserve"> con el resultado de la evaluación realizada.</w:t>
      </w:r>
    </w:p>
    <w:p w14:paraId="2E0FE01D" w14:textId="77777777" w:rsidR="004412F1" w:rsidRDefault="004412F1">
      <w:pPr>
        <w:jc w:val="both"/>
        <w:rPr>
          <w:lang w:val="es-PE"/>
        </w:rPr>
      </w:pPr>
    </w:p>
    <w:p w14:paraId="321590A7" w14:textId="77777777" w:rsidR="004412F1" w:rsidRDefault="005A12A3">
      <w:pPr>
        <w:numPr>
          <w:ilvl w:val="1"/>
          <w:numId w:val="162"/>
        </w:numPr>
        <w:jc w:val="both"/>
        <w:rPr>
          <w:lang w:val="es-PE"/>
        </w:rPr>
      </w:pPr>
      <w:r>
        <w:rPr>
          <w:lang w:val="es-PE"/>
        </w:rPr>
        <w:t>Con independencia de lo que se indique en el acta, los defectos detectados en una evaluación semestral serán comunicados por el REGULADOR al CONCESIONARIO mediante el procedimiento de “Notificación de parámetro de condición insuficiente” establecido para las evaluaciones continuas.</w:t>
      </w:r>
    </w:p>
    <w:p w14:paraId="005B2187" w14:textId="77777777" w:rsidR="004412F1" w:rsidRDefault="004412F1">
      <w:pPr>
        <w:jc w:val="both"/>
        <w:rPr>
          <w:lang w:val="es-PE"/>
        </w:rPr>
      </w:pPr>
    </w:p>
    <w:p w14:paraId="4321D6C4" w14:textId="77777777" w:rsidR="004412F1" w:rsidRDefault="005A12A3">
      <w:pPr>
        <w:numPr>
          <w:ilvl w:val="1"/>
          <w:numId w:val="162"/>
        </w:numPr>
        <w:jc w:val="both"/>
        <w:rPr>
          <w:lang w:val="es-PE"/>
        </w:rPr>
      </w:pPr>
      <w:r>
        <w:rPr>
          <w:lang w:val="es-PE"/>
        </w:rPr>
        <w:t xml:space="preserve">Con posterioridad a la realización de una evaluación semestral se efectuará el cálculo del Nivel de Servicio Global prestado por el CONCESIONARIO en cada </w:t>
      </w:r>
      <w:proofErr w:type="gramStart"/>
      <w:r>
        <w:rPr>
          <w:lang w:val="es-PE"/>
        </w:rPr>
        <w:t>Sub Tramo</w:t>
      </w:r>
      <w:proofErr w:type="gramEnd"/>
      <w:r>
        <w:rPr>
          <w:lang w:val="es-PE"/>
        </w:rPr>
        <w:t xml:space="preserve"> y en el Contrato en general. A tales efectos se seguirá la metodología de evaluación establecida en el Numeral 5 del presente ANEXO.</w:t>
      </w:r>
    </w:p>
    <w:p w14:paraId="0438E2D1" w14:textId="77777777" w:rsidR="004412F1" w:rsidRDefault="004412F1">
      <w:pPr>
        <w:tabs>
          <w:tab w:val="left" w:pos="1100"/>
        </w:tabs>
        <w:ind w:left="1100" w:hanging="600"/>
        <w:jc w:val="both"/>
        <w:rPr>
          <w:lang w:val="es-PE"/>
        </w:rPr>
      </w:pPr>
    </w:p>
    <w:p w14:paraId="156223FA" w14:textId="77777777" w:rsidR="004412F1" w:rsidRDefault="005A12A3">
      <w:pPr>
        <w:numPr>
          <w:ilvl w:val="1"/>
          <w:numId w:val="162"/>
        </w:numPr>
        <w:jc w:val="both"/>
        <w:rPr>
          <w:lang w:val="es-PE"/>
        </w:rPr>
      </w:pPr>
      <w:bookmarkStart w:id="2703" w:name="_Ref273551526"/>
      <w:r>
        <w:rPr>
          <w:lang w:val="es-PE"/>
        </w:rPr>
        <w:t xml:space="preserve">El incumplimiento en mantener el nivel de servicio global de un </w:t>
      </w:r>
      <w:proofErr w:type="gramStart"/>
      <w:r>
        <w:rPr>
          <w:lang w:val="es-PE"/>
        </w:rPr>
        <w:t>Sub Tramo</w:t>
      </w:r>
      <w:proofErr w:type="gramEnd"/>
      <w:r>
        <w:rPr>
          <w:lang w:val="es-PE"/>
        </w:rPr>
        <w:t xml:space="preserve"> dará lugar a la aplicación de una penalidad según lo establecido </w:t>
      </w:r>
      <w:r>
        <w:rPr>
          <w:lang w:val="es-ES"/>
        </w:rPr>
        <w:t xml:space="preserve">en la Tabla N° 4 del </w:t>
      </w:r>
      <w:r>
        <w:rPr>
          <w:lang w:val="es-PE"/>
        </w:rPr>
        <w:t>ANEXO IX del Contrato. El incumplimiento en el nivel de servicio global de la Concesión dará también lugar a aplicar la penalidad indicada en el Contrato.</w:t>
      </w:r>
      <w:bookmarkEnd w:id="2703"/>
    </w:p>
    <w:p w14:paraId="710ADC33" w14:textId="77777777" w:rsidR="004412F1" w:rsidRDefault="004412F1">
      <w:pPr>
        <w:ind w:firstLine="567"/>
        <w:jc w:val="both"/>
        <w:rPr>
          <w:b/>
          <w:u w:val="single"/>
          <w:lang w:val="es-PE"/>
        </w:rPr>
      </w:pPr>
    </w:p>
    <w:p w14:paraId="48AE7B13" w14:textId="77777777" w:rsidR="004412F1" w:rsidRDefault="005A12A3">
      <w:pPr>
        <w:ind w:firstLine="567"/>
        <w:jc w:val="both"/>
        <w:rPr>
          <w:b/>
          <w:u w:val="single"/>
        </w:rPr>
      </w:pPr>
      <w:r>
        <w:rPr>
          <w:b/>
          <w:u w:val="single"/>
        </w:rPr>
        <w:t>Evaluaciones Anuales</w:t>
      </w:r>
    </w:p>
    <w:p w14:paraId="68B46D21" w14:textId="77777777" w:rsidR="004412F1" w:rsidRDefault="004412F1">
      <w:pPr>
        <w:jc w:val="both"/>
      </w:pPr>
    </w:p>
    <w:p w14:paraId="6CCB7409" w14:textId="77777777" w:rsidR="004412F1" w:rsidRDefault="005A12A3">
      <w:pPr>
        <w:numPr>
          <w:ilvl w:val="1"/>
          <w:numId w:val="162"/>
        </w:numPr>
        <w:jc w:val="both"/>
        <w:rPr>
          <w:lang w:val="es-PE"/>
        </w:rPr>
      </w:pPr>
      <w:r>
        <w:rPr>
          <w:lang w:val="es-PE"/>
        </w:rPr>
        <w:t xml:space="preserve">Coincidentemente con la evaluación semestral correspondiente al décimo primer (11) mes de cada año de la Concesión, o cada vez que se considere que ha habido cambios sustanciales en la rugosidad, el REGULADOR efectuará una evaluación de </w:t>
      </w:r>
      <w:proofErr w:type="gramStart"/>
      <w:r>
        <w:rPr>
          <w:lang w:val="es-PE"/>
        </w:rPr>
        <w:t>la misma</w:t>
      </w:r>
      <w:proofErr w:type="gramEnd"/>
      <w:r>
        <w:rPr>
          <w:lang w:val="es-PE"/>
        </w:rPr>
        <w:t>.</w:t>
      </w:r>
    </w:p>
    <w:p w14:paraId="542F706F" w14:textId="77777777" w:rsidR="004412F1" w:rsidRDefault="004412F1">
      <w:pPr>
        <w:tabs>
          <w:tab w:val="left" w:pos="1100"/>
        </w:tabs>
        <w:ind w:left="1100" w:hanging="600"/>
        <w:jc w:val="both"/>
        <w:rPr>
          <w:lang w:val="es-PE"/>
        </w:rPr>
      </w:pPr>
    </w:p>
    <w:p w14:paraId="3AF93335" w14:textId="77777777" w:rsidR="004412F1" w:rsidRDefault="005A12A3">
      <w:pPr>
        <w:numPr>
          <w:ilvl w:val="1"/>
          <w:numId w:val="162"/>
        </w:numPr>
        <w:ind w:left="567" w:hanging="567"/>
        <w:jc w:val="both"/>
        <w:rPr>
          <w:lang w:val="es-PE"/>
        </w:rPr>
      </w:pPr>
      <w:r>
        <w:rPr>
          <w:lang w:val="es-PE"/>
        </w:rPr>
        <w:t>La metodología de medición de rugosidad es la establecida en el Apéndice 7 de este ANEXO.</w:t>
      </w:r>
    </w:p>
    <w:p w14:paraId="052E4CC7" w14:textId="77777777" w:rsidR="004412F1" w:rsidRDefault="004412F1">
      <w:pPr>
        <w:jc w:val="both"/>
        <w:rPr>
          <w:lang w:val="es-PE"/>
        </w:rPr>
      </w:pPr>
    </w:p>
    <w:p w14:paraId="5C441D92" w14:textId="77777777" w:rsidR="004412F1" w:rsidRDefault="005A12A3">
      <w:pPr>
        <w:numPr>
          <w:ilvl w:val="1"/>
          <w:numId w:val="162"/>
        </w:numPr>
        <w:ind w:left="567" w:hanging="567"/>
        <w:jc w:val="both"/>
        <w:rPr>
          <w:lang w:val="es-PE"/>
        </w:rPr>
      </w:pPr>
      <w:r>
        <w:rPr>
          <w:lang w:val="es-PE"/>
        </w:rPr>
        <w:t>Si en una evaluación anual se constatara que la rugosidad es superior a la permitida en el presente ANEXO, el REGULADOR emitirá una “Notificación de parámetro de condición insuficiente” estipulando el plazo para su corrección, de acuerdo con los plazos exigidos en el Apéndice 2 de este ANEXO I.</w:t>
      </w:r>
    </w:p>
    <w:p w14:paraId="3C2F5B7B" w14:textId="77777777" w:rsidR="004412F1" w:rsidRDefault="004412F1">
      <w:pPr>
        <w:jc w:val="both"/>
        <w:rPr>
          <w:lang w:val="es-PE"/>
        </w:rPr>
      </w:pPr>
    </w:p>
    <w:p w14:paraId="7FD557AB" w14:textId="77777777" w:rsidR="004412F1" w:rsidRDefault="005A12A3">
      <w:pPr>
        <w:numPr>
          <w:ilvl w:val="0"/>
          <w:numId w:val="157"/>
        </w:numPr>
        <w:tabs>
          <w:tab w:val="left" w:pos="567"/>
        </w:tabs>
        <w:ind w:left="567" w:hanging="567"/>
        <w:jc w:val="both"/>
        <w:rPr>
          <w:lang w:val="es-PE"/>
        </w:rPr>
      </w:pPr>
      <w:r>
        <w:rPr>
          <w:b/>
          <w:lang w:val="es-PE"/>
        </w:rPr>
        <w:t>CÁLCULO DE LOS NIVELES DE SERVICIO</w:t>
      </w:r>
    </w:p>
    <w:p w14:paraId="36914118" w14:textId="77777777" w:rsidR="004412F1" w:rsidRDefault="004412F1">
      <w:pPr>
        <w:jc w:val="both"/>
        <w:rPr>
          <w:lang w:val="es-PE"/>
        </w:rPr>
      </w:pPr>
    </w:p>
    <w:p w14:paraId="7D7B06DD" w14:textId="77777777" w:rsidR="004412F1" w:rsidRDefault="005A12A3">
      <w:pPr>
        <w:numPr>
          <w:ilvl w:val="1"/>
          <w:numId w:val="164"/>
        </w:numPr>
        <w:suppressLineNumbers/>
        <w:tabs>
          <w:tab w:val="left" w:pos="567"/>
          <w:tab w:val="left" w:pos="709"/>
          <w:tab w:val="left" w:pos="1134"/>
          <w:tab w:val="left" w:pos="1701"/>
          <w:tab w:val="left" w:pos="2268"/>
          <w:tab w:val="left" w:pos="2835"/>
        </w:tabs>
        <w:suppressAutoHyphens/>
        <w:ind w:left="567" w:hanging="567"/>
        <w:jc w:val="both"/>
        <w:rPr>
          <w:lang w:val="es-ES"/>
        </w:rPr>
      </w:pPr>
      <w:r>
        <w:rPr>
          <w:color w:val="000000" w:themeColor="text1"/>
          <w:lang w:val="es-ES"/>
        </w:rPr>
        <w:t xml:space="preserve">Durante los períodos en que en los </w:t>
      </w:r>
      <w:proofErr w:type="gramStart"/>
      <w:r>
        <w:rPr>
          <w:color w:val="000000" w:themeColor="text1"/>
          <w:lang w:val="es-ES"/>
        </w:rPr>
        <w:t>Sub Tramos</w:t>
      </w:r>
      <w:proofErr w:type="gramEnd"/>
      <w:r>
        <w:rPr>
          <w:color w:val="000000" w:themeColor="text1"/>
          <w:lang w:val="es-ES"/>
        </w:rPr>
        <w:t xml:space="preserve"> se encuentre ejecutando </w:t>
      </w:r>
      <w:r>
        <w:rPr>
          <w:color w:val="000000" w:themeColor="text1"/>
          <w:lang w:val="es-PE"/>
        </w:rPr>
        <w:t>las Intervenciones</w:t>
      </w:r>
      <w:r>
        <w:rPr>
          <w:color w:val="000000" w:themeColor="text1"/>
          <w:lang w:val="es-ES"/>
        </w:rPr>
        <w:t xml:space="preserve"> por el CONCESIONARIO no se evaluarán los Niveles de Servicio ni se considerarán para el cálculo del Nivel de Servicio global del Contrato.</w:t>
      </w:r>
      <w:r>
        <w:rPr>
          <w:color w:val="000000" w:themeColor="text1"/>
          <w:lang w:val="es-PE"/>
        </w:rPr>
        <w:t xml:space="preserve"> </w:t>
      </w:r>
      <w:r>
        <w:rPr>
          <w:lang w:val="es"/>
        </w:rPr>
        <w:t xml:space="preserve">La evaluación indicada en el Apéndice 2 del ANEXO I se iniciará desde la aceptación de los </w:t>
      </w:r>
      <w:proofErr w:type="gramStart"/>
      <w:r>
        <w:rPr>
          <w:lang w:val="es"/>
        </w:rPr>
        <w:t>Sub Tramos</w:t>
      </w:r>
      <w:proofErr w:type="gramEnd"/>
      <w:r>
        <w:rPr>
          <w:lang w:val="es"/>
        </w:rPr>
        <w:t xml:space="preserve"> intervenidos.</w:t>
      </w:r>
    </w:p>
    <w:p w14:paraId="73C3419F" w14:textId="77777777" w:rsidR="004412F1" w:rsidRDefault="004412F1">
      <w:pPr>
        <w:ind w:left="567"/>
        <w:jc w:val="both"/>
        <w:rPr>
          <w:u w:val="single"/>
          <w:lang w:val="es-PE"/>
        </w:rPr>
      </w:pPr>
    </w:p>
    <w:p w14:paraId="24B95BFC" w14:textId="77777777" w:rsidR="004412F1" w:rsidRDefault="005A12A3">
      <w:pPr>
        <w:ind w:left="567"/>
        <w:jc w:val="both"/>
        <w:rPr>
          <w:lang w:val="es-PE"/>
        </w:rPr>
      </w:pPr>
      <w:r>
        <w:rPr>
          <w:lang w:val="es"/>
        </w:rPr>
        <w:t xml:space="preserve"> La evaluación de los Niveles de Servicio en los </w:t>
      </w:r>
      <w:proofErr w:type="gramStart"/>
      <w:r>
        <w:rPr>
          <w:lang w:val="es"/>
        </w:rPr>
        <w:t>Sub Tramos</w:t>
      </w:r>
      <w:proofErr w:type="gramEnd"/>
      <w:r>
        <w:rPr>
          <w:lang w:val="es"/>
        </w:rPr>
        <w:t xml:space="preserve"> donde el CONCEDENTE está interviniendo, se realizará a partir de la recepción del Sub Tramo por el CONCESIONARIO</w:t>
      </w:r>
      <w:r>
        <w:rPr>
          <w:lang w:val="es-PE"/>
        </w:rPr>
        <w:t>.</w:t>
      </w:r>
    </w:p>
    <w:p w14:paraId="760AA9AF" w14:textId="77777777" w:rsidR="004412F1" w:rsidRDefault="004412F1">
      <w:pPr>
        <w:ind w:left="567"/>
        <w:jc w:val="both"/>
        <w:rPr>
          <w:u w:val="single"/>
          <w:lang w:val="es-PE"/>
        </w:rPr>
      </w:pPr>
    </w:p>
    <w:p w14:paraId="121CA84C" w14:textId="77777777" w:rsidR="004412F1" w:rsidRDefault="005A12A3">
      <w:pPr>
        <w:tabs>
          <w:tab w:val="left" w:pos="1134"/>
        </w:tabs>
        <w:ind w:firstLine="567"/>
        <w:jc w:val="both"/>
        <w:rPr>
          <w:b/>
          <w:u w:val="single"/>
        </w:rPr>
      </w:pPr>
      <w:r>
        <w:rPr>
          <w:b/>
          <w:u w:val="single"/>
        </w:rPr>
        <w:t>Niveles de Servicio Individuales</w:t>
      </w:r>
    </w:p>
    <w:p w14:paraId="707119B0" w14:textId="77777777" w:rsidR="004412F1" w:rsidRDefault="005A12A3">
      <w:pPr>
        <w:numPr>
          <w:ilvl w:val="1"/>
          <w:numId w:val="164"/>
        </w:numPr>
        <w:suppressLineNumbers/>
        <w:tabs>
          <w:tab w:val="left" w:pos="567"/>
          <w:tab w:val="left" w:pos="1134"/>
          <w:tab w:val="left" w:pos="1701"/>
          <w:tab w:val="left" w:pos="2268"/>
          <w:tab w:val="left" w:pos="2835"/>
        </w:tabs>
        <w:suppressAutoHyphens/>
        <w:ind w:left="567" w:hanging="567"/>
        <w:jc w:val="both"/>
        <w:rPr>
          <w:color w:val="000000"/>
          <w:lang w:val="es-ES"/>
        </w:rPr>
      </w:pPr>
      <w:bookmarkStart w:id="2704" w:name="_tyjcwt" w:colFirst="0" w:colLast="0"/>
      <w:bookmarkEnd w:id="2704"/>
      <w:r>
        <w:rPr>
          <w:color w:val="000000" w:themeColor="text1"/>
          <w:lang w:val="es-ES"/>
        </w:rPr>
        <w:t>En el Apéndice 2 del presente ANEXO se indican los Niveles de Servicio admisibles para: Superficie de rodadura; bermas; drenajes; puentes y viaductos; Área de la Concesión, seguridad vial (señalización vertical y aérea, señalización horizontal, y elementos de encarrilamiento y defensa), congestión vehicular, congestión en unidades de peaje.</w:t>
      </w:r>
    </w:p>
    <w:p w14:paraId="3DF369FA" w14:textId="77777777" w:rsidR="004412F1" w:rsidRDefault="004412F1">
      <w:pPr>
        <w:tabs>
          <w:tab w:val="left" w:pos="1100"/>
        </w:tabs>
        <w:ind w:left="1100" w:hanging="600"/>
        <w:jc w:val="both"/>
        <w:rPr>
          <w:lang w:val="es-PE"/>
        </w:rPr>
      </w:pPr>
    </w:p>
    <w:p w14:paraId="3E356B2B" w14:textId="77777777" w:rsidR="004412F1" w:rsidRDefault="005A12A3">
      <w:pPr>
        <w:numPr>
          <w:ilvl w:val="1"/>
          <w:numId w:val="164"/>
        </w:numPr>
        <w:suppressLineNumbers/>
        <w:tabs>
          <w:tab w:val="left" w:pos="567"/>
          <w:tab w:val="left" w:pos="1134"/>
          <w:tab w:val="left" w:pos="1701"/>
          <w:tab w:val="left" w:pos="2268"/>
          <w:tab w:val="left" w:pos="2835"/>
        </w:tabs>
        <w:suppressAutoHyphens/>
        <w:ind w:left="567" w:hanging="567"/>
        <w:jc w:val="both"/>
        <w:rPr>
          <w:color w:val="000000"/>
          <w:lang w:val="es-ES"/>
        </w:rPr>
      </w:pPr>
      <w:r>
        <w:rPr>
          <w:color w:val="000000" w:themeColor="text1"/>
          <w:lang w:val="es-ES"/>
        </w:rPr>
        <w:t xml:space="preserve">Los Niveles de Servicio individuales se evaluarán de acuerdo </w:t>
      </w:r>
      <w:r>
        <w:rPr>
          <w:color w:val="000000" w:themeColor="text1"/>
          <w:lang w:val="es-PE"/>
        </w:rPr>
        <w:t>con</w:t>
      </w:r>
      <w:r>
        <w:rPr>
          <w:color w:val="000000" w:themeColor="text1"/>
          <w:lang w:val="es-ES"/>
        </w:rPr>
        <w:t xml:space="preserve"> los valores y procedimientos indicados en los Apéndices 2 y 7 de este ANEXO I.</w:t>
      </w:r>
    </w:p>
    <w:p w14:paraId="225D382D" w14:textId="77777777" w:rsidR="004412F1" w:rsidRDefault="004412F1">
      <w:pPr>
        <w:jc w:val="both"/>
        <w:rPr>
          <w:lang w:val="es-PE"/>
        </w:rPr>
      </w:pPr>
    </w:p>
    <w:p w14:paraId="6D40CADF" w14:textId="77777777" w:rsidR="004412F1" w:rsidRDefault="005A12A3">
      <w:pPr>
        <w:ind w:firstLine="567"/>
        <w:rPr>
          <w:rFonts w:eastAsia="SimSun"/>
          <w:b/>
          <w:u w:val="single"/>
          <w:lang w:val="es-PE" w:eastAsia="zh-CN"/>
        </w:rPr>
      </w:pPr>
      <w:bookmarkStart w:id="2705" w:name="_Nivel_de_Servicio"/>
      <w:bookmarkEnd w:id="2705"/>
      <w:r>
        <w:rPr>
          <w:b/>
          <w:u w:val="single"/>
          <w:lang w:val="es-PE"/>
        </w:rPr>
        <w:t xml:space="preserve">Nivel de Servicio Global de un </w:t>
      </w:r>
      <w:proofErr w:type="gramStart"/>
      <w:r>
        <w:rPr>
          <w:b/>
          <w:u w:val="single"/>
          <w:lang w:val="es-PE"/>
        </w:rPr>
        <w:t>Sub Tramo</w:t>
      </w:r>
      <w:proofErr w:type="gramEnd"/>
    </w:p>
    <w:p w14:paraId="69B3B383" w14:textId="77777777" w:rsidR="004412F1" w:rsidRDefault="004412F1">
      <w:pPr>
        <w:ind w:firstLine="567"/>
        <w:rPr>
          <w:rFonts w:eastAsia="SimSun"/>
          <w:b/>
          <w:u w:val="single"/>
          <w:lang w:val="es-PE" w:eastAsia="zh-CN"/>
        </w:rPr>
      </w:pPr>
    </w:p>
    <w:p w14:paraId="2DFA9503" w14:textId="77777777" w:rsidR="004412F1" w:rsidRDefault="005A12A3">
      <w:pPr>
        <w:numPr>
          <w:ilvl w:val="1"/>
          <w:numId w:val="164"/>
        </w:numPr>
        <w:ind w:left="567" w:hanging="567"/>
        <w:jc w:val="both"/>
        <w:rPr>
          <w:lang w:val="es-PE"/>
        </w:rPr>
      </w:pPr>
      <w:bookmarkStart w:id="2706" w:name="_1t3h5sf" w:colFirst="0" w:colLast="0"/>
      <w:bookmarkStart w:id="2707" w:name="_Ref272506971"/>
      <w:bookmarkEnd w:id="2706"/>
      <w:r>
        <w:rPr>
          <w:lang w:val="es-PE"/>
        </w:rPr>
        <w:t xml:space="preserve">El cálculo del Nivel de Servicio Global de un </w:t>
      </w:r>
      <w:proofErr w:type="gramStart"/>
      <w:r>
        <w:rPr>
          <w:lang w:val="es-PE"/>
        </w:rPr>
        <w:t>Sub Tramo</w:t>
      </w:r>
      <w:proofErr w:type="gramEnd"/>
      <w:r>
        <w:rPr>
          <w:lang w:val="es-PE"/>
        </w:rPr>
        <w:t xml:space="preserve"> presentado por el CONCESIONARIO, se realizará de acuerdo con la metodología de evaluación que se detalla a continuación:</w:t>
      </w:r>
      <w:bookmarkEnd w:id="2707"/>
    </w:p>
    <w:p w14:paraId="01336790" w14:textId="77777777" w:rsidR="004412F1" w:rsidRDefault="004412F1">
      <w:pPr>
        <w:jc w:val="both"/>
        <w:rPr>
          <w:lang w:val="es-PE"/>
        </w:rPr>
      </w:pPr>
    </w:p>
    <w:p w14:paraId="2C18C021" w14:textId="77777777" w:rsidR="004412F1" w:rsidRDefault="005A12A3">
      <w:pPr>
        <w:numPr>
          <w:ilvl w:val="0"/>
          <w:numId w:val="165"/>
        </w:numPr>
        <w:tabs>
          <w:tab w:val="left" w:pos="993"/>
        </w:tabs>
        <w:ind w:left="993" w:hanging="426"/>
        <w:jc w:val="both"/>
        <w:rPr>
          <w:lang w:val="es-PE"/>
        </w:rPr>
      </w:pPr>
      <w:r>
        <w:rPr>
          <w:lang w:val="es-PE"/>
        </w:rPr>
        <w:t xml:space="preserve">Se subdividirá la Concesión en los </w:t>
      </w:r>
      <w:proofErr w:type="gramStart"/>
      <w:r>
        <w:rPr>
          <w:lang w:val="es-PE"/>
        </w:rPr>
        <w:t>Sub Tramos</w:t>
      </w:r>
      <w:proofErr w:type="gramEnd"/>
      <w:r>
        <w:rPr>
          <w:lang w:val="es-PE"/>
        </w:rPr>
        <w:t xml:space="preserve"> más el Evitamiento San Clemente establecidos en el Apéndice 1 de este ANEXO I.</w:t>
      </w:r>
    </w:p>
    <w:p w14:paraId="4C8F6A09" w14:textId="77777777" w:rsidR="004412F1" w:rsidRDefault="004412F1">
      <w:pPr>
        <w:ind w:left="1500" w:hanging="400"/>
        <w:jc w:val="both"/>
        <w:rPr>
          <w:lang w:val="es-PE"/>
        </w:rPr>
      </w:pPr>
    </w:p>
    <w:p w14:paraId="34E3BB84" w14:textId="77777777" w:rsidR="004412F1" w:rsidRDefault="005A12A3">
      <w:pPr>
        <w:numPr>
          <w:ilvl w:val="0"/>
          <w:numId w:val="165"/>
        </w:numPr>
        <w:tabs>
          <w:tab w:val="left" w:pos="993"/>
        </w:tabs>
        <w:ind w:left="993" w:hanging="426"/>
        <w:jc w:val="both"/>
        <w:rPr>
          <w:lang w:val="es-PE"/>
        </w:rPr>
      </w:pPr>
      <w:r>
        <w:rPr>
          <w:lang w:val="es-PE"/>
        </w:rPr>
        <w:t xml:space="preserve">Se subdividirá cada </w:t>
      </w:r>
      <w:proofErr w:type="gramStart"/>
      <w:r>
        <w:rPr>
          <w:lang w:val="es-PE"/>
        </w:rPr>
        <w:t>Sub Tramo</w:t>
      </w:r>
      <w:proofErr w:type="gramEnd"/>
      <w:r>
        <w:rPr>
          <w:lang w:val="es-PE"/>
        </w:rPr>
        <w:t xml:space="preserve">, en secciones de longitud igual a un (1) kilómetro, estableciéndose así un número total de secciones. Si la longitud total del </w:t>
      </w:r>
      <w:proofErr w:type="gramStart"/>
      <w:r>
        <w:rPr>
          <w:lang w:val="es-PE"/>
        </w:rPr>
        <w:t>Sub Tramo</w:t>
      </w:r>
      <w:proofErr w:type="gramEnd"/>
      <w:r>
        <w:rPr>
          <w:lang w:val="es-PE"/>
        </w:rPr>
        <w:t xml:space="preserve"> no es entera, se definirá una sección especial correspondiente a la fracción de kilómetro restante. Como mínimo en cada </w:t>
      </w:r>
      <w:proofErr w:type="gramStart"/>
      <w:r>
        <w:rPr>
          <w:lang w:val="es-PE"/>
        </w:rPr>
        <w:t>Sub Tramo</w:t>
      </w:r>
      <w:proofErr w:type="gramEnd"/>
      <w:r>
        <w:rPr>
          <w:lang w:val="es-PE"/>
        </w:rPr>
        <w:t xml:space="preserve"> se definirá una sección.</w:t>
      </w:r>
    </w:p>
    <w:p w14:paraId="1F9D89D3" w14:textId="77777777" w:rsidR="004412F1" w:rsidRDefault="004412F1">
      <w:pPr>
        <w:jc w:val="both"/>
        <w:rPr>
          <w:lang w:val="es-PE"/>
        </w:rPr>
      </w:pPr>
    </w:p>
    <w:p w14:paraId="79BD3971" w14:textId="77777777" w:rsidR="004412F1" w:rsidRDefault="005A12A3">
      <w:pPr>
        <w:numPr>
          <w:ilvl w:val="0"/>
          <w:numId w:val="165"/>
        </w:numPr>
        <w:tabs>
          <w:tab w:val="left" w:pos="993"/>
        </w:tabs>
        <w:ind w:left="993" w:hanging="426"/>
        <w:jc w:val="both"/>
        <w:rPr>
          <w:lang w:val="es-PE"/>
        </w:rPr>
      </w:pPr>
      <w:r>
        <w:rPr>
          <w:lang w:val="es-PE"/>
        </w:rPr>
        <w:t xml:space="preserve">Se define como tamaño de la muestra a evaluar a un diez por ciento (10 %) del número total de secciones de cada </w:t>
      </w:r>
      <w:proofErr w:type="gramStart"/>
      <w:r>
        <w:rPr>
          <w:lang w:val="es-PE"/>
        </w:rPr>
        <w:t>Sub Tramo</w:t>
      </w:r>
      <w:proofErr w:type="gramEnd"/>
      <w:r>
        <w:rPr>
          <w:lang w:val="es-PE"/>
        </w:rPr>
        <w:t>, elegidas al azar (se redondeará al número entero superior).</w:t>
      </w:r>
    </w:p>
    <w:p w14:paraId="6B51A36D" w14:textId="77777777" w:rsidR="004412F1" w:rsidRDefault="004412F1">
      <w:pPr>
        <w:tabs>
          <w:tab w:val="left" w:pos="993"/>
        </w:tabs>
        <w:ind w:left="993" w:hanging="633"/>
        <w:jc w:val="both"/>
        <w:rPr>
          <w:lang w:val="es-PE"/>
        </w:rPr>
      </w:pPr>
    </w:p>
    <w:p w14:paraId="35F784B5" w14:textId="77777777" w:rsidR="004412F1" w:rsidRDefault="005A12A3">
      <w:pPr>
        <w:numPr>
          <w:ilvl w:val="0"/>
          <w:numId w:val="165"/>
        </w:numPr>
        <w:tabs>
          <w:tab w:val="left" w:pos="993"/>
        </w:tabs>
        <w:ind w:left="993" w:hanging="426"/>
        <w:jc w:val="both"/>
        <w:rPr>
          <w:lang w:val="es-PE"/>
        </w:rPr>
      </w:pPr>
      <w:r>
        <w:rPr>
          <w:lang w:val="es-PE"/>
        </w:rPr>
        <w:t>Cada sección seleccionada se la subdivide en diez (10) segmentos a evaluar. Si en una sección aparece parcialmente un elemento discreto, como un puente, éste se considerará totalmente incluido.</w:t>
      </w:r>
    </w:p>
    <w:p w14:paraId="73AAF42F" w14:textId="77777777" w:rsidR="004412F1" w:rsidRDefault="004412F1">
      <w:pPr>
        <w:ind w:left="567"/>
        <w:jc w:val="both"/>
        <w:rPr>
          <w:lang w:val="es-PE"/>
        </w:rPr>
      </w:pPr>
    </w:p>
    <w:p w14:paraId="0066A684" w14:textId="77777777" w:rsidR="004412F1" w:rsidRDefault="005A12A3">
      <w:pPr>
        <w:numPr>
          <w:ilvl w:val="0"/>
          <w:numId w:val="165"/>
        </w:numPr>
        <w:tabs>
          <w:tab w:val="left" w:pos="993"/>
        </w:tabs>
        <w:ind w:left="993" w:hanging="426"/>
        <w:jc w:val="both"/>
        <w:rPr>
          <w:lang w:val="es-PE"/>
        </w:rPr>
      </w:pPr>
      <w:r>
        <w:rPr>
          <w:lang w:val="es-PE"/>
        </w:rPr>
        <w:t>En cada segmento se analiza el cumplimiento de los Niveles de Servicio individuales (salvo la rugosidad) para los siguientes ítems: superficie de rodadura, berma, drenajes, puentes y viaductos, Área de la Concesión y seguridad vial (en el Apéndice 4 de este ANEXO I se presentan referencias para el formato de las planillas de relevamiento).</w:t>
      </w:r>
    </w:p>
    <w:p w14:paraId="7D0EB7BE" w14:textId="77777777" w:rsidR="004412F1" w:rsidRDefault="004412F1">
      <w:pPr>
        <w:tabs>
          <w:tab w:val="left" w:pos="993"/>
        </w:tabs>
        <w:ind w:left="993" w:hanging="426"/>
        <w:jc w:val="both"/>
        <w:rPr>
          <w:lang w:val="es-PE"/>
        </w:rPr>
      </w:pPr>
    </w:p>
    <w:p w14:paraId="38ABF128" w14:textId="77777777" w:rsidR="004412F1" w:rsidRDefault="005A12A3">
      <w:pPr>
        <w:numPr>
          <w:ilvl w:val="0"/>
          <w:numId w:val="165"/>
        </w:numPr>
        <w:tabs>
          <w:tab w:val="left" w:pos="993"/>
        </w:tabs>
        <w:ind w:left="993" w:hanging="426"/>
        <w:jc w:val="both"/>
        <w:rPr>
          <w:lang w:val="es-PE"/>
        </w:rPr>
      </w:pPr>
      <w:r>
        <w:rPr>
          <w:lang w:val="es-PE"/>
        </w:rPr>
        <w:t>En cada sección se cuantifica el número de segmentos que incumplen con los Niveles de Servicio de cada uno de los ítems (superficie de rodadura, berma, etc.).</w:t>
      </w:r>
    </w:p>
    <w:p w14:paraId="374F5A6E" w14:textId="77777777" w:rsidR="004412F1" w:rsidRDefault="004412F1">
      <w:pPr>
        <w:ind w:left="567"/>
        <w:jc w:val="both"/>
        <w:rPr>
          <w:lang w:val="es-PE"/>
        </w:rPr>
      </w:pPr>
    </w:p>
    <w:p w14:paraId="7A4D1210" w14:textId="77777777" w:rsidR="004412F1" w:rsidRDefault="005A12A3">
      <w:pPr>
        <w:numPr>
          <w:ilvl w:val="0"/>
          <w:numId w:val="165"/>
        </w:numPr>
        <w:tabs>
          <w:tab w:val="left" w:pos="993"/>
        </w:tabs>
        <w:ind w:left="993" w:hanging="426"/>
        <w:jc w:val="both"/>
        <w:rPr>
          <w:lang w:val="es-PE"/>
        </w:rPr>
      </w:pPr>
      <w:r>
        <w:rPr>
          <w:lang w:val="es-PE"/>
        </w:rPr>
        <w:t>Para obtener el grado de incumplimiento de cada sección, se introduce un coeficiente de ponderación para cada ítem (superficie de rodadura, berma, etc.) que multiplicará el número de segmentos con deficiencias:</w:t>
      </w:r>
    </w:p>
    <w:p w14:paraId="79BAE36C" w14:textId="77777777" w:rsidR="004412F1" w:rsidRDefault="004412F1">
      <w:pPr>
        <w:ind w:left="567"/>
        <w:jc w:val="both"/>
        <w:rPr>
          <w:lang w:val="es-PE"/>
        </w:rPr>
      </w:pPr>
    </w:p>
    <w:tbl>
      <w:tblPr>
        <w:tblpPr w:leftFromText="141" w:rightFromText="141" w:vertAnchor="text" w:horzAnchor="margin" w:tblpXSpec="right" w:tblpY="190"/>
        <w:tblW w:w="7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232"/>
        <w:gridCol w:w="2127"/>
        <w:gridCol w:w="1899"/>
      </w:tblGrid>
      <w:tr w:rsidR="004412F1" w14:paraId="33094211" w14:textId="77777777">
        <w:tc>
          <w:tcPr>
            <w:tcW w:w="3232" w:type="dxa"/>
          </w:tcPr>
          <w:p w14:paraId="11B3B0EE" w14:textId="77777777" w:rsidR="004412F1" w:rsidRDefault="005A12A3">
            <w:pPr>
              <w:tabs>
                <w:tab w:val="left" w:pos="993"/>
              </w:tabs>
              <w:ind w:left="993" w:hanging="633"/>
              <w:rPr>
                <w:sz w:val="20"/>
              </w:rPr>
            </w:pPr>
            <w:r>
              <w:rPr>
                <w:sz w:val="20"/>
              </w:rPr>
              <w:t>ASPECTO A EVALUAR</w:t>
            </w:r>
          </w:p>
        </w:tc>
        <w:tc>
          <w:tcPr>
            <w:tcW w:w="2127" w:type="dxa"/>
          </w:tcPr>
          <w:p w14:paraId="35975654" w14:textId="77777777" w:rsidR="004412F1" w:rsidRDefault="005A12A3">
            <w:pPr>
              <w:tabs>
                <w:tab w:val="left" w:pos="170"/>
              </w:tabs>
              <w:ind w:left="170"/>
              <w:rPr>
                <w:sz w:val="20"/>
              </w:rPr>
            </w:pPr>
            <w:r>
              <w:rPr>
                <w:sz w:val="20"/>
              </w:rPr>
              <w:t>Coeficiente de Ponderación</w:t>
            </w:r>
          </w:p>
        </w:tc>
        <w:tc>
          <w:tcPr>
            <w:tcW w:w="1899" w:type="dxa"/>
          </w:tcPr>
          <w:p w14:paraId="09D7B361" w14:textId="77777777" w:rsidR="004412F1" w:rsidRDefault="004412F1">
            <w:pPr>
              <w:tabs>
                <w:tab w:val="left" w:pos="993"/>
              </w:tabs>
              <w:ind w:left="993" w:hanging="633"/>
              <w:rPr>
                <w:sz w:val="20"/>
              </w:rPr>
            </w:pPr>
          </w:p>
        </w:tc>
      </w:tr>
      <w:tr w:rsidR="004412F1" w14:paraId="6DB0B5FB" w14:textId="77777777">
        <w:tc>
          <w:tcPr>
            <w:tcW w:w="3232" w:type="dxa"/>
          </w:tcPr>
          <w:p w14:paraId="05385800" w14:textId="77777777" w:rsidR="004412F1" w:rsidRDefault="005A12A3">
            <w:pPr>
              <w:tabs>
                <w:tab w:val="left" w:pos="993"/>
              </w:tabs>
              <w:ind w:left="993" w:hanging="633"/>
              <w:rPr>
                <w:sz w:val="20"/>
              </w:rPr>
            </w:pPr>
            <w:r>
              <w:rPr>
                <w:sz w:val="20"/>
              </w:rPr>
              <w:t>Superficie de rodadura</w:t>
            </w:r>
          </w:p>
        </w:tc>
        <w:tc>
          <w:tcPr>
            <w:tcW w:w="2127" w:type="dxa"/>
          </w:tcPr>
          <w:p w14:paraId="5D94B8F6" w14:textId="77777777" w:rsidR="004412F1" w:rsidRDefault="005A12A3">
            <w:pPr>
              <w:tabs>
                <w:tab w:val="left" w:pos="993"/>
              </w:tabs>
              <w:ind w:left="993" w:hanging="633"/>
              <w:rPr>
                <w:sz w:val="20"/>
              </w:rPr>
            </w:pPr>
            <w:r>
              <w:rPr>
                <w:sz w:val="20"/>
              </w:rPr>
              <w:t>100</w:t>
            </w:r>
          </w:p>
        </w:tc>
        <w:tc>
          <w:tcPr>
            <w:tcW w:w="1899" w:type="dxa"/>
          </w:tcPr>
          <w:p w14:paraId="2D88A1B7" w14:textId="77777777" w:rsidR="004412F1" w:rsidRDefault="004412F1">
            <w:pPr>
              <w:tabs>
                <w:tab w:val="left" w:pos="993"/>
              </w:tabs>
              <w:ind w:left="993" w:hanging="633"/>
              <w:rPr>
                <w:sz w:val="20"/>
              </w:rPr>
            </w:pPr>
          </w:p>
        </w:tc>
      </w:tr>
      <w:tr w:rsidR="004412F1" w14:paraId="73A402F6" w14:textId="77777777">
        <w:tc>
          <w:tcPr>
            <w:tcW w:w="3232" w:type="dxa"/>
          </w:tcPr>
          <w:p w14:paraId="2F42497B" w14:textId="77777777" w:rsidR="004412F1" w:rsidRDefault="005A12A3">
            <w:pPr>
              <w:tabs>
                <w:tab w:val="left" w:pos="993"/>
              </w:tabs>
              <w:ind w:left="993" w:hanging="633"/>
              <w:rPr>
                <w:sz w:val="20"/>
              </w:rPr>
            </w:pPr>
            <w:r>
              <w:rPr>
                <w:sz w:val="20"/>
              </w:rPr>
              <w:t>Bermas</w:t>
            </w:r>
          </w:p>
        </w:tc>
        <w:tc>
          <w:tcPr>
            <w:tcW w:w="2127" w:type="dxa"/>
          </w:tcPr>
          <w:p w14:paraId="1D09D1B9" w14:textId="77777777" w:rsidR="004412F1" w:rsidRDefault="005A12A3">
            <w:pPr>
              <w:tabs>
                <w:tab w:val="left" w:pos="993"/>
              </w:tabs>
              <w:ind w:left="993" w:hanging="633"/>
              <w:rPr>
                <w:sz w:val="20"/>
              </w:rPr>
            </w:pPr>
            <w:r>
              <w:rPr>
                <w:sz w:val="20"/>
              </w:rPr>
              <w:t>40</w:t>
            </w:r>
          </w:p>
        </w:tc>
        <w:tc>
          <w:tcPr>
            <w:tcW w:w="1899" w:type="dxa"/>
          </w:tcPr>
          <w:p w14:paraId="1CBF581D" w14:textId="77777777" w:rsidR="004412F1" w:rsidRDefault="004412F1">
            <w:pPr>
              <w:tabs>
                <w:tab w:val="left" w:pos="993"/>
              </w:tabs>
              <w:ind w:left="993" w:hanging="633"/>
              <w:rPr>
                <w:sz w:val="20"/>
              </w:rPr>
            </w:pPr>
          </w:p>
        </w:tc>
      </w:tr>
      <w:tr w:rsidR="004412F1" w14:paraId="73EFE2D9" w14:textId="77777777">
        <w:tc>
          <w:tcPr>
            <w:tcW w:w="3232" w:type="dxa"/>
          </w:tcPr>
          <w:p w14:paraId="76127A92" w14:textId="77777777" w:rsidR="004412F1" w:rsidRDefault="005A12A3">
            <w:pPr>
              <w:tabs>
                <w:tab w:val="left" w:pos="993"/>
              </w:tabs>
              <w:ind w:left="993" w:hanging="633"/>
              <w:rPr>
                <w:sz w:val="20"/>
              </w:rPr>
            </w:pPr>
            <w:r>
              <w:rPr>
                <w:sz w:val="20"/>
              </w:rPr>
              <w:t>Drenajes, puentes y viaductos</w:t>
            </w:r>
          </w:p>
        </w:tc>
        <w:tc>
          <w:tcPr>
            <w:tcW w:w="2127" w:type="dxa"/>
          </w:tcPr>
          <w:p w14:paraId="3DF51FC3" w14:textId="77777777" w:rsidR="004412F1" w:rsidRDefault="005A12A3">
            <w:pPr>
              <w:tabs>
                <w:tab w:val="left" w:pos="993"/>
              </w:tabs>
              <w:ind w:left="993" w:hanging="633"/>
              <w:rPr>
                <w:sz w:val="20"/>
              </w:rPr>
            </w:pPr>
            <w:r>
              <w:rPr>
                <w:sz w:val="20"/>
              </w:rPr>
              <w:t>80</w:t>
            </w:r>
          </w:p>
        </w:tc>
        <w:tc>
          <w:tcPr>
            <w:tcW w:w="1899" w:type="dxa"/>
          </w:tcPr>
          <w:p w14:paraId="7FD044E4" w14:textId="77777777" w:rsidR="004412F1" w:rsidRDefault="004412F1">
            <w:pPr>
              <w:tabs>
                <w:tab w:val="left" w:pos="993"/>
              </w:tabs>
              <w:ind w:left="993" w:hanging="633"/>
              <w:rPr>
                <w:sz w:val="20"/>
              </w:rPr>
            </w:pPr>
          </w:p>
        </w:tc>
      </w:tr>
      <w:tr w:rsidR="004412F1" w14:paraId="35CF8E7F" w14:textId="77777777">
        <w:tc>
          <w:tcPr>
            <w:tcW w:w="3232" w:type="dxa"/>
          </w:tcPr>
          <w:p w14:paraId="54DEA122" w14:textId="77777777" w:rsidR="004412F1" w:rsidRDefault="005A12A3">
            <w:pPr>
              <w:tabs>
                <w:tab w:val="left" w:pos="993"/>
              </w:tabs>
              <w:ind w:left="993" w:hanging="633"/>
              <w:rPr>
                <w:sz w:val="20"/>
              </w:rPr>
            </w:pPr>
            <w:r>
              <w:rPr>
                <w:sz w:val="20"/>
              </w:rPr>
              <w:t>Área de la Concesión</w:t>
            </w:r>
          </w:p>
        </w:tc>
        <w:tc>
          <w:tcPr>
            <w:tcW w:w="2127" w:type="dxa"/>
          </w:tcPr>
          <w:p w14:paraId="7BD86A64" w14:textId="77777777" w:rsidR="004412F1" w:rsidRDefault="005A12A3">
            <w:pPr>
              <w:tabs>
                <w:tab w:val="left" w:pos="993"/>
              </w:tabs>
              <w:ind w:left="993" w:hanging="633"/>
              <w:rPr>
                <w:sz w:val="20"/>
              </w:rPr>
            </w:pPr>
            <w:r>
              <w:rPr>
                <w:sz w:val="20"/>
              </w:rPr>
              <w:t>40</w:t>
            </w:r>
          </w:p>
        </w:tc>
        <w:tc>
          <w:tcPr>
            <w:tcW w:w="1899" w:type="dxa"/>
          </w:tcPr>
          <w:p w14:paraId="387684C0" w14:textId="77777777" w:rsidR="004412F1" w:rsidRDefault="004412F1">
            <w:pPr>
              <w:tabs>
                <w:tab w:val="left" w:pos="993"/>
              </w:tabs>
              <w:ind w:left="993" w:hanging="633"/>
              <w:rPr>
                <w:sz w:val="20"/>
              </w:rPr>
            </w:pPr>
          </w:p>
        </w:tc>
      </w:tr>
      <w:tr w:rsidR="004412F1" w14:paraId="36D738C1" w14:textId="77777777">
        <w:tc>
          <w:tcPr>
            <w:tcW w:w="3232" w:type="dxa"/>
          </w:tcPr>
          <w:p w14:paraId="769A6252" w14:textId="77777777" w:rsidR="004412F1" w:rsidRDefault="005A12A3">
            <w:pPr>
              <w:tabs>
                <w:tab w:val="left" w:pos="993"/>
              </w:tabs>
              <w:ind w:left="993" w:hanging="633"/>
              <w:rPr>
                <w:sz w:val="20"/>
              </w:rPr>
            </w:pPr>
            <w:r>
              <w:rPr>
                <w:sz w:val="20"/>
              </w:rPr>
              <w:t>Seguridad vial</w:t>
            </w:r>
          </w:p>
        </w:tc>
        <w:tc>
          <w:tcPr>
            <w:tcW w:w="2127" w:type="dxa"/>
          </w:tcPr>
          <w:p w14:paraId="1BBAC8DF" w14:textId="77777777" w:rsidR="004412F1" w:rsidRDefault="005A12A3">
            <w:pPr>
              <w:tabs>
                <w:tab w:val="left" w:pos="993"/>
              </w:tabs>
              <w:ind w:left="993" w:hanging="633"/>
              <w:rPr>
                <w:sz w:val="20"/>
              </w:rPr>
            </w:pPr>
            <w:r>
              <w:rPr>
                <w:sz w:val="20"/>
              </w:rPr>
              <w:t>80</w:t>
            </w:r>
          </w:p>
        </w:tc>
        <w:tc>
          <w:tcPr>
            <w:tcW w:w="1899" w:type="dxa"/>
          </w:tcPr>
          <w:p w14:paraId="67B8C7D6" w14:textId="77777777" w:rsidR="004412F1" w:rsidRDefault="004412F1">
            <w:pPr>
              <w:tabs>
                <w:tab w:val="left" w:pos="993"/>
              </w:tabs>
              <w:ind w:left="993" w:hanging="633"/>
              <w:rPr>
                <w:sz w:val="20"/>
              </w:rPr>
            </w:pPr>
          </w:p>
        </w:tc>
      </w:tr>
    </w:tbl>
    <w:p w14:paraId="79A9200C" w14:textId="77777777" w:rsidR="004412F1" w:rsidRDefault="004412F1">
      <w:pPr>
        <w:jc w:val="both"/>
      </w:pPr>
    </w:p>
    <w:p w14:paraId="683F67B0" w14:textId="77777777" w:rsidR="004412F1" w:rsidRDefault="004412F1">
      <w:pPr>
        <w:ind w:left="360"/>
        <w:jc w:val="both"/>
      </w:pPr>
    </w:p>
    <w:p w14:paraId="6379CA8A" w14:textId="77777777" w:rsidR="004412F1" w:rsidRDefault="004412F1">
      <w:pPr>
        <w:ind w:left="360"/>
        <w:jc w:val="both"/>
      </w:pPr>
    </w:p>
    <w:p w14:paraId="525BF6C9" w14:textId="77777777" w:rsidR="004412F1" w:rsidRDefault="004412F1">
      <w:pPr>
        <w:ind w:left="360"/>
        <w:jc w:val="both"/>
        <w:rPr>
          <w:rFonts w:eastAsia="SimSun"/>
          <w:lang w:eastAsia="zh-CN"/>
        </w:rPr>
      </w:pPr>
    </w:p>
    <w:p w14:paraId="69727B81" w14:textId="77777777" w:rsidR="006D0109" w:rsidRDefault="006D0109">
      <w:pPr>
        <w:ind w:left="360"/>
        <w:jc w:val="both"/>
        <w:rPr>
          <w:rFonts w:eastAsia="SimSun"/>
          <w:lang w:eastAsia="zh-CN"/>
        </w:rPr>
      </w:pPr>
    </w:p>
    <w:p w14:paraId="55BC41C1" w14:textId="77777777" w:rsidR="006D0109" w:rsidRDefault="006D0109">
      <w:pPr>
        <w:ind w:left="360"/>
        <w:jc w:val="both"/>
        <w:rPr>
          <w:rFonts w:eastAsia="SimSun"/>
          <w:lang w:eastAsia="zh-CN"/>
        </w:rPr>
      </w:pPr>
    </w:p>
    <w:p w14:paraId="79900EFD" w14:textId="77777777" w:rsidR="006D0109" w:rsidRDefault="006D0109">
      <w:pPr>
        <w:ind w:left="360"/>
        <w:jc w:val="both"/>
        <w:rPr>
          <w:rFonts w:eastAsia="SimSun"/>
          <w:lang w:eastAsia="zh-CN"/>
        </w:rPr>
      </w:pPr>
    </w:p>
    <w:p w14:paraId="494D0F40" w14:textId="77777777" w:rsidR="006D0109" w:rsidRDefault="006D0109">
      <w:pPr>
        <w:ind w:left="360"/>
        <w:jc w:val="both"/>
        <w:rPr>
          <w:rFonts w:eastAsia="SimSun"/>
          <w:lang w:eastAsia="zh-CN"/>
        </w:rPr>
      </w:pPr>
    </w:p>
    <w:p w14:paraId="6A96AC42" w14:textId="77777777" w:rsidR="006D0109" w:rsidRPr="006D0109" w:rsidRDefault="006D0109">
      <w:pPr>
        <w:ind w:left="360"/>
        <w:jc w:val="both"/>
        <w:rPr>
          <w:rFonts w:eastAsia="SimSun"/>
          <w:lang w:eastAsia="zh-CN"/>
        </w:rPr>
      </w:pPr>
    </w:p>
    <w:p w14:paraId="2D175104" w14:textId="77777777" w:rsidR="004412F1" w:rsidRDefault="005A12A3">
      <w:pPr>
        <w:numPr>
          <w:ilvl w:val="0"/>
          <w:numId w:val="165"/>
        </w:numPr>
        <w:tabs>
          <w:tab w:val="left" w:pos="993"/>
        </w:tabs>
        <w:ind w:left="993" w:hanging="426"/>
        <w:jc w:val="both"/>
        <w:rPr>
          <w:lang w:val="es-PE"/>
        </w:rPr>
      </w:pPr>
      <w:r>
        <w:rPr>
          <w:lang w:val="es-PE"/>
        </w:rPr>
        <w:t xml:space="preserve">El Nivel de Servicio Global de un </w:t>
      </w:r>
      <w:proofErr w:type="gramStart"/>
      <w:r>
        <w:rPr>
          <w:lang w:val="es-PE"/>
        </w:rPr>
        <w:t>Sub Tramo</w:t>
      </w:r>
      <w:proofErr w:type="gramEnd"/>
      <w:r>
        <w:rPr>
          <w:lang w:val="es-PE"/>
        </w:rPr>
        <w:t xml:space="preserve"> se calcula de acuerdo al procedimiento indicado a continuación:</w:t>
      </w:r>
    </w:p>
    <w:p w14:paraId="728BD1AE" w14:textId="77777777" w:rsidR="004412F1" w:rsidRDefault="004412F1">
      <w:pPr>
        <w:ind w:left="993"/>
        <w:jc w:val="both"/>
        <w:rPr>
          <w:lang w:val="es-PE"/>
        </w:rPr>
      </w:pPr>
    </w:p>
    <w:tbl>
      <w:tblPr>
        <w:tblStyle w:val="Tablaconcuadrcula"/>
        <w:tblW w:w="7371" w:type="dxa"/>
        <w:tblInd w:w="1242" w:type="dxa"/>
        <w:tblLayout w:type="fixed"/>
        <w:tblLook w:val="04A0" w:firstRow="1" w:lastRow="0" w:firstColumn="1" w:lastColumn="0" w:noHBand="0" w:noVBand="1"/>
      </w:tblPr>
      <w:tblGrid>
        <w:gridCol w:w="2366"/>
        <w:gridCol w:w="1603"/>
        <w:gridCol w:w="1418"/>
        <w:gridCol w:w="1984"/>
      </w:tblGrid>
      <w:tr w:rsidR="004412F1" w14:paraId="6B3971C6" w14:textId="77777777">
        <w:tc>
          <w:tcPr>
            <w:tcW w:w="2366" w:type="dxa"/>
            <w:vAlign w:val="center"/>
          </w:tcPr>
          <w:p w14:paraId="78F7E822" w14:textId="77777777" w:rsidR="004412F1" w:rsidRDefault="005A12A3">
            <w:pPr>
              <w:pStyle w:val="Textosinformato"/>
              <w:jc w:val="center"/>
              <w:rPr>
                <w:rFonts w:ascii="Arial" w:eastAsiaTheme="minorHAnsi" w:hAnsi="Arial"/>
                <w:lang w:val="es-MX"/>
              </w:rPr>
            </w:pPr>
            <w:r>
              <w:rPr>
                <w:rFonts w:ascii="Arial" w:eastAsiaTheme="minorHAnsi" w:hAnsi="Arial"/>
                <w:lang w:val="es-MX"/>
              </w:rPr>
              <w:t>Aspecto</w:t>
            </w:r>
          </w:p>
        </w:tc>
        <w:tc>
          <w:tcPr>
            <w:tcW w:w="1603" w:type="dxa"/>
          </w:tcPr>
          <w:p w14:paraId="59915E28" w14:textId="77777777" w:rsidR="004412F1" w:rsidRDefault="005A12A3">
            <w:pPr>
              <w:pStyle w:val="Textosinformato"/>
              <w:jc w:val="center"/>
              <w:rPr>
                <w:rFonts w:ascii="Arial" w:eastAsiaTheme="minorHAnsi" w:hAnsi="Arial"/>
                <w:lang w:val="es-MX"/>
              </w:rPr>
            </w:pPr>
            <w:r>
              <w:rPr>
                <w:rFonts w:ascii="Arial" w:eastAsiaTheme="minorHAnsi" w:hAnsi="Arial"/>
                <w:lang w:val="es-MX"/>
              </w:rPr>
              <w:t xml:space="preserve">N° de </w:t>
            </w:r>
            <w:proofErr w:type="gramStart"/>
            <w:r>
              <w:rPr>
                <w:rFonts w:ascii="Arial" w:eastAsiaTheme="minorHAnsi" w:hAnsi="Arial"/>
                <w:lang w:val="es-MX"/>
              </w:rPr>
              <w:t>segmentos  con</w:t>
            </w:r>
            <w:proofErr w:type="gramEnd"/>
            <w:r>
              <w:rPr>
                <w:rFonts w:ascii="Arial" w:eastAsiaTheme="minorHAnsi" w:hAnsi="Arial"/>
                <w:lang w:val="es-MX"/>
              </w:rPr>
              <w:t xml:space="preserve"> deficiencia de la muestra tomada del Sub Tramo</w:t>
            </w:r>
          </w:p>
        </w:tc>
        <w:tc>
          <w:tcPr>
            <w:tcW w:w="1418" w:type="dxa"/>
            <w:vAlign w:val="center"/>
          </w:tcPr>
          <w:p w14:paraId="38D5FD79" w14:textId="77777777" w:rsidR="004412F1" w:rsidRDefault="005A12A3">
            <w:pPr>
              <w:pStyle w:val="Textosinformato"/>
              <w:jc w:val="center"/>
              <w:rPr>
                <w:rFonts w:ascii="Arial" w:eastAsiaTheme="minorHAnsi" w:hAnsi="Arial"/>
                <w:lang w:val="es-MX"/>
              </w:rPr>
            </w:pPr>
            <w:r>
              <w:rPr>
                <w:rFonts w:ascii="Arial" w:eastAsiaTheme="minorHAnsi" w:hAnsi="Arial"/>
                <w:lang w:val="es-MX"/>
              </w:rPr>
              <w:t>Coeficiente de ponderación</w:t>
            </w:r>
          </w:p>
        </w:tc>
        <w:tc>
          <w:tcPr>
            <w:tcW w:w="1984" w:type="dxa"/>
            <w:vAlign w:val="center"/>
          </w:tcPr>
          <w:p w14:paraId="0469D5BD" w14:textId="77777777" w:rsidR="004412F1" w:rsidRDefault="005A12A3">
            <w:pPr>
              <w:pStyle w:val="Textosinformato"/>
              <w:jc w:val="center"/>
              <w:rPr>
                <w:rFonts w:ascii="Arial" w:eastAsiaTheme="minorHAnsi" w:hAnsi="Arial"/>
                <w:lang w:val="es-MX"/>
              </w:rPr>
            </w:pPr>
            <w:r>
              <w:rPr>
                <w:rFonts w:ascii="Arial" w:eastAsiaTheme="minorHAnsi" w:hAnsi="Arial"/>
                <w:lang w:val="es-MX"/>
              </w:rPr>
              <w:t>Porcentaje de incumplimiento por aspecto</w:t>
            </w:r>
          </w:p>
        </w:tc>
      </w:tr>
      <w:tr w:rsidR="004412F1" w14:paraId="6EC1411E" w14:textId="77777777">
        <w:tc>
          <w:tcPr>
            <w:tcW w:w="2366" w:type="dxa"/>
          </w:tcPr>
          <w:p w14:paraId="15CEA906" w14:textId="77777777" w:rsidR="004412F1" w:rsidRDefault="004412F1">
            <w:pPr>
              <w:pStyle w:val="Textosinformato"/>
              <w:rPr>
                <w:rFonts w:ascii="Arial" w:eastAsiaTheme="minorHAnsi" w:hAnsi="Arial"/>
                <w:lang w:val="es-MX"/>
              </w:rPr>
            </w:pPr>
          </w:p>
        </w:tc>
        <w:tc>
          <w:tcPr>
            <w:tcW w:w="1603" w:type="dxa"/>
          </w:tcPr>
          <w:p w14:paraId="34371AD4" w14:textId="77777777" w:rsidR="004412F1" w:rsidRDefault="005A12A3">
            <w:pPr>
              <w:pStyle w:val="Textosinformato"/>
              <w:jc w:val="center"/>
              <w:rPr>
                <w:rFonts w:ascii="Arial" w:eastAsiaTheme="minorHAnsi" w:hAnsi="Arial"/>
                <w:lang w:val="es-MX"/>
              </w:rPr>
            </w:pPr>
            <w:r>
              <w:rPr>
                <w:rFonts w:ascii="Arial" w:eastAsiaTheme="minorHAnsi" w:hAnsi="Arial"/>
                <w:lang w:val="es-MX"/>
              </w:rPr>
              <w:t>(a)</w:t>
            </w:r>
          </w:p>
        </w:tc>
        <w:tc>
          <w:tcPr>
            <w:tcW w:w="1418" w:type="dxa"/>
          </w:tcPr>
          <w:p w14:paraId="410D1414" w14:textId="77777777" w:rsidR="004412F1" w:rsidRDefault="005A12A3">
            <w:pPr>
              <w:pStyle w:val="Textosinformato"/>
              <w:jc w:val="center"/>
              <w:rPr>
                <w:rFonts w:ascii="Arial" w:eastAsiaTheme="minorHAnsi" w:hAnsi="Arial"/>
                <w:lang w:val="es-MX"/>
              </w:rPr>
            </w:pPr>
            <w:r>
              <w:rPr>
                <w:rFonts w:ascii="Arial" w:eastAsiaTheme="minorHAnsi" w:hAnsi="Arial"/>
                <w:lang w:val="es-MX"/>
              </w:rPr>
              <w:t>(b)</w:t>
            </w:r>
          </w:p>
        </w:tc>
        <w:tc>
          <w:tcPr>
            <w:tcW w:w="1984" w:type="dxa"/>
          </w:tcPr>
          <w:p w14:paraId="2DC80DAC" w14:textId="77777777" w:rsidR="004412F1" w:rsidRDefault="005A12A3">
            <w:pPr>
              <w:pStyle w:val="Textosinformato"/>
              <w:rPr>
                <w:rFonts w:ascii="Arial" w:eastAsiaTheme="minorHAnsi" w:hAnsi="Arial"/>
                <w:lang w:val="es-MX"/>
              </w:rPr>
            </w:pPr>
            <w:r>
              <w:rPr>
                <w:rFonts w:ascii="Arial" w:eastAsiaTheme="minorHAnsi" w:hAnsi="Arial"/>
                <w:lang w:val="es-MX"/>
              </w:rPr>
              <w:t xml:space="preserve">(c)=(a)*(b)/10*Longitud Sub </w:t>
            </w:r>
            <w:proofErr w:type="gramStart"/>
            <w:r>
              <w:rPr>
                <w:rFonts w:ascii="Arial" w:eastAsiaTheme="minorHAnsi" w:hAnsi="Arial"/>
                <w:lang w:val="es-MX"/>
              </w:rPr>
              <w:t>Tramo  en</w:t>
            </w:r>
            <w:proofErr w:type="gramEnd"/>
            <w:r>
              <w:rPr>
                <w:rFonts w:ascii="Arial" w:eastAsiaTheme="minorHAnsi" w:hAnsi="Arial"/>
                <w:lang w:val="es-MX"/>
              </w:rPr>
              <w:t xml:space="preserve"> km *10%</w:t>
            </w:r>
          </w:p>
        </w:tc>
      </w:tr>
      <w:tr w:rsidR="004412F1" w14:paraId="57A48044" w14:textId="77777777">
        <w:tc>
          <w:tcPr>
            <w:tcW w:w="2366" w:type="dxa"/>
          </w:tcPr>
          <w:p w14:paraId="06EC209A" w14:textId="77777777" w:rsidR="004412F1" w:rsidRDefault="005A12A3">
            <w:pPr>
              <w:pStyle w:val="Textosinformato"/>
              <w:rPr>
                <w:rFonts w:ascii="Arial" w:eastAsiaTheme="minorHAnsi" w:hAnsi="Arial"/>
                <w:lang w:val="es-MX"/>
              </w:rPr>
            </w:pPr>
            <w:r>
              <w:rPr>
                <w:rFonts w:ascii="Arial" w:hAnsi="Arial"/>
                <w:lang w:val="es-ES"/>
              </w:rPr>
              <w:t>Superficie de rodadura</w:t>
            </w:r>
          </w:p>
        </w:tc>
        <w:tc>
          <w:tcPr>
            <w:tcW w:w="1603" w:type="dxa"/>
          </w:tcPr>
          <w:p w14:paraId="2BAB5B6F" w14:textId="77777777" w:rsidR="004412F1" w:rsidRDefault="004412F1">
            <w:pPr>
              <w:pStyle w:val="Textosinformato"/>
              <w:ind w:hanging="108"/>
              <w:rPr>
                <w:rFonts w:ascii="Arial" w:eastAsiaTheme="minorHAnsi" w:hAnsi="Arial"/>
                <w:lang w:val="es-MX"/>
              </w:rPr>
            </w:pPr>
          </w:p>
        </w:tc>
        <w:tc>
          <w:tcPr>
            <w:tcW w:w="1418" w:type="dxa"/>
          </w:tcPr>
          <w:p w14:paraId="67DF8099" w14:textId="77777777" w:rsidR="004412F1" w:rsidRDefault="004412F1">
            <w:pPr>
              <w:pStyle w:val="Textosinformato"/>
              <w:rPr>
                <w:rFonts w:ascii="Arial" w:eastAsiaTheme="minorHAnsi" w:hAnsi="Arial"/>
                <w:lang w:val="es-MX"/>
              </w:rPr>
            </w:pPr>
          </w:p>
        </w:tc>
        <w:tc>
          <w:tcPr>
            <w:tcW w:w="1984" w:type="dxa"/>
          </w:tcPr>
          <w:p w14:paraId="04554E2B" w14:textId="77777777" w:rsidR="004412F1" w:rsidRDefault="004412F1">
            <w:pPr>
              <w:pStyle w:val="Textosinformato"/>
              <w:rPr>
                <w:rFonts w:ascii="Arial" w:eastAsiaTheme="minorHAnsi" w:hAnsi="Arial"/>
                <w:lang w:val="es-MX"/>
              </w:rPr>
            </w:pPr>
          </w:p>
        </w:tc>
      </w:tr>
      <w:tr w:rsidR="004412F1" w14:paraId="52964FB1" w14:textId="77777777">
        <w:tc>
          <w:tcPr>
            <w:tcW w:w="2366" w:type="dxa"/>
          </w:tcPr>
          <w:p w14:paraId="5CD996D4" w14:textId="77777777" w:rsidR="004412F1" w:rsidRDefault="005A12A3">
            <w:pPr>
              <w:pStyle w:val="Textosinformato"/>
              <w:rPr>
                <w:rFonts w:ascii="Arial" w:eastAsiaTheme="minorHAnsi" w:hAnsi="Arial"/>
                <w:lang w:val="es-MX"/>
              </w:rPr>
            </w:pPr>
            <w:r>
              <w:rPr>
                <w:rFonts w:ascii="Arial" w:eastAsiaTheme="minorHAnsi" w:hAnsi="Arial"/>
                <w:lang w:val="es-MX"/>
              </w:rPr>
              <w:t>Berma</w:t>
            </w:r>
          </w:p>
        </w:tc>
        <w:tc>
          <w:tcPr>
            <w:tcW w:w="1603" w:type="dxa"/>
          </w:tcPr>
          <w:p w14:paraId="227C32F6" w14:textId="77777777" w:rsidR="004412F1" w:rsidRDefault="004412F1">
            <w:pPr>
              <w:pStyle w:val="Textosinformato"/>
              <w:rPr>
                <w:rFonts w:ascii="Arial" w:eastAsiaTheme="minorHAnsi" w:hAnsi="Arial"/>
                <w:lang w:val="es-MX"/>
              </w:rPr>
            </w:pPr>
          </w:p>
        </w:tc>
        <w:tc>
          <w:tcPr>
            <w:tcW w:w="1418" w:type="dxa"/>
          </w:tcPr>
          <w:p w14:paraId="11BBC915" w14:textId="77777777" w:rsidR="004412F1" w:rsidRDefault="004412F1">
            <w:pPr>
              <w:pStyle w:val="Textosinformato"/>
              <w:rPr>
                <w:rFonts w:ascii="Arial" w:eastAsiaTheme="minorHAnsi" w:hAnsi="Arial"/>
                <w:lang w:val="es-MX"/>
              </w:rPr>
            </w:pPr>
          </w:p>
        </w:tc>
        <w:tc>
          <w:tcPr>
            <w:tcW w:w="1984" w:type="dxa"/>
          </w:tcPr>
          <w:p w14:paraId="6C1DE991" w14:textId="77777777" w:rsidR="004412F1" w:rsidRDefault="004412F1">
            <w:pPr>
              <w:pStyle w:val="Textosinformato"/>
              <w:rPr>
                <w:rFonts w:ascii="Arial" w:eastAsiaTheme="minorHAnsi" w:hAnsi="Arial"/>
                <w:lang w:val="es-MX"/>
              </w:rPr>
            </w:pPr>
          </w:p>
        </w:tc>
      </w:tr>
      <w:tr w:rsidR="004412F1" w14:paraId="59CF2BAA" w14:textId="77777777">
        <w:tc>
          <w:tcPr>
            <w:tcW w:w="2366" w:type="dxa"/>
          </w:tcPr>
          <w:p w14:paraId="6B7C286B" w14:textId="77777777" w:rsidR="004412F1" w:rsidRDefault="005A12A3">
            <w:pPr>
              <w:pStyle w:val="Textosinformato"/>
              <w:rPr>
                <w:rFonts w:ascii="Arial" w:eastAsiaTheme="minorHAnsi" w:hAnsi="Arial"/>
                <w:lang w:val="es-MX"/>
              </w:rPr>
            </w:pPr>
            <w:r>
              <w:rPr>
                <w:rFonts w:ascii="Arial" w:eastAsiaTheme="minorHAnsi" w:hAnsi="Arial"/>
                <w:lang w:val="es-MX"/>
              </w:rPr>
              <w:t>Drenaje, Puentes y viaductos</w:t>
            </w:r>
          </w:p>
        </w:tc>
        <w:tc>
          <w:tcPr>
            <w:tcW w:w="1603" w:type="dxa"/>
          </w:tcPr>
          <w:p w14:paraId="15277906" w14:textId="77777777" w:rsidR="004412F1" w:rsidRDefault="004412F1">
            <w:pPr>
              <w:pStyle w:val="Textosinformato"/>
              <w:rPr>
                <w:rFonts w:ascii="Arial" w:eastAsiaTheme="minorHAnsi" w:hAnsi="Arial"/>
                <w:lang w:val="es-MX"/>
              </w:rPr>
            </w:pPr>
          </w:p>
        </w:tc>
        <w:tc>
          <w:tcPr>
            <w:tcW w:w="1418" w:type="dxa"/>
          </w:tcPr>
          <w:p w14:paraId="265AA13D" w14:textId="77777777" w:rsidR="004412F1" w:rsidRDefault="004412F1">
            <w:pPr>
              <w:pStyle w:val="Textosinformato"/>
              <w:rPr>
                <w:rFonts w:ascii="Arial" w:eastAsiaTheme="minorHAnsi" w:hAnsi="Arial"/>
                <w:lang w:val="es-MX"/>
              </w:rPr>
            </w:pPr>
          </w:p>
        </w:tc>
        <w:tc>
          <w:tcPr>
            <w:tcW w:w="1984" w:type="dxa"/>
          </w:tcPr>
          <w:p w14:paraId="7DE874A0" w14:textId="77777777" w:rsidR="004412F1" w:rsidRDefault="004412F1">
            <w:pPr>
              <w:pStyle w:val="Textosinformato"/>
              <w:rPr>
                <w:rFonts w:ascii="Arial" w:eastAsiaTheme="minorHAnsi" w:hAnsi="Arial"/>
                <w:lang w:val="es-MX"/>
              </w:rPr>
            </w:pPr>
          </w:p>
        </w:tc>
      </w:tr>
      <w:tr w:rsidR="004412F1" w14:paraId="6B34157C" w14:textId="77777777">
        <w:tc>
          <w:tcPr>
            <w:tcW w:w="2366" w:type="dxa"/>
          </w:tcPr>
          <w:p w14:paraId="7BCAF73D" w14:textId="77777777" w:rsidR="004412F1" w:rsidRDefault="005A12A3">
            <w:pPr>
              <w:pStyle w:val="Textosinformato"/>
              <w:rPr>
                <w:rFonts w:ascii="Arial" w:eastAsiaTheme="minorHAnsi" w:hAnsi="Arial"/>
                <w:lang w:val="es-MX"/>
              </w:rPr>
            </w:pPr>
            <w:r>
              <w:rPr>
                <w:rFonts w:ascii="Arial" w:hAnsi="Arial"/>
                <w:lang w:val="es-ES"/>
              </w:rPr>
              <w:t>Área de la Concesión</w:t>
            </w:r>
          </w:p>
        </w:tc>
        <w:tc>
          <w:tcPr>
            <w:tcW w:w="1603" w:type="dxa"/>
          </w:tcPr>
          <w:p w14:paraId="347BE13D" w14:textId="77777777" w:rsidR="004412F1" w:rsidRDefault="004412F1">
            <w:pPr>
              <w:pStyle w:val="Textosinformato"/>
              <w:rPr>
                <w:rFonts w:ascii="Arial" w:eastAsiaTheme="minorHAnsi" w:hAnsi="Arial"/>
                <w:lang w:val="es-MX"/>
              </w:rPr>
            </w:pPr>
          </w:p>
        </w:tc>
        <w:tc>
          <w:tcPr>
            <w:tcW w:w="1418" w:type="dxa"/>
          </w:tcPr>
          <w:p w14:paraId="0F7CA13A" w14:textId="77777777" w:rsidR="004412F1" w:rsidRDefault="004412F1">
            <w:pPr>
              <w:pStyle w:val="Textosinformato"/>
              <w:rPr>
                <w:rFonts w:ascii="Arial" w:eastAsiaTheme="minorHAnsi" w:hAnsi="Arial"/>
                <w:lang w:val="es-MX"/>
              </w:rPr>
            </w:pPr>
          </w:p>
        </w:tc>
        <w:tc>
          <w:tcPr>
            <w:tcW w:w="1984" w:type="dxa"/>
          </w:tcPr>
          <w:p w14:paraId="3B41ED29" w14:textId="77777777" w:rsidR="004412F1" w:rsidRDefault="004412F1">
            <w:pPr>
              <w:pStyle w:val="Textosinformato"/>
              <w:rPr>
                <w:rFonts w:ascii="Arial" w:eastAsiaTheme="minorHAnsi" w:hAnsi="Arial"/>
                <w:lang w:val="es-MX"/>
              </w:rPr>
            </w:pPr>
          </w:p>
        </w:tc>
      </w:tr>
      <w:tr w:rsidR="004412F1" w14:paraId="3FD5E69A" w14:textId="77777777">
        <w:tc>
          <w:tcPr>
            <w:tcW w:w="2366" w:type="dxa"/>
          </w:tcPr>
          <w:p w14:paraId="48291CD9" w14:textId="77777777" w:rsidR="004412F1" w:rsidRDefault="005A12A3">
            <w:pPr>
              <w:pStyle w:val="Textosinformato"/>
              <w:ind w:hanging="46"/>
              <w:rPr>
                <w:rFonts w:ascii="Arial" w:eastAsiaTheme="minorHAnsi" w:hAnsi="Arial"/>
                <w:lang w:val="es-MX"/>
              </w:rPr>
            </w:pPr>
            <w:r>
              <w:rPr>
                <w:rFonts w:ascii="Arial" w:eastAsiaTheme="minorHAnsi" w:hAnsi="Arial"/>
                <w:lang w:val="es-MX"/>
              </w:rPr>
              <w:t>Seguridad Vial</w:t>
            </w:r>
          </w:p>
        </w:tc>
        <w:tc>
          <w:tcPr>
            <w:tcW w:w="1603" w:type="dxa"/>
          </w:tcPr>
          <w:p w14:paraId="6C4492C3" w14:textId="77777777" w:rsidR="004412F1" w:rsidRDefault="004412F1">
            <w:pPr>
              <w:pStyle w:val="Textosinformato"/>
              <w:rPr>
                <w:rFonts w:ascii="Arial" w:eastAsiaTheme="minorHAnsi" w:hAnsi="Arial"/>
                <w:lang w:val="es-MX"/>
              </w:rPr>
            </w:pPr>
          </w:p>
        </w:tc>
        <w:tc>
          <w:tcPr>
            <w:tcW w:w="1418" w:type="dxa"/>
          </w:tcPr>
          <w:p w14:paraId="1DBF2C31" w14:textId="77777777" w:rsidR="004412F1" w:rsidRDefault="004412F1">
            <w:pPr>
              <w:pStyle w:val="Textosinformato"/>
              <w:rPr>
                <w:rFonts w:ascii="Arial" w:eastAsiaTheme="minorHAnsi" w:hAnsi="Arial"/>
                <w:lang w:val="es-MX"/>
              </w:rPr>
            </w:pPr>
          </w:p>
        </w:tc>
        <w:tc>
          <w:tcPr>
            <w:tcW w:w="1984" w:type="dxa"/>
          </w:tcPr>
          <w:p w14:paraId="4A0F1643" w14:textId="77777777" w:rsidR="004412F1" w:rsidRDefault="004412F1">
            <w:pPr>
              <w:pStyle w:val="Textosinformato"/>
              <w:rPr>
                <w:rFonts w:ascii="Arial" w:eastAsiaTheme="minorHAnsi" w:hAnsi="Arial"/>
                <w:lang w:val="es-MX"/>
              </w:rPr>
            </w:pPr>
          </w:p>
        </w:tc>
      </w:tr>
    </w:tbl>
    <w:p w14:paraId="0BFC68C2" w14:textId="77777777" w:rsidR="004412F1" w:rsidRDefault="004412F1">
      <w:pPr>
        <w:ind w:left="1440"/>
        <w:jc w:val="both"/>
      </w:pPr>
    </w:p>
    <w:tbl>
      <w:tblPr>
        <w:tblStyle w:val="Tablaconcuadrcula"/>
        <w:tblW w:w="7371" w:type="dxa"/>
        <w:tblInd w:w="1242" w:type="dxa"/>
        <w:tblLook w:val="04A0" w:firstRow="1" w:lastRow="0" w:firstColumn="1" w:lastColumn="0" w:noHBand="0" w:noVBand="1"/>
      </w:tblPr>
      <w:tblGrid>
        <w:gridCol w:w="5319"/>
        <w:gridCol w:w="2052"/>
      </w:tblGrid>
      <w:tr w:rsidR="004412F1" w14:paraId="7FC41B18" w14:textId="77777777">
        <w:tc>
          <w:tcPr>
            <w:tcW w:w="5319" w:type="dxa"/>
          </w:tcPr>
          <w:p w14:paraId="6D4B808A" w14:textId="77777777" w:rsidR="004412F1" w:rsidRDefault="005A12A3">
            <w:pPr>
              <w:suppressLineNumbers/>
              <w:suppressAutoHyphens/>
              <w:jc w:val="both"/>
              <w:rPr>
                <w:bCs/>
                <w:sz w:val="24"/>
                <w:lang w:val="es-PE"/>
              </w:rPr>
            </w:pPr>
            <w:r>
              <w:rPr>
                <w:lang w:val="es-MX"/>
              </w:rPr>
              <w:t xml:space="preserve">Grado de incumplimiento del </w:t>
            </w:r>
            <w:proofErr w:type="gramStart"/>
            <w:r>
              <w:rPr>
                <w:lang w:val="es-MX"/>
              </w:rPr>
              <w:t>Sub Tramo</w:t>
            </w:r>
            <w:proofErr w:type="gramEnd"/>
          </w:p>
        </w:tc>
        <w:tc>
          <w:tcPr>
            <w:tcW w:w="2052" w:type="dxa"/>
          </w:tcPr>
          <w:p w14:paraId="048F1277" w14:textId="77777777" w:rsidR="004412F1" w:rsidRDefault="005A12A3">
            <w:pPr>
              <w:suppressLineNumbers/>
              <w:suppressAutoHyphens/>
              <w:jc w:val="both"/>
              <w:rPr>
                <w:sz w:val="24"/>
              </w:rPr>
            </w:pPr>
            <w:r>
              <w:rPr>
                <w:lang w:val="es-MX"/>
              </w:rPr>
              <w:t>(d)=promedio (c)</w:t>
            </w:r>
          </w:p>
        </w:tc>
      </w:tr>
      <w:tr w:rsidR="004412F1" w14:paraId="5C36D796" w14:textId="77777777">
        <w:tc>
          <w:tcPr>
            <w:tcW w:w="5319" w:type="dxa"/>
          </w:tcPr>
          <w:p w14:paraId="21506CF2" w14:textId="77777777" w:rsidR="004412F1" w:rsidRDefault="005A12A3">
            <w:pPr>
              <w:suppressLineNumbers/>
              <w:suppressAutoHyphens/>
              <w:jc w:val="both"/>
              <w:rPr>
                <w:sz w:val="24"/>
                <w:lang w:val="es-PE"/>
              </w:rPr>
            </w:pPr>
            <w:r>
              <w:rPr>
                <w:lang w:val="es-MX"/>
              </w:rPr>
              <w:t xml:space="preserve">Nivel de Servicio Global del </w:t>
            </w:r>
            <w:proofErr w:type="gramStart"/>
            <w:r>
              <w:rPr>
                <w:lang w:val="es-MX"/>
              </w:rPr>
              <w:t>Sub Tramo</w:t>
            </w:r>
            <w:proofErr w:type="gramEnd"/>
          </w:p>
        </w:tc>
        <w:tc>
          <w:tcPr>
            <w:tcW w:w="2052" w:type="dxa"/>
          </w:tcPr>
          <w:p w14:paraId="257031E5" w14:textId="77777777" w:rsidR="004412F1" w:rsidRDefault="005A12A3">
            <w:pPr>
              <w:suppressLineNumbers/>
              <w:suppressAutoHyphens/>
              <w:jc w:val="both"/>
              <w:rPr>
                <w:sz w:val="24"/>
              </w:rPr>
            </w:pPr>
            <w:r>
              <w:rPr>
                <w:lang w:val="es-MX"/>
              </w:rPr>
              <w:t>(e)=100%-(d)</w:t>
            </w:r>
          </w:p>
        </w:tc>
      </w:tr>
    </w:tbl>
    <w:p w14:paraId="3EF97494" w14:textId="77777777" w:rsidR="004412F1" w:rsidRDefault="004412F1">
      <w:pPr>
        <w:ind w:left="1440"/>
        <w:jc w:val="both"/>
      </w:pPr>
    </w:p>
    <w:p w14:paraId="02FA1881" w14:textId="77777777" w:rsidR="004412F1" w:rsidRDefault="005A12A3">
      <w:pPr>
        <w:numPr>
          <w:ilvl w:val="1"/>
          <w:numId w:val="164"/>
        </w:numPr>
        <w:suppressLineNumbers/>
        <w:tabs>
          <w:tab w:val="left" w:pos="567"/>
          <w:tab w:val="left" w:pos="1134"/>
          <w:tab w:val="left" w:pos="1701"/>
          <w:tab w:val="left" w:pos="2268"/>
          <w:tab w:val="left" w:pos="2835"/>
        </w:tabs>
        <w:suppressAutoHyphens/>
        <w:ind w:left="567" w:hanging="567"/>
        <w:jc w:val="both"/>
        <w:rPr>
          <w:color w:val="000000"/>
          <w:lang w:val="es-ES"/>
        </w:rPr>
      </w:pPr>
      <w:r>
        <w:rPr>
          <w:color w:val="000000" w:themeColor="text1"/>
          <w:lang w:val="es-ES"/>
        </w:rPr>
        <w:t xml:space="preserve">Los valores admisibles del Nivel de Servicio Global para cada uno de los </w:t>
      </w:r>
      <w:proofErr w:type="gramStart"/>
      <w:r>
        <w:rPr>
          <w:color w:val="000000" w:themeColor="text1"/>
          <w:lang w:val="es-ES"/>
        </w:rPr>
        <w:t>Sub  Tramos</w:t>
      </w:r>
      <w:proofErr w:type="gramEnd"/>
      <w:r>
        <w:rPr>
          <w:color w:val="000000" w:themeColor="text1"/>
          <w:lang w:val="es-ES"/>
        </w:rPr>
        <w:t xml:space="preserve"> según el Año de la Concesión, son los indicados en el Apéndice 6 del presente ANEXO.</w:t>
      </w:r>
    </w:p>
    <w:p w14:paraId="4F8AABF5" w14:textId="77777777" w:rsidR="004412F1" w:rsidRDefault="004412F1">
      <w:pPr>
        <w:jc w:val="both"/>
        <w:rPr>
          <w:lang w:val="es-PE"/>
        </w:rPr>
      </w:pPr>
    </w:p>
    <w:p w14:paraId="15F3BE76" w14:textId="77777777" w:rsidR="004412F1" w:rsidRDefault="005A12A3">
      <w:pPr>
        <w:ind w:firstLine="567"/>
        <w:jc w:val="both"/>
        <w:rPr>
          <w:rFonts w:eastAsia="SimSun"/>
          <w:b/>
          <w:u w:val="single"/>
          <w:lang w:val="es-PE" w:eastAsia="zh-CN"/>
        </w:rPr>
      </w:pPr>
      <w:r>
        <w:rPr>
          <w:b/>
          <w:u w:val="single"/>
          <w:lang w:val="es-PE"/>
        </w:rPr>
        <w:t>Nivel de Servicio Global de la Concesión</w:t>
      </w:r>
    </w:p>
    <w:p w14:paraId="42DE60ED" w14:textId="77777777" w:rsidR="004412F1" w:rsidRDefault="004412F1">
      <w:pPr>
        <w:ind w:firstLine="567"/>
        <w:jc w:val="both"/>
        <w:rPr>
          <w:rFonts w:eastAsia="SimSun"/>
          <w:b/>
          <w:u w:val="single"/>
          <w:lang w:val="es-PE" w:eastAsia="zh-CN"/>
        </w:rPr>
      </w:pPr>
    </w:p>
    <w:p w14:paraId="68393671" w14:textId="77777777" w:rsidR="004412F1" w:rsidRDefault="005A12A3">
      <w:pPr>
        <w:numPr>
          <w:ilvl w:val="1"/>
          <w:numId w:val="164"/>
        </w:numPr>
        <w:suppressLineNumbers/>
        <w:tabs>
          <w:tab w:val="left" w:pos="567"/>
          <w:tab w:val="left" w:pos="1134"/>
          <w:tab w:val="left" w:pos="1701"/>
          <w:tab w:val="left" w:pos="2268"/>
          <w:tab w:val="left" w:pos="2835"/>
        </w:tabs>
        <w:suppressAutoHyphens/>
        <w:ind w:left="567" w:hanging="567"/>
        <w:jc w:val="both"/>
        <w:rPr>
          <w:color w:val="000000"/>
          <w:lang w:val="es-ES"/>
        </w:rPr>
      </w:pPr>
      <w:r>
        <w:rPr>
          <w:color w:val="000000" w:themeColor="text1"/>
          <w:lang w:val="es-ES"/>
        </w:rPr>
        <w:t xml:space="preserve">El Nivel de Servicio Global de la Concesión se calculará como el promedio de los Niveles de Servicio global de cada uno de los </w:t>
      </w:r>
      <w:proofErr w:type="gramStart"/>
      <w:r>
        <w:rPr>
          <w:color w:val="000000" w:themeColor="text1"/>
          <w:lang w:val="es-ES"/>
        </w:rPr>
        <w:t>Sub Tramos</w:t>
      </w:r>
      <w:proofErr w:type="gramEnd"/>
      <w:r>
        <w:rPr>
          <w:color w:val="000000" w:themeColor="text1"/>
          <w:lang w:val="es-ES"/>
        </w:rPr>
        <w:t xml:space="preserve"> del Contrato, ponderado por su longitud y redondeándolo al correspondiente entero.</w:t>
      </w:r>
    </w:p>
    <w:p w14:paraId="75EA7ECA" w14:textId="77777777" w:rsidR="004412F1" w:rsidRDefault="004412F1">
      <w:pPr>
        <w:suppressLineNumbers/>
        <w:tabs>
          <w:tab w:val="left" w:pos="567"/>
          <w:tab w:val="left" w:pos="1134"/>
          <w:tab w:val="left" w:pos="1701"/>
          <w:tab w:val="left" w:pos="2268"/>
          <w:tab w:val="left" w:pos="2835"/>
        </w:tabs>
        <w:suppressAutoHyphens/>
        <w:ind w:left="567" w:hanging="567"/>
        <w:jc w:val="both"/>
        <w:rPr>
          <w:color w:val="000000"/>
          <w:lang w:val="es-PE"/>
        </w:rPr>
      </w:pPr>
    </w:p>
    <w:p w14:paraId="400F013F" w14:textId="77777777" w:rsidR="004412F1" w:rsidRDefault="005A12A3">
      <w:pPr>
        <w:numPr>
          <w:ilvl w:val="1"/>
          <w:numId w:val="164"/>
        </w:numPr>
        <w:suppressLineNumbers/>
        <w:tabs>
          <w:tab w:val="left" w:pos="567"/>
          <w:tab w:val="left" w:pos="1134"/>
          <w:tab w:val="left" w:pos="1701"/>
          <w:tab w:val="left" w:pos="2268"/>
          <w:tab w:val="left" w:pos="2835"/>
        </w:tabs>
        <w:suppressAutoHyphens/>
        <w:ind w:left="567" w:hanging="567"/>
        <w:jc w:val="both"/>
        <w:rPr>
          <w:b/>
          <w:color w:val="000000"/>
          <w:u w:val="single"/>
          <w:lang w:val="es-PE"/>
        </w:rPr>
      </w:pPr>
      <w:bookmarkStart w:id="2708" w:name="_4d34og8" w:colFirst="0" w:colLast="0"/>
      <w:bookmarkStart w:id="2709" w:name="_Ref272506989"/>
      <w:bookmarkEnd w:id="2708"/>
      <w:r>
        <w:rPr>
          <w:color w:val="000000" w:themeColor="text1"/>
          <w:lang w:val="es-ES"/>
        </w:rPr>
        <w:t>Los valores admisibles del Nivel de Servicio global de la Concesión para cada Año</w:t>
      </w:r>
      <w:r>
        <w:rPr>
          <w:color w:val="000000" w:themeColor="text1"/>
          <w:lang w:val="es-PE"/>
        </w:rPr>
        <w:t xml:space="preserve"> Calendario se indican en el Apéndice 6 de este ANEXO I.</w:t>
      </w:r>
      <w:bookmarkEnd w:id="2709"/>
    </w:p>
    <w:p w14:paraId="1AAF9D17" w14:textId="77777777" w:rsidR="004412F1" w:rsidRDefault="005A12A3">
      <w:pPr>
        <w:rPr>
          <w:b/>
          <w:u w:val="single"/>
          <w:lang w:val="es-PE"/>
        </w:rPr>
      </w:pPr>
      <w:r>
        <w:rPr>
          <w:lang w:val="es-PE"/>
        </w:rPr>
        <w:br w:type="page"/>
      </w:r>
    </w:p>
    <w:p w14:paraId="5E2A2E9B" w14:textId="77777777" w:rsidR="004412F1" w:rsidRDefault="005A12A3">
      <w:pPr>
        <w:pStyle w:val="Ttulo2"/>
        <w:suppressLineNumbers/>
        <w:suppressAutoHyphens/>
        <w:ind w:left="0" w:right="-3"/>
        <w:jc w:val="center"/>
        <w:rPr>
          <w:b/>
          <w:lang w:val="es"/>
        </w:rPr>
      </w:pPr>
      <w:bookmarkStart w:id="2710" w:name="_Toc139294830"/>
      <w:bookmarkStart w:id="2711" w:name="_Toc140089430"/>
      <w:r>
        <w:rPr>
          <w:rFonts w:ascii="Arial" w:eastAsia="Arial" w:hAnsi="Arial"/>
          <w:b/>
          <w:lang w:val="es-PE"/>
        </w:rPr>
        <w:t>SECCIÓN 2</w:t>
      </w:r>
      <w:bookmarkEnd w:id="2710"/>
      <w:bookmarkEnd w:id="2711"/>
    </w:p>
    <w:p w14:paraId="134AD371" w14:textId="77777777" w:rsidR="004412F1" w:rsidRDefault="005A12A3">
      <w:pPr>
        <w:jc w:val="center"/>
        <w:rPr>
          <w:b/>
          <w:lang w:val="es"/>
        </w:rPr>
      </w:pPr>
      <w:r>
        <w:rPr>
          <w:b/>
          <w:bCs/>
          <w:lang w:val="es"/>
        </w:rPr>
        <w:t xml:space="preserve"> </w:t>
      </w:r>
    </w:p>
    <w:p w14:paraId="389E5571" w14:textId="77777777" w:rsidR="004412F1" w:rsidRPr="00137D97" w:rsidRDefault="005A12A3" w:rsidP="00137D97">
      <w:pPr>
        <w:ind w:left="567"/>
        <w:jc w:val="center"/>
        <w:outlineLvl w:val="1"/>
        <w:rPr>
          <w:b/>
          <w:lang w:val="es-PE"/>
        </w:rPr>
      </w:pPr>
      <w:bookmarkStart w:id="2712" w:name="_Toc140089431"/>
      <w:r w:rsidRPr="00137D97">
        <w:rPr>
          <w:b/>
          <w:lang w:val="es-PE"/>
        </w:rPr>
        <w:t>DE LA CONSERVACIÓN DE LAS INVERSIONES ADICIONALES</w:t>
      </w:r>
      <w:bookmarkEnd w:id="2712"/>
    </w:p>
    <w:p w14:paraId="2D409D27" w14:textId="77777777" w:rsidR="004412F1" w:rsidRDefault="004412F1">
      <w:pPr>
        <w:ind w:right="-3"/>
        <w:jc w:val="center"/>
        <w:rPr>
          <w:b/>
          <w:u w:val="single"/>
          <w:lang w:val="es-PE"/>
        </w:rPr>
      </w:pPr>
    </w:p>
    <w:p w14:paraId="22D9B77D" w14:textId="77777777" w:rsidR="004412F1" w:rsidRDefault="004412F1">
      <w:pPr>
        <w:ind w:right="-3"/>
        <w:jc w:val="center"/>
        <w:rPr>
          <w:b/>
          <w:u w:val="single"/>
          <w:lang w:val="es-PE"/>
        </w:rPr>
      </w:pPr>
    </w:p>
    <w:p w14:paraId="1560F37B" w14:textId="77777777" w:rsidR="004412F1" w:rsidRDefault="005A12A3">
      <w:pPr>
        <w:numPr>
          <w:ilvl w:val="0"/>
          <w:numId w:val="157"/>
        </w:numPr>
        <w:tabs>
          <w:tab w:val="left" w:pos="567"/>
        </w:tabs>
        <w:ind w:left="567" w:hanging="567"/>
        <w:jc w:val="both"/>
        <w:rPr>
          <w:b/>
          <w:lang w:val="es-PE"/>
        </w:rPr>
      </w:pPr>
      <w:r>
        <w:rPr>
          <w:b/>
          <w:bCs/>
          <w:lang w:val="es-PE"/>
        </w:rPr>
        <w:t>EVALUACIÓN DE LA GESTIÓN DE CONSERVACIÓN DE LAS INVERSIONES ADICIONALES</w:t>
      </w:r>
    </w:p>
    <w:p w14:paraId="43696A95" w14:textId="77777777" w:rsidR="004412F1" w:rsidRDefault="004412F1">
      <w:pPr>
        <w:tabs>
          <w:tab w:val="left" w:pos="567"/>
        </w:tabs>
        <w:jc w:val="both"/>
        <w:rPr>
          <w:b/>
          <w:lang w:val="es-PE"/>
        </w:rPr>
      </w:pPr>
    </w:p>
    <w:p w14:paraId="3E2AB91C" w14:textId="77777777" w:rsidR="004412F1" w:rsidRDefault="005A12A3">
      <w:pPr>
        <w:jc w:val="both"/>
        <w:rPr>
          <w:u w:val="single"/>
          <w:lang w:val="es"/>
        </w:rPr>
      </w:pPr>
      <w:r>
        <w:rPr>
          <w:u w:val="single"/>
          <w:lang w:val="es"/>
        </w:rPr>
        <w:t>Procedimientos</w:t>
      </w:r>
    </w:p>
    <w:p w14:paraId="080C3EFE" w14:textId="36AC93D3" w:rsidR="004412F1" w:rsidRPr="00763640" w:rsidRDefault="005A12A3">
      <w:pPr>
        <w:pStyle w:val="Prrafodelista"/>
        <w:numPr>
          <w:ilvl w:val="1"/>
          <w:numId w:val="157"/>
        </w:numPr>
        <w:suppressLineNumbers/>
        <w:suppressAutoHyphens/>
        <w:ind w:left="567" w:hanging="567"/>
        <w:jc w:val="both"/>
        <w:rPr>
          <w:lang w:val="es"/>
        </w:rPr>
      </w:pPr>
      <w:r w:rsidRPr="00763640">
        <w:rPr>
          <w:lang w:val="es"/>
        </w:rPr>
        <w:t>Entendiéndose por Inversiones Adicionales aquellas definidas en las Cláusulas 6.</w:t>
      </w:r>
      <w:r w:rsidR="00D01AFD" w:rsidRPr="00763640">
        <w:rPr>
          <w:lang w:val="es"/>
        </w:rPr>
        <w:t>50</w:t>
      </w:r>
      <w:r w:rsidRPr="00763640">
        <w:rPr>
          <w:lang w:val="es"/>
        </w:rPr>
        <w:t xml:space="preserve"> y 6.</w:t>
      </w:r>
      <w:r w:rsidR="00D01AFD" w:rsidRPr="00763640">
        <w:rPr>
          <w:lang w:val="es"/>
        </w:rPr>
        <w:t>51</w:t>
      </w:r>
      <w:r w:rsidRPr="00763640">
        <w:rPr>
          <w:lang w:val="es"/>
        </w:rPr>
        <w:t>.</w:t>
      </w:r>
    </w:p>
    <w:p w14:paraId="58D94541" w14:textId="77777777" w:rsidR="004412F1" w:rsidRPr="00763640" w:rsidRDefault="004412F1">
      <w:pPr>
        <w:jc w:val="both"/>
        <w:rPr>
          <w:lang w:val="es"/>
        </w:rPr>
      </w:pPr>
    </w:p>
    <w:p w14:paraId="2242A42F" w14:textId="77777777" w:rsidR="004412F1" w:rsidRPr="00763640" w:rsidRDefault="005A12A3">
      <w:pPr>
        <w:pStyle w:val="Prrafodelista"/>
        <w:numPr>
          <w:ilvl w:val="1"/>
          <w:numId w:val="157"/>
        </w:numPr>
        <w:suppressLineNumbers/>
        <w:suppressAutoHyphens/>
        <w:ind w:left="567" w:hanging="567"/>
        <w:jc w:val="both"/>
        <w:rPr>
          <w:lang w:val="es"/>
        </w:rPr>
      </w:pPr>
      <w:r w:rsidRPr="00763640">
        <w:rPr>
          <w:lang w:val="es"/>
        </w:rPr>
        <w:t xml:space="preserve">Una vez finalizada la construcción de las Inversiones Adicionales, comenzará la fase de Conservación de </w:t>
      </w:r>
      <w:proofErr w:type="gramStart"/>
      <w:r w:rsidRPr="00763640">
        <w:rPr>
          <w:lang w:val="es"/>
        </w:rPr>
        <w:t>las mismas</w:t>
      </w:r>
      <w:proofErr w:type="gramEnd"/>
      <w:r w:rsidRPr="00763640">
        <w:rPr>
          <w:lang w:val="es"/>
        </w:rPr>
        <w:t>, que se extenderá hasta la finalización de la Concesión.</w:t>
      </w:r>
    </w:p>
    <w:p w14:paraId="71A1632E" w14:textId="77777777" w:rsidR="004412F1" w:rsidRPr="00763640" w:rsidRDefault="005A12A3">
      <w:pPr>
        <w:jc w:val="both"/>
        <w:rPr>
          <w:lang w:val="es-PE"/>
        </w:rPr>
      </w:pPr>
      <w:r w:rsidRPr="00763640">
        <w:rPr>
          <w:lang w:val="es-PE"/>
        </w:rPr>
        <w:t xml:space="preserve"> </w:t>
      </w:r>
    </w:p>
    <w:p w14:paraId="5766E02F" w14:textId="77777777" w:rsidR="004412F1" w:rsidRDefault="005A12A3">
      <w:pPr>
        <w:pStyle w:val="Prrafodelista"/>
        <w:numPr>
          <w:ilvl w:val="1"/>
          <w:numId w:val="157"/>
        </w:numPr>
        <w:suppressLineNumbers/>
        <w:suppressAutoHyphens/>
        <w:ind w:left="567" w:hanging="567"/>
        <w:jc w:val="both"/>
        <w:rPr>
          <w:lang w:val="es"/>
        </w:rPr>
      </w:pPr>
      <w:r w:rsidRPr="00763640">
        <w:rPr>
          <w:lang w:val="es"/>
        </w:rPr>
        <w:t>Por tratarse de obras</w:t>
      </w:r>
      <w:r>
        <w:rPr>
          <w:lang w:val="es"/>
        </w:rPr>
        <w:t xml:space="preserve"> de diferente naturaleza, características y vida útil, la evaluación de la gestión de su Conservación se efectuará únicamente por el procedimiento de las evaluaciones Continuas. Para ello el REGULADOR con la opinión del CONCEDENTE determinarán en este caso los Niveles de Servicio o indicadores de buen estado de conservación. El CONCESIONARIO determinará el alcance de las tareas de Conservación a efectuar en cada período. </w:t>
      </w:r>
    </w:p>
    <w:p w14:paraId="20B34A4F" w14:textId="77777777" w:rsidR="004412F1" w:rsidRDefault="004412F1">
      <w:pPr>
        <w:pStyle w:val="Prrafodelista"/>
        <w:suppressLineNumbers/>
        <w:suppressAutoHyphens/>
        <w:jc w:val="both"/>
        <w:rPr>
          <w:lang w:val="es"/>
        </w:rPr>
      </w:pPr>
    </w:p>
    <w:p w14:paraId="19368D5F" w14:textId="77777777" w:rsidR="004412F1" w:rsidRDefault="005A12A3">
      <w:pPr>
        <w:pStyle w:val="Prrafodelista"/>
        <w:numPr>
          <w:ilvl w:val="1"/>
          <w:numId w:val="157"/>
        </w:numPr>
        <w:suppressLineNumbers/>
        <w:suppressAutoHyphens/>
        <w:ind w:left="567" w:hanging="567"/>
        <w:jc w:val="both"/>
        <w:rPr>
          <w:lang w:val="es"/>
        </w:rPr>
      </w:pPr>
      <w:r>
        <w:rPr>
          <w:lang w:val="es"/>
        </w:rPr>
        <w:t>En atención a lo establecido en el párrafo anterior, será responsabilidad del CONCESIONARIO programar y ejecutar la Conservación de las Inversiones Adicionales.</w:t>
      </w:r>
    </w:p>
    <w:p w14:paraId="5CDA32BA" w14:textId="77777777" w:rsidR="004412F1" w:rsidRDefault="004412F1">
      <w:pPr>
        <w:pStyle w:val="Prrafodelista"/>
        <w:suppressLineNumbers/>
        <w:suppressAutoHyphens/>
        <w:ind w:left="0"/>
        <w:jc w:val="both"/>
        <w:rPr>
          <w:lang w:val="es"/>
        </w:rPr>
      </w:pPr>
    </w:p>
    <w:p w14:paraId="39D8F2C5" w14:textId="77777777" w:rsidR="004412F1" w:rsidRDefault="005A12A3">
      <w:pPr>
        <w:pStyle w:val="Prrafodelista"/>
        <w:numPr>
          <w:ilvl w:val="1"/>
          <w:numId w:val="157"/>
        </w:numPr>
        <w:suppressLineNumbers/>
        <w:suppressAutoHyphens/>
        <w:ind w:left="567" w:hanging="567"/>
        <w:jc w:val="both"/>
        <w:rPr>
          <w:lang w:val="es"/>
        </w:rPr>
      </w:pPr>
      <w:r>
        <w:rPr>
          <w:lang w:val="es"/>
        </w:rPr>
        <w:t>Por regla general, la Conservación de las Inversiones Adicionales procurará mantener vigente en todo momento su funcionalidad e integralidad, o el propósito original para el que fueron ejecutadas.</w:t>
      </w:r>
    </w:p>
    <w:p w14:paraId="52E64A4E" w14:textId="77777777" w:rsidR="004412F1" w:rsidRDefault="004412F1">
      <w:pPr>
        <w:pStyle w:val="Prrafodelista"/>
        <w:suppressLineNumbers/>
        <w:suppressAutoHyphens/>
        <w:ind w:left="0"/>
        <w:jc w:val="both"/>
        <w:rPr>
          <w:lang w:val="es"/>
        </w:rPr>
      </w:pPr>
    </w:p>
    <w:p w14:paraId="67BD6AE6" w14:textId="77777777" w:rsidR="004412F1" w:rsidRDefault="005A12A3">
      <w:pPr>
        <w:pStyle w:val="Prrafodelista"/>
        <w:numPr>
          <w:ilvl w:val="1"/>
          <w:numId w:val="157"/>
        </w:numPr>
        <w:suppressLineNumbers/>
        <w:suppressAutoHyphens/>
        <w:ind w:left="567" w:hanging="567"/>
        <w:jc w:val="both"/>
        <w:rPr>
          <w:lang w:val="es"/>
        </w:rPr>
      </w:pPr>
      <w:r>
        <w:rPr>
          <w:lang w:val="es"/>
        </w:rPr>
        <w:t>No serán aceptables políticas o prácticas de Conservación de las Inversiones Adicionales que produzcan defectos que comprometan su funcionalidad, integralidad, durabilidad, utilidad o estética, o que afecten esas mismas características de la Vía o de propiedades de terceros</w:t>
      </w:r>
    </w:p>
    <w:p w14:paraId="68BAEE37" w14:textId="77777777" w:rsidR="004412F1" w:rsidRDefault="004412F1">
      <w:pPr>
        <w:pStyle w:val="Prrafodelista"/>
        <w:suppressLineNumbers/>
        <w:suppressAutoHyphens/>
        <w:ind w:left="500"/>
        <w:jc w:val="both"/>
        <w:rPr>
          <w:lang w:val="es"/>
        </w:rPr>
      </w:pPr>
    </w:p>
    <w:p w14:paraId="6651AD10" w14:textId="77777777" w:rsidR="004412F1" w:rsidRDefault="005A12A3">
      <w:pPr>
        <w:pStyle w:val="Prrafodelista"/>
        <w:numPr>
          <w:ilvl w:val="1"/>
          <w:numId w:val="157"/>
        </w:numPr>
        <w:suppressLineNumbers/>
        <w:suppressAutoHyphens/>
        <w:ind w:left="567" w:hanging="567"/>
        <w:jc w:val="both"/>
        <w:rPr>
          <w:lang w:val="es"/>
        </w:rPr>
      </w:pPr>
      <w:r>
        <w:rPr>
          <w:lang w:val="es"/>
        </w:rPr>
        <w:t>El REGULADOR, o quién éste designe, efectuará las evaluaciones de las Inversiones Adicionales que entienda pertinentes, y en caso de encontrar defectos, comunicará el CONCESIONARIO la necesidad de efectuar la Conservación de los elementos que indique y en los plazos que establezca en la comunicación.</w:t>
      </w:r>
    </w:p>
    <w:p w14:paraId="66692D08" w14:textId="77777777" w:rsidR="004412F1" w:rsidRDefault="005A12A3">
      <w:pPr>
        <w:pStyle w:val="Prrafodelista"/>
        <w:suppressLineNumbers/>
        <w:suppressAutoHyphens/>
        <w:ind w:left="500"/>
        <w:jc w:val="both"/>
        <w:rPr>
          <w:lang w:val="es"/>
        </w:rPr>
      </w:pPr>
      <w:r>
        <w:rPr>
          <w:lang w:val="es"/>
        </w:rPr>
        <w:t xml:space="preserve"> </w:t>
      </w:r>
    </w:p>
    <w:p w14:paraId="6BF16D29" w14:textId="77777777" w:rsidR="004412F1" w:rsidRDefault="005A12A3">
      <w:pPr>
        <w:pStyle w:val="Prrafodelista"/>
        <w:numPr>
          <w:ilvl w:val="1"/>
          <w:numId w:val="157"/>
        </w:numPr>
        <w:suppressLineNumbers/>
        <w:suppressAutoHyphens/>
        <w:ind w:left="567" w:hanging="567"/>
        <w:jc w:val="both"/>
        <w:rPr>
          <w:lang w:val="es"/>
        </w:rPr>
      </w:pPr>
      <w:r>
        <w:rPr>
          <w:lang w:val="es"/>
        </w:rPr>
        <w:t>En caso de ser necesario, se utilizará el criterio de situación excepcional o especial de la Sección 4, párrafo 10 del presente ANEXO para desarrollar criterios a aplicar a la evaluación de la Conservación de las Inversiones Adicionales.</w:t>
      </w:r>
    </w:p>
    <w:p w14:paraId="27F5B542" w14:textId="77777777" w:rsidR="004412F1" w:rsidRDefault="005A12A3">
      <w:pPr>
        <w:jc w:val="both"/>
        <w:rPr>
          <w:lang w:val="es"/>
        </w:rPr>
      </w:pPr>
      <w:r>
        <w:rPr>
          <w:lang w:val="es"/>
        </w:rPr>
        <w:t xml:space="preserve"> </w:t>
      </w:r>
    </w:p>
    <w:p w14:paraId="18376618" w14:textId="77777777" w:rsidR="004412F1" w:rsidRDefault="005A12A3">
      <w:pPr>
        <w:jc w:val="both"/>
        <w:rPr>
          <w:u w:val="single"/>
          <w:lang w:val="es"/>
        </w:rPr>
      </w:pPr>
      <w:r>
        <w:rPr>
          <w:u w:val="single"/>
          <w:lang w:val="es"/>
        </w:rPr>
        <w:t>Incumplimientos y Penalidades</w:t>
      </w:r>
    </w:p>
    <w:p w14:paraId="20545447" w14:textId="77777777" w:rsidR="004412F1" w:rsidRDefault="005A12A3">
      <w:pPr>
        <w:jc w:val="both"/>
        <w:rPr>
          <w:lang w:val="es"/>
        </w:rPr>
      </w:pPr>
      <w:r>
        <w:rPr>
          <w:lang w:val="es"/>
        </w:rPr>
        <w:t xml:space="preserve"> </w:t>
      </w:r>
    </w:p>
    <w:p w14:paraId="5E31EC0D" w14:textId="77777777" w:rsidR="004412F1" w:rsidRDefault="005A12A3">
      <w:pPr>
        <w:pStyle w:val="Prrafodelista"/>
        <w:numPr>
          <w:ilvl w:val="1"/>
          <w:numId w:val="157"/>
        </w:numPr>
        <w:suppressLineNumbers/>
        <w:suppressAutoHyphens/>
        <w:ind w:left="567" w:hanging="567"/>
        <w:jc w:val="both"/>
        <w:rPr>
          <w:lang w:val="es"/>
        </w:rPr>
      </w:pPr>
      <w:bookmarkStart w:id="2713" w:name="_Ref273551445"/>
      <w:r>
        <w:rPr>
          <w:lang w:val="es"/>
        </w:rPr>
        <w:t xml:space="preserve">En caso de incumplimiento del CONCESIONARIO en proceder en tiempo y forma </w:t>
      </w:r>
      <w:proofErr w:type="gramStart"/>
      <w:r>
        <w:rPr>
          <w:lang w:val="es"/>
        </w:rPr>
        <w:t>de acuerdo a</w:t>
      </w:r>
      <w:proofErr w:type="gramEnd"/>
      <w:r>
        <w:rPr>
          <w:lang w:val="es"/>
        </w:rPr>
        <w:t xml:space="preserve"> los comunicados del REGULADOR relativos a la corrección de defectos de Conservación de Inversiones Adicionales, se aplicará una penalidad de acuerdo a lo establecido en la Tabla N° 4 del ANEXO IX del Contrato de Concesión.</w:t>
      </w:r>
      <w:bookmarkEnd w:id="2713"/>
    </w:p>
    <w:p w14:paraId="08F34E90" w14:textId="77777777" w:rsidR="004412F1" w:rsidRDefault="005A12A3">
      <w:pPr>
        <w:rPr>
          <w:rFonts w:ascii="CG Omega" w:eastAsia="CG Omega" w:hAnsi="CG Omega" w:cs="CG Omega"/>
          <w:lang w:val="es-PE"/>
        </w:rPr>
      </w:pPr>
      <w:bookmarkStart w:id="2714" w:name="_Toc139294831"/>
      <w:r>
        <w:rPr>
          <w:lang w:val="es-PE"/>
        </w:rPr>
        <w:br w:type="page"/>
      </w:r>
    </w:p>
    <w:p w14:paraId="7919995D" w14:textId="77777777" w:rsidR="004412F1" w:rsidRDefault="005A12A3">
      <w:pPr>
        <w:pStyle w:val="Ttulo2"/>
        <w:suppressLineNumbers/>
        <w:suppressAutoHyphens/>
        <w:ind w:left="0" w:right="-3"/>
        <w:jc w:val="center"/>
        <w:rPr>
          <w:rFonts w:ascii="Arial" w:eastAsia="Arial" w:hAnsi="Arial"/>
          <w:b/>
        </w:rPr>
      </w:pPr>
      <w:bookmarkStart w:id="2715" w:name="_Toc140089432"/>
      <w:r>
        <w:rPr>
          <w:rFonts w:ascii="Arial" w:eastAsia="Arial" w:hAnsi="Arial"/>
          <w:b/>
        </w:rPr>
        <w:t>SECCIÓN 3</w:t>
      </w:r>
      <w:bookmarkEnd w:id="2714"/>
      <w:bookmarkEnd w:id="2715"/>
    </w:p>
    <w:p w14:paraId="661D87AF" w14:textId="77777777" w:rsidR="004412F1" w:rsidRDefault="005A12A3">
      <w:pPr>
        <w:jc w:val="center"/>
        <w:rPr>
          <w:b/>
          <w:lang w:val="es"/>
        </w:rPr>
      </w:pPr>
      <w:r>
        <w:rPr>
          <w:b/>
          <w:bCs/>
          <w:lang w:val="es"/>
        </w:rPr>
        <w:t xml:space="preserve"> </w:t>
      </w:r>
    </w:p>
    <w:p w14:paraId="15EB2B01" w14:textId="77777777" w:rsidR="004412F1" w:rsidRPr="00137D97" w:rsidRDefault="005A12A3" w:rsidP="00137D97">
      <w:pPr>
        <w:ind w:left="567"/>
        <w:jc w:val="center"/>
        <w:outlineLvl w:val="1"/>
        <w:rPr>
          <w:b/>
          <w:lang w:val="es-PE"/>
        </w:rPr>
      </w:pPr>
      <w:bookmarkStart w:id="2716" w:name="_Toc140089433"/>
      <w:r w:rsidRPr="00137D97">
        <w:rPr>
          <w:b/>
          <w:lang w:val="es-PE"/>
        </w:rPr>
        <w:t>DE LA EXPLOTACIÓN</w:t>
      </w:r>
      <w:bookmarkEnd w:id="2716"/>
    </w:p>
    <w:p w14:paraId="79DD8473" w14:textId="77777777" w:rsidR="004412F1" w:rsidRDefault="004412F1">
      <w:pPr>
        <w:jc w:val="center"/>
        <w:rPr>
          <w:b/>
          <w:u w:val="single"/>
          <w:lang w:val="es"/>
        </w:rPr>
      </w:pPr>
    </w:p>
    <w:p w14:paraId="422F2DBB" w14:textId="77777777" w:rsidR="004412F1" w:rsidRDefault="005A12A3">
      <w:pPr>
        <w:numPr>
          <w:ilvl w:val="0"/>
          <w:numId w:val="157"/>
        </w:numPr>
        <w:tabs>
          <w:tab w:val="left" w:pos="567"/>
        </w:tabs>
        <w:ind w:left="567" w:hanging="567"/>
        <w:jc w:val="both"/>
        <w:rPr>
          <w:u w:val="single"/>
          <w:lang w:val="es-PE"/>
        </w:rPr>
      </w:pPr>
      <w:r>
        <w:rPr>
          <w:b/>
          <w:bCs/>
          <w:lang w:val="es-PE"/>
        </w:rPr>
        <w:t>EVALUACIÓN DE LA GESTIÓN DE EXPLOTACIÓN DEL CONCESIONARIO</w:t>
      </w:r>
    </w:p>
    <w:p w14:paraId="26FA45D0" w14:textId="77777777" w:rsidR="004412F1" w:rsidRDefault="004412F1">
      <w:pPr>
        <w:ind w:right="-3"/>
        <w:jc w:val="both"/>
        <w:rPr>
          <w:lang w:val="es-PE"/>
        </w:rPr>
      </w:pPr>
    </w:p>
    <w:p w14:paraId="6A54FF19" w14:textId="77777777" w:rsidR="004412F1" w:rsidRDefault="005A12A3">
      <w:pPr>
        <w:ind w:right="-3" w:firstLine="567"/>
        <w:jc w:val="both"/>
        <w:rPr>
          <w:u w:val="single"/>
        </w:rPr>
      </w:pPr>
      <w:r>
        <w:rPr>
          <w:u w:val="single"/>
        </w:rPr>
        <w:t>Parámetro de Condición a Utilizar</w:t>
      </w:r>
    </w:p>
    <w:p w14:paraId="59CB474F" w14:textId="77777777" w:rsidR="004412F1" w:rsidRDefault="004412F1">
      <w:pPr>
        <w:ind w:right="-3"/>
        <w:jc w:val="both"/>
      </w:pPr>
    </w:p>
    <w:p w14:paraId="667B8ABF" w14:textId="77777777" w:rsidR="004412F1" w:rsidRDefault="005A12A3">
      <w:pPr>
        <w:numPr>
          <w:ilvl w:val="1"/>
          <w:numId w:val="157"/>
        </w:numPr>
        <w:tabs>
          <w:tab w:val="left" w:pos="567"/>
        </w:tabs>
        <w:ind w:left="567" w:hanging="567"/>
        <w:jc w:val="both"/>
        <w:rPr>
          <w:lang w:val="es-PE"/>
        </w:rPr>
      </w:pPr>
      <w:r>
        <w:rPr>
          <w:lang w:val="es-PE"/>
        </w:rPr>
        <w:t>La congestión en las unidades de peaje y en las estaciones de pesaje se medirá por el "tiempo de espera en cola" (TEC), el que se entenderá en el terreno como el promedio de tiempo de espera por vehículo, ponderado por el número de vehículos atendidos. El TEC se medirá siempre separadamente para cada sentido de circulación.</w:t>
      </w:r>
    </w:p>
    <w:p w14:paraId="2C86B48E" w14:textId="77777777" w:rsidR="004412F1" w:rsidRDefault="004412F1">
      <w:pPr>
        <w:jc w:val="both"/>
        <w:rPr>
          <w:lang w:val="es-PE"/>
        </w:rPr>
      </w:pPr>
    </w:p>
    <w:p w14:paraId="46C96608" w14:textId="77777777" w:rsidR="004412F1" w:rsidRDefault="005A12A3">
      <w:pPr>
        <w:numPr>
          <w:ilvl w:val="1"/>
          <w:numId w:val="157"/>
        </w:numPr>
        <w:tabs>
          <w:tab w:val="left" w:pos="567"/>
        </w:tabs>
        <w:ind w:left="567" w:hanging="567"/>
        <w:jc w:val="both"/>
        <w:rPr>
          <w:lang w:val="es-PE"/>
        </w:rPr>
      </w:pPr>
      <w:r>
        <w:rPr>
          <w:lang w:val="es-PE"/>
        </w:rPr>
        <w:t>Como método de medición podrá aplicarse el "método de las placas de rodaje" donde: (a) un equipo anota el número de la placa de rodaje de los vehículos y la hora en que se detienen para formar cola; (b) otro equipo anota el número de la placa de rodaje de los vehículos y la hora en que salen después de haber pagado el Peaje; y (c) posteriormente se procesan los datos en gabinete.</w:t>
      </w:r>
    </w:p>
    <w:p w14:paraId="375C0E75" w14:textId="77777777" w:rsidR="004412F1" w:rsidRDefault="004412F1">
      <w:pPr>
        <w:tabs>
          <w:tab w:val="left" w:pos="1353"/>
        </w:tabs>
        <w:ind w:left="500"/>
        <w:jc w:val="both"/>
        <w:rPr>
          <w:lang w:val="es-PE"/>
        </w:rPr>
      </w:pPr>
    </w:p>
    <w:p w14:paraId="61A37844" w14:textId="77777777" w:rsidR="004412F1" w:rsidRDefault="005A12A3">
      <w:pPr>
        <w:numPr>
          <w:ilvl w:val="1"/>
          <w:numId w:val="157"/>
        </w:numPr>
        <w:tabs>
          <w:tab w:val="left" w:pos="567"/>
        </w:tabs>
        <w:ind w:left="567" w:hanging="567"/>
        <w:jc w:val="both"/>
        <w:rPr>
          <w:lang w:val="es-PE"/>
        </w:rPr>
      </w:pPr>
      <w:r>
        <w:rPr>
          <w:lang w:val="es-PE"/>
        </w:rPr>
        <w:t>El tiempo de medición deberá ser como mínimo tres (3) horas, de manera que se abarquen las horas de mayor tráfico del mes en que se efectúa la medición, en cada sentido y en cada estación.  Para determinar esto, la primera medición de TEC se efectuará sobre la base de información de tráfico del MTC. Después del primer Año de la Concesión, la fuente de información para las mediciones de TEC se efectuarán sobre la base de las informaciones de tráfico recogidas por el CONCESIONARIO. A efectos de la determinación del TEC se tendrá en cuenta que tanto las Unidades de Peaje como las Estaciones de Pesaje funcionarán las 24 horas del día y que se cobrará Peaje a todos los vehículos. En materia de pesaje, se pesará con el propósito de evitar el deterioro de la vía, encontrándose SUTRAN facultada a multar los excesos en los pesos autorizados y/o cuando se realice (por parte del transportista) la descarga del exceso de peso, o la re-estiba. Esto se hará para todos los vehículos de carga y transporte de ómnibus de pasajeros que hubieren acusado eventual sobrecarga en el sistema de pesaje en movimiento a instalar.</w:t>
      </w:r>
    </w:p>
    <w:p w14:paraId="5749B9C5" w14:textId="77777777" w:rsidR="004412F1" w:rsidRDefault="004412F1">
      <w:pPr>
        <w:jc w:val="both"/>
        <w:rPr>
          <w:lang w:val="es-PE"/>
        </w:rPr>
      </w:pPr>
    </w:p>
    <w:p w14:paraId="42689814" w14:textId="77777777" w:rsidR="004412F1" w:rsidRDefault="005A12A3">
      <w:pPr>
        <w:ind w:firstLine="567"/>
        <w:jc w:val="both"/>
        <w:rPr>
          <w:u w:val="single"/>
        </w:rPr>
      </w:pPr>
      <w:r>
        <w:rPr>
          <w:u w:val="single"/>
        </w:rPr>
        <w:t>Procedimientos</w:t>
      </w:r>
    </w:p>
    <w:p w14:paraId="419F051E" w14:textId="77777777" w:rsidR="004412F1" w:rsidRDefault="004412F1">
      <w:pPr>
        <w:jc w:val="both"/>
      </w:pPr>
    </w:p>
    <w:p w14:paraId="0C941F2D" w14:textId="77777777" w:rsidR="004412F1" w:rsidRDefault="005A12A3">
      <w:pPr>
        <w:numPr>
          <w:ilvl w:val="1"/>
          <w:numId w:val="157"/>
        </w:numPr>
        <w:tabs>
          <w:tab w:val="left" w:pos="567"/>
        </w:tabs>
        <w:ind w:left="567" w:hanging="567"/>
        <w:jc w:val="both"/>
        <w:rPr>
          <w:lang w:val="es-PE"/>
        </w:rPr>
      </w:pPr>
      <w:r>
        <w:rPr>
          <w:lang w:val="es-PE"/>
        </w:rPr>
        <w:t>El CONCESIONARIO efectuará sus propias mediciones de congestión a efectos de realizar oportunamente las medidas de operación correctivas necesarias.</w:t>
      </w:r>
    </w:p>
    <w:p w14:paraId="297CBB92" w14:textId="77777777" w:rsidR="004412F1" w:rsidRDefault="004412F1">
      <w:pPr>
        <w:tabs>
          <w:tab w:val="left" w:pos="1100"/>
        </w:tabs>
        <w:ind w:left="1100" w:hanging="600"/>
        <w:jc w:val="both"/>
        <w:rPr>
          <w:lang w:val="es-PE"/>
        </w:rPr>
      </w:pPr>
    </w:p>
    <w:p w14:paraId="313488B0" w14:textId="77777777" w:rsidR="004412F1" w:rsidRDefault="005A12A3">
      <w:pPr>
        <w:numPr>
          <w:ilvl w:val="1"/>
          <w:numId w:val="157"/>
        </w:numPr>
        <w:tabs>
          <w:tab w:val="left" w:pos="567"/>
        </w:tabs>
        <w:ind w:left="567" w:hanging="567"/>
        <w:jc w:val="both"/>
        <w:rPr>
          <w:lang w:val="es-PE"/>
        </w:rPr>
      </w:pPr>
      <w:r>
        <w:rPr>
          <w:lang w:val="es-PE"/>
        </w:rPr>
        <w:t>El CONCESIONARIO efectuará al menos una medición anual de TEC e informará de sus resultados al REGULADOR antes de los siete (7) Días Calendario de efectuada.</w:t>
      </w:r>
    </w:p>
    <w:p w14:paraId="476C87B4" w14:textId="77777777" w:rsidR="004412F1" w:rsidRDefault="004412F1">
      <w:pPr>
        <w:suppressLineNumbers/>
        <w:tabs>
          <w:tab w:val="left" w:pos="567"/>
          <w:tab w:val="left" w:pos="1134"/>
          <w:tab w:val="left" w:pos="1353"/>
          <w:tab w:val="left" w:pos="1701"/>
          <w:tab w:val="left" w:pos="2268"/>
          <w:tab w:val="left" w:pos="2835"/>
        </w:tabs>
        <w:suppressAutoHyphens/>
        <w:ind w:left="500"/>
        <w:jc w:val="both"/>
        <w:rPr>
          <w:color w:val="000000"/>
          <w:lang w:val="es-PE"/>
        </w:rPr>
      </w:pPr>
    </w:p>
    <w:p w14:paraId="299ECDF9" w14:textId="77777777" w:rsidR="004412F1" w:rsidRDefault="005A12A3">
      <w:pPr>
        <w:numPr>
          <w:ilvl w:val="1"/>
          <w:numId w:val="157"/>
        </w:numPr>
        <w:tabs>
          <w:tab w:val="left" w:pos="567"/>
        </w:tabs>
        <w:ind w:left="567" w:hanging="567"/>
        <w:jc w:val="both"/>
        <w:rPr>
          <w:lang w:val="es-PE"/>
        </w:rPr>
      </w:pPr>
      <w:r>
        <w:rPr>
          <w:lang w:val="es-PE"/>
        </w:rPr>
        <w:t>El REGULADOR, o quién éste designe, evaluará al menos anualmente el TEC en cada sentido y en cada estación.</w:t>
      </w:r>
    </w:p>
    <w:p w14:paraId="4C508B2B" w14:textId="77777777" w:rsidR="004412F1" w:rsidRDefault="004412F1">
      <w:pPr>
        <w:tabs>
          <w:tab w:val="left" w:pos="1100"/>
        </w:tabs>
        <w:ind w:left="1100" w:hanging="600"/>
        <w:jc w:val="both"/>
        <w:rPr>
          <w:lang w:val="es-PE"/>
        </w:rPr>
      </w:pPr>
    </w:p>
    <w:p w14:paraId="48F7D5ED" w14:textId="77777777" w:rsidR="004412F1" w:rsidRDefault="005A12A3">
      <w:pPr>
        <w:numPr>
          <w:ilvl w:val="1"/>
          <w:numId w:val="157"/>
        </w:numPr>
        <w:tabs>
          <w:tab w:val="left" w:pos="567"/>
        </w:tabs>
        <w:ind w:left="567" w:hanging="567"/>
        <w:jc w:val="both"/>
        <w:rPr>
          <w:lang w:val="es-PE"/>
        </w:rPr>
      </w:pPr>
      <w:r>
        <w:rPr>
          <w:lang w:val="es-PE"/>
        </w:rPr>
        <w:t>El valor del TEC será también calculado cuando se modifiquen las características de las Unidades de Peaje y Estaciones de Pesaje, o en la eventualidad de que se establezcan otras nuevas en la Concesión.</w:t>
      </w:r>
    </w:p>
    <w:p w14:paraId="66D6AEC0" w14:textId="77777777" w:rsidR="004412F1" w:rsidRDefault="004412F1">
      <w:pPr>
        <w:widowControl w:val="0"/>
        <w:ind w:firstLine="567"/>
        <w:jc w:val="both"/>
        <w:rPr>
          <w:u w:val="single"/>
          <w:lang w:val="es-PE"/>
        </w:rPr>
      </w:pPr>
    </w:p>
    <w:p w14:paraId="54FAEACB" w14:textId="77777777" w:rsidR="004412F1" w:rsidRDefault="005A12A3">
      <w:pPr>
        <w:widowControl w:val="0"/>
        <w:ind w:firstLine="567"/>
        <w:jc w:val="both"/>
        <w:rPr>
          <w:u w:val="single"/>
          <w:lang w:val="es-PE"/>
        </w:rPr>
      </w:pPr>
      <w:r>
        <w:rPr>
          <w:u w:val="single"/>
          <w:lang w:val="es-PE"/>
        </w:rPr>
        <w:t>Nivel de Servicio y Plazo de Respuesta</w:t>
      </w:r>
    </w:p>
    <w:p w14:paraId="390E4EEE" w14:textId="77777777" w:rsidR="004412F1" w:rsidRDefault="004412F1">
      <w:pPr>
        <w:tabs>
          <w:tab w:val="left" w:pos="1353"/>
        </w:tabs>
        <w:ind w:left="500"/>
        <w:jc w:val="both"/>
        <w:rPr>
          <w:lang w:val="es-PE"/>
        </w:rPr>
      </w:pPr>
    </w:p>
    <w:p w14:paraId="74F6CA7D" w14:textId="77777777" w:rsidR="004412F1" w:rsidRDefault="005A12A3">
      <w:pPr>
        <w:numPr>
          <w:ilvl w:val="1"/>
          <w:numId w:val="157"/>
        </w:numPr>
        <w:tabs>
          <w:tab w:val="left" w:pos="567"/>
        </w:tabs>
        <w:ind w:left="567" w:hanging="567"/>
        <w:jc w:val="both"/>
        <w:rPr>
          <w:lang w:val="es-PE"/>
        </w:rPr>
      </w:pPr>
      <w:r>
        <w:rPr>
          <w:lang w:val="es-PE"/>
        </w:rPr>
        <w:t>El TEC máximo aceptable es de tres (3) minutos.</w:t>
      </w:r>
    </w:p>
    <w:p w14:paraId="3AC308EF" w14:textId="77777777" w:rsidR="004412F1" w:rsidRDefault="005A12A3">
      <w:pPr>
        <w:numPr>
          <w:ilvl w:val="1"/>
          <w:numId w:val="157"/>
        </w:numPr>
        <w:tabs>
          <w:tab w:val="left" w:pos="567"/>
        </w:tabs>
        <w:ind w:left="567" w:hanging="567"/>
        <w:jc w:val="both"/>
        <w:rPr>
          <w:lang w:val="es-PE"/>
        </w:rPr>
      </w:pPr>
      <w:r>
        <w:rPr>
          <w:lang w:val="es-PE"/>
        </w:rPr>
        <w:t>Cuando en cualquier medición de congestión se hubiere determinado un TEC superior a tres (3) minutos, se efectuará una segunda medición antes de transcurridos treinta (30) Días de la primera. La segunda medición abarcará como mínimo tres (3) horas, durante las horas de mayor tráfico de la semana en que se efectúa la medición. Si en esa segunda medición también se determina un TEC superior a tres (3) minutos, el CONCESIONARIO deberá modificar el Sistema de Atención en dicha estación, para lo cual tendrá un plazo de cinco (5) Días. Caso contrario se tendrá la primera medida como correspondiente a un fenómeno particular sin necesidad de efectuar ninguna intervención.</w:t>
      </w:r>
    </w:p>
    <w:p w14:paraId="673A8579" w14:textId="77777777" w:rsidR="004412F1" w:rsidRDefault="004412F1">
      <w:pPr>
        <w:tabs>
          <w:tab w:val="left" w:pos="1353"/>
        </w:tabs>
        <w:ind w:left="500"/>
        <w:jc w:val="both"/>
        <w:rPr>
          <w:lang w:val="es-PE"/>
        </w:rPr>
      </w:pPr>
    </w:p>
    <w:p w14:paraId="4B1F6C31" w14:textId="77777777" w:rsidR="004412F1" w:rsidRDefault="005A12A3">
      <w:pPr>
        <w:numPr>
          <w:ilvl w:val="1"/>
          <w:numId w:val="157"/>
        </w:numPr>
        <w:tabs>
          <w:tab w:val="left" w:pos="567"/>
        </w:tabs>
        <w:ind w:left="567" w:hanging="567"/>
        <w:jc w:val="both"/>
        <w:rPr>
          <w:lang w:val="es-PE"/>
        </w:rPr>
      </w:pPr>
      <w:r>
        <w:rPr>
          <w:lang w:val="es-PE"/>
        </w:rPr>
        <w:t>Si la modificación del sistema de atención implica la Construcción o instalación de nuevos carriles para la estación, el CONCESIONARIO dispondrá de un plazo de hasta seis (6) meses para concluir las obras indicadas, plazo contado desde el momento en que se efectuó una medición superior a tres (3) minutos.</w:t>
      </w:r>
    </w:p>
    <w:p w14:paraId="0F866999" w14:textId="77777777" w:rsidR="004412F1" w:rsidRDefault="004412F1">
      <w:pPr>
        <w:tabs>
          <w:tab w:val="left" w:pos="1353"/>
        </w:tabs>
        <w:ind w:left="500"/>
        <w:jc w:val="both"/>
        <w:rPr>
          <w:lang w:val="es-PE"/>
        </w:rPr>
      </w:pPr>
    </w:p>
    <w:p w14:paraId="328DC53C" w14:textId="77777777" w:rsidR="004412F1" w:rsidRDefault="005A12A3">
      <w:pPr>
        <w:numPr>
          <w:ilvl w:val="1"/>
          <w:numId w:val="157"/>
        </w:numPr>
        <w:tabs>
          <w:tab w:val="left" w:pos="567"/>
        </w:tabs>
        <w:ind w:left="567" w:hanging="567"/>
        <w:jc w:val="both"/>
        <w:rPr>
          <w:lang w:val="es-PE"/>
        </w:rPr>
      </w:pPr>
      <w:bookmarkStart w:id="2717" w:name="_2s8eyo1" w:colFirst="0" w:colLast="0"/>
      <w:bookmarkStart w:id="2718" w:name="_Ref273551308"/>
      <w:bookmarkEnd w:id="2717"/>
      <w:r>
        <w:rPr>
          <w:lang w:val="es-PE"/>
        </w:rPr>
        <w:t>Si en cualquier momento se registrara una medición de congestión aislada de un TEC superior a cinco (5) minutos, corresponde la aplicación de una penalidad de acuerdo con el ANEXO IX del Contrato</w:t>
      </w:r>
      <w:bookmarkEnd w:id="2718"/>
    </w:p>
    <w:p w14:paraId="03D4608C" w14:textId="77777777" w:rsidR="004412F1" w:rsidRDefault="004412F1">
      <w:pPr>
        <w:tabs>
          <w:tab w:val="left" w:pos="1353"/>
        </w:tabs>
        <w:ind w:left="500"/>
        <w:jc w:val="both"/>
        <w:rPr>
          <w:lang w:val="es-PE"/>
        </w:rPr>
      </w:pPr>
    </w:p>
    <w:p w14:paraId="058894DC" w14:textId="77777777" w:rsidR="004412F1" w:rsidRDefault="005A12A3">
      <w:pPr>
        <w:numPr>
          <w:ilvl w:val="1"/>
          <w:numId w:val="157"/>
        </w:numPr>
        <w:tabs>
          <w:tab w:val="left" w:pos="567"/>
        </w:tabs>
        <w:ind w:left="567" w:hanging="567"/>
        <w:jc w:val="both"/>
        <w:rPr>
          <w:lang w:val="es-PE"/>
        </w:rPr>
      </w:pPr>
      <w:r>
        <w:rPr>
          <w:lang w:val="es-PE"/>
        </w:rPr>
        <w:t xml:space="preserve">Sin perjuicio de lo anterior, el REGULADOR, podrá efectuar las mediciones adicionales necesarias, a efectos de determinar las causas del incremento del TEC. Si se concluyera que tal incremento obedece a circunstancias no imputables al CONCESIONARIO, esta no estará obligada a modificar el Sistema de Atención, ni a ejecutar la construcción de nuevos carriles, </w:t>
      </w:r>
      <w:proofErr w:type="gramStart"/>
      <w:r>
        <w:rPr>
          <w:lang w:val="es-PE"/>
        </w:rPr>
        <w:t>y</w:t>
      </w:r>
      <w:proofErr w:type="gramEnd"/>
      <w:r>
        <w:rPr>
          <w:lang w:val="es-PE"/>
        </w:rPr>
        <w:t xml:space="preserve"> por tanto, no será pasible de la aplicación de penalidad.</w:t>
      </w:r>
    </w:p>
    <w:p w14:paraId="63C35FA9" w14:textId="77777777" w:rsidR="004412F1" w:rsidRDefault="004412F1">
      <w:pPr>
        <w:pStyle w:val="Prrafodelista"/>
        <w:suppressLineNumbers/>
        <w:suppressAutoHyphens/>
        <w:jc w:val="both"/>
        <w:rPr>
          <w:lang w:val="es-PE"/>
        </w:rPr>
      </w:pPr>
    </w:p>
    <w:p w14:paraId="5939C8E2" w14:textId="77777777" w:rsidR="004412F1" w:rsidRDefault="005A12A3">
      <w:pPr>
        <w:suppressLineNumbers/>
        <w:suppressAutoHyphens/>
        <w:ind w:firstLine="567"/>
        <w:jc w:val="both"/>
        <w:rPr>
          <w:rFonts w:eastAsiaTheme="minorHAnsi"/>
          <w:bCs/>
          <w:color w:val="000000"/>
          <w:szCs w:val="18"/>
          <w:lang w:val="es-PE" w:eastAsia="es-ES"/>
        </w:rPr>
      </w:pPr>
      <w:r>
        <w:rPr>
          <w:rStyle w:val="contentpasted0"/>
          <w:color w:val="000000"/>
          <w:u w:val="single"/>
        </w:rPr>
        <w:t>Incumplimientos y Penalidades</w:t>
      </w:r>
      <w:r>
        <w:rPr>
          <w:rStyle w:val="contentpasted0"/>
          <w:color w:val="000000"/>
          <w:u w:val="single"/>
          <w:lang w:eastAsia="zh-CN"/>
        </w:rPr>
        <w:t> </w:t>
      </w:r>
    </w:p>
    <w:p w14:paraId="18DC74EC" w14:textId="77777777" w:rsidR="004412F1" w:rsidRDefault="005A12A3">
      <w:pPr>
        <w:suppressLineNumbers/>
        <w:suppressAutoHyphens/>
        <w:jc w:val="both"/>
        <w:rPr>
          <w:color w:val="000000"/>
        </w:rPr>
      </w:pPr>
      <w:r>
        <w:rPr>
          <w:color w:val="000000"/>
          <w:lang w:eastAsia="zh-CN"/>
        </w:rPr>
        <w:t> </w:t>
      </w:r>
    </w:p>
    <w:p w14:paraId="5C7E4E03" w14:textId="77777777" w:rsidR="004412F1" w:rsidRDefault="005A12A3">
      <w:pPr>
        <w:numPr>
          <w:ilvl w:val="1"/>
          <w:numId w:val="157"/>
        </w:numPr>
        <w:tabs>
          <w:tab w:val="left" w:pos="567"/>
        </w:tabs>
        <w:ind w:left="567" w:hanging="567"/>
        <w:jc w:val="both"/>
        <w:rPr>
          <w:lang w:val="es-PE"/>
        </w:rPr>
      </w:pPr>
      <w:bookmarkStart w:id="2719" w:name="_Ref273551326"/>
      <w:r>
        <w:rPr>
          <w:lang w:val="es-PE"/>
        </w:rPr>
        <w:t xml:space="preserve">El no cumplimiento de la modificación del Sistema de Atención o de la Construcción o instalación de nuevos carriles en los plazos mencionados, dará origen a la aplicación de una penalidad </w:t>
      </w:r>
      <w:proofErr w:type="gramStart"/>
      <w:r>
        <w:rPr>
          <w:lang w:val="es-PE"/>
        </w:rPr>
        <w:t>de acuerdo a</w:t>
      </w:r>
      <w:proofErr w:type="gramEnd"/>
      <w:r>
        <w:rPr>
          <w:lang w:val="es-PE"/>
        </w:rPr>
        <w:t xml:space="preserve"> la Tabla N° 5 del ANEXO IX del Contrato.</w:t>
      </w:r>
      <w:bookmarkEnd w:id="2719"/>
      <w:r>
        <w:rPr>
          <w:lang w:val="es-PE"/>
        </w:rPr>
        <w:t> </w:t>
      </w:r>
    </w:p>
    <w:p w14:paraId="74839F7B" w14:textId="77777777" w:rsidR="004412F1" w:rsidRDefault="004412F1">
      <w:pPr>
        <w:tabs>
          <w:tab w:val="left" w:pos="1353"/>
        </w:tabs>
        <w:jc w:val="both"/>
        <w:rPr>
          <w:rFonts w:eastAsia="SimSun"/>
          <w:lang w:val="es-PE" w:eastAsia="zh-CN"/>
        </w:rPr>
      </w:pPr>
    </w:p>
    <w:p w14:paraId="788A1C14" w14:textId="77777777" w:rsidR="004412F1" w:rsidRDefault="005A12A3">
      <w:pPr>
        <w:numPr>
          <w:ilvl w:val="0"/>
          <w:numId w:val="157"/>
        </w:numPr>
        <w:jc w:val="both"/>
        <w:rPr>
          <w:lang w:val="es-PE"/>
        </w:rPr>
      </w:pPr>
      <w:r>
        <w:rPr>
          <w:b/>
          <w:bCs/>
          <w:lang w:val="es-PE"/>
        </w:rPr>
        <w:t>CONDICIONES GENERALES PARA LA CONSERVACIÓN VIAL RUTINARIA, PERIÓDICA Y DE EMERGENCIA VIAL</w:t>
      </w:r>
    </w:p>
    <w:p w14:paraId="656428C5" w14:textId="77777777" w:rsidR="004412F1" w:rsidRDefault="004412F1">
      <w:pPr>
        <w:rPr>
          <w:b/>
          <w:lang w:val="es-PE"/>
        </w:rPr>
      </w:pPr>
    </w:p>
    <w:p w14:paraId="4E7CF0FF" w14:textId="77777777" w:rsidR="004412F1" w:rsidRDefault="005A12A3">
      <w:pPr>
        <w:ind w:firstLine="600"/>
        <w:jc w:val="both"/>
        <w:rPr>
          <w:b/>
        </w:rPr>
      </w:pPr>
      <w:r>
        <w:rPr>
          <w:b/>
        </w:rPr>
        <w:t>Conservación Vial Rutinaria</w:t>
      </w:r>
    </w:p>
    <w:p w14:paraId="2A3641E7" w14:textId="77777777" w:rsidR="004412F1" w:rsidRDefault="004412F1">
      <w:pPr>
        <w:tabs>
          <w:tab w:val="left" w:pos="4253"/>
        </w:tabs>
        <w:jc w:val="both"/>
      </w:pPr>
    </w:p>
    <w:p w14:paraId="7E8AF788" w14:textId="77777777" w:rsidR="004412F1" w:rsidRDefault="005A12A3">
      <w:pPr>
        <w:numPr>
          <w:ilvl w:val="1"/>
          <w:numId w:val="157"/>
        </w:numPr>
        <w:suppressLineNumbers/>
        <w:suppressAutoHyphens/>
        <w:ind w:left="567" w:hanging="567"/>
        <w:jc w:val="both"/>
        <w:rPr>
          <w:lang w:val="es-MX"/>
        </w:rPr>
      </w:pPr>
      <w:r>
        <w:rPr>
          <w:lang w:val="es-MX"/>
        </w:rPr>
        <w:t>El CONCESIONARIO efectuará, de manera permanente y desde la Toma de Posesión hasta la Caducidad de la Concesión, las siguientes actividades de Conservación Rutinaria a lo largo de toda la vía:</w:t>
      </w:r>
    </w:p>
    <w:p w14:paraId="34471A96" w14:textId="77777777" w:rsidR="004412F1" w:rsidRDefault="004412F1">
      <w:pPr>
        <w:jc w:val="both"/>
        <w:rPr>
          <w:lang w:val="es-PE"/>
        </w:rPr>
      </w:pPr>
    </w:p>
    <w:p w14:paraId="26D3C1D6" w14:textId="77777777" w:rsidR="004412F1" w:rsidRDefault="005A12A3">
      <w:pPr>
        <w:numPr>
          <w:ilvl w:val="0"/>
          <w:numId w:val="166"/>
        </w:numPr>
        <w:tabs>
          <w:tab w:val="left" w:pos="4253"/>
        </w:tabs>
        <w:jc w:val="both"/>
        <w:rPr>
          <w:lang w:val="es-PE"/>
        </w:rPr>
      </w:pPr>
      <w:r>
        <w:rPr>
          <w:lang w:val="es-PE"/>
        </w:rPr>
        <w:t>Limpieza y reparación de calzadas y bermas respetando el Área de la Concesión.</w:t>
      </w:r>
    </w:p>
    <w:p w14:paraId="24C00450" w14:textId="77777777" w:rsidR="004412F1" w:rsidRDefault="005A12A3">
      <w:pPr>
        <w:numPr>
          <w:ilvl w:val="0"/>
          <w:numId w:val="166"/>
        </w:numPr>
        <w:tabs>
          <w:tab w:val="left" w:pos="4253"/>
        </w:tabs>
        <w:jc w:val="both"/>
      </w:pPr>
      <w:r>
        <w:t xml:space="preserve">Limpieza de cunetas. </w:t>
      </w:r>
    </w:p>
    <w:p w14:paraId="7572352B" w14:textId="77777777" w:rsidR="004412F1" w:rsidRDefault="005A12A3">
      <w:pPr>
        <w:numPr>
          <w:ilvl w:val="0"/>
          <w:numId w:val="166"/>
        </w:numPr>
        <w:tabs>
          <w:tab w:val="left" w:pos="4253"/>
        </w:tabs>
        <w:jc w:val="both"/>
        <w:rPr>
          <w:lang w:val="es-PE"/>
        </w:rPr>
      </w:pPr>
      <w:r>
        <w:rPr>
          <w:lang w:val="es-PE"/>
        </w:rPr>
        <w:t>Limpieza y Mantenimiento de alcantarillas.</w:t>
      </w:r>
    </w:p>
    <w:p w14:paraId="396EB718" w14:textId="77777777" w:rsidR="004412F1" w:rsidRDefault="005A12A3">
      <w:pPr>
        <w:numPr>
          <w:ilvl w:val="0"/>
          <w:numId w:val="166"/>
        </w:numPr>
        <w:tabs>
          <w:tab w:val="left" w:pos="4253"/>
        </w:tabs>
        <w:jc w:val="both"/>
        <w:rPr>
          <w:lang w:val="es-PE"/>
        </w:rPr>
      </w:pPr>
      <w:r>
        <w:rPr>
          <w:lang w:val="es-PE"/>
        </w:rPr>
        <w:t>Conservación de puentes y obras de arte siguiendo los procedimientos y normas aplicables vigentes.</w:t>
      </w:r>
    </w:p>
    <w:p w14:paraId="6772F2F3" w14:textId="77777777" w:rsidR="004412F1" w:rsidRDefault="005A12A3">
      <w:pPr>
        <w:numPr>
          <w:ilvl w:val="0"/>
          <w:numId w:val="166"/>
        </w:numPr>
        <w:tabs>
          <w:tab w:val="left" w:pos="4253"/>
        </w:tabs>
        <w:jc w:val="both"/>
        <w:rPr>
          <w:lang w:val="es-PE"/>
        </w:rPr>
      </w:pPr>
      <w:r>
        <w:rPr>
          <w:lang w:val="es-PE"/>
        </w:rPr>
        <w:t>Limpieza, reposición, Conservación, ubicación y reubicación de la señalización horizontal y vertical adecuada, de conformidad con la normatividad aplicable.</w:t>
      </w:r>
    </w:p>
    <w:p w14:paraId="3FDF4F4F" w14:textId="77777777" w:rsidR="004412F1" w:rsidRDefault="005A12A3">
      <w:pPr>
        <w:numPr>
          <w:ilvl w:val="0"/>
          <w:numId w:val="166"/>
        </w:numPr>
        <w:tabs>
          <w:tab w:val="left" w:pos="4253"/>
        </w:tabs>
        <w:jc w:val="both"/>
        <w:rPr>
          <w:lang w:val="es-PE"/>
        </w:rPr>
      </w:pPr>
      <w:r>
        <w:rPr>
          <w:lang w:val="es-PE"/>
        </w:rPr>
        <w:t xml:space="preserve">Limpieza, reposición y Conservación de </w:t>
      </w:r>
      <w:proofErr w:type="gramStart"/>
      <w:r>
        <w:rPr>
          <w:lang w:val="es-PE"/>
        </w:rPr>
        <w:t>las guardavías</w:t>
      </w:r>
      <w:proofErr w:type="gramEnd"/>
      <w:r>
        <w:rPr>
          <w:lang w:val="es-PE"/>
        </w:rPr>
        <w:t>, cuidando que éstas cumplan los requisitos técnicos previstos en la normatividad vigente que permitan el cumplimiento de su fin (altura, ubicación necesaria, Conservación del punto de gravedad, etc.).</w:t>
      </w:r>
    </w:p>
    <w:p w14:paraId="74F26D47" w14:textId="77777777" w:rsidR="004412F1" w:rsidRDefault="005A12A3">
      <w:pPr>
        <w:numPr>
          <w:ilvl w:val="0"/>
          <w:numId w:val="166"/>
        </w:numPr>
        <w:tabs>
          <w:tab w:val="left" w:pos="4253"/>
        </w:tabs>
        <w:jc w:val="both"/>
        <w:rPr>
          <w:lang w:val="es-PE"/>
        </w:rPr>
      </w:pPr>
      <w:r>
        <w:rPr>
          <w:lang w:val="es-PE"/>
        </w:rPr>
        <w:t>Pintado y repintado de las marcas y señales del pavimento, para dotar de la seguridad vial necesaria en función a la zona (sea urbana o no urbana). Este pintado se realizará las veces que sea necesario a efectos de mantener los límites admisibles señalados en el Contrato.</w:t>
      </w:r>
    </w:p>
    <w:p w14:paraId="135725FF" w14:textId="77777777" w:rsidR="004412F1" w:rsidRDefault="005A12A3">
      <w:pPr>
        <w:numPr>
          <w:ilvl w:val="0"/>
          <w:numId w:val="166"/>
        </w:numPr>
        <w:tabs>
          <w:tab w:val="left" w:pos="4253"/>
        </w:tabs>
        <w:jc w:val="both"/>
        <w:rPr>
          <w:lang w:val="es-PE"/>
        </w:rPr>
      </w:pPr>
      <w:r>
        <w:rPr>
          <w:lang w:val="es-PE"/>
        </w:rPr>
        <w:t xml:space="preserve">Replantado, arreglo y Conservación de las áreas verdes y demás componentes paisajísticos, ornamentales y ambientales integrantes de la Vía. </w:t>
      </w:r>
    </w:p>
    <w:p w14:paraId="11595C04" w14:textId="77777777" w:rsidR="004412F1" w:rsidRDefault="005A12A3">
      <w:pPr>
        <w:numPr>
          <w:ilvl w:val="0"/>
          <w:numId w:val="166"/>
        </w:numPr>
        <w:tabs>
          <w:tab w:val="left" w:pos="4253"/>
        </w:tabs>
        <w:jc w:val="both"/>
        <w:rPr>
          <w:lang w:val="es-PE"/>
        </w:rPr>
      </w:pPr>
      <w:r>
        <w:rPr>
          <w:lang w:val="es-PE"/>
        </w:rPr>
        <w:t xml:space="preserve">Los excedentes de corte de cada una de las etapas </w:t>
      </w:r>
      <w:proofErr w:type="gramStart"/>
      <w:r>
        <w:rPr>
          <w:lang w:val="es-PE"/>
        </w:rPr>
        <w:t>constructivas,</w:t>
      </w:r>
      <w:proofErr w:type="gramEnd"/>
      <w:r>
        <w:rPr>
          <w:lang w:val="es-PE"/>
        </w:rPr>
        <w:t xml:space="preserve"> deberán ser eliminados en botaderos especialmente acondicionados e indicados en el Instrumento de Gestión Ambiental. </w:t>
      </w:r>
    </w:p>
    <w:p w14:paraId="2C2BB7A8" w14:textId="77777777" w:rsidR="004412F1" w:rsidRDefault="005A12A3">
      <w:pPr>
        <w:numPr>
          <w:ilvl w:val="0"/>
          <w:numId w:val="166"/>
        </w:numPr>
        <w:tabs>
          <w:tab w:val="left" w:pos="4253"/>
        </w:tabs>
        <w:jc w:val="both"/>
        <w:rPr>
          <w:lang w:val="es-PE"/>
        </w:rPr>
      </w:pPr>
      <w:r>
        <w:rPr>
          <w:lang w:val="es-PE"/>
        </w:rPr>
        <w:t>Reconformación, control de la erosión, peinado y limpieza de los taludes laterales tanto en corte como en relleno, así como su estabilización.</w:t>
      </w:r>
    </w:p>
    <w:p w14:paraId="24317655" w14:textId="77777777" w:rsidR="004412F1" w:rsidRDefault="005A12A3">
      <w:pPr>
        <w:numPr>
          <w:ilvl w:val="0"/>
          <w:numId w:val="166"/>
        </w:numPr>
        <w:tabs>
          <w:tab w:val="left" w:pos="4253"/>
        </w:tabs>
        <w:jc w:val="both"/>
        <w:rPr>
          <w:lang w:val="es-PE"/>
        </w:rPr>
      </w:pPr>
      <w:r>
        <w:rPr>
          <w:lang w:val="es-PE"/>
        </w:rPr>
        <w:t>Control y manejo de los sedimentos.</w:t>
      </w:r>
    </w:p>
    <w:p w14:paraId="18956D9A" w14:textId="77777777" w:rsidR="004412F1" w:rsidRDefault="005A12A3">
      <w:pPr>
        <w:numPr>
          <w:ilvl w:val="0"/>
          <w:numId w:val="166"/>
        </w:numPr>
        <w:tabs>
          <w:tab w:val="left" w:pos="4253"/>
        </w:tabs>
        <w:jc w:val="both"/>
        <w:rPr>
          <w:lang w:val="es-PE"/>
        </w:rPr>
      </w:pPr>
      <w:r>
        <w:rPr>
          <w:lang w:val="es-PE"/>
        </w:rPr>
        <w:t>Retiro y limpieza de la vía de los derrumbes de magnitud igual o inferior a 200m3 por evento.</w:t>
      </w:r>
    </w:p>
    <w:p w14:paraId="379A74CD" w14:textId="77777777" w:rsidR="004412F1" w:rsidRDefault="005A12A3">
      <w:pPr>
        <w:numPr>
          <w:ilvl w:val="0"/>
          <w:numId w:val="166"/>
        </w:numPr>
        <w:tabs>
          <w:tab w:val="left" w:pos="4253"/>
        </w:tabs>
        <w:jc w:val="both"/>
        <w:rPr>
          <w:lang w:val="es-PE"/>
        </w:rPr>
      </w:pPr>
      <w:r>
        <w:rPr>
          <w:lang w:val="es-PE"/>
        </w:rPr>
        <w:t>Parchados, tratamiento de fisuras, bacheo y sellado</w:t>
      </w:r>
    </w:p>
    <w:p w14:paraId="3B7FBDBB" w14:textId="77777777" w:rsidR="004412F1" w:rsidRDefault="004412F1">
      <w:pPr>
        <w:tabs>
          <w:tab w:val="left" w:pos="4253"/>
        </w:tabs>
        <w:ind w:left="708"/>
        <w:jc w:val="both"/>
        <w:rPr>
          <w:lang w:val="es-PE"/>
        </w:rPr>
      </w:pPr>
    </w:p>
    <w:p w14:paraId="2E9E7FEF" w14:textId="77777777" w:rsidR="004412F1" w:rsidRDefault="005A12A3">
      <w:pPr>
        <w:ind w:left="567"/>
        <w:jc w:val="both"/>
        <w:rPr>
          <w:lang w:val="es-PE"/>
        </w:rPr>
      </w:pPr>
      <w:r>
        <w:rPr>
          <w:lang w:val="es-PE"/>
        </w:rPr>
        <w:t>El objeto de estas acciones de conservación es garantizar los Niveles de Servicio exigidos en el presente ANEXO, con la finalidad de brindar un servicio óptimo al usuario.</w:t>
      </w:r>
    </w:p>
    <w:p w14:paraId="119EB4DD" w14:textId="77777777" w:rsidR="004412F1" w:rsidRDefault="004412F1">
      <w:pPr>
        <w:tabs>
          <w:tab w:val="left" w:pos="4253"/>
        </w:tabs>
        <w:ind w:firstLine="600"/>
        <w:jc w:val="both"/>
        <w:rPr>
          <w:b/>
          <w:lang w:val="es-PE"/>
        </w:rPr>
      </w:pPr>
    </w:p>
    <w:p w14:paraId="108D4F3D" w14:textId="77777777" w:rsidR="004412F1" w:rsidRDefault="005A12A3">
      <w:pPr>
        <w:tabs>
          <w:tab w:val="left" w:pos="4253"/>
        </w:tabs>
        <w:ind w:firstLine="600"/>
        <w:jc w:val="both"/>
        <w:rPr>
          <w:b/>
        </w:rPr>
      </w:pPr>
      <w:r>
        <w:rPr>
          <w:b/>
        </w:rPr>
        <w:t>Conservación Vial Periódica</w:t>
      </w:r>
    </w:p>
    <w:p w14:paraId="18259F8B" w14:textId="77777777" w:rsidR="004412F1" w:rsidRDefault="004412F1">
      <w:pPr>
        <w:tabs>
          <w:tab w:val="left" w:pos="4253"/>
        </w:tabs>
        <w:jc w:val="both"/>
      </w:pPr>
    </w:p>
    <w:p w14:paraId="76665CCD" w14:textId="77777777" w:rsidR="004412F1" w:rsidRDefault="005A12A3">
      <w:pPr>
        <w:numPr>
          <w:ilvl w:val="1"/>
          <w:numId w:val="157"/>
        </w:numPr>
        <w:suppressLineNumbers/>
        <w:suppressAutoHyphens/>
        <w:ind w:left="567" w:hanging="567"/>
        <w:jc w:val="both"/>
        <w:rPr>
          <w:lang w:val="es-MX"/>
        </w:rPr>
      </w:pPr>
      <w:r>
        <w:rPr>
          <w:lang w:val="es-MX"/>
        </w:rPr>
        <w:t xml:space="preserve">El CONCESIONARIO efectuará cuando se requiera la Conservación Vial Periódica a lo largo de toda la vía y que básicamente comprende entre otras las siguientes </w:t>
      </w:r>
      <w:r>
        <w:rPr>
          <w:lang w:val="es-PE"/>
        </w:rPr>
        <w:t xml:space="preserve">actividades o </w:t>
      </w:r>
      <w:r>
        <w:rPr>
          <w:lang w:val="es-MX"/>
        </w:rPr>
        <w:t>tareas:</w:t>
      </w:r>
    </w:p>
    <w:p w14:paraId="50032559" w14:textId="77777777" w:rsidR="004412F1" w:rsidRDefault="004412F1">
      <w:pPr>
        <w:ind w:left="600"/>
        <w:jc w:val="both"/>
        <w:rPr>
          <w:lang w:val="es-PE"/>
        </w:rPr>
      </w:pPr>
    </w:p>
    <w:p w14:paraId="23BCB15C" w14:textId="77777777" w:rsidR="004412F1" w:rsidRDefault="005A12A3">
      <w:pPr>
        <w:numPr>
          <w:ilvl w:val="0"/>
          <w:numId w:val="167"/>
        </w:numPr>
        <w:tabs>
          <w:tab w:val="left" w:pos="4253"/>
        </w:tabs>
        <w:ind w:left="1134" w:hanging="425"/>
        <w:jc w:val="both"/>
        <w:rPr>
          <w:lang w:val="es-PE"/>
        </w:rPr>
      </w:pPr>
      <w:r>
        <w:rPr>
          <w:lang w:val="es-PE"/>
        </w:rPr>
        <w:t>Colocación de capas de refuerzo o recapeos en pavimentos asfálticos.</w:t>
      </w:r>
    </w:p>
    <w:p w14:paraId="18ECCAB9" w14:textId="77777777" w:rsidR="004412F1" w:rsidRDefault="005A12A3">
      <w:pPr>
        <w:numPr>
          <w:ilvl w:val="0"/>
          <w:numId w:val="167"/>
        </w:numPr>
        <w:tabs>
          <w:tab w:val="left" w:pos="4253"/>
        </w:tabs>
        <w:ind w:left="1134" w:hanging="425"/>
        <w:jc w:val="both"/>
        <w:rPr>
          <w:lang w:val="es-PE"/>
        </w:rPr>
      </w:pPr>
      <w:r>
        <w:rPr>
          <w:lang w:val="es-PE"/>
        </w:rPr>
        <w:t>Reposición de afirmados y la reconformación de la plataforma existente en vías afirmadas.</w:t>
      </w:r>
    </w:p>
    <w:p w14:paraId="4F29ECCE" w14:textId="77777777" w:rsidR="004412F1" w:rsidRDefault="005A12A3">
      <w:pPr>
        <w:numPr>
          <w:ilvl w:val="0"/>
          <w:numId w:val="167"/>
        </w:numPr>
        <w:tabs>
          <w:tab w:val="left" w:pos="4253"/>
        </w:tabs>
        <w:ind w:left="1134" w:hanging="425"/>
        <w:jc w:val="both"/>
        <w:rPr>
          <w:lang w:val="es-PE"/>
        </w:rPr>
      </w:pPr>
      <w:r>
        <w:rPr>
          <w:lang w:val="es-PE"/>
        </w:rPr>
        <w:t>Recubrimiento de vías no pavimentadas con tratamiento bituminoso.</w:t>
      </w:r>
    </w:p>
    <w:p w14:paraId="166E6D43" w14:textId="77777777" w:rsidR="004412F1" w:rsidRDefault="005A12A3">
      <w:pPr>
        <w:numPr>
          <w:ilvl w:val="0"/>
          <w:numId w:val="167"/>
        </w:numPr>
        <w:tabs>
          <w:tab w:val="left" w:pos="4253"/>
        </w:tabs>
        <w:ind w:left="1134" w:hanging="425"/>
        <w:jc w:val="both"/>
        <w:rPr>
          <w:lang w:val="es-PE"/>
        </w:rPr>
      </w:pPr>
      <w:r>
        <w:rPr>
          <w:lang w:val="es-PE"/>
        </w:rPr>
        <w:t>Reparaciones de los diferentes elementos físicos del camino.</w:t>
      </w:r>
    </w:p>
    <w:p w14:paraId="25624F53" w14:textId="77777777" w:rsidR="004412F1" w:rsidRDefault="005A12A3">
      <w:pPr>
        <w:numPr>
          <w:ilvl w:val="0"/>
          <w:numId w:val="167"/>
        </w:numPr>
        <w:tabs>
          <w:tab w:val="left" w:pos="4253"/>
        </w:tabs>
        <w:ind w:left="1134" w:hanging="425"/>
        <w:jc w:val="both"/>
      </w:pPr>
      <w:r>
        <w:t>Actividades socio-ambientales.</w:t>
      </w:r>
    </w:p>
    <w:p w14:paraId="4789EE88" w14:textId="77777777" w:rsidR="004412F1" w:rsidRDefault="005A12A3">
      <w:pPr>
        <w:numPr>
          <w:ilvl w:val="0"/>
          <w:numId w:val="167"/>
        </w:numPr>
        <w:tabs>
          <w:tab w:val="left" w:pos="4253"/>
        </w:tabs>
        <w:ind w:left="1134" w:hanging="425"/>
        <w:jc w:val="both"/>
        <w:rPr>
          <w:lang w:val="es-PE"/>
        </w:rPr>
      </w:pPr>
      <w:r>
        <w:rPr>
          <w:lang w:val="es-PE"/>
        </w:rPr>
        <w:t>Cuidado y vigilancia de la vía.</w:t>
      </w:r>
    </w:p>
    <w:p w14:paraId="1190A6E9" w14:textId="77777777" w:rsidR="004412F1" w:rsidRDefault="004412F1">
      <w:pPr>
        <w:tabs>
          <w:tab w:val="left" w:pos="4253"/>
        </w:tabs>
        <w:ind w:left="567" w:firstLine="32"/>
        <w:jc w:val="both"/>
        <w:rPr>
          <w:lang w:val="es-PE"/>
        </w:rPr>
      </w:pPr>
    </w:p>
    <w:p w14:paraId="755FE167" w14:textId="77777777" w:rsidR="004412F1" w:rsidRDefault="005A12A3">
      <w:pPr>
        <w:ind w:left="720"/>
        <w:jc w:val="both"/>
        <w:rPr>
          <w:lang w:val="es-PE"/>
        </w:rPr>
      </w:pPr>
      <w:r>
        <w:rPr>
          <w:lang w:val="es-PE"/>
        </w:rPr>
        <w:t>El objeto de estas acciones de conservación es garantizar los Niveles de Servicio exigidos en el presente ANEXO, con la finalidad de brindar un servicio óptimo al Usuario.</w:t>
      </w:r>
    </w:p>
    <w:p w14:paraId="7A57256D" w14:textId="77777777" w:rsidR="004412F1" w:rsidRDefault="004412F1">
      <w:pPr>
        <w:tabs>
          <w:tab w:val="left" w:pos="426"/>
        </w:tabs>
        <w:jc w:val="both"/>
        <w:rPr>
          <w:lang w:val="es-PE"/>
        </w:rPr>
      </w:pPr>
    </w:p>
    <w:p w14:paraId="7C43ADEC" w14:textId="77777777" w:rsidR="004412F1" w:rsidRDefault="005A12A3">
      <w:pPr>
        <w:numPr>
          <w:ilvl w:val="1"/>
          <w:numId w:val="157"/>
        </w:numPr>
        <w:suppressLineNumbers/>
        <w:suppressAutoHyphens/>
        <w:ind w:left="567" w:hanging="567"/>
        <w:jc w:val="both"/>
        <w:rPr>
          <w:lang w:val="es-MX"/>
        </w:rPr>
      </w:pPr>
      <w:r>
        <w:rPr>
          <w:lang w:val="es-MX"/>
        </w:rPr>
        <w:t>Derrumbe</w:t>
      </w:r>
    </w:p>
    <w:p w14:paraId="4B742328" w14:textId="77777777" w:rsidR="004412F1" w:rsidRDefault="005A12A3">
      <w:pPr>
        <w:numPr>
          <w:ilvl w:val="0"/>
          <w:numId w:val="168"/>
        </w:numPr>
        <w:suppressLineNumbers/>
        <w:suppressAutoHyphens/>
        <w:ind w:left="1134" w:hanging="567"/>
        <w:jc w:val="both"/>
        <w:rPr>
          <w:lang w:val="es-MX"/>
        </w:rPr>
      </w:pPr>
      <w:r>
        <w:rPr>
          <w:color w:val="000000"/>
          <w:lang w:val="es-MX"/>
        </w:rPr>
        <w:t xml:space="preserve">Es el desprendimiento y precipitación de masas de tierra y piedra, obstaculizando el libre tránsito de vehículos por la carretera. </w:t>
      </w:r>
    </w:p>
    <w:p w14:paraId="41758914" w14:textId="77777777" w:rsidR="004412F1" w:rsidRDefault="004412F1">
      <w:pPr>
        <w:suppressLineNumbers/>
        <w:suppressAutoHyphens/>
        <w:ind w:left="567"/>
        <w:jc w:val="both"/>
        <w:rPr>
          <w:color w:val="000000"/>
          <w:lang w:val="es-MX"/>
        </w:rPr>
      </w:pPr>
    </w:p>
    <w:p w14:paraId="55188C0C" w14:textId="77777777" w:rsidR="004412F1" w:rsidRDefault="005A12A3">
      <w:pPr>
        <w:numPr>
          <w:ilvl w:val="0"/>
          <w:numId w:val="168"/>
        </w:numPr>
        <w:suppressLineNumbers/>
        <w:suppressAutoHyphens/>
        <w:ind w:left="1134" w:hanging="567"/>
        <w:jc w:val="both"/>
        <w:rPr>
          <w:lang w:val="es-MX"/>
        </w:rPr>
      </w:pPr>
      <w:r>
        <w:rPr>
          <w:color w:val="000000"/>
          <w:lang w:val="es-MX"/>
        </w:rPr>
        <w:t>Para efectos del presente contrato, la atención de los Derrumbes de magnitud igual o inferior a 200m3 está a cargo del CONCESIONARIO dentro de las actividades de Mantenimiento Rutinario.</w:t>
      </w:r>
    </w:p>
    <w:p w14:paraId="29C182A6" w14:textId="77777777" w:rsidR="004412F1" w:rsidRDefault="004412F1">
      <w:pPr>
        <w:suppressLineNumbers/>
        <w:suppressAutoHyphens/>
        <w:ind w:left="567"/>
        <w:jc w:val="both"/>
        <w:rPr>
          <w:color w:val="000000"/>
          <w:lang w:val="es-MX"/>
        </w:rPr>
      </w:pPr>
    </w:p>
    <w:p w14:paraId="7FBDEF6B" w14:textId="09CBB111" w:rsidR="004412F1" w:rsidRPr="00E03735" w:rsidRDefault="005A12A3">
      <w:pPr>
        <w:numPr>
          <w:ilvl w:val="0"/>
          <w:numId w:val="168"/>
        </w:numPr>
        <w:suppressLineNumbers/>
        <w:suppressAutoHyphens/>
        <w:ind w:left="1134" w:hanging="567"/>
        <w:jc w:val="both"/>
        <w:rPr>
          <w:lang w:val="es-MX"/>
        </w:rPr>
      </w:pPr>
      <w:r>
        <w:rPr>
          <w:color w:val="000000"/>
          <w:lang w:val="es-MX"/>
        </w:rPr>
        <w:t xml:space="preserve">El exceso de los </w:t>
      </w:r>
      <w:r w:rsidRPr="00E03735">
        <w:rPr>
          <w:color w:val="000000"/>
          <w:lang w:val="es-MX"/>
        </w:rPr>
        <w:t xml:space="preserve">200 m3 por efectos de derrumbes por evento, será cubierto </w:t>
      </w:r>
      <w:r w:rsidRPr="00E03735">
        <w:rPr>
          <w:color w:val="000000"/>
          <w:lang w:val="es-ES"/>
        </w:rPr>
        <w:t xml:space="preserve">según lo dispuesto en la </w:t>
      </w:r>
      <w:r w:rsidRPr="00E03735">
        <w:rPr>
          <w:color w:val="000000"/>
          <w:lang w:val="es-PE"/>
        </w:rPr>
        <w:t>Cláusula</w:t>
      </w:r>
      <w:r w:rsidRPr="00E03735">
        <w:rPr>
          <w:color w:val="000000"/>
          <w:lang w:val="es-ES"/>
        </w:rPr>
        <w:t xml:space="preserve"> 7.</w:t>
      </w:r>
      <w:r w:rsidR="000464B5" w:rsidRPr="00E03735">
        <w:rPr>
          <w:color w:val="000000"/>
          <w:lang w:val="es-ES"/>
        </w:rPr>
        <w:t>8</w:t>
      </w:r>
      <w:r w:rsidRPr="00E03735">
        <w:rPr>
          <w:color w:val="000000"/>
          <w:lang w:val="es-ES"/>
        </w:rPr>
        <w:t>.</w:t>
      </w:r>
    </w:p>
    <w:p w14:paraId="3496E943" w14:textId="77777777" w:rsidR="004412F1" w:rsidRDefault="005A12A3">
      <w:pPr>
        <w:suppressLineNumbers/>
        <w:suppressAutoHyphens/>
        <w:ind w:left="207"/>
        <w:jc w:val="both"/>
        <w:rPr>
          <w:color w:val="000000"/>
          <w:lang w:val="es-MX"/>
        </w:rPr>
      </w:pPr>
      <w:r>
        <w:rPr>
          <w:color w:val="000000"/>
          <w:lang w:val="es-MX"/>
        </w:rPr>
        <w:t xml:space="preserve">  </w:t>
      </w:r>
    </w:p>
    <w:p w14:paraId="1C7F7FE4" w14:textId="77777777" w:rsidR="004412F1" w:rsidRDefault="005A12A3">
      <w:pPr>
        <w:numPr>
          <w:ilvl w:val="1"/>
          <w:numId w:val="157"/>
        </w:numPr>
        <w:suppressLineNumbers/>
        <w:suppressAutoHyphens/>
        <w:ind w:left="567" w:hanging="567"/>
        <w:jc w:val="both"/>
        <w:rPr>
          <w:lang w:val="es-MX"/>
        </w:rPr>
      </w:pPr>
      <w:r>
        <w:rPr>
          <w:lang w:val="es-MX"/>
        </w:rPr>
        <w:t xml:space="preserve">Adicionalmente el CONCESIONARIO deberá velar porque en el </w:t>
      </w:r>
      <w:proofErr w:type="gramStart"/>
      <w:r>
        <w:rPr>
          <w:lang w:val="es-MX"/>
        </w:rPr>
        <w:t>Sub Tramo</w:t>
      </w:r>
      <w:proofErr w:type="gramEnd"/>
      <w:r>
        <w:rPr>
          <w:lang w:val="es-MX"/>
        </w:rPr>
        <w:t>:</w:t>
      </w:r>
    </w:p>
    <w:p w14:paraId="625A0B6B" w14:textId="77777777" w:rsidR="004412F1" w:rsidRDefault="004412F1">
      <w:pPr>
        <w:suppressLineNumbers/>
        <w:suppressAutoHyphens/>
        <w:jc w:val="both"/>
        <w:rPr>
          <w:color w:val="000000"/>
          <w:lang w:val="es-MX"/>
        </w:rPr>
      </w:pPr>
    </w:p>
    <w:p w14:paraId="3374ED8D" w14:textId="77777777" w:rsidR="004412F1" w:rsidRDefault="005A12A3">
      <w:pPr>
        <w:numPr>
          <w:ilvl w:val="0"/>
          <w:numId w:val="169"/>
        </w:numPr>
        <w:tabs>
          <w:tab w:val="left" w:pos="1134"/>
        </w:tabs>
        <w:ind w:left="1134" w:hanging="567"/>
        <w:jc w:val="both"/>
        <w:rPr>
          <w:lang w:val="es-MX"/>
        </w:rPr>
      </w:pPr>
      <w:r>
        <w:rPr>
          <w:color w:val="000000"/>
          <w:lang w:val="es-MX"/>
        </w:rPr>
        <w:t>Los paneles publicitarios sólo se coloquen cuando se cumpla con la normatividad vigente, debiéndose erradicar los paneles existentes que no cumplan con dichas normas. Para tal efecto, el CONCESIONARIO deberá identificar y comunicar al CONCEDENTE la existencia de estos paneles, a los efectos de que el CONCEDENTE realice las gestiones que sean necesarias para la erradicación de dichos paneles.</w:t>
      </w:r>
    </w:p>
    <w:p w14:paraId="27CA005B" w14:textId="77777777" w:rsidR="004412F1" w:rsidRDefault="005A12A3">
      <w:pPr>
        <w:tabs>
          <w:tab w:val="left" w:pos="4253"/>
        </w:tabs>
        <w:ind w:left="1134"/>
        <w:jc w:val="both"/>
        <w:rPr>
          <w:lang w:val="es-PE"/>
        </w:rPr>
      </w:pPr>
      <w:r>
        <w:rPr>
          <w:lang w:val="es-PE"/>
        </w:rPr>
        <w:t>Cuando se solicite la autorización de instalación de algún panel publicitario, el CONCESIONARIO, deberá expresar su opinión técnica sobre las características y ubicación del panel, por tener responsabilidad en la seguridad de los usuarios de la vía.</w:t>
      </w:r>
    </w:p>
    <w:p w14:paraId="0B7C7D80" w14:textId="77777777" w:rsidR="004412F1" w:rsidRDefault="005A12A3">
      <w:pPr>
        <w:numPr>
          <w:ilvl w:val="0"/>
          <w:numId w:val="169"/>
        </w:numPr>
        <w:tabs>
          <w:tab w:val="left" w:pos="1134"/>
        </w:tabs>
        <w:ind w:left="1134" w:hanging="567"/>
        <w:jc w:val="both"/>
        <w:rPr>
          <w:lang w:val="es-MX"/>
        </w:rPr>
      </w:pPr>
      <w:r>
        <w:rPr>
          <w:color w:val="000000"/>
          <w:lang w:val="es-MX"/>
        </w:rPr>
        <w:t>No permitir la acumulación de desmonte y basura dentro del Área de la Concesión y realizar la limpieza correspondiente.</w:t>
      </w:r>
    </w:p>
    <w:p w14:paraId="41E75431" w14:textId="77777777" w:rsidR="004412F1" w:rsidRDefault="005A12A3">
      <w:pPr>
        <w:numPr>
          <w:ilvl w:val="0"/>
          <w:numId w:val="169"/>
        </w:numPr>
        <w:tabs>
          <w:tab w:val="left" w:pos="1134"/>
        </w:tabs>
        <w:ind w:left="1134" w:hanging="567"/>
        <w:jc w:val="both"/>
        <w:rPr>
          <w:lang w:val="es-MX"/>
        </w:rPr>
      </w:pPr>
      <w:r>
        <w:rPr>
          <w:color w:val="000000"/>
          <w:lang w:val="es-MX"/>
        </w:rPr>
        <w:t>No se realicen construcciones temporales ni la instalación de servicios públicos dentro del Área de la Concesión, salvo que éstas hayan sido autorizadas por el CONCEDENTE. En caso de verificar la ejecución de este tipo de construcciones, e instalaciones deberá ejercer la defensa posesoria correspondiente y comunicar el hecho al CONCEDENTE para los fines del caso.</w:t>
      </w:r>
    </w:p>
    <w:p w14:paraId="6295BA95" w14:textId="77777777" w:rsidR="004412F1" w:rsidRDefault="004412F1">
      <w:pPr>
        <w:suppressLineNumbers/>
        <w:suppressAutoHyphens/>
        <w:ind w:left="600"/>
        <w:jc w:val="both"/>
        <w:rPr>
          <w:color w:val="000000"/>
          <w:lang w:val="es-MX"/>
        </w:rPr>
      </w:pPr>
    </w:p>
    <w:p w14:paraId="2523DDB7" w14:textId="77777777" w:rsidR="004412F1" w:rsidRDefault="005A12A3">
      <w:pPr>
        <w:numPr>
          <w:ilvl w:val="1"/>
          <w:numId w:val="157"/>
        </w:numPr>
        <w:suppressLineNumbers/>
        <w:suppressAutoHyphens/>
        <w:ind w:left="567" w:hanging="567"/>
        <w:jc w:val="both"/>
        <w:rPr>
          <w:lang w:val="es-MX"/>
        </w:rPr>
      </w:pPr>
      <w:r>
        <w:rPr>
          <w:lang w:val="es-MX"/>
        </w:rPr>
        <w:t>En el caso de zonas urbanas por las cuales atraviese la vía, se deberá tener en cuenta lo dispuesto en los acápites de la Conservación Rutinaria en lo que resulte aplicable. De ser el caso, y de manera alternativa, el CONCESIONARIO en coordinación con los gobiernos locales deberá adoptar otro tipo de medidas que contribuyan a dotar de la seguridad vial necesaria a la zona, evitando el cruce de la vía por parte de peatones o vehículos automotores. En este último caso, el CONCEDENTE se obliga a interceder ante los gobiernos locales para el logro de este objetivo.</w:t>
      </w:r>
    </w:p>
    <w:p w14:paraId="6BFD8B6C" w14:textId="77777777" w:rsidR="004412F1" w:rsidRDefault="004412F1">
      <w:pPr>
        <w:jc w:val="both"/>
        <w:rPr>
          <w:lang w:val="es-PE"/>
        </w:rPr>
      </w:pPr>
    </w:p>
    <w:p w14:paraId="78DA952F" w14:textId="77777777" w:rsidR="004412F1" w:rsidRDefault="005A12A3" w:rsidP="00E03735">
      <w:pPr>
        <w:suppressLineNumbers/>
        <w:suppressAutoHyphens/>
        <w:ind w:left="567"/>
        <w:jc w:val="both"/>
        <w:rPr>
          <w:lang w:val="es-PE"/>
        </w:rPr>
      </w:pPr>
      <w:r>
        <w:rPr>
          <w:lang w:val="es-PE"/>
        </w:rPr>
        <w:t xml:space="preserve">La limitación de las zonas urbanas no comprendidas en los estudios o expedientes que efectúe el Concesionario, serán determinadas con la entrega del </w:t>
      </w:r>
      <w:proofErr w:type="gramStart"/>
      <w:r>
        <w:rPr>
          <w:lang w:val="es-PE"/>
        </w:rPr>
        <w:t>Sub Tramo</w:t>
      </w:r>
      <w:proofErr w:type="gramEnd"/>
      <w:r>
        <w:rPr>
          <w:lang w:val="es-PE"/>
        </w:rPr>
        <w:t xml:space="preserve"> respectivo por parte del CONCEDENTE al CONCESIONARIO.</w:t>
      </w:r>
    </w:p>
    <w:p w14:paraId="749A1C17" w14:textId="77777777" w:rsidR="004412F1" w:rsidRDefault="004412F1">
      <w:pPr>
        <w:ind w:left="567"/>
        <w:jc w:val="both"/>
        <w:rPr>
          <w:b/>
          <w:lang w:val="es-PE"/>
        </w:rPr>
      </w:pPr>
    </w:p>
    <w:p w14:paraId="57348D79" w14:textId="77777777" w:rsidR="004412F1" w:rsidRDefault="005A12A3">
      <w:pPr>
        <w:numPr>
          <w:ilvl w:val="1"/>
          <w:numId w:val="157"/>
        </w:numPr>
        <w:suppressLineNumbers/>
        <w:suppressAutoHyphens/>
        <w:ind w:left="567" w:hanging="567"/>
        <w:jc w:val="both"/>
        <w:rPr>
          <w:lang w:val="es-PE"/>
        </w:rPr>
      </w:pPr>
      <w:r>
        <w:rPr>
          <w:lang w:val="es-PE"/>
        </w:rPr>
        <w:t>El CONCESIONARIO efectuará la Construcción y/o instalación de los elementos de seguridad vial necesarios, a fin de asegurar el nivel se servicio de evaluación de seguridad vial. Con esta información se deberá llenar la planilla para el cálculo del nivel de servicio de evaluación de seguridad vial, referido en el Apéndice 5 del ANEXO I del Contrato.</w:t>
      </w:r>
    </w:p>
    <w:p w14:paraId="1624432F" w14:textId="77777777" w:rsidR="004412F1" w:rsidRDefault="004412F1">
      <w:pPr>
        <w:suppressLineNumbers/>
        <w:suppressAutoHyphens/>
        <w:jc w:val="both"/>
        <w:rPr>
          <w:color w:val="000000"/>
          <w:lang w:val="es-ES"/>
        </w:rPr>
      </w:pPr>
    </w:p>
    <w:p w14:paraId="08322EF4" w14:textId="77777777" w:rsidR="004412F1" w:rsidRDefault="005A12A3">
      <w:pPr>
        <w:pStyle w:val="Ttulo2"/>
        <w:suppressLineNumbers/>
        <w:suppressAutoHyphens/>
        <w:ind w:left="0"/>
        <w:jc w:val="center"/>
        <w:rPr>
          <w:b/>
        </w:rPr>
      </w:pPr>
      <w:r>
        <w:rPr>
          <w:lang w:val="es-PE"/>
        </w:rPr>
        <w:br w:type="page"/>
      </w:r>
      <w:bookmarkStart w:id="2720" w:name="_Toc139294832"/>
      <w:bookmarkStart w:id="2721" w:name="_Toc140089434"/>
      <w:r>
        <w:rPr>
          <w:rFonts w:ascii="Arial" w:eastAsia="Arial" w:hAnsi="Arial"/>
          <w:b/>
        </w:rPr>
        <w:t>SECCIÓN 4</w:t>
      </w:r>
      <w:bookmarkEnd w:id="2720"/>
      <w:bookmarkEnd w:id="2721"/>
    </w:p>
    <w:p w14:paraId="0840080F" w14:textId="77777777" w:rsidR="004412F1" w:rsidRDefault="004412F1">
      <w:pPr>
        <w:jc w:val="center"/>
        <w:rPr>
          <w:b/>
          <w:u w:val="single"/>
        </w:rPr>
      </w:pPr>
    </w:p>
    <w:p w14:paraId="1B81CA85" w14:textId="77777777" w:rsidR="004412F1" w:rsidRPr="00137D97" w:rsidRDefault="005A12A3" w:rsidP="00137D97">
      <w:pPr>
        <w:ind w:left="567"/>
        <w:jc w:val="center"/>
        <w:outlineLvl w:val="1"/>
        <w:rPr>
          <w:b/>
          <w:lang w:val="es-PE"/>
        </w:rPr>
      </w:pPr>
      <w:bookmarkStart w:id="2722" w:name="_Toc140089435"/>
      <w:r w:rsidRPr="00137D97">
        <w:rPr>
          <w:b/>
          <w:lang w:val="es-PE"/>
        </w:rPr>
        <w:t>OTRAS PROVISIONES</w:t>
      </w:r>
      <w:bookmarkEnd w:id="2722"/>
    </w:p>
    <w:p w14:paraId="5D430417" w14:textId="77777777" w:rsidR="004412F1" w:rsidRDefault="004412F1">
      <w:pPr>
        <w:jc w:val="both"/>
      </w:pPr>
    </w:p>
    <w:p w14:paraId="6F00D3E6" w14:textId="77777777" w:rsidR="004412F1" w:rsidRDefault="005A12A3">
      <w:pPr>
        <w:numPr>
          <w:ilvl w:val="0"/>
          <w:numId w:val="157"/>
        </w:numPr>
        <w:tabs>
          <w:tab w:val="left" w:pos="709"/>
        </w:tabs>
        <w:ind w:left="567" w:hanging="567"/>
        <w:jc w:val="both"/>
      </w:pPr>
      <w:r>
        <w:rPr>
          <w:b/>
          <w:bCs/>
        </w:rPr>
        <w:t>SERVICIOS POR EMERGENCIAS Y ACCIDENTES</w:t>
      </w:r>
    </w:p>
    <w:p w14:paraId="0DCE0DD4" w14:textId="77777777" w:rsidR="004412F1" w:rsidRDefault="004412F1">
      <w:pPr>
        <w:jc w:val="both"/>
      </w:pPr>
    </w:p>
    <w:p w14:paraId="34F52774" w14:textId="77777777" w:rsidR="004412F1" w:rsidRDefault="005A12A3">
      <w:pPr>
        <w:ind w:firstLine="567"/>
        <w:jc w:val="both"/>
        <w:rPr>
          <w:u w:val="single"/>
        </w:rPr>
      </w:pPr>
      <w:r>
        <w:rPr>
          <w:u w:val="single"/>
        </w:rPr>
        <w:t>Atención de Emergencias y Accidentes</w:t>
      </w:r>
    </w:p>
    <w:p w14:paraId="3BF751C7" w14:textId="77777777" w:rsidR="004412F1" w:rsidRDefault="004412F1">
      <w:pPr>
        <w:jc w:val="both"/>
      </w:pPr>
    </w:p>
    <w:p w14:paraId="1A090175" w14:textId="77777777" w:rsidR="004412F1" w:rsidRDefault="005A12A3">
      <w:pPr>
        <w:numPr>
          <w:ilvl w:val="1"/>
          <w:numId w:val="157"/>
        </w:numPr>
        <w:suppressLineNumbers/>
        <w:suppressAutoHyphens/>
        <w:jc w:val="both"/>
        <w:rPr>
          <w:lang w:val="es-ES"/>
        </w:rPr>
      </w:pPr>
      <w:r>
        <w:rPr>
          <w:lang w:val="es-ES"/>
        </w:rPr>
        <w:t>Como parte de la Concesión se implementará un sistema de comunicación en tiempo real en base a comunicaciones telefónicas con una central. Es obligación del CONCESIONARIO dar atención inmediata durante las veinticuatro (24) horas del día a cualquier llamada que ingrese a dicha central por el sistema de comunicación.</w:t>
      </w:r>
    </w:p>
    <w:p w14:paraId="6689A7E3" w14:textId="77777777" w:rsidR="004412F1" w:rsidRDefault="004412F1">
      <w:pPr>
        <w:tabs>
          <w:tab w:val="left" w:pos="1100"/>
        </w:tabs>
        <w:ind w:left="1100" w:hanging="600"/>
        <w:jc w:val="both"/>
        <w:rPr>
          <w:lang w:val="es-PE"/>
        </w:rPr>
      </w:pPr>
    </w:p>
    <w:p w14:paraId="49FAAD1F" w14:textId="77777777" w:rsidR="004412F1" w:rsidRDefault="005A12A3">
      <w:pPr>
        <w:numPr>
          <w:ilvl w:val="1"/>
          <w:numId w:val="157"/>
        </w:numPr>
        <w:jc w:val="both"/>
        <w:rPr>
          <w:lang w:val="es-PE"/>
        </w:rPr>
      </w:pPr>
      <w:r>
        <w:rPr>
          <w:lang w:val="es-PE"/>
        </w:rPr>
        <w:t>Similarmente, es obligación del CONCESIONARIO dar atención inmediata durante las veinticuatro (24) horas del día a cualquier llamada que ingrese a sus oficinas por el sistema telefónico normal.</w:t>
      </w:r>
    </w:p>
    <w:p w14:paraId="30D04931" w14:textId="77777777" w:rsidR="004412F1" w:rsidRDefault="004412F1">
      <w:pPr>
        <w:tabs>
          <w:tab w:val="left" w:pos="567"/>
        </w:tabs>
        <w:ind w:left="567" w:hanging="567"/>
        <w:jc w:val="both"/>
        <w:rPr>
          <w:lang w:val="es-PE"/>
        </w:rPr>
      </w:pPr>
    </w:p>
    <w:p w14:paraId="4194A8DA" w14:textId="77777777" w:rsidR="004412F1" w:rsidRDefault="005A12A3">
      <w:pPr>
        <w:numPr>
          <w:ilvl w:val="1"/>
          <w:numId w:val="157"/>
        </w:numPr>
        <w:suppressLineNumbers/>
        <w:suppressAutoHyphens/>
        <w:jc w:val="both"/>
        <w:rPr>
          <w:lang w:val="es-ES"/>
        </w:rPr>
      </w:pPr>
      <w:r>
        <w:rPr>
          <w:lang w:val="es-ES"/>
        </w:rPr>
        <w:t>Es también obligación del CONCESIONARIO dar atención en primera instancia a cualquier emergencia o accidente que le sean reportados directamente en sus oficinas. Siempre que corresponda, la atención en primera instancia consistirá por lo menos en lo siguiente: (a) reporte a las autoridades policiales de la zona en la que ocurrió la emergencia o accidente; (b) despacho de una dotación mínima de vehículos de asistencia (ambulancia o remolque); (c) despacho de un representante del CONCESIONARIO para que se haga presente en el lugar; y (d) informar al denunciante las acciones tomadas remitiendo una copia al REGULADOR, el tiempo probable de atención de la emergencia o accidente y el tipo de ayuda a proveer por el CONCESIONARIO. Estas acciones deberán iniciarse dentro de los cinco (5) minutos posteriores a la recepción de la denuncia.</w:t>
      </w:r>
    </w:p>
    <w:p w14:paraId="7F1E9B0B" w14:textId="77777777" w:rsidR="004412F1" w:rsidRDefault="004412F1">
      <w:pPr>
        <w:suppressLineNumbers/>
        <w:tabs>
          <w:tab w:val="left" w:pos="567"/>
          <w:tab w:val="left" w:pos="1134"/>
          <w:tab w:val="left" w:pos="1701"/>
          <w:tab w:val="left" w:pos="2268"/>
          <w:tab w:val="left" w:pos="2835"/>
        </w:tabs>
        <w:suppressAutoHyphens/>
        <w:jc w:val="both"/>
        <w:rPr>
          <w:color w:val="000000"/>
          <w:lang w:val="es-ES"/>
        </w:rPr>
      </w:pPr>
    </w:p>
    <w:p w14:paraId="542EEBC2" w14:textId="77777777" w:rsidR="004412F1" w:rsidRDefault="005A12A3">
      <w:pPr>
        <w:numPr>
          <w:ilvl w:val="1"/>
          <w:numId w:val="157"/>
        </w:numPr>
        <w:suppressLineNumbers/>
        <w:suppressAutoHyphens/>
        <w:jc w:val="both"/>
        <w:rPr>
          <w:lang w:val="es-PE"/>
        </w:rPr>
      </w:pPr>
      <w:r>
        <w:rPr>
          <w:lang w:val="es-PE"/>
        </w:rPr>
        <w:t>En la eventualidad de ocurrencia de una emergencia o accidente, el CONCESIONARIO está obligado también a dar atención en segunda instancia. Dependiendo del caso, la atención en segunda instancia consistirá en: (a) el traslado de personas o vehículos accidentados dentro de los límites de su responsabilidad establecidos por el Contrato; (b) movilizar el personal y equipos necesarios para cumplir con los requisitos de brindar transitabilidad plena y segura; (c) coordinar con las autoridades correspondientes (Policía, Bomberos, Defensa Civil, Provías Nacional, Ministerio del Ambiente - Sistema Nacional de Áreas Naturales Protegidas por el Estado (SERNANP)) el apoyo a brindar por su personal y equipos para la restitución de la transitabilidad y la mitigación de los efectos de la emergencia o accidente.</w:t>
      </w:r>
    </w:p>
    <w:p w14:paraId="27174792" w14:textId="77777777" w:rsidR="004412F1" w:rsidRDefault="004412F1">
      <w:pPr>
        <w:jc w:val="both"/>
        <w:rPr>
          <w:lang w:val="es-PE"/>
        </w:rPr>
      </w:pPr>
    </w:p>
    <w:p w14:paraId="43217A90" w14:textId="77777777" w:rsidR="004412F1" w:rsidRDefault="005A12A3">
      <w:pPr>
        <w:ind w:firstLine="567"/>
        <w:jc w:val="both"/>
        <w:rPr>
          <w:u w:val="single"/>
          <w:lang w:val="es-PE"/>
        </w:rPr>
      </w:pPr>
      <w:r>
        <w:rPr>
          <w:u w:val="single"/>
          <w:lang w:val="es-PE"/>
        </w:rPr>
        <w:t>Plazos para la Atención de Emergencias y Accidentes</w:t>
      </w:r>
    </w:p>
    <w:p w14:paraId="7667CDEF" w14:textId="77777777" w:rsidR="004412F1" w:rsidRDefault="004412F1">
      <w:pPr>
        <w:jc w:val="both"/>
        <w:rPr>
          <w:lang w:val="es-PE"/>
        </w:rPr>
      </w:pPr>
    </w:p>
    <w:p w14:paraId="0754520C" w14:textId="77777777" w:rsidR="004412F1" w:rsidRDefault="005A12A3">
      <w:pPr>
        <w:numPr>
          <w:ilvl w:val="1"/>
          <w:numId w:val="157"/>
        </w:numPr>
        <w:suppressLineNumbers/>
        <w:suppressAutoHyphens/>
        <w:jc w:val="both"/>
        <w:rPr>
          <w:lang w:val="es-ES"/>
        </w:rPr>
      </w:pPr>
      <w:r>
        <w:rPr>
          <w:lang w:val="es-ES"/>
        </w:rPr>
        <w:t>En el caso del traslado de personas y vehículos, el CONCESIONARIO cumplirá con las obligaciones contenidas en el Contrato dentro de los sesenta (60) minutos de haber sido reportada la emergencia o accidente.</w:t>
      </w:r>
    </w:p>
    <w:p w14:paraId="48DC5287" w14:textId="77777777" w:rsidR="004412F1" w:rsidRDefault="004412F1">
      <w:pPr>
        <w:jc w:val="both"/>
        <w:rPr>
          <w:lang w:val="es-PE"/>
        </w:rPr>
      </w:pPr>
    </w:p>
    <w:p w14:paraId="4756D969" w14:textId="77777777" w:rsidR="004412F1" w:rsidRDefault="005A12A3">
      <w:pPr>
        <w:numPr>
          <w:ilvl w:val="1"/>
          <w:numId w:val="157"/>
        </w:numPr>
        <w:suppressLineNumbers/>
        <w:suppressAutoHyphens/>
        <w:jc w:val="both"/>
        <w:rPr>
          <w:lang w:val="es-ES"/>
        </w:rPr>
      </w:pPr>
      <w:r>
        <w:rPr>
          <w:lang w:val="es-ES"/>
        </w:rPr>
        <w:t>En el caso de la restitución de la transitabilidad, por regla general, el CONCESIONARIO brindará transitabilidad parcial en un plazo no mayor a seis (6) horas desde que se haya reportado el incidente. Similarmente, brindará transitabilidad plena en un plazo no mayor a veinticuatro (24) horas desde la denuncia de la emergencia o accidente.</w:t>
      </w:r>
    </w:p>
    <w:p w14:paraId="69DF7F36" w14:textId="77777777" w:rsidR="004412F1" w:rsidRDefault="004412F1">
      <w:pPr>
        <w:ind w:firstLine="567"/>
        <w:jc w:val="both"/>
        <w:rPr>
          <w:u w:val="single"/>
          <w:lang w:val="es-PE"/>
        </w:rPr>
      </w:pPr>
    </w:p>
    <w:p w14:paraId="3E20344D" w14:textId="77777777" w:rsidR="004412F1" w:rsidRDefault="005A12A3">
      <w:pPr>
        <w:ind w:firstLine="567"/>
        <w:jc w:val="both"/>
        <w:rPr>
          <w:u w:val="single"/>
        </w:rPr>
      </w:pPr>
      <w:r>
        <w:rPr>
          <w:u w:val="single"/>
        </w:rPr>
        <w:t>Incumplimientos y Penalidades</w:t>
      </w:r>
    </w:p>
    <w:p w14:paraId="74834736" w14:textId="77777777" w:rsidR="004412F1" w:rsidRDefault="004412F1">
      <w:pPr>
        <w:jc w:val="both"/>
      </w:pPr>
    </w:p>
    <w:p w14:paraId="6B4FC944" w14:textId="77777777" w:rsidR="004412F1" w:rsidRDefault="005A12A3">
      <w:pPr>
        <w:numPr>
          <w:ilvl w:val="1"/>
          <w:numId w:val="157"/>
        </w:numPr>
        <w:suppressLineNumbers/>
        <w:suppressAutoHyphens/>
        <w:jc w:val="both"/>
        <w:rPr>
          <w:lang w:val="es-ES"/>
        </w:rPr>
      </w:pPr>
      <w:r>
        <w:rPr>
          <w:lang w:val="es-ES"/>
        </w:rPr>
        <w:t xml:space="preserve">Siempre que no existan elementos que liberen al CONCESIONARIO de la responsabilidad de cumplir con los plazos anteriores, su incumplimiento podrá dar lugar a una penalidad. Cada incumplimiento se penalizará </w:t>
      </w:r>
      <w:proofErr w:type="gramStart"/>
      <w:r>
        <w:rPr>
          <w:lang w:val="es-ES"/>
        </w:rPr>
        <w:t>de acuerdo a</w:t>
      </w:r>
      <w:proofErr w:type="gramEnd"/>
      <w:r>
        <w:rPr>
          <w:lang w:val="es-ES"/>
        </w:rPr>
        <w:t xml:space="preserve"> lo establecido por el REGULADOR de acuerdo a la normatividad vigente sobre la materia.</w:t>
      </w:r>
    </w:p>
    <w:p w14:paraId="6EE93035" w14:textId="77777777" w:rsidR="004412F1" w:rsidRDefault="004412F1">
      <w:pPr>
        <w:suppressLineNumbers/>
        <w:tabs>
          <w:tab w:val="left" w:pos="567"/>
          <w:tab w:val="left" w:pos="1134"/>
          <w:tab w:val="left" w:pos="1701"/>
          <w:tab w:val="left" w:pos="2268"/>
          <w:tab w:val="left" w:pos="2835"/>
        </w:tabs>
        <w:suppressAutoHyphens/>
        <w:ind w:left="500"/>
        <w:jc w:val="both"/>
        <w:rPr>
          <w:color w:val="000000"/>
          <w:lang w:val="es-ES"/>
        </w:rPr>
      </w:pPr>
    </w:p>
    <w:p w14:paraId="02EB60DC" w14:textId="77777777" w:rsidR="004412F1" w:rsidRDefault="005A12A3">
      <w:pPr>
        <w:numPr>
          <w:ilvl w:val="0"/>
          <w:numId w:val="157"/>
        </w:numPr>
        <w:ind w:left="567" w:hanging="567"/>
        <w:jc w:val="both"/>
      </w:pPr>
      <w:r>
        <w:rPr>
          <w:b/>
          <w:bCs/>
        </w:rPr>
        <w:t>SITUACIONES EXCEPCIONALES O ESPECIALES</w:t>
      </w:r>
    </w:p>
    <w:p w14:paraId="1AEF984A" w14:textId="77777777" w:rsidR="004412F1" w:rsidRDefault="004412F1">
      <w:pPr>
        <w:tabs>
          <w:tab w:val="left" w:pos="567"/>
        </w:tabs>
        <w:jc w:val="both"/>
      </w:pPr>
    </w:p>
    <w:p w14:paraId="74B2037B" w14:textId="77777777" w:rsidR="004412F1" w:rsidRDefault="005A12A3">
      <w:pPr>
        <w:ind w:firstLine="540"/>
        <w:jc w:val="both"/>
        <w:rPr>
          <w:u w:val="single"/>
        </w:rPr>
      </w:pPr>
      <w:r>
        <w:rPr>
          <w:u w:val="single"/>
        </w:rPr>
        <w:t xml:space="preserve">Conservación en partes no asfaltadas </w:t>
      </w:r>
    </w:p>
    <w:p w14:paraId="6C3C8A28" w14:textId="77777777" w:rsidR="004412F1" w:rsidRDefault="004412F1">
      <w:pPr>
        <w:jc w:val="both"/>
      </w:pPr>
    </w:p>
    <w:p w14:paraId="698CFFC3" w14:textId="77777777" w:rsidR="004412F1" w:rsidRDefault="005A12A3" w:rsidP="00E03735">
      <w:pPr>
        <w:numPr>
          <w:ilvl w:val="1"/>
          <w:numId w:val="157"/>
        </w:numPr>
        <w:suppressLineNumbers/>
        <w:suppressAutoHyphens/>
        <w:ind w:left="709" w:hanging="709"/>
        <w:jc w:val="both"/>
        <w:rPr>
          <w:lang w:val="es-ES"/>
        </w:rPr>
      </w:pPr>
      <w:r>
        <w:rPr>
          <w:lang w:val="es-ES"/>
        </w:rPr>
        <w:t xml:space="preserve">Se considera que la existencia de partes no asfaltadas (y que no forman parte de la Concesión) son temporales durante la Operación de la Concesión mientras se ejecutan </w:t>
      </w:r>
      <w:r>
        <w:rPr>
          <w:lang w:val="es-PE"/>
        </w:rPr>
        <w:t>las Intervenciones</w:t>
      </w:r>
      <w:r>
        <w:rPr>
          <w:lang w:val="es-ES"/>
        </w:rPr>
        <w:t xml:space="preserve"> a las que se hace referencia en el ANEXO 9 de las Bases.</w:t>
      </w:r>
    </w:p>
    <w:p w14:paraId="613CD6F2" w14:textId="77777777" w:rsidR="004412F1" w:rsidRDefault="004412F1">
      <w:pPr>
        <w:suppressLineNumbers/>
        <w:tabs>
          <w:tab w:val="left" w:pos="567"/>
          <w:tab w:val="left" w:pos="1100"/>
          <w:tab w:val="left" w:pos="1134"/>
          <w:tab w:val="left" w:pos="1701"/>
          <w:tab w:val="left" w:pos="2268"/>
          <w:tab w:val="left" w:pos="2835"/>
        </w:tabs>
        <w:suppressAutoHyphens/>
        <w:ind w:left="1100" w:hanging="600"/>
        <w:jc w:val="both"/>
        <w:rPr>
          <w:color w:val="000000"/>
          <w:lang w:val="es-ES"/>
        </w:rPr>
      </w:pPr>
    </w:p>
    <w:p w14:paraId="760EEC76" w14:textId="77777777" w:rsidR="004412F1" w:rsidRDefault="005A12A3" w:rsidP="00E03735">
      <w:pPr>
        <w:numPr>
          <w:ilvl w:val="1"/>
          <w:numId w:val="157"/>
        </w:numPr>
        <w:suppressLineNumbers/>
        <w:suppressAutoHyphens/>
        <w:ind w:left="709" w:hanging="709"/>
        <w:jc w:val="both"/>
        <w:rPr>
          <w:lang w:val="es-PE"/>
        </w:rPr>
      </w:pPr>
      <w:r>
        <w:rPr>
          <w:lang w:val="es-PE"/>
        </w:rPr>
        <w:t>En esas situaciones, el CONCESIONARIO se encuentra obligado a conservar la vía desde el momento de entrega por parte del CONCEDENTE en las condiciones mínimas de servicio siguientes:</w:t>
      </w:r>
    </w:p>
    <w:p w14:paraId="35924FF2" w14:textId="77777777" w:rsidR="004412F1" w:rsidRDefault="004412F1">
      <w:pPr>
        <w:suppressLineNumbers/>
        <w:tabs>
          <w:tab w:val="left" w:pos="567"/>
          <w:tab w:val="left" w:pos="1134"/>
          <w:tab w:val="left" w:pos="1701"/>
          <w:tab w:val="left" w:pos="2268"/>
          <w:tab w:val="left" w:pos="2835"/>
        </w:tabs>
        <w:suppressAutoHyphens/>
        <w:ind w:left="500"/>
        <w:jc w:val="both"/>
        <w:rPr>
          <w:color w:val="000000"/>
          <w:lang w:val="es-PE"/>
        </w:rPr>
      </w:pPr>
    </w:p>
    <w:p w14:paraId="4911D21A" w14:textId="77777777" w:rsidR="004412F1" w:rsidRDefault="005A12A3" w:rsidP="00E03735">
      <w:pPr>
        <w:numPr>
          <w:ilvl w:val="2"/>
          <w:numId w:val="170"/>
        </w:numPr>
        <w:ind w:left="1134" w:hanging="283"/>
        <w:jc w:val="both"/>
        <w:rPr>
          <w:lang w:val="es-PE"/>
        </w:rPr>
      </w:pPr>
      <w:r>
        <w:rPr>
          <w:lang w:val="es-PE"/>
        </w:rPr>
        <w:t>Transitabilidad: No se admiten cierres de vías por tiempos mayores a 6 horas.</w:t>
      </w:r>
    </w:p>
    <w:p w14:paraId="4BB60B75" w14:textId="77777777" w:rsidR="004412F1" w:rsidRDefault="005A12A3" w:rsidP="00E03735">
      <w:pPr>
        <w:numPr>
          <w:ilvl w:val="2"/>
          <w:numId w:val="170"/>
        </w:numPr>
        <w:ind w:left="1134" w:hanging="283"/>
        <w:jc w:val="both"/>
        <w:rPr>
          <w:lang w:val="es-PE"/>
        </w:rPr>
      </w:pPr>
      <w:r>
        <w:rPr>
          <w:lang w:val="es-PE"/>
        </w:rPr>
        <w:t>Velocidad media de recorrido: para vehículos livianos la velocidad media (de longitudes no menores a 5 km) no deberá ser inferior a 20 km/h y en vehículos pesados no deberá ser inferior a 10 km/h.</w:t>
      </w:r>
    </w:p>
    <w:p w14:paraId="21E26371" w14:textId="77777777" w:rsidR="004412F1" w:rsidRDefault="004412F1">
      <w:pPr>
        <w:jc w:val="both"/>
        <w:rPr>
          <w:lang w:val="es-PE"/>
        </w:rPr>
      </w:pPr>
    </w:p>
    <w:p w14:paraId="050DBB06" w14:textId="77777777" w:rsidR="004412F1" w:rsidRDefault="005A12A3">
      <w:pPr>
        <w:ind w:firstLine="540"/>
        <w:jc w:val="both"/>
        <w:rPr>
          <w:u w:val="single"/>
          <w:lang w:val="es-PE"/>
        </w:rPr>
      </w:pPr>
      <w:r>
        <w:rPr>
          <w:u w:val="single"/>
          <w:lang w:val="es-PE"/>
        </w:rPr>
        <w:t xml:space="preserve">Congestión en los </w:t>
      </w:r>
      <w:proofErr w:type="gramStart"/>
      <w:r>
        <w:rPr>
          <w:u w:val="single"/>
          <w:lang w:val="es-PE"/>
        </w:rPr>
        <w:t>sub tramos</w:t>
      </w:r>
      <w:proofErr w:type="gramEnd"/>
      <w:r>
        <w:rPr>
          <w:u w:val="single"/>
          <w:lang w:val="es-PE"/>
        </w:rPr>
        <w:t xml:space="preserve"> temporales</w:t>
      </w:r>
    </w:p>
    <w:p w14:paraId="7ACC87E7" w14:textId="77777777" w:rsidR="004412F1" w:rsidRDefault="004412F1">
      <w:pPr>
        <w:ind w:left="1134" w:firstLine="567"/>
        <w:jc w:val="both"/>
        <w:rPr>
          <w:lang w:val="es-PE"/>
        </w:rPr>
      </w:pPr>
    </w:p>
    <w:p w14:paraId="1386A800" w14:textId="77777777" w:rsidR="004412F1" w:rsidRDefault="005A12A3" w:rsidP="00E03735">
      <w:pPr>
        <w:numPr>
          <w:ilvl w:val="1"/>
          <w:numId w:val="157"/>
        </w:numPr>
        <w:suppressLineNumbers/>
        <w:suppressAutoHyphens/>
        <w:ind w:left="709" w:hanging="709"/>
        <w:jc w:val="both"/>
        <w:rPr>
          <w:lang w:val="es-PE"/>
        </w:rPr>
      </w:pPr>
      <w:bookmarkStart w:id="2723" w:name="_Ref351385766"/>
      <w:r>
        <w:rPr>
          <w:lang w:val="es-PE"/>
        </w:rPr>
        <w:t xml:space="preserve">Se efectuarán las intervenciones que sean necesarias, a cargo del CONCESIONARIO, en caso se afecten los Niveles de Servicio de movilidad y accesibilidad.  En ese sentido no se admitirá que ningún </w:t>
      </w:r>
      <w:proofErr w:type="gramStart"/>
      <w:r>
        <w:rPr>
          <w:lang w:val="es-PE"/>
        </w:rPr>
        <w:t>Sub Tramo</w:t>
      </w:r>
      <w:proofErr w:type="gramEnd"/>
      <w:r>
        <w:rPr>
          <w:lang w:val="es-PE"/>
        </w:rPr>
        <w:t xml:space="preserve"> (se entiende no menor a 5 km) tenga un menor nivel de servicio de acuerdo al Manual de Capacidad de Carreteras.</w:t>
      </w:r>
      <w:bookmarkEnd w:id="2723"/>
    </w:p>
    <w:p w14:paraId="2FE7BDE0" w14:textId="77777777" w:rsidR="004412F1" w:rsidRDefault="004412F1">
      <w:pPr>
        <w:tabs>
          <w:tab w:val="left" w:pos="1100"/>
        </w:tabs>
        <w:ind w:left="500"/>
        <w:jc w:val="both"/>
        <w:rPr>
          <w:lang w:val="es-PE"/>
        </w:rPr>
      </w:pPr>
    </w:p>
    <w:p w14:paraId="686C04DA" w14:textId="77777777" w:rsidR="004412F1" w:rsidRDefault="005A12A3">
      <w:pPr>
        <w:ind w:firstLine="540"/>
        <w:jc w:val="both"/>
        <w:rPr>
          <w:u w:val="single"/>
        </w:rPr>
      </w:pPr>
      <w:r>
        <w:rPr>
          <w:u w:val="single"/>
        </w:rPr>
        <w:t>Otras Situaciones</w:t>
      </w:r>
    </w:p>
    <w:p w14:paraId="13030E2B" w14:textId="77777777" w:rsidR="004412F1" w:rsidRDefault="004412F1">
      <w:pPr>
        <w:jc w:val="both"/>
      </w:pPr>
    </w:p>
    <w:p w14:paraId="77433B78" w14:textId="77777777" w:rsidR="004412F1" w:rsidRDefault="005A12A3" w:rsidP="00E03735">
      <w:pPr>
        <w:numPr>
          <w:ilvl w:val="1"/>
          <w:numId w:val="157"/>
        </w:numPr>
        <w:suppressLineNumbers/>
        <w:suppressAutoHyphens/>
        <w:ind w:left="709" w:hanging="709"/>
        <w:jc w:val="both"/>
        <w:rPr>
          <w:lang w:val="es-PE"/>
        </w:rPr>
      </w:pPr>
      <w:r>
        <w:rPr>
          <w:lang w:val="es-PE"/>
        </w:rPr>
        <w:t>En el caso de situaciones no contempladas en este ANEXO I, el REGULADOR, fijará los Niveles de Servicio y la metodología de medición a utilizar en la evaluación de la gestión del CONCESIONARIO.</w:t>
      </w:r>
    </w:p>
    <w:p w14:paraId="694D5F1B" w14:textId="77777777" w:rsidR="004412F1" w:rsidRDefault="004412F1">
      <w:pPr>
        <w:jc w:val="both"/>
        <w:rPr>
          <w:lang w:val="es-PE"/>
        </w:rPr>
      </w:pPr>
    </w:p>
    <w:p w14:paraId="58467A08" w14:textId="77777777" w:rsidR="004412F1" w:rsidRDefault="005A12A3" w:rsidP="00E03735">
      <w:pPr>
        <w:numPr>
          <w:ilvl w:val="1"/>
          <w:numId w:val="157"/>
        </w:numPr>
        <w:suppressLineNumbers/>
        <w:suppressAutoHyphens/>
        <w:ind w:left="709" w:hanging="709"/>
        <w:jc w:val="both"/>
        <w:rPr>
          <w:lang w:val="es-PE"/>
        </w:rPr>
      </w:pPr>
      <w:r>
        <w:rPr>
          <w:lang w:val="es-PE"/>
        </w:rPr>
        <w:t>En el caso particular de la evaluación de los Servicios Obligatorios a proporcionar por el CONCESIONARIO que no se hayan contemplado específicamente en otros procedimientos descritos en este ANEXO I, se adoptará el procedimiento de las evaluaciones Continuas.</w:t>
      </w:r>
    </w:p>
    <w:p w14:paraId="22C45BFA" w14:textId="77777777" w:rsidR="004412F1" w:rsidRDefault="004412F1">
      <w:pPr>
        <w:rPr>
          <w:lang w:val="es-PE"/>
        </w:rPr>
      </w:pPr>
    </w:p>
    <w:p w14:paraId="62093BD8" w14:textId="77777777" w:rsidR="004412F1" w:rsidRDefault="004412F1">
      <w:pPr>
        <w:rPr>
          <w:lang w:val="es-PE"/>
        </w:rPr>
      </w:pPr>
    </w:p>
    <w:p w14:paraId="1749A5E3" w14:textId="77777777" w:rsidR="004412F1" w:rsidRDefault="004412F1">
      <w:pPr>
        <w:ind w:left="993" w:hanging="426"/>
        <w:rPr>
          <w:lang w:val="es-PE"/>
        </w:rPr>
      </w:pPr>
    </w:p>
    <w:p w14:paraId="7F6DB5D3" w14:textId="77777777" w:rsidR="004412F1" w:rsidRDefault="004412F1">
      <w:pPr>
        <w:rPr>
          <w:lang w:val="es-PE"/>
        </w:rPr>
      </w:pPr>
    </w:p>
    <w:p w14:paraId="2EE560FB" w14:textId="77777777" w:rsidR="004412F1" w:rsidRDefault="004412F1">
      <w:pPr>
        <w:rPr>
          <w:lang w:val="es-PE"/>
        </w:rPr>
      </w:pPr>
    </w:p>
    <w:p w14:paraId="30C64471" w14:textId="77777777" w:rsidR="004412F1" w:rsidRDefault="004412F1">
      <w:pPr>
        <w:ind w:right="-3"/>
        <w:jc w:val="both"/>
        <w:rPr>
          <w:lang w:val="es-PE"/>
        </w:rPr>
      </w:pPr>
    </w:p>
    <w:p w14:paraId="413C72ED" w14:textId="77777777" w:rsidR="004412F1" w:rsidRDefault="004412F1">
      <w:pPr>
        <w:ind w:right="-3"/>
        <w:jc w:val="both"/>
        <w:rPr>
          <w:lang w:val="es-PE"/>
        </w:rPr>
      </w:pPr>
    </w:p>
    <w:p w14:paraId="4711B9B3" w14:textId="77777777" w:rsidR="004412F1" w:rsidRDefault="005A12A3">
      <w:pPr>
        <w:ind w:left="1736" w:hanging="1736"/>
        <w:jc w:val="both"/>
        <w:rPr>
          <w:lang w:val="es-PE"/>
        </w:rPr>
      </w:pPr>
      <w:r>
        <w:rPr>
          <w:lang w:val="es-PE"/>
        </w:rPr>
        <w:br w:type="page"/>
      </w:r>
    </w:p>
    <w:p w14:paraId="0E0DEC6F" w14:textId="77777777" w:rsidR="004412F1" w:rsidRDefault="004412F1">
      <w:pPr>
        <w:rPr>
          <w:lang w:val="es-PE"/>
        </w:rPr>
      </w:pPr>
    </w:p>
    <w:p w14:paraId="47342116" w14:textId="77777777" w:rsidR="004412F1" w:rsidRDefault="004412F1">
      <w:pPr>
        <w:rPr>
          <w:lang w:val="es-PE"/>
        </w:rPr>
      </w:pPr>
    </w:p>
    <w:p w14:paraId="35E61CC3" w14:textId="77777777" w:rsidR="004412F1" w:rsidRDefault="004412F1">
      <w:pPr>
        <w:rPr>
          <w:lang w:val="es-PE"/>
        </w:rPr>
      </w:pPr>
    </w:p>
    <w:p w14:paraId="57EA4186" w14:textId="77777777" w:rsidR="004412F1" w:rsidRDefault="004412F1">
      <w:pPr>
        <w:rPr>
          <w:lang w:val="es-PE"/>
        </w:rPr>
      </w:pPr>
    </w:p>
    <w:p w14:paraId="50E0A5F8" w14:textId="77777777" w:rsidR="004412F1" w:rsidRDefault="004412F1">
      <w:pPr>
        <w:rPr>
          <w:lang w:val="es-PE"/>
        </w:rPr>
      </w:pPr>
    </w:p>
    <w:p w14:paraId="554BF156" w14:textId="77777777" w:rsidR="004412F1" w:rsidRDefault="004412F1">
      <w:pPr>
        <w:rPr>
          <w:lang w:val="es-PE"/>
        </w:rPr>
      </w:pPr>
    </w:p>
    <w:p w14:paraId="5D764CB4" w14:textId="77777777" w:rsidR="004412F1" w:rsidRDefault="004412F1">
      <w:pPr>
        <w:rPr>
          <w:lang w:val="es-PE"/>
        </w:rPr>
      </w:pPr>
    </w:p>
    <w:p w14:paraId="1E6974C7" w14:textId="77777777" w:rsidR="004412F1" w:rsidRDefault="004412F1">
      <w:pPr>
        <w:rPr>
          <w:lang w:val="es-PE"/>
        </w:rPr>
      </w:pPr>
    </w:p>
    <w:p w14:paraId="4EB1B289" w14:textId="77777777" w:rsidR="004412F1" w:rsidRDefault="004412F1">
      <w:pPr>
        <w:rPr>
          <w:lang w:val="es-PE"/>
        </w:rPr>
      </w:pPr>
    </w:p>
    <w:p w14:paraId="121B0D1C" w14:textId="77777777" w:rsidR="004412F1" w:rsidRDefault="004412F1">
      <w:pPr>
        <w:rPr>
          <w:lang w:val="es-PE"/>
        </w:rPr>
      </w:pPr>
    </w:p>
    <w:p w14:paraId="32D2AEC2" w14:textId="77777777" w:rsidR="004412F1" w:rsidRDefault="004412F1">
      <w:pPr>
        <w:rPr>
          <w:lang w:val="es-PE"/>
        </w:rPr>
      </w:pPr>
    </w:p>
    <w:p w14:paraId="57871C2C" w14:textId="77777777" w:rsidR="004412F1" w:rsidRDefault="005A12A3">
      <w:pPr>
        <w:pStyle w:val="Ttulo2"/>
        <w:ind w:left="0"/>
        <w:jc w:val="center"/>
        <w:rPr>
          <w:rFonts w:ascii="Arial" w:hAnsi="Arial"/>
          <w:b/>
          <w:color w:val="000000"/>
          <w:sz w:val="30"/>
          <w:u w:val="none"/>
          <w:lang w:val="es-PE"/>
        </w:rPr>
      </w:pPr>
      <w:bookmarkStart w:id="2724" w:name="_Apéndice_1"/>
      <w:bookmarkStart w:id="2725" w:name="_Ref272506673"/>
      <w:bookmarkStart w:id="2726" w:name="_Toc139294833"/>
      <w:bookmarkStart w:id="2727" w:name="_Toc468837724"/>
      <w:bookmarkStart w:id="2728" w:name="_Toc140089436"/>
      <w:bookmarkEnd w:id="2724"/>
      <w:r>
        <w:rPr>
          <w:rFonts w:ascii="Arial" w:hAnsi="Arial"/>
          <w:b/>
          <w:color w:val="000000"/>
          <w:sz w:val="30"/>
          <w:u w:val="none"/>
          <w:lang w:val="es-PE"/>
        </w:rPr>
        <w:t>Apéndice 1</w:t>
      </w:r>
      <w:bookmarkEnd w:id="2725"/>
      <w:bookmarkEnd w:id="2726"/>
      <w:bookmarkEnd w:id="2727"/>
      <w:bookmarkEnd w:id="2728"/>
    </w:p>
    <w:p w14:paraId="755099B3" w14:textId="77777777" w:rsidR="004412F1" w:rsidRPr="0059350F" w:rsidRDefault="005A12A3" w:rsidP="0059350F">
      <w:pPr>
        <w:ind w:left="567"/>
        <w:jc w:val="center"/>
        <w:outlineLvl w:val="1"/>
        <w:rPr>
          <w:b/>
          <w:sz w:val="24"/>
          <w:szCs w:val="24"/>
          <w:lang w:val="es-PE"/>
        </w:rPr>
      </w:pPr>
      <w:bookmarkStart w:id="2729" w:name="_Toc468837725"/>
      <w:bookmarkStart w:id="2730" w:name="_Toc140089437"/>
      <w:r w:rsidRPr="0059350F">
        <w:rPr>
          <w:b/>
          <w:sz w:val="24"/>
          <w:szCs w:val="24"/>
          <w:lang w:val="es-PE"/>
        </w:rPr>
        <w:t xml:space="preserve">Sub </w:t>
      </w:r>
      <w:proofErr w:type="gramStart"/>
      <w:r w:rsidRPr="0059350F">
        <w:rPr>
          <w:b/>
          <w:sz w:val="24"/>
          <w:szCs w:val="24"/>
          <w:lang w:val="es-PE"/>
        </w:rPr>
        <w:t>Tramos  de</w:t>
      </w:r>
      <w:proofErr w:type="gramEnd"/>
      <w:r w:rsidRPr="0059350F">
        <w:rPr>
          <w:b/>
          <w:sz w:val="24"/>
          <w:szCs w:val="24"/>
          <w:lang w:val="es-PE"/>
        </w:rPr>
        <w:t xml:space="preserve"> la Carretera Longitudinal de la Sierra Tramo 4: Huancayo-Izcuchaca-Mayocc-Ayacucho/Ayacucho-Andahuaylas-Pte Sahuinto/Dv. Pisco – Huaytará - Ayacucho</w:t>
      </w:r>
      <w:bookmarkEnd w:id="2729"/>
      <w:bookmarkEnd w:id="2730"/>
    </w:p>
    <w:p w14:paraId="30256070" w14:textId="77777777" w:rsidR="004412F1" w:rsidRDefault="004412F1">
      <w:pPr>
        <w:jc w:val="center"/>
        <w:rPr>
          <w:b/>
        </w:rPr>
      </w:pPr>
    </w:p>
    <w:p w14:paraId="24F17EA2" w14:textId="77777777" w:rsidR="004412F1" w:rsidRDefault="004412F1">
      <w:pPr>
        <w:jc w:val="center"/>
        <w:rPr>
          <w:b/>
        </w:rPr>
      </w:pPr>
    </w:p>
    <w:p w14:paraId="5F93CD70" w14:textId="77777777" w:rsidR="004412F1" w:rsidRDefault="004412F1"/>
    <w:p w14:paraId="443D318E" w14:textId="77777777" w:rsidR="004412F1" w:rsidRDefault="004412F1"/>
    <w:p w14:paraId="7AA2F5B1" w14:textId="77777777" w:rsidR="004412F1" w:rsidRDefault="004412F1"/>
    <w:p w14:paraId="58B870B9" w14:textId="77777777" w:rsidR="004412F1" w:rsidRDefault="004412F1"/>
    <w:p w14:paraId="36C958ED" w14:textId="77777777" w:rsidR="004412F1" w:rsidRDefault="004412F1"/>
    <w:p w14:paraId="65654F44" w14:textId="77777777" w:rsidR="004412F1" w:rsidRDefault="004412F1"/>
    <w:p w14:paraId="7A9ED55E" w14:textId="77777777" w:rsidR="004412F1" w:rsidRDefault="004412F1"/>
    <w:p w14:paraId="3A6C660B" w14:textId="77777777" w:rsidR="004412F1" w:rsidRDefault="004412F1"/>
    <w:p w14:paraId="6B93873D" w14:textId="77777777" w:rsidR="004412F1" w:rsidRDefault="004412F1"/>
    <w:p w14:paraId="15B827CC" w14:textId="77777777" w:rsidR="004412F1" w:rsidRDefault="004412F1"/>
    <w:p w14:paraId="54DB81AB" w14:textId="77777777" w:rsidR="004412F1" w:rsidRDefault="004412F1"/>
    <w:p w14:paraId="040A5EAF" w14:textId="77777777" w:rsidR="004412F1" w:rsidRDefault="004412F1"/>
    <w:p w14:paraId="1CDEFFB9" w14:textId="77777777" w:rsidR="004412F1" w:rsidRDefault="004412F1"/>
    <w:p w14:paraId="32050CC3" w14:textId="77777777" w:rsidR="004412F1" w:rsidRDefault="004412F1"/>
    <w:p w14:paraId="06C7634B" w14:textId="77777777" w:rsidR="004412F1" w:rsidRDefault="004412F1"/>
    <w:p w14:paraId="2A38EE8B" w14:textId="77777777" w:rsidR="004412F1" w:rsidRDefault="004412F1"/>
    <w:p w14:paraId="65240A1C" w14:textId="77777777" w:rsidR="004412F1" w:rsidRDefault="004412F1"/>
    <w:p w14:paraId="32A4B62E" w14:textId="77777777" w:rsidR="004412F1" w:rsidRDefault="004412F1"/>
    <w:p w14:paraId="73EDCCAA" w14:textId="77777777" w:rsidR="004412F1" w:rsidRDefault="004412F1"/>
    <w:p w14:paraId="04D17A51" w14:textId="77777777" w:rsidR="004412F1" w:rsidRDefault="004412F1"/>
    <w:p w14:paraId="734E1FE8" w14:textId="77777777" w:rsidR="004412F1" w:rsidRDefault="004412F1"/>
    <w:p w14:paraId="172B071D" w14:textId="77777777" w:rsidR="004412F1" w:rsidRDefault="004412F1"/>
    <w:p w14:paraId="68BC9283" w14:textId="77777777" w:rsidR="004412F1" w:rsidRDefault="004412F1"/>
    <w:p w14:paraId="254DA786" w14:textId="77777777" w:rsidR="004412F1" w:rsidRDefault="004412F1"/>
    <w:p w14:paraId="2F2083CA" w14:textId="77777777" w:rsidR="004412F1" w:rsidRDefault="004412F1"/>
    <w:p w14:paraId="0D6CBA7F" w14:textId="77777777" w:rsidR="004412F1" w:rsidRDefault="004412F1"/>
    <w:p w14:paraId="1F3B5302" w14:textId="77777777" w:rsidR="004412F1" w:rsidRDefault="004412F1"/>
    <w:p w14:paraId="41EC4865" w14:textId="77777777" w:rsidR="004412F1" w:rsidRDefault="004412F1"/>
    <w:p w14:paraId="20A22E46" w14:textId="77777777" w:rsidR="004412F1" w:rsidRDefault="004412F1"/>
    <w:p w14:paraId="08D5F645" w14:textId="77777777" w:rsidR="004412F1" w:rsidRDefault="004412F1"/>
    <w:p w14:paraId="13556972" w14:textId="77777777" w:rsidR="004412F1" w:rsidRDefault="004412F1"/>
    <w:p w14:paraId="4EBAEC9E" w14:textId="77777777" w:rsidR="004412F1" w:rsidRDefault="004412F1"/>
    <w:p w14:paraId="741437B2" w14:textId="77777777" w:rsidR="004412F1" w:rsidRDefault="004412F1"/>
    <w:p w14:paraId="46A9A0C0" w14:textId="77777777" w:rsidR="004412F1" w:rsidRDefault="004412F1"/>
    <w:p w14:paraId="7488AD9A" w14:textId="77777777" w:rsidR="004412F1" w:rsidRDefault="004412F1"/>
    <w:p w14:paraId="3A78F491" w14:textId="77777777" w:rsidR="004412F1" w:rsidRDefault="004412F1"/>
    <w:tbl>
      <w:tblPr>
        <w:tblW w:w="0" w:type="auto"/>
        <w:tblLayout w:type="fixed"/>
        <w:tblLook w:val="04A0" w:firstRow="1" w:lastRow="0" w:firstColumn="1" w:lastColumn="0" w:noHBand="0" w:noVBand="1"/>
      </w:tblPr>
      <w:tblGrid>
        <w:gridCol w:w="1245"/>
        <w:gridCol w:w="1935"/>
        <w:gridCol w:w="1245"/>
        <w:gridCol w:w="1245"/>
        <w:gridCol w:w="1245"/>
        <w:gridCol w:w="1245"/>
      </w:tblGrid>
      <w:tr w:rsidR="004412F1" w14:paraId="1D43BB39" w14:textId="77777777">
        <w:trPr>
          <w:trHeight w:val="585"/>
        </w:trPr>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4D4B2FD3" w14:textId="77777777" w:rsidR="004412F1" w:rsidRDefault="005A12A3">
            <w:pPr>
              <w:jc w:val="center"/>
              <w:rPr>
                <w:b/>
                <w:color w:val="000000" w:themeColor="text1"/>
              </w:rPr>
            </w:pPr>
            <w:r>
              <w:rPr>
                <w:b/>
                <w:color w:val="000000" w:themeColor="text1"/>
              </w:rPr>
              <w:t>SUB TRAMO</w:t>
            </w:r>
          </w:p>
        </w:tc>
        <w:tc>
          <w:tcPr>
            <w:tcW w:w="193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587680A0" w14:textId="77777777" w:rsidR="004412F1" w:rsidRDefault="005A12A3">
            <w:pPr>
              <w:jc w:val="center"/>
              <w:rPr>
                <w:b/>
                <w:color w:val="000000" w:themeColor="text1"/>
              </w:rPr>
            </w:pPr>
            <w:r>
              <w:rPr>
                <w:b/>
                <w:color w:val="000000" w:themeColor="text1"/>
              </w:rPr>
              <w:t>DESCRIPCIÓN</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55316532" w14:textId="77777777" w:rsidR="004412F1" w:rsidRDefault="005A12A3">
            <w:pPr>
              <w:jc w:val="center"/>
              <w:rPr>
                <w:rFonts w:eastAsia="Times New Roman"/>
                <w:b/>
                <w:bCs/>
                <w:color w:val="000000" w:themeColor="text1"/>
                <w:szCs w:val="18"/>
                <w:lang w:val="es-ES" w:eastAsia="es-ES"/>
              </w:rPr>
            </w:pPr>
            <w:r>
              <w:rPr>
                <w:b/>
                <w:color w:val="000000" w:themeColor="text1"/>
              </w:rPr>
              <w:t>RUTA</w:t>
            </w:r>
          </w:p>
        </w:tc>
        <w:tc>
          <w:tcPr>
            <w:tcW w:w="1245" w:type="dxa"/>
            <w:tcBorders>
              <w:top w:val="single" w:sz="8" w:space="0" w:color="auto"/>
              <w:left w:val="single" w:sz="8" w:space="0" w:color="auto"/>
              <w:bottom w:val="nil"/>
              <w:right w:val="single" w:sz="8" w:space="0" w:color="auto"/>
            </w:tcBorders>
            <w:tcMar>
              <w:top w:w="15" w:type="dxa"/>
              <w:left w:w="15" w:type="dxa"/>
              <w:right w:w="15" w:type="dxa"/>
            </w:tcMar>
            <w:vAlign w:val="center"/>
          </w:tcPr>
          <w:p w14:paraId="63041EA8" w14:textId="77777777" w:rsidR="004412F1" w:rsidRDefault="005A12A3">
            <w:pPr>
              <w:jc w:val="center"/>
              <w:rPr>
                <w:b/>
                <w:color w:val="000000" w:themeColor="text1"/>
              </w:rPr>
            </w:pPr>
            <w:r>
              <w:rPr>
                <w:b/>
                <w:color w:val="000000" w:themeColor="text1"/>
              </w:rPr>
              <w:t>LONG</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018F7A9" w14:textId="77777777" w:rsidR="004412F1" w:rsidRDefault="005A12A3">
            <w:pPr>
              <w:jc w:val="center"/>
              <w:rPr>
                <w:b/>
                <w:color w:val="000000" w:themeColor="text1"/>
              </w:rPr>
            </w:pPr>
            <w:r>
              <w:rPr>
                <w:b/>
                <w:color w:val="000000" w:themeColor="text1"/>
              </w:rPr>
              <w:t>INICIO (SIG)</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48E1E60F" w14:textId="77777777" w:rsidR="004412F1" w:rsidRDefault="005A12A3">
            <w:pPr>
              <w:jc w:val="center"/>
              <w:rPr>
                <w:b/>
                <w:color w:val="000000" w:themeColor="text1"/>
              </w:rPr>
            </w:pPr>
            <w:r>
              <w:rPr>
                <w:b/>
                <w:color w:val="000000" w:themeColor="text1"/>
              </w:rPr>
              <w:t>FIN (SIG)</w:t>
            </w:r>
          </w:p>
        </w:tc>
      </w:tr>
      <w:tr w:rsidR="004412F1" w14:paraId="1E666A06" w14:textId="77777777">
        <w:trPr>
          <w:trHeight w:val="300"/>
        </w:trPr>
        <w:tc>
          <w:tcPr>
            <w:tcW w:w="1245" w:type="dxa"/>
            <w:tcBorders>
              <w:left w:val="single" w:sz="0" w:space="0" w:color="auto"/>
              <w:bottom w:val="single" w:sz="0" w:space="0" w:color="000000" w:themeColor="text1"/>
              <w:right w:val="single" w:sz="0" w:space="0" w:color="auto"/>
            </w:tcBorders>
            <w:vAlign w:val="center"/>
          </w:tcPr>
          <w:p w14:paraId="4A723127" w14:textId="77777777" w:rsidR="004412F1" w:rsidRDefault="004412F1"/>
        </w:tc>
        <w:tc>
          <w:tcPr>
            <w:tcW w:w="1935" w:type="dxa"/>
            <w:tcBorders>
              <w:left w:val="single" w:sz="0" w:space="0" w:color="auto"/>
              <w:bottom w:val="single" w:sz="0" w:space="0" w:color="000000" w:themeColor="text1"/>
              <w:right w:val="single" w:sz="0" w:space="0" w:color="auto"/>
            </w:tcBorders>
            <w:vAlign w:val="center"/>
          </w:tcPr>
          <w:p w14:paraId="19D48EE5" w14:textId="77777777" w:rsidR="004412F1" w:rsidRDefault="004412F1"/>
        </w:tc>
        <w:tc>
          <w:tcPr>
            <w:tcW w:w="1245" w:type="dxa"/>
            <w:tcBorders>
              <w:left w:val="single" w:sz="0" w:space="0" w:color="auto"/>
              <w:bottom w:val="single" w:sz="0" w:space="0" w:color="000000" w:themeColor="text1"/>
              <w:right w:val="single" w:sz="0" w:space="0" w:color="auto"/>
            </w:tcBorders>
            <w:vAlign w:val="center"/>
          </w:tcPr>
          <w:p w14:paraId="0A7AA5FC" w14:textId="77777777" w:rsidR="004412F1" w:rsidRDefault="004412F1"/>
        </w:tc>
        <w:tc>
          <w:tcPr>
            <w:tcW w:w="1245" w:type="dxa"/>
            <w:tcBorders>
              <w:top w:val="nil"/>
              <w:left w:val="nil"/>
              <w:bottom w:val="single" w:sz="8" w:space="0" w:color="auto"/>
              <w:right w:val="single" w:sz="8" w:space="0" w:color="auto"/>
            </w:tcBorders>
            <w:tcMar>
              <w:top w:w="15" w:type="dxa"/>
              <w:left w:w="15" w:type="dxa"/>
              <w:right w:w="15" w:type="dxa"/>
            </w:tcMar>
            <w:vAlign w:val="center"/>
          </w:tcPr>
          <w:p w14:paraId="1E3E7044" w14:textId="77777777" w:rsidR="004412F1" w:rsidRDefault="005A12A3">
            <w:pPr>
              <w:jc w:val="center"/>
              <w:rPr>
                <w:b/>
                <w:bCs/>
                <w:color w:val="000000" w:themeColor="text1"/>
              </w:rPr>
            </w:pPr>
            <w:r>
              <w:rPr>
                <w:b/>
                <w:bCs/>
                <w:color w:val="000000" w:themeColor="text1"/>
              </w:rPr>
              <w:t xml:space="preserve"> km</w:t>
            </w:r>
          </w:p>
        </w:tc>
        <w:tc>
          <w:tcPr>
            <w:tcW w:w="1245" w:type="dxa"/>
            <w:tcBorders>
              <w:left w:val="single" w:sz="0" w:space="0" w:color="auto"/>
              <w:bottom w:val="single" w:sz="0" w:space="0" w:color="000000" w:themeColor="text1"/>
              <w:right w:val="single" w:sz="0" w:space="0" w:color="auto"/>
            </w:tcBorders>
            <w:vAlign w:val="center"/>
          </w:tcPr>
          <w:p w14:paraId="5C65B1A0" w14:textId="77777777" w:rsidR="004412F1" w:rsidRDefault="004412F1"/>
        </w:tc>
        <w:tc>
          <w:tcPr>
            <w:tcW w:w="1245" w:type="dxa"/>
            <w:tcBorders>
              <w:left w:val="single" w:sz="0" w:space="0" w:color="auto"/>
              <w:bottom w:val="single" w:sz="0" w:space="0" w:color="000000" w:themeColor="text1"/>
              <w:right w:val="single" w:sz="0" w:space="0" w:color="auto"/>
            </w:tcBorders>
            <w:vAlign w:val="center"/>
          </w:tcPr>
          <w:p w14:paraId="445C278F" w14:textId="77777777" w:rsidR="004412F1" w:rsidRDefault="004412F1"/>
        </w:tc>
      </w:tr>
      <w:tr w:rsidR="004412F1" w14:paraId="6699E5F9" w14:textId="77777777">
        <w:trPr>
          <w:trHeight w:val="840"/>
        </w:trPr>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9FE302F" w14:textId="77777777" w:rsidR="004412F1" w:rsidRDefault="005A12A3">
            <w:pPr>
              <w:jc w:val="center"/>
              <w:rPr>
                <w:color w:val="000000" w:themeColor="text1"/>
              </w:rPr>
            </w:pPr>
            <w:r>
              <w:rPr>
                <w:color w:val="000000" w:themeColor="text1"/>
              </w:rPr>
              <w:t>3</w:t>
            </w:r>
          </w:p>
        </w:tc>
        <w:tc>
          <w:tcPr>
            <w:tcW w:w="193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078B6A46" w14:textId="77777777" w:rsidR="004412F1" w:rsidRDefault="005A12A3">
            <w:pPr>
              <w:jc w:val="center"/>
              <w:rPr>
                <w:color w:val="000000" w:themeColor="text1"/>
              </w:rPr>
            </w:pPr>
            <w:r>
              <w:rPr>
                <w:color w:val="000000" w:themeColor="text1"/>
              </w:rPr>
              <w:t>Huancayo - Izcuchaca</w:t>
            </w:r>
            <w:r>
              <w:br/>
            </w:r>
            <w:r>
              <w:rPr>
                <w:color w:val="000000" w:themeColor="text1"/>
              </w:rPr>
              <w:t xml:space="preserve"> Tramo 3</w:t>
            </w:r>
          </w:p>
        </w:tc>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0A78A1D3"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0E4DD70" w14:textId="77777777" w:rsidR="004412F1" w:rsidRDefault="005A12A3">
            <w:pPr>
              <w:jc w:val="center"/>
              <w:rPr>
                <w:color w:val="000000" w:themeColor="text1"/>
              </w:rPr>
            </w:pPr>
            <w:r>
              <w:rPr>
                <w:color w:val="000000" w:themeColor="text1"/>
              </w:rPr>
              <w:t>10.08</w:t>
            </w:r>
          </w:p>
        </w:tc>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770FFDF5" w14:textId="77777777" w:rsidR="004412F1" w:rsidRDefault="005A12A3">
            <w:pPr>
              <w:jc w:val="center"/>
              <w:rPr>
                <w:color w:val="000000" w:themeColor="text1"/>
              </w:rPr>
            </w:pPr>
            <w:r>
              <w:rPr>
                <w:color w:val="000000" w:themeColor="text1"/>
              </w:rPr>
              <w:t>-</w:t>
            </w:r>
          </w:p>
        </w:tc>
        <w:tc>
          <w:tcPr>
            <w:tcW w:w="1245"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3B8E8BE7" w14:textId="77777777" w:rsidR="004412F1" w:rsidRDefault="005A12A3">
            <w:pPr>
              <w:jc w:val="center"/>
              <w:rPr>
                <w:color w:val="000000" w:themeColor="text1"/>
              </w:rPr>
            </w:pPr>
            <w:r>
              <w:rPr>
                <w:color w:val="000000" w:themeColor="text1"/>
              </w:rPr>
              <w:t>-</w:t>
            </w:r>
          </w:p>
        </w:tc>
      </w:tr>
      <w:tr w:rsidR="004412F1" w14:paraId="0D05BA4A" w14:textId="77777777">
        <w:trPr>
          <w:trHeight w:val="840"/>
        </w:trPr>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9185F1E" w14:textId="77777777" w:rsidR="004412F1" w:rsidRDefault="005A12A3">
            <w:pPr>
              <w:jc w:val="center"/>
              <w:rPr>
                <w:color w:val="000000" w:themeColor="text1"/>
              </w:rPr>
            </w:pPr>
            <w:r>
              <w:rPr>
                <w:color w:val="000000" w:themeColor="text1"/>
              </w:rPr>
              <w:t>4</w:t>
            </w:r>
          </w:p>
        </w:tc>
        <w:tc>
          <w:tcPr>
            <w:tcW w:w="193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7705DDAF" w14:textId="77777777" w:rsidR="004412F1" w:rsidRDefault="005A12A3">
            <w:pPr>
              <w:jc w:val="center"/>
              <w:rPr>
                <w:color w:val="000000" w:themeColor="text1"/>
              </w:rPr>
            </w:pPr>
            <w:r>
              <w:rPr>
                <w:color w:val="000000" w:themeColor="text1"/>
              </w:rPr>
              <w:t>Huancayo - Izcuchaca</w:t>
            </w:r>
            <w:r>
              <w:br/>
            </w:r>
            <w:r>
              <w:rPr>
                <w:color w:val="000000" w:themeColor="text1"/>
              </w:rPr>
              <w:t xml:space="preserve"> Tramo 4</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7166FF8"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2D25E6C" w14:textId="77777777" w:rsidR="004412F1" w:rsidRDefault="005A12A3">
            <w:pPr>
              <w:jc w:val="center"/>
              <w:rPr>
                <w:color w:val="000000" w:themeColor="text1"/>
              </w:rPr>
            </w:pPr>
            <w:r>
              <w:rPr>
                <w:color w:val="000000" w:themeColor="text1"/>
              </w:rPr>
              <w:t>23.34</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0B7D5391"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61FB9EBE" w14:textId="77777777" w:rsidR="004412F1" w:rsidRDefault="005A12A3">
            <w:pPr>
              <w:jc w:val="center"/>
              <w:rPr>
                <w:color w:val="000000" w:themeColor="text1"/>
              </w:rPr>
            </w:pPr>
            <w:r>
              <w:rPr>
                <w:color w:val="000000" w:themeColor="text1"/>
              </w:rPr>
              <w:t>-</w:t>
            </w:r>
          </w:p>
        </w:tc>
      </w:tr>
      <w:tr w:rsidR="004412F1" w14:paraId="151E6014"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C86580" w14:textId="77777777" w:rsidR="004412F1" w:rsidRDefault="005A12A3">
            <w:pPr>
              <w:jc w:val="center"/>
              <w:rPr>
                <w:color w:val="000000" w:themeColor="text1"/>
              </w:rPr>
            </w:pPr>
            <w:r>
              <w:rPr>
                <w:color w:val="000000" w:themeColor="text1"/>
              </w:rPr>
              <w:t>5</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5EAB751" w14:textId="77777777" w:rsidR="004412F1" w:rsidRDefault="005A12A3">
            <w:pPr>
              <w:rPr>
                <w:rFonts w:eastAsia="Times New Roman"/>
                <w:bCs/>
                <w:szCs w:val="18"/>
                <w:lang w:val="es-ES" w:eastAsia="es-ES"/>
              </w:rPr>
            </w:pPr>
            <w:r>
              <w:rPr>
                <w:color w:val="000000" w:themeColor="text1"/>
              </w:rPr>
              <w:t>Izcuchaca - Mayocc</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8773C6"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712222" w14:textId="77777777" w:rsidR="004412F1" w:rsidRDefault="005A12A3">
            <w:pPr>
              <w:jc w:val="center"/>
              <w:rPr>
                <w:color w:val="000000" w:themeColor="text1"/>
              </w:rPr>
            </w:pPr>
            <w:r>
              <w:rPr>
                <w:color w:val="000000" w:themeColor="text1"/>
              </w:rPr>
              <w:t>115.24</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375CD3"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F0E8C3" w14:textId="77777777" w:rsidR="004412F1" w:rsidRDefault="005A12A3">
            <w:pPr>
              <w:jc w:val="center"/>
              <w:rPr>
                <w:color w:val="000000" w:themeColor="text1"/>
              </w:rPr>
            </w:pPr>
            <w:r>
              <w:rPr>
                <w:color w:val="000000" w:themeColor="text1"/>
              </w:rPr>
              <w:t>-</w:t>
            </w:r>
          </w:p>
        </w:tc>
      </w:tr>
      <w:tr w:rsidR="004412F1" w14:paraId="44D7B1E2" w14:textId="77777777">
        <w:trPr>
          <w:trHeight w:val="30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588D92" w14:textId="77777777" w:rsidR="004412F1" w:rsidRDefault="005A12A3">
            <w:pPr>
              <w:jc w:val="center"/>
              <w:rPr>
                <w:color w:val="000000" w:themeColor="text1"/>
              </w:rPr>
            </w:pPr>
            <w:r>
              <w:rPr>
                <w:color w:val="000000" w:themeColor="text1"/>
              </w:rPr>
              <w:t>6</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53BFD9E" w14:textId="77777777" w:rsidR="004412F1" w:rsidRDefault="005A12A3">
            <w:pPr>
              <w:rPr>
                <w:rFonts w:eastAsia="Times New Roman"/>
                <w:bCs/>
                <w:szCs w:val="18"/>
                <w:lang w:val="es-ES" w:eastAsia="es-ES"/>
              </w:rPr>
            </w:pPr>
            <w:r>
              <w:rPr>
                <w:color w:val="000000" w:themeColor="text1"/>
              </w:rPr>
              <w:t>Mayocc - Huanta</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7D7F99"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94EB51" w14:textId="77777777" w:rsidR="004412F1" w:rsidRDefault="005A12A3">
            <w:pPr>
              <w:jc w:val="center"/>
              <w:rPr>
                <w:rFonts w:eastAsia="Times New Roman"/>
                <w:bCs/>
                <w:color w:val="000000" w:themeColor="text1"/>
                <w:szCs w:val="18"/>
                <w:lang w:val="es-ES" w:eastAsia="es-ES"/>
              </w:rPr>
            </w:pPr>
            <w:r>
              <w:rPr>
                <w:color w:val="000000" w:themeColor="text1"/>
              </w:rPr>
              <w:t>32.75</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14815A"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B34E82" w14:textId="77777777" w:rsidR="004412F1" w:rsidRDefault="005A12A3">
            <w:pPr>
              <w:jc w:val="center"/>
              <w:rPr>
                <w:color w:val="000000" w:themeColor="text1"/>
              </w:rPr>
            </w:pPr>
            <w:r>
              <w:rPr>
                <w:color w:val="000000" w:themeColor="text1"/>
              </w:rPr>
              <w:t>-</w:t>
            </w:r>
          </w:p>
        </w:tc>
      </w:tr>
      <w:tr w:rsidR="004412F1" w14:paraId="7D80CCAC" w14:textId="77777777">
        <w:trPr>
          <w:trHeight w:val="30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1D01115" w14:textId="77777777" w:rsidR="004412F1" w:rsidRDefault="005A12A3">
            <w:pPr>
              <w:jc w:val="center"/>
              <w:rPr>
                <w:color w:val="000000" w:themeColor="text1"/>
              </w:rPr>
            </w:pPr>
            <w:r>
              <w:rPr>
                <w:color w:val="000000" w:themeColor="text1"/>
              </w:rPr>
              <w:t>7</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2C0E46" w14:textId="77777777" w:rsidR="004412F1" w:rsidRDefault="005A12A3">
            <w:pPr>
              <w:rPr>
                <w:rFonts w:eastAsia="Times New Roman"/>
                <w:bCs/>
                <w:szCs w:val="18"/>
                <w:lang w:val="es-ES" w:eastAsia="es-ES"/>
              </w:rPr>
            </w:pPr>
            <w:r>
              <w:rPr>
                <w:color w:val="000000" w:themeColor="text1"/>
              </w:rPr>
              <w:t xml:space="preserve">Huanta - Ayacucho </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2C5D63"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8075D27" w14:textId="77777777" w:rsidR="004412F1" w:rsidRDefault="005A12A3">
            <w:pPr>
              <w:jc w:val="center"/>
              <w:rPr>
                <w:rFonts w:eastAsia="Times New Roman"/>
                <w:bCs/>
                <w:color w:val="000000" w:themeColor="text1"/>
                <w:szCs w:val="18"/>
                <w:lang w:val="es-ES" w:eastAsia="es-ES"/>
              </w:rPr>
            </w:pPr>
            <w:r>
              <w:rPr>
                <w:color w:val="000000" w:themeColor="text1"/>
              </w:rPr>
              <w:t>42.25</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8D983B"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C15DB09" w14:textId="77777777" w:rsidR="004412F1" w:rsidRDefault="005A12A3">
            <w:pPr>
              <w:jc w:val="center"/>
              <w:rPr>
                <w:color w:val="000000" w:themeColor="text1"/>
              </w:rPr>
            </w:pPr>
            <w:r>
              <w:rPr>
                <w:color w:val="000000" w:themeColor="text1"/>
              </w:rPr>
              <w:t>-</w:t>
            </w:r>
          </w:p>
        </w:tc>
      </w:tr>
      <w:tr w:rsidR="004412F1" w14:paraId="79B88886"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38CB9C" w14:textId="77777777" w:rsidR="004412F1" w:rsidRDefault="005A12A3">
            <w:pPr>
              <w:jc w:val="center"/>
              <w:rPr>
                <w:color w:val="000000" w:themeColor="text1"/>
              </w:rPr>
            </w:pPr>
            <w:r>
              <w:rPr>
                <w:color w:val="000000" w:themeColor="text1"/>
              </w:rPr>
              <w:t>9</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E7F385" w14:textId="77777777" w:rsidR="004412F1" w:rsidRDefault="005A12A3">
            <w:r>
              <w:rPr>
                <w:color w:val="000000" w:themeColor="text1"/>
              </w:rPr>
              <w:t>Ayacucho - Abra Tocto</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75F29B"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E91479" w14:textId="77777777" w:rsidR="004412F1" w:rsidRDefault="005A12A3">
            <w:pPr>
              <w:jc w:val="center"/>
              <w:rPr>
                <w:color w:val="000000" w:themeColor="text1"/>
              </w:rPr>
            </w:pPr>
            <w:r>
              <w:rPr>
                <w:color w:val="000000" w:themeColor="text1"/>
              </w:rPr>
              <w:t>48.83</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C36304"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BA4A14" w14:textId="77777777" w:rsidR="004412F1" w:rsidRDefault="005A12A3">
            <w:pPr>
              <w:jc w:val="center"/>
              <w:rPr>
                <w:color w:val="000000" w:themeColor="text1"/>
              </w:rPr>
            </w:pPr>
            <w:r>
              <w:rPr>
                <w:color w:val="000000" w:themeColor="text1"/>
              </w:rPr>
              <w:t>-</w:t>
            </w:r>
          </w:p>
        </w:tc>
      </w:tr>
      <w:tr w:rsidR="004412F1" w14:paraId="16662B6F" w14:textId="77777777">
        <w:trPr>
          <w:trHeight w:val="30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5A83C7" w14:textId="77777777" w:rsidR="004412F1" w:rsidRDefault="005A12A3">
            <w:pPr>
              <w:jc w:val="center"/>
              <w:rPr>
                <w:color w:val="000000" w:themeColor="text1"/>
              </w:rPr>
            </w:pPr>
            <w:r>
              <w:rPr>
                <w:color w:val="000000" w:themeColor="text1"/>
              </w:rPr>
              <w:t>10</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67E2FF4" w14:textId="77777777" w:rsidR="004412F1" w:rsidRDefault="005A12A3">
            <w:pPr>
              <w:rPr>
                <w:rFonts w:eastAsia="Times New Roman"/>
                <w:bCs/>
                <w:szCs w:val="18"/>
                <w:lang w:val="es-ES" w:eastAsia="es-ES"/>
              </w:rPr>
            </w:pPr>
            <w:r>
              <w:rPr>
                <w:color w:val="000000" w:themeColor="text1"/>
              </w:rPr>
              <w:t>Abra Tocto - Ocros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026221"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7B788F" w14:textId="77777777" w:rsidR="004412F1" w:rsidRDefault="005A12A3">
            <w:pPr>
              <w:jc w:val="center"/>
              <w:rPr>
                <w:rFonts w:eastAsia="Times New Roman"/>
                <w:bCs/>
                <w:color w:val="000000" w:themeColor="text1"/>
                <w:szCs w:val="18"/>
                <w:lang w:val="es-ES" w:eastAsia="es-ES"/>
              </w:rPr>
            </w:pPr>
            <w:r>
              <w:rPr>
                <w:color w:val="000000" w:themeColor="text1"/>
              </w:rPr>
              <w:t>48.42</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CCE75B"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D46CFE" w14:textId="77777777" w:rsidR="004412F1" w:rsidRDefault="005A12A3">
            <w:pPr>
              <w:jc w:val="center"/>
              <w:rPr>
                <w:color w:val="000000" w:themeColor="text1"/>
              </w:rPr>
            </w:pPr>
            <w:r>
              <w:rPr>
                <w:color w:val="000000" w:themeColor="text1"/>
              </w:rPr>
              <w:t>-</w:t>
            </w:r>
          </w:p>
        </w:tc>
      </w:tr>
      <w:tr w:rsidR="004412F1" w14:paraId="3E39869A"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9D0F06" w14:textId="77777777" w:rsidR="004412F1" w:rsidRDefault="005A12A3">
            <w:pPr>
              <w:jc w:val="center"/>
              <w:rPr>
                <w:color w:val="000000" w:themeColor="text1"/>
              </w:rPr>
            </w:pPr>
            <w:r>
              <w:rPr>
                <w:color w:val="000000" w:themeColor="text1"/>
              </w:rPr>
              <w:t>11</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C5640E1" w14:textId="77777777" w:rsidR="004412F1" w:rsidRDefault="005A12A3">
            <w:pPr>
              <w:rPr>
                <w:rFonts w:eastAsia="Times New Roman"/>
                <w:bCs/>
                <w:szCs w:val="18"/>
                <w:lang w:val="es-ES" w:eastAsia="es-ES"/>
              </w:rPr>
            </w:pPr>
            <w:r>
              <w:rPr>
                <w:color w:val="000000" w:themeColor="text1"/>
              </w:rPr>
              <w:t>Ocros - Chincheros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03E090"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3CAD2A5" w14:textId="77777777" w:rsidR="004412F1" w:rsidRDefault="005A12A3">
            <w:pPr>
              <w:jc w:val="center"/>
              <w:rPr>
                <w:rFonts w:eastAsia="Times New Roman"/>
                <w:bCs/>
                <w:color w:val="000000" w:themeColor="text1"/>
                <w:szCs w:val="18"/>
                <w:lang w:val="es-ES" w:eastAsia="es-ES"/>
              </w:rPr>
            </w:pPr>
            <w:r>
              <w:rPr>
                <w:color w:val="000000" w:themeColor="text1"/>
              </w:rPr>
              <w:t>55.48</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6FFF814"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DD05EF" w14:textId="77777777" w:rsidR="004412F1" w:rsidRDefault="005A12A3">
            <w:pPr>
              <w:jc w:val="center"/>
              <w:rPr>
                <w:color w:val="000000" w:themeColor="text1"/>
              </w:rPr>
            </w:pPr>
            <w:r>
              <w:rPr>
                <w:color w:val="000000" w:themeColor="text1"/>
              </w:rPr>
              <w:t>-</w:t>
            </w:r>
          </w:p>
        </w:tc>
      </w:tr>
      <w:tr w:rsidR="004412F1" w14:paraId="0FC16721"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EDA78C" w14:textId="77777777" w:rsidR="004412F1" w:rsidRDefault="005A12A3">
            <w:pPr>
              <w:jc w:val="center"/>
              <w:rPr>
                <w:color w:val="000000" w:themeColor="text1"/>
              </w:rPr>
            </w:pPr>
            <w:r>
              <w:rPr>
                <w:color w:val="000000" w:themeColor="text1"/>
              </w:rPr>
              <w:t>12</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418B64" w14:textId="77777777" w:rsidR="004412F1" w:rsidRDefault="005A12A3">
            <w:pPr>
              <w:rPr>
                <w:rFonts w:eastAsia="Times New Roman"/>
                <w:bCs/>
                <w:szCs w:val="18"/>
                <w:lang w:val="es-ES" w:eastAsia="es-ES"/>
              </w:rPr>
            </w:pPr>
            <w:r>
              <w:rPr>
                <w:color w:val="000000" w:themeColor="text1"/>
              </w:rPr>
              <w:t>Chincheros - Abra 1</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C8D3386"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FE7E5D" w14:textId="77777777" w:rsidR="004412F1" w:rsidRDefault="005A12A3">
            <w:pPr>
              <w:jc w:val="center"/>
              <w:rPr>
                <w:color w:val="000000" w:themeColor="text1"/>
              </w:rPr>
            </w:pPr>
            <w:r>
              <w:rPr>
                <w:color w:val="000000" w:themeColor="text1"/>
              </w:rPr>
              <w:t>41.88</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4271BB"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11D265" w14:textId="77777777" w:rsidR="004412F1" w:rsidRDefault="005A12A3">
            <w:pPr>
              <w:jc w:val="center"/>
              <w:rPr>
                <w:color w:val="000000" w:themeColor="text1"/>
              </w:rPr>
            </w:pPr>
            <w:r>
              <w:rPr>
                <w:color w:val="000000" w:themeColor="text1"/>
              </w:rPr>
              <w:t>-</w:t>
            </w:r>
          </w:p>
        </w:tc>
      </w:tr>
      <w:tr w:rsidR="004412F1" w14:paraId="6131C41C"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99E08D3" w14:textId="77777777" w:rsidR="004412F1" w:rsidRDefault="005A12A3">
            <w:pPr>
              <w:jc w:val="center"/>
              <w:rPr>
                <w:color w:val="000000" w:themeColor="text1"/>
              </w:rPr>
            </w:pPr>
            <w:r>
              <w:rPr>
                <w:color w:val="000000" w:themeColor="text1"/>
              </w:rPr>
              <w:t>13</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C54419" w14:textId="77777777" w:rsidR="004412F1" w:rsidRDefault="005A12A3">
            <w:r>
              <w:rPr>
                <w:color w:val="000000" w:themeColor="text1"/>
              </w:rPr>
              <w:t xml:space="preserve">Abra 1 - Andahuaylas </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D22476"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CD913E" w14:textId="77777777" w:rsidR="004412F1" w:rsidRDefault="005A12A3">
            <w:pPr>
              <w:jc w:val="center"/>
              <w:rPr>
                <w:color w:val="000000" w:themeColor="text1"/>
              </w:rPr>
            </w:pPr>
            <w:r>
              <w:rPr>
                <w:color w:val="000000" w:themeColor="text1"/>
              </w:rPr>
              <w:t>42.14</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49D136"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EBEEB7" w14:textId="77777777" w:rsidR="004412F1" w:rsidRDefault="005A12A3">
            <w:pPr>
              <w:jc w:val="center"/>
              <w:rPr>
                <w:color w:val="000000" w:themeColor="text1"/>
              </w:rPr>
            </w:pPr>
            <w:r>
              <w:rPr>
                <w:color w:val="000000" w:themeColor="text1"/>
              </w:rPr>
              <w:t>-</w:t>
            </w:r>
          </w:p>
        </w:tc>
      </w:tr>
      <w:tr w:rsidR="004412F1" w14:paraId="63C69806"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3D5A03" w14:textId="77777777" w:rsidR="004412F1" w:rsidRDefault="005A12A3">
            <w:pPr>
              <w:jc w:val="center"/>
              <w:rPr>
                <w:color w:val="000000" w:themeColor="text1"/>
              </w:rPr>
            </w:pPr>
            <w:r>
              <w:rPr>
                <w:color w:val="000000" w:themeColor="text1"/>
              </w:rPr>
              <w:t>14</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B2F7E3" w14:textId="77777777" w:rsidR="004412F1" w:rsidRDefault="005A12A3">
            <w:pPr>
              <w:rPr>
                <w:rFonts w:eastAsia="Times New Roman"/>
                <w:bCs/>
                <w:szCs w:val="18"/>
                <w:lang w:val="es-ES" w:eastAsia="es-ES"/>
              </w:rPr>
            </w:pPr>
            <w:r>
              <w:rPr>
                <w:color w:val="000000" w:themeColor="text1"/>
              </w:rPr>
              <w:t xml:space="preserve">Andahuaylas  - Dv. Kishuara </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DC8E49"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4B8A06" w14:textId="77777777" w:rsidR="004412F1" w:rsidRDefault="005A12A3">
            <w:pPr>
              <w:jc w:val="center"/>
              <w:rPr>
                <w:color w:val="000000" w:themeColor="text1"/>
              </w:rPr>
            </w:pPr>
            <w:r>
              <w:rPr>
                <w:color w:val="000000" w:themeColor="text1"/>
              </w:rPr>
              <w:t>55.46</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FAB344"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BBFC30" w14:textId="77777777" w:rsidR="004412F1" w:rsidRDefault="005A12A3">
            <w:pPr>
              <w:jc w:val="center"/>
              <w:rPr>
                <w:color w:val="000000" w:themeColor="text1"/>
              </w:rPr>
            </w:pPr>
            <w:r>
              <w:rPr>
                <w:color w:val="000000" w:themeColor="text1"/>
              </w:rPr>
              <w:t>-</w:t>
            </w:r>
          </w:p>
        </w:tc>
      </w:tr>
      <w:tr w:rsidR="004412F1" w14:paraId="43064076" w14:textId="77777777">
        <w:trPr>
          <w:trHeight w:val="57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C30F2C" w14:textId="77777777" w:rsidR="004412F1" w:rsidRDefault="005A12A3">
            <w:pPr>
              <w:jc w:val="center"/>
              <w:rPr>
                <w:color w:val="000000" w:themeColor="text1"/>
              </w:rPr>
            </w:pPr>
            <w:r>
              <w:rPr>
                <w:color w:val="000000" w:themeColor="text1"/>
              </w:rPr>
              <w:t>15</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29E186" w14:textId="77777777" w:rsidR="004412F1" w:rsidRDefault="005A12A3">
            <w:pPr>
              <w:rPr>
                <w:rFonts w:eastAsia="Times New Roman"/>
                <w:bCs/>
                <w:szCs w:val="18"/>
                <w:lang w:val="es-ES" w:eastAsia="es-ES"/>
              </w:rPr>
            </w:pPr>
            <w:r>
              <w:rPr>
                <w:color w:val="000000" w:themeColor="text1"/>
              </w:rPr>
              <w:t>Dv. Kishuara - Puente Sahuinto</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BDCA04" w14:textId="77777777" w:rsidR="004412F1" w:rsidRDefault="005A12A3">
            <w:pPr>
              <w:jc w:val="center"/>
              <w:rPr>
                <w:rFonts w:eastAsia="Times New Roman"/>
                <w:bCs/>
                <w:color w:val="000000" w:themeColor="text1"/>
                <w:szCs w:val="18"/>
                <w:lang w:val="es-ES" w:eastAsia="es-ES"/>
              </w:rPr>
            </w:pPr>
            <w:r>
              <w:rPr>
                <w:color w:val="000000" w:themeColor="text1"/>
              </w:rPr>
              <w:t>PE-3S</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2FBCA5A" w14:textId="77777777" w:rsidR="004412F1" w:rsidRDefault="005A12A3">
            <w:pPr>
              <w:jc w:val="center"/>
              <w:rPr>
                <w:color w:val="000000" w:themeColor="text1"/>
              </w:rPr>
            </w:pPr>
            <w:r>
              <w:rPr>
                <w:color w:val="000000" w:themeColor="text1"/>
              </w:rPr>
              <w:t>76.08</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08EC2CD"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D3FFB9" w14:textId="77777777" w:rsidR="004412F1" w:rsidRDefault="005A12A3">
            <w:pPr>
              <w:jc w:val="center"/>
              <w:rPr>
                <w:color w:val="000000" w:themeColor="text1"/>
              </w:rPr>
            </w:pPr>
            <w:r>
              <w:rPr>
                <w:color w:val="000000" w:themeColor="text1"/>
              </w:rPr>
              <w:t>-</w:t>
            </w:r>
          </w:p>
        </w:tc>
      </w:tr>
      <w:tr w:rsidR="004412F1" w14:paraId="7AEF84E7" w14:textId="77777777">
        <w:trPr>
          <w:trHeight w:val="84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E3CA0E" w14:textId="77777777" w:rsidR="004412F1" w:rsidRDefault="005A12A3">
            <w:pPr>
              <w:jc w:val="center"/>
              <w:rPr>
                <w:color w:val="000000" w:themeColor="text1"/>
              </w:rPr>
            </w:pPr>
            <w:r>
              <w:rPr>
                <w:color w:val="000000" w:themeColor="text1"/>
              </w:rPr>
              <w:t>17</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ACB5718" w14:textId="77777777" w:rsidR="004412F1" w:rsidRDefault="005A12A3">
            <w:pPr>
              <w:rPr>
                <w:rFonts w:eastAsia="Times New Roman"/>
                <w:bCs/>
                <w:szCs w:val="18"/>
                <w:lang w:val="es-ES" w:eastAsia="es-ES"/>
              </w:rPr>
            </w:pPr>
            <w:r>
              <w:rPr>
                <w:color w:val="000000" w:themeColor="text1"/>
              </w:rPr>
              <w:t>San Clemente - Puente Choclococha</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5D93604" w14:textId="77777777" w:rsidR="004412F1" w:rsidRDefault="005A12A3">
            <w:pPr>
              <w:jc w:val="center"/>
              <w:rPr>
                <w:rFonts w:eastAsia="Times New Roman"/>
                <w:bCs/>
                <w:color w:val="000000" w:themeColor="text1"/>
                <w:szCs w:val="18"/>
                <w:lang w:val="es-ES" w:eastAsia="es-ES"/>
              </w:rPr>
            </w:pPr>
            <w:r>
              <w:rPr>
                <w:color w:val="000000" w:themeColor="text1"/>
              </w:rPr>
              <w:t>PE-28A</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FA32DC" w14:textId="77777777" w:rsidR="004412F1" w:rsidRDefault="005A12A3">
            <w:pPr>
              <w:jc w:val="center"/>
              <w:rPr>
                <w:color w:val="000000" w:themeColor="text1"/>
              </w:rPr>
            </w:pPr>
            <w:r>
              <w:rPr>
                <w:color w:val="000000" w:themeColor="text1"/>
              </w:rPr>
              <w:t>164.01</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17E01FC"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1ECEC8" w14:textId="77777777" w:rsidR="004412F1" w:rsidRDefault="005A12A3">
            <w:pPr>
              <w:jc w:val="center"/>
              <w:rPr>
                <w:color w:val="000000" w:themeColor="text1"/>
              </w:rPr>
            </w:pPr>
            <w:r>
              <w:rPr>
                <w:color w:val="000000" w:themeColor="text1"/>
              </w:rPr>
              <w:t>-</w:t>
            </w:r>
          </w:p>
        </w:tc>
      </w:tr>
      <w:tr w:rsidR="004412F1" w14:paraId="7D689941" w14:textId="77777777">
        <w:trPr>
          <w:trHeight w:val="840"/>
        </w:trPr>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CA7F3D" w14:textId="77777777" w:rsidR="004412F1" w:rsidRDefault="005A12A3">
            <w:pPr>
              <w:jc w:val="center"/>
              <w:rPr>
                <w:color w:val="000000" w:themeColor="text1"/>
              </w:rPr>
            </w:pPr>
            <w:r>
              <w:rPr>
                <w:color w:val="000000" w:themeColor="text1"/>
              </w:rPr>
              <w:t>18</w:t>
            </w:r>
          </w:p>
        </w:tc>
        <w:tc>
          <w:tcPr>
            <w:tcW w:w="193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802199" w14:textId="77777777" w:rsidR="004412F1" w:rsidRDefault="005A12A3">
            <w:pPr>
              <w:rPr>
                <w:rFonts w:eastAsia="Times New Roman"/>
                <w:bCs/>
                <w:szCs w:val="18"/>
                <w:lang w:val="es-ES" w:eastAsia="es-ES"/>
              </w:rPr>
            </w:pPr>
            <w:r>
              <w:rPr>
                <w:color w:val="000000" w:themeColor="text1"/>
              </w:rPr>
              <w:t xml:space="preserve">Puente Choclococha - Ayacucho </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95CDA3" w14:textId="77777777" w:rsidR="004412F1" w:rsidRDefault="005A12A3">
            <w:pPr>
              <w:jc w:val="center"/>
              <w:rPr>
                <w:rFonts w:eastAsia="Times New Roman"/>
                <w:bCs/>
                <w:color w:val="000000" w:themeColor="text1"/>
                <w:szCs w:val="18"/>
                <w:lang w:val="es-ES" w:eastAsia="es-ES"/>
              </w:rPr>
            </w:pPr>
            <w:r>
              <w:rPr>
                <w:color w:val="000000" w:themeColor="text1"/>
              </w:rPr>
              <w:t>PE-28A</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FEC500" w14:textId="77777777" w:rsidR="004412F1" w:rsidRDefault="005A12A3">
            <w:pPr>
              <w:jc w:val="center"/>
              <w:rPr>
                <w:color w:val="000000" w:themeColor="text1"/>
              </w:rPr>
            </w:pPr>
            <w:r>
              <w:rPr>
                <w:color w:val="000000" w:themeColor="text1"/>
              </w:rPr>
              <w:t>165.82</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D86239" w14:textId="77777777" w:rsidR="004412F1" w:rsidRDefault="005A12A3">
            <w:pPr>
              <w:jc w:val="center"/>
              <w:rPr>
                <w:color w:val="000000" w:themeColor="text1"/>
              </w:rPr>
            </w:pPr>
            <w:r>
              <w:rPr>
                <w:color w:val="000000" w:themeColor="text1"/>
              </w:rPr>
              <w:t>-</w:t>
            </w:r>
          </w:p>
        </w:tc>
        <w:tc>
          <w:tcPr>
            <w:tcW w:w="124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3CFAA6" w14:textId="77777777" w:rsidR="004412F1" w:rsidRDefault="005A12A3">
            <w:pPr>
              <w:jc w:val="center"/>
              <w:rPr>
                <w:color w:val="000000" w:themeColor="text1"/>
              </w:rPr>
            </w:pPr>
            <w:r>
              <w:rPr>
                <w:color w:val="000000" w:themeColor="text1"/>
              </w:rPr>
              <w:t>-</w:t>
            </w:r>
          </w:p>
        </w:tc>
      </w:tr>
      <w:tr w:rsidR="004412F1" w14:paraId="656AEC29" w14:textId="77777777">
        <w:trPr>
          <w:trHeight w:val="300"/>
        </w:trPr>
        <w:tc>
          <w:tcPr>
            <w:tcW w:w="4425" w:type="dxa"/>
            <w:gridSpan w:val="3"/>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30CC427C" w14:textId="77777777" w:rsidR="004412F1" w:rsidRDefault="005A12A3">
            <w:pPr>
              <w:jc w:val="center"/>
              <w:rPr>
                <w:color w:val="000000" w:themeColor="text1"/>
              </w:rPr>
            </w:pPr>
            <w:r>
              <w:rPr>
                <w:color w:val="000000" w:themeColor="text1"/>
              </w:rPr>
              <w:t>Total</w:t>
            </w:r>
          </w:p>
        </w:tc>
        <w:tc>
          <w:tcPr>
            <w:tcW w:w="1245"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71F49DE" w14:textId="77777777" w:rsidR="004412F1" w:rsidRDefault="005A12A3">
            <w:pPr>
              <w:jc w:val="center"/>
              <w:rPr>
                <w:color w:val="000000" w:themeColor="text1"/>
              </w:rPr>
            </w:pPr>
            <w:r>
              <w:rPr>
                <w:color w:val="000000" w:themeColor="text1"/>
              </w:rPr>
              <w:t>921.78</w:t>
            </w:r>
          </w:p>
        </w:tc>
        <w:tc>
          <w:tcPr>
            <w:tcW w:w="2490" w:type="dxa"/>
            <w:gridSpan w:val="2"/>
            <w:tcBorders>
              <w:top w:val="single" w:sz="8" w:space="0" w:color="auto"/>
              <w:left w:val="single" w:sz="8" w:space="0" w:color="auto"/>
              <w:bottom w:val="nil"/>
              <w:right w:val="nil"/>
            </w:tcBorders>
            <w:tcMar>
              <w:top w:w="15" w:type="dxa"/>
              <w:left w:w="15" w:type="dxa"/>
              <w:right w:w="15" w:type="dxa"/>
            </w:tcMar>
            <w:vAlign w:val="center"/>
          </w:tcPr>
          <w:p w14:paraId="766193AD" w14:textId="77777777" w:rsidR="004412F1" w:rsidRDefault="004412F1">
            <w:pPr>
              <w:rPr>
                <w:color w:val="000000" w:themeColor="text1"/>
              </w:rPr>
            </w:pPr>
          </w:p>
          <w:p w14:paraId="186B3F5F" w14:textId="77777777" w:rsidR="004412F1" w:rsidRDefault="004412F1">
            <w:pPr>
              <w:rPr>
                <w:color w:val="000000" w:themeColor="text1"/>
              </w:rPr>
            </w:pPr>
          </w:p>
        </w:tc>
      </w:tr>
    </w:tbl>
    <w:p w14:paraId="51F2DA21" w14:textId="77777777" w:rsidR="004412F1" w:rsidRDefault="004412F1">
      <w:pPr>
        <w:sectPr w:rsidR="004412F1">
          <w:headerReference w:type="default" r:id="rId10"/>
          <w:footerReference w:type="even" r:id="rId11"/>
          <w:footerReference w:type="default" r:id="rId12"/>
          <w:footerReference w:type="first" r:id="rId13"/>
          <w:pgSz w:w="11907" w:h="16840"/>
          <w:pgMar w:top="1418" w:right="1701" w:bottom="1418" w:left="1701" w:header="720" w:footer="720" w:gutter="0"/>
          <w:pgNumType w:start="1"/>
          <w:cols w:space="720"/>
        </w:sectPr>
      </w:pPr>
    </w:p>
    <w:p w14:paraId="6CA6F9C7" w14:textId="77777777" w:rsidR="004412F1" w:rsidRDefault="005A12A3">
      <w:pPr>
        <w:pStyle w:val="Ttulo2"/>
        <w:ind w:hanging="964"/>
        <w:jc w:val="center"/>
        <w:rPr>
          <w:rFonts w:ascii="Arial" w:eastAsia="Arial" w:hAnsi="Arial"/>
          <w:b/>
          <w:smallCaps/>
          <w:color w:val="000000"/>
          <w:sz w:val="30"/>
          <w:u w:val="none"/>
        </w:rPr>
      </w:pPr>
      <w:bookmarkStart w:id="2731" w:name="_Apéndice_2"/>
      <w:bookmarkStart w:id="2732" w:name="_Toc139294834"/>
      <w:bookmarkStart w:id="2733" w:name="_Toc468837726"/>
      <w:bookmarkStart w:id="2734" w:name="_Ref272506814"/>
      <w:bookmarkStart w:id="2735" w:name="_Toc140089438"/>
      <w:bookmarkEnd w:id="2731"/>
      <w:r>
        <w:rPr>
          <w:rFonts w:ascii="Arial" w:eastAsia="Arial" w:hAnsi="Arial"/>
          <w:b/>
          <w:color w:val="000000"/>
          <w:sz w:val="30"/>
          <w:u w:val="none"/>
        </w:rPr>
        <w:t>Apéndice 2</w:t>
      </w:r>
      <w:bookmarkEnd w:id="2732"/>
      <w:bookmarkEnd w:id="2733"/>
      <w:bookmarkEnd w:id="2734"/>
      <w:bookmarkEnd w:id="2735"/>
    </w:p>
    <w:p w14:paraId="5CC946AB" w14:textId="77777777" w:rsidR="004412F1" w:rsidRDefault="004412F1">
      <w:pPr>
        <w:jc w:val="center"/>
        <w:rPr>
          <w:b/>
        </w:rPr>
      </w:pPr>
    </w:p>
    <w:p w14:paraId="30A9063B" w14:textId="77777777" w:rsidR="004412F1" w:rsidRPr="0059350F" w:rsidRDefault="005A12A3" w:rsidP="0059350F">
      <w:pPr>
        <w:ind w:left="567"/>
        <w:jc w:val="center"/>
        <w:outlineLvl w:val="1"/>
        <w:rPr>
          <w:b/>
          <w:sz w:val="24"/>
          <w:szCs w:val="24"/>
          <w:lang w:val="es-PE"/>
        </w:rPr>
      </w:pPr>
      <w:bookmarkStart w:id="2736" w:name="_Toc468837727"/>
      <w:bookmarkStart w:id="2737" w:name="_Toc140089439"/>
      <w:r w:rsidRPr="0059350F">
        <w:rPr>
          <w:b/>
          <w:sz w:val="24"/>
          <w:szCs w:val="24"/>
          <w:lang w:val="es-PE"/>
        </w:rPr>
        <w:t>Parámetros de Condición y Niveles de Servicio Individuales exigibles para el control de la gestión del Concesionario de la Carretera Longitudinal de la Sierra Tramo 4</w:t>
      </w:r>
      <w:bookmarkEnd w:id="2736"/>
      <w:bookmarkEnd w:id="2737"/>
    </w:p>
    <w:p w14:paraId="5F60E5CA" w14:textId="77777777" w:rsidR="004412F1" w:rsidRDefault="004412F1">
      <w:pPr>
        <w:jc w:val="center"/>
        <w:rPr>
          <w:b/>
          <w:lang w:val="es-PE"/>
        </w:rPr>
      </w:pPr>
    </w:p>
    <w:p w14:paraId="235C66DA" w14:textId="77777777" w:rsidR="004412F1" w:rsidRDefault="005A12A3">
      <w:pPr>
        <w:jc w:val="center"/>
        <w:rPr>
          <w:rFonts w:eastAsia="Times New Roman"/>
          <w:b/>
          <w:bCs/>
          <w:szCs w:val="18"/>
          <w:lang w:val="es-ES" w:eastAsia="es-ES"/>
        </w:rPr>
      </w:pPr>
      <w:r>
        <w:rPr>
          <w:b/>
          <w:lang w:val="es-PE"/>
        </w:rPr>
        <w:t>(Niveles de Servicio individuales y plazos de respuesta)</w:t>
      </w:r>
    </w:p>
    <w:p w14:paraId="2AE28553" w14:textId="77777777" w:rsidR="004412F1" w:rsidRDefault="004412F1">
      <w:pPr>
        <w:jc w:val="both"/>
        <w:rPr>
          <w:lang w:val="es-PE"/>
        </w:rPr>
      </w:pPr>
    </w:p>
    <w:p w14:paraId="4F21899B" w14:textId="77777777" w:rsidR="004412F1" w:rsidRDefault="004412F1">
      <w:pPr>
        <w:jc w:val="center"/>
        <w:rPr>
          <w:lang w:val="es-PE"/>
        </w:rPr>
      </w:pPr>
    </w:p>
    <w:p w14:paraId="54A8F1F3" w14:textId="77777777" w:rsidR="004412F1" w:rsidRDefault="004412F1">
      <w:pPr>
        <w:rPr>
          <w:lang w:val="es-PE"/>
        </w:rPr>
      </w:pPr>
    </w:p>
    <w:p w14:paraId="7056CDAB" w14:textId="77777777" w:rsidR="004412F1" w:rsidRDefault="004412F1">
      <w:pPr>
        <w:rPr>
          <w:lang w:val="es-PE"/>
        </w:rPr>
      </w:pPr>
    </w:p>
    <w:p w14:paraId="4D1D0385" w14:textId="77777777" w:rsidR="004412F1" w:rsidRDefault="004412F1">
      <w:pPr>
        <w:rPr>
          <w:lang w:val="es-PE"/>
        </w:rPr>
      </w:pPr>
    </w:p>
    <w:p w14:paraId="6D1CDC75" w14:textId="77777777" w:rsidR="004412F1" w:rsidRDefault="004412F1">
      <w:pPr>
        <w:rPr>
          <w:lang w:val="es-PE"/>
        </w:rPr>
      </w:pPr>
    </w:p>
    <w:p w14:paraId="074257DD" w14:textId="77777777" w:rsidR="004412F1" w:rsidRDefault="004412F1">
      <w:pPr>
        <w:rPr>
          <w:lang w:val="es-PE"/>
        </w:rPr>
      </w:pPr>
    </w:p>
    <w:p w14:paraId="1731675E" w14:textId="77777777" w:rsidR="004412F1" w:rsidRDefault="004412F1">
      <w:pPr>
        <w:rPr>
          <w:lang w:val="es-PE"/>
        </w:rPr>
      </w:pPr>
    </w:p>
    <w:p w14:paraId="5D574FD2" w14:textId="77777777" w:rsidR="004412F1" w:rsidRDefault="004412F1">
      <w:pPr>
        <w:rPr>
          <w:lang w:val="es-PE"/>
        </w:rPr>
      </w:pPr>
    </w:p>
    <w:p w14:paraId="799E20D9" w14:textId="77777777" w:rsidR="004412F1" w:rsidRDefault="004412F1">
      <w:pPr>
        <w:rPr>
          <w:lang w:val="es-PE"/>
        </w:rPr>
      </w:pPr>
    </w:p>
    <w:p w14:paraId="425F24CF" w14:textId="77777777" w:rsidR="004412F1" w:rsidRDefault="004412F1">
      <w:pPr>
        <w:rPr>
          <w:lang w:val="es-PE"/>
        </w:rPr>
      </w:pPr>
    </w:p>
    <w:p w14:paraId="5713FC54" w14:textId="77777777" w:rsidR="004412F1" w:rsidRDefault="004412F1">
      <w:pPr>
        <w:rPr>
          <w:lang w:val="es-PE"/>
        </w:rPr>
      </w:pPr>
    </w:p>
    <w:p w14:paraId="34C40845" w14:textId="77777777" w:rsidR="004412F1" w:rsidRDefault="004412F1">
      <w:pPr>
        <w:rPr>
          <w:lang w:val="es-PE"/>
        </w:rPr>
      </w:pPr>
    </w:p>
    <w:p w14:paraId="5F7E0C2B" w14:textId="77777777" w:rsidR="004412F1" w:rsidRDefault="004412F1">
      <w:pPr>
        <w:rPr>
          <w:lang w:val="es-PE"/>
        </w:rPr>
      </w:pPr>
    </w:p>
    <w:p w14:paraId="01A5A3F1" w14:textId="77777777" w:rsidR="004412F1" w:rsidRDefault="004412F1">
      <w:pPr>
        <w:rPr>
          <w:lang w:val="es-PE"/>
        </w:rPr>
      </w:pPr>
    </w:p>
    <w:p w14:paraId="4A8F119E" w14:textId="77777777" w:rsidR="004412F1" w:rsidRDefault="004412F1">
      <w:pPr>
        <w:rPr>
          <w:lang w:val="es-PE"/>
        </w:rPr>
      </w:pPr>
    </w:p>
    <w:p w14:paraId="6DA3B5A9" w14:textId="77777777" w:rsidR="004412F1" w:rsidRDefault="004412F1">
      <w:pPr>
        <w:rPr>
          <w:lang w:val="es-PE"/>
        </w:rPr>
      </w:pPr>
    </w:p>
    <w:p w14:paraId="3C7D02D7" w14:textId="77777777" w:rsidR="004412F1" w:rsidRDefault="004412F1">
      <w:pPr>
        <w:rPr>
          <w:lang w:val="es-PE"/>
        </w:rPr>
      </w:pPr>
    </w:p>
    <w:p w14:paraId="22E2C20E" w14:textId="77777777" w:rsidR="004412F1" w:rsidRDefault="004412F1">
      <w:pPr>
        <w:rPr>
          <w:lang w:val="es-PE"/>
        </w:rPr>
      </w:pPr>
    </w:p>
    <w:p w14:paraId="703B65A8" w14:textId="77777777" w:rsidR="004412F1" w:rsidRDefault="004412F1">
      <w:pPr>
        <w:jc w:val="center"/>
        <w:rPr>
          <w:lang w:val="es-PE"/>
        </w:rPr>
      </w:pPr>
    </w:p>
    <w:p w14:paraId="31B7BE51" w14:textId="77777777" w:rsidR="004412F1" w:rsidRDefault="004412F1">
      <w:pPr>
        <w:rPr>
          <w:lang w:val="es-PE"/>
        </w:rPr>
      </w:pPr>
    </w:p>
    <w:p w14:paraId="710CECA2" w14:textId="77777777" w:rsidR="004412F1" w:rsidRDefault="004412F1">
      <w:pPr>
        <w:rPr>
          <w:lang w:val="es-PE"/>
        </w:rPr>
      </w:pPr>
    </w:p>
    <w:p w14:paraId="17DF006F" w14:textId="77777777" w:rsidR="004412F1" w:rsidRDefault="004412F1">
      <w:pPr>
        <w:rPr>
          <w:lang w:val="es-PE"/>
        </w:rPr>
      </w:pPr>
    </w:p>
    <w:p w14:paraId="61206648" w14:textId="77777777" w:rsidR="004412F1" w:rsidRDefault="004412F1">
      <w:pPr>
        <w:rPr>
          <w:lang w:val="es-PE"/>
        </w:rPr>
      </w:pPr>
    </w:p>
    <w:p w14:paraId="3300CEB2" w14:textId="77777777" w:rsidR="004412F1" w:rsidRDefault="004412F1">
      <w:pPr>
        <w:rPr>
          <w:lang w:val="es-PE"/>
        </w:rPr>
      </w:pPr>
    </w:p>
    <w:p w14:paraId="410643C7" w14:textId="77777777" w:rsidR="004412F1" w:rsidRDefault="004412F1">
      <w:pPr>
        <w:rPr>
          <w:lang w:val="es-PE"/>
        </w:rPr>
      </w:pPr>
    </w:p>
    <w:p w14:paraId="2862FD37" w14:textId="77777777" w:rsidR="004412F1" w:rsidRDefault="004412F1">
      <w:pPr>
        <w:rPr>
          <w:lang w:val="es-PE"/>
        </w:rPr>
      </w:pPr>
    </w:p>
    <w:p w14:paraId="7898EB3D" w14:textId="77777777" w:rsidR="004412F1" w:rsidRDefault="004412F1">
      <w:pPr>
        <w:rPr>
          <w:lang w:val="es-PE"/>
        </w:rPr>
      </w:pPr>
    </w:p>
    <w:p w14:paraId="1D856F36" w14:textId="77777777" w:rsidR="004412F1" w:rsidRDefault="004412F1">
      <w:pPr>
        <w:rPr>
          <w:lang w:val="es-PE"/>
        </w:rPr>
      </w:pPr>
    </w:p>
    <w:p w14:paraId="23081B66" w14:textId="77777777" w:rsidR="004412F1" w:rsidRDefault="004412F1">
      <w:pPr>
        <w:rPr>
          <w:lang w:val="es-PE"/>
        </w:rPr>
      </w:pPr>
    </w:p>
    <w:p w14:paraId="090FD50D" w14:textId="77777777" w:rsidR="004412F1" w:rsidRDefault="004412F1">
      <w:pPr>
        <w:rPr>
          <w:lang w:val="es-PE"/>
        </w:rPr>
      </w:pPr>
    </w:p>
    <w:p w14:paraId="3F6D01A7" w14:textId="77777777" w:rsidR="004412F1" w:rsidRDefault="004412F1">
      <w:pPr>
        <w:rPr>
          <w:lang w:val="es-PE"/>
        </w:rPr>
      </w:pPr>
    </w:p>
    <w:p w14:paraId="53E54AC5" w14:textId="77777777" w:rsidR="004412F1" w:rsidRDefault="004412F1">
      <w:pPr>
        <w:rPr>
          <w:lang w:val="es-PE"/>
        </w:rPr>
      </w:pPr>
    </w:p>
    <w:p w14:paraId="1E723F03" w14:textId="77777777" w:rsidR="004412F1" w:rsidRDefault="004412F1">
      <w:pPr>
        <w:rPr>
          <w:lang w:val="es-PE"/>
        </w:rPr>
      </w:pPr>
    </w:p>
    <w:p w14:paraId="1FE80898" w14:textId="77777777" w:rsidR="004412F1" w:rsidRDefault="004412F1">
      <w:pPr>
        <w:rPr>
          <w:lang w:val="es-PE"/>
        </w:rPr>
      </w:pPr>
    </w:p>
    <w:p w14:paraId="239E7308" w14:textId="77777777" w:rsidR="004412F1" w:rsidRDefault="004412F1">
      <w:pPr>
        <w:rPr>
          <w:lang w:val="es-PE"/>
        </w:rPr>
      </w:pPr>
    </w:p>
    <w:p w14:paraId="10AFBC25" w14:textId="77777777" w:rsidR="004412F1" w:rsidRDefault="004412F1">
      <w:pPr>
        <w:jc w:val="center"/>
        <w:rPr>
          <w:lang w:val="es-PE"/>
        </w:rPr>
      </w:pPr>
    </w:p>
    <w:p w14:paraId="40D1A0CC" w14:textId="77777777" w:rsidR="004412F1" w:rsidRDefault="004412F1">
      <w:pPr>
        <w:jc w:val="center"/>
        <w:rPr>
          <w:lang w:val="es-PE"/>
        </w:rPr>
      </w:pPr>
    </w:p>
    <w:p w14:paraId="45128548" w14:textId="77777777" w:rsidR="004412F1" w:rsidRDefault="004412F1">
      <w:pPr>
        <w:jc w:val="center"/>
        <w:rPr>
          <w:lang w:val="es-PE"/>
        </w:rPr>
      </w:pPr>
    </w:p>
    <w:p w14:paraId="728FE675" w14:textId="77777777" w:rsidR="004412F1" w:rsidRDefault="004412F1">
      <w:pPr>
        <w:jc w:val="center"/>
        <w:rPr>
          <w:lang w:val="es-PE"/>
        </w:rPr>
      </w:pPr>
    </w:p>
    <w:p w14:paraId="15890567" w14:textId="77777777" w:rsidR="004412F1" w:rsidRDefault="004412F1">
      <w:pPr>
        <w:jc w:val="center"/>
        <w:rPr>
          <w:lang w:val="es-PE"/>
        </w:rPr>
      </w:pPr>
    </w:p>
    <w:p w14:paraId="44A0ED4D" w14:textId="77777777" w:rsidR="004412F1" w:rsidRDefault="004412F1">
      <w:pPr>
        <w:jc w:val="center"/>
        <w:rPr>
          <w:lang w:val="es-PE"/>
        </w:rPr>
      </w:pPr>
    </w:p>
    <w:p w14:paraId="6CBC753E" w14:textId="77777777" w:rsidR="004412F1" w:rsidRDefault="004412F1">
      <w:pPr>
        <w:jc w:val="center"/>
        <w:rPr>
          <w:lang w:val="es-PE"/>
        </w:rPr>
      </w:pPr>
    </w:p>
    <w:p w14:paraId="14EAB64D" w14:textId="77777777" w:rsidR="004412F1" w:rsidRDefault="004412F1">
      <w:pPr>
        <w:jc w:val="center"/>
        <w:rPr>
          <w:lang w:val="es-PE"/>
        </w:rPr>
      </w:pPr>
    </w:p>
    <w:p w14:paraId="0B60554F" w14:textId="77777777" w:rsidR="004412F1" w:rsidRDefault="004412F1">
      <w:pPr>
        <w:jc w:val="center"/>
        <w:rPr>
          <w:lang w:val="es-PE"/>
        </w:rPr>
      </w:pPr>
    </w:p>
    <w:p w14:paraId="09B5670F" w14:textId="77777777" w:rsidR="004412F1" w:rsidRDefault="004412F1">
      <w:pPr>
        <w:jc w:val="center"/>
        <w:rPr>
          <w:lang w:val="es-PE"/>
        </w:rPr>
      </w:pPr>
    </w:p>
    <w:p w14:paraId="0F3F5623" w14:textId="77777777" w:rsidR="004412F1" w:rsidRDefault="004412F1">
      <w:pPr>
        <w:jc w:val="center"/>
        <w:rPr>
          <w:lang w:val="es-PE"/>
        </w:rPr>
      </w:pPr>
    </w:p>
    <w:p w14:paraId="0BD82C39" w14:textId="77777777" w:rsidR="004412F1" w:rsidRDefault="004412F1">
      <w:pPr>
        <w:jc w:val="center"/>
        <w:rPr>
          <w:lang w:val="es-PE"/>
        </w:rPr>
      </w:pPr>
    </w:p>
    <w:tbl>
      <w:tblPr>
        <w:tblW w:w="0" w:type="auto"/>
        <w:tblInd w:w="60" w:type="dxa"/>
        <w:tblLayout w:type="fixed"/>
        <w:tblLook w:val="04A0" w:firstRow="1" w:lastRow="0" w:firstColumn="1" w:lastColumn="0" w:noHBand="0" w:noVBand="1"/>
      </w:tblPr>
      <w:tblGrid>
        <w:gridCol w:w="1656"/>
        <w:gridCol w:w="1977"/>
        <w:gridCol w:w="1058"/>
        <w:gridCol w:w="1336"/>
        <w:gridCol w:w="1141"/>
        <w:gridCol w:w="1336"/>
      </w:tblGrid>
      <w:tr w:rsidR="004412F1" w14:paraId="4CA2D9CF" w14:textId="77777777">
        <w:trPr>
          <w:trHeight w:val="495"/>
        </w:trPr>
        <w:tc>
          <w:tcPr>
            <w:tcW w:w="8504"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7F254053" w14:textId="77777777" w:rsidR="004412F1" w:rsidRDefault="005A12A3">
            <w:pPr>
              <w:jc w:val="center"/>
              <w:rPr>
                <w:rFonts w:ascii="Calibri" w:hAnsi="Calibri"/>
                <w:b/>
                <w:sz w:val="20"/>
                <w:lang w:val="es"/>
              </w:rPr>
            </w:pPr>
            <w:r>
              <w:rPr>
                <w:rFonts w:ascii="Calibri" w:hAnsi="Calibri"/>
                <w:b/>
                <w:sz w:val="20"/>
                <w:lang w:val="es"/>
              </w:rPr>
              <w:t>Niveles de Servicio para:</w:t>
            </w:r>
          </w:p>
          <w:p w14:paraId="5321A424"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Superficie de rodadura</w:t>
            </w:r>
          </w:p>
        </w:tc>
      </w:tr>
      <w:tr w:rsidR="004412F1" w14:paraId="6E77D7F4" w14:textId="77777777">
        <w:trPr>
          <w:trHeight w:val="300"/>
        </w:trPr>
        <w:tc>
          <w:tcPr>
            <w:tcW w:w="1656" w:type="dxa"/>
            <w:vMerge w:val="restart"/>
            <w:tcBorders>
              <w:top w:val="single" w:sz="8" w:space="0" w:color="auto"/>
              <w:left w:val="single" w:sz="8" w:space="0" w:color="auto"/>
              <w:bottom w:val="single" w:sz="8" w:space="0" w:color="000000" w:themeColor="text1"/>
              <w:right w:val="single" w:sz="8" w:space="0" w:color="000000" w:themeColor="text1"/>
            </w:tcBorders>
            <w:shd w:val="clear" w:color="auto" w:fill="D6E3BC" w:themeFill="accent3" w:themeFillTint="66"/>
            <w:tcMar>
              <w:left w:w="70" w:type="dxa"/>
              <w:right w:w="70" w:type="dxa"/>
            </w:tcMar>
            <w:vAlign w:val="center"/>
          </w:tcPr>
          <w:p w14:paraId="1E8AC726"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1977" w:type="dxa"/>
            <w:vMerge w:val="restart"/>
            <w:tcBorders>
              <w:top w:val="nil"/>
              <w:left w:val="single" w:sz="8" w:space="0" w:color="auto"/>
              <w:bottom w:val="single" w:sz="8" w:space="0" w:color="000000" w:themeColor="text1"/>
              <w:right w:val="single" w:sz="8" w:space="0" w:color="auto"/>
            </w:tcBorders>
            <w:shd w:val="clear" w:color="auto" w:fill="D6E3BC" w:themeFill="accent3" w:themeFillTint="66"/>
            <w:tcMar>
              <w:left w:w="70" w:type="dxa"/>
              <w:right w:w="70" w:type="dxa"/>
            </w:tcMar>
            <w:vAlign w:val="center"/>
          </w:tcPr>
          <w:p w14:paraId="4D06B453"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394" w:type="dxa"/>
            <w:gridSpan w:val="2"/>
            <w:tcBorders>
              <w:top w:val="nil"/>
              <w:left w:val="single" w:sz="8" w:space="0" w:color="auto"/>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1540C4D9"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477" w:type="dxa"/>
            <w:gridSpan w:val="2"/>
            <w:tcBorders>
              <w:top w:val="nil"/>
              <w:left w:val="nil"/>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70CC7380"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7A731A51" w14:textId="77777777">
        <w:trPr>
          <w:trHeight w:val="300"/>
        </w:trPr>
        <w:tc>
          <w:tcPr>
            <w:tcW w:w="1656" w:type="dxa"/>
            <w:vMerge/>
            <w:tcBorders>
              <w:left w:val="single" w:sz="0" w:space="0" w:color="auto"/>
              <w:bottom w:val="single" w:sz="0" w:space="0" w:color="000000" w:themeColor="text1"/>
              <w:right w:val="single" w:sz="0" w:space="0" w:color="auto"/>
            </w:tcBorders>
            <w:vAlign w:val="center"/>
          </w:tcPr>
          <w:p w14:paraId="06A49F8F" w14:textId="77777777" w:rsidR="004412F1" w:rsidRDefault="004412F1"/>
        </w:tc>
        <w:tc>
          <w:tcPr>
            <w:tcW w:w="1977" w:type="dxa"/>
            <w:vMerge/>
            <w:tcBorders>
              <w:left w:val="single" w:sz="0" w:space="0" w:color="auto"/>
              <w:bottom w:val="single" w:sz="0" w:space="0" w:color="000000" w:themeColor="text1"/>
              <w:right w:val="single" w:sz="0" w:space="0" w:color="auto"/>
            </w:tcBorders>
            <w:vAlign w:val="center"/>
          </w:tcPr>
          <w:p w14:paraId="7489E46C" w14:textId="77777777" w:rsidR="004412F1" w:rsidRDefault="004412F1"/>
        </w:tc>
        <w:tc>
          <w:tcPr>
            <w:tcW w:w="1058" w:type="dxa"/>
            <w:tcBorders>
              <w:top w:val="single" w:sz="8" w:space="0" w:color="auto"/>
              <w:left w:val="nil"/>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690CFB44"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336" w:type="dxa"/>
            <w:tcBorders>
              <w:top w:val="nil"/>
              <w:left w:val="single" w:sz="8" w:space="0" w:color="auto"/>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32105F9B"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141" w:type="dxa"/>
            <w:tcBorders>
              <w:top w:val="single" w:sz="8" w:space="0" w:color="auto"/>
              <w:left w:val="single" w:sz="8" w:space="0" w:color="auto"/>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39309979"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336" w:type="dxa"/>
            <w:tcBorders>
              <w:top w:val="nil"/>
              <w:left w:val="single" w:sz="8" w:space="0" w:color="auto"/>
              <w:bottom w:val="single" w:sz="8" w:space="0" w:color="auto"/>
              <w:right w:val="single" w:sz="8" w:space="0" w:color="000000" w:themeColor="text1"/>
            </w:tcBorders>
            <w:shd w:val="clear" w:color="auto" w:fill="D6E3BC" w:themeFill="accent3" w:themeFillTint="66"/>
            <w:tcMar>
              <w:left w:w="70" w:type="dxa"/>
              <w:right w:w="70" w:type="dxa"/>
            </w:tcMar>
            <w:vAlign w:val="center"/>
          </w:tcPr>
          <w:p w14:paraId="187C7A78"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65BCB7DF" w14:textId="77777777">
        <w:trPr>
          <w:trHeight w:val="645"/>
        </w:trPr>
        <w:tc>
          <w:tcPr>
            <w:tcW w:w="1656" w:type="dxa"/>
            <w:tcBorders>
              <w:top w:val="nil"/>
              <w:left w:val="single" w:sz="8" w:space="0" w:color="auto"/>
              <w:bottom w:val="single" w:sz="8" w:space="0" w:color="auto"/>
              <w:right w:val="single" w:sz="8" w:space="0" w:color="auto"/>
            </w:tcBorders>
            <w:tcMar>
              <w:left w:w="70" w:type="dxa"/>
              <w:right w:w="70" w:type="dxa"/>
            </w:tcMar>
            <w:vAlign w:val="center"/>
          </w:tcPr>
          <w:p w14:paraId="2CC595A1" w14:textId="77777777" w:rsidR="004412F1" w:rsidRDefault="005A12A3">
            <w:pPr>
              <w:rPr>
                <w:lang w:val="es-PE"/>
              </w:rPr>
            </w:pPr>
            <w:r>
              <w:rPr>
                <w:rFonts w:ascii="Calibri" w:hAnsi="Calibri"/>
                <w:sz w:val="20"/>
                <w:lang w:val="es-PE"/>
              </w:rPr>
              <w:t>Ancho de la superficie de rodadura</w:t>
            </w:r>
          </w:p>
        </w:tc>
        <w:tc>
          <w:tcPr>
            <w:tcW w:w="1977" w:type="dxa"/>
            <w:tcBorders>
              <w:top w:val="nil"/>
              <w:left w:val="single" w:sz="8" w:space="0" w:color="auto"/>
              <w:bottom w:val="single" w:sz="8" w:space="0" w:color="auto"/>
              <w:right w:val="single" w:sz="8" w:space="0" w:color="auto"/>
            </w:tcBorders>
            <w:tcMar>
              <w:left w:w="70" w:type="dxa"/>
              <w:right w:w="70" w:type="dxa"/>
            </w:tcMar>
            <w:vAlign w:val="center"/>
          </w:tcPr>
          <w:p w14:paraId="330A133C" w14:textId="77777777" w:rsidR="004412F1" w:rsidRDefault="005A12A3">
            <w:pPr>
              <w:rPr>
                <w:lang w:val="es-PE"/>
              </w:rPr>
            </w:pPr>
            <w:r>
              <w:rPr>
                <w:rFonts w:ascii="Calibri" w:hAnsi="Calibri"/>
                <w:sz w:val="20"/>
                <w:lang w:val="es-PE"/>
              </w:rPr>
              <w:t>Porcentaje máximo de reducción del ancho</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90C528" w14:textId="77777777" w:rsidR="004412F1" w:rsidRDefault="005A12A3">
            <w:pPr>
              <w:rPr>
                <w:lang w:val="es-PE"/>
              </w:rPr>
            </w:pPr>
            <w:r>
              <w:rPr>
                <w:rFonts w:ascii="Calibri" w:hAnsi="Calibri"/>
                <w:sz w:val="20"/>
                <w:lang w:val="es-PE"/>
              </w:rPr>
              <w:t>Se aceptará con el ancho existente.</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E859A2" w14:textId="77777777" w:rsidR="004412F1" w:rsidRDefault="005A12A3">
            <w:r>
              <w:rPr>
                <w:rFonts w:ascii="Calibri" w:hAnsi="Calibri"/>
                <w:sz w:val="20"/>
              </w:rPr>
              <w:t>Se mantiene</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C38E57" w14:textId="77777777" w:rsidR="004412F1" w:rsidRDefault="005A12A3">
            <w:r>
              <w:rPr>
                <w:rFonts w:ascii="Calibri" w:hAnsi="Calibri"/>
                <w:sz w:val="20"/>
              </w:rPr>
              <w:t>Manual de diseño geométrico</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388E6E" w14:textId="77777777" w:rsidR="004412F1" w:rsidRDefault="005A12A3">
            <w:r>
              <w:rPr>
                <w:rFonts w:ascii="Calibri" w:hAnsi="Calibri"/>
                <w:sz w:val="20"/>
              </w:rPr>
              <w:t>0%</w:t>
            </w:r>
          </w:p>
        </w:tc>
      </w:tr>
      <w:tr w:rsidR="004412F1" w14:paraId="65D1804A" w14:textId="77777777">
        <w:trPr>
          <w:trHeight w:val="840"/>
        </w:trPr>
        <w:tc>
          <w:tcPr>
            <w:tcW w:w="1656"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13E6E2C5" w14:textId="77777777" w:rsidR="004412F1" w:rsidRDefault="005A12A3">
            <w:r>
              <w:rPr>
                <w:rFonts w:ascii="Calibri" w:hAnsi="Calibri"/>
                <w:sz w:val="20"/>
              </w:rPr>
              <w:t>Reducción del paquete estructural</w:t>
            </w:r>
          </w:p>
        </w:tc>
        <w:tc>
          <w:tcPr>
            <w:tcW w:w="1977"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1B96639B" w14:textId="77777777" w:rsidR="004412F1" w:rsidRDefault="005A12A3">
            <w:pPr>
              <w:rPr>
                <w:lang w:val="es-PE"/>
              </w:rPr>
            </w:pPr>
            <w:r>
              <w:rPr>
                <w:rFonts w:ascii="Calibri" w:hAnsi="Calibri"/>
                <w:sz w:val="20"/>
                <w:lang w:val="es-PE"/>
              </w:rPr>
              <w:t>Porcentaje máximo de reducción del espesor de cada capa</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77E216" w14:textId="77777777" w:rsidR="004412F1" w:rsidRDefault="005A12A3">
            <w:r>
              <w:rPr>
                <w:rFonts w:ascii="Calibri" w:hAnsi="Calibri"/>
                <w:sz w:val="20"/>
              </w:rPr>
              <w:t>No se considera</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294959" w14:textId="77777777" w:rsidR="004412F1" w:rsidRDefault="005A12A3">
            <w:r>
              <w:rPr>
                <w:rFonts w:ascii="Calibri" w:hAnsi="Calibri"/>
                <w:sz w:val="20"/>
              </w:rPr>
              <w:t>No se considera</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EFAFC7"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3733F8" w14:textId="77777777" w:rsidR="004412F1" w:rsidRDefault="005A12A3">
            <w:r>
              <w:rPr>
                <w:rFonts w:ascii="Calibri" w:hAnsi="Calibri"/>
                <w:sz w:val="20"/>
              </w:rPr>
              <w:t>0%</w:t>
            </w:r>
          </w:p>
        </w:tc>
      </w:tr>
      <w:tr w:rsidR="004412F1" w14:paraId="79CE6901" w14:textId="77777777">
        <w:trPr>
          <w:trHeight w:val="54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3396DD" w14:textId="77777777" w:rsidR="004412F1" w:rsidRDefault="005A12A3">
            <w:r>
              <w:rPr>
                <w:rFonts w:ascii="Calibri" w:hAnsi="Calibri"/>
                <w:sz w:val="20"/>
              </w:rPr>
              <w:t>Huecos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2F590E" w14:textId="77777777" w:rsidR="004412F1" w:rsidRDefault="005A12A3">
            <w:pPr>
              <w:rPr>
                <w:lang w:val="es-PE"/>
              </w:rPr>
            </w:pPr>
            <w:r>
              <w:rPr>
                <w:rFonts w:ascii="Calibri" w:hAnsi="Calibri"/>
                <w:sz w:val="20"/>
                <w:lang w:val="es-PE"/>
              </w:rPr>
              <w:t>Porcentaje máximo de áreas con huecos</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782D79"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756E6D"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19FB8C"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D433A7" w14:textId="77777777" w:rsidR="004412F1" w:rsidRDefault="005A12A3">
            <w:r>
              <w:rPr>
                <w:rFonts w:ascii="Calibri" w:hAnsi="Calibri"/>
                <w:sz w:val="20"/>
              </w:rPr>
              <w:t>0%</w:t>
            </w:r>
          </w:p>
        </w:tc>
      </w:tr>
      <w:tr w:rsidR="004412F1" w14:paraId="1176A8B8" w14:textId="77777777">
        <w:trPr>
          <w:trHeight w:val="510"/>
        </w:trPr>
        <w:tc>
          <w:tcPr>
            <w:tcW w:w="1656"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9F354F" w14:textId="77777777" w:rsidR="004412F1" w:rsidRDefault="005A12A3">
            <w:r>
              <w:rPr>
                <w:rFonts w:ascii="Calibri" w:hAnsi="Calibri"/>
                <w:sz w:val="20"/>
              </w:rPr>
              <w:t>Fisuras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CD11E8" w14:textId="77777777" w:rsidR="004412F1" w:rsidRDefault="005A12A3">
            <w:pPr>
              <w:rPr>
                <w:lang w:val="es-PE"/>
              </w:rPr>
            </w:pPr>
            <w:r>
              <w:rPr>
                <w:rFonts w:ascii="Calibri" w:hAnsi="Calibri"/>
                <w:sz w:val="20"/>
                <w:lang w:val="es-PE"/>
              </w:rPr>
              <w:t>Porcentaje máximo de área con fisuras mayores a 5 mm</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34D503"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DCA4DC"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AD84C8"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CBC5F8" w14:textId="77777777" w:rsidR="004412F1" w:rsidRDefault="005A12A3">
            <w:r>
              <w:rPr>
                <w:rFonts w:ascii="Calibri" w:hAnsi="Calibri"/>
                <w:sz w:val="20"/>
              </w:rPr>
              <w:t>0%</w:t>
            </w:r>
          </w:p>
        </w:tc>
      </w:tr>
      <w:tr w:rsidR="004412F1" w14:paraId="07503975" w14:textId="77777777">
        <w:trPr>
          <w:trHeight w:val="630"/>
        </w:trPr>
        <w:tc>
          <w:tcPr>
            <w:tcW w:w="1656" w:type="dxa"/>
            <w:vMerge/>
            <w:tcBorders>
              <w:left w:val="single" w:sz="0" w:space="0" w:color="auto"/>
              <w:bottom w:val="single" w:sz="0" w:space="0" w:color="auto"/>
              <w:right w:val="single" w:sz="0" w:space="0" w:color="auto"/>
            </w:tcBorders>
            <w:vAlign w:val="center"/>
          </w:tcPr>
          <w:p w14:paraId="1033445B" w14:textId="77777777" w:rsidR="004412F1" w:rsidRDefault="004412F1"/>
        </w:tc>
        <w:tc>
          <w:tcPr>
            <w:tcW w:w="1977" w:type="dxa"/>
            <w:tcBorders>
              <w:top w:val="single" w:sz="8" w:space="0" w:color="auto"/>
              <w:left w:val="nil"/>
              <w:bottom w:val="single" w:sz="8" w:space="0" w:color="auto"/>
              <w:right w:val="single" w:sz="8" w:space="0" w:color="auto"/>
            </w:tcBorders>
            <w:tcMar>
              <w:left w:w="70" w:type="dxa"/>
              <w:right w:w="70" w:type="dxa"/>
            </w:tcMar>
            <w:vAlign w:val="center"/>
          </w:tcPr>
          <w:p w14:paraId="19D222AA" w14:textId="77777777" w:rsidR="004412F1" w:rsidRDefault="005A12A3">
            <w:pPr>
              <w:rPr>
                <w:lang w:val="es-PE"/>
              </w:rPr>
            </w:pPr>
            <w:r>
              <w:rPr>
                <w:rFonts w:ascii="Calibri" w:hAnsi="Calibri"/>
                <w:sz w:val="20"/>
                <w:lang w:val="es-PE"/>
              </w:rPr>
              <w:t>Porcentaje máximo de área con fisuras entre 2.5 y 5 mm</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8891CD"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E283B" w14:textId="77777777" w:rsidR="004412F1" w:rsidRDefault="005A12A3">
            <w:r>
              <w:rPr>
                <w:rFonts w:ascii="Calibri" w:hAnsi="Calibri"/>
                <w:sz w:val="20"/>
              </w:rPr>
              <w:t>5%</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6A5991"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FAEC82" w14:textId="77777777" w:rsidR="004412F1" w:rsidRDefault="005A12A3">
            <w:r>
              <w:rPr>
                <w:rFonts w:ascii="Calibri" w:hAnsi="Calibri"/>
                <w:sz w:val="20"/>
              </w:rPr>
              <w:t>5%</w:t>
            </w:r>
          </w:p>
        </w:tc>
      </w:tr>
      <w:tr w:rsidR="004412F1" w14:paraId="6DBCB8DD" w14:textId="77777777">
        <w:trPr>
          <w:trHeight w:val="885"/>
        </w:trPr>
        <w:tc>
          <w:tcPr>
            <w:tcW w:w="1656" w:type="dxa"/>
            <w:tcBorders>
              <w:top w:val="nil"/>
              <w:left w:val="single" w:sz="8" w:space="0" w:color="auto"/>
              <w:bottom w:val="single" w:sz="8" w:space="0" w:color="auto"/>
              <w:right w:val="single" w:sz="8" w:space="0" w:color="auto"/>
            </w:tcBorders>
            <w:tcMar>
              <w:left w:w="70" w:type="dxa"/>
              <w:right w:w="70" w:type="dxa"/>
            </w:tcMar>
            <w:vAlign w:val="center"/>
          </w:tcPr>
          <w:p w14:paraId="2BB8E54B" w14:textId="77777777" w:rsidR="004412F1" w:rsidRDefault="005A12A3">
            <w:r>
              <w:rPr>
                <w:rFonts w:ascii="Calibri" w:hAnsi="Calibri"/>
                <w:sz w:val="20"/>
              </w:rPr>
              <w:t>Parches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413307" w14:textId="77777777" w:rsidR="004412F1" w:rsidRDefault="005A12A3">
            <w:pPr>
              <w:rPr>
                <w:lang w:val="es-PE"/>
              </w:rPr>
            </w:pPr>
            <w:r>
              <w:rPr>
                <w:rFonts w:ascii="Calibri" w:hAnsi="Calibri"/>
                <w:sz w:val="20"/>
                <w:lang w:val="es-PE"/>
              </w:rPr>
              <w:t>Porcentaje máximo de parches en mal estado (niveles de severidad medio o alto)</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4F8A01"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6E28F3"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25AAEC"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1B05DC" w14:textId="77777777" w:rsidR="004412F1" w:rsidRDefault="005A12A3">
            <w:r>
              <w:rPr>
                <w:rFonts w:ascii="Calibri" w:hAnsi="Calibri"/>
                <w:sz w:val="20"/>
              </w:rPr>
              <w:t>0%</w:t>
            </w:r>
          </w:p>
        </w:tc>
      </w:tr>
      <w:tr w:rsidR="004412F1" w14:paraId="7164934D" w14:textId="77777777">
        <w:trPr>
          <w:trHeight w:val="75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0CDE82" w14:textId="77777777" w:rsidR="004412F1" w:rsidRDefault="005A12A3">
            <w:r>
              <w:rPr>
                <w:rFonts w:ascii="Calibri" w:hAnsi="Calibri"/>
                <w:sz w:val="20"/>
              </w:rPr>
              <w:t>Ahuellamientos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C1148B" w14:textId="77777777" w:rsidR="004412F1" w:rsidRDefault="005A12A3">
            <w:pPr>
              <w:rPr>
                <w:lang w:val="es-PE"/>
              </w:rPr>
            </w:pPr>
            <w:r>
              <w:rPr>
                <w:rFonts w:ascii="Calibri" w:hAnsi="Calibri"/>
                <w:sz w:val="20"/>
                <w:lang w:val="es-PE"/>
              </w:rPr>
              <w:t>Porcentaje máximo de área con ahuellamiento mayor que 12 mm</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3DE0F4"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EBBCEB"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B59C4"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6F783E" w14:textId="77777777" w:rsidR="004412F1" w:rsidRDefault="005A12A3">
            <w:r>
              <w:rPr>
                <w:rFonts w:ascii="Calibri" w:hAnsi="Calibri"/>
                <w:sz w:val="20"/>
              </w:rPr>
              <w:t>0%</w:t>
            </w:r>
          </w:p>
        </w:tc>
      </w:tr>
      <w:tr w:rsidR="004412F1" w14:paraId="3412AFFE" w14:textId="77777777">
        <w:trPr>
          <w:trHeight w:val="78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73D454" w14:textId="77777777" w:rsidR="004412F1" w:rsidRDefault="005A12A3">
            <w:r>
              <w:rPr>
                <w:rFonts w:ascii="Calibri" w:hAnsi="Calibri"/>
                <w:sz w:val="20"/>
              </w:rPr>
              <w:t>Hundimientos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A56EF7" w14:textId="77777777" w:rsidR="004412F1" w:rsidRDefault="005A12A3">
            <w:pPr>
              <w:rPr>
                <w:lang w:val="es-PE"/>
              </w:rPr>
            </w:pPr>
            <w:r>
              <w:rPr>
                <w:rFonts w:ascii="Calibri" w:hAnsi="Calibri"/>
                <w:sz w:val="20"/>
                <w:lang w:val="es-PE"/>
              </w:rPr>
              <w:t>Porcentaje máximo de área con hundimiento mayor que 25 mm</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9EA20B"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BB4F32"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A0AC8"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DC576D" w14:textId="77777777" w:rsidR="004412F1" w:rsidRDefault="005A12A3">
            <w:r>
              <w:rPr>
                <w:rFonts w:ascii="Calibri" w:hAnsi="Calibri"/>
                <w:sz w:val="20"/>
              </w:rPr>
              <w:t>0%</w:t>
            </w:r>
          </w:p>
        </w:tc>
      </w:tr>
      <w:tr w:rsidR="004412F1" w14:paraId="2D385628" w14:textId="77777777">
        <w:trPr>
          <w:trHeight w:val="885"/>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F66104" w14:textId="77777777" w:rsidR="004412F1" w:rsidRDefault="005A12A3">
            <w:r>
              <w:rPr>
                <w:rFonts w:ascii="Calibri" w:hAnsi="Calibri"/>
                <w:sz w:val="20"/>
              </w:rPr>
              <w:t>Exudación</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F4A3B4" w14:textId="77777777" w:rsidR="004412F1" w:rsidRDefault="005A12A3">
            <w:pPr>
              <w:rPr>
                <w:lang w:val="es-PE"/>
              </w:rPr>
            </w:pPr>
            <w:r>
              <w:rPr>
                <w:rFonts w:ascii="Calibri" w:hAnsi="Calibri"/>
                <w:sz w:val="20"/>
                <w:lang w:val="es-PE"/>
              </w:rPr>
              <w:t>Porcentaje máximo de área con exudación (sumados ambos niveles de severidad medio y alto)</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3914A5"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D9D922"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6BA301"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5912F1" w14:textId="77777777" w:rsidR="004412F1" w:rsidRDefault="005A12A3">
            <w:r>
              <w:rPr>
                <w:rFonts w:ascii="Calibri" w:hAnsi="Calibri"/>
                <w:sz w:val="20"/>
              </w:rPr>
              <w:t>0%</w:t>
            </w:r>
          </w:p>
        </w:tc>
      </w:tr>
      <w:tr w:rsidR="004412F1" w14:paraId="0A78362F" w14:textId="77777777">
        <w:trPr>
          <w:trHeight w:val="465"/>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4E159E" w14:textId="77777777" w:rsidR="004412F1" w:rsidRDefault="005A12A3">
            <w:r>
              <w:rPr>
                <w:rFonts w:ascii="Calibri" w:hAnsi="Calibri"/>
                <w:sz w:val="20"/>
              </w:rPr>
              <w:t>Existencia de material suelto</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A04D79" w14:textId="77777777" w:rsidR="004412F1" w:rsidRDefault="005A12A3">
            <w:pPr>
              <w:rPr>
                <w:lang w:val="es-PE"/>
              </w:rPr>
            </w:pPr>
            <w:r>
              <w:rPr>
                <w:rFonts w:ascii="Calibri" w:hAnsi="Calibri"/>
                <w:sz w:val="20"/>
                <w:lang w:val="es-PE"/>
              </w:rPr>
              <w:t>Porcentaje máximo de área con material suelto</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C91D8F"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7FC181"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2F416F"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EE3BC7" w14:textId="77777777" w:rsidR="004412F1" w:rsidRDefault="005A12A3">
            <w:r>
              <w:rPr>
                <w:rFonts w:ascii="Calibri" w:hAnsi="Calibri"/>
                <w:sz w:val="20"/>
              </w:rPr>
              <w:t>0%</w:t>
            </w:r>
          </w:p>
        </w:tc>
      </w:tr>
      <w:tr w:rsidR="004412F1" w14:paraId="22479E62" w14:textId="77777777">
        <w:trPr>
          <w:trHeight w:val="375"/>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C36A56" w14:textId="77777777" w:rsidR="004412F1" w:rsidRDefault="005A12A3">
            <w:r>
              <w:rPr>
                <w:rFonts w:ascii="Calibri" w:hAnsi="Calibri"/>
                <w:sz w:val="20"/>
              </w:rPr>
              <w:t>Existencia de obstáculos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D3471A" w14:textId="77777777" w:rsidR="004412F1" w:rsidRDefault="005A12A3">
            <w:r>
              <w:rPr>
                <w:rFonts w:ascii="Calibri" w:hAnsi="Calibri"/>
                <w:sz w:val="20"/>
              </w:rPr>
              <w:t>Cantidad máxima de obstáculos</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5B6C76"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5CD7A9"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CA64B4"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864667" w14:textId="77777777" w:rsidR="004412F1" w:rsidRDefault="005A12A3">
            <w:r>
              <w:rPr>
                <w:rFonts w:ascii="Calibri" w:hAnsi="Calibri"/>
                <w:sz w:val="20"/>
              </w:rPr>
              <w:t>0%</w:t>
            </w:r>
          </w:p>
        </w:tc>
      </w:tr>
      <w:tr w:rsidR="004412F1" w14:paraId="260B515A" w14:textId="77777777">
        <w:trPr>
          <w:trHeight w:val="54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93DB96" w14:textId="77777777" w:rsidR="004412F1" w:rsidRDefault="005A12A3">
            <w:r>
              <w:rPr>
                <w:rFonts w:ascii="Calibri" w:hAnsi="Calibri"/>
                <w:sz w:val="20"/>
              </w:rPr>
              <w:t>Peladuras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5BD5FF" w14:textId="77777777" w:rsidR="004412F1" w:rsidRDefault="005A12A3">
            <w:pPr>
              <w:rPr>
                <w:lang w:val="es-PE"/>
              </w:rPr>
            </w:pPr>
            <w:r>
              <w:rPr>
                <w:rFonts w:ascii="Calibri" w:hAnsi="Calibri"/>
                <w:sz w:val="20"/>
                <w:lang w:val="es-PE"/>
              </w:rPr>
              <w:t>Porcentaje máximo de área con peladuras</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2D5C92" w14:textId="77777777" w:rsidR="004412F1" w:rsidRDefault="005A12A3">
            <w:r>
              <w:rPr>
                <w:rFonts w:ascii="Calibri" w:hAnsi="Calibri"/>
                <w:sz w:val="20"/>
              </w:rPr>
              <w:t>1%</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452B14" w14:textId="77777777" w:rsidR="004412F1" w:rsidRDefault="005A12A3">
            <w:r>
              <w:rPr>
                <w:rFonts w:ascii="Calibri" w:hAnsi="Calibri"/>
                <w:sz w:val="20"/>
              </w:rPr>
              <w:t>1%</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92502B"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1A5A68" w14:textId="77777777" w:rsidR="004412F1" w:rsidRDefault="005A12A3">
            <w:r>
              <w:rPr>
                <w:rFonts w:ascii="Calibri" w:hAnsi="Calibri"/>
                <w:sz w:val="20"/>
              </w:rPr>
              <w:t>0%</w:t>
            </w:r>
          </w:p>
        </w:tc>
      </w:tr>
      <w:tr w:rsidR="004412F1" w14:paraId="332C44E6" w14:textId="77777777">
        <w:trPr>
          <w:trHeight w:val="54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3CB00E" w14:textId="77777777" w:rsidR="004412F1" w:rsidRDefault="005A12A3">
            <w:r>
              <w:rPr>
                <w:rFonts w:ascii="Calibri" w:hAnsi="Calibri"/>
                <w:sz w:val="20"/>
              </w:rPr>
              <w:t>Desprendimiento de bordes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3AD212" w14:textId="77777777" w:rsidR="004412F1" w:rsidRDefault="005A12A3">
            <w:pPr>
              <w:rPr>
                <w:lang w:val="es-PE"/>
              </w:rPr>
            </w:pPr>
            <w:r>
              <w:rPr>
                <w:rFonts w:ascii="Calibri" w:hAnsi="Calibri"/>
                <w:sz w:val="20"/>
                <w:lang w:val="es-PE"/>
              </w:rPr>
              <w:t>Porcentaje máximo con desprendimiento de bordes</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99ACDF"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89A090"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E16B9D"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EA1B75" w14:textId="77777777" w:rsidR="004412F1" w:rsidRDefault="005A12A3">
            <w:r>
              <w:rPr>
                <w:rFonts w:ascii="Calibri" w:hAnsi="Calibri"/>
                <w:sz w:val="20"/>
              </w:rPr>
              <w:t>0%</w:t>
            </w:r>
          </w:p>
        </w:tc>
      </w:tr>
      <w:tr w:rsidR="004412F1" w14:paraId="7AC5AE8D" w14:textId="77777777">
        <w:trPr>
          <w:trHeight w:val="690"/>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5C0CE3" w14:textId="77777777" w:rsidR="004412F1" w:rsidRDefault="005A12A3">
            <w:pPr>
              <w:rPr>
                <w:lang w:val="es-PE"/>
              </w:rPr>
            </w:pPr>
            <w:r>
              <w:rPr>
                <w:rFonts w:ascii="Calibri" w:hAnsi="Calibri"/>
                <w:sz w:val="20"/>
                <w:lang w:val="es-PE"/>
              </w:rPr>
              <w:t>Grietas Longitudinales en el centro de la calzada y en los bordes</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67386F" w14:textId="77777777" w:rsidR="004412F1" w:rsidRDefault="005A12A3">
            <w:pPr>
              <w:rPr>
                <w:lang w:val="es-PE"/>
              </w:rPr>
            </w:pPr>
            <w:r>
              <w:rPr>
                <w:rFonts w:ascii="Calibri" w:hAnsi="Calibri"/>
                <w:sz w:val="20"/>
                <w:lang w:val="es-PE"/>
              </w:rPr>
              <w:t>Porcentaje máximo de grietas longitudinales</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ECB73F"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3E92DA"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947A0D" w14:textId="77777777" w:rsidR="004412F1" w:rsidRDefault="005A12A3">
            <w:r>
              <w:rPr>
                <w:rFonts w:ascii="Calibri" w:hAnsi="Calibri"/>
                <w:sz w:val="20"/>
              </w:rPr>
              <w:t>0%</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1B4227" w14:textId="77777777" w:rsidR="004412F1" w:rsidRDefault="005A12A3">
            <w:r>
              <w:rPr>
                <w:rFonts w:ascii="Calibri" w:hAnsi="Calibri"/>
                <w:sz w:val="20"/>
              </w:rPr>
              <w:t>0%</w:t>
            </w:r>
          </w:p>
        </w:tc>
      </w:tr>
      <w:tr w:rsidR="004412F1" w14:paraId="259A28B8" w14:textId="77777777">
        <w:trPr>
          <w:trHeight w:val="465"/>
        </w:trPr>
        <w:tc>
          <w:tcPr>
            <w:tcW w:w="165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C65601" w14:textId="77777777" w:rsidR="004412F1" w:rsidRDefault="005A12A3">
            <w:r>
              <w:rPr>
                <w:rFonts w:ascii="Calibri" w:hAnsi="Calibri"/>
                <w:sz w:val="20"/>
              </w:rPr>
              <w:t>Rugosidad</w:t>
            </w:r>
          </w:p>
        </w:tc>
        <w:tc>
          <w:tcPr>
            <w:tcW w:w="197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DE24BA" w14:textId="77777777" w:rsidR="004412F1" w:rsidRDefault="005A12A3">
            <w:pPr>
              <w:rPr>
                <w:lang w:val="es-PE"/>
              </w:rPr>
            </w:pPr>
            <w:r>
              <w:rPr>
                <w:rFonts w:ascii="Calibri" w:hAnsi="Calibri"/>
                <w:sz w:val="20"/>
                <w:lang w:val="es-PE"/>
              </w:rPr>
              <w:t xml:space="preserve">Rugosidad media móvil máxima, con un intervalo de 100 m, conciliado con la </w:t>
            </w:r>
            <w:proofErr w:type="gramStart"/>
            <w:r>
              <w:rPr>
                <w:rFonts w:ascii="Calibri" w:hAnsi="Calibri"/>
                <w:sz w:val="20"/>
                <w:lang w:val="es-PE"/>
              </w:rPr>
              <w:t>norma  de</w:t>
            </w:r>
            <w:proofErr w:type="gramEnd"/>
            <w:r>
              <w:rPr>
                <w:rFonts w:ascii="Calibri" w:hAnsi="Calibri"/>
                <w:sz w:val="20"/>
                <w:lang w:val="es-PE"/>
              </w:rPr>
              <w:t xml:space="preserve"> relevamiento de IRI</w:t>
            </w:r>
          </w:p>
        </w:tc>
        <w:tc>
          <w:tcPr>
            <w:tcW w:w="105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33CE88" w14:textId="77777777" w:rsidR="004412F1" w:rsidRDefault="005A12A3">
            <w:r>
              <w:rPr>
                <w:rFonts w:ascii="Calibri" w:hAnsi="Calibri"/>
                <w:sz w:val="20"/>
              </w:rPr>
              <w:t>2.5 IRI</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8724E0" w14:textId="77777777" w:rsidR="004412F1" w:rsidRDefault="005A12A3">
            <w:r>
              <w:rPr>
                <w:rFonts w:ascii="Calibri" w:hAnsi="Calibri"/>
                <w:sz w:val="20"/>
              </w:rPr>
              <w:t>3.5 IRI</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9E8DC0" w14:textId="77777777" w:rsidR="004412F1" w:rsidRDefault="005A12A3">
            <w:r>
              <w:rPr>
                <w:rFonts w:ascii="Calibri" w:hAnsi="Calibri"/>
                <w:sz w:val="20"/>
              </w:rPr>
              <w:t>2.00 IRI</w:t>
            </w:r>
          </w:p>
        </w:tc>
        <w:tc>
          <w:tcPr>
            <w:tcW w:w="13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B0D9A4" w14:textId="77777777" w:rsidR="004412F1" w:rsidRDefault="005A12A3">
            <w:r>
              <w:rPr>
                <w:rFonts w:ascii="Calibri" w:hAnsi="Calibri"/>
                <w:sz w:val="20"/>
              </w:rPr>
              <w:t>3.5 IRI</w:t>
            </w:r>
          </w:p>
        </w:tc>
      </w:tr>
    </w:tbl>
    <w:p w14:paraId="2618E0E7" w14:textId="77777777" w:rsidR="004412F1" w:rsidRDefault="004412F1">
      <w:pPr>
        <w:jc w:val="center"/>
      </w:pPr>
    </w:p>
    <w:p w14:paraId="2378D164" w14:textId="77777777" w:rsidR="004412F1" w:rsidRDefault="004412F1">
      <w:pPr>
        <w:jc w:val="center"/>
      </w:pPr>
    </w:p>
    <w:tbl>
      <w:tblPr>
        <w:tblW w:w="0" w:type="auto"/>
        <w:tblInd w:w="735" w:type="dxa"/>
        <w:tblLayout w:type="fixed"/>
        <w:tblLook w:val="04A0" w:firstRow="1" w:lastRow="0" w:firstColumn="1" w:lastColumn="0" w:noHBand="0" w:noVBand="1"/>
      </w:tblPr>
      <w:tblGrid>
        <w:gridCol w:w="4489"/>
        <w:gridCol w:w="3364"/>
      </w:tblGrid>
      <w:tr w:rsidR="004412F1" w14:paraId="44A86127" w14:textId="77777777">
        <w:trPr>
          <w:trHeight w:val="15"/>
        </w:trPr>
        <w:tc>
          <w:tcPr>
            <w:tcW w:w="7853" w:type="dxa"/>
            <w:gridSpan w:val="2"/>
            <w:tcBorders>
              <w:top w:val="single" w:sz="8" w:space="0" w:color="auto"/>
              <w:left w:val="single" w:sz="8" w:space="0" w:color="auto"/>
              <w:bottom w:val="single" w:sz="8" w:space="0" w:color="auto"/>
              <w:right w:val="single" w:sz="8" w:space="0" w:color="auto"/>
            </w:tcBorders>
            <w:shd w:val="clear" w:color="auto" w:fill="FFFF99"/>
            <w:tcMar>
              <w:top w:w="28" w:type="dxa"/>
              <w:left w:w="28" w:type="dxa"/>
              <w:bottom w:w="28" w:type="dxa"/>
              <w:right w:w="28" w:type="dxa"/>
            </w:tcMar>
            <w:vAlign w:val="center"/>
          </w:tcPr>
          <w:p w14:paraId="6D05AA24" w14:textId="77777777" w:rsidR="004412F1" w:rsidRDefault="005A12A3">
            <w:pPr>
              <w:jc w:val="center"/>
              <w:rPr>
                <w:b/>
                <w:sz w:val="20"/>
                <w:lang w:val="es"/>
              </w:rPr>
            </w:pPr>
            <w:r>
              <w:rPr>
                <w:b/>
                <w:sz w:val="20"/>
                <w:lang w:val="es"/>
              </w:rPr>
              <w:t>Plazos de Respuesta a Incumplimientos en:</w:t>
            </w:r>
          </w:p>
          <w:p w14:paraId="0D5D057E" w14:textId="77777777" w:rsidR="004412F1" w:rsidRDefault="005A12A3">
            <w:pPr>
              <w:jc w:val="center"/>
              <w:rPr>
                <w:rFonts w:eastAsia="Times New Roman"/>
                <w:b/>
                <w:bCs/>
                <w:color w:val="000000" w:themeColor="text1"/>
                <w:sz w:val="20"/>
                <w:szCs w:val="18"/>
                <w:lang w:val="es" w:eastAsia="es-ES"/>
              </w:rPr>
            </w:pPr>
            <w:r>
              <w:rPr>
                <w:b/>
                <w:color w:val="000000" w:themeColor="text1"/>
                <w:sz w:val="20"/>
                <w:lang w:val="es"/>
              </w:rPr>
              <w:t xml:space="preserve">Superficie de rodadura </w:t>
            </w:r>
          </w:p>
        </w:tc>
      </w:tr>
      <w:tr w:rsidR="004412F1" w14:paraId="23D3ED10"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A3FFB8" w14:textId="77777777" w:rsidR="004412F1" w:rsidRDefault="005A12A3">
            <w:pPr>
              <w:jc w:val="center"/>
              <w:rPr>
                <w:b/>
                <w:sz w:val="20"/>
                <w:lang w:val="es"/>
              </w:rPr>
            </w:pPr>
            <w:r>
              <w:rPr>
                <w:b/>
                <w:sz w:val="20"/>
                <w:lang w:val="es"/>
              </w:rPr>
              <w:t>Parámetro</w:t>
            </w:r>
          </w:p>
        </w:tc>
        <w:tc>
          <w:tcPr>
            <w:tcW w:w="3364"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095F48F"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2115F9FF"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43A53DC" w14:textId="77777777" w:rsidR="004412F1" w:rsidRDefault="005A12A3">
            <w:pPr>
              <w:rPr>
                <w:lang w:val="es-PE"/>
              </w:rPr>
            </w:pPr>
            <w:r>
              <w:rPr>
                <w:sz w:val="20"/>
                <w:lang w:val="es"/>
              </w:rPr>
              <w:t>Reducción del ancho de la superficie de rodadura</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CAFD89F" w14:textId="77777777" w:rsidR="004412F1" w:rsidRDefault="005A12A3">
            <w:pPr>
              <w:jc w:val="center"/>
              <w:rPr>
                <w:rFonts w:eastAsia="Times New Roman"/>
                <w:bCs/>
                <w:sz w:val="20"/>
                <w:szCs w:val="18"/>
                <w:lang w:val="es" w:eastAsia="es-ES"/>
              </w:rPr>
            </w:pPr>
            <w:r>
              <w:rPr>
                <w:sz w:val="20"/>
                <w:lang w:val="es"/>
              </w:rPr>
              <w:t>14</w:t>
            </w:r>
          </w:p>
        </w:tc>
      </w:tr>
      <w:tr w:rsidR="004412F1" w14:paraId="7F6BF198"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32461E2" w14:textId="77777777" w:rsidR="004412F1" w:rsidRDefault="005A12A3">
            <w:r>
              <w:rPr>
                <w:sz w:val="20"/>
                <w:lang w:val="es"/>
              </w:rPr>
              <w:t>Reducción del paquete estructural</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5CC086D" w14:textId="77777777" w:rsidR="004412F1" w:rsidRDefault="005A12A3">
            <w:pPr>
              <w:jc w:val="center"/>
              <w:rPr>
                <w:rFonts w:eastAsia="Times New Roman"/>
                <w:bCs/>
                <w:sz w:val="20"/>
                <w:szCs w:val="18"/>
                <w:lang w:val="es" w:eastAsia="es-ES"/>
              </w:rPr>
            </w:pPr>
            <w:r>
              <w:rPr>
                <w:sz w:val="20"/>
                <w:lang w:val="es"/>
              </w:rPr>
              <w:t>14</w:t>
            </w:r>
          </w:p>
        </w:tc>
      </w:tr>
      <w:tr w:rsidR="004412F1" w14:paraId="5561DA56"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B2056AB" w14:textId="77777777" w:rsidR="004412F1" w:rsidRDefault="005A12A3">
            <w:r>
              <w:rPr>
                <w:sz w:val="20"/>
                <w:lang w:val="es"/>
              </w:rPr>
              <w:t>Huecos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2A9C11A" w14:textId="77777777" w:rsidR="004412F1" w:rsidRDefault="005A12A3">
            <w:pPr>
              <w:jc w:val="center"/>
              <w:rPr>
                <w:sz w:val="20"/>
                <w:lang w:val="es"/>
              </w:rPr>
            </w:pPr>
            <w:r>
              <w:rPr>
                <w:sz w:val="20"/>
                <w:lang w:val="es"/>
              </w:rPr>
              <w:t>2</w:t>
            </w:r>
          </w:p>
        </w:tc>
      </w:tr>
      <w:tr w:rsidR="004412F1" w14:paraId="1B9A6BC2"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601F18E" w14:textId="77777777" w:rsidR="004412F1" w:rsidRDefault="005A12A3">
            <w:r>
              <w:rPr>
                <w:sz w:val="20"/>
                <w:lang w:val="es"/>
              </w:rPr>
              <w:t>Fisuras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39CA609" w14:textId="77777777" w:rsidR="004412F1" w:rsidRDefault="005A12A3">
            <w:pPr>
              <w:jc w:val="center"/>
              <w:rPr>
                <w:sz w:val="20"/>
                <w:lang w:val="es"/>
              </w:rPr>
            </w:pPr>
            <w:r>
              <w:rPr>
                <w:sz w:val="20"/>
                <w:lang w:val="es"/>
              </w:rPr>
              <w:t>7</w:t>
            </w:r>
          </w:p>
        </w:tc>
      </w:tr>
      <w:tr w:rsidR="004412F1" w14:paraId="232E575C"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E24A5B4" w14:textId="77777777" w:rsidR="004412F1" w:rsidRDefault="005A12A3">
            <w:r>
              <w:rPr>
                <w:sz w:val="20"/>
                <w:lang w:val="es"/>
              </w:rPr>
              <w:t>Parches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EF5B505" w14:textId="77777777" w:rsidR="004412F1" w:rsidRDefault="005A12A3">
            <w:pPr>
              <w:jc w:val="center"/>
              <w:rPr>
                <w:sz w:val="20"/>
                <w:lang w:val="es"/>
              </w:rPr>
            </w:pPr>
            <w:r>
              <w:rPr>
                <w:sz w:val="20"/>
                <w:lang w:val="es"/>
              </w:rPr>
              <w:t>2</w:t>
            </w:r>
          </w:p>
        </w:tc>
      </w:tr>
      <w:tr w:rsidR="004412F1" w14:paraId="444277F6"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3DA3665" w14:textId="77777777" w:rsidR="004412F1" w:rsidRDefault="005A12A3">
            <w:r>
              <w:rPr>
                <w:sz w:val="20"/>
                <w:lang w:val="es"/>
              </w:rPr>
              <w:t>Ahuellamiento</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5658F98" w14:textId="77777777" w:rsidR="004412F1" w:rsidRDefault="005A12A3">
            <w:pPr>
              <w:jc w:val="center"/>
              <w:rPr>
                <w:rFonts w:eastAsia="Times New Roman"/>
                <w:bCs/>
                <w:sz w:val="20"/>
                <w:szCs w:val="18"/>
                <w:lang w:val="es" w:eastAsia="es-ES"/>
              </w:rPr>
            </w:pPr>
            <w:r>
              <w:rPr>
                <w:sz w:val="20"/>
                <w:lang w:val="es"/>
              </w:rPr>
              <w:t>14</w:t>
            </w:r>
          </w:p>
        </w:tc>
      </w:tr>
      <w:tr w:rsidR="004412F1" w14:paraId="16B95BDC"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500E59E" w14:textId="77777777" w:rsidR="004412F1" w:rsidRDefault="005A12A3">
            <w:r>
              <w:rPr>
                <w:sz w:val="20"/>
                <w:lang w:val="es"/>
              </w:rPr>
              <w:t>Hundimiento</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E75C2A7" w14:textId="77777777" w:rsidR="004412F1" w:rsidRDefault="005A12A3">
            <w:pPr>
              <w:jc w:val="center"/>
              <w:rPr>
                <w:sz w:val="20"/>
                <w:lang w:val="es"/>
              </w:rPr>
            </w:pPr>
            <w:r>
              <w:rPr>
                <w:sz w:val="20"/>
                <w:lang w:val="es"/>
              </w:rPr>
              <w:t>7</w:t>
            </w:r>
          </w:p>
        </w:tc>
      </w:tr>
      <w:tr w:rsidR="004412F1" w14:paraId="030533CB"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005BC92" w14:textId="77777777" w:rsidR="004412F1" w:rsidRDefault="005A12A3">
            <w:r>
              <w:rPr>
                <w:sz w:val="20"/>
                <w:lang w:val="es"/>
              </w:rPr>
              <w:t>Exudación</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72008FA" w14:textId="77777777" w:rsidR="004412F1" w:rsidRDefault="005A12A3">
            <w:pPr>
              <w:jc w:val="center"/>
              <w:rPr>
                <w:sz w:val="20"/>
                <w:lang w:val="es"/>
              </w:rPr>
            </w:pPr>
            <w:r>
              <w:rPr>
                <w:sz w:val="20"/>
                <w:lang w:val="es"/>
              </w:rPr>
              <w:t>7</w:t>
            </w:r>
          </w:p>
        </w:tc>
      </w:tr>
      <w:tr w:rsidR="004412F1" w14:paraId="427618CD"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9A0A578" w14:textId="77777777" w:rsidR="004412F1" w:rsidRDefault="005A12A3">
            <w:r>
              <w:rPr>
                <w:sz w:val="20"/>
                <w:lang w:val="es"/>
              </w:rPr>
              <w:t>Existencia de material suelto</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2F8EBAD" w14:textId="77777777" w:rsidR="004412F1" w:rsidRDefault="005A12A3">
            <w:pPr>
              <w:jc w:val="center"/>
              <w:rPr>
                <w:sz w:val="20"/>
                <w:lang w:val="es"/>
              </w:rPr>
            </w:pPr>
            <w:r>
              <w:rPr>
                <w:sz w:val="20"/>
                <w:lang w:val="es"/>
              </w:rPr>
              <w:t>1</w:t>
            </w:r>
          </w:p>
        </w:tc>
      </w:tr>
      <w:tr w:rsidR="004412F1" w14:paraId="08B7952A"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7A238DA" w14:textId="77777777" w:rsidR="004412F1" w:rsidRDefault="005A12A3">
            <w:r>
              <w:rPr>
                <w:sz w:val="20"/>
                <w:lang w:val="es"/>
              </w:rPr>
              <w:t>Existencia de obstáculos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56BEEDE" w14:textId="77777777" w:rsidR="004412F1" w:rsidRDefault="005A12A3">
            <w:pPr>
              <w:jc w:val="center"/>
              <w:rPr>
                <w:sz w:val="20"/>
                <w:lang w:val="es"/>
              </w:rPr>
            </w:pPr>
            <w:r>
              <w:rPr>
                <w:sz w:val="20"/>
                <w:lang w:val="es"/>
              </w:rPr>
              <w:t>1</w:t>
            </w:r>
          </w:p>
        </w:tc>
      </w:tr>
      <w:tr w:rsidR="004412F1" w14:paraId="4A7A9BDE"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5E22FEC" w14:textId="77777777" w:rsidR="004412F1" w:rsidRDefault="005A12A3">
            <w:pPr>
              <w:rPr>
                <w:lang w:val="es-PE"/>
              </w:rPr>
            </w:pPr>
            <w:r>
              <w:rPr>
                <w:sz w:val="20"/>
                <w:lang w:val="es"/>
              </w:rPr>
              <w:t xml:space="preserve">Rugosidad para recepción las obras </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1552509" w14:textId="77777777" w:rsidR="004412F1" w:rsidRDefault="005A12A3">
            <w:pPr>
              <w:jc w:val="center"/>
              <w:rPr>
                <w:rFonts w:eastAsia="Times New Roman"/>
                <w:bCs/>
                <w:sz w:val="20"/>
                <w:szCs w:val="18"/>
                <w:lang w:val="es" w:eastAsia="es-ES"/>
              </w:rPr>
            </w:pPr>
            <w:r>
              <w:rPr>
                <w:sz w:val="20"/>
                <w:lang w:val="es"/>
              </w:rPr>
              <w:t>30</w:t>
            </w:r>
          </w:p>
        </w:tc>
      </w:tr>
      <w:tr w:rsidR="004412F1" w14:paraId="4311D9D8"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CBA6611" w14:textId="77777777" w:rsidR="004412F1" w:rsidRDefault="005A12A3">
            <w:pPr>
              <w:rPr>
                <w:lang w:val="es-PE"/>
              </w:rPr>
            </w:pPr>
            <w:r>
              <w:rPr>
                <w:sz w:val="20"/>
                <w:lang w:val="es"/>
              </w:rPr>
              <w:t>Rugosidad durante el período de conservación</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5EA92E2" w14:textId="77777777" w:rsidR="004412F1" w:rsidRDefault="005A12A3">
            <w:pPr>
              <w:jc w:val="center"/>
              <w:rPr>
                <w:rFonts w:eastAsia="Times New Roman"/>
                <w:bCs/>
                <w:sz w:val="20"/>
                <w:szCs w:val="18"/>
                <w:lang w:val="es" w:eastAsia="es-ES"/>
              </w:rPr>
            </w:pPr>
            <w:r>
              <w:rPr>
                <w:sz w:val="20"/>
                <w:lang w:val="es"/>
              </w:rPr>
              <w:t>30</w:t>
            </w:r>
          </w:p>
        </w:tc>
      </w:tr>
      <w:tr w:rsidR="004412F1" w14:paraId="235211C6"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EDF031F" w14:textId="77777777" w:rsidR="004412F1" w:rsidRDefault="005A12A3">
            <w:r>
              <w:rPr>
                <w:sz w:val="20"/>
                <w:lang w:val="es"/>
              </w:rPr>
              <w:t>Peladuras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C8772F5" w14:textId="77777777" w:rsidR="004412F1" w:rsidRDefault="005A12A3">
            <w:pPr>
              <w:jc w:val="center"/>
              <w:rPr>
                <w:sz w:val="20"/>
                <w:lang w:val="es"/>
              </w:rPr>
            </w:pPr>
            <w:r>
              <w:rPr>
                <w:sz w:val="20"/>
                <w:lang w:val="es"/>
              </w:rPr>
              <w:t>7</w:t>
            </w:r>
          </w:p>
        </w:tc>
      </w:tr>
      <w:tr w:rsidR="004412F1" w14:paraId="524629C1"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E809AA5" w14:textId="77777777" w:rsidR="004412F1" w:rsidRDefault="005A12A3">
            <w:r>
              <w:rPr>
                <w:sz w:val="20"/>
                <w:lang w:val="es"/>
              </w:rPr>
              <w:t>Grietas longitudinales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6B96AE2" w14:textId="77777777" w:rsidR="004412F1" w:rsidRDefault="005A12A3">
            <w:pPr>
              <w:jc w:val="center"/>
              <w:rPr>
                <w:sz w:val="20"/>
                <w:lang w:val="es"/>
              </w:rPr>
            </w:pPr>
            <w:r>
              <w:rPr>
                <w:sz w:val="20"/>
                <w:lang w:val="es"/>
              </w:rPr>
              <w:t>7</w:t>
            </w:r>
          </w:p>
        </w:tc>
      </w:tr>
      <w:tr w:rsidR="004412F1" w14:paraId="140FF983" w14:textId="77777777">
        <w:trPr>
          <w:trHeight w:val="15"/>
        </w:trPr>
        <w:tc>
          <w:tcPr>
            <w:tcW w:w="448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8BCC028" w14:textId="77777777" w:rsidR="004412F1" w:rsidRDefault="005A12A3">
            <w:r>
              <w:rPr>
                <w:sz w:val="20"/>
                <w:lang w:val="es"/>
              </w:rPr>
              <w:t>Desprendimiento de bordes</w:t>
            </w:r>
          </w:p>
        </w:tc>
        <w:tc>
          <w:tcPr>
            <w:tcW w:w="336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C249FB7" w14:textId="77777777" w:rsidR="004412F1" w:rsidRDefault="005A12A3">
            <w:pPr>
              <w:jc w:val="center"/>
              <w:rPr>
                <w:sz w:val="20"/>
                <w:lang w:val="es"/>
              </w:rPr>
            </w:pPr>
            <w:r>
              <w:rPr>
                <w:sz w:val="20"/>
                <w:lang w:val="es"/>
              </w:rPr>
              <w:t>7</w:t>
            </w:r>
          </w:p>
        </w:tc>
      </w:tr>
    </w:tbl>
    <w:p w14:paraId="43E3DBC0" w14:textId="77777777" w:rsidR="004412F1" w:rsidRDefault="004412F1">
      <w:pPr>
        <w:jc w:val="center"/>
      </w:pPr>
    </w:p>
    <w:tbl>
      <w:tblPr>
        <w:tblStyle w:val="Tablaconcuadrcula"/>
        <w:tblW w:w="0" w:type="auto"/>
        <w:tblLayout w:type="fixed"/>
        <w:tblLook w:val="04A0" w:firstRow="1" w:lastRow="0" w:firstColumn="1" w:lastColumn="0" w:noHBand="0" w:noVBand="1"/>
      </w:tblPr>
      <w:tblGrid>
        <w:gridCol w:w="2835"/>
        <w:gridCol w:w="3405"/>
        <w:gridCol w:w="2265"/>
      </w:tblGrid>
      <w:tr w:rsidR="004412F1" w14:paraId="01DA65CA" w14:textId="77777777">
        <w:trPr>
          <w:trHeight w:val="300"/>
        </w:trPr>
        <w:tc>
          <w:tcPr>
            <w:tcW w:w="850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7722154" w14:textId="77777777" w:rsidR="004412F1" w:rsidRDefault="005A12A3">
            <w:pPr>
              <w:jc w:val="center"/>
              <w:rPr>
                <w:rFonts w:ascii="Calibri" w:eastAsia="Calibri" w:hAnsi="Calibri" w:cs="Calibri"/>
                <w:b/>
                <w:bCs/>
                <w:lang w:val="es-PE"/>
              </w:rPr>
            </w:pPr>
            <w:r>
              <w:rPr>
                <w:rFonts w:ascii="Calibri" w:eastAsia="Calibri" w:hAnsi="Calibri" w:cs="Calibri"/>
                <w:b/>
                <w:bCs/>
                <w:lang w:val="es-PE"/>
              </w:rPr>
              <w:t>Niveles de Servicio para:</w:t>
            </w:r>
          </w:p>
          <w:p w14:paraId="10755F6C" w14:textId="77777777" w:rsidR="004412F1" w:rsidRDefault="005A12A3">
            <w:pPr>
              <w:jc w:val="center"/>
              <w:rPr>
                <w:rFonts w:ascii="Calibri" w:eastAsia="Calibri" w:hAnsi="Calibri" w:cs="Calibri"/>
                <w:b/>
                <w:bCs/>
                <w:lang w:val="es-PE"/>
              </w:rPr>
            </w:pPr>
            <w:r>
              <w:rPr>
                <w:rFonts w:ascii="Calibri" w:eastAsia="Calibri" w:hAnsi="Calibri" w:cs="Calibri"/>
                <w:b/>
                <w:bCs/>
                <w:lang w:val="es-PE"/>
              </w:rPr>
              <w:t>Superficie de rodadura de concreto</w:t>
            </w:r>
          </w:p>
        </w:tc>
      </w:tr>
      <w:tr w:rsidR="004412F1" w14:paraId="2E60E1F3"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27FA8A9" w14:textId="77777777" w:rsidR="004412F1" w:rsidRDefault="005A12A3">
            <w:pPr>
              <w:jc w:val="center"/>
              <w:rPr>
                <w:rFonts w:ascii="Calibri" w:eastAsia="Calibri" w:hAnsi="Calibri" w:cs="Calibri"/>
                <w:b/>
                <w:bCs/>
                <w:lang w:val="es-PE"/>
              </w:rPr>
            </w:pPr>
            <w:r>
              <w:rPr>
                <w:rFonts w:ascii="Calibri" w:eastAsia="Calibri" w:hAnsi="Calibri" w:cs="Calibri"/>
                <w:b/>
                <w:bCs/>
                <w:lang w:val="es-PE"/>
              </w:rPr>
              <w:t>Parámetro</w:t>
            </w:r>
          </w:p>
        </w:tc>
        <w:tc>
          <w:tcPr>
            <w:tcW w:w="3405" w:type="dxa"/>
            <w:tcBorders>
              <w:top w:val="nil"/>
              <w:left w:val="single" w:sz="8" w:space="0" w:color="auto"/>
              <w:bottom w:val="single" w:sz="8" w:space="0" w:color="auto"/>
              <w:right w:val="single" w:sz="8" w:space="0" w:color="auto"/>
            </w:tcBorders>
            <w:tcMar>
              <w:left w:w="108" w:type="dxa"/>
              <w:right w:w="108" w:type="dxa"/>
            </w:tcMar>
          </w:tcPr>
          <w:p w14:paraId="667630AA" w14:textId="77777777" w:rsidR="004412F1" w:rsidRDefault="005A12A3">
            <w:pPr>
              <w:jc w:val="center"/>
              <w:rPr>
                <w:rFonts w:ascii="Calibri" w:eastAsia="Calibri" w:hAnsi="Calibri" w:cs="Calibri"/>
                <w:b/>
                <w:bCs/>
                <w:lang w:val="es-PE"/>
              </w:rPr>
            </w:pPr>
            <w:r>
              <w:rPr>
                <w:rFonts w:ascii="Calibri" w:eastAsia="Calibri" w:hAnsi="Calibri" w:cs="Calibri"/>
                <w:b/>
                <w:bCs/>
                <w:lang w:val="es-PE"/>
              </w:rPr>
              <w:t>Medida</w:t>
            </w:r>
          </w:p>
        </w:tc>
        <w:tc>
          <w:tcPr>
            <w:tcW w:w="2265" w:type="dxa"/>
            <w:tcBorders>
              <w:top w:val="nil"/>
              <w:left w:val="single" w:sz="8" w:space="0" w:color="auto"/>
              <w:bottom w:val="single" w:sz="8" w:space="0" w:color="auto"/>
              <w:right w:val="single" w:sz="8" w:space="0" w:color="auto"/>
            </w:tcBorders>
            <w:tcMar>
              <w:left w:w="108" w:type="dxa"/>
              <w:right w:w="108" w:type="dxa"/>
            </w:tcMar>
          </w:tcPr>
          <w:p w14:paraId="5F35CF5C" w14:textId="77777777" w:rsidR="004412F1" w:rsidRDefault="005A12A3">
            <w:pPr>
              <w:jc w:val="center"/>
              <w:rPr>
                <w:rFonts w:ascii="Calibri" w:eastAsia="Calibri" w:hAnsi="Calibri" w:cs="Calibri"/>
                <w:b/>
                <w:bCs/>
                <w:lang w:val="es-PE"/>
              </w:rPr>
            </w:pPr>
            <w:r>
              <w:rPr>
                <w:rFonts w:ascii="Calibri" w:eastAsia="Calibri" w:hAnsi="Calibri" w:cs="Calibri"/>
                <w:b/>
                <w:bCs/>
                <w:lang w:val="es-PE"/>
              </w:rPr>
              <w:t>Nivel de Servicio</w:t>
            </w:r>
          </w:p>
        </w:tc>
      </w:tr>
      <w:tr w:rsidR="004412F1" w14:paraId="1BF1C56D" w14:textId="77777777">
        <w:trPr>
          <w:trHeight w:val="300"/>
        </w:trPr>
        <w:tc>
          <w:tcPr>
            <w:tcW w:w="8505"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C905D6" w14:textId="77777777" w:rsidR="004412F1" w:rsidRDefault="005A12A3">
            <w:pPr>
              <w:rPr>
                <w:lang w:val="es-PE"/>
              </w:rPr>
            </w:pPr>
            <w:r>
              <w:rPr>
                <w:rFonts w:ascii="Calibri" w:eastAsia="Calibri" w:hAnsi="Calibri" w:cs="Calibri"/>
                <w:b/>
                <w:bCs/>
                <w:lang w:val="es-PE"/>
              </w:rPr>
              <w:t>NIVELES DE SERVICIO PARA: PAVIMENTO RIGIDO</w:t>
            </w:r>
          </w:p>
        </w:tc>
      </w:tr>
      <w:tr w:rsidR="004412F1" w14:paraId="16D27CE3"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252FA28B" w14:textId="77777777" w:rsidR="004412F1" w:rsidRDefault="005A12A3">
            <w:pPr>
              <w:rPr>
                <w:lang w:val="es-PE"/>
              </w:rPr>
            </w:pPr>
            <w:r>
              <w:rPr>
                <w:rFonts w:ascii="Calibri" w:eastAsia="Calibri" w:hAnsi="Calibri" w:cs="Calibri"/>
                <w:lang w:val="es-PE"/>
              </w:rPr>
              <w:t>Desnivel entro losas</w:t>
            </w:r>
          </w:p>
        </w:tc>
        <w:tc>
          <w:tcPr>
            <w:tcW w:w="3405" w:type="dxa"/>
            <w:tcBorders>
              <w:top w:val="nil"/>
              <w:left w:val="single" w:sz="8" w:space="0" w:color="auto"/>
              <w:bottom w:val="single" w:sz="8" w:space="0" w:color="auto"/>
              <w:right w:val="single" w:sz="8" w:space="0" w:color="auto"/>
            </w:tcBorders>
            <w:tcMar>
              <w:left w:w="108" w:type="dxa"/>
              <w:right w:w="108" w:type="dxa"/>
            </w:tcMar>
          </w:tcPr>
          <w:p w14:paraId="2F7B6DF6" w14:textId="77777777" w:rsidR="004412F1" w:rsidRDefault="005A12A3">
            <w:pPr>
              <w:rPr>
                <w:lang w:val="es-PE"/>
              </w:rPr>
            </w:pPr>
            <w:r>
              <w:rPr>
                <w:rFonts w:ascii="Calibri" w:eastAsia="Calibri" w:hAnsi="Calibri" w:cs="Calibri"/>
                <w:lang w:val="es-PE"/>
              </w:rPr>
              <w:t>Porcentaje máximo de longitud con desnivel ≥ 10mm</w:t>
            </w:r>
          </w:p>
        </w:tc>
        <w:tc>
          <w:tcPr>
            <w:tcW w:w="2265" w:type="dxa"/>
            <w:tcBorders>
              <w:top w:val="nil"/>
              <w:left w:val="single" w:sz="8" w:space="0" w:color="auto"/>
              <w:bottom w:val="single" w:sz="8" w:space="0" w:color="auto"/>
              <w:right w:val="single" w:sz="8" w:space="0" w:color="auto"/>
            </w:tcBorders>
            <w:tcMar>
              <w:left w:w="108" w:type="dxa"/>
              <w:right w:w="108" w:type="dxa"/>
            </w:tcMar>
            <w:vAlign w:val="center"/>
          </w:tcPr>
          <w:p w14:paraId="2D364A70"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4DCF0246" w14:textId="77777777">
        <w:trPr>
          <w:trHeight w:val="300"/>
        </w:trPr>
        <w:tc>
          <w:tcPr>
            <w:tcW w:w="283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40DCDE8" w14:textId="77777777" w:rsidR="004412F1" w:rsidRDefault="005A12A3">
            <w:pPr>
              <w:rPr>
                <w:lang w:val="es-PE"/>
              </w:rPr>
            </w:pPr>
            <w:r>
              <w:rPr>
                <w:rFonts w:ascii="Calibri" w:eastAsia="Calibri" w:hAnsi="Calibri" w:cs="Calibri"/>
                <w:lang w:val="es-PE"/>
              </w:rPr>
              <w:t>Fisuras longitudinales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0A11506" w14:textId="77777777" w:rsidR="004412F1" w:rsidRDefault="005A12A3">
            <w:pPr>
              <w:rPr>
                <w:lang w:val="es-PE"/>
              </w:rPr>
            </w:pPr>
            <w:r>
              <w:rPr>
                <w:rFonts w:ascii="Calibri" w:eastAsia="Calibri" w:hAnsi="Calibri" w:cs="Calibri"/>
                <w:lang w:val="es-PE"/>
              </w:rPr>
              <w:t>Porcentaje máximo de área con fisuras mayores a 3 mm de grosor</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B0558D"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2279C627" w14:textId="77777777">
        <w:trPr>
          <w:trHeight w:val="300"/>
        </w:trPr>
        <w:tc>
          <w:tcPr>
            <w:tcW w:w="2835" w:type="dxa"/>
            <w:vMerge/>
            <w:tcBorders>
              <w:left w:val="single" w:sz="0" w:space="0" w:color="auto"/>
              <w:bottom w:val="single" w:sz="0" w:space="0" w:color="auto"/>
              <w:right w:val="single" w:sz="0" w:space="0" w:color="auto"/>
            </w:tcBorders>
            <w:vAlign w:val="center"/>
          </w:tcPr>
          <w:p w14:paraId="1997219B" w14:textId="77777777" w:rsidR="004412F1" w:rsidRDefault="004412F1">
            <w:pPr>
              <w:rPr>
                <w:lang w:val="es-PE"/>
              </w:rPr>
            </w:pPr>
          </w:p>
        </w:tc>
        <w:tc>
          <w:tcPr>
            <w:tcW w:w="3405" w:type="dxa"/>
            <w:tcBorders>
              <w:top w:val="single" w:sz="8" w:space="0" w:color="auto"/>
              <w:left w:val="nil"/>
              <w:bottom w:val="single" w:sz="8" w:space="0" w:color="auto"/>
              <w:right w:val="single" w:sz="8" w:space="0" w:color="auto"/>
            </w:tcBorders>
            <w:tcMar>
              <w:left w:w="108" w:type="dxa"/>
              <w:right w:w="108" w:type="dxa"/>
            </w:tcMar>
          </w:tcPr>
          <w:p w14:paraId="55F0F98B" w14:textId="77777777" w:rsidR="004412F1" w:rsidRDefault="005A12A3">
            <w:pPr>
              <w:rPr>
                <w:lang w:val="es-PE"/>
              </w:rPr>
            </w:pPr>
            <w:r>
              <w:rPr>
                <w:rFonts w:ascii="Calibri" w:eastAsia="Calibri" w:hAnsi="Calibri" w:cs="Calibri"/>
                <w:lang w:val="es-PE"/>
              </w:rPr>
              <w:t>Porcentaje máximo de área con fisuras entre 1 y 3 mm</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A23938" w14:textId="77777777" w:rsidR="004412F1" w:rsidRDefault="005A12A3">
            <w:pPr>
              <w:jc w:val="center"/>
              <w:rPr>
                <w:rFonts w:ascii="Calibri" w:eastAsia="Calibri" w:hAnsi="Calibri" w:cs="Calibri"/>
                <w:lang w:val="es-PE"/>
              </w:rPr>
            </w:pPr>
            <w:r>
              <w:rPr>
                <w:rFonts w:ascii="Calibri" w:eastAsia="Calibri" w:hAnsi="Calibri" w:cs="Calibri"/>
                <w:lang w:val="es-PE"/>
              </w:rPr>
              <w:t>3 %</w:t>
            </w:r>
          </w:p>
        </w:tc>
      </w:tr>
      <w:tr w:rsidR="004412F1" w14:paraId="2C82244E" w14:textId="77777777">
        <w:trPr>
          <w:trHeight w:val="300"/>
        </w:trPr>
        <w:tc>
          <w:tcPr>
            <w:tcW w:w="2835" w:type="dxa"/>
            <w:vMerge w:val="restart"/>
            <w:tcBorders>
              <w:top w:val="nil"/>
              <w:left w:val="single" w:sz="8" w:space="0" w:color="auto"/>
              <w:bottom w:val="single" w:sz="8" w:space="0" w:color="auto"/>
              <w:right w:val="single" w:sz="8" w:space="0" w:color="auto"/>
            </w:tcBorders>
            <w:tcMar>
              <w:left w:w="108" w:type="dxa"/>
              <w:right w:w="108" w:type="dxa"/>
            </w:tcMar>
          </w:tcPr>
          <w:p w14:paraId="34B39179" w14:textId="77777777" w:rsidR="004412F1" w:rsidRDefault="005A12A3">
            <w:pPr>
              <w:rPr>
                <w:lang w:val="es-PE"/>
              </w:rPr>
            </w:pPr>
            <w:r>
              <w:rPr>
                <w:rFonts w:ascii="Calibri" w:eastAsia="Calibri" w:hAnsi="Calibri" w:cs="Calibri"/>
                <w:lang w:val="es-PE"/>
              </w:rPr>
              <w:t>Fisuras transversales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7E0977C" w14:textId="77777777" w:rsidR="004412F1" w:rsidRDefault="005A12A3">
            <w:pPr>
              <w:rPr>
                <w:lang w:val="es-PE"/>
              </w:rPr>
            </w:pPr>
            <w:r>
              <w:rPr>
                <w:rFonts w:ascii="Calibri" w:eastAsia="Calibri" w:hAnsi="Calibri" w:cs="Calibri"/>
                <w:lang w:val="es-PE"/>
              </w:rPr>
              <w:t>Porcentaje máximo de área con fisuras mayores a 3 mm de grosor</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2069A8"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0C2BE091" w14:textId="77777777">
        <w:trPr>
          <w:trHeight w:val="300"/>
        </w:trPr>
        <w:tc>
          <w:tcPr>
            <w:tcW w:w="2835" w:type="dxa"/>
            <w:vMerge/>
            <w:tcBorders>
              <w:left w:val="single" w:sz="0" w:space="0" w:color="auto"/>
              <w:bottom w:val="single" w:sz="0" w:space="0" w:color="auto"/>
              <w:right w:val="single" w:sz="0" w:space="0" w:color="auto"/>
            </w:tcBorders>
            <w:vAlign w:val="center"/>
          </w:tcPr>
          <w:p w14:paraId="17B788C0" w14:textId="77777777" w:rsidR="004412F1" w:rsidRDefault="004412F1">
            <w:pPr>
              <w:rPr>
                <w:lang w:val="es-PE"/>
              </w:rPr>
            </w:pPr>
          </w:p>
        </w:tc>
        <w:tc>
          <w:tcPr>
            <w:tcW w:w="3405" w:type="dxa"/>
            <w:tcBorders>
              <w:top w:val="single" w:sz="8" w:space="0" w:color="auto"/>
              <w:left w:val="nil"/>
              <w:bottom w:val="single" w:sz="8" w:space="0" w:color="auto"/>
              <w:right w:val="single" w:sz="8" w:space="0" w:color="auto"/>
            </w:tcBorders>
            <w:tcMar>
              <w:left w:w="108" w:type="dxa"/>
              <w:right w:w="108" w:type="dxa"/>
            </w:tcMar>
          </w:tcPr>
          <w:p w14:paraId="7705DB01" w14:textId="77777777" w:rsidR="004412F1" w:rsidRDefault="005A12A3">
            <w:pPr>
              <w:rPr>
                <w:lang w:val="es-PE"/>
              </w:rPr>
            </w:pPr>
            <w:r>
              <w:rPr>
                <w:rFonts w:ascii="Calibri" w:eastAsia="Calibri" w:hAnsi="Calibri" w:cs="Calibri"/>
                <w:lang w:val="es-PE"/>
              </w:rPr>
              <w:t>Porcentaje máximo de área con fisuras entre 1 y 3 mm</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AFAA7A" w14:textId="77777777" w:rsidR="004412F1" w:rsidRDefault="005A12A3">
            <w:pPr>
              <w:jc w:val="center"/>
              <w:rPr>
                <w:rFonts w:ascii="Calibri" w:eastAsia="Calibri" w:hAnsi="Calibri" w:cs="Calibri"/>
                <w:lang w:val="es-PE"/>
              </w:rPr>
            </w:pPr>
            <w:r>
              <w:rPr>
                <w:rFonts w:ascii="Calibri" w:eastAsia="Calibri" w:hAnsi="Calibri" w:cs="Calibri"/>
                <w:lang w:val="es-PE"/>
              </w:rPr>
              <w:t>2 %</w:t>
            </w:r>
          </w:p>
        </w:tc>
      </w:tr>
      <w:tr w:rsidR="004412F1" w14:paraId="6C6DB175" w14:textId="77777777">
        <w:trPr>
          <w:trHeight w:val="300"/>
        </w:trPr>
        <w:tc>
          <w:tcPr>
            <w:tcW w:w="2835" w:type="dxa"/>
            <w:tcBorders>
              <w:top w:val="nil"/>
              <w:left w:val="single" w:sz="8" w:space="0" w:color="auto"/>
              <w:bottom w:val="single" w:sz="8" w:space="0" w:color="auto"/>
              <w:right w:val="single" w:sz="8" w:space="0" w:color="auto"/>
            </w:tcBorders>
            <w:tcMar>
              <w:left w:w="108" w:type="dxa"/>
              <w:right w:w="108" w:type="dxa"/>
            </w:tcMar>
          </w:tcPr>
          <w:p w14:paraId="0A52D0C7" w14:textId="77777777" w:rsidR="004412F1" w:rsidRDefault="005A12A3">
            <w:pPr>
              <w:rPr>
                <w:lang w:val="es-PE"/>
              </w:rPr>
            </w:pPr>
            <w:r>
              <w:rPr>
                <w:rFonts w:ascii="Calibri" w:eastAsia="Calibri" w:hAnsi="Calibri" w:cs="Calibri"/>
                <w:lang w:val="es-PE"/>
              </w:rPr>
              <w:t>Fisuras de esquina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6201B51" w14:textId="77777777" w:rsidR="004412F1" w:rsidRDefault="005A12A3">
            <w:pPr>
              <w:rPr>
                <w:lang w:val="es-PE"/>
              </w:rPr>
            </w:pPr>
            <w:r>
              <w:rPr>
                <w:rFonts w:ascii="Calibri" w:eastAsia="Calibri" w:hAnsi="Calibri" w:cs="Calibri"/>
                <w:lang w:val="es-PE"/>
              </w:rPr>
              <w:t>Porcentaje máximo de área con fisuras en esquina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4AEAB"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328A97B2" w14:textId="77777777">
        <w:trPr>
          <w:trHeight w:val="300"/>
        </w:trPr>
        <w:tc>
          <w:tcPr>
            <w:tcW w:w="283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73DBF74" w14:textId="77777777" w:rsidR="004412F1" w:rsidRDefault="005A12A3">
            <w:pPr>
              <w:rPr>
                <w:lang w:val="es-PE"/>
              </w:rPr>
            </w:pPr>
            <w:r>
              <w:rPr>
                <w:rFonts w:ascii="Calibri" w:eastAsia="Calibri" w:hAnsi="Calibri" w:cs="Calibri"/>
                <w:lang w:val="es-PE"/>
              </w:rPr>
              <w:t>Fisuras oblicuas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6E698FD" w14:textId="77777777" w:rsidR="004412F1" w:rsidRDefault="005A12A3">
            <w:pPr>
              <w:rPr>
                <w:lang w:val="es-PE"/>
              </w:rPr>
            </w:pPr>
            <w:r>
              <w:rPr>
                <w:rFonts w:ascii="Calibri" w:eastAsia="Calibri" w:hAnsi="Calibri" w:cs="Calibri"/>
                <w:lang w:val="es-PE"/>
              </w:rPr>
              <w:t>Porcentaje máximo de área con fisuras mayores a 3 mm de grosor</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7DF33"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02BBC2AF" w14:textId="77777777">
        <w:trPr>
          <w:trHeight w:val="300"/>
        </w:trPr>
        <w:tc>
          <w:tcPr>
            <w:tcW w:w="2835" w:type="dxa"/>
            <w:vMerge/>
            <w:tcBorders>
              <w:left w:val="single" w:sz="0" w:space="0" w:color="auto"/>
              <w:bottom w:val="single" w:sz="0" w:space="0" w:color="auto"/>
              <w:right w:val="single" w:sz="0" w:space="0" w:color="auto"/>
            </w:tcBorders>
            <w:vAlign w:val="center"/>
          </w:tcPr>
          <w:p w14:paraId="09EA5E5C" w14:textId="77777777" w:rsidR="004412F1" w:rsidRDefault="004412F1">
            <w:pPr>
              <w:rPr>
                <w:lang w:val="es-PE"/>
              </w:rPr>
            </w:pPr>
          </w:p>
        </w:tc>
        <w:tc>
          <w:tcPr>
            <w:tcW w:w="3405" w:type="dxa"/>
            <w:tcBorders>
              <w:top w:val="single" w:sz="8" w:space="0" w:color="auto"/>
              <w:left w:val="nil"/>
              <w:bottom w:val="single" w:sz="8" w:space="0" w:color="auto"/>
              <w:right w:val="single" w:sz="8" w:space="0" w:color="auto"/>
            </w:tcBorders>
            <w:tcMar>
              <w:left w:w="108" w:type="dxa"/>
              <w:right w:w="108" w:type="dxa"/>
            </w:tcMar>
          </w:tcPr>
          <w:p w14:paraId="7F32A8F7" w14:textId="77777777" w:rsidR="004412F1" w:rsidRDefault="005A12A3">
            <w:pPr>
              <w:rPr>
                <w:lang w:val="es-PE"/>
              </w:rPr>
            </w:pPr>
            <w:r>
              <w:rPr>
                <w:rFonts w:ascii="Calibri" w:eastAsia="Calibri" w:hAnsi="Calibri" w:cs="Calibri"/>
                <w:lang w:val="es-PE"/>
              </w:rPr>
              <w:t>Porcentaje máximo de área con fisuras entre 1 y 3 mm</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88F8C0"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2141ECE3" w14:textId="77777777">
        <w:trPr>
          <w:trHeight w:val="300"/>
        </w:trPr>
        <w:tc>
          <w:tcPr>
            <w:tcW w:w="2835" w:type="dxa"/>
            <w:tcBorders>
              <w:top w:val="nil"/>
              <w:left w:val="single" w:sz="8" w:space="0" w:color="auto"/>
              <w:bottom w:val="single" w:sz="8" w:space="0" w:color="auto"/>
              <w:right w:val="single" w:sz="8" w:space="0" w:color="auto"/>
            </w:tcBorders>
            <w:tcMar>
              <w:left w:w="108" w:type="dxa"/>
              <w:right w:w="108" w:type="dxa"/>
            </w:tcMar>
          </w:tcPr>
          <w:p w14:paraId="78285A62" w14:textId="77777777" w:rsidR="004412F1" w:rsidRDefault="005A12A3">
            <w:pPr>
              <w:rPr>
                <w:lang w:val="es-PE"/>
              </w:rPr>
            </w:pPr>
            <w:r>
              <w:rPr>
                <w:rFonts w:ascii="Calibri" w:eastAsia="Calibri" w:hAnsi="Calibri" w:cs="Calibri"/>
                <w:lang w:val="es-PE"/>
              </w:rPr>
              <w:t>Reparaciones o parchados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F206541" w14:textId="77777777" w:rsidR="004412F1" w:rsidRDefault="005A12A3">
            <w:pPr>
              <w:rPr>
                <w:lang w:val="es-PE"/>
              </w:rPr>
            </w:pPr>
            <w:r>
              <w:rPr>
                <w:rFonts w:ascii="Calibri" w:eastAsia="Calibri" w:hAnsi="Calibri" w:cs="Calibri"/>
                <w:lang w:val="es-PE"/>
              </w:rPr>
              <w:t>Porcentaje máximo de parches en mal estado</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D93E90"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0DD6B8C0"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9297A62" w14:textId="77777777" w:rsidR="004412F1" w:rsidRDefault="005A12A3">
            <w:pPr>
              <w:rPr>
                <w:lang w:val="es-PE"/>
              </w:rPr>
            </w:pPr>
            <w:r>
              <w:rPr>
                <w:rFonts w:ascii="Calibri" w:eastAsia="Calibri" w:hAnsi="Calibri" w:cs="Calibri"/>
                <w:lang w:val="es-PE"/>
              </w:rPr>
              <w:t>Despostillamiento de juntas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748EB1A" w14:textId="77777777" w:rsidR="004412F1" w:rsidRDefault="005A12A3">
            <w:pPr>
              <w:rPr>
                <w:lang w:val="es-PE"/>
              </w:rPr>
            </w:pPr>
            <w:r>
              <w:rPr>
                <w:rFonts w:ascii="Calibri" w:eastAsia="Calibri" w:hAnsi="Calibri" w:cs="Calibri"/>
                <w:lang w:val="es-PE"/>
              </w:rPr>
              <w:t>Porcentaje máximo de área con despostillamiento de juntas</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7014B1" w14:textId="77777777" w:rsidR="004412F1" w:rsidRDefault="005A12A3">
            <w:pPr>
              <w:jc w:val="center"/>
              <w:rPr>
                <w:rFonts w:ascii="Calibri" w:eastAsia="Calibri" w:hAnsi="Calibri" w:cs="Calibri"/>
                <w:lang w:val="es-PE"/>
              </w:rPr>
            </w:pPr>
            <w:r>
              <w:rPr>
                <w:rFonts w:ascii="Calibri" w:eastAsia="Calibri" w:hAnsi="Calibri" w:cs="Calibri"/>
                <w:lang w:val="es-PE"/>
              </w:rPr>
              <w:t>5 %</w:t>
            </w:r>
          </w:p>
        </w:tc>
      </w:tr>
      <w:tr w:rsidR="004412F1" w14:paraId="5DE23206"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17A4731" w14:textId="77777777" w:rsidR="004412F1" w:rsidRDefault="005A12A3">
            <w:pPr>
              <w:rPr>
                <w:lang w:val="es-PE"/>
              </w:rPr>
            </w:pPr>
            <w:r>
              <w:rPr>
                <w:rFonts w:ascii="Calibri" w:eastAsia="Calibri" w:hAnsi="Calibri" w:cs="Calibri"/>
                <w:lang w:val="es-PE"/>
              </w:rPr>
              <w:t>Desprendimiento</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4B09C112" w14:textId="77777777" w:rsidR="004412F1" w:rsidRDefault="005A12A3">
            <w:pPr>
              <w:rPr>
                <w:lang w:val="es-PE"/>
              </w:rPr>
            </w:pPr>
            <w:r>
              <w:rPr>
                <w:rFonts w:ascii="Calibri" w:eastAsia="Calibri" w:hAnsi="Calibri" w:cs="Calibri"/>
                <w:lang w:val="es-PE"/>
              </w:rPr>
              <w:t>Porcentaje máximo de área con desprendimiento</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40B811"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4AF5F0ED"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9A605D1" w14:textId="77777777" w:rsidR="004412F1" w:rsidRDefault="005A12A3">
            <w:pPr>
              <w:rPr>
                <w:lang w:val="es-PE"/>
              </w:rPr>
            </w:pPr>
            <w:r>
              <w:rPr>
                <w:rFonts w:ascii="Calibri" w:eastAsia="Calibri" w:hAnsi="Calibri" w:cs="Calibri"/>
                <w:lang w:val="es-PE"/>
              </w:rPr>
              <w:t>Baches o huecos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013A0383" w14:textId="77777777" w:rsidR="004412F1" w:rsidRDefault="005A12A3">
            <w:pPr>
              <w:rPr>
                <w:lang w:val="es-PE"/>
              </w:rPr>
            </w:pPr>
            <w:r>
              <w:rPr>
                <w:rFonts w:ascii="Calibri" w:eastAsia="Calibri" w:hAnsi="Calibri" w:cs="Calibri"/>
                <w:lang w:val="es-PE"/>
              </w:rPr>
              <w:t>Porcentaje máximo de área con baches o huecos</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5713D"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321A6778"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828892D" w14:textId="77777777" w:rsidR="004412F1" w:rsidRDefault="005A12A3">
            <w:pPr>
              <w:rPr>
                <w:lang w:val="es-PE"/>
              </w:rPr>
            </w:pPr>
            <w:r>
              <w:rPr>
                <w:rFonts w:ascii="Calibri" w:eastAsia="Calibri" w:hAnsi="Calibri" w:cs="Calibri"/>
                <w:lang w:val="es-PE"/>
              </w:rPr>
              <w:t>Tratamiento superficial o carpeta asfáltica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6237A09" w14:textId="77777777" w:rsidR="004412F1" w:rsidRDefault="005A12A3">
            <w:pPr>
              <w:rPr>
                <w:lang w:val="es-PE"/>
              </w:rPr>
            </w:pPr>
            <w:r>
              <w:rPr>
                <w:rFonts w:ascii="Calibri" w:eastAsia="Calibri" w:hAnsi="Calibri" w:cs="Calibri"/>
                <w:lang w:val="es-PE"/>
              </w:rPr>
              <w:t>Porcentaje máximo de área con desprendimiento de tratamiento superficial o de la carpeta asfáltica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D7A52" w14:textId="77777777" w:rsidR="004412F1" w:rsidRDefault="005A12A3">
            <w:pPr>
              <w:jc w:val="center"/>
              <w:rPr>
                <w:rFonts w:ascii="Calibri" w:eastAsia="Calibri" w:hAnsi="Calibri" w:cs="Calibri"/>
                <w:lang w:val="es-PE"/>
              </w:rPr>
            </w:pPr>
            <w:r>
              <w:rPr>
                <w:rFonts w:ascii="Calibri" w:eastAsia="Calibri" w:hAnsi="Calibri" w:cs="Calibri"/>
                <w:lang w:val="es-PE"/>
              </w:rPr>
              <w:t>0 %</w:t>
            </w:r>
          </w:p>
        </w:tc>
      </w:tr>
      <w:tr w:rsidR="004412F1" w14:paraId="65231D66"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A002B9A" w14:textId="77777777" w:rsidR="004412F1" w:rsidRDefault="005A12A3">
            <w:pPr>
              <w:rPr>
                <w:lang w:val="es-PE"/>
              </w:rPr>
            </w:pPr>
            <w:r>
              <w:rPr>
                <w:rFonts w:ascii="Calibri" w:eastAsia="Calibri" w:hAnsi="Calibri" w:cs="Calibri"/>
                <w:lang w:val="es-PE"/>
              </w:rPr>
              <w:t>Rugosidad obra nueva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39597F3" w14:textId="77777777" w:rsidR="004412F1" w:rsidRDefault="005A12A3">
            <w:pPr>
              <w:rPr>
                <w:lang w:val="es-PE"/>
              </w:rPr>
            </w:pPr>
            <w:r>
              <w:rPr>
                <w:rFonts w:ascii="Calibri" w:eastAsia="Calibri" w:hAnsi="Calibri" w:cs="Calibri"/>
                <w:lang w:val="es-PE"/>
              </w:rPr>
              <w:t>Rugosidad cada 100m (pavimento rígido)</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F3196D" w14:textId="77777777" w:rsidR="004412F1" w:rsidRDefault="005A12A3">
            <w:pPr>
              <w:jc w:val="center"/>
              <w:rPr>
                <w:rFonts w:ascii="Calibri" w:eastAsia="Calibri" w:hAnsi="Calibri" w:cs="Calibri"/>
                <w:lang w:val="es-PE"/>
              </w:rPr>
            </w:pPr>
            <w:r>
              <w:rPr>
                <w:rFonts w:ascii="Calibri" w:eastAsia="Calibri" w:hAnsi="Calibri" w:cs="Calibri"/>
                <w:lang w:val="es-PE"/>
              </w:rPr>
              <w:t>2.0 IRI</w:t>
            </w:r>
          </w:p>
        </w:tc>
      </w:tr>
      <w:tr w:rsidR="004412F1" w14:paraId="2B51EEE4"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F2BB1BE" w14:textId="77777777" w:rsidR="004412F1" w:rsidRDefault="005A12A3">
            <w:pPr>
              <w:rPr>
                <w:lang w:val="es-PE"/>
              </w:rPr>
            </w:pPr>
            <w:r>
              <w:rPr>
                <w:rFonts w:ascii="Calibri" w:eastAsia="Calibri" w:hAnsi="Calibri" w:cs="Calibri"/>
                <w:lang w:val="es-PE"/>
              </w:rPr>
              <w:t>Rugosidad obra con recapa asfáltica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A4E77C7" w14:textId="77777777" w:rsidR="004412F1" w:rsidRDefault="005A12A3">
            <w:pPr>
              <w:rPr>
                <w:lang w:val="es-PE"/>
              </w:rPr>
            </w:pPr>
            <w:r>
              <w:rPr>
                <w:rFonts w:ascii="Calibri" w:eastAsia="Calibri" w:hAnsi="Calibri" w:cs="Calibri"/>
                <w:lang w:val="es-PE"/>
              </w:rPr>
              <w:t>Rugosidad cada 100m (con recapa asfáltica)</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5D825" w14:textId="77777777" w:rsidR="004412F1" w:rsidRDefault="005A12A3">
            <w:pPr>
              <w:jc w:val="center"/>
              <w:rPr>
                <w:rFonts w:ascii="Calibri" w:eastAsia="Calibri" w:hAnsi="Calibri" w:cs="Calibri"/>
                <w:lang w:val="es-PE"/>
              </w:rPr>
            </w:pPr>
            <w:r>
              <w:rPr>
                <w:rFonts w:ascii="Calibri" w:eastAsia="Calibri" w:hAnsi="Calibri" w:cs="Calibri"/>
                <w:lang w:val="es-PE"/>
              </w:rPr>
              <w:t>2.5 IRI</w:t>
            </w:r>
          </w:p>
        </w:tc>
      </w:tr>
      <w:tr w:rsidR="004412F1" w14:paraId="10D7ADB1" w14:textId="77777777">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1466671" w14:textId="77777777" w:rsidR="004412F1" w:rsidRDefault="005A12A3">
            <w:pPr>
              <w:rPr>
                <w:lang w:val="es-PE"/>
              </w:rPr>
            </w:pPr>
            <w:r>
              <w:rPr>
                <w:rFonts w:ascii="Calibri" w:eastAsia="Calibri" w:hAnsi="Calibri" w:cs="Calibri"/>
                <w:lang w:val="es-PE"/>
              </w:rPr>
              <w:t>Rugosidad periodo de servicio</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04D4A6B7" w14:textId="77777777" w:rsidR="004412F1" w:rsidRDefault="005A12A3">
            <w:pPr>
              <w:rPr>
                <w:lang w:val="es-PE"/>
              </w:rPr>
            </w:pPr>
            <w:r>
              <w:rPr>
                <w:rFonts w:ascii="Calibri" w:eastAsia="Calibri" w:hAnsi="Calibri" w:cs="Calibri"/>
                <w:lang w:val="es-PE"/>
              </w:rPr>
              <w:t>Rugosidad cada 100m (periodo de servicio)</w:t>
            </w:r>
          </w:p>
        </w:tc>
        <w:tc>
          <w:tcPr>
            <w:tcW w:w="22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0C6DA8" w14:textId="77777777" w:rsidR="004412F1" w:rsidRDefault="005A12A3">
            <w:pPr>
              <w:jc w:val="center"/>
              <w:rPr>
                <w:rFonts w:ascii="Calibri" w:eastAsia="Calibri" w:hAnsi="Calibri" w:cs="Calibri"/>
                <w:lang w:val="es-PE"/>
              </w:rPr>
            </w:pPr>
            <w:r>
              <w:rPr>
                <w:rFonts w:ascii="Calibri" w:eastAsia="Calibri" w:hAnsi="Calibri" w:cs="Calibri"/>
                <w:lang w:val="es-PE"/>
              </w:rPr>
              <w:t>3.5 IRI</w:t>
            </w:r>
          </w:p>
        </w:tc>
      </w:tr>
    </w:tbl>
    <w:p w14:paraId="3D2F29DB" w14:textId="77777777" w:rsidR="004412F1" w:rsidRDefault="004412F1">
      <w:pPr>
        <w:jc w:val="center"/>
        <w:sectPr w:rsidR="004412F1">
          <w:pgSz w:w="11907" w:h="16840"/>
          <w:pgMar w:top="1418" w:right="1701" w:bottom="1418" w:left="1701" w:header="720" w:footer="720" w:gutter="0"/>
          <w:cols w:space="720"/>
        </w:sectPr>
      </w:pPr>
    </w:p>
    <w:p w14:paraId="55658622" w14:textId="77777777" w:rsidR="004412F1" w:rsidRDefault="005A12A3">
      <w:pPr>
        <w:jc w:val="center"/>
        <w:rPr>
          <w:b/>
        </w:rPr>
      </w:pPr>
      <w:r>
        <w:rPr>
          <w:b/>
        </w:rPr>
        <w:t>Niveles de Servicio para: Berma</w:t>
      </w:r>
    </w:p>
    <w:tbl>
      <w:tblPr>
        <w:tblW w:w="8638" w:type="dxa"/>
        <w:tblLayout w:type="fixed"/>
        <w:tblLook w:val="04A0" w:firstRow="1" w:lastRow="0" w:firstColumn="1" w:lastColumn="0" w:noHBand="0" w:noVBand="1"/>
      </w:tblPr>
      <w:tblGrid>
        <w:gridCol w:w="2967"/>
        <w:gridCol w:w="1843"/>
        <w:gridCol w:w="850"/>
        <w:gridCol w:w="993"/>
        <w:gridCol w:w="992"/>
        <w:gridCol w:w="993"/>
      </w:tblGrid>
      <w:tr w:rsidR="004412F1" w14:paraId="6233D1D0" w14:textId="77777777">
        <w:trPr>
          <w:trHeight w:val="540"/>
        </w:trPr>
        <w:tc>
          <w:tcPr>
            <w:tcW w:w="8638"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32D79C72" w14:textId="77777777" w:rsidR="004412F1" w:rsidRDefault="005A12A3">
            <w:pPr>
              <w:jc w:val="center"/>
              <w:rPr>
                <w:rFonts w:ascii="Calibri" w:hAnsi="Calibri"/>
                <w:b/>
                <w:sz w:val="20"/>
                <w:lang w:val="es"/>
              </w:rPr>
            </w:pPr>
            <w:r>
              <w:rPr>
                <w:rFonts w:ascii="Calibri" w:hAnsi="Calibri"/>
                <w:b/>
                <w:sz w:val="20"/>
                <w:lang w:val="es"/>
              </w:rPr>
              <w:t>Niveles de Servicio para:</w:t>
            </w:r>
          </w:p>
          <w:p w14:paraId="14998FF1"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Berma</w:t>
            </w:r>
          </w:p>
        </w:tc>
      </w:tr>
      <w:tr w:rsidR="004412F1" w14:paraId="46C61429" w14:textId="77777777">
        <w:trPr>
          <w:trHeight w:val="405"/>
        </w:trPr>
        <w:tc>
          <w:tcPr>
            <w:tcW w:w="2967" w:type="dxa"/>
            <w:vMerge w:val="restart"/>
            <w:tcBorders>
              <w:top w:val="single" w:sz="8" w:space="0" w:color="auto"/>
              <w:left w:val="single" w:sz="8" w:space="0" w:color="auto"/>
              <w:right w:val="single" w:sz="8" w:space="0" w:color="000000" w:themeColor="text1"/>
            </w:tcBorders>
            <w:shd w:val="clear" w:color="auto" w:fill="C2D69B" w:themeFill="accent3" w:themeFillTint="99"/>
            <w:tcMar>
              <w:left w:w="70" w:type="dxa"/>
              <w:right w:w="70" w:type="dxa"/>
            </w:tcMar>
            <w:vAlign w:val="center"/>
          </w:tcPr>
          <w:p w14:paraId="7904FA6A" w14:textId="77777777" w:rsidR="004412F1" w:rsidRDefault="005A12A3">
            <w:pPr>
              <w:jc w:val="center"/>
              <w:rPr>
                <w:rFonts w:ascii="Calibri" w:hAnsi="Calibri"/>
                <w:b/>
                <w:color w:val="000000" w:themeColor="text1"/>
                <w:sz w:val="20"/>
              </w:rPr>
            </w:pPr>
            <w:r>
              <w:rPr>
                <w:rFonts w:ascii="Calibri" w:hAnsi="Calibri"/>
                <w:b/>
                <w:color w:val="000000" w:themeColor="text1"/>
                <w:sz w:val="20"/>
              </w:rPr>
              <w:t>Parámetros</w:t>
            </w:r>
          </w:p>
        </w:tc>
        <w:tc>
          <w:tcPr>
            <w:tcW w:w="1843" w:type="dxa"/>
            <w:vMerge w:val="restart"/>
            <w:tcBorders>
              <w:top w:val="nil"/>
              <w:left w:val="single" w:sz="8" w:space="0" w:color="auto"/>
              <w:right w:val="nil"/>
            </w:tcBorders>
            <w:shd w:val="clear" w:color="auto" w:fill="C2D69B" w:themeFill="accent3" w:themeFillTint="99"/>
            <w:tcMar>
              <w:left w:w="70" w:type="dxa"/>
              <w:right w:w="70" w:type="dxa"/>
            </w:tcMar>
            <w:vAlign w:val="center"/>
          </w:tcPr>
          <w:p w14:paraId="4F07BD40" w14:textId="77777777" w:rsidR="004412F1" w:rsidRDefault="005A12A3">
            <w:pPr>
              <w:jc w:val="center"/>
              <w:rPr>
                <w:rFonts w:ascii="Calibri" w:hAnsi="Calibri"/>
                <w:b/>
                <w:color w:val="000000" w:themeColor="text1"/>
                <w:sz w:val="20"/>
              </w:rPr>
            </w:pPr>
            <w:r>
              <w:rPr>
                <w:rFonts w:ascii="Calibri" w:hAnsi="Calibri"/>
                <w:b/>
                <w:color w:val="000000" w:themeColor="text1"/>
                <w:sz w:val="20"/>
              </w:rPr>
              <w:t>Medida</w:t>
            </w:r>
          </w:p>
        </w:tc>
        <w:tc>
          <w:tcPr>
            <w:tcW w:w="1843"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76F42D1E"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1985" w:type="dxa"/>
            <w:gridSpan w:val="2"/>
            <w:tcBorders>
              <w:top w:val="nil"/>
              <w:left w:val="nil"/>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073D52F"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161E9AAA" w14:textId="77777777">
        <w:trPr>
          <w:trHeight w:val="787"/>
        </w:trPr>
        <w:tc>
          <w:tcPr>
            <w:tcW w:w="2967" w:type="dxa"/>
            <w:vMerge/>
            <w:tcBorders>
              <w:left w:val="single" w:sz="8" w:space="0" w:color="auto"/>
              <w:bottom w:val="single" w:sz="0" w:space="0" w:color="000000" w:themeColor="text1"/>
              <w:right w:val="single" w:sz="8" w:space="0" w:color="000000" w:themeColor="text1"/>
            </w:tcBorders>
            <w:vAlign w:val="center"/>
          </w:tcPr>
          <w:p w14:paraId="3800498E" w14:textId="77777777" w:rsidR="004412F1" w:rsidRDefault="004412F1"/>
        </w:tc>
        <w:tc>
          <w:tcPr>
            <w:tcW w:w="1843" w:type="dxa"/>
            <w:vMerge/>
            <w:tcBorders>
              <w:left w:val="single" w:sz="8" w:space="0" w:color="000000" w:themeColor="text1"/>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7E128C32" w14:textId="77777777" w:rsidR="004412F1" w:rsidRDefault="004412F1">
            <w:pPr>
              <w:jc w:val="center"/>
              <w:rPr>
                <w:rFonts w:ascii="Calibri" w:hAnsi="Calibri"/>
                <w:b/>
                <w:color w:val="000000" w:themeColor="text1"/>
                <w:sz w:val="18"/>
              </w:rPr>
            </w:pPr>
          </w:p>
        </w:tc>
        <w:tc>
          <w:tcPr>
            <w:tcW w:w="850"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vAlign w:val="center"/>
          </w:tcPr>
          <w:p w14:paraId="28996289" w14:textId="77777777" w:rsidR="004412F1" w:rsidRDefault="005A12A3">
            <w:pPr>
              <w:jc w:val="center"/>
              <w:rPr>
                <w:rFonts w:ascii="Calibri" w:hAnsi="Calibri"/>
                <w:b/>
                <w:color w:val="000000" w:themeColor="text1"/>
                <w:sz w:val="18"/>
              </w:rPr>
            </w:pPr>
            <w:r>
              <w:rPr>
                <w:rFonts w:ascii="Calibri" w:hAnsi="Calibri"/>
                <w:b/>
                <w:color w:val="000000" w:themeColor="text1"/>
                <w:sz w:val="18"/>
              </w:rPr>
              <w:t>Recepción</w:t>
            </w:r>
          </w:p>
        </w:tc>
        <w:tc>
          <w:tcPr>
            <w:tcW w:w="993"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F65EBBA" w14:textId="77777777" w:rsidR="004412F1" w:rsidRDefault="005A12A3">
            <w:pPr>
              <w:jc w:val="center"/>
              <w:rPr>
                <w:rFonts w:ascii="Calibri" w:hAnsi="Calibri"/>
                <w:b/>
                <w:color w:val="000000" w:themeColor="text1"/>
                <w:sz w:val="18"/>
              </w:rPr>
            </w:pPr>
            <w:r>
              <w:rPr>
                <w:rFonts w:ascii="Calibri" w:hAnsi="Calibri"/>
                <w:b/>
                <w:color w:val="000000" w:themeColor="text1"/>
                <w:sz w:val="18"/>
              </w:rPr>
              <w:t xml:space="preserve">Conservación </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2410FCC3" w14:textId="77777777" w:rsidR="004412F1" w:rsidRDefault="005A12A3">
            <w:pPr>
              <w:jc w:val="center"/>
              <w:rPr>
                <w:rFonts w:ascii="Calibri" w:hAnsi="Calibri"/>
                <w:b/>
                <w:color w:val="000000" w:themeColor="text1"/>
                <w:sz w:val="18"/>
              </w:rPr>
            </w:pPr>
            <w:r>
              <w:rPr>
                <w:rFonts w:ascii="Calibri" w:hAnsi="Calibri"/>
                <w:b/>
                <w:color w:val="000000" w:themeColor="text1"/>
                <w:sz w:val="18"/>
              </w:rPr>
              <w:t>Recepción</w:t>
            </w:r>
          </w:p>
        </w:tc>
        <w:tc>
          <w:tcPr>
            <w:tcW w:w="993"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3ABD958A" w14:textId="77777777" w:rsidR="004412F1" w:rsidRDefault="005A12A3">
            <w:pPr>
              <w:jc w:val="center"/>
              <w:rPr>
                <w:rFonts w:ascii="Calibri" w:hAnsi="Calibri"/>
                <w:b/>
                <w:color w:val="000000" w:themeColor="text1"/>
                <w:sz w:val="18"/>
              </w:rPr>
            </w:pPr>
            <w:r>
              <w:rPr>
                <w:rFonts w:ascii="Calibri" w:hAnsi="Calibri"/>
                <w:b/>
                <w:color w:val="000000" w:themeColor="text1"/>
                <w:sz w:val="18"/>
              </w:rPr>
              <w:t xml:space="preserve">Conservación </w:t>
            </w:r>
          </w:p>
        </w:tc>
      </w:tr>
      <w:tr w:rsidR="004412F1" w14:paraId="00B32CBA" w14:textId="77777777">
        <w:trPr>
          <w:trHeight w:val="690"/>
        </w:trPr>
        <w:tc>
          <w:tcPr>
            <w:tcW w:w="2967" w:type="dxa"/>
            <w:tcBorders>
              <w:top w:val="nil"/>
              <w:left w:val="single" w:sz="8" w:space="0" w:color="auto"/>
              <w:bottom w:val="single" w:sz="8" w:space="0" w:color="auto"/>
              <w:right w:val="single" w:sz="8" w:space="0" w:color="auto"/>
            </w:tcBorders>
            <w:tcMar>
              <w:left w:w="70" w:type="dxa"/>
              <w:right w:w="70" w:type="dxa"/>
            </w:tcMar>
            <w:vAlign w:val="center"/>
          </w:tcPr>
          <w:p w14:paraId="2F2022D5" w14:textId="77777777" w:rsidR="004412F1" w:rsidRDefault="005A12A3">
            <w:r>
              <w:rPr>
                <w:rFonts w:ascii="Calibri" w:hAnsi="Calibri"/>
                <w:sz w:val="20"/>
              </w:rPr>
              <w:t>Ancho de berma</w:t>
            </w:r>
          </w:p>
        </w:tc>
        <w:tc>
          <w:tcPr>
            <w:tcW w:w="1843" w:type="dxa"/>
            <w:tcBorders>
              <w:top w:val="nil"/>
              <w:left w:val="single" w:sz="8" w:space="0" w:color="auto"/>
              <w:bottom w:val="single" w:sz="8" w:space="0" w:color="auto"/>
              <w:right w:val="single" w:sz="8" w:space="0" w:color="auto"/>
            </w:tcBorders>
            <w:tcMar>
              <w:left w:w="70" w:type="dxa"/>
              <w:right w:w="70" w:type="dxa"/>
            </w:tcMar>
            <w:vAlign w:val="center"/>
          </w:tcPr>
          <w:p w14:paraId="7EE50C42" w14:textId="77777777" w:rsidR="004412F1" w:rsidRDefault="005A12A3">
            <w:pPr>
              <w:rPr>
                <w:lang w:val="es-PE"/>
              </w:rPr>
            </w:pPr>
            <w:r>
              <w:rPr>
                <w:rFonts w:ascii="Calibri" w:hAnsi="Calibri"/>
                <w:sz w:val="20"/>
                <w:lang w:val="es-PE"/>
              </w:rPr>
              <w:t>Porcentaje máximo de reducción del ancho</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1439BC" w14:textId="77777777" w:rsidR="004412F1" w:rsidRDefault="005A12A3">
            <w:pPr>
              <w:rPr>
                <w:lang w:val="es-PE"/>
              </w:rPr>
            </w:pPr>
            <w:r>
              <w:rPr>
                <w:rFonts w:ascii="Calibri" w:hAnsi="Calibri"/>
                <w:sz w:val="20"/>
                <w:lang w:val="es-PE"/>
              </w:rPr>
              <w:t>Se aceptará con el ancho existente.</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F7C195" w14:textId="77777777" w:rsidR="004412F1" w:rsidRDefault="005A12A3">
            <w:r>
              <w:rPr>
                <w:rFonts w:ascii="Calibri" w:hAnsi="Calibri"/>
                <w:sz w:val="20"/>
              </w:rPr>
              <w:t>Se mantiene</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CA3443"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43E4F4" w14:textId="77777777" w:rsidR="004412F1" w:rsidRDefault="005A12A3">
            <w:r>
              <w:rPr>
                <w:rFonts w:ascii="Calibri" w:hAnsi="Calibri"/>
                <w:sz w:val="20"/>
              </w:rPr>
              <w:t>10%</w:t>
            </w:r>
          </w:p>
        </w:tc>
      </w:tr>
      <w:tr w:rsidR="004412F1" w14:paraId="28AABA8C" w14:textId="77777777">
        <w:trPr>
          <w:trHeight w:val="375"/>
        </w:trPr>
        <w:tc>
          <w:tcPr>
            <w:tcW w:w="2967" w:type="dxa"/>
            <w:tcBorders>
              <w:top w:val="single" w:sz="8" w:space="0" w:color="auto"/>
              <w:left w:val="single" w:sz="8" w:space="0" w:color="auto"/>
              <w:bottom w:val="nil"/>
              <w:right w:val="single" w:sz="8" w:space="0" w:color="auto"/>
            </w:tcBorders>
            <w:tcMar>
              <w:left w:w="70" w:type="dxa"/>
              <w:right w:w="70" w:type="dxa"/>
            </w:tcMar>
            <w:vAlign w:val="center"/>
          </w:tcPr>
          <w:p w14:paraId="74C78501" w14:textId="77777777" w:rsidR="004412F1" w:rsidRDefault="005A12A3">
            <w:r>
              <w:rPr>
                <w:rFonts w:ascii="Calibri" w:hAnsi="Calibri"/>
                <w:sz w:val="20"/>
              </w:rPr>
              <w:t>Huecos</w:t>
            </w:r>
          </w:p>
        </w:tc>
        <w:tc>
          <w:tcPr>
            <w:tcW w:w="1843"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2546625D" w14:textId="77777777" w:rsidR="004412F1" w:rsidRDefault="005A12A3">
            <w:pPr>
              <w:rPr>
                <w:lang w:val="es-PE"/>
              </w:rPr>
            </w:pPr>
            <w:r>
              <w:rPr>
                <w:rFonts w:ascii="Calibri" w:hAnsi="Calibri"/>
                <w:sz w:val="20"/>
                <w:lang w:val="es-PE"/>
              </w:rPr>
              <w:t>Porcentaje máximo de área con huecos</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38577D"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8117BF" w14:textId="77777777" w:rsidR="004412F1" w:rsidRDefault="005A12A3">
            <w:r>
              <w:rPr>
                <w:rFonts w:ascii="Calibri" w:hAnsi="Calibri"/>
                <w:sz w:val="20"/>
              </w:rPr>
              <w:t>0%</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78E337"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B16CE0" w14:textId="77777777" w:rsidR="004412F1" w:rsidRDefault="005A12A3">
            <w:r>
              <w:rPr>
                <w:rFonts w:ascii="Calibri" w:hAnsi="Calibri"/>
                <w:sz w:val="20"/>
              </w:rPr>
              <w:t>0%</w:t>
            </w:r>
          </w:p>
        </w:tc>
      </w:tr>
      <w:tr w:rsidR="004412F1" w14:paraId="69D62427" w14:textId="77777777">
        <w:trPr>
          <w:trHeight w:val="465"/>
        </w:trPr>
        <w:tc>
          <w:tcPr>
            <w:tcW w:w="2967" w:type="dxa"/>
            <w:vMerge w:val="restart"/>
            <w:tcBorders>
              <w:top w:val="single" w:sz="8" w:space="0" w:color="auto"/>
              <w:left w:val="single" w:sz="8" w:space="0" w:color="auto"/>
              <w:right w:val="single" w:sz="8" w:space="0" w:color="auto"/>
            </w:tcBorders>
            <w:tcMar>
              <w:left w:w="70" w:type="dxa"/>
              <w:right w:w="70" w:type="dxa"/>
            </w:tcMar>
            <w:vAlign w:val="center"/>
          </w:tcPr>
          <w:p w14:paraId="38C35949" w14:textId="77777777" w:rsidR="004412F1" w:rsidRDefault="005A12A3">
            <w:r>
              <w:rPr>
                <w:rFonts w:ascii="Calibri" w:hAnsi="Calibri"/>
                <w:sz w:val="20"/>
              </w:rPr>
              <w:t>Fisuras</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4529D9" w14:textId="77777777" w:rsidR="004412F1" w:rsidRDefault="005A12A3">
            <w:pPr>
              <w:rPr>
                <w:lang w:val="es-PE"/>
              </w:rPr>
            </w:pPr>
            <w:r>
              <w:rPr>
                <w:rFonts w:ascii="Calibri" w:hAnsi="Calibri"/>
                <w:sz w:val="20"/>
                <w:lang w:val="es-PE"/>
              </w:rPr>
              <w:t>Porcentaje máximo de área con fisuras mayores a 5 mm</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634BFD"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6700CD" w14:textId="77777777" w:rsidR="004412F1" w:rsidRDefault="005A12A3">
            <w:r>
              <w:rPr>
                <w:rFonts w:ascii="Calibri" w:hAnsi="Calibri"/>
                <w:sz w:val="20"/>
              </w:rPr>
              <w:t>0%</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9694C8"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D6B478" w14:textId="77777777" w:rsidR="004412F1" w:rsidRDefault="005A12A3">
            <w:r>
              <w:rPr>
                <w:rFonts w:ascii="Calibri" w:hAnsi="Calibri"/>
                <w:sz w:val="20"/>
              </w:rPr>
              <w:t>0%</w:t>
            </w:r>
          </w:p>
        </w:tc>
      </w:tr>
      <w:tr w:rsidR="004412F1" w14:paraId="5D584E59" w14:textId="77777777">
        <w:trPr>
          <w:trHeight w:val="465"/>
        </w:trPr>
        <w:tc>
          <w:tcPr>
            <w:tcW w:w="2967" w:type="dxa"/>
            <w:vMerge/>
            <w:tcBorders>
              <w:left w:val="single" w:sz="8" w:space="0" w:color="auto"/>
              <w:bottom w:val="single" w:sz="0" w:space="0" w:color="000000" w:themeColor="text1"/>
              <w:right w:val="single" w:sz="8" w:space="0" w:color="auto"/>
            </w:tcBorders>
            <w:vAlign w:val="center"/>
          </w:tcPr>
          <w:p w14:paraId="5735CDB9" w14:textId="77777777" w:rsidR="004412F1" w:rsidRDefault="004412F1"/>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221F14" w14:textId="77777777" w:rsidR="004412F1" w:rsidRDefault="005A12A3">
            <w:pPr>
              <w:rPr>
                <w:lang w:val="es-PE"/>
              </w:rPr>
            </w:pPr>
            <w:r>
              <w:rPr>
                <w:rFonts w:ascii="Calibri" w:hAnsi="Calibri"/>
                <w:sz w:val="20"/>
                <w:lang w:val="es-PE"/>
              </w:rPr>
              <w:t>Porcentaje máximo de área con fisuras entre 2 y 5 mm</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0F192F"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45EE87" w14:textId="77777777" w:rsidR="004412F1" w:rsidRDefault="005A12A3">
            <w:r>
              <w:rPr>
                <w:rFonts w:ascii="Calibri" w:hAnsi="Calibri"/>
                <w:sz w:val="20"/>
              </w:rPr>
              <w:t>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DC6B57"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0EA838" w14:textId="77777777" w:rsidR="004412F1" w:rsidRDefault="005A12A3">
            <w:r>
              <w:rPr>
                <w:rFonts w:ascii="Calibri" w:hAnsi="Calibri"/>
                <w:sz w:val="20"/>
              </w:rPr>
              <w:t>5%</w:t>
            </w:r>
          </w:p>
        </w:tc>
      </w:tr>
      <w:tr w:rsidR="004412F1" w14:paraId="5405F0C0" w14:textId="77777777">
        <w:trPr>
          <w:trHeight w:val="825"/>
        </w:trPr>
        <w:tc>
          <w:tcPr>
            <w:tcW w:w="2967" w:type="dxa"/>
            <w:tcBorders>
              <w:top w:val="nil"/>
              <w:left w:val="single" w:sz="8" w:space="0" w:color="auto"/>
              <w:bottom w:val="single" w:sz="8" w:space="0" w:color="auto"/>
              <w:right w:val="single" w:sz="8" w:space="0" w:color="auto"/>
            </w:tcBorders>
            <w:tcMar>
              <w:left w:w="70" w:type="dxa"/>
              <w:right w:w="70" w:type="dxa"/>
            </w:tcMar>
            <w:vAlign w:val="center"/>
          </w:tcPr>
          <w:p w14:paraId="1FC29CA7" w14:textId="77777777" w:rsidR="004412F1" w:rsidRDefault="005A12A3">
            <w:r>
              <w:rPr>
                <w:rFonts w:ascii="Calibri" w:hAnsi="Calibri"/>
                <w:sz w:val="20"/>
              </w:rPr>
              <w:t>Parches</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0070DD" w14:textId="77777777" w:rsidR="004412F1" w:rsidRDefault="005A12A3">
            <w:pPr>
              <w:rPr>
                <w:lang w:val="es-PE"/>
              </w:rPr>
            </w:pPr>
            <w:r>
              <w:rPr>
                <w:rFonts w:ascii="Calibri" w:hAnsi="Calibri"/>
                <w:sz w:val="20"/>
                <w:lang w:val="es-PE"/>
              </w:rPr>
              <w:t>Porcentaje máximo de parches en mal estado (niveles de severidad medio o alto)</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F6789F"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7E3749" w14:textId="77777777" w:rsidR="004412F1" w:rsidRDefault="005A12A3">
            <w:r>
              <w:rPr>
                <w:rFonts w:ascii="Calibri" w:hAnsi="Calibri"/>
                <w:sz w:val="20"/>
              </w:rPr>
              <w:t>0%</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1BEF52"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B8E3BF" w14:textId="77777777" w:rsidR="004412F1" w:rsidRDefault="005A12A3">
            <w:r>
              <w:rPr>
                <w:rFonts w:ascii="Calibri" w:hAnsi="Calibri"/>
                <w:sz w:val="20"/>
              </w:rPr>
              <w:t>0%</w:t>
            </w:r>
          </w:p>
        </w:tc>
      </w:tr>
      <w:tr w:rsidR="004412F1" w14:paraId="6AC71AC4" w14:textId="77777777">
        <w:trPr>
          <w:trHeight w:val="465"/>
        </w:trPr>
        <w:tc>
          <w:tcPr>
            <w:tcW w:w="2967"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02F1D1D7" w14:textId="77777777" w:rsidR="004412F1" w:rsidRDefault="005A12A3">
            <w:r>
              <w:rPr>
                <w:rFonts w:ascii="Calibri" w:hAnsi="Calibri"/>
                <w:sz w:val="20"/>
              </w:rPr>
              <w:t>Hundimientos</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0BE1A7" w14:textId="77777777" w:rsidR="004412F1" w:rsidRDefault="005A12A3">
            <w:pPr>
              <w:rPr>
                <w:lang w:val="es-PE"/>
              </w:rPr>
            </w:pPr>
            <w:r>
              <w:rPr>
                <w:rFonts w:ascii="Calibri" w:hAnsi="Calibri"/>
                <w:sz w:val="20"/>
                <w:lang w:val="es-PE"/>
              </w:rPr>
              <w:t>Porcentaje máximo de área con hundimiento mayor que 50 mm</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DC6E27" w14:textId="77777777" w:rsidR="004412F1" w:rsidRDefault="005A12A3">
            <w:r>
              <w:rPr>
                <w:rFonts w:ascii="Calibri" w:hAnsi="Calibri"/>
                <w:sz w:val="20"/>
              </w:rPr>
              <w:t>5%</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7ABEA2" w14:textId="77777777" w:rsidR="004412F1" w:rsidRDefault="005A12A3">
            <w:r>
              <w:rPr>
                <w:rFonts w:ascii="Calibri" w:hAnsi="Calibri"/>
                <w:sz w:val="20"/>
              </w:rPr>
              <w:t>5%</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F03F6C"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BDBB4B" w14:textId="77777777" w:rsidR="004412F1" w:rsidRDefault="005A12A3">
            <w:r>
              <w:rPr>
                <w:rFonts w:ascii="Calibri" w:hAnsi="Calibri"/>
                <w:sz w:val="20"/>
              </w:rPr>
              <w:t>2%</w:t>
            </w:r>
          </w:p>
        </w:tc>
      </w:tr>
      <w:tr w:rsidR="004412F1" w14:paraId="7140BFE2" w14:textId="77777777">
        <w:trPr>
          <w:trHeight w:val="900"/>
        </w:trPr>
        <w:tc>
          <w:tcPr>
            <w:tcW w:w="29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5ABEF8" w14:textId="77777777" w:rsidR="004412F1" w:rsidRDefault="005A12A3">
            <w:r>
              <w:rPr>
                <w:rFonts w:ascii="Calibri" w:hAnsi="Calibri"/>
                <w:sz w:val="20"/>
              </w:rPr>
              <w:t>Exudación</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5D3457" w14:textId="77777777" w:rsidR="004412F1" w:rsidRDefault="005A12A3">
            <w:pPr>
              <w:rPr>
                <w:lang w:val="es-PE"/>
              </w:rPr>
            </w:pPr>
            <w:r>
              <w:rPr>
                <w:rFonts w:ascii="Calibri" w:hAnsi="Calibri"/>
                <w:sz w:val="20"/>
                <w:lang w:val="es-PE"/>
              </w:rPr>
              <w:t>Porcentaje máximo de área con exudación (sumados ambos niveles de severidad medio y alto)</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ADDE5F" w14:textId="77777777" w:rsidR="004412F1" w:rsidRDefault="005A12A3">
            <w:r>
              <w:rPr>
                <w:rFonts w:ascii="Calibri" w:hAnsi="Calibri"/>
                <w:sz w:val="20"/>
              </w:rPr>
              <w:t>2%</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38CA96" w14:textId="77777777" w:rsidR="004412F1" w:rsidRDefault="005A12A3">
            <w:r>
              <w:rPr>
                <w:rFonts w:ascii="Calibri" w:hAnsi="Calibri"/>
                <w:sz w:val="20"/>
              </w:rPr>
              <w:t>2%</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C0C1CC"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D778C3" w14:textId="77777777" w:rsidR="004412F1" w:rsidRDefault="005A12A3">
            <w:r>
              <w:rPr>
                <w:rFonts w:ascii="Calibri" w:hAnsi="Calibri"/>
                <w:sz w:val="20"/>
              </w:rPr>
              <w:t>0%</w:t>
            </w:r>
          </w:p>
        </w:tc>
      </w:tr>
      <w:tr w:rsidR="004412F1" w14:paraId="06CDCC36" w14:textId="77777777">
        <w:trPr>
          <w:trHeight w:val="465"/>
        </w:trPr>
        <w:tc>
          <w:tcPr>
            <w:tcW w:w="29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0E226F" w14:textId="77777777" w:rsidR="004412F1" w:rsidRDefault="005A12A3">
            <w:r>
              <w:rPr>
                <w:rFonts w:ascii="Calibri" w:hAnsi="Calibri"/>
                <w:sz w:val="20"/>
              </w:rPr>
              <w:t>Existencia de material suelto</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4BD45E" w14:textId="77777777" w:rsidR="004412F1" w:rsidRDefault="005A12A3">
            <w:pPr>
              <w:rPr>
                <w:lang w:val="es-PE"/>
              </w:rPr>
            </w:pPr>
            <w:r>
              <w:rPr>
                <w:rFonts w:ascii="Calibri" w:hAnsi="Calibri"/>
                <w:sz w:val="20"/>
                <w:lang w:val="es-PE"/>
              </w:rPr>
              <w:t>Porcentaje máximo de área con material suelto</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1EDE08" w14:textId="77777777" w:rsidR="004412F1" w:rsidRDefault="005A12A3">
            <w:r>
              <w:rPr>
                <w:rFonts w:ascii="Calibri" w:hAnsi="Calibri"/>
                <w:sz w:val="20"/>
              </w:rPr>
              <w:t>10%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38C879" w14:textId="77777777" w:rsidR="004412F1" w:rsidRDefault="005A12A3">
            <w:r>
              <w:rPr>
                <w:rFonts w:ascii="Calibri" w:hAnsi="Calibri"/>
                <w:sz w:val="20"/>
              </w:rPr>
              <w:t>10%</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6FB58D"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94DC22" w14:textId="77777777" w:rsidR="004412F1" w:rsidRDefault="005A12A3">
            <w:r>
              <w:rPr>
                <w:rFonts w:ascii="Calibri" w:hAnsi="Calibri"/>
                <w:sz w:val="20"/>
              </w:rPr>
              <w:t>5%</w:t>
            </w:r>
          </w:p>
        </w:tc>
      </w:tr>
      <w:tr w:rsidR="004412F1" w14:paraId="033268F6" w14:textId="77777777">
        <w:trPr>
          <w:trHeight w:val="375"/>
        </w:trPr>
        <w:tc>
          <w:tcPr>
            <w:tcW w:w="296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1FEE83" w14:textId="77777777" w:rsidR="004412F1" w:rsidRDefault="005A12A3">
            <w:r>
              <w:rPr>
                <w:rFonts w:ascii="Calibri" w:hAnsi="Calibri"/>
                <w:sz w:val="20"/>
              </w:rPr>
              <w:t>Existencia de obstáculos</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DE897" w14:textId="77777777" w:rsidR="004412F1" w:rsidRDefault="005A12A3">
            <w:r>
              <w:rPr>
                <w:rFonts w:ascii="Calibri" w:hAnsi="Calibri"/>
                <w:sz w:val="20"/>
              </w:rPr>
              <w:t>Cantidad máxima de obstáculos</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A0A9E5"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A28325" w14:textId="77777777" w:rsidR="004412F1" w:rsidRDefault="005A12A3">
            <w:r>
              <w:rPr>
                <w:rFonts w:ascii="Calibri" w:hAnsi="Calibri"/>
                <w:sz w:val="20"/>
              </w:rPr>
              <w:t>0%</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8DEAD2"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7665F6" w14:textId="77777777" w:rsidR="004412F1" w:rsidRDefault="005A12A3">
            <w:r>
              <w:rPr>
                <w:rFonts w:ascii="Calibri" w:hAnsi="Calibri"/>
                <w:sz w:val="20"/>
              </w:rPr>
              <w:t>0%</w:t>
            </w:r>
          </w:p>
        </w:tc>
      </w:tr>
      <w:tr w:rsidR="004412F1" w14:paraId="243A1C45" w14:textId="77777777">
        <w:trPr>
          <w:trHeight w:val="765"/>
        </w:trPr>
        <w:tc>
          <w:tcPr>
            <w:tcW w:w="2967" w:type="dxa"/>
            <w:tcBorders>
              <w:top w:val="single" w:sz="8" w:space="0" w:color="auto"/>
              <w:left w:val="single" w:sz="8" w:space="0" w:color="auto"/>
              <w:bottom w:val="nil"/>
              <w:right w:val="single" w:sz="8" w:space="0" w:color="auto"/>
            </w:tcBorders>
            <w:tcMar>
              <w:left w:w="70" w:type="dxa"/>
              <w:right w:w="70" w:type="dxa"/>
            </w:tcMar>
            <w:vAlign w:val="center"/>
          </w:tcPr>
          <w:p w14:paraId="3FF149A2" w14:textId="77777777" w:rsidR="004412F1" w:rsidRDefault="005A12A3">
            <w:pPr>
              <w:rPr>
                <w:lang w:val="es-PE"/>
              </w:rPr>
            </w:pPr>
            <w:r>
              <w:rPr>
                <w:rFonts w:ascii="Calibri" w:hAnsi="Calibri"/>
                <w:sz w:val="20"/>
                <w:lang w:val="es-PE"/>
              </w:rPr>
              <w:t>Desnivel entre calzada y berma</w:t>
            </w:r>
          </w:p>
        </w:tc>
        <w:tc>
          <w:tcPr>
            <w:tcW w:w="184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A2A266" w14:textId="77777777" w:rsidR="004412F1" w:rsidRDefault="005A12A3">
            <w:pPr>
              <w:rPr>
                <w:lang w:val="es-PE"/>
              </w:rPr>
            </w:pPr>
            <w:r>
              <w:rPr>
                <w:rFonts w:ascii="Calibri" w:hAnsi="Calibri"/>
                <w:sz w:val="20"/>
                <w:lang w:val="es-PE"/>
              </w:rPr>
              <w:t>Altura máxima (calzada - berma) del desnivel</w:t>
            </w:r>
          </w:p>
        </w:tc>
        <w:tc>
          <w:tcPr>
            <w:tcW w:w="8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3CE5AA" w14:textId="77777777" w:rsidR="004412F1" w:rsidRDefault="005A12A3">
            <w:r>
              <w:rPr>
                <w:rFonts w:ascii="Calibri" w:hAnsi="Calibri"/>
                <w:sz w:val="20"/>
              </w:rPr>
              <w:t>20 mm</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4396F4" w14:textId="77777777" w:rsidR="004412F1" w:rsidRDefault="005A12A3">
            <w:r>
              <w:rPr>
                <w:rFonts w:ascii="Calibri" w:hAnsi="Calibri"/>
                <w:sz w:val="20"/>
              </w:rPr>
              <w:t>20 mm</w:t>
            </w:r>
          </w:p>
        </w:tc>
        <w:tc>
          <w:tcPr>
            <w:tcW w:w="99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02F392" w14:textId="77777777" w:rsidR="004412F1" w:rsidRDefault="005A12A3">
            <w:r>
              <w:rPr>
                <w:rFonts w:ascii="Calibri" w:hAnsi="Calibri"/>
                <w:sz w:val="20"/>
              </w:rPr>
              <w:t>0 mm</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46F538" w14:textId="77777777" w:rsidR="004412F1" w:rsidRDefault="005A12A3">
            <w:r>
              <w:rPr>
                <w:rFonts w:ascii="Calibri" w:hAnsi="Calibri"/>
                <w:sz w:val="20"/>
              </w:rPr>
              <w:t>15 mm</w:t>
            </w:r>
          </w:p>
        </w:tc>
      </w:tr>
      <w:tr w:rsidR="004412F1" w14:paraId="482E1718" w14:textId="77777777">
        <w:trPr>
          <w:trHeight w:val="765"/>
        </w:trPr>
        <w:tc>
          <w:tcPr>
            <w:tcW w:w="2967" w:type="dxa"/>
            <w:tcBorders>
              <w:left w:val="single" w:sz="0" w:space="0" w:color="auto"/>
              <w:right w:val="single" w:sz="0" w:space="0" w:color="auto"/>
            </w:tcBorders>
            <w:vAlign w:val="center"/>
          </w:tcPr>
          <w:p w14:paraId="645B3C03" w14:textId="77777777" w:rsidR="004412F1" w:rsidRDefault="004412F1"/>
        </w:tc>
        <w:tc>
          <w:tcPr>
            <w:tcW w:w="1843" w:type="dxa"/>
            <w:tcBorders>
              <w:top w:val="single" w:sz="8" w:space="0" w:color="auto"/>
              <w:left w:val="nil"/>
              <w:bottom w:val="nil"/>
              <w:right w:val="single" w:sz="8" w:space="0" w:color="auto"/>
            </w:tcBorders>
            <w:tcMar>
              <w:left w:w="70" w:type="dxa"/>
              <w:right w:w="70" w:type="dxa"/>
            </w:tcMar>
            <w:vAlign w:val="center"/>
          </w:tcPr>
          <w:p w14:paraId="1B1A1ABB" w14:textId="77777777" w:rsidR="004412F1" w:rsidRDefault="005A12A3">
            <w:pPr>
              <w:rPr>
                <w:lang w:val="es-PE"/>
              </w:rPr>
            </w:pPr>
            <w:r>
              <w:rPr>
                <w:rFonts w:ascii="Calibri" w:hAnsi="Calibri"/>
                <w:sz w:val="20"/>
                <w:lang w:val="es-PE"/>
              </w:rPr>
              <w:t>Porcentaje máximo de la longitud con desnivel superior a 0 mm e inferior a 15 mm</w:t>
            </w:r>
          </w:p>
        </w:tc>
        <w:tc>
          <w:tcPr>
            <w:tcW w:w="850" w:type="dxa"/>
            <w:tcBorders>
              <w:top w:val="single" w:sz="8" w:space="0" w:color="auto"/>
              <w:left w:val="single" w:sz="8" w:space="0" w:color="auto"/>
              <w:bottom w:val="nil"/>
              <w:right w:val="single" w:sz="8" w:space="0" w:color="auto"/>
            </w:tcBorders>
            <w:tcMar>
              <w:left w:w="70" w:type="dxa"/>
              <w:right w:w="70" w:type="dxa"/>
            </w:tcMar>
            <w:vAlign w:val="center"/>
          </w:tcPr>
          <w:p w14:paraId="53803107" w14:textId="77777777" w:rsidR="004412F1" w:rsidRDefault="005A12A3">
            <w:r>
              <w:rPr>
                <w:rFonts w:ascii="Calibri" w:hAnsi="Calibri"/>
                <w:sz w:val="20"/>
              </w:rPr>
              <w:t>10%</w:t>
            </w:r>
          </w:p>
        </w:tc>
        <w:tc>
          <w:tcPr>
            <w:tcW w:w="993" w:type="dxa"/>
            <w:tcBorders>
              <w:top w:val="single" w:sz="8" w:space="0" w:color="auto"/>
              <w:left w:val="single" w:sz="8" w:space="0" w:color="auto"/>
              <w:bottom w:val="nil"/>
              <w:right w:val="single" w:sz="8" w:space="0" w:color="auto"/>
            </w:tcBorders>
            <w:tcMar>
              <w:left w:w="70" w:type="dxa"/>
              <w:right w:w="70" w:type="dxa"/>
            </w:tcMar>
            <w:vAlign w:val="center"/>
          </w:tcPr>
          <w:p w14:paraId="77E5C31D" w14:textId="77777777" w:rsidR="004412F1" w:rsidRDefault="005A12A3">
            <w:r>
              <w:rPr>
                <w:rFonts w:ascii="Calibri" w:hAnsi="Calibri"/>
                <w:sz w:val="20"/>
              </w:rPr>
              <w:t>10%</w:t>
            </w:r>
          </w:p>
        </w:tc>
        <w:tc>
          <w:tcPr>
            <w:tcW w:w="992" w:type="dxa"/>
            <w:tcBorders>
              <w:top w:val="single" w:sz="8" w:space="0" w:color="auto"/>
              <w:left w:val="single" w:sz="8" w:space="0" w:color="auto"/>
              <w:bottom w:val="nil"/>
              <w:right w:val="single" w:sz="8" w:space="0" w:color="auto"/>
            </w:tcBorders>
            <w:tcMar>
              <w:left w:w="70" w:type="dxa"/>
              <w:right w:w="70" w:type="dxa"/>
            </w:tcMar>
            <w:vAlign w:val="center"/>
          </w:tcPr>
          <w:p w14:paraId="447B2D1D" w14:textId="77777777" w:rsidR="004412F1" w:rsidRDefault="005A12A3">
            <w:r>
              <w:rPr>
                <w:rFonts w:ascii="Calibri" w:hAnsi="Calibri"/>
                <w:sz w:val="20"/>
              </w:rPr>
              <w:t>0%</w:t>
            </w:r>
          </w:p>
        </w:tc>
        <w:tc>
          <w:tcPr>
            <w:tcW w:w="993" w:type="dxa"/>
            <w:tcBorders>
              <w:top w:val="single" w:sz="8" w:space="0" w:color="auto"/>
              <w:left w:val="single" w:sz="8" w:space="0" w:color="auto"/>
              <w:bottom w:val="nil"/>
              <w:right w:val="single" w:sz="8" w:space="0" w:color="auto"/>
            </w:tcBorders>
            <w:tcMar>
              <w:left w:w="70" w:type="dxa"/>
              <w:right w:w="70" w:type="dxa"/>
            </w:tcMar>
            <w:vAlign w:val="center"/>
          </w:tcPr>
          <w:p w14:paraId="447E9BDC" w14:textId="77777777" w:rsidR="004412F1" w:rsidRDefault="005A12A3">
            <w:r>
              <w:rPr>
                <w:rFonts w:ascii="Calibri" w:hAnsi="Calibri"/>
                <w:sz w:val="20"/>
              </w:rPr>
              <w:t>10%</w:t>
            </w:r>
          </w:p>
        </w:tc>
      </w:tr>
      <w:tr w:rsidR="004412F1" w14:paraId="4B6EE752" w14:textId="77777777">
        <w:trPr>
          <w:trHeight w:val="765"/>
        </w:trPr>
        <w:tc>
          <w:tcPr>
            <w:tcW w:w="2967" w:type="dxa"/>
            <w:tcBorders>
              <w:top w:val="nil"/>
              <w:left w:val="single" w:sz="8" w:space="0" w:color="auto"/>
              <w:bottom w:val="single" w:sz="8" w:space="0" w:color="000000" w:themeColor="text1"/>
              <w:right w:val="single" w:sz="8" w:space="0" w:color="auto"/>
            </w:tcBorders>
            <w:tcMar>
              <w:left w:w="70" w:type="dxa"/>
              <w:right w:w="70" w:type="dxa"/>
            </w:tcMar>
            <w:vAlign w:val="center"/>
          </w:tcPr>
          <w:p w14:paraId="2B38DB32" w14:textId="77777777" w:rsidR="004412F1" w:rsidRDefault="005A12A3">
            <w:pPr>
              <w:rPr>
                <w:lang w:val="es-PE"/>
              </w:rPr>
            </w:pPr>
            <w:r>
              <w:rPr>
                <w:rFonts w:ascii="Calibri" w:hAnsi="Calibri"/>
                <w:sz w:val="20"/>
                <w:lang w:val="es-PE"/>
              </w:rPr>
              <w:t>Desprendimiento de bordes de berma</w:t>
            </w:r>
          </w:p>
        </w:tc>
        <w:tc>
          <w:tcPr>
            <w:tcW w:w="1843" w:type="dxa"/>
            <w:tcBorders>
              <w:top w:val="nil"/>
              <w:left w:val="single" w:sz="8" w:space="0" w:color="auto"/>
              <w:bottom w:val="single" w:sz="8" w:space="0" w:color="auto"/>
              <w:right w:val="single" w:sz="8" w:space="0" w:color="auto"/>
            </w:tcBorders>
            <w:tcMar>
              <w:left w:w="70" w:type="dxa"/>
              <w:right w:w="70" w:type="dxa"/>
            </w:tcMar>
            <w:vAlign w:val="center"/>
          </w:tcPr>
          <w:p w14:paraId="3F3DE116" w14:textId="77777777" w:rsidR="004412F1" w:rsidRDefault="005A12A3">
            <w:r>
              <w:rPr>
                <w:rFonts w:ascii="Calibri" w:hAnsi="Calibri"/>
                <w:sz w:val="20"/>
              </w:rPr>
              <w:t>Porcentaje máximo de desprendimiento</w:t>
            </w:r>
          </w:p>
        </w:tc>
        <w:tc>
          <w:tcPr>
            <w:tcW w:w="850" w:type="dxa"/>
            <w:tcBorders>
              <w:top w:val="nil"/>
              <w:left w:val="single" w:sz="8" w:space="0" w:color="auto"/>
              <w:bottom w:val="single" w:sz="8" w:space="0" w:color="auto"/>
              <w:right w:val="single" w:sz="8" w:space="0" w:color="auto"/>
            </w:tcBorders>
            <w:tcMar>
              <w:left w:w="70" w:type="dxa"/>
              <w:right w:w="70" w:type="dxa"/>
            </w:tcMar>
            <w:vAlign w:val="center"/>
          </w:tcPr>
          <w:p w14:paraId="43F0CD40" w14:textId="77777777" w:rsidR="004412F1" w:rsidRDefault="005A12A3">
            <w:r>
              <w:rPr>
                <w:rFonts w:ascii="Calibri" w:hAnsi="Calibri"/>
                <w:sz w:val="20"/>
              </w:rPr>
              <w:t>5%</w:t>
            </w:r>
          </w:p>
        </w:tc>
        <w:tc>
          <w:tcPr>
            <w:tcW w:w="993" w:type="dxa"/>
            <w:tcBorders>
              <w:top w:val="nil"/>
              <w:left w:val="single" w:sz="8" w:space="0" w:color="auto"/>
              <w:bottom w:val="single" w:sz="8" w:space="0" w:color="auto"/>
              <w:right w:val="single" w:sz="8" w:space="0" w:color="auto"/>
            </w:tcBorders>
            <w:tcMar>
              <w:left w:w="70" w:type="dxa"/>
              <w:right w:w="70" w:type="dxa"/>
            </w:tcMar>
            <w:vAlign w:val="center"/>
          </w:tcPr>
          <w:p w14:paraId="07FEFC4D" w14:textId="77777777" w:rsidR="004412F1" w:rsidRDefault="005A12A3">
            <w:r>
              <w:rPr>
                <w:rFonts w:ascii="Calibri" w:hAnsi="Calibri"/>
                <w:sz w:val="20"/>
              </w:rPr>
              <w:t>5%</w:t>
            </w:r>
          </w:p>
        </w:tc>
        <w:tc>
          <w:tcPr>
            <w:tcW w:w="992" w:type="dxa"/>
            <w:tcBorders>
              <w:top w:val="nil"/>
              <w:left w:val="single" w:sz="8" w:space="0" w:color="auto"/>
              <w:bottom w:val="single" w:sz="8" w:space="0" w:color="auto"/>
              <w:right w:val="single" w:sz="8" w:space="0" w:color="auto"/>
            </w:tcBorders>
            <w:tcMar>
              <w:left w:w="70" w:type="dxa"/>
              <w:right w:w="70" w:type="dxa"/>
            </w:tcMar>
            <w:vAlign w:val="center"/>
          </w:tcPr>
          <w:p w14:paraId="5C21C69A" w14:textId="77777777" w:rsidR="004412F1" w:rsidRDefault="005A12A3">
            <w:r>
              <w:rPr>
                <w:rFonts w:ascii="Calibri" w:hAnsi="Calibri"/>
                <w:sz w:val="20"/>
              </w:rPr>
              <w:t>0%</w:t>
            </w:r>
          </w:p>
        </w:tc>
        <w:tc>
          <w:tcPr>
            <w:tcW w:w="993" w:type="dxa"/>
            <w:tcBorders>
              <w:top w:val="nil"/>
              <w:left w:val="single" w:sz="8" w:space="0" w:color="auto"/>
              <w:bottom w:val="single" w:sz="8" w:space="0" w:color="auto"/>
              <w:right w:val="single" w:sz="8" w:space="0" w:color="auto"/>
            </w:tcBorders>
            <w:tcMar>
              <w:left w:w="70" w:type="dxa"/>
              <w:right w:w="70" w:type="dxa"/>
            </w:tcMar>
            <w:vAlign w:val="center"/>
          </w:tcPr>
          <w:p w14:paraId="16CCD75E" w14:textId="77777777" w:rsidR="004412F1" w:rsidRDefault="005A12A3">
            <w:r>
              <w:rPr>
                <w:rFonts w:ascii="Calibri" w:hAnsi="Calibri"/>
                <w:sz w:val="20"/>
              </w:rPr>
              <w:t>0%</w:t>
            </w:r>
          </w:p>
        </w:tc>
      </w:tr>
    </w:tbl>
    <w:p w14:paraId="78AD1B23" w14:textId="77777777" w:rsidR="004412F1" w:rsidRDefault="004412F1">
      <w:pPr>
        <w:jc w:val="center"/>
        <w:rPr>
          <w:b/>
        </w:rPr>
      </w:pPr>
    </w:p>
    <w:tbl>
      <w:tblPr>
        <w:tblW w:w="8402" w:type="dxa"/>
        <w:tblInd w:w="-10" w:type="dxa"/>
        <w:tblLayout w:type="fixed"/>
        <w:tblLook w:val="04A0" w:firstRow="1" w:lastRow="0" w:firstColumn="1" w:lastColumn="0" w:noHBand="0" w:noVBand="1"/>
      </w:tblPr>
      <w:tblGrid>
        <w:gridCol w:w="4859"/>
        <w:gridCol w:w="3543"/>
      </w:tblGrid>
      <w:tr w:rsidR="004412F1" w14:paraId="267A7E7B" w14:textId="77777777">
        <w:trPr>
          <w:trHeight w:val="12"/>
        </w:trPr>
        <w:tc>
          <w:tcPr>
            <w:tcW w:w="8402"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23F71291" w14:textId="77777777" w:rsidR="004412F1" w:rsidRDefault="005A12A3">
            <w:pPr>
              <w:ind w:left="-636"/>
              <w:jc w:val="center"/>
              <w:rPr>
                <w:b/>
                <w:sz w:val="20"/>
                <w:lang w:val="es"/>
              </w:rPr>
            </w:pPr>
            <w:r>
              <w:rPr>
                <w:b/>
                <w:sz w:val="20"/>
                <w:lang w:val="es"/>
              </w:rPr>
              <w:t>Plazos de Respuesta a Incumplimientos en:</w:t>
            </w:r>
          </w:p>
          <w:p w14:paraId="588FFA19" w14:textId="77777777" w:rsidR="004412F1" w:rsidRDefault="005A12A3">
            <w:pPr>
              <w:jc w:val="center"/>
              <w:rPr>
                <w:rFonts w:eastAsia="Times New Roman"/>
                <w:b/>
                <w:bCs/>
                <w:color w:val="000000" w:themeColor="text1"/>
                <w:sz w:val="20"/>
                <w:szCs w:val="18"/>
                <w:lang w:val="es" w:eastAsia="es-ES"/>
              </w:rPr>
            </w:pPr>
            <w:r>
              <w:rPr>
                <w:b/>
                <w:color w:val="000000" w:themeColor="text1"/>
                <w:sz w:val="20"/>
                <w:lang w:val="es"/>
              </w:rPr>
              <w:t xml:space="preserve">Berma </w:t>
            </w:r>
          </w:p>
        </w:tc>
      </w:tr>
      <w:tr w:rsidR="004412F1" w14:paraId="476B7722"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452EFA7" w14:textId="77777777" w:rsidR="004412F1" w:rsidRDefault="005A12A3">
            <w:pPr>
              <w:jc w:val="center"/>
              <w:rPr>
                <w:b/>
                <w:sz w:val="20"/>
                <w:lang w:val="es"/>
              </w:rPr>
            </w:pPr>
            <w:r>
              <w:rPr>
                <w:b/>
                <w:sz w:val="20"/>
                <w:lang w:val="es"/>
              </w:rPr>
              <w:t>Parámetro</w:t>
            </w:r>
          </w:p>
        </w:tc>
        <w:tc>
          <w:tcPr>
            <w:tcW w:w="3543"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C0B1A2"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7D6B219A"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0C620AF" w14:textId="77777777" w:rsidR="004412F1" w:rsidRDefault="005A12A3">
            <w:pPr>
              <w:rPr>
                <w:lang w:val="es-PE"/>
              </w:rPr>
            </w:pPr>
            <w:r>
              <w:rPr>
                <w:sz w:val="20"/>
                <w:lang w:val="es"/>
              </w:rPr>
              <w:t>Reducción del ancho de la superficie de rodadura</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BE07812" w14:textId="77777777" w:rsidR="004412F1" w:rsidRDefault="005A12A3">
            <w:pPr>
              <w:jc w:val="center"/>
              <w:rPr>
                <w:rFonts w:eastAsia="Times New Roman"/>
                <w:bCs/>
                <w:sz w:val="20"/>
                <w:szCs w:val="18"/>
                <w:lang w:val="es" w:eastAsia="es-ES"/>
              </w:rPr>
            </w:pPr>
            <w:r>
              <w:rPr>
                <w:sz w:val="20"/>
                <w:lang w:val="es"/>
              </w:rPr>
              <w:t xml:space="preserve">14 </w:t>
            </w:r>
          </w:p>
        </w:tc>
      </w:tr>
      <w:tr w:rsidR="004412F1" w14:paraId="73B72B01"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1F51F2A" w14:textId="77777777" w:rsidR="004412F1" w:rsidRDefault="005A12A3">
            <w:r>
              <w:rPr>
                <w:sz w:val="20"/>
                <w:lang w:val="es"/>
              </w:rPr>
              <w:t>Huecos</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3B93872" w14:textId="77777777" w:rsidR="004412F1" w:rsidRDefault="005A12A3">
            <w:pPr>
              <w:jc w:val="center"/>
              <w:rPr>
                <w:sz w:val="20"/>
                <w:lang w:val="es"/>
              </w:rPr>
            </w:pPr>
            <w:r>
              <w:rPr>
                <w:sz w:val="20"/>
                <w:lang w:val="es"/>
              </w:rPr>
              <w:t>2</w:t>
            </w:r>
          </w:p>
        </w:tc>
      </w:tr>
      <w:tr w:rsidR="004412F1" w14:paraId="33A02B4C"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4F9AB0A" w14:textId="77777777" w:rsidR="004412F1" w:rsidRDefault="005A12A3">
            <w:r>
              <w:rPr>
                <w:sz w:val="20"/>
                <w:lang w:val="es"/>
              </w:rPr>
              <w:t>Parches en mal estado</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9238B35" w14:textId="77777777" w:rsidR="004412F1" w:rsidRDefault="005A12A3">
            <w:pPr>
              <w:jc w:val="center"/>
              <w:rPr>
                <w:sz w:val="20"/>
                <w:lang w:val="es"/>
              </w:rPr>
            </w:pPr>
            <w:r>
              <w:rPr>
                <w:sz w:val="20"/>
                <w:lang w:val="es"/>
              </w:rPr>
              <w:t>7</w:t>
            </w:r>
          </w:p>
        </w:tc>
      </w:tr>
      <w:tr w:rsidR="004412F1" w14:paraId="7874AABB"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2A9E18C" w14:textId="77777777" w:rsidR="004412F1" w:rsidRDefault="005A12A3">
            <w:pPr>
              <w:rPr>
                <w:lang w:val="es-PE"/>
              </w:rPr>
            </w:pPr>
            <w:r>
              <w:rPr>
                <w:sz w:val="20"/>
                <w:lang w:val="es"/>
              </w:rPr>
              <w:t>Fisura tipo piel de cocodrilo</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A3E70A7" w14:textId="77777777" w:rsidR="004412F1" w:rsidRDefault="005A12A3">
            <w:pPr>
              <w:jc w:val="center"/>
              <w:rPr>
                <w:sz w:val="20"/>
                <w:lang w:val="es"/>
              </w:rPr>
            </w:pPr>
            <w:r>
              <w:rPr>
                <w:sz w:val="20"/>
                <w:lang w:val="es"/>
              </w:rPr>
              <w:t>7</w:t>
            </w:r>
          </w:p>
        </w:tc>
      </w:tr>
      <w:tr w:rsidR="004412F1" w14:paraId="76D5451B"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EC6AFA3" w14:textId="77777777" w:rsidR="004412F1" w:rsidRDefault="005A12A3">
            <w:r>
              <w:rPr>
                <w:sz w:val="20"/>
                <w:lang w:val="es"/>
              </w:rPr>
              <w:t>Hundimiento</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74CC2AE" w14:textId="77777777" w:rsidR="004412F1" w:rsidRDefault="005A12A3">
            <w:pPr>
              <w:jc w:val="center"/>
              <w:rPr>
                <w:sz w:val="20"/>
                <w:lang w:val="es"/>
              </w:rPr>
            </w:pPr>
            <w:r>
              <w:rPr>
                <w:sz w:val="20"/>
                <w:lang w:val="es"/>
              </w:rPr>
              <w:t>7</w:t>
            </w:r>
          </w:p>
        </w:tc>
      </w:tr>
      <w:tr w:rsidR="004412F1" w14:paraId="168A5AF3"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EC909FA" w14:textId="77777777" w:rsidR="004412F1" w:rsidRDefault="005A12A3">
            <w:pPr>
              <w:rPr>
                <w:lang w:val="es-PE"/>
              </w:rPr>
            </w:pPr>
            <w:r>
              <w:rPr>
                <w:sz w:val="20"/>
                <w:lang w:val="es"/>
              </w:rPr>
              <w:t>Exudación de nivel medio y alto</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190AEB0" w14:textId="77777777" w:rsidR="004412F1" w:rsidRDefault="005A12A3">
            <w:pPr>
              <w:jc w:val="center"/>
              <w:rPr>
                <w:sz w:val="20"/>
                <w:lang w:val="es"/>
              </w:rPr>
            </w:pPr>
            <w:r>
              <w:rPr>
                <w:sz w:val="20"/>
                <w:lang w:val="es"/>
              </w:rPr>
              <w:t>7</w:t>
            </w:r>
          </w:p>
        </w:tc>
      </w:tr>
      <w:tr w:rsidR="004412F1" w14:paraId="4E5ACA1E"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4CFDAEB" w14:textId="77777777" w:rsidR="004412F1" w:rsidRDefault="005A12A3">
            <w:r>
              <w:rPr>
                <w:sz w:val="20"/>
                <w:lang w:val="es"/>
              </w:rPr>
              <w:t>Existencia de material suelto</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50E3D84" w14:textId="77777777" w:rsidR="004412F1" w:rsidRDefault="005A12A3">
            <w:pPr>
              <w:jc w:val="center"/>
              <w:rPr>
                <w:sz w:val="20"/>
                <w:lang w:val="es"/>
              </w:rPr>
            </w:pPr>
            <w:r>
              <w:rPr>
                <w:sz w:val="20"/>
                <w:lang w:val="es"/>
              </w:rPr>
              <w:t>1</w:t>
            </w:r>
          </w:p>
        </w:tc>
      </w:tr>
      <w:tr w:rsidR="004412F1" w14:paraId="5803F7BD"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C08C096" w14:textId="77777777" w:rsidR="004412F1" w:rsidRDefault="005A12A3">
            <w:r>
              <w:rPr>
                <w:sz w:val="20"/>
                <w:lang w:val="es"/>
              </w:rPr>
              <w:t>Existencia de obstáculos</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6D0EC3F" w14:textId="77777777" w:rsidR="004412F1" w:rsidRDefault="005A12A3">
            <w:pPr>
              <w:jc w:val="center"/>
              <w:rPr>
                <w:sz w:val="20"/>
                <w:lang w:val="es"/>
              </w:rPr>
            </w:pPr>
            <w:r>
              <w:rPr>
                <w:sz w:val="20"/>
                <w:lang w:val="es"/>
              </w:rPr>
              <w:t>1</w:t>
            </w:r>
          </w:p>
        </w:tc>
      </w:tr>
      <w:tr w:rsidR="004412F1" w14:paraId="633204AE"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B43F91C" w14:textId="77777777" w:rsidR="004412F1" w:rsidRDefault="005A12A3">
            <w:pPr>
              <w:rPr>
                <w:lang w:val="es-PE"/>
              </w:rPr>
            </w:pPr>
            <w:r>
              <w:rPr>
                <w:sz w:val="20"/>
                <w:lang w:val="es"/>
              </w:rPr>
              <w:t>Desnivel entre calzada y berma</w:t>
            </w:r>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9B86CC7" w14:textId="77777777" w:rsidR="004412F1" w:rsidRDefault="005A12A3">
            <w:pPr>
              <w:jc w:val="center"/>
              <w:rPr>
                <w:sz w:val="20"/>
                <w:lang w:val="es"/>
              </w:rPr>
            </w:pPr>
            <w:r>
              <w:rPr>
                <w:sz w:val="20"/>
                <w:lang w:val="es"/>
              </w:rPr>
              <w:t>7</w:t>
            </w:r>
          </w:p>
        </w:tc>
      </w:tr>
      <w:tr w:rsidR="004412F1" w14:paraId="181AB185" w14:textId="77777777">
        <w:trPr>
          <w:trHeight w:val="12"/>
        </w:trPr>
        <w:tc>
          <w:tcPr>
            <w:tcW w:w="485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0EA60C1" w14:textId="77777777" w:rsidR="004412F1" w:rsidRDefault="005A12A3">
            <w:r>
              <w:rPr>
                <w:sz w:val="20"/>
                <w:lang w:val="es"/>
              </w:rPr>
              <w:t xml:space="preserve">Desprendimiento </w:t>
            </w:r>
            <w:proofErr w:type="gramStart"/>
            <w:r>
              <w:rPr>
                <w:sz w:val="20"/>
                <w:lang w:val="es"/>
              </w:rPr>
              <w:t>de  bermas</w:t>
            </w:r>
            <w:proofErr w:type="gramEnd"/>
          </w:p>
        </w:tc>
        <w:tc>
          <w:tcPr>
            <w:tcW w:w="354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A8E81EA" w14:textId="77777777" w:rsidR="004412F1" w:rsidRDefault="005A12A3">
            <w:pPr>
              <w:jc w:val="center"/>
              <w:rPr>
                <w:sz w:val="20"/>
                <w:lang w:val="es"/>
              </w:rPr>
            </w:pPr>
            <w:r>
              <w:rPr>
                <w:sz w:val="20"/>
                <w:lang w:val="es"/>
              </w:rPr>
              <w:t>7</w:t>
            </w:r>
          </w:p>
        </w:tc>
      </w:tr>
    </w:tbl>
    <w:p w14:paraId="5319080B" w14:textId="77777777" w:rsidR="004412F1" w:rsidRDefault="004412F1">
      <w:pPr>
        <w:jc w:val="center"/>
        <w:rPr>
          <w:b/>
        </w:rPr>
      </w:pPr>
    </w:p>
    <w:p w14:paraId="025667D7" w14:textId="77777777" w:rsidR="004412F1" w:rsidRDefault="004412F1"/>
    <w:p w14:paraId="47DA4E6A" w14:textId="77777777" w:rsidR="004412F1" w:rsidRDefault="004412F1"/>
    <w:p w14:paraId="1CFF11E7" w14:textId="77777777" w:rsidR="004412F1" w:rsidRDefault="004412F1"/>
    <w:p w14:paraId="005E89C9" w14:textId="77777777" w:rsidR="004412F1" w:rsidRDefault="005A12A3">
      <w:r>
        <w:br w:type="page"/>
      </w:r>
    </w:p>
    <w:p w14:paraId="45D8A6B5" w14:textId="77777777" w:rsidR="004412F1" w:rsidRDefault="005A12A3">
      <w:pPr>
        <w:jc w:val="center"/>
        <w:rPr>
          <w:b/>
          <w:lang w:val="es-PE"/>
        </w:rPr>
      </w:pPr>
      <w:r>
        <w:rPr>
          <w:b/>
          <w:lang w:val="es-PE"/>
        </w:rPr>
        <w:t>Niveles de Servicio para: Badenes (Concreto)</w:t>
      </w:r>
    </w:p>
    <w:p w14:paraId="23803A8F" w14:textId="77777777" w:rsidR="004412F1" w:rsidRDefault="004412F1">
      <w:pPr>
        <w:jc w:val="center"/>
        <w:rPr>
          <w:b/>
          <w:lang w:val="es-PE"/>
        </w:rPr>
      </w:pPr>
    </w:p>
    <w:tbl>
      <w:tblPr>
        <w:tblW w:w="9077" w:type="dxa"/>
        <w:tblInd w:w="-582" w:type="dxa"/>
        <w:tblLayout w:type="fixed"/>
        <w:tblLook w:val="04A0" w:firstRow="1" w:lastRow="0" w:firstColumn="1" w:lastColumn="0" w:noHBand="0" w:noVBand="1"/>
      </w:tblPr>
      <w:tblGrid>
        <w:gridCol w:w="2825"/>
        <w:gridCol w:w="1693"/>
        <w:gridCol w:w="1129"/>
        <w:gridCol w:w="989"/>
        <w:gridCol w:w="1129"/>
        <w:gridCol w:w="1270"/>
        <w:gridCol w:w="42"/>
      </w:tblGrid>
      <w:tr w:rsidR="004412F1" w14:paraId="58D6494B" w14:textId="77777777">
        <w:trPr>
          <w:gridAfter w:val="1"/>
          <w:wAfter w:w="42" w:type="dxa"/>
          <w:trHeight w:val="372"/>
        </w:trPr>
        <w:tc>
          <w:tcPr>
            <w:tcW w:w="9077"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095348C8" w14:textId="77777777" w:rsidR="004412F1" w:rsidRDefault="005A12A3">
            <w:pPr>
              <w:jc w:val="center"/>
              <w:rPr>
                <w:rFonts w:ascii="Calibri" w:hAnsi="Calibri"/>
                <w:b/>
                <w:sz w:val="20"/>
                <w:lang w:val="es"/>
              </w:rPr>
            </w:pPr>
            <w:r>
              <w:rPr>
                <w:rFonts w:ascii="Calibri" w:hAnsi="Calibri"/>
                <w:b/>
                <w:sz w:val="20"/>
                <w:lang w:val="es"/>
              </w:rPr>
              <w:t>Niveles de Servicio para:</w:t>
            </w:r>
          </w:p>
          <w:p w14:paraId="5B1BE969"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Badenes (Concreto)</w:t>
            </w:r>
          </w:p>
        </w:tc>
      </w:tr>
      <w:tr w:rsidR="004412F1" w14:paraId="06986B4E" w14:textId="77777777">
        <w:trPr>
          <w:gridAfter w:val="1"/>
          <w:wAfter w:w="42" w:type="dxa"/>
          <w:trHeight w:val="267"/>
        </w:trPr>
        <w:tc>
          <w:tcPr>
            <w:tcW w:w="2840" w:type="dxa"/>
            <w:vMerge w:val="restart"/>
            <w:tcBorders>
              <w:top w:val="single" w:sz="8" w:space="0" w:color="auto"/>
              <w:left w:val="single" w:sz="8" w:space="0" w:color="auto"/>
              <w:right w:val="nil"/>
            </w:tcBorders>
            <w:shd w:val="clear" w:color="auto" w:fill="C2D69B" w:themeFill="accent3" w:themeFillTint="99"/>
            <w:tcMar>
              <w:left w:w="70" w:type="dxa"/>
              <w:right w:w="70" w:type="dxa"/>
            </w:tcMar>
            <w:vAlign w:val="center"/>
          </w:tcPr>
          <w:p w14:paraId="2FC6AE85" w14:textId="77777777" w:rsidR="004412F1" w:rsidRDefault="005A12A3">
            <w:pPr>
              <w:jc w:val="center"/>
              <w:rPr>
                <w:rFonts w:ascii="Calibri" w:hAnsi="Calibri"/>
                <w:b/>
                <w:color w:val="000000" w:themeColor="text1"/>
                <w:sz w:val="20"/>
              </w:rPr>
            </w:pPr>
            <w:r>
              <w:rPr>
                <w:rFonts w:ascii="Calibri" w:hAnsi="Calibri"/>
                <w:b/>
                <w:color w:val="000000" w:themeColor="text1"/>
                <w:sz w:val="20"/>
              </w:rPr>
              <w:t>Parámetros</w:t>
            </w:r>
          </w:p>
        </w:tc>
        <w:tc>
          <w:tcPr>
            <w:tcW w:w="1701" w:type="dxa"/>
            <w:vMerge w:val="restart"/>
            <w:tcBorders>
              <w:top w:val="nil"/>
              <w:left w:val="single" w:sz="8" w:space="0" w:color="auto"/>
              <w:right w:val="single" w:sz="8" w:space="0" w:color="auto"/>
            </w:tcBorders>
            <w:shd w:val="clear" w:color="auto" w:fill="C2D69B" w:themeFill="accent3" w:themeFillTint="99"/>
            <w:tcMar>
              <w:left w:w="70" w:type="dxa"/>
              <w:right w:w="70" w:type="dxa"/>
            </w:tcMar>
            <w:vAlign w:val="center"/>
          </w:tcPr>
          <w:p w14:paraId="7421E9D9" w14:textId="77777777" w:rsidR="004412F1" w:rsidRDefault="005A12A3">
            <w:pPr>
              <w:jc w:val="center"/>
              <w:rPr>
                <w:rFonts w:ascii="Calibri" w:hAnsi="Calibri"/>
                <w:b/>
                <w:color w:val="000000" w:themeColor="text1"/>
                <w:sz w:val="20"/>
              </w:rPr>
            </w:pPr>
            <w:r>
              <w:rPr>
                <w:rFonts w:ascii="Calibri" w:hAnsi="Calibri"/>
                <w:b/>
                <w:color w:val="000000" w:themeColor="text1"/>
                <w:sz w:val="20"/>
              </w:rPr>
              <w:t>Medida</w:t>
            </w:r>
          </w:p>
        </w:tc>
        <w:tc>
          <w:tcPr>
            <w:tcW w:w="2127"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54151940"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409" w:type="dxa"/>
            <w:gridSpan w:val="2"/>
            <w:tcBorders>
              <w:top w:val="nil"/>
              <w:left w:val="nil"/>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487689FC"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5B962E60" w14:textId="77777777">
        <w:trPr>
          <w:gridAfter w:val="1"/>
          <w:wAfter w:w="42" w:type="dxa"/>
          <w:trHeight w:val="314"/>
        </w:trPr>
        <w:tc>
          <w:tcPr>
            <w:tcW w:w="2840" w:type="dxa"/>
            <w:vMerge/>
            <w:tcBorders>
              <w:left w:val="single" w:sz="8" w:space="0" w:color="auto"/>
              <w:bottom w:val="single" w:sz="0" w:space="0" w:color="000000" w:themeColor="text1"/>
              <w:right w:val="single" w:sz="8" w:space="0" w:color="auto"/>
            </w:tcBorders>
            <w:vAlign w:val="center"/>
          </w:tcPr>
          <w:p w14:paraId="20595240" w14:textId="77777777" w:rsidR="004412F1" w:rsidRDefault="004412F1"/>
        </w:tc>
        <w:tc>
          <w:tcPr>
            <w:tcW w:w="1701" w:type="dxa"/>
            <w:vMerge/>
            <w:tcBorders>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1DB51C98" w14:textId="77777777" w:rsidR="004412F1" w:rsidRDefault="004412F1">
            <w:pPr>
              <w:jc w:val="center"/>
              <w:rPr>
                <w:rFonts w:ascii="Calibri" w:hAnsi="Calibri"/>
                <w:b/>
                <w:color w:val="000000" w:themeColor="text1"/>
                <w:sz w:val="20"/>
              </w:rPr>
            </w:pPr>
          </w:p>
        </w:tc>
        <w:tc>
          <w:tcPr>
            <w:tcW w:w="1134"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4816C7AA" w14:textId="77777777" w:rsidR="004412F1" w:rsidRDefault="005A12A3">
            <w:pPr>
              <w:jc w:val="center"/>
              <w:rPr>
                <w:rFonts w:ascii="Calibri" w:hAnsi="Calibri"/>
                <w:b/>
                <w:color w:val="000000" w:themeColor="text1"/>
                <w:sz w:val="20"/>
              </w:rPr>
            </w:pPr>
            <w:r>
              <w:rPr>
                <w:rFonts w:ascii="Calibri" w:hAnsi="Calibri"/>
                <w:b/>
                <w:color w:val="000000" w:themeColor="text1"/>
                <w:sz w:val="20"/>
              </w:rPr>
              <w:t>Recepción</w:t>
            </w:r>
          </w:p>
        </w:tc>
        <w:tc>
          <w:tcPr>
            <w:tcW w:w="993" w:type="dxa"/>
            <w:tcBorders>
              <w:top w:val="nil"/>
              <w:left w:val="single" w:sz="8" w:space="0" w:color="auto"/>
              <w:bottom w:val="single" w:sz="8" w:space="0" w:color="auto"/>
              <w:right w:val="single" w:sz="4" w:space="0" w:color="auto"/>
            </w:tcBorders>
            <w:shd w:val="clear" w:color="auto" w:fill="C2D69B" w:themeFill="accent3" w:themeFillTint="99"/>
            <w:tcMar>
              <w:left w:w="70" w:type="dxa"/>
              <w:right w:w="70" w:type="dxa"/>
            </w:tcMar>
            <w:vAlign w:val="center"/>
          </w:tcPr>
          <w:p w14:paraId="2CF6936F" w14:textId="77777777" w:rsidR="004412F1" w:rsidRDefault="005A12A3">
            <w:pPr>
              <w:jc w:val="center"/>
              <w:rPr>
                <w:rFonts w:ascii="Calibri" w:hAnsi="Calibri"/>
                <w:b/>
                <w:color w:val="000000" w:themeColor="text1"/>
                <w:sz w:val="20"/>
              </w:rPr>
            </w:pPr>
            <w:r>
              <w:rPr>
                <w:rFonts w:ascii="Calibri" w:hAnsi="Calibri"/>
                <w:b/>
                <w:color w:val="000000" w:themeColor="text1"/>
                <w:sz w:val="20"/>
              </w:rPr>
              <w:t>Conservación</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A82D887" w14:textId="77777777" w:rsidR="004412F1" w:rsidRDefault="005A12A3">
            <w:pPr>
              <w:jc w:val="center"/>
              <w:rPr>
                <w:rFonts w:ascii="Calibri" w:hAnsi="Calibri"/>
                <w:b/>
                <w:color w:val="000000" w:themeColor="text1"/>
                <w:sz w:val="20"/>
              </w:rPr>
            </w:pPr>
            <w:r>
              <w:rPr>
                <w:rFonts w:ascii="Calibri" w:hAnsi="Calibri"/>
                <w:b/>
                <w:color w:val="000000" w:themeColor="text1"/>
                <w:sz w:val="20"/>
              </w:rPr>
              <w:t>Recepción</w:t>
            </w:r>
          </w:p>
        </w:tc>
        <w:tc>
          <w:tcPr>
            <w:tcW w:w="127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8B9664B" w14:textId="77777777" w:rsidR="004412F1" w:rsidRDefault="005A12A3">
            <w:pPr>
              <w:jc w:val="center"/>
              <w:rPr>
                <w:rFonts w:ascii="Calibri" w:hAnsi="Calibri"/>
                <w:b/>
                <w:color w:val="000000" w:themeColor="text1"/>
                <w:sz w:val="20"/>
              </w:rPr>
            </w:pPr>
            <w:r>
              <w:rPr>
                <w:rFonts w:ascii="Calibri" w:hAnsi="Calibri"/>
                <w:b/>
                <w:color w:val="000000" w:themeColor="text1"/>
                <w:sz w:val="20"/>
              </w:rPr>
              <w:t>Conservación</w:t>
            </w:r>
          </w:p>
        </w:tc>
      </w:tr>
      <w:tr w:rsidR="004412F1" w14:paraId="1F4AC4AD" w14:textId="77777777">
        <w:trPr>
          <w:gridAfter w:val="1"/>
          <w:wAfter w:w="42" w:type="dxa"/>
          <w:trHeight w:val="500"/>
        </w:trPr>
        <w:tc>
          <w:tcPr>
            <w:tcW w:w="2840" w:type="dxa"/>
            <w:tcBorders>
              <w:top w:val="nil"/>
              <w:left w:val="single" w:sz="8" w:space="0" w:color="auto"/>
              <w:bottom w:val="single" w:sz="8" w:space="0" w:color="auto"/>
              <w:right w:val="single" w:sz="8" w:space="0" w:color="auto"/>
            </w:tcBorders>
            <w:tcMar>
              <w:left w:w="70" w:type="dxa"/>
              <w:right w:w="70" w:type="dxa"/>
            </w:tcMar>
            <w:vAlign w:val="center"/>
          </w:tcPr>
          <w:p w14:paraId="2B7DFEA1" w14:textId="77777777" w:rsidR="004412F1" w:rsidRDefault="005A12A3">
            <w:pPr>
              <w:rPr>
                <w:lang w:val="es-PE"/>
              </w:rPr>
            </w:pPr>
            <w:r>
              <w:rPr>
                <w:rFonts w:ascii="Calibri" w:hAnsi="Calibri"/>
                <w:sz w:val="20"/>
                <w:lang w:val="es-PE"/>
              </w:rPr>
              <w:t>Reducción del ancho de la superficie de rodadura</w:t>
            </w:r>
          </w:p>
        </w:tc>
        <w:tc>
          <w:tcPr>
            <w:tcW w:w="1701" w:type="dxa"/>
            <w:tcBorders>
              <w:top w:val="nil"/>
              <w:left w:val="single" w:sz="8" w:space="0" w:color="auto"/>
              <w:bottom w:val="single" w:sz="8" w:space="0" w:color="auto"/>
              <w:right w:val="nil"/>
            </w:tcBorders>
            <w:tcMar>
              <w:left w:w="70" w:type="dxa"/>
              <w:right w:w="70" w:type="dxa"/>
            </w:tcMar>
            <w:vAlign w:val="center"/>
          </w:tcPr>
          <w:p w14:paraId="1B9E3398" w14:textId="77777777" w:rsidR="004412F1" w:rsidRDefault="005A12A3">
            <w:pPr>
              <w:rPr>
                <w:lang w:val="es-PE"/>
              </w:rPr>
            </w:pPr>
            <w:r>
              <w:rPr>
                <w:rFonts w:ascii="Calibri" w:hAnsi="Calibri"/>
                <w:sz w:val="20"/>
                <w:lang w:val="es-PE"/>
              </w:rPr>
              <w:t>Porcentaje máximo de reducción del ancho</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2DFE2D"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7CC16A" w14:textId="77777777" w:rsidR="004412F1" w:rsidRDefault="005A12A3">
            <w:r>
              <w:rPr>
                <w:rFonts w:ascii="Calibri" w:hAnsi="Calibri"/>
                <w:sz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14DAC5" w14:textId="77777777" w:rsidR="004412F1" w:rsidRDefault="005A12A3">
            <w:r>
              <w:rPr>
                <w:rFonts w:ascii="Calibri" w:hAnsi="Calibri"/>
                <w:sz w:val="20"/>
              </w:rPr>
              <w:t>0%</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199A8D" w14:textId="77777777" w:rsidR="004412F1" w:rsidRDefault="005A12A3">
            <w:r>
              <w:rPr>
                <w:rFonts w:ascii="Calibri" w:hAnsi="Calibri"/>
                <w:sz w:val="20"/>
              </w:rPr>
              <w:t>0%</w:t>
            </w:r>
          </w:p>
        </w:tc>
      </w:tr>
      <w:tr w:rsidR="004412F1" w14:paraId="183C7A2B" w14:textId="77777777">
        <w:trPr>
          <w:gridAfter w:val="1"/>
          <w:wAfter w:w="42" w:type="dxa"/>
          <w:trHeight w:val="489"/>
        </w:trPr>
        <w:tc>
          <w:tcPr>
            <w:tcW w:w="2840" w:type="dxa"/>
            <w:vMerge w:val="restart"/>
            <w:tcBorders>
              <w:top w:val="single" w:sz="8" w:space="0" w:color="auto"/>
              <w:left w:val="single" w:sz="8" w:space="0" w:color="auto"/>
              <w:right w:val="single" w:sz="8" w:space="0" w:color="auto"/>
            </w:tcBorders>
            <w:tcMar>
              <w:left w:w="70" w:type="dxa"/>
              <w:right w:w="70" w:type="dxa"/>
            </w:tcMar>
            <w:vAlign w:val="center"/>
          </w:tcPr>
          <w:p w14:paraId="1267F632" w14:textId="77777777" w:rsidR="004412F1" w:rsidRDefault="005A12A3">
            <w:r>
              <w:rPr>
                <w:rFonts w:ascii="Calibri" w:hAnsi="Calibri"/>
                <w:sz w:val="20"/>
              </w:rPr>
              <w:t>Fisuras</w:t>
            </w:r>
          </w:p>
        </w:tc>
        <w:tc>
          <w:tcPr>
            <w:tcW w:w="1701" w:type="dxa"/>
            <w:tcBorders>
              <w:top w:val="single" w:sz="8" w:space="0" w:color="auto"/>
              <w:left w:val="single" w:sz="8" w:space="0" w:color="auto"/>
              <w:bottom w:val="single" w:sz="8" w:space="0" w:color="000000" w:themeColor="text1"/>
              <w:right w:val="nil"/>
            </w:tcBorders>
            <w:tcMar>
              <w:left w:w="70" w:type="dxa"/>
              <w:right w:w="70" w:type="dxa"/>
            </w:tcMar>
            <w:vAlign w:val="center"/>
          </w:tcPr>
          <w:p w14:paraId="395C8B5F" w14:textId="77777777" w:rsidR="004412F1" w:rsidRDefault="005A12A3">
            <w:pPr>
              <w:rPr>
                <w:lang w:val="es-PE"/>
              </w:rPr>
            </w:pPr>
            <w:r>
              <w:rPr>
                <w:rFonts w:ascii="Calibri" w:hAnsi="Calibri"/>
                <w:sz w:val="20"/>
                <w:lang w:val="es-PE"/>
              </w:rPr>
              <w:t>Porcentaje máximo de área con fisuras mayores a 5 mm de abertura</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5B7F9F"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3BD4E0" w14:textId="77777777" w:rsidR="004412F1" w:rsidRDefault="005A12A3">
            <w:r>
              <w:rPr>
                <w:rFonts w:ascii="Calibri" w:hAnsi="Calibri"/>
                <w:sz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624E3F" w14:textId="77777777" w:rsidR="004412F1" w:rsidRDefault="005A12A3">
            <w:r>
              <w:rPr>
                <w:rFonts w:ascii="Calibri" w:hAnsi="Calibri"/>
                <w:sz w:val="20"/>
              </w:rPr>
              <w:t>0%</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609B8E" w14:textId="77777777" w:rsidR="004412F1" w:rsidRDefault="005A12A3">
            <w:r>
              <w:rPr>
                <w:rFonts w:ascii="Calibri" w:hAnsi="Calibri"/>
                <w:sz w:val="20"/>
              </w:rPr>
              <w:t>0%</w:t>
            </w:r>
          </w:p>
        </w:tc>
      </w:tr>
      <w:tr w:rsidR="004412F1" w14:paraId="3BEBE3A6" w14:textId="77777777">
        <w:trPr>
          <w:gridAfter w:val="1"/>
          <w:wAfter w:w="42" w:type="dxa"/>
          <w:trHeight w:val="489"/>
        </w:trPr>
        <w:tc>
          <w:tcPr>
            <w:tcW w:w="2840" w:type="dxa"/>
            <w:vMerge/>
            <w:tcBorders>
              <w:left w:val="single" w:sz="8" w:space="0" w:color="auto"/>
              <w:bottom w:val="single" w:sz="0" w:space="0" w:color="000000" w:themeColor="text1"/>
              <w:right w:val="single" w:sz="8" w:space="0" w:color="auto"/>
            </w:tcBorders>
            <w:vAlign w:val="center"/>
          </w:tcPr>
          <w:p w14:paraId="63278675" w14:textId="77777777" w:rsidR="004412F1" w:rsidRDefault="004412F1"/>
        </w:tc>
        <w:tc>
          <w:tcPr>
            <w:tcW w:w="170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E113D" w14:textId="77777777" w:rsidR="004412F1" w:rsidRDefault="005A12A3">
            <w:pPr>
              <w:rPr>
                <w:lang w:val="es-PE"/>
              </w:rPr>
            </w:pPr>
            <w:r>
              <w:rPr>
                <w:rFonts w:ascii="Calibri" w:hAnsi="Calibri"/>
                <w:sz w:val="20"/>
                <w:lang w:val="es-PE"/>
              </w:rPr>
              <w:t>Porcentaje máximo de área con fisuras entre 2 y 5 mm de abertura</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C85016"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B550CF" w14:textId="77777777" w:rsidR="004412F1" w:rsidRDefault="005A12A3">
            <w:r>
              <w:rPr>
                <w:rFonts w:ascii="Calibri" w:hAnsi="Calibri"/>
                <w:sz w:val="20"/>
              </w:rPr>
              <w:t>10%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E9CF92" w14:textId="77777777" w:rsidR="004412F1" w:rsidRDefault="005A12A3">
            <w:r>
              <w:rPr>
                <w:rFonts w:ascii="Calibri" w:hAnsi="Calibri"/>
                <w:sz w:val="20"/>
              </w:rPr>
              <w:t>0%</w:t>
            </w:r>
          </w:p>
        </w:tc>
        <w:tc>
          <w:tcPr>
            <w:tcW w:w="1275" w:type="dxa"/>
            <w:tcBorders>
              <w:top w:val="single" w:sz="8" w:space="0" w:color="auto"/>
              <w:left w:val="single" w:sz="8" w:space="0" w:color="auto"/>
              <w:bottom w:val="single" w:sz="8" w:space="0" w:color="auto"/>
              <w:right w:val="single" w:sz="8" w:space="0" w:color="auto"/>
            </w:tcBorders>
            <w:vAlign w:val="center"/>
          </w:tcPr>
          <w:p w14:paraId="46CCDA9F" w14:textId="77777777" w:rsidR="004412F1" w:rsidRDefault="005A12A3">
            <w:r>
              <w:rPr>
                <w:rFonts w:ascii="Calibri" w:hAnsi="Calibri"/>
                <w:sz w:val="20"/>
              </w:rPr>
              <w:t>10%</w:t>
            </w:r>
          </w:p>
        </w:tc>
      </w:tr>
      <w:tr w:rsidR="004412F1" w14:paraId="48DEEEC7" w14:textId="77777777">
        <w:trPr>
          <w:gridAfter w:val="1"/>
          <w:wAfter w:w="42" w:type="dxa"/>
          <w:trHeight w:val="326"/>
        </w:trPr>
        <w:tc>
          <w:tcPr>
            <w:tcW w:w="2840" w:type="dxa"/>
            <w:tcBorders>
              <w:top w:val="nil"/>
              <w:left w:val="single" w:sz="8" w:space="0" w:color="auto"/>
              <w:bottom w:val="single" w:sz="8" w:space="0" w:color="auto"/>
              <w:right w:val="single" w:sz="8" w:space="0" w:color="auto"/>
            </w:tcBorders>
            <w:tcMar>
              <w:left w:w="70" w:type="dxa"/>
              <w:right w:w="70" w:type="dxa"/>
            </w:tcMar>
            <w:vAlign w:val="center"/>
          </w:tcPr>
          <w:p w14:paraId="638921A2" w14:textId="77777777" w:rsidR="004412F1" w:rsidRDefault="005A12A3">
            <w:r>
              <w:rPr>
                <w:rFonts w:ascii="Calibri" w:hAnsi="Calibri"/>
                <w:sz w:val="20"/>
              </w:rPr>
              <w:t>Existencia de obstáculos</w:t>
            </w:r>
          </w:p>
        </w:tc>
        <w:tc>
          <w:tcPr>
            <w:tcW w:w="1701" w:type="dxa"/>
            <w:tcBorders>
              <w:top w:val="single" w:sz="8" w:space="0" w:color="auto"/>
              <w:left w:val="single" w:sz="8" w:space="0" w:color="auto"/>
              <w:bottom w:val="single" w:sz="8" w:space="0" w:color="auto"/>
              <w:right w:val="nil"/>
            </w:tcBorders>
            <w:tcMar>
              <w:left w:w="70" w:type="dxa"/>
              <w:right w:w="70" w:type="dxa"/>
            </w:tcMar>
            <w:vAlign w:val="center"/>
          </w:tcPr>
          <w:p w14:paraId="1EDC24E3" w14:textId="77777777" w:rsidR="004412F1" w:rsidRDefault="005A12A3">
            <w:r>
              <w:rPr>
                <w:rFonts w:ascii="Calibri" w:hAnsi="Calibri"/>
                <w:sz w:val="20"/>
              </w:rPr>
              <w:t>Cantidad máxima de obstáculos</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7FD48E" w14:textId="77777777" w:rsidR="004412F1" w:rsidRDefault="005A12A3">
            <w:r>
              <w:rPr>
                <w:rFonts w:ascii="Calibri" w:hAnsi="Calibri"/>
                <w:sz w:val="20"/>
              </w:rPr>
              <w:t>0%</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0A3F5B" w14:textId="77777777" w:rsidR="004412F1" w:rsidRDefault="005A12A3">
            <w:r>
              <w:rPr>
                <w:rFonts w:ascii="Calibri" w:hAnsi="Calibri"/>
                <w:sz w:val="20"/>
              </w:rPr>
              <w:t>0%</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D2B98" w14:textId="77777777" w:rsidR="004412F1" w:rsidRDefault="005A12A3">
            <w:r>
              <w:rPr>
                <w:rFonts w:ascii="Calibri" w:hAnsi="Calibri"/>
                <w:sz w:val="20"/>
              </w:rPr>
              <w:t>0%</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EE6680" w14:textId="77777777" w:rsidR="004412F1" w:rsidRDefault="005A12A3">
            <w:r>
              <w:rPr>
                <w:rFonts w:ascii="Calibri" w:hAnsi="Calibri"/>
                <w:sz w:val="20"/>
              </w:rPr>
              <w:t>0%</w:t>
            </w:r>
          </w:p>
        </w:tc>
      </w:tr>
      <w:tr w:rsidR="004412F1" w14:paraId="764D3424" w14:textId="77777777">
        <w:trPr>
          <w:gridAfter w:val="1"/>
          <w:wAfter w:w="42" w:type="dxa"/>
          <w:trHeight w:val="710"/>
        </w:trPr>
        <w:tc>
          <w:tcPr>
            <w:tcW w:w="2840"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2B7B1D90" w14:textId="77777777" w:rsidR="004412F1" w:rsidRDefault="005A12A3">
            <w:r>
              <w:rPr>
                <w:rFonts w:ascii="Calibri" w:hAnsi="Calibri"/>
                <w:sz w:val="20"/>
              </w:rPr>
              <w:t>Desniveles entre juntas</w:t>
            </w:r>
          </w:p>
        </w:tc>
        <w:tc>
          <w:tcPr>
            <w:tcW w:w="1701" w:type="dxa"/>
            <w:tcBorders>
              <w:top w:val="single" w:sz="8" w:space="0" w:color="auto"/>
              <w:left w:val="single" w:sz="8" w:space="0" w:color="auto"/>
              <w:bottom w:val="single" w:sz="8" w:space="0" w:color="auto"/>
              <w:right w:val="nil"/>
            </w:tcBorders>
            <w:tcMar>
              <w:left w:w="70" w:type="dxa"/>
              <w:right w:w="70" w:type="dxa"/>
            </w:tcMar>
            <w:vAlign w:val="center"/>
          </w:tcPr>
          <w:p w14:paraId="2D29EBEA" w14:textId="77777777" w:rsidR="004412F1" w:rsidRDefault="005A12A3">
            <w:r>
              <w:rPr>
                <w:rFonts w:ascii="Calibri" w:hAnsi="Calibri"/>
                <w:sz w:val="20"/>
              </w:rPr>
              <w:t>Altura máxima de desnivel</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4C383D" w14:textId="77777777" w:rsidR="004412F1" w:rsidRDefault="005A12A3">
            <w:r>
              <w:rPr>
                <w:rFonts w:ascii="Calibri" w:hAnsi="Calibri"/>
                <w:sz w:val="20"/>
              </w:rPr>
              <w:t>10 mm</w:t>
            </w:r>
          </w:p>
        </w:tc>
        <w:tc>
          <w:tcPr>
            <w:tcW w:w="9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1659E5" w14:textId="77777777" w:rsidR="004412F1" w:rsidRDefault="005A12A3">
            <w:r>
              <w:rPr>
                <w:rFonts w:ascii="Calibri" w:hAnsi="Calibri"/>
                <w:sz w:val="20"/>
              </w:rPr>
              <w:t>10 mm</w:t>
            </w:r>
          </w:p>
        </w:tc>
        <w:tc>
          <w:tcPr>
            <w:tcW w:w="113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8388F3" w14:textId="77777777" w:rsidR="004412F1" w:rsidRDefault="005A12A3">
            <w:r>
              <w:rPr>
                <w:rFonts w:ascii="Calibri" w:hAnsi="Calibri"/>
                <w:sz w:val="20"/>
              </w:rPr>
              <w:t>0 mm</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299531" w14:textId="77777777" w:rsidR="004412F1" w:rsidRDefault="005A12A3">
            <w:r>
              <w:rPr>
                <w:rFonts w:ascii="Calibri" w:hAnsi="Calibri"/>
                <w:sz w:val="20"/>
              </w:rPr>
              <w:t>10 mm</w:t>
            </w:r>
          </w:p>
        </w:tc>
      </w:tr>
      <w:tr w:rsidR="004412F1" w14:paraId="1D1B5627" w14:textId="77777777">
        <w:trPr>
          <w:trHeight w:val="11"/>
        </w:trPr>
        <w:tc>
          <w:tcPr>
            <w:tcW w:w="9077" w:type="dxa"/>
            <w:gridSpan w:val="7"/>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0AD643E4" w14:textId="77777777" w:rsidR="004412F1" w:rsidRDefault="005A12A3">
            <w:pPr>
              <w:jc w:val="center"/>
              <w:rPr>
                <w:b/>
                <w:sz w:val="20"/>
                <w:lang w:val="es"/>
              </w:rPr>
            </w:pPr>
            <w:r>
              <w:rPr>
                <w:b/>
                <w:sz w:val="20"/>
                <w:lang w:val="es"/>
              </w:rPr>
              <w:t>Plazos de Respuesta a Incumplimientos en:</w:t>
            </w:r>
          </w:p>
          <w:p w14:paraId="58F72A37" w14:textId="77777777" w:rsidR="004412F1" w:rsidRDefault="005A12A3">
            <w:pPr>
              <w:jc w:val="center"/>
              <w:rPr>
                <w:rFonts w:eastAsia="Times New Roman"/>
                <w:b/>
                <w:bCs/>
                <w:color w:val="000000" w:themeColor="text1"/>
                <w:sz w:val="20"/>
                <w:szCs w:val="18"/>
                <w:lang w:val="es" w:eastAsia="es-ES"/>
              </w:rPr>
            </w:pPr>
            <w:r>
              <w:rPr>
                <w:b/>
                <w:color w:val="000000" w:themeColor="text1"/>
                <w:sz w:val="20"/>
                <w:lang w:val="es"/>
              </w:rPr>
              <w:t>Badenes (Concreto)</w:t>
            </w:r>
          </w:p>
        </w:tc>
      </w:tr>
      <w:tr w:rsidR="004412F1" w14:paraId="045CB2C5" w14:textId="77777777">
        <w:trPr>
          <w:trHeight w:val="11"/>
        </w:trPr>
        <w:tc>
          <w:tcPr>
            <w:tcW w:w="5675"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C4C54C" w14:textId="77777777" w:rsidR="004412F1" w:rsidRDefault="005A12A3">
            <w:pPr>
              <w:jc w:val="center"/>
              <w:rPr>
                <w:b/>
                <w:sz w:val="20"/>
                <w:lang w:val="es"/>
              </w:rPr>
            </w:pPr>
            <w:r>
              <w:rPr>
                <w:b/>
                <w:sz w:val="20"/>
                <w:lang w:val="es"/>
              </w:rPr>
              <w:t>Parámetro</w:t>
            </w:r>
          </w:p>
        </w:tc>
        <w:tc>
          <w:tcPr>
            <w:tcW w:w="3402" w:type="dxa"/>
            <w:gridSpan w:val="4"/>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3D1D81D"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2F9AA643" w14:textId="77777777">
        <w:trPr>
          <w:trHeight w:val="11"/>
        </w:trPr>
        <w:tc>
          <w:tcPr>
            <w:tcW w:w="5675"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342E80F" w14:textId="77777777" w:rsidR="004412F1" w:rsidRDefault="005A12A3">
            <w:pPr>
              <w:rPr>
                <w:lang w:val="es-PE"/>
              </w:rPr>
            </w:pPr>
            <w:r>
              <w:rPr>
                <w:sz w:val="20"/>
                <w:lang w:val="es"/>
              </w:rPr>
              <w:t>Reducción del ancho de la superficie de rodadura</w:t>
            </w:r>
          </w:p>
        </w:tc>
        <w:tc>
          <w:tcPr>
            <w:tcW w:w="3402"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8CD8600" w14:textId="77777777" w:rsidR="004412F1" w:rsidRDefault="005A12A3">
            <w:pPr>
              <w:jc w:val="center"/>
              <w:rPr>
                <w:rFonts w:eastAsia="Times New Roman"/>
                <w:bCs/>
                <w:sz w:val="20"/>
                <w:szCs w:val="18"/>
                <w:lang w:val="es" w:eastAsia="es-ES"/>
              </w:rPr>
            </w:pPr>
            <w:r>
              <w:rPr>
                <w:sz w:val="20"/>
                <w:lang w:val="es"/>
              </w:rPr>
              <w:t xml:space="preserve">14 </w:t>
            </w:r>
          </w:p>
        </w:tc>
      </w:tr>
      <w:tr w:rsidR="004412F1" w14:paraId="438E0D1F" w14:textId="77777777">
        <w:trPr>
          <w:trHeight w:val="11"/>
        </w:trPr>
        <w:tc>
          <w:tcPr>
            <w:tcW w:w="5675"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AE92045" w14:textId="77777777" w:rsidR="004412F1" w:rsidRDefault="005A12A3">
            <w:r>
              <w:rPr>
                <w:sz w:val="20"/>
                <w:lang w:val="es"/>
              </w:rPr>
              <w:t>Fisuras</w:t>
            </w:r>
          </w:p>
        </w:tc>
        <w:tc>
          <w:tcPr>
            <w:tcW w:w="3402"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C87DF4B" w14:textId="77777777" w:rsidR="004412F1" w:rsidRDefault="005A12A3">
            <w:pPr>
              <w:jc w:val="center"/>
              <w:rPr>
                <w:sz w:val="20"/>
                <w:lang w:val="es"/>
              </w:rPr>
            </w:pPr>
            <w:r>
              <w:rPr>
                <w:sz w:val="20"/>
                <w:lang w:val="es"/>
              </w:rPr>
              <w:t>7</w:t>
            </w:r>
          </w:p>
        </w:tc>
      </w:tr>
      <w:tr w:rsidR="004412F1" w14:paraId="79E4BAF3" w14:textId="77777777">
        <w:trPr>
          <w:trHeight w:val="11"/>
        </w:trPr>
        <w:tc>
          <w:tcPr>
            <w:tcW w:w="5675"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B9A460A" w14:textId="77777777" w:rsidR="004412F1" w:rsidRDefault="005A12A3">
            <w:r>
              <w:rPr>
                <w:sz w:val="20"/>
                <w:lang w:val="es"/>
              </w:rPr>
              <w:t>Existencia de obstáculos</w:t>
            </w:r>
          </w:p>
        </w:tc>
        <w:tc>
          <w:tcPr>
            <w:tcW w:w="3402"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87DB710" w14:textId="77777777" w:rsidR="004412F1" w:rsidRDefault="005A12A3">
            <w:pPr>
              <w:jc w:val="center"/>
              <w:rPr>
                <w:sz w:val="20"/>
                <w:lang w:val="es"/>
              </w:rPr>
            </w:pPr>
            <w:r>
              <w:rPr>
                <w:sz w:val="20"/>
                <w:lang w:val="es"/>
              </w:rPr>
              <w:t>1</w:t>
            </w:r>
          </w:p>
        </w:tc>
      </w:tr>
      <w:tr w:rsidR="004412F1" w14:paraId="2253596B" w14:textId="77777777">
        <w:trPr>
          <w:trHeight w:val="11"/>
        </w:trPr>
        <w:tc>
          <w:tcPr>
            <w:tcW w:w="5675"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6E4E9D2" w14:textId="77777777" w:rsidR="004412F1" w:rsidRDefault="005A12A3">
            <w:r>
              <w:rPr>
                <w:sz w:val="20"/>
                <w:lang w:val="es"/>
              </w:rPr>
              <w:t>Desniveles entre juntas</w:t>
            </w:r>
          </w:p>
        </w:tc>
        <w:tc>
          <w:tcPr>
            <w:tcW w:w="3402"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6EB0CB6" w14:textId="77777777" w:rsidR="004412F1" w:rsidRDefault="005A12A3">
            <w:pPr>
              <w:jc w:val="center"/>
              <w:rPr>
                <w:rFonts w:eastAsia="Times New Roman"/>
                <w:bCs/>
                <w:sz w:val="20"/>
                <w:szCs w:val="18"/>
                <w:lang w:val="es" w:eastAsia="es-ES"/>
              </w:rPr>
            </w:pPr>
            <w:r>
              <w:rPr>
                <w:sz w:val="20"/>
                <w:lang w:val="es"/>
              </w:rPr>
              <w:t>14</w:t>
            </w:r>
          </w:p>
        </w:tc>
      </w:tr>
    </w:tbl>
    <w:p w14:paraId="729A134B" w14:textId="77777777" w:rsidR="004412F1" w:rsidRDefault="004412F1">
      <w:pPr>
        <w:ind w:hanging="964"/>
        <w:jc w:val="center"/>
        <w:rPr>
          <w:b/>
          <w:color w:val="000000"/>
          <w:sz w:val="30"/>
        </w:rPr>
      </w:pPr>
    </w:p>
    <w:p w14:paraId="1BE311A5" w14:textId="77777777" w:rsidR="004412F1" w:rsidRDefault="004412F1">
      <w:pPr>
        <w:ind w:hanging="964"/>
        <w:jc w:val="center"/>
        <w:rPr>
          <w:b/>
          <w:color w:val="000000"/>
          <w:sz w:val="30"/>
        </w:rPr>
      </w:pPr>
    </w:p>
    <w:p w14:paraId="7128A1E8" w14:textId="77777777" w:rsidR="004412F1" w:rsidRDefault="004412F1"/>
    <w:p w14:paraId="3ED83F9C" w14:textId="77777777" w:rsidR="004412F1" w:rsidRDefault="005A12A3">
      <w:r>
        <w:br w:type="page"/>
      </w:r>
    </w:p>
    <w:p w14:paraId="090D271B" w14:textId="77777777" w:rsidR="004412F1" w:rsidRDefault="005A12A3">
      <w:pPr>
        <w:jc w:val="center"/>
        <w:rPr>
          <w:b/>
          <w:lang w:val="es-PE"/>
        </w:rPr>
      </w:pPr>
      <w:r>
        <w:rPr>
          <w:b/>
          <w:lang w:val="es-PE"/>
        </w:rPr>
        <w:t>Niveles de Servicio para: Muros (Concreto)</w:t>
      </w:r>
    </w:p>
    <w:p w14:paraId="58A1EBB5" w14:textId="77777777" w:rsidR="004412F1" w:rsidRDefault="004412F1">
      <w:pPr>
        <w:jc w:val="center"/>
        <w:rPr>
          <w:b/>
          <w:lang w:val="es-PE"/>
        </w:rPr>
      </w:pPr>
    </w:p>
    <w:tbl>
      <w:tblPr>
        <w:tblW w:w="8812" w:type="dxa"/>
        <w:tblInd w:w="60" w:type="dxa"/>
        <w:tblLayout w:type="fixed"/>
        <w:tblLook w:val="04A0" w:firstRow="1" w:lastRow="0" w:firstColumn="1" w:lastColumn="0" w:noHBand="0" w:noVBand="1"/>
      </w:tblPr>
      <w:tblGrid>
        <w:gridCol w:w="3049"/>
        <w:gridCol w:w="2126"/>
        <w:gridCol w:w="810"/>
        <w:gridCol w:w="976"/>
        <w:gridCol w:w="873"/>
        <w:gridCol w:w="978"/>
      </w:tblGrid>
      <w:tr w:rsidR="004412F1" w14:paraId="5534CAE1" w14:textId="77777777">
        <w:trPr>
          <w:trHeight w:val="419"/>
        </w:trPr>
        <w:tc>
          <w:tcPr>
            <w:tcW w:w="8812"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56DC61BC" w14:textId="77777777" w:rsidR="004412F1" w:rsidRDefault="005A12A3">
            <w:pPr>
              <w:jc w:val="center"/>
              <w:rPr>
                <w:rFonts w:ascii="Calibri" w:hAnsi="Calibri"/>
                <w:b/>
                <w:sz w:val="20"/>
                <w:lang w:val="es"/>
              </w:rPr>
            </w:pPr>
            <w:r>
              <w:rPr>
                <w:rFonts w:ascii="Calibri" w:hAnsi="Calibri"/>
                <w:b/>
                <w:sz w:val="20"/>
                <w:lang w:val="es"/>
              </w:rPr>
              <w:t>Niveles de Servicio para:</w:t>
            </w:r>
          </w:p>
          <w:p w14:paraId="5F9E411C"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Muros (Concreto)</w:t>
            </w:r>
          </w:p>
        </w:tc>
      </w:tr>
      <w:tr w:rsidR="004412F1" w14:paraId="62D2C27E" w14:textId="77777777">
        <w:trPr>
          <w:trHeight w:val="301"/>
        </w:trPr>
        <w:tc>
          <w:tcPr>
            <w:tcW w:w="3049" w:type="dxa"/>
            <w:vMerge w:val="restart"/>
            <w:tcBorders>
              <w:top w:val="single" w:sz="8" w:space="0" w:color="auto"/>
              <w:left w:val="single" w:sz="8" w:space="0" w:color="auto"/>
              <w:right w:val="nil"/>
            </w:tcBorders>
            <w:shd w:val="clear" w:color="auto" w:fill="C2D69B" w:themeFill="accent3" w:themeFillTint="99"/>
            <w:tcMar>
              <w:left w:w="70" w:type="dxa"/>
              <w:right w:w="70" w:type="dxa"/>
            </w:tcMar>
            <w:vAlign w:val="center"/>
          </w:tcPr>
          <w:p w14:paraId="6557EF4E" w14:textId="77777777" w:rsidR="004412F1" w:rsidRDefault="005A12A3">
            <w:pPr>
              <w:jc w:val="center"/>
              <w:rPr>
                <w:rFonts w:ascii="Calibri" w:hAnsi="Calibri"/>
                <w:b/>
                <w:color w:val="000000" w:themeColor="text1"/>
                <w:sz w:val="20"/>
              </w:rPr>
            </w:pPr>
            <w:r>
              <w:rPr>
                <w:rFonts w:ascii="Calibri" w:hAnsi="Calibri"/>
                <w:b/>
                <w:color w:val="000000" w:themeColor="text1"/>
                <w:sz w:val="20"/>
              </w:rPr>
              <w:t>Parámetros</w:t>
            </w:r>
          </w:p>
        </w:tc>
        <w:tc>
          <w:tcPr>
            <w:tcW w:w="2126" w:type="dxa"/>
            <w:vMerge w:val="restart"/>
            <w:tcBorders>
              <w:top w:val="nil"/>
              <w:left w:val="single" w:sz="8" w:space="0" w:color="auto"/>
              <w:right w:val="single" w:sz="8" w:space="0" w:color="auto"/>
            </w:tcBorders>
            <w:shd w:val="clear" w:color="auto" w:fill="C2D69B" w:themeFill="accent3" w:themeFillTint="99"/>
            <w:tcMar>
              <w:left w:w="70" w:type="dxa"/>
              <w:right w:w="70" w:type="dxa"/>
            </w:tcMar>
            <w:vAlign w:val="center"/>
          </w:tcPr>
          <w:p w14:paraId="79846DCE" w14:textId="77777777" w:rsidR="004412F1" w:rsidRDefault="005A12A3">
            <w:pPr>
              <w:jc w:val="center"/>
              <w:rPr>
                <w:rFonts w:ascii="Calibri" w:hAnsi="Calibri"/>
                <w:b/>
                <w:color w:val="000000" w:themeColor="text1"/>
                <w:sz w:val="20"/>
              </w:rPr>
            </w:pPr>
            <w:r>
              <w:rPr>
                <w:rFonts w:ascii="Calibri" w:hAnsi="Calibri"/>
                <w:b/>
                <w:color w:val="000000" w:themeColor="text1"/>
                <w:sz w:val="20"/>
              </w:rPr>
              <w:t>Medida</w:t>
            </w:r>
          </w:p>
        </w:tc>
        <w:tc>
          <w:tcPr>
            <w:tcW w:w="1786"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68757C4F"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1851" w:type="dxa"/>
            <w:gridSpan w:val="2"/>
            <w:tcBorders>
              <w:top w:val="nil"/>
              <w:left w:val="nil"/>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7E2EC1EE"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4AC7E8F7" w14:textId="77777777">
        <w:trPr>
          <w:trHeight w:val="354"/>
        </w:trPr>
        <w:tc>
          <w:tcPr>
            <w:tcW w:w="3049" w:type="dxa"/>
            <w:vMerge/>
            <w:tcBorders>
              <w:left w:val="single" w:sz="8" w:space="0" w:color="auto"/>
              <w:bottom w:val="single" w:sz="0" w:space="0" w:color="000000" w:themeColor="text1"/>
              <w:right w:val="single" w:sz="8" w:space="0" w:color="auto"/>
            </w:tcBorders>
            <w:vAlign w:val="center"/>
          </w:tcPr>
          <w:p w14:paraId="4A7C3F81" w14:textId="77777777" w:rsidR="004412F1" w:rsidRDefault="004412F1"/>
        </w:tc>
        <w:tc>
          <w:tcPr>
            <w:tcW w:w="2126" w:type="dxa"/>
            <w:vMerge/>
            <w:tcBorders>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1B9D08A3" w14:textId="77777777" w:rsidR="004412F1" w:rsidRDefault="004412F1">
            <w:pPr>
              <w:jc w:val="center"/>
              <w:rPr>
                <w:rFonts w:ascii="Calibri" w:hAnsi="Calibri"/>
                <w:b/>
                <w:color w:val="000000" w:themeColor="text1"/>
                <w:sz w:val="20"/>
              </w:rPr>
            </w:pPr>
          </w:p>
        </w:tc>
        <w:tc>
          <w:tcPr>
            <w:tcW w:w="810"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vAlign w:val="center"/>
          </w:tcPr>
          <w:p w14:paraId="726127B5" w14:textId="77777777" w:rsidR="004412F1" w:rsidRDefault="005A12A3">
            <w:pPr>
              <w:jc w:val="center"/>
              <w:rPr>
                <w:rFonts w:ascii="Calibri" w:hAnsi="Calibri"/>
                <w:b/>
                <w:color w:val="000000" w:themeColor="text1"/>
                <w:sz w:val="20"/>
              </w:rPr>
            </w:pPr>
            <w:r>
              <w:rPr>
                <w:rFonts w:ascii="Calibri" w:hAnsi="Calibri"/>
                <w:b/>
                <w:color w:val="000000" w:themeColor="text1"/>
                <w:sz w:val="20"/>
              </w:rPr>
              <w:t>Recepción</w:t>
            </w:r>
          </w:p>
        </w:tc>
        <w:tc>
          <w:tcPr>
            <w:tcW w:w="976"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43D4A6F" w14:textId="77777777" w:rsidR="004412F1" w:rsidRDefault="005A12A3">
            <w:pPr>
              <w:jc w:val="center"/>
              <w:rPr>
                <w:rFonts w:ascii="Calibri" w:hAnsi="Calibri"/>
                <w:b/>
                <w:color w:val="000000" w:themeColor="text1"/>
                <w:sz w:val="20"/>
              </w:rPr>
            </w:pPr>
            <w:r>
              <w:rPr>
                <w:rFonts w:ascii="Calibri" w:hAnsi="Calibri"/>
                <w:b/>
                <w:color w:val="000000" w:themeColor="text1"/>
                <w:sz w:val="20"/>
              </w:rPr>
              <w:t>Conservación</w:t>
            </w:r>
          </w:p>
        </w:tc>
        <w:tc>
          <w:tcPr>
            <w:tcW w:w="873"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0E5D4B96" w14:textId="77777777" w:rsidR="004412F1" w:rsidRDefault="005A12A3">
            <w:pPr>
              <w:jc w:val="center"/>
              <w:rPr>
                <w:rFonts w:ascii="Calibri" w:hAnsi="Calibri"/>
                <w:b/>
                <w:color w:val="000000" w:themeColor="text1"/>
                <w:sz w:val="20"/>
              </w:rPr>
            </w:pPr>
            <w:r>
              <w:rPr>
                <w:rFonts w:ascii="Calibri" w:hAnsi="Calibri"/>
                <w:b/>
                <w:color w:val="000000" w:themeColor="text1"/>
                <w:sz w:val="20"/>
              </w:rPr>
              <w:t>Recepción</w:t>
            </w:r>
          </w:p>
        </w:tc>
        <w:tc>
          <w:tcPr>
            <w:tcW w:w="978"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2C296301" w14:textId="77777777" w:rsidR="004412F1" w:rsidRDefault="005A12A3">
            <w:pPr>
              <w:jc w:val="center"/>
              <w:rPr>
                <w:rFonts w:ascii="Calibri" w:hAnsi="Calibri"/>
                <w:b/>
                <w:color w:val="000000" w:themeColor="text1"/>
                <w:sz w:val="20"/>
              </w:rPr>
            </w:pPr>
            <w:r>
              <w:rPr>
                <w:rFonts w:ascii="Calibri" w:hAnsi="Calibri"/>
                <w:b/>
                <w:color w:val="000000" w:themeColor="text1"/>
                <w:sz w:val="20"/>
              </w:rPr>
              <w:t>Conservación</w:t>
            </w:r>
          </w:p>
        </w:tc>
      </w:tr>
      <w:tr w:rsidR="004412F1" w14:paraId="709F00A6" w14:textId="77777777">
        <w:trPr>
          <w:trHeight w:val="564"/>
        </w:trPr>
        <w:tc>
          <w:tcPr>
            <w:tcW w:w="3049" w:type="dxa"/>
            <w:tcBorders>
              <w:top w:val="nil"/>
              <w:left w:val="single" w:sz="8" w:space="0" w:color="auto"/>
              <w:bottom w:val="single" w:sz="8" w:space="0" w:color="000000" w:themeColor="text1"/>
              <w:right w:val="single" w:sz="8" w:space="0" w:color="auto"/>
            </w:tcBorders>
            <w:tcMar>
              <w:left w:w="70" w:type="dxa"/>
              <w:right w:w="70" w:type="dxa"/>
            </w:tcMar>
            <w:vAlign w:val="center"/>
          </w:tcPr>
          <w:p w14:paraId="72413022" w14:textId="77777777" w:rsidR="004412F1" w:rsidRDefault="005A12A3">
            <w:r>
              <w:rPr>
                <w:rFonts w:ascii="Calibri" w:hAnsi="Calibri"/>
                <w:sz w:val="20"/>
              </w:rPr>
              <w:t>Fisuras</w:t>
            </w:r>
          </w:p>
        </w:tc>
        <w:tc>
          <w:tcPr>
            <w:tcW w:w="2126" w:type="dxa"/>
            <w:tcBorders>
              <w:top w:val="nil"/>
              <w:left w:val="single" w:sz="8" w:space="0" w:color="auto"/>
              <w:bottom w:val="single" w:sz="8" w:space="0" w:color="auto"/>
              <w:right w:val="nil"/>
            </w:tcBorders>
            <w:tcMar>
              <w:left w:w="70" w:type="dxa"/>
              <w:right w:w="70" w:type="dxa"/>
            </w:tcMar>
            <w:vAlign w:val="center"/>
          </w:tcPr>
          <w:p w14:paraId="49E0717A" w14:textId="77777777" w:rsidR="004412F1" w:rsidRDefault="005A12A3">
            <w:pPr>
              <w:rPr>
                <w:lang w:val="es-PE"/>
              </w:rPr>
            </w:pPr>
            <w:r>
              <w:rPr>
                <w:rFonts w:ascii="Calibri" w:hAnsi="Calibri"/>
                <w:sz w:val="20"/>
                <w:lang w:val="es-PE"/>
              </w:rPr>
              <w:t>Porcentaje máximo de área con fisuras mayores a 5 mm de abertura</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6E292A" w14:textId="77777777" w:rsidR="004412F1" w:rsidRDefault="005A12A3">
            <w:r>
              <w:rPr>
                <w:rFonts w:ascii="Calibri" w:hAnsi="Calibri"/>
                <w:sz w:val="20"/>
              </w:rPr>
              <w:t>0%</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2E13EA" w14:textId="77777777" w:rsidR="004412F1" w:rsidRDefault="005A12A3">
            <w:r>
              <w:rPr>
                <w:rFonts w:ascii="Calibri" w:hAnsi="Calibri"/>
                <w:sz w:val="20"/>
              </w:rPr>
              <w:t>0%</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BEC1D0" w14:textId="77777777" w:rsidR="004412F1" w:rsidRDefault="005A12A3">
            <w:r>
              <w:rPr>
                <w:rFonts w:ascii="Calibri" w:hAnsi="Calibri"/>
                <w:sz w:val="20"/>
              </w:rPr>
              <w:t>0%</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1E1F2D" w14:textId="77777777" w:rsidR="004412F1" w:rsidRDefault="005A12A3">
            <w:r>
              <w:rPr>
                <w:rFonts w:ascii="Calibri" w:hAnsi="Calibri"/>
                <w:sz w:val="20"/>
              </w:rPr>
              <w:t>0%</w:t>
            </w:r>
          </w:p>
        </w:tc>
      </w:tr>
      <w:tr w:rsidR="004412F1" w14:paraId="2D74ADCF" w14:textId="77777777">
        <w:trPr>
          <w:trHeight w:val="550"/>
        </w:trPr>
        <w:tc>
          <w:tcPr>
            <w:tcW w:w="3049" w:type="dxa"/>
            <w:vMerge w:val="restart"/>
            <w:tcBorders>
              <w:top w:val="single" w:sz="8" w:space="0" w:color="000000" w:themeColor="text1"/>
              <w:left w:val="single" w:sz="8" w:space="0" w:color="auto"/>
              <w:right w:val="single" w:sz="8" w:space="0" w:color="auto"/>
            </w:tcBorders>
            <w:tcMar>
              <w:left w:w="70" w:type="dxa"/>
              <w:right w:w="70" w:type="dxa"/>
            </w:tcMar>
            <w:vAlign w:val="center"/>
          </w:tcPr>
          <w:p w14:paraId="1EE8D186" w14:textId="77777777" w:rsidR="004412F1" w:rsidRDefault="005A12A3">
            <w:r>
              <w:rPr>
                <w:rFonts w:ascii="Calibri" w:hAnsi="Calibri"/>
                <w:sz w:val="20"/>
              </w:rPr>
              <w:t>Fisuras</w:t>
            </w:r>
          </w:p>
          <w:p w14:paraId="64BAC6D6" w14:textId="77777777" w:rsidR="004412F1" w:rsidRDefault="005A12A3">
            <w:r>
              <w:rPr>
                <w:rFonts w:ascii="Calibri" w:hAnsi="Calibri"/>
                <w:sz w:val="20"/>
              </w:rPr>
              <w:t>Existencia de obstáculos</w:t>
            </w:r>
          </w:p>
        </w:tc>
        <w:tc>
          <w:tcPr>
            <w:tcW w:w="2126" w:type="dxa"/>
            <w:tcBorders>
              <w:top w:val="single" w:sz="8" w:space="0" w:color="auto"/>
              <w:left w:val="single" w:sz="8" w:space="0" w:color="auto"/>
              <w:bottom w:val="single" w:sz="8" w:space="0" w:color="000000" w:themeColor="text1"/>
              <w:right w:val="nil"/>
            </w:tcBorders>
            <w:tcMar>
              <w:left w:w="70" w:type="dxa"/>
              <w:right w:w="70" w:type="dxa"/>
            </w:tcMar>
            <w:vAlign w:val="center"/>
          </w:tcPr>
          <w:p w14:paraId="6C6AF2AE" w14:textId="77777777" w:rsidR="004412F1" w:rsidRDefault="005A12A3">
            <w:pPr>
              <w:rPr>
                <w:lang w:val="es-PE"/>
              </w:rPr>
            </w:pPr>
            <w:r>
              <w:rPr>
                <w:rFonts w:ascii="Calibri" w:hAnsi="Calibri"/>
                <w:sz w:val="20"/>
                <w:lang w:val="es-PE"/>
              </w:rPr>
              <w:t>Porcentaje máximo de área con fisuras entre 2 y 5 mm de abertura</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ECEF7A" w14:textId="77777777" w:rsidR="004412F1" w:rsidRDefault="005A12A3">
            <w:r>
              <w:rPr>
                <w:rFonts w:ascii="Calibri" w:hAnsi="Calibri"/>
                <w:sz w:val="20"/>
              </w:rPr>
              <w:t>0%</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ABF54F" w14:textId="77777777" w:rsidR="004412F1" w:rsidRDefault="005A12A3">
            <w:r>
              <w:rPr>
                <w:rFonts w:ascii="Calibri" w:hAnsi="Calibri"/>
                <w:sz w:val="20"/>
              </w:rPr>
              <w:t>0%</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EEB750" w14:textId="77777777" w:rsidR="004412F1" w:rsidRDefault="005A12A3">
            <w:r>
              <w:rPr>
                <w:rFonts w:ascii="Calibri" w:hAnsi="Calibri"/>
                <w:sz w:val="20"/>
              </w:rPr>
              <w:t>0%</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FB22D9" w14:textId="77777777" w:rsidR="004412F1" w:rsidRDefault="005A12A3">
            <w:r>
              <w:rPr>
                <w:rFonts w:ascii="Calibri" w:hAnsi="Calibri"/>
                <w:sz w:val="20"/>
              </w:rPr>
              <w:t>0%</w:t>
            </w:r>
          </w:p>
        </w:tc>
      </w:tr>
      <w:tr w:rsidR="004412F1" w14:paraId="77A25588" w14:textId="77777777">
        <w:trPr>
          <w:trHeight w:val="550"/>
        </w:trPr>
        <w:tc>
          <w:tcPr>
            <w:tcW w:w="3049" w:type="dxa"/>
            <w:vMerge/>
            <w:tcBorders>
              <w:left w:val="single" w:sz="8" w:space="0" w:color="auto"/>
              <w:bottom w:val="single" w:sz="0" w:space="0" w:color="auto"/>
              <w:right w:val="single" w:sz="8" w:space="0" w:color="auto"/>
            </w:tcBorders>
            <w:vAlign w:val="center"/>
          </w:tcPr>
          <w:p w14:paraId="703CA2E8" w14:textId="77777777" w:rsidR="004412F1" w:rsidRDefault="004412F1"/>
        </w:tc>
        <w:tc>
          <w:tcPr>
            <w:tcW w:w="2126" w:type="dxa"/>
            <w:tcBorders>
              <w:top w:val="single" w:sz="8" w:space="0" w:color="auto"/>
              <w:left w:val="single" w:sz="8" w:space="0" w:color="auto"/>
              <w:bottom w:val="single" w:sz="8" w:space="0" w:color="auto"/>
              <w:right w:val="nil"/>
            </w:tcBorders>
            <w:tcMar>
              <w:left w:w="70" w:type="dxa"/>
              <w:right w:w="70" w:type="dxa"/>
            </w:tcMar>
            <w:vAlign w:val="center"/>
          </w:tcPr>
          <w:p w14:paraId="61428DC6" w14:textId="77777777" w:rsidR="004412F1" w:rsidRDefault="005A12A3">
            <w:r>
              <w:rPr>
                <w:rFonts w:ascii="Calibri" w:hAnsi="Calibri"/>
                <w:sz w:val="20"/>
              </w:rPr>
              <w:t>Cantidad máxima de obstáculos</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45C98F" w14:textId="77777777" w:rsidR="004412F1" w:rsidRDefault="005A12A3">
            <w:r>
              <w:rPr>
                <w:rFonts w:ascii="Calibri" w:hAnsi="Calibri"/>
                <w:sz w:val="20"/>
              </w:rPr>
              <w:t>0%</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524A9D" w14:textId="77777777" w:rsidR="004412F1" w:rsidRDefault="005A12A3">
            <w:r>
              <w:rPr>
                <w:rFonts w:ascii="Calibri" w:hAnsi="Calibri"/>
                <w:sz w:val="20"/>
              </w:rPr>
              <w:t>0%</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0556CE" w14:textId="77777777" w:rsidR="004412F1" w:rsidRDefault="005A12A3">
            <w:r>
              <w:rPr>
                <w:rFonts w:ascii="Calibri" w:hAnsi="Calibri"/>
                <w:sz w:val="20"/>
              </w:rPr>
              <w:t>0%</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DFFAB9" w14:textId="77777777" w:rsidR="004412F1" w:rsidRDefault="005A12A3">
            <w:r>
              <w:rPr>
                <w:rFonts w:ascii="Calibri" w:hAnsi="Calibri"/>
                <w:sz w:val="20"/>
              </w:rPr>
              <w:t>0%</w:t>
            </w:r>
          </w:p>
        </w:tc>
      </w:tr>
      <w:tr w:rsidR="004412F1" w14:paraId="502A9B37" w14:textId="77777777">
        <w:trPr>
          <w:trHeight w:val="367"/>
        </w:trPr>
        <w:tc>
          <w:tcPr>
            <w:tcW w:w="3049" w:type="dxa"/>
            <w:tcBorders>
              <w:top w:val="nil"/>
              <w:left w:val="single" w:sz="8" w:space="0" w:color="auto"/>
              <w:bottom w:val="single" w:sz="8" w:space="0" w:color="auto"/>
              <w:right w:val="single" w:sz="8" w:space="0" w:color="auto"/>
            </w:tcBorders>
            <w:tcMar>
              <w:left w:w="70" w:type="dxa"/>
              <w:right w:w="70" w:type="dxa"/>
            </w:tcMar>
            <w:vAlign w:val="center"/>
          </w:tcPr>
          <w:p w14:paraId="29B849CE" w14:textId="77777777" w:rsidR="004412F1" w:rsidRDefault="005A12A3">
            <w:r>
              <w:rPr>
                <w:rFonts w:ascii="Calibri" w:hAnsi="Calibri"/>
                <w:sz w:val="20"/>
              </w:rPr>
              <w:t>Desniveles entre juntas</w:t>
            </w:r>
          </w:p>
        </w:tc>
        <w:tc>
          <w:tcPr>
            <w:tcW w:w="2126" w:type="dxa"/>
            <w:tcBorders>
              <w:top w:val="single" w:sz="8" w:space="0" w:color="auto"/>
              <w:left w:val="single" w:sz="8" w:space="0" w:color="auto"/>
              <w:bottom w:val="single" w:sz="8" w:space="0" w:color="auto"/>
              <w:right w:val="nil"/>
            </w:tcBorders>
            <w:tcMar>
              <w:left w:w="70" w:type="dxa"/>
              <w:right w:w="70" w:type="dxa"/>
            </w:tcMar>
            <w:vAlign w:val="center"/>
          </w:tcPr>
          <w:p w14:paraId="1DF42001" w14:textId="77777777" w:rsidR="004412F1" w:rsidRDefault="005A12A3">
            <w:r>
              <w:rPr>
                <w:rFonts w:ascii="Calibri" w:hAnsi="Calibri"/>
                <w:sz w:val="20"/>
              </w:rPr>
              <w:t>Altura máxima de desnivel</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7C9ABC" w14:textId="77777777" w:rsidR="004412F1" w:rsidRDefault="005A12A3">
            <w:r>
              <w:rPr>
                <w:rFonts w:ascii="Calibri" w:hAnsi="Calibri"/>
                <w:sz w:val="20"/>
              </w:rPr>
              <w:t>10 mm</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48E600" w14:textId="77777777" w:rsidR="004412F1" w:rsidRDefault="005A12A3">
            <w:r>
              <w:rPr>
                <w:rFonts w:ascii="Calibri" w:hAnsi="Calibri"/>
                <w:sz w:val="20"/>
              </w:rPr>
              <w:t>10 mm</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AC87B0" w14:textId="77777777" w:rsidR="004412F1" w:rsidRDefault="005A12A3">
            <w:r>
              <w:rPr>
                <w:rFonts w:ascii="Calibri" w:hAnsi="Calibri"/>
                <w:sz w:val="20"/>
              </w:rPr>
              <w:t>0 mm</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DE1DD0" w14:textId="77777777" w:rsidR="004412F1" w:rsidRDefault="005A12A3">
            <w:r>
              <w:rPr>
                <w:rFonts w:ascii="Calibri" w:hAnsi="Calibri"/>
                <w:sz w:val="20"/>
              </w:rPr>
              <w:t>10 mm</w:t>
            </w:r>
          </w:p>
        </w:tc>
      </w:tr>
      <w:tr w:rsidR="004412F1" w14:paraId="655826B4" w14:textId="77777777">
        <w:trPr>
          <w:trHeight w:val="800"/>
        </w:trPr>
        <w:tc>
          <w:tcPr>
            <w:tcW w:w="304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9160FA" w14:textId="77777777" w:rsidR="004412F1" w:rsidRDefault="005A12A3">
            <w:pPr>
              <w:rPr>
                <w:lang w:val="es-PE"/>
              </w:rPr>
            </w:pPr>
            <w:r>
              <w:rPr>
                <w:rFonts w:ascii="Calibri" w:hAnsi="Calibri"/>
                <w:sz w:val="20"/>
                <w:lang w:val="es-PE"/>
              </w:rPr>
              <w:t>Exceso de desgaste de las líneas o marcas</w:t>
            </w:r>
          </w:p>
        </w:tc>
        <w:tc>
          <w:tcPr>
            <w:tcW w:w="2126" w:type="dxa"/>
            <w:tcBorders>
              <w:top w:val="single" w:sz="8" w:space="0" w:color="auto"/>
              <w:left w:val="single" w:sz="8" w:space="0" w:color="auto"/>
              <w:bottom w:val="single" w:sz="8" w:space="0" w:color="auto"/>
              <w:right w:val="nil"/>
            </w:tcBorders>
            <w:tcMar>
              <w:left w:w="70" w:type="dxa"/>
              <w:right w:w="70" w:type="dxa"/>
            </w:tcMar>
            <w:vAlign w:val="center"/>
          </w:tcPr>
          <w:p w14:paraId="1D42220D" w14:textId="77777777" w:rsidR="004412F1" w:rsidRDefault="005A12A3">
            <w:r>
              <w:rPr>
                <w:rFonts w:ascii="Calibri" w:hAnsi="Calibri"/>
                <w:sz w:val="20"/>
              </w:rPr>
              <w:t>Porcentaje de deterioro máximo</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210E4A" w14:textId="77777777" w:rsidR="004412F1" w:rsidRDefault="005A12A3">
            <w:r>
              <w:rPr>
                <w:rFonts w:ascii="Calibri" w:hAnsi="Calibri"/>
                <w:sz w:val="20"/>
              </w:rPr>
              <w:t>20%</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2DDDE3" w14:textId="77777777" w:rsidR="004412F1" w:rsidRDefault="005A12A3">
            <w:r>
              <w:rPr>
                <w:rFonts w:ascii="Calibri" w:hAnsi="Calibri"/>
                <w:sz w:val="20"/>
              </w:rPr>
              <w:t>20%</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A61F5D" w14:textId="77777777" w:rsidR="004412F1" w:rsidRDefault="005A12A3">
            <w:r>
              <w:rPr>
                <w:rFonts w:ascii="Calibri" w:hAnsi="Calibri"/>
                <w:sz w:val="20"/>
              </w:rPr>
              <w:t>20%</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0DFAB7" w14:textId="77777777" w:rsidR="004412F1" w:rsidRDefault="005A12A3">
            <w:r>
              <w:rPr>
                <w:rFonts w:ascii="Calibri" w:hAnsi="Calibri"/>
                <w:sz w:val="20"/>
              </w:rPr>
              <w:t>20%</w:t>
            </w:r>
          </w:p>
        </w:tc>
      </w:tr>
      <w:tr w:rsidR="004412F1" w14:paraId="66AA95C4" w14:textId="77777777">
        <w:trPr>
          <w:trHeight w:val="800"/>
        </w:trPr>
        <w:tc>
          <w:tcPr>
            <w:tcW w:w="304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1BAA2" w14:textId="77777777" w:rsidR="004412F1" w:rsidRDefault="005A12A3">
            <w:r>
              <w:rPr>
                <w:rFonts w:ascii="Calibri" w:hAnsi="Calibri"/>
                <w:sz w:val="20"/>
              </w:rPr>
              <w:t>Limpieza de lloradores</w:t>
            </w:r>
          </w:p>
        </w:tc>
        <w:tc>
          <w:tcPr>
            <w:tcW w:w="2126" w:type="dxa"/>
            <w:tcBorders>
              <w:top w:val="single" w:sz="8" w:space="0" w:color="auto"/>
              <w:left w:val="single" w:sz="8" w:space="0" w:color="auto"/>
              <w:bottom w:val="single" w:sz="8" w:space="0" w:color="auto"/>
              <w:right w:val="nil"/>
            </w:tcBorders>
            <w:tcMar>
              <w:left w:w="70" w:type="dxa"/>
              <w:right w:w="70" w:type="dxa"/>
            </w:tcMar>
            <w:vAlign w:val="center"/>
          </w:tcPr>
          <w:p w14:paraId="65F19A43" w14:textId="77777777" w:rsidR="004412F1" w:rsidRDefault="005A12A3">
            <w:r>
              <w:rPr>
                <w:rFonts w:ascii="Calibri" w:hAnsi="Calibri"/>
                <w:sz w:val="20"/>
              </w:rPr>
              <w:t>Presencia de Vegetación</w:t>
            </w:r>
          </w:p>
        </w:tc>
        <w:tc>
          <w:tcPr>
            <w:tcW w:w="8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B7EC24" w14:textId="77777777" w:rsidR="004412F1" w:rsidRDefault="005A12A3">
            <w:r>
              <w:rPr>
                <w:rFonts w:ascii="Calibri" w:hAnsi="Calibri"/>
                <w:sz w:val="20"/>
              </w:rPr>
              <w:t>0%</w:t>
            </w:r>
          </w:p>
        </w:tc>
        <w:tc>
          <w:tcPr>
            <w:tcW w:w="97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EAC57F" w14:textId="77777777" w:rsidR="004412F1" w:rsidRDefault="005A12A3">
            <w:r>
              <w:rPr>
                <w:rFonts w:ascii="Calibri" w:hAnsi="Calibri"/>
                <w:sz w:val="20"/>
              </w:rPr>
              <w:t>0%</w:t>
            </w:r>
          </w:p>
        </w:tc>
        <w:tc>
          <w:tcPr>
            <w:tcW w:w="8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A75742" w14:textId="77777777" w:rsidR="004412F1" w:rsidRDefault="005A12A3">
            <w:r>
              <w:rPr>
                <w:rFonts w:ascii="Calibri" w:hAnsi="Calibri"/>
                <w:sz w:val="20"/>
              </w:rPr>
              <w:t>0%</w:t>
            </w:r>
          </w:p>
        </w:tc>
        <w:tc>
          <w:tcPr>
            <w:tcW w:w="97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CB2DD8" w14:textId="77777777" w:rsidR="004412F1" w:rsidRDefault="005A12A3">
            <w:r>
              <w:rPr>
                <w:rFonts w:ascii="Calibri" w:hAnsi="Calibri"/>
                <w:sz w:val="20"/>
              </w:rPr>
              <w:t>0%</w:t>
            </w:r>
          </w:p>
        </w:tc>
      </w:tr>
    </w:tbl>
    <w:p w14:paraId="39405DAD" w14:textId="77777777" w:rsidR="004412F1" w:rsidRDefault="004412F1">
      <w:pPr>
        <w:ind w:hanging="964"/>
        <w:jc w:val="center"/>
        <w:rPr>
          <w:b/>
          <w:color w:val="000000"/>
          <w:sz w:val="30"/>
        </w:rPr>
      </w:pPr>
    </w:p>
    <w:tbl>
      <w:tblPr>
        <w:tblW w:w="7992" w:type="dxa"/>
        <w:tblInd w:w="244" w:type="dxa"/>
        <w:tblLayout w:type="fixed"/>
        <w:tblLook w:val="04A0" w:firstRow="1" w:lastRow="0" w:firstColumn="1" w:lastColumn="0" w:noHBand="0" w:noVBand="1"/>
      </w:tblPr>
      <w:tblGrid>
        <w:gridCol w:w="4623"/>
        <w:gridCol w:w="3369"/>
      </w:tblGrid>
      <w:tr w:rsidR="004412F1" w14:paraId="1EAA92C8" w14:textId="77777777">
        <w:trPr>
          <w:trHeight w:val="11"/>
        </w:trPr>
        <w:tc>
          <w:tcPr>
            <w:tcW w:w="7992"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7556935B" w14:textId="77777777" w:rsidR="004412F1" w:rsidRDefault="005A12A3">
            <w:pPr>
              <w:jc w:val="center"/>
              <w:rPr>
                <w:b/>
                <w:sz w:val="20"/>
                <w:lang w:val="es"/>
              </w:rPr>
            </w:pPr>
            <w:r>
              <w:rPr>
                <w:b/>
                <w:sz w:val="20"/>
                <w:lang w:val="es"/>
              </w:rPr>
              <w:t>Plazos de Respuesta a Incumplimientos en:</w:t>
            </w:r>
          </w:p>
          <w:p w14:paraId="155FFE46" w14:textId="77777777" w:rsidR="004412F1" w:rsidRDefault="005A12A3">
            <w:pPr>
              <w:jc w:val="center"/>
              <w:rPr>
                <w:rFonts w:eastAsia="Times New Roman"/>
                <w:b/>
                <w:bCs/>
                <w:color w:val="000000" w:themeColor="text1"/>
                <w:sz w:val="20"/>
                <w:szCs w:val="18"/>
                <w:lang w:val="es" w:eastAsia="es-ES"/>
              </w:rPr>
            </w:pPr>
            <w:r>
              <w:rPr>
                <w:b/>
                <w:color w:val="000000" w:themeColor="text1"/>
                <w:sz w:val="20"/>
                <w:lang w:val="es"/>
              </w:rPr>
              <w:t>Muros (Concreto)</w:t>
            </w:r>
          </w:p>
        </w:tc>
      </w:tr>
      <w:tr w:rsidR="004412F1" w14:paraId="4883598F"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0CDC3D9" w14:textId="77777777" w:rsidR="004412F1" w:rsidRDefault="005A12A3">
            <w:pPr>
              <w:jc w:val="center"/>
              <w:rPr>
                <w:b/>
                <w:sz w:val="20"/>
                <w:lang w:val="es"/>
              </w:rPr>
            </w:pPr>
            <w:r>
              <w:rPr>
                <w:b/>
                <w:sz w:val="20"/>
                <w:lang w:val="es"/>
              </w:rPr>
              <w:t>Parámetro</w:t>
            </w:r>
          </w:p>
        </w:tc>
        <w:tc>
          <w:tcPr>
            <w:tcW w:w="3369"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0DF105B"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2BC45E83"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20FAF5E" w14:textId="77777777" w:rsidR="004412F1" w:rsidRDefault="005A12A3">
            <w:r>
              <w:rPr>
                <w:sz w:val="20"/>
                <w:lang w:val="es"/>
              </w:rPr>
              <w:t>Fisuras</w:t>
            </w:r>
          </w:p>
        </w:tc>
        <w:tc>
          <w:tcPr>
            <w:tcW w:w="336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EC7A2FB" w14:textId="77777777" w:rsidR="004412F1" w:rsidRDefault="005A12A3">
            <w:pPr>
              <w:jc w:val="center"/>
              <w:rPr>
                <w:sz w:val="20"/>
                <w:lang w:val="es"/>
              </w:rPr>
            </w:pPr>
            <w:r>
              <w:rPr>
                <w:sz w:val="20"/>
                <w:lang w:val="es"/>
              </w:rPr>
              <w:t>7</w:t>
            </w:r>
          </w:p>
        </w:tc>
      </w:tr>
      <w:tr w:rsidR="004412F1" w14:paraId="71E9E536"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76A8D93" w14:textId="77777777" w:rsidR="004412F1" w:rsidRDefault="005A12A3">
            <w:r>
              <w:rPr>
                <w:sz w:val="20"/>
                <w:lang w:val="es"/>
              </w:rPr>
              <w:t>Existencia de obstáculos</w:t>
            </w:r>
          </w:p>
        </w:tc>
        <w:tc>
          <w:tcPr>
            <w:tcW w:w="336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DC60CE8" w14:textId="77777777" w:rsidR="004412F1" w:rsidRDefault="005A12A3">
            <w:pPr>
              <w:jc w:val="center"/>
              <w:rPr>
                <w:sz w:val="20"/>
                <w:lang w:val="es"/>
              </w:rPr>
            </w:pPr>
            <w:r>
              <w:rPr>
                <w:sz w:val="20"/>
                <w:lang w:val="es"/>
              </w:rPr>
              <w:t>1</w:t>
            </w:r>
          </w:p>
        </w:tc>
      </w:tr>
      <w:tr w:rsidR="004412F1" w14:paraId="5E8BCD81"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50B4D04" w14:textId="77777777" w:rsidR="004412F1" w:rsidRDefault="005A12A3">
            <w:r>
              <w:rPr>
                <w:sz w:val="20"/>
                <w:lang w:val="es"/>
              </w:rPr>
              <w:t>Desniveles entre juntas</w:t>
            </w:r>
          </w:p>
        </w:tc>
        <w:tc>
          <w:tcPr>
            <w:tcW w:w="336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D966ACC" w14:textId="77777777" w:rsidR="004412F1" w:rsidRDefault="005A12A3">
            <w:pPr>
              <w:jc w:val="center"/>
              <w:rPr>
                <w:rFonts w:eastAsia="Times New Roman"/>
                <w:bCs/>
                <w:sz w:val="20"/>
                <w:szCs w:val="18"/>
                <w:lang w:val="es" w:eastAsia="es-ES"/>
              </w:rPr>
            </w:pPr>
            <w:r>
              <w:rPr>
                <w:sz w:val="20"/>
                <w:lang w:val="es"/>
              </w:rPr>
              <w:t>14</w:t>
            </w:r>
          </w:p>
        </w:tc>
      </w:tr>
      <w:tr w:rsidR="004412F1" w14:paraId="7004118C"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457ACF3" w14:textId="77777777" w:rsidR="004412F1" w:rsidRDefault="005A12A3">
            <w:pPr>
              <w:rPr>
                <w:lang w:val="es-PE"/>
              </w:rPr>
            </w:pPr>
            <w:r>
              <w:rPr>
                <w:rFonts w:ascii="Calibri" w:hAnsi="Calibri"/>
                <w:sz w:val="20"/>
                <w:lang w:val="es-PE"/>
              </w:rPr>
              <w:t>Exceso de desgaste de las líneas o marcas</w:t>
            </w:r>
          </w:p>
        </w:tc>
        <w:tc>
          <w:tcPr>
            <w:tcW w:w="336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292AD03" w14:textId="77777777" w:rsidR="004412F1" w:rsidRDefault="005A12A3">
            <w:pPr>
              <w:jc w:val="center"/>
              <w:rPr>
                <w:rFonts w:eastAsia="Times New Roman"/>
                <w:bCs/>
                <w:sz w:val="20"/>
                <w:szCs w:val="18"/>
                <w:lang w:val="es" w:eastAsia="es-ES"/>
              </w:rPr>
            </w:pPr>
            <w:r>
              <w:rPr>
                <w:sz w:val="20"/>
                <w:lang w:val="es"/>
              </w:rPr>
              <w:t>14</w:t>
            </w:r>
          </w:p>
        </w:tc>
      </w:tr>
      <w:tr w:rsidR="004412F1" w14:paraId="2DFE71D7" w14:textId="77777777">
        <w:trPr>
          <w:trHeight w:val="11"/>
        </w:trPr>
        <w:tc>
          <w:tcPr>
            <w:tcW w:w="462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722104F" w14:textId="77777777" w:rsidR="004412F1" w:rsidRDefault="005A12A3">
            <w:r>
              <w:rPr>
                <w:rFonts w:ascii="Calibri" w:hAnsi="Calibri"/>
                <w:sz w:val="20"/>
              </w:rPr>
              <w:t>Limpieza de lloradores</w:t>
            </w:r>
          </w:p>
        </w:tc>
        <w:tc>
          <w:tcPr>
            <w:tcW w:w="336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0D888A2" w14:textId="77777777" w:rsidR="004412F1" w:rsidRDefault="005A12A3">
            <w:pPr>
              <w:jc w:val="center"/>
              <w:rPr>
                <w:rFonts w:eastAsia="Times New Roman"/>
                <w:bCs/>
                <w:sz w:val="20"/>
                <w:szCs w:val="18"/>
                <w:lang w:val="es" w:eastAsia="es-ES"/>
              </w:rPr>
            </w:pPr>
            <w:r>
              <w:rPr>
                <w:sz w:val="20"/>
                <w:lang w:val="es"/>
              </w:rPr>
              <w:t>14</w:t>
            </w:r>
          </w:p>
        </w:tc>
      </w:tr>
    </w:tbl>
    <w:p w14:paraId="1562076C" w14:textId="77777777" w:rsidR="004412F1" w:rsidRDefault="004412F1">
      <w:pPr>
        <w:jc w:val="center"/>
        <w:rPr>
          <w:b/>
        </w:rPr>
      </w:pPr>
    </w:p>
    <w:p w14:paraId="6CC36431" w14:textId="77777777" w:rsidR="004412F1" w:rsidRDefault="004412F1">
      <w:pPr>
        <w:ind w:hanging="964"/>
        <w:jc w:val="center"/>
        <w:rPr>
          <w:b/>
          <w:color w:val="000000"/>
          <w:sz w:val="30"/>
        </w:rPr>
      </w:pPr>
    </w:p>
    <w:p w14:paraId="1EE7A137" w14:textId="77777777" w:rsidR="004412F1" w:rsidRDefault="005A12A3">
      <w:r>
        <w:br w:type="page"/>
      </w:r>
    </w:p>
    <w:p w14:paraId="372086BC" w14:textId="77777777" w:rsidR="004412F1" w:rsidRDefault="005A12A3">
      <w:pPr>
        <w:jc w:val="center"/>
        <w:rPr>
          <w:b/>
          <w:lang w:val="es-PE"/>
        </w:rPr>
      </w:pPr>
      <w:r>
        <w:rPr>
          <w:b/>
          <w:lang w:val="es-PE"/>
        </w:rPr>
        <w:t>Niveles de Servicio para: Drenajes (Alcantarillas, Cunetas, Cunetas de Coronamiento, Drenes, Cabezales y Aliviaderos)</w:t>
      </w:r>
    </w:p>
    <w:p w14:paraId="75DDA645" w14:textId="77777777" w:rsidR="004412F1" w:rsidRDefault="004412F1">
      <w:pPr>
        <w:jc w:val="center"/>
        <w:rPr>
          <w:b/>
          <w:lang w:val="es-PE"/>
        </w:rPr>
      </w:pPr>
    </w:p>
    <w:tbl>
      <w:tblPr>
        <w:tblW w:w="10042" w:type="dxa"/>
        <w:tblInd w:w="-793" w:type="dxa"/>
        <w:tblLayout w:type="fixed"/>
        <w:tblLook w:val="04A0" w:firstRow="1" w:lastRow="0" w:firstColumn="1" w:lastColumn="0" w:noHBand="0" w:noVBand="1"/>
      </w:tblPr>
      <w:tblGrid>
        <w:gridCol w:w="3477"/>
        <w:gridCol w:w="2126"/>
        <w:gridCol w:w="1136"/>
        <w:gridCol w:w="1141"/>
        <w:gridCol w:w="1033"/>
        <w:gridCol w:w="1129"/>
      </w:tblGrid>
      <w:tr w:rsidR="004412F1" w14:paraId="12F302A5" w14:textId="77777777">
        <w:trPr>
          <w:trHeight w:val="421"/>
        </w:trPr>
        <w:tc>
          <w:tcPr>
            <w:tcW w:w="10042"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5340AC50" w14:textId="77777777" w:rsidR="004412F1" w:rsidRDefault="005A12A3">
            <w:pPr>
              <w:jc w:val="center"/>
              <w:rPr>
                <w:rFonts w:ascii="Calibri" w:hAnsi="Calibri"/>
                <w:b/>
                <w:sz w:val="20"/>
                <w:lang w:val="es"/>
              </w:rPr>
            </w:pPr>
            <w:r>
              <w:rPr>
                <w:rFonts w:ascii="Calibri" w:hAnsi="Calibri"/>
                <w:b/>
                <w:sz w:val="20"/>
                <w:lang w:val="es"/>
              </w:rPr>
              <w:t>Niveles de Servicio para:</w:t>
            </w:r>
          </w:p>
          <w:p w14:paraId="731F4DA7"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Drenajes (Alcantarillas, Cunetas, Cunetas de Coronamiento, Drenes, Cabezales y Aliviaderos)</w:t>
            </w:r>
          </w:p>
        </w:tc>
      </w:tr>
      <w:tr w:rsidR="004412F1" w14:paraId="5B9445FE" w14:textId="77777777">
        <w:trPr>
          <w:trHeight w:val="421"/>
        </w:trPr>
        <w:tc>
          <w:tcPr>
            <w:tcW w:w="3477" w:type="dxa"/>
            <w:vMerge w:val="restart"/>
            <w:tcBorders>
              <w:top w:val="single" w:sz="8" w:space="0" w:color="auto"/>
              <w:left w:val="single" w:sz="8" w:space="0" w:color="auto"/>
              <w:right w:val="nil"/>
            </w:tcBorders>
            <w:shd w:val="clear" w:color="auto" w:fill="C2D69B" w:themeFill="accent3" w:themeFillTint="99"/>
            <w:tcMar>
              <w:left w:w="70" w:type="dxa"/>
              <w:right w:w="70" w:type="dxa"/>
            </w:tcMar>
            <w:vAlign w:val="center"/>
          </w:tcPr>
          <w:p w14:paraId="0FB93AE7"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2126" w:type="dxa"/>
            <w:vMerge w:val="restart"/>
            <w:tcBorders>
              <w:top w:val="nil"/>
              <w:left w:val="single" w:sz="8" w:space="0" w:color="auto"/>
              <w:right w:val="single" w:sz="8" w:space="0" w:color="auto"/>
            </w:tcBorders>
            <w:shd w:val="clear" w:color="auto" w:fill="C2D69B" w:themeFill="accent3" w:themeFillTint="99"/>
            <w:tcMar>
              <w:left w:w="70" w:type="dxa"/>
              <w:right w:w="70" w:type="dxa"/>
            </w:tcMar>
            <w:vAlign w:val="center"/>
          </w:tcPr>
          <w:p w14:paraId="501563EB"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277"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5FA70A75"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162" w:type="dxa"/>
            <w:gridSpan w:val="2"/>
            <w:tcBorders>
              <w:top w:val="nil"/>
              <w:left w:val="nil"/>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26490D69"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4C271D0C" w14:textId="77777777">
        <w:trPr>
          <w:trHeight w:val="407"/>
        </w:trPr>
        <w:tc>
          <w:tcPr>
            <w:tcW w:w="3477" w:type="dxa"/>
            <w:vMerge/>
            <w:tcBorders>
              <w:left w:val="single" w:sz="8" w:space="0" w:color="auto"/>
              <w:bottom w:val="single" w:sz="0" w:space="0" w:color="000000" w:themeColor="text1"/>
            </w:tcBorders>
            <w:vAlign w:val="center"/>
          </w:tcPr>
          <w:p w14:paraId="624DFABC" w14:textId="77777777" w:rsidR="004412F1" w:rsidRDefault="004412F1"/>
        </w:tc>
        <w:tc>
          <w:tcPr>
            <w:tcW w:w="2126" w:type="dxa"/>
            <w:vMerge/>
            <w:tcBorders>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6498F9DA" w14:textId="77777777" w:rsidR="004412F1" w:rsidRDefault="004412F1">
            <w:pPr>
              <w:jc w:val="both"/>
              <w:rPr>
                <w:rFonts w:ascii="Calibri" w:hAnsi="Calibri"/>
                <w:b/>
                <w:color w:val="000000" w:themeColor="text1"/>
                <w:sz w:val="20"/>
              </w:rPr>
            </w:pPr>
          </w:p>
        </w:tc>
        <w:tc>
          <w:tcPr>
            <w:tcW w:w="1136"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vAlign w:val="center"/>
          </w:tcPr>
          <w:p w14:paraId="5BB60E30"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141"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724B3A26"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033"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4B02C787"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129"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44AD6C78"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18838F98" w14:textId="77777777">
        <w:trPr>
          <w:trHeight w:val="1784"/>
        </w:trPr>
        <w:tc>
          <w:tcPr>
            <w:tcW w:w="3477" w:type="dxa"/>
            <w:tcBorders>
              <w:top w:val="nil"/>
              <w:left w:val="single" w:sz="8" w:space="0" w:color="auto"/>
              <w:bottom w:val="single" w:sz="8" w:space="0" w:color="auto"/>
              <w:right w:val="single" w:sz="8" w:space="0" w:color="auto"/>
            </w:tcBorders>
            <w:tcMar>
              <w:left w:w="70" w:type="dxa"/>
              <w:right w:w="70" w:type="dxa"/>
            </w:tcMar>
            <w:vAlign w:val="center"/>
          </w:tcPr>
          <w:p w14:paraId="13922CF4" w14:textId="77777777" w:rsidR="004412F1" w:rsidRDefault="005A12A3">
            <w:pPr>
              <w:rPr>
                <w:lang w:val="es-PE"/>
              </w:rPr>
            </w:pPr>
            <w:r>
              <w:rPr>
                <w:rFonts w:ascii="Calibri" w:hAnsi="Calibri"/>
                <w:sz w:val="20"/>
                <w:lang w:val="es-PE"/>
              </w:rPr>
              <w:t>Obstrucciones al libre escurrimiento del caudal de diseño hidráulico en alcantarillas, cunetas, cunetas de coronación, pontones, drenes, cabezales y aliviaderos</w:t>
            </w:r>
          </w:p>
        </w:tc>
        <w:tc>
          <w:tcPr>
            <w:tcW w:w="2126" w:type="dxa"/>
            <w:tcBorders>
              <w:top w:val="nil"/>
              <w:left w:val="single" w:sz="8" w:space="0" w:color="auto"/>
              <w:bottom w:val="single" w:sz="8" w:space="0" w:color="auto"/>
              <w:right w:val="nil"/>
            </w:tcBorders>
            <w:tcMar>
              <w:left w:w="70" w:type="dxa"/>
              <w:right w:w="70" w:type="dxa"/>
            </w:tcMar>
            <w:vAlign w:val="center"/>
          </w:tcPr>
          <w:p w14:paraId="69D34D14" w14:textId="77777777" w:rsidR="004412F1" w:rsidRDefault="005A12A3">
            <w:pPr>
              <w:rPr>
                <w:lang w:val="es-PE"/>
              </w:rPr>
            </w:pPr>
            <w:r>
              <w:rPr>
                <w:rFonts w:ascii="Calibri" w:hAnsi="Calibri"/>
                <w:sz w:val="20"/>
                <w:lang w:val="es-PE"/>
              </w:rPr>
              <w:t>Vegetación, sedimentación, colmataciones u otros elementos que obstaculicen o alteren el libre escurrimiento del caudal de diseño.</w:t>
            </w:r>
          </w:p>
        </w:tc>
        <w:tc>
          <w:tcPr>
            <w:tcW w:w="11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40DA32"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FF9983" w14:textId="77777777" w:rsidR="004412F1" w:rsidRDefault="005A12A3">
            <w:r>
              <w:rPr>
                <w:rFonts w:ascii="Calibri" w:hAnsi="Calibri"/>
                <w:sz w:val="20"/>
              </w:rPr>
              <w:t>0%</w:t>
            </w:r>
          </w:p>
        </w:tc>
        <w:tc>
          <w:tcPr>
            <w:tcW w:w="103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B11F43" w14:textId="77777777" w:rsidR="004412F1" w:rsidRDefault="005A12A3">
            <w:r>
              <w:rPr>
                <w:rFonts w:ascii="Calibri" w:hAnsi="Calibri"/>
                <w:sz w:val="20"/>
              </w:rPr>
              <w:t>0%</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094406" w14:textId="77777777" w:rsidR="004412F1" w:rsidRDefault="005A12A3">
            <w:r>
              <w:rPr>
                <w:rFonts w:ascii="Calibri" w:hAnsi="Calibri"/>
                <w:sz w:val="20"/>
              </w:rPr>
              <w:t>0%</w:t>
            </w:r>
          </w:p>
        </w:tc>
      </w:tr>
      <w:tr w:rsidR="004412F1" w14:paraId="238ED085" w14:textId="77777777">
        <w:trPr>
          <w:trHeight w:val="969"/>
        </w:trPr>
        <w:tc>
          <w:tcPr>
            <w:tcW w:w="3477"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0A2885E6" w14:textId="77777777" w:rsidR="004412F1" w:rsidRDefault="005A12A3">
            <w:r>
              <w:rPr>
                <w:rFonts w:ascii="Calibri" w:hAnsi="Calibri"/>
                <w:sz w:val="20"/>
              </w:rPr>
              <w:t>Fallas Estructurales</w:t>
            </w:r>
          </w:p>
        </w:tc>
        <w:tc>
          <w:tcPr>
            <w:tcW w:w="2126" w:type="dxa"/>
            <w:tcBorders>
              <w:top w:val="single" w:sz="8" w:space="0" w:color="auto"/>
              <w:left w:val="single" w:sz="8" w:space="0" w:color="auto"/>
              <w:bottom w:val="single" w:sz="8" w:space="0" w:color="000000" w:themeColor="text1"/>
              <w:right w:val="nil"/>
            </w:tcBorders>
            <w:tcMar>
              <w:left w:w="70" w:type="dxa"/>
              <w:right w:w="70" w:type="dxa"/>
            </w:tcMar>
          </w:tcPr>
          <w:p w14:paraId="4FA58D90" w14:textId="77777777" w:rsidR="004412F1" w:rsidRDefault="005A12A3">
            <w:pPr>
              <w:rPr>
                <w:lang w:val="es-PE"/>
              </w:rPr>
            </w:pPr>
            <w:r>
              <w:rPr>
                <w:rFonts w:ascii="Calibri" w:hAnsi="Calibri"/>
                <w:sz w:val="20"/>
                <w:lang w:val="es-PE"/>
              </w:rPr>
              <w:t>Socavaciones, asentamientos, pérdida de geometría, fallas que afectan la capacidad estructural o hidráulica</w:t>
            </w:r>
          </w:p>
        </w:tc>
        <w:tc>
          <w:tcPr>
            <w:tcW w:w="1136"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34B251" w14:textId="77777777" w:rsidR="004412F1" w:rsidRDefault="005A12A3">
            <w:r>
              <w:rPr>
                <w:rFonts w:ascii="Calibri" w:hAnsi="Calibri"/>
                <w:sz w:val="20"/>
              </w:rPr>
              <w:t>0%</w:t>
            </w:r>
          </w:p>
        </w:tc>
        <w:tc>
          <w:tcPr>
            <w:tcW w:w="114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A9A193" w14:textId="77777777" w:rsidR="004412F1" w:rsidRDefault="005A12A3">
            <w:r>
              <w:rPr>
                <w:rFonts w:ascii="Calibri" w:hAnsi="Calibri"/>
                <w:sz w:val="20"/>
              </w:rPr>
              <w:t>0%</w:t>
            </w:r>
          </w:p>
        </w:tc>
        <w:tc>
          <w:tcPr>
            <w:tcW w:w="103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A83734" w14:textId="77777777" w:rsidR="004412F1" w:rsidRDefault="005A12A3">
            <w:r>
              <w:rPr>
                <w:rFonts w:ascii="Calibri" w:hAnsi="Calibri"/>
                <w:sz w:val="20"/>
              </w:rPr>
              <w:t>0%</w:t>
            </w:r>
          </w:p>
        </w:tc>
        <w:tc>
          <w:tcPr>
            <w:tcW w:w="1129"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5AA594" w14:textId="77777777" w:rsidR="004412F1" w:rsidRDefault="005A12A3">
            <w:r>
              <w:rPr>
                <w:rFonts w:ascii="Calibri" w:hAnsi="Calibri"/>
                <w:sz w:val="20"/>
              </w:rPr>
              <w:t>0%</w:t>
            </w:r>
          </w:p>
        </w:tc>
      </w:tr>
    </w:tbl>
    <w:p w14:paraId="38E2492C" w14:textId="77777777" w:rsidR="004412F1" w:rsidRDefault="004412F1">
      <w:pPr>
        <w:jc w:val="center"/>
        <w:rPr>
          <w:b/>
        </w:rPr>
      </w:pPr>
    </w:p>
    <w:tbl>
      <w:tblPr>
        <w:tblpPr w:leftFromText="141" w:rightFromText="141" w:vertAnchor="text" w:horzAnchor="margin" w:tblpXSpec="center" w:tblpY="248"/>
        <w:tblW w:w="10278" w:type="dxa"/>
        <w:tblLayout w:type="fixed"/>
        <w:tblLook w:val="04A0" w:firstRow="1" w:lastRow="0" w:firstColumn="1" w:lastColumn="0" w:noHBand="0" w:noVBand="1"/>
      </w:tblPr>
      <w:tblGrid>
        <w:gridCol w:w="5945"/>
        <w:gridCol w:w="4333"/>
      </w:tblGrid>
      <w:tr w:rsidR="004412F1" w14:paraId="3CD18BD4" w14:textId="77777777">
        <w:trPr>
          <w:trHeight w:val="10"/>
        </w:trPr>
        <w:tc>
          <w:tcPr>
            <w:tcW w:w="1027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5C1DE211" w14:textId="77777777" w:rsidR="004412F1" w:rsidRDefault="005A12A3">
            <w:pPr>
              <w:jc w:val="center"/>
              <w:rPr>
                <w:b/>
                <w:sz w:val="20"/>
                <w:lang w:val="es"/>
              </w:rPr>
            </w:pPr>
            <w:r>
              <w:rPr>
                <w:b/>
                <w:sz w:val="20"/>
                <w:lang w:val="es"/>
              </w:rPr>
              <w:t>Plazos de Respuesta a Incumplimientos en:</w:t>
            </w:r>
          </w:p>
          <w:p w14:paraId="01769227" w14:textId="77777777" w:rsidR="004412F1" w:rsidRDefault="005A12A3">
            <w:pPr>
              <w:jc w:val="center"/>
              <w:rPr>
                <w:b/>
                <w:color w:val="000000" w:themeColor="text1"/>
                <w:sz w:val="20"/>
                <w:lang w:val="es"/>
              </w:rPr>
            </w:pPr>
            <w:r>
              <w:rPr>
                <w:b/>
                <w:color w:val="000000" w:themeColor="text1"/>
                <w:sz w:val="20"/>
                <w:lang w:val="es"/>
              </w:rPr>
              <w:t>Drenajes (Alcantarillas, Cunetas, Cunetas de Coronamiento y Drenes)</w:t>
            </w:r>
          </w:p>
        </w:tc>
      </w:tr>
      <w:tr w:rsidR="004412F1" w14:paraId="27D7D17A" w14:textId="77777777">
        <w:trPr>
          <w:trHeight w:val="10"/>
        </w:trPr>
        <w:tc>
          <w:tcPr>
            <w:tcW w:w="5945"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DEE1D8E" w14:textId="77777777" w:rsidR="004412F1" w:rsidRDefault="005A12A3">
            <w:pPr>
              <w:jc w:val="center"/>
              <w:rPr>
                <w:b/>
                <w:sz w:val="20"/>
                <w:lang w:val="es"/>
              </w:rPr>
            </w:pPr>
            <w:r>
              <w:rPr>
                <w:b/>
                <w:sz w:val="20"/>
                <w:lang w:val="es"/>
              </w:rPr>
              <w:t>Parámetro</w:t>
            </w:r>
          </w:p>
        </w:tc>
        <w:tc>
          <w:tcPr>
            <w:tcW w:w="4333"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2F0B836" w14:textId="77777777" w:rsidR="004412F1" w:rsidRDefault="005A12A3">
            <w:pPr>
              <w:jc w:val="center"/>
              <w:rPr>
                <w:b/>
                <w:sz w:val="20"/>
                <w:lang w:val="es"/>
              </w:rPr>
            </w:pPr>
            <w:r>
              <w:rPr>
                <w:b/>
                <w:sz w:val="20"/>
                <w:lang w:val="es"/>
              </w:rPr>
              <w:t>Plazo máximo de corrección (días)</w:t>
            </w:r>
          </w:p>
        </w:tc>
      </w:tr>
      <w:tr w:rsidR="004412F1" w14:paraId="1B1C1895" w14:textId="77777777">
        <w:trPr>
          <w:trHeight w:val="10"/>
        </w:trPr>
        <w:tc>
          <w:tcPr>
            <w:tcW w:w="5945"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bottom"/>
          </w:tcPr>
          <w:p w14:paraId="1D8BF157" w14:textId="77777777" w:rsidR="004412F1" w:rsidRDefault="005A12A3">
            <w:pPr>
              <w:rPr>
                <w:lang w:val="es-PE"/>
              </w:rPr>
            </w:pPr>
            <w:r>
              <w:rPr>
                <w:sz w:val="20"/>
                <w:lang w:val="es"/>
              </w:rPr>
              <w:t>Obstrucciones al libre escurrimiento hidráulico</w:t>
            </w:r>
          </w:p>
        </w:tc>
        <w:tc>
          <w:tcPr>
            <w:tcW w:w="433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bottom"/>
          </w:tcPr>
          <w:p w14:paraId="1CB65D0A" w14:textId="77777777" w:rsidR="004412F1" w:rsidRDefault="005A12A3">
            <w:pPr>
              <w:jc w:val="center"/>
              <w:rPr>
                <w:sz w:val="20"/>
                <w:lang w:val="es"/>
              </w:rPr>
            </w:pPr>
            <w:r>
              <w:rPr>
                <w:sz w:val="20"/>
                <w:lang w:val="es"/>
              </w:rPr>
              <w:t>3</w:t>
            </w:r>
          </w:p>
        </w:tc>
      </w:tr>
      <w:tr w:rsidR="004412F1" w14:paraId="3B0A1533" w14:textId="77777777">
        <w:trPr>
          <w:trHeight w:val="10"/>
        </w:trPr>
        <w:tc>
          <w:tcPr>
            <w:tcW w:w="5945"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bottom"/>
          </w:tcPr>
          <w:p w14:paraId="1FE7DEB4" w14:textId="77777777" w:rsidR="004412F1" w:rsidRDefault="005A12A3">
            <w:r>
              <w:rPr>
                <w:sz w:val="20"/>
                <w:lang w:val="es"/>
              </w:rPr>
              <w:t>Fallas Estructurales</w:t>
            </w:r>
          </w:p>
        </w:tc>
        <w:tc>
          <w:tcPr>
            <w:tcW w:w="4333"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bottom"/>
          </w:tcPr>
          <w:p w14:paraId="1D575950" w14:textId="77777777" w:rsidR="004412F1" w:rsidRDefault="005A12A3">
            <w:pPr>
              <w:jc w:val="center"/>
              <w:rPr>
                <w:sz w:val="20"/>
                <w:lang w:val="es"/>
              </w:rPr>
            </w:pPr>
            <w:r>
              <w:rPr>
                <w:sz w:val="20"/>
                <w:lang w:val="es"/>
              </w:rPr>
              <w:t>14</w:t>
            </w:r>
          </w:p>
        </w:tc>
      </w:tr>
    </w:tbl>
    <w:p w14:paraId="0CDC15C7" w14:textId="77777777" w:rsidR="004412F1" w:rsidRDefault="004412F1">
      <w:pPr>
        <w:jc w:val="center"/>
        <w:rPr>
          <w:b/>
        </w:rPr>
      </w:pPr>
    </w:p>
    <w:p w14:paraId="723C3B5F" w14:textId="77777777" w:rsidR="004412F1" w:rsidRDefault="004412F1">
      <w:pPr>
        <w:jc w:val="center"/>
        <w:rPr>
          <w:b/>
        </w:rPr>
      </w:pPr>
    </w:p>
    <w:p w14:paraId="0BBEA1AD" w14:textId="77777777" w:rsidR="004412F1" w:rsidRDefault="004412F1">
      <w:pPr>
        <w:jc w:val="center"/>
        <w:rPr>
          <w:b/>
        </w:rPr>
      </w:pPr>
    </w:p>
    <w:p w14:paraId="2B4D2E8F" w14:textId="77777777" w:rsidR="004412F1" w:rsidRDefault="004412F1">
      <w:pPr>
        <w:jc w:val="center"/>
      </w:pPr>
    </w:p>
    <w:p w14:paraId="4AFFED14" w14:textId="77777777" w:rsidR="004412F1" w:rsidRDefault="005A12A3">
      <w:r>
        <w:br w:type="page"/>
      </w:r>
    </w:p>
    <w:p w14:paraId="5736FCE5" w14:textId="77777777" w:rsidR="004412F1" w:rsidRDefault="005A12A3">
      <w:pPr>
        <w:jc w:val="center"/>
        <w:rPr>
          <w:b/>
          <w:lang w:val="es-PE"/>
        </w:rPr>
      </w:pPr>
      <w:r>
        <w:rPr>
          <w:b/>
          <w:lang w:val="es-PE"/>
        </w:rPr>
        <w:t>Niveles de Servicio para: Señalización Horizontal</w:t>
      </w:r>
    </w:p>
    <w:p w14:paraId="7390B4DB" w14:textId="77777777" w:rsidR="004412F1" w:rsidRDefault="004412F1">
      <w:pPr>
        <w:ind w:hanging="964"/>
        <w:jc w:val="center"/>
        <w:rPr>
          <w:b/>
          <w:color w:val="000000"/>
          <w:sz w:val="30"/>
          <w:lang w:val="es-PE"/>
        </w:rPr>
      </w:pPr>
    </w:p>
    <w:tbl>
      <w:tblPr>
        <w:tblW w:w="0" w:type="auto"/>
        <w:tblInd w:w="60" w:type="dxa"/>
        <w:tblLayout w:type="fixed"/>
        <w:tblLook w:val="04A0" w:firstRow="1" w:lastRow="0" w:firstColumn="1" w:lastColumn="0" w:noHBand="0" w:noVBand="1"/>
      </w:tblPr>
      <w:tblGrid>
        <w:gridCol w:w="1290"/>
        <w:gridCol w:w="2265"/>
        <w:gridCol w:w="195"/>
        <w:gridCol w:w="1080"/>
        <w:gridCol w:w="150"/>
        <w:gridCol w:w="1140"/>
        <w:gridCol w:w="1275"/>
        <w:gridCol w:w="60"/>
        <w:gridCol w:w="1425"/>
      </w:tblGrid>
      <w:tr w:rsidR="004412F1" w14:paraId="02F4D8C0" w14:textId="77777777">
        <w:trPr>
          <w:trHeight w:val="570"/>
        </w:trPr>
        <w:tc>
          <w:tcPr>
            <w:tcW w:w="8880" w:type="dxa"/>
            <w:gridSpan w:val="9"/>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11772355" w14:textId="77777777" w:rsidR="004412F1" w:rsidRDefault="005A12A3">
            <w:pPr>
              <w:jc w:val="center"/>
              <w:rPr>
                <w:rFonts w:ascii="Calibri" w:hAnsi="Calibri"/>
                <w:b/>
                <w:sz w:val="20"/>
                <w:lang w:val="es"/>
              </w:rPr>
            </w:pPr>
            <w:r>
              <w:rPr>
                <w:rFonts w:ascii="Calibri" w:hAnsi="Calibri"/>
                <w:b/>
                <w:sz w:val="20"/>
                <w:lang w:val="es"/>
              </w:rPr>
              <w:t>Niveles de Servicio para:</w:t>
            </w:r>
          </w:p>
          <w:p w14:paraId="22932B67"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Señalización Horizontal</w:t>
            </w:r>
          </w:p>
        </w:tc>
      </w:tr>
      <w:tr w:rsidR="004412F1" w14:paraId="397A73B8" w14:textId="77777777">
        <w:trPr>
          <w:trHeight w:val="240"/>
        </w:trPr>
        <w:tc>
          <w:tcPr>
            <w:tcW w:w="1290" w:type="dxa"/>
            <w:vMerge w:val="restart"/>
            <w:tcBorders>
              <w:top w:val="single" w:sz="8" w:space="0" w:color="auto"/>
              <w:left w:val="single" w:sz="8" w:space="0" w:color="auto"/>
              <w:bottom w:val="single" w:sz="8" w:space="0" w:color="000000" w:themeColor="text1"/>
              <w:right w:val="single" w:sz="8" w:space="0" w:color="000000" w:themeColor="text1"/>
            </w:tcBorders>
            <w:shd w:val="clear" w:color="auto" w:fill="C2D69B" w:themeFill="accent3" w:themeFillTint="99"/>
            <w:tcMar>
              <w:left w:w="70" w:type="dxa"/>
              <w:right w:w="70" w:type="dxa"/>
            </w:tcMar>
            <w:vAlign w:val="center"/>
          </w:tcPr>
          <w:p w14:paraId="062BF86C"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2265" w:type="dxa"/>
            <w:vMerge w:val="restart"/>
            <w:tcBorders>
              <w:top w:val="nil"/>
              <w:left w:val="single" w:sz="8" w:space="0" w:color="auto"/>
              <w:bottom w:val="single" w:sz="8" w:space="0" w:color="000000" w:themeColor="text1"/>
              <w:right w:val="single" w:sz="8" w:space="0" w:color="auto"/>
            </w:tcBorders>
            <w:shd w:val="clear" w:color="auto" w:fill="C2D69B" w:themeFill="accent3" w:themeFillTint="99"/>
            <w:tcMar>
              <w:left w:w="70" w:type="dxa"/>
              <w:right w:w="70" w:type="dxa"/>
            </w:tcMar>
            <w:vAlign w:val="center"/>
          </w:tcPr>
          <w:p w14:paraId="5FE60354"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565" w:type="dxa"/>
            <w:gridSpan w:val="4"/>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161A91EA"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760" w:type="dxa"/>
            <w:gridSpan w:val="3"/>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45C717D"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10979731" w14:textId="77777777">
        <w:trPr>
          <w:trHeight w:val="255"/>
        </w:trPr>
        <w:tc>
          <w:tcPr>
            <w:tcW w:w="1290" w:type="dxa"/>
            <w:vMerge/>
            <w:tcBorders>
              <w:left w:val="single" w:sz="0" w:space="0" w:color="auto"/>
              <w:bottom w:val="single" w:sz="0" w:space="0" w:color="000000" w:themeColor="text1"/>
              <w:right w:val="single" w:sz="0" w:space="0" w:color="auto"/>
            </w:tcBorders>
            <w:vAlign w:val="center"/>
          </w:tcPr>
          <w:p w14:paraId="29B6333C" w14:textId="77777777" w:rsidR="004412F1" w:rsidRDefault="004412F1"/>
        </w:tc>
        <w:tc>
          <w:tcPr>
            <w:tcW w:w="2265" w:type="dxa"/>
            <w:vMerge/>
            <w:tcBorders>
              <w:left w:val="single" w:sz="0" w:space="0" w:color="auto"/>
              <w:bottom w:val="single" w:sz="0" w:space="0" w:color="000000" w:themeColor="text1"/>
              <w:right w:val="single" w:sz="0" w:space="0" w:color="auto"/>
            </w:tcBorders>
            <w:vAlign w:val="center"/>
          </w:tcPr>
          <w:p w14:paraId="4DD85306" w14:textId="77777777" w:rsidR="004412F1" w:rsidRDefault="004412F1"/>
        </w:tc>
        <w:tc>
          <w:tcPr>
            <w:tcW w:w="1275" w:type="dxa"/>
            <w:gridSpan w:val="2"/>
            <w:tcBorders>
              <w:top w:val="single" w:sz="8" w:space="0" w:color="auto"/>
              <w:left w:val="nil"/>
              <w:bottom w:val="single" w:sz="8" w:space="0" w:color="auto"/>
              <w:right w:val="single" w:sz="8" w:space="0" w:color="auto"/>
            </w:tcBorders>
            <w:shd w:val="clear" w:color="auto" w:fill="C2D69B" w:themeFill="accent3" w:themeFillTint="99"/>
            <w:tcMar>
              <w:left w:w="70" w:type="dxa"/>
              <w:right w:w="70" w:type="dxa"/>
            </w:tcMar>
            <w:vAlign w:val="center"/>
          </w:tcPr>
          <w:p w14:paraId="7EF5D8EE"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290" w:type="dxa"/>
            <w:gridSpan w:val="2"/>
            <w:tcBorders>
              <w:top w:val="nil"/>
              <w:left w:val="nil"/>
              <w:bottom w:val="single" w:sz="8" w:space="0" w:color="auto"/>
              <w:right w:val="nil"/>
            </w:tcBorders>
            <w:shd w:val="clear" w:color="auto" w:fill="C2D69B" w:themeFill="accent3" w:themeFillTint="99"/>
            <w:tcMar>
              <w:left w:w="70" w:type="dxa"/>
              <w:right w:w="70" w:type="dxa"/>
            </w:tcMar>
            <w:vAlign w:val="center"/>
          </w:tcPr>
          <w:p w14:paraId="389014CD"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275"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0A7ADD82"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485" w:type="dxa"/>
            <w:gridSpan w:val="2"/>
            <w:tcBorders>
              <w:top w:val="nil"/>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26908052"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6F352760" w14:textId="77777777">
        <w:trPr>
          <w:trHeight w:val="840"/>
        </w:trPr>
        <w:tc>
          <w:tcPr>
            <w:tcW w:w="1290" w:type="dxa"/>
            <w:vMerge w:val="restart"/>
            <w:tcBorders>
              <w:top w:val="nil"/>
              <w:left w:val="single" w:sz="8" w:space="0" w:color="auto"/>
              <w:bottom w:val="single" w:sz="8" w:space="0" w:color="000000" w:themeColor="text1"/>
              <w:right w:val="single" w:sz="8" w:space="0" w:color="000000" w:themeColor="text1"/>
            </w:tcBorders>
            <w:tcMar>
              <w:left w:w="70" w:type="dxa"/>
              <w:right w:w="70" w:type="dxa"/>
            </w:tcMar>
            <w:vAlign w:val="center"/>
          </w:tcPr>
          <w:p w14:paraId="228FFEA1" w14:textId="77777777" w:rsidR="004412F1" w:rsidRDefault="005A12A3">
            <w:pPr>
              <w:rPr>
                <w:lang w:val="es-PE"/>
              </w:rPr>
            </w:pPr>
            <w:r>
              <w:rPr>
                <w:rFonts w:ascii="Calibri" w:hAnsi="Calibri"/>
                <w:sz w:val="20"/>
                <w:lang w:val="es-PE"/>
              </w:rPr>
              <w:t>Geometría incorrecta de las líneas</w:t>
            </w:r>
          </w:p>
        </w:tc>
        <w:tc>
          <w:tcPr>
            <w:tcW w:w="2265" w:type="dxa"/>
            <w:vMerge w:val="restart"/>
            <w:tcBorders>
              <w:top w:val="nil"/>
              <w:left w:val="single" w:sz="8" w:space="0" w:color="000000" w:themeColor="text1"/>
              <w:bottom w:val="single" w:sz="8" w:space="0" w:color="000000" w:themeColor="text1"/>
              <w:right w:val="single" w:sz="8" w:space="0" w:color="auto"/>
            </w:tcBorders>
            <w:tcMar>
              <w:left w:w="70" w:type="dxa"/>
              <w:right w:w="70" w:type="dxa"/>
            </w:tcMar>
            <w:vAlign w:val="center"/>
          </w:tcPr>
          <w:p w14:paraId="09283970" w14:textId="77777777" w:rsidR="004412F1" w:rsidRDefault="005A12A3">
            <w:r>
              <w:rPr>
                <w:rFonts w:ascii="Calibri" w:hAnsi="Calibri"/>
                <w:sz w:val="20"/>
              </w:rPr>
              <w:t>Ancho de Líneas mínimo</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303415" w14:textId="77777777" w:rsidR="004412F1" w:rsidRDefault="005A12A3">
            <w:pPr>
              <w:rPr>
                <w:lang w:val="es-PE"/>
              </w:rPr>
            </w:pPr>
            <w:r>
              <w:rPr>
                <w:rFonts w:ascii="Calibri" w:hAnsi="Calibri"/>
                <w:sz w:val="20"/>
                <w:lang w:val="es-PE"/>
              </w:rPr>
              <w:t>En demarcación de línea de eje y borde 10 cm (*)</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3F4B04E3" w14:textId="77777777" w:rsidR="004412F1" w:rsidRDefault="005A12A3">
            <w:pPr>
              <w:rPr>
                <w:lang w:val="es-PE"/>
              </w:rPr>
            </w:pPr>
            <w:r>
              <w:rPr>
                <w:rFonts w:ascii="Calibri" w:hAnsi="Calibri"/>
                <w:sz w:val="20"/>
                <w:lang w:val="es-PE"/>
              </w:rPr>
              <w:t>En demarcación de línea de eje y borde 10 cm (*)</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3C074A96" w14:textId="77777777" w:rsidR="004412F1" w:rsidRDefault="005A12A3">
            <w:pPr>
              <w:rPr>
                <w:lang w:val="es-PE"/>
              </w:rPr>
            </w:pPr>
            <w:r>
              <w:rPr>
                <w:rFonts w:ascii="Calibri" w:hAnsi="Calibri"/>
                <w:sz w:val="20"/>
                <w:lang w:val="es-PE"/>
              </w:rPr>
              <w:t>En demarcación de línea de eje y borde 10 cm (*)</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C53953" w14:textId="77777777" w:rsidR="004412F1" w:rsidRDefault="005A12A3">
            <w:pPr>
              <w:rPr>
                <w:lang w:val="es-PE"/>
              </w:rPr>
            </w:pPr>
            <w:r>
              <w:rPr>
                <w:rFonts w:ascii="Calibri" w:hAnsi="Calibri"/>
                <w:sz w:val="20"/>
                <w:lang w:val="es-PE"/>
              </w:rPr>
              <w:t>En demarcación de línea de eje y borde 10 cm (*)</w:t>
            </w:r>
          </w:p>
        </w:tc>
      </w:tr>
      <w:tr w:rsidR="004412F1" w14:paraId="498A5302" w14:textId="77777777">
        <w:trPr>
          <w:trHeight w:val="1545"/>
        </w:trPr>
        <w:tc>
          <w:tcPr>
            <w:tcW w:w="1290" w:type="dxa"/>
            <w:vMerge/>
            <w:tcBorders>
              <w:left w:val="single" w:sz="0" w:space="0" w:color="auto"/>
              <w:bottom w:val="single" w:sz="0" w:space="0" w:color="000000" w:themeColor="text1"/>
              <w:right w:val="single" w:sz="0" w:space="0" w:color="000000" w:themeColor="text1"/>
            </w:tcBorders>
            <w:vAlign w:val="center"/>
          </w:tcPr>
          <w:p w14:paraId="65348263" w14:textId="77777777" w:rsidR="004412F1" w:rsidRDefault="004412F1">
            <w:pPr>
              <w:rPr>
                <w:lang w:val="es-PE"/>
              </w:rPr>
            </w:pPr>
          </w:p>
        </w:tc>
        <w:tc>
          <w:tcPr>
            <w:tcW w:w="2265" w:type="dxa"/>
            <w:vMerge/>
            <w:tcBorders>
              <w:left w:val="single" w:sz="0" w:space="0" w:color="000000" w:themeColor="text1"/>
              <w:bottom w:val="single" w:sz="0" w:space="0" w:color="000000" w:themeColor="text1"/>
              <w:right w:val="single" w:sz="0" w:space="0" w:color="auto"/>
            </w:tcBorders>
            <w:vAlign w:val="center"/>
          </w:tcPr>
          <w:p w14:paraId="2A7AFB30" w14:textId="77777777" w:rsidR="004412F1" w:rsidRDefault="004412F1">
            <w:pPr>
              <w:rPr>
                <w:lang w:val="es-PE"/>
              </w:rPr>
            </w:pPr>
          </w:p>
        </w:tc>
        <w:tc>
          <w:tcPr>
            <w:tcW w:w="1275" w:type="dxa"/>
            <w:gridSpan w:val="2"/>
            <w:tcBorders>
              <w:top w:val="single" w:sz="8" w:space="0" w:color="auto"/>
              <w:left w:val="nil"/>
              <w:bottom w:val="single" w:sz="8" w:space="0" w:color="auto"/>
              <w:right w:val="single" w:sz="8" w:space="0" w:color="auto"/>
            </w:tcBorders>
            <w:tcMar>
              <w:left w:w="70" w:type="dxa"/>
              <w:right w:w="70" w:type="dxa"/>
            </w:tcMar>
            <w:vAlign w:val="center"/>
          </w:tcPr>
          <w:p w14:paraId="4B033781" w14:textId="77777777" w:rsidR="004412F1" w:rsidRDefault="005A12A3">
            <w:pPr>
              <w:rPr>
                <w:lang w:val="es-PE"/>
              </w:rPr>
            </w:pPr>
            <w:r>
              <w:rPr>
                <w:rFonts w:ascii="Calibri" w:hAnsi="Calibri"/>
                <w:sz w:val="20"/>
                <w:lang w:val="es-PE"/>
              </w:rPr>
              <w:t>En demarcación de líneas de borde con resalto o indicaciones de reducción de velocidad 15 cm</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55752C40" w14:textId="77777777" w:rsidR="004412F1" w:rsidRDefault="005A12A3">
            <w:pPr>
              <w:rPr>
                <w:lang w:val="es-PE"/>
              </w:rPr>
            </w:pPr>
            <w:r>
              <w:rPr>
                <w:rFonts w:ascii="Calibri" w:hAnsi="Calibri"/>
                <w:sz w:val="20"/>
                <w:lang w:val="es-PE"/>
              </w:rPr>
              <w:t>En demarcación de líneas de borde con resalto o indicaciones de reducción de velocidad 15 cm</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0B2F6BAB" w14:textId="77777777" w:rsidR="004412F1" w:rsidRDefault="005A12A3">
            <w:pPr>
              <w:rPr>
                <w:lang w:val="es-PE"/>
              </w:rPr>
            </w:pPr>
            <w:r>
              <w:rPr>
                <w:rFonts w:ascii="Calibri" w:hAnsi="Calibri"/>
                <w:sz w:val="20"/>
                <w:lang w:val="es-PE"/>
              </w:rPr>
              <w:t>En demarcación de líneas de borde con resalto o indicaciones de reducción de velocidad 15 cm</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423F7C" w14:textId="77777777" w:rsidR="004412F1" w:rsidRDefault="005A12A3">
            <w:pPr>
              <w:rPr>
                <w:lang w:val="es-PE"/>
              </w:rPr>
            </w:pPr>
            <w:r>
              <w:rPr>
                <w:rFonts w:ascii="Calibri" w:hAnsi="Calibri"/>
                <w:sz w:val="20"/>
                <w:lang w:val="es-PE"/>
              </w:rPr>
              <w:t>En demarcación de líneas de borde con resalto o indicaciones de reducción de velocidad 15 cm</w:t>
            </w:r>
          </w:p>
        </w:tc>
      </w:tr>
      <w:tr w:rsidR="004412F1" w14:paraId="43F913E0" w14:textId="77777777">
        <w:trPr>
          <w:trHeight w:val="555"/>
        </w:trPr>
        <w:tc>
          <w:tcPr>
            <w:tcW w:w="1290" w:type="dxa"/>
            <w:vMerge/>
            <w:tcBorders>
              <w:left w:val="single" w:sz="0" w:space="0" w:color="auto"/>
              <w:right w:val="single" w:sz="0" w:space="0" w:color="000000" w:themeColor="text1"/>
            </w:tcBorders>
            <w:vAlign w:val="center"/>
          </w:tcPr>
          <w:p w14:paraId="5A9F6132" w14:textId="77777777" w:rsidR="004412F1" w:rsidRDefault="004412F1">
            <w:pPr>
              <w:rPr>
                <w:lang w:val="es-PE"/>
              </w:rPr>
            </w:pPr>
          </w:p>
        </w:tc>
        <w:tc>
          <w:tcPr>
            <w:tcW w:w="2265" w:type="dxa"/>
            <w:tcBorders>
              <w:top w:val="nil"/>
              <w:left w:val="nil"/>
              <w:bottom w:val="single" w:sz="8" w:space="0" w:color="auto"/>
              <w:right w:val="single" w:sz="8" w:space="0" w:color="auto"/>
            </w:tcBorders>
            <w:tcMar>
              <w:left w:w="70" w:type="dxa"/>
              <w:right w:w="70" w:type="dxa"/>
            </w:tcMar>
            <w:vAlign w:val="center"/>
          </w:tcPr>
          <w:p w14:paraId="2F60A377" w14:textId="77777777" w:rsidR="004412F1" w:rsidRDefault="005A12A3">
            <w:pPr>
              <w:rPr>
                <w:lang w:val="es-PE"/>
              </w:rPr>
            </w:pPr>
            <w:r>
              <w:rPr>
                <w:rFonts w:ascii="Calibri" w:hAnsi="Calibri"/>
                <w:sz w:val="20"/>
                <w:lang w:val="es-PE"/>
              </w:rPr>
              <w:t>Longitud de las líneas punteadas del eje</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6BE014" w14:textId="77777777" w:rsidR="004412F1" w:rsidRDefault="005A12A3">
            <w:r>
              <w:rPr>
                <w:rFonts w:ascii="Calibri" w:hAnsi="Calibri"/>
                <w:sz w:val="20"/>
              </w:rPr>
              <w:t>4.5 m +/- 2%</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2A801C8F" w14:textId="77777777" w:rsidR="004412F1" w:rsidRDefault="005A12A3">
            <w:r>
              <w:rPr>
                <w:rFonts w:ascii="Calibri" w:hAnsi="Calibri"/>
                <w:sz w:val="20"/>
              </w:rPr>
              <w:t>4.5 m +/- 2%</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0FD463C2" w14:textId="77777777" w:rsidR="004412F1" w:rsidRDefault="005A12A3">
            <w:r>
              <w:rPr>
                <w:rFonts w:ascii="Calibri" w:hAnsi="Calibri"/>
                <w:sz w:val="20"/>
              </w:rPr>
              <w:t>4.5 m +/- 2%</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03B9BB" w14:textId="77777777" w:rsidR="004412F1" w:rsidRDefault="005A12A3">
            <w:r>
              <w:rPr>
                <w:rFonts w:ascii="Calibri" w:hAnsi="Calibri"/>
                <w:sz w:val="20"/>
              </w:rPr>
              <w:t>4.5 m +/- 2%</w:t>
            </w:r>
          </w:p>
        </w:tc>
      </w:tr>
      <w:tr w:rsidR="004412F1" w14:paraId="627E58DE" w14:textId="77777777">
        <w:trPr>
          <w:trHeight w:val="510"/>
        </w:trPr>
        <w:tc>
          <w:tcPr>
            <w:tcW w:w="1290" w:type="dxa"/>
            <w:vMerge/>
            <w:tcBorders>
              <w:left w:val="single" w:sz="0" w:space="0" w:color="auto"/>
              <w:right w:val="single" w:sz="0" w:space="0" w:color="000000" w:themeColor="text1"/>
            </w:tcBorders>
            <w:vAlign w:val="center"/>
          </w:tcPr>
          <w:p w14:paraId="457C4327" w14:textId="77777777" w:rsidR="004412F1" w:rsidRDefault="004412F1"/>
        </w:tc>
        <w:tc>
          <w:tcPr>
            <w:tcW w:w="2265" w:type="dxa"/>
            <w:tcBorders>
              <w:top w:val="single" w:sz="8" w:space="0" w:color="auto"/>
              <w:left w:val="nil"/>
              <w:bottom w:val="single" w:sz="8" w:space="0" w:color="000000" w:themeColor="text1"/>
              <w:right w:val="single" w:sz="8" w:space="0" w:color="auto"/>
            </w:tcBorders>
            <w:tcMar>
              <w:left w:w="70" w:type="dxa"/>
              <w:right w:w="70" w:type="dxa"/>
            </w:tcMar>
            <w:vAlign w:val="center"/>
          </w:tcPr>
          <w:p w14:paraId="4B2913A5" w14:textId="77777777" w:rsidR="004412F1" w:rsidRDefault="005A12A3">
            <w:pPr>
              <w:rPr>
                <w:lang w:val="es-PE"/>
              </w:rPr>
            </w:pPr>
            <w:r>
              <w:rPr>
                <w:rFonts w:ascii="Calibri" w:hAnsi="Calibri"/>
                <w:sz w:val="20"/>
                <w:lang w:val="es-PE"/>
              </w:rPr>
              <w:t>Longitud de los espacios entre líneas punteadas del eje</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E3910A" w14:textId="77777777" w:rsidR="004412F1" w:rsidRDefault="005A12A3">
            <w:r>
              <w:rPr>
                <w:rFonts w:ascii="Calibri" w:hAnsi="Calibri"/>
                <w:sz w:val="20"/>
              </w:rPr>
              <w:t>7.5 m +/- 2%</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123FD5EC" w14:textId="77777777" w:rsidR="004412F1" w:rsidRDefault="005A12A3">
            <w:r>
              <w:rPr>
                <w:rFonts w:ascii="Calibri" w:hAnsi="Calibri"/>
                <w:sz w:val="20"/>
              </w:rPr>
              <w:t>7.5 m +/- 2%</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35FE756F" w14:textId="77777777" w:rsidR="004412F1" w:rsidRDefault="005A12A3">
            <w:r>
              <w:rPr>
                <w:rFonts w:ascii="Calibri" w:hAnsi="Calibri"/>
                <w:sz w:val="20"/>
              </w:rPr>
              <w:t>7.5 m +/- 2%</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EC04BA" w14:textId="77777777" w:rsidR="004412F1" w:rsidRDefault="005A12A3">
            <w:r>
              <w:rPr>
                <w:rFonts w:ascii="Calibri" w:hAnsi="Calibri"/>
                <w:sz w:val="20"/>
              </w:rPr>
              <w:t>7.5 m +/- 2%</w:t>
            </w:r>
          </w:p>
        </w:tc>
      </w:tr>
      <w:tr w:rsidR="004412F1" w14:paraId="6E65D592" w14:textId="77777777">
        <w:trPr>
          <w:trHeight w:val="765"/>
        </w:trPr>
        <w:tc>
          <w:tcPr>
            <w:tcW w:w="1290" w:type="dxa"/>
            <w:vMerge/>
            <w:tcBorders>
              <w:left w:val="single" w:sz="0" w:space="0" w:color="auto"/>
              <w:right w:val="single" w:sz="0" w:space="0" w:color="000000" w:themeColor="text1"/>
            </w:tcBorders>
            <w:vAlign w:val="center"/>
          </w:tcPr>
          <w:p w14:paraId="24241BE2" w14:textId="77777777" w:rsidR="004412F1" w:rsidRDefault="004412F1"/>
        </w:tc>
        <w:tc>
          <w:tcPr>
            <w:tcW w:w="2265" w:type="dxa"/>
            <w:tcBorders>
              <w:top w:val="single" w:sz="8" w:space="0" w:color="auto"/>
              <w:left w:val="nil"/>
              <w:bottom w:val="single" w:sz="8" w:space="0" w:color="auto"/>
              <w:right w:val="single" w:sz="8" w:space="0" w:color="auto"/>
            </w:tcBorders>
            <w:tcMar>
              <w:left w:w="70" w:type="dxa"/>
              <w:right w:w="70" w:type="dxa"/>
            </w:tcMar>
            <w:vAlign w:val="center"/>
          </w:tcPr>
          <w:p w14:paraId="184E81C6" w14:textId="77777777" w:rsidR="004412F1" w:rsidRDefault="005A12A3">
            <w:pPr>
              <w:rPr>
                <w:lang w:val="es-PE"/>
              </w:rPr>
            </w:pPr>
            <w:r>
              <w:rPr>
                <w:rFonts w:ascii="Calibri" w:hAnsi="Calibri"/>
                <w:sz w:val="20"/>
                <w:lang w:val="es-PE"/>
              </w:rPr>
              <w:t>Deflexión máxima de la alineación de las líneas de eje con respecto al eje de la ruta</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D54626" w14:textId="77777777" w:rsidR="004412F1" w:rsidRDefault="005A12A3">
            <w:r>
              <w:rPr>
                <w:rFonts w:ascii="Calibri" w:hAnsi="Calibri"/>
                <w:sz w:val="20"/>
              </w:rPr>
              <w:t>Me. Emáx = 10 cm</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0EF0E2A5" w14:textId="77777777" w:rsidR="004412F1" w:rsidRDefault="005A12A3">
            <w:r>
              <w:rPr>
                <w:rFonts w:ascii="Calibri" w:hAnsi="Calibri"/>
                <w:sz w:val="20"/>
              </w:rPr>
              <w:t>Me. Emáx = 10 cm</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4A338851" w14:textId="77777777" w:rsidR="004412F1" w:rsidRDefault="005A12A3">
            <w:r>
              <w:rPr>
                <w:rFonts w:ascii="Calibri" w:hAnsi="Calibri"/>
                <w:sz w:val="20"/>
              </w:rPr>
              <w:t>Me. Emáx = 10 cm</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0163FE" w14:textId="77777777" w:rsidR="004412F1" w:rsidRDefault="005A12A3">
            <w:r>
              <w:rPr>
                <w:rFonts w:ascii="Calibri" w:hAnsi="Calibri"/>
                <w:sz w:val="20"/>
              </w:rPr>
              <w:t>Me. Emáx = 10 cm</w:t>
            </w:r>
          </w:p>
        </w:tc>
      </w:tr>
      <w:tr w:rsidR="004412F1" w14:paraId="668ECDC6" w14:textId="77777777">
        <w:trPr>
          <w:trHeight w:val="1020"/>
        </w:trPr>
        <w:tc>
          <w:tcPr>
            <w:tcW w:w="1290" w:type="dxa"/>
            <w:vMerge/>
            <w:tcBorders>
              <w:left w:val="single" w:sz="0" w:space="0" w:color="auto"/>
              <w:right w:val="single" w:sz="0" w:space="0" w:color="000000" w:themeColor="text1"/>
            </w:tcBorders>
            <w:vAlign w:val="center"/>
          </w:tcPr>
          <w:p w14:paraId="53BF3B1F" w14:textId="77777777" w:rsidR="004412F1" w:rsidRDefault="004412F1"/>
        </w:tc>
        <w:tc>
          <w:tcPr>
            <w:tcW w:w="2265" w:type="dxa"/>
            <w:tcBorders>
              <w:top w:val="single" w:sz="8" w:space="0" w:color="auto"/>
              <w:left w:val="nil"/>
              <w:bottom w:val="single" w:sz="8" w:space="0" w:color="auto"/>
              <w:right w:val="single" w:sz="8" w:space="0" w:color="auto"/>
            </w:tcBorders>
            <w:tcMar>
              <w:left w:w="70" w:type="dxa"/>
              <w:right w:w="70" w:type="dxa"/>
            </w:tcMar>
            <w:vAlign w:val="center"/>
          </w:tcPr>
          <w:p w14:paraId="6A4C027B" w14:textId="77777777" w:rsidR="004412F1" w:rsidRDefault="005A12A3">
            <w:pPr>
              <w:rPr>
                <w:lang w:val="es-PE"/>
              </w:rPr>
            </w:pPr>
            <w:r>
              <w:rPr>
                <w:rFonts w:ascii="Calibri" w:hAnsi="Calibri"/>
                <w:sz w:val="20"/>
                <w:lang w:val="es-PE"/>
              </w:rPr>
              <w:t>Deflexión máxima de las líneas punteadas del eje (blanco) con respecto a la recta que une sus extremos</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0809F2" w14:textId="77777777" w:rsidR="004412F1" w:rsidRDefault="005A12A3">
            <w:r>
              <w:rPr>
                <w:rFonts w:ascii="Calibri" w:hAnsi="Calibri"/>
                <w:sz w:val="20"/>
              </w:rPr>
              <w:t>Me. Emáx = 2 cm</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2C72338D" w14:textId="77777777" w:rsidR="004412F1" w:rsidRDefault="005A12A3">
            <w:r>
              <w:rPr>
                <w:rFonts w:ascii="Calibri" w:hAnsi="Calibri"/>
                <w:sz w:val="20"/>
              </w:rPr>
              <w:t>Me. Emáx = 2 cm</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34306943" w14:textId="77777777" w:rsidR="004412F1" w:rsidRDefault="005A12A3">
            <w:r>
              <w:rPr>
                <w:rFonts w:ascii="Calibri" w:hAnsi="Calibri"/>
                <w:sz w:val="20"/>
              </w:rPr>
              <w:t>Me. Emáx = 2 cm</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4307CB" w14:textId="77777777" w:rsidR="004412F1" w:rsidRDefault="005A12A3">
            <w:r>
              <w:rPr>
                <w:rFonts w:ascii="Calibri" w:hAnsi="Calibri"/>
                <w:sz w:val="20"/>
              </w:rPr>
              <w:t>Me. Emáx = 2 cm</w:t>
            </w:r>
          </w:p>
        </w:tc>
      </w:tr>
      <w:tr w:rsidR="004412F1" w14:paraId="2AAF5F18" w14:textId="77777777">
        <w:trPr>
          <w:trHeight w:val="855"/>
        </w:trPr>
        <w:tc>
          <w:tcPr>
            <w:tcW w:w="1290" w:type="dxa"/>
            <w:vMerge/>
            <w:tcBorders>
              <w:left w:val="single" w:sz="0" w:space="0" w:color="auto"/>
              <w:right w:val="single" w:sz="0" w:space="0" w:color="000000" w:themeColor="text1"/>
            </w:tcBorders>
            <w:vAlign w:val="center"/>
          </w:tcPr>
          <w:p w14:paraId="0F7910FB" w14:textId="77777777" w:rsidR="004412F1" w:rsidRDefault="004412F1"/>
        </w:tc>
        <w:tc>
          <w:tcPr>
            <w:tcW w:w="2265" w:type="dxa"/>
            <w:tcBorders>
              <w:top w:val="single" w:sz="8" w:space="0" w:color="auto"/>
              <w:left w:val="nil"/>
              <w:bottom w:val="single" w:sz="8" w:space="0" w:color="auto"/>
              <w:right w:val="single" w:sz="8" w:space="0" w:color="auto"/>
            </w:tcBorders>
            <w:tcMar>
              <w:left w:w="70" w:type="dxa"/>
              <w:right w:w="70" w:type="dxa"/>
            </w:tcMar>
            <w:vAlign w:val="center"/>
          </w:tcPr>
          <w:p w14:paraId="328D1DD0" w14:textId="77777777" w:rsidR="004412F1" w:rsidRDefault="005A12A3">
            <w:pPr>
              <w:rPr>
                <w:lang w:val="es-PE"/>
              </w:rPr>
            </w:pPr>
            <w:r>
              <w:rPr>
                <w:rFonts w:ascii="Calibri" w:hAnsi="Calibri"/>
                <w:sz w:val="20"/>
                <w:lang w:val="es-PE"/>
              </w:rPr>
              <w:t>Deflexión máxima y mínima de la línea continua de eje (amarillo) con respecto a las líneas punteadas del eje (blanco)</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BD89FA" w14:textId="77777777" w:rsidR="004412F1" w:rsidRDefault="005A12A3">
            <w:r>
              <w:rPr>
                <w:rFonts w:ascii="Calibri" w:hAnsi="Calibri"/>
                <w:sz w:val="20"/>
              </w:rPr>
              <w:t>17 cm &lt; MaMe &lt; 20 cm</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04633EB9" w14:textId="77777777" w:rsidR="004412F1" w:rsidRDefault="005A12A3">
            <w:r>
              <w:rPr>
                <w:rFonts w:ascii="Calibri" w:hAnsi="Calibri"/>
                <w:sz w:val="20"/>
              </w:rPr>
              <w:t>17 cm &lt; MaMe &lt; 20 cm</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6E69FF31" w14:textId="77777777" w:rsidR="004412F1" w:rsidRDefault="005A12A3">
            <w:r>
              <w:rPr>
                <w:rFonts w:ascii="Calibri" w:hAnsi="Calibri"/>
                <w:sz w:val="20"/>
              </w:rPr>
              <w:t>17 cm &lt; MaMe &lt; 20 cm</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6FFFA5" w14:textId="77777777" w:rsidR="004412F1" w:rsidRDefault="005A12A3">
            <w:r>
              <w:rPr>
                <w:rFonts w:ascii="Calibri" w:hAnsi="Calibri"/>
                <w:sz w:val="20"/>
              </w:rPr>
              <w:t>17 cm &lt; MaMe &lt; 20 cm</w:t>
            </w:r>
          </w:p>
        </w:tc>
      </w:tr>
      <w:tr w:rsidR="004412F1" w14:paraId="6ECA6060" w14:textId="77777777">
        <w:trPr>
          <w:trHeight w:val="765"/>
        </w:trPr>
        <w:tc>
          <w:tcPr>
            <w:tcW w:w="1290" w:type="dxa"/>
            <w:vMerge/>
            <w:tcBorders>
              <w:left w:val="single" w:sz="0" w:space="0" w:color="auto"/>
              <w:bottom w:val="single" w:sz="0" w:space="0" w:color="000000" w:themeColor="text1"/>
              <w:right w:val="single" w:sz="0" w:space="0" w:color="000000" w:themeColor="text1"/>
            </w:tcBorders>
            <w:vAlign w:val="center"/>
          </w:tcPr>
          <w:p w14:paraId="24DFE2D4" w14:textId="77777777" w:rsidR="004412F1" w:rsidRDefault="004412F1"/>
        </w:tc>
        <w:tc>
          <w:tcPr>
            <w:tcW w:w="2265" w:type="dxa"/>
            <w:tcBorders>
              <w:top w:val="single" w:sz="8" w:space="0" w:color="auto"/>
              <w:left w:val="nil"/>
              <w:bottom w:val="single" w:sz="8" w:space="0" w:color="auto"/>
              <w:right w:val="single" w:sz="8" w:space="0" w:color="auto"/>
            </w:tcBorders>
            <w:tcMar>
              <w:left w:w="70" w:type="dxa"/>
              <w:right w:w="70" w:type="dxa"/>
            </w:tcMar>
            <w:vAlign w:val="center"/>
          </w:tcPr>
          <w:p w14:paraId="3C0DA0F4" w14:textId="77777777" w:rsidR="004412F1" w:rsidRDefault="005A12A3">
            <w:pPr>
              <w:rPr>
                <w:lang w:val="es-PE"/>
              </w:rPr>
            </w:pPr>
            <w:r>
              <w:rPr>
                <w:rFonts w:ascii="Calibri" w:hAnsi="Calibri"/>
                <w:sz w:val="20"/>
                <w:lang w:val="es-PE"/>
              </w:rPr>
              <w:t>Deflexión máxima y mínima de la línea continua de eje (amarillo) con respecto al eje de la ruta</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E4847C" w14:textId="77777777" w:rsidR="004412F1" w:rsidRDefault="005A12A3">
            <w:r>
              <w:rPr>
                <w:rFonts w:ascii="Calibri" w:hAnsi="Calibri"/>
                <w:sz w:val="20"/>
              </w:rPr>
              <w:t>17 cm &lt; MaMe &lt; 20 cm</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66BB6CB3" w14:textId="77777777" w:rsidR="004412F1" w:rsidRDefault="005A12A3">
            <w:r>
              <w:rPr>
                <w:rFonts w:ascii="Calibri" w:hAnsi="Calibri"/>
                <w:sz w:val="20"/>
              </w:rPr>
              <w:t>17 cm &lt; MaMe &lt; 20 cm</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3F45FF58" w14:textId="77777777" w:rsidR="004412F1" w:rsidRDefault="005A12A3">
            <w:r>
              <w:rPr>
                <w:rFonts w:ascii="Calibri" w:hAnsi="Calibri"/>
                <w:sz w:val="20"/>
              </w:rPr>
              <w:t>17 cm &lt; MaMe &lt; 20 cm</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61B785" w14:textId="77777777" w:rsidR="004412F1" w:rsidRDefault="005A12A3">
            <w:r>
              <w:rPr>
                <w:rFonts w:ascii="Calibri" w:hAnsi="Calibri"/>
                <w:sz w:val="20"/>
              </w:rPr>
              <w:t>17 cm &lt; MaMe &lt; 20 cm</w:t>
            </w:r>
          </w:p>
        </w:tc>
      </w:tr>
      <w:tr w:rsidR="004412F1" w14:paraId="749D7AC1" w14:textId="77777777">
        <w:trPr>
          <w:trHeight w:val="285"/>
        </w:trPr>
        <w:tc>
          <w:tcPr>
            <w:tcW w:w="1290" w:type="dxa"/>
            <w:tcBorders>
              <w:top w:val="nil"/>
              <w:left w:val="single" w:sz="8" w:space="0" w:color="auto"/>
              <w:bottom w:val="single" w:sz="8" w:space="0" w:color="auto"/>
              <w:right w:val="single" w:sz="8" w:space="0" w:color="000000" w:themeColor="text1"/>
            </w:tcBorders>
            <w:tcMar>
              <w:left w:w="70" w:type="dxa"/>
              <w:right w:w="70" w:type="dxa"/>
            </w:tcMar>
            <w:vAlign w:val="center"/>
          </w:tcPr>
          <w:p w14:paraId="64E034D7" w14:textId="77777777" w:rsidR="004412F1" w:rsidRDefault="005A12A3">
            <w:pPr>
              <w:rPr>
                <w:lang w:val="es-PE"/>
              </w:rPr>
            </w:pPr>
            <w:r>
              <w:rPr>
                <w:rFonts w:ascii="Calibri" w:hAnsi="Calibri"/>
                <w:sz w:val="20"/>
                <w:lang w:val="es-PE"/>
              </w:rPr>
              <w:t>Decoloración o suciedad de las líneas o marcas</w:t>
            </w:r>
          </w:p>
        </w:tc>
        <w:tc>
          <w:tcPr>
            <w:tcW w:w="22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580097" w14:textId="77777777" w:rsidR="004412F1" w:rsidRDefault="005A12A3">
            <w:pPr>
              <w:rPr>
                <w:lang w:val="es-PE"/>
              </w:rPr>
            </w:pPr>
            <w:r>
              <w:rPr>
                <w:rFonts w:ascii="Calibri" w:hAnsi="Calibri"/>
                <w:sz w:val="20"/>
                <w:lang w:val="es-PE"/>
              </w:rPr>
              <w:t>Coordenadas cromáticas "x" e "y" (geometría 45/0 y ángulo de observación patrón de 2°)</w:t>
            </w:r>
          </w:p>
        </w:tc>
        <w:tc>
          <w:tcPr>
            <w:tcW w:w="127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1B4439" w14:textId="77777777" w:rsidR="004412F1" w:rsidRDefault="005A12A3">
            <w:pPr>
              <w:rPr>
                <w:lang w:val="es-PE"/>
              </w:rPr>
            </w:pPr>
            <w:r>
              <w:rPr>
                <w:rFonts w:ascii="Calibri" w:hAnsi="Calibri"/>
                <w:sz w:val="20"/>
                <w:lang w:val="es-PE"/>
              </w:rPr>
              <w:t>Coordenadas cromáticas dentro del diagrama CIE definido por los 4 puntos contenidos en la tabla</w:t>
            </w:r>
          </w:p>
        </w:tc>
        <w:tc>
          <w:tcPr>
            <w:tcW w:w="129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38150E5B" w14:textId="77777777" w:rsidR="004412F1" w:rsidRDefault="005A12A3">
            <w:pPr>
              <w:rPr>
                <w:lang w:val="es-PE"/>
              </w:rPr>
            </w:pPr>
            <w:r>
              <w:rPr>
                <w:rFonts w:ascii="Calibri" w:hAnsi="Calibri"/>
                <w:sz w:val="20"/>
                <w:lang w:val="es-PE"/>
              </w:rPr>
              <w:t>Coordenadas cromáticas dentro del diagrama CIE definido por los 4 puntos contenidos en la tabla</w:t>
            </w:r>
          </w:p>
        </w:tc>
        <w:tc>
          <w:tcPr>
            <w:tcW w:w="1275" w:type="dxa"/>
            <w:tcBorders>
              <w:top w:val="single" w:sz="8" w:space="0" w:color="auto"/>
              <w:left w:val="nil"/>
              <w:bottom w:val="single" w:sz="8" w:space="0" w:color="auto"/>
              <w:right w:val="single" w:sz="8" w:space="0" w:color="auto"/>
            </w:tcBorders>
            <w:tcMar>
              <w:left w:w="70" w:type="dxa"/>
              <w:right w:w="70" w:type="dxa"/>
            </w:tcMar>
            <w:vAlign w:val="center"/>
          </w:tcPr>
          <w:p w14:paraId="1AD4961F" w14:textId="77777777" w:rsidR="004412F1" w:rsidRDefault="005A12A3">
            <w:pPr>
              <w:rPr>
                <w:lang w:val="es-PE"/>
              </w:rPr>
            </w:pPr>
            <w:r>
              <w:rPr>
                <w:rFonts w:ascii="Calibri" w:hAnsi="Calibri"/>
                <w:sz w:val="20"/>
                <w:lang w:val="es-PE"/>
              </w:rPr>
              <w:t>Coordenadas cromáticas dentro del diagrama CIE definido por los 4 puntos contenidos en la tabla</w:t>
            </w:r>
          </w:p>
        </w:tc>
        <w:tc>
          <w:tcPr>
            <w:tcW w:w="148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8FEDAA" w14:textId="77777777" w:rsidR="004412F1" w:rsidRDefault="005A12A3">
            <w:pPr>
              <w:rPr>
                <w:lang w:val="es-PE"/>
              </w:rPr>
            </w:pPr>
            <w:r>
              <w:rPr>
                <w:rFonts w:ascii="Calibri" w:hAnsi="Calibri"/>
                <w:sz w:val="20"/>
                <w:lang w:val="es-PE"/>
              </w:rPr>
              <w:t>Coordenadas cromáticas dentro del diagrama CIE definido por los 4 puntos contenidos en la tabla</w:t>
            </w:r>
          </w:p>
        </w:tc>
      </w:tr>
      <w:tr w:rsidR="004412F1" w14:paraId="378CF8C8" w14:textId="77777777">
        <w:trPr>
          <w:trHeight w:val="540"/>
        </w:trPr>
        <w:tc>
          <w:tcPr>
            <w:tcW w:w="1290" w:type="dxa"/>
            <w:vMerge w:val="restart"/>
            <w:tcBorders>
              <w:top w:val="single" w:sz="8" w:space="0" w:color="auto"/>
              <w:left w:val="single" w:sz="8" w:space="0" w:color="auto"/>
              <w:bottom w:val="single" w:sz="8" w:space="0" w:color="000000" w:themeColor="text1"/>
              <w:right w:val="single" w:sz="8" w:space="0" w:color="000000" w:themeColor="text1"/>
            </w:tcBorders>
            <w:tcMar>
              <w:left w:w="70" w:type="dxa"/>
              <w:right w:w="70" w:type="dxa"/>
            </w:tcMar>
            <w:vAlign w:val="center"/>
          </w:tcPr>
          <w:p w14:paraId="587B42CF" w14:textId="77777777" w:rsidR="004412F1" w:rsidRDefault="005A12A3">
            <w:pPr>
              <w:rPr>
                <w:lang w:val="es-PE"/>
              </w:rPr>
            </w:pPr>
            <w:r>
              <w:rPr>
                <w:rFonts w:ascii="Calibri" w:hAnsi="Calibri"/>
                <w:sz w:val="20"/>
                <w:lang w:val="es-PE"/>
              </w:rPr>
              <w:t>Visibilidad nocturna insuficiente de las líneas o marcas</w:t>
            </w:r>
          </w:p>
        </w:tc>
        <w:tc>
          <w:tcPr>
            <w:tcW w:w="7590" w:type="dxa"/>
            <w:gridSpan w:val="8"/>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BEF36B" w14:textId="77777777" w:rsidR="004412F1" w:rsidRDefault="005A12A3">
            <w:r>
              <w:rPr>
                <w:rFonts w:ascii="Calibri" w:hAnsi="Calibri"/>
                <w:sz w:val="20"/>
              </w:rPr>
              <w:t>Coeficiente de Reflectividad mínimo</w:t>
            </w:r>
          </w:p>
        </w:tc>
      </w:tr>
      <w:tr w:rsidR="004412F1" w14:paraId="026A8C6C" w14:textId="77777777">
        <w:trPr>
          <w:trHeight w:val="540"/>
        </w:trPr>
        <w:tc>
          <w:tcPr>
            <w:tcW w:w="1290" w:type="dxa"/>
            <w:vMerge/>
            <w:tcBorders>
              <w:left w:val="single" w:sz="0" w:space="0" w:color="auto"/>
              <w:right w:val="single" w:sz="0" w:space="0" w:color="000000" w:themeColor="text1"/>
            </w:tcBorders>
            <w:vAlign w:val="center"/>
          </w:tcPr>
          <w:p w14:paraId="3630F13D" w14:textId="77777777" w:rsidR="004412F1" w:rsidRDefault="004412F1"/>
        </w:tc>
        <w:tc>
          <w:tcPr>
            <w:tcW w:w="2460" w:type="dxa"/>
            <w:gridSpan w:val="2"/>
            <w:vMerge w:val="restart"/>
            <w:tcBorders>
              <w:top w:val="single" w:sz="8" w:space="0" w:color="auto"/>
              <w:left w:val="nil"/>
              <w:bottom w:val="single" w:sz="8" w:space="0" w:color="000000" w:themeColor="text1"/>
              <w:right w:val="single" w:sz="8" w:space="0" w:color="auto"/>
            </w:tcBorders>
            <w:tcMar>
              <w:left w:w="70" w:type="dxa"/>
              <w:right w:w="70" w:type="dxa"/>
            </w:tcMar>
            <w:vAlign w:val="center"/>
          </w:tcPr>
          <w:p w14:paraId="0EA3902C" w14:textId="77777777" w:rsidR="004412F1" w:rsidRDefault="005A12A3">
            <w:pPr>
              <w:rPr>
                <w:lang w:val="es-PE"/>
              </w:rPr>
            </w:pPr>
            <w:r>
              <w:rPr>
                <w:rFonts w:ascii="Calibri" w:hAnsi="Calibri"/>
                <w:sz w:val="20"/>
                <w:lang w:val="es-PE"/>
              </w:rPr>
              <w:t>Ángulo de observación de 1.05° y de incidencia de -86.5° (a 15m de observación)</w:t>
            </w:r>
          </w:p>
        </w:tc>
        <w:tc>
          <w:tcPr>
            <w:tcW w:w="1230" w:type="dxa"/>
            <w:gridSpan w:val="2"/>
            <w:tcBorders>
              <w:top w:val="nil"/>
              <w:left w:val="nil"/>
              <w:bottom w:val="single" w:sz="8" w:space="0" w:color="auto"/>
              <w:right w:val="single" w:sz="8" w:space="0" w:color="auto"/>
            </w:tcBorders>
            <w:tcMar>
              <w:left w:w="70" w:type="dxa"/>
              <w:right w:w="70" w:type="dxa"/>
            </w:tcMar>
            <w:vAlign w:val="center"/>
          </w:tcPr>
          <w:p w14:paraId="33DEA7C0" w14:textId="77777777" w:rsidR="004412F1" w:rsidRDefault="005A12A3">
            <w:r>
              <w:rPr>
                <w:rFonts w:ascii="Calibri" w:hAnsi="Calibri"/>
                <w:sz w:val="20"/>
              </w:rPr>
              <w:t>Amarillo 150 mcd/lux/m2</w:t>
            </w:r>
          </w:p>
        </w:tc>
        <w:tc>
          <w:tcPr>
            <w:tcW w:w="1140" w:type="dxa"/>
            <w:tcBorders>
              <w:top w:val="nil"/>
              <w:left w:val="nil"/>
              <w:bottom w:val="single" w:sz="8" w:space="0" w:color="auto"/>
              <w:right w:val="single" w:sz="8" w:space="0" w:color="auto"/>
            </w:tcBorders>
            <w:tcMar>
              <w:left w:w="70" w:type="dxa"/>
              <w:right w:w="70" w:type="dxa"/>
            </w:tcMar>
            <w:vAlign w:val="center"/>
          </w:tcPr>
          <w:p w14:paraId="7FD63A53" w14:textId="77777777" w:rsidR="004412F1" w:rsidRDefault="005A12A3">
            <w:r>
              <w:rPr>
                <w:rFonts w:ascii="Calibri" w:hAnsi="Calibri"/>
                <w:sz w:val="20"/>
              </w:rPr>
              <w:t>Amarillo 150 mcd/lux/m2</w:t>
            </w:r>
          </w:p>
        </w:tc>
        <w:tc>
          <w:tcPr>
            <w:tcW w:w="1335" w:type="dxa"/>
            <w:gridSpan w:val="2"/>
            <w:tcBorders>
              <w:top w:val="nil"/>
              <w:left w:val="single" w:sz="8" w:space="0" w:color="auto"/>
              <w:bottom w:val="single" w:sz="8" w:space="0" w:color="auto"/>
              <w:right w:val="single" w:sz="8" w:space="0" w:color="auto"/>
            </w:tcBorders>
            <w:tcMar>
              <w:left w:w="70" w:type="dxa"/>
              <w:right w:w="70" w:type="dxa"/>
            </w:tcMar>
            <w:vAlign w:val="center"/>
          </w:tcPr>
          <w:p w14:paraId="58889097" w14:textId="77777777" w:rsidR="004412F1" w:rsidRDefault="005A12A3">
            <w:r>
              <w:rPr>
                <w:rFonts w:ascii="Calibri" w:hAnsi="Calibri"/>
                <w:sz w:val="20"/>
              </w:rPr>
              <w:t>Amarillo 150 mcd/lux/m2</w:t>
            </w:r>
          </w:p>
        </w:tc>
        <w:tc>
          <w:tcPr>
            <w:tcW w:w="1425" w:type="dxa"/>
            <w:tcBorders>
              <w:top w:val="nil"/>
              <w:left w:val="nil"/>
              <w:bottom w:val="single" w:sz="8" w:space="0" w:color="auto"/>
              <w:right w:val="single" w:sz="8" w:space="0" w:color="auto"/>
            </w:tcBorders>
            <w:tcMar>
              <w:left w:w="70" w:type="dxa"/>
              <w:right w:w="70" w:type="dxa"/>
            </w:tcMar>
            <w:vAlign w:val="center"/>
          </w:tcPr>
          <w:p w14:paraId="0A1FD63D" w14:textId="77777777" w:rsidR="004412F1" w:rsidRDefault="005A12A3">
            <w:r>
              <w:rPr>
                <w:rFonts w:ascii="Calibri" w:hAnsi="Calibri"/>
                <w:sz w:val="20"/>
              </w:rPr>
              <w:t>Amarillo 150 mcd/lux/m2</w:t>
            </w:r>
          </w:p>
        </w:tc>
      </w:tr>
      <w:tr w:rsidR="004412F1" w14:paraId="3FB5F198" w14:textId="77777777">
        <w:trPr>
          <w:trHeight w:val="540"/>
        </w:trPr>
        <w:tc>
          <w:tcPr>
            <w:tcW w:w="1290" w:type="dxa"/>
            <w:vMerge/>
            <w:tcBorders>
              <w:left w:val="single" w:sz="0" w:space="0" w:color="auto"/>
              <w:right w:val="single" w:sz="0" w:space="0" w:color="000000" w:themeColor="text1"/>
            </w:tcBorders>
            <w:vAlign w:val="center"/>
          </w:tcPr>
          <w:p w14:paraId="4C99CFCB" w14:textId="77777777" w:rsidR="004412F1" w:rsidRDefault="004412F1"/>
        </w:tc>
        <w:tc>
          <w:tcPr>
            <w:tcW w:w="2460" w:type="dxa"/>
            <w:gridSpan w:val="2"/>
            <w:vMerge/>
            <w:tcBorders>
              <w:left w:val="nil"/>
              <w:bottom w:val="single" w:sz="0" w:space="0" w:color="000000" w:themeColor="text1"/>
              <w:right w:val="single" w:sz="0" w:space="0" w:color="auto"/>
            </w:tcBorders>
            <w:vAlign w:val="center"/>
          </w:tcPr>
          <w:p w14:paraId="43C5804E" w14:textId="77777777" w:rsidR="004412F1" w:rsidRDefault="004412F1"/>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0AD80DDA" w14:textId="77777777" w:rsidR="004412F1" w:rsidRDefault="005A12A3">
            <w:r>
              <w:rPr>
                <w:rFonts w:ascii="Calibri" w:hAnsi="Calibri"/>
                <w:sz w:val="20"/>
              </w:rPr>
              <w:t>Blanco 200 mcd/lux/m2</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1D980BAF" w14:textId="77777777" w:rsidR="004412F1" w:rsidRDefault="005A12A3">
            <w:r>
              <w:rPr>
                <w:rFonts w:ascii="Calibri" w:hAnsi="Calibri"/>
                <w:sz w:val="20"/>
              </w:rPr>
              <w:t>Blanco 200 mcd/lux/m2</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0507D9" w14:textId="77777777" w:rsidR="004412F1" w:rsidRDefault="005A12A3">
            <w:r>
              <w:rPr>
                <w:rFonts w:ascii="Calibri" w:hAnsi="Calibri"/>
                <w:sz w:val="20"/>
              </w:rPr>
              <w:t>Blanco 200 mcd/lux/m2</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750AF069" w14:textId="77777777" w:rsidR="004412F1" w:rsidRDefault="005A12A3">
            <w:r>
              <w:rPr>
                <w:rFonts w:ascii="Calibri" w:hAnsi="Calibri"/>
                <w:sz w:val="20"/>
              </w:rPr>
              <w:t>Blanco 200 mcd/lux/m2</w:t>
            </w:r>
          </w:p>
        </w:tc>
      </w:tr>
      <w:tr w:rsidR="004412F1" w14:paraId="26AA107C" w14:textId="77777777">
        <w:trPr>
          <w:trHeight w:val="540"/>
        </w:trPr>
        <w:tc>
          <w:tcPr>
            <w:tcW w:w="1290" w:type="dxa"/>
            <w:vMerge/>
            <w:tcBorders>
              <w:left w:val="single" w:sz="0" w:space="0" w:color="auto"/>
              <w:right w:val="single" w:sz="0" w:space="0" w:color="000000" w:themeColor="text1"/>
            </w:tcBorders>
            <w:vAlign w:val="center"/>
          </w:tcPr>
          <w:p w14:paraId="42021B07" w14:textId="77777777" w:rsidR="004412F1" w:rsidRDefault="004412F1"/>
        </w:tc>
        <w:tc>
          <w:tcPr>
            <w:tcW w:w="2460" w:type="dxa"/>
            <w:gridSpan w:val="2"/>
            <w:vMerge w:val="restart"/>
            <w:tcBorders>
              <w:top w:val="nil"/>
              <w:left w:val="nil"/>
              <w:bottom w:val="single" w:sz="8" w:space="0" w:color="000000" w:themeColor="text1"/>
              <w:right w:val="single" w:sz="8" w:space="0" w:color="auto"/>
            </w:tcBorders>
            <w:tcMar>
              <w:left w:w="70" w:type="dxa"/>
              <w:right w:w="70" w:type="dxa"/>
            </w:tcMar>
            <w:vAlign w:val="center"/>
          </w:tcPr>
          <w:p w14:paraId="65D3A7F8" w14:textId="77777777" w:rsidR="004412F1" w:rsidRDefault="005A12A3">
            <w:pPr>
              <w:rPr>
                <w:lang w:val="es-PE"/>
              </w:rPr>
            </w:pPr>
            <w:r>
              <w:rPr>
                <w:rFonts w:ascii="Calibri" w:hAnsi="Calibri"/>
                <w:sz w:val="20"/>
                <w:lang w:val="es-PE"/>
              </w:rPr>
              <w:t>Ángulo de observación de 1.05° y de incidencia de -88.76° (a 30m de observación)</w:t>
            </w:r>
          </w:p>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03DFB96D" w14:textId="77777777" w:rsidR="004412F1" w:rsidRDefault="005A12A3">
            <w:r>
              <w:rPr>
                <w:rFonts w:ascii="Calibri" w:hAnsi="Calibri"/>
                <w:sz w:val="20"/>
              </w:rPr>
              <w:t>Amarillo 80 mcd/lux/m2</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38D94664" w14:textId="77777777" w:rsidR="004412F1" w:rsidRDefault="005A12A3">
            <w:r>
              <w:rPr>
                <w:rFonts w:ascii="Calibri" w:hAnsi="Calibri"/>
                <w:sz w:val="20"/>
              </w:rPr>
              <w:t>Amarillo 80 mcd/lux/m2</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6E4239" w14:textId="77777777" w:rsidR="004412F1" w:rsidRDefault="005A12A3">
            <w:r>
              <w:rPr>
                <w:rFonts w:ascii="Calibri" w:hAnsi="Calibri"/>
                <w:sz w:val="20"/>
              </w:rPr>
              <w:t>Amarillo 80 mcd/lux/m2</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5AEF3AA7" w14:textId="77777777" w:rsidR="004412F1" w:rsidRDefault="005A12A3">
            <w:r>
              <w:rPr>
                <w:rFonts w:ascii="Calibri" w:hAnsi="Calibri"/>
                <w:sz w:val="20"/>
              </w:rPr>
              <w:t>Amarillo 80 mcd/lux/m2</w:t>
            </w:r>
          </w:p>
        </w:tc>
      </w:tr>
      <w:tr w:rsidR="004412F1" w14:paraId="706420EE" w14:textId="77777777">
        <w:trPr>
          <w:trHeight w:val="540"/>
        </w:trPr>
        <w:tc>
          <w:tcPr>
            <w:tcW w:w="1290" w:type="dxa"/>
            <w:vMerge/>
            <w:tcBorders>
              <w:left w:val="single" w:sz="0" w:space="0" w:color="auto"/>
              <w:bottom w:val="single" w:sz="0" w:space="0" w:color="000000" w:themeColor="text1"/>
              <w:right w:val="single" w:sz="0" w:space="0" w:color="000000" w:themeColor="text1"/>
            </w:tcBorders>
            <w:vAlign w:val="center"/>
          </w:tcPr>
          <w:p w14:paraId="65471A2B" w14:textId="77777777" w:rsidR="004412F1" w:rsidRDefault="004412F1"/>
        </w:tc>
        <w:tc>
          <w:tcPr>
            <w:tcW w:w="2460" w:type="dxa"/>
            <w:gridSpan w:val="2"/>
            <w:vMerge/>
            <w:tcBorders>
              <w:left w:val="nil"/>
              <w:bottom w:val="single" w:sz="0" w:space="0" w:color="000000" w:themeColor="text1"/>
              <w:right w:val="single" w:sz="0" w:space="0" w:color="auto"/>
            </w:tcBorders>
            <w:vAlign w:val="center"/>
          </w:tcPr>
          <w:p w14:paraId="73C3DB81" w14:textId="77777777" w:rsidR="004412F1" w:rsidRDefault="004412F1"/>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3BC8D5AE" w14:textId="77777777" w:rsidR="004412F1" w:rsidRDefault="005A12A3">
            <w:r>
              <w:rPr>
                <w:rFonts w:ascii="Calibri" w:hAnsi="Calibri"/>
                <w:sz w:val="20"/>
              </w:rPr>
              <w:t>Blanco 100 mcd/lux/m2</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22BA4AC1" w14:textId="77777777" w:rsidR="004412F1" w:rsidRDefault="005A12A3">
            <w:r>
              <w:rPr>
                <w:rFonts w:ascii="Calibri" w:hAnsi="Calibri"/>
                <w:sz w:val="20"/>
              </w:rPr>
              <w:t>Blanco 100 mcd/lux/m2</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D2A015" w14:textId="77777777" w:rsidR="004412F1" w:rsidRDefault="005A12A3">
            <w:r>
              <w:rPr>
                <w:rFonts w:ascii="Calibri" w:hAnsi="Calibri"/>
                <w:sz w:val="20"/>
              </w:rPr>
              <w:t>Blanco 100 mcd/lux/m2</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2E543AE5" w14:textId="77777777" w:rsidR="004412F1" w:rsidRDefault="005A12A3">
            <w:r>
              <w:rPr>
                <w:rFonts w:ascii="Calibri" w:hAnsi="Calibri"/>
                <w:sz w:val="20"/>
              </w:rPr>
              <w:t>Blanco 100 mcd/lux/m2</w:t>
            </w:r>
          </w:p>
        </w:tc>
      </w:tr>
      <w:tr w:rsidR="004412F1" w14:paraId="216E9BE2" w14:textId="77777777">
        <w:trPr>
          <w:trHeight w:val="510"/>
        </w:trPr>
        <w:tc>
          <w:tcPr>
            <w:tcW w:w="1290" w:type="dxa"/>
            <w:tcBorders>
              <w:top w:val="nil"/>
              <w:left w:val="single" w:sz="8" w:space="0" w:color="auto"/>
              <w:bottom w:val="single" w:sz="8" w:space="0" w:color="auto"/>
              <w:right w:val="single" w:sz="8" w:space="0" w:color="000000" w:themeColor="text1"/>
            </w:tcBorders>
            <w:tcMar>
              <w:left w:w="70" w:type="dxa"/>
              <w:right w:w="70" w:type="dxa"/>
            </w:tcMar>
            <w:vAlign w:val="center"/>
          </w:tcPr>
          <w:p w14:paraId="4C503E13" w14:textId="77777777" w:rsidR="004412F1" w:rsidRDefault="005A12A3">
            <w:pPr>
              <w:rPr>
                <w:lang w:val="es-PE"/>
              </w:rPr>
            </w:pPr>
            <w:r>
              <w:rPr>
                <w:rFonts w:ascii="Calibri" w:hAnsi="Calibri"/>
                <w:sz w:val="20"/>
                <w:lang w:val="es-PE"/>
              </w:rPr>
              <w:t>Exceso de desgaste de las líneas o marcas</w:t>
            </w:r>
          </w:p>
        </w:tc>
        <w:tc>
          <w:tcPr>
            <w:tcW w:w="2460" w:type="dxa"/>
            <w:gridSpan w:val="2"/>
            <w:tcBorders>
              <w:top w:val="nil"/>
              <w:left w:val="single" w:sz="8" w:space="0" w:color="auto"/>
              <w:bottom w:val="single" w:sz="8" w:space="0" w:color="auto"/>
              <w:right w:val="single" w:sz="8" w:space="0" w:color="auto"/>
            </w:tcBorders>
            <w:tcMar>
              <w:left w:w="70" w:type="dxa"/>
              <w:right w:w="70" w:type="dxa"/>
            </w:tcMar>
            <w:vAlign w:val="center"/>
          </w:tcPr>
          <w:p w14:paraId="3D6A433B" w14:textId="77777777" w:rsidR="004412F1" w:rsidRDefault="005A12A3">
            <w:r>
              <w:rPr>
                <w:rFonts w:ascii="Calibri" w:hAnsi="Calibri"/>
                <w:sz w:val="20"/>
              </w:rPr>
              <w:t>Porcentaje de deterioro máximo</w:t>
            </w:r>
          </w:p>
        </w:tc>
        <w:tc>
          <w:tcPr>
            <w:tcW w:w="1230" w:type="dxa"/>
            <w:gridSpan w:val="2"/>
            <w:tcBorders>
              <w:top w:val="single" w:sz="8" w:space="0" w:color="auto"/>
              <w:left w:val="nil"/>
              <w:bottom w:val="nil"/>
              <w:right w:val="single" w:sz="8" w:space="0" w:color="auto"/>
            </w:tcBorders>
            <w:tcMar>
              <w:left w:w="70" w:type="dxa"/>
              <w:right w:w="70" w:type="dxa"/>
            </w:tcMar>
            <w:vAlign w:val="center"/>
          </w:tcPr>
          <w:p w14:paraId="30A21097" w14:textId="77777777" w:rsidR="004412F1" w:rsidRDefault="005A12A3">
            <w:r>
              <w:rPr>
                <w:rFonts w:ascii="Calibri" w:hAnsi="Calibri"/>
                <w:sz w:val="20"/>
              </w:rPr>
              <w:t>20%</w:t>
            </w:r>
          </w:p>
        </w:tc>
        <w:tc>
          <w:tcPr>
            <w:tcW w:w="1140" w:type="dxa"/>
            <w:tcBorders>
              <w:top w:val="single" w:sz="8" w:space="0" w:color="auto"/>
              <w:left w:val="nil"/>
              <w:bottom w:val="nil"/>
              <w:right w:val="single" w:sz="8" w:space="0" w:color="auto"/>
            </w:tcBorders>
            <w:tcMar>
              <w:left w:w="70" w:type="dxa"/>
              <w:right w:w="70" w:type="dxa"/>
            </w:tcMar>
            <w:vAlign w:val="center"/>
          </w:tcPr>
          <w:p w14:paraId="546348BF" w14:textId="77777777" w:rsidR="004412F1" w:rsidRDefault="005A12A3">
            <w:r>
              <w:rPr>
                <w:rFonts w:ascii="Calibri" w:hAnsi="Calibri"/>
                <w:sz w:val="20"/>
              </w:rPr>
              <w:t>20%</w:t>
            </w:r>
          </w:p>
        </w:tc>
        <w:tc>
          <w:tcPr>
            <w:tcW w:w="1335" w:type="dxa"/>
            <w:gridSpan w:val="2"/>
            <w:tcBorders>
              <w:top w:val="single" w:sz="8" w:space="0" w:color="auto"/>
              <w:left w:val="single" w:sz="8" w:space="0" w:color="auto"/>
              <w:bottom w:val="nil"/>
              <w:right w:val="single" w:sz="8" w:space="0" w:color="auto"/>
            </w:tcBorders>
            <w:tcMar>
              <w:left w:w="70" w:type="dxa"/>
              <w:right w:w="70" w:type="dxa"/>
            </w:tcMar>
            <w:vAlign w:val="center"/>
          </w:tcPr>
          <w:p w14:paraId="7FEAA3B2" w14:textId="77777777" w:rsidR="004412F1" w:rsidRDefault="005A12A3">
            <w:r>
              <w:rPr>
                <w:rFonts w:ascii="Calibri" w:hAnsi="Calibri"/>
                <w:sz w:val="20"/>
              </w:rPr>
              <w:t>20%</w:t>
            </w:r>
          </w:p>
        </w:tc>
        <w:tc>
          <w:tcPr>
            <w:tcW w:w="1425" w:type="dxa"/>
            <w:tcBorders>
              <w:top w:val="single" w:sz="8" w:space="0" w:color="auto"/>
              <w:left w:val="nil"/>
              <w:bottom w:val="nil"/>
              <w:right w:val="single" w:sz="8" w:space="0" w:color="auto"/>
            </w:tcBorders>
            <w:tcMar>
              <w:left w:w="70" w:type="dxa"/>
              <w:right w:w="70" w:type="dxa"/>
            </w:tcMar>
            <w:vAlign w:val="center"/>
          </w:tcPr>
          <w:p w14:paraId="6796DB79" w14:textId="77777777" w:rsidR="004412F1" w:rsidRDefault="005A12A3">
            <w:r>
              <w:rPr>
                <w:rFonts w:ascii="Calibri" w:hAnsi="Calibri"/>
                <w:sz w:val="20"/>
              </w:rPr>
              <w:t>20%</w:t>
            </w:r>
          </w:p>
        </w:tc>
      </w:tr>
      <w:tr w:rsidR="004412F1" w14:paraId="20CC869C" w14:textId="77777777">
        <w:trPr>
          <w:trHeight w:val="855"/>
        </w:trPr>
        <w:tc>
          <w:tcPr>
            <w:tcW w:w="1290" w:type="dxa"/>
            <w:vMerge w:val="restart"/>
            <w:tcBorders>
              <w:top w:val="single" w:sz="8" w:space="0" w:color="auto"/>
              <w:left w:val="single" w:sz="8" w:space="0" w:color="auto"/>
              <w:bottom w:val="single" w:sz="8" w:space="0" w:color="000000" w:themeColor="text1"/>
              <w:right w:val="single" w:sz="8" w:space="0" w:color="000000" w:themeColor="text1"/>
            </w:tcBorders>
            <w:tcMar>
              <w:left w:w="70" w:type="dxa"/>
              <w:right w:w="70" w:type="dxa"/>
            </w:tcMar>
            <w:vAlign w:val="center"/>
          </w:tcPr>
          <w:p w14:paraId="2B5EE84C" w14:textId="77777777" w:rsidR="004412F1" w:rsidRDefault="005A12A3">
            <w:pPr>
              <w:rPr>
                <w:lang w:val="es-PE"/>
              </w:rPr>
            </w:pPr>
            <w:r>
              <w:rPr>
                <w:rFonts w:ascii="Calibri" w:hAnsi="Calibri"/>
                <w:sz w:val="20"/>
                <w:lang w:val="es-PE"/>
              </w:rPr>
              <w:t>Geometría incorrecta de las tachas reflectivas</w:t>
            </w:r>
          </w:p>
        </w:tc>
        <w:tc>
          <w:tcPr>
            <w:tcW w:w="2460" w:type="dxa"/>
            <w:gridSpan w:val="2"/>
            <w:tcBorders>
              <w:top w:val="single" w:sz="8" w:space="0" w:color="auto"/>
              <w:left w:val="single" w:sz="8" w:space="0" w:color="auto"/>
              <w:bottom w:val="single" w:sz="8" w:space="0" w:color="000000" w:themeColor="text1"/>
              <w:right w:val="nil"/>
            </w:tcBorders>
            <w:tcMar>
              <w:left w:w="70" w:type="dxa"/>
              <w:right w:w="70" w:type="dxa"/>
            </w:tcMar>
            <w:vAlign w:val="center"/>
          </w:tcPr>
          <w:p w14:paraId="7302721D" w14:textId="77777777" w:rsidR="004412F1" w:rsidRDefault="005A12A3">
            <w:pPr>
              <w:rPr>
                <w:lang w:val="es-PE"/>
              </w:rPr>
            </w:pPr>
            <w:r>
              <w:rPr>
                <w:rFonts w:ascii="Calibri" w:hAnsi="Calibri"/>
                <w:sz w:val="20"/>
                <w:lang w:val="es-PE"/>
              </w:rPr>
              <w:t>Distancia entre tachas en el eje (tangente)</w:t>
            </w:r>
          </w:p>
        </w:tc>
        <w:tc>
          <w:tcPr>
            <w:tcW w:w="123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E0BFD1" w14:textId="77777777" w:rsidR="004412F1" w:rsidRDefault="005A12A3">
            <w:r>
              <w:rPr>
                <w:rFonts w:ascii="Calibri" w:hAnsi="Calibri"/>
                <w:sz w:val="20"/>
              </w:rPr>
              <w:t xml:space="preserve">24 m </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2C2B8361" w14:textId="77777777" w:rsidR="004412F1" w:rsidRDefault="005A12A3">
            <w:r>
              <w:rPr>
                <w:rFonts w:ascii="Calibri" w:hAnsi="Calibri"/>
                <w:sz w:val="20"/>
              </w:rPr>
              <w:t xml:space="preserve">24 m </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5BDA89" w14:textId="77777777" w:rsidR="004412F1" w:rsidRDefault="005A12A3">
            <w:r>
              <w:rPr>
                <w:rFonts w:ascii="Calibri" w:hAnsi="Calibri"/>
                <w:sz w:val="20"/>
              </w:rPr>
              <w:t xml:space="preserve">24 m                                       </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0ADB7963" w14:textId="77777777" w:rsidR="004412F1" w:rsidRDefault="005A12A3">
            <w:r>
              <w:rPr>
                <w:rFonts w:ascii="Calibri" w:hAnsi="Calibri"/>
                <w:sz w:val="20"/>
              </w:rPr>
              <w:t xml:space="preserve">24 m                                       </w:t>
            </w:r>
          </w:p>
        </w:tc>
      </w:tr>
      <w:tr w:rsidR="004412F1" w14:paraId="6CE80C4B" w14:textId="77777777">
        <w:trPr>
          <w:trHeight w:val="630"/>
        </w:trPr>
        <w:tc>
          <w:tcPr>
            <w:tcW w:w="1290" w:type="dxa"/>
            <w:vMerge/>
            <w:tcBorders>
              <w:left w:val="single" w:sz="0" w:space="0" w:color="auto"/>
              <w:bottom w:val="single" w:sz="0" w:space="0" w:color="000000" w:themeColor="text1"/>
              <w:right w:val="single" w:sz="0" w:space="0" w:color="auto"/>
            </w:tcBorders>
            <w:vAlign w:val="center"/>
          </w:tcPr>
          <w:p w14:paraId="6154D8A0" w14:textId="77777777" w:rsidR="004412F1" w:rsidRDefault="004412F1"/>
        </w:tc>
        <w:tc>
          <w:tcPr>
            <w:tcW w:w="2460" w:type="dxa"/>
            <w:gridSpan w:val="2"/>
            <w:tcBorders>
              <w:top w:val="single" w:sz="8" w:space="0" w:color="auto"/>
              <w:left w:val="nil"/>
              <w:bottom w:val="single" w:sz="8" w:space="0" w:color="auto"/>
              <w:right w:val="nil"/>
            </w:tcBorders>
            <w:tcMar>
              <w:left w:w="70" w:type="dxa"/>
              <w:right w:w="70" w:type="dxa"/>
            </w:tcMar>
            <w:vAlign w:val="center"/>
          </w:tcPr>
          <w:p w14:paraId="0F0756AF" w14:textId="77777777" w:rsidR="004412F1" w:rsidRDefault="005A12A3">
            <w:pPr>
              <w:rPr>
                <w:lang w:val="es-PE"/>
              </w:rPr>
            </w:pPr>
            <w:r>
              <w:rPr>
                <w:rFonts w:ascii="Calibri" w:hAnsi="Calibri"/>
                <w:sz w:val="20"/>
                <w:lang w:val="es-PE"/>
              </w:rPr>
              <w:t>Distancia entre tachas en el eje (en curvas)</w:t>
            </w:r>
          </w:p>
        </w:tc>
        <w:tc>
          <w:tcPr>
            <w:tcW w:w="123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9521E9" w14:textId="77777777" w:rsidR="004412F1" w:rsidRDefault="005A12A3">
            <w:pPr>
              <w:rPr>
                <w:lang w:val="es-PE"/>
              </w:rPr>
            </w:pPr>
            <w:proofErr w:type="gramStart"/>
            <w:r>
              <w:rPr>
                <w:rFonts w:ascii="Calibri" w:hAnsi="Calibri"/>
                <w:sz w:val="20"/>
                <w:lang w:val="es-PE"/>
              </w:rPr>
              <w:t>De acuerdo a</w:t>
            </w:r>
            <w:proofErr w:type="gramEnd"/>
            <w:r>
              <w:rPr>
                <w:rFonts w:ascii="Calibri" w:hAnsi="Calibri"/>
                <w:sz w:val="20"/>
                <w:lang w:val="es-PE"/>
              </w:rPr>
              <w:t xml:space="preserve"> lo establecido en la norma</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1F42B32D" w14:textId="77777777" w:rsidR="004412F1" w:rsidRDefault="005A12A3">
            <w:pPr>
              <w:rPr>
                <w:lang w:val="es-PE"/>
              </w:rPr>
            </w:pPr>
            <w:proofErr w:type="gramStart"/>
            <w:r>
              <w:rPr>
                <w:rFonts w:ascii="Calibri" w:hAnsi="Calibri"/>
                <w:sz w:val="20"/>
                <w:lang w:val="es-PE"/>
              </w:rPr>
              <w:t>De acuerdo a</w:t>
            </w:r>
            <w:proofErr w:type="gramEnd"/>
            <w:r>
              <w:rPr>
                <w:rFonts w:ascii="Calibri" w:hAnsi="Calibri"/>
                <w:sz w:val="20"/>
                <w:lang w:val="es-PE"/>
              </w:rPr>
              <w:t xml:space="preserve"> lo establecido en la norma</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E07C6B" w14:textId="77777777" w:rsidR="004412F1" w:rsidRDefault="005A12A3">
            <w:pPr>
              <w:rPr>
                <w:lang w:val="es-PE"/>
              </w:rPr>
            </w:pPr>
            <w:proofErr w:type="gramStart"/>
            <w:r>
              <w:rPr>
                <w:rFonts w:ascii="Calibri" w:hAnsi="Calibri"/>
                <w:sz w:val="20"/>
                <w:lang w:val="es-PE"/>
              </w:rPr>
              <w:t>De acuerdo a</w:t>
            </w:r>
            <w:proofErr w:type="gramEnd"/>
            <w:r>
              <w:rPr>
                <w:rFonts w:ascii="Calibri" w:hAnsi="Calibri"/>
                <w:sz w:val="20"/>
                <w:lang w:val="es-PE"/>
              </w:rPr>
              <w:t xml:space="preserve"> lo establecido en la norma</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2B12021E" w14:textId="77777777" w:rsidR="004412F1" w:rsidRDefault="005A12A3">
            <w:pPr>
              <w:rPr>
                <w:lang w:val="es-PE"/>
              </w:rPr>
            </w:pPr>
            <w:proofErr w:type="gramStart"/>
            <w:r>
              <w:rPr>
                <w:rFonts w:ascii="Calibri" w:hAnsi="Calibri"/>
                <w:sz w:val="20"/>
                <w:lang w:val="es-PE"/>
              </w:rPr>
              <w:t>De acuerdo a</w:t>
            </w:r>
            <w:proofErr w:type="gramEnd"/>
            <w:r>
              <w:rPr>
                <w:rFonts w:ascii="Calibri" w:hAnsi="Calibri"/>
                <w:sz w:val="20"/>
                <w:lang w:val="es-PE"/>
              </w:rPr>
              <w:t xml:space="preserve"> lo establecido en la norma</w:t>
            </w:r>
          </w:p>
        </w:tc>
      </w:tr>
      <w:tr w:rsidR="004412F1" w14:paraId="41445C6A" w14:textId="77777777">
        <w:trPr>
          <w:trHeight w:val="570"/>
        </w:trPr>
        <w:tc>
          <w:tcPr>
            <w:tcW w:w="1290"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1D2C7975" w14:textId="77777777" w:rsidR="004412F1" w:rsidRDefault="005A12A3">
            <w:pPr>
              <w:rPr>
                <w:lang w:val="es-PE"/>
              </w:rPr>
            </w:pPr>
            <w:r>
              <w:rPr>
                <w:rFonts w:ascii="Calibri" w:hAnsi="Calibri"/>
                <w:sz w:val="20"/>
                <w:lang w:val="es-PE"/>
              </w:rPr>
              <w:t>Deterioro de las tachas reflectivas</w:t>
            </w:r>
          </w:p>
        </w:tc>
        <w:tc>
          <w:tcPr>
            <w:tcW w:w="246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3C39AC" w14:textId="77777777" w:rsidR="004412F1" w:rsidRDefault="005A12A3">
            <w:pPr>
              <w:rPr>
                <w:lang w:val="es-PE"/>
              </w:rPr>
            </w:pPr>
            <w:r>
              <w:rPr>
                <w:rFonts w:ascii="Calibri" w:hAnsi="Calibri"/>
                <w:sz w:val="20"/>
                <w:lang w:val="es-PE"/>
              </w:rPr>
              <w:t>Desplazamientos de su posición original</w:t>
            </w:r>
          </w:p>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777D4FDA" w14:textId="77777777" w:rsidR="004412F1" w:rsidRDefault="005A12A3">
            <w:r>
              <w:rPr>
                <w:rFonts w:ascii="Calibri" w:hAnsi="Calibri"/>
                <w:sz w:val="20"/>
              </w:rPr>
              <w:t>3 mm</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1D6D4C44" w14:textId="77777777" w:rsidR="004412F1" w:rsidRDefault="005A12A3">
            <w:r>
              <w:rPr>
                <w:rFonts w:ascii="Calibri" w:hAnsi="Calibri"/>
                <w:sz w:val="20"/>
              </w:rPr>
              <w:t>3 mm</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13A01A" w14:textId="77777777" w:rsidR="004412F1" w:rsidRDefault="005A12A3">
            <w:r>
              <w:rPr>
                <w:rFonts w:ascii="Calibri" w:hAnsi="Calibri"/>
                <w:sz w:val="20"/>
              </w:rPr>
              <w:t>No se Admitirán</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5CF1BF4A" w14:textId="77777777" w:rsidR="004412F1" w:rsidRDefault="005A12A3">
            <w:r>
              <w:rPr>
                <w:rFonts w:ascii="Calibri" w:hAnsi="Calibri"/>
                <w:sz w:val="20"/>
              </w:rPr>
              <w:t>No se Admitirán</w:t>
            </w:r>
          </w:p>
        </w:tc>
      </w:tr>
      <w:tr w:rsidR="004412F1" w14:paraId="519C5508" w14:textId="77777777">
        <w:trPr>
          <w:trHeight w:val="510"/>
        </w:trPr>
        <w:tc>
          <w:tcPr>
            <w:tcW w:w="1290" w:type="dxa"/>
            <w:vMerge/>
            <w:tcBorders>
              <w:left w:val="single" w:sz="0" w:space="0" w:color="auto"/>
              <w:bottom w:val="single" w:sz="0" w:space="0" w:color="000000" w:themeColor="text1"/>
              <w:right w:val="single" w:sz="0" w:space="0" w:color="auto"/>
            </w:tcBorders>
            <w:vAlign w:val="center"/>
          </w:tcPr>
          <w:p w14:paraId="769A22E0" w14:textId="77777777" w:rsidR="004412F1" w:rsidRDefault="004412F1"/>
        </w:tc>
        <w:tc>
          <w:tcPr>
            <w:tcW w:w="246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1238D973" w14:textId="77777777" w:rsidR="004412F1" w:rsidRDefault="005A12A3">
            <w:pPr>
              <w:rPr>
                <w:lang w:val="es-PE"/>
              </w:rPr>
            </w:pPr>
            <w:r>
              <w:rPr>
                <w:rFonts w:ascii="Calibri" w:hAnsi="Calibri"/>
                <w:sz w:val="20"/>
                <w:lang w:val="es-PE"/>
              </w:rPr>
              <w:t>Deterioros totales o parciales del área reflectiva o del cuerpo</w:t>
            </w:r>
          </w:p>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29FABDD0" w14:textId="77777777" w:rsidR="004412F1" w:rsidRDefault="005A12A3">
            <w:r>
              <w:rPr>
                <w:rFonts w:ascii="Calibri" w:hAnsi="Calibri"/>
                <w:sz w:val="20"/>
              </w:rPr>
              <w:t>No se Admiten</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13508E69" w14:textId="77777777" w:rsidR="004412F1" w:rsidRDefault="005A12A3">
            <w:r>
              <w:rPr>
                <w:rFonts w:ascii="Calibri" w:hAnsi="Calibri"/>
                <w:sz w:val="20"/>
              </w:rPr>
              <w:t>No se Admiten</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740E51" w14:textId="77777777" w:rsidR="004412F1" w:rsidRDefault="005A12A3">
            <w:r>
              <w:rPr>
                <w:rFonts w:ascii="Calibri" w:hAnsi="Calibri"/>
                <w:sz w:val="20"/>
              </w:rPr>
              <w:t>No se Admiten</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4355E76F" w14:textId="77777777" w:rsidR="004412F1" w:rsidRDefault="005A12A3">
            <w:r>
              <w:rPr>
                <w:rFonts w:ascii="Calibri" w:hAnsi="Calibri"/>
                <w:sz w:val="20"/>
              </w:rPr>
              <w:t>No se Admiten</w:t>
            </w:r>
          </w:p>
        </w:tc>
      </w:tr>
      <w:tr w:rsidR="004412F1" w14:paraId="35DE3134" w14:textId="77777777">
        <w:trPr>
          <w:trHeight w:val="1245"/>
        </w:trPr>
        <w:tc>
          <w:tcPr>
            <w:tcW w:w="1290" w:type="dxa"/>
            <w:tcBorders>
              <w:top w:val="nil"/>
              <w:left w:val="single" w:sz="8" w:space="0" w:color="auto"/>
              <w:bottom w:val="single" w:sz="8" w:space="0" w:color="auto"/>
              <w:right w:val="single" w:sz="8" w:space="0" w:color="auto"/>
            </w:tcBorders>
            <w:tcMar>
              <w:left w:w="70" w:type="dxa"/>
              <w:right w:w="70" w:type="dxa"/>
            </w:tcMar>
            <w:vAlign w:val="center"/>
          </w:tcPr>
          <w:p w14:paraId="7576E739" w14:textId="77777777" w:rsidR="004412F1" w:rsidRDefault="005A12A3">
            <w:pPr>
              <w:rPr>
                <w:lang w:val="es-PE"/>
              </w:rPr>
            </w:pPr>
            <w:r>
              <w:rPr>
                <w:rFonts w:ascii="Calibri" w:hAnsi="Calibri"/>
                <w:sz w:val="20"/>
                <w:lang w:val="es-PE"/>
              </w:rPr>
              <w:t>Pérdida o inutilidad de las tachas reflectivas</w:t>
            </w:r>
          </w:p>
        </w:tc>
        <w:tc>
          <w:tcPr>
            <w:tcW w:w="246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91754F" w14:textId="77777777" w:rsidR="004412F1" w:rsidRDefault="005A12A3">
            <w:pPr>
              <w:rPr>
                <w:lang w:val="es-PE"/>
              </w:rPr>
            </w:pPr>
            <w:r>
              <w:rPr>
                <w:rFonts w:ascii="Calibri" w:hAnsi="Calibri"/>
                <w:sz w:val="20"/>
                <w:lang w:val="es-PE"/>
              </w:rPr>
              <w:t>Porcentaje máximo de tachas reflectivas perdidas o inútiles</w:t>
            </w:r>
          </w:p>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center"/>
          </w:tcPr>
          <w:p w14:paraId="004E3E6E" w14:textId="77777777" w:rsidR="004412F1" w:rsidRDefault="005A12A3">
            <w:r>
              <w:rPr>
                <w:rFonts w:ascii="Calibri" w:hAnsi="Calibri"/>
                <w:sz w:val="20"/>
              </w:rPr>
              <w:t>No se Admiten</w:t>
            </w:r>
          </w:p>
        </w:tc>
        <w:tc>
          <w:tcPr>
            <w:tcW w:w="1140" w:type="dxa"/>
            <w:tcBorders>
              <w:top w:val="single" w:sz="8" w:space="0" w:color="auto"/>
              <w:left w:val="nil"/>
              <w:bottom w:val="single" w:sz="8" w:space="0" w:color="auto"/>
              <w:right w:val="single" w:sz="8" w:space="0" w:color="auto"/>
            </w:tcBorders>
            <w:tcMar>
              <w:left w:w="70" w:type="dxa"/>
              <w:right w:w="70" w:type="dxa"/>
            </w:tcMar>
            <w:vAlign w:val="center"/>
          </w:tcPr>
          <w:p w14:paraId="54BDB6A2" w14:textId="77777777" w:rsidR="004412F1" w:rsidRDefault="005A12A3">
            <w:r>
              <w:rPr>
                <w:rFonts w:ascii="Calibri" w:hAnsi="Calibri"/>
                <w:sz w:val="20"/>
              </w:rPr>
              <w:t>20%</w:t>
            </w:r>
          </w:p>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14594C" w14:textId="77777777" w:rsidR="004412F1" w:rsidRDefault="005A12A3">
            <w:r>
              <w:rPr>
                <w:rFonts w:ascii="Calibri" w:hAnsi="Calibri"/>
                <w:sz w:val="20"/>
              </w:rPr>
              <w:t>No se Admiten</w:t>
            </w:r>
          </w:p>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60B25E72" w14:textId="77777777" w:rsidR="004412F1" w:rsidRDefault="005A12A3">
            <w:r>
              <w:rPr>
                <w:rFonts w:ascii="Calibri" w:hAnsi="Calibri"/>
                <w:sz w:val="20"/>
              </w:rPr>
              <w:t>20%</w:t>
            </w:r>
          </w:p>
        </w:tc>
      </w:tr>
      <w:tr w:rsidR="004412F1" w14:paraId="3510CEED" w14:textId="77777777">
        <w:trPr>
          <w:trHeight w:val="300"/>
        </w:trPr>
        <w:tc>
          <w:tcPr>
            <w:tcW w:w="1290" w:type="dxa"/>
            <w:tcBorders>
              <w:left w:val="single" w:sz="8" w:space="0" w:color="auto"/>
              <w:bottom w:val="single" w:sz="8" w:space="0" w:color="000000" w:themeColor="text1"/>
              <w:right w:val="single" w:sz="8" w:space="0" w:color="auto"/>
            </w:tcBorders>
            <w:tcMar>
              <w:left w:w="70" w:type="dxa"/>
              <w:right w:w="70" w:type="dxa"/>
            </w:tcMar>
            <w:vAlign w:val="bottom"/>
          </w:tcPr>
          <w:p w14:paraId="2812600C" w14:textId="77777777" w:rsidR="004412F1" w:rsidRDefault="004412F1"/>
        </w:tc>
        <w:tc>
          <w:tcPr>
            <w:tcW w:w="2460"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FB8320" w14:textId="77777777" w:rsidR="004412F1" w:rsidRDefault="004412F1"/>
        </w:tc>
        <w:tc>
          <w:tcPr>
            <w:tcW w:w="1230" w:type="dxa"/>
            <w:gridSpan w:val="2"/>
            <w:tcBorders>
              <w:top w:val="single" w:sz="8" w:space="0" w:color="auto"/>
              <w:left w:val="nil"/>
              <w:bottom w:val="single" w:sz="8" w:space="0" w:color="auto"/>
              <w:right w:val="single" w:sz="8" w:space="0" w:color="auto"/>
            </w:tcBorders>
            <w:tcMar>
              <w:left w:w="70" w:type="dxa"/>
              <w:right w:w="70" w:type="dxa"/>
            </w:tcMar>
            <w:vAlign w:val="bottom"/>
          </w:tcPr>
          <w:p w14:paraId="42E24980" w14:textId="77777777" w:rsidR="004412F1" w:rsidRDefault="004412F1"/>
        </w:tc>
        <w:tc>
          <w:tcPr>
            <w:tcW w:w="1140" w:type="dxa"/>
            <w:tcMar>
              <w:left w:w="70" w:type="dxa"/>
              <w:right w:w="70" w:type="dxa"/>
            </w:tcMar>
            <w:vAlign w:val="bottom"/>
          </w:tcPr>
          <w:p w14:paraId="7E2A9C65" w14:textId="77777777" w:rsidR="004412F1" w:rsidRDefault="004412F1"/>
        </w:tc>
        <w:tc>
          <w:tcPr>
            <w:tcW w:w="133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BEDA48" w14:textId="77777777" w:rsidR="004412F1" w:rsidRDefault="004412F1"/>
        </w:tc>
        <w:tc>
          <w:tcPr>
            <w:tcW w:w="1425" w:type="dxa"/>
            <w:tcMar>
              <w:left w:w="70" w:type="dxa"/>
              <w:right w:w="70" w:type="dxa"/>
            </w:tcMar>
            <w:vAlign w:val="bottom"/>
          </w:tcPr>
          <w:p w14:paraId="0BC8E549" w14:textId="77777777" w:rsidR="004412F1" w:rsidRDefault="004412F1"/>
        </w:tc>
      </w:tr>
      <w:tr w:rsidR="004412F1" w14:paraId="76561D9A" w14:textId="77777777">
        <w:trPr>
          <w:trHeight w:val="255"/>
        </w:trPr>
        <w:tc>
          <w:tcPr>
            <w:tcW w:w="4980" w:type="dxa"/>
            <w:gridSpan w:val="5"/>
            <w:tcMar>
              <w:left w:w="70" w:type="dxa"/>
              <w:right w:w="70" w:type="dxa"/>
            </w:tcMar>
            <w:vAlign w:val="bottom"/>
          </w:tcPr>
          <w:p w14:paraId="60DF36C8" w14:textId="77777777" w:rsidR="004412F1" w:rsidRDefault="005A12A3">
            <w:pPr>
              <w:ind w:left="371" w:hanging="371"/>
              <w:rPr>
                <w:rFonts w:ascii="Calibri" w:hAnsi="Calibri"/>
                <w:sz w:val="20"/>
                <w:lang w:val="es-PE"/>
              </w:rPr>
            </w:pPr>
            <w:r>
              <w:rPr>
                <w:rFonts w:ascii="Calibri" w:hAnsi="Calibri"/>
                <w:sz w:val="20"/>
                <w:lang w:val="es-PE"/>
              </w:rPr>
              <w:t>(*)   Manual de Dispositivos de Control del Tránsito Automotor para calles y carreteras</w:t>
            </w:r>
          </w:p>
        </w:tc>
        <w:tc>
          <w:tcPr>
            <w:tcW w:w="1140" w:type="dxa"/>
            <w:tcMar>
              <w:left w:w="70" w:type="dxa"/>
              <w:right w:w="70" w:type="dxa"/>
            </w:tcMar>
            <w:vAlign w:val="bottom"/>
          </w:tcPr>
          <w:p w14:paraId="6E458AF1" w14:textId="77777777" w:rsidR="004412F1" w:rsidRDefault="004412F1">
            <w:pPr>
              <w:rPr>
                <w:lang w:val="es-PE"/>
              </w:rPr>
            </w:pPr>
          </w:p>
        </w:tc>
        <w:tc>
          <w:tcPr>
            <w:tcW w:w="1335" w:type="dxa"/>
            <w:gridSpan w:val="2"/>
            <w:tcMar>
              <w:left w:w="70" w:type="dxa"/>
              <w:right w:w="70" w:type="dxa"/>
            </w:tcMar>
            <w:vAlign w:val="center"/>
          </w:tcPr>
          <w:p w14:paraId="7CF03C27" w14:textId="77777777" w:rsidR="004412F1" w:rsidRDefault="004412F1">
            <w:pPr>
              <w:rPr>
                <w:lang w:val="es-PE"/>
              </w:rPr>
            </w:pPr>
          </w:p>
        </w:tc>
        <w:tc>
          <w:tcPr>
            <w:tcW w:w="1425" w:type="dxa"/>
            <w:tcMar>
              <w:left w:w="70" w:type="dxa"/>
              <w:right w:w="70" w:type="dxa"/>
            </w:tcMar>
            <w:vAlign w:val="bottom"/>
          </w:tcPr>
          <w:p w14:paraId="2740A712" w14:textId="77777777" w:rsidR="004412F1" w:rsidRDefault="004412F1">
            <w:pPr>
              <w:rPr>
                <w:lang w:val="es-PE"/>
              </w:rPr>
            </w:pPr>
          </w:p>
        </w:tc>
      </w:tr>
    </w:tbl>
    <w:p w14:paraId="60BA8266" w14:textId="77777777" w:rsidR="004412F1" w:rsidRDefault="004412F1">
      <w:pPr>
        <w:ind w:hanging="964"/>
        <w:jc w:val="center"/>
        <w:rPr>
          <w:b/>
          <w:color w:val="000000"/>
          <w:sz w:val="30"/>
          <w:lang w:val="es-PE"/>
        </w:rPr>
      </w:pPr>
    </w:p>
    <w:p w14:paraId="438D127C" w14:textId="77777777" w:rsidR="004412F1" w:rsidRDefault="005A12A3">
      <w:pPr>
        <w:rPr>
          <w:lang w:val="es-PE"/>
        </w:rPr>
      </w:pPr>
      <w:r>
        <w:rPr>
          <w:lang w:val="es-PE"/>
        </w:rPr>
        <w:br w:type="page"/>
      </w:r>
    </w:p>
    <w:p w14:paraId="160AF8E4" w14:textId="77777777" w:rsidR="004412F1" w:rsidRDefault="005A12A3">
      <w:pPr>
        <w:jc w:val="center"/>
        <w:rPr>
          <w:b/>
          <w:lang w:val="es-PE"/>
        </w:rPr>
      </w:pPr>
      <w:r>
        <w:rPr>
          <w:b/>
          <w:lang w:val="es-PE"/>
        </w:rPr>
        <w:t>Niveles de Servicio para: Señalización Vertical</w:t>
      </w:r>
    </w:p>
    <w:p w14:paraId="3DFAEE23" w14:textId="77777777" w:rsidR="004412F1" w:rsidRDefault="004412F1">
      <w:pPr>
        <w:ind w:hanging="964"/>
        <w:jc w:val="center"/>
        <w:rPr>
          <w:b/>
          <w:color w:val="000000"/>
          <w:sz w:val="30"/>
          <w:lang w:val="es-PE"/>
        </w:rPr>
      </w:pPr>
    </w:p>
    <w:tbl>
      <w:tblPr>
        <w:tblW w:w="0" w:type="auto"/>
        <w:tblInd w:w="60" w:type="dxa"/>
        <w:tblLayout w:type="fixed"/>
        <w:tblLook w:val="04A0" w:firstRow="1" w:lastRow="0" w:firstColumn="1" w:lastColumn="0" w:noHBand="0" w:noVBand="1"/>
      </w:tblPr>
      <w:tblGrid>
        <w:gridCol w:w="1290"/>
        <w:gridCol w:w="1980"/>
        <w:gridCol w:w="1425"/>
        <w:gridCol w:w="1275"/>
        <w:gridCol w:w="1275"/>
        <w:gridCol w:w="1560"/>
      </w:tblGrid>
      <w:tr w:rsidR="004412F1" w14:paraId="5F4CD505" w14:textId="77777777">
        <w:trPr>
          <w:trHeight w:val="585"/>
        </w:trPr>
        <w:tc>
          <w:tcPr>
            <w:tcW w:w="8805"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5E8E8E1A" w14:textId="77777777" w:rsidR="004412F1" w:rsidRDefault="005A12A3">
            <w:pPr>
              <w:jc w:val="center"/>
              <w:rPr>
                <w:rFonts w:ascii="Calibri" w:hAnsi="Calibri"/>
                <w:b/>
                <w:sz w:val="20"/>
                <w:lang w:val="es"/>
              </w:rPr>
            </w:pPr>
            <w:r>
              <w:rPr>
                <w:rFonts w:ascii="Calibri" w:hAnsi="Calibri"/>
                <w:b/>
                <w:sz w:val="20"/>
                <w:lang w:val="es"/>
              </w:rPr>
              <w:t>Niveles de Servicio para:</w:t>
            </w:r>
          </w:p>
          <w:p w14:paraId="1DEE7009"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Señalización Vertical</w:t>
            </w:r>
          </w:p>
        </w:tc>
      </w:tr>
      <w:tr w:rsidR="004412F1" w14:paraId="5C41A384" w14:textId="77777777">
        <w:trPr>
          <w:trHeight w:val="360"/>
        </w:trPr>
        <w:tc>
          <w:tcPr>
            <w:tcW w:w="1290" w:type="dxa"/>
            <w:vMerge w:val="restart"/>
            <w:tcBorders>
              <w:top w:val="single" w:sz="8" w:space="0" w:color="auto"/>
              <w:left w:val="single" w:sz="8" w:space="0" w:color="auto"/>
              <w:bottom w:val="single" w:sz="8" w:space="0" w:color="000000" w:themeColor="text1"/>
              <w:right w:val="nil"/>
            </w:tcBorders>
            <w:shd w:val="clear" w:color="auto" w:fill="C2D69B" w:themeFill="accent3" w:themeFillTint="99"/>
            <w:tcMar>
              <w:left w:w="70" w:type="dxa"/>
              <w:right w:w="70" w:type="dxa"/>
            </w:tcMar>
            <w:vAlign w:val="center"/>
          </w:tcPr>
          <w:p w14:paraId="21951329"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1980" w:type="dxa"/>
            <w:vMerge w:val="restart"/>
            <w:tcBorders>
              <w:top w:val="nil"/>
              <w:left w:val="single" w:sz="8" w:space="0" w:color="auto"/>
              <w:bottom w:val="single" w:sz="8" w:space="0" w:color="000000" w:themeColor="text1"/>
              <w:right w:val="single" w:sz="8" w:space="0" w:color="auto"/>
            </w:tcBorders>
            <w:shd w:val="clear" w:color="auto" w:fill="C2D69B" w:themeFill="accent3" w:themeFillTint="99"/>
            <w:tcMar>
              <w:left w:w="70" w:type="dxa"/>
              <w:right w:w="70" w:type="dxa"/>
            </w:tcMar>
            <w:vAlign w:val="center"/>
          </w:tcPr>
          <w:p w14:paraId="6F0CC669"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700" w:type="dxa"/>
            <w:gridSpan w:val="2"/>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5824A507"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835"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0DBD330"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70C7A461" w14:textId="77777777">
        <w:trPr>
          <w:trHeight w:val="420"/>
        </w:trPr>
        <w:tc>
          <w:tcPr>
            <w:tcW w:w="1290" w:type="dxa"/>
            <w:vMerge/>
            <w:tcBorders>
              <w:left w:val="single" w:sz="0" w:space="0" w:color="auto"/>
              <w:bottom w:val="single" w:sz="0" w:space="0" w:color="000000" w:themeColor="text1"/>
            </w:tcBorders>
            <w:vAlign w:val="center"/>
          </w:tcPr>
          <w:p w14:paraId="5D2AD8F1" w14:textId="77777777" w:rsidR="004412F1" w:rsidRDefault="004412F1"/>
        </w:tc>
        <w:tc>
          <w:tcPr>
            <w:tcW w:w="1980" w:type="dxa"/>
            <w:vMerge/>
            <w:tcBorders>
              <w:left w:val="single" w:sz="0" w:space="0" w:color="auto"/>
              <w:bottom w:val="single" w:sz="0" w:space="0" w:color="000000" w:themeColor="text1"/>
              <w:right w:val="single" w:sz="0" w:space="0" w:color="auto"/>
            </w:tcBorders>
            <w:vAlign w:val="center"/>
          </w:tcPr>
          <w:p w14:paraId="4FD17529" w14:textId="77777777" w:rsidR="004412F1" w:rsidRDefault="004412F1"/>
        </w:tc>
        <w:tc>
          <w:tcPr>
            <w:tcW w:w="1425" w:type="dxa"/>
            <w:tcBorders>
              <w:top w:val="single" w:sz="8" w:space="0" w:color="auto"/>
              <w:left w:val="nil"/>
              <w:bottom w:val="single" w:sz="8" w:space="0" w:color="auto"/>
              <w:right w:val="single" w:sz="8" w:space="0" w:color="auto"/>
            </w:tcBorders>
            <w:shd w:val="clear" w:color="auto" w:fill="C2D69B" w:themeFill="accent3" w:themeFillTint="99"/>
            <w:tcMar>
              <w:left w:w="70" w:type="dxa"/>
              <w:right w:w="70" w:type="dxa"/>
            </w:tcMar>
            <w:vAlign w:val="center"/>
          </w:tcPr>
          <w:p w14:paraId="3188770B"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275" w:type="dxa"/>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5B4BAFF8"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275"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01AAA82C"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560"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0B0242C1"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7DC66602" w14:textId="77777777">
        <w:trPr>
          <w:trHeight w:val="600"/>
        </w:trPr>
        <w:tc>
          <w:tcPr>
            <w:tcW w:w="1290" w:type="dxa"/>
            <w:tcBorders>
              <w:top w:val="nil"/>
              <w:left w:val="single" w:sz="8" w:space="0" w:color="auto"/>
              <w:bottom w:val="single" w:sz="8" w:space="0" w:color="auto"/>
              <w:right w:val="single" w:sz="8" w:space="0" w:color="auto"/>
            </w:tcBorders>
            <w:tcMar>
              <w:left w:w="70" w:type="dxa"/>
              <w:right w:w="70" w:type="dxa"/>
            </w:tcMar>
            <w:vAlign w:val="center"/>
          </w:tcPr>
          <w:p w14:paraId="35FA0BE6" w14:textId="77777777" w:rsidR="004412F1" w:rsidRDefault="005A12A3">
            <w:pPr>
              <w:jc w:val="both"/>
              <w:rPr>
                <w:rFonts w:ascii="Calibri" w:hAnsi="Calibri"/>
                <w:sz w:val="20"/>
              </w:rPr>
            </w:pPr>
            <w:r>
              <w:rPr>
                <w:rFonts w:ascii="Calibri" w:hAnsi="Calibri"/>
                <w:sz w:val="20"/>
              </w:rPr>
              <w:t>Elementos faltantes</w:t>
            </w:r>
          </w:p>
        </w:tc>
        <w:tc>
          <w:tcPr>
            <w:tcW w:w="1980" w:type="dxa"/>
            <w:tcBorders>
              <w:top w:val="nil"/>
              <w:left w:val="single" w:sz="8" w:space="0" w:color="auto"/>
              <w:bottom w:val="single" w:sz="8" w:space="0" w:color="auto"/>
              <w:right w:val="single" w:sz="8" w:space="0" w:color="auto"/>
            </w:tcBorders>
            <w:tcMar>
              <w:left w:w="70" w:type="dxa"/>
              <w:right w:w="70" w:type="dxa"/>
            </w:tcMar>
            <w:vAlign w:val="center"/>
          </w:tcPr>
          <w:p w14:paraId="54A74C0C" w14:textId="77777777" w:rsidR="004412F1" w:rsidRDefault="005A12A3">
            <w:pPr>
              <w:jc w:val="both"/>
              <w:rPr>
                <w:rFonts w:ascii="Calibri" w:hAnsi="Calibri"/>
                <w:sz w:val="20"/>
              </w:rPr>
            </w:pPr>
            <w:r>
              <w:rPr>
                <w:rFonts w:ascii="Calibri" w:hAnsi="Calibri"/>
                <w:sz w:val="20"/>
              </w:rPr>
              <w:t>Elementos individuales faltantes</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1D4BDE"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F43F84"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3589CF"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F4C8C1" w14:textId="77777777" w:rsidR="004412F1" w:rsidRDefault="005A12A3">
            <w:r>
              <w:rPr>
                <w:rFonts w:ascii="Calibri" w:hAnsi="Calibri"/>
                <w:sz w:val="20"/>
              </w:rPr>
              <w:t>No se Admitirán</w:t>
            </w:r>
          </w:p>
        </w:tc>
      </w:tr>
      <w:tr w:rsidR="004412F1" w14:paraId="60A7E492" w14:textId="77777777">
        <w:trPr>
          <w:trHeight w:val="1590"/>
        </w:trPr>
        <w:tc>
          <w:tcPr>
            <w:tcW w:w="1290" w:type="dxa"/>
            <w:tcBorders>
              <w:top w:val="single" w:sz="8" w:space="0" w:color="auto"/>
              <w:left w:val="single" w:sz="8" w:space="0" w:color="auto"/>
              <w:bottom w:val="nil"/>
              <w:right w:val="single" w:sz="8" w:space="0" w:color="auto"/>
            </w:tcBorders>
            <w:tcMar>
              <w:left w:w="70" w:type="dxa"/>
              <w:right w:w="70" w:type="dxa"/>
            </w:tcMar>
            <w:vAlign w:val="center"/>
          </w:tcPr>
          <w:p w14:paraId="3F444905" w14:textId="77777777" w:rsidR="004412F1" w:rsidRDefault="005A12A3">
            <w:pPr>
              <w:jc w:val="both"/>
              <w:rPr>
                <w:rFonts w:ascii="Calibri" w:hAnsi="Calibri"/>
                <w:sz w:val="20"/>
                <w:lang w:val="es-PE"/>
              </w:rPr>
            </w:pPr>
            <w:r>
              <w:rPr>
                <w:rFonts w:ascii="Calibri" w:hAnsi="Calibri"/>
                <w:sz w:val="20"/>
                <w:lang w:val="es-PE"/>
              </w:rPr>
              <w:t>Decoloración de las placas de las señales</w:t>
            </w:r>
          </w:p>
        </w:tc>
        <w:tc>
          <w:tcPr>
            <w:tcW w:w="1980" w:type="dxa"/>
            <w:tcBorders>
              <w:top w:val="single" w:sz="8" w:space="0" w:color="auto"/>
              <w:left w:val="single" w:sz="8" w:space="0" w:color="auto"/>
              <w:bottom w:val="nil"/>
              <w:right w:val="single" w:sz="8" w:space="0" w:color="auto"/>
            </w:tcBorders>
            <w:tcMar>
              <w:left w:w="70" w:type="dxa"/>
              <w:right w:w="70" w:type="dxa"/>
            </w:tcMar>
            <w:vAlign w:val="center"/>
          </w:tcPr>
          <w:p w14:paraId="39B22D0B" w14:textId="77777777" w:rsidR="004412F1" w:rsidRDefault="005A12A3">
            <w:pPr>
              <w:jc w:val="both"/>
              <w:rPr>
                <w:rFonts w:ascii="Calibri" w:hAnsi="Calibri"/>
                <w:sz w:val="20"/>
                <w:lang w:val="es-PE"/>
              </w:rPr>
            </w:pPr>
            <w:r>
              <w:rPr>
                <w:rFonts w:ascii="Calibri" w:hAnsi="Calibri"/>
                <w:sz w:val="20"/>
                <w:lang w:val="es-PE"/>
              </w:rPr>
              <w:t>Coordenadas cromáticas "x" e "y" (geometría 45/0 y ángulo de observación patrón de 2°)</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76CBE0" w14:textId="77777777" w:rsidR="004412F1" w:rsidRDefault="005A12A3">
            <w:pPr>
              <w:rPr>
                <w:lang w:val="es-PE"/>
              </w:rPr>
            </w:pPr>
            <w:r>
              <w:rPr>
                <w:rFonts w:ascii="Calibri" w:hAnsi="Calibri"/>
                <w:sz w:val="20"/>
                <w:lang w:val="es-PE"/>
              </w:rPr>
              <w:t>Coordenadas cromáticas dentro del diagrama CIE definido por los 4 puntos contenidos en la tabla correspondiente (*)</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7811C9" w14:textId="77777777" w:rsidR="004412F1" w:rsidRDefault="005A12A3">
            <w:pPr>
              <w:rPr>
                <w:lang w:val="es-PE"/>
              </w:rPr>
            </w:pPr>
            <w:r>
              <w:rPr>
                <w:rFonts w:ascii="Calibri" w:hAnsi="Calibri"/>
                <w:sz w:val="20"/>
                <w:lang w:val="es-PE"/>
              </w:rPr>
              <w:t>Coordenadas cromáticas dentro del diagrama CIE definido por los 4 puntos contenidos en la tabla correspondiente (*)</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4F3BD0" w14:textId="77777777" w:rsidR="004412F1" w:rsidRDefault="005A12A3">
            <w:pPr>
              <w:rPr>
                <w:lang w:val="es-PE"/>
              </w:rPr>
            </w:pPr>
            <w:r>
              <w:rPr>
                <w:rFonts w:ascii="Calibri" w:hAnsi="Calibri"/>
                <w:sz w:val="20"/>
                <w:lang w:val="es-PE"/>
              </w:rPr>
              <w:t>Coordenadas cromáticas dentro del diagrama CIE definido por los 4 puntos contenidos en la tabla correspondiente (*)</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B674B3" w14:textId="77777777" w:rsidR="004412F1" w:rsidRDefault="005A12A3">
            <w:pPr>
              <w:rPr>
                <w:lang w:val="es-PE"/>
              </w:rPr>
            </w:pPr>
            <w:r>
              <w:rPr>
                <w:rFonts w:ascii="Calibri" w:hAnsi="Calibri"/>
                <w:sz w:val="20"/>
                <w:lang w:val="es-PE"/>
              </w:rPr>
              <w:t>Coordenadas cromáticas dentro del diagrama CIE definido por los 4 puntos contenidos en la tabla correspondiente (*)</w:t>
            </w:r>
          </w:p>
        </w:tc>
      </w:tr>
      <w:tr w:rsidR="004412F1" w14:paraId="2B437865" w14:textId="77777777">
        <w:trPr>
          <w:trHeight w:val="540"/>
        </w:trPr>
        <w:tc>
          <w:tcPr>
            <w:tcW w:w="1290" w:type="dxa"/>
            <w:vMerge w:val="restart"/>
            <w:tcBorders>
              <w:top w:val="single" w:sz="8" w:space="0" w:color="auto"/>
              <w:left w:val="single" w:sz="8" w:space="0" w:color="auto"/>
              <w:bottom w:val="single" w:sz="8" w:space="0" w:color="000000" w:themeColor="text1"/>
              <w:right w:val="nil"/>
            </w:tcBorders>
            <w:tcMar>
              <w:left w:w="70" w:type="dxa"/>
              <w:right w:w="70" w:type="dxa"/>
            </w:tcMar>
            <w:vAlign w:val="center"/>
          </w:tcPr>
          <w:p w14:paraId="23F8A44F" w14:textId="77777777" w:rsidR="004412F1" w:rsidRDefault="005A12A3">
            <w:pPr>
              <w:jc w:val="both"/>
              <w:rPr>
                <w:rFonts w:ascii="Calibri" w:hAnsi="Calibri"/>
                <w:sz w:val="20"/>
                <w:lang w:val="es-PE"/>
              </w:rPr>
            </w:pPr>
            <w:r>
              <w:rPr>
                <w:rFonts w:ascii="Calibri" w:hAnsi="Calibri"/>
                <w:sz w:val="20"/>
                <w:lang w:val="es-PE"/>
              </w:rPr>
              <w:t>Visibilidad nocturna insuficiente de las placas de las señales</w:t>
            </w:r>
          </w:p>
        </w:tc>
        <w:tc>
          <w:tcPr>
            <w:tcW w:w="1980"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14C43A6D" w14:textId="77777777" w:rsidR="004412F1" w:rsidRDefault="005A12A3">
            <w:pPr>
              <w:jc w:val="both"/>
              <w:rPr>
                <w:rFonts w:ascii="Calibri" w:hAnsi="Calibri"/>
                <w:sz w:val="20"/>
                <w:lang w:val="es-PE"/>
              </w:rPr>
            </w:pPr>
            <w:r>
              <w:rPr>
                <w:rFonts w:ascii="Calibri" w:hAnsi="Calibri"/>
                <w:sz w:val="20"/>
                <w:lang w:val="es-PE"/>
              </w:rPr>
              <w:t>Coeficiente de Reflectividad mínimo (ángulo de observación de 0.2° y de incidencia de - 4°)</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022543" w14:textId="77777777" w:rsidR="004412F1" w:rsidRDefault="005A12A3">
            <w:r>
              <w:rPr>
                <w:rFonts w:ascii="Calibri" w:hAnsi="Calibri"/>
                <w:sz w:val="20"/>
              </w:rPr>
              <w:t>Amarillo: 100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5C67FD" w14:textId="77777777" w:rsidR="004412F1" w:rsidRDefault="005A12A3">
            <w:r>
              <w:rPr>
                <w:rFonts w:ascii="Calibri" w:hAnsi="Calibri"/>
                <w:sz w:val="20"/>
              </w:rPr>
              <w:t>Amarillo: 100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0E16EC" w14:textId="77777777" w:rsidR="004412F1" w:rsidRDefault="005A12A3">
            <w:r>
              <w:rPr>
                <w:rFonts w:ascii="Calibri" w:hAnsi="Calibri"/>
                <w:sz w:val="20"/>
              </w:rPr>
              <w:t>Amarillo: 100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92368C" w14:textId="77777777" w:rsidR="004412F1" w:rsidRDefault="005A12A3">
            <w:r>
              <w:rPr>
                <w:rFonts w:ascii="Calibri" w:hAnsi="Calibri"/>
                <w:sz w:val="20"/>
              </w:rPr>
              <w:t>Amarillo: 100 Cd/lux/m2</w:t>
            </w:r>
          </w:p>
        </w:tc>
      </w:tr>
      <w:tr w:rsidR="004412F1" w14:paraId="04052940" w14:textId="77777777">
        <w:trPr>
          <w:trHeight w:val="540"/>
        </w:trPr>
        <w:tc>
          <w:tcPr>
            <w:tcW w:w="1290" w:type="dxa"/>
            <w:vMerge/>
            <w:tcBorders>
              <w:left w:val="single" w:sz="0" w:space="0" w:color="auto"/>
            </w:tcBorders>
            <w:vAlign w:val="center"/>
          </w:tcPr>
          <w:p w14:paraId="566E84DF" w14:textId="77777777" w:rsidR="004412F1" w:rsidRDefault="004412F1"/>
        </w:tc>
        <w:tc>
          <w:tcPr>
            <w:tcW w:w="1980" w:type="dxa"/>
            <w:vMerge/>
            <w:tcBorders>
              <w:left w:val="single" w:sz="0" w:space="0" w:color="auto"/>
              <w:right w:val="single" w:sz="0" w:space="0" w:color="auto"/>
            </w:tcBorders>
            <w:vAlign w:val="center"/>
          </w:tcPr>
          <w:p w14:paraId="68EC321B" w14:textId="77777777" w:rsidR="004412F1" w:rsidRDefault="004412F1"/>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484B2082" w14:textId="77777777" w:rsidR="004412F1" w:rsidRDefault="005A12A3">
            <w:r>
              <w:rPr>
                <w:rFonts w:ascii="Calibri" w:hAnsi="Calibri"/>
                <w:sz w:val="20"/>
              </w:rPr>
              <w:t>Blanco: 140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2AE7E2" w14:textId="77777777" w:rsidR="004412F1" w:rsidRDefault="005A12A3">
            <w:r>
              <w:rPr>
                <w:rFonts w:ascii="Calibri" w:hAnsi="Calibri"/>
                <w:sz w:val="20"/>
              </w:rPr>
              <w:t>Blanco: 140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0E759C" w14:textId="77777777" w:rsidR="004412F1" w:rsidRDefault="005A12A3">
            <w:r>
              <w:rPr>
                <w:rFonts w:ascii="Calibri" w:hAnsi="Calibri"/>
                <w:sz w:val="20"/>
              </w:rPr>
              <w:t>Blanco: 140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C2B776" w14:textId="77777777" w:rsidR="004412F1" w:rsidRDefault="005A12A3">
            <w:r>
              <w:rPr>
                <w:rFonts w:ascii="Calibri" w:hAnsi="Calibri"/>
                <w:sz w:val="20"/>
              </w:rPr>
              <w:t>Blanco: 140 Cd/lux/m2</w:t>
            </w:r>
          </w:p>
        </w:tc>
      </w:tr>
      <w:tr w:rsidR="004412F1" w14:paraId="77ABC0E0" w14:textId="77777777">
        <w:trPr>
          <w:trHeight w:val="540"/>
        </w:trPr>
        <w:tc>
          <w:tcPr>
            <w:tcW w:w="1290" w:type="dxa"/>
            <w:vMerge/>
            <w:tcBorders>
              <w:left w:val="single" w:sz="0" w:space="0" w:color="auto"/>
            </w:tcBorders>
            <w:vAlign w:val="center"/>
          </w:tcPr>
          <w:p w14:paraId="550C27A2" w14:textId="77777777" w:rsidR="004412F1" w:rsidRDefault="004412F1"/>
        </w:tc>
        <w:tc>
          <w:tcPr>
            <w:tcW w:w="1980" w:type="dxa"/>
            <w:vMerge/>
            <w:tcBorders>
              <w:left w:val="single" w:sz="0" w:space="0" w:color="auto"/>
              <w:right w:val="single" w:sz="0" w:space="0" w:color="auto"/>
            </w:tcBorders>
            <w:vAlign w:val="center"/>
          </w:tcPr>
          <w:p w14:paraId="4E595235" w14:textId="77777777" w:rsidR="004412F1" w:rsidRDefault="004412F1"/>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53B3ABB8" w14:textId="77777777" w:rsidR="004412F1" w:rsidRDefault="005A12A3">
            <w:r>
              <w:rPr>
                <w:rFonts w:ascii="Calibri" w:hAnsi="Calibri"/>
                <w:sz w:val="20"/>
              </w:rPr>
              <w:t>Rojo:   30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CFA456" w14:textId="77777777" w:rsidR="004412F1" w:rsidRDefault="005A12A3">
            <w:r>
              <w:rPr>
                <w:rFonts w:ascii="Calibri" w:hAnsi="Calibri"/>
                <w:sz w:val="20"/>
              </w:rPr>
              <w:t>Rojo:   30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E03FB2" w14:textId="77777777" w:rsidR="004412F1" w:rsidRDefault="005A12A3">
            <w:r>
              <w:rPr>
                <w:rFonts w:ascii="Calibri" w:hAnsi="Calibri"/>
                <w:sz w:val="20"/>
              </w:rPr>
              <w:t>Rojo:   30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8824E" w14:textId="77777777" w:rsidR="004412F1" w:rsidRDefault="005A12A3">
            <w:r>
              <w:rPr>
                <w:rFonts w:ascii="Calibri" w:hAnsi="Calibri"/>
                <w:sz w:val="20"/>
              </w:rPr>
              <w:t>Rojo:   30 Cd/lux/m2</w:t>
            </w:r>
          </w:p>
        </w:tc>
      </w:tr>
      <w:tr w:rsidR="004412F1" w14:paraId="222BF54C" w14:textId="77777777">
        <w:trPr>
          <w:trHeight w:val="540"/>
        </w:trPr>
        <w:tc>
          <w:tcPr>
            <w:tcW w:w="1290" w:type="dxa"/>
            <w:vMerge/>
            <w:tcBorders>
              <w:left w:val="single" w:sz="0" w:space="0" w:color="auto"/>
            </w:tcBorders>
            <w:vAlign w:val="center"/>
          </w:tcPr>
          <w:p w14:paraId="131349B7" w14:textId="77777777" w:rsidR="004412F1" w:rsidRDefault="004412F1"/>
        </w:tc>
        <w:tc>
          <w:tcPr>
            <w:tcW w:w="1980" w:type="dxa"/>
            <w:vMerge/>
            <w:tcBorders>
              <w:left w:val="single" w:sz="0" w:space="0" w:color="auto"/>
              <w:right w:val="single" w:sz="0" w:space="0" w:color="auto"/>
            </w:tcBorders>
            <w:vAlign w:val="center"/>
          </w:tcPr>
          <w:p w14:paraId="65FF9A2A" w14:textId="77777777" w:rsidR="004412F1" w:rsidRDefault="004412F1"/>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19CA2F4D" w14:textId="77777777" w:rsidR="004412F1" w:rsidRDefault="005A12A3">
            <w:r>
              <w:rPr>
                <w:rFonts w:ascii="Calibri" w:hAnsi="Calibri"/>
                <w:sz w:val="20"/>
              </w:rPr>
              <w:t>Verde:  30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561FA" w14:textId="77777777" w:rsidR="004412F1" w:rsidRDefault="005A12A3">
            <w:r>
              <w:rPr>
                <w:rFonts w:ascii="Calibri" w:hAnsi="Calibri"/>
                <w:sz w:val="20"/>
              </w:rPr>
              <w:t>Verde:  30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0CBF30" w14:textId="77777777" w:rsidR="004412F1" w:rsidRDefault="005A12A3">
            <w:r>
              <w:rPr>
                <w:rFonts w:ascii="Calibri" w:hAnsi="Calibri"/>
                <w:sz w:val="20"/>
              </w:rPr>
              <w:t>Verde:  30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0F6896" w14:textId="77777777" w:rsidR="004412F1" w:rsidRDefault="005A12A3">
            <w:r>
              <w:rPr>
                <w:rFonts w:ascii="Calibri" w:hAnsi="Calibri"/>
                <w:sz w:val="20"/>
              </w:rPr>
              <w:t>Verde:  30 Cd/lux/m2</w:t>
            </w:r>
          </w:p>
        </w:tc>
      </w:tr>
      <w:tr w:rsidR="004412F1" w14:paraId="48E8AE50" w14:textId="77777777">
        <w:trPr>
          <w:trHeight w:val="540"/>
        </w:trPr>
        <w:tc>
          <w:tcPr>
            <w:tcW w:w="1290" w:type="dxa"/>
            <w:vMerge/>
            <w:tcBorders>
              <w:left w:val="single" w:sz="0" w:space="0" w:color="auto"/>
            </w:tcBorders>
            <w:vAlign w:val="center"/>
          </w:tcPr>
          <w:p w14:paraId="0B6E1DEF" w14:textId="77777777" w:rsidR="004412F1" w:rsidRDefault="004412F1"/>
        </w:tc>
        <w:tc>
          <w:tcPr>
            <w:tcW w:w="1980" w:type="dxa"/>
            <w:vMerge/>
            <w:tcBorders>
              <w:left w:val="single" w:sz="0" w:space="0" w:color="auto"/>
              <w:right w:val="single" w:sz="0" w:space="0" w:color="auto"/>
            </w:tcBorders>
            <w:vAlign w:val="center"/>
          </w:tcPr>
          <w:p w14:paraId="1A7F0B94" w14:textId="77777777" w:rsidR="004412F1" w:rsidRDefault="004412F1"/>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16EBF79F" w14:textId="77777777" w:rsidR="004412F1" w:rsidRDefault="005A12A3">
            <w:r>
              <w:rPr>
                <w:rFonts w:ascii="Calibri" w:hAnsi="Calibri"/>
                <w:sz w:val="20"/>
              </w:rPr>
              <w:t>Azul:   10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8753D8" w14:textId="77777777" w:rsidR="004412F1" w:rsidRDefault="005A12A3">
            <w:r>
              <w:rPr>
                <w:rFonts w:ascii="Calibri" w:hAnsi="Calibri"/>
                <w:sz w:val="20"/>
              </w:rPr>
              <w:t>Azul:   10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A87170" w14:textId="77777777" w:rsidR="004412F1" w:rsidRDefault="005A12A3">
            <w:r>
              <w:rPr>
                <w:rFonts w:ascii="Calibri" w:hAnsi="Calibri"/>
                <w:sz w:val="20"/>
              </w:rPr>
              <w:t>Azul:   10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14CC26" w14:textId="77777777" w:rsidR="004412F1" w:rsidRDefault="005A12A3">
            <w:r>
              <w:rPr>
                <w:rFonts w:ascii="Calibri" w:hAnsi="Calibri"/>
                <w:sz w:val="20"/>
              </w:rPr>
              <w:t>Azul:   10 Cd/lux/m2</w:t>
            </w:r>
          </w:p>
        </w:tc>
      </w:tr>
      <w:tr w:rsidR="004412F1" w14:paraId="7C01474C" w14:textId="77777777">
        <w:trPr>
          <w:trHeight w:val="540"/>
        </w:trPr>
        <w:tc>
          <w:tcPr>
            <w:tcW w:w="1290" w:type="dxa"/>
            <w:vMerge/>
            <w:tcBorders>
              <w:left w:val="single" w:sz="0" w:space="0" w:color="auto"/>
              <w:bottom w:val="single" w:sz="0" w:space="0" w:color="000000" w:themeColor="text1"/>
            </w:tcBorders>
            <w:vAlign w:val="center"/>
          </w:tcPr>
          <w:p w14:paraId="21740B1B" w14:textId="77777777" w:rsidR="004412F1" w:rsidRDefault="004412F1"/>
        </w:tc>
        <w:tc>
          <w:tcPr>
            <w:tcW w:w="1980" w:type="dxa"/>
            <w:vMerge/>
            <w:tcBorders>
              <w:left w:val="single" w:sz="0" w:space="0" w:color="auto"/>
              <w:bottom w:val="single" w:sz="0" w:space="0" w:color="000000" w:themeColor="text1"/>
              <w:right w:val="single" w:sz="0" w:space="0" w:color="auto"/>
            </w:tcBorders>
            <w:vAlign w:val="center"/>
          </w:tcPr>
          <w:p w14:paraId="7BDACEB1" w14:textId="77777777" w:rsidR="004412F1" w:rsidRDefault="004412F1"/>
        </w:tc>
        <w:tc>
          <w:tcPr>
            <w:tcW w:w="1425" w:type="dxa"/>
            <w:tcBorders>
              <w:top w:val="single" w:sz="8" w:space="0" w:color="auto"/>
              <w:left w:val="nil"/>
              <w:bottom w:val="single" w:sz="8" w:space="0" w:color="auto"/>
              <w:right w:val="single" w:sz="8" w:space="0" w:color="auto"/>
            </w:tcBorders>
            <w:tcMar>
              <w:left w:w="70" w:type="dxa"/>
              <w:right w:w="70" w:type="dxa"/>
            </w:tcMar>
            <w:vAlign w:val="center"/>
          </w:tcPr>
          <w:p w14:paraId="14384BDF" w14:textId="77777777" w:rsidR="004412F1" w:rsidRDefault="005A12A3">
            <w:r>
              <w:rPr>
                <w:rFonts w:ascii="Calibri" w:hAnsi="Calibri"/>
                <w:sz w:val="20"/>
              </w:rPr>
              <w:t>Naranja:   60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C36F52" w14:textId="77777777" w:rsidR="004412F1" w:rsidRDefault="005A12A3">
            <w:r>
              <w:rPr>
                <w:rFonts w:ascii="Calibri" w:hAnsi="Calibri"/>
                <w:sz w:val="20"/>
              </w:rPr>
              <w:t>Naranja:   60 Cd/lux/m2</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92774E" w14:textId="77777777" w:rsidR="004412F1" w:rsidRDefault="005A12A3">
            <w:r>
              <w:rPr>
                <w:rFonts w:ascii="Calibri" w:hAnsi="Calibri"/>
                <w:sz w:val="20"/>
              </w:rPr>
              <w:t>Naranja:   60 Cd/lux/m2</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F7AF00" w14:textId="77777777" w:rsidR="004412F1" w:rsidRDefault="005A12A3">
            <w:r>
              <w:rPr>
                <w:rFonts w:ascii="Calibri" w:hAnsi="Calibri"/>
                <w:sz w:val="20"/>
              </w:rPr>
              <w:t>Naranja:   60 Cd/lux/m2</w:t>
            </w:r>
          </w:p>
        </w:tc>
      </w:tr>
      <w:tr w:rsidR="004412F1" w14:paraId="33DD4C7A" w14:textId="77777777">
        <w:trPr>
          <w:trHeight w:val="510"/>
        </w:trPr>
        <w:tc>
          <w:tcPr>
            <w:tcW w:w="1290"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58192692" w14:textId="77777777" w:rsidR="004412F1" w:rsidRDefault="005A12A3">
            <w:pPr>
              <w:jc w:val="both"/>
              <w:rPr>
                <w:rFonts w:ascii="Calibri" w:hAnsi="Calibri"/>
                <w:sz w:val="20"/>
                <w:lang w:val="es-PE"/>
              </w:rPr>
            </w:pPr>
            <w:r>
              <w:rPr>
                <w:rFonts w:ascii="Calibri" w:hAnsi="Calibri"/>
                <w:sz w:val="20"/>
                <w:lang w:val="es-PE"/>
              </w:rPr>
              <w:t>Deterioro del mensaje de las placas de las señales</w:t>
            </w:r>
          </w:p>
        </w:tc>
        <w:tc>
          <w:tcPr>
            <w:tcW w:w="1980" w:type="dxa"/>
            <w:tcBorders>
              <w:top w:val="nil"/>
              <w:left w:val="single" w:sz="8" w:space="0" w:color="auto"/>
              <w:bottom w:val="single" w:sz="8" w:space="0" w:color="auto"/>
              <w:right w:val="single" w:sz="8" w:space="0" w:color="auto"/>
            </w:tcBorders>
            <w:tcMar>
              <w:left w:w="70" w:type="dxa"/>
              <w:right w:w="70" w:type="dxa"/>
            </w:tcMar>
            <w:vAlign w:val="center"/>
          </w:tcPr>
          <w:p w14:paraId="57E98189" w14:textId="77777777" w:rsidR="004412F1" w:rsidRDefault="005A12A3">
            <w:pPr>
              <w:jc w:val="both"/>
              <w:rPr>
                <w:rFonts w:ascii="Calibri" w:hAnsi="Calibri"/>
                <w:sz w:val="20"/>
                <w:lang w:val="es-PE"/>
              </w:rPr>
            </w:pPr>
            <w:r>
              <w:rPr>
                <w:rFonts w:ascii="Calibri" w:hAnsi="Calibri"/>
                <w:sz w:val="20"/>
                <w:lang w:val="es-PE"/>
              </w:rPr>
              <w:t>Mensajes sucios de polvo o con daños como pegatinas o pintura, etc.</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1B3E16"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299941"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E8FC20"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1D233A" w14:textId="77777777" w:rsidR="004412F1" w:rsidRDefault="005A12A3">
            <w:r>
              <w:rPr>
                <w:rFonts w:ascii="Calibri" w:hAnsi="Calibri"/>
                <w:sz w:val="20"/>
              </w:rPr>
              <w:t>No se Admitirán</w:t>
            </w:r>
          </w:p>
        </w:tc>
      </w:tr>
      <w:tr w:rsidR="004412F1" w14:paraId="7F8FBAAC" w14:textId="77777777">
        <w:trPr>
          <w:trHeight w:val="765"/>
        </w:trPr>
        <w:tc>
          <w:tcPr>
            <w:tcW w:w="1290" w:type="dxa"/>
            <w:vMerge/>
            <w:tcBorders>
              <w:left w:val="single" w:sz="0" w:space="0" w:color="auto"/>
              <w:right w:val="single" w:sz="0" w:space="0" w:color="auto"/>
            </w:tcBorders>
            <w:vAlign w:val="center"/>
          </w:tcPr>
          <w:p w14:paraId="4BCBA715"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5ED5A466" w14:textId="77777777" w:rsidR="004412F1" w:rsidRDefault="005A12A3">
            <w:pPr>
              <w:jc w:val="both"/>
              <w:rPr>
                <w:rFonts w:ascii="Calibri" w:hAnsi="Calibri"/>
                <w:sz w:val="20"/>
                <w:lang w:val="es-PE"/>
              </w:rPr>
            </w:pPr>
            <w:r>
              <w:rPr>
                <w:rFonts w:ascii="Calibri" w:hAnsi="Calibri"/>
                <w:sz w:val="20"/>
                <w:lang w:val="es-PE"/>
              </w:rPr>
              <w:t>Perforaciones de máximo 1 cm de diámetro que no comprometan el mensaje</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10B9BE"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B27BF3"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49EF85"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769DC7" w14:textId="77777777" w:rsidR="004412F1" w:rsidRDefault="005A12A3">
            <w:r>
              <w:rPr>
                <w:rFonts w:ascii="Calibri" w:hAnsi="Calibri"/>
                <w:sz w:val="20"/>
              </w:rPr>
              <w:t>No se Admitirán</w:t>
            </w:r>
          </w:p>
        </w:tc>
      </w:tr>
      <w:tr w:rsidR="004412F1" w14:paraId="4D6DED65" w14:textId="77777777">
        <w:trPr>
          <w:trHeight w:val="510"/>
        </w:trPr>
        <w:tc>
          <w:tcPr>
            <w:tcW w:w="1290" w:type="dxa"/>
            <w:vMerge/>
            <w:tcBorders>
              <w:left w:val="single" w:sz="0" w:space="0" w:color="auto"/>
              <w:right w:val="single" w:sz="0" w:space="0" w:color="auto"/>
            </w:tcBorders>
            <w:vAlign w:val="center"/>
          </w:tcPr>
          <w:p w14:paraId="47F96174"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451C7A7A" w14:textId="77777777" w:rsidR="004412F1" w:rsidRDefault="005A12A3">
            <w:pPr>
              <w:jc w:val="both"/>
              <w:rPr>
                <w:rFonts w:ascii="Calibri" w:hAnsi="Calibri"/>
                <w:sz w:val="20"/>
                <w:lang w:val="es-PE"/>
              </w:rPr>
            </w:pPr>
            <w:r>
              <w:rPr>
                <w:rFonts w:ascii="Calibri" w:hAnsi="Calibri"/>
                <w:sz w:val="20"/>
                <w:lang w:val="es-PE"/>
              </w:rPr>
              <w:t>Cualquier doblez de longitud inferior a 7.5 cm.</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938444"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461EC2"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16F4A2"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B3C3DE" w14:textId="77777777" w:rsidR="004412F1" w:rsidRDefault="005A12A3">
            <w:r>
              <w:rPr>
                <w:rFonts w:ascii="Calibri" w:hAnsi="Calibri"/>
                <w:sz w:val="20"/>
              </w:rPr>
              <w:t>No se Admitirán</w:t>
            </w:r>
          </w:p>
        </w:tc>
      </w:tr>
      <w:tr w:rsidR="004412F1" w14:paraId="3B9FAFB5" w14:textId="77777777">
        <w:trPr>
          <w:trHeight w:val="420"/>
        </w:trPr>
        <w:tc>
          <w:tcPr>
            <w:tcW w:w="1290" w:type="dxa"/>
            <w:vMerge/>
            <w:tcBorders>
              <w:left w:val="single" w:sz="0" w:space="0" w:color="auto"/>
              <w:bottom w:val="single" w:sz="0" w:space="0" w:color="000000" w:themeColor="text1"/>
              <w:right w:val="single" w:sz="0" w:space="0" w:color="auto"/>
            </w:tcBorders>
            <w:vAlign w:val="center"/>
          </w:tcPr>
          <w:p w14:paraId="0D391C0D"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62F5E8D3" w14:textId="77777777" w:rsidR="004412F1" w:rsidRDefault="005A12A3">
            <w:pPr>
              <w:jc w:val="both"/>
              <w:rPr>
                <w:rFonts w:ascii="Calibri" w:hAnsi="Calibri"/>
                <w:sz w:val="20"/>
                <w:lang w:val="es-PE"/>
              </w:rPr>
            </w:pPr>
            <w:r>
              <w:rPr>
                <w:rFonts w:ascii="Calibri" w:hAnsi="Calibri"/>
                <w:sz w:val="20"/>
                <w:lang w:val="es-PE"/>
              </w:rPr>
              <w:t>Oxidación en las caras de la placa</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F1D925"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2428E5"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41CBD5"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3580EC" w14:textId="77777777" w:rsidR="004412F1" w:rsidRDefault="005A12A3">
            <w:r>
              <w:rPr>
                <w:rFonts w:ascii="Calibri" w:hAnsi="Calibri"/>
                <w:sz w:val="20"/>
              </w:rPr>
              <w:t>No se Admitirán</w:t>
            </w:r>
          </w:p>
        </w:tc>
      </w:tr>
      <w:tr w:rsidR="004412F1" w14:paraId="12C2AC8B" w14:textId="77777777">
        <w:trPr>
          <w:trHeight w:val="495"/>
        </w:trPr>
        <w:tc>
          <w:tcPr>
            <w:tcW w:w="1290"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782481A6" w14:textId="77777777" w:rsidR="004412F1" w:rsidRDefault="005A12A3">
            <w:pPr>
              <w:jc w:val="both"/>
              <w:rPr>
                <w:rFonts w:ascii="Calibri" w:hAnsi="Calibri"/>
                <w:sz w:val="20"/>
                <w:lang w:val="es-PE"/>
              </w:rPr>
            </w:pPr>
            <w:r>
              <w:rPr>
                <w:rFonts w:ascii="Calibri" w:hAnsi="Calibri"/>
                <w:sz w:val="20"/>
                <w:lang w:val="es-PE"/>
              </w:rPr>
              <w:t>Deterioro de los elementos de fijación de las placas de las señales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8EC7C6" w14:textId="77777777" w:rsidR="004412F1" w:rsidRDefault="005A12A3">
            <w:pPr>
              <w:jc w:val="both"/>
              <w:rPr>
                <w:rFonts w:ascii="Calibri" w:hAnsi="Calibri"/>
                <w:sz w:val="20"/>
              </w:rPr>
            </w:pPr>
            <w:r>
              <w:rPr>
                <w:rFonts w:ascii="Calibri" w:hAnsi="Calibri"/>
                <w:sz w:val="20"/>
              </w:rPr>
              <w:t>Paneles sueltos o desajustados</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92C42F"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7CFCF7"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016AEB"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6F9562" w14:textId="77777777" w:rsidR="004412F1" w:rsidRDefault="005A12A3">
            <w:r>
              <w:rPr>
                <w:rFonts w:ascii="Calibri" w:hAnsi="Calibri"/>
                <w:sz w:val="20"/>
              </w:rPr>
              <w:t>No se Admitirán</w:t>
            </w:r>
          </w:p>
        </w:tc>
      </w:tr>
      <w:tr w:rsidR="004412F1" w14:paraId="6BFE5B69" w14:textId="77777777">
        <w:trPr>
          <w:trHeight w:val="420"/>
        </w:trPr>
        <w:tc>
          <w:tcPr>
            <w:tcW w:w="1290" w:type="dxa"/>
            <w:vMerge/>
            <w:tcBorders>
              <w:left w:val="single" w:sz="0" w:space="0" w:color="auto"/>
              <w:bottom w:val="single" w:sz="0" w:space="0" w:color="000000" w:themeColor="text1"/>
              <w:right w:val="single" w:sz="0" w:space="0" w:color="auto"/>
            </w:tcBorders>
            <w:vAlign w:val="center"/>
          </w:tcPr>
          <w:p w14:paraId="5161FF1A" w14:textId="77777777" w:rsidR="004412F1" w:rsidRDefault="004412F1"/>
        </w:tc>
        <w:tc>
          <w:tcPr>
            <w:tcW w:w="1980" w:type="dxa"/>
            <w:tcBorders>
              <w:top w:val="single" w:sz="8" w:space="0" w:color="auto"/>
              <w:left w:val="nil"/>
              <w:bottom w:val="single" w:sz="8" w:space="0" w:color="000000" w:themeColor="text1"/>
              <w:right w:val="single" w:sz="8" w:space="0" w:color="auto"/>
            </w:tcBorders>
            <w:tcMar>
              <w:left w:w="70" w:type="dxa"/>
              <w:right w:w="70" w:type="dxa"/>
            </w:tcMar>
            <w:vAlign w:val="center"/>
          </w:tcPr>
          <w:p w14:paraId="37846189" w14:textId="77777777" w:rsidR="004412F1" w:rsidRDefault="005A12A3">
            <w:pPr>
              <w:jc w:val="both"/>
              <w:rPr>
                <w:rFonts w:ascii="Calibri" w:hAnsi="Calibri"/>
                <w:sz w:val="20"/>
                <w:lang w:val="es-PE"/>
              </w:rPr>
            </w:pPr>
            <w:r>
              <w:rPr>
                <w:rFonts w:ascii="Calibri" w:hAnsi="Calibri"/>
                <w:sz w:val="20"/>
                <w:lang w:val="es-PE"/>
              </w:rPr>
              <w:t>Falta total o parcial de los pernos</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9E9D7B"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0C7A49"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BC0D13"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4E617A" w14:textId="77777777" w:rsidR="004412F1" w:rsidRDefault="005A12A3">
            <w:r>
              <w:rPr>
                <w:rFonts w:ascii="Calibri" w:hAnsi="Calibri"/>
                <w:sz w:val="20"/>
              </w:rPr>
              <w:t>No se Admitirán</w:t>
            </w:r>
          </w:p>
        </w:tc>
      </w:tr>
      <w:tr w:rsidR="004412F1" w14:paraId="319BDC9D" w14:textId="77777777">
        <w:trPr>
          <w:trHeight w:val="510"/>
        </w:trPr>
        <w:tc>
          <w:tcPr>
            <w:tcW w:w="1290" w:type="dxa"/>
            <w:vMerge/>
            <w:tcBorders>
              <w:left w:val="single" w:sz="0" w:space="0" w:color="auto"/>
              <w:bottom w:val="single" w:sz="0" w:space="0" w:color="000000" w:themeColor="text1"/>
              <w:right w:val="single" w:sz="0" w:space="0" w:color="auto"/>
            </w:tcBorders>
            <w:vAlign w:val="center"/>
          </w:tcPr>
          <w:p w14:paraId="1805C009"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2FA4DA89" w14:textId="77777777" w:rsidR="004412F1" w:rsidRDefault="005A12A3">
            <w:pPr>
              <w:jc w:val="both"/>
              <w:rPr>
                <w:rFonts w:ascii="Calibri" w:hAnsi="Calibri"/>
                <w:sz w:val="20"/>
                <w:lang w:val="es-PE"/>
              </w:rPr>
            </w:pPr>
            <w:r>
              <w:rPr>
                <w:rFonts w:ascii="Calibri" w:hAnsi="Calibri"/>
                <w:sz w:val="20"/>
                <w:lang w:val="es-PE"/>
              </w:rPr>
              <w:t>Deterioro o ausencia de estructuras rigidizantes</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607543"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7F6DB9"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A118A4"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B1B86" w14:textId="77777777" w:rsidR="004412F1" w:rsidRDefault="005A12A3">
            <w:r>
              <w:rPr>
                <w:rFonts w:ascii="Calibri" w:hAnsi="Calibri"/>
                <w:sz w:val="20"/>
              </w:rPr>
              <w:t>No se Admitirán</w:t>
            </w:r>
          </w:p>
        </w:tc>
      </w:tr>
      <w:tr w:rsidR="004412F1" w14:paraId="2F487796" w14:textId="77777777">
        <w:trPr>
          <w:trHeight w:val="825"/>
        </w:trPr>
        <w:tc>
          <w:tcPr>
            <w:tcW w:w="1290"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436B5378" w14:textId="77777777" w:rsidR="004412F1" w:rsidRDefault="005A12A3">
            <w:pPr>
              <w:jc w:val="both"/>
              <w:rPr>
                <w:rFonts w:ascii="Calibri" w:hAnsi="Calibri"/>
                <w:sz w:val="20"/>
                <w:lang w:val="es-PE"/>
              </w:rPr>
            </w:pPr>
            <w:r>
              <w:rPr>
                <w:rFonts w:ascii="Calibri" w:hAnsi="Calibri"/>
                <w:sz w:val="20"/>
                <w:lang w:val="es-PE"/>
              </w:rPr>
              <w:t>Deterioro de los soportes de las señales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6DF3AC" w14:textId="77777777" w:rsidR="004412F1" w:rsidRDefault="005A12A3">
            <w:pPr>
              <w:jc w:val="both"/>
              <w:rPr>
                <w:rFonts w:ascii="Calibri" w:hAnsi="Calibri"/>
                <w:sz w:val="20"/>
                <w:lang w:val="es-PE"/>
              </w:rPr>
            </w:pPr>
            <w:r>
              <w:rPr>
                <w:rFonts w:ascii="Calibri" w:hAnsi="Calibri"/>
                <w:sz w:val="20"/>
                <w:lang w:val="es-PE"/>
              </w:rPr>
              <w:t>Fisuras, fracturas o armaduras a la vista, en el caso de soportes de hormigón; Oxidaciones o deformaciones en el caso de soportes metálicos</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29AF21"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304DD1"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263A0C"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8DA039" w14:textId="77777777" w:rsidR="004412F1" w:rsidRDefault="005A12A3">
            <w:r>
              <w:rPr>
                <w:rFonts w:ascii="Calibri" w:hAnsi="Calibri"/>
                <w:sz w:val="20"/>
              </w:rPr>
              <w:t>No se Admitirán</w:t>
            </w:r>
          </w:p>
        </w:tc>
      </w:tr>
      <w:tr w:rsidR="004412F1" w14:paraId="70BF38F9" w14:textId="77777777">
        <w:trPr>
          <w:trHeight w:val="435"/>
        </w:trPr>
        <w:tc>
          <w:tcPr>
            <w:tcW w:w="1290" w:type="dxa"/>
            <w:vMerge/>
            <w:tcBorders>
              <w:left w:val="single" w:sz="0" w:space="0" w:color="auto"/>
              <w:right w:val="single" w:sz="0" w:space="0" w:color="auto"/>
            </w:tcBorders>
            <w:vAlign w:val="center"/>
          </w:tcPr>
          <w:p w14:paraId="0A2076E8"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1A7E6BB7" w14:textId="77777777" w:rsidR="004412F1" w:rsidRDefault="005A12A3">
            <w:pPr>
              <w:jc w:val="both"/>
              <w:rPr>
                <w:rFonts w:ascii="Calibri" w:hAnsi="Calibri"/>
                <w:sz w:val="20"/>
              </w:rPr>
            </w:pPr>
            <w:r>
              <w:rPr>
                <w:rFonts w:ascii="Calibri" w:hAnsi="Calibri"/>
                <w:sz w:val="20"/>
              </w:rPr>
              <w:t>Deficiencias en el pintado</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F6FF41"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AB4E28"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E243F4"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559EEF" w14:textId="77777777" w:rsidR="004412F1" w:rsidRDefault="005A12A3">
            <w:pPr>
              <w:jc w:val="both"/>
              <w:rPr>
                <w:rFonts w:ascii="Calibri" w:hAnsi="Calibri"/>
                <w:sz w:val="20"/>
              </w:rPr>
            </w:pPr>
            <w:r>
              <w:rPr>
                <w:rFonts w:ascii="Calibri" w:hAnsi="Calibri"/>
                <w:sz w:val="20"/>
              </w:rPr>
              <w:t>No se Admitirán</w:t>
            </w:r>
          </w:p>
        </w:tc>
      </w:tr>
      <w:tr w:rsidR="004412F1" w14:paraId="2B1A949D" w14:textId="77777777">
        <w:trPr>
          <w:trHeight w:val="615"/>
        </w:trPr>
        <w:tc>
          <w:tcPr>
            <w:tcW w:w="1290" w:type="dxa"/>
            <w:vMerge/>
            <w:tcBorders>
              <w:left w:val="single" w:sz="0" w:space="0" w:color="auto"/>
              <w:bottom w:val="single" w:sz="0" w:space="0" w:color="000000" w:themeColor="text1"/>
              <w:right w:val="single" w:sz="0" w:space="0" w:color="auto"/>
            </w:tcBorders>
            <w:vAlign w:val="center"/>
          </w:tcPr>
          <w:p w14:paraId="72F995ED"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6BF98D78" w14:textId="77777777" w:rsidR="004412F1" w:rsidRDefault="005A12A3">
            <w:pPr>
              <w:jc w:val="both"/>
              <w:rPr>
                <w:rFonts w:ascii="Calibri" w:hAnsi="Calibri"/>
                <w:sz w:val="20"/>
                <w:lang w:val="es-PE"/>
              </w:rPr>
            </w:pPr>
            <w:r>
              <w:rPr>
                <w:rFonts w:ascii="Calibri" w:hAnsi="Calibri"/>
                <w:sz w:val="20"/>
                <w:lang w:val="es-PE"/>
              </w:rPr>
              <w:t>Vegetación en su entorno que impida la visibilidad</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B535D8"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DF860C"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264763"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8D7050" w14:textId="77777777" w:rsidR="004412F1" w:rsidRDefault="005A12A3">
            <w:pPr>
              <w:jc w:val="both"/>
              <w:rPr>
                <w:rFonts w:ascii="Calibri" w:hAnsi="Calibri"/>
                <w:sz w:val="20"/>
              </w:rPr>
            </w:pPr>
            <w:r>
              <w:rPr>
                <w:rFonts w:ascii="Calibri" w:hAnsi="Calibri"/>
                <w:sz w:val="20"/>
              </w:rPr>
              <w:t>No se Admitirán</w:t>
            </w:r>
          </w:p>
        </w:tc>
      </w:tr>
      <w:tr w:rsidR="004412F1" w14:paraId="239CA498" w14:textId="77777777">
        <w:trPr>
          <w:trHeight w:val="510"/>
        </w:trPr>
        <w:tc>
          <w:tcPr>
            <w:tcW w:w="1290"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35C42613" w14:textId="77777777" w:rsidR="004412F1" w:rsidRDefault="005A12A3">
            <w:pPr>
              <w:jc w:val="both"/>
              <w:rPr>
                <w:rFonts w:ascii="Calibri" w:hAnsi="Calibri"/>
                <w:sz w:val="20"/>
                <w:lang w:val="es-PE"/>
              </w:rPr>
            </w:pPr>
            <w:r>
              <w:rPr>
                <w:rFonts w:ascii="Calibri" w:hAnsi="Calibri"/>
                <w:sz w:val="20"/>
                <w:lang w:val="es-PE"/>
              </w:rPr>
              <w:t>Deterioro de los postes Kilométricos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F574FA" w14:textId="77777777" w:rsidR="004412F1" w:rsidRDefault="005A12A3">
            <w:pPr>
              <w:jc w:val="both"/>
              <w:rPr>
                <w:rFonts w:ascii="Calibri" w:hAnsi="Calibri"/>
                <w:sz w:val="20"/>
                <w:lang w:val="es-PE"/>
              </w:rPr>
            </w:pPr>
            <w:r>
              <w:rPr>
                <w:rFonts w:ascii="Calibri" w:hAnsi="Calibri"/>
                <w:sz w:val="20"/>
                <w:lang w:val="es-PE"/>
              </w:rPr>
              <w:t>Fisuras, fracturas o armadura a la vista (en el caso de postes de hormigón)</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957F00"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35F738"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59FF7A"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AAC6E2" w14:textId="77777777" w:rsidR="004412F1" w:rsidRDefault="005A12A3">
            <w:pPr>
              <w:jc w:val="both"/>
              <w:rPr>
                <w:rFonts w:ascii="Calibri" w:hAnsi="Calibri"/>
                <w:sz w:val="20"/>
              </w:rPr>
            </w:pPr>
            <w:r>
              <w:rPr>
                <w:rFonts w:ascii="Calibri" w:hAnsi="Calibri"/>
                <w:sz w:val="20"/>
              </w:rPr>
              <w:t>No se Admitirán</w:t>
            </w:r>
          </w:p>
        </w:tc>
      </w:tr>
      <w:tr w:rsidR="004412F1" w14:paraId="6765008F" w14:textId="77777777">
        <w:trPr>
          <w:trHeight w:val="420"/>
        </w:trPr>
        <w:tc>
          <w:tcPr>
            <w:tcW w:w="1290" w:type="dxa"/>
            <w:vMerge/>
            <w:tcBorders>
              <w:left w:val="single" w:sz="0" w:space="0" w:color="auto"/>
              <w:right w:val="single" w:sz="0" w:space="0" w:color="auto"/>
            </w:tcBorders>
            <w:vAlign w:val="center"/>
          </w:tcPr>
          <w:p w14:paraId="4B63228D"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35315211" w14:textId="77777777" w:rsidR="004412F1" w:rsidRDefault="005A12A3">
            <w:pPr>
              <w:jc w:val="both"/>
              <w:rPr>
                <w:rFonts w:ascii="Calibri" w:hAnsi="Calibri"/>
                <w:sz w:val="20"/>
              </w:rPr>
            </w:pPr>
            <w:r>
              <w:rPr>
                <w:rFonts w:ascii="Calibri" w:hAnsi="Calibri"/>
                <w:sz w:val="20"/>
              </w:rPr>
              <w:t>Deficiencias en el pintado</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261DA8"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4C9AD0" w14:textId="77777777" w:rsidR="004412F1" w:rsidRDefault="005A12A3">
            <w:pPr>
              <w:jc w:val="both"/>
              <w:rPr>
                <w:rFonts w:ascii="Calibri" w:hAnsi="Calibri"/>
                <w:sz w:val="20"/>
              </w:rPr>
            </w:pPr>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DBDCCD" w14:textId="77777777" w:rsidR="004412F1" w:rsidRDefault="005A12A3">
            <w:pPr>
              <w:jc w:val="both"/>
              <w:rPr>
                <w:rFonts w:ascii="Calibri" w:hAnsi="Calibri"/>
                <w:sz w:val="20"/>
              </w:rPr>
            </w:pPr>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B28A01" w14:textId="77777777" w:rsidR="004412F1" w:rsidRDefault="005A12A3">
            <w:pPr>
              <w:jc w:val="both"/>
              <w:rPr>
                <w:rFonts w:ascii="Calibri" w:hAnsi="Calibri"/>
                <w:sz w:val="20"/>
              </w:rPr>
            </w:pPr>
            <w:r>
              <w:rPr>
                <w:rFonts w:ascii="Calibri" w:hAnsi="Calibri"/>
                <w:sz w:val="20"/>
              </w:rPr>
              <w:t>No se Admitirán</w:t>
            </w:r>
          </w:p>
        </w:tc>
      </w:tr>
      <w:tr w:rsidR="004412F1" w14:paraId="524BBD33" w14:textId="77777777">
        <w:trPr>
          <w:trHeight w:val="510"/>
        </w:trPr>
        <w:tc>
          <w:tcPr>
            <w:tcW w:w="1290" w:type="dxa"/>
            <w:vMerge/>
            <w:tcBorders>
              <w:left w:val="single" w:sz="0" w:space="0" w:color="auto"/>
              <w:bottom w:val="single" w:sz="0" w:space="0" w:color="000000" w:themeColor="text1"/>
              <w:right w:val="single" w:sz="0" w:space="0" w:color="auto"/>
            </w:tcBorders>
            <w:vAlign w:val="center"/>
          </w:tcPr>
          <w:p w14:paraId="28D350A2"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4DC912CB" w14:textId="77777777" w:rsidR="004412F1" w:rsidRDefault="005A12A3">
            <w:pPr>
              <w:jc w:val="both"/>
              <w:rPr>
                <w:rFonts w:ascii="Calibri" w:hAnsi="Calibri"/>
                <w:sz w:val="20"/>
                <w:lang w:val="es-PE"/>
              </w:rPr>
            </w:pPr>
            <w:r>
              <w:rPr>
                <w:rFonts w:ascii="Calibri" w:hAnsi="Calibri"/>
                <w:sz w:val="20"/>
                <w:lang w:val="es-PE"/>
              </w:rPr>
              <w:t>Vegetación en su entorno que impida la visibilidad</w:t>
            </w:r>
          </w:p>
        </w:tc>
        <w:tc>
          <w:tcPr>
            <w:tcW w:w="1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E2DB93"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0E6A78" w14:textId="77777777" w:rsidR="004412F1" w:rsidRDefault="005A12A3">
            <w:r>
              <w:rPr>
                <w:rFonts w:ascii="Calibri" w:hAnsi="Calibri"/>
                <w:sz w:val="20"/>
              </w:rPr>
              <w:t>No se Admitirán</w:t>
            </w:r>
          </w:p>
        </w:tc>
        <w:tc>
          <w:tcPr>
            <w:tcW w:w="12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177627" w14:textId="77777777" w:rsidR="004412F1" w:rsidRDefault="005A12A3">
            <w:r>
              <w:rPr>
                <w:rFonts w:ascii="Calibri" w:hAnsi="Calibri"/>
                <w:sz w:val="20"/>
              </w:rPr>
              <w:t>No se Admitirán</w:t>
            </w:r>
          </w:p>
        </w:tc>
        <w:tc>
          <w:tcPr>
            <w:tcW w:w="15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1C99F9" w14:textId="77777777" w:rsidR="004412F1" w:rsidRDefault="005A12A3">
            <w:pPr>
              <w:jc w:val="both"/>
              <w:rPr>
                <w:rFonts w:ascii="Calibri" w:hAnsi="Calibri"/>
                <w:sz w:val="20"/>
              </w:rPr>
            </w:pPr>
            <w:r>
              <w:rPr>
                <w:rFonts w:ascii="Calibri" w:hAnsi="Calibri"/>
                <w:sz w:val="20"/>
              </w:rPr>
              <w:t>No se Admitirán</w:t>
            </w:r>
          </w:p>
        </w:tc>
      </w:tr>
    </w:tbl>
    <w:p w14:paraId="3EA61BE7" w14:textId="77777777" w:rsidR="004412F1" w:rsidRDefault="004412F1">
      <w:pPr>
        <w:jc w:val="center"/>
      </w:pPr>
    </w:p>
    <w:p w14:paraId="0589469C" w14:textId="77777777" w:rsidR="004412F1" w:rsidRDefault="004412F1">
      <w:pPr>
        <w:jc w:val="center"/>
      </w:pPr>
    </w:p>
    <w:p w14:paraId="7E669267" w14:textId="77777777" w:rsidR="004412F1" w:rsidRDefault="005A12A3">
      <w:r>
        <w:br w:type="page"/>
      </w:r>
    </w:p>
    <w:p w14:paraId="400B816A" w14:textId="77777777" w:rsidR="004412F1" w:rsidRDefault="005A12A3">
      <w:pPr>
        <w:jc w:val="center"/>
        <w:rPr>
          <w:b/>
          <w:lang w:val="es-PE"/>
        </w:rPr>
      </w:pPr>
      <w:r>
        <w:rPr>
          <w:b/>
          <w:lang w:val="es-PE"/>
        </w:rPr>
        <w:t>Niveles de Servicio para: Elementos de Encarrilamiento y Defensa</w:t>
      </w:r>
    </w:p>
    <w:p w14:paraId="14708D10" w14:textId="77777777" w:rsidR="004412F1" w:rsidRDefault="004412F1">
      <w:pPr>
        <w:jc w:val="center"/>
        <w:rPr>
          <w:b/>
          <w:lang w:val="es-PE"/>
        </w:rPr>
      </w:pPr>
    </w:p>
    <w:tbl>
      <w:tblPr>
        <w:tblW w:w="0" w:type="auto"/>
        <w:tblInd w:w="60" w:type="dxa"/>
        <w:tblLayout w:type="fixed"/>
        <w:tblLook w:val="04A0" w:firstRow="1" w:lastRow="0" w:firstColumn="1" w:lastColumn="0" w:noHBand="0" w:noVBand="1"/>
      </w:tblPr>
      <w:tblGrid>
        <w:gridCol w:w="1650"/>
        <w:gridCol w:w="1980"/>
        <w:gridCol w:w="1200"/>
        <w:gridCol w:w="1440"/>
        <w:gridCol w:w="1455"/>
        <w:gridCol w:w="1260"/>
      </w:tblGrid>
      <w:tr w:rsidR="004412F1" w14:paraId="27A56116" w14:textId="77777777">
        <w:trPr>
          <w:trHeight w:val="660"/>
        </w:trPr>
        <w:tc>
          <w:tcPr>
            <w:tcW w:w="8985"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3CE05237" w14:textId="77777777" w:rsidR="004412F1" w:rsidRDefault="005A12A3">
            <w:pPr>
              <w:jc w:val="center"/>
              <w:rPr>
                <w:rFonts w:ascii="Calibri" w:hAnsi="Calibri"/>
                <w:b/>
                <w:color w:val="000000" w:themeColor="text1"/>
                <w:sz w:val="20"/>
                <w:lang w:val="es"/>
              </w:rPr>
            </w:pPr>
            <w:r>
              <w:rPr>
                <w:rFonts w:ascii="Calibri" w:hAnsi="Calibri"/>
                <w:b/>
                <w:sz w:val="20"/>
                <w:lang w:val="es"/>
              </w:rPr>
              <w:t xml:space="preserve">Niveles de </w:t>
            </w:r>
            <w:r>
              <w:rPr>
                <w:rFonts w:ascii="Calibri" w:hAnsi="Calibri"/>
                <w:b/>
                <w:color w:val="000000" w:themeColor="text1"/>
                <w:sz w:val="20"/>
                <w:lang w:val="es"/>
              </w:rPr>
              <w:t>Servicio para:</w:t>
            </w:r>
          </w:p>
          <w:p w14:paraId="04BED2B0"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Elementos de Encarrilamiento y Defensa</w:t>
            </w:r>
          </w:p>
        </w:tc>
      </w:tr>
      <w:tr w:rsidR="004412F1" w14:paraId="45AEF66C" w14:textId="77777777">
        <w:trPr>
          <w:trHeight w:val="240"/>
        </w:trPr>
        <w:tc>
          <w:tcPr>
            <w:tcW w:w="1650" w:type="dxa"/>
            <w:vMerge w:val="restart"/>
            <w:tcBorders>
              <w:top w:val="single" w:sz="8" w:space="0" w:color="auto"/>
              <w:left w:val="single" w:sz="8" w:space="0" w:color="auto"/>
              <w:bottom w:val="single" w:sz="8" w:space="0" w:color="000000" w:themeColor="text1"/>
              <w:right w:val="nil"/>
            </w:tcBorders>
            <w:shd w:val="clear" w:color="auto" w:fill="C2D69B" w:themeFill="accent3" w:themeFillTint="99"/>
            <w:tcMar>
              <w:left w:w="70" w:type="dxa"/>
              <w:right w:w="70" w:type="dxa"/>
            </w:tcMar>
            <w:vAlign w:val="center"/>
          </w:tcPr>
          <w:p w14:paraId="0E8A56D9"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1980" w:type="dxa"/>
            <w:vMerge w:val="restart"/>
            <w:tcBorders>
              <w:top w:val="nil"/>
              <w:left w:val="single" w:sz="8" w:space="0" w:color="auto"/>
              <w:bottom w:val="single" w:sz="8" w:space="0" w:color="000000" w:themeColor="text1"/>
              <w:right w:val="single" w:sz="8" w:space="0" w:color="auto"/>
            </w:tcBorders>
            <w:shd w:val="clear" w:color="auto" w:fill="C2D69B" w:themeFill="accent3" w:themeFillTint="99"/>
            <w:tcMar>
              <w:left w:w="70" w:type="dxa"/>
              <w:right w:w="70" w:type="dxa"/>
            </w:tcMar>
            <w:vAlign w:val="center"/>
          </w:tcPr>
          <w:p w14:paraId="6C326BBE"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640" w:type="dxa"/>
            <w:gridSpan w:val="2"/>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655C389B"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715"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DF47165"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5C9FAE2B" w14:textId="77777777">
        <w:trPr>
          <w:trHeight w:val="255"/>
        </w:trPr>
        <w:tc>
          <w:tcPr>
            <w:tcW w:w="1650" w:type="dxa"/>
            <w:vMerge/>
            <w:tcBorders>
              <w:left w:val="single" w:sz="0" w:space="0" w:color="auto"/>
              <w:bottom w:val="single" w:sz="0" w:space="0" w:color="000000" w:themeColor="text1"/>
            </w:tcBorders>
            <w:vAlign w:val="center"/>
          </w:tcPr>
          <w:p w14:paraId="6430790E" w14:textId="77777777" w:rsidR="004412F1" w:rsidRDefault="004412F1"/>
        </w:tc>
        <w:tc>
          <w:tcPr>
            <w:tcW w:w="1980" w:type="dxa"/>
            <w:vMerge/>
            <w:tcBorders>
              <w:left w:val="single" w:sz="0" w:space="0" w:color="auto"/>
              <w:bottom w:val="single" w:sz="0" w:space="0" w:color="000000" w:themeColor="text1"/>
              <w:right w:val="single" w:sz="0" w:space="0" w:color="auto"/>
            </w:tcBorders>
            <w:vAlign w:val="center"/>
          </w:tcPr>
          <w:p w14:paraId="32A0F68A" w14:textId="77777777" w:rsidR="004412F1" w:rsidRDefault="004412F1"/>
        </w:tc>
        <w:tc>
          <w:tcPr>
            <w:tcW w:w="1200" w:type="dxa"/>
            <w:tcBorders>
              <w:top w:val="single" w:sz="8" w:space="0" w:color="auto"/>
              <w:left w:val="nil"/>
              <w:bottom w:val="single" w:sz="8" w:space="0" w:color="auto"/>
              <w:right w:val="single" w:sz="8" w:space="0" w:color="auto"/>
            </w:tcBorders>
            <w:shd w:val="clear" w:color="auto" w:fill="C2D69B" w:themeFill="accent3" w:themeFillTint="99"/>
            <w:tcMar>
              <w:left w:w="70" w:type="dxa"/>
              <w:right w:w="70" w:type="dxa"/>
            </w:tcMar>
            <w:vAlign w:val="center"/>
          </w:tcPr>
          <w:p w14:paraId="641EC78D"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440" w:type="dxa"/>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0BDA47A4"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455"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4FFB02C5"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260"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6BA60F23"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2579248E" w14:textId="77777777">
        <w:trPr>
          <w:trHeight w:val="525"/>
        </w:trPr>
        <w:tc>
          <w:tcPr>
            <w:tcW w:w="1650" w:type="dxa"/>
            <w:tcBorders>
              <w:top w:val="nil"/>
              <w:left w:val="single" w:sz="8" w:space="0" w:color="auto"/>
              <w:bottom w:val="single" w:sz="8" w:space="0" w:color="auto"/>
              <w:right w:val="single" w:sz="8" w:space="0" w:color="auto"/>
            </w:tcBorders>
            <w:tcMar>
              <w:left w:w="70" w:type="dxa"/>
              <w:right w:w="70" w:type="dxa"/>
            </w:tcMar>
            <w:vAlign w:val="center"/>
          </w:tcPr>
          <w:p w14:paraId="74E99C95" w14:textId="77777777" w:rsidR="004412F1" w:rsidRDefault="005A12A3">
            <w:pPr>
              <w:jc w:val="both"/>
              <w:rPr>
                <w:rFonts w:ascii="Calibri" w:hAnsi="Calibri"/>
                <w:sz w:val="20"/>
              </w:rPr>
            </w:pPr>
            <w:r>
              <w:rPr>
                <w:rFonts w:ascii="Calibri" w:hAnsi="Calibri"/>
                <w:sz w:val="20"/>
              </w:rPr>
              <w:t>Elementos Faltantes</w:t>
            </w:r>
          </w:p>
        </w:tc>
        <w:tc>
          <w:tcPr>
            <w:tcW w:w="1980" w:type="dxa"/>
            <w:tcBorders>
              <w:top w:val="nil"/>
              <w:left w:val="single" w:sz="8" w:space="0" w:color="auto"/>
              <w:bottom w:val="single" w:sz="8" w:space="0" w:color="auto"/>
              <w:right w:val="single" w:sz="8" w:space="0" w:color="auto"/>
            </w:tcBorders>
            <w:tcMar>
              <w:left w:w="70" w:type="dxa"/>
              <w:right w:w="70" w:type="dxa"/>
            </w:tcMar>
            <w:vAlign w:val="center"/>
          </w:tcPr>
          <w:p w14:paraId="4128EEB9" w14:textId="77777777" w:rsidR="004412F1" w:rsidRDefault="005A12A3">
            <w:r>
              <w:rPr>
                <w:rFonts w:ascii="Calibri" w:hAnsi="Calibri"/>
                <w:sz w:val="20"/>
              </w:rPr>
              <w:t>Cualquier elemento individual faltante</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5B0CF1"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0C5C4E"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3E059C"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6A1373" w14:textId="77777777" w:rsidR="004412F1" w:rsidRDefault="005A12A3">
            <w:r>
              <w:rPr>
                <w:rFonts w:ascii="Calibri" w:hAnsi="Calibri"/>
                <w:sz w:val="20"/>
              </w:rPr>
              <w:t>No se Admitirán</w:t>
            </w:r>
          </w:p>
        </w:tc>
      </w:tr>
      <w:tr w:rsidR="004412F1" w14:paraId="2774B088" w14:textId="77777777">
        <w:trPr>
          <w:trHeight w:val="765"/>
        </w:trPr>
        <w:tc>
          <w:tcPr>
            <w:tcW w:w="1650"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337C2624" w14:textId="77777777" w:rsidR="004412F1" w:rsidRDefault="005A12A3">
            <w:pPr>
              <w:jc w:val="both"/>
              <w:rPr>
                <w:rFonts w:ascii="Calibri" w:hAnsi="Calibri"/>
                <w:sz w:val="20"/>
                <w:lang w:val="es-PE"/>
              </w:rPr>
            </w:pPr>
            <w:r>
              <w:rPr>
                <w:rFonts w:ascii="Calibri" w:hAnsi="Calibri"/>
                <w:sz w:val="20"/>
                <w:lang w:val="es-PE"/>
              </w:rPr>
              <w:t>Deficiencia en la colocación de las defensas metálicas</w:t>
            </w:r>
          </w:p>
        </w:tc>
        <w:tc>
          <w:tcPr>
            <w:tcW w:w="1980"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3CD002A7" w14:textId="77777777" w:rsidR="004412F1" w:rsidRDefault="005A12A3">
            <w:r>
              <w:rPr>
                <w:rFonts w:ascii="Calibri" w:hAnsi="Calibri"/>
                <w:sz w:val="20"/>
              </w:rPr>
              <w:t>Ubicación, alineación y altura</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0296C3"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5E855D"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2F2868"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2E2601"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r>
      <w:tr w:rsidR="004412F1" w14:paraId="73E7A61F" w14:textId="77777777">
        <w:trPr>
          <w:trHeight w:val="420"/>
        </w:trPr>
        <w:tc>
          <w:tcPr>
            <w:tcW w:w="1650"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42A525C7" w14:textId="77777777" w:rsidR="004412F1" w:rsidRDefault="005A12A3">
            <w:pPr>
              <w:jc w:val="both"/>
              <w:rPr>
                <w:rFonts w:ascii="Calibri" w:hAnsi="Calibri"/>
                <w:sz w:val="20"/>
                <w:lang w:val="es-PE"/>
              </w:rPr>
            </w:pPr>
            <w:r>
              <w:rPr>
                <w:rFonts w:ascii="Calibri" w:hAnsi="Calibri"/>
                <w:sz w:val="20"/>
                <w:lang w:val="es-PE"/>
              </w:rPr>
              <w:t>Deterioros y limpieza de las defensas metálicas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A70B00" w14:textId="77777777" w:rsidR="004412F1" w:rsidRDefault="005A12A3">
            <w:r>
              <w:rPr>
                <w:rFonts w:ascii="Calibri" w:hAnsi="Calibri"/>
                <w:sz w:val="20"/>
              </w:rPr>
              <w:t>Dobleces o daños</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5DD252"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5A6D07"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158C33"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B02E29" w14:textId="77777777" w:rsidR="004412F1" w:rsidRDefault="005A12A3">
            <w:r>
              <w:rPr>
                <w:rFonts w:ascii="Calibri" w:hAnsi="Calibri"/>
                <w:sz w:val="20"/>
              </w:rPr>
              <w:t>No se Admitirán</w:t>
            </w:r>
          </w:p>
        </w:tc>
      </w:tr>
      <w:tr w:rsidR="004412F1" w14:paraId="78CBEFDF" w14:textId="77777777">
        <w:trPr>
          <w:trHeight w:val="510"/>
        </w:trPr>
        <w:tc>
          <w:tcPr>
            <w:tcW w:w="1650" w:type="dxa"/>
            <w:vMerge/>
            <w:tcBorders>
              <w:left w:val="single" w:sz="0" w:space="0" w:color="auto"/>
              <w:right w:val="single" w:sz="0" w:space="0" w:color="auto"/>
            </w:tcBorders>
            <w:vAlign w:val="center"/>
          </w:tcPr>
          <w:p w14:paraId="18DCDB31"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6BD197E0" w14:textId="77777777" w:rsidR="004412F1" w:rsidRDefault="005A12A3">
            <w:pPr>
              <w:rPr>
                <w:lang w:val="es-PE"/>
              </w:rPr>
            </w:pPr>
            <w:r>
              <w:rPr>
                <w:rFonts w:ascii="Calibri" w:hAnsi="Calibri"/>
                <w:sz w:val="20"/>
                <w:lang w:val="es-PE"/>
              </w:rPr>
              <w:t>Ausencia o desajuste de los pernos de fijación</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BC6B9A"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78DD44"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CD703D"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57BBCA" w14:textId="77777777" w:rsidR="004412F1" w:rsidRDefault="005A12A3">
            <w:r>
              <w:rPr>
                <w:rFonts w:ascii="Calibri" w:hAnsi="Calibri"/>
                <w:sz w:val="20"/>
              </w:rPr>
              <w:t>No se Admitirán</w:t>
            </w:r>
          </w:p>
        </w:tc>
      </w:tr>
      <w:tr w:rsidR="004412F1" w14:paraId="012AA023" w14:textId="77777777">
        <w:trPr>
          <w:trHeight w:val="420"/>
        </w:trPr>
        <w:tc>
          <w:tcPr>
            <w:tcW w:w="1650" w:type="dxa"/>
            <w:vMerge/>
            <w:tcBorders>
              <w:left w:val="single" w:sz="0" w:space="0" w:color="auto"/>
              <w:right w:val="single" w:sz="0" w:space="0" w:color="auto"/>
            </w:tcBorders>
            <w:vAlign w:val="center"/>
          </w:tcPr>
          <w:p w14:paraId="42BE46C2"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18AD46FD" w14:textId="77777777" w:rsidR="004412F1" w:rsidRDefault="005A12A3">
            <w:pPr>
              <w:rPr>
                <w:lang w:val="es-PE"/>
              </w:rPr>
            </w:pPr>
            <w:r>
              <w:rPr>
                <w:rFonts w:ascii="Calibri" w:hAnsi="Calibri"/>
                <w:sz w:val="20"/>
                <w:lang w:val="es-PE"/>
              </w:rPr>
              <w:t>Oxidación de las superficies laterales</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890877"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168BAF"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F972DF"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B894A0" w14:textId="77777777" w:rsidR="004412F1" w:rsidRDefault="005A12A3">
            <w:r>
              <w:rPr>
                <w:rFonts w:ascii="Calibri" w:hAnsi="Calibri"/>
                <w:sz w:val="20"/>
              </w:rPr>
              <w:t>No se Admitirán</w:t>
            </w:r>
          </w:p>
        </w:tc>
      </w:tr>
      <w:tr w:rsidR="004412F1" w14:paraId="0DA135D2" w14:textId="77777777">
        <w:trPr>
          <w:trHeight w:val="420"/>
        </w:trPr>
        <w:tc>
          <w:tcPr>
            <w:tcW w:w="1650" w:type="dxa"/>
            <w:vMerge/>
            <w:tcBorders>
              <w:left w:val="single" w:sz="0" w:space="0" w:color="auto"/>
              <w:right w:val="single" w:sz="0" w:space="0" w:color="auto"/>
            </w:tcBorders>
            <w:vAlign w:val="center"/>
          </w:tcPr>
          <w:p w14:paraId="5B4E024E"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5ABB4EE4" w14:textId="77777777" w:rsidR="004412F1" w:rsidRDefault="005A12A3">
            <w:r>
              <w:rPr>
                <w:rFonts w:ascii="Calibri" w:hAnsi="Calibri"/>
                <w:sz w:val="20"/>
              </w:rPr>
              <w:t>Suciedad, pintura o afiches</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CE5CFD"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D23FC9"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E5CEBE"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394F3B" w14:textId="77777777" w:rsidR="004412F1" w:rsidRDefault="005A12A3">
            <w:r>
              <w:rPr>
                <w:rFonts w:ascii="Calibri" w:hAnsi="Calibri"/>
                <w:sz w:val="20"/>
              </w:rPr>
              <w:t>No se Admitirán</w:t>
            </w:r>
          </w:p>
        </w:tc>
      </w:tr>
      <w:tr w:rsidR="004412F1" w14:paraId="5BC90C31" w14:textId="77777777">
        <w:trPr>
          <w:trHeight w:val="1020"/>
        </w:trPr>
        <w:tc>
          <w:tcPr>
            <w:tcW w:w="1650" w:type="dxa"/>
            <w:vMerge/>
            <w:tcBorders>
              <w:left w:val="single" w:sz="0" w:space="0" w:color="auto"/>
              <w:bottom w:val="single" w:sz="0" w:space="0" w:color="000000" w:themeColor="text1"/>
              <w:right w:val="single" w:sz="0" w:space="0" w:color="auto"/>
            </w:tcBorders>
            <w:vAlign w:val="center"/>
          </w:tcPr>
          <w:p w14:paraId="7C9A7348"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4C4581A0" w14:textId="77777777" w:rsidR="004412F1" w:rsidRDefault="005A12A3">
            <w:pPr>
              <w:rPr>
                <w:lang w:val="es-PE"/>
              </w:rPr>
            </w:pPr>
            <w:r>
              <w:rPr>
                <w:rFonts w:ascii="Calibri" w:hAnsi="Calibri"/>
                <w:sz w:val="20"/>
                <w:lang w:val="es-PE"/>
              </w:rPr>
              <w:t>Ausencia de pintura o lámina reflectiva en las arandelas "L" con un coeficiente de reflectividad de 40 cd/lux/m2 en un área mínima de 60 cm2</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8AA354"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A89CF0"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9991B6"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77A385" w14:textId="77777777" w:rsidR="004412F1" w:rsidRDefault="005A12A3">
            <w:r>
              <w:rPr>
                <w:rFonts w:ascii="Calibri" w:hAnsi="Calibri"/>
                <w:sz w:val="20"/>
              </w:rPr>
              <w:t>No se Admitirán</w:t>
            </w:r>
          </w:p>
        </w:tc>
      </w:tr>
      <w:tr w:rsidR="004412F1" w14:paraId="675934C2" w14:textId="77777777">
        <w:trPr>
          <w:trHeight w:val="765"/>
        </w:trPr>
        <w:tc>
          <w:tcPr>
            <w:tcW w:w="1650" w:type="dxa"/>
            <w:tcBorders>
              <w:top w:val="nil"/>
              <w:left w:val="single" w:sz="8" w:space="0" w:color="auto"/>
              <w:bottom w:val="single" w:sz="8" w:space="0" w:color="auto"/>
              <w:right w:val="single" w:sz="8" w:space="0" w:color="auto"/>
            </w:tcBorders>
            <w:tcMar>
              <w:left w:w="70" w:type="dxa"/>
              <w:right w:w="70" w:type="dxa"/>
            </w:tcMar>
            <w:vAlign w:val="center"/>
          </w:tcPr>
          <w:p w14:paraId="4AE59CC6" w14:textId="77777777" w:rsidR="004412F1" w:rsidRDefault="005A12A3">
            <w:pPr>
              <w:jc w:val="both"/>
              <w:rPr>
                <w:rFonts w:ascii="Calibri" w:hAnsi="Calibri"/>
                <w:sz w:val="20"/>
                <w:lang w:val="es-PE"/>
              </w:rPr>
            </w:pPr>
            <w:r>
              <w:rPr>
                <w:rFonts w:ascii="Calibri" w:hAnsi="Calibri"/>
                <w:sz w:val="20"/>
                <w:lang w:val="es-PE"/>
              </w:rPr>
              <w:t>Deficiencia en la colocación de los parapetos con baranda</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BC4420" w14:textId="77777777" w:rsidR="004412F1" w:rsidRDefault="005A12A3">
            <w:r>
              <w:rPr>
                <w:rFonts w:ascii="Calibri" w:hAnsi="Calibri"/>
                <w:sz w:val="20"/>
              </w:rPr>
              <w:t>Ubicación, alineación y altura</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E648F"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B468C3"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23DE21"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0D67F0" w14:textId="77777777" w:rsidR="004412F1" w:rsidRDefault="005A12A3">
            <w:pPr>
              <w:rPr>
                <w:lang w:val="es-PE"/>
              </w:rPr>
            </w:pPr>
            <w:r>
              <w:rPr>
                <w:rFonts w:ascii="Calibri" w:hAnsi="Calibri"/>
                <w:sz w:val="20"/>
                <w:lang w:val="es-PE"/>
              </w:rPr>
              <w:t>Deberá responder a lo establecido en las EG-</w:t>
            </w:r>
            <w:r>
              <w:rPr>
                <w:rFonts w:ascii="Calibri" w:eastAsia="Calibri" w:hAnsi="Calibri" w:cs="Calibri"/>
                <w:sz w:val="20"/>
                <w:szCs w:val="20"/>
                <w:lang w:val="es-PE"/>
              </w:rPr>
              <w:t>2013</w:t>
            </w:r>
            <w:r>
              <w:rPr>
                <w:rFonts w:ascii="Calibri" w:hAnsi="Calibri"/>
                <w:sz w:val="20"/>
                <w:lang w:val="es-PE"/>
              </w:rPr>
              <w:t>-MTC (**)</w:t>
            </w:r>
          </w:p>
        </w:tc>
      </w:tr>
      <w:tr w:rsidR="004412F1" w14:paraId="12A40DA5" w14:textId="77777777">
        <w:trPr>
          <w:trHeight w:val="540"/>
        </w:trPr>
        <w:tc>
          <w:tcPr>
            <w:tcW w:w="1650"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6449D6C2" w14:textId="77777777" w:rsidR="004412F1" w:rsidRDefault="005A12A3">
            <w:pPr>
              <w:jc w:val="both"/>
              <w:rPr>
                <w:rFonts w:ascii="Calibri" w:hAnsi="Calibri"/>
                <w:sz w:val="20"/>
                <w:lang w:val="es-PE"/>
              </w:rPr>
            </w:pPr>
            <w:r>
              <w:rPr>
                <w:rFonts w:ascii="Calibri" w:hAnsi="Calibri"/>
                <w:sz w:val="20"/>
                <w:lang w:val="es-PE"/>
              </w:rPr>
              <w:t>Deterioros y limpieza de los parapetos con baranda</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C0B9F9" w14:textId="77777777" w:rsidR="004412F1" w:rsidRDefault="005A12A3">
            <w:pPr>
              <w:rPr>
                <w:lang w:val="es-PE"/>
              </w:rPr>
            </w:pPr>
            <w:r>
              <w:rPr>
                <w:rFonts w:ascii="Calibri" w:hAnsi="Calibri"/>
                <w:sz w:val="20"/>
                <w:lang w:val="es-PE"/>
              </w:rPr>
              <w:t>Fisuras, fracturas o armaduras a la vista</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AB7C12"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C386B3"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13316F"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5C2FD6" w14:textId="77777777" w:rsidR="004412F1" w:rsidRDefault="005A12A3">
            <w:r>
              <w:rPr>
                <w:rFonts w:ascii="Calibri" w:hAnsi="Calibri"/>
                <w:sz w:val="20"/>
              </w:rPr>
              <w:t>No se Admitirán</w:t>
            </w:r>
          </w:p>
        </w:tc>
      </w:tr>
      <w:tr w:rsidR="004412F1" w14:paraId="170F2061" w14:textId="77777777">
        <w:trPr>
          <w:trHeight w:val="420"/>
        </w:trPr>
        <w:tc>
          <w:tcPr>
            <w:tcW w:w="1650" w:type="dxa"/>
            <w:vMerge/>
            <w:tcBorders>
              <w:left w:val="single" w:sz="0" w:space="0" w:color="auto"/>
              <w:right w:val="single" w:sz="0" w:space="0" w:color="auto"/>
            </w:tcBorders>
            <w:vAlign w:val="center"/>
          </w:tcPr>
          <w:p w14:paraId="3AAC31CF"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7AFF94E2" w14:textId="77777777" w:rsidR="004412F1" w:rsidRDefault="005A12A3">
            <w:r>
              <w:rPr>
                <w:rFonts w:ascii="Calibri" w:hAnsi="Calibri"/>
                <w:sz w:val="20"/>
              </w:rPr>
              <w:t>Deficiencias en el pintado</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FF9544"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0E3296"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B77903"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AA3DBB" w14:textId="77777777" w:rsidR="004412F1" w:rsidRDefault="005A12A3">
            <w:r>
              <w:rPr>
                <w:rFonts w:ascii="Calibri" w:hAnsi="Calibri"/>
                <w:sz w:val="20"/>
              </w:rPr>
              <w:t>No se Admitirán</w:t>
            </w:r>
          </w:p>
        </w:tc>
      </w:tr>
      <w:tr w:rsidR="004412F1" w14:paraId="572AC66D" w14:textId="77777777">
        <w:trPr>
          <w:trHeight w:val="1020"/>
        </w:trPr>
        <w:tc>
          <w:tcPr>
            <w:tcW w:w="1650" w:type="dxa"/>
            <w:vMerge/>
            <w:tcBorders>
              <w:left w:val="single" w:sz="0" w:space="0" w:color="auto"/>
              <w:right w:val="single" w:sz="0" w:space="0" w:color="auto"/>
            </w:tcBorders>
            <w:vAlign w:val="center"/>
          </w:tcPr>
          <w:p w14:paraId="3A59DCDD"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247AE9E5" w14:textId="77777777" w:rsidR="004412F1" w:rsidRDefault="005A12A3">
            <w:pPr>
              <w:rPr>
                <w:lang w:val="es-PE"/>
              </w:rPr>
            </w:pPr>
            <w:r>
              <w:rPr>
                <w:rFonts w:ascii="Calibri" w:hAnsi="Calibri"/>
                <w:sz w:val="20"/>
                <w:lang w:val="es-PE"/>
              </w:rPr>
              <w:t>Ausencia de pintura o lámina reflectiva con un coeficiente de reflectividad de 40 cd/lux/m2 en un área mínima de 50 cm2, cada 2 m</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6BC757"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CB2395"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20CFD7"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D2343C" w14:textId="77777777" w:rsidR="004412F1" w:rsidRDefault="005A12A3">
            <w:r>
              <w:rPr>
                <w:rFonts w:ascii="Calibri" w:hAnsi="Calibri"/>
                <w:sz w:val="20"/>
              </w:rPr>
              <w:t>No se Admitirán</w:t>
            </w:r>
          </w:p>
        </w:tc>
      </w:tr>
      <w:tr w:rsidR="004412F1" w14:paraId="5276B012" w14:textId="77777777">
        <w:trPr>
          <w:trHeight w:val="510"/>
        </w:trPr>
        <w:tc>
          <w:tcPr>
            <w:tcW w:w="1650" w:type="dxa"/>
            <w:vMerge/>
            <w:tcBorders>
              <w:left w:val="single" w:sz="0" w:space="0" w:color="auto"/>
              <w:bottom w:val="single" w:sz="0" w:space="0" w:color="000000" w:themeColor="text1"/>
              <w:right w:val="single" w:sz="0" w:space="0" w:color="auto"/>
            </w:tcBorders>
            <w:vAlign w:val="center"/>
          </w:tcPr>
          <w:p w14:paraId="1F0B1B57"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0824A6FC" w14:textId="77777777" w:rsidR="004412F1" w:rsidRDefault="005A12A3">
            <w:pPr>
              <w:rPr>
                <w:lang w:val="es-PE"/>
              </w:rPr>
            </w:pPr>
            <w:r>
              <w:rPr>
                <w:rFonts w:ascii="Calibri" w:hAnsi="Calibri"/>
                <w:sz w:val="20"/>
                <w:lang w:val="es-PE"/>
              </w:rPr>
              <w:t>Vegetación en su entorno que impida la visibilidad</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26C4E0"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5B891C"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A7D8CF"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352FC7" w14:textId="77777777" w:rsidR="004412F1" w:rsidRDefault="005A12A3">
            <w:r>
              <w:rPr>
                <w:rFonts w:ascii="Calibri" w:hAnsi="Calibri"/>
                <w:sz w:val="20"/>
              </w:rPr>
              <w:t>No se Admitirán</w:t>
            </w:r>
          </w:p>
        </w:tc>
      </w:tr>
      <w:tr w:rsidR="004412F1" w14:paraId="59A6E3DA" w14:textId="77777777">
        <w:trPr>
          <w:trHeight w:val="915"/>
        </w:trPr>
        <w:tc>
          <w:tcPr>
            <w:tcW w:w="1650" w:type="dxa"/>
            <w:tcBorders>
              <w:top w:val="nil"/>
              <w:left w:val="single" w:sz="8" w:space="0" w:color="auto"/>
              <w:bottom w:val="single" w:sz="8" w:space="0" w:color="auto"/>
              <w:right w:val="single" w:sz="8" w:space="0" w:color="auto"/>
            </w:tcBorders>
            <w:tcMar>
              <w:left w:w="70" w:type="dxa"/>
              <w:right w:w="70" w:type="dxa"/>
            </w:tcMar>
            <w:vAlign w:val="center"/>
          </w:tcPr>
          <w:p w14:paraId="2E4D8705" w14:textId="77777777" w:rsidR="004412F1" w:rsidRDefault="005A12A3">
            <w:pPr>
              <w:jc w:val="both"/>
              <w:rPr>
                <w:rFonts w:ascii="Calibri" w:hAnsi="Calibri"/>
                <w:sz w:val="20"/>
                <w:lang w:val="es-PE"/>
              </w:rPr>
            </w:pPr>
            <w:r>
              <w:rPr>
                <w:rFonts w:ascii="Calibri" w:hAnsi="Calibri"/>
                <w:sz w:val="20"/>
                <w:lang w:val="es-PE"/>
              </w:rPr>
              <w:t>Deficiencia en la colocación de delineadores de curvas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41948B" w14:textId="77777777" w:rsidR="004412F1" w:rsidRDefault="005A12A3">
            <w:pPr>
              <w:rPr>
                <w:lang w:val="es-PE"/>
              </w:rPr>
            </w:pPr>
            <w:r>
              <w:rPr>
                <w:rFonts w:ascii="Calibri" w:hAnsi="Calibri"/>
                <w:sz w:val="20"/>
                <w:lang w:val="es-PE"/>
              </w:rPr>
              <w:t>Ubicación, alineación, separación y altura</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EC8E82" w14:textId="77777777" w:rsidR="004412F1" w:rsidRDefault="005A12A3">
            <w:pPr>
              <w:rPr>
                <w:lang w:val="es-PE"/>
              </w:rPr>
            </w:pPr>
            <w:r>
              <w:rPr>
                <w:rFonts w:ascii="Calibri" w:hAnsi="Calibri"/>
                <w:sz w:val="20"/>
                <w:lang w:val="es-PE"/>
              </w:rPr>
              <w:t>Deberá responder a lo establecido en el Manual aprobado (*)</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23EE5D" w14:textId="77777777" w:rsidR="004412F1" w:rsidRDefault="005A12A3">
            <w:pPr>
              <w:rPr>
                <w:lang w:val="es-PE"/>
              </w:rPr>
            </w:pPr>
            <w:r>
              <w:rPr>
                <w:rFonts w:ascii="Calibri" w:hAnsi="Calibri"/>
                <w:sz w:val="20"/>
                <w:lang w:val="es-PE"/>
              </w:rPr>
              <w:t>Deberá responder a lo establecido en el Manual aprobado (*)</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7C3729" w14:textId="77777777" w:rsidR="004412F1" w:rsidRDefault="005A12A3">
            <w:pPr>
              <w:rPr>
                <w:lang w:val="es-PE"/>
              </w:rPr>
            </w:pPr>
            <w:r>
              <w:rPr>
                <w:rFonts w:ascii="Calibri" w:hAnsi="Calibri"/>
                <w:sz w:val="20"/>
                <w:lang w:val="es-PE"/>
              </w:rPr>
              <w:t>Deberá responder a lo establecido en el Manual aprobado (*)</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CDD69" w14:textId="77777777" w:rsidR="004412F1" w:rsidRDefault="005A12A3">
            <w:pPr>
              <w:rPr>
                <w:lang w:val="es-PE"/>
              </w:rPr>
            </w:pPr>
            <w:r>
              <w:rPr>
                <w:rFonts w:ascii="Calibri" w:hAnsi="Calibri"/>
                <w:sz w:val="20"/>
                <w:lang w:val="es-PE"/>
              </w:rPr>
              <w:t>Deberá responder a lo establecido en el Manual aprobado (*)</w:t>
            </w:r>
          </w:p>
        </w:tc>
      </w:tr>
      <w:tr w:rsidR="004412F1" w14:paraId="29ACD2D2" w14:textId="77777777">
        <w:trPr>
          <w:trHeight w:val="840"/>
        </w:trPr>
        <w:tc>
          <w:tcPr>
            <w:tcW w:w="1650"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728012CF" w14:textId="77777777" w:rsidR="004412F1" w:rsidRDefault="005A12A3">
            <w:pPr>
              <w:jc w:val="both"/>
              <w:rPr>
                <w:rFonts w:ascii="Calibri" w:hAnsi="Calibri"/>
                <w:sz w:val="20"/>
                <w:lang w:val="es-PE"/>
              </w:rPr>
            </w:pPr>
            <w:r>
              <w:rPr>
                <w:rFonts w:ascii="Calibri" w:hAnsi="Calibri"/>
                <w:sz w:val="20"/>
                <w:lang w:val="es-PE"/>
              </w:rPr>
              <w:t>Deterioro y limpieza de delineadores de curvas</w:t>
            </w:r>
          </w:p>
        </w:tc>
        <w:tc>
          <w:tcPr>
            <w:tcW w:w="19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5E8FA1" w14:textId="77777777" w:rsidR="004412F1" w:rsidRDefault="005A12A3">
            <w:pPr>
              <w:rPr>
                <w:lang w:val="es-PE"/>
              </w:rPr>
            </w:pPr>
            <w:r>
              <w:rPr>
                <w:rFonts w:ascii="Calibri" w:hAnsi="Calibri"/>
                <w:sz w:val="20"/>
                <w:lang w:val="es-PE"/>
              </w:rPr>
              <w:t>Fisura, fracturas o armaduras a la vista (en el caso de delineadores de hormigón)</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B8D3DA"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A42D29"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654501"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14F94C" w14:textId="77777777" w:rsidR="004412F1" w:rsidRDefault="005A12A3">
            <w:r>
              <w:rPr>
                <w:rFonts w:ascii="Calibri" w:hAnsi="Calibri"/>
                <w:sz w:val="20"/>
              </w:rPr>
              <w:t>No se Admitirán</w:t>
            </w:r>
          </w:p>
        </w:tc>
      </w:tr>
      <w:tr w:rsidR="004412F1" w14:paraId="5A34DCEC" w14:textId="77777777">
        <w:trPr>
          <w:trHeight w:val="555"/>
        </w:trPr>
        <w:tc>
          <w:tcPr>
            <w:tcW w:w="1650" w:type="dxa"/>
            <w:vMerge/>
            <w:tcBorders>
              <w:left w:val="single" w:sz="0" w:space="0" w:color="auto"/>
              <w:right w:val="single" w:sz="0" w:space="0" w:color="auto"/>
            </w:tcBorders>
            <w:vAlign w:val="center"/>
          </w:tcPr>
          <w:p w14:paraId="66207FA7"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07CE20CF" w14:textId="77777777" w:rsidR="004412F1" w:rsidRDefault="005A12A3">
            <w:r>
              <w:rPr>
                <w:rFonts w:ascii="Calibri" w:hAnsi="Calibri"/>
                <w:sz w:val="20"/>
              </w:rPr>
              <w:t>Deficiencias en el pintado</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CD5156"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B60332"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A55C6B"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D76B1B" w14:textId="77777777" w:rsidR="004412F1" w:rsidRDefault="005A12A3">
            <w:r>
              <w:rPr>
                <w:rFonts w:ascii="Calibri" w:hAnsi="Calibri"/>
                <w:sz w:val="20"/>
              </w:rPr>
              <w:t>No se Admitirán</w:t>
            </w:r>
          </w:p>
        </w:tc>
      </w:tr>
      <w:tr w:rsidR="004412F1" w14:paraId="71CA641B" w14:textId="77777777">
        <w:trPr>
          <w:trHeight w:val="1020"/>
        </w:trPr>
        <w:tc>
          <w:tcPr>
            <w:tcW w:w="1650" w:type="dxa"/>
            <w:vMerge/>
            <w:tcBorders>
              <w:left w:val="single" w:sz="0" w:space="0" w:color="auto"/>
              <w:bottom w:val="single" w:sz="0" w:space="0" w:color="000000" w:themeColor="text1"/>
              <w:right w:val="single" w:sz="0" w:space="0" w:color="auto"/>
            </w:tcBorders>
            <w:vAlign w:val="center"/>
          </w:tcPr>
          <w:p w14:paraId="390C3C13"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256985C9" w14:textId="77777777" w:rsidR="004412F1" w:rsidRDefault="005A12A3">
            <w:pPr>
              <w:rPr>
                <w:lang w:val="es-PE"/>
              </w:rPr>
            </w:pPr>
            <w:r>
              <w:rPr>
                <w:rFonts w:ascii="Calibri" w:hAnsi="Calibri"/>
                <w:sz w:val="20"/>
                <w:lang w:val="es-PE"/>
              </w:rPr>
              <w:t>Ausencia de pintura o lámina reflectiva en ambas caras con un coeficiente de reflectividad de 40 cd/lux/m2 en un área mínima de 70 cm2</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3E448A"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D837C6"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E09860"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424E81" w14:textId="77777777" w:rsidR="004412F1" w:rsidRDefault="005A12A3">
            <w:r>
              <w:rPr>
                <w:rFonts w:ascii="Calibri" w:hAnsi="Calibri"/>
                <w:sz w:val="20"/>
              </w:rPr>
              <w:t>No se Admitirán</w:t>
            </w:r>
          </w:p>
        </w:tc>
      </w:tr>
      <w:tr w:rsidR="004412F1" w14:paraId="7C74948C" w14:textId="77777777">
        <w:trPr>
          <w:trHeight w:val="645"/>
        </w:trPr>
        <w:tc>
          <w:tcPr>
            <w:tcW w:w="1650" w:type="dxa"/>
            <w:vMerge/>
            <w:tcBorders>
              <w:left w:val="single" w:sz="0" w:space="0" w:color="auto"/>
              <w:bottom w:val="single" w:sz="0" w:space="0" w:color="000000" w:themeColor="text1"/>
              <w:right w:val="single" w:sz="0" w:space="0" w:color="auto"/>
            </w:tcBorders>
            <w:vAlign w:val="center"/>
          </w:tcPr>
          <w:p w14:paraId="7C6F5751" w14:textId="77777777" w:rsidR="004412F1" w:rsidRDefault="004412F1"/>
        </w:tc>
        <w:tc>
          <w:tcPr>
            <w:tcW w:w="1980" w:type="dxa"/>
            <w:tcBorders>
              <w:top w:val="single" w:sz="8" w:space="0" w:color="auto"/>
              <w:left w:val="nil"/>
              <w:bottom w:val="single" w:sz="8" w:space="0" w:color="auto"/>
              <w:right w:val="single" w:sz="8" w:space="0" w:color="auto"/>
            </w:tcBorders>
            <w:tcMar>
              <w:left w:w="70" w:type="dxa"/>
              <w:right w:w="70" w:type="dxa"/>
            </w:tcMar>
            <w:vAlign w:val="center"/>
          </w:tcPr>
          <w:p w14:paraId="5675B3D6" w14:textId="77777777" w:rsidR="004412F1" w:rsidRDefault="005A12A3">
            <w:pPr>
              <w:rPr>
                <w:lang w:val="es-PE"/>
              </w:rPr>
            </w:pPr>
            <w:r>
              <w:rPr>
                <w:rFonts w:ascii="Calibri" w:hAnsi="Calibri"/>
                <w:sz w:val="20"/>
                <w:lang w:val="es-PE"/>
              </w:rPr>
              <w:t>Vegetación en su entorno que impida la visibilidad</w:t>
            </w:r>
          </w:p>
        </w:tc>
        <w:tc>
          <w:tcPr>
            <w:tcW w:w="12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10ADB" w14:textId="77777777" w:rsidR="004412F1" w:rsidRDefault="005A12A3">
            <w:r>
              <w:rPr>
                <w:rFonts w:ascii="Calibri" w:hAnsi="Calibri"/>
                <w:sz w:val="20"/>
              </w:rPr>
              <w:t>No se Admitirán</w:t>
            </w:r>
          </w:p>
        </w:tc>
        <w:tc>
          <w:tcPr>
            <w:tcW w:w="144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8A65E5" w14:textId="77777777" w:rsidR="004412F1" w:rsidRDefault="005A12A3">
            <w:r>
              <w:rPr>
                <w:rFonts w:ascii="Calibri" w:hAnsi="Calibri"/>
                <w:sz w:val="20"/>
              </w:rPr>
              <w:t>No se Admitirán</w:t>
            </w:r>
          </w:p>
        </w:tc>
        <w:tc>
          <w:tcPr>
            <w:tcW w:w="14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740996" w14:textId="77777777" w:rsidR="004412F1" w:rsidRDefault="005A12A3">
            <w:r>
              <w:rPr>
                <w:rFonts w:ascii="Calibri" w:hAnsi="Calibri"/>
                <w:sz w:val="20"/>
              </w:rPr>
              <w:t>No se Admitirán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A0A207" w14:textId="77777777" w:rsidR="004412F1" w:rsidRDefault="005A12A3">
            <w:r>
              <w:rPr>
                <w:rFonts w:ascii="Calibri" w:hAnsi="Calibri"/>
                <w:sz w:val="20"/>
              </w:rPr>
              <w:t>No se Admitirán</w:t>
            </w:r>
          </w:p>
        </w:tc>
      </w:tr>
      <w:tr w:rsidR="004412F1" w14:paraId="3B7C0E14" w14:textId="77777777">
        <w:trPr>
          <w:trHeight w:val="255"/>
        </w:trPr>
        <w:tc>
          <w:tcPr>
            <w:tcW w:w="1650"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1F73ACEE" w14:textId="77777777" w:rsidR="004412F1" w:rsidRDefault="004412F1"/>
        </w:tc>
        <w:tc>
          <w:tcPr>
            <w:tcW w:w="1980" w:type="dxa"/>
            <w:tcMar>
              <w:left w:w="70" w:type="dxa"/>
              <w:right w:w="70" w:type="dxa"/>
            </w:tcMar>
          </w:tcPr>
          <w:p w14:paraId="33BDF9DB" w14:textId="77777777" w:rsidR="004412F1" w:rsidRDefault="004412F1"/>
        </w:tc>
        <w:tc>
          <w:tcPr>
            <w:tcW w:w="1200" w:type="dxa"/>
            <w:tcMar>
              <w:left w:w="70" w:type="dxa"/>
              <w:right w:w="70" w:type="dxa"/>
            </w:tcMar>
          </w:tcPr>
          <w:p w14:paraId="1A2726C5" w14:textId="77777777" w:rsidR="004412F1" w:rsidRDefault="004412F1"/>
        </w:tc>
        <w:tc>
          <w:tcPr>
            <w:tcW w:w="1440" w:type="dxa"/>
            <w:tcMar>
              <w:left w:w="70" w:type="dxa"/>
              <w:right w:w="70" w:type="dxa"/>
            </w:tcMar>
          </w:tcPr>
          <w:p w14:paraId="6B070FBB" w14:textId="77777777" w:rsidR="004412F1" w:rsidRDefault="004412F1"/>
        </w:tc>
        <w:tc>
          <w:tcPr>
            <w:tcW w:w="1455" w:type="dxa"/>
            <w:tcMar>
              <w:left w:w="70" w:type="dxa"/>
              <w:right w:w="70" w:type="dxa"/>
            </w:tcMar>
            <w:vAlign w:val="center"/>
          </w:tcPr>
          <w:p w14:paraId="08F373AB" w14:textId="77777777" w:rsidR="004412F1" w:rsidRDefault="004412F1"/>
        </w:tc>
        <w:tc>
          <w:tcPr>
            <w:tcW w:w="1260" w:type="dxa"/>
            <w:tcMar>
              <w:left w:w="70" w:type="dxa"/>
              <w:right w:w="70" w:type="dxa"/>
            </w:tcMar>
            <w:vAlign w:val="bottom"/>
          </w:tcPr>
          <w:p w14:paraId="7EA92EF9" w14:textId="77777777" w:rsidR="004412F1" w:rsidRDefault="004412F1"/>
        </w:tc>
      </w:tr>
    </w:tbl>
    <w:p w14:paraId="2134E66A" w14:textId="77777777" w:rsidR="004412F1" w:rsidRDefault="005A12A3">
      <w:pPr>
        <w:ind w:left="709" w:hanging="709"/>
        <w:rPr>
          <w:sz w:val="20"/>
          <w:lang w:val="es"/>
        </w:rPr>
      </w:pPr>
      <w:r>
        <w:rPr>
          <w:sz w:val="20"/>
          <w:lang w:val="es"/>
        </w:rPr>
        <w:t>(*) Manual de Dispositivos de Control de Tránsito Automotor para Calles y Carreteras</w:t>
      </w:r>
    </w:p>
    <w:p w14:paraId="05783F7C" w14:textId="77777777" w:rsidR="004412F1" w:rsidRDefault="005A12A3">
      <w:pPr>
        <w:ind w:left="709" w:hanging="709"/>
        <w:rPr>
          <w:b/>
          <w:color w:val="000000"/>
          <w:sz w:val="20"/>
          <w:lang w:val="es"/>
        </w:rPr>
      </w:pPr>
      <w:r>
        <w:rPr>
          <w:sz w:val="20"/>
          <w:lang w:val="es"/>
        </w:rPr>
        <w:t>(*</w:t>
      </w:r>
      <w:proofErr w:type="gramStart"/>
      <w:r>
        <w:rPr>
          <w:sz w:val="20"/>
          <w:lang w:val="es"/>
        </w:rPr>
        <w:t>*)Especificaciones</w:t>
      </w:r>
      <w:proofErr w:type="gramEnd"/>
      <w:r>
        <w:rPr>
          <w:sz w:val="20"/>
          <w:lang w:val="es"/>
        </w:rPr>
        <w:t xml:space="preserve"> Técnicas Generales para </w:t>
      </w:r>
      <w:r>
        <w:rPr>
          <w:sz w:val="20"/>
          <w:szCs w:val="20"/>
          <w:lang w:val="es"/>
        </w:rPr>
        <w:t>Construcción</w:t>
      </w:r>
      <w:r>
        <w:rPr>
          <w:sz w:val="20"/>
          <w:lang w:val="es"/>
        </w:rPr>
        <w:t xml:space="preserve"> de </w:t>
      </w:r>
      <w:r>
        <w:rPr>
          <w:sz w:val="20"/>
          <w:szCs w:val="20"/>
          <w:lang w:val="es"/>
        </w:rPr>
        <w:t>(EG-2013)</w:t>
      </w:r>
    </w:p>
    <w:tbl>
      <w:tblPr>
        <w:tblpPr w:leftFromText="141" w:rightFromText="141" w:vertAnchor="text" w:horzAnchor="margin" w:tblpY="174"/>
        <w:tblW w:w="9256" w:type="dxa"/>
        <w:tblLayout w:type="fixed"/>
        <w:tblLook w:val="04A0" w:firstRow="1" w:lastRow="0" w:firstColumn="1" w:lastColumn="0" w:noHBand="0" w:noVBand="1"/>
      </w:tblPr>
      <w:tblGrid>
        <w:gridCol w:w="5274"/>
        <w:gridCol w:w="3982"/>
      </w:tblGrid>
      <w:tr w:rsidR="004412F1" w14:paraId="00BDC9F1" w14:textId="77777777">
        <w:trPr>
          <w:trHeight w:val="11"/>
        </w:trPr>
        <w:tc>
          <w:tcPr>
            <w:tcW w:w="9256"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71283CC1" w14:textId="77777777" w:rsidR="004412F1" w:rsidRDefault="005A12A3">
            <w:pPr>
              <w:jc w:val="center"/>
              <w:rPr>
                <w:b/>
                <w:sz w:val="20"/>
                <w:lang w:val="es"/>
              </w:rPr>
            </w:pPr>
            <w:r>
              <w:rPr>
                <w:b/>
                <w:sz w:val="20"/>
                <w:lang w:val="es"/>
              </w:rPr>
              <w:t>Plazos de Respuesta a Incumplimientos en:</w:t>
            </w:r>
          </w:p>
          <w:p w14:paraId="2FAFA79C" w14:textId="77777777" w:rsidR="004412F1" w:rsidRDefault="005A12A3">
            <w:pPr>
              <w:jc w:val="center"/>
              <w:rPr>
                <w:b/>
                <w:color w:val="000000" w:themeColor="text1"/>
                <w:sz w:val="20"/>
                <w:lang w:val="es"/>
              </w:rPr>
            </w:pPr>
            <w:r>
              <w:rPr>
                <w:b/>
                <w:color w:val="000000" w:themeColor="text1"/>
                <w:sz w:val="20"/>
                <w:lang w:val="es"/>
              </w:rPr>
              <w:t>Seguridad Vial</w:t>
            </w:r>
          </w:p>
        </w:tc>
      </w:tr>
      <w:tr w:rsidR="004412F1" w14:paraId="4676D00B"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BF8D3DB" w14:textId="77777777" w:rsidR="004412F1" w:rsidRDefault="005A12A3">
            <w:pPr>
              <w:jc w:val="center"/>
              <w:rPr>
                <w:b/>
                <w:sz w:val="20"/>
                <w:lang w:val="es"/>
              </w:rPr>
            </w:pPr>
            <w:r>
              <w:rPr>
                <w:b/>
                <w:sz w:val="20"/>
                <w:lang w:val="es"/>
              </w:rPr>
              <w:t>Parámetro</w:t>
            </w:r>
          </w:p>
        </w:tc>
        <w:tc>
          <w:tcPr>
            <w:tcW w:w="3982" w:type="dxa"/>
            <w:tcBorders>
              <w:top w:val="nil"/>
              <w:left w:val="single" w:sz="8" w:space="0" w:color="auto"/>
              <w:bottom w:val="single" w:sz="8" w:space="0" w:color="auto"/>
              <w:right w:val="single" w:sz="8" w:space="0" w:color="auto"/>
            </w:tcBorders>
            <w:tcMar>
              <w:left w:w="28" w:type="dxa"/>
              <w:right w:w="28" w:type="dxa"/>
            </w:tcMar>
            <w:vAlign w:val="center"/>
          </w:tcPr>
          <w:p w14:paraId="63E43FF7" w14:textId="77777777" w:rsidR="004412F1" w:rsidRDefault="005A12A3">
            <w:pPr>
              <w:jc w:val="center"/>
              <w:rPr>
                <w:b/>
                <w:bCs/>
                <w:sz w:val="20"/>
                <w:szCs w:val="20"/>
                <w:lang w:val="es-UY"/>
              </w:rPr>
            </w:pPr>
            <w:r>
              <w:rPr>
                <w:b/>
                <w:bCs/>
                <w:sz w:val="20"/>
                <w:szCs w:val="20"/>
                <w:lang w:val="es-UY"/>
              </w:rPr>
              <w:t>Plazo máximo de corrección (días)</w:t>
            </w:r>
          </w:p>
        </w:tc>
      </w:tr>
      <w:tr w:rsidR="004412F1" w14:paraId="4FF683FE" w14:textId="77777777">
        <w:trPr>
          <w:trHeight w:val="11"/>
        </w:trPr>
        <w:tc>
          <w:tcPr>
            <w:tcW w:w="9256" w:type="dxa"/>
            <w:gridSpan w:val="2"/>
            <w:tcBorders>
              <w:top w:val="single" w:sz="8" w:space="0" w:color="auto"/>
              <w:left w:val="single" w:sz="8" w:space="0" w:color="auto"/>
              <w:bottom w:val="single" w:sz="8" w:space="0" w:color="auto"/>
              <w:right w:val="single" w:sz="8" w:space="0" w:color="auto"/>
            </w:tcBorders>
            <w:shd w:val="clear" w:color="auto" w:fill="FFFF99"/>
            <w:tcMar>
              <w:top w:w="28" w:type="dxa"/>
              <w:left w:w="28" w:type="dxa"/>
              <w:bottom w:w="28" w:type="dxa"/>
              <w:right w:w="28" w:type="dxa"/>
            </w:tcMar>
            <w:vAlign w:val="center"/>
          </w:tcPr>
          <w:p w14:paraId="571807F7" w14:textId="77777777" w:rsidR="004412F1" w:rsidRDefault="005A12A3">
            <w:pPr>
              <w:jc w:val="center"/>
              <w:rPr>
                <w:b/>
                <w:color w:val="000000" w:themeColor="text1"/>
                <w:sz w:val="20"/>
                <w:lang w:val="es"/>
              </w:rPr>
            </w:pPr>
            <w:r>
              <w:rPr>
                <w:b/>
                <w:color w:val="000000" w:themeColor="text1"/>
                <w:sz w:val="20"/>
                <w:lang w:val="es"/>
              </w:rPr>
              <w:t>Señalización Horizontal</w:t>
            </w:r>
          </w:p>
        </w:tc>
      </w:tr>
      <w:tr w:rsidR="004412F1" w14:paraId="272000AB"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3F328B61" w14:textId="77777777" w:rsidR="004412F1" w:rsidRDefault="005A12A3">
            <w:pPr>
              <w:rPr>
                <w:lang w:val="es-PE"/>
              </w:rPr>
            </w:pPr>
            <w:r>
              <w:rPr>
                <w:sz w:val="20"/>
                <w:szCs w:val="20"/>
                <w:lang w:val="es-UY"/>
              </w:rPr>
              <w:t>Geometría incorrecta de las líneas</w:t>
            </w:r>
          </w:p>
        </w:tc>
        <w:tc>
          <w:tcPr>
            <w:tcW w:w="3982" w:type="dxa"/>
            <w:tcBorders>
              <w:top w:val="nil"/>
              <w:left w:val="single" w:sz="8" w:space="0" w:color="auto"/>
              <w:bottom w:val="single" w:sz="8" w:space="0" w:color="auto"/>
              <w:right w:val="single" w:sz="8" w:space="0" w:color="auto"/>
            </w:tcBorders>
            <w:tcMar>
              <w:left w:w="28" w:type="dxa"/>
              <w:right w:w="28" w:type="dxa"/>
            </w:tcMar>
          </w:tcPr>
          <w:p w14:paraId="1119D57E" w14:textId="77777777" w:rsidR="004412F1" w:rsidRDefault="005A12A3">
            <w:pPr>
              <w:jc w:val="center"/>
              <w:rPr>
                <w:sz w:val="20"/>
                <w:lang w:val="es"/>
              </w:rPr>
            </w:pPr>
            <w:r>
              <w:rPr>
                <w:sz w:val="20"/>
                <w:lang w:val="es"/>
              </w:rPr>
              <w:t>7</w:t>
            </w:r>
          </w:p>
        </w:tc>
      </w:tr>
      <w:tr w:rsidR="004412F1" w14:paraId="535E9709"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11C654F3" w14:textId="77777777" w:rsidR="004412F1" w:rsidRDefault="005A12A3">
            <w:pPr>
              <w:rPr>
                <w:lang w:val="es-PE"/>
              </w:rPr>
            </w:pPr>
            <w:r>
              <w:rPr>
                <w:sz w:val="20"/>
                <w:szCs w:val="20"/>
                <w:lang w:val="es-UY"/>
              </w:rPr>
              <w:t>Decoloración o suciedad de las líneas o marcas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00B5A3EE" w14:textId="77777777" w:rsidR="004412F1" w:rsidRDefault="005A12A3">
            <w:pPr>
              <w:jc w:val="center"/>
              <w:rPr>
                <w:sz w:val="20"/>
                <w:lang w:val="es"/>
              </w:rPr>
            </w:pPr>
            <w:r>
              <w:rPr>
                <w:sz w:val="20"/>
                <w:lang w:val="es"/>
              </w:rPr>
              <w:t>7</w:t>
            </w:r>
          </w:p>
        </w:tc>
      </w:tr>
      <w:tr w:rsidR="004412F1" w14:paraId="3B423654"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6ED5093D" w14:textId="77777777" w:rsidR="004412F1" w:rsidRDefault="005A12A3">
            <w:pPr>
              <w:rPr>
                <w:lang w:val="es-PE"/>
              </w:rPr>
            </w:pPr>
            <w:r>
              <w:rPr>
                <w:sz w:val="20"/>
                <w:szCs w:val="20"/>
                <w:lang w:val="es-UY"/>
              </w:rPr>
              <w:t>Visibilidad nocturna insuficiente de las líneas o marcas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7DD04DB6" w14:textId="77777777" w:rsidR="004412F1" w:rsidRDefault="005A12A3">
            <w:pPr>
              <w:jc w:val="center"/>
              <w:rPr>
                <w:sz w:val="20"/>
                <w:lang w:val="es"/>
              </w:rPr>
            </w:pPr>
            <w:r>
              <w:rPr>
                <w:sz w:val="20"/>
                <w:lang w:val="es"/>
              </w:rPr>
              <w:t>7</w:t>
            </w:r>
          </w:p>
        </w:tc>
      </w:tr>
      <w:tr w:rsidR="004412F1" w14:paraId="2B0759E9"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762B0E0D" w14:textId="77777777" w:rsidR="004412F1" w:rsidRDefault="005A12A3">
            <w:pPr>
              <w:rPr>
                <w:lang w:val="es-PE"/>
              </w:rPr>
            </w:pPr>
            <w:r>
              <w:rPr>
                <w:sz w:val="20"/>
                <w:szCs w:val="20"/>
                <w:lang w:val="es-UY"/>
              </w:rPr>
              <w:t>Visibilidad diurna insuficiente de las líneas o marcas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6CC70B3F" w14:textId="77777777" w:rsidR="004412F1" w:rsidRDefault="005A12A3">
            <w:pPr>
              <w:jc w:val="center"/>
              <w:rPr>
                <w:sz w:val="20"/>
                <w:lang w:val="es"/>
              </w:rPr>
            </w:pPr>
            <w:r>
              <w:rPr>
                <w:sz w:val="20"/>
                <w:lang w:val="es"/>
              </w:rPr>
              <w:t>7</w:t>
            </w:r>
          </w:p>
        </w:tc>
      </w:tr>
      <w:tr w:rsidR="004412F1" w14:paraId="11E311ED"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54111A62" w14:textId="77777777" w:rsidR="004412F1" w:rsidRDefault="005A12A3">
            <w:pPr>
              <w:rPr>
                <w:lang w:val="es-PE"/>
              </w:rPr>
            </w:pPr>
            <w:r>
              <w:rPr>
                <w:sz w:val="20"/>
                <w:szCs w:val="20"/>
                <w:lang w:val="es-UY"/>
              </w:rPr>
              <w:t>Exceso de desgaste de las líneas o marcas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2F2DFA2B" w14:textId="77777777" w:rsidR="004412F1" w:rsidRDefault="005A12A3">
            <w:pPr>
              <w:jc w:val="center"/>
              <w:rPr>
                <w:sz w:val="20"/>
                <w:lang w:val="es"/>
              </w:rPr>
            </w:pPr>
            <w:r>
              <w:rPr>
                <w:sz w:val="20"/>
                <w:lang w:val="es"/>
              </w:rPr>
              <w:t>7</w:t>
            </w:r>
          </w:p>
        </w:tc>
      </w:tr>
      <w:tr w:rsidR="004412F1" w14:paraId="72FABFAD"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4F335D74" w14:textId="77777777" w:rsidR="004412F1" w:rsidRDefault="005A12A3">
            <w:pPr>
              <w:rPr>
                <w:lang w:val="es-PE"/>
              </w:rPr>
            </w:pPr>
            <w:r>
              <w:rPr>
                <w:sz w:val="20"/>
                <w:szCs w:val="20"/>
                <w:lang w:val="es-UY"/>
              </w:rPr>
              <w:t>Geometría incorrecta de las tachas reflectivas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0095195D" w14:textId="77777777" w:rsidR="004412F1" w:rsidRDefault="005A12A3">
            <w:pPr>
              <w:jc w:val="center"/>
              <w:rPr>
                <w:sz w:val="20"/>
                <w:lang w:val="es"/>
              </w:rPr>
            </w:pPr>
            <w:r>
              <w:rPr>
                <w:sz w:val="20"/>
                <w:lang w:val="es"/>
              </w:rPr>
              <w:t>7</w:t>
            </w:r>
          </w:p>
        </w:tc>
      </w:tr>
      <w:tr w:rsidR="004412F1" w14:paraId="4080BCF0"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18984736" w14:textId="77777777" w:rsidR="004412F1" w:rsidRDefault="005A12A3">
            <w:pPr>
              <w:rPr>
                <w:lang w:val="es-PE"/>
              </w:rPr>
            </w:pPr>
            <w:r>
              <w:rPr>
                <w:sz w:val="20"/>
                <w:szCs w:val="20"/>
                <w:lang w:val="es-UY"/>
              </w:rPr>
              <w:t>Deterioro de las tachas reflectivas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24F0AF45" w14:textId="77777777" w:rsidR="004412F1" w:rsidRDefault="005A12A3">
            <w:pPr>
              <w:jc w:val="center"/>
              <w:rPr>
                <w:sz w:val="20"/>
                <w:lang w:val="es"/>
              </w:rPr>
            </w:pPr>
            <w:r>
              <w:rPr>
                <w:sz w:val="20"/>
                <w:lang w:val="es"/>
              </w:rPr>
              <w:t>7</w:t>
            </w:r>
          </w:p>
        </w:tc>
      </w:tr>
      <w:tr w:rsidR="004412F1" w14:paraId="573D2C46"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25DD18FB" w14:textId="77777777" w:rsidR="004412F1" w:rsidRDefault="005A12A3">
            <w:pPr>
              <w:rPr>
                <w:lang w:val="es-PE"/>
              </w:rPr>
            </w:pPr>
            <w:r>
              <w:rPr>
                <w:sz w:val="20"/>
                <w:lang w:val="es"/>
              </w:rPr>
              <w:t>Perdida o inutilidad de tachas reflectivas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2E142E33" w14:textId="77777777" w:rsidR="004412F1" w:rsidRDefault="005A12A3">
            <w:pPr>
              <w:jc w:val="center"/>
              <w:rPr>
                <w:sz w:val="20"/>
                <w:lang w:val="es"/>
              </w:rPr>
            </w:pPr>
            <w:r>
              <w:rPr>
                <w:sz w:val="20"/>
                <w:lang w:val="es"/>
              </w:rPr>
              <w:t>7</w:t>
            </w:r>
          </w:p>
        </w:tc>
      </w:tr>
      <w:tr w:rsidR="004412F1" w14:paraId="66F9647C" w14:textId="77777777">
        <w:trPr>
          <w:trHeight w:val="11"/>
        </w:trPr>
        <w:tc>
          <w:tcPr>
            <w:tcW w:w="9256" w:type="dxa"/>
            <w:gridSpan w:val="2"/>
            <w:tcBorders>
              <w:top w:val="single" w:sz="8" w:space="0" w:color="auto"/>
              <w:left w:val="single" w:sz="8" w:space="0" w:color="auto"/>
              <w:bottom w:val="single" w:sz="8" w:space="0" w:color="auto"/>
              <w:right w:val="single" w:sz="8" w:space="0" w:color="auto"/>
            </w:tcBorders>
            <w:shd w:val="clear" w:color="auto" w:fill="FFFF99"/>
            <w:tcMar>
              <w:top w:w="28" w:type="dxa"/>
              <w:left w:w="28" w:type="dxa"/>
              <w:bottom w:w="28" w:type="dxa"/>
              <w:right w:w="28" w:type="dxa"/>
            </w:tcMar>
            <w:vAlign w:val="center"/>
          </w:tcPr>
          <w:p w14:paraId="60D859C9" w14:textId="77777777" w:rsidR="004412F1" w:rsidRDefault="005A12A3">
            <w:pPr>
              <w:jc w:val="center"/>
              <w:rPr>
                <w:b/>
                <w:color w:val="000000" w:themeColor="text1"/>
                <w:sz w:val="20"/>
                <w:lang w:val="es"/>
              </w:rPr>
            </w:pPr>
            <w:r>
              <w:rPr>
                <w:b/>
                <w:color w:val="000000" w:themeColor="text1"/>
                <w:sz w:val="20"/>
                <w:lang w:val="es"/>
              </w:rPr>
              <w:t>Señalización Vertical y Aérea</w:t>
            </w:r>
          </w:p>
        </w:tc>
      </w:tr>
      <w:tr w:rsidR="004412F1" w14:paraId="7E3A3E21"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0890DB8A" w14:textId="77777777" w:rsidR="004412F1" w:rsidRDefault="005A12A3">
            <w:r>
              <w:rPr>
                <w:sz w:val="20"/>
                <w:lang w:val="es"/>
              </w:rPr>
              <w:t>Elementos saltantes</w:t>
            </w:r>
          </w:p>
        </w:tc>
        <w:tc>
          <w:tcPr>
            <w:tcW w:w="3982" w:type="dxa"/>
            <w:tcBorders>
              <w:top w:val="nil"/>
              <w:left w:val="single" w:sz="8" w:space="0" w:color="auto"/>
              <w:bottom w:val="single" w:sz="8" w:space="0" w:color="auto"/>
              <w:right w:val="single" w:sz="8" w:space="0" w:color="auto"/>
            </w:tcBorders>
            <w:tcMar>
              <w:left w:w="28" w:type="dxa"/>
              <w:right w:w="28" w:type="dxa"/>
            </w:tcMar>
          </w:tcPr>
          <w:p w14:paraId="38430597" w14:textId="77777777" w:rsidR="004412F1" w:rsidRDefault="005A12A3">
            <w:pPr>
              <w:jc w:val="center"/>
              <w:rPr>
                <w:sz w:val="20"/>
                <w:lang w:val="es"/>
              </w:rPr>
            </w:pPr>
            <w:r>
              <w:rPr>
                <w:sz w:val="20"/>
                <w:lang w:val="es"/>
              </w:rPr>
              <w:t>3</w:t>
            </w:r>
          </w:p>
        </w:tc>
      </w:tr>
      <w:tr w:rsidR="004412F1" w14:paraId="3F37F13F"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1B6E74BF" w14:textId="77777777" w:rsidR="004412F1" w:rsidRDefault="005A12A3">
            <w:pPr>
              <w:rPr>
                <w:lang w:val="es-PE"/>
              </w:rPr>
            </w:pPr>
            <w:r>
              <w:rPr>
                <w:sz w:val="20"/>
                <w:szCs w:val="20"/>
                <w:lang w:val="es-UY"/>
              </w:rPr>
              <w:t>Decoloración de las placas de las señales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7781877E" w14:textId="77777777" w:rsidR="004412F1" w:rsidRDefault="005A12A3">
            <w:pPr>
              <w:jc w:val="center"/>
              <w:rPr>
                <w:sz w:val="20"/>
                <w:lang w:val="es"/>
              </w:rPr>
            </w:pPr>
            <w:r>
              <w:rPr>
                <w:sz w:val="20"/>
                <w:lang w:val="es"/>
              </w:rPr>
              <w:t>7</w:t>
            </w:r>
          </w:p>
        </w:tc>
      </w:tr>
      <w:tr w:rsidR="004412F1" w14:paraId="0974080B"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602EDD1E" w14:textId="77777777" w:rsidR="004412F1" w:rsidRDefault="005A12A3">
            <w:pPr>
              <w:rPr>
                <w:lang w:val="es-PE"/>
              </w:rPr>
            </w:pPr>
            <w:r>
              <w:rPr>
                <w:sz w:val="20"/>
                <w:szCs w:val="20"/>
                <w:lang w:val="es-UY"/>
              </w:rPr>
              <w:t>Visibilidad nocturna insuficiente de las placas de las señales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00E5C2EF" w14:textId="77777777" w:rsidR="004412F1" w:rsidRDefault="005A12A3">
            <w:pPr>
              <w:jc w:val="center"/>
              <w:rPr>
                <w:sz w:val="20"/>
                <w:lang w:val="es"/>
              </w:rPr>
            </w:pPr>
            <w:r>
              <w:rPr>
                <w:sz w:val="20"/>
                <w:lang w:val="es"/>
              </w:rPr>
              <w:t>7</w:t>
            </w:r>
          </w:p>
        </w:tc>
      </w:tr>
      <w:tr w:rsidR="004412F1" w14:paraId="080E51A7"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436550D5" w14:textId="77777777" w:rsidR="004412F1" w:rsidRDefault="005A12A3">
            <w:pPr>
              <w:rPr>
                <w:lang w:val="es-PE"/>
              </w:rPr>
            </w:pPr>
            <w:r>
              <w:rPr>
                <w:sz w:val="20"/>
                <w:szCs w:val="20"/>
                <w:lang w:val="es-UY"/>
              </w:rPr>
              <w:t>Deterioro del mensaje de las placas de las señales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20DAE19F" w14:textId="77777777" w:rsidR="004412F1" w:rsidRDefault="005A12A3">
            <w:pPr>
              <w:jc w:val="center"/>
              <w:rPr>
                <w:sz w:val="20"/>
                <w:lang w:val="es"/>
              </w:rPr>
            </w:pPr>
            <w:r>
              <w:rPr>
                <w:sz w:val="20"/>
                <w:lang w:val="es"/>
              </w:rPr>
              <w:t>7</w:t>
            </w:r>
          </w:p>
        </w:tc>
      </w:tr>
      <w:tr w:rsidR="004412F1" w14:paraId="0C674D17"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285F32AF" w14:textId="77777777" w:rsidR="004412F1" w:rsidRDefault="005A12A3">
            <w:pPr>
              <w:rPr>
                <w:lang w:val="es-PE"/>
              </w:rPr>
            </w:pPr>
            <w:r>
              <w:rPr>
                <w:sz w:val="20"/>
                <w:szCs w:val="20"/>
                <w:lang w:val="es-UY"/>
              </w:rPr>
              <w:t>Deterioro de los elementos de fijación de las placas de las señales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67283432" w14:textId="77777777" w:rsidR="004412F1" w:rsidRDefault="005A12A3">
            <w:pPr>
              <w:jc w:val="center"/>
              <w:rPr>
                <w:sz w:val="20"/>
                <w:lang w:val="es"/>
              </w:rPr>
            </w:pPr>
            <w:r>
              <w:rPr>
                <w:sz w:val="20"/>
                <w:lang w:val="es"/>
              </w:rPr>
              <w:t>7</w:t>
            </w:r>
          </w:p>
        </w:tc>
      </w:tr>
      <w:tr w:rsidR="004412F1" w14:paraId="2BDC9DED"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7205268C" w14:textId="77777777" w:rsidR="004412F1" w:rsidRDefault="005A12A3">
            <w:pPr>
              <w:rPr>
                <w:lang w:val="es-PE"/>
              </w:rPr>
            </w:pPr>
            <w:r>
              <w:rPr>
                <w:sz w:val="20"/>
                <w:szCs w:val="20"/>
                <w:lang w:val="es-UY"/>
              </w:rPr>
              <w:t>Deterioro de los soportes de las señales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4AA4B5BB" w14:textId="77777777" w:rsidR="004412F1" w:rsidRDefault="005A12A3">
            <w:pPr>
              <w:jc w:val="center"/>
              <w:rPr>
                <w:sz w:val="20"/>
                <w:lang w:val="es"/>
              </w:rPr>
            </w:pPr>
            <w:r>
              <w:rPr>
                <w:sz w:val="20"/>
                <w:lang w:val="es"/>
              </w:rPr>
              <w:t>7</w:t>
            </w:r>
          </w:p>
        </w:tc>
      </w:tr>
      <w:tr w:rsidR="004412F1" w14:paraId="5CF527C3"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49A36284" w14:textId="77777777" w:rsidR="004412F1" w:rsidRDefault="005A12A3">
            <w:pPr>
              <w:rPr>
                <w:lang w:val="es-PE"/>
              </w:rPr>
            </w:pPr>
            <w:r>
              <w:rPr>
                <w:sz w:val="20"/>
                <w:szCs w:val="20"/>
                <w:lang w:val="es-UY"/>
              </w:rPr>
              <w:t>Deterioro de los postes kilométricos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1C073E7E" w14:textId="77777777" w:rsidR="004412F1" w:rsidRDefault="005A12A3">
            <w:pPr>
              <w:jc w:val="center"/>
              <w:rPr>
                <w:sz w:val="20"/>
                <w:lang w:val="es"/>
              </w:rPr>
            </w:pPr>
            <w:r>
              <w:rPr>
                <w:sz w:val="20"/>
                <w:lang w:val="es"/>
              </w:rPr>
              <w:t>7</w:t>
            </w:r>
          </w:p>
        </w:tc>
      </w:tr>
      <w:tr w:rsidR="004412F1" w14:paraId="4C1445DD" w14:textId="77777777">
        <w:trPr>
          <w:trHeight w:val="11"/>
        </w:trPr>
        <w:tc>
          <w:tcPr>
            <w:tcW w:w="9256" w:type="dxa"/>
            <w:gridSpan w:val="2"/>
            <w:tcBorders>
              <w:top w:val="single" w:sz="8" w:space="0" w:color="auto"/>
              <w:left w:val="single" w:sz="8" w:space="0" w:color="auto"/>
              <w:bottom w:val="single" w:sz="8" w:space="0" w:color="auto"/>
              <w:right w:val="single" w:sz="8" w:space="0" w:color="auto"/>
            </w:tcBorders>
            <w:shd w:val="clear" w:color="auto" w:fill="FFFF99"/>
            <w:tcMar>
              <w:top w:w="28" w:type="dxa"/>
              <w:left w:w="28" w:type="dxa"/>
              <w:bottom w:w="28" w:type="dxa"/>
              <w:right w:w="28" w:type="dxa"/>
            </w:tcMar>
            <w:vAlign w:val="center"/>
          </w:tcPr>
          <w:p w14:paraId="44034253" w14:textId="77777777" w:rsidR="004412F1" w:rsidRDefault="005A12A3">
            <w:pPr>
              <w:jc w:val="center"/>
              <w:rPr>
                <w:b/>
                <w:color w:val="000000" w:themeColor="text1"/>
                <w:sz w:val="20"/>
                <w:lang w:val="es-UY"/>
              </w:rPr>
            </w:pPr>
            <w:r>
              <w:rPr>
                <w:b/>
                <w:color w:val="000000" w:themeColor="text1"/>
                <w:sz w:val="20"/>
                <w:lang w:val="es-UY"/>
              </w:rPr>
              <w:t>Elementos de Encarrilamiento y Defensa</w:t>
            </w:r>
          </w:p>
        </w:tc>
      </w:tr>
      <w:tr w:rsidR="004412F1" w14:paraId="6C7ED4A1"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40C915B6" w14:textId="77777777" w:rsidR="004412F1" w:rsidRDefault="005A12A3">
            <w:r>
              <w:rPr>
                <w:sz w:val="20"/>
                <w:lang w:val="es"/>
              </w:rPr>
              <w:t>Elementos saltantes</w:t>
            </w:r>
          </w:p>
        </w:tc>
        <w:tc>
          <w:tcPr>
            <w:tcW w:w="3982" w:type="dxa"/>
            <w:tcBorders>
              <w:top w:val="nil"/>
              <w:left w:val="single" w:sz="8" w:space="0" w:color="auto"/>
              <w:bottom w:val="single" w:sz="8" w:space="0" w:color="auto"/>
              <w:right w:val="single" w:sz="8" w:space="0" w:color="auto"/>
            </w:tcBorders>
            <w:tcMar>
              <w:left w:w="28" w:type="dxa"/>
              <w:right w:w="28" w:type="dxa"/>
            </w:tcMar>
          </w:tcPr>
          <w:p w14:paraId="7D52CC91" w14:textId="77777777" w:rsidR="004412F1" w:rsidRDefault="005A12A3">
            <w:pPr>
              <w:jc w:val="center"/>
              <w:rPr>
                <w:sz w:val="20"/>
                <w:lang w:val="es"/>
              </w:rPr>
            </w:pPr>
            <w:r>
              <w:rPr>
                <w:sz w:val="20"/>
                <w:lang w:val="es"/>
              </w:rPr>
              <w:t>3</w:t>
            </w:r>
          </w:p>
        </w:tc>
      </w:tr>
      <w:tr w:rsidR="004412F1" w14:paraId="3F5219AC"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58B00B5D" w14:textId="77777777" w:rsidR="004412F1" w:rsidRDefault="005A12A3">
            <w:pPr>
              <w:rPr>
                <w:lang w:val="es-PE"/>
              </w:rPr>
            </w:pPr>
            <w:r>
              <w:rPr>
                <w:sz w:val="20"/>
                <w:szCs w:val="20"/>
                <w:lang w:val="es-UY"/>
              </w:rPr>
              <w:t>Deficiencia en la colocación de las defensas metálicas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74B0D7C2" w14:textId="77777777" w:rsidR="004412F1" w:rsidRDefault="005A12A3">
            <w:pPr>
              <w:jc w:val="center"/>
              <w:rPr>
                <w:sz w:val="20"/>
                <w:lang w:val="es"/>
              </w:rPr>
            </w:pPr>
            <w:r>
              <w:rPr>
                <w:sz w:val="20"/>
                <w:lang w:val="es"/>
              </w:rPr>
              <w:t>7</w:t>
            </w:r>
          </w:p>
        </w:tc>
      </w:tr>
      <w:tr w:rsidR="004412F1" w14:paraId="244A69DD"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4BAFC06A" w14:textId="77777777" w:rsidR="004412F1" w:rsidRDefault="005A12A3">
            <w:pPr>
              <w:rPr>
                <w:lang w:val="es-PE"/>
              </w:rPr>
            </w:pPr>
            <w:r>
              <w:rPr>
                <w:sz w:val="20"/>
                <w:szCs w:val="20"/>
                <w:lang w:val="es-UY"/>
              </w:rPr>
              <w:t>Deterioros y limpieza de las defensas metálicas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30756FAF" w14:textId="77777777" w:rsidR="004412F1" w:rsidRDefault="005A12A3">
            <w:pPr>
              <w:jc w:val="center"/>
              <w:rPr>
                <w:sz w:val="20"/>
                <w:lang w:val="es"/>
              </w:rPr>
            </w:pPr>
            <w:r>
              <w:rPr>
                <w:sz w:val="20"/>
                <w:lang w:val="es"/>
              </w:rPr>
              <w:t>7</w:t>
            </w:r>
          </w:p>
        </w:tc>
      </w:tr>
      <w:tr w:rsidR="004412F1" w14:paraId="24B87500"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55CBFC3B" w14:textId="77777777" w:rsidR="004412F1" w:rsidRDefault="005A12A3">
            <w:pPr>
              <w:rPr>
                <w:lang w:val="es-PE"/>
              </w:rPr>
            </w:pPr>
            <w:r>
              <w:rPr>
                <w:sz w:val="20"/>
                <w:szCs w:val="20"/>
                <w:lang w:val="es-UY"/>
              </w:rPr>
              <w:t>Deficiencia en la colocación de los parapetos con baranda</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0D983F13" w14:textId="77777777" w:rsidR="004412F1" w:rsidRDefault="005A12A3">
            <w:pPr>
              <w:jc w:val="center"/>
              <w:rPr>
                <w:sz w:val="20"/>
                <w:lang w:val="es"/>
              </w:rPr>
            </w:pPr>
            <w:r>
              <w:rPr>
                <w:sz w:val="20"/>
                <w:lang w:val="es"/>
              </w:rPr>
              <w:t>7</w:t>
            </w:r>
          </w:p>
        </w:tc>
      </w:tr>
      <w:tr w:rsidR="004412F1" w14:paraId="7519AFB3"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536D4436" w14:textId="77777777" w:rsidR="004412F1" w:rsidRDefault="005A12A3">
            <w:pPr>
              <w:rPr>
                <w:lang w:val="es-PE"/>
              </w:rPr>
            </w:pPr>
            <w:r>
              <w:rPr>
                <w:sz w:val="20"/>
                <w:szCs w:val="20"/>
                <w:lang w:val="es-UY"/>
              </w:rPr>
              <w:t>Deterioros y limpieza de los parapetos con baranda</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21DEA2D6" w14:textId="77777777" w:rsidR="004412F1" w:rsidRDefault="005A12A3">
            <w:pPr>
              <w:jc w:val="center"/>
              <w:rPr>
                <w:sz w:val="20"/>
                <w:lang w:val="es"/>
              </w:rPr>
            </w:pPr>
            <w:r>
              <w:rPr>
                <w:sz w:val="20"/>
                <w:lang w:val="es"/>
              </w:rPr>
              <w:t>7</w:t>
            </w:r>
          </w:p>
        </w:tc>
      </w:tr>
      <w:tr w:rsidR="004412F1" w14:paraId="54D3C41E"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75765C90" w14:textId="77777777" w:rsidR="004412F1" w:rsidRDefault="005A12A3">
            <w:pPr>
              <w:tabs>
                <w:tab w:val="left" w:pos="4270"/>
              </w:tabs>
              <w:rPr>
                <w:lang w:val="es-PE"/>
              </w:rPr>
            </w:pPr>
            <w:r>
              <w:rPr>
                <w:sz w:val="20"/>
                <w:szCs w:val="20"/>
                <w:lang w:val="es-UY"/>
              </w:rPr>
              <w:t>Deficiencia en la colocación de los delineadores de curvas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58C9E7F0" w14:textId="77777777" w:rsidR="004412F1" w:rsidRDefault="005A12A3">
            <w:pPr>
              <w:jc w:val="center"/>
              <w:rPr>
                <w:sz w:val="20"/>
                <w:lang w:val="es"/>
              </w:rPr>
            </w:pPr>
            <w:r>
              <w:rPr>
                <w:sz w:val="20"/>
                <w:lang w:val="es"/>
              </w:rPr>
              <w:t>7</w:t>
            </w:r>
          </w:p>
        </w:tc>
      </w:tr>
      <w:tr w:rsidR="004412F1" w14:paraId="1B2C35A3" w14:textId="77777777">
        <w:trPr>
          <w:trHeight w:val="11"/>
        </w:trPr>
        <w:tc>
          <w:tcPr>
            <w:tcW w:w="5274" w:type="dxa"/>
            <w:tcBorders>
              <w:top w:val="single" w:sz="8" w:space="0" w:color="auto"/>
              <w:left w:val="single" w:sz="8" w:space="0" w:color="auto"/>
              <w:bottom w:val="single" w:sz="8" w:space="0" w:color="auto"/>
              <w:right w:val="single" w:sz="8" w:space="0" w:color="auto"/>
            </w:tcBorders>
            <w:tcMar>
              <w:left w:w="28" w:type="dxa"/>
              <w:right w:w="28" w:type="dxa"/>
            </w:tcMar>
          </w:tcPr>
          <w:p w14:paraId="5B179C3F" w14:textId="77777777" w:rsidR="004412F1" w:rsidRDefault="005A12A3">
            <w:pPr>
              <w:rPr>
                <w:lang w:val="es-PE"/>
              </w:rPr>
            </w:pPr>
            <w:r>
              <w:rPr>
                <w:sz w:val="20"/>
                <w:szCs w:val="20"/>
                <w:lang w:val="es-UY"/>
              </w:rPr>
              <w:t>Deterioros y limpieza de los delineadores de curvas</w:t>
            </w:r>
          </w:p>
        </w:tc>
        <w:tc>
          <w:tcPr>
            <w:tcW w:w="3982" w:type="dxa"/>
            <w:tcBorders>
              <w:top w:val="single" w:sz="8" w:space="0" w:color="auto"/>
              <w:left w:val="single" w:sz="8" w:space="0" w:color="auto"/>
              <w:bottom w:val="single" w:sz="8" w:space="0" w:color="auto"/>
              <w:right w:val="single" w:sz="8" w:space="0" w:color="auto"/>
            </w:tcBorders>
            <w:tcMar>
              <w:left w:w="28" w:type="dxa"/>
              <w:right w:w="28" w:type="dxa"/>
            </w:tcMar>
          </w:tcPr>
          <w:p w14:paraId="33D20590" w14:textId="77777777" w:rsidR="004412F1" w:rsidRDefault="005A12A3">
            <w:pPr>
              <w:jc w:val="center"/>
              <w:rPr>
                <w:sz w:val="20"/>
                <w:lang w:val="es"/>
              </w:rPr>
            </w:pPr>
            <w:r>
              <w:rPr>
                <w:sz w:val="20"/>
                <w:lang w:val="es"/>
              </w:rPr>
              <w:t>7</w:t>
            </w:r>
          </w:p>
        </w:tc>
      </w:tr>
    </w:tbl>
    <w:p w14:paraId="0A127D45" w14:textId="77777777" w:rsidR="004412F1" w:rsidRDefault="004412F1">
      <w:pPr>
        <w:rPr>
          <w:b/>
        </w:rPr>
      </w:pPr>
    </w:p>
    <w:p w14:paraId="025C6563" w14:textId="77777777" w:rsidR="004412F1" w:rsidRDefault="004412F1">
      <w:pPr>
        <w:rPr>
          <w:b/>
        </w:rPr>
      </w:pPr>
    </w:p>
    <w:p w14:paraId="2DAA259D" w14:textId="77777777" w:rsidR="004412F1" w:rsidRDefault="004412F1">
      <w:pPr>
        <w:rPr>
          <w:b/>
        </w:rPr>
      </w:pPr>
    </w:p>
    <w:p w14:paraId="7371B6AD" w14:textId="77777777" w:rsidR="004412F1" w:rsidRDefault="004412F1">
      <w:pPr>
        <w:jc w:val="center"/>
      </w:pPr>
    </w:p>
    <w:p w14:paraId="6C79F5FE" w14:textId="77777777" w:rsidR="004412F1" w:rsidRDefault="005A12A3">
      <w:pPr>
        <w:jc w:val="center"/>
        <w:rPr>
          <w:b/>
        </w:rPr>
      </w:pPr>
      <w:r>
        <w:br w:type="page"/>
      </w:r>
    </w:p>
    <w:p w14:paraId="1DDF07E3" w14:textId="77777777" w:rsidR="004412F1" w:rsidRDefault="005A12A3">
      <w:pPr>
        <w:jc w:val="center"/>
        <w:rPr>
          <w:b/>
          <w:lang w:val="es-PE"/>
        </w:rPr>
      </w:pPr>
      <w:r>
        <w:rPr>
          <w:b/>
          <w:lang w:val="es-PE"/>
        </w:rPr>
        <w:t>Niveles de Servicio para: Derecho de Vía y/o Área de Concesión</w:t>
      </w:r>
    </w:p>
    <w:tbl>
      <w:tblPr>
        <w:tblW w:w="13609" w:type="dxa"/>
        <w:tblInd w:w="-436" w:type="dxa"/>
        <w:tblLayout w:type="fixed"/>
        <w:tblLook w:val="04A0" w:firstRow="1" w:lastRow="0" w:firstColumn="1" w:lastColumn="0" w:noHBand="0" w:noVBand="1"/>
      </w:tblPr>
      <w:tblGrid>
        <w:gridCol w:w="1710"/>
        <w:gridCol w:w="1980"/>
        <w:gridCol w:w="1320"/>
        <w:gridCol w:w="2670"/>
        <w:gridCol w:w="1320"/>
        <w:gridCol w:w="1260"/>
        <w:gridCol w:w="3349"/>
      </w:tblGrid>
      <w:tr w:rsidR="004412F1" w14:paraId="18DC32EC" w14:textId="77777777">
        <w:trPr>
          <w:gridAfter w:val="1"/>
          <w:wAfter w:w="42" w:type="dxa"/>
          <w:trHeight w:val="540"/>
        </w:trPr>
        <w:tc>
          <w:tcPr>
            <w:tcW w:w="8940"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103E57A0" w14:textId="77777777" w:rsidR="004412F1" w:rsidRDefault="005A12A3">
            <w:pPr>
              <w:jc w:val="center"/>
              <w:rPr>
                <w:rFonts w:ascii="Calibri" w:hAnsi="Calibri"/>
                <w:b/>
                <w:sz w:val="20"/>
                <w:lang w:val="es"/>
              </w:rPr>
            </w:pPr>
            <w:r>
              <w:rPr>
                <w:rFonts w:ascii="Calibri" w:hAnsi="Calibri"/>
                <w:b/>
                <w:sz w:val="20"/>
                <w:lang w:val="es"/>
              </w:rPr>
              <w:t>Niveles de Servicio para:</w:t>
            </w:r>
          </w:p>
          <w:p w14:paraId="42B44587"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Derecho de Vía y/o Área de Concesión</w:t>
            </w:r>
          </w:p>
        </w:tc>
      </w:tr>
      <w:tr w:rsidR="004412F1" w14:paraId="641A78F3" w14:textId="77777777">
        <w:trPr>
          <w:gridAfter w:val="1"/>
          <w:wAfter w:w="42" w:type="dxa"/>
          <w:trHeight w:val="405"/>
        </w:trPr>
        <w:tc>
          <w:tcPr>
            <w:tcW w:w="1710" w:type="dxa"/>
            <w:vMerge w:val="restart"/>
            <w:tcBorders>
              <w:top w:val="single" w:sz="8" w:space="0" w:color="auto"/>
              <w:left w:val="single" w:sz="8" w:space="0" w:color="auto"/>
              <w:bottom w:val="single" w:sz="8" w:space="0" w:color="000000" w:themeColor="text1"/>
              <w:right w:val="nil"/>
            </w:tcBorders>
            <w:shd w:val="clear" w:color="auto" w:fill="C2D69B" w:themeFill="accent3" w:themeFillTint="99"/>
            <w:tcMar>
              <w:left w:w="70" w:type="dxa"/>
              <w:right w:w="70" w:type="dxa"/>
            </w:tcMar>
            <w:vAlign w:val="center"/>
          </w:tcPr>
          <w:p w14:paraId="529A4A45"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1980" w:type="dxa"/>
            <w:vMerge w:val="restart"/>
            <w:tcBorders>
              <w:top w:val="nil"/>
              <w:left w:val="single" w:sz="8" w:space="0" w:color="auto"/>
              <w:bottom w:val="single" w:sz="8" w:space="0" w:color="000000" w:themeColor="text1"/>
              <w:right w:val="single" w:sz="8" w:space="0" w:color="auto"/>
            </w:tcBorders>
            <w:shd w:val="clear" w:color="auto" w:fill="C2D69B" w:themeFill="accent3" w:themeFillTint="99"/>
            <w:tcMar>
              <w:left w:w="70" w:type="dxa"/>
              <w:right w:w="70" w:type="dxa"/>
            </w:tcMar>
            <w:vAlign w:val="center"/>
          </w:tcPr>
          <w:p w14:paraId="04201E4C"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670" w:type="dxa"/>
            <w:gridSpan w:val="2"/>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5F370C4B"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580"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5DDF8C69"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5B466D21" w14:textId="77777777">
        <w:trPr>
          <w:gridAfter w:val="1"/>
          <w:wAfter w:w="42" w:type="dxa"/>
          <w:trHeight w:val="405"/>
        </w:trPr>
        <w:tc>
          <w:tcPr>
            <w:tcW w:w="1710" w:type="dxa"/>
            <w:vMerge/>
            <w:tcBorders>
              <w:left w:val="single" w:sz="0" w:space="0" w:color="auto"/>
              <w:bottom w:val="single" w:sz="0" w:space="0" w:color="000000" w:themeColor="text1"/>
            </w:tcBorders>
            <w:vAlign w:val="center"/>
          </w:tcPr>
          <w:p w14:paraId="669EF630" w14:textId="77777777" w:rsidR="004412F1" w:rsidRDefault="004412F1"/>
        </w:tc>
        <w:tc>
          <w:tcPr>
            <w:tcW w:w="1980" w:type="dxa"/>
            <w:vMerge/>
            <w:tcBorders>
              <w:left w:val="single" w:sz="0" w:space="0" w:color="auto"/>
              <w:bottom w:val="single" w:sz="0" w:space="0" w:color="000000" w:themeColor="text1"/>
              <w:right w:val="single" w:sz="0" w:space="0" w:color="auto"/>
            </w:tcBorders>
            <w:vAlign w:val="center"/>
          </w:tcPr>
          <w:p w14:paraId="7B578F90" w14:textId="77777777" w:rsidR="004412F1" w:rsidRDefault="004412F1"/>
        </w:tc>
        <w:tc>
          <w:tcPr>
            <w:tcW w:w="1320" w:type="dxa"/>
            <w:tcBorders>
              <w:top w:val="single" w:sz="8" w:space="0" w:color="auto"/>
              <w:left w:val="nil"/>
              <w:bottom w:val="single" w:sz="8" w:space="0" w:color="auto"/>
              <w:right w:val="single" w:sz="8" w:space="0" w:color="auto"/>
            </w:tcBorders>
            <w:shd w:val="clear" w:color="auto" w:fill="C2D69B" w:themeFill="accent3" w:themeFillTint="99"/>
            <w:tcMar>
              <w:left w:w="70" w:type="dxa"/>
              <w:right w:w="70" w:type="dxa"/>
            </w:tcMar>
            <w:vAlign w:val="center"/>
          </w:tcPr>
          <w:p w14:paraId="692B7861"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350" w:type="dxa"/>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43B5FED3"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320"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37FDB979"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260"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1BC1221D"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67858437" w14:textId="77777777">
        <w:trPr>
          <w:gridAfter w:val="1"/>
          <w:wAfter w:w="42" w:type="dxa"/>
          <w:trHeight w:val="1800"/>
        </w:trPr>
        <w:tc>
          <w:tcPr>
            <w:tcW w:w="1710" w:type="dxa"/>
            <w:tcBorders>
              <w:top w:val="nil"/>
              <w:left w:val="single" w:sz="8" w:space="0" w:color="auto"/>
              <w:bottom w:val="single" w:sz="8" w:space="0" w:color="auto"/>
              <w:right w:val="single" w:sz="8" w:space="0" w:color="auto"/>
            </w:tcBorders>
            <w:tcMar>
              <w:left w:w="70" w:type="dxa"/>
              <w:right w:w="70" w:type="dxa"/>
            </w:tcMar>
            <w:vAlign w:val="center"/>
          </w:tcPr>
          <w:p w14:paraId="37D5667A" w14:textId="77777777" w:rsidR="004412F1" w:rsidRDefault="005A12A3">
            <w:pPr>
              <w:jc w:val="both"/>
              <w:rPr>
                <w:rFonts w:ascii="Calibri" w:hAnsi="Calibri"/>
                <w:sz w:val="20"/>
                <w:lang w:val="es-PE"/>
              </w:rPr>
            </w:pPr>
            <w:r>
              <w:rPr>
                <w:rFonts w:ascii="Calibri" w:hAnsi="Calibri"/>
                <w:sz w:val="20"/>
                <w:lang w:val="es-PE"/>
              </w:rPr>
              <w:t>Exceso de altura de la vegetación (*)</w:t>
            </w:r>
          </w:p>
        </w:tc>
        <w:tc>
          <w:tcPr>
            <w:tcW w:w="1980" w:type="dxa"/>
            <w:tcBorders>
              <w:top w:val="nil"/>
              <w:left w:val="single" w:sz="8" w:space="0" w:color="auto"/>
              <w:bottom w:val="single" w:sz="8" w:space="0" w:color="auto"/>
              <w:right w:val="nil"/>
            </w:tcBorders>
            <w:tcMar>
              <w:left w:w="70" w:type="dxa"/>
              <w:right w:w="70" w:type="dxa"/>
            </w:tcMar>
            <w:vAlign w:val="center"/>
          </w:tcPr>
          <w:p w14:paraId="10C927D8" w14:textId="77777777" w:rsidR="004412F1" w:rsidRDefault="005A12A3">
            <w:pPr>
              <w:jc w:val="both"/>
              <w:rPr>
                <w:rFonts w:ascii="Calibri" w:hAnsi="Calibri"/>
                <w:sz w:val="20"/>
                <w:lang w:val="es-PE"/>
              </w:rPr>
            </w:pPr>
            <w:r>
              <w:rPr>
                <w:rFonts w:ascii="Calibri" w:hAnsi="Calibri"/>
                <w:sz w:val="20"/>
                <w:lang w:val="es-PE"/>
              </w:rPr>
              <w:t>Altura máxima de la vegetación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0A54ED" w14:textId="77777777" w:rsidR="004412F1" w:rsidRDefault="005A12A3">
            <w:pPr>
              <w:rPr>
                <w:lang w:val="es-PE"/>
              </w:rPr>
            </w:pPr>
            <w:r>
              <w:rPr>
                <w:rFonts w:ascii="Calibri" w:hAnsi="Calibri"/>
                <w:sz w:val="20"/>
                <w:lang w:val="es-PE"/>
              </w:rPr>
              <w:t>En Bermas y Cunetas no se admiten, hasta 15 cm en la zona de seguridad vial y hasta 50 cm en zonas de visibilidad</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68B833" w14:textId="77777777" w:rsidR="004412F1" w:rsidRDefault="005A12A3">
            <w:pPr>
              <w:rPr>
                <w:lang w:val="es-PE"/>
              </w:rPr>
            </w:pPr>
            <w:r>
              <w:rPr>
                <w:rFonts w:ascii="Calibri" w:hAnsi="Calibri"/>
                <w:sz w:val="20"/>
                <w:lang w:val="es-PE"/>
              </w:rPr>
              <w:t>En Bermas y Cunetas no se admiten, hasta 15 cm en la zona de seguridad vial y hasta 50 cm en zonas de visibilidad</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6F6DE6" w14:textId="77777777" w:rsidR="004412F1" w:rsidRDefault="005A12A3">
            <w:pPr>
              <w:rPr>
                <w:lang w:val="es-PE"/>
              </w:rPr>
            </w:pPr>
            <w:r>
              <w:rPr>
                <w:rFonts w:ascii="Calibri" w:hAnsi="Calibri"/>
                <w:sz w:val="20"/>
                <w:lang w:val="es-PE"/>
              </w:rPr>
              <w:t>En Bermas y Cunetas no se admiten, hasta 15 cm en la zona de seguridad vial y hasta 50 cm en zonas de visibilidad</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D7BD49" w14:textId="77777777" w:rsidR="004412F1" w:rsidRDefault="005A12A3">
            <w:pPr>
              <w:rPr>
                <w:lang w:val="es-PE"/>
              </w:rPr>
            </w:pPr>
            <w:r>
              <w:rPr>
                <w:rFonts w:ascii="Calibri" w:hAnsi="Calibri"/>
                <w:sz w:val="20"/>
                <w:lang w:val="es-PE"/>
              </w:rPr>
              <w:t>En Bermas y Cunetas no se admiten, hasta 15 cm en la zona de seguridad vial y hasta 50 cm en zonas de visibilidad</w:t>
            </w:r>
          </w:p>
        </w:tc>
      </w:tr>
      <w:tr w:rsidR="004412F1" w14:paraId="6C8F53DA" w14:textId="77777777">
        <w:trPr>
          <w:gridAfter w:val="1"/>
          <w:wAfter w:w="42" w:type="dxa"/>
          <w:trHeight w:val="1110"/>
        </w:trPr>
        <w:tc>
          <w:tcPr>
            <w:tcW w:w="1710"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082E2500" w14:textId="77777777" w:rsidR="004412F1" w:rsidRDefault="005A12A3">
            <w:pPr>
              <w:jc w:val="both"/>
              <w:rPr>
                <w:rFonts w:ascii="Calibri" w:hAnsi="Calibri"/>
                <w:sz w:val="20"/>
              </w:rPr>
            </w:pPr>
            <w:r>
              <w:rPr>
                <w:rFonts w:ascii="Calibri" w:hAnsi="Calibri"/>
                <w:sz w:val="20"/>
              </w:rPr>
              <w:t>Obstáculos</w:t>
            </w:r>
          </w:p>
        </w:tc>
        <w:tc>
          <w:tcPr>
            <w:tcW w:w="1980" w:type="dxa"/>
            <w:tcBorders>
              <w:top w:val="single" w:sz="8" w:space="0" w:color="auto"/>
              <w:left w:val="single" w:sz="8" w:space="0" w:color="auto"/>
              <w:bottom w:val="single" w:sz="8" w:space="0" w:color="000000" w:themeColor="text1"/>
              <w:right w:val="nil"/>
            </w:tcBorders>
            <w:tcMar>
              <w:left w:w="70" w:type="dxa"/>
              <w:right w:w="70" w:type="dxa"/>
            </w:tcMar>
            <w:vAlign w:val="center"/>
          </w:tcPr>
          <w:p w14:paraId="6D4E1D81" w14:textId="77777777" w:rsidR="004412F1" w:rsidRDefault="005A12A3">
            <w:pPr>
              <w:jc w:val="both"/>
              <w:rPr>
                <w:rFonts w:ascii="Calibri" w:hAnsi="Calibri"/>
                <w:sz w:val="20"/>
                <w:lang w:val="es-PE"/>
              </w:rPr>
            </w:pPr>
            <w:r>
              <w:rPr>
                <w:rFonts w:ascii="Calibri" w:hAnsi="Calibri"/>
                <w:sz w:val="20"/>
                <w:lang w:val="es-PE"/>
              </w:rPr>
              <w:t>Obstáculos en los primeros 6 m medida desde el borde de la berma</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CEDA04" w14:textId="77777777" w:rsidR="004412F1" w:rsidRDefault="005A12A3">
            <w:pPr>
              <w:rPr>
                <w:lang w:val="es-PE"/>
              </w:rPr>
            </w:pPr>
            <w:r>
              <w:rPr>
                <w:rFonts w:ascii="Calibri" w:hAnsi="Calibri"/>
                <w:sz w:val="20"/>
                <w:lang w:val="es-PE"/>
              </w:rPr>
              <w:t>No se admiten dentro de la zona de seguridad vial</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ECAE8" w14:textId="77777777" w:rsidR="004412F1" w:rsidRDefault="005A12A3">
            <w:pPr>
              <w:rPr>
                <w:lang w:val="es-PE"/>
              </w:rPr>
            </w:pPr>
            <w:r>
              <w:rPr>
                <w:rFonts w:ascii="Calibri" w:hAnsi="Calibri"/>
                <w:sz w:val="20"/>
                <w:lang w:val="es-PE"/>
              </w:rPr>
              <w:t>No se admiten dentro de la zona de seguridad vial</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0AFF00" w14:textId="77777777" w:rsidR="004412F1" w:rsidRDefault="005A12A3">
            <w:pPr>
              <w:rPr>
                <w:lang w:val="es-PE"/>
              </w:rPr>
            </w:pPr>
            <w:r>
              <w:rPr>
                <w:rFonts w:ascii="Calibri" w:hAnsi="Calibri"/>
                <w:sz w:val="20"/>
                <w:lang w:val="es-PE"/>
              </w:rPr>
              <w:t>No se admiten dentro de la zona de seguridad vial</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E558E0" w14:textId="77777777" w:rsidR="004412F1" w:rsidRDefault="005A12A3">
            <w:pPr>
              <w:rPr>
                <w:lang w:val="es-PE"/>
              </w:rPr>
            </w:pPr>
            <w:r>
              <w:rPr>
                <w:rFonts w:ascii="Calibri" w:hAnsi="Calibri"/>
                <w:sz w:val="20"/>
                <w:lang w:val="es-PE"/>
              </w:rPr>
              <w:t>No se admiten dentro de la zona de seguridad vial</w:t>
            </w:r>
          </w:p>
        </w:tc>
      </w:tr>
      <w:tr w:rsidR="004412F1" w14:paraId="18AA1397" w14:textId="77777777">
        <w:trPr>
          <w:gridAfter w:val="1"/>
          <w:wAfter w:w="42" w:type="dxa"/>
          <w:trHeight w:val="945"/>
        </w:trPr>
        <w:tc>
          <w:tcPr>
            <w:tcW w:w="1710" w:type="dxa"/>
            <w:tcBorders>
              <w:top w:val="single" w:sz="8" w:space="0" w:color="auto"/>
              <w:left w:val="single" w:sz="8" w:space="0" w:color="auto"/>
              <w:bottom w:val="nil"/>
              <w:right w:val="single" w:sz="8" w:space="0" w:color="auto"/>
            </w:tcBorders>
            <w:tcMar>
              <w:left w:w="70" w:type="dxa"/>
              <w:right w:w="70" w:type="dxa"/>
            </w:tcMar>
            <w:vAlign w:val="center"/>
          </w:tcPr>
          <w:p w14:paraId="5190C12A" w14:textId="77777777" w:rsidR="004412F1" w:rsidRDefault="005A12A3">
            <w:pPr>
              <w:jc w:val="both"/>
              <w:rPr>
                <w:rFonts w:ascii="Calibri" w:hAnsi="Calibri"/>
                <w:sz w:val="20"/>
              </w:rPr>
            </w:pPr>
            <w:r>
              <w:rPr>
                <w:rFonts w:ascii="Calibri" w:hAnsi="Calibri"/>
                <w:sz w:val="20"/>
              </w:rPr>
              <w:t>Erosiones y sedimentos</w:t>
            </w:r>
          </w:p>
        </w:tc>
        <w:tc>
          <w:tcPr>
            <w:tcW w:w="1980" w:type="dxa"/>
            <w:tcBorders>
              <w:top w:val="single" w:sz="8" w:space="0" w:color="auto"/>
              <w:left w:val="single" w:sz="8" w:space="0" w:color="auto"/>
              <w:bottom w:val="single" w:sz="8" w:space="0" w:color="auto"/>
              <w:right w:val="nil"/>
            </w:tcBorders>
            <w:tcMar>
              <w:left w:w="70" w:type="dxa"/>
              <w:right w:w="70" w:type="dxa"/>
            </w:tcMar>
            <w:vAlign w:val="center"/>
          </w:tcPr>
          <w:p w14:paraId="394F428C" w14:textId="77777777" w:rsidR="004412F1" w:rsidRDefault="005A12A3">
            <w:pPr>
              <w:jc w:val="both"/>
              <w:rPr>
                <w:rFonts w:ascii="Calibri" w:hAnsi="Calibri"/>
                <w:sz w:val="20"/>
                <w:lang w:val="es-PE"/>
              </w:rPr>
            </w:pPr>
            <w:r>
              <w:rPr>
                <w:rFonts w:ascii="Calibri" w:hAnsi="Calibri"/>
                <w:sz w:val="20"/>
                <w:lang w:val="es-PE"/>
              </w:rPr>
              <w:t>Erosiones en taludes, contrataludes y en el derecho de vía y/o área de concesión en general</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B8C9FB" w14:textId="77777777" w:rsidR="004412F1" w:rsidRDefault="005A12A3">
            <w:pPr>
              <w:rPr>
                <w:lang w:val="es-PE"/>
              </w:rPr>
            </w:pPr>
            <w:r>
              <w:rPr>
                <w:rFonts w:ascii="Calibri" w:hAnsi="Calibri"/>
                <w:sz w:val="20"/>
                <w:lang w:val="es-PE"/>
              </w:rPr>
              <w:t>No se admiten dentro de la faja integral</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2962D9" w14:textId="77777777" w:rsidR="004412F1" w:rsidRDefault="005A12A3">
            <w:pPr>
              <w:rPr>
                <w:lang w:val="es-PE"/>
              </w:rPr>
            </w:pPr>
            <w:r>
              <w:rPr>
                <w:rFonts w:ascii="Calibri" w:hAnsi="Calibri"/>
                <w:sz w:val="20"/>
                <w:lang w:val="es-PE"/>
              </w:rPr>
              <w:t>No se admiten dentro de la faja integral</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C1EF4F" w14:textId="77777777" w:rsidR="004412F1" w:rsidRDefault="005A12A3">
            <w:pPr>
              <w:rPr>
                <w:lang w:val="es-PE"/>
              </w:rPr>
            </w:pPr>
            <w:r>
              <w:rPr>
                <w:rFonts w:ascii="Calibri" w:hAnsi="Calibri"/>
                <w:sz w:val="20"/>
                <w:lang w:val="es-PE"/>
              </w:rPr>
              <w:t>No se admiten dentro de la faja integral</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066053" w14:textId="77777777" w:rsidR="004412F1" w:rsidRDefault="005A12A3">
            <w:pPr>
              <w:rPr>
                <w:lang w:val="es-PE"/>
              </w:rPr>
            </w:pPr>
            <w:r>
              <w:rPr>
                <w:rFonts w:ascii="Calibri" w:hAnsi="Calibri"/>
                <w:sz w:val="20"/>
                <w:lang w:val="es-PE"/>
              </w:rPr>
              <w:t>No se admiten dentro de la faja integral</w:t>
            </w:r>
          </w:p>
        </w:tc>
      </w:tr>
      <w:tr w:rsidR="004412F1" w14:paraId="648C093B" w14:textId="77777777">
        <w:trPr>
          <w:gridAfter w:val="1"/>
          <w:wAfter w:w="42" w:type="dxa"/>
          <w:trHeight w:val="435"/>
        </w:trPr>
        <w:tc>
          <w:tcPr>
            <w:tcW w:w="17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BE4D9D" w14:textId="77777777" w:rsidR="004412F1" w:rsidRDefault="005A12A3">
            <w:pPr>
              <w:jc w:val="both"/>
              <w:rPr>
                <w:rFonts w:ascii="Calibri" w:hAnsi="Calibri"/>
                <w:sz w:val="20"/>
              </w:rPr>
            </w:pPr>
            <w:r>
              <w:rPr>
                <w:rFonts w:ascii="Calibri" w:hAnsi="Calibri"/>
                <w:sz w:val="20"/>
              </w:rPr>
              <w:t>Aguas empozadas (*)</w:t>
            </w:r>
          </w:p>
        </w:tc>
        <w:tc>
          <w:tcPr>
            <w:tcW w:w="1980" w:type="dxa"/>
            <w:tcBorders>
              <w:top w:val="single" w:sz="8" w:space="0" w:color="auto"/>
              <w:left w:val="single" w:sz="8" w:space="0" w:color="auto"/>
              <w:bottom w:val="single" w:sz="8" w:space="0" w:color="auto"/>
              <w:right w:val="nil"/>
            </w:tcBorders>
            <w:tcMar>
              <w:left w:w="70" w:type="dxa"/>
              <w:right w:w="70" w:type="dxa"/>
            </w:tcMar>
            <w:vAlign w:val="center"/>
          </w:tcPr>
          <w:p w14:paraId="52B45DFF" w14:textId="77777777" w:rsidR="004412F1" w:rsidRDefault="005A12A3">
            <w:pPr>
              <w:jc w:val="both"/>
              <w:rPr>
                <w:rFonts w:ascii="Calibri" w:hAnsi="Calibri"/>
                <w:sz w:val="20"/>
                <w:lang w:val="es-PE"/>
              </w:rPr>
            </w:pPr>
            <w:r>
              <w:rPr>
                <w:rFonts w:ascii="Calibri" w:hAnsi="Calibri"/>
                <w:sz w:val="20"/>
                <w:lang w:val="es-PE"/>
              </w:rPr>
              <w:t>Aguas empozadas en el derecho de vía</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6D0EE" w14:textId="77777777" w:rsidR="004412F1" w:rsidRDefault="005A12A3">
            <w:r>
              <w:rPr>
                <w:rFonts w:ascii="Calibri" w:hAnsi="Calibri"/>
                <w:sz w:val="20"/>
              </w:rPr>
              <w:t>No se Admiten</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0A3DBD" w14:textId="77777777" w:rsidR="004412F1" w:rsidRDefault="005A12A3">
            <w:r>
              <w:rPr>
                <w:rFonts w:ascii="Calibri" w:hAnsi="Calibri"/>
                <w:sz w:val="20"/>
              </w:rPr>
              <w:t>No se Admiten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EF3821" w14:textId="77777777" w:rsidR="004412F1" w:rsidRDefault="005A12A3">
            <w:r>
              <w:rPr>
                <w:rFonts w:ascii="Calibri" w:hAnsi="Calibri"/>
                <w:sz w:val="20"/>
              </w:rPr>
              <w:t>No se Admiten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4913DE" w14:textId="77777777" w:rsidR="004412F1" w:rsidRDefault="005A12A3">
            <w:r>
              <w:rPr>
                <w:rFonts w:ascii="Calibri" w:hAnsi="Calibri"/>
                <w:sz w:val="20"/>
              </w:rPr>
              <w:t>No se Admiten</w:t>
            </w:r>
          </w:p>
        </w:tc>
      </w:tr>
      <w:tr w:rsidR="004412F1" w14:paraId="4251B10E" w14:textId="77777777">
        <w:trPr>
          <w:gridAfter w:val="1"/>
          <w:wAfter w:w="42" w:type="dxa"/>
          <w:trHeight w:val="1800"/>
        </w:trPr>
        <w:tc>
          <w:tcPr>
            <w:tcW w:w="17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4B179D" w14:textId="77777777" w:rsidR="004412F1" w:rsidRDefault="005A12A3">
            <w:pPr>
              <w:jc w:val="both"/>
              <w:rPr>
                <w:rFonts w:ascii="Calibri" w:hAnsi="Calibri"/>
                <w:sz w:val="20"/>
                <w:lang w:val="es"/>
              </w:rPr>
            </w:pPr>
            <w:r>
              <w:rPr>
                <w:rFonts w:ascii="Calibri" w:hAnsi="Calibri"/>
                <w:sz w:val="20"/>
                <w:lang w:val="es"/>
              </w:rPr>
              <w:t>Peinado y Desquinche de Taludes</w:t>
            </w:r>
          </w:p>
        </w:tc>
        <w:tc>
          <w:tcPr>
            <w:tcW w:w="1980" w:type="dxa"/>
            <w:tcBorders>
              <w:top w:val="single" w:sz="8" w:space="0" w:color="auto"/>
              <w:left w:val="single" w:sz="8" w:space="0" w:color="auto"/>
              <w:bottom w:val="single" w:sz="8" w:space="0" w:color="auto"/>
              <w:right w:val="nil"/>
            </w:tcBorders>
            <w:tcMar>
              <w:left w:w="70" w:type="dxa"/>
              <w:right w:w="70" w:type="dxa"/>
            </w:tcMar>
            <w:vAlign w:val="center"/>
          </w:tcPr>
          <w:p w14:paraId="3AD5D38D" w14:textId="77777777" w:rsidR="004412F1" w:rsidRDefault="005A12A3">
            <w:pPr>
              <w:jc w:val="both"/>
              <w:rPr>
                <w:rFonts w:ascii="Calibri" w:hAnsi="Calibri"/>
                <w:sz w:val="20"/>
                <w:lang w:val="es"/>
              </w:rPr>
            </w:pPr>
            <w:r>
              <w:rPr>
                <w:rFonts w:ascii="Calibri" w:hAnsi="Calibri"/>
                <w:sz w:val="20"/>
                <w:lang w:val="es"/>
              </w:rPr>
              <w:t>Retiro de Bloques y Descarga de sectores inestable</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21A941" w14:textId="77777777" w:rsidR="004412F1" w:rsidRDefault="005A12A3">
            <w:r>
              <w:rPr>
                <w:rFonts w:ascii="Calibri" w:hAnsi="Calibri"/>
                <w:sz w:val="20"/>
              </w:rPr>
              <w:t>No se Admiten</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670511" w14:textId="77777777" w:rsidR="004412F1" w:rsidRDefault="005A12A3">
            <w:r>
              <w:rPr>
                <w:rFonts w:ascii="Calibri" w:hAnsi="Calibri"/>
                <w:sz w:val="20"/>
              </w:rPr>
              <w:t>No se Admiten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3A50F0" w14:textId="77777777" w:rsidR="004412F1" w:rsidRDefault="005A12A3">
            <w:r>
              <w:rPr>
                <w:rFonts w:ascii="Calibri" w:hAnsi="Calibri"/>
                <w:sz w:val="20"/>
              </w:rPr>
              <w:t>No se Admiten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3FF974" w14:textId="77777777" w:rsidR="004412F1" w:rsidRDefault="005A12A3">
            <w:r>
              <w:rPr>
                <w:rFonts w:ascii="Calibri" w:hAnsi="Calibri"/>
                <w:sz w:val="20"/>
              </w:rPr>
              <w:t>No se Admiten</w:t>
            </w:r>
          </w:p>
        </w:tc>
      </w:tr>
      <w:tr w:rsidR="004412F1" w14:paraId="7BD0D3EA" w14:textId="77777777">
        <w:trPr>
          <w:gridAfter w:val="1"/>
          <w:wAfter w:w="42" w:type="dxa"/>
          <w:trHeight w:val="1800"/>
        </w:trPr>
        <w:tc>
          <w:tcPr>
            <w:tcW w:w="17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023EBA" w14:textId="77777777" w:rsidR="004412F1" w:rsidRDefault="005A12A3">
            <w:pPr>
              <w:jc w:val="both"/>
              <w:rPr>
                <w:rFonts w:ascii="Calibri" w:hAnsi="Calibri"/>
                <w:sz w:val="20"/>
              </w:rPr>
            </w:pPr>
            <w:r>
              <w:rPr>
                <w:rFonts w:ascii="Calibri" w:hAnsi="Calibri"/>
                <w:sz w:val="20"/>
              </w:rPr>
              <w:t>Residuos</w:t>
            </w:r>
          </w:p>
        </w:tc>
        <w:tc>
          <w:tcPr>
            <w:tcW w:w="1980" w:type="dxa"/>
            <w:tcBorders>
              <w:top w:val="single" w:sz="8" w:space="0" w:color="auto"/>
              <w:left w:val="single" w:sz="8" w:space="0" w:color="auto"/>
              <w:bottom w:val="single" w:sz="8" w:space="0" w:color="auto"/>
              <w:right w:val="nil"/>
            </w:tcBorders>
            <w:tcMar>
              <w:left w:w="70" w:type="dxa"/>
              <w:right w:w="70" w:type="dxa"/>
            </w:tcMar>
            <w:vAlign w:val="center"/>
          </w:tcPr>
          <w:p w14:paraId="182D3AD7" w14:textId="77777777" w:rsidR="004412F1" w:rsidRDefault="005A12A3">
            <w:pPr>
              <w:jc w:val="both"/>
              <w:rPr>
                <w:rFonts w:ascii="Calibri" w:hAnsi="Calibri"/>
                <w:sz w:val="20"/>
                <w:lang w:val="es-PE"/>
              </w:rPr>
            </w:pPr>
            <w:r>
              <w:rPr>
                <w:rFonts w:ascii="Calibri" w:hAnsi="Calibri"/>
                <w:sz w:val="20"/>
                <w:lang w:val="es-PE"/>
              </w:rPr>
              <w:t>Residuos de cualquier naturaleza o elementos extraños a la ruta (animales muertos, restos de accidentes, autos y cargas abandonadas, ramas y hojas, escombros o restos de construcción o de materiales usados en el mantenimiento)</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3718B5" w14:textId="77777777" w:rsidR="004412F1" w:rsidRDefault="005A12A3">
            <w:r>
              <w:rPr>
                <w:rFonts w:ascii="Calibri" w:hAnsi="Calibri"/>
                <w:sz w:val="20"/>
              </w:rPr>
              <w:t>No se Admiten</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BB9FFC" w14:textId="77777777" w:rsidR="004412F1" w:rsidRDefault="005A12A3">
            <w:r>
              <w:rPr>
                <w:rFonts w:ascii="Calibri" w:hAnsi="Calibri"/>
                <w:sz w:val="20"/>
              </w:rPr>
              <w:t>No se Admiten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F56449" w14:textId="77777777" w:rsidR="004412F1" w:rsidRDefault="005A12A3">
            <w:r>
              <w:rPr>
                <w:rFonts w:ascii="Calibri" w:hAnsi="Calibri"/>
                <w:sz w:val="20"/>
              </w:rPr>
              <w:t>No se Admiten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1500E9" w14:textId="77777777" w:rsidR="004412F1" w:rsidRDefault="005A12A3">
            <w:r>
              <w:rPr>
                <w:rFonts w:ascii="Calibri" w:hAnsi="Calibri"/>
                <w:sz w:val="20"/>
              </w:rPr>
              <w:t>No se Admiten</w:t>
            </w:r>
          </w:p>
        </w:tc>
      </w:tr>
      <w:tr w:rsidR="004412F1" w14:paraId="32CAB8CD" w14:textId="77777777">
        <w:trPr>
          <w:gridAfter w:val="1"/>
          <w:wAfter w:w="42" w:type="dxa"/>
          <w:trHeight w:val="990"/>
        </w:trPr>
        <w:tc>
          <w:tcPr>
            <w:tcW w:w="171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EC028" w14:textId="77777777" w:rsidR="004412F1" w:rsidRDefault="005A12A3">
            <w:pPr>
              <w:jc w:val="both"/>
              <w:rPr>
                <w:rFonts w:ascii="Calibri" w:hAnsi="Calibri"/>
                <w:sz w:val="20"/>
              </w:rPr>
            </w:pPr>
            <w:r>
              <w:rPr>
                <w:rFonts w:ascii="Calibri" w:hAnsi="Calibri"/>
                <w:sz w:val="20"/>
              </w:rPr>
              <w:t>Propaganda</w:t>
            </w:r>
          </w:p>
        </w:tc>
        <w:tc>
          <w:tcPr>
            <w:tcW w:w="1980" w:type="dxa"/>
            <w:tcBorders>
              <w:top w:val="single" w:sz="8" w:space="0" w:color="auto"/>
              <w:left w:val="single" w:sz="8" w:space="0" w:color="auto"/>
              <w:bottom w:val="single" w:sz="8" w:space="0" w:color="auto"/>
              <w:right w:val="nil"/>
            </w:tcBorders>
            <w:tcMar>
              <w:left w:w="70" w:type="dxa"/>
              <w:right w:w="70" w:type="dxa"/>
            </w:tcMar>
            <w:vAlign w:val="center"/>
          </w:tcPr>
          <w:p w14:paraId="6EFE73A7" w14:textId="77777777" w:rsidR="004412F1" w:rsidRDefault="005A12A3">
            <w:pPr>
              <w:jc w:val="both"/>
              <w:rPr>
                <w:rFonts w:ascii="Calibri" w:hAnsi="Calibri"/>
                <w:sz w:val="20"/>
                <w:lang w:val="es-PE"/>
              </w:rPr>
            </w:pPr>
            <w:r>
              <w:rPr>
                <w:rFonts w:ascii="Calibri" w:hAnsi="Calibri"/>
                <w:sz w:val="20"/>
                <w:lang w:val="es-PE"/>
              </w:rPr>
              <w:t xml:space="preserve">Avisos o propaganda no autorizada en </w:t>
            </w:r>
            <w:proofErr w:type="gramStart"/>
            <w:r>
              <w:rPr>
                <w:rFonts w:ascii="Calibri" w:hAnsi="Calibri"/>
                <w:sz w:val="20"/>
                <w:lang w:val="es-PE"/>
              </w:rPr>
              <w:t>cualquier elementos</w:t>
            </w:r>
            <w:proofErr w:type="gramEnd"/>
            <w:r>
              <w:rPr>
                <w:rFonts w:ascii="Calibri" w:hAnsi="Calibri"/>
                <w:sz w:val="20"/>
                <w:lang w:val="es-PE"/>
              </w:rPr>
              <w:t xml:space="preserve"> del Derecho de Vía y/o área de Concesión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A7C58E" w14:textId="77777777" w:rsidR="004412F1" w:rsidRDefault="005A12A3">
            <w:pPr>
              <w:jc w:val="both"/>
              <w:rPr>
                <w:rFonts w:ascii="Calibri" w:hAnsi="Calibri"/>
                <w:sz w:val="20"/>
              </w:rPr>
            </w:pPr>
            <w:r>
              <w:rPr>
                <w:rFonts w:ascii="Calibri" w:hAnsi="Calibri"/>
                <w:sz w:val="20"/>
              </w:rPr>
              <w:t>No se Admiten</w:t>
            </w:r>
          </w:p>
        </w:tc>
        <w:tc>
          <w:tcPr>
            <w:tcW w:w="13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52A409" w14:textId="77777777" w:rsidR="004412F1" w:rsidRDefault="005A12A3">
            <w:pPr>
              <w:jc w:val="both"/>
              <w:rPr>
                <w:rFonts w:ascii="Calibri" w:hAnsi="Calibri"/>
                <w:sz w:val="20"/>
              </w:rPr>
            </w:pPr>
            <w:r>
              <w:rPr>
                <w:rFonts w:ascii="Calibri" w:hAnsi="Calibri"/>
                <w:sz w:val="20"/>
              </w:rPr>
              <w:t>No se Admiten</w:t>
            </w:r>
          </w:p>
        </w:tc>
        <w:tc>
          <w:tcPr>
            <w:tcW w:w="132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BEA1A" w14:textId="77777777" w:rsidR="004412F1" w:rsidRDefault="005A12A3">
            <w:pPr>
              <w:jc w:val="both"/>
              <w:rPr>
                <w:rFonts w:ascii="Calibri" w:hAnsi="Calibri"/>
                <w:sz w:val="20"/>
              </w:rPr>
            </w:pPr>
            <w:r>
              <w:rPr>
                <w:rFonts w:ascii="Calibri" w:hAnsi="Calibri"/>
                <w:sz w:val="20"/>
              </w:rPr>
              <w:t>No se Admiten</w:t>
            </w:r>
          </w:p>
        </w:tc>
        <w:tc>
          <w:tcPr>
            <w:tcW w:w="126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00B273" w14:textId="77777777" w:rsidR="004412F1" w:rsidRDefault="005A12A3">
            <w:pPr>
              <w:jc w:val="both"/>
              <w:rPr>
                <w:rFonts w:ascii="Calibri" w:hAnsi="Calibri"/>
                <w:sz w:val="20"/>
              </w:rPr>
            </w:pPr>
            <w:r>
              <w:rPr>
                <w:rFonts w:ascii="Calibri" w:hAnsi="Calibri"/>
                <w:sz w:val="20"/>
              </w:rPr>
              <w:t>No se Admiten</w:t>
            </w:r>
          </w:p>
        </w:tc>
      </w:tr>
      <w:tr w:rsidR="004412F1" w14:paraId="04212F5E" w14:textId="77777777">
        <w:trPr>
          <w:gridAfter w:val="1"/>
          <w:wAfter w:w="42" w:type="dxa"/>
          <w:trHeight w:val="255"/>
        </w:trPr>
        <w:tc>
          <w:tcPr>
            <w:tcW w:w="1710" w:type="dxa"/>
            <w:tcMar>
              <w:left w:w="70" w:type="dxa"/>
              <w:right w:w="70" w:type="dxa"/>
            </w:tcMar>
            <w:vAlign w:val="center"/>
          </w:tcPr>
          <w:p w14:paraId="26204DD7" w14:textId="77777777" w:rsidR="004412F1" w:rsidRDefault="004412F1"/>
        </w:tc>
        <w:tc>
          <w:tcPr>
            <w:tcW w:w="1980" w:type="dxa"/>
            <w:tcMar>
              <w:left w:w="70" w:type="dxa"/>
              <w:right w:w="70" w:type="dxa"/>
            </w:tcMar>
            <w:vAlign w:val="bottom"/>
          </w:tcPr>
          <w:p w14:paraId="405701E1" w14:textId="77777777" w:rsidR="004412F1" w:rsidRDefault="004412F1"/>
        </w:tc>
        <w:tc>
          <w:tcPr>
            <w:tcW w:w="1320" w:type="dxa"/>
            <w:tcMar>
              <w:left w:w="70" w:type="dxa"/>
              <w:right w:w="70" w:type="dxa"/>
            </w:tcMar>
            <w:vAlign w:val="bottom"/>
          </w:tcPr>
          <w:p w14:paraId="64EFE73B" w14:textId="77777777" w:rsidR="004412F1" w:rsidRDefault="004412F1"/>
        </w:tc>
        <w:tc>
          <w:tcPr>
            <w:tcW w:w="1350" w:type="dxa"/>
            <w:tcMar>
              <w:left w:w="70" w:type="dxa"/>
              <w:right w:w="70" w:type="dxa"/>
            </w:tcMar>
            <w:vAlign w:val="bottom"/>
          </w:tcPr>
          <w:p w14:paraId="6286C21C" w14:textId="77777777" w:rsidR="004412F1" w:rsidRDefault="004412F1"/>
        </w:tc>
        <w:tc>
          <w:tcPr>
            <w:tcW w:w="1320" w:type="dxa"/>
            <w:tcMar>
              <w:left w:w="70" w:type="dxa"/>
              <w:right w:w="70" w:type="dxa"/>
            </w:tcMar>
            <w:vAlign w:val="center"/>
          </w:tcPr>
          <w:p w14:paraId="66D199CA" w14:textId="77777777" w:rsidR="004412F1" w:rsidRDefault="004412F1"/>
        </w:tc>
        <w:tc>
          <w:tcPr>
            <w:tcW w:w="1260" w:type="dxa"/>
            <w:tcMar>
              <w:left w:w="70" w:type="dxa"/>
              <w:right w:w="70" w:type="dxa"/>
            </w:tcMar>
            <w:vAlign w:val="bottom"/>
          </w:tcPr>
          <w:p w14:paraId="1205D09F" w14:textId="77777777" w:rsidR="004412F1" w:rsidRDefault="004412F1"/>
        </w:tc>
      </w:tr>
      <w:tr w:rsidR="004412F1" w14:paraId="7B8CCDC8" w14:textId="77777777">
        <w:trPr>
          <w:gridAfter w:val="1"/>
          <w:wAfter w:w="42" w:type="dxa"/>
          <w:trHeight w:val="255"/>
        </w:trPr>
        <w:tc>
          <w:tcPr>
            <w:tcW w:w="8940" w:type="dxa"/>
            <w:gridSpan w:val="6"/>
            <w:tcMar>
              <w:left w:w="70" w:type="dxa"/>
              <w:right w:w="70" w:type="dxa"/>
            </w:tcMar>
            <w:vAlign w:val="center"/>
          </w:tcPr>
          <w:p w14:paraId="0822E731" w14:textId="77777777" w:rsidR="004412F1" w:rsidRDefault="005A12A3">
            <w:pPr>
              <w:jc w:val="both"/>
              <w:rPr>
                <w:rFonts w:ascii="Calibri" w:eastAsia="Calibri" w:hAnsi="Calibri" w:cs="Calibri"/>
                <w:sz w:val="20"/>
                <w:szCs w:val="20"/>
                <w:lang w:val="es-PE"/>
              </w:rPr>
            </w:pPr>
            <w:r>
              <w:rPr>
                <w:rFonts w:ascii="Calibri" w:hAnsi="Calibri"/>
                <w:sz w:val="20"/>
                <w:lang w:val="es-PE"/>
              </w:rPr>
              <w:t>(*) No se considera este defecto en secciones localizadas en selva.</w:t>
            </w:r>
          </w:p>
          <w:p w14:paraId="3E0C0590" w14:textId="77777777" w:rsidR="004412F1" w:rsidRDefault="004412F1">
            <w:pPr>
              <w:jc w:val="both"/>
              <w:rPr>
                <w:rFonts w:ascii="Calibri" w:eastAsia="Calibri" w:hAnsi="Calibri" w:cs="Calibri"/>
                <w:sz w:val="20"/>
                <w:szCs w:val="20"/>
                <w:lang w:val="es-PE"/>
              </w:rPr>
            </w:pPr>
          </w:p>
          <w:p w14:paraId="6E3E3914" w14:textId="77777777" w:rsidR="004412F1" w:rsidRDefault="004412F1">
            <w:pPr>
              <w:jc w:val="both"/>
              <w:rPr>
                <w:rFonts w:ascii="Calibri" w:eastAsia="Calibri" w:hAnsi="Calibri" w:cs="Calibri"/>
                <w:sz w:val="20"/>
                <w:szCs w:val="20"/>
                <w:lang w:val="es-PE"/>
              </w:rPr>
            </w:pPr>
          </w:p>
          <w:p w14:paraId="6420B750" w14:textId="77777777" w:rsidR="004412F1" w:rsidRDefault="004412F1">
            <w:pPr>
              <w:jc w:val="both"/>
              <w:rPr>
                <w:rFonts w:ascii="Calibri" w:eastAsia="Calibri" w:hAnsi="Calibri" w:cs="Calibri"/>
                <w:sz w:val="20"/>
                <w:szCs w:val="20"/>
                <w:lang w:val="es-PE"/>
              </w:rPr>
            </w:pPr>
          </w:p>
          <w:p w14:paraId="56256C6D" w14:textId="77777777" w:rsidR="004412F1" w:rsidRDefault="004412F1">
            <w:pPr>
              <w:jc w:val="both"/>
              <w:rPr>
                <w:rFonts w:ascii="Calibri" w:eastAsia="Calibri" w:hAnsi="Calibri" w:cs="Calibri"/>
                <w:sz w:val="20"/>
                <w:szCs w:val="20"/>
                <w:lang w:val="es-PE"/>
              </w:rPr>
            </w:pPr>
          </w:p>
          <w:p w14:paraId="74BD6ECE" w14:textId="77777777" w:rsidR="004412F1" w:rsidRDefault="004412F1">
            <w:pPr>
              <w:jc w:val="both"/>
              <w:rPr>
                <w:rFonts w:ascii="Calibri" w:eastAsia="Calibri" w:hAnsi="Calibri" w:cs="Calibri"/>
                <w:sz w:val="20"/>
                <w:szCs w:val="20"/>
                <w:lang w:val="es-PE"/>
              </w:rPr>
            </w:pPr>
          </w:p>
          <w:p w14:paraId="2250D38B" w14:textId="77777777" w:rsidR="004412F1" w:rsidRDefault="004412F1">
            <w:pPr>
              <w:jc w:val="both"/>
              <w:rPr>
                <w:rFonts w:ascii="Calibri" w:eastAsia="Calibri" w:hAnsi="Calibri" w:cs="Calibri"/>
                <w:sz w:val="20"/>
                <w:szCs w:val="20"/>
                <w:lang w:val="es-PE"/>
              </w:rPr>
            </w:pPr>
          </w:p>
          <w:p w14:paraId="11D034F8" w14:textId="77777777" w:rsidR="004412F1" w:rsidRDefault="004412F1">
            <w:pPr>
              <w:jc w:val="both"/>
              <w:rPr>
                <w:rFonts w:ascii="Calibri" w:hAnsi="Calibri"/>
                <w:sz w:val="20"/>
                <w:lang w:val="es-PE"/>
              </w:rPr>
            </w:pPr>
          </w:p>
        </w:tc>
      </w:tr>
      <w:tr w:rsidR="004412F1" w14:paraId="34170460" w14:textId="77777777">
        <w:trPr>
          <w:trHeight w:val="15"/>
        </w:trPr>
        <w:tc>
          <w:tcPr>
            <w:tcW w:w="13609" w:type="dxa"/>
            <w:gridSpan w:val="7"/>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63BF5AA1" w14:textId="77777777" w:rsidR="004412F1" w:rsidRDefault="005A12A3">
            <w:pPr>
              <w:jc w:val="center"/>
              <w:rPr>
                <w:b/>
                <w:color w:val="000000" w:themeColor="text1"/>
                <w:sz w:val="20"/>
                <w:lang w:val="es"/>
              </w:rPr>
            </w:pPr>
            <w:r>
              <w:rPr>
                <w:b/>
                <w:sz w:val="20"/>
                <w:lang w:val="es"/>
              </w:rPr>
              <w:t xml:space="preserve">Plazos de Respuesta a </w:t>
            </w:r>
            <w:r>
              <w:rPr>
                <w:b/>
                <w:color w:val="000000" w:themeColor="text1"/>
                <w:sz w:val="20"/>
                <w:lang w:val="es"/>
              </w:rPr>
              <w:t>Incumplimientos en:</w:t>
            </w:r>
          </w:p>
          <w:p w14:paraId="3F04BEC3" w14:textId="77777777" w:rsidR="004412F1" w:rsidRDefault="005A12A3">
            <w:pPr>
              <w:ind w:left="-665" w:firstLine="665"/>
              <w:jc w:val="center"/>
              <w:rPr>
                <w:b/>
                <w:color w:val="000000" w:themeColor="text1"/>
                <w:sz w:val="20"/>
                <w:lang w:val="es"/>
              </w:rPr>
            </w:pPr>
            <w:r>
              <w:rPr>
                <w:b/>
                <w:color w:val="000000" w:themeColor="text1"/>
                <w:sz w:val="20"/>
                <w:lang w:val="es"/>
              </w:rPr>
              <w:t>Derecho de vía y/o Área de Concesión</w:t>
            </w:r>
          </w:p>
        </w:tc>
      </w:tr>
      <w:tr w:rsidR="004412F1" w14:paraId="6789C032"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20F9FED" w14:textId="77777777" w:rsidR="004412F1" w:rsidRDefault="005A12A3">
            <w:pPr>
              <w:jc w:val="center"/>
              <w:rPr>
                <w:b/>
                <w:sz w:val="20"/>
                <w:lang w:val="es"/>
              </w:rPr>
            </w:pPr>
            <w:r>
              <w:rPr>
                <w:b/>
                <w:sz w:val="20"/>
                <w:lang w:val="es"/>
              </w:rPr>
              <w:t>Parámetro</w:t>
            </w:r>
          </w:p>
        </w:tc>
        <w:tc>
          <w:tcPr>
            <w:tcW w:w="5929" w:type="dxa"/>
            <w:gridSpan w:val="3"/>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C774B1F"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3C2907C9"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A9F397F" w14:textId="77777777" w:rsidR="004412F1" w:rsidRDefault="005A12A3">
            <w:pPr>
              <w:ind w:left="44"/>
              <w:rPr>
                <w:lang w:val="es-PE"/>
              </w:rPr>
            </w:pPr>
            <w:r>
              <w:rPr>
                <w:sz w:val="20"/>
                <w:lang w:val="es"/>
              </w:rPr>
              <w:t>Exceso de altura de la vegetación (*)</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96D963A" w14:textId="77777777" w:rsidR="004412F1" w:rsidRDefault="005A12A3">
            <w:pPr>
              <w:jc w:val="center"/>
              <w:rPr>
                <w:sz w:val="20"/>
                <w:lang w:val="es"/>
              </w:rPr>
            </w:pPr>
            <w:r>
              <w:rPr>
                <w:sz w:val="20"/>
                <w:lang w:val="es"/>
              </w:rPr>
              <w:t>7</w:t>
            </w:r>
          </w:p>
        </w:tc>
      </w:tr>
      <w:tr w:rsidR="004412F1" w14:paraId="2482BD1D"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D1C8642" w14:textId="77777777" w:rsidR="004412F1" w:rsidRDefault="005A12A3">
            <w:r>
              <w:rPr>
                <w:sz w:val="20"/>
                <w:lang w:val="es"/>
              </w:rPr>
              <w:t>Obstáculos</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A575C75" w14:textId="77777777" w:rsidR="004412F1" w:rsidRDefault="005A12A3">
            <w:pPr>
              <w:jc w:val="center"/>
              <w:rPr>
                <w:sz w:val="20"/>
                <w:lang w:val="es"/>
              </w:rPr>
            </w:pPr>
            <w:r>
              <w:rPr>
                <w:sz w:val="20"/>
                <w:lang w:val="es"/>
              </w:rPr>
              <w:t>7</w:t>
            </w:r>
          </w:p>
        </w:tc>
      </w:tr>
      <w:tr w:rsidR="004412F1" w14:paraId="79E7F4AE"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69DB563" w14:textId="77777777" w:rsidR="004412F1" w:rsidRDefault="005A12A3">
            <w:r>
              <w:rPr>
                <w:sz w:val="20"/>
                <w:lang w:val="es"/>
              </w:rPr>
              <w:t>Erosiones</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B44651E" w14:textId="77777777" w:rsidR="004412F1" w:rsidRDefault="005A12A3">
            <w:pPr>
              <w:jc w:val="center"/>
              <w:rPr>
                <w:sz w:val="20"/>
                <w:lang w:val="es"/>
              </w:rPr>
            </w:pPr>
            <w:r>
              <w:rPr>
                <w:sz w:val="20"/>
                <w:lang w:val="es"/>
              </w:rPr>
              <w:t>7</w:t>
            </w:r>
          </w:p>
        </w:tc>
      </w:tr>
      <w:tr w:rsidR="004412F1" w14:paraId="4356EB2F"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2A2ADAC" w14:textId="77777777" w:rsidR="004412F1" w:rsidRDefault="005A12A3">
            <w:r>
              <w:rPr>
                <w:sz w:val="20"/>
                <w:lang w:val="es"/>
              </w:rPr>
              <w:t>Aguas empozadas</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5ED8011" w14:textId="77777777" w:rsidR="004412F1" w:rsidRDefault="005A12A3">
            <w:pPr>
              <w:jc w:val="center"/>
              <w:rPr>
                <w:sz w:val="20"/>
                <w:lang w:val="es"/>
              </w:rPr>
            </w:pPr>
            <w:r>
              <w:rPr>
                <w:sz w:val="20"/>
                <w:lang w:val="es"/>
              </w:rPr>
              <w:t>7</w:t>
            </w:r>
          </w:p>
        </w:tc>
      </w:tr>
      <w:tr w:rsidR="004412F1" w14:paraId="337077D2"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8895033" w14:textId="77777777" w:rsidR="004412F1" w:rsidRDefault="005A12A3">
            <w:pPr>
              <w:rPr>
                <w:lang w:val="es-PE"/>
              </w:rPr>
            </w:pPr>
            <w:r>
              <w:rPr>
                <w:rFonts w:ascii="Calibri" w:hAnsi="Calibri"/>
                <w:sz w:val="20"/>
                <w:lang w:val="es"/>
              </w:rPr>
              <w:t>Peinado y Desquinche de Taludes</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6D6A478" w14:textId="77777777" w:rsidR="004412F1" w:rsidRDefault="005A12A3">
            <w:pPr>
              <w:jc w:val="center"/>
              <w:rPr>
                <w:sz w:val="20"/>
                <w:lang w:val="es"/>
              </w:rPr>
            </w:pPr>
            <w:r>
              <w:rPr>
                <w:sz w:val="20"/>
                <w:lang w:val="es"/>
              </w:rPr>
              <w:t>7</w:t>
            </w:r>
          </w:p>
        </w:tc>
      </w:tr>
      <w:tr w:rsidR="004412F1" w14:paraId="3D7729C6"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CB1802A" w14:textId="77777777" w:rsidR="004412F1" w:rsidRDefault="005A12A3">
            <w:r>
              <w:rPr>
                <w:sz w:val="20"/>
                <w:lang w:val="es"/>
              </w:rPr>
              <w:t>Residuos</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08EB309" w14:textId="77777777" w:rsidR="004412F1" w:rsidRDefault="005A12A3">
            <w:pPr>
              <w:jc w:val="center"/>
              <w:rPr>
                <w:sz w:val="20"/>
                <w:lang w:val="es"/>
              </w:rPr>
            </w:pPr>
            <w:r>
              <w:rPr>
                <w:sz w:val="20"/>
                <w:lang w:val="es"/>
              </w:rPr>
              <w:t>7</w:t>
            </w:r>
          </w:p>
        </w:tc>
      </w:tr>
      <w:tr w:rsidR="004412F1" w14:paraId="14FEF1F2" w14:textId="77777777">
        <w:trPr>
          <w:trHeight w:val="15"/>
        </w:trPr>
        <w:tc>
          <w:tcPr>
            <w:tcW w:w="7680" w:type="dxa"/>
            <w:gridSpan w:val="4"/>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F8A720A" w14:textId="77777777" w:rsidR="004412F1" w:rsidRDefault="005A12A3">
            <w:r>
              <w:rPr>
                <w:sz w:val="20"/>
                <w:lang w:val="es"/>
              </w:rPr>
              <w:t>Propaganda</w:t>
            </w:r>
          </w:p>
        </w:tc>
        <w:tc>
          <w:tcPr>
            <w:tcW w:w="5929" w:type="dxa"/>
            <w:gridSpan w:val="3"/>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D45ACB2" w14:textId="77777777" w:rsidR="004412F1" w:rsidRDefault="005A12A3">
            <w:pPr>
              <w:jc w:val="center"/>
              <w:rPr>
                <w:sz w:val="20"/>
                <w:lang w:val="es"/>
              </w:rPr>
            </w:pPr>
            <w:r>
              <w:rPr>
                <w:sz w:val="20"/>
                <w:lang w:val="es"/>
              </w:rPr>
              <w:t>7</w:t>
            </w:r>
          </w:p>
        </w:tc>
      </w:tr>
    </w:tbl>
    <w:p w14:paraId="13949D1F" w14:textId="77777777" w:rsidR="004412F1" w:rsidRDefault="004412F1">
      <w:pPr>
        <w:jc w:val="center"/>
        <w:rPr>
          <w:b/>
        </w:rPr>
      </w:pPr>
    </w:p>
    <w:p w14:paraId="475C5753" w14:textId="77777777" w:rsidR="004412F1" w:rsidRDefault="004412F1">
      <w:pPr>
        <w:jc w:val="center"/>
      </w:pPr>
    </w:p>
    <w:p w14:paraId="3C8ED34F" w14:textId="77777777" w:rsidR="004412F1" w:rsidRDefault="005A12A3">
      <w:pPr>
        <w:jc w:val="center"/>
        <w:rPr>
          <w:b/>
        </w:rPr>
      </w:pPr>
      <w:r>
        <w:br w:type="page"/>
      </w:r>
      <w:r>
        <w:rPr>
          <w:b/>
        </w:rPr>
        <w:t>Niveles de Servicio para: Puentes</w:t>
      </w:r>
    </w:p>
    <w:tbl>
      <w:tblPr>
        <w:tblW w:w="0" w:type="auto"/>
        <w:tblInd w:w="60" w:type="dxa"/>
        <w:tblLayout w:type="fixed"/>
        <w:tblLook w:val="04A0" w:firstRow="1" w:lastRow="0" w:firstColumn="1" w:lastColumn="0" w:noHBand="0" w:noVBand="1"/>
      </w:tblPr>
      <w:tblGrid>
        <w:gridCol w:w="1559"/>
        <w:gridCol w:w="1805"/>
        <w:gridCol w:w="1272"/>
        <w:gridCol w:w="1231"/>
        <w:gridCol w:w="1149"/>
        <w:gridCol w:w="1149"/>
        <w:gridCol w:w="4286"/>
      </w:tblGrid>
      <w:tr w:rsidR="004412F1" w14:paraId="42DE34B5" w14:textId="77777777">
        <w:trPr>
          <w:gridAfter w:val="1"/>
          <w:wAfter w:w="4286" w:type="dxa"/>
          <w:trHeight w:val="500"/>
        </w:trPr>
        <w:tc>
          <w:tcPr>
            <w:tcW w:w="8165" w:type="dxa"/>
            <w:gridSpan w:val="6"/>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center"/>
          </w:tcPr>
          <w:p w14:paraId="4E4D5477" w14:textId="77777777" w:rsidR="004412F1" w:rsidRDefault="005A12A3">
            <w:pPr>
              <w:jc w:val="center"/>
              <w:rPr>
                <w:rFonts w:ascii="Calibri" w:hAnsi="Calibri"/>
                <w:b/>
                <w:sz w:val="20"/>
                <w:lang w:val="es"/>
              </w:rPr>
            </w:pPr>
            <w:r>
              <w:rPr>
                <w:rFonts w:ascii="Calibri" w:hAnsi="Calibri"/>
                <w:b/>
                <w:sz w:val="20"/>
                <w:lang w:val="es"/>
              </w:rPr>
              <w:t>Niveles de Servicio para:</w:t>
            </w:r>
          </w:p>
          <w:p w14:paraId="07AE401C" w14:textId="77777777" w:rsidR="004412F1" w:rsidRDefault="005A12A3">
            <w:pPr>
              <w:jc w:val="center"/>
              <w:rPr>
                <w:rFonts w:ascii="Calibri" w:hAnsi="Calibri"/>
                <w:b/>
                <w:color w:val="000000" w:themeColor="text1"/>
                <w:sz w:val="20"/>
                <w:lang w:val="es"/>
              </w:rPr>
            </w:pPr>
            <w:r>
              <w:rPr>
                <w:rFonts w:ascii="Calibri" w:hAnsi="Calibri"/>
                <w:b/>
                <w:color w:val="000000" w:themeColor="text1"/>
                <w:sz w:val="20"/>
                <w:lang w:val="es"/>
              </w:rPr>
              <w:t>Puentes</w:t>
            </w:r>
          </w:p>
        </w:tc>
      </w:tr>
      <w:tr w:rsidR="004412F1" w14:paraId="7DC93FE0" w14:textId="77777777">
        <w:trPr>
          <w:gridAfter w:val="1"/>
          <w:wAfter w:w="4286" w:type="dxa"/>
          <w:trHeight w:val="305"/>
        </w:trPr>
        <w:tc>
          <w:tcPr>
            <w:tcW w:w="1559" w:type="dxa"/>
            <w:vMerge w:val="restart"/>
            <w:tcBorders>
              <w:top w:val="single" w:sz="8" w:space="0" w:color="auto"/>
              <w:left w:val="single" w:sz="8" w:space="0" w:color="auto"/>
              <w:bottom w:val="single" w:sz="8" w:space="0" w:color="000000" w:themeColor="text1"/>
              <w:right w:val="nil"/>
            </w:tcBorders>
            <w:shd w:val="clear" w:color="auto" w:fill="C2D69B" w:themeFill="accent3" w:themeFillTint="99"/>
            <w:tcMar>
              <w:left w:w="70" w:type="dxa"/>
              <w:right w:w="70" w:type="dxa"/>
            </w:tcMar>
            <w:vAlign w:val="center"/>
          </w:tcPr>
          <w:p w14:paraId="6198E8FB" w14:textId="77777777" w:rsidR="004412F1" w:rsidRDefault="005A12A3">
            <w:pPr>
              <w:jc w:val="both"/>
              <w:rPr>
                <w:rFonts w:ascii="Calibri" w:hAnsi="Calibri"/>
                <w:b/>
                <w:color w:val="000000" w:themeColor="text1"/>
                <w:sz w:val="20"/>
              </w:rPr>
            </w:pPr>
            <w:r>
              <w:rPr>
                <w:rFonts w:ascii="Calibri" w:hAnsi="Calibri"/>
                <w:b/>
                <w:color w:val="000000" w:themeColor="text1"/>
                <w:sz w:val="20"/>
              </w:rPr>
              <w:t>Parámetros</w:t>
            </w:r>
          </w:p>
        </w:tc>
        <w:tc>
          <w:tcPr>
            <w:tcW w:w="1805" w:type="dxa"/>
            <w:vMerge w:val="restart"/>
            <w:tcBorders>
              <w:top w:val="nil"/>
              <w:left w:val="single" w:sz="8" w:space="0" w:color="auto"/>
              <w:bottom w:val="nil"/>
              <w:right w:val="single" w:sz="8" w:space="0" w:color="auto"/>
            </w:tcBorders>
            <w:shd w:val="clear" w:color="auto" w:fill="C2D69B" w:themeFill="accent3" w:themeFillTint="99"/>
            <w:tcMar>
              <w:left w:w="70" w:type="dxa"/>
              <w:right w:w="70" w:type="dxa"/>
            </w:tcMar>
            <w:vAlign w:val="center"/>
          </w:tcPr>
          <w:p w14:paraId="422ECE3C" w14:textId="77777777" w:rsidR="004412F1" w:rsidRDefault="005A12A3">
            <w:pPr>
              <w:jc w:val="both"/>
              <w:rPr>
                <w:rFonts w:ascii="Calibri" w:hAnsi="Calibri"/>
                <w:b/>
                <w:color w:val="000000" w:themeColor="text1"/>
                <w:sz w:val="20"/>
              </w:rPr>
            </w:pPr>
            <w:r>
              <w:rPr>
                <w:rFonts w:ascii="Calibri" w:hAnsi="Calibri"/>
                <w:b/>
                <w:color w:val="000000" w:themeColor="text1"/>
                <w:sz w:val="20"/>
              </w:rPr>
              <w:t>Medida</w:t>
            </w:r>
          </w:p>
        </w:tc>
        <w:tc>
          <w:tcPr>
            <w:tcW w:w="2503" w:type="dxa"/>
            <w:gridSpan w:val="2"/>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18AAA09A" w14:textId="77777777" w:rsidR="004412F1" w:rsidRDefault="005A12A3">
            <w:pPr>
              <w:jc w:val="center"/>
              <w:rPr>
                <w:rFonts w:ascii="Calibri" w:hAnsi="Calibri"/>
                <w:b/>
                <w:color w:val="000000" w:themeColor="text1"/>
                <w:sz w:val="20"/>
              </w:rPr>
            </w:pPr>
            <w:r>
              <w:rPr>
                <w:rFonts w:ascii="Calibri" w:hAnsi="Calibri"/>
                <w:b/>
                <w:color w:val="000000" w:themeColor="text1"/>
                <w:sz w:val="20"/>
              </w:rPr>
              <w:t>Mantenimiento Periódico Inicial</w:t>
            </w:r>
          </w:p>
        </w:tc>
        <w:tc>
          <w:tcPr>
            <w:tcW w:w="2297" w:type="dxa"/>
            <w:gridSpan w:val="2"/>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64DFEE63" w14:textId="77777777" w:rsidR="004412F1" w:rsidRDefault="005A12A3">
            <w:pPr>
              <w:jc w:val="center"/>
              <w:rPr>
                <w:rFonts w:ascii="Calibri" w:hAnsi="Calibri"/>
                <w:b/>
                <w:color w:val="000000" w:themeColor="text1"/>
                <w:sz w:val="20"/>
              </w:rPr>
            </w:pPr>
            <w:r>
              <w:rPr>
                <w:rFonts w:ascii="Calibri" w:hAnsi="Calibri"/>
                <w:b/>
                <w:color w:val="000000" w:themeColor="text1"/>
                <w:sz w:val="20"/>
              </w:rPr>
              <w:t>Rehabilitación y Mejoramiento</w:t>
            </w:r>
          </w:p>
        </w:tc>
      </w:tr>
      <w:tr w:rsidR="004412F1" w14:paraId="3D36706F" w14:textId="77777777">
        <w:trPr>
          <w:gridAfter w:val="1"/>
          <w:wAfter w:w="4286" w:type="dxa"/>
          <w:trHeight w:val="250"/>
        </w:trPr>
        <w:tc>
          <w:tcPr>
            <w:tcW w:w="1559" w:type="dxa"/>
            <w:vMerge/>
            <w:tcBorders>
              <w:left w:val="single" w:sz="0" w:space="0" w:color="auto"/>
              <w:bottom w:val="single" w:sz="0" w:space="0" w:color="000000" w:themeColor="text1"/>
            </w:tcBorders>
            <w:vAlign w:val="center"/>
          </w:tcPr>
          <w:p w14:paraId="2CA47481" w14:textId="77777777" w:rsidR="004412F1" w:rsidRDefault="004412F1"/>
        </w:tc>
        <w:tc>
          <w:tcPr>
            <w:tcW w:w="1805" w:type="dxa"/>
            <w:vMerge/>
            <w:tcBorders>
              <w:left w:val="single" w:sz="0" w:space="0" w:color="auto"/>
              <w:right w:val="single" w:sz="0" w:space="0" w:color="auto"/>
            </w:tcBorders>
            <w:vAlign w:val="center"/>
          </w:tcPr>
          <w:p w14:paraId="3C1643B8" w14:textId="77777777" w:rsidR="004412F1" w:rsidRDefault="004412F1"/>
        </w:tc>
        <w:tc>
          <w:tcPr>
            <w:tcW w:w="1272" w:type="dxa"/>
            <w:tcBorders>
              <w:top w:val="single" w:sz="8" w:space="0" w:color="auto"/>
              <w:left w:val="nil"/>
              <w:bottom w:val="single" w:sz="8" w:space="0" w:color="auto"/>
              <w:right w:val="single" w:sz="8" w:space="0" w:color="auto"/>
            </w:tcBorders>
            <w:shd w:val="clear" w:color="auto" w:fill="C2D69B" w:themeFill="accent3" w:themeFillTint="99"/>
            <w:tcMar>
              <w:left w:w="70" w:type="dxa"/>
              <w:right w:w="70" w:type="dxa"/>
            </w:tcMar>
            <w:vAlign w:val="center"/>
          </w:tcPr>
          <w:p w14:paraId="3D30AEEE"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231" w:type="dxa"/>
            <w:tcBorders>
              <w:top w:val="nil"/>
              <w:left w:val="single" w:sz="8" w:space="0" w:color="auto"/>
              <w:bottom w:val="single" w:sz="8" w:space="0" w:color="auto"/>
              <w:right w:val="nil"/>
            </w:tcBorders>
            <w:shd w:val="clear" w:color="auto" w:fill="C2D69B" w:themeFill="accent3" w:themeFillTint="99"/>
            <w:tcMar>
              <w:left w:w="70" w:type="dxa"/>
              <w:right w:w="70" w:type="dxa"/>
            </w:tcMar>
            <w:vAlign w:val="center"/>
          </w:tcPr>
          <w:p w14:paraId="0FB3A613"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c>
          <w:tcPr>
            <w:tcW w:w="1148" w:type="dxa"/>
            <w:tcBorders>
              <w:top w:val="single" w:sz="8" w:space="0" w:color="auto"/>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79F6D08F" w14:textId="77777777" w:rsidR="004412F1" w:rsidRDefault="005A12A3">
            <w:pPr>
              <w:jc w:val="both"/>
              <w:rPr>
                <w:rFonts w:ascii="Calibri" w:hAnsi="Calibri"/>
                <w:b/>
                <w:color w:val="000000" w:themeColor="text1"/>
                <w:sz w:val="20"/>
              </w:rPr>
            </w:pPr>
            <w:r>
              <w:rPr>
                <w:rFonts w:ascii="Calibri" w:hAnsi="Calibri"/>
                <w:b/>
                <w:color w:val="000000" w:themeColor="text1"/>
                <w:sz w:val="20"/>
              </w:rPr>
              <w:t>Recepción</w:t>
            </w:r>
          </w:p>
        </w:tc>
        <w:tc>
          <w:tcPr>
            <w:tcW w:w="1148" w:type="dxa"/>
            <w:tcBorders>
              <w:top w:val="nil"/>
              <w:left w:val="single" w:sz="8" w:space="0" w:color="auto"/>
              <w:bottom w:val="single" w:sz="8" w:space="0" w:color="auto"/>
              <w:right w:val="single" w:sz="8" w:space="0" w:color="000000" w:themeColor="text1"/>
            </w:tcBorders>
            <w:shd w:val="clear" w:color="auto" w:fill="C2D69B" w:themeFill="accent3" w:themeFillTint="99"/>
            <w:tcMar>
              <w:left w:w="70" w:type="dxa"/>
              <w:right w:w="70" w:type="dxa"/>
            </w:tcMar>
            <w:vAlign w:val="center"/>
          </w:tcPr>
          <w:p w14:paraId="0CABFDDB" w14:textId="77777777" w:rsidR="004412F1" w:rsidRDefault="005A12A3">
            <w:pPr>
              <w:jc w:val="both"/>
              <w:rPr>
                <w:rFonts w:ascii="Calibri" w:hAnsi="Calibri"/>
                <w:b/>
                <w:color w:val="000000" w:themeColor="text1"/>
                <w:sz w:val="20"/>
              </w:rPr>
            </w:pPr>
            <w:r>
              <w:rPr>
                <w:rFonts w:ascii="Calibri" w:hAnsi="Calibri"/>
                <w:b/>
                <w:color w:val="000000" w:themeColor="text1"/>
                <w:sz w:val="20"/>
              </w:rPr>
              <w:t>Conservación</w:t>
            </w:r>
          </w:p>
        </w:tc>
      </w:tr>
      <w:tr w:rsidR="004412F1" w14:paraId="09754FED" w14:textId="77777777">
        <w:trPr>
          <w:gridAfter w:val="1"/>
          <w:wAfter w:w="4286" w:type="dxa"/>
          <w:trHeight w:val="973"/>
        </w:trPr>
        <w:tc>
          <w:tcPr>
            <w:tcW w:w="1559" w:type="dxa"/>
            <w:tcBorders>
              <w:top w:val="nil"/>
              <w:left w:val="single" w:sz="8" w:space="0" w:color="auto"/>
              <w:bottom w:val="single" w:sz="8" w:space="0" w:color="auto"/>
              <w:right w:val="nil"/>
            </w:tcBorders>
            <w:tcMar>
              <w:left w:w="70" w:type="dxa"/>
              <w:right w:w="70" w:type="dxa"/>
            </w:tcMar>
            <w:vAlign w:val="center"/>
          </w:tcPr>
          <w:p w14:paraId="6C841CCD" w14:textId="77777777" w:rsidR="004412F1" w:rsidRDefault="005A12A3">
            <w:r>
              <w:rPr>
                <w:rFonts w:ascii="Calibri" w:hAnsi="Calibri"/>
                <w:sz w:val="20"/>
              </w:rPr>
              <w:t>Suciedad o elementos extraños</w:t>
            </w:r>
          </w:p>
        </w:tc>
        <w:tc>
          <w:tcPr>
            <w:tcW w:w="180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2351D372" w14:textId="77777777" w:rsidR="004412F1" w:rsidRDefault="005A12A3">
            <w:pPr>
              <w:rPr>
                <w:lang w:val="es-PE"/>
              </w:rPr>
            </w:pPr>
            <w:r>
              <w:rPr>
                <w:rFonts w:ascii="Calibri" w:hAnsi="Calibri"/>
                <w:sz w:val="20"/>
                <w:lang w:val="es-PE"/>
              </w:rPr>
              <w:t>Según el manual para el relevamiento de defectos que se indican en el Apéndice Nº 07</w:t>
            </w:r>
          </w:p>
        </w:tc>
        <w:tc>
          <w:tcPr>
            <w:tcW w:w="127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297058"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C78EB9"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BB363D"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1C6C59" w14:textId="77777777" w:rsidR="004412F1" w:rsidRDefault="005A12A3">
            <w:pPr>
              <w:rPr>
                <w:lang w:val="es-PE"/>
              </w:rPr>
            </w:pPr>
            <w:r>
              <w:rPr>
                <w:rFonts w:ascii="Calibri" w:hAnsi="Calibri"/>
                <w:sz w:val="20"/>
                <w:lang w:val="es-PE"/>
              </w:rPr>
              <w:t>No se admite ninguno de los defectos</w:t>
            </w:r>
          </w:p>
        </w:tc>
      </w:tr>
      <w:tr w:rsidR="004412F1" w14:paraId="74DDF901" w14:textId="77777777">
        <w:trPr>
          <w:gridAfter w:val="1"/>
          <w:wAfter w:w="4286" w:type="dxa"/>
          <w:trHeight w:val="792"/>
        </w:trPr>
        <w:tc>
          <w:tcPr>
            <w:tcW w:w="1559" w:type="dxa"/>
            <w:tcBorders>
              <w:top w:val="single" w:sz="8" w:space="0" w:color="auto"/>
              <w:left w:val="single" w:sz="8" w:space="0" w:color="auto"/>
              <w:bottom w:val="single" w:sz="8" w:space="0" w:color="000000" w:themeColor="text1"/>
              <w:right w:val="nil"/>
            </w:tcBorders>
            <w:tcMar>
              <w:left w:w="70" w:type="dxa"/>
              <w:right w:w="70" w:type="dxa"/>
            </w:tcMar>
            <w:vAlign w:val="center"/>
          </w:tcPr>
          <w:p w14:paraId="7487F669" w14:textId="77777777" w:rsidR="004412F1" w:rsidRDefault="005A12A3">
            <w:r>
              <w:rPr>
                <w:rFonts w:ascii="Calibri" w:hAnsi="Calibri"/>
                <w:sz w:val="20"/>
              </w:rPr>
              <w:t>Deterioro del sobrepiso</w:t>
            </w:r>
          </w:p>
        </w:tc>
        <w:tc>
          <w:tcPr>
            <w:tcW w:w="1805" w:type="dxa"/>
            <w:vMerge/>
            <w:tcBorders>
              <w:left w:val="single" w:sz="0" w:space="0" w:color="auto"/>
              <w:right w:val="single" w:sz="0" w:space="0" w:color="auto"/>
            </w:tcBorders>
            <w:vAlign w:val="center"/>
          </w:tcPr>
          <w:p w14:paraId="1F0506A5" w14:textId="77777777" w:rsidR="004412F1" w:rsidRDefault="004412F1"/>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1EDC9C05"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5A2883"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D0E202"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7B5E51" w14:textId="77777777" w:rsidR="004412F1" w:rsidRDefault="005A12A3">
            <w:pPr>
              <w:rPr>
                <w:lang w:val="es-PE"/>
              </w:rPr>
            </w:pPr>
            <w:r>
              <w:rPr>
                <w:rFonts w:ascii="Calibri" w:hAnsi="Calibri"/>
                <w:sz w:val="20"/>
                <w:lang w:val="es-PE"/>
              </w:rPr>
              <w:t>No se admite ninguno de los defectos</w:t>
            </w:r>
          </w:p>
        </w:tc>
      </w:tr>
      <w:tr w:rsidR="004412F1" w14:paraId="268A8359" w14:textId="77777777">
        <w:trPr>
          <w:gridAfter w:val="1"/>
          <w:wAfter w:w="4286" w:type="dxa"/>
          <w:trHeight w:val="681"/>
        </w:trPr>
        <w:tc>
          <w:tcPr>
            <w:tcW w:w="1559" w:type="dxa"/>
            <w:tcBorders>
              <w:top w:val="single" w:sz="8" w:space="0" w:color="auto"/>
              <w:left w:val="single" w:sz="8" w:space="0" w:color="auto"/>
              <w:bottom w:val="nil"/>
              <w:right w:val="nil"/>
            </w:tcBorders>
            <w:tcMar>
              <w:left w:w="70" w:type="dxa"/>
              <w:right w:w="70" w:type="dxa"/>
            </w:tcMar>
            <w:vAlign w:val="center"/>
          </w:tcPr>
          <w:p w14:paraId="02A68252" w14:textId="77777777" w:rsidR="004412F1" w:rsidRDefault="005A12A3">
            <w:pPr>
              <w:rPr>
                <w:lang w:val="es-PE"/>
              </w:rPr>
            </w:pPr>
            <w:r>
              <w:rPr>
                <w:rFonts w:ascii="Calibri" w:hAnsi="Calibri"/>
                <w:sz w:val="20"/>
                <w:lang w:val="es-PE"/>
              </w:rPr>
              <w:t>Deficiencias en las juntas extremas o intermedias</w:t>
            </w:r>
          </w:p>
        </w:tc>
        <w:tc>
          <w:tcPr>
            <w:tcW w:w="1805" w:type="dxa"/>
            <w:vMerge/>
            <w:tcBorders>
              <w:left w:val="single" w:sz="0" w:space="0" w:color="auto"/>
              <w:right w:val="single" w:sz="0" w:space="0" w:color="auto"/>
            </w:tcBorders>
            <w:vAlign w:val="center"/>
          </w:tcPr>
          <w:p w14:paraId="48E23278"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28B705A8"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60C345"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2FDB3F"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FAEE09" w14:textId="77777777" w:rsidR="004412F1" w:rsidRDefault="005A12A3">
            <w:pPr>
              <w:rPr>
                <w:lang w:val="es-PE"/>
              </w:rPr>
            </w:pPr>
            <w:r>
              <w:rPr>
                <w:rFonts w:ascii="Calibri" w:hAnsi="Calibri"/>
                <w:sz w:val="20"/>
                <w:lang w:val="es-PE"/>
              </w:rPr>
              <w:t>No se admite ninguno de los defectos</w:t>
            </w:r>
          </w:p>
        </w:tc>
      </w:tr>
      <w:tr w:rsidR="004412F1" w14:paraId="10A33F76" w14:textId="77777777">
        <w:trPr>
          <w:gridAfter w:val="1"/>
          <w:wAfter w:w="4286" w:type="dxa"/>
          <w:trHeight w:val="667"/>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2ADDAA07" w14:textId="77777777" w:rsidR="004412F1" w:rsidRDefault="005A12A3">
            <w:pPr>
              <w:rPr>
                <w:lang w:val="es-PE"/>
              </w:rPr>
            </w:pPr>
            <w:r>
              <w:rPr>
                <w:rFonts w:ascii="Calibri" w:hAnsi="Calibri"/>
                <w:sz w:val="20"/>
                <w:lang w:val="es-PE"/>
              </w:rPr>
              <w:t>Deterioros en elementos de hormigón</w:t>
            </w:r>
          </w:p>
        </w:tc>
        <w:tc>
          <w:tcPr>
            <w:tcW w:w="1805" w:type="dxa"/>
            <w:vMerge/>
            <w:tcBorders>
              <w:left w:val="single" w:sz="0" w:space="0" w:color="auto"/>
              <w:right w:val="single" w:sz="0" w:space="0" w:color="auto"/>
            </w:tcBorders>
            <w:vAlign w:val="center"/>
          </w:tcPr>
          <w:p w14:paraId="14D086F8"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1ED682F5"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6AA096"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9F5B14"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75FE21" w14:textId="77777777" w:rsidR="004412F1" w:rsidRDefault="005A12A3">
            <w:pPr>
              <w:rPr>
                <w:lang w:val="es-PE"/>
              </w:rPr>
            </w:pPr>
            <w:r>
              <w:rPr>
                <w:rFonts w:ascii="Calibri" w:hAnsi="Calibri"/>
                <w:sz w:val="20"/>
                <w:lang w:val="es-PE"/>
              </w:rPr>
              <w:t>No se admite ninguno de los defectos</w:t>
            </w:r>
          </w:p>
        </w:tc>
      </w:tr>
      <w:tr w:rsidR="004412F1" w14:paraId="781B6DF7" w14:textId="77777777">
        <w:trPr>
          <w:gridAfter w:val="1"/>
          <w:wAfter w:w="4286" w:type="dxa"/>
          <w:trHeight w:val="764"/>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61C654ED" w14:textId="77777777" w:rsidR="004412F1" w:rsidRDefault="005A12A3">
            <w:pPr>
              <w:rPr>
                <w:lang w:val="es-PE"/>
              </w:rPr>
            </w:pPr>
            <w:r>
              <w:rPr>
                <w:rFonts w:ascii="Calibri" w:hAnsi="Calibri"/>
                <w:sz w:val="20"/>
                <w:lang w:val="es-PE"/>
              </w:rPr>
              <w:t>Deterioros en sistemas de apoyo</w:t>
            </w:r>
          </w:p>
        </w:tc>
        <w:tc>
          <w:tcPr>
            <w:tcW w:w="1805" w:type="dxa"/>
            <w:vMerge/>
            <w:tcBorders>
              <w:left w:val="single" w:sz="0" w:space="0" w:color="auto"/>
              <w:right w:val="single" w:sz="0" w:space="0" w:color="auto"/>
            </w:tcBorders>
            <w:vAlign w:val="center"/>
          </w:tcPr>
          <w:p w14:paraId="10B4F7BE"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0991003B"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C2807F"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C8504B"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BD2403" w14:textId="77777777" w:rsidR="004412F1" w:rsidRDefault="005A12A3">
            <w:pPr>
              <w:rPr>
                <w:lang w:val="es-PE"/>
              </w:rPr>
            </w:pPr>
            <w:r>
              <w:rPr>
                <w:rFonts w:ascii="Calibri" w:hAnsi="Calibri"/>
                <w:sz w:val="20"/>
                <w:lang w:val="es-PE"/>
              </w:rPr>
              <w:t>No se admite ninguno de los defectos</w:t>
            </w:r>
          </w:p>
        </w:tc>
      </w:tr>
      <w:tr w:rsidR="004412F1" w14:paraId="40C01B8D" w14:textId="77777777">
        <w:trPr>
          <w:gridAfter w:val="1"/>
          <w:wAfter w:w="4286" w:type="dxa"/>
          <w:trHeight w:val="959"/>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4F5685A1" w14:textId="77777777" w:rsidR="004412F1" w:rsidRDefault="005A12A3">
            <w:r>
              <w:rPr>
                <w:rFonts w:ascii="Calibri" w:hAnsi="Calibri"/>
                <w:sz w:val="20"/>
              </w:rPr>
              <w:t>Deterioro en elementos metálicos</w:t>
            </w:r>
          </w:p>
        </w:tc>
        <w:tc>
          <w:tcPr>
            <w:tcW w:w="1805" w:type="dxa"/>
            <w:vMerge/>
            <w:tcBorders>
              <w:left w:val="single" w:sz="0" w:space="0" w:color="auto"/>
              <w:right w:val="single" w:sz="0" w:space="0" w:color="auto"/>
            </w:tcBorders>
            <w:vAlign w:val="center"/>
          </w:tcPr>
          <w:p w14:paraId="455156B7" w14:textId="77777777" w:rsidR="004412F1" w:rsidRDefault="004412F1"/>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5C789387"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C09536"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28F310"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017A5D" w14:textId="77777777" w:rsidR="004412F1" w:rsidRDefault="005A12A3">
            <w:pPr>
              <w:rPr>
                <w:lang w:val="es-PE"/>
              </w:rPr>
            </w:pPr>
            <w:r>
              <w:rPr>
                <w:rFonts w:ascii="Calibri" w:hAnsi="Calibri"/>
                <w:sz w:val="20"/>
                <w:lang w:val="es-PE"/>
              </w:rPr>
              <w:t>No se admite ninguno de los defectos</w:t>
            </w:r>
          </w:p>
        </w:tc>
      </w:tr>
      <w:tr w:rsidR="004412F1" w14:paraId="73B5F863" w14:textId="77777777">
        <w:trPr>
          <w:gridAfter w:val="1"/>
          <w:wAfter w:w="4286" w:type="dxa"/>
          <w:trHeight w:val="820"/>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24EDBAEE" w14:textId="77777777" w:rsidR="004412F1" w:rsidRDefault="005A12A3">
            <w:r>
              <w:rPr>
                <w:rFonts w:ascii="Calibri" w:hAnsi="Calibri"/>
                <w:sz w:val="20"/>
              </w:rPr>
              <w:t>Deterioro en sistemas antisísmicos</w:t>
            </w:r>
          </w:p>
        </w:tc>
        <w:tc>
          <w:tcPr>
            <w:tcW w:w="1805" w:type="dxa"/>
            <w:vMerge/>
            <w:tcBorders>
              <w:left w:val="single" w:sz="0" w:space="0" w:color="auto"/>
              <w:right w:val="single" w:sz="0" w:space="0" w:color="auto"/>
            </w:tcBorders>
            <w:vAlign w:val="center"/>
          </w:tcPr>
          <w:p w14:paraId="4F28F39C" w14:textId="77777777" w:rsidR="004412F1" w:rsidRDefault="004412F1"/>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71167585"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A764F5"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8C561"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18BA74" w14:textId="77777777" w:rsidR="004412F1" w:rsidRDefault="005A12A3">
            <w:pPr>
              <w:rPr>
                <w:lang w:val="es-PE"/>
              </w:rPr>
            </w:pPr>
            <w:r>
              <w:rPr>
                <w:rFonts w:ascii="Calibri" w:hAnsi="Calibri"/>
                <w:sz w:val="20"/>
                <w:lang w:val="es-PE"/>
              </w:rPr>
              <w:t>No se admite ninguno de los defectos</w:t>
            </w:r>
          </w:p>
        </w:tc>
      </w:tr>
      <w:tr w:rsidR="004412F1" w14:paraId="79DB8CCB" w14:textId="77777777">
        <w:trPr>
          <w:gridAfter w:val="1"/>
          <w:wAfter w:w="4286" w:type="dxa"/>
          <w:trHeight w:val="736"/>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2706F5A9" w14:textId="77777777" w:rsidR="004412F1" w:rsidRDefault="005A12A3">
            <w:pPr>
              <w:rPr>
                <w:lang w:val="es-PE"/>
              </w:rPr>
            </w:pPr>
            <w:r>
              <w:rPr>
                <w:rFonts w:ascii="Calibri" w:hAnsi="Calibri"/>
                <w:sz w:val="20"/>
                <w:lang w:val="es-PE"/>
              </w:rPr>
              <w:t>Deterioro en sistemas de suspensión</w:t>
            </w:r>
          </w:p>
        </w:tc>
        <w:tc>
          <w:tcPr>
            <w:tcW w:w="1805" w:type="dxa"/>
            <w:vMerge/>
            <w:tcBorders>
              <w:left w:val="single" w:sz="0" w:space="0" w:color="auto"/>
              <w:right w:val="single" w:sz="0" w:space="0" w:color="auto"/>
            </w:tcBorders>
            <w:vAlign w:val="center"/>
          </w:tcPr>
          <w:p w14:paraId="510B2C6F"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34B48893"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E8389C"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D07DE8"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7B00D4" w14:textId="77777777" w:rsidR="004412F1" w:rsidRDefault="005A12A3">
            <w:pPr>
              <w:rPr>
                <w:lang w:val="es-PE"/>
              </w:rPr>
            </w:pPr>
            <w:r>
              <w:rPr>
                <w:rFonts w:ascii="Calibri" w:hAnsi="Calibri"/>
                <w:sz w:val="20"/>
                <w:lang w:val="es-PE"/>
              </w:rPr>
              <w:t>No se admite ninguno de los defectos</w:t>
            </w:r>
          </w:p>
        </w:tc>
      </w:tr>
      <w:tr w:rsidR="004412F1" w14:paraId="44C1FA0D" w14:textId="77777777">
        <w:trPr>
          <w:gridAfter w:val="1"/>
          <w:wAfter w:w="4286" w:type="dxa"/>
          <w:trHeight w:val="681"/>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76B54865" w14:textId="77777777" w:rsidR="004412F1" w:rsidRDefault="005A12A3">
            <w:pPr>
              <w:rPr>
                <w:lang w:val="es-PE"/>
              </w:rPr>
            </w:pPr>
            <w:r>
              <w:rPr>
                <w:rFonts w:ascii="Calibri" w:hAnsi="Calibri"/>
                <w:sz w:val="20"/>
                <w:lang w:val="es-PE"/>
              </w:rPr>
              <w:t>Deterioro en elementos de mampostería</w:t>
            </w:r>
          </w:p>
        </w:tc>
        <w:tc>
          <w:tcPr>
            <w:tcW w:w="1805" w:type="dxa"/>
            <w:vMerge/>
            <w:tcBorders>
              <w:left w:val="single" w:sz="0" w:space="0" w:color="auto"/>
              <w:right w:val="single" w:sz="0" w:space="0" w:color="auto"/>
            </w:tcBorders>
            <w:vAlign w:val="center"/>
          </w:tcPr>
          <w:p w14:paraId="23A74640"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633ECCF4"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49A652"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7E9764"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82BE0E" w14:textId="77777777" w:rsidR="004412F1" w:rsidRDefault="005A12A3">
            <w:pPr>
              <w:rPr>
                <w:lang w:val="es-PE"/>
              </w:rPr>
            </w:pPr>
            <w:r>
              <w:rPr>
                <w:rFonts w:ascii="Calibri" w:hAnsi="Calibri"/>
                <w:sz w:val="20"/>
                <w:lang w:val="es-PE"/>
              </w:rPr>
              <w:t>No se admite ninguno de los defectos</w:t>
            </w:r>
          </w:p>
        </w:tc>
      </w:tr>
      <w:tr w:rsidR="004412F1" w14:paraId="2B18BD91" w14:textId="77777777">
        <w:trPr>
          <w:gridAfter w:val="1"/>
          <w:wAfter w:w="4286" w:type="dxa"/>
          <w:trHeight w:val="667"/>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60A28BD4" w14:textId="77777777" w:rsidR="004412F1" w:rsidRDefault="005A12A3">
            <w:pPr>
              <w:rPr>
                <w:lang w:val="es-PE"/>
              </w:rPr>
            </w:pPr>
            <w:r>
              <w:rPr>
                <w:rFonts w:ascii="Calibri" w:hAnsi="Calibri"/>
                <w:sz w:val="20"/>
                <w:lang w:val="es-PE"/>
              </w:rPr>
              <w:t>Obstrucciones al libre escurrimiento hidráulico</w:t>
            </w:r>
          </w:p>
        </w:tc>
        <w:tc>
          <w:tcPr>
            <w:tcW w:w="1805" w:type="dxa"/>
            <w:vMerge/>
            <w:tcBorders>
              <w:left w:val="single" w:sz="0" w:space="0" w:color="auto"/>
              <w:right w:val="single" w:sz="0" w:space="0" w:color="auto"/>
            </w:tcBorders>
            <w:vAlign w:val="center"/>
          </w:tcPr>
          <w:p w14:paraId="56DB2C51"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313FF346"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6481B8"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16004"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5D29C8" w14:textId="77777777" w:rsidR="004412F1" w:rsidRDefault="005A12A3">
            <w:pPr>
              <w:rPr>
                <w:lang w:val="es-PE"/>
              </w:rPr>
            </w:pPr>
            <w:r>
              <w:rPr>
                <w:rFonts w:ascii="Calibri" w:hAnsi="Calibri"/>
                <w:sz w:val="20"/>
                <w:lang w:val="es-PE"/>
              </w:rPr>
              <w:t>No se admite ninguno de los defectos</w:t>
            </w:r>
          </w:p>
        </w:tc>
      </w:tr>
      <w:tr w:rsidR="004412F1" w14:paraId="6751B134" w14:textId="77777777">
        <w:trPr>
          <w:gridAfter w:val="1"/>
          <w:wAfter w:w="4286" w:type="dxa"/>
          <w:trHeight w:val="695"/>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6F2D2A55" w14:textId="77777777" w:rsidR="004412F1" w:rsidRDefault="005A12A3">
            <w:r>
              <w:rPr>
                <w:rFonts w:ascii="Calibri" w:hAnsi="Calibri"/>
                <w:sz w:val="20"/>
              </w:rPr>
              <w:t>Socavación de fundaciones</w:t>
            </w:r>
          </w:p>
        </w:tc>
        <w:tc>
          <w:tcPr>
            <w:tcW w:w="1805" w:type="dxa"/>
            <w:vMerge/>
            <w:tcBorders>
              <w:left w:val="single" w:sz="0" w:space="0" w:color="auto"/>
              <w:right w:val="single" w:sz="0" w:space="0" w:color="auto"/>
            </w:tcBorders>
            <w:vAlign w:val="center"/>
          </w:tcPr>
          <w:p w14:paraId="32BDE3BC" w14:textId="77777777" w:rsidR="004412F1" w:rsidRDefault="004412F1"/>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39D669A8"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A01B02"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3918C9"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7890A3" w14:textId="77777777" w:rsidR="004412F1" w:rsidRDefault="005A12A3">
            <w:pPr>
              <w:rPr>
                <w:lang w:val="es-PE"/>
              </w:rPr>
            </w:pPr>
            <w:r>
              <w:rPr>
                <w:rFonts w:ascii="Calibri" w:hAnsi="Calibri"/>
                <w:sz w:val="20"/>
                <w:lang w:val="es-PE"/>
              </w:rPr>
              <w:t>No se admite ninguno de los defectos</w:t>
            </w:r>
          </w:p>
        </w:tc>
      </w:tr>
      <w:tr w:rsidR="004412F1" w14:paraId="02B2EAFE" w14:textId="77777777">
        <w:trPr>
          <w:gridAfter w:val="1"/>
          <w:wAfter w:w="4286" w:type="dxa"/>
          <w:trHeight w:val="722"/>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4407F8A0" w14:textId="77777777" w:rsidR="004412F1" w:rsidRDefault="005A12A3">
            <w:pPr>
              <w:rPr>
                <w:lang w:val="es-PE"/>
              </w:rPr>
            </w:pPr>
            <w:r>
              <w:rPr>
                <w:rFonts w:ascii="Calibri" w:hAnsi="Calibri"/>
                <w:sz w:val="20"/>
                <w:lang w:val="es-PE"/>
              </w:rPr>
              <w:t>Deterioros en terraplenes de acceso y revestimiento</w:t>
            </w:r>
          </w:p>
        </w:tc>
        <w:tc>
          <w:tcPr>
            <w:tcW w:w="1805" w:type="dxa"/>
            <w:vMerge/>
            <w:tcBorders>
              <w:left w:val="single" w:sz="0" w:space="0" w:color="auto"/>
              <w:right w:val="single" w:sz="0" w:space="0" w:color="auto"/>
            </w:tcBorders>
            <w:vAlign w:val="center"/>
          </w:tcPr>
          <w:p w14:paraId="00D9D8B6"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405B75A4"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BCDEE9"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C056C7"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CDEABA" w14:textId="77777777" w:rsidR="004412F1" w:rsidRDefault="005A12A3">
            <w:pPr>
              <w:rPr>
                <w:lang w:val="es-PE"/>
              </w:rPr>
            </w:pPr>
            <w:r>
              <w:rPr>
                <w:rFonts w:ascii="Calibri" w:hAnsi="Calibri"/>
                <w:sz w:val="20"/>
                <w:lang w:val="es-PE"/>
              </w:rPr>
              <w:t>No se admite ninguno de los defectos</w:t>
            </w:r>
          </w:p>
        </w:tc>
      </w:tr>
      <w:tr w:rsidR="004412F1" w14:paraId="472312AC" w14:textId="77777777">
        <w:trPr>
          <w:gridAfter w:val="1"/>
          <w:wAfter w:w="4286" w:type="dxa"/>
          <w:trHeight w:val="653"/>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24EDCAD9" w14:textId="77777777" w:rsidR="004412F1" w:rsidRDefault="005A12A3">
            <w:pPr>
              <w:rPr>
                <w:lang w:val="es-PE"/>
              </w:rPr>
            </w:pPr>
            <w:r>
              <w:rPr>
                <w:rFonts w:ascii="Calibri" w:hAnsi="Calibri"/>
                <w:sz w:val="20"/>
                <w:lang w:val="es-PE"/>
              </w:rPr>
              <w:t>Deterioro de enrocados o gaviones de protección</w:t>
            </w:r>
          </w:p>
        </w:tc>
        <w:tc>
          <w:tcPr>
            <w:tcW w:w="1805" w:type="dxa"/>
            <w:vMerge/>
            <w:tcBorders>
              <w:left w:val="single" w:sz="0" w:space="0" w:color="auto"/>
              <w:right w:val="single" w:sz="0" w:space="0" w:color="auto"/>
            </w:tcBorders>
            <w:vAlign w:val="center"/>
          </w:tcPr>
          <w:p w14:paraId="518B9FA1"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7477C830"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47DE70"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2D320D"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E5DB84" w14:textId="77777777" w:rsidR="004412F1" w:rsidRDefault="005A12A3">
            <w:pPr>
              <w:rPr>
                <w:lang w:val="es-PE"/>
              </w:rPr>
            </w:pPr>
            <w:r>
              <w:rPr>
                <w:rFonts w:ascii="Calibri" w:hAnsi="Calibri"/>
                <w:sz w:val="20"/>
                <w:lang w:val="es-PE"/>
              </w:rPr>
              <w:t>No se admite ninguno de los defectos</w:t>
            </w:r>
          </w:p>
        </w:tc>
      </w:tr>
      <w:tr w:rsidR="004412F1" w14:paraId="6866843F" w14:textId="77777777">
        <w:trPr>
          <w:gridAfter w:val="1"/>
          <w:wAfter w:w="4286" w:type="dxa"/>
          <w:trHeight w:val="667"/>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27902169" w14:textId="77777777" w:rsidR="004412F1" w:rsidRDefault="005A12A3">
            <w:pPr>
              <w:rPr>
                <w:lang w:val="es-PE"/>
              </w:rPr>
            </w:pPr>
            <w:r>
              <w:rPr>
                <w:rFonts w:ascii="Calibri" w:hAnsi="Calibri"/>
                <w:sz w:val="20"/>
                <w:lang w:val="es-PE"/>
              </w:rPr>
              <w:t>Deterioro de barandas y parapetos</w:t>
            </w:r>
          </w:p>
        </w:tc>
        <w:tc>
          <w:tcPr>
            <w:tcW w:w="1805" w:type="dxa"/>
            <w:vMerge/>
            <w:tcBorders>
              <w:left w:val="single" w:sz="0" w:space="0" w:color="auto"/>
              <w:right w:val="single" w:sz="0" w:space="0" w:color="auto"/>
            </w:tcBorders>
            <w:vAlign w:val="center"/>
          </w:tcPr>
          <w:p w14:paraId="5F5E8A37"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48E94E5A"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6F9B87"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AE52CD"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AB4442" w14:textId="77777777" w:rsidR="004412F1" w:rsidRDefault="005A12A3">
            <w:pPr>
              <w:rPr>
                <w:lang w:val="es-PE"/>
              </w:rPr>
            </w:pPr>
            <w:r>
              <w:rPr>
                <w:rFonts w:ascii="Calibri" w:hAnsi="Calibri"/>
                <w:sz w:val="20"/>
                <w:lang w:val="es-PE"/>
              </w:rPr>
              <w:t>No se admite ninguno de los defectos</w:t>
            </w:r>
          </w:p>
        </w:tc>
      </w:tr>
      <w:tr w:rsidR="004412F1" w14:paraId="051BEDCB" w14:textId="77777777">
        <w:trPr>
          <w:gridAfter w:val="1"/>
          <w:wAfter w:w="4286" w:type="dxa"/>
          <w:trHeight w:val="667"/>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3FEC50DC" w14:textId="77777777" w:rsidR="004412F1" w:rsidRDefault="005A12A3">
            <w:r>
              <w:rPr>
                <w:rFonts w:ascii="Calibri" w:hAnsi="Calibri"/>
                <w:sz w:val="20"/>
              </w:rPr>
              <w:t>Deterioro de veredas</w:t>
            </w:r>
          </w:p>
        </w:tc>
        <w:tc>
          <w:tcPr>
            <w:tcW w:w="1805" w:type="dxa"/>
            <w:vMerge/>
            <w:tcBorders>
              <w:left w:val="single" w:sz="0" w:space="0" w:color="auto"/>
              <w:right w:val="single" w:sz="0" w:space="0" w:color="auto"/>
            </w:tcBorders>
            <w:vAlign w:val="center"/>
          </w:tcPr>
          <w:p w14:paraId="67E6D7F1" w14:textId="77777777" w:rsidR="004412F1" w:rsidRDefault="004412F1"/>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1DF73875"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3D964E"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BBF1D9"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39DE8F" w14:textId="77777777" w:rsidR="004412F1" w:rsidRDefault="005A12A3">
            <w:pPr>
              <w:rPr>
                <w:lang w:val="es-PE"/>
              </w:rPr>
            </w:pPr>
            <w:r>
              <w:rPr>
                <w:rFonts w:ascii="Calibri" w:hAnsi="Calibri"/>
                <w:sz w:val="20"/>
                <w:lang w:val="es-PE"/>
              </w:rPr>
              <w:t>No se admite ninguno de los defectos</w:t>
            </w:r>
          </w:p>
        </w:tc>
      </w:tr>
      <w:tr w:rsidR="004412F1" w14:paraId="229C04FA" w14:textId="77777777">
        <w:trPr>
          <w:gridAfter w:val="1"/>
          <w:wAfter w:w="4286" w:type="dxa"/>
          <w:trHeight w:val="708"/>
        </w:trPr>
        <w:tc>
          <w:tcPr>
            <w:tcW w:w="1559" w:type="dxa"/>
            <w:tcBorders>
              <w:top w:val="single" w:sz="8" w:space="0" w:color="auto"/>
              <w:left w:val="single" w:sz="8" w:space="0" w:color="auto"/>
              <w:bottom w:val="single" w:sz="8" w:space="0" w:color="auto"/>
              <w:right w:val="nil"/>
            </w:tcBorders>
            <w:tcMar>
              <w:left w:w="70" w:type="dxa"/>
              <w:right w:w="70" w:type="dxa"/>
            </w:tcMar>
            <w:vAlign w:val="center"/>
          </w:tcPr>
          <w:p w14:paraId="1B7E300F" w14:textId="77777777" w:rsidR="004412F1" w:rsidRDefault="005A12A3">
            <w:pPr>
              <w:rPr>
                <w:lang w:val="es-PE"/>
              </w:rPr>
            </w:pPr>
            <w:r>
              <w:rPr>
                <w:rFonts w:ascii="Calibri" w:hAnsi="Calibri"/>
                <w:sz w:val="20"/>
                <w:lang w:val="es-PE"/>
              </w:rPr>
              <w:t>Deterioro del recubrimiento de la estructura metálica</w:t>
            </w:r>
          </w:p>
        </w:tc>
        <w:tc>
          <w:tcPr>
            <w:tcW w:w="1805" w:type="dxa"/>
            <w:vMerge/>
            <w:tcBorders>
              <w:top w:val="single" w:sz="0" w:space="0" w:color="auto"/>
              <w:left w:val="single" w:sz="0" w:space="0" w:color="auto"/>
              <w:bottom w:val="single" w:sz="0" w:space="0" w:color="000000" w:themeColor="text1"/>
              <w:right w:val="single" w:sz="0" w:space="0" w:color="auto"/>
            </w:tcBorders>
            <w:vAlign w:val="center"/>
          </w:tcPr>
          <w:p w14:paraId="53066279" w14:textId="77777777" w:rsidR="004412F1" w:rsidRDefault="004412F1">
            <w:pPr>
              <w:rPr>
                <w:lang w:val="es-PE"/>
              </w:rPr>
            </w:pPr>
          </w:p>
        </w:tc>
        <w:tc>
          <w:tcPr>
            <w:tcW w:w="1272" w:type="dxa"/>
            <w:tcBorders>
              <w:top w:val="single" w:sz="8" w:space="0" w:color="auto"/>
              <w:left w:val="nil"/>
              <w:bottom w:val="single" w:sz="8" w:space="0" w:color="auto"/>
              <w:right w:val="single" w:sz="8" w:space="0" w:color="auto"/>
            </w:tcBorders>
            <w:tcMar>
              <w:left w:w="70" w:type="dxa"/>
              <w:right w:w="70" w:type="dxa"/>
            </w:tcMar>
            <w:vAlign w:val="center"/>
          </w:tcPr>
          <w:p w14:paraId="36FCB08C" w14:textId="77777777" w:rsidR="004412F1" w:rsidRDefault="005A12A3">
            <w:pPr>
              <w:rPr>
                <w:lang w:val="es-PE"/>
              </w:rPr>
            </w:pPr>
            <w:r>
              <w:rPr>
                <w:rFonts w:ascii="Calibri" w:hAnsi="Calibri"/>
                <w:sz w:val="20"/>
                <w:lang w:val="es-PE"/>
              </w:rPr>
              <w:t>No se admite ninguno de los defectos</w:t>
            </w:r>
          </w:p>
        </w:tc>
        <w:tc>
          <w:tcPr>
            <w:tcW w:w="123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0DB69D"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237104" w14:textId="77777777" w:rsidR="004412F1" w:rsidRDefault="005A12A3">
            <w:pPr>
              <w:rPr>
                <w:lang w:val="es-PE"/>
              </w:rPr>
            </w:pPr>
            <w:r>
              <w:rPr>
                <w:rFonts w:ascii="Calibri" w:hAnsi="Calibri"/>
                <w:sz w:val="20"/>
                <w:lang w:val="es-PE"/>
              </w:rPr>
              <w:t>No se admite ninguno de los defectos</w:t>
            </w:r>
          </w:p>
        </w:tc>
        <w:tc>
          <w:tcPr>
            <w:tcW w:w="1148"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B360F8" w14:textId="77777777" w:rsidR="004412F1" w:rsidRDefault="005A12A3">
            <w:pPr>
              <w:rPr>
                <w:lang w:val="es-PE"/>
              </w:rPr>
            </w:pPr>
            <w:r>
              <w:rPr>
                <w:rFonts w:ascii="Calibri" w:hAnsi="Calibri"/>
                <w:sz w:val="20"/>
                <w:lang w:val="es-PE"/>
              </w:rPr>
              <w:t>No se admite ninguno de los defectos</w:t>
            </w:r>
          </w:p>
        </w:tc>
      </w:tr>
      <w:tr w:rsidR="004412F1" w14:paraId="0DBE90B1" w14:textId="77777777">
        <w:trPr>
          <w:trHeight w:val="13"/>
        </w:trPr>
        <w:tc>
          <w:tcPr>
            <w:tcW w:w="12409" w:type="dxa"/>
            <w:gridSpan w:val="7"/>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5677C076" w14:textId="77777777" w:rsidR="004412F1" w:rsidRDefault="005A12A3">
            <w:pPr>
              <w:jc w:val="center"/>
              <w:rPr>
                <w:b/>
                <w:sz w:val="20"/>
                <w:lang w:val="es"/>
              </w:rPr>
            </w:pPr>
            <w:r>
              <w:rPr>
                <w:b/>
                <w:sz w:val="20"/>
                <w:lang w:val="es"/>
              </w:rPr>
              <w:t>Plazos de Respuesta a Incumplimientos en:</w:t>
            </w:r>
          </w:p>
          <w:p w14:paraId="4B1F604F" w14:textId="77777777" w:rsidR="004412F1" w:rsidRDefault="005A12A3">
            <w:pPr>
              <w:jc w:val="center"/>
              <w:rPr>
                <w:rFonts w:eastAsia="Times New Roman"/>
                <w:b/>
                <w:bCs/>
                <w:color w:val="000000" w:themeColor="text1"/>
                <w:sz w:val="20"/>
                <w:szCs w:val="18"/>
                <w:lang w:val="es" w:eastAsia="es-ES"/>
              </w:rPr>
            </w:pPr>
            <w:r>
              <w:rPr>
                <w:b/>
                <w:color w:val="000000" w:themeColor="text1"/>
                <w:sz w:val="20"/>
                <w:lang w:val="es"/>
              </w:rPr>
              <w:t>Puentes</w:t>
            </w:r>
          </w:p>
        </w:tc>
      </w:tr>
      <w:tr w:rsidR="004412F1" w14:paraId="1C287EB4"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C18F8B" w14:textId="77777777" w:rsidR="004412F1" w:rsidRDefault="005A12A3">
            <w:pPr>
              <w:jc w:val="center"/>
              <w:rPr>
                <w:b/>
                <w:sz w:val="20"/>
                <w:lang w:val="es"/>
              </w:rPr>
            </w:pPr>
            <w:r>
              <w:rPr>
                <w:b/>
                <w:sz w:val="20"/>
                <w:lang w:val="es"/>
              </w:rPr>
              <w:t>Parámetro</w:t>
            </w:r>
          </w:p>
        </w:tc>
        <w:tc>
          <w:tcPr>
            <w:tcW w:w="5392" w:type="dxa"/>
            <w:gridSpan w:val="2"/>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6ACBF02" w14:textId="77777777" w:rsidR="004412F1" w:rsidRDefault="005A12A3">
            <w:pPr>
              <w:jc w:val="center"/>
              <w:rPr>
                <w:rFonts w:eastAsia="Times New Roman"/>
                <w:b/>
                <w:bCs/>
                <w:sz w:val="20"/>
                <w:szCs w:val="18"/>
                <w:lang w:val="es" w:eastAsia="es-ES"/>
              </w:rPr>
            </w:pPr>
            <w:r>
              <w:rPr>
                <w:b/>
                <w:sz w:val="20"/>
                <w:lang w:val="es"/>
              </w:rPr>
              <w:t>Plazo máximo de corrección (días)</w:t>
            </w:r>
          </w:p>
        </w:tc>
      </w:tr>
      <w:tr w:rsidR="004412F1" w14:paraId="5EBAC608"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8918419" w14:textId="77777777" w:rsidR="004412F1" w:rsidRDefault="005A12A3">
            <w:pPr>
              <w:tabs>
                <w:tab w:val="left" w:pos="1490"/>
              </w:tabs>
            </w:pPr>
            <w:r>
              <w:rPr>
                <w:sz w:val="20"/>
                <w:lang w:val="es"/>
              </w:rPr>
              <w:t>Suciedades o elementos extraños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185A293" w14:textId="77777777" w:rsidR="004412F1" w:rsidRDefault="005A12A3">
            <w:pPr>
              <w:jc w:val="center"/>
              <w:rPr>
                <w:sz w:val="20"/>
                <w:lang w:val="es"/>
              </w:rPr>
            </w:pPr>
            <w:r>
              <w:rPr>
                <w:sz w:val="20"/>
                <w:lang w:val="es"/>
              </w:rPr>
              <w:t>7</w:t>
            </w:r>
          </w:p>
        </w:tc>
      </w:tr>
      <w:tr w:rsidR="004412F1" w14:paraId="29227103"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E4BF893" w14:textId="77777777" w:rsidR="004412F1" w:rsidRDefault="005A12A3">
            <w:r>
              <w:rPr>
                <w:sz w:val="20"/>
                <w:lang w:val="es"/>
              </w:rPr>
              <w:t>Deterioro del sobrepiso</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38BE6D0" w14:textId="77777777" w:rsidR="004412F1" w:rsidRDefault="005A12A3">
            <w:pPr>
              <w:jc w:val="center"/>
              <w:rPr>
                <w:sz w:val="20"/>
                <w:lang w:val="es"/>
              </w:rPr>
            </w:pPr>
            <w:r>
              <w:rPr>
                <w:sz w:val="20"/>
                <w:lang w:val="es"/>
              </w:rPr>
              <w:t>7</w:t>
            </w:r>
          </w:p>
        </w:tc>
      </w:tr>
      <w:tr w:rsidR="004412F1" w14:paraId="0F13C78C"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9564374" w14:textId="77777777" w:rsidR="004412F1" w:rsidRDefault="005A12A3">
            <w:pPr>
              <w:rPr>
                <w:lang w:val="es-PE"/>
              </w:rPr>
            </w:pPr>
            <w:r>
              <w:rPr>
                <w:sz w:val="20"/>
                <w:lang w:val="es"/>
              </w:rPr>
              <w:t>Deficiencias en las juntas extremas o intermedias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D6677EE" w14:textId="77777777" w:rsidR="004412F1" w:rsidRDefault="005A12A3">
            <w:pPr>
              <w:jc w:val="center"/>
              <w:rPr>
                <w:sz w:val="20"/>
                <w:lang w:val="es"/>
              </w:rPr>
            </w:pPr>
            <w:r>
              <w:rPr>
                <w:sz w:val="20"/>
                <w:lang w:val="es"/>
              </w:rPr>
              <w:t>7</w:t>
            </w:r>
          </w:p>
        </w:tc>
      </w:tr>
      <w:tr w:rsidR="004412F1" w14:paraId="308C004D"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4DAF07F" w14:textId="77777777" w:rsidR="004412F1" w:rsidRDefault="005A12A3">
            <w:pPr>
              <w:rPr>
                <w:lang w:val="es-PE"/>
              </w:rPr>
            </w:pPr>
            <w:r>
              <w:rPr>
                <w:sz w:val="20"/>
                <w:lang w:val="es"/>
              </w:rPr>
              <w:t>Deterioros en elementos de concreto</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5E48F92C" w14:textId="77777777" w:rsidR="004412F1" w:rsidRDefault="005A12A3">
            <w:pPr>
              <w:jc w:val="center"/>
              <w:rPr>
                <w:sz w:val="20"/>
                <w:lang w:val="es"/>
              </w:rPr>
            </w:pPr>
            <w:r>
              <w:rPr>
                <w:sz w:val="20"/>
                <w:lang w:val="es"/>
              </w:rPr>
              <w:t>7</w:t>
            </w:r>
          </w:p>
        </w:tc>
      </w:tr>
      <w:tr w:rsidR="004412F1" w14:paraId="1A811AAA"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5F4525B" w14:textId="77777777" w:rsidR="004412F1" w:rsidRDefault="005A12A3">
            <w:pPr>
              <w:rPr>
                <w:lang w:val="es-PE"/>
              </w:rPr>
            </w:pPr>
            <w:r>
              <w:rPr>
                <w:sz w:val="20"/>
                <w:lang w:val="es"/>
              </w:rPr>
              <w:t>Deterioros en sistemas de apoyo</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908325F" w14:textId="77777777" w:rsidR="004412F1" w:rsidRDefault="005A12A3">
            <w:pPr>
              <w:jc w:val="center"/>
              <w:rPr>
                <w:rFonts w:eastAsia="Times New Roman"/>
                <w:bCs/>
                <w:sz w:val="20"/>
                <w:szCs w:val="18"/>
                <w:lang w:val="es" w:eastAsia="es-ES"/>
              </w:rPr>
            </w:pPr>
            <w:r>
              <w:rPr>
                <w:sz w:val="20"/>
                <w:lang w:val="es"/>
              </w:rPr>
              <w:t>10</w:t>
            </w:r>
          </w:p>
        </w:tc>
      </w:tr>
      <w:tr w:rsidR="004412F1" w14:paraId="1C36375E"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5E8AF6B" w14:textId="77777777" w:rsidR="004412F1" w:rsidRDefault="005A12A3">
            <w:r>
              <w:rPr>
                <w:sz w:val="20"/>
                <w:lang w:val="es"/>
              </w:rPr>
              <w:t>Deterioros en elementos metálicos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A9E7689" w14:textId="77777777" w:rsidR="004412F1" w:rsidRDefault="005A12A3">
            <w:pPr>
              <w:jc w:val="center"/>
              <w:rPr>
                <w:sz w:val="20"/>
                <w:lang w:val="es"/>
              </w:rPr>
            </w:pPr>
            <w:r>
              <w:rPr>
                <w:sz w:val="20"/>
                <w:lang w:val="es"/>
              </w:rPr>
              <w:t>7</w:t>
            </w:r>
          </w:p>
        </w:tc>
      </w:tr>
      <w:tr w:rsidR="004412F1" w14:paraId="17B7E358"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6F6E391" w14:textId="77777777" w:rsidR="004412F1" w:rsidRDefault="005A12A3">
            <w:r>
              <w:rPr>
                <w:sz w:val="20"/>
                <w:lang w:val="es"/>
              </w:rPr>
              <w:t>Deterioro en sistemas antisísmicos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8852A63" w14:textId="77777777" w:rsidR="004412F1" w:rsidRDefault="005A12A3">
            <w:pPr>
              <w:jc w:val="center"/>
              <w:rPr>
                <w:rFonts w:eastAsia="Times New Roman"/>
                <w:bCs/>
                <w:sz w:val="20"/>
                <w:szCs w:val="18"/>
                <w:lang w:val="es" w:eastAsia="es-ES"/>
              </w:rPr>
            </w:pPr>
            <w:r>
              <w:rPr>
                <w:sz w:val="20"/>
                <w:lang w:val="es"/>
              </w:rPr>
              <w:t>10</w:t>
            </w:r>
          </w:p>
        </w:tc>
      </w:tr>
      <w:tr w:rsidR="004412F1" w14:paraId="79EF6D7D"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4997679" w14:textId="77777777" w:rsidR="004412F1" w:rsidRDefault="005A12A3">
            <w:pPr>
              <w:rPr>
                <w:lang w:val="es-PE"/>
              </w:rPr>
            </w:pPr>
            <w:r>
              <w:rPr>
                <w:sz w:val="20"/>
                <w:lang w:val="es"/>
              </w:rPr>
              <w:t>Deterioro en sistemas de suspensión</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E62A8B9" w14:textId="77777777" w:rsidR="004412F1" w:rsidRDefault="005A12A3">
            <w:pPr>
              <w:jc w:val="center"/>
              <w:rPr>
                <w:rFonts w:eastAsia="Times New Roman"/>
                <w:bCs/>
                <w:sz w:val="20"/>
                <w:szCs w:val="18"/>
                <w:lang w:val="es" w:eastAsia="es-ES"/>
              </w:rPr>
            </w:pPr>
            <w:r>
              <w:rPr>
                <w:sz w:val="20"/>
                <w:lang w:val="es"/>
              </w:rPr>
              <w:t>10</w:t>
            </w:r>
          </w:p>
        </w:tc>
      </w:tr>
      <w:tr w:rsidR="004412F1" w14:paraId="6EA7E75E"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1483BA9" w14:textId="77777777" w:rsidR="004412F1" w:rsidRDefault="005A12A3">
            <w:pPr>
              <w:rPr>
                <w:lang w:val="es-PE"/>
              </w:rPr>
            </w:pPr>
            <w:r>
              <w:rPr>
                <w:sz w:val="20"/>
                <w:lang w:val="es"/>
              </w:rPr>
              <w:t>Deterioro en elementos de mampostería</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B25A7EB" w14:textId="77777777" w:rsidR="004412F1" w:rsidRDefault="005A12A3">
            <w:pPr>
              <w:jc w:val="center"/>
              <w:rPr>
                <w:rFonts w:eastAsia="Times New Roman"/>
                <w:bCs/>
                <w:sz w:val="20"/>
                <w:szCs w:val="18"/>
                <w:lang w:val="es" w:eastAsia="es-ES"/>
              </w:rPr>
            </w:pPr>
            <w:r>
              <w:rPr>
                <w:sz w:val="20"/>
                <w:lang w:val="es"/>
              </w:rPr>
              <w:t>10</w:t>
            </w:r>
          </w:p>
        </w:tc>
      </w:tr>
      <w:tr w:rsidR="004412F1" w14:paraId="0CFDD737"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A63EADF" w14:textId="77777777" w:rsidR="004412F1" w:rsidRDefault="005A12A3">
            <w:pPr>
              <w:rPr>
                <w:lang w:val="es-PE"/>
              </w:rPr>
            </w:pPr>
            <w:r>
              <w:rPr>
                <w:sz w:val="20"/>
                <w:lang w:val="es"/>
              </w:rPr>
              <w:t>Obstrucciones al libre escurrimiento hidráulico</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636523E" w14:textId="77777777" w:rsidR="004412F1" w:rsidRDefault="005A12A3">
            <w:pPr>
              <w:jc w:val="center"/>
              <w:rPr>
                <w:sz w:val="20"/>
                <w:lang w:val="es"/>
              </w:rPr>
            </w:pPr>
            <w:r>
              <w:rPr>
                <w:sz w:val="20"/>
                <w:lang w:val="es"/>
              </w:rPr>
              <w:t>7</w:t>
            </w:r>
          </w:p>
        </w:tc>
      </w:tr>
      <w:tr w:rsidR="004412F1" w14:paraId="50E5BCC3"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135FF6C" w14:textId="77777777" w:rsidR="004412F1" w:rsidRDefault="005A12A3">
            <w:r>
              <w:rPr>
                <w:sz w:val="20"/>
                <w:lang w:val="es"/>
              </w:rPr>
              <w:t>Socavaciones de fundaciones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F948CAF" w14:textId="77777777" w:rsidR="004412F1" w:rsidRDefault="005A12A3">
            <w:pPr>
              <w:jc w:val="center"/>
              <w:rPr>
                <w:sz w:val="20"/>
                <w:lang w:val="es"/>
              </w:rPr>
            </w:pPr>
            <w:r>
              <w:rPr>
                <w:sz w:val="20"/>
                <w:lang w:val="es"/>
              </w:rPr>
              <w:t>7</w:t>
            </w:r>
          </w:p>
        </w:tc>
      </w:tr>
      <w:tr w:rsidR="004412F1" w14:paraId="43C6FDE2"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8876A1C" w14:textId="77777777" w:rsidR="004412F1" w:rsidRDefault="005A12A3">
            <w:pPr>
              <w:rPr>
                <w:lang w:val="es-PE"/>
              </w:rPr>
            </w:pPr>
            <w:r>
              <w:rPr>
                <w:sz w:val="20"/>
                <w:lang w:val="es"/>
              </w:rPr>
              <w:t>Deterioros en terraplenes de acceso y revestimientos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DFE6720" w14:textId="77777777" w:rsidR="004412F1" w:rsidRDefault="005A12A3">
            <w:pPr>
              <w:jc w:val="center"/>
              <w:rPr>
                <w:sz w:val="20"/>
                <w:lang w:val="es"/>
              </w:rPr>
            </w:pPr>
            <w:r>
              <w:rPr>
                <w:sz w:val="20"/>
                <w:lang w:val="es"/>
              </w:rPr>
              <w:t>7</w:t>
            </w:r>
          </w:p>
        </w:tc>
      </w:tr>
      <w:tr w:rsidR="004412F1" w14:paraId="2214D3A4"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40696FA" w14:textId="77777777" w:rsidR="004412F1" w:rsidRDefault="005A12A3">
            <w:pPr>
              <w:rPr>
                <w:lang w:val="es-PE"/>
              </w:rPr>
            </w:pPr>
            <w:r>
              <w:rPr>
                <w:sz w:val="20"/>
                <w:lang w:val="es"/>
              </w:rPr>
              <w:t>Deterioro de enrocados o gaviones de protección</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BDAC06C" w14:textId="77777777" w:rsidR="004412F1" w:rsidRDefault="005A12A3">
            <w:pPr>
              <w:jc w:val="center"/>
              <w:rPr>
                <w:sz w:val="20"/>
                <w:lang w:val="es"/>
              </w:rPr>
            </w:pPr>
            <w:r>
              <w:rPr>
                <w:sz w:val="20"/>
                <w:lang w:val="es"/>
              </w:rPr>
              <w:t>7</w:t>
            </w:r>
          </w:p>
        </w:tc>
      </w:tr>
      <w:tr w:rsidR="004412F1" w14:paraId="2D5D2D90"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407FD58" w14:textId="77777777" w:rsidR="004412F1" w:rsidRDefault="005A12A3">
            <w:pPr>
              <w:rPr>
                <w:lang w:val="es-PE"/>
              </w:rPr>
            </w:pPr>
            <w:r>
              <w:rPr>
                <w:sz w:val="20"/>
                <w:lang w:val="es"/>
              </w:rPr>
              <w:t>Deterioros de barandas y parapetos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118EC661" w14:textId="77777777" w:rsidR="004412F1" w:rsidRDefault="005A12A3">
            <w:pPr>
              <w:jc w:val="center"/>
              <w:rPr>
                <w:sz w:val="20"/>
                <w:lang w:val="es"/>
              </w:rPr>
            </w:pPr>
            <w:r>
              <w:rPr>
                <w:sz w:val="20"/>
                <w:lang w:val="es"/>
              </w:rPr>
              <w:t>7</w:t>
            </w:r>
          </w:p>
        </w:tc>
      </w:tr>
      <w:tr w:rsidR="004412F1" w14:paraId="4886F0E1" w14:textId="77777777">
        <w:trPr>
          <w:trHeight w:val="13"/>
        </w:trPr>
        <w:tc>
          <w:tcPr>
            <w:tcW w:w="7016" w:type="dxa"/>
            <w:gridSpan w:val="5"/>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6AA9BB3C" w14:textId="77777777" w:rsidR="004412F1" w:rsidRDefault="005A12A3">
            <w:r>
              <w:rPr>
                <w:sz w:val="20"/>
                <w:lang w:val="es"/>
              </w:rPr>
              <w:t>Deterioros de veredas</w:t>
            </w:r>
          </w:p>
        </w:tc>
        <w:tc>
          <w:tcPr>
            <w:tcW w:w="5392" w:type="dxa"/>
            <w:gridSpan w:val="2"/>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0C80E968" w14:textId="77777777" w:rsidR="004412F1" w:rsidRDefault="005A12A3">
            <w:pPr>
              <w:jc w:val="center"/>
              <w:rPr>
                <w:sz w:val="20"/>
                <w:lang w:val="es"/>
              </w:rPr>
            </w:pPr>
            <w:r>
              <w:rPr>
                <w:sz w:val="20"/>
                <w:lang w:val="es"/>
              </w:rPr>
              <w:t>7</w:t>
            </w:r>
          </w:p>
        </w:tc>
      </w:tr>
    </w:tbl>
    <w:p w14:paraId="7BD3C71E" w14:textId="77777777" w:rsidR="004412F1" w:rsidRDefault="004412F1">
      <w:pPr>
        <w:jc w:val="center"/>
      </w:pPr>
    </w:p>
    <w:p w14:paraId="068AD2DF" w14:textId="77777777" w:rsidR="004412F1" w:rsidRDefault="004412F1">
      <w:pPr>
        <w:jc w:val="center"/>
      </w:pPr>
    </w:p>
    <w:p w14:paraId="16C869FD" w14:textId="77777777" w:rsidR="004412F1" w:rsidRDefault="004412F1">
      <w:pPr>
        <w:jc w:val="center"/>
      </w:pPr>
    </w:p>
    <w:p w14:paraId="2196D27F" w14:textId="77777777" w:rsidR="004412F1" w:rsidRDefault="004412F1">
      <w:pPr>
        <w:jc w:val="center"/>
      </w:pPr>
    </w:p>
    <w:p w14:paraId="321625D5" w14:textId="77777777" w:rsidR="004412F1" w:rsidRDefault="004412F1">
      <w:pPr>
        <w:jc w:val="center"/>
      </w:pPr>
    </w:p>
    <w:p w14:paraId="16B6321A" w14:textId="77777777" w:rsidR="004412F1" w:rsidRDefault="004412F1">
      <w:pPr>
        <w:jc w:val="center"/>
      </w:pPr>
    </w:p>
    <w:p w14:paraId="66ACBB20" w14:textId="77777777" w:rsidR="004412F1" w:rsidRDefault="004412F1">
      <w:pPr>
        <w:jc w:val="center"/>
      </w:pPr>
    </w:p>
    <w:p w14:paraId="0B93B6DC" w14:textId="77777777" w:rsidR="004412F1" w:rsidRDefault="004412F1">
      <w:pPr>
        <w:jc w:val="center"/>
      </w:pPr>
    </w:p>
    <w:tbl>
      <w:tblPr>
        <w:tblW w:w="0" w:type="auto"/>
        <w:tblInd w:w="735" w:type="dxa"/>
        <w:tblLayout w:type="fixed"/>
        <w:tblLook w:val="04A0" w:firstRow="1" w:lastRow="0" w:firstColumn="1" w:lastColumn="0" w:noHBand="0" w:noVBand="1"/>
      </w:tblPr>
      <w:tblGrid>
        <w:gridCol w:w="3890"/>
        <w:gridCol w:w="2485"/>
        <w:gridCol w:w="2334"/>
      </w:tblGrid>
      <w:tr w:rsidR="004412F1" w14:paraId="37F4E6FF" w14:textId="77777777">
        <w:trPr>
          <w:trHeight w:val="20"/>
        </w:trPr>
        <w:tc>
          <w:tcPr>
            <w:tcW w:w="8709"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3CDACF8B" w14:textId="77777777" w:rsidR="004412F1" w:rsidRDefault="005A12A3">
            <w:pPr>
              <w:jc w:val="center"/>
              <w:rPr>
                <w:sz w:val="20"/>
                <w:lang w:val="es"/>
              </w:rPr>
            </w:pPr>
            <w:r>
              <w:rPr>
                <w:sz w:val="20"/>
                <w:lang w:val="es"/>
              </w:rPr>
              <w:t>Niveles de Servicio para:</w:t>
            </w:r>
          </w:p>
          <w:p w14:paraId="3158D51F" w14:textId="77777777" w:rsidR="004412F1" w:rsidRDefault="005A12A3">
            <w:pPr>
              <w:jc w:val="center"/>
              <w:rPr>
                <w:rFonts w:eastAsia="Times New Roman"/>
                <w:bCs/>
                <w:color w:val="000000" w:themeColor="text1"/>
                <w:sz w:val="20"/>
                <w:szCs w:val="18"/>
                <w:lang w:val="es" w:eastAsia="es-ES"/>
              </w:rPr>
            </w:pPr>
            <w:r>
              <w:rPr>
                <w:color w:val="000000" w:themeColor="text1"/>
                <w:sz w:val="20"/>
                <w:lang w:val="es"/>
              </w:rPr>
              <w:t>Superficie de rodadura</w:t>
            </w:r>
          </w:p>
        </w:tc>
      </w:tr>
      <w:tr w:rsidR="004412F1" w14:paraId="37771FDF" w14:textId="77777777">
        <w:trPr>
          <w:trHeight w:val="20"/>
        </w:trPr>
        <w:tc>
          <w:tcPr>
            <w:tcW w:w="3890"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4E8B38" w14:textId="77777777" w:rsidR="004412F1" w:rsidRDefault="005A12A3">
            <w:r>
              <w:rPr>
                <w:sz w:val="20"/>
                <w:lang w:val="es"/>
              </w:rPr>
              <w:t>Parámetro</w:t>
            </w:r>
          </w:p>
        </w:tc>
        <w:tc>
          <w:tcPr>
            <w:tcW w:w="2485"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53FC13A" w14:textId="77777777" w:rsidR="004412F1" w:rsidRDefault="005A12A3">
            <w:pPr>
              <w:rPr>
                <w:rFonts w:eastAsia="Times New Roman"/>
                <w:bCs/>
                <w:szCs w:val="18"/>
                <w:lang w:val="es-ES" w:eastAsia="es-ES"/>
              </w:rPr>
            </w:pPr>
            <w:r>
              <w:rPr>
                <w:sz w:val="20"/>
                <w:lang w:val="es"/>
              </w:rPr>
              <w:t>Medida</w:t>
            </w:r>
          </w:p>
        </w:tc>
        <w:tc>
          <w:tcPr>
            <w:tcW w:w="2334"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9E4BEC3" w14:textId="77777777" w:rsidR="004412F1" w:rsidRDefault="005A12A3">
            <w:pPr>
              <w:rPr>
                <w:rFonts w:eastAsia="Times New Roman"/>
                <w:bCs/>
                <w:szCs w:val="18"/>
                <w:lang w:val="es-ES" w:eastAsia="es-ES"/>
              </w:rPr>
            </w:pPr>
            <w:r>
              <w:rPr>
                <w:sz w:val="20"/>
                <w:lang w:val="es"/>
              </w:rPr>
              <w:t>Nivel de Servicio</w:t>
            </w:r>
          </w:p>
        </w:tc>
      </w:tr>
      <w:tr w:rsidR="004412F1" w14:paraId="0C911A20" w14:textId="77777777">
        <w:trPr>
          <w:trHeight w:val="20"/>
        </w:trPr>
        <w:tc>
          <w:tcPr>
            <w:tcW w:w="3890"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00E9077" w14:textId="77777777" w:rsidR="004412F1" w:rsidRDefault="005A12A3">
            <w:r>
              <w:rPr>
                <w:sz w:val="20"/>
                <w:lang w:val="es"/>
              </w:rPr>
              <w:t xml:space="preserve">Fricción superficial </w:t>
            </w:r>
          </w:p>
        </w:tc>
        <w:tc>
          <w:tcPr>
            <w:tcW w:w="2485"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79C918FE" w14:textId="77777777" w:rsidR="004412F1" w:rsidRDefault="005A12A3">
            <w:pPr>
              <w:rPr>
                <w:rFonts w:eastAsia="Times New Roman"/>
                <w:bCs/>
                <w:szCs w:val="18"/>
                <w:lang w:val="es-ES" w:eastAsia="es-ES"/>
              </w:rPr>
            </w:pPr>
            <w:r>
              <w:rPr>
                <w:sz w:val="20"/>
                <w:lang w:val="es"/>
              </w:rPr>
              <w:t xml:space="preserve">Coeficiente de fricción </w:t>
            </w:r>
          </w:p>
        </w:tc>
        <w:tc>
          <w:tcPr>
            <w:tcW w:w="2334"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32D0BA8A" w14:textId="77777777" w:rsidR="004412F1" w:rsidRDefault="005A12A3">
            <w:pPr>
              <w:rPr>
                <w:rFonts w:eastAsia="Times New Roman"/>
                <w:bCs/>
                <w:szCs w:val="18"/>
                <w:lang w:val="es-ES" w:eastAsia="es-ES"/>
              </w:rPr>
            </w:pPr>
            <w:r>
              <w:rPr>
                <w:sz w:val="20"/>
                <w:lang w:val="es"/>
              </w:rPr>
              <w:t>No menor de 0.40</w:t>
            </w:r>
          </w:p>
        </w:tc>
      </w:tr>
    </w:tbl>
    <w:p w14:paraId="35A3F6DF" w14:textId="77777777" w:rsidR="004412F1" w:rsidRDefault="004412F1">
      <w:pPr>
        <w:ind w:hanging="964"/>
        <w:jc w:val="center"/>
        <w:rPr>
          <w:b/>
          <w:color w:val="000000"/>
          <w:sz w:val="30"/>
        </w:rPr>
      </w:pPr>
    </w:p>
    <w:tbl>
      <w:tblPr>
        <w:tblW w:w="0" w:type="auto"/>
        <w:tblInd w:w="735" w:type="dxa"/>
        <w:tblLayout w:type="fixed"/>
        <w:tblLook w:val="04A0" w:firstRow="1" w:lastRow="0" w:firstColumn="1" w:lastColumn="0" w:noHBand="0" w:noVBand="1"/>
      </w:tblPr>
      <w:tblGrid>
        <w:gridCol w:w="5309"/>
        <w:gridCol w:w="3433"/>
      </w:tblGrid>
      <w:tr w:rsidR="004412F1" w14:paraId="651F60DE" w14:textId="77777777">
        <w:trPr>
          <w:trHeight w:val="6"/>
        </w:trPr>
        <w:tc>
          <w:tcPr>
            <w:tcW w:w="8742"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top w:w="28" w:type="dxa"/>
              <w:left w:w="28" w:type="dxa"/>
              <w:bottom w:w="28" w:type="dxa"/>
              <w:right w:w="28" w:type="dxa"/>
            </w:tcMar>
            <w:vAlign w:val="center"/>
          </w:tcPr>
          <w:p w14:paraId="6E429A28" w14:textId="77777777" w:rsidR="004412F1" w:rsidRDefault="005A12A3">
            <w:pPr>
              <w:jc w:val="center"/>
              <w:rPr>
                <w:b/>
                <w:color w:val="000000" w:themeColor="text1"/>
                <w:sz w:val="20"/>
                <w:lang w:val="es"/>
              </w:rPr>
            </w:pPr>
            <w:r>
              <w:rPr>
                <w:sz w:val="20"/>
                <w:lang w:val="es"/>
              </w:rPr>
              <w:t>Plazos de Respuesta a Incumplimientos en</w:t>
            </w:r>
            <w:r>
              <w:rPr>
                <w:b/>
                <w:color w:val="000000" w:themeColor="text1"/>
                <w:sz w:val="20"/>
                <w:lang w:val="es"/>
              </w:rPr>
              <w:t>:</w:t>
            </w:r>
          </w:p>
          <w:p w14:paraId="0C20E5DF" w14:textId="77777777" w:rsidR="004412F1" w:rsidRDefault="005A12A3">
            <w:pPr>
              <w:jc w:val="center"/>
              <w:rPr>
                <w:rFonts w:eastAsia="Times New Roman"/>
                <w:bCs/>
                <w:color w:val="000000" w:themeColor="text1"/>
                <w:sz w:val="20"/>
                <w:szCs w:val="18"/>
                <w:lang w:val="es" w:eastAsia="es-ES"/>
              </w:rPr>
            </w:pPr>
            <w:r>
              <w:rPr>
                <w:color w:val="000000" w:themeColor="text1"/>
                <w:sz w:val="20"/>
                <w:lang w:val="es"/>
              </w:rPr>
              <w:t>Superficie de rodadura</w:t>
            </w:r>
          </w:p>
        </w:tc>
      </w:tr>
      <w:tr w:rsidR="004412F1" w14:paraId="23132029" w14:textId="77777777">
        <w:trPr>
          <w:trHeight w:val="6"/>
        </w:trPr>
        <w:tc>
          <w:tcPr>
            <w:tcW w:w="530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FD42213" w14:textId="77777777" w:rsidR="004412F1" w:rsidRDefault="005A12A3">
            <w:r>
              <w:rPr>
                <w:sz w:val="20"/>
                <w:lang w:val="es"/>
              </w:rPr>
              <w:t>Parámetro</w:t>
            </w:r>
          </w:p>
        </w:tc>
        <w:tc>
          <w:tcPr>
            <w:tcW w:w="3432" w:type="dxa"/>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82C35A8" w14:textId="77777777" w:rsidR="004412F1" w:rsidRDefault="005A12A3">
            <w:pPr>
              <w:rPr>
                <w:rFonts w:eastAsia="Times New Roman"/>
                <w:bCs/>
                <w:szCs w:val="18"/>
                <w:lang w:val="es-ES" w:eastAsia="es-ES"/>
              </w:rPr>
            </w:pPr>
            <w:r>
              <w:rPr>
                <w:sz w:val="20"/>
                <w:lang w:val="es"/>
              </w:rPr>
              <w:t>Plazo máximo de corrección (días)</w:t>
            </w:r>
          </w:p>
        </w:tc>
      </w:tr>
      <w:tr w:rsidR="004412F1" w14:paraId="7282CF7D" w14:textId="77777777">
        <w:trPr>
          <w:trHeight w:val="6"/>
        </w:trPr>
        <w:tc>
          <w:tcPr>
            <w:tcW w:w="5309"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2FC58C3A" w14:textId="77777777" w:rsidR="004412F1" w:rsidRDefault="005A12A3">
            <w:r>
              <w:rPr>
                <w:sz w:val="20"/>
                <w:lang w:val="es"/>
              </w:rPr>
              <w:t>Fricción Superficial</w:t>
            </w:r>
          </w:p>
        </w:tc>
        <w:tc>
          <w:tcPr>
            <w:tcW w:w="3432" w:type="dxa"/>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tcPr>
          <w:p w14:paraId="48A163E9" w14:textId="77777777" w:rsidR="004412F1" w:rsidRDefault="005A12A3">
            <w:pPr>
              <w:jc w:val="center"/>
              <w:rPr>
                <w:rFonts w:eastAsia="Times New Roman"/>
                <w:bCs/>
                <w:sz w:val="20"/>
                <w:szCs w:val="18"/>
                <w:lang w:val="es" w:eastAsia="es-ES"/>
              </w:rPr>
            </w:pPr>
            <w:r>
              <w:rPr>
                <w:sz w:val="20"/>
                <w:lang w:val="es"/>
              </w:rPr>
              <w:t>30</w:t>
            </w:r>
          </w:p>
        </w:tc>
      </w:tr>
    </w:tbl>
    <w:p w14:paraId="1F5ED331" w14:textId="77777777" w:rsidR="004412F1" w:rsidRDefault="004412F1">
      <w:pPr>
        <w:ind w:hanging="964"/>
        <w:jc w:val="center"/>
        <w:rPr>
          <w:b/>
          <w:color w:val="000000"/>
          <w:sz w:val="30"/>
        </w:rPr>
      </w:pPr>
    </w:p>
    <w:p w14:paraId="13D8BE1E" w14:textId="77777777" w:rsidR="004412F1" w:rsidRDefault="004412F1">
      <w:pPr>
        <w:jc w:val="center"/>
        <w:rPr>
          <w:b/>
        </w:rPr>
      </w:pPr>
    </w:p>
    <w:p w14:paraId="7D024B07" w14:textId="77777777" w:rsidR="004412F1" w:rsidRDefault="005A12A3">
      <w:pPr>
        <w:spacing w:line="259" w:lineRule="auto"/>
        <w:jc w:val="center"/>
        <w:rPr>
          <w:b/>
        </w:rPr>
      </w:pPr>
      <w:r>
        <w:br w:type="page"/>
      </w:r>
      <w:r>
        <w:rPr>
          <w:b/>
        </w:rPr>
        <w:t>Niveles de Servicio para</w:t>
      </w:r>
      <w:r>
        <w:rPr>
          <w:b/>
          <w:bCs/>
        </w:rPr>
        <w:t>Túneles</w:t>
      </w:r>
    </w:p>
    <w:tbl>
      <w:tblPr>
        <w:tblW w:w="0" w:type="auto"/>
        <w:tblInd w:w="75" w:type="dxa"/>
        <w:tblLayout w:type="fixed"/>
        <w:tblLook w:val="04A0" w:firstRow="1" w:lastRow="0" w:firstColumn="1" w:lastColumn="0" w:noHBand="0" w:noVBand="1"/>
      </w:tblPr>
      <w:tblGrid>
        <w:gridCol w:w="4095"/>
        <w:gridCol w:w="3585"/>
        <w:gridCol w:w="1095"/>
      </w:tblGrid>
      <w:tr w:rsidR="004412F1" w14:paraId="2FA037D6" w14:textId="77777777">
        <w:trPr>
          <w:trHeight w:val="435"/>
        </w:trPr>
        <w:tc>
          <w:tcPr>
            <w:tcW w:w="8775"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tcMar>
              <w:left w:w="70" w:type="dxa"/>
              <w:right w:w="70" w:type="dxa"/>
            </w:tcMar>
            <w:vAlign w:val="center"/>
          </w:tcPr>
          <w:p w14:paraId="5C054C58" w14:textId="77777777" w:rsidR="004412F1" w:rsidRDefault="005A12A3">
            <w:pPr>
              <w:ind w:left="6" w:hanging="6"/>
              <w:jc w:val="center"/>
              <w:rPr>
                <w:rFonts w:ascii="Calibri" w:hAnsi="Calibri"/>
                <w:b/>
                <w:sz w:val="20"/>
                <w:lang w:val="es"/>
              </w:rPr>
            </w:pPr>
            <w:r>
              <w:rPr>
                <w:rFonts w:ascii="Calibri" w:hAnsi="Calibri"/>
                <w:b/>
                <w:sz w:val="20"/>
                <w:lang w:val="es"/>
              </w:rPr>
              <w:t>Niveles de Servicio para</w:t>
            </w:r>
          </w:p>
          <w:p w14:paraId="524EAF19" w14:textId="77777777" w:rsidR="004412F1" w:rsidRDefault="005A12A3">
            <w:pPr>
              <w:jc w:val="center"/>
              <w:rPr>
                <w:rFonts w:ascii="Calibri" w:eastAsia="Calibri" w:hAnsi="Calibri"/>
                <w:b/>
                <w:bCs/>
                <w:color w:val="000000" w:themeColor="text1"/>
                <w:sz w:val="20"/>
                <w:szCs w:val="18"/>
                <w:lang w:val="es" w:eastAsia="es-ES"/>
              </w:rPr>
            </w:pPr>
            <w:r>
              <w:rPr>
                <w:rFonts w:ascii="Calibri" w:hAnsi="Calibri"/>
                <w:b/>
                <w:color w:val="000000" w:themeColor="text1"/>
                <w:sz w:val="20"/>
                <w:lang w:val="es"/>
              </w:rPr>
              <w:t>Túneles</w:t>
            </w:r>
          </w:p>
        </w:tc>
      </w:tr>
      <w:tr w:rsidR="004412F1" w14:paraId="2529E20B" w14:textId="77777777">
        <w:trPr>
          <w:trHeight w:val="495"/>
        </w:trPr>
        <w:tc>
          <w:tcPr>
            <w:tcW w:w="4095" w:type="dxa"/>
            <w:tcBorders>
              <w:top w:val="single" w:sz="8" w:space="0" w:color="auto"/>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308AD9D8" w14:textId="77777777" w:rsidR="004412F1" w:rsidRDefault="005A12A3">
            <w:r>
              <w:rPr>
                <w:rFonts w:ascii="Calibri" w:hAnsi="Calibri"/>
                <w:b/>
                <w:color w:val="000000" w:themeColor="text1"/>
                <w:sz w:val="20"/>
                <w:lang w:val="es"/>
              </w:rPr>
              <w:t>Parámetro</w:t>
            </w:r>
          </w:p>
        </w:tc>
        <w:tc>
          <w:tcPr>
            <w:tcW w:w="3585" w:type="dxa"/>
            <w:tcBorders>
              <w:top w:val="nil"/>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59D409C9" w14:textId="77777777" w:rsidR="004412F1" w:rsidRDefault="005A12A3">
            <w:pPr>
              <w:rPr>
                <w:rFonts w:eastAsia="Times New Roman"/>
                <w:bCs/>
                <w:szCs w:val="18"/>
                <w:lang w:val="es-ES" w:eastAsia="es-ES"/>
              </w:rPr>
            </w:pPr>
            <w:r>
              <w:rPr>
                <w:rFonts w:ascii="Calibri" w:hAnsi="Calibri"/>
                <w:b/>
                <w:color w:val="000000" w:themeColor="text1"/>
                <w:sz w:val="20"/>
                <w:lang w:val="es"/>
              </w:rPr>
              <w:t>Medida</w:t>
            </w:r>
          </w:p>
        </w:tc>
        <w:tc>
          <w:tcPr>
            <w:tcW w:w="1095" w:type="dxa"/>
            <w:tcBorders>
              <w:top w:val="nil"/>
              <w:left w:val="single" w:sz="8" w:space="0" w:color="auto"/>
              <w:bottom w:val="single" w:sz="8" w:space="0" w:color="auto"/>
              <w:right w:val="single" w:sz="8" w:space="0" w:color="auto"/>
            </w:tcBorders>
            <w:shd w:val="clear" w:color="auto" w:fill="C2D69B" w:themeFill="accent3" w:themeFillTint="99"/>
            <w:tcMar>
              <w:left w:w="70" w:type="dxa"/>
              <w:right w:w="70" w:type="dxa"/>
            </w:tcMar>
            <w:vAlign w:val="center"/>
          </w:tcPr>
          <w:p w14:paraId="36884773" w14:textId="77777777" w:rsidR="004412F1" w:rsidRDefault="005A12A3">
            <w:pPr>
              <w:rPr>
                <w:rFonts w:eastAsia="Times New Roman"/>
                <w:bCs/>
                <w:szCs w:val="18"/>
                <w:lang w:val="es-ES" w:eastAsia="es-ES"/>
              </w:rPr>
            </w:pPr>
            <w:r>
              <w:rPr>
                <w:rFonts w:ascii="Calibri" w:hAnsi="Calibri"/>
                <w:b/>
                <w:color w:val="000000" w:themeColor="text1"/>
                <w:sz w:val="20"/>
                <w:lang w:val="es"/>
              </w:rPr>
              <w:t>Nivel de Servicio</w:t>
            </w:r>
          </w:p>
        </w:tc>
      </w:tr>
      <w:tr w:rsidR="004412F1" w14:paraId="49A66ADA" w14:textId="77777777">
        <w:trPr>
          <w:trHeight w:val="270"/>
        </w:trPr>
        <w:tc>
          <w:tcPr>
            <w:tcW w:w="8775" w:type="dxa"/>
            <w:gridSpan w:val="3"/>
            <w:tcBorders>
              <w:top w:val="single" w:sz="8" w:space="0" w:color="auto"/>
              <w:left w:val="single" w:sz="8" w:space="0" w:color="auto"/>
              <w:bottom w:val="single" w:sz="8" w:space="0" w:color="auto"/>
              <w:right w:val="single" w:sz="8" w:space="0" w:color="auto"/>
            </w:tcBorders>
            <w:shd w:val="clear" w:color="auto" w:fill="FFFF99"/>
            <w:tcMar>
              <w:left w:w="70" w:type="dxa"/>
              <w:right w:w="70" w:type="dxa"/>
            </w:tcMar>
            <w:vAlign w:val="center"/>
          </w:tcPr>
          <w:p w14:paraId="52D17C9D" w14:textId="77777777" w:rsidR="004412F1" w:rsidRDefault="005A12A3">
            <w:pPr>
              <w:rPr>
                <w:lang w:val="es-PE"/>
              </w:rPr>
            </w:pPr>
            <w:r>
              <w:rPr>
                <w:rFonts w:ascii="Calibri" w:hAnsi="Calibri"/>
                <w:b/>
                <w:color w:val="000000" w:themeColor="text1"/>
                <w:sz w:val="20"/>
                <w:lang w:val="es"/>
              </w:rPr>
              <w:t>NIVELES DE SERVICIO PARA CALZADA Y BERMAS EN TUNELES</w:t>
            </w:r>
          </w:p>
        </w:tc>
      </w:tr>
      <w:tr w:rsidR="004412F1" w14:paraId="100A9A9D" w14:textId="77777777">
        <w:trPr>
          <w:trHeight w:val="525"/>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5E028B" w14:textId="77777777" w:rsidR="004412F1" w:rsidRDefault="005A12A3">
            <w:pPr>
              <w:rPr>
                <w:lang w:val="es-PE"/>
              </w:rPr>
            </w:pPr>
            <w:r>
              <w:rPr>
                <w:rFonts w:ascii="Calibri" w:hAnsi="Calibri"/>
                <w:sz w:val="20"/>
                <w:lang w:val="es"/>
              </w:rPr>
              <w:t>Reducción del ancho de la superficie de rodadura</w:t>
            </w:r>
          </w:p>
        </w:tc>
        <w:tc>
          <w:tcPr>
            <w:tcW w:w="3585" w:type="dxa"/>
            <w:tcBorders>
              <w:top w:val="nil"/>
              <w:left w:val="single" w:sz="8" w:space="0" w:color="auto"/>
              <w:bottom w:val="single" w:sz="8" w:space="0" w:color="auto"/>
              <w:right w:val="single" w:sz="8" w:space="0" w:color="auto"/>
            </w:tcBorders>
            <w:tcMar>
              <w:left w:w="70" w:type="dxa"/>
              <w:right w:w="70" w:type="dxa"/>
            </w:tcMar>
            <w:vAlign w:val="center"/>
          </w:tcPr>
          <w:p w14:paraId="01943DB4" w14:textId="77777777" w:rsidR="004412F1" w:rsidRDefault="005A12A3">
            <w:pPr>
              <w:rPr>
                <w:rFonts w:eastAsia="Times New Roman"/>
                <w:bCs/>
                <w:szCs w:val="18"/>
                <w:lang w:val="es-ES" w:eastAsia="es-ES"/>
              </w:rPr>
            </w:pPr>
            <w:r>
              <w:rPr>
                <w:rFonts w:ascii="Calibri" w:hAnsi="Calibri"/>
                <w:sz w:val="20"/>
                <w:lang w:val="es"/>
              </w:rPr>
              <w:t>Porcentaje máximo de reducción del ancho</w:t>
            </w:r>
          </w:p>
        </w:tc>
        <w:tc>
          <w:tcPr>
            <w:tcW w:w="1095" w:type="dxa"/>
            <w:tcBorders>
              <w:top w:val="nil"/>
              <w:left w:val="single" w:sz="8" w:space="0" w:color="auto"/>
              <w:bottom w:val="single" w:sz="8" w:space="0" w:color="auto"/>
              <w:right w:val="single" w:sz="8" w:space="0" w:color="auto"/>
            </w:tcBorders>
            <w:tcMar>
              <w:left w:w="70" w:type="dxa"/>
              <w:right w:w="70" w:type="dxa"/>
            </w:tcMar>
            <w:vAlign w:val="center"/>
          </w:tcPr>
          <w:p w14:paraId="2F0FE680" w14:textId="77777777" w:rsidR="004412F1" w:rsidRDefault="005A12A3">
            <w:pPr>
              <w:rPr>
                <w:rFonts w:eastAsia="Times New Roman"/>
                <w:bCs/>
                <w:szCs w:val="18"/>
                <w:lang w:val="es-ES" w:eastAsia="es-ES"/>
              </w:rPr>
            </w:pPr>
            <w:r>
              <w:rPr>
                <w:rFonts w:ascii="Calibri" w:hAnsi="Calibri"/>
                <w:sz w:val="20"/>
                <w:lang w:val="es"/>
              </w:rPr>
              <w:t>0.00%</w:t>
            </w:r>
          </w:p>
        </w:tc>
      </w:tr>
      <w:tr w:rsidR="004412F1" w14:paraId="4DE82EE3" w14:textId="77777777">
        <w:trPr>
          <w:trHeight w:val="78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DA3D69" w14:textId="77777777" w:rsidR="004412F1" w:rsidRDefault="005A12A3">
            <w:pPr>
              <w:rPr>
                <w:lang w:val="es-PE"/>
              </w:rPr>
            </w:pPr>
            <w:r>
              <w:rPr>
                <w:rFonts w:ascii="Calibri" w:hAnsi="Calibri"/>
                <w:sz w:val="20"/>
                <w:lang w:val="es"/>
              </w:rPr>
              <w:t>Reducción del paquete estructural existente a la toma de posesión del contrato</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72A21A" w14:textId="77777777" w:rsidR="004412F1" w:rsidRDefault="005A12A3">
            <w:pPr>
              <w:rPr>
                <w:rFonts w:eastAsia="Times New Roman"/>
                <w:bCs/>
                <w:szCs w:val="18"/>
                <w:lang w:val="es-ES" w:eastAsia="es-ES"/>
              </w:rPr>
            </w:pPr>
            <w:r>
              <w:rPr>
                <w:rFonts w:ascii="Calibri" w:hAnsi="Calibri"/>
                <w:sz w:val="20"/>
                <w:lang w:val="es"/>
              </w:rPr>
              <w:t>Porcentaje máximo de reducción del espesor de cada capa</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C17D14"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3E981B2" w14:textId="77777777">
        <w:trPr>
          <w:trHeight w:val="27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5B88B0" w14:textId="77777777" w:rsidR="004412F1" w:rsidRDefault="005A12A3">
            <w:r>
              <w:rPr>
                <w:rFonts w:ascii="Calibri" w:hAnsi="Calibri"/>
                <w:sz w:val="20"/>
                <w:lang w:val="es"/>
              </w:rPr>
              <w:t>Huecos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97BA0D" w14:textId="77777777" w:rsidR="004412F1" w:rsidRDefault="005A12A3">
            <w:pPr>
              <w:rPr>
                <w:rFonts w:eastAsia="Times New Roman"/>
                <w:bCs/>
                <w:szCs w:val="18"/>
                <w:lang w:val="es-ES" w:eastAsia="es-ES"/>
              </w:rPr>
            </w:pPr>
            <w:r>
              <w:rPr>
                <w:rFonts w:ascii="Calibri" w:hAnsi="Calibri"/>
                <w:sz w:val="20"/>
                <w:lang w:val="es"/>
              </w:rPr>
              <w:t>Porcentaje máximo de área con huecos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C97710"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1B9B6BA" w14:textId="77777777">
        <w:trPr>
          <w:trHeight w:val="525"/>
        </w:trPr>
        <w:tc>
          <w:tcPr>
            <w:tcW w:w="409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215E2F" w14:textId="77777777" w:rsidR="004412F1" w:rsidRDefault="005A12A3">
            <w:r>
              <w:rPr>
                <w:rFonts w:ascii="Calibri" w:hAnsi="Calibri"/>
                <w:sz w:val="20"/>
                <w:lang w:val="es"/>
              </w:rPr>
              <w:t>Fisuras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2706B8" w14:textId="77777777" w:rsidR="004412F1" w:rsidRDefault="005A12A3">
            <w:pPr>
              <w:rPr>
                <w:rFonts w:eastAsia="Times New Roman"/>
                <w:bCs/>
                <w:szCs w:val="18"/>
                <w:lang w:val="es-ES" w:eastAsia="es-ES"/>
              </w:rPr>
            </w:pPr>
            <w:r>
              <w:rPr>
                <w:rFonts w:ascii="Calibri" w:hAnsi="Calibri"/>
                <w:sz w:val="20"/>
                <w:lang w:val="es"/>
              </w:rPr>
              <w:t>Porcentaje máximo de área con fisuras con nivel de severidad alto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398BED"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28C1051" w14:textId="77777777">
        <w:trPr>
          <w:trHeight w:val="525"/>
        </w:trPr>
        <w:tc>
          <w:tcPr>
            <w:tcW w:w="4095" w:type="dxa"/>
            <w:vMerge/>
            <w:tcBorders>
              <w:left w:val="single" w:sz="0" w:space="0" w:color="auto"/>
              <w:bottom w:val="single" w:sz="0" w:space="0" w:color="auto"/>
              <w:right w:val="single" w:sz="0" w:space="0" w:color="auto"/>
            </w:tcBorders>
            <w:vAlign w:val="center"/>
          </w:tcPr>
          <w:p w14:paraId="6CA3B6D0"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5FA94112" w14:textId="77777777" w:rsidR="004412F1" w:rsidRDefault="005A12A3">
            <w:pPr>
              <w:rPr>
                <w:rFonts w:eastAsia="Times New Roman"/>
                <w:bCs/>
                <w:szCs w:val="18"/>
                <w:lang w:val="es-ES" w:eastAsia="es-ES"/>
              </w:rPr>
            </w:pPr>
            <w:r>
              <w:rPr>
                <w:rFonts w:ascii="Calibri" w:hAnsi="Calibri"/>
                <w:sz w:val="20"/>
                <w:lang w:val="es"/>
              </w:rPr>
              <w:t>Porcentaje máximo de área con fisuras con nivel de severidad medio sin sellar</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3244F3" w14:textId="77777777" w:rsidR="004412F1" w:rsidRDefault="005A12A3">
            <w:pPr>
              <w:rPr>
                <w:rFonts w:eastAsia="Times New Roman"/>
                <w:bCs/>
                <w:szCs w:val="18"/>
                <w:lang w:val="es-ES" w:eastAsia="es-ES"/>
              </w:rPr>
            </w:pPr>
            <w:r>
              <w:rPr>
                <w:rFonts w:ascii="Calibri" w:hAnsi="Calibri"/>
                <w:sz w:val="20"/>
                <w:lang w:val="es"/>
              </w:rPr>
              <w:t>1.00%</w:t>
            </w:r>
          </w:p>
        </w:tc>
      </w:tr>
      <w:tr w:rsidR="004412F1" w14:paraId="1BB64DC9" w14:textId="77777777">
        <w:trPr>
          <w:trHeight w:val="780"/>
        </w:trPr>
        <w:tc>
          <w:tcPr>
            <w:tcW w:w="4095" w:type="dxa"/>
            <w:tcBorders>
              <w:top w:val="nil"/>
              <w:left w:val="single" w:sz="8" w:space="0" w:color="auto"/>
              <w:bottom w:val="single" w:sz="8" w:space="0" w:color="auto"/>
              <w:right w:val="single" w:sz="8" w:space="0" w:color="auto"/>
            </w:tcBorders>
            <w:tcMar>
              <w:left w:w="70" w:type="dxa"/>
              <w:right w:w="70" w:type="dxa"/>
            </w:tcMar>
            <w:vAlign w:val="center"/>
          </w:tcPr>
          <w:p w14:paraId="625ADEF2" w14:textId="77777777" w:rsidR="004412F1" w:rsidRDefault="005A12A3">
            <w:r>
              <w:rPr>
                <w:rFonts w:ascii="Calibri" w:hAnsi="Calibri"/>
                <w:sz w:val="20"/>
                <w:lang w:val="es"/>
              </w:rPr>
              <w:t>Parches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27DCDA" w14:textId="77777777" w:rsidR="004412F1" w:rsidRDefault="005A12A3">
            <w:pPr>
              <w:rPr>
                <w:rFonts w:eastAsia="Times New Roman"/>
                <w:bCs/>
                <w:szCs w:val="18"/>
                <w:lang w:val="es-ES" w:eastAsia="es-ES"/>
              </w:rPr>
            </w:pPr>
            <w:r>
              <w:rPr>
                <w:rFonts w:ascii="Calibri" w:hAnsi="Calibri"/>
                <w:sz w:val="20"/>
                <w:lang w:val="es"/>
              </w:rPr>
              <w:t xml:space="preserve">Porcentaje máximo de parches en mal estado </w:t>
            </w:r>
            <w:proofErr w:type="gramStart"/>
            <w:r>
              <w:rPr>
                <w:rFonts w:ascii="Calibri" w:hAnsi="Calibri"/>
                <w:sz w:val="20"/>
                <w:lang w:val="es"/>
              </w:rPr>
              <w:t>( niveles</w:t>
            </w:r>
            <w:proofErr w:type="gramEnd"/>
            <w:r>
              <w:rPr>
                <w:rFonts w:ascii="Calibri" w:hAnsi="Calibri"/>
                <w:sz w:val="20"/>
                <w:lang w:val="es"/>
              </w:rPr>
              <w:t xml:space="preserve"> de severidad medio o alto )</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508976"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92E69D7" w14:textId="77777777">
        <w:trPr>
          <w:trHeight w:val="525"/>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D2CA4C" w14:textId="77777777" w:rsidR="004412F1" w:rsidRDefault="005A12A3">
            <w:r>
              <w:rPr>
                <w:rFonts w:ascii="Calibri" w:hAnsi="Calibri"/>
                <w:sz w:val="20"/>
                <w:lang w:val="es"/>
              </w:rPr>
              <w:t>Ahuellamiento</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A79AE1" w14:textId="77777777" w:rsidR="004412F1" w:rsidRDefault="005A12A3">
            <w:pPr>
              <w:rPr>
                <w:rFonts w:eastAsia="Times New Roman"/>
                <w:bCs/>
                <w:szCs w:val="18"/>
                <w:lang w:val="es-ES" w:eastAsia="es-ES"/>
              </w:rPr>
            </w:pPr>
            <w:r>
              <w:rPr>
                <w:rFonts w:ascii="Calibri" w:hAnsi="Calibri"/>
                <w:sz w:val="20"/>
                <w:lang w:val="es"/>
              </w:rPr>
              <w:t>Porcentaje máximo de área con ahuellamiento mayor que 12 mm.</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ED7856"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49200CC" w14:textId="77777777">
        <w:trPr>
          <w:trHeight w:val="525"/>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9F1479" w14:textId="77777777" w:rsidR="004412F1" w:rsidRDefault="005A12A3">
            <w:r>
              <w:rPr>
                <w:rFonts w:ascii="Calibri" w:hAnsi="Calibri"/>
                <w:sz w:val="20"/>
                <w:lang w:val="es"/>
              </w:rPr>
              <w:t>Hundimiento</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E16F14" w14:textId="77777777" w:rsidR="004412F1" w:rsidRDefault="005A12A3">
            <w:pPr>
              <w:rPr>
                <w:rFonts w:eastAsia="Times New Roman"/>
                <w:bCs/>
                <w:szCs w:val="18"/>
                <w:lang w:val="es-ES" w:eastAsia="es-ES"/>
              </w:rPr>
            </w:pPr>
            <w:r>
              <w:rPr>
                <w:rFonts w:ascii="Calibri" w:hAnsi="Calibri"/>
                <w:sz w:val="20"/>
                <w:lang w:val="es"/>
              </w:rPr>
              <w:t>Porcentaje máximo de área con hundimiento mayor que 25 mm.</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F1555"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8962A84" w14:textId="77777777">
        <w:trPr>
          <w:trHeight w:val="420"/>
        </w:trPr>
        <w:tc>
          <w:tcPr>
            <w:tcW w:w="409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355E4F" w14:textId="77777777" w:rsidR="004412F1" w:rsidRDefault="005A12A3">
            <w:r>
              <w:rPr>
                <w:rFonts w:ascii="Calibri" w:hAnsi="Calibri"/>
                <w:sz w:val="20"/>
                <w:lang w:val="es"/>
              </w:rPr>
              <w:t>Exudación</w:t>
            </w:r>
          </w:p>
        </w:tc>
        <w:tc>
          <w:tcPr>
            <w:tcW w:w="358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6FF27C" w14:textId="77777777" w:rsidR="004412F1" w:rsidRDefault="005A12A3">
            <w:pPr>
              <w:rPr>
                <w:rFonts w:eastAsia="Times New Roman"/>
                <w:bCs/>
                <w:szCs w:val="18"/>
                <w:lang w:val="es-ES" w:eastAsia="es-ES"/>
              </w:rPr>
            </w:pPr>
            <w:r>
              <w:rPr>
                <w:rFonts w:ascii="Calibri" w:hAnsi="Calibri"/>
                <w:sz w:val="20"/>
                <w:lang w:val="es"/>
              </w:rPr>
              <w:t xml:space="preserve">Porcentaje máximo de área con exudación   </w:t>
            </w:r>
            <w:proofErr w:type="gramStart"/>
            <w:r>
              <w:rPr>
                <w:rFonts w:ascii="Calibri" w:hAnsi="Calibri"/>
                <w:sz w:val="20"/>
                <w:lang w:val="es"/>
              </w:rPr>
              <w:t xml:space="preserve">  </w:t>
            </w:r>
            <w:r>
              <w:rPr>
                <w:rFonts w:ascii="Calibri" w:eastAsia="Calibri" w:hAnsi="Calibri"/>
                <w:sz w:val="20"/>
                <w:lang w:val="es"/>
              </w:rPr>
              <w:t xml:space="preserve"> (</w:t>
            </w:r>
            <w:proofErr w:type="gramEnd"/>
            <w:r>
              <w:rPr>
                <w:rFonts w:ascii="Calibri" w:eastAsia="Calibri" w:hAnsi="Calibri"/>
                <w:sz w:val="20"/>
                <w:lang w:val="es"/>
              </w:rPr>
              <w:t>sumados ambos niveles de severidad medio y alto)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B66D91"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52AC07D" w14:textId="77777777">
        <w:trPr>
          <w:trHeight w:val="420"/>
        </w:trPr>
        <w:tc>
          <w:tcPr>
            <w:tcW w:w="4095" w:type="dxa"/>
            <w:vMerge/>
            <w:tcBorders>
              <w:left w:val="single" w:sz="0" w:space="0" w:color="auto"/>
              <w:bottom w:val="single" w:sz="0" w:space="0" w:color="auto"/>
              <w:right w:val="single" w:sz="0" w:space="0" w:color="auto"/>
            </w:tcBorders>
            <w:vAlign w:val="center"/>
          </w:tcPr>
          <w:p w14:paraId="33E9F7CD" w14:textId="77777777" w:rsidR="004412F1" w:rsidRDefault="004412F1"/>
        </w:tc>
        <w:tc>
          <w:tcPr>
            <w:tcW w:w="3585" w:type="dxa"/>
            <w:vMerge/>
            <w:tcBorders>
              <w:left w:val="single" w:sz="0" w:space="0" w:color="auto"/>
              <w:bottom w:val="single" w:sz="0" w:space="0" w:color="auto"/>
              <w:right w:val="single" w:sz="0" w:space="0" w:color="auto"/>
            </w:tcBorders>
            <w:vAlign w:val="center"/>
          </w:tcPr>
          <w:p w14:paraId="31D4320A" w14:textId="77777777" w:rsidR="004412F1" w:rsidRDefault="004412F1"/>
        </w:tc>
        <w:tc>
          <w:tcPr>
            <w:tcW w:w="1095" w:type="dxa"/>
            <w:tcBorders>
              <w:top w:val="single" w:sz="8" w:space="0" w:color="auto"/>
              <w:left w:val="nil"/>
              <w:bottom w:val="single" w:sz="8" w:space="0" w:color="auto"/>
              <w:right w:val="single" w:sz="8" w:space="0" w:color="auto"/>
            </w:tcBorders>
            <w:tcMar>
              <w:left w:w="70" w:type="dxa"/>
              <w:right w:w="70" w:type="dxa"/>
            </w:tcMar>
            <w:vAlign w:val="center"/>
          </w:tcPr>
          <w:p w14:paraId="349076CF"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1713CB4" w14:textId="77777777">
        <w:trPr>
          <w:trHeight w:val="525"/>
        </w:trPr>
        <w:tc>
          <w:tcPr>
            <w:tcW w:w="4095" w:type="dxa"/>
            <w:tcBorders>
              <w:top w:val="nil"/>
              <w:left w:val="single" w:sz="8" w:space="0" w:color="auto"/>
              <w:bottom w:val="single" w:sz="8" w:space="0" w:color="auto"/>
              <w:right w:val="single" w:sz="8" w:space="0" w:color="auto"/>
            </w:tcBorders>
            <w:tcMar>
              <w:left w:w="70" w:type="dxa"/>
              <w:right w:w="70" w:type="dxa"/>
            </w:tcMar>
            <w:vAlign w:val="center"/>
          </w:tcPr>
          <w:p w14:paraId="7427345A" w14:textId="77777777" w:rsidR="004412F1" w:rsidRDefault="005A12A3">
            <w:r>
              <w:rPr>
                <w:rFonts w:ascii="Calibri" w:hAnsi="Calibri"/>
                <w:sz w:val="20"/>
                <w:lang w:val="es"/>
              </w:rPr>
              <w:t>Existencia de material suelto</w:t>
            </w:r>
          </w:p>
        </w:tc>
        <w:tc>
          <w:tcPr>
            <w:tcW w:w="3585" w:type="dxa"/>
            <w:tcBorders>
              <w:top w:val="nil"/>
              <w:left w:val="single" w:sz="8" w:space="0" w:color="auto"/>
              <w:bottom w:val="single" w:sz="8" w:space="0" w:color="auto"/>
              <w:right w:val="single" w:sz="8" w:space="0" w:color="auto"/>
            </w:tcBorders>
            <w:tcMar>
              <w:left w:w="70" w:type="dxa"/>
              <w:right w:w="70" w:type="dxa"/>
            </w:tcMar>
            <w:vAlign w:val="center"/>
          </w:tcPr>
          <w:p w14:paraId="1F1062B3" w14:textId="77777777" w:rsidR="004412F1" w:rsidRDefault="005A12A3">
            <w:pPr>
              <w:rPr>
                <w:rFonts w:eastAsia="Times New Roman"/>
                <w:bCs/>
                <w:szCs w:val="18"/>
                <w:lang w:val="es-ES" w:eastAsia="es-ES"/>
              </w:rPr>
            </w:pPr>
            <w:r>
              <w:rPr>
                <w:rFonts w:ascii="Calibri" w:hAnsi="Calibri"/>
                <w:sz w:val="20"/>
                <w:lang w:val="es"/>
              </w:rPr>
              <w:t>Porcentaje máximo de área con material suelto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A72632"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3440F35" w14:textId="77777777">
        <w:trPr>
          <w:trHeight w:val="27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32BEDA" w14:textId="77777777" w:rsidR="004412F1" w:rsidRDefault="005A12A3">
            <w:r>
              <w:rPr>
                <w:rFonts w:ascii="Calibri" w:hAnsi="Calibri"/>
                <w:sz w:val="20"/>
                <w:lang w:val="es"/>
              </w:rPr>
              <w:t>Existencia de obstáculos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D0759B" w14:textId="77777777" w:rsidR="004412F1" w:rsidRDefault="005A12A3">
            <w:pPr>
              <w:rPr>
                <w:rFonts w:eastAsia="Times New Roman"/>
                <w:bCs/>
                <w:szCs w:val="18"/>
                <w:lang w:val="es-ES" w:eastAsia="es-ES"/>
              </w:rPr>
            </w:pPr>
            <w:r>
              <w:rPr>
                <w:rFonts w:ascii="Calibri" w:hAnsi="Calibri"/>
                <w:sz w:val="20"/>
                <w:lang w:val="es"/>
              </w:rPr>
              <w:t>Cantidad máxima de obstáculos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3C8EEE"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4A63FF3" w14:textId="77777777">
        <w:trPr>
          <w:trHeight w:val="45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0860C9" w14:textId="77777777" w:rsidR="004412F1" w:rsidRDefault="005A12A3">
            <w:pPr>
              <w:rPr>
                <w:lang w:val="es-PE"/>
              </w:rPr>
            </w:pPr>
            <w:r>
              <w:rPr>
                <w:rFonts w:ascii="Calibri" w:hAnsi="Calibri"/>
                <w:sz w:val="20"/>
                <w:lang w:val="es"/>
              </w:rPr>
              <w:t xml:space="preserve">Rugosidad para recepción de las Obras </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75D483" w14:textId="77777777" w:rsidR="004412F1" w:rsidRDefault="005A12A3">
            <w:pPr>
              <w:rPr>
                <w:rFonts w:eastAsia="Times New Roman"/>
                <w:bCs/>
                <w:szCs w:val="18"/>
                <w:lang w:val="es-ES" w:eastAsia="es-ES"/>
              </w:rPr>
            </w:pPr>
            <w:r>
              <w:rPr>
                <w:rFonts w:ascii="Calibri" w:hAnsi="Calibri"/>
                <w:sz w:val="20"/>
                <w:lang w:val="es"/>
              </w:rPr>
              <w:t>Rugosidad media deslizante máxima con un intervalo de 1 km (concreto asfaltico)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668918" w14:textId="77777777" w:rsidR="004412F1" w:rsidRDefault="005A12A3">
            <w:pPr>
              <w:rPr>
                <w:rFonts w:eastAsia="Times New Roman"/>
                <w:bCs/>
                <w:szCs w:val="18"/>
                <w:lang w:val="es-ES" w:eastAsia="es-ES"/>
              </w:rPr>
            </w:pPr>
            <w:r>
              <w:rPr>
                <w:rFonts w:ascii="Calibri" w:hAnsi="Calibri"/>
                <w:sz w:val="20"/>
                <w:lang w:val="es"/>
              </w:rPr>
              <w:t>2.0 IRI</w:t>
            </w:r>
          </w:p>
        </w:tc>
      </w:tr>
      <w:tr w:rsidR="004412F1" w14:paraId="34206CC6" w14:textId="77777777">
        <w:trPr>
          <w:trHeight w:val="78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F02C23" w14:textId="77777777" w:rsidR="004412F1" w:rsidRDefault="005A12A3">
            <w:pPr>
              <w:rPr>
                <w:lang w:val="es-PE"/>
              </w:rPr>
            </w:pPr>
            <w:r>
              <w:rPr>
                <w:rFonts w:ascii="Calibri" w:hAnsi="Calibri"/>
                <w:sz w:val="20"/>
                <w:lang w:val="es"/>
              </w:rPr>
              <w:t>Rugosidad durante el periodo de conservación</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DA12E9" w14:textId="77777777" w:rsidR="004412F1" w:rsidRDefault="005A12A3">
            <w:pPr>
              <w:rPr>
                <w:rFonts w:eastAsia="Times New Roman"/>
                <w:bCs/>
                <w:szCs w:val="18"/>
                <w:lang w:val="es-ES" w:eastAsia="es-ES"/>
              </w:rPr>
            </w:pPr>
            <w:r>
              <w:rPr>
                <w:rFonts w:ascii="Calibri" w:hAnsi="Calibri"/>
                <w:sz w:val="20"/>
                <w:lang w:val="es"/>
              </w:rPr>
              <w:t>Rugosidad media deslizante máxima con un intervalo de 1 km (concreto asfáltico)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14201B" w14:textId="77777777" w:rsidR="004412F1" w:rsidRDefault="005A12A3">
            <w:pPr>
              <w:rPr>
                <w:rFonts w:eastAsia="Times New Roman"/>
                <w:bCs/>
                <w:szCs w:val="18"/>
                <w:lang w:val="es-ES" w:eastAsia="es-ES"/>
              </w:rPr>
            </w:pPr>
            <w:r>
              <w:rPr>
                <w:rFonts w:ascii="Calibri" w:hAnsi="Calibri"/>
                <w:sz w:val="20"/>
                <w:lang w:val="es"/>
              </w:rPr>
              <w:t>3.5 IRI</w:t>
            </w:r>
          </w:p>
        </w:tc>
      </w:tr>
      <w:tr w:rsidR="004412F1" w14:paraId="43CFE6B7" w14:textId="77777777">
        <w:trPr>
          <w:trHeight w:val="525"/>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F9ADE9" w14:textId="77777777" w:rsidR="004412F1" w:rsidRDefault="005A12A3">
            <w:pPr>
              <w:rPr>
                <w:lang w:val="es-PE"/>
              </w:rPr>
            </w:pPr>
            <w:r>
              <w:rPr>
                <w:rFonts w:ascii="Calibri" w:hAnsi="Calibri"/>
                <w:sz w:val="20"/>
                <w:lang w:val="es"/>
              </w:rPr>
              <w:t>Desnivel entre calzada y berma</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91B683" w14:textId="77777777" w:rsidR="004412F1" w:rsidRDefault="005A12A3">
            <w:pPr>
              <w:rPr>
                <w:rFonts w:eastAsia="Times New Roman"/>
                <w:bCs/>
                <w:szCs w:val="18"/>
                <w:lang w:val="es-ES" w:eastAsia="es-ES"/>
              </w:rPr>
            </w:pPr>
            <w:r>
              <w:rPr>
                <w:rFonts w:ascii="Calibri" w:hAnsi="Calibri"/>
                <w:sz w:val="20"/>
                <w:lang w:val="es"/>
              </w:rPr>
              <w:t xml:space="preserve">Altura máxima </w:t>
            </w:r>
            <w:proofErr w:type="gramStart"/>
            <w:r>
              <w:rPr>
                <w:rFonts w:ascii="Calibri" w:hAnsi="Calibri"/>
                <w:sz w:val="20"/>
                <w:lang w:val="es"/>
              </w:rPr>
              <w:t>( calzada</w:t>
            </w:r>
            <w:proofErr w:type="gramEnd"/>
            <w:r>
              <w:rPr>
                <w:rFonts w:ascii="Calibri" w:hAnsi="Calibri"/>
                <w:sz w:val="20"/>
                <w:lang w:val="es"/>
              </w:rPr>
              <w:t xml:space="preserve"> - berma ) del desnivel</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138486" w14:textId="77777777" w:rsidR="004412F1" w:rsidRDefault="005A12A3">
            <w:pPr>
              <w:rPr>
                <w:rFonts w:eastAsia="Times New Roman"/>
                <w:bCs/>
                <w:szCs w:val="18"/>
                <w:lang w:val="es-ES" w:eastAsia="es-ES"/>
              </w:rPr>
            </w:pPr>
            <w:r>
              <w:rPr>
                <w:rFonts w:ascii="Calibri" w:hAnsi="Calibri"/>
                <w:sz w:val="20"/>
                <w:lang w:val="es"/>
              </w:rPr>
              <w:t>0.00 mm</w:t>
            </w:r>
          </w:p>
        </w:tc>
      </w:tr>
    </w:tbl>
    <w:p w14:paraId="19D2D2D3" w14:textId="77777777" w:rsidR="004412F1" w:rsidRDefault="004412F1">
      <w:pPr>
        <w:ind w:hanging="964"/>
        <w:jc w:val="center"/>
        <w:rPr>
          <w:b/>
          <w:color w:val="000000"/>
          <w:sz w:val="30"/>
        </w:rPr>
      </w:pPr>
    </w:p>
    <w:tbl>
      <w:tblPr>
        <w:tblW w:w="0" w:type="auto"/>
        <w:tblInd w:w="75" w:type="dxa"/>
        <w:tblLayout w:type="fixed"/>
        <w:tblLook w:val="04A0" w:firstRow="1" w:lastRow="0" w:firstColumn="1" w:lastColumn="0" w:noHBand="0" w:noVBand="1"/>
      </w:tblPr>
      <w:tblGrid>
        <w:gridCol w:w="4095"/>
        <w:gridCol w:w="3585"/>
        <w:gridCol w:w="1095"/>
      </w:tblGrid>
      <w:tr w:rsidR="004412F1" w14:paraId="28CB8572" w14:textId="77777777">
        <w:trPr>
          <w:trHeight w:val="270"/>
        </w:trPr>
        <w:tc>
          <w:tcPr>
            <w:tcW w:w="8775"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tcMar>
              <w:left w:w="70" w:type="dxa"/>
              <w:right w:w="70" w:type="dxa"/>
            </w:tcMar>
            <w:vAlign w:val="center"/>
          </w:tcPr>
          <w:p w14:paraId="47EEA20C" w14:textId="77777777" w:rsidR="004412F1" w:rsidRDefault="005A12A3">
            <w:pPr>
              <w:rPr>
                <w:lang w:val="es-PE"/>
              </w:rPr>
            </w:pPr>
            <w:r>
              <w:rPr>
                <w:rFonts w:ascii="Calibri" w:hAnsi="Calibri"/>
                <w:b/>
                <w:sz w:val="20"/>
                <w:lang w:val="es"/>
              </w:rPr>
              <w:t>NIVELES DE SERVICIO PARA: REVESTIMIENTO Y DRENAJE DE TUNEL</w:t>
            </w:r>
          </w:p>
        </w:tc>
      </w:tr>
      <w:tr w:rsidR="004412F1" w14:paraId="06E7612B" w14:textId="77777777">
        <w:trPr>
          <w:trHeight w:val="27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CB2D26" w14:textId="77777777" w:rsidR="004412F1" w:rsidRDefault="005A12A3">
            <w:r>
              <w:rPr>
                <w:rFonts w:ascii="Calibri" w:hAnsi="Calibri"/>
                <w:sz w:val="20"/>
                <w:lang w:val="es"/>
              </w:rPr>
              <w:t>Fisuras en el concreto</w:t>
            </w:r>
          </w:p>
        </w:tc>
        <w:tc>
          <w:tcPr>
            <w:tcW w:w="3585" w:type="dxa"/>
            <w:tcBorders>
              <w:top w:val="nil"/>
              <w:left w:val="single" w:sz="8" w:space="0" w:color="auto"/>
              <w:bottom w:val="single" w:sz="8" w:space="0" w:color="auto"/>
              <w:right w:val="single" w:sz="8" w:space="0" w:color="auto"/>
            </w:tcBorders>
            <w:tcMar>
              <w:left w:w="70" w:type="dxa"/>
              <w:right w:w="70" w:type="dxa"/>
            </w:tcMar>
            <w:vAlign w:val="center"/>
          </w:tcPr>
          <w:p w14:paraId="678FD043" w14:textId="77777777" w:rsidR="004412F1" w:rsidRDefault="005A12A3">
            <w:pPr>
              <w:rPr>
                <w:rFonts w:eastAsia="Times New Roman"/>
                <w:bCs/>
                <w:szCs w:val="18"/>
                <w:lang w:val="es-ES" w:eastAsia="es-ES"/>
              </w:rPr>
            </w:pPr>
            <w:r>
              <w:rPr>
                <w:rFonts w:ascii="Calibri" w:hAnsi="Calibri"/>
                <w:sz w:val="20"/>
                <w:lang w:val="es"/>
              </w:rPr>
              <w:t>Porcentaje máximo de área con fisuras</w:t>
            </w:r>
          </w:p>
        </w:tc>
        <w:tc>
          <w:tcPr>
            <w:tcW w:w="1095" w:type="dxa"/>
            <w:tcBorders>
              <w:top w:val="nil"/>
              <w:left w:val="single" w:sz="8" w:space="0" w:color="auto"/>
              <w:bottom w:val="single" w:sz="8" w:space="0" w:color="auto"/>
              <w:right w:val="single" w:sz="8" w:space="0" w:color="auto"/>
            </w:tcBorders>
            <w:tcMar>
              <w:left w:w="70" w:type="dxa"/>
              <w:right w:w="70" w:type="dxa"/>
            </w:tcMar>
            <w:vAlign w:val="center"/>
          </w:tcPr>
          <w:p w14:paraId="133582CB"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2562238" w14:textId="77777777">
        <w:trPr>
          <w:trHeight w:val="525"/>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8763AB" w14:textId="77777777" w:rsidR="004412F1" w:rsidRDefault="005A12A3">
            <w:r>
              <w:rPr>
                <w:rFonts w:ascii="Calibri" w:hAnsi="Calibri"/>
                <w:sz w:val="20"/>
                <w:lang w:val="es"/>
              </w:rPr>
              <w:t>Existencia de material suelto</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078809" w14:textId="77777777" w:rsidR="004412F1" w:rsidRDefault="005A12A3">
            <w:pPr>
              <w:rPr>
                <w:rFonts w:eastAsia="Times New Roman"/>
                <w:bCs/>
                <w:szCs w:val="18"/>
                <w:lang w:val="es-ES" w:eastAsia="es-ES"/>
              </w:rPr>
            </w:pPr>
            <w:r>
              <w:rPr>
                <w:rFonts w:ascii="Calibri" w:hAnsi="Calibri"/>
                <w:sz w:val="20"/>
                <w:lang w:val="es"/>
              </w:rPr>
              <w:t>Porcentaje máximo de área con material suelto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FAB748" w14:textId="77777777" w:rsidR="004412F1" w:rsidRDefault="005A12A3">
            <w:pPr>
              <w:rPr>
                <w:rFonts w:eastAsia="Times New Roman"/>
                <w:bCs/>
                <w:szCs w:val="18"/>
                <w:lang w:val="es-ES" w:eastAsia="es-ES"/>
              </w:rPr>
            </w:pPr>
            <w:r>
              <w:rPr>
                <w:rFonts w:ascii="Calibri" w:hAnsi="Calibri"/>
                <w:sz w:val="20"/>
                <w:lang w:val="es"/>
              </w:rPr>
              <w:t>0.00%</w:t>
            </w:r>
          </w:p>
        </w:tc>
      </w:tr>
      <w:tr w:rsidR="004412F1" w14:paraId="438062C0" w14:textId="77777777">
        <w:trPr>
          <w:trHeight w:val="270"/>
        </w:trPr>
        <w:tc>
          <w:tcPr>
            <w:tcW w:w="4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6B88C0" w14:textId="77777777" w:rsidR="004412F1" w:rsidRDefault="005A12A3">
            <w:r>
              <w:rPr>
                <w:rFonts w:ascii="Calibri" w:hAnsi="Calibri"/>
                <w:sz w:val="20"/>
                <w:lang w:val="es"/>
              </w:rPr>
              <w:t xml:space="preserve">Drenaje </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69EF64" w14:textId="77777777" w:rsidR="004412F1" w:rsidRDefault="005A12A3">
            <w:pPr>
              <w:rPr>
                <w:rFonts w:eastAsia="Times New Roman"/>
                <w:bCs/>
                <w:szCs w:val="18"/>
                <w:lang w:val="es-ES" w:eastAsia="es-ES"/>
              </w:rPr>
            </w:pPr>
            <w:r>
              <w:rPr>
                <w:rFonts w:ascii="Calibri" w:hAnsi="Calibri"/>
                <w:sz w:val="20"/>
                <w:lang w:val="es"/>
              </w:rPr>
              <w:t>Porcentaje máximo obstruido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11874D"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F9D0419" w14:textId="77777777">
        <w:trPr>
          <w:trHeight w:val="525"/>
        </w:trPr>
        <w:tc>
          <w:tcPr>
            <w:tcW w:w="409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59280F" w14:textId="77777777" w:rsidR="004412F1" w:rsidRDefault="005A12A3">
            <w:r>
              <w:rPr>
                <w:rFonts w:ascii="Calibri" w:hAnsi="Calibri"/>
                <w:sz w:val="20"/>
                <w:lang w:val="es"/>
              </w:rPr>
              <w:t>Suciedades o elementos extraños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6285CB" w14:textId="77777777" w:rsidR="004412F1" w:rsidRDefault="005A12A3">
            <w:pPr>
              <w:rPr>
                <w:rFonts w:eastAsia="Times New Roman"/>
                <w:bCs/>
                <w:szCs w:val="18"/>
                <w:lang w:val="es-ES" w:eastAsia="es-ES"/>
              </w:rPr>
            </w:pPr>
            <w:r>
              <w:rPr>
                <w:rFonts w:ascii="Calibri" w:hAnsi="Calibri"/>
                <w:sz w:val="20"/>
                <w:lang w:val="es"/>
              </w:rPr>
              <w:t>Material suelto o elementos riesgosos para la circulación en el tablero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B37505"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7D58CD6" w14:textId="77777777">
        <w:trPr>
          <w:trHeight w:val="270"/>
        </w:trPr>
        <w:tc>
          <w:tcPr>
            <w:tcW w:w="4095" w:type="dxa"/>
            <w:vMerge/>
            <w:tcBorders>
              <w:left w:val="single" w:sz="0" w:space="0" w:color="auto"/>
              <w:right w:val="single" w:sz="0" w:space="0" w:color="auto"/>
            </w:tcBorders>
            <w:vAlign w:val="center"/>
          </w:tcPr>
          <w:p w14:paraId="45B337A2"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076A0D4F" w14:textId="77777777" w:rsidR="004412F1" w:rsidRDefault="005A12A3">
            <w:pPr>
              <w:rPr>
                <w:rFonts w:eastAsia="Times New Roman"/>
                <w:bCs/>
                <w:szCs w:val="18"/>
                <w:lang w:val="es-ES" w:eastAsia="es-ES"/>
              </w:rPr>
            </w:pPr>
            <w:r>
              <w:rPr>
                <w:rFonts w:ascii="Calibri" w:hAnsi="Calibri"/>
                <w:sz w:val="20"/>
                <w:lang w:val="es"/>
              </w:rPr>
              <w:t>Obstrucción en los drenes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D3FCF"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B146EE0" w14:textId="77777777">
        <w:trPr>
          <w:trHeight w:val="270"/>
        </w:trPr>
        <w:tc>
          <w:tcPr>
            <w:tcW w:w="4095" w:type="dxa"/>
            <w:vMerge/>
            <w:tcBorders>
              <w:left w:val="single" w:sz="0" w:space="0" w:color="auto"/>
              <w:right w:val="single" w:sz="0" w:space="0" w:color="auto"/>
            </w:tcBorders>
            <w:vAlign w:val="center"/>
          </w:tcPr>
          <w:p w14:paraId="0688E721"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D179A5B" w14:textId="77777777" w:rsidR="004412F1" w:rsidRDefault="005A12A3">
            <w:pPr>
              <w:rPr>
                <w:rFonts w:eastAsia="Times New Roman"/>
                <w:bCs/>
                <w:szCs w:val="18"/>
                <w:lang w:val="es-ES" w:eastAsia="es-ES"/>
              </w:rPr>
            </w:pPr>
            <w:r>
              <w:rPr>
                <w:rFonts w:ascii="Calibri" w:hAnsi="Calibri"/>
                <w:sz w:val="20"/>
                <w:lang w:val="es"/>
              </w:rPr>
              <w:t>Manchas o deterioros en el hormigón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965D5"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106E842" w14:textId="77777777">
        <w:trPr>
          <w:trHeight w:val="270"/>
        </w:trPr>
        <w:tc>
          <w:tcPr>
            <w:tcW w:w="4095" w:type="dxa"/>
            <w:vMerge/>
            <w:tcBorders>
              <w:left w:val="single" w:sz="0" w:space="0" w:color="auto"/>
              <w:right w:val="single" w:sz="0" w:space="0" w:color="auto"/>
            </w:tcBorders>
            <w:vAlign w:val="center"/>
          </w:tcPr>
          <w:p w14:paraId="19EE60B1"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69002D8E" w14:textId="77777777" w:rsidR="004412F1" w:rsidRDefault="005A12A3">
            <w:pPr>
              <w:rPr>
                <w:rFonts w:eastAsia="Times New Roman"/>
                <w:bCs/>
                <w:szCs w:val="18"/>
                <w:lang w:val="es-ES" w:eastAsia="es-ES"/>
              </w:rPr>
            </w:pPr>
            <w:r>
              <w:rPr>
                <w:rFonts w:ascii="Calibri" w:hAnsi="Calibri"/>
                <w:sz w:val="20"/>
                <w:lang w:val="es"/>
              </w:rPr>
              <w:t>Materiales extraños en juntas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E096D3"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7934566" w14:textId="77777777">
        <w:trPr>
          <w:trHeight w:val="270"/>
        </w:trPr>
        <w:tc>
          <w:tcPr>
            <w:tcW w:w="4095" w:type="dxa"/>
            <w:vMerge/>
            <w:tcBorders>
              <w:left w:val="single" w:sz="0" w:space="0" w:color="auto"/>
              <w:right w:val="single" w:sz="0" w:space="0" w:color="auto"/>
            </w:tcBorders>
            <w:vAlign w:val="center"/>
          </w:tcPr>
          <w:p w14:paraId="7108EA04"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7E068493" w14:textId="77777777" w:rsidR="004412F1" w:rsidRDefault="005A12A3">
            <w:pPr>
              <w:rPr>
                <w:rFonts w:eastAsia="Times New Roman"/>
                <w:bCs/>
                <w:szCs w:val="18"/>
                <w:lang w:val="es-ES" w:eastAsia="es-ES"/>
              </w:rPr>
            </w:pPr>
            <w:r>
              <w:rPr>
                <w:rFonts w:ascii="Calibri" w:hAnsi="Calibri"/>
                <w:sz w:val="20"/>
                <w:lang w:val="es"/>
              </w:rPr>
              <w:t>Nidos de pájaros o colonias de insectos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18F59C"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148A65B" w14:textId="77777777">
        <w:trPr>
          <w:trHeight w:val="270"/>
        </w:trPr>
        <w:tc>
          <w:tcPr>
            <w:tcW w:w="4095" w:type="dxa"/>
            <w:vMerge/>
            <w:tcBorders>
              <w:left w:val="single" w:sz="0" w:space="0" w:color="auto"/>
              <w:bottom w:val="single" w:sz="0" w:space="0" w:color="auto"/>
              <w:right w:val="single" w:sz="0" w:space="0" w:color="auto"/>
            </w:tcBorders>
            <w:vAlign w:val="center"/>
          </w:tcPr>
          <w:p w14:paraId="17DA5132"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2D69974C" w14:textId="77777777" w:rsidR="004412F1" w:rsidRDefault="005A12A3">
            <w:pPr>
              <w:rPr>
                <w:rFonts w:eastAsia="Times New Roman"/>
                <w:bCs/>
                <w:szCs w:val="18"/>
                <w:lang w:val="es-ES" w:eastAsia="es-ES"/>
              </w:rPr>
            </w:pPr>
            <w:r>
              <w:rPr>
                <w:rFonts w:ascii="Calibri" w:hAnsi="Calibri"/>
                <w:sz w:val="20"/>
                <w:lang w:val="es"/>
              </w:rPr>
              <w:t>Vegetación en grietas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DE17EC"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94E16FE" w14:textId="77777777">
        <w:trPr>
          <w:trHeight w:val="525"/>
        </w:trPr>
        <w:tc>
          <w:tcPr>
            <w:tcW w:w="409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6B22C0EE" w14:textId="77777777" w:rsidR="004412F1" w:rsidRDefault="005A12A3">
            <w:r>
              <w:rPr>
                <w:rFonts w:ascii="Calibri" w:hAnsi="Calibri"/>
                <w:sz w:val="20"/>
                <w:lang w:val="es"/>
              </w:rPr>
              <w:t>Deterioro del sobrepiso</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505C6E" w14:textId="77777777" w:rsidR="004412F1" w:rsidRDefault="005A12A3">
            <w:pPr>
              <w:rPr>
                <w:rFonts w:eastAsia="Times New Roman"/>
                <w:bCs/>
                <w:szCs w:val="18"/>
                <w:lang w:val="es-ES" w:eastAsia="es-ES"/>
              </w:rPr>
            </w:pPr>
            <w:r>
              <w:rPr>
                <w:rFonts w:ascii="Calibri" w:hAnsi="Calibri"/>
                <w:sz w:val="20"/>
                <w:lang w:val="es"/>
              </w:rPr>
              <w:t>Reducción del espesor del sobrepiso superior al 10%</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F6A614"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2AEF825" w14:textId="77777777">
        <w:trPr>
          <w:trHeight w:val="525"/>
        </w:trPr>
        <w:tc>
          <w:tcPr>
            <w:tcW w:w="4095" w:type="dxa"/>
            <w:vMerge/>
            <w:tcBorders>
              <w:left w:val="single" w:sz="0" w:space="0" w:color="auto"/>
              <w:right w:val="single" w:sz="0" w:space="0" w:color="auto"/>
            </w:tcBorders>
            <w:vAlign w:val="center"/>
          </w:tcPr>
          <w:p w14:paraId="73D50448"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E124194" w14:textId="77777777" w:rsidR="004412F1" w:rsidRDefault="005A12A3">
            <w:pPr>
              <w:rPr>
                <w:rFonts w:eastAsia="Times New Roman"/>
                <w:bCs/>
                <w:szCs w:val="18"/>
                <w:lang w:val="es-ES" w:eastAsia="es-ES"/>
              </w:rPr>
            </w:pPr>
            <w:r>
              <w:rPr>
                <w:rFonts w:ascii="Calibri" w:hAnsi="Calibri"/>
                <w:sz w:val="20"/>
                <w:lang w:val="es"/>
              </w:rPr>
              <w:t>Huecos de cualquier dimensión o naturaleza</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6ABBAF"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FA11592" w14:textId="77777777">
        <w:trPr>
          <w:trHeight w:val="525"/>
        </w:trPr>
        <w:tc>
          <w:tcPr>
            <w:tcW w:w="4095" w:type="dxa"/>
            <w:vMerge/>
            <w:tcBorders>
              <w:left w:val="single" w:sz="0" w:space="0" w:color="auto"/>
              <w:right w:val="single" w:sz="0" w:space="0" w:color="auto"/>
            </w:tcBorders>
            <w:vAlign w:val="center"/>
          </w:tcPr>
          <w:p w14:paraId="3D729FE6"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716D0927" w14:textId="77777777" w:rsidR="004412F1" w:rsidRDefault="005A12A3">
            <w:pPr>
              <w:rPr>
                <w:rFonts w:eastAsia="Times New Roman"/>
                <w:bCs/>
                <w:szCs w:val="18"/>
                <w:lang w:val="es-ES" w:eastAsia="es-ES"/>
              </w:rPr>
            </w:pPr>
            <w:r>
              <w:rPr>
                <w:rFonts w:ascii="Calibri" w:hAnsi="Calibri"/>
                <w:sz w:val="20"/>
                <w:lang w:val="es"/>
              </w:rPr>
              <w:t xml:space="preserve">Fisuras sin sellar </w:t>
            </w:r>
            <w:proofErr w:type="gramStart"/>
            <w:r>
              <w:rPr>
                <w:rFonts w:ascii="Calibri" w:hAnsi="Calibri"/>
                <w:sz w:val="20"/>
                <w:lang w:val="es"/>
              </w:rPr>
              <w:t>( distintas</w:t>
            </w:r>
            <w:proofErr w:type="gramEnd"/>
            <w:r>
              <w:rPr>
                <w:rFonts w:ascii="Calibri" w:hAnsi="Calibri"/>
                <w:sz w:val="20"/>
                <w:lang w:val="es"/>
              </w:rPr>
              <w:t xml:space="preserve"> a las de retracción por fraguado )</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050BC2" w14:textId="77777777" w:rsidR="004412F1" w:rsidRDefault="005A12A3">
            <w:pPr>
              <w:rPr>
                <w:rFonts w:eastAsia="Times New Roman"/>
                <w:bCs/>
                <w:szCs w:val="18"/>
                <w:lang w:val="es-ES" w:eastAsia="es-ES"/>
              </w:rPr>
            </w:pPr>
            <w:r>
              <w:rPr>
                <w:rFonts w:ascii="Calibri" w:hAnsi="Calibri"/>
                <w:sz w:val="20"/>
                <w:lang w:val="es"/>
              </w:rPr>
              <w:t>0.00%</w:t>
            </w:r>
          </w:p>
        </w:tc>
      </w:tr>
      <w:tr w:rsidR="004412F1" w14:paraId="47EF392F" w14:textId="77777777">
        <w:trPr>
          <w:trHeight w:val="270"/>
        </w:trPr>
        <w:tc>
          <w:tcPr>
            <w:tcW w:w="4095" w:type="dxa"/>
            <w:vMerge/>
            <w:tcBorders>
              <w:left w:val="single" w:sz="0" w:space="0" w:color="auto"/>
              <w:right w:val="single" w:sz="0" w:space="0" w:color="auto"/>
            </w:tcBorders>
            <w:vAlign w:val="center"/>
          </w:tcPr>
          <w:p w14:paraId="61C58B3B"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727B46C0" w14:textId="77777777" w:rsidR="004412F1" w:rsidRDefault="005A12A3">
            <w:pPr>
              <w:rPr>
                <w:rFonts w:eastAsia="Times New Roman"/>
                <w:bCs/>
                <w:szCs w:val="18"/>
                <w:lang w:val="es-ES" w:eastAsia="es-ES"/>
              </w:rPr>
            </w:pPr>
            <w:r>
              <w:rPr>
                <w:rFonts w:ascii="Calibri" w:hAnsi="Calibri"/>
                <w:sz w:val="20"/>
                <w:lang w:val="es"/>
              </w:rPr>
              <w:t>Parches en mal estado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56184D" w14:textId="77777777" w:rsidR="004412F1" w:rsidRDefault="005A12A3">
            <w:pPr>
              <w:rPr>
                <w:rFonts w:eastAsia="Times New Roman"/>
                <w:bCs/>
                <w:szCs w:val="18"/>
                <w:lang w:val="es-ES" w:eastAsia="es-ES"/>
              </w:rPr>
            </w:pPr>
            <w:r>
              <w:rPr>
                <w:rFonts w:ascii="Calibri" w:hAnsi="Calibri"/>
                <w:sz w:val="20"/>
                <w:lang w:val="es"/>
              </w:rPr>
              <w:t>0.00%</w:t>
            </w:r>
          </w:p>
        </w:tc>
      </w:tr>
      <w:tr w:rsidR="004412F1" w14:paraId="1A50CC5D" w14:textId="77777777">
        <w:trPr>
          <w:trHeight w:val="270"/>
        </w:trPr>
        <w:tc>
          <w:tcPr>
            <w:tcW w:w="4095" w:type="dxa"/>
            <w:vMerge/>
            <w:tcBorders>
              <w:left w:val="single" w:sz="0" w:space="0" w:color="auto"/>
              <w:right w:val="single" w:sz="0" w:space="0" w:color="auto"/>
            </w:tcBorders>
            <w:vAlign w:val="center"/>
          </w:tcPr>
          <w:p w14:paraId="3F71999D"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041EF833" w14:textId="77777777" w:rsidR="004412F1" w:rsidRDefault="005A12A3">
            <w:pPr>
              <w:rPr>
                <w:rFonts w:eastAsia="Times New Roman"/>
                <w:bCs/>
                <w:szCs w:val="18"/>
                <w:lang w:val="es-ES" w:eastAsia="es-ES"/>
              </w:rPr>
            </w:pPr>
            <w:r>
              <w:rPr>
                <w:rFonts w:ascii="Calibri" w:hAnsi="Calibri"/>
                <w:sz w:val="20"/>
                <w:lang w:val="es"/>
              </w:rPr>
              <w:t>Ahuellamientos mayores que 12 mm.</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24800A"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F824FFB" w14:textId="77777777">
        <w:trPr>
          <w:trHeight w:val="270"/>
        </w:trPr>
        <w:tc>
          <w:tcPr>
            <w:tcW w:w="4095" w:type="dxa"/>
            <w:vMerge/>
            <w:tcBorders>
              <w:left w:val="single" w:sz="0" w:space="0" w:color="auto"/>
              <w:bottom w:val="single" w:sz="0" w:space="0" w:color="auto"/>
              <w:right w:val="single" w:sz="0" w:space="0" w:color="auto"/>
            </w:tcBorders>
            <w:vAlign w:val="center"/>
          </w:tcPr>
          <w:p w14:paraId="28BCBF43"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6C023F02" w14:textId="77777777" w:rsidR="004412F1" w:rsidRDefault="005A12A3">
            <w:pPr>
              <w:rPr>
                <w:rFonts w:eastAsia="Times New Roman"/>
                <w:bCs/>
                <w:szCs w:val="18"/>
                <w:lang w:val="es-ES" w:eastAsia="es-ES"/>
              </w:rPr>
            </w:pPr>
            <w:r>
              <w:rPr>
                <w:rFonts w:ascii="Calibri" w:hAnsi="Calibri"/>
                <w:sz w:val="20"/>
                <w:lang w:val="es"/>
              </w:rPr>
              <w:t>Hundimientos mayores que 12 mm.</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382F7B"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3926245" w14:textId="77777777">
        <w:trPr>
          <w:trHeight w:val="270"/>
        </w:trPr>
        <w:tc>
          <w:tcPr>
            <w:tcW w:w="4095" w:type="dxa"/>
            <w:vMerge/>
            <w:tcBorders>
              <w:left w:val="single" w:sz="0" w:space="0" w:color="auto"/>
              <w:bottom w:val="single" w:sz="0" w:space="0" w:color="auto"/>
              <w:right w:val="single" w:sz="0" w:space="0" w:color="auto"/>
            </w:tcBorders>
            <w:vAlign w:val="center"/>
          </w:tcPr>
          <w:p w14:paraId="25434945"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215EA3ED" w14:textId="77777777" w:rsidR="004412F1" w:rsidRDefault="005A12A3">
            <w:pPr>
              <w:rPr>
                <w:rFonts w:eastAsia="Times New Roman"/>
                <w:bCs/>
                <w:szCs w:val="18"/>
                <w:lang w:val="es-ES" w:eastAsia="es-ES"/>
              </w:rPr>
            </w:pPr>
            <w:r>
              <w:rPr>
                <w:rFonts w:ascii="Calibri" w:hAnsi="Calibri"/>
                <w:sz w:val="20"/>
                <w:lang w:val="es"/>
              </w:rPr>
              <w:t xml:space="preserve">Exudaciones </w:t>
            </w:r>
            <w:proofErr w:type="gramStart"/>
            <w:r>
              <w:rPr>
                <w:rFonts w:ascii="Calibri" w:hAnsi="Calibri"/>
                <w:sz w:val="20"/>
                <w:lang w:val="es"/>
              </w:rPr>
              <w:t>( nivel</w:t>
            </w:r>
            <w:proofErr w:type="gramEnd"/>
            <w:r>
              <w:rPr>
                <w:rFonts w:ascii="Calibri" w:hAnsi="Calibri"/>
                <w:sz w:val="20"/>
                <w:lang w:val="es"/>
              </w:rPr>
              <w:t xml:space="preserve"> medio y/o alto )</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C375FE"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FF326D5" w14:textId="77777777">
        <w:trPr>
          <w:trHeight w:val="525"/>
        </w:trPr>
        <w:tc>
          <w:tcPr>
            <w:tcW w:w="409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31D0D878" w14:textId="77777777" w:rsidR="004412F1" w:rsidRDefault="005A12A3">
            <w:pPr>
              <w:rPr>
                <w:lang w:val="es-PE"/>
              </w:rPr>
            </w:pPr>
            <w:r>
              <w:rPr>
                <w:rFonts w:ascii="Calibri" w:hAnsi="Calibri"/>
                <w:sz w:val="20"/>
                <w:lang w:val="es"/>
              </w:rPr>
              <w:t>Deficiencias en las juntas extremas o intermedias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0D408C" w14:textId="77777777" w:rsidR="004412F1" w:rsidRDefault="005A12A3">
            <w:pPr>
              <w:rPr>
                <w:rFonts w:eastAsia="Times New Roman"/>
                <w:bCs/>
                <w:szCs w:val="18"/>
                <w:lang w:val="es-ES" w:eastAsia="es-ES"/>
              </w:rPr>
            </w:pPr>
            <w:r>
              <w:rPr>
                <w:rFonts w:ascii="Calibri" w:hAnsi="Calibri"/>
                <w:sz w:val="20"/>
                <w:lang w:val="es"/>
              </w:rPr>
              <w:t>Separación mayor a la indicada en los parámetros de diseño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72033D" w14:textId="77777777" w:rsidR="004412F1" w:rsidRDefault="005A12A3">
            <w:pPr>
              <w:rPr>
                <w:rFonts w:eastAsia="Times New Roman"/>
                <w:bCs/>
                <w:szCs w:val="18"/>
                <w:lang w:val="es-ES" w:eastAsia="es-ES"/>
              </w:rPr>
            </w:pPr>
            <w:r>
              <w:rPr>
                <w:rFonts w:ascii="Calibri" w:hAnsi="Calibri"/>
                <w:sz w:val="20"/>
                <w:lang w:val="es"/>
              </w:rPr>
              <w:t>0.00%</w:t>
            </w:r>
          </w:p>
        </w:tc>
      </w:tr>
      <w:tr w:rsidR="004412F1" w14:paraId="100FFDBA" w14:textId="77777777">
        <w:trPr>
          <w:trHeight w:val="270"/>
        </w:trPr>
        <w:tc>
          <w:tcPr>
            <w:tcW w:w="4095" w:type="dxa"/>
            <w:vMerge/>
            <w:tcBorders>
              <w:left w:val="single" w:sz="0" w:space="0" w:color="auto"/>
              <w:right w:val="single" w:sz="0" w:space="0" w:color="auto"/>
            </w:tcBorders>
            <w:vAlign w:val="center"/>
          </w:tcPr>
          <w:p w14:paraId="0E2593F8"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52AA5BB9" w14:textId="77777777" w:rsidR="004412F1" w:rsidRDefault="005A12A3">
            <w:pPr>
              <w:rPr>
                <w:rFonts w:eastAsia="Times New Roman"/>
                <w:bCs/>
                <w:szCs w:val="18"/>
                <w:lang w:val="es-ES" w:eastAsia="es-ES"/>
              </w:rPr>
            </w:pPr>
            <w:r>
              <w:rPr>
                <w:rFonts w:ascii="Calibri" w:hAnsi="Calibri"/>
                <w:sz w:val="20"/>
                <w:lang w:val="es"/>
              </w:rPr>
              <w:t>Juntas no estancadas o sin sellar</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8D9EBF"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4A8EAA3" w14:textId="77777777">
        <w:trPr>
          <w:trHeight w:val="780"/>
        </w:trPr>
        <w:tc>
          <w:tcPr>
            <w:tcW w:w="4095" w:type="dxa"/>
            <w:vMerge/>
            <w:tcBorders>
              <w:left w:val="single" w:sz="0" w:space="0" w:color="auto"/>
              <w:right w:val="single" w:sz="0" w:space="0" w:color="auto"/>
            </w:tcBorders>
            <w:vAlign w:val="center"/>
          </w:tcPr>
          <w:p w14:paraId="50857141"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2A56BCA8" w14:textId="77777777" w:rsidR="004412F1" w:rsidRDefault="005A12A3">
            <w:pPr>
              <w:rPr>
                <w:rFonts w:eastAsia="Times New Roman"/>
                <w:bCs/>
                <w:szCs w:val="18"/>
                <w:lang w:val="es-ES" w:eastAsia="es-ES"/>
              </w:rPr>
            </w:pPr>
            <w:r>
              <w:rPr>
                <w:rFonts w:ascii="Calibri" w:hAnsi="Calibri"/>
                <w:sz w:val="20"/>
                <w:lang w:val="es"/>
              </w:rPr>
              <w:t xml:space="preserve">Diferentes </w:t>
            </w:r>
            <w:proofErr w:type="gramStart"/>
            <w:r>
              <w:rPr>
                <w:rFonts w:ascii="Calibri" w:hAnsi="Calibri"/>
                <w:sz w:val="20"/>
                <w:lang w:val="es"/>
              </w:rPr>
              <w:t>altimetrías superior</w:t>
            </w:r>
            <w:proofErr w:type="gramEnd"/>
            <w:r>
              <w:rPr>
                <w:rFonts w:ascii="Calibri" w:hAnsi="Calibri"/>
                <w:sz w:val="20"/>
                <w:lang w:val="es"/>
              </w:rPr>
              <w:t xml:space="preserve"> a 0.5 cm entre los bordes o entre bordes y material de relleno</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903E0A"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F5F8934" w14:textId="77777777">
        <w:trPr>
          <w:trHeight w:val="270"/>
        </w:trPr>
        <w:tc>
          <w:tcPr>
            <w:tcW w:w="4095" w:type="dxa"/>
            <w:vMerge/>
            <w:tcBorders>
              <w:left w:val="single" w:sz="0" w:space="0" w:color="auto"/>
              <w:bottom w:val="single" w:sz="0" w:space="0" w:color="auto"/>
              <w:right w:val="single" w:sz="0" w:space="0" w:color="auto"/>
            </w:tcBorders>
            <w:vAlign w:val="center"/>
          </w:tcPr>
          <w:p w14:paraId="7F3E435B"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12AAF997" w14:textId="77777777" w:rsidR="004412F1" w:rsidRDefault="005A12A3">
            <w:pPr>
              <w:rPr>
                <w:rFonts w:eastAsia="Times New Roman"/>
                <w:bCs/>
                <w:szCs w:val="18"/>
                <w:lang w:val="es-ES" w:eastAsia="es-ES"/>
              </w:rPr>
            </w:pPr>
            <w:r>
              <w:rPr>
                <w:rFonts w:ascii="Calibri" w:hAnsi="Calibri"/>
                <w:sz w:val="20"/>
                <w:lang w:val="es"/>
              </w:rPr>
              <w:t xml:space="preserve">Roturas o desprendimientos en los </w:t>
            </w:r>
            <w:r>
              <w:rPr>
                <w:rFonts w:ascii="Calibri" w:eastAsia="Calibri" w:hAnsi="Calibri"/>
                <w:sz w:val="20"/>
                <w:lang w:val="es"/>
              </w:rPr>
              <w:t>bordes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35CF53" w14:textId="77777777" w:rsidR="004412F1" w:rsidRDefault="005A12A3">
            <w:pPr>
              <w:rPr>
                <w:rFonts w:eastAsia="Times New Roman"/>
                <w:bCs/>
                <w:szCs w:val="18"/>
                <w:lang w:val="es-ES" w:eastAsia="es-ES"/>
              </w:rPr>
            </w:pPr>
            <w:r>
              <w:rPr>
                <w:rFonts w:ascii="Calibri" w:hAnsi="Calibri"/>
                <w:sz w:val="20"/>
                <w:lang w:val="es"/>
              </w:rPr>
              <w:t>0.00%</w:t>
            </w:r>
          </w:p>
        </w:tc>
      </w:tr>
      <w:tr w:rsidR="004412F1" w14:paraId="0FBCAD37" w14:textId="77777777">
        <w:trPr>
          <w:trHeight w:val="270"/>
        </w:trPr>
        <w:tc>
          <w:tcPr>
            <w:tcW w:w="4095"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6F1F78DD" w14:textId="77777777" w:rsidR="004412F1" w:rsidRDefault="005A12A3">
            <w:pPr>
              <w:rPr>
                <w:lang w:val="es-PE"/>
              </w:rPr>
            </w:pPr>
            <w:r>
              <w:rPr>
                <w:rFonts w:ascii="Calibri" w:hAnsi="Calibri"/>
                <w:sz w:val="20"/>
                <w:lang w:val="es"/>
              </w:rPr>
              <w:t>Deterioros en elementos de hormigón</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6CA27C" w14:textId="77777777" w:rsidR="004412F1" w:rsidRDefault="005A12A3">
            <w:pPr>
              <w:rPr>
                <w:rFonts w:eastAsia="Times New Roman"/>
                <w:bCs/>
                <w:szCs w:val="18"/>
                <w:lang w:val="es-ES" w:eastAsia="es-ES"/>
              </w:rPr>
            </w:pPr>
            <w:r>
              <w:rPr>
                <w:rFonts w:ascii="Calibri" w:hAnsi="Calibri"/>
                <w:sz w:val="20"/>
                <w:lang w:val="es"/>
              </w:rPr>
              <w:t>Descascaramientos o desprendimientos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A22D9C"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4030137" w14:textId="77777777">
        <w:trPr>
          <w:trHeight w:val="780"/>
        </w:trPr>
        <w:tc>
          <w:tcPr>
            <w:tcW w:w="4095" w:type="dxa"/>
            <w:vMerge/>
            <w:tcBorders>
              <w:left w:val="single" w:sz="0" w:space="0" w:color="auto"/>
              <w:right w:val="single" w:sz="0" w:space="0" w:color="auto"/>
            </w:tcBorders>
            <w:vAlign w:val="center"/>
          </w:tcPr>
          <w:p w14:paraId="544DCDE7"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7E0F63A" w14:textId="77777777" w:rsidR="004412F1" w:rsidRDefault="005A12A3">
            <w:pPr>
              <w:rPr>
                <w:rFonts w:eastAsia="Times New Roman"/>
                <w:bCs/>
                <w:szCs w:val="18"/>
                <w:lang w:val="es-ES" w:eastAsia="es-ES"/>
              </w:rPr>
            </w:pPr>
            <w:r>
              <w:rPr>
                <w:rFonts w:ascii="Calibri" w:hAnsi="Calibri"/>
                <w:sz w:val="20"/>
                <w:lang w:val="es"/>
              </w:rPr>
              <w:t>Armaduras expuestas u óxido superficial o fisuras a lo largo de la ubicación de la armadura</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52EAB6"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A1CF678" w14:textId="77777777">
        <w:trPr>
          <w:trHeight w:val="525"/>
        </w:trPr>
        <w:tc>
          <w:tcPr>
            <w:tcW w:w="4095" w:type="dxa"/>
            <w:vMerge/>
            <w:tcBorders>
              <w:left w:val="single" w:sz="0" w:space="0" w:color="auto"/>
              <w:bottom w:val="single" w:sz="0" w:space="0" w:color="auto"/>
              <w:right w:val="single" w:sz="0" w:space="0" w:color="auto"/>
            </w:tcBorders>
            <w:vAlign w:val="center"/>
          </w:tcPr>
          <w:p w14:paraId="72525E30"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5CF45504" w14:textId="77777777" w:rsidR="004412F1" w:rsidRDefault="005A12A3">
            <w:pPr>
              <w:rPr>
                <w:rFonts w:eastAsia="Times New Roman"/>
                <w:bCs/>
                <w:szCs w:val="18"/>
                <w:lang w:val="es-ES" w:eastAsia="es-ES"/>
              </w:rPr>
            </w:pPr>
            <w:r>
              <w:rPr>
                <w:rFonts w:ascii="Calibri" w:hAnsi="Calibri"/>
                <w:sz w:val="20"/>
                <w:lang w:val="es"/>
              </w:rPr>
              <w:t>Lesiones superficiales de profundidad superior a 0.5 cm.</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6E64C7"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B4291DB" w14:textId="77777777">
        <w:trPr>
          <w:trHeight w:val="525"/>
        </w:trPr>
        <w:tc>
          <w:tcPr>
            <w:tcW w:w="4095" w:type="dxa"/>
            <w:vMerge/>
            <w:tcBorders>
              <w:left w:val="single" w:sz="0" w:space="0" w:color="auto"/>
              <w:bottom w:val="single" w:sz="0" w:space="0" w:color="000000" w:themeColor="text1"/>
              <w:right w:val="single" w:sz="0" w:space="0" w:color="auto"/>
            </w:tcBorders>
            <w:vAlign w:val="center"/>
          </w:tcPr>
          <w:p w14:paraId="04281AB6"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119565AD" w14:textId="77777777" w:rsidR="004412F1" w:rsidRDefault="005A12A3">
            <w:pPr>
              <w:rPr>
                <w:rFonts w:eastAsia="Times New Roman"/>
                <w:bCs/>
                <w:szCs w:val="18"/>
                <w:lang w:val="es-ES" w:eastAsia="es-ES"/>
              </w:rPr>
            </w:pPr>
            <w:r>
              <w:rPr>
                <w:rFonts w:ascii="Calibri" w:hAnsi="Calibri"/>
                <w:sz w:val="20"/>
                <w:lang w:val="es"/>
              </w:rPr>
              <w:t>Fisuras de espesor mayor a 0.3 mm. sin sellar</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6A621C"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566BDE3" w14:textId="77777777">
        <w:trPr>
          <w:trHeight w:val="270"/>
        </w:trPr>
        <w:tc>
          <w:tcPr>
            <w:tcW w:w="4095" w:type="dxa"/>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33E2558D" w14:textId="77777777" w:rsidR="004412F1" w:rsidRDefault="005A12A3">
            <w:r>
              <w:rPr>
                <w:rFonts w:ascii="Calibri" w:hAnsi="Calibri"/>
                <w:sz w:val="20"/>
                <w:lang w:val="es"/>
              </w:rPr>
              <w:t>Deterioros en elementos metálicos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F8D7A5" w14:textId="77777777" w:rsidR="004412F1" w:rsidRDefault="005A12A3">
            <w:pPr>
              <w:rPr>
                <w:rFonts w:eastAsia="Times New Roman"/>
                <w:bCs/>
                <w:szCs w:val="18"/>
                <w:lang w:val="es-ES" w:eastAsia="es-ES"/>
              </w:rPr>
            </w:pPr>
            <w:r>
              <w:rPr>
                <w:rFonts w:ascii="Calibri" w:hAnsi="Calibri"/>
                <w:sz w:val="20"/>
                <w:lang w:val="es"/>
              </w:rPr>
              <w:t>Fisuras o agrietamientos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758B1D"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9753CB2" w14:textId="77777777">
        <w:trPr>
          <w:trHeight w:val="270"/>
        </w:trPr>
        <w:tc>
          <w:tcPr>
            <w:tcW w:w="4095" w:type="dxa"/>
            <w:vMerge/>
            <w:tcBorders>
              <w:left w:val="single" w:sz="0" w:space="0" w:color="auto"/>
              <w:right w:val="single" w:sz="0" w:space="0" w:color="auto"/>
            </w:tcBorders>
            <w:vAlign w:val="center"/>
          </w:tcPr>
          <w:p w14:paraId="618F8BF3"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5AF8C4FD" w14:textId="77777777" w:rsidR="004412F1" w:rsidRDefault="005A12A3">
            <w:pPr>
              <w:rPr>
                <w:rFonts w:eastAsia="Times New Roman"/>
                <w:bCs/>
                <w:szCs w:val="18"/>
                <w:lang w:val="es-ES" w:eastAsia="es-ES"/>
              </w:rPr>
            </w:pPr>
            <w:r>
              <w:rPr>
                <w:rFonts w:ascii="Calibri" w:hAnsi="Calibri"/>
                <w:sz w:val="20"/>
                <w:lang w:val="es"/>
              </w:rPr>
              <w:t>Corrosión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AA0457"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843457F" w14:textId="77777777">
        <w:trPr>
          <w:trHeight w:val="270"/>
        </w:trPr>
        <w:tc>
          <w:tcPr>
            <w:tcW w:w="4095" w:type="dxa"/>
            <w:vMerge/>
            <w:tcBorders>
              <w:left w:val="single" w:sz="0" w:space="0" w:color="auto"/>
              <w:right w:val="single" w:sz="0" w:space="0" w:color="auto"/>
            </w:tcBorders>
            <w:vAlign w:val="center"/>
          </w:tcPr>
          <w:p w14:paraId="01A65042"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6461B46A" w14:textId="77777777" w:rsidR="004412F1" w:rsidRDefault="005A12A3">
            <w:pPr>
              <w:rPr>
                <w:rFonts w:eastAsia="Times New Roman"/>
                <w:bCs/>
                <w:szCs w:val="18"/>
                <w:lang w:val="es-ES" w:eastAsia="es-ES"/>
              </w:rPr>
            </w:pPr>
            <w:r>
              <w:rPr>
                <w:rFonts w:ascii="Calibri" w:hAnsi="Calibri"/>
                <w:sz w:val="20"/>
                <w:lang w:val="es"/>
              </w:rPr>
              <w:t>Roturas o deformaciones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532871" w14:textId="77777777" w:rsidR="004412F1" w:rsidRDefault="005A12A3">
            <w:pPr>
              <w:rPr>
                <w:rFonts w:eastAsia="Times New Roman"/>
                <w:bCs/>
                <w:szCs w:val="18"/>
                <w:lang w:val="es-ES" w:eastAsia="es-ES"/>
              </w:rPr>
            </w:pPr>
            <w:r>
              <w:rPr>
                <w:rFonts w:ascii="Calibri" w:hAnsi="Calibri"/>
                <w:sz w:val="20"/>
                <w:lang w:val="es"/>
              </w:rPr>
              <w:t>0.00%</w:t>
            </w:r>
          </w:p>
        </w:tc>
      </w:tr>
      <w:tr w:rsidR="004412F1" w14:paraId="40620888" w14:textId="77777777">
        <w:trPr>
          <w:trHeight w:val="270"/>
        </w:trPr>
        <w:tc>
          <w:tcPr>
            <w:tcW w:w="4095" w:type="dxa"/>
            <w:vMerge/>
            <w:tcBorders>
              <w:left w:val="single" w:sz="0" w:space="0" w:color="auto"/>
              <w:bottom w:val="single" w:sz="0" w:space="0" w:color="000000" w:themeColor="text1"/>
              <w:right w:val="single" w:sz="0" w:space="0" w:color="auto"/>
            </w:tcBorders>
            <w:vAlign w:val="center"/>
          </w:tcPr>
          <w:p w14:paraId="47CE2028"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9B484A9" w14:textId="77777777" w:rsidR="004412F1" w:rsidRDefault="005A12A3">
            <w:pPr>
              <w:rPr>
                <w:rFonts w:eastAsia="Times New Roman"/>
                <w:bCs/>
                <w:szCs w:val="18"/>
                <w:lang w:val="es-ES" w:eastAsia="es-ES"/>
              </w:rPr>
            </w:pPr>
            <w:r>
              <w:rPr>
                <w:rFonts w:ascii="Calibri" w:hAnsi="Calibri"/>
                <w:sz w:val="20"/>
                <w:lang w:val="es"/>
              </w:rPr>
              <w:t>Pérdida de elementos de unión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5210FA" w14:textId="77777777" w:rsidR="004412F1" w:rsidRDefault="005A12A3">
            <w:pPr>
              <w:rPr>
                <w:rFonts w:eastAsia="Times New Roman"/>
                <w:bCs/>
                <w:szCs w:val="18"/>
                <w:lang w:val="es-ES" w:eastAsia="es-ES"/>
              </w:rPr>
            </w:pPr>
            <w:r>
              <w:rPr>
                <w:rFonts w:ascii="Calibri" w:hAnsi="Calibri"/>
                <w:sz w:val="20"/>
                <w:lang w:val="es"/>
              </w:rPr>
              <w:t>0.00%</w:t>
            </w:r>
          </w:p>
        </w:tc>
      </w:tr>
      <w:tr w:rsidR="004412F1" w14:paraId="16E612DB" w14:textId="77777777">
        <w:trPr>
          <w:trHeight w:val="270"/>
        </w:trPr>
        <w:tc>
          <w:tcPr>
            <w:tcW w:w="4095" w:type="dxa"/>
            <w:vMerge/>
            <w:tcBorders>
              <w:left w:val="single" w:sz="0" w:space="0" w:color="auto"/>
              <w:right w:val="single" w:sz="0" w:space="0" w:color="auto"/>
            </w:tcBorders>
            <w:vAlign w:val="center"/>
          </w:tcPr>
          <w:p w14:paraId="0BEE2EB6"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B82C5C5" w14:textId="77777777" w:rsidR="004412F1" w:rsidRDefault="005A12A3">
            <w:pPr>
              <w:rPr>
                <w:rFonts w:eastAsia="Times New Roman"/>
                <w:bCs/>
                <w:szCs w:val="18"/>
                <w:lang w:val="es-ES" w:eastAsia="es-ES"/>
              </w:rPr>
            </w:pPr>
            <w:r>
              <w:rPr>
                <w:rFonts w:ascii="Calibri" w:hAnsi="Calibri"/>
                <w:sz w:val="20"/>
                <w:lang w:val="es"/>
              </w:rPr>
              <w:t>Daños de soldaduras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EA059B"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7842C02" w14:textId="77777777">
        <w:trPr>
          <w:trHeight w:val="525"/>
        </w:trPr>
        <w:tc>
          <w:tcPr>
            <w:tcW w:w="4095" w:type="dxa"/>
            <w:vMerge/>
            <w:tcBorders>
              <w:left w:val="single" w:sz="0" w:space="0" w:color="auto"/>
              <w:right w:val="single" w:sz="0" w:space="0" w:color="auto"/>
            </w:tcBorders>
            <w:vAlign w:val="center"/>
          </w:tcPr>
          <w:p w14:paraId="136E25AA"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03A7B6E4" w14:textId="77777777" w:rsidR="004412F1" w:rsidRDefault="005A12A3">
            <w:pPr>
              <w:rPr>
                <w:rFonts w:eastAsia="Times New Roman"/>
                <w:bCs/>
                <w:szCs w:val="18"/>
                <w:lang w:val="es-ES" w:eastAsia="es-ES"/>
              </w:rPr>
            </w:pPr>
            <w:r>
              <w:rPr>
                <w:rFonts w:ascii="Calibri" w:hAnsi="Calibri"/>
                <w:sz w:val="20"/>
                <w:lang w:val="es"/>
              </w:rPr>
              <w:t>Descascaramientos, ampollas o grietas en la pintura de protección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1FEAEB" w14:textId="77777777" w:rsidR="004412F1" w:rsidRDefault="005A12A3">
            <w:pPr>
              <w:rPr>
                <w:rFonts w:eastAsia="Times New Roman"/>
                <w:bCs/>
                <w:szCs w:val="18"/>
                <w:lang w:val="es-ES" w:eastAsia="es-ES"/>
              </w:rPr>
            </w:pPr>
            <w:r>
              <w:rPr>
                <w:rFonts w:ascii="Calibri" w:hAnsi="Calibri"/>
                <w:sz w:val="20"/>
                <w:lang w:val="es"/>
              </w:rPr>
              <w:t>0.00%</w:t>
            </w:r>
          </w:p>
        </w:tc>
      </w:tr>
      <w:tr w:rsidR="004412F1" w14:paraId="6A992EEB" w14:textId="77777777">
        <w:trPr>
          <w:trHeight w:val="270"/>
        </w:trPr>
        <w:tc>
          <w:tcPr>
            <w:tcW w:w="4095" w:type="dxa"/>
            <w:vMerge/>
            <w:tcBorders>
              <w:left w:val="single" w:sz="0" w:space="0" w:color="auto"/>
              <w:bottom w:val="single" w:sz="0" w:space="0" w:color="000000" w:themeColor="text1"/>
              <w:right w:val="single" w:sz="0" w:space="0" w:color="auto"/>
            </w:tcBorders>
            <w:vAlign w:val="center"/>
          </w:tcPr>
          <w:p w14:paraId="5499457B"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170B6A16" w14:textId="77777777" w:rsidR="004412F1" w:rsidRDefault="005A12A3">
            <w:pPr>
              <w:rPr>
                <w:rFonts w:eastAsia="Times New Roman"/>
                <w:bCs/>
                <w:szCs w:val="18"/>
                <w:lang w:val="es-ES" w:eastAsia="es-ES"/>
              </w:rPr>
            </w:pPr>
            <w:r>
              <w:rPr>
                <w:rFonts w:ascii="Calibri" w:hAnsi="Calibri"/>
                <w:sz w:val="20"/>
                <w:lang w:val="es"/>
              </w:rPr>
              <w:t>Deterioro de galvanizado de protección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17EC6" w14:textId="77777777" w:rsidR="004412F1" w:rsidRDefault="005A12A3">
            <w:pPr>
              <w:rPr>
                <w:rFonts w:eastAsia="Times New Roman"/>
                <w:bCs/>
                <w:szCs w:val="18"/>
                <w:lang w:val="es-ES" w:eastAsia="es-ES"/>
              </w:rPr>
            </w:pPr>
            <w:r>
              <w:rPr>
                <w:rFonts w:ascii="Calibri" w:hAnsi="Calibri"/>
                <w:sz w:val="20"/>
                <w:lang w:val="es"/>
              </w:rPr>
              <w:t>0.00%</w:t>
            </w:r>
          </w:p>
        </w:tc>
      </w:tr>
      <w:tr w:rsidR="004412F1" w14:paraId="30338878" w14:textId="77777777">
        <w:trPr>
          <w:trHeight w:val="525"/>
        </w:trPr>
        <w:tc>
          <w:tcPr>
            <w:tcW w:w="409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11A9E808" w14:textId="77777777" w:rsidR="004412F1" w:rsidRDefault="005A12A3">
            <w:pPr>
              <w:rPr>
                <w:lang w:val="es-PE"/>
              </w:rPr>
            </w:pPr>
            <w:r>
              <w:rPr>
                <w:rFonts w:ascii="Calibri" w:hAnsi="Calibri"/>
                <w:sz w:val="20"/>
                <w:lang w:val="es"/>
              </w:rPr>
              <w:t>Deterioro de barandas y parapetos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373BA5" w14:textId="77777777" w:rsidR="004412F1" w:rsidRDefault="005A12A3">
            <w:pPr>
              <w:rPr>
                <w:rFonts w:eastAsia="Times New Roman"/>
                <w:bCs/>
                <w:szCs w:val="18"/>
                <w:lang w:val="es-ES" w:eastAsia="es-ES"/>
              </w:rPr>
            </w:pPr>
            <w:r>
              <w:rPr>
                <w:rFonts w:ascii="Calibri" w:hAnsi="Calibri"/>
                <w:sz w:val="20"/>
                <w:lang w:val="es"/>
              </w:rPr>
              <w:t>Elementos rotos, faltantes, flojos o fuera de alineación</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F80061"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F290B27" w14:textId="77777777">
        <w:trPr>
          <w:trHeight w:val="270"/>
        </w:trPr>
        <w:tc>
          <w:tcPr>
            <w:tcW w:w="4095" w:type="dxa"/>
            <w:vMerge/>
            <w:tcBorders>
              <w:left w:val="single" w:sz="0" w:space="0" w:color="auto"/>
              <w:bottom w:val="single" w:sz="0" w:space="0" w:color="auto"/>
              <w:right w:val="single" w:sz="0" w:space="0" w:color="auto"/>
            </w:tcBorders>
            <w:vAlign w:val="center"/>
          </w:tcPr>
          <w:p w14:paraId="44072767"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617F8304" w14:textId="77777777" w:rsidR="004412F1" w:rsidRDefault="005A12A3">
            <w:pPr>
              <w:rPr>
                <w:rFonts w:eastAsia="Times New Roman"/>
                <w:bCs/>
                <w:szCs w:val="18"/>
                <w:lang w:val="es-ES" w:eastAsia="es-ES"/>
              </w:rPr>
            </w:pPr>
            <w:r>
              <w:rPr>
                <w:rFonts w:ascii="Calibri" w:hAnsi="Calibri"/>
                <w:sz w:val="20"/>
                <w:lang w:val="es"/>
              </w:rPr>
              <w:t>Deterioro en la pintura</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D2202B" w14:textId="77777777" w:rsidR="004412F1" w:rsidRDefault="005A12A3">
            <w:pPr>
              <w:rPr>
                <w:rFonts w:eastAsia="Times New Roman"/>
                <w:bCs/>
                <w:szCs w:val="18"/>
                <w:lang w:val="es-ES" w:eastAsia="es-ES"/>
              </w:rPr>
            </w:pPr>
            <w:r>
              <w:rPr>
                <w:rFonts w:ascii="Calibri" w:hAnsi="Calibri"/>
                <w:sz w:val="20"/>
                <w:lang w:val="es"/>
              </w:rPr>
              <w:t>0.00%</w:t>
            </w:r>
          </w:p>
        </w:tc>
      </w:tr>
      <w:tr w:rsidR="004412F1" w14:paraId="7B958199" w14:textId="77777777">
        <w:trPr>
          <w:trHeight w:val="270"/>
        </w:trPr>
        <w:tc>
          <w:tcPr>
            <w:tcW w:w="409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449DC8FC" w14:textId="77777777" w:rsidR="004412F1" w:rsidRDefault="005A12A3">
            <w:r>
              <w:rPr>
                <w:rFonts w:ascii="Calibri" w:hAnsi="Calibri"/>
                <w:sz w:val="20"/>
                <w:lang w:val="es"/>
              </w:rPr>
              <w:t>Deterioros de veredas</w:t>
            </w:r>
          </w:p>
        </w:tc>
        <w:tc>
          <w:tcPr>
            <w:tcW w:w="358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344203" w14:textId="77777777" w:rsidR="004412F1" w:rsidRDefault="005A12A3">
            <w:pPr>
              <w:rPr>
                <w:rFonts w:eastAsia="Times New Roman"/>
                <w:bCs/>
                <w:szCs w:val="18"/>
                <w:lang w:val="es-ES" w:eastAsia="es-ES"/>
              </w:rPr>
            </w:pPr>
            <w:r>
              <w:rPr>
                <w:rFonts w:ascii="Calibri" w:hAnsi="Calibri"/>
                <w:sz w:val="20"/>
                <w:lang w:val="es"/>
              </w:rPr>
              <w:t>Desniveles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55E76"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1B84F7B" w14:textId="77777777">
        <w:trPr>
          <w:trHeight w:val="270"/>
        </w:trPr>
        <w:tc>
          <w:tcPr>
            <w:tcW w:w="4095" w:type="dxa"/>
            <w:vMerge/>
            <w:tcBorders>
              <w:left w:val="single" w:sz="0" w:space="0" w:color="auto"/>
              <w:bottom w:val="single" w:sz="0" w:space="0" w:color="auto"/>
              <w:right w:val="single" w:sz="0" w:space="0" w:color="auto"/>
            </w:tcBorders>
            <w:vAlign w:val="center"/>
          </w:tcPr>
          <w:p w14:paraId="3199B548"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70CC57CE" w14:textId="77777777" w:rsidR="004412F1" w:rsidRDefault="005A12A3">
            <w:pPr>
              <w:rPr>
                <w:rFonts w:eastAsia="Times New Roman"/>
                <w:bCs/>
                <w:szCs w:val="18"/>
                <w:lang w:val="es-ES" w:eastAsia="es-ES"/>
              </w:rPr>
            </w:pPr>
            <w:r>
              <w:rPr>
                <w:rFonts w:ascii="Calibri" w:hAnsi="Calibri"/>
                <w:sz w:val="20"/>
                <w:lang w:val="es"/>
              </w:rPr>
              <w:t>Suciedades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517311" w14:textId="77777777" w:rsidR="004412F1" w:rsidRDefault="005A12A3">
            <w:pPr>
              <w:rPr>
                <w:rFonts w:eastAsia="Times New Roman"/>
                <w:bCs/>
                <w:szCs w:val="18"/>
                <w:lang w:val="es-ES" w:eastAsia="es-ES"/>
              </w:rPr>
            </w:pPr>
            <w:r>
              <w:rPr>
                <w:rFonts w:ascii="Calibri" w:hAnsi="Calibri"/>
                <w:sz w:val="20"/>
                <w:lang w:val="es"/>
              </w:rPr>
              <w:t>0.00%</w:t>
            </w:r>
          </w:p>
        </w:tc>
      </w:tr>
      <w:tr w:rsidR="004412F1" w14:paraId="5D50A8B3" w14:textId="77777777">
        <w:trPr>
          <w:trHeight w:val="270"/>
        </w:trPr>
        <w:tc>
          <w:tcPr>
            <w:tcW w:w="4095" w:type="dxa"/>
            <w:vMerge/>
            <w:tcBorders>
              <w:left w:val="single" w:sz="0" w:space="0" w:color="auto"/>
              <w:right w:val="single" w:sz="0" w:space="0" w:color="auto"/>
            </w:tcBorders>
            <w:vAlign w:val="center"/>
          </w:tcPr>
          <w:p w14:paraId="26CE08A3"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492E1EB8" w14:textId="77777777" w:rsidR="004412F1" w:rsidRDefault="005A12A3">
            <w:pPr>
              <w:rPr>
                <w:rFonts w:eastAsia="Times New Roman"/>
                <w:bCs/>
                <w:szCs w:val="18"/>
                <w:lang w:val="es-ES" w:eastAsia="es-ES"/>
              </w:rPr>
            </w:pPr>
            <w:r>
              <w:rPr>
                <w:rFonts w:ascii="Calibri" w:hAnsi="Calibri"/>
                <w:sz w:val="20"/>
                <w:lang w:val="es"/>
              </w:rPr>
              <w:t>Losetas sueltas, faltantes o rotas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5D59F4" w14:textId="77777777" w:rsidR="004412F1" w:rsidRDefault="005A12A3">
            <w:pPr>
              <w:rPr>
                <w:rFonts w:eastAsia="Times New Roman"/>
                <w:bCs/>
                <w:szCs w:val="18"/>
                <w:lang w:val="es-ES" w:eastAsia="es-ES"/>
              </w:rPr>
            </w:pPr>
            <w:r>
              <w:rPr>
                <w:rFonts w:ascii="Calibri" w:hAnsi="Calibri"/>
                <w:sz w:val="20"/>
                <w:lang w:val="es"/>
              </w:rPr>
              <w:t>0.00%</w:t>
            </w:r>
          </w:p>
        </w:tc>
      </w:tr>
      <w:tr w:rsidR="004412F1" w14:paraId="222E3ED0" w14:textId="77777777">
        <w:trPr>
          <w:trHeight w:val="525"/>
        </w:trPr>
        <w:tc>
          <w:tcPr>
            <w:tcW w:w="4095" w:type="dxa"/>
            <w:vMerge/>
            <w:tcBorders>
              <w:left w:val="single" w:sz="0" w:space="0" w:color="auto"/>
              <w:bottom w:val="single" w:sz="0" w:space="0" w:color="000000" w:themeColor="text1"/>
              <w:right w:val="single" w:sz="0" w:space="0" w:color="auto"/>
            </w:tcBorders>
            <w:vAlign w:val="center"/>
          </w:tcPr>
          <w:p w14:paraId="7A64CAAB" w14:textId="77777777" w:rsidR="004412F1" w:rsidRDefault="004412F1"/>
        </w:tc>
        <w:tc>
          <w:tcPr>
            <w:tcW w:w="3585" w:type="dxa"/>
            <w:tcBorders>
              <w:top w:val="single" w:sz="8" w:space="0" w:color="auto"/>
              <w:left w:val="nil"/>
              <w:bottom w:val="single" w:sz="8" w:space="0" w:color="auto"/>
              <w:right w:val="single" w:sz="8" w:space="0" w:color="auto"/>
            </w:tcBorders>
            <w:tcMar>
              <w:left w:w="70" w:type="dxa"/>
              <w:right w:w="70" w:type="dxa"/>
            </w:tcMar>
            <w:vAlign w:val="center"/>
          </w:tcPr>
          <w:p w14:paraId="07BFF4B1" w14:textId="77777777" w:rsidR="004412F1" w:rsidRDefault="005A12A3">
            <w:pPr>
              <w:rPr>
                <w:rFonts w:eastAsia="Times New Roman"/>
                <w:bCs/>
                <w:szCs w:val="18"/>
                <w:lang w:val="es-ES" w:eastAsia="es-ES"/>
              </w:rPr>
            </w:pPr>
            <w:r>
              <w:rPr>
                <w:rFonts w:ascii="Calibri" w:hAnsi="Calibri"/>
                <w:sz w:val="20"/>
                <w:lang w:val="es"/>
              </w:rPr>
              <w:t>Manchas o deterioros por pasaje de agua en juntas de cordones y veredas</w:t>
            </w:r>
          </w:p>
        </w:tc>
        <w:tc>
          <w:tcPr>
            <w:tcW w:w="109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1AD36F" w14:textId="77777777" w:rsidR="004412F1" w:rsidRDefault="005A12A3">
            <w:pPr>
              <w:rPr>
                <w:rFonts w:eastAsia="Times New Roman"/>
                <w:bCs/>
                <w:szCs w:val="18"/>
                <w:lang w:val="es-ES" w:eastAsia="es-ES"/>
              </w:rPr>
            </w:pPr>
            <w:r>
              <w:rPr>
                <w:rFonts w:ascii="Calibri" w:hAnsi="Calibri"/>
                <w:sz w:val="20"/>
                <w:lang w:val="es"/>
              </w:rPr>
              <w:t>0.00%</w:t>
            </w:r>
          </w:p>
        </w:tc>
      </w:tr>
    </w:tbl>
    <w:p w14:paraId="632C8435" w14:textId="77777777" w:rsidR="004412F1" w:rsidRDefault="004412F1">
      <w:pPr>
        <w:jc w:val="center"/>
      </w:pPr>
    </w:p>
    <w:tbl>
      <w:tblPr>
        <w:tblpPr w:leftFromText="141" w:rightFromText="141" w:vertAnchor="text" w:horzAnchor="page" w:tblpX="2501" w:tblpY="1"/>
        <w:tblOverlap w:val="never"/>
        <w:tblW w:w="0" w:type="auto"/>
        <w:tblLayout w:type="fixed"/>
        <w:tblLook w:val="04A0" w:firstRow="1" w:lastRow="0" w:firstColumn="1" w:lastColumn="0" w:noHBand="0" w:noVBand="1"/>
      </w:tblPr>
      <w:tblGrid>
        <w:gridCol w:w="3900"/>
        <w:gridCol w:w="2670"/>
      </w:tblGrid>
      <w:tr w:rsidR="004412F1" w14:paraId="412A563E" w14:textId="77777777">
        <w:trPr>
          <w:trHeight w:val="480"/>
        </w:trPr>
        <w:tc>
          <w:tcPr>
            <w:tcW w:w="6570"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left w:w="70" w:type="dxa"/>
              <w:right w:w="70" w:type="dxa"/>
            </w:tcMar>
            <w:vAlign w:val="center"/>
          </w:tcPr>
          <w:p w14:paraId="3DD8CC81" w14:textId="77777777" w:rsidR="004412F1" w:rsidRDefault="005A12A3">
            <w:pPr>
              <w:jc w:val="center"/>
              <w:rPr>
                <w:b/>
                <w:sz w:val="20"/>
                <w:lang w:val="es-PE"/>
              </w:rPr>
            </w:pPr>
            <w:r>
              <w:rPr>
                <w:b/>
                <w:sz w:val="20"/>
                <w:lang w:val="es-PE"/>
              </w:rPr>
              <w:t>PLAZOS DE RESPUESTA A INCUMPLIMIENTO EN CALZADA Y BERMAS EN TUNELES</w:t>
            </w:r>
          </w:p>
        </w:tc>
      </w:tr>
      <w:tr w:rsidR="004412F1" w14:paraId="24A19058" w14:textId="77777777">
        <w:trPr>
          <w:trHeight w:val="61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3B5926" w14:textId="77777777" w:rsidR="004412F1" w:rsidRDefault="005A12A3">
            <w:pPr>
              <w:jc w:val="center"/>
              <w:rPr>
                <w:b/>
              </w:rPr>
            </w:pPr>
            <w:r>
              <w:rPr>
                <w:b/>
              </w:rPr>
              <w:t>Parámetro</w:t>
            </w:r>
          </w:p>
        </w:tc>
        <w:tc>
          <w:tcPr>
            <w:tcW w:w="2670" w:type="dxa"/>
            <w:tcBorders>
              <w:top w:val="nil"/>
              <w:left w:val="single" w:sz="8" w:space="0" w:color="auto"/>
              <w:bottom w:val="single" w:sz="8" w:space="0" w:color="auto"/>
              <w:right w:val="single" w:sz="8" w:space="0" w:color="auto"/>
            </w:tcBorders>
            <w:tcMar>
              <w:left w:w="70" w:type="dxa"/>
              <w:right w:w="70" w:type="dxa"/>
            </w:tcMar>
            <w:vAlign w:val="center"/>
          </w:tcPr>
          <w:p w14:paraId="4FD7CB5D" w14:textId="77777777" w:rsidR="004412F1" w:rsidRDefault="005A12A3">
            <w:pPr>
              <w:jc w:val="center"/>
              <w:rPr>
                <w:b/>
                <w:lang w:val="es-PE"/>
              </w:rPr>
            </w:pPr>
            <w:r>
              <w:rPr>
                <w:b/>
                <w:lang w:val="es-PE"/>
              </w:rPr>
              <w:t xml:space="preserve">Plazo máximo de corrección </w:t>
            </w:r>
            <w:proofErr w:type="gramStart"/>
            <w:r>
              <w:rPr>
                <w:b/>
                <w:lang w:val="es-PE"/>
              </w:rPr>
              <w:t>( días</w:t>
            </w:r>
            <w:proofErr w:type="gramEnd"/>
            <w:r>
              <w:rPr>
                <w:b/>
                <w:lang w:val="es-PE"/>
              </w:rPr>
              <w:t xml:space="preserve"> )</w:t>
            </w:r>
          </w:p>
        </w:tc>
      </w:tr>
      <w:tr w:rsidR="004412F1" w14:paraId="2FA62B9D" w14:textId="77777777">
        <w:trPr>
          <w:trHeight w:val="49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2B4679" w14:textId="77777777" w:rsidR="004412F1" w:rsidRDefault="005A12A3">
            <w:pPr>
              <w:rPr>
                <w:lang w:val="es-PE"/>
              </w:rPr>
            </w:pPr>
            <w:r>
              <w:rPr>
                <w:sz w:val="20"/>
                <w:lang w:val="es-PE"/>
              </w:rPr>
              <w:t>Reducción del ancho de la superficie de rodadura</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3B8D3D" w14:textId="77777777" w:rsidR="004412F1" w:rsidRDefault="005A12A3">
            <w:pPr>
              <w:jc w:val="center"/>
              <w:rPr>
                <w:sz w:val="20"/>
              </w:rPr>
            </w:pPr>
            <w:r>
              <w:rPr>
                <w:sz w:val="20"/>
              </w:rPr>
              <w:t>15</w:t>
            </w:r>
          </w:p>
        </w:tc>
      </w:tr>
      <w:tr w:rsidR="004412F1" w14:paraId="7F14AFC7" w14:textId="77777777">
        <w:trPr>
          <w:trHeight w:val="750"/>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E3E055" w14:textId="77777777" w:rsidR="004412F1" w:rsidRDefault="005A12A3">
            <w:pPr>
              <w:rPr>
                <w:lang w:val="es-PE"/>
              </w:rPr>
            </w:pPr>
            <w:r>
              <w:rPr>
                <w:sz w:val="20"/>
                <w:lang w:val="es-PE"/>
              </w:rPr>
              <w:t>Reducción del paquete estructural existente a la toma de posesión del contrato</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21DC7F" w14:textId="77777777" w:rsidR="004412F1" w:rsidRDefault="005A12A3">
            <w:pPr>
              <w:jc w:val="center"/>
              <w:rPr>
                <w:sz w:val="20"/>
              </w:rPr>
            </w:pPr>
            <w:r>
              <w:rPr>
                <w:sz w:val="20"/>
              </w:rPr>
              <w:t>15</w:t>
            </w:r>
          </w:p>
        </w:tc>
      </w:tr>
      <w:tr w:rsidR="004412F1" w14:paraId="5E6F2FA3"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A8559C" w14:textId="77777777" w:rsidR="004412F1" w:rsidRDefault="005A12A3">
            <w:r>
              <w:rPr>
                <w:sz w:val="20"/>
              </w:rPr>
              <w:t>Huecos</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E9264C" w14:textId="77777777" w:rsidR="004412F1" w:rsidRDefault="005A12A3">
            <w:pPr>
              <w:jc w:val="center"/>
              <w:rPr>
                <w:sz w:val="20"/>
              </w:rPr>
            </w:pPr>
            <w:r>
              <w:rPr>
                <w:sz w:val="20"/>
              </w:rPr>
              <w:t>3</w:t>
            </w:r>
          </w:p>
        </w:tc>
      </w:tr>
      <w:tr w:rsidR="004412F1" w14:paraId="589B7290"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836E22" w14:textId="77777777" w:rsidR="004412F1" w:rsidRDefault="005A12A3">
            <w:r>
              <w:rPr>
                <w:sz w:val="20"/>
              </w:rPr>
              <w:t>Fisuras</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24FA19" w14:textId="77777777" w:rsidR="004412F1" w:rsidRDefault="005A12A3">
            <w:pPr>
              <w:jc w:val="center"/>
              <w:rPr>
                <w:sz w:val="20"/>
              </w:rPr>
            </w:pPr>
            <w:r>
              <w:rPr>
                <w:sz w:val="20"/>
              </w:rPr>
              <w:t>7</w:t>
            </w:r>
          </w:p>
        </w:tc>
      </w:tr>
      <w:tr w:rsidR="004412F1" w14:paraId="7DAAA6E3"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86E437" w14:textId="77777777" w:rsidR="004412F1" w:rsidRDefault="005A12A3">
            <w:r>
              <w:rPr>
                <w:sz w:val="20"/>
              </w:rPr>
              <w:t>Parches</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EDED04" w14:textId="77777777" w:rsidR="004412F1" w:rsidRDefault="005A12A3">
            <w:pPr>
              <w:jc w:val="center"/>
              <w:rPr>
                <w:sz w:val="20"/>
              </w:rPr>
            </w:pPr>
            <w:r>
              <w:rPr>
                <w:sz w:val="20"/>
              </w:rPr>
              <w:t>3</w:t>
            </w:r>
          </w:p>
        </w:tc>
      </w:tr>
      <w:tr w:rsidR="004412F1" w14:paraId="1D507CB4"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D15D29" w14:textId="77777777" w:rsidR="004412F1" w:rsidRDefault="005A12A3">
            <w:r>
              <w:rPr>
                <w:sz w:val="20"/>
              </w:rPr>
              <w:t>Ahuellamiento</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EFA9C2" w14:textId="77777777" w:rsidR="004412F1" w:rsidRDefault="005A12A3">
            <w:pPr>
              <w:jc w:val="center"/>
              <w:rPr>
                <w:sz w:val="20"/>
              </w:rPr>
            </w:pPr>
            <w:r>
              <w:rPr>
                <w:sz w:val="20"/>
              </w:rPr>
              <w:t>30</w:t>
            </w:r>
          </w:p>
        </w:tc>
      </w:tr>
      <w:tr w:rsidR="004412F1" w14:paraId="4C2F535D"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CCB75E" w14:textId="77777777" w:rsidR="004412F1" w:rsidRDefault="005A12A3">
            <w:r>
              <w:rPr>
                <w:sz w:val="20"/>
              </w:rPr>
              <w:t>Hundimiento</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A370E8" w14:textId="77777777" w:rsidR="004412F1" w:rsidRDefault="005A12A3">
            <w:pPr>
              <w:jc w:val="center"/>
              <w:rPr>
                <w:sz w:val="20"/>
              </w:rPr>
            </w:pPr>
            <w:r>
              <w:rPr>
                <w:sz w:val="20"/>
              </w:rPr>
              <w:t>7</w:t>
            </w:r>
          </w:p>
        </w:tc>
      </w:tr>
      <w:tr w:rsidR="004412F1" w14:paraId="068CE867" w14:textId="77777777">
        <w:trPr>
          <w:trHeight w:val="40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9E03E1" w14:textId="77777777" w:rsidR="004412F1" w:rsidRDefault="005A12A3">
            <w:r>
              <w:rPr>
                <w:sz w:val="20"/>
              </w:rPr>
              <w:t>Exudación</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07BA90" w14:textId="77777777" w:rsidR="004412F1" w:rsidRDefault="005A12A3">
            <w:pPr>
              <w:jc w:val="center"/>
              <w:rPr>
                <w:sz w:val="20"/>
              </w:rPr>
            </w:pPr>
            <w:r>
              <w:rPr>
                <w:sz w:val="20"/>
              </w:rPr>
              <w:t>14</w:t>
            </w:r>
          </w:p>
        </w:tc>
      </w:tr>
      <w:tr w:rsidR="004412F1" w14:paraId="7DB26415"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BC72D6" w14:textId="77777777" w:rsidR="004412F1" w:rsidRDefault="005A12A3">
            <w:r>
              <w:rPr>
                <w:sz w:val="20"/>
              </w:rPr>
              <w:t>Existencia de material suelto</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8E5727" w14:textId="77777777" w:rsidR="004412F1" w:rsidRDefault="005A12A3">
            <w:pPr>
              <w:jc w:val="center"/>
              <w:rPr>
                <w:sz w:val="20"/>
              </w:rPr>
            </w:pPr>
            <w:r>
              <w:rPr>
                <w:sz w:val="20"/>
              </w:rPr>
              <w:t>1</w:t>
            </w:r>
          </w:p>
        </w:tc>
      </w:tr>
      <w:tr w:rsidR="004412F1" w14:paraId="1F4E8AD6" w14:textId="77777777">
        <w:trPr>
          <w:trHeight w:val="25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B66F91" w14:textId="77777777" w:rsidR="004412F1" w:rsidRDefault="005A12A3">
            <w:r>
              <w:rPr>
                <w:sz w:val="20"/>
              </w:rPr>
              <w:t>Existencia de obstáculos</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E2E3EB" w14:textId="77777777" w:rsidR="004412F1" w:rsidRDefault="005A12A3">
            <w:pPr>
              <w:jc w:val="center"/>
              <w:rPr>
                <w:sz w:val="20"/>
              </w:rPr>
            </w:pPr>
            <w:r>
              <w:rPr>
                <w:sz w:val="20"/>
              </w:rPr>
              <w:t>1</w:t>
            </w:r>
          </w:p>
        </w:tc>
      </w:tr>
      <w:tr w:rsidR="004412F1" w14:paraId="0D110BC1" w14:textId="77777777">
        <w:trPr>
          <w:trHeight w:val="49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30ECC4" w14:textId="77777777" w:rsidR="004412F1" w:rsidRDefault="005A12A3">
            <w:pPr>
              <w:rPr>
                <w:lang w:val="es-PE"/>
              </w:rPr>
            </w:pPr>
            <w:r>
              <w:rPr>
                <w:sz w:val="20"/>
                <w:lang w:val="es-PE"/>
              </w:rPr>
              <w:t>Rugosidad para recepción de las obras</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F7D773" w14:textId="77777777" w:rsidR="004412F1" w:rsidRDefault="005A12A3">
            <w:pPr>
              <w:jc w:val="center"/>
              <w:rPr>
                <w:sz w:val="20"/>
              </w:rPr>
            </w:pPr>
            <w:r>
              <w:rPr>
                <w:sz w:val="20"/>
              </w:rPr>
              <w:t>30</w:t>
            </w:r>
          </w:p>
        </w:tc>
      </w:tr>
      <w:tr w:rsidR="004412F1" w14:paraId="290E7AED" w14:textId="77777777">
        <w:trPr>
          <w:trHeight w:val="495"/>
        </w:trPr>
        <w:tc>
          <w:tcPr>
            <w:tcW w:w="39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FCAEB2" w14:textId="77777777" w:rsidR="004412F1" w:rsidRDefault="005A12A3">
            <w:pPr>
              <w:rPr>
                <w:lang w:val="es-PE"/>
              </w:rPr>
            </w:pPr>
            <w:r>
              <w:rPr>
                <w:sz w:val="20"/>
                <w:lang w:val="es-PE"/>
              </w:rPr>
              <w:t>Rugosidad durante el periodo de conservación</w:t>
            </w:r>
          </w:p>
        </w:tc>
        <w:tc>
          <w:tcPr>
            <w:tcW w:w="2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C6DCB9" w14:textId="77777777" w:rsidR="004412F1" w:rsidRDefault="005A12A3">
            <w:pPr>
              <w:jc w:val="center"/>
              <w:rPr>
                <w:sz w:val="20"/>
              </w:rPr>
            </w:pPr>
            <w:r>
              <w:rPr>
                <w:sz w:val="20"/>
              </w:rPr>
              <w:t>30</w:t>
            </w:r>
          </w:p>
        </w:tc>
      </w:tr>
    </w:tbl>
    <w:p w14:paraId="2B8EA825" w14:textId="77777777" w:rsidR="004412F1" w:rsidRDefault="004412F1">
      <w:pPr>
        <w:jc w:val="center"/>
      </w:pPr>
    </w:p>
    <w:tbl>
      <w:tblPr>
        <w:tblpPr w:leftFromText="141" w:rightFromText="141" w:vertAnchor="text" w:horzAnchor="page" w:tblpX="2501" w:tblpY="1"/>
        <w:tblOverlap w:val="never"/>
        <w:tblW w:w="0" w:type="auto"/>
        <w:tblLayout w:type="fixed"/>
        <w:tblLook w:val="04A0" w:firstRow="1" w:lastRow="0" w:firstColumn="1" w:lastColumn="0" w:noHBand="0" w:noVBand="1"/>
      </w:tblPr>
      <w:tblGrid>
        <w:gridCol w:w="4155"/>
        <w:gridCol w:w="2835"/>
      </w:tblGrid>
      <w:tr w:rsidR="004412F1" w14:paraId="0835DBB0" w14:textId="77777777">
        <w:trPr>
          <w:trHeight w:val="525"/>
        </w:trPr>
        <w:tc>
          <w:tcPr>
            <w:tcW w:w="6990"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Mar>
              <w:left w:w="70" w:type="dxa"/>
              <w:right w:w="70" w:type="dxa"/>
            </w:tcMar>
            <w:vAlign w:val="center"/>
          </w:tcPr>
          <w:p w14:paraId="1AD56950" w14:textId="77777777" w:rsidR="004412F1" w:rsidRDefault="005A12A3">
            <w:pPr>
              <w:jc w:val="center"/>
              <w:rPr>
                <w:b/>
                <w:sz w:val="20"/>
                <w:lang w:val="es-PE"/>
              </w:rPr>
            </w:pPr>
            <w:r>
              <w:rPr>
                <w:b/>
                <w:sz w:val="20"/>
                <w:lang w:val="es-PE"/>
              </w:rPr>
              <w:t>PLAZOS DE RESPUESTA A INCUMPLIMIENTO EN: REVESTIMIENTO Y DRENAJE DE TUNEL</w:t>
            </w:r>
          </w:p>
        </w:tc>
      </w:tr>
      <w:tr w:rsidR="004412F1" w14:paraId="153DE7ED"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99634" w14:textId="77777777" w:rsidR="004412F1" w:rsidRDefault="005A12A3">
            <w:r>
              <w:rPr>
                <w:sz w:val="20"/>
              </w:rPr>
              <w:t>Fisuras en el concreto</w:t>
            </w:r>
          </w:p>
        </w:tc>
        <w:tc>
          <w:tcPr>
            <w:tcW w:w="2835" w:type="dxa"/>
            <w:tcBorders>
              <w:top w:val="nil"/>
              <w:left w:val="single" w:sz="8" w:space="0" w:color="auto"/>
              <w:bottom w:val="single" w:sz="8" w:space="0" w:color="auto"/>
              <w:right w:val="single" w:sz="8" w:space="0" w:color="auto"/>
            </w:tcBorders>
            <w:tcMar>
              <w:left w:w="70" w:type="dxa"/>
              <w:right w:w="70" w:type="dxa"/>
            </w:tcMar>
            <w:vAlign w:val="center"/>
          </w:tcPr>
          <w:p w14:paraId="5D440342" w14:textId="77777777" w:rsidR="004412F1" w:rsidRDefault="005A12A3">
            <w:pPr>
              <w:jc w:val="center"/>
              <w:rPr>
                <w:sz w:val="20"/>
              </w:rPr>
            </w:pPr>
            <w:r>
              <w:rPr>
                <w:sz w:val="20"/>
              </w:rPr>
              <w:t>7</w:t>
            </w:r>
          </w:p>
        </w:tc>
      </w:tr>
      <w:tr w:rsidR="004412F1" w14:paraId="0BEC8F65"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F726A0" w14:textId="77777777" w:rsidR="004412F1" w:rsidRDefault="005A12A3">
            <w:r>
              <w:rPr>
                <w:sz w:val="20"/>
              </w:rPr>
              <w:t>Existencia de material suelto</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916C17" w14:textId="77777777" w:rsidR="004412F1" w:rsidRDefault="005A12A3">
            <w:pPr>
              <w:jc w:val="center"/>
              <w:rPr>
                <w:sz w:val="20"/>
              </w:rPr>
            </w:pPr>
            <w:r>
              <w:rPr>
                <w:sz w:val="20"/>
              </w:rPr>
              <w:t>1</w:t>
            </w:r>
          </w:p>
        </w:tc>
      </w:tr>
      <w:tr w:rsidR="004412F1" w14:paraId="70780479"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45C26D" w14:textId="77777777" w:rsidR="004412F1" w:rsidRDefault="005A12A3">
            <w:r>
              <w:rPr>
                <w:sz w:val="20"/>
              </w:rPr>
              <w:t xml:space="preserve">Drenaje </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4093EF" w14:textId="77777777" w:rsidR="004412F1" w:rsidRDefault="005A12A3">
            <w:pPr>
              <w:jc w:val="center"/>
              <w:rPr>
                <w:sz w:val="20"/>
              </w:rPr>
            </w:pPr>
            <w:r>
              <w:rPr>
                <w:sz w:val="20"/>
              </w:rPr>
              <w:t>1</w:t>
            </w:r>
          </w:p>
        </w:tc>
      </w:tr>
      <w:tr w:rsidR="004412F1" w14:paraId="18FEFFFA"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508F31" w14:textId="77777777" w:rsidR="004412F1" w:rsidRDefault="005A12A3">
            <w:r>
              <w:rPr>
                <w:sz w:val="20"/>
              </w:rPr>
              <w:t xml:space="preserve">Suciedades o elementos </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9220BE" w14:textId="77777777" w:rsidR="004412F1" w:rsidRDefault="005A12A3">
            <w:pPr>
              <w:jc w:val="center"/>
              <w:rPr>
                <w:sz w:val="20"/>
              </w:rPr>
            </w:pPr>
            <w:r>
              <w:rPr>
                <w:sz w:val="20"/>
              </w:rPr>
              <w:t>7</w:t>
            </w:r>
          </w:p>
        </w:tc>
      </w:tr>
      <w:tr w:rsidR="004412F1" w14:paraId="26C3492F"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AEE37A" w14:textId="77777777" w:rsidR="004412F1" w:rsidRDefault="005A12A3">
            <w:r>
              <w:rPr>
                <w:sz w:val="20"/>
              </w:rPr>
              <w:t>Deterioro del sobrepiso</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598801" w14:textId="77777777" w:rsidR="004412F1" w:rsidRDefault="005A12A3">
            <w:pPr>
              <w:jc w:val="center"/>
              <w:rPr>
                <w:sz w:val="20"/>
              </w:rPr>
            </w:pPr>
            <w:r>
              <w:rPr>
                <w:sz w:val="20"/>
              </w:rPr>
              <w:t>7</w:t>
            </w:r>
          </w:p>
        </w:tc>
      </w:tr>
      <w:tr w:rsidR="004412F1" w14:paraId="3ED930AC" w14:textId="77777777">
        <w:trPr>
          <w:trHeight w:val="49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DB5A1B" w14:textId="77777777" w:rsidR="004412F1" w:rsidRDefault="005A12A3">
            <w:pPr>
              <w:rPr>
                <w:lang w:val="es-PE"/>
              </w:rPr>
            </w:pPr>
            <w:r>
              <w:rPr>
                <w:sz w:val="20"/>
                <w:lang w:val="es-PE"/>
              </w:rPr>
              <w:t>Deficiencias en las juntas extremas o intermedias</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1C82F7" w14:textId="77777777" w:rsidR="004412F1" w:rsidRDefault="005A12A3">
            <w:pPr>
              <w:jc w:val="center"/>
              <w:rPr>
                <w:sz w:val="20"/>
              </w:rPr>
            </w:pPr>
            <w:r>
              <w:rPr>
                <w:sz w:val="20"/>
              </w:rPr>
              <w:t>7</w:t>
            </w:r>
          </w:p>
        </w:tc>
      </w:tr>
      <w:tr w:rsidR="004412F1" w14:paraId="1D94892A" w14:textId="77777777">
        <w:trPr>
          <w:trHeight w:val="49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2D028A" w14:textId="77777777" w:rsidR="004412F1" w:rsidRDefault="005A12A3">
            <w:pPr>
              <w:rPr>
                <w:lang w:val="es-PE"/>
              </w:rPr>
            </w:pPr>
            <w:r>
              <w:rPr>
                <w:sz w:val="20"/>
                <w:lang w:val="es-PE"/>
              </w:rPr>
              <w:t>Deterioros en elementos de hormigón</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C7299F" w14:textId="77777777" w:rsidR="004412F1" w:rsidRDefault="005A12A3">
            <w:pPr>
              <w:jc w:val="center"/>
              <w:rPr>
                <w:sz w:val="20"/>
              </w:rPr>
            </w:pPr>
            <w:r>
              <w:rPr>
                <w:sz w:val="20"/>
              </w:rPr>
              <w:t>7</w:t>
            </w:r>
          </w:p>
        </w:tc>
      </w:tr>
      <w:tr w:rsidR="004412F1" w14:paraId="69FAEF0F"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5EBFE9" w14:textId="77777777" w:rsidR="004412F1" w:rsidRDefault="005A12A3">
            <w:r>
              <w:rPr>
                <w:sz w:val="20"/>
              </w:rPr>
              <w:t>Deterioros en elementos metálicos</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F53B90" w14:textId="77777777" w:rsidR="004412F1" w:rsidRDefault="005A12A3">
            <w:pPr>
              <w:jc w:val="center"/>
              <w:rPr>
                <w:sz w:val="20"/>
              </w:rPr>
            </w:pPr>
            <w:r>
              <w:rPr>
                <w:sz w:val="20"/>
              </w:rPr>
              <w:t>7</w:t>
            </w:r>
          </w:p>
        </w:tc>
      </w:tr>
      <w:tr w:rsidR="004412F1" w14:paraId="143DE5D3" w14:textId="77777777">
        <w:trPr>
          <w:trHeight w:val="25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B1F3EE" w14:textId="77777777" w:rsidR="004412F1" w:rsidRDefault="005A12A3">
            <w:pPr>
              <w:rPr>
                <w:lang w:val="es-PE"/>
              </w:rPr>
            </w:pPr>
            <w:r>
              <w:rPr>
                <w:sz w:val="20"/>
                <w:lang w:val="es-PE"/>
              </w:rPr>
              <w:t>Deterioros de barandas y parapetos</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E7D75C" w14:textId="77777777" w:rsidR="004412F1" w:rsidRDefault="005A12A3">
            <w:pPr>
              <w:jc w:val="center"/>
              <w:rPr>
                <w:sz w:val="20"/>
              </w:rPr>
            </w:pPr>
            <w:r>
              <w:rPr>
                <w:sz w:val="20"/>
              </w:rPr>
              <w:t>7</w:t>
            </w:r>
          </w:p>
        </w:tc>
      </w:tr>
      <w:tr w:rsidR="004412F1" w14:paraId="28EB1FDD" w14:textId="77777777">
        <w:trPr>
          <w:trHeight w:val="225"/>
        </w:trPr>
        <w:tc>
          <w:tcPr>
            <w:tcW w:w="4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A69DCE" w14:textId="77777777" w:rsidR="004412F1" w:rsidRDefault="005A12A3">
            <w:r>
              <w:rPr>
                <w:sz w:val="20"/>
              </w:rPr>
              <w:t>Deterioros de veredas</w:t>
            </w:r>
          </w:p>
        </w:tc>
        <w:tc>
          <w:tcPr>
            <w:tcW w:w="283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00ACA0" w14:textId="77777777" w:rsidR="004412F1" w:rsidRDefault="005A12A3">
            <w:pPr>
              <w:jc w:val="center"/>
              <w:rPr>
                <w:sz w:val="20"/>
              </w:rPr>
            </w:pPr>
            <w:r>
              <w:rPr>
                <w:sz w:val="20"/>
              </w:rPr>
              <w:t>7</w:t>
            </w:r>
          </w:p>
        </w:tc>
      </w:tr>
    </w:tbl>
    <w:p w14:paraId="5F321B6E" w14:textId="77777777" w:rsidR="004412F1" w:rsidRDefault="004412F1">
      <w:pPr>
        <w:jc w:val="center"/>
      </w:pPr>
    </w:p>
    <w:tbl>
      <w:tblPr>
        <w:tblW w:w="0" w:type="auto"/>
        <w:tblLayout w:type="fixed"/>
        <w:tblLook w:val="04A0" w:firstRow="1" w:lastRow="0" w:firstColumn="1" w:lastColumn="0" w:noHBand="0" w:noVBand="1"/>
      </w:tblPr>
      <w:tblGrid>
        <w:gridCol w:w="2325"/>
        <w:gridCol w:w="4065"/>
        <w:gridCol w:w="3255"/>
      </w:tblGrid>
      <w:tr w:rsidR="004412F1" w14:paraId="3072A140" w14:textId="77777777">
        <w:trPr>
          <w:trHeight w:val="330"/>
        </w:trPr>
        <w:tc>
          <w:tcPr>
            <w:tcW w:w="9645" w:type="dxa"/>
            <w:gridSpan w:val="3"/>
            <w:tcBorders>
              <w:top w:val="single" w:sz="8" w:space="0" w:color="auto"/>
              <w:left w:val="single" w:sz="8" w:space="0" w:color="auto"/>
              <w:bottom w:val="single" w:sz="8" w:space="0" w:color="auto"/>
              <w:right w:val="single" w:sz="8" w:space="0" w:color="auto"/>
            </w:tcBorders>
            <w:shd w:val="clear" w:color="auto" w:fill="95B3D7" w:themeFill="accent1" w:themeFillTint="99"/>
            <w:tcMar>
              <w:left w:w="70" w:type="dxa"/>
              <w:right w:w="70" w:type="dxa"/>
            </w:tcMar>
            <w:vAlign w:val="center"/>
          </w:tcPr>
          <w:p w14:paraId="20532301" w14:textId="77777777" w:rsidR="004412F1" w:rsidRDefault="005A12A3">
            <w:pPr>
              <w:jc w:val="center"/>
              <w:rPr>
                <w:b/>
                <w:sz w:val="20"/>
                <w:lang w:val="es-PE"/>
              </w:rPr>
            </w:pPr>
            <w:r>
              <w:rPr>
                <w:b/>
                <w:sz w:val="20"/>
                <w:lang w:val="es-PE"/>
              </w:rPr>
              <w:t>Niveles de Servicio para: Túneles</w:t>
            </w:r>
          </w:p>
        </w:tc>
      </w:tr>
      <w:tr w:rsidR="004412F1" w14:paraId="0E5C96BE" w14:textId="77777777">
        <w:trPr>
          <w:trHeight w:val="330"/>
        </w:trPr>
        <w:tc>
          <w:tcPr>
            <w:tcW w:w="9645" w:type="dxa"/>
            <w:gridSpan w:val="3"/>
            <w:tcBorders>
              <w:top w:val="single" w:sz="8" w:space="0" w:color="auto"/>
              <w:left w:val="single" w:sz="8" w:space="0" w:color="auto"/>
              <w:bottom w:val="single" w:sz="8" w:space="0" w:color="auto"/>
              <w:right w:val="single" w:sz="8" w:space="0" w:color="000000" w:themeColor="text1"/>
            </w:tcBorders>
            <w:shd w:val="clear" w:color="auto" w:fill="95B3D7" w:themeFill="accent1" w:themeFillTint="99"/>
            <w:tcMar>
              <w:left w:w="70" w:type="dxa"/>
              <w:right w:w="70" w:type="dxa"/>
            </w:tcMar>
            <w:vAlign w:val="bottom"/>
          </w:tcPr>
          <w:p w14:paraId="38A0DD75" w14:textId="77777777" w:rsidR="004412F1" w:rsidRDefault="005A12A3">
            <w:pPr>
              <w:jc w:val="center"/>
              <w:rPr>
                <w:b/>
                <w:color w:val="000000" w:themeColor="text1"/>
                <w:sz w:val="20"/>
              </w:rPr>
            </w:pPr>
            <w:r>
              <w:rPr>
                <w:b/>
                <w:color w:val="000000" w:themeColor="text1"/>
                <w:sz w:val="20"/>
              </w:rPr>
              <w:t>Señalización Horizontal</w:t>
            </w:r>
          </w:p>
        </w:tc>
      </w:tr>
      <w:tr w:rsidR="004412F1" w14:paraId="5B253F11" w14:textId="77777777">
        <w:trPr>
          <w:trHeight w:val="270"/>
        </w:trPr>
        <w:tc>
          <w:tcPr>
            <w:tcW w:w="2325" w:type="dxa"/>
            <w:tcBorders>
              <w:top w:val="single" w:sz="8" w:space="0" w:color="auto"/>
              <w:left w:val="single" w:sz="8" w:space="0" w:color="auto"/>
              <w:bottom w:val="single" w:sz="8" w:space="0" w:color="auto"/>
              <w:right w:val="single" w:sz="8" w:space="0" w:color="000000" w:themeColor="text1"/>
            </w:tcBorders>
            <w:tcMar>
              <w:left w:w="70" w:type="dxa"/>
              <w:right w:w="70" w:type="dxa"/>
            </w:tcMar>
            <w:vAlign w:val="bottom"/>
          </w:tcPr>
          <w:p w14:paraId="110FA435" w14:textId="77777777" w:rsidR="004412F1" w:rsidRDefault="005A12A3">
            <w:pPr>
              <w:jc w:val="center"/>
              <w:rPr>
                <w:b/>
                <w:sz w:val="20"/>
              </w:rPr>
            </w:pPr>
            <w:r>
              <w:rPr>
                <w:b/>
                <w:sz w:val="20"/>
              </w:rPr>
              <w:t>PARAMETRO</w:t>
            </w:r>
          </w:p>
        </w:tc>
        <w:tc>
          <w:tcPr>
            <w:tcW w:w="4065" w:type="dxa"/>
            <w:tcBorders>
              <w:top w:val="nil"/>
              <w:left w:val="single" w:sz="8" w:space="0" w:color="auto"/>
              <w:bottom w:val="single" w:sz="8" w:space="0" w:color="auto"/>
              <w:right w:val="single" w:sz="8" w:space="0" w:color="auto"/>
            </w:tcBorders>
            <w:tcMar>
              <w:left w:w="70" w:type="dxa"/>
              <w:right w:w="70" w:type="dxa"/>
            </w:tcMar>
            <w:vAlign w:val="bottom"/>
          </w:tcPr>
          <w:p w14:paraId="201B4D0A" w14:textId="77777777" w:rsidR="004412F1" w:rsidRDefault="005A12A3">
            <w:pPr>
              <w:jc w:val="center"/>
              <w:rPr>
                <w:rFonts w:eastAsia="Times New Roman"/>
                <w:b/>
                <w:bCs/>
                <w:sz w:val="20"/>
                <w:szCs w:val="18"/>
                <w:lang w:val="es-ES" w:eastAsia="es-ES"/>
              </w:rPr>
            </w:pPr>
            <w:r>
              <w:rPr>
                <w:b/>
                <w:sz w:val="20"/>
              </w:rPr>
              <w:t>MEDIDA</w:t>
            </w:r>
          </w:p>
        </w:tc>
        <w:tc>
          <w:tcPr>
            <w:tcW w:w="3255" w:type="dxa"/>
            <w:tcBorders>
              <w:top w:val="nil"/>
              <w:left w:val="single" w:sz="8" w:space="0" w:color="auto"/>
              <w:bottom w:val="single" w:sz="8" w:space="0" w:color="auto"/>
              <w:right w:val="single" w:sz="8" w:space="0" w:color="000000" w:themeColor="text1"/>
            </w:tcBorders>
            <w:tcMar>
              <w:left w:w="70" w:type="dxa"/>
              <w:right w:w="70" w:type="dxa"/>
            </w:tcMar>
            <w:vAlign w:val="bottom"/>
          </w:tcPr>
          <w:p w14:paraId="52672C8F" w14:textId="77777777" w:rsidR="004412F1" w:rsidRDefault="005A12A3">
            <w:pPr>
              <w:jc w:val="center"/>
              <w:rPr>
                <w:rFonts w:eastAsia="Times New Roman"/>
                <w:b/>
                <w:bCs/>
                <w:sz w:val="20"/>
                <w:szCs w:val="18"/>
                <w:lang w:val="es-ES" w:eastAsia="es-ES"/>
              </w:rPr>
            </w:pPr>
            <w:r>
              <w:rPr>
                <w:b/>
                <w:sz w:val="20"/>
              </w:rPr>
              <w:t>NIVEL DE SERVICIO</w:t>
            </w:r>
          </w:p>
        </w:tc>
      </w:tr>
      <w:tr w:rsidR="004412F1" w14:paraId="34B1EC5E" w14:textId="77777777">
        <w:trPr>
          <w:trHeight w:val="525"/>
        </w:trPr>
        <w:tc>
          <w:tcPr>
            <w:tcW w:w="232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3EF15634" w14:textId="77777777" w:rsidR="004412F1" w:rsidRDefault="005A12A3">
            <w:pPr>
              <w:rPr>
                <w:lang w:val="es-PE"/>
              </w:rPr>
            </w:pPr>
            <w:r>
              <w:rPr>
                <w:sz w:val="20"/>
                <w:lang w:val="es-PE"/>
              </w:rPr>
              <w:t>Geometría incorrecta de las líneas</w:t>
            </w:r>
          </w:p>
        </w:tc>
        <w:tc>
          <w:tcPr>
            <w:tcW w:w="406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4B84D95D" w14:textId="77777777" w:rsidR="004412F1" w:rsidRDefault="005A12A3">
            <w:pPr>
              <w:rPr>
                <w:rFonts w:eastAsia="Times New Roman"/>
                <w:bCs/>
                <w:szCs w:val="18"/>
                <w:lang w:val="es-ES" w:eastAsia="es-ES"/>
              </w:rPr>
            </w:pPr>
            <w:r>
              <w:rPr>
                <w:sz w:val="20"/>
              </w:rPr>
              <w:t>Ancho de líneas mínimo</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93A1C5" w14:textId="77777777" w:rsidR="004412F1" w:rsidRDefault="005A12A3">
            <w:pPr>
              <w:rPr>
                <w:rFonts w:eastAsia="Times New Roman"/>
                <w:bCs/>
                <w:szCs w:val="18"/>
                <w:lang w:val="es-ES" w:eastAsia="es-ES"/>
              </w:rPr>
            </w:pPr>
            <w:r>
              <w:rPr>
                <w:sz w:val="20"/>
                <w:lang w:val="es-PE"/>
              </w:rPr>
              <w:t xml:space="preserve">En demarcación de líneas de eje y borde: 10 cm. </w:t>
            </w:r>
            <w:proofErr w:type="gramStart"/>
            <w:r>
              <w:rPr>
                <w:sz w:val="20"/>
              </w:rPr>
              <w:t>( *</w:t>
            </w:r>
            <w:proofErr w:type="gramEnd"/>
            <w:r>
              <w:rPr>
                <w:sz w:val="20"/>
              </w:rPr>
              <w:t xml:space="preserve"> )</w:t>
            </w:r>
          </w:p>
        </w:tc>
      </w:tr>
      <w:tr w:rsidR="004412F1" w14:paraId="3A0A4933" w14:textId="77777777">
        <w:trPr>
          <w:trHeight w:val="915"/>
        </w:trPr>
        <w:tc>
          <w:tcPr>
            <w:tcW w:w="2325" w:type="dxa"/>
            <w:vMerge/>
            <w:tcBorders>
              <w:left w:val="single" w:sz="0" w:space="0" w:color="auto"/>
              <w:right w:val="single" w:sz="0" w:space="0" w:color="auto"/>
            </w:tcBorders>
            <w:vAlign w:val="center"/>
          </w:tcPr>
          <w:p w14:paraId="28C597E9" w14:textId="77777777" w:rsidR="004412F1" w:rsidRDefault="004412F1"/>
        </w:tc>
        <w:tc>
          <w:tcPr>
            <w:tcW w:w="4065" w:type="dxa"/>
            <w:vMerge/>
            <w:tcBorders>
              <w:left w:val="single" w:sz="0" w:space="0" w:color="auto"/>
              <w:bottom w:val="single" w:sz="0" w:space="0" w:color="000000" w:themeColor="text1"/>
              <w:right w:val="single" w:sz="0" w:space="0" w:color="auto"/>
            </w:tcBorders>
            <w:vAlign w:val="center"/>
          </w:tcPr>
          <w:p w14:paraId="3F617D3E" w14:textId="77777777" w:rsidR="004412F1" w:rsidRDefault="004412F1"/>
        </w:tc>
        <w:tc>
          <w:tcPr>
            <w:tcW w:w="3255" w:type="dxa"/>
            <w:tcBorders>
              <w:top w:val="single" w:sz="8" w:space="0" w:color="auto"/>
              <w:left w:val="nil"/>
              <w:bottom w:val="single" w:sz="8" w:space="0" w:color="auto"/>
              <w:right w:val="single" w:sz="8" w:space="0" w:color="auto"/>
            </w:tcBorders>
            <w:tcMar>
              <w:left w:w="70" w:type="dxa"/>
              <w:right w:w="70" w:type="dxa"/>
            </w:tcMar>
            <w:vAlign w:val="center"/>
          </w:tcPr>
          <w:p w14:paraId="1A0E84D3" w14:textId="77777777" w:rsidR="004412F1" w:rsidRDefault="005A12A3">
            <w:pPr>
              <w:rPr>
                <w:rFonts w:eastAsia="Times New Roman"/>
                <w:bCs/>
                <w:szCs w:val="18"/>
                <w:lang w:val="es-ES" w:eastAsia="es-ES"/>
              </w:rPr>
            </w:pPr>
            <w:r>
              <w:rPr>
                <w:sz w:val="20"/>
                <w:lang w:val="es-PE"/>
              </w:rPr>
              <w:t>En demarcación de líneas con resalto o indicadoras de reducción de velocidad: 15 cm.</w:t>
            </w:r>
          </w:p>
        </w:tc>
      </w:tr>
      <w:tr w:rsidR="004412F1" w14:paraId="215154C5" w14:textId="77777777">
        <w:trPr>
          <w:trHeight w:val="270"/>
        </w:trPr>
        <w:tc>
          <w:tcPr>
            <w:tcW w:w="2325" w:type="dxa"/>
            <w:vMerge/>
            <w:tcBorders>
              <w:left w:val="single" w:sz="0" w:space="0" w:color="auto"/>
              <w:right w:val="single" w:sz="0" w:space="0" w:color="auto"/>
            </w:tcBorders>
            <w:vAlign w:val="center"/>
          </w:tcPr>
          <w:p w14:paraId="37A70C5C" w14:textId="77777777" w:rsidR="004412F1" w:rsidRDefault="004412F1">
            <w:pPr>
              <w:rPr>
                <w:lang w:val="es-PE"/>
              </w:rPr>
            </w:pPr>
          </w:p>
        </w:tc>
        <w:tc>
          <w:tcPr>
            <w:tcW w:w="4065" w:type="dxa"/>
            <w:tcBorders>
              <w:top w:val="nil"/>
              <w:left w:val="nil"/>
              <w:bottom w:val="single" w:sz="8" w:space="0" w:color="auto"/>
              <w:right w:val="single" w:sz="8" w:space="0" w:color="auto"/>
            </w:tcBorders>
            <w:tcMar>
              <w:left w:w="70" w:type="dxa"/>
              <w:right w:w="70" w:type="dxa"/>
            </w:tcMar>
            <w:vAlign w:val="center"/>
          </w:tcPr>
          <w:p w14:paraId="1E91EF4E" w14:textId="77777777" w:rsidR="004412F1" w:rsidRDefault="005A12A3">
            <w:pPr>
              <w:rPr>
                <w:rFonts w:eastAsia="Times New Roman"/>
                <w:bCs/>
                <w:szCs w:val="18"/>
                <w:lang w:val="es-ES" w:eastAsia="es-ES"/>
              </w:rPr>
            </w:pPr>
            <w:r>
              <w:rPr>
                <w:sz w:val="20"/>
                <w:lang w:val="es-PE"/>
              </w:rPr>
              <w:t>Longitud de las líneas punteadas del eje</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963A8E" w14:textId="77777777" w:rsidR="004412F1" w:rsidRDefault="005A12A3">
            <w:pPr>
              <w:rPr>
                <w:rFonts w:eastAsia="Times New Roman"/>
                <w:bCs/>
                <w:szCs w:val="18"/>
                <w:lang w:val="es-ES" w:eastAsia="es-ES"/>
              </w:rPr>
            </w:pPr>
            <w:r>
              <w:rPr>
                <w:sz w:val="20"/>
              </w:rPr>
              <w:t>4.5 m +/- 2%</w:t>
            </w:r>
          </w:p>
        </w:tc>
      </w:tr>
      <w:tr w:rsidR="004412F1" w14:paraId="610684E3" w14:textId="77777777">
        <w:trPr>
          <w:trHeight w:val="525"/>
        </w:trPr>
        <w:tc>
          <w:tcPr>
            <w:tcW w:w="2325" w:type="dxa"/>
            <w:vMerge/>
            <w:tcBorders>
              <w:left w:val="single" w:sz="0" w:space="0" w:color="auto"/>
              <w:right w:val="single" w:sz="0" w:space="0" w:color="auto"/>
            </w:tcBorders>
            <w:vAlign w:val="center"/>
          </w:tcPr>
          <w:p w14:paraId="482DD4B8" w14:textId="77777777" w:rsidR="004412F1" w:rsidRDefault="004412F1"/>
        </w:tc>
        <w:tc>
          <w:tcPr>
            <w:tcW w:w="4065" w:type="dxa"/>
            <w:tcBorders>
              <w:top w:val="single" w:sz="8" w:space="0" w:color="auto"/>
              <w:left w:val="nil"/>
              <w:bottom w:val="single" w:sz="8" w:space="0" w:color="000000" w:themeColor="text1"/>
              <w:right w:val="single" w:sz="8" w:space="0" w:color="auto"/>
            </w:tcBorders>
            <w:tcMar>
              <w:left w:w="70" w:type="dxa"/>
              <w:right w:w="70" w:type="dxa"/>
            </w:tcMar>
            <w:vAlign w:val="center"/>
          </w:tcPr>
          <w:p w14:paraId="214677CE" w14:textId="77777777" w:rsidR="004412F1" w:rsidRDefault="005A12A3">
            <w:pPr>
              <w:rPr>
                <w:rFonts w:eastAsia="Times New Roman"/>
                <w:bCs/>
                <w:szCs w:val="18"/>
                <w:lang w:val="es-ES" w:eastAsia="es-ES"/>
              </w:rPr>
            </w:pPr>
            <w:r>
              <w:rPr>
                <w:sz w:val="20"/>
                <w:lang w:val="es-PE"/>
              </w:rPr>
              <w:t>Longitud de los espacios entre líneas punteadas del eje</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6ECEF6" w14:textId="77777777" w:rsidR="004412F1" w:rsidRDefault="005A12A3">
            <w:pPr>
              <w:rPr>
                <w:rFonts w:eastAsia="Times New Roman"/>
                <w:bCs/>
                <w:szCs w:val="18"/>
                <w:lang w:val="es-ES" w:eastAsia="es-ES"/>
              </w:rPr>
            </w:pPr>
            <w:r>
              <w:rPr>
                <w:sz w:val="20"/>
              </w:rPr>
              <w:t>7.5 m +/- 2%</w:t>
            </w:r>
          </w:p>
        </w:tc>
      </w:tr>
      <w:tr w:rsidR="004412F1" w14:paraId="52E08815" w14:textId="77777777">
        <w:trPr>
          <w:trHeight w:val="525"/>
        </w:trPr>
        <w:tc>
          <w:tcPr>
            <w:tcW w:w="2325" w:type="dxa"/>
            <w:vMerge/>
            <w:tcBorders>
              <w:left w:val="single" w:sz="0" w:space="0" w:color="auto"/>
              <w:right w:val="single" w:sz="0" w:space="0" w:color="auto"/>
            </w:tcBorders>
            <w:vAlign w:val="center"/>
          </w:tcPr>
          <w:p w14:paraId="5224EA48"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6D3CA29F" w14:textId="77777777" w:rsidR="004412F1" w:rsidRDefault="005A12A3">
            <w:pPr>
              <w:rPr>
                <w:rFonts w:eastAsia="Times New Roman"/>
                <w:bCs/>
                <w:szCs w:val="18"/>
                <w:lang w:val="es-ES" w:eastAsia="es-ES"/>
              </w:rPr>
            </w:pPr>
            <w:r>
              <w:rPr>
                <w:sz w:val="20"/>
                <w:lang w:val="es-PE"/>
              </w:rPr>
              <w:t>Deflexión máxima de la alineación de las líneas de eje con respecto al eje de la ruta</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379F21" w14:textId="77777777" w:rsidR="004412F1" w:rsidRDefault="005A12A3">
            <w:pPr>
              <w:rPr>
                <w:rFonts w:eastAsia="Times New Roman"/>
                <w:bCs/>
                <w:szCs w:val="18"/>
                <w:lang w:val="es-ES" w:eastAsia="es-ES"/>
              </w:rPr>
            </w:pPr>
            <w:r>
              <w:rPr>
                <w:sz w:val="20"/>
              </w:rPr>
              <w:t>Me Emax = 10 cm.</w:t>
            </w:r>
          </w:p>
        </w:tc>
      </w:tr>
      <w:tr w:rsidR="004412F1" w14:paraId="73147E90" w14:textId="77777777">
        <w:trPr>
          <w:trHeight w:val="780"/>
        </w:trPr>
        <w:tc>
          <w:tcPr>
            <w:tcW w:w="2325" w:type="dxa"/>
            <w:vMerge/>
            <w:tcBorders>
              <w:left w:val="single" w:sz="0" w:space="0" w:color="auto"/>
              <w:right w:val="single" w:sz="0" w:space="0" w:color="auto"/>
            </w:tcBorders>
            <w:vAlign w:val="center"/>
          </w:tcPr>
          <w:p w14:paraId="0AD17855"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2101FB2B" w14:textId="77777777" w:rsidR="004412F1" w:rsidRDefault="005A12A3">
            <w:pPr>
              <w:rPr>
                <w:rFonts w:eastAsia="Times New Roman"/>
                <w:bCs/>
                <w:szCs w:val="18"/>
                <w:lang w:val="es-ES" w:eastAsia="es-ES"/>
              </w:rPr>
            </w:pPr>
            <w:r>
              <w:rPr>
                <w:sz w:val="20"/>
                <w:lang w:val="es-PE"/>
              </w:rPr>
              <w:t xml:space="preserve">Deflexión máxima de las líneas punteadas del eje </w:t>
            </w:r>
            <w:proofErr w:type="gramStart"/>
            <w:r>
              <w:rPr>
                <w:sz w:val="20"/>
                <w:lang w:val="es-PE"/>
              </w:rPr>
              <w:t>( blanco</w:t>
            </w:r>
            <w:proofErr w:type="gramEnd"/>
            <w:r>
              <w:rPr>
                <w:sz w:val="20"/>
                <w:lang w:val="es-PE"/>
              </w:rPr>
              <w:t xml:space="preserve"> ) respecto a la recta que une sus extremos</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0D737D" w14:textId="77777777" w:rsidR="004412F1" w:rsidRDefault="005A12A3">
            <w:pPr>
              <w:rPr>
                <w:rFonts w:eastAsia="Times New Roman"/>
                <w:bCs/>
                <w:szCs w:val="18"/>
                <w:lang w:val="es-ES" w:eastAsia="es-ES"/>
              </w:rPr>
            </w:pPr>
            <w:r>
              <w:rPr>
                <w:sz w:val="20"/>
              </w:rPr>
              <w:t>Me Emax = 2 cm.</w:t>
            </w:r>
          </w:p>
        </w:tc>
      </w:tr>
      <w:tr w:rsidR="004412F1" w14:paraId="48D58DD1" w14:textId="77777777">
        <w:trPr>
          <w:trHeight w:val="780"/>
        </w:trPr>
        <w:tc>
          <w:tcPr>
            <w:tcW w:w="2325" w:type="dxa"/>
            <w:vMerge/>
            <w:tcBorders>
              <w:left w:val="single" w:sz="0" w:space="0" w:color="auto"/>
              <w:right w:val="single" w:sz="0" w:space="0" w:color="auto"/>
            </w:tcBorders>
            <w:vAlign w:val="center"/>
          </w:tcPr>
          <w:p w14:paraId="744859B0"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16A5AD0D" w14:textId="77777777" w:rsidR="004412F1" w:rsidRDefault="005A12A3">
            <w:pPr>
              <w:rPr>
                <w:rFonts w:eastAsia="Times New Roman"/>
                <w:bCs/>
                <w:szCs w:val="18"/>
                <w:lang w:val="es-ES" w:eastAsia="es-ES"/>
              </w:rPr>
            </w:pPr>
            <w:r>
              <w:rPr>
                <w:sz w:val="20"/>
                <w:lang w:val="es-PE"/>
              </w:rPr>
              <w:t xml:space="preserve">Deflexión máxima y mínima de </w:t>
            </w:r>
            <w:proofErr w:type="gramStart"/>
            <w:r>
              <w:rPr>
                <w:sz w:val="20"/>
                <w:lang w:val="es-PE"/>
              </w:rPr>
              <w:t>la  línea</w:t>
            </w:r>
            <w:proofErr w:type="gramEnd"/>
            <w:r>
              <w:rPr>
                <w:sz w:val="20"/>
                <w:lang w:val="es-PE"/>
              </w:rPr>
              <w:t xml:space="preserve"> continua de eje ( amarillo ) con respecto a las líneas punteadas del eje ( blanco )</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EC85CA" w14:textId="77777777" w:rsidR="004412F1" w:rsidRDefault="005A12A3">
            <w:pPr>
              <w:rPr>
                <w:rFonts w:eastAsia="Times New Roman"/>
                <w:bCs/>
                <w:szCs w:val="18"/>
                <w:lang w:val="es-ES" w:eastAsia="es-ES"/>
              </w:rPr>
            </w:pPr>
            <w:r>
              <w:rPr>
                <w:sz w:val="20"/>
              </w:rPr>
              <w:t>17 cm &lt; MaMe &lt; 20 cm</w:t>
            </w:r>
          </w:p>
        </w:tc>
      </w:tr>
      <w:tr w:rsidR="004412F1" w14:paraId="3320CB65" w14:textId="77777777">
        <w:trPr>
          <w:trHeight w:val="780"/>
        </w:trPr>
        <w:tc>
          <w:tcPr>
            <w:tcW w:w="2325" w:type="dxa"/>
            <w:vMerge/>
            <w:tcBorders>
              <w:left w:val="single" w:sz="0" w:space="0" w:color="auto"/>
              <w:bottom w:val="single" w:sz="0" w:space="0" w:color="000000" w:themeColor="text1"/>
              <w:right w:val="single" w:sz="0" w:space="0" w:color="auto"/>
            </w:tcBorders>
            <w:vAlign w:val="center"/>
          </w:tcPr>
          <w:p w14:paraId="43AE7972"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1775E12F" w14:textId="77777777" w:rsidR="004412F1" w:rsidRDefault="005A12A3">
            <w:pPr>
              <w:rPr>
                <w:rFonts w:eastAsia="Times New Roman"/>
                <w:bCs/>
                <w:szCs w:val="18"/>
                <w:lang w:val="es-ES" w:eastAsia="es-ES"/>
              </w:rPr>
            </w:pPr>
            <w:r>
              <w:rPr>
                <w:sz w:val="20"/>
                <w:lang w:val="es-PE"/>
              </w:rPr>
              <w:t xml:space="preserve">Deflexión máxima y mínima de </w:t>
            </w:r>
            <w:proofErr w:type="gramStart"/>
            <w:r>
              <w:rPr>
                <w:sz w:val="20"/>
                <w:lang w:val="es-PE"/>
              </w:rPr>
              <w:t>la  línea</w:t>
            </w:r>
            <w:proofErr w:type="gramEnd"/>
            <w:r>
              <w:rPr>
                <w:sz w:val="20"/>
                <w:lang w:val="es-PE"/>
              </w:rPr>
              <w:t xml:space="preserve"> continua de eje ( amarillo ) con respecto al eje de la ruta</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C8897" w14:textId="77777777" w:rsidR="004412F1" w:rsidRDefault="005A12A3">
            <w:pPr>
              <w:rPr>
                <w:rFonts w:eastAsia="Times New Roman"/>
                <w:bCs/>
                <w:szCs w:val="18"/>
                <w:lang w:val="es-ES" w:eastAsia="es-ES"/>
              </w:rPr>
            </w:pPr>
            <w:r>
              <w:rPr>
                <w:sz w:val="20"/>
              </w:rPr>
              <w:t>17 cm &lt; MaMe &lt; 20 cm</w:t>
            </w:r>
          </w:p>
        </w:tc>
      </w:tr>
      <w:tr w:rsidR="004412F1" w14:paraId="6B3D5C42" w14:textId="77777777">
        <w:trPr>
          <w:trHeight w:val="1095"/>
        </w:trPr>
        <w:tc>
          <w:tcPr>
            <w:tcW w:w="2325" w:type="dxa"/>
            <w:tcBorders>
              <w:top w:val="nil"/>
              <w:left w:val="single" w:sz="8" w:space="0" w:color="auto"/>
              <w:bottom w:val="single" w:sz="8" w:space="0" w:color="auto"/>
              <w:right w:val="single" w:sz="8" w:space="0" w:color="auto"/>
            </w:tcBorders>
            <w:tcMar>
              <w:left w:w="70" w:type="dxa"/>
              <w:right w:w="70" w:type="dxa"/>
            </w:tcMar>
            <w:vAlign w:val="center"/>
          </w:tcPr>
          <w:p w14:paraId="0C27A08F" w14:textId="77777777" w:rsidR="004412F1" w:rsidRDefault="005A12A3">
            <w:pPr>
              <w:rPr>
                <w:lang w:val="es-PE"/>
              </w:rPr>
            </w:pPr>
            <w:r>
              <w:rPr>
                <w:sz w:val="20"/>
                <w:lang w:val="es-PE"/>
              </w:rPr>
              <w:t>Decoloración o suciedad de las líneas o marcas</w:t>
            </w:r>
          </w:p>
        </w:tc>
        <w:tc>
          <w:tcPr>
            <w:tcW w:w="40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4750A2" w14:textId="77777777" w:rsidR="004412F1" w:rsidRDefault="005A12A3">
            <w:pPr>
              <w:rPr>
                <w:rFonts w:eastAsia="Times New Roman"/>
                <w:bCs/>
                <w:szCs w:val="18"/>
                <w:lang w:val="es-ES" w:eastAsia="es-ES"/>
              </w:rPr>
            </w:pPr>
            <w:r>
              <w:rPr>
                <w:sz w:val="20"/>
                <w:lang w:val="es-PE"/>
              </w:rPr>
              <w:t xml:space="preserve">Coordenadas cromáticas "X" e "Y" </w:t>
            </w:r>
            <w:proofErr w:type="gramStart"/>
            <w:r>
              <w:rPr>
                <w:sz w:val="20"/>
                <w:lang w:val="es-PE"/>
              </w:rPr>
              <w:t>( Geometría</w:t>
            </w:r>
            <w:proofErr w:type="gramEnd"/>
            <w:r>
              <w:rPr>
                <w:sz w:val="20"/>
                <w:lang w:val="es-PE"/>
              </w:rPr>
              <w:t xml:space="preserve"> 45/0 y ángulo de observación patrón de 2" ) </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ED4A04" w14:textId="77777777" w:rsidR="004412F1" w:rsidRDefault="005A12A3">
            <w:pPr>
              <w:rPr>
                <w:rFonts w:eastAsia="Times New Roman"/>
                <w:bCs/>
                <w:szCs w:val="18"/>
                <w:lang w:val="es-ES" w:eastAsia="es-ES"/>
              </w:rPr>
            </w:pPr>
            <w:r>
              <w:rPr>
                <w:sz w:val="20"/>
                <w:lang w:val="es-PE"/>
              </w:rPr>
              <w:t xml:space="preserve">Coordenadas cromáticas dentro del diagrama CIE definido por los 4 puntos contenidos en la tabla correspondiente </w:t>
            </w:r>
            <w:proofErr w:type="gramStart"/>
            <w:r>
              <w:rPr>
                <w:sz w:val="20"/>
                <w:lang w:val="es-PE"/>
              </w:rPr>
              <w:t>( *</w:t>
            </w:r>
            <w:proofErr w:type="gramEnd"/>
            <w:r>
              <w:rPr>
                <w:sz w:val="20"/>
                <w:lang w:val="es-PE"/>
              </w:rPr>
              <w:t xml:space="preserve"> )</w:t>
            </w:r>
          </w:p>
        </w:tc>
      </w:tr>
      <w:tr w:rsidR="004412F1" w14:paraId="084CC54A" w14:textId="77777777">
        <w:trPr>
          <w:trHeight w:val="270"/>
        </w:trPr>
        <w:tc>
          <w:tcPr>
            <w:tcW w:w="232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2C0943E4" w14:textId="77777777" w:rsidR="004412F1" w:rsidRDefault="005A12A3">
            <w:pPr>
              <w:rPr>
                <w:lang w:val="es-PE"/>
              </w:rPr>
            </w:pPr>
            <w:r>
              <w:rPr>
                <w:sz w:val="20"/>
                <w:lang w:val="es-PE"/>
              </w:rPr>
              <w:t>Visibilidad nocturna insuficiente de las líneas y marcas</w:t>
            </w:r>
          </w:p>
        </w:tc>
        <w:tc>
          <w:tcPr>
            <w:tcW w:w="40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7E5BAA" w14:textId="77777777" w:rsidR="004412F1" w:rsidRDefault="005A12A3">
            <w:pPr>
              <w:rPr>
                <w:rFonts w:eastAsia="Times New Roman"/>
                <w:bCs/>
                <w:szCs w:val="18"/>
                <w:lang w:val="es-ES" w:eastAsia="es-ES"/>
              </w:rPr>
            </w:pPr>
            <w:r>
              <w:rPr>
                <w:sz w:val="20"/>
              </w:rPr>
              <w:t>Coeficiente de reflectividad mínimo:</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8F80CB" w14:textId="77777777" w:rsidR="004412F1" w:rsidRDefault="005A12A3">
            <w:r>
              <w:rPr>
                <w:sz w:val="20"/>
                <w:szCs w:val="20"/>
              </w:rPr>
              <w:t xml:space="preserve"> </w:t>
            </w:r>
          </w:p>
        </w:tc>
      </w:tr>
      <w:tr w:rsidR="004412F1" w14:paraId="3DBD9AAF" w14:textId="77777777">
        <w:trPr>
          <w:trHeight w:val="270"/>
        </w:trPr>
        <w:tc>
          <w:tcPr>
            <w:tcW w:w="2325" w:type="dxa"/>
            <w:vMerge/>
            <w:tcBorders>
              <w:left w:val="single" w:sz="0" w:space="0" w:color="auto"/>
              <w:right w:val="single" w:sz="0" w:space="0" w:color="auto"/>
            </w:tcBorders>
            <w:vAlign w:val="center"/>
          </w:tcPr>
          <w:p w14:paraId="04395DAF" w14:textId="77777777" w:rsidR="004412F1" w:rsidRDefault="004412F1"/>
        </w:tc>
        <w:tc>
          <w:tcPr>
            <w:tcW w:w="4065" w:type="dxa"/>
            <w:vMerge w:val="restart"/>
            <w:tcBorders>
              <w:top w:val="single" w:sz="8" w:space="0" w:color="auto"/>
              <w:left w:val="nil"/>
              <w:bottom w:val="single" w:sz="8" w:space="0" w:color="000000" w:themeColor="text1"/>
              <w:right w:val="single" w:sz="8" w:space="0" w:color="auto"/>
            </w:tcBorders>
            <w:tcMar>
              <w:left w:w="70" w:type="dxa"/>
              <w:right w:w="70" w:type="dxa"/>
            </w:tcMar>
            <w:vAlign w:val="center"/>
          </w:tcPr>
          <w:p w14:paraId="27CBC616" w14:textId="77777777" w:rsidR="004412F1" w:rsidRDefault="005A12A3">
            <w:pPr>
              <w:rPr>
                <w:rFonts w:eastAsia="Times New Roman"/>
                <w:bCs/>
                <w:szCs w:val="18"/>
                <w:lang w:val="es-ES" w:eastAsia="es-ES"/>
              </w:rPr>
            </w:pPr>
            <w:r>
              <w:rPr>
                <w:sz w:val="20"/>
                <w:lang w:val="es-PE"/>
              </w:rPr>
              <w:t>Angulo de observación de 1.5° y de incidencia de - 86.5°</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7B06B8" w14:textId="77777777" w:rsidR="004412F1" w:rsidRDefault="005A12A3">
            <w:pPr>
              <w:rPr>
                <w:rFonts w:eastAsia="Times New Roman"/>
                <w:bCs/>
                <w:szCs w:val="18"/>
                <w:lang w:val="es-ES" w:eastAsia="es-ES"/>
              </w:rPr>
            </w:pPr>
            <w:r>
              <w:rPr>
                <w:sz w:val="20"/>
              </w:rPr>
              <w:t>Amarillo 150 mcd / lux / m2</w:t>
            </w:r>
          </w:p>
        </w:tc>
      </w:tr>
      <w:tr w:rsidR="004412F1" w14:paraId="66BC0091" w14:textId="77777777">
        <w:trPr>
          <w:trHeight w:val="270"/>
        </w:trPr>
        <w:tc>
          <w:tcPr>
            <w:tcW w:w="2325" w:type="dxa"/>
            <w:vMerge/>
            <w:tcBorders>
              <w:left w:val="single" w:sz="0" w:space="0" w:color="auto"/>
              <w:right w:val="single" w:sz="0" w:space="0" w:color="auto"/>
            </w:tcBorders>
            <w:vAlign w:val="center"/>
          </w:tcPr>
          <w:p w14:paraId="2DE3FD3F" w14:textId="77777777" w:rsidR="004412F1" w:rsidRDefault="004412F1"/>
        </w:tc>
        <w:tc>
          <w:tcPr>
            <w:tcW w:w="4065" w:type="dxa"/>
            <w:vMerge/>
            <w:tcBorders>
              <w:left w:val="nil"/>
              <w:bottom w:val="single" w:sz="0" w:space="0" w:color="000000" w:themeColor="text1"/>
              <w:right w:val="single" w:sz="0" w:space="0" w:color="auto"/>
            </w:tcBorders>
            <w:vAlign w:val="center"/>
          </w:tcPr>
          <w:p w14:paraId="1E773347" w14:textId="77777777" w:rsidR="004412F1" w:rsidRDefault="004412F1"/>
        </w:tc>
        <w:tc>
          <w:tcPr>
            <w:tcW w:w="3255" w:type="dxa"/>
            <w:tcBorders>
              <w:top w:val="single" w:sz="8" w:space="0" w:color="auto"/>
              <w:left w:val="nil"/>
              <w:bottom w:val="single" w:sz="8" w:space="0" w:color="auto"/>
              <w:right w:val="single" w:sz="8" w:space="0" w:color="auto"/>
            </w:tcBorders>
            <w:tcMar>
              <w:left w:w="70" w:type="dxa"/>
              <w:right w:w="70" w:type="dxa"/>
            </w:tcMar>
            <w:vAlign w:val="center"/>
          </w:tcPr>
          <w:p w14:paraId="5DF6F904" w14:textId="77777777" w:rsidR="004412F1" w:rsidRDefault="005A12A3">
            <w:pPr>
              <w:rPr>
                <w:rFonts w:eastAsia="Times New Roman"/>
                <w:bCs/>
                <w:szCs w:val="18"/>
                <w:lang w:val="es-ES" w:eastAsia="es-ES"/>
              </w:rPr>
            </w:pPr>
            <w:r>
              <w:rPr>
                <w:sz w:val="20"/>
              </w:rPr>
              <w:t>Blanco 200 mcd / lux / m2</w:t>
            </w:r>
          </w:p>
        </w:tc>
      </w:tr>
      <w:tr w:rsidR="004412F1" w14:paraId="34A3B47C" w14:textId="77777777">
        <w:trPr>
          <w:trHeight w:val="270"/>
        </w:trPr>
        <w:tc>
          <w:tcPr>
            <w:tcW w:w="2325" w:type="dxa"/>
            <w:vMerge/>
            <w:tcBorders>
              <w:left w:val="single" w:sz="0" w:space="0" w:color="auto"/>
              <w:right w:val="single" w:sz="0" w:space="0" w:color="auto"/>
            </w:tcBorders>
            <w:vAlign w:val="center"/>
          </w:tcPr>
          <w:p w14:paraId="556EAD04" w14:textId="77777777" w:rsidR="004412F1" w:rsidRDefault="004412F1"/>
        </w:tc>
        <w:tc>
          <w:tcPr>
            <w:tcW w:w="4065" w:type="dxa"/>
            <w:vMerge w:val="restart"/>
            <w:tcBorders>
              <w:top w:val="nil"/>
              <w:left w:val="nil"/>
              <w:bottom w:val="single" w:sz="8" w:space="0" w:color="000000" w:themeColor="text1"/>
              <w:right w:val="single" w:sz="8" w:space="0" w:color="auto"/>
            </w:tcBorders>
            <w:tcMar>
              <w:left w:w="70" w:type="dxa"/>
              <w:right w:w="70" w:type="dxa"/>
            </w:tcMar>
            <w:vAlign w:val="center"/>
          </w:tcPr>
          <w:p w14:paraId="11F05357" w14:textId="77777777" w:rsidR="004412F1" w:rsidRDefault="005A12A3">
            <w:pPr>
              <w:rPr>
                <w:rFonts w:eastAsia="Times New Roman"/>
                <w:bCs/>
                <w:szCs w:val="18"/>
                <w:lang w:val="es-ES" w:eastAsia="es-ES"/>
              </w:rPr>
            </w:pPr>
            <w:r>
              <w:rPr>
                <w:sz w:val="20"/>
                <w:lang w:val="es-PE"/>
              </w:rPr>
              <w:t>Angulo de observación de 1.5° y de incidencia de - 88.76°</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B9DEC3" w14:textId="77777777" w:rsidR="004412F1" w:rsidRDefault="005A12A3">
            <w:pPr>
              <w:rPr>
                <w:rFonts w:eastAsia="Times New Roman"/>
                <w:bCs/>
                <w:szCs w:val="18"/>
                <w:lang w:val="es-ES" w:eastAsia="es-ES"/>
              </w:rPr>
            </w:pPr>
            <w:r>
              <w:rPr>
                <w:sz w:val="20"/>
              </w:rPr>
              <w:t>Amarillo 80 mcd / lux / m2</w:t>
            </w:r>
          </w:p>
        </w:tc>
      </w:tr>
      <w:tr w:rsidR="004412F1" w14:paraId="42DCFA17" w14:textId="77777777">
        <w:trPr>
          <w:trHeight w:val="270"/>
        </w:trPr>
        <w:tc>
          <w:tcPr>
            <w:tcW w:w="2325" w:type="dxa"/>
            <w:vMerge/>
            <w:tcBorders>
              <w:left w:val="single" w:sz="0" w:space="0" w:color="auto"/>
              <w:bottom w:val="single" w:sz="0" w:space="0" w:color="000000" w:themeColor="text1"/>
              <w:right w:val="single" w:sz="0" w:space="0" w:color="auto"/>
            </w:tcBorders>
            <w:vAlign w:val="center"/>
          </w:tcPr>
          <w:p w14:paraId="074FC421" w14:textId="77777777" w:rsidR="004412F1" w:rsidRDefault="004412F1"/>
        </w:tc>
        <w:tc>
          <w:tcPr>
            <w:tcW w:w="4065" w:type="dxa"/>
            <w:vMerge/>
            <w:tcBorders>
              <w:left w:val="nil"/>
              <w:bottom w:val="single" w:sz="0" w:space="0" w:color="000000" w:themeColor="text1"/>
              <w:right w:val="single" w:sz="0" w:space="0" w:color="auto"/>
            </w:tcBorders>
            <w:vAlign w:val="center"/>
          </w:tcPr>
          <w:p w14:paraId="1A23D99E" w14:textId="77777777" w:rsidR="004412F1" w:rsidRDefault="004412F1"/>
        </w:tc>
        <w:tc>
          <w:tcPr>
            <w:tcW w:w="3255" w:type="dxa"/>
            <w:tcBorders>
              <w:top w:val="single" w:sz="8" w:space="0" w:color="auto"/>
              <w:left w:val="nil"/>
              <w:bottom w:val="single" w:sz="8" w:space="0" w:color="auto"/>
              <w:right w:val="single" w:sz="8" w:space="0" w:color="auto"/>
            </w:tcBorders>
            <w:tcMar>
              <w:left w:w="70" w:type="dxa"/>
              <w:right w:w="70" w:type="dxa"/>
            </w:tcMar>
            <w:vAlign w:val="center"/>
          </w:tcPr>
          <w:p w14:paraId="6C603BA4" w14:textId="77777777" w:rsidR="004412F1" w:rsidRDefault="005A12A3">
            <w:pPr>
              <w:rPr>
                <w:rFonts w:eastAsia="Times New Roman"/>
                <w:bCs/>
                <w:szCs w:val="18"/>
                <w:lang w:val="es-ES" w:eastAsia="es-ES"/>
              </w:rPr>
            </w:pPr>
            <w:r>
              <w:rPr>
                <w:sz w:val="20"/>
              </w:rPr>
              <w:t>Blanco 100 mcd / lux / m2</w:t>
            </w:r>
          </w:p>
        </w:tc>
      </w:tr>
      <w:tr w:rsidR="004412F1" w14:paraId="224CC561" w14:textId="77777777">
        <w:trPr>
          <w:trHeight w:val="525"/>
        </w:trPr>
        <w:tc>
          <w:tcPr>
            <w:tcW w:w="2325" w:type="dxa"/>
            <w:tcBorders>
              <w:top w:val="nil"/>
              <w:left w:val="single" w:sz="8" w:space="0" w:color="auto"/>
              <w:bottom w:val="single" w:sz="8" w:space="0" w:color="auto"/>
              <w:right w:val="single" w:sz="8" w:space="0" w:color="auto"/>
            </w:tcBorders>
            <w:tcMar>
              <w:left w:w="70" w:type="dxa"/>
              <w:right w:w="70" w:type="dxa"/>
            </w:tcMar>
            <w:vAlign w:val="center"/>
          </w:tcPr>
          <w:p w14:paraId="32731368" w14:textId="77777777" w:rsidR="004412F1" w:rsidRDefault="005A12A3">
            <w:pPr>
              <w:rPr>
                <w:lang w:val="es-PE"/>
              </w:rPr>
            </w:pPr>
            <w:r>
              <w:rPr>
                <w:sz w:val="20"/>
                <w:lang w:val="es-PE"/>
              </w:rPr>
              <w:t>Exceso de desgaste de las líneas o marcas</w:t>
            </w:r>
          </w:p>
        </w:tc>
        <w:tc>
          <w:tcPr>
            <w:tcW w:w="4065" w:type="dxa"/>
            <w:tcBorders>
              <w:top w:val="nil"/>
              <w:left w:val="single" w:sz="8" w:space="0" w:color="auto"/>
              <w:bottom w:val="single" w:sz="8" w:space="0" w:color="auto"/>
              <w:right w:val="single" w:sz="8" w:space="0" w:color="auto"/>
            </w:tcBorders>
            <w:tcMar>
              <w:left w:w="70" w:type="dxa"/>
              <w:right w:w="70" w:type="dxa"/>
            </w:tcMar>
            <w:vAlign w:val="center"/>
          </w:tcPr>
          <w:p w14:paraId="03BC4876" w14:textId="77777777" w:rsidR="004412F1" w:rsidRDefault="005A12A3">
            <w:pPr>
              <w:rPr>
                <w:rFonts w:eastAsia="Times New Roman"/>
                <w:bCs/>
                <w:szCs w:val="18"/>
                <w:lang w:val="es-ES" w:eastAsia="es-ES"/>
              </w:rPr>
            </w:pPr>
            <w:r>
              <w:rPr>
                <w:sz w:val="20"/>
              </w:rPr>
              <w:t>Porcentaje de deterioro máximo</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349BE0" w14:textId="77777777" w:rsidR="004412F1" w:rsidRDefault="005A12A3">
            <w:pPr>
              <w:rPr>
                <w:rFonts w:eastAsia="Times New Roman"/>
                <w:bCs/>
                <w:szCs w:val="18"/>
                <w:lang w:val="es-ES" w:eastAsia="es-ES"/>
              </w:rPr>
            </w:pPr>
            <w:r>
              <w:rPr>
                <w:sz w:val="20"/>
              </w:rPr>
              <w:t>20%</w:t>
            </w:r>
          </w:p>
        </w:tc>
      </w:tr>
      <w:tr w:rsidR="004412F1" w14:paraId="65E79052" w14:textId="77777777">
        <w:trPr>
          <w:trHeight w:val="270"/>
        </w:trPr>
        <w:tc>
          <w:tcPr>
            <w:tcW w:w="2325" w:type="dxa"/>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763CEE61" w14:textId="77777777" w:rsidR="004412F1" w:rsidRDefault="005A12A3">
            <w:pPr>
              <w:rPr>
                <w:lang w:val="es-PE"/>
              </w:rPr>
            </w:pPr>
            <w:r>
              <w:rPr>
                <w:sz w:val="20"/>
                <w:lang w:val="es-PE"/>
              </w:rPr>
              <w:t>Geometría incorrecta de las tachas reflectivas</w:t>
            </w:r>
          </w:p>
        </w:tc>
        <w:tc>
          <w:tcPr>
            <w:tcW w:w="4065" w:type="dxa"/>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1A91FEC5" w14:textId="77777777" w:rsidR="004412F1" w:rsidRDefault="005A12A3">
            <w:pPr>
              <w:rPr>
                <w:rFonts w:eastAsia="Times New Roman"/>
                <w:bCs/>
                <w:szCs w:val="18"/>
                <w:lang w:val="es-ES" w:eastAsia="es-ES"/>
              </w:rPr>
            </w:pPr>
            <w:r>
              <w:rPr>
                <w:sz w:val="20"/>
                <w:lang w:val="es-PE"/>
              </w:rPr>
              <w:t xml:space="preserve">Distancia entre tachas en el eje </w:t>
            </w:r>
            <w:proofErr w:type="gramStart"/>
            <w:r>
              <w:rPr>
                <w:sz w:val="20"/>
                <w:lang w:val="es-PE"/>
              </w:rPr>
              <w:t>( tangente</w:t>
            </w:r>
            <w:proofErr w:type="gramEnd"/>
            <w:r>
              <w:rPr>
                <w:sz w:val="20"/>
                <w:lang w:val="es-PE"/>
              </w:rPr>
              <w:t xml:space="preserve"> )</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E78509" w14:textId="77777777" w:rsidR="004412F1" w:rsidRDefault="005A12A3">
            <w:pPr>
              <w:rPr>
                <w:rFonts w:eastAsia="Times New Roman"/>
                <w:bCs/>
                <w:szCs w:val="18"/>
                <w:lang w:val="es-ES" w:eastAsia="es-ES"/>
              </w:rPr>
            </w:pPr>
            <w:r>
              <w:rPr>
                <w:sz w:val="20"/>
              </w:rPr>
              <w:t>24 m.</w:t>
            </w:r>
          </w:p>
        </w:tc>
      </w:tr>
      <w:tr w:rsidR="004412F1" w14:paraId="6905EED9" w14:textId="77777777">
        <w:trPr>
          <w:trHeight w:val="525"/>
        </w:trPr>
        <w:tc>
          <w:tcPr>
            <w:tcW w:w="2325" w:type="dxa"/>
            <w:vMerge/>
            <w:tcBorders>
              <w:left w:val="single" w:sz="0" w:space="0" w:color="auto"/>
              <w:bottom w:val="single" w:sz="0" w:space="0" w:color="000000" w:themeColor="text1"/>
              <w:right w:val="single" w:sz="0" w:space="0" w:color="auto"/>
            </w:tcBorders>
            <w:vAlign w:val="center"/>
          </w:tcPr>
          <w:p w14:paraId="7F9882E9"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18E31EC8" w14:textId="77777777" w:rsidR="004412F1" w:rsidRDefault="005A12A3">
            <w:pPr>
              <w:rPr>
                <w:rFonts w:eastAsia="Times New Roman"/>
                <w:bCs/>
                <w:szCs w:val="18"/>
                <w:lang w:val="es-ES" w:eastAsia="es-ES"/>
              </w:rPr>
            </w:pPr>
            <w:r>
              <w:rPr>
                <w:sz w:val="20"/>
              </w:rPr>
              <w:t>En curvas</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209521" w14:textId="77777777" w:rsidR="004412F1" w:rsidRDefault="005A12A3">
            <w:pPr>
              <w:rPr>
                <w:rFonts w:eastAsia="Times New Roman"/>
                <w:bCs/>
                <w:szCs w:val="18"/>
                <w:lang w:val="es-ES" w:eastAsia="es-ES"/>
              </w:rPr>
            </w:pPr>
            <w:proofErr w:type="gramStart"/>
            <w:r>
              <w:rPr>
                <w:sz w:val="20"/>
                <w:lang w:val="es-PE"/>
              </w:rPr>
              <w:t>De acuerdo a</w:t>
            </w:r>
            <w:proofErr w:type="gramEnd"/>
            <w:r>
              <w:rPr>
                <w:sz w:val="20"/>
                <w:lang w:val="es-PE"/>
              </w:rPr>
              <w:t xml:space="preserve"> l establecido en la Norma</w:t>
            </w:r>
          </w:p>
        </w:tc>
      </w:tr>
      <w:tr w:rsidR="004412F1" w14:paraId="57EAAABD" w14:textId="77777777">
        <w:trPr>
          <w:trHeight w:val="270"/>
        </w:trPr>
        <w:tc>
          <w:tcPr>
            <w:tcW w:w="232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23A8EF33" w14:textId="77777777" w:rsidR="004412F1" w:rsidRDefault="005A12A3">
            <w:pPr>
              <w:rPr>
                <w:lang w:val="es-PE"/>
              </w:rPr>
            </w:pPr>
            <w:r>
              <w:rPr>
                <w:sz w:val="20"/>
                <w:lang w:val="es-PE"/>
              </w:rPr>
              <w:t>Deterioro de las tachas reflectivas</w:t>
            </w:r>
          </w:p>
        </w:tc>
        <w:tc>
          <w:tcPr>
            <w:tcW w:w="406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ED2E61" w14:textId="77777777" w:rsidR="004412F1" w:rsidRDefault="005A12A3">
            <w:pPr>
              <w:rPr>
                <w:rFonts w:eastAsia="Times New Roman"/>
                <w:bCs/>
                <w:szCs w:val="18"/>
                <w:lang w:val="es-ES" w:eastAsia="es-ES"/>
              </w:rPr>
            </w:pPr>
            <w:r>
              <w:rPr>
                <w:sz w:val="20"/>
                <w:lang w:val="es-PE"/>
              </w:rPr>
              <w:t>Desplazamientos de su posición original</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8F138" w14:textId="77777777" w:rsidR="004412F1" w:rsidRDefault="005A12A3">
            <w:pPr>
              <w:rPr>
                <w:rFonts w:eastAsia="Times New Roman"/>
                <w:bCs/>
                <w:szCs w:val="18"/>
                <w:lang w:val="es-ES" w:eastAsia="es-ES"/>
              </w:rPr>
            </w:pPr>
            <w:r>
              <w:rPr>
                <w:sz w:val="20"/>
              </w:rPr>
              <w:t>No se admitirán</w:t>
            </w:r>
          </w:p>
        </w:tc>
      </w:tr>
      <w:tr w:rsidR="004412F1" w14:paraId="74271A64" w14:textId="77777777">
        <w:trPr>
          <w:trHeight w:val="525"/>
        </w:trPr>
        <w:tc>
          <w:tcPr>
            <w:tcW w:w="2325" w:type="dxa"/>
            <w:vMerge/>
            <w:tcBorders>
              <w:left w:val="single" w:sz="0" w:space="0" w:color="auto"/>
              <w:bottom w:val="single" w:sz="0" w:space="0" w:color="000000" w:themeColor="text1"/>
              <w:right w:val="single" w:sz="0" w:space="0" w:color="auto"/>
            </w:tcBorders>
            <w:vAlign w:val="center"/>
          </w:tcPr>
          <w:p w14:paraId="60A4F3BE" w14:textId="77777777" w:rsidR="004412F1" w:rsidRDefault="004412F1"/>
        </w:tc>
        <w:tc>
          <w:tcPr>
            <w:tcW w:w="4065" w:type="dxa"/>
            <w:tcBorders>
              <w:top w:val="single" w:sz="8" w:space="0" w:color="auto"/>
              <w:left w:val="nil"/>
              <w:bottom w:val="single" w:sz="8" w:space="0" w:color="auto"/>
              <w:right w:val="single" w:sz="8" w:space="0" w:color="auto"/>
            </w:tcBorders>
            <w:tcMar>
              <w:left w:w="70" w:type="dxa"/>
              <w:right w:w="70" w:type="dxa"/>
            </w:tcMar>
            <w:vAlign w:val="center"/>
          </w:tcPr>
          <w:p w14:paraId="3327BAC2" w14:textId="77777777" w:rsidR="004412F1" w:rsidRDefault="005A12A3">
            <w:pPr>
              <w:rPr>
                <w:rFonts w:eastAsia="Times New Roman"/>
                <w:bCs/>
                <w:szCs w:val="18"/>
                <w:lang w:val="es-ES" w:eastAsia="es-ES"/>
              </w:rPr>
            </w:pPr>
            <w:r>
              <w:rPr>
                <w:sz w:val="20"/>
                <w:lang w:val="es-PE"/>
              </w:rPr>
              <w:t>Deterioros totales o parciales del área reflectiva o del cuerpo.</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346C30" w14:textId="77777777" w:rsidR="004412F1" w:rsidRDefault="005A12A3">
            <w:pPr>
              <w:rPr>
                <w:rFonts w:eastAsia="Times New Roman"/>
                <w:bCs/>
                <w:szCs w:val="18"/>
                <w:lang w:val="es-ES" w:eastAsia="es-ES"/>
              </w:rPr>
            </w:pPr>
            <w:r>
              <w:rPr>
                <w:sz w:val="20"/>
              </w:rPr>
              <w:t>No se admitirán</w:t>
            </w:r>
          </w:p>
        </w:tc>
      </w:tr>
      <w:tr w:rsidR="004412F1" w14:paraId="79488F54" w14:textId="77777777">
        <w:trPr>
          <w:trHeight w:val="780"/>
        </w:trPr>
        <w:tc>
          <w:tcPr>
            <w:tcW w:w="2325" w:type="dxa"/>
            <w:vMerge w:val="restart"/>
            <w:tcBorders>
              <w:top w:val="nil"/>
              <w:left w:val="single" w:sz="8" w:space="0" w:color="auto"/>
              <w:bottom w:val="single" w:sz="8" w:space="0" w:color="auto"/>
              <w:right w:val="single" w:sz="8" w:space="0" w:color="auto"/>
            </w:tcBorders>
            <w:tcMar>
              <w:left w:w="70" w:type="dxa"/>
              <w:right w:w="70" w:type="dxa"/>
            </w:tcMar>
            <w:vAlign w:val="center"/>
          </w:tcPr>
          <w:p w14:paraId="1B2C6DEF" w14:textId="77777777" w:rsidR="004412F1" w:rsidRDefault="005A12A3">
            <w:pPr>
              <w:rPr>
                <w:lang w:val="es-PE"/>
              </w:rPr>
            </w:pPr>
            <w:r>
              <w:rPr>
                <w:sz w:val="20"/>
                <w:lang w:val="es-PE"/>
              </w:rPr>
              <w:t>Perdida o inutilidad de las tachas reflectivas</w:t>
            </w:r>
          </w:p>
          <w:p w14:paraId="12822A31" w14:textId="77777777" w:rsidR="004412F1" w:rsidRDefault="005A12A3">
            <w:pPr>
              <w:rPr>
                <w:lang w:val="es-PE"/>
              </w:rPr>
            </w:pPr>
            <w:r>
              <w:rPr>
                <w:sz w:val="20"/>
                <w:szCs w:val="20"/>
                <w:lang w:val="es-PE"/>
              </w:rPr>
              <w:t xml:space="preserve"> </w:t>
            </w:r>
          </w:p>
          <w:p w14:paraId="26994E67" w14:textId="77777777" w:rsidR="004412F1" w:rsidRDefault="005A12A3">
            <w:pPr>
              <w:rPr>
                <w:lang w:val="es-PE"/>
              </w:rPr>
            </w:pPr>
            <w:r>
              <w:rPr>
                <w:sz w:val="20"/>
                <w:szCs w:val="20"/>
                <w:lang w:val="es-PE"/>
              </w:rPr>
              <w:t xml:space="preserve"> </w:t>
            </w:r>
          </w:p>
        </w:tc>
        <w:tc>
          <w:tcPr>
            <w:tcW w:w="4065" w:type="dxa"/>
            <w:vMerge w:val="restar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618C86" w14:textId="77777777" w:rsidR="004412F1" w:rsidRDefault="005A12A3">
            <w:pPr>
              <w:rPr>
                <w:rFonts w:eastAsia="Times New Roman"/>
                <w:bCs/>
                <w:szCs w:val="18"/>
                <w:lang w:val="es-ES" w:eastAsia="es-ES"/>
              </w:rPr>
            </w:pPr>
            <w:r>
              <w:rPr>
                <w:sz w:val="20"/>
                <w:lang w:val="es-PE"/>
              </w:rPr>
              <w:t>Porcentaje máximo de tachas reflectivas pérdidas o inútiles</w:t>
            </w:r>
          </w:p>
          <w:p w14:paraId="5358D8FB" w14:textId="77777777" w:rsidR="004412F1" w:rsidRDefault="005A12A3">
            <w:pPr>
              <w:rPr>
                <w:lang w:val="es-PE"/>
              </w:rPr>
            </w:pPr>
            <w:r>
              <w:rPr>
                <w:sz w:val="20"/>
                <w:szCs w:val="20"/>
                <w:lang w:val="es-PE"/>
              </w:rPr>
              <w:t xml:space="preserve"> </w:t>
            </w:r>
          </w:p>
          <w:p w14:paraId="1288E908" w14:textId="77777777" w:rsidR="004412F1" w:rsidRDefault="005A12A3">
            <w:pPr>
              <w:rPr>
                <w:lang w:val="es-PE"/>
              </w:rPr>
            </w:pPr>
            <w:r>
              <w:rPr>
                <w:sz w:val="20"/>
                <w:szCs w:val="20"/>
                <w:lang w:val="es-PE"/>
              </w:rPr>
              <w:t xml:space="preserve"> </w:t>
            </w:r>
          </w:p>
        </w:tc>
        <w:tc>
          <w:tcPr>
            <w:tcW w:w="32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609533" w14:textId="77777777" w:rsidR="004412F1" w:rsidRDefault="005A12A3">
            <w:pPr>
              <w:rPr>
                <w:rFonts w:eastAsia="Times New Roman"/>
                <w:bCs/>
                <w:szCs w:val="18"/>
                <w:lang w:val="es-ES" w:eastAsia="es-ES"/>
              </w:rPr>
            </w:pPr>
            <w:r>
              <w:rPr>
                <w:sz w:val="20"/>
                <w:lang w:val="es-PE"/>
              </w:rPr>
              <w:t xml:space="preserve">Durante los 3 primeros años posteriores a cada una de las </w:t>
            </w:r>
            <w:proofErr w:type="gramStart"/>
            <w:r>
              <w:rPr>
                <w:sz w:val="20"/>
                <w:lang w:val="es-PE"/>
              </w:rPr>
              <w:t>intervenciones :</w:t>
            </w:r>
            <w:proofErr w:type="gramEnd"/>
            <w:r>
              <w:rPr>
                <w:sz w:val="20"/>
                <w:lang w:val="es-PE"/>
              </w:rPr>
              <w:t xml:space="preserve"> 10%</w:t>
            </w:r>
          </w:p>
        </w:tc>
      </w:tr>
      <w:tr w:rsidR="004412F1" w14:paraId="3D0C1359" w14:textId="77777777">
        <w:trPr>
          <w:trHeight w:val="525"/>
        </w:trPr>
        <w:tc>
          <w:tcPr>
            <w:tcW w:w="2325" w:type="dxa"/>
            <w:vMerge/>
            <w:tcBorders>
              <w:left w:val="single" w:sz="0" w:space="0" w:color="auto"/>
              <w:bottom w:val="single" w:sz="0" w:space="0" w:color="auto"/>
              <w:right w:val="single" w:sz="0" w:space="0" w:color="auto"/>
            </w:tcBorders>
            <w:vAlign w:val="center"/>
          </w:tcPr>
          <w:p w14:paraId="6FAF867E" w14:textId="77777777" w:rsidR="004412F1" w:rsidRDefault="004412F1">
            <w:pPr>
              <w:rPr>
                <w:lang w:val="es-PE"/>
              </w:rPr>
            </w:pPr>
          </w:p>
        </w:tc>
        <w:tc>
          <w:tcPr>
            <w:tcW w:w="4065" w:type="dxa"/>
            <w:vMerge/>
            <w:tcBorders>
              <w:left w:val="single" w:sz="0" w:space="0" w:color="auto"/>
              <w:bottom w:val="single" w:sz="0" w:space="0" w:color="auto"/>
              <w:right w:val="single" w:sz="0" w:space="0" w:color="auto"/>
            </w:tcBorders>
            <w:vAlign w:val="center"/>
          </w:tcPr>
          <w:p w14:paraId="3BC78F14" w14:textId="77777777" w:rsidR="004412F1" w:rsidRDefault="004412F1">
            <w:pPr>
              <w:rPr>
                <w:lang w:val="es-PE"/>
              </w:rPr>
            </w:pPr>
          </w:p>
        </w:tc>
        <w:tc>
          <w:tcPr>
            <w:tcW w:w="3255" w:type="dxa"/>
            <w:tcBorders>
              <w:top w:val="single" w:sz="8" w:space="0" w:color="auto"/>
              <w:left w:val="nil"/>
              <w:bottom w:val="single" w:sz="8" w:space="0" w:color="auto"/>
              <w:right w:val="single" w:sz="8" w:space="0" w:color="auto"/>
            </w:tcBorders>
            <w:tcMar>
              <w:left w:w="70" w:type="dxa"/>
              <w:right w:w="70" w:type="dxa"/>
            </w:tcMar>
            <w:vAlign w:val="center"/>
          </w:tcPr>
          <w:p w14:paraId="71C8BD1E" w14:textId="77777777" w:rsidR="004412F1" w:rsidRDefault="005A12A3">
            <w:pPr>
              <w:rPr>
                <w:rFonts w:eastAsia="Times New Roman"/>
                <w:bCs/>
                <w:szCs w:val="18"/>
                <w:lang w:val="es-ES" w:eastAsia="es-ES"/>
              </w:rPr>
            </w:pPr>
            <w:r>
              <w:rPr>
                <w:sz w:val="20"/>
                <w:lang w:val="es-PE"/>
              </w:rPr>
              <w:t>Durante el resto de cada periodo entre Obras: 20%</w:t>
            </w:r>
          </w:p>
        </w:tc>
      </w:tr>
      <w:tr w:rsidR="004412F1" w14:paraId="3633191E" w14:textId="77777777">
        <w:trPr>
          <w:trHeight w:val="255"/>
        </w:trPr>
        <w:tc>
          <w:tcPr>
            <w:tcW w:w="2325" w:type="dxa"/>
            <w:tcBorders>
              <w:top w:val="nil"/>
              <w:left w:val="nil"/>
              <w:bottom w:val="nil"/>
              <w:right w:val="nil"/>
            </w:tcBorders>
            <w:tcMar>
              <w:left w:w="70" w:type="dxa"/>
              <w:right w:w="70" w:type="dxa"/>
            </w:tcMar>
            <w:vAlign w:val="bottom"/>
          </w:tcPr>
          <w:p w14:paraId="134F0318" w14:textId="77777777" w:rsidR="004412F1" w:rsidRDefault="004412F1">
            <w:pPr>
              <w:rPr>
                <w:lang w:val="es-PE"/>
              </w:rPr>
            </w:pPr>
          </w:p>
        </w:tc>
        <w:tc>
          <w:tcPr>
            <w:tcW w:w="4065" w:type="dxa"/>
            <w:tcBorders>
              <w:top w:val="nil"/>
              <w:left w:val="nil"/>
              <w:bottom w:val="nil"/>
              <w:right w:val="nil"/>
            </w:tcBorders>
            <w:tcMar>
              <w:left w:w="70" w:type="dxa"/>
              <w:right w:w="70" w:type="dxa"/>
            </w:tcMar>
            <w:vAlign w:val="bottom"/>
          </w:tcPr>
          <w:p w14:paraId="59366750" w14:textId="77777777" w:rsidR="004412F1" w:rsidRDefault="004412F1">
            <w:pPr>
              <w:rPr>
                <w:lang w:val="es-PE"/>
              </w:rPr>
            </w:pPr>
          </w:p>
        </w:tc>
        <w:tc>
          <w:tcPr>
            <w:tcW w:w="3255" w:type="dxa"/>
            <w:tcMar>
              <w:left w:w="70" w:type="dxa"/>
              <w:right w:w="70" w:type="dxa"/>
            </w:tcMar>
            <w:vAlign w:val="bottom"/>
          </w:tcPr>
          <w:p w14:paraId="17265FBA" w14:textId="77777777" w:rsidR="004412F1" w:rsidRDefault="004412F1">
            <w:pPr>
              <w:rPr>
                <w:lang w:val="es-PE"/>
              </w:rPr>
            </w:pPr>
          </w:p>
        </w:tc>
      </w:tr>
      <w:tr w:rsidR="004412F1" w14:paraId="7372ADCF" w14:textId="77777777">
        <w:trPr>
          <w:trHeight w:val="255"/>
        </w:trPr>
        <w:tc>
          <w:tcPr>
            <w:tcW w:w="9645" w:type="dxa"/>
            <w:gridSpan w:val="3"/>
            <w:tcBorders>
              <w:left w:val="single" w:sz="8" w:space="0" w:color="auto"/>
              <w:bottom w:val="single" w:sz="8" w:space="0" w:color="auto"/>
              <w:right w:val="single" w:sz="8" w:space="0" w:color="auto"/>
            </w:tcBorders>
            <w:tcMar>
              <w:left w:w="70" w:type="dxa"/>
              <w:right w:w="70" w:type="dxa"/>
            </w:tcMar>
            <w:vAlign w:val="bottom"/>
          </w:tcPr>
          <w:p w14:paraId="615776BA" w14:textId="77777777" w:rsidR="004412F1" w:rsidRDefault="005A12A3">
            <w:pPr>
              <w:rPr>
                <w:lang w:val="es-PE"/>
              </w:rPr>
            </w:pPr>
            <w:proofErr w:type="gramStart"/>
            <w:r>
              <w:rPr>
                <w:sz w:val="20"/>
                <w:lang w:val="es-PE"/>
              </w:rPr>
              <w:t>( *</w:t>
            </w:r>
            <w:proofErr w:type="gramEnd"/>
            <w:r>
              <w:rPr>
                <w:sz w:val="20"/>
                <w:lang w:val="es-PE"/>
              </w:rPr>
              <w:t xml:space="preserve"> ) Manual de dispositivos de Control de Tránsito Automotor para Calles y Carreteras</w:t>
            </w:r>
          </w:p>
        </w:tc>
      </w:tr>
    </w:tbl>
    <w:p w14:paraId="1182E227" w14:textId="77777777" w:rsidR="004412F1" w:rsidRDefault="004412F1">
      <w:pPr>
        <w:jc w:val="center"/>
        <w:rPr>
          <w:lang w:val="es-PE"/>
        </w:rPr>
      </w:pPr>
    </w:p>
    <w:tbl>
      <w:tblPr>
        <w:tblW w:w="0" w:type="auto"/>
        <w:tblLayout w:type="fixed"/>
        <w:tblLook w:val="04A0" w:firstRow="1" w:lastRow="0" w:firstColumn="1" w:lastColumn="0" w:noHBand="0" w:noVBand="1"/>
      </w:tblPr>
      <w:tblGrid>
        <w:gridCol w:w="780"/>
        <w:gridCol w:w="1545"/>
        <w:gridCol w:w="3840"/>
        <w:gridCol w:w="165"/>
        <w:gridCol w:w="2400"/>
        <w:gridCol w:w="270"/>
      </w:tblGrid>
      <w:tr w:rsidR="004412F1" w14:paraId="2F63C526" w14:textId="77777777">
        <w:trPr>
          <w:trHeight w:val="330"/>
        </w:trPr>
        <w:tc>
          <w:tcPr>
            <w:tcW w:w="9000" w:type="dxa"/>
            <w:gridSpan w:val="6"/>
            <w:tcBorders>
              <w:top w:val="single" w:sz="8" w:space="0" w:color="auto"/>
              <w:left w:val="single" w:sz="8" w:space="0" w:color="auto"/>
              <w:bottom w:val="nil"/>
              <w:right w:val="single" w:sz="8" w:space="0" w:color="auto"/>
            </w:tcBorders>
            <w:shd w:val="clear" w:color="auto" w:fill="95B3D7" w:themeFill="accent1" w:themeFillTint="99"/>
            <w:tcMar>
              <w:left w:w="70" w:type="dxa"/>
              <w:right w:w="70" w:type="dxa"/>
            </w:tcMar>
            <w:vAlign w:val="center"/>
          </w:tcPr>
          <w:p w14:paraId="652AA0B2" w14:textId="77777777" w:rsidR="004412F1" w:rsidRDefault="005A12A3">
            <w:pPr>
              <w:jc w:val="center"/>
              <w:rPr>
                <w:b/>
                <w:sz w:val="20"/>
                <w:lang w:val="es-PE"/>
              </w:rPr>
            </w:pPr>
            <w:r>
              <w:rPr>
                <w:b/>
                <w:sz w:val="20"/>
                <w:lang w:val="es-PE"/>
              </w:rPr>
              <w:t>Niveles de Servicio para: Túneles</w:t>
            </w:r>
          </w:p>
        </w:tc>
      </w:tr>
      <w:tr w:rsidR="004412F1" w14:paraId="0ABDB272" w14:textId="77777777">
        <w:trPr>
          <w:trHeight w:val="330"/>
        </w:trPr>
        <w:tc>
          <w:tcPr>
            <w:tcW w:w="9000" w:type="dxa"/>
            <w:gridSpan w:val="6"/>
            <w:tcBorders>
              <w:top w:val="nil"/>
              <w:left w:val="single" w:sz="8" w:space="0" w:color="auto"/>
              <w:bottom w:val="single" w:sz="8" w:space="0" w:color="auto"/>
              <w:right w:val="single" w:sz="8" w:space="0" w:color="auto"/>
            </w:tcBorders>
            <w:shd w:val="clear" w:color="auto" w:fill="95B3D7" w:themeFill="accent1" w:themeFillTint="99"/>
            <w:tcMar>
              <w:left w:w="70" w:type="dxa"/>
              <w:right w:w="70" w:type="dxa"/>
            </w:tcMar>
            <w:vAlign w:val="bottom"/>
          </w:tcPr>
          <w:p w14:paraId="218F1FA5" w14:textId="77777777" w:rsidR="004412F1" w:rsidRDefault="005A12A3">
            <w:pPr>
              <w:jc w:val="center"/>
              <w:rPr>
                <w:b/>
                <w:color w:val="000000" w:themeColor="text1"/>
                <w:sz w:val="20"/>
              </w:rPr>
            </w:pPr>
            <w:r>
              <w:rPr>
                <w:b/>
                <w:color w:val="000000" w:themeColor="text1"/>
                <w:sz w:val="20"/>
              </w:rPr>
              <w:t>Señalización Vertical</w:t>
            </w:r>
          </w:p>
        </w:tc>
      </w:tr>
      <w:tr w:rsidR="004412F1" w14:paraId="35031A04" w14:textId="77777777">
        <w:trPr>
          <w:trHeight w:val="270"/>
        </w:trPr>
        <w:tc>
          <w:tcPr>
            <w:tcW w:w="232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73670E" w14:textId="77777777" w:rsidR="004412F1" w:rsidRDefault="005A12A3">
            <w:pPr>
              <w:jc w:val="center"/>
              <w:rPr>
                <w:b/>
                <w:sz w:val="20"/>
              </w:rPr>
            </w:pPr>
            <w:r>
              <w:rPr>
                <w:b/>
                <w:sz w:val="20"/>
              </w:rPr>
              <w:t>PARAMETRO</w:t>
            </w:r>
          </w:p>
        </w:tc>
        <w:tc>
          <w:tcPr>
            <w:tcW w:w="3840" w:type="dxa"/>
            <w:tcBorders>
              <w:top w:val="nil"/>
              <w:left w:val="nil"/>
              <w:bottom w:val="single" w:sz="8" w:space="0" w:color="auto"/>
              <w:right w:val="single" w:sz="8" w:space="0" w:color="auto"/>
            </w:tcBorders>
            <w:tcMar>
              <w:left w:w="70" w:type="dxa"/>
              <w:right w:w="70" w:type="dxa"/>
            </w:tcMar>
            <w:vAlign w:val="bottom"/>
          </w:tcPr>
          <w:p w14:paraId="28453AEF" w14:textId="77777777" w:rsidR="004412F1" w:rsidRDefault="005A12A3">
            <w:pPr>
              <w:jc w:val="center"/>
              <w:rPr>
                <w:rFonts w:eastAsia="Times New Roman"/>
                <w:b/>
                <w:bCs/>
                <w:sz w:val="20"/>
                <w:szCs w:val="18"/>
                <w:lang w:val="es-ES" w:eastAsia="es-ES"/>
              </w:rPr>
            </w:pPr>
            <w:r>
              <w:rPr>
                <w:b/>
                <w:sz w:val="20"/>
              </w:rPr>
              <w:t>MEDIDA</w:t>
            </w:r>
          </w:p>
        </w:tc>
        <w:tc>
          <w:tcPr>
            <w:tcW w:w="2835" w:type="dxa"/>
            <w:gridSpan w:val="3"/>
            <w:tcBorders>
              <w:top w:val="nil"/>
              <w:left w:val="single" w:sz="8" w:space="0" w:color="auto"/>
              <w:bottom w:val="single" w:sz="8" w:space="0" w:color="auto"/>
              <w:right w:val="single" w:sz="8" w:space="0" w:color="auto"/>
            </w:tcBorders>
            <w:tcMar>
              <w:left w:w="70" w:type="dxa"/>
              <w:right w:w="70" w:type="dxa"/>
            </w:tcMar>
            <w:vAlign w:val="bottom"/>
          </w:tcPr>
          <w:p w14:paraId="02F2BB2B" w14:textId="77777777" w:rsidR="004412F1" w:rsidRDefault="005A12A3">
            <w:pPr>
              <w:jc w:val="center"/>
              <w:rPr>
                <w:rFonts w:eastAsia="Times New Roman"/>
                <w:b/>
                <w:bCs/>
                <w:sz w:val="20"/>
                <w:szCs w:val="18"/>
                <w:lang w:val="es-ES" w:eastAsia="es-ES"/>
              </w:rPr>
            </w:pPr>
            <w:r>
              <w:rPr>
                <w:b/>
                <w:sz w:val="20"/>
              </w:rPr>
              <w:t>NIVEL DE SERVICIO</w:t>
            </w:r>
          </w:p>
        </w:tc>
      </w:tr>
      <w:tr w:rsidR="004412F1" w14:paraId="56A138B1" w14:textId="77777777">
        <w:trPr>
          <w:trHeight w:val="270"/>
        </w:trPr>
        <w:tc>
          <w:tcPr>
            <w:tcW w:w="2325" w:type="dxa"/>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09EA8A" w14:textId="77777777" w:rsidR="004412F1" w:rsidRDefault="005A12A3">
            <w:r>
              <w:rPr>
                <w:sz w:val="20"/>
              </w:rPr>
              <w:t>Elementos faltantes</w:t>
            </w:r>
          </w:p>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3E778DDE" w14:textId="77777777" w:rsidR="004412F1" w:rsidRDefault="005A12A3">
            <w:pPr>
              <w:rPr>
                <w:rFonts w:eastAsia="Times New Roman"/>
                <w:bCs/>
                <w:szCs w:val="18"/>
                <w:lang w:val="es-ES" w:eastAsia="es-ES"/>
              </w:rPr>
            </w:pPr>
            <w:r>
              <w:rPr>
                <w:sz w:val="20"/>
              </w:rPr>
              <w:t>Elementos individuales faltantes</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8A6068" w14:textId="77777777" w:rsidR="004412F1" w:rsidRDefault="005A12A3">
            <w:pPr>
              <w:rPr>
                <w:rFonts w:eastAsia="Times New Roman"/>
                <w:bCs/>
                <w:szCs w:val="18"/>
                <w:lang w:val="es-ES" w:eastAsia="es-ES"/>
              </w:rPr>
            </w:pPr>
            <w:r>
              <w:rPr>
                <w:sz w:val="20"/>
              </w:rPr>
              <w:t>No se admitirán</w:t>
            </w:r>
          </w:p>
        </w:tc>
      </w:tr>
      <w:tr w:rsidR="004412F1" w14:paraId="002DF09A" w14:textId="77777777">
        <w:trPr>
          <w:trHeight w:val="1470"/>
        </w:trPr>
        <w:tc>
          <w:tcPr>
            <w:tcW w:w="2325" w:type="dxa"/>
            <w:gridSpan w:val="2"/>
            <w:tcBorders>
              <w:top w:val="single" w:sz="8" w:space="0" w:color="auto"/>
              <w:left w:val="single" w:sz="8" w:space="0" w:color="auto"/>
              <w:bottom w:val="nil"/>
              <w:right w:val="single" w:sz="8" w:space="0" w:color="auto"/>
            </w:tcBorders>
            <w:tcMar>
              <w:left w:w="70" w:type="dxa"/>
              <w:right w:w="70" w:type="dxa"/>
            </w:tcMar>
            <w:vAlign w:val="center"/>
          </w:tcPr>
          <w:p w14:paraId="0208C003" w14:textId="77777777" w:rsidR="004412F1" w:rsidRDefault="005A12A3">
            <w:pPr>
              <w:rPr>
                <w:lang w:val="es-PE"/>
              </w:rPr>
            </w:pPr>
            <w:r>
              <w:rPr>
                <w:sz w:val="20"/>
                <w:lang w:val="es-PE"/>
              </w:rPr>
              <w:t>Decoloración de las placas de las señales</w:t>
            </w:r>
          </w:p>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24BAE12C" w14:textId="77777777" w:rsidR="004412F1" w:rsidRDefault="005A12A3">
            <w:pPr>
              <w:rPr>
                <w:rFonts w:eastAsia="Times New Roman"/>
                <w:bCs/>
                <w:szCs w:val="18"/>
                <w:lang w:val="es-ES" w:eastAsia="es-ES"/>
              </w:rPr>
            </w:pPr>
            <w:r>
              <w:rPr>
                <w:sz w:val="20"/>
                <w:lang w:val="es-PE"/>
              </w:rPr>
              <w:t xml:space="preserve">Coordenadas cromáticas "X" e "Y" </w:t>
            </w:r>
            <w:proofErr w:type="gramStart"/>
            <w:r>
              <w:rPr>
                <w:sz w:val="20"/>
                <w:lang w:val="es-PE"/>
              </w:rPr>
              <w:t>( Geometría</w:t>
            </w:r>
            <w:proofErr w:type="gramEnd"/>
            <w:r>
              <w:rPr>
                <w:sz w:val="20"/>
                <w:lang w:val="es-PE"/>
              </w:rPr>
              <w:t xml:space="preserve"> 45/0 y ángulo de observación patrón de 2" ) </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5D23AA" w14:textId="77777777" w:rsidR="004412F1" w:rsidRDefault="005A12A3">
            <w:pPr>
              <w:rPr>
                <w:rFonts w:eastAsia="Times New Roman"/>
                <w:bCs/>
                <w:szCs w:val="18"/>
                <w:lang w:val="es-ES" w:eastAsia="es-ES"/>
              </w:rPr>
            </w:pPr>
            <w:r>
              <w:rPr>
                <w:sz w:val="20"/>
                <w:lang w:val="es-PE"/>
              </w:rPr>
              <w:t xml:space="preserve">Coordenadas crommaticas dentro del diagrama CIE definido por los 4 puntos contenidos en la tabla correspondiente </w:t>
            </w:r>
            <w:proofErr w:type="gramStart"/>
            <w:r>
              <w:rPr>
                <w:sz w:val="20"/>
                <w:lang w:val="es-PE"/>
              </w:rPr>
              <w:t>( *</w:t>
            </w:r>
            <w:proofErr w:type="gramEnd"/>
            <w:r>
              <w:rPr>
                <w:sz w:val="20"/>
                <w:lang w:val="es-PE"/>
              </w:rPr>
              <w:t xml:space="preserve"> )</w:t>
            </w:r>
          </w:p>
        </w:tc>
      </w:tr>
      <w:tr w:rsidR="004412F1" w14:paraId="49F27EBC" w14:textId="77777777">
        <w:trPr>
          <w:trHeight w:val="270"/>
        </w:trPr>
        <w:tc>
          <w:tcPr>
            <w:tcW w:w="2325" w:type="dxa"/>
            <w:gridSpan w:val="2"/>
            <w:vMerge w:val="restart"/>
            <w:tcBorders>
              <w:top w:val="single" w:sz="8" w:space="0" w:color="auto"/>
              <w:left w:val="single" w:sz="8" w:space="0" w:color="auto"/>
              <w:bottom w:val="single" w:sz="8" w:space="0" w:color="000000" w:themeColor="text1"/>
              <w:right w:val="single" w:sz="8" w:space="0" w:color="auto"/>
            </w:tcBorders>
            <w:tcMar>
              <w:left w:w="70" w:type="dxa"/>
              <w:right w:w="70" w:type="dxa"/>
            </w:tcMar>
            <w:vAlign w:val="center"/>
          </w:tcPr>
          <w:p w14:paraId="7D73EE20" w14:textId="77777777" w:rsidR="004412F1" w:rsidRDefault="005A12A3">
            <w:pPr>
              <w:rPr>
                <w:lang w:val="es-PE"/>
              </w:rPr>
            </w:pPr>
            <w:r>
              <w:rPr>
                <w:sz w:val="20"/>
                <w:lang w:val="es-PE"/>
              </w:rPr>
              <w:t>Visibilidad nocturna insuficiente de las placas de ñas señales</w:t>
            </w:r>
          </w:p>
        </w:tc>
        <w:tc>
          <w:tcPr>
            <w:tcW w:w="3840" w:type="dxa"/>
            <w:vMerge w:val="restart"/>
            <w:tcBorders>
              <w:top w:val="single" w:sz="8" w:space="0" w:color="auto"/>
              <w:left w:val="nil"/>
              <w:bottom w:val="single" w:sz="8" w:space="0" w:color="000000" w:themeColor="text1"/>
              <w:right w:val="single" w:sz="8" w:space="0" w:color="auto"/>
            </w:tcBorders>
            <w:tcMar>
              <w:left w:w="70" w:type="dxa"/>
              <w:right w:w="70" w:type="dxa"/>
            </w:tcMar>
            <w:vAlign w:val="center"/>
          </w:tcPr>
          <w:p w14:paraId="63834BF1" w14:textId="77777777" w:rsidR="004412F1" w:rsidRDefault="005A12A3">
            <w:pPr>
              <w:rPr>
                <w:rFonts w:eastAsia="Times New Roman"/>
                <w:bCs/>
                <w:szCs w:val="18"/>
                <w:lang w:val="es-ES" w:eastAsia="es-ES"/>
              </w:rPr>
            </w:pPr>
            <w:r>
              <w:rPr>
                <w:sz w:val="20"/>
                <w:lang w:val="es-PE"/>
              </w:rPr>
              <w:t xml:space="preserve">Coeficiente de reflectividad mínimo </w:t>
            </w:r>
            <w:proofErr w:type="gramStart"/>
            <w:r>
              <w:rPr>
                <w:sz w:val="20"/>
                <w:lang w:val="es-PE"/>
              </w:rPr>
              <w:t>( ángulo</w:t>
            </w:r>
            <w:proofErr w:type="gramEnd"/>
            <w:r>
              <w:rPr>
                <w:sz w:val="20"/>
                <w:lang w:val="es-PE"/>
              </w:rPr>
              <w:t xml:space="preserve"> de observación de 02° y de incidencia de - 4° )</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05509D" w14:textId="77777777" w:rsidR="004412F1" w:rsidRDefault="005A12A3">
            <w:pPr>
              <w:rPr>
                <w:rFonts w:eastAsia="Times New Roman"/>
                <w:bCs/>
                <w:szCs w:val="18"/>
                <w:lang w:val="es-ES" w:eastAsia="es-ES"/>
              </w:rPr>
            </w:pPr>
            <w:r>
              <w:rPr>
                <w:sz w:val="20"/>
              </w:rPr>
              <w:t>Amarillo 100 cd / lux / m2</w:t>
            </w:r>
          </w:p>
        </w:tc>
      </w:tr>
      <w:tr w:rsidR="004412F1" w14:paraId="60EDF894" w14:textId="77777777">
        <w:trPr>
          <w:trHeight w:val="270"/>
        </w:trPr>
        <w:tc>
          <w:tcPr>
            <w:tcW w:w="2325" w:type="dxa"/>
            <w:gridSpan w:val="2"/>
            <w:vMerge/>
            <w:tcBorders>
              <w:left w:val="single" w:sz="0" w:space="0" w:color="auto"/>
              <w:right w:val="single" w:sz="0" w:space="0" w:color="auto"/>
            </w:tcBorders>
            <w:vAlign w:val="center"/>
          </w:tcPr>
          <w:p w14:paraId="76F4DB1E" w14:textId="77777777" w:rsidR="004412F1" w:rsidRDefault="004412F1"/>
        </w:tc>
        <w:tc>
          <w:tcPr>
            <w:tcW w:w="3840" w:type="dxa"/>
            <w:vMerge/>
            <w:tcBorders>
              <w:left w:val="nil"/>
              <w:right w:val="single" w:sz="0" w:space="0" w:color="auto"/>
            </w:tcBorders>
            <w:vAlign w:val="center"/>
          </w:tcPr>
          <w:p w14:paraId="2A871286" w14:textId="77777777" w:rsidR="004412F1" w:rsidRDefault="004412F1"/>
        </w:tc>
        <w:tc>
          <w:tcPr>
            <w:tcW w:w="2835" w:type="dxa"/>
            <w:gridSpan w:val="3"/>
            <w:tcBorders>
              <w:top w:val="single" w:sz="8" w:space="0" w:color="auto"/>
              <w:left w:val="nil"/>
              <w:bottom w:val="single" w:sz="8" w:space="0" w:color="auto"/>
              <w:right w:val="single" w:sz="8" w:space="0" w:color="auto"/>
            </w:tcBorders>
            <w:tcMar>
              <w:left w:w="70" w:type="dxa"/>
              <w:right w:w="70" w:type="dxa"/>
            </w:tcMar>
            <w:vAlign w:val="center"/>
          </w:tcPr>
          <w:p w14:paraId="1ADE65A4" w14:textId="77777777" w:rsidR="004412F1" w:rsidRDefault="005A12A3">
            <w:pPr>
              <w:rPr>
                <w:rFonts w:eastAsia="Times New Roman"/>
                <w:bCs/>
                <w:szCs w:val="18"/>
                <w:lang w:val="es-ES" w:eastAsia="es-ES"/>
              </w:rPr>
            </w:pPr>
            <w:r>
              <w:rPr>
                <w:sz w:val="20"/>
              </w:rPr>
              <w:t>Blanco 140 cd / lux / m2</w:t>
            </w:r>
          </w:p>
        </w:tc>
      </w:tr>
      <w:tr w:rsidR="004412F1" w14:paraId="088F57CA" w14:textId="77777777">
        <w:trPr>
          <w:trHeight w:val="270"/>
        </w:trPr>
        <w:tc>
          <w:tcPr>
            <w:tcW w:w="2325" w:type="dxa"/>
            <w:gridSpan w:val="2"/>
            <w:vMerge/>
            <w:tcBorders>
              <w:left w:val="single" w:sz="0" w:space="0" w:color="auto"/>
              <w:right w:val="single" w:sz="0" w:space="0" w:color="auto"/>
            </w:tcBorders>
            <w:vAlign w:val="center"/>
          </w:tcPr>
          <w:p w14:paraId="246621DB" w14:textId="77777777" w:rsidR="004412F1" w:rsidRDefault="004412F1"/>
        </w:tc>
        <w:tc>
          <w:tcPr>
            <w:tcW w:w="3840" w:type="dxa"/>
            <w:vMerge/>
            <w:tcBorders>
              <w:left w:val="nil"/>
              <w:right w:val="single" w:sz="0" w:space="0" w:color="auto"/>
            </w:tcBorders>
            <w:vAlign w:val="center"/>
          </w:tcPr>
          <w:p w14:paraId="7D2D8B19" w14:textId="77777777" w:rsidR="004412F1" w:rsidRDefault="004412F1"/>
        </w:tc>
        <w:tc>
          <w:tcPr>
            <w:tcW w:w="2835" w:type="dxa"/>
            <w:gridSpan w:val="3"/>
            <w:tcBorders>
              <w:top w:val="single" w:sz="8" w:space="0" w:color="auto"/>
              <w:left w:val="nil"/>
              <w:bottom w:val="single" w:sz="8" w:space="0" w:color="auto"/>
              <w:right w:val="single" w:sz="8" w:space="0" w:color="auto"/>
            </w:tcBorders>
            <w:tcMar>
              <w:left w:w="70" w:type="dxa"/>
              <w:right w:w="70" w:type="dxa"/>
            </w:tcMar>
            <w:vAlign w:val="center"/>
          </w:tcPr>
          <w:p w14:paraId="573E354B" w14:textId="77777777" w:rsidR="004412F1" w:rsidRDefault="005A12A3">
            <w:pPr>
              <w:rPr>
                <w:rFonts w:eastAsia="Times New Roman"/>
                <w:bCs/>
                <w:szCs w:val="18"/>
                <w:lang w:val="es-ES" w:eastAsia="es-ES"/>
              </w:rPr>
            </w:pPr>
            <w:r>
              <w:rPr>
                <w:sz w:val="20"/>
              </w:rPr>
              <w:t>Naranja 60 cd / lux / m2</w:t>
            </w:r>
          </w:p>
        </w:tc>
      </w:tr>
      <w:tr w:rsidR="004412F1" w14:paraId="4D0B950E" w14:textId="77777777">
        <w:trPr>
          <w:trHeight w:val="270"/>
        </w:trPr>
        <w:tc>
          <w:tcPr>
            <w:tcW w:w="2325" w:type="dxa"/>
            <w:gridSpan w:val="2"/>
            <w:vMerge/>
            <w:tcBorders>
              <w:left w:val="single" w:sz="0" w:space="0" w:color="auto"/>
              <w:right w:val="single" w:sz="0" w:space="0" w:color="auto"/>
            </w:tcBorders>
            <w:vAlign w:val="center"/>
          </w:tcPr>
          <w:p w14:paraId="7E27962E" w14:textId="77777777" w:rsidR="004412F1" w:rsidRDefault="004412F1"/>
        </w:tc>
        <w:tc>
          <w:tcPr>
            <w:tcW w:w="3840" w:type="dxa"/>
            <w:vMerge/>
            <w:tcBorders>
              <w:left w:val="nil"/>
              <w:right w:val="single" w:sz="0" w:space="0" w:color="auto"/>
            </w:tcBorders>
            <w:vAlign w:val="center"/>
          </w:tcPr>
          <w:p w14:paraId="4FB94C96" w14:textId="77777777" w:rsidR="004412F1" w:rsidRDefault="004412F1"/>
        </w:tc>
        <w:tc>
          <w:tcPr>
            <w:tcW w:w="2835" w:type="dxa"/>
            <w:gridSpan w:val="3"/>
            <w:tcBorders>
              <w:top w:val="single" w:sz="8" w:space="0" w:color="auto"/>
              <w:left w:val="nil"/>
              <w:bottom w:val="single" w:sz="8" w:space="0" w:color="auto"/>
              <w:right w:val="single" w:sz="8" w:space="0" w:color="auto"/>
            </w:tcBorders>
            <w:tcMar>
              <w:left w:w="70" w:type="dxa"/>
              <w:right w:w="70" w:type="dxa"/>
            </w:tcMar>
            <w:vAlign w:val="center"/>
          </w:tcPr>
          <w:p w14:paraId="12BBE34C" w14:textId="77777777" w:rsidR="004412F1" w:rsidRDefault="005A12A3">
            <w:pPr>
              <w:rPr>
                <w:rFonts w:eastAsia="Times New Roman"/>
                <w:bCs/>
                <w:szCs w:val="18"/>
                <w:lang w:val="es-ES" w:eastAsia="es-ES"/>
              </w:rPr>
            </w:pPr>
            <w:r>
              <w:rPr>
                <w:sz w:val="20"/>
              </w:rPr>
              <w:t>Rojo 30 cd / lux / m2</w:t>
            </w:r>
          </w:p>
        </w:tc>
      </w:tr>
      <w:tr w:rsidR="004412F1" w14:paraId="731C65F9" w14:textId="77777777">
        <w:trPr>
          <w:trHeight w:val="270"/>
        </w:trPr>
        <w:tc>
          <w:tcPr>
            <w:tcW w:w="2325" w:type="dxa"/>
            <w:gridSpan w:val="2"/>
            <w:vMerge/>
            <w:tcBorders>
              <w:left w:val="single" w:sz="0" w:space="0" w:color="auto"/>
              <w:right w:val="single" w:sz="0" w:space="0" w:color="auto"/>
            </w:tcBorders>
            <w:vAlign w:val="center"/>
          </w:tcPr>
          <w:p w14:paraId="506207A3" w14:textId="77777777" w:rsidR="004412F1" w:rsidRDefault="004412F1"/>
        </w:tc>
        <w:tc>
          <w:tcPr>
            <w:tcW w:w="3840" w:type="dxa"/>
            <w:vMerge/>
            <w:tcBorders>
              <w:left w:val="nil"/>
              <w:right w:val="single" w:sz="0" w:space="0" w:color="auto"/>
            </w:tcBorders>
            <w:vAlign w:val="center"/>
          </w:tcPr>
          <w:p w14:paraId="5BCBD1FA" w14:textId="77777777" w:rsidR="004412F1" w:rsidRDefault="004412F1"/>
        </w:tc>
        <w:tc>
          <w:tcPr>
            <w:tcW w:w="2835" w:type="dxa"/>
            <w:gridSpan w:val="3"/>
            <w:tcBorders>
              <w:top w:val="single" w:sz="8" w:space="0" w:color="auto"/>
              <w:left w:val="nil"/>
              <w:bottom w:val="single" w:sz="8" w:space="0" w:color="auto"/>
              <w:right w:val="single" w:sz="8" w:space="0" w:color="auto"/>
            </w:tcBorders>
            <w:tcMar>
              <w:left w:w="70" w:type="dxa"/>
              <w:right w:w="70" w:type="dxa"/>
            </w:tcMar>
            <w:vAlign w:val="center"/>
          </w:tcPr>
          <w:p w14:paraId="354354E3" w14:textId="77777777" w:rsidR="004412F1" w:rsidRDefault="005A12A3">
            <w:pPr>
              <w:rPr>
                <w:rFonts w:eastAsia="Times New Roman"/>
                <w:bCs/>
                <w:szCs w:val="18"/>
                <w:lang w:val="es-ES" w:eastAsia="es-ES"/>
              </w:rPr>
            </w:pPr>
            <w:r>
              <w:rPr>
                <w:sz w:val="20"/>
              </w:rPr>
              <w:t>Verde 30 cd / lux / m3</w:t>
            </w:r>
          </w:p>
        </w:tc>
      </w:tr>
      <w:tr w:rsidR="004412F1" w14:paraId="79DD9559" w14:textId="77777777">
        <w:trPr>
          <w:trHeight w:val="270"/>
        </w:trPr>
        <w:tc>
          <w:tcPr>
            <w:tcW w:w="2325" w:type="dxa"/>
            <w:gridSpan w:val="2"/>
            <w:vMerge/>
            <w:tcBorders>
              <w:left w:val="single" w:sz="0" w:space="0" w:color="auto"/>
              <w:bottom w:val="single" w:sz="0" w:space="0" w:color="000000" w:themeColor="text1"/>
              <w:right w:val="single" w:sz="0" w:space="0" w:color="auto"/>
            </w:tcBorders>
            <w:vAlign w:val="center"/>
          </w:tcPr>
          <w:p w14:paraId="2380F5AC" w14:textId="77777777" w:rsidR="004412F1" w:rsidRDefault="004412F1"/>
        </w:tc>
        <w:tc>
          <w:tcPr>
            <w:tcW w:w="3840" w:type="dxa"/>
            <w:vMerge/>
            <w:tcBorders>
              <w:left w:val="nil"/>
              <w:bottom w:val="single" w:sz="0" w:space="0" w:color="000000" w:themeColor="text1"/>
              <w:right w:val="single" w:sz="0" w:space="0" w:color="auto"/>
            </w:tcBorders>
            <w:vAlign w:val="center"/>
          </w:tcPr>
          <w:p w14:paraId="255D96D6" w14:textId="77777777" w:rsidR="004412F1" w:rsidRDefault="004412F1"/>
        </w:tc>
        <w:tc>
          <w:tcPr>
            <w:tcW w:w="2835" w:type="dxa"/>
            <w:gridSpan w:val="3"/>
            <w:tcBorders>
              <w:top w:val="single" w:sz="8" w:space="0" w:color="auto"/>
              <w:left w:val="nil"/>
              <w:bottom w:val="single" w:sz="8" w:space="0" w:color="auto"/>
              <w:right w:val="single" w:sz="8" w:space="0" w:color="auto"/>
            </w:tcBorders>
            <w:tcMar>
              <w:left w:w="70" w:type="dxa"/>
              <w:right w:w="70" w:type="dxa"/>
            </w:tcMar>
            <w:vAlign w:val="center"/>
          </w:tcPr>
          <w:p w14:paraId="127050EF" w14:textId="77777777" w:rsidR="004412F1" w:rsidRDefault="005A12A3">
            <w:pPr>
              <w:rPr>
                <w:rFonts w:eastAsia="Times New Roman"/>
                <w:bCs/>
                <w:szCs w:val="18"/>
                <w:lang w:val="es-ES" w:eastAsia="es-ES"/>
              </w:rPr>
            </w:pPr>
            <w:r>
              <w:rPr>
                <w:sz w:val="20"/>
              </w:rPr>
              <w:t>Azul 10 cd / lux / m4</w:t>
            </w:r>
          </w:p>
        </w:tc>
      </w:tr>
      <w:tr w:rsidR="004412F1" w14:paraId="09D123BB" w14:textId="77777777">
        <w:trPr>
          <w:trHeight w:val="525"/>
        </w:trPr>
        <w:tc>
          <w:tcPr>
            <w:tcW w:w="2325" w:type="dxa"/>
            <w:gridSpan w:val="2"/>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44B75DD5" w14:textId="77777777" w:rsidR="004412F1" w:rsidRDefault="005A12A3">
            <w:pPr>
              <w:jc w:val="center"/>
              <w:rPr>
                <w:sz w:val="20"/>
                <w:lang w:val="es-PE"/>
              </w:rPr>
            </w:pPr>
            <w:r>
              <w:rPr>
                <w:sz w:val="20"/>
                <w:lang w:val="es-PE"/>
              </w:rPr>
              <w:t>Deterioro del mensaje de las placas de las señales</w:t>
            </w:r>
          </w:p>
        </w:tc>
        <w:tc>
          <w:tcPr>
            <w:tcW w:w="3840" w:type="dxa"/>
            <w:tcBorders>
              <w:top w:val="nil"/>
              <w:left w:val="nil"/>
              <w:bottom w:val="single" w:sz="8" w:space="0" w:color="auto"/>
              <w:right w:val="single" w:sz="8" w:space="0" w:color="auto"/>
            </w:tcBorders>
            <w:tcMar>
              <w:left w:w="70" w:type="dxa"/>
              <w:right w:w="70" w:type="dxa"/>
            </w:tcMar>
            <w:vAlign w:val="center"/>
          </w:tcPr>
          <w:p w14:paraId="4997A0CD" w14:textId="77777777" w:rsidR="004412F1" w:rsidRDefault="005A12A3">
            <w:pPr>
              <w:rPr>
                <w:rFonts w:eastAsia="Times New Roman"/>
                <w:bCs/>
                <w:szCs w:val="18"/>
                <w:lang w:val="es-ES" w:eastAsia="es-ES"/>
              </w:rPr>
            </w:pPr>
            <w:r>
              <w:rPr>
                <w:sz w:val="20"/>
                <w:lang w:val="es-PE"/>
              </w:rPr>
              <w:t>Mensajes sucios de polvo o con daños como pegatinas o pintura, etc.</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00ABF1" w14:textId="77777777" w:rsidR="004412F1" w:rsidRDefault="005A12A3">
            <w:pPr>
              <w:rPr>
                <w:rFonts w:eastAsia="Times New Roman"/>
                <w:bCs/>
                <w:szCs w:val="18"/>
                <w:lang w:val="es-ES" w:eastAsia="es-ES"/>
              </w:rPr>
            </w:pPr>
            <w:r>
              <w:rPr>
                <w:sz w:val="20"/>
              </w:rPr>
              <w:t>No se admitirán</w:t>
            </w:r>
          </w:p>
        </w:tc>
      </w:tr>
      <w:tr w:rsidR="004412F1" w14:paraId="3E5F9205" w14:textId="77777777">
        <w:trPr>
          <w:trHeight w:val="525"/>
        </w:trPr>
        <w:tc>
          <w:tcPr>
            <w:tcW w:w="2325" w:type="dxa"/>
            <w:gridSpan w:val="2"/>
            <w:vMerge/>
            <w:tcBorders>
              <w:left w:val="single" w:sz="0" w:space="0" w:color="auto"/>
              <w:right w:val="single" w:sz="0" w:space="0" w:color="auto"/>
            </w:tcBorders>
            <w:vAlign w:val="center"/>
          </w:tcPr>
          <w:p w14:paraId="375474FB"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3E1895EE" w14:textId="77777777" w:rsidR="004412F1" w:rsidRDefault="005A12A3">
            <w:pPr>
              <w:rPr>
                <w:rFonts w:eastAsia="Times New Roman"/>
                <w:bCs/>
                <w:szCs w:val="18"/>
                <w:lang w:val="es-ES" w:eastAsia="es-ES"/>
              </w:rPr>
            </w:pPr>
            <w:r>
              <w:rPr>
                <w:sz w:val="20"/>
                <w:lang w:val="es-PE"/>
              </w:rPr>
              <w:t xml:space="preserve">Perforaciones de máximo de 1 cm. De diámetro que no comprometa el mensaje </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3C8FA5" w14:textId="77777777" w:rsidR="004412F1" w:rsidRDefault="005A12A3">
            <w:pPr>
              <w:rPr>
                <w:rFonts w:eastAsia="Times New Roman"/>
                <w:bCs/>
                <w:szCs w:val="18"/>
                <w:lang w:val="es-ES" w:eastAsia="es-ES"/>
              </w:rPr>
            </w:pPr>
            <w:r>
              <w:rPr>
                <w:sz w:val="20"/>
              </w:rPr>
              <w:t>No se admitirán</w:t>
            </w:r>
          </w:p>
        </w:tc>
      </w:tr>
      <w:tr w:rsidR="004412F1" w14:paraId="5ACCE133" w14:textId="77777777">
        <w:trPr>
          <w:trHeight w:val="525"/>
        </w:trPr>
        <w:tc>
          <w:tcPr>
            <w:tcW w:w="2325" w:type="dxa"/>
            <w:gridSpan w:val="2"/>
            <w:vMerge/>
            <w:tcBorders>
              <w:left w:val="single" w:sz="0" w:space="0" w:color="auto"/>
              <w:right w:val="single" w:sz="0" w:space="0" w:color="auto"/>
            </w:tcBorders>
            <w:vAlign w:val="center"/>
          </w:tcPr>
          <w:p w14:paraId="7371A4ED"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69D11381" w14:textId="77777777" w:rsidR="004412F1" w:rsidRDefault="005A12A3">
            <w:pPr>
              <w:rPr>
                <w:rFonts w:eastAsia="Times New Roman"/>
                <w:bCs/>
                <w:szCs w:val="18"/>
                <w:lang w:val="es-ES" w:eastAsia="es-ES"/>
              </w:rPr>
            </w:pPr>
            <w:r>
              <w:rPr>
                <w:sz w:val="20"/>
                <w:lang w:val="es-PE"/>
              </w:rPr>
              <w:t>Cualquier doblez de longitud inferior a 7.5 cm.</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E61C00" w14:textId="77777777" w:rsidR="004412F1" w:rsidRDefault="005A12A3">
            <w:pPr>
              <w:rPr>
                <w:rFonts w:eastAsia="Times New Roman"/>
                <w:bCs/>
                <w:szCs w:val="18"/>
                <w:lang w:val="es-ES" w:eastAsia="es-ES"/>
              </w:rPr>
            </w:pPr>
            <w:r>
              <w:rPr>
                <w:sz w:val="20"/>
              </w:rPr>
              <w:t>No se admitirán</w:t>
            </w:r>
          </w:p>
        </w:tc>
      </w:tr>
      <w:tr w:rsidR="004412F1" w14:paraId="64343C40" w14:textId="77777777">
        <w:trPr>
          <w:trHeight w:val="270"/>
        </w:trPr>
        <w:tc>
          <w:tcPr>
            <w:tcW w:w="2325" w:type="dxa"/>
            <w:gridSpan w:val="2"/>
            <w:vMerge/>
            <w:tcBorders>
              <w:left w:val="single" w:sz="0" w:space="0" w:color="auto"/>
              <w:bottom w:val="single" w:sz="0" w:space="0" w:color="000000" w:themeColor="text1"/>
              <w:right w:val="single" w:sz="0" w:space="0" w:color="auto"/>
            </w:tcBorders>
            <w:vAlign w:val="center"/>
          </w:tcPr>
          <w:p w14:paraId="00E83A06"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68069925" w14:textId="77777777" w:rsidR="004412F1" w:rsidRDefault="005A12A3">
            <w:pPr>
              <w:rPr>
                <w:rFonts w:eastAsia="Times New Roman"/>
                <w:bCs/>
                <w:szCs w:val="18"/>
                <w:lang w:val="es-ES" w:eastAsia="es-ES"/>
              </w:rPr>
            </w:pPr>
            <w:r>
              <w:rPr>
                <w:sz w:val="20"/>
                <w:lang w:val="es-PE"/>
              </w:rPr>
              <w:t>Oxidación en las caras de la placa</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2E1DA5" w14:textId="77777777" w:rsidR="004412F1" w:rsidRDefault="005A12A3">
            <w:pPr>
              <w:rPr>
                <w:rFonts w:eastAsia="Times New Roman"/>
                <w:bCs/>
                <w:szCs w:val="18"/>
                <w:lang w:val="es-ES" w:eastAsia="es-ES"/>
              </w:rPr>
            </w:pPr>
            <w:r>
              <w:rPr>
                <w:sz w:val="20"/>
              </w:rPr>
              <w:t>No se admitirán</w:t>
            </w:r>
          </w:p>
        </w:tc>
      </w:tr>
      <w:tr w:rsidR="004412F1" w14:paraId="03559CF6" w14:textId="77777777">
        <w:trPr>
          <w:trHeight w:val="270"/>
        </w:trPr>
        <w:tc>
          <w:tcPr>
            <w:tcW w:w="2325" w:type="dxa"/>
            <w:gridSpan w:val="2"/>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42F84003" w14:textId="77777777" w:rsidR="004412F1" w:rsidRDefault="005A12A3">
            <w:pPr>
              <w:rPr>
                <w:lang w:val="es-PE"/>
              </w:rPr>
            </w:pPr>
            <w:r>
              <w:rPr>
                <w:sz w:val="20"/>
                <w:lang w:val="es-PE"/>
              </w:rPr>
              <w:t>Deterioro de los elementos de fijación de las placas de las señales</w:t>
            </w:r>
          </w:p>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48BC87FC" w14:textId="77777777" w:rsidR="004412F1" w:rsidRDefault="005A12A3">
            <w:pPr>
              <w:rPr>
                <w:rFonts w:eastAsia="Times New Roman"/>
                <w:bCs/>
                <w:szCs w:val="18"/>
                <w:lang w:val="es-ES" w:eastAsia="es-ES"/>
              </w:rPr>
            </w:pPr>
            <w:r>
              <w:rPr>
                <w:sz w:val="20"/>
              </w:rPr>
              <w:t>Paneles sueltos o desajustados</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B9A0AC" w14:textId="77777777" w:rsidR="004412F1" w:rsidRDefault="005A12A3">
            <w:pPr>
              <w:rPr>
                <w:rFonts w:eastAsia="Times New Roman"/>
                <w:bCs/>
                <w:szCs w:val="18"/>
                <w:lang w:val="es-ES" w:eastAsia="es-ES"/>
              </w:rPr>
            </w:pPr>
            <w:r>
              <w:rPr>
                <w:sz w:val="20"/>
              </w:rPr>
              <w:t>No se admitirán</w:t>
            </w:r>
          </w:p>
        </w:tc>
      </w:tr>
      <w:tr w:rsidR="004412F1" w14:paraId="1D0AA14C" w14:textId="77777777">
        <w:trPr>
          <w:trHeight w:val="270"/>
        </w:trPr>
        <w:tc>
          <w:tcPr>
            <w:tcW w:w="2325" w:type="dxa"/>
            <w:gridSpan w:val="2"/>
            <w:vMerge/>
            <w:tcBorders>
              <w:left w:val="single" w:sz="0" w:space="0" w:color="auto"/>
              <w:bottom w:val="single" w:sz="0" w:space="0" w:color="000000" w:themeColor="text1"/>
              <w:right w:val="single" w:sz="0" w:space="0" w:color="auto"/>
            </w:tcBorders>
            <w:vAlign w:val="center"/>
          </w:tcPr>
          <w:p w14:paraId="06733EDF" w14:textId="77777777" w:rsidR="004412F1" w:rsidRDefault="004412F1"/>
        </w:tc>
        <w:tc>
          <w:tcPr>
            <w:tcW w:w="3840" w:type="dxa"/>
            <w:tcBorders>
              <w:top w:val="single" w:sz="8" w:space="0" w:color="auto"/>
              <w:left w:val="nil"/>
              <w:bottom w:val="single" w:sz="8" w:space="0" w:color="000000" w:themeColor="text1"/>
              <w:right w:val="single" w:sz="8" w:space="0" w:color="auto"/>
            </w:tcBorders>
            <w:tcMar>
              <w:left w:w="70" w:type="dxa"/>
              <w:right w:w="70" w:type="dxa"/>
            </w:tcMar>
            <w:vAlign w:val="center"/>
          </w:tcPr>
          <w:p w14:paraId="0E3F98A7" w14:textId="77777777" w:rsidR="004412F1" w:rsidRDefault="005A12A3">
            <w:pPr>
              <w:rPr>
                <w:rFonts w:eastAsia="Times New Roman"/>
                <w:bCs/>
                <w:szCs w:val="18"/>
                <w:lang w:val="es-ES" w:eastAsia="es-ES"/>
              </w:rPr>
            </w:pPr>
            <w:r>
              <w:rPr>
                <w:sz w:val="20"/>
                <w:lang w:val="es-PE"/>
              </w:rPr>
              <w:t>Falta, total o parcial, de los pernos</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CFF584" w14:textId="77777777" w:rsidR="004412F1" w:rsidRDefault="005A12A3">
            <w:pPr>
              <w:rPr>
                <w:rFonts w:eastAsia="Times New Roman"/>
                <w:bCs/>
                <w:szCs w:val="18"/>
                <w:lang w:val="es-ES" w:eastAsia="es-ES"/>
              </w:rPr>
            </w:pPr>
            <w:r>
              <w:rPr>
                <w:sz w:val="20"/>
              </w:rPr>
              <w:t>No se admitirán</w:t>
            </w:r>
          </w:p>
        </w:tc>
      </w:tr>
      <w:tr w:rsidR="004412F1" w14:paraId="5FD2100C" w14:textId="77777777">
        <w:trPr>
          <w:trHeight w:val="525"/>
        </w:trPr>
        <w:tc>
          <w:tcPr>
            <w:tcW w:w="2325" w:type="dxa"/>
            <w:gridSpan w:val="2"/>
            <w:vMerge/>
            <w:tcBorders>
              <w:left w:val="single" w:sz="0" w:space="0" w:color="auto"/>
              <w:bottom w:val="single" w:sz="0" w:space="0" w:color="000000" w:themeColor="text1"/>
              <w:right w:val="single" w:sz="0" w:space="0" w:color="auto"/>
            </w:tcBorders>
            <w:vAlign w:val="center"/>
          </w:tcPr>
          <w:p w14:paraId="3BDA9A01"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4C52F772" w14:textId="77777777" w:rsidR="004412F1" w:rsidRDefault="005A12A3">
            <w:pPr>
              <w:rPr>
                <w:rFonts w:eastAsia="Times New Roman"/>
                <w:bCs/>
                <w:szCs w:val="18"/>
                <w:lang w:val="es-ES" w:eastAsia="es-ES"/>
              </w:rPr>
            </w:pPr>
            <w:r>
              <w:rPr>
                <w:sz w:val="20"/>
                <w:lang w:val="es-PE"/>
              </w:rPr>
              <w:t xml:space="preserve">Deterioro o </w:t>
            </w:r>
            <w:proofErr w:type="gramStart"/>
            <w:r>
              <w:rPr>
                <w:sz w:val="20"/>
                <w:lang w:val="es-PE"/>
              </w:rPr>
              <w:t>ausencia  de</w:t>
            </w:r>
            <w:proofErr w:type="gramEnd"/>
            <w:r>
              <w:rPr>
                <w:sz w:val="20"/>
                <w:lang w:val="es-PE"/>
              </w:rPr>
              <w:t xml:space="preserve"> estructuras rigidizantes</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EBBD83" w14:textId="77777777" w:rsidR="004412F1" w:rsidRDefault="005A12A3">
            <w:pPr>
              <w:rPr>
                <w:rFonts w:eastAsia="Times New Roman"/>
                <w:bCs/>
                <w:szCs w:val="18"/>
                <w:lang w:val="es-ES" w:eastAsia="es-ES"/>
              </w:rPr>
            </w:pPr>
            <w:r>
              <w:rPr>
                <w:sz w:val="20"/>
              </w:rPr>
              <w:t>No se admitirán</w:t>
            </w:r>
          </w:p>
        </w:tc>
      </w:tr>
      <w:tr w:rsidR="004412F1" w14:paraId="71677A22" w14:textId="77777777">
        <w:trPr>
          <w:trHeight w:val="1035"/>
        </w:trPr>
        <w:tc>
          <w:tcPr>
            <w:tcW w:w="2325" w:type="dxa"/>
            <w:gridSpan w:val="2"/>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18BE84D0" w14:textId="77777777" w:rsidR="004412F1" w:rsidRDefault="005A12A3">
            <w:pPr>
              <w:rPr>
                <w:lang w:val="es-PE"/>
              </w:rPr>
            </w:pPr>
            <w:r>
              <w:rPr>
                <w:sz w:val="20"/>
                <w:lang w:val="es-PE"/>
              </w:rPr>
              <w:t>Deterioro de los soportes de las señales</w:t>
            </w:r>
          </w:p>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5FF9DAFB" w14:textId="77777777" w:rsidR="004412F1" w:rsidRDefault="005A12A3">
            <w:pPr>
              <w:rPr>
                <w:rFonts w:eastAsia="Times New Roman"/>
                <w:bCs/>
                <w:szCs w:val="18"/>
                <w:lang w:val="es-ES" w:eastAsia="es-ES"/>
              </w:rPr>
            </w:pPr>
            <w:r>
              <w:rPr>
                <w:sz w:val="20"/>
                <w:lang w:val="es-PE"/>
              </w:rPr>
              <w:t>Fisuras, fracturas o armaduras a la vista en el caso de soportes de hormigón; Oxidaciones o deformaciones en el caso de soportes metálicos</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52AA99" w14:textId="77777777" w:rsidR="004412F1" w:rsidRDefault="005A12A3">
            <w:pPr>
              <w:rPr>
                <w:rFonts w:eastAsia="Times New Roman"/>
                <w:bCs/>
                <w:szCs w:val="18"/>
                <w:lang w:val="es-ES" w:eastAsia="es-ES"/>
              </w:rPr>
            </w:pPr>
            <w:r>
              <w:rPr>
                <w:sz w:val="20"/>
              </w:rPr>
              <w:t>No se admitirán</w:t>
            </w:r>
          </w:p>
        </w:tc>
      </w:tr>
      <w:tr w:rsidR="004412F1" w14:paraId="7607285F" w14:textId="77777777">
        <w:trPr>
          <w:trHeight w:val="270"/>
        </w:trPr>
        <w:tc>
          <w:tcPr>
            <w:tcW w:w="2325" w:type="dxa"/>
            <w:gridSpan w:val="2"/>
            <w:vMerge/>
            <w:tcBorders>
              <w:left w:val="single" w:sz="0" w:space="0" w:color="auto"/>
              <w:right w:val="single" w:sz="0" w:space="0" w:color="auto"/>
            </w:tcBorders>
            <w:vAlign w:val="center"/>
          </w:tcPr>
          <w:p w14:paraId="29C5604A"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140BCD21" w14:textId="77777777" w:rsidR="004412F1" w:rsidRDefault="005A12A3">
            <w:pPr>
              <w:rPr>
                <w:rFonts w:eastAsia="Times New Roman"/>
                <w:bCs/>
                <w:szCs w:val="18"/>
                <w:lang w:val="es-ES" w:eastAsia="es-ES"/>
              </w:rPr>
            </w:pPr>
            <w:r>
              <w:rPr>
                <w:sz w:val="20"/>
              </w:rPr>
              <w:t>Deficiencia en el pintado</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C92117" w14:textId="77777777" w:rsidR="004412F1" w:rsidRDefault="005A12A3">
            <w:pPr>
              <w:rPr>
                <w:rFonts w:eastAsia="Times New Roman"/>
                <w:bCs/>
                <w:szCs w:val="18"/>
                <w:lang w:val="es-ES" w:eastAsia="es-ES"/>
              </w:rPr>
            </w:pPr>
            <w:r>
              <w:rPr>
                <w:sz w:val="20"/>
              </w:rPr>
              <w:t>No se admitirán</w:t>
            </w:r>
          </w:p>
        </w:tc>
      </w:tr>
      <w:tr w:rsidR="004412F1" w14:paraId="02C9B2E7" w14:textId="77777777">
        <w:trPr>
          <w:trHeight w:val="525"/>
        </w:trPr>
        <w:tc>
          <w:tcPr>
            <w:tcW w:w="2325" w:type="dxa"/>
            <w:gridSpan w:val="2"/>
            <w:vMerge/>
            <w:tcBorders>
              <w:left w:val="single" w:sz="0" w:space="0" w:color="auto"/>
              <w:bottom w:val="single" w:sz="0" w:space="0" w:color="000000" w:themeColor="text1"/>
              <w:right w:val="single" w:sz="0" w:space="0" w:color="auto"/>
            </w:tcBorders>
            <w:vAlign w:val="center"/>
          </w:tcPr>
          <w:p w14:paraId="0BA4CD7C"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4C6BC305" w14:textId="77777777" w:rsidR="004412F1" w:rsidRDefault="005A12A3">
            <w:pPr>
              <w:rPr>
                <w:rFonts w:eastAsia="Times New Roman"/>
                <w:bCs/>
                <w:szCs w:val="18"/>
                <w:lang w:val="es-ES" w:eastAsia="es-ES"/>
              </w:rPr>
            </w:pPr>
            <w:r>
              <w:rPr>
                <w:sz w:val="20"/>
                <w:lang w:val="es-PE"/>
              </w:rPr>
              <w:t>Vegetación en su entorno que impida la visibilidad</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2580C3" w14:textId="77777777" w:rsidR="004412F1" w:rsidRDefault="005A12A3">
            <w:pPr>
              <w:rPr>
                <w:rFonts w:eastAsia="Times New Roman"/>
                <w:bCs/>
                <w:szCs w:val="18"/>
                <w:lang w:val="es-ES" w:eastAsia="es-ES"/>
              </w:rPr>
            </w:pPr>
            <w:r>
              <w:rPr>
                <w:sz w:val="20"/>
              </w:rPr>
              <w:t>No se admitirán</w:t>
            </w:r>
          </w:p>
        </w:tc>
      </w:tr>
      <w:tr w:rsidR="004412F1" w14:paraId="234549B8" w14:textId="77777777">
        <w:trPr>
          <w:trHeight w:val="525"/>
        </w:trPr>
        <w:tc>
          <w:tcPr>
            <w:tcW w:w="2325" w:type="dxa"/>
            <w:gridSpan w:val="2"/>
            <w:vMerge w:val="restart"/>
            <w:tcBorders>
              <w:top w:val="nil"/>
              <w:left w:val="single" w:sz="8" w:space="0" w:color="auto"/>
              <w:bottom w:val="single" w:sz="8" w:space="0" w:color="000000" w:themeColor="text1"/>
              <w:right w:val="single" w:sz="8" w:space="0" w:color="auto"/>
            </w:tcBorders>
            <w:tcMar>
              <w:left w:w="70" w:type="dxa"/>
              <w:right w:w="70" w:type="dxa"/>
            </w:tcMar>
            <w:vAlign w:val="center"/>
          </w:tcPr>
          <w:p w14:paraId="0EE0F747" w14:textId="77777777" w:rsidR="004412F1" w:rsidRDefault="005A12A3">
            <w:pPr>
              <w:rPr>
                <w:lang w:val="es-PE"/>
              </w:rPr>
            </w:pPr>
            <w:r>
              <w:rPr>
                <w:sz w:val="20"/>
                <w:lang w:val="es-PE"/>
              </w:rPr>
              <w:t>Deterioro de los postes kilométricos</w:t>
            </w:r>
          </w:p>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677B0A7A" w14:textId="77777777" w:rsidR="004412F1" w:rsidRDefault="005A12A3">
            <w:pPr>
              <w:rPr>
                <w:rFonts w:eastAsia="Times New Roman"/>
                <w:bCs/>
                <w:szCs w:val="18"/>
                <w:lang w:val="es-ES" w:eastAsia="es-ES"/>
              </w:rPr>
            </w:pPr>
            <w:r>
              <w:rPr>
                <w:sz w:val="20"/>
                <w:lang w:val="es-PE"/>
              </w:rPr>
              <w:t xml:space="preserve">Fisuras, fracturas o armaduras a la vista </w:t>
            </w:r>
            <w:proofErr w:type="gramStart"/>
            <w:r>
              <w:rPr>
                <w:sz w:val="20"/>
                <w:lang w:val="es-PE"/>
              </w:rPr>
              <w:t>( en</w:t>
            </w:r>
            <w:proofErr w:type="gramEnd"/>
            <w:r>
              <w:rPr>
                <w:sz w:val="20"/>
                <w:lang w:val="es-PE"/>
              </w:rPr>
              <w:t xml:space="preserve"> el caso de soportes de hormigón )</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4DD730" w14:textId="77777777" w:rsidR="004412F1" w:rsidRDefault="005A12A3">
            <w:pPr>
              <w:rPr>
                <w:rFonts w:eastAsia="Times New Roman"/>
                <w:bCs/>
                <w:szCs w:val="18"/>
                <w:lang w:val="es-ES" w:eastAsia="es-ES"/>
              </w:rPr>
            </w:pPr>
            <w:r>
              <w:rPr>
                <w:sz w:val="20"/>
              </w:rPr>
              <w:t>No se admitirán</w:t>
            </w:r>
          </w:p>
        </w:tc>
      </w:tr>
      <w:tr w:rsidR="004412F1" w14:paraId="11BD0D33" w14:textId="77777777">
        <w:trPr>
          <w:trHeight w:val="270"/>
        </w:trPr>
        <w:tc>
          <w:tcPr>
            <w:tcW w:w="2325" w:type="dxa"/>
            <w:gridSpan w:val="2"/>
            <w:vMerge/>
            <w:tcBorders>
              <w:left w:val="single" w:sz="0" w:space="0" w:color="auto"/>
              <w:right w:val="single" w:sz="0" w:space="0" w:color="auto"/>
            </w:tcBorders>
            <w:vAlign w:val="center"/>
          </w:tcPr>
          <w:p w14:paraId="3429E64B"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4674ABE7" w14:textId="77777777" w:rsidR="004412F1" w:rsidRDefault="005A12A3">
            <w:pPr>
              <w:rPr>
                <w:rFonts w:eastAsia="Times New Roman"/>
                <w:bCs/>
                <w:szCs w:val="18"/>
                <w:lang w:val="es-ES" w:eastAsia="es-ES"/>
              </w:rPr>
            </w:pPr>
            <w:r>
              <w:rPr>
                <w:sz w:val="20"/>
              </w:rPr>
              <w:t>Deficiencia en el pintado</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F3A2E6" w14:textId="77777777" w:rsidR="004412F1" w:rsidRDefault="005A12A3">
            <w:pPr>
              <w:rPr>
                <w:rFonts w:eastAsia="Times New Roman"/>
                <w:bCs/>
                <w:szCs w:val="18"/>
                <w:lang w:val="es-ES" w:eastAsia="es-ES"/>
              </w:rPr>
            </w:pPr>
            <w:r>
              <w:rPr>
                <w:sz w:val="20"/>
              </w:rPr>
              <w:t>No se admitirán</w:t>
            </w:r>
          </w:p>
        </w:tc>
      </w:tr>
      <w:tr w:rsidR="004412F1" w14:paraId="60275573" w14:textId="77777777">
        <w:trPr>
          <w:trHeight w:val="525"/>
        </w:trPr>
        <w:tc>
          <w:tcPr>
            <w:tcW w:w="2325" w:type="dxa"/>
            <w:gridSpan w:val="2"/>
            <w:vMerge/>
            <w:tcBorders>
              <w:left w:val="single" w:sz="0" w:space="0" w:color="auto"/>
              <w:bottom w:val="single" w:sz="0" w:space="0" w:color="000000" w:themeColor="text1"/>
              <w:right w:val="single" w:sz="0" w:space="0" w:color="auto"/>
            </w:tcBorders>
            <w:vAlign w:val="center"/>
          </w:tcPr>
          <w:p w14:paraId="1CB0277C" w14:textId="77777777" w:rsidR="004412F1" w:rsidRDefault="004412F1"/>
        </w:tc>
        <w:tc>
          <w:tcPr>
            <w:tcW w:w="3840" w:type="dxa"/>
            <w:tcBorders>
              <w:top w:val="single" w:sz="8" w:space="0" w:color="auto"/>
              <w:left w:val="nil"/>
              <w:bottom w:val="single" w:sz="8" w:space="0" w:color="auto"/>
              <w:right w:val="single" w:sz="8" w:space="0" w:color="auto"/>
            </w:tcBorders>
            <w:tcMar>
              <w:left w:w="70" w:type="dxa"/>
              <w:right w:w="70" w:type="dxa"/>
            </w:tcMar>
            <w:vAlign w:val="center"/>
          </w:tcPr>
          <w:p w14:paraId="2CE77E3D" w14:textId="77777777" w:rsidR="004412F1" w:rsidRDefault="005A12A3">
            <w:pPr>
              <w:rPr>
                <w:rFonts w:eastAsia="Times New Roman"/>
                <w:bCs/>
                <w:szCs w:val="18"/>
                <w:lang w:val="es-ES" w:eastAsia="es-ES"/>
              </w:rPr>
            </w:pPr>
            <w:r>
              <w:rPr>
                <w:sz w:val="20"/>
                <w:lang w:val="es-PE"/>
              </w:rPr>
              <w:t>Vegetación en su entorno que impida la visibilidad</w:t>
            </w:r>
          </w:p>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E2BADC" w14:textId="77777777" w:rsidR="004412F1" w:rsidRDefault="005A12A3">
            <w:pPr>
              <w:rPr>
                <w:rFonts w:eastAsia="Times New Roman"/>
                <w:bCs/>
                <w:szCs w:val="18"/>
                <w:lang w:val="es-ES" w:eastAsia="es-ES"/>
              </w:rPr>
            </w:pPr>
            <w:r>
              <w:rPr>
                <w:sz w:val="20"/>
              </w:rPr>
              <w:t>No se admitirán</w:t>
            </w:r>
          </w:p>
        </w:tc>
      </w:tr>
      <w:tr w:rsidR="004412F1" w14:paraId="297F866C" w14:textId="77777777">
        <w:trPr>
          <w:trHeight w:val="255"/>
        </w:trPr>
        <w:tc>
          <w:tcPr>
            <w:tcW w:w="2325" w:type="dxa"/>
            <w:gridSpan w:val="2"/>
            <w:tcBorders>
              <w:left w:val="single" w:sz="8" w:space="0" w:color="auto"/>
              <w:right w:val="single" w:sz="8" w:space="0" w:color="auto"/>
            </w:tcBorders>
            <w:tcMar>
              <w:left w:w="70" w:type="dxa"/>
              <w:right w:w="70" w:type="dxa"/>
            </w:tcMar>
            <w:vAlign w:val="bottom"/>
          </w:tcPr>
          <w:p w14:paraId="6005FA36" w14:textId="77777777" w:rsidR="004412F1" w:rsidRDefault="004412F1"/>
        </w:tc>
        <w:tc>
          <w:tcPr>
            <w:tcW w:w="3840" w:type="dxa"/>
            <w:tcMar>
              <w:left w:w="70" w:type="dxa"/>
              <w:right w:w="70" w:type="dxa"/>
            </w:tcMar>
            <w:vAlign w:val="bottom"/>
          </w:tcPr>
          <w:p w14:paraId="605CD6DC" w14:textId="77777777" w:rsidR="004412F1" w:rsidRDefault="004412F1"/>
        </w:tc>
        <w:tc>
          <w:tcPr>
            <w:tcW w:w="2835"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ABAFAE" w14:textId="77777777" w:rsidR="004412F1" w:rsidRDefault="004412F1"/>
        </w:tc>
      </w:tr>
      <w:tr w:rsidR="004412F1" w14:paraId="3858B20F" w14:textId="77777777">
        <w:trPr>
          <w:trHeight w:val="255"/>
        </w:trPr>
        <w:tc>
          <w:tcPr>
            <w:tcW w:w="9000" w:type="dxa"/>
            <w:gridSpan w:val="6"/>
            <w:tcBorders>
              <w:left w:val="single" w:sz="8" w:space="0" w:color="auto"/>
              <w:right w:val="single" w:sz="8" w:space="0" w:color="auto"/>
            </w:tcBorders>
            <w:tcMar>
              <w:left w:w="70" w:type="dxa"/>
              <w:right w:w="70" w:type="dxa"/>
            </w:tcMar>
            <w:vAlign w:val="bottom"/>
          </w:tcPr>
          <w:p w14:paraId="4A3C23F5" w14:textId="00F72115" w:rsidR="004412F1" w:rsidRDefault="005A12A3">
            <w:pPr>
              <w:rPr>
                <w:lang w:val="es-PE"/>
              </w:rPr>
            </w:pPr>
            <w:proofErr w:type="gramStart"/>
            <w:r>
              <w:rPr>
                <w:sz w:val="20"/>
                <w:lang w:val="es-PE"/>
              </w:rPr>
              <w:t>( *</w:t>
            </w:r>
            <w:proofErr w:type="gramEnd"/>
            <w:r>
              <w:rPr>
                <w:sz w:val="20"/>
                <w:lang w:val="es-PE"/>
              </w:rPr>
              <w:t xml:space="preserve"> ) Manual de dispositivos de Control de Tránsito Automotor para Calles y Carreteras</w:t>
            </w:r>
          </w:p>
          <w:p w14:paraId="003C5C01" w14:textId="77777777" w:rsidR="004412F1" w:rsidRDefault="005A12A3">
            <w:pPr>
              <w:rPr>
                <w:lang w:val="es-PE"/>
              </w:rPr>
            </w:pPr>
            <w:r>
              <w:rPr>
                <w:sz w:val="20"/>
                <w:szCs w:val="20"/>
                <w:lang w:val="es-PE"/>
              </w:rPr>
              <w:t xml:space="preserve"> </w:t>
            </w:r>
          </w:p>
          <w:p w14:paraId="26A2385B" w14:textId="77777777" w:rsidR="004412F1" w:rsidRDefault="005A12A3">
            <w:pPr>
              <w:rPr>
                <w:lang w:val="es-PE"/>
              </w:rPr>
            </w:pPr>
            <w:r>
              <w:rPr>
                <w:sz w:val="20"/>
                <w:szCs w:val="20"/>
                <w:lang w:val="es-PE"/>
              </w:rPr>
              <w:t xml:space="preserve"> </w:t>
            </w:r>
          </w:p>
        </w:tc>
      </w:tr>
      <w:tr w:rsidR="004412F1" w14:paraId="329D1379" w14:textId="77777777">
        <w:trPr>
          <w:gridBefore w:val="1"/>
          <w:gridAfter w:val="1"/>
          <w:wBefore w:w="780" w:type="dxa"/>
          <w:wAfter w:w="270" w:type="dxa"/>
          <w:trHeight w:val="825"/>
        </w:trPr>
        <w:tc>
          <w:tcPr>
            <w:tcW w:w="7950" w:type="dxa"/>
            <w:gridSpan w:val="4"/>
            <w:tcBorders>
              <w:top w:val="single" w:sz="8" w:space="0" w:color="auto"/>
              <w:left w:val="single" w:sz="8" w:space="0" w:color="auto"/>
              <w:bottom w:val="single" w:sz="8" w:space="0" w:color="000000" w:themeColor="text1"/>
              <w:right w:val="single" w:sz="8" w:space="0" w:color="auto"/>
            </w:tcBorders>
            <w:shd w:val="clear" w:color="auto" w:fill="95B3D7" w:themeFill="accent1" w:themeFillTint="99"/>
            <w:tcMar>
              <w:left w:w="70" w:type="dxa"/>
              <w:right w:w="70" w:type="dxa"/>
            </w:tcMar>
            <w:vAlign w:val="center"/>
          </w:tcPr>
          <w:p w14:paraId="3DB3B7C0" w14:textId="77777777" w:rsidR="004412F1" w:rsidRDefault="005A12A3">
            <w:pPr>
              <w:jc w:val="center"/>
              <w:rPr>
                <w:rFonts w:ascii="Calibri" w:hAnsi="Calibri"/>
                <w:color w:val="000000" w:themeColor="text1"/>
                <w:sz w:val="20"/>
                <w:lang w:val="es"/>
              </w:rPr>
            </w:pPr>
            <w:r>
              <w:rPr>
                <w:rFonts w:ascii="Calibri" w:hAnsi="Calibri"/>
                <w:color w:val="000000" w:themeColor="text1"/>
                <w:sz w:val="20"/>
                <w:lang w:val="es"/>
              </w:rPr>
              <w:t>PLAZOS DE RESPUESTA A INCUMPLIMIENTO EN SEGURIDAD VIAL</w:t>
            </w:r>
          </w:p>
        </w:tc>
      </w:tr>
      <w:tr w:rsidR="004412F1" w14:paraId="5527F549"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00D0D0" w14:textId="77777777" w:rsidR="004412F1" w:rsidRDefault="005A12A3">
            <w:r>
              <w:rPr>
                <w:rFonts w:ascii="Calibri" w:hAnsi="Calibri"/>
                <w:b/>
                <w:color w:val="000000" w:themeColor="text1"/>
                <w:sz w:val="20"/>
                <w:lang w:val="es"/>
              </w:rPr>
              <w:t>PARAMETRO</w:t>
            </w:r>
          </w:p>
        </w:tc>
        <w:tc>
          <w:tcPr>
            <w:tcW w:w="2400" w:type="dxa"/>
            <w:tcBorders>
              <w:top w:val="nil"/>
              <w:left w:val="nil"/>
              <w:bottom w:val="single" w:sz="8" w:space="0" w:color="auto"/>
              <w:right w:val="single" w:sz="8" w:space="0" w:color="auto"/>
            </w:tcBorders>
            <w:tcMar>
              <w:left w:w="70" w:type="dxa"/>
              <w:right w:w="70" w:type="dxa"/>
            </w:tcMar>
            <w:vAlign w:val="center"/>
          </w:tcPr>
          <w:p w14:paraId="6D579CD1" w14:textId="77777777" w:rsidR="004412F1" w:rsidRDefault="005A12A3">
            <w:pPr>
              <w:rPr>
                <w:rFonts w:eastAsia="Times New Roman"/>
                <w:bCs/>
                <w:szCs w:val="18"/>
                <w:lang w:val="es-ES" w:eastAsia="es-ES"/>
              </w:rPr>
            </w:pPr>
            <w:r>
              <w:rPr>
                <w:rFonts w:ascii="Calibri" w:hAnsi="Calibri"/>
                <w:sz w:val="20"/>
                <w:lang w:val="es"/>
              </w:rPr>
              <w:t>PLAZO MAXIMO DE CORRECCIÓN (días)</w:t>
            </w:r>
          </w:p>
        </w:tc>
      </w:tr>
      <w:tr w:rsidR="004412F1" w14:paraId="2406828F" w14:textId="77777777">
        <w:trPr>
          <w:gridBefore w:val="1"/>
          <w:gridAfter w:val="1"/>
          <w:wBefore w:w="780" w:type="dxa"/>
          <w:wAfter w:w="270" w:type="dxa"/>
          <w:trHeight w:val="270"/>
        </w:trPr>
        <w:tc>
          <w:tcPr>
            <w:tcW w:w="7950" w:type="dxa"/>
            <w:gridSpan w:val="4"/>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F9D8FE" w14:textId="77777777" w:rsidR="004412F1" w:rsidRDefault="005A12A3">
            <w:r>
              <w:rPr>
                <w:rFonts w:ascii="Calibri" w:hAnsi="Calibri"/>
                <w:sz w:val="20"/>
                <w:lang w:val="es"/>
              </w:rPr>
              <w:t>SEÑALIZACION HORIZONTAL</w:t>
            </w:r>
          </w:p>
        </w:tc>
      </w:tr>
      <w:tr w:rsidR="004412F1" w14:paraId="54EE75F7"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CB6C36" w14:textId="77777777" w:rsidR="004412F1" w:rsidRDefault="005A12A3">
            <w:pPr>
              <w:rPr>
                <w:lang w:val="es-PE"/>
              </w:rPr>
            </w:pPr>
            <w:r>
              <w:rPr>
                <w:rFonts w:ascii="Calibri" w:hAnsi="Calibri"/>
                <w:color w:val="000000" w:themeColor="text1"/>
                <w:sz w:val="20"/>
                <w:lang w:val="es"/>
              </w:rPr>
              <w:t>Geometría incorrecta de las líneas</w:t>
            </w:r>
          </w:p>
        </w:tc>
        <w:tc>
          <w:tcPr>
            <w:tcW w:w="2400" w:type="dxa"/>
            <w:tcBorders>
              <w:top w:val="nil"/>
              <w:left w:val="nil"/>
              <w:bottom w:val="single" w:sz="8" w:space="0" w:color="auto"/>
              <w:right w:val="single" w:sz="8" w:space="0" w:color="auto"/>
            </w:tcBorders>
            <w:tcMar>
              <w:left w:w="70" w:type="dxa"/>
              <w:right w:w="70" w:type="dxa"/>
            </w:tcMar>
            <w:vAlign w:val="center"/>
          </w:tcPr>
          <w:p w14:paraId="1F03194E" w14:textId="77777777" w:rsidR="004412F1" w:rsidRDefault="005A12A3">
            <w:pPr>
              <w:jc w:val="center"/>
              <w:rPr>
                <w:rFonts w:ascii="Calibri" w:hAnsi="Calibri"/>
                <w:sz w:val="20"/>
                <w:lang w:val="es"/>
              </w:rPr>
            </w:pPr>
            <w:r>
              <w:rPr>
                <w:rFonts w:ascii="Calibri" w:hAnsi="Calibri"/>
                <w:sz w:val="20"/>
                <w:lang w:val="es"/>
              </w:rPr>
              <w:t>7</w:t>
            </w:r>
          </w:p>
        </w:tc>
      </w:tr>
      <w:tr w:rsidR="004412F1" w14:paraId="23542FF6" w14:textId="77777777">
        <w:trPr>
          <w:gridBefore w:val="1"/>
          <w:gridAfter w:val="1"/>
          <w:wBefore w:w="780" w:type="dxa"/>
          <w:wAfter w:w="270" w:type="dxa"/>
          <w:trHeight w:val="54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305A26" w14:textId="77777777" w:rsidR="004412F1" w:rsidRDefault="005A12A3">
            <w:pPr>
              <w:rPr>
                <w:lang w:val="es-PE"/>
              </w:rPr>
            </w:pPr>
            <w:r>
              <w:rPr>
                <w:rFonts w:ascii="Calibri" w:hAnsi="Calibri"/>
                <w:color w:val="000000" w:themeColor="text1"/>
                <w:sz w:val="20"/>
                <w:lang w:val="es"/>
              </w:rPr>
              <w:t>Decoloración o suciedad de las líneas o marcas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68FF4057" w14:textId="77777777" w:rsidR="004412F1" w:rsidRDefault="005A12A3">
            <w:pPr>
              <w:jc w:val="center"/>
              <w:rPr>
                <w:rFonts w:ascii="Calibri" w:hAnsi="Calibri"/>
                <w:sz w:val="20"/>
                <w:lang w:val="es"/>
              </w:rPr>
            </w:pPr>
            <w:r>
              <w:rPr>
                <w:rFonts w:ascii="Calibri" w:hAnsi="Calibri"/>
                <w:sz w:val="20"/>
                <w:lang w:val="es"/>
              </w:rPr>
              <w:t>7</w:t>
            </w:r>
          </w:p>
        </w:tc>
      </w:tr>
      <w:tr w:rsidR="004412F1" w14:paraId="78414EB0"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C0A87C" w14:textId="77777777" w:rsidR="004412F1" w:rsidRDefault="005A12A3">
            <w:pPr>
              <w:rPr>
                <w:lang w:val="es-PE"/>
              </w:rPr>
            </w:pPr>
            <w:r>
              <w:rPr>
                <w:rFonts w:ascii="Calibri" w:hAnsi="Calibri"/>
                <w:color w:val="000000" w:themeColor="text1"/>
                <w:sz w:val="20"/>
                <w:lang w:val="es"/>
              </w:rPr>
              <w:t>Visibilidad nocturna insuficiente de las líneas y marcas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4D0C9F1F" w14:textId="77777777" w:rsidR="004412F1" w:rsidRDefault="005A12A3">
            <w:pPr>
              <w:jc w:val="center"/>
              <w:rPr>
                <w:rFonts w:ascii="Calibri" w:hAnsi="Calibri"/>
                <w:sz w:val="20"/>
                <w:lang w:val="es"/>
              </w:rPr>
            </w:pPr>
            <w:r>
              <w:rPr>
                <w:rFonts w:ascii="Calibri" w:hAnsi="Calibri"/>
                <w:sz w:val="20"/>
                <w:lang w:val="es"/>
              </w:rPr>
              <w:t>7</w:t>
            </w:r>
          </w:p>
        </w:tc>
      </w:tr>
      <w:tr w:rsidR="004412F1" w14:paraId="08A037FE"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749B63" w14:textId="77777777" w:rsidR="004412F1" w:rsidRDefault="005A12A3">
            <w:pPr>
              <w:rPr>
                <w:lang w:val="es-PE"/>
              </w:rPr>
            </w:pPr>
            <w:r>
              <w:rPr>
                <w:rFonts w:ascii="Calibri" w:hAnsi="Calibri"/>
                <w:color w:val="000000" w:themeColor="text1"/>
                <w:sz w:val="20"/>
                <w:lang w:val="es"/>
              </w:rPr>
              <w:t>Visibilidad diurna insuficiente de las líneas y marcas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207A2312" w14:textId="77777777" w:rsidR="004412F1" w:rsidRDefault="005A12A3">
            <w:pPr>
              <w:jc w:val="center"/>
              <w:rPr>
                <w:rFonts w:ascii="Calibri" w:hAnsi="Calibri"/>
                <w:sz w:val="20"/>
                <w:lang w:val="es"/>
              </w:rPr>
            </w:pPr>
            <w:r>
              <w:rPr>
                <w:rFonts w:ascii="Calibri" w:hAnsi="Calibri"/>
                <w:sz w:val="20"/>
                <w:lang w:val="es"/>
              </w:rPr>
              <w:t>7</w:t>
            </w:r>
          </w:p>
        </w:tc>
      </w:tr>
      <w:tr w:rsidR="004412F1" w14:paraId="5595B5AC"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90C592" w14:textId="77777777" w:rsidR="004412F1" w:rsidRDefault="005A12A3">
            <w:pPr>
              <w:rPr>
                <w:lang w:val="es-PE"/>
              </w:rPr>
            </w:pPr>
            <w:r>
              <w:rPr>
                <w:rFonts w:ascii="Calibri" w:hAnsi="Calibri"/>
                <w:color w:val="000000" w:themeColor="text1"/>
                <w:sz w:val="20"/>
                <w:lang w:val="es"/>
              </w:rPr>
              <w:t>Exceso de desgaste de las líneas o marcas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1DF831A8" w14:textId="77777777" w:rsidR="004412F1" w:rsidRDefault="005A12A3">
            <w:pPr>
              <w:jc w:val="center"/>
              <w:rPr>
                <w:rFonts w:ascii="Calibri" w:hAnsi="Calibri"/>
                <w:sz w:val="20"/>
                <w:lang w:val="es"/>
              </w:rPr>
            </w:pPr>
            <w:r>
              <w:rPr>
                <w:rFonts w:ascii="Calibri" w:hAnsi="Calibri"/>
                <w:sz w:val="20"/>
                <w:lang w:val="es"/>
              </w:rPr>
              <w:t>7</w:t>
            </w:r>
          </w:p>
        </w:tc>
      </w:tr>
      <w:tr w:rsidR="004412F1" w14:paraId="734B5563"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6777CD" w14:textId="77777777" w:rsidR="004412F1" w:rsidRDefault="005A12A3">
            <w:pPr>
              <w:rPr>
                <w:lang w:val="es-PE"/>
              </w:rPr>
            </w:pPr>
            <w:r>
              <w:rPr>
                <w:rFonts w:ascii="Calibri" w:hAnsi="Calibri"/>
                <w:color w:val="000000" w:themeColor="text1"/>
                <w:sz w:val="20"/>
                <w:lang w:val="es"/>
              </w:rPr>
              <w:t>Geometría incorrecta de las tachas reflectivas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7B6BD806" w14:textId="77777777" w:rsidR="004412F1" w:rsidRDefault="005A12A3">
            <w:pPr>
              <w:jc w:val="center"/>
              <w:rPr>
                <w:rFonts w:ascii="Calibri" w:hAnsi="Calibri"/>
                <w:sz w:val="20"/>
                <w:lang w:val="es"/>
              </w:rPr>
            </w:pPr>
            <w:r>
              <w:rPr>
                <w:rFonts w:ascii="Calibri" w:hAnsi="Calibri"/>
                <w:sz w:val="20"/>
                <w:lang w:val="es"/>
              </w:rPr>
              <w:t>7</w:t>
            </w:r>
          </w:p>
        </w:tc>
      </w:tr>
      <w:tr w:rsidR="004412F1" w14:paraId="3DAC54F2"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17B6DE" w14:textId="77777777" w:rsidR="004412F1" w:rsidRDefault="005A12A3">
            <w:pPr>
              <w:rPr>
                <w:lang w:val="es-PE"/>
              </w:rPr>
            </w:pPr>
            <w:r>
              <w:rPr>
                <w:rFonts w:ascii="Calibri" w:hAnsi="Calibri"/>
                <w:color w:val="000000" w:themeColor="text1"/>
                <w:sz w:val="20"/>
                <w:lang w:val="es"/>
              </w:rPr>
              <w:t>Deterioro de las tachas reflectivas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24CF3EE3" w14:textId="77777777" w:rsidR="004412F1" w:rsidRDefault="005A12A3">
            <w:pPr>
              <w:jc w:val="center"/>
              <w:rPr>
                <w:rFonts w:ascii="Calibri" w:hAnsi="Calibri"/>
                <w:sz w:val="20"/>
                <w:lang w:val="es"/>
              </w:rPr>
            </w:pPr>
            <w:r>
              <w:rPr>
                <w:rFonts w:ascii="Calibri" w:hAnsi="Calibri"/>
                <w:sz w:val="20"/>
                <w:lang w:val="es"/>
              </w:rPr>
              <w:t>7</w:t>
            </w:r>
          </w:p>
        </w:tc>
      </w:tr>
      <w:tr w:rsidR="004412F1" w14:paraId="6915E78E"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439086" w14:textId="77777777" w:rsidR="004412F1" w:rsidRDefault="005A12A3">
            <w:pPr>
              <w:rPr>
                <w:lang w:val="es-PE"/>
              </w:rPr>
            </w:pPr>
            <w:r>
              <w:rPr>
                <w:rFonts w:ascii="Calibri" w:hAnsi="Calibri"/>
                <w:color w:val="000000" w:themeColor="text1"/>
                <w:sz w:val="20"/>
                <w:lang w:val="es"/>
              </w:rPr>
              <w:t>Pérdida o inutilidad de las tachas reflectivas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160C1888" w14:textId="77777777" w:rsidR="004412F1" w:rsidRDefault="005A12A3">
            <w:pPr>
              <w:jc w:val="center"/>
              <w:rPr>
                <w:rFonts w:ascii="Calibri" w:hAnsi="Calibri"/>
                <w:sz w:val="20"/>
                <w:lang w:val="es"/>
              </w:rPr>
            </w:pPr>
            <w:r>
              <w:rPr>
                <w:rFonts w:ascii="Calibri" w:hAnsi="Calibri"/>
                <w:sz w:val="20"/>
                <w:lang w:val="es"/>
              </w:rPr>
              <w:t>7</w:t>
            </w:r>
          </w:p>
        </w:tc>
      </w:tr>
      <w:tr w:rsidR="004412F1" w14:paraId="10BE8566" w14:textId="77777777">
        <w:trPr>
          <w:gridBefore w:val="1"/>
          <w:gridAfter w:val="1"/>
          <w:wBefore w:w="780" w:type="dxa"/>
          <w:wAfter w:w="270" w:type="dxa"/>
          <w:trHeight w:val="270"/>
        </w:trPr>
        <w:tc>
          <w:tcPr>
            <w:tcW w:w="7950" w:type="dxa"/>
            <w:gridSpan w:val="4"/>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611DBD" w14:textId="77777777" w:rsidR="004412F1" w:rsidRDefault="005A12A3">
            <w:r>
              <w:rPr>
                <w:rFonts w:ascii="Calibri" w:hAnsi="Calibri"/>
                <w:sz w:val="20"/>
                <w:lang w:val="es"/>
              </w:rPr>
              <w:t>SEÑALIZACION VERTICAL Y AEREA</w:t>
            </w:r>
          </w:p>
        </w:tc>
      </w:tr>
      <w:tr w:rsidR="004412F1" w14:paraId="7AD1A4FF"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105432" w14:textId="77777777" w:rsidR="004412F1" w:rsidRDefault="005A12A3">
            <w:r>
              <w:rPr>
                <w:rFonts w:ascii="Calibri" w:hAnsi="Calibri"/>
                <w:color w:val="000000" w:themeColor="text1"/>
                <w:sz w:val="20"/>
                <w:lang w:val="es"/>
              </w:rPr>
              <w:t>Elementos faltantes</w:t>
            </w:r>
          </w:p>
        </w:tc>
        <w:tc>
          <w:tcPr>
            <w:tcW w:w="2400" w:type="dxa"/>
            <w:tcBorders>
              <w:top w:val="nil"/>
              <w:left w:val="nil"/>
              <w:bottom w:val="single" w:sz="8" w:space="0" w:color="auto"/>
              <w:right w:val="single" w:sz="8" w:space="0" w:color="auto"/>
            </w:tcBorders>
            <w:tcMar>
              <w:left w:w="70" w:type="dxa"/>
              <w:right w:w="70" w:type="dxa"/>
            </w:tcMar>
            <w:vAlign w:val="center"/>
          </w:tcPr>
          <w:p w14:paraId="257B0092" w14:textId="77777777" w:rsidR="004412F1" w:rsidRDefault="005A12A3">
            <w:pPr>
              <w:jc w:val="center"/>
              <w:rPr>
                <w:rFonts w:ascii="Calibri" w:hAnsi="Calibri"/>
                <w:sz w:val="20"/>
                <w:lang w:val="es"/>
              </w:rPr>
            </w:pPr>
            <w:r>
              <w:rPr>
                <w:rFonts w:ascii="Calibri" w:hAnsi="Calibri"/>
                <w:sz w:val="20"/>
                <w:lang w:val="es"/>
              </w:rPr>
              <w:t>3</w:t>
            </w:r>
          </w:p>
        </w:tc>
      </w:tr>
      <w:tr w:rsidR="004412F1" w14:paraId="66B2EE87"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B3C12C" w14:textId="77777777" w:rsidR="004412F1" w:rsidRDefault="005A12A3">
            <w:pPr>
              <w:rPr>
                <w:lang w:val="es-PE"/>
              </w:rPr>
            </w:pPr>
            <w:r>
              <w:rPr>
                <w:rFonts w:ascii="Calibri" w:hAnsi="Calibri"/>
                <w:color w:val="000000" w:themeColor="text1"/>
                <w:sz w:val="20"/>
                <w:lang w:val="es"/>
              </w:rPr>
              <w:t>Decoloración de las placas de las señales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26069C9D" w14:textId="77777777" w:rsidR="004412F1" w:rsidRDefault="005A12A3">
            <w:pPr>
              <w:jc w:val="center"/>
              <w:rPr>
                <w:rFonts w:ascii="Calibri" w:hAnsi="Calibri"/>
                <w:sz w:val="20"/>
                <w:lang w:val="es"/>
              </w:rPr>
            </w:pPr>
            <w:r>
              <w:rPr>
                <w:rFonts w:ascii="Calibri" w:hAnsi="Calibri"/>
                <w:sz w:val="20"/>
                <w:lang w:val="es"/>
              </w:rPr>
              <w:t>7</w:t>
            </w:r>
          </w:p>
        </w:tc>
      </w:tr>
      <w:tr w:rsidR="004412F1" w14:paraId="1EA099DB" w14:textId="77777777">
        <w:trPr>
          <w:gridBefore w:val="1"/>
          <w:gridAfter w:val="1"/>
          <w:wBefore w:w="780" w:type="dxa"/>
          <w:wAfter w:w="270" w:type="dxa"/>
          <w:trHeight w:val="52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75936C" w14:textId="77777777" w:rsidR="004412F1" w:rsidRDefault="005A12A3">
            <w:pPr>
              <w:rPr>
                <w:lang w:val="es-PE"/>
              </w:rPr>
            </w:pPr>
            <w:r>
              <w:rPr>
                <w:rFonts w:ascii="Calibri" w:hAnsi="Calibri"/>
                <w:color w:val="000000" w:themeColor="text1"/>
                <w:sz w:val="20"/>
                <w:lang w:val="es"/>
              </w:rPr>
              <w:t>Visibilidad nocturna insuficiente de las placas de las señales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2EA58308" w14:textId="77777777" w:rsidR="004412F1" w:rsidRDefault="005A12A3">
            <w:pPr>
              <w:jc w:val="center"/>
              <w:rPr>
                <w:rFonts w:ascii="Calibri" w:hAnsi="Calibri"/>
                <w:sz w:val="20"/>
                <w:lang w:val="es"/>
              </w:rPr>
            </w:pPr>
            <w:r>
              <w:rPr>
                <w:rFonts w:ascii="Calibri" w:hAnsi="Calibri"/>
                <w:sz w:val="20"/>
                <w:lang w:val="es"/>
              </w:rPr>
              <w:t>7</w:t>
            </w:r>
          </w:p>
        </w:tc>
      </w:tr>
      <w:tr w:rsidR="004412F1" w14:paraId="26514B91" w14:textId="77777777">
        <w:trPr>
          <w:gridBefore w:val="1"/>
          <w:gridAfter w:val="1"/>
          <w:wBefore w:w="780" w:type="dxa"/>
          <w:wAfter w:w="270" w:type="dxa"/>
          <w:trHeight w:val="495"/>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B3922" w14:textId="77777777" w:rsidR="004412F1" w:rsidRDefault="005A12A3">
            <w:pPr>
              <w:rPr>
                <w:lang w:val="es-PE"/>
              </w:rPr>
            </w:pPr>
            <w:r>
              <w:rPr>
                <w:rFonts w:ascii="Calibri" w:hAnsi="Calibri"/>
                <w:color w:val="000000" w:themeColor="text1"/>
                <w:sz w:val="20"/>
                <w:lang w:val="es"/>
              </w:rPr>
              <w:t>Deterioro del mensaje de las placas de las señales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050B8746" w14:textId="77777777" w:rsidR="004412F1" w:rsidRDefault="005A12A3">
            <w:pPr>
              <w:jc w:val="center"/>
              <w:rPr>
                <w:rFonts w:ascii="Calibri" w:hAnsi="Calibri"/>
                <w:sz w:val="20"/>
                <w:lang w:val="es"/>
              </w:rPr>
            </w:pPr>
            <w:r>
              <w:rPr>
                <w:rFonts w:ascii="Calibri" w:hAnsi="Calibri"/>
                <w:sz w:val="20"/>
                <w:lang w:val="es"/>
              </w:rPr>
              <w:t>7</w:t>
            </w:r>
          </w:p>
        </w:tc>
      </w:tr>
      <w:tr w:rsidR="004412F1" w14:paraId="7E162182" w14:textId="77777777">
        <w:trPr>
          <w:gridBefore w:val="1"/>
          <w:gridAfter w:val="1"/>
          <w:wBefore w:w="780" w:type="dxa"/>
          <w:wAfter w:w="270" w:type="dxa"/>
          <w:trHeight w:val="51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CCC9ED" w14:textId="77777777" w:rsidR="004412F1" w:rsidRDefault="005A12A3">
            <w:pPr>
              <w:rPr>
                <w:lang w:val="es-PE"/>
              </w:rPr>
            </w:pPr>
            <w:r>
              <w:rPr>
                <w:rFonts w:ascii="Calibri" w:hAnsi="Calibri"/>
                <w:color w:val="000000" w:themeColor="text1"/>
                <w:sz w:val="20"/>
                <w:lang w:val="es"/>
              </w:rPr>
              <w:t>Deterioro de los elementos de fijación de las placas de las señales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266B512E" w14:textId="77777777" w:rsidR="004412F1" w:rsidRDefault="005A12A3">
            <w:pPr>
              <w:jc w:val="center"/>
              <w:rPr>
                <w:rFonts w:ascii="Calibri" w:hAnsi="Calibri"/>
                <w:sz w:val="20"/>
                <w:lang w:val="es"/>
              </w:rPr>
            </w:pPr>
            <w:r>
              <w:rPr>
                <w:rFonts w:ascii="Calibri" w:hAnsi="Calibri"/>
                <w:sz w:val="20"/>
                <w:lang w:val="es"/>
              </w:rPr>
              <w:t>7</w:t>
            </w:r>
          </w:p>
        </w:tc>
      </w:tr>
      <w:tr w:rsidR="004412F1" w14:paraId="65E7422E"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10633A" w14:textId="77777777" w:rsidR="004412F1" w:rsidRDefault="005A12A3">
            <w:pPr>
              <w:rPr>
                <w:lang w:val="es-PE"/>
              </w:rPr>
            </w:pPr>
            <w:r>
              <w:rPr>
                <w:rFonts w:ascii="Calibri" w:hAnsi="Calibri"/>
                <w:color w:val="000000" w:themeColor="text1"/>
                <w:sz w:val="20"/>
                <w:lang w:val="es"/>
              </w:rPr>
              <w:t>Deterioro de los soportes de las señales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39BB6A3C" w14:textId="77777777" w:rsidR="004412F1" w:rsidRDefault="005A12A3">
            <w:pPr>
              <w:jc w:val="center"/>
              <w:rPr>
                <w:rFonts w:ascii="Calibri" w:hAnsi="Calibri"/>
                <w:sz w:val="20"/>
                <w:lang w:val="es"/>
              </w:rPr>
            </w:pPr>
            <w:r>
              <w:rPr>
                <w:rFonts w:ascii="Calibri" w:hAnsi="Calibri"/>
                <w:sz w:val="20"/>
                <w:lang w:val="es"/>
              </w:rPr>
              <w:t>7</w:t>
            </w:r>
          </w:p>
        </w:tc>
      </w:tr>
      <w:tr w:rsidR="004412F1" w14:paraId="0EC44452" w14:textId="77777777">
        <w:trPr>
          <w:gridBefore w:val="1"/>
          <w:gridAfter w:val="1"/>
          <w:wBefore w:w="780" w:type="dxa"/>
          <w:wAfter w:w="270" w:type="dxa"/>
          <w:trHeight w:val="270"/>
        </w:trPr>
        <w:tc>
          <w:tcPr>
            <w:tcW w:w="5550" w:type="dxa"/>
            <w:gridSpan w:val="3"/>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E2DC5D" w14:textId="77777777" w:rsidR="004412F1" w:rsidRDefault="005A12A3">
            <w:pPr>
              <w:rPr>
                <w:lang w:val="es-PE"/>
              </w:rPr>
            </w:pPr>
            <w:r>
              <w:rPr>
                <w:rFonts w:ascii="Calibri" w:hAnsi="Calibri"/>
                <w:color w:val="000000" w:themeColor="text1"/>
                <w:sz w:val="20"/>
                <w:lang w:val="es"/>
              </w:rPr>
              <w:t>Deterioro de los postes kilométricos</w:t>
            </w:r>
          </w:p>
        </w:tc>
        <w:tc>
          <w:tcPr>
            <w:tcW w:w="2400" w:type="dxa"/>
            <w:tcBorders>
              <w:top w:val="single" w:sz="8" w:space="0" w:color="auto"/>
              <w:left w:val="nil"/>
              <w:bottom w:val="single" w:sz="8" w:space="0" w:color="auto"/>
              <w:right w:val="single" w:sz="8" w:space="0" w:color="auto"/>
            </w:tcBorders>
            <w:tcMar>
              <w:left w:w="70" w:type="dxa"/>
              <w:right w:w="70" w:type="dxa"/>
            </w:tcMar>
            <w:vAlign w:val="center"/>
          </w:tcPr>
          <w:p w14:paraId="612CCD13" w14:textId="77777777" w:rsidR="004412F1" w:rsidRDefault="005A12A3">
            <w:pPr>
              <w:jc w:val="center"/>
              <w:rPr>
                <w:rFonts w:ascii="Calibri" w:hAnsi="Calibri"/>
                <w:sz w:val="20"/>
                <w:lang w:val="es"/>
              </w:rPr>
            </w:pPr>
            <w:r>
              <w:rPr>
                <w:rFonts w:ascii="Calibri" w:hAnsi="Calibri"/>
                <w:sz w:val="20"/>
                <w:lang w:val="es"/>
              </w:rPr>
              <w:t>7</w:t>
            </w:r>
          </w:p>
        </w:tc>
      </w:tr>
    </w:tbl>
    <w:p w14:paraId="1A7DBF47" w14:textId="77777777" w:rsidR="004412F1" w:rsidRDefault="004412F1">
      <w:pPr>
        <w:jc w:val="center"/>
      </w:pPr>
    </w:p>
    <w:p w14:paraId="651FD730" w14:textId="77777777" w:rsidR="004412F1" w:rsidRDefault="004412F1">
      <w:pPr>
        <w:jc w:val="center"/>
      </w:pPr>
    </w:p>
    <w:p w14:paraId="118F48D2" w14:textId="77777777" w:rsidR="004412F1" w:rsidRDefault="004412F1">
      <w:pPr>
        <w:ind w:left="6" w:hanging="6"/>
        <w:jc w:val="center"/>
      </w:pPr>
    </w:p>
    <w:p w14:paraId="40E967D9" w14:textId="77777777" w:rsidR="004412F1" w:rsidRDefault="004412F1"/>
    <w:p w14:paraId="5541B537" w14:textId="77777777" w:rsidR="004412F1" w:rsidRDefault="005A12A3">
      <w:pPr>
        <w:rPr>
          <w:b/>
          <w:color w:val="000000"/>
        </w:rPr>
        <w:sectPr w:rsidR="004412F1">
          <w:pgSz w:w="16840" w:h="11907" w:orient="landscape"/>
          <w:pgMar w:top="1701" w:right="1418" w:bottom="1701" w:left="1418" w:header="720" w:footer="720" w:gutter="0"/>
          <w:cols w:space="720"/>
          <w:docGrid w:linePitch="299"/>
        </w:sectPr>
      </w:pPr>
      <w:r>
        <w:br w:type="page"/>
      </w:r>
    </w:p>
    <w:p w14:paraId="54D1E076" w14:textId="77777777" w:rsidR="004412F1" w:rsidRPr="00E03735" w:rsidRDefault="005A12A3">
      <w:pPr>
        <w:pStyle w:val="Ttulo2"/>
        <w:ind w:hanging="964"/>
        <w:jc w:val="center"/>
        <w:rPr>
          <w:rFonts w:ascii="Arial" w:hAnsi="Arial"/>
          <w:b/>
          <w:color w:val="000000"/>
          <w:sz w:val="24"/>
          <w:szCs w:val="24"/>
          <w:u w:val="none"/>
        </w:rPr>
      </w:pPr>
      <w:bookmarkStart w:id="2738" w:name="_Toc139294835"/>
      <w:bookmarkStart w:id="2739" w:name="_Toc468837728"/>
      <w:bookmarkStart w:id="2740" w:name="_Toc140089440"/>
      <w:r w:rsidRPr="00E03735">
        <w:rPr>
          <w:rFonts w:ascii="Arial" w:eastAsia="Arial" w:hAnsi="Arial"/>
          <w:b/>
          <w:color w:val="000000"/>
          <w:sz w:val="24"/>
          <w:szCs w:val="24"/>
          <w:u w:val="none"/>
        </w:rPr>
        <w:t>Apéndice 3</w:t>
      </w:r>
      <w:bookmarkEnd w:id="2738"/>
      <w:bookmarkEnd w:id="2739"/>
      <w:bookmarkEnd w:id="2740"/>
    </w:p>
    <w:p w14:paraId="129CF4C6" w14:textId="77777777" w:rsidR="004412F1" w:rsidRPr="00E03735" w:rsidRDefault="005A12A3" w:rsidP="0059350F">
      <w:pPr>
        <w:ind w:left="567"/>
        <w:jc w:val="center"/>
        <w:outlineLvl w:val="1"/>
        <w:rPr>
          <w:b/>
          <w:sz w:val="24"/>
          <w:szCs w:val="24"/>
          <w:lang w:val="es-PE"/>
        </w:rPr>
      </w:pPr>
      <w:bookmarkStart w:id="2741" w:name="_Toc468837729"/>
      <w:bookmarkStart w:id="2742" w:name="_Toc140089441"/>
      <w:r w:rsidRPr="00E03735">
        <w:rPr>
          <w:b/>
          <w:sz w:val="24"/>
          <w:szCs w:val="24"/>
          <w:lang w:val="es-PE"/>
        </w:rPr>
        <w:t>Formatos de Comunicación</w:t>
      </w:r>
      <w:bookmarkEnd w:id="2741"/>
      <w:bookmarkEnd w:id="2742"/>
    </w:p>
    <w:p w14:paraId="2A67049B" w14:textId="77777777" w:rsidR="004412F1" w:rsidRDefault="004412F1"/>
    <w:p w14:paraId="4D287C62" w14:textId="77777777" w:rsidR="004412F1" w:rsidRDefault="005A12A3">
      <w:pPr>
        <w:jc w:val="center"/>
        <w:rPr>
          <w:b/>
          <w:lang w:val="es-PE"/>
        </w:rPr>
      </w:pPr>
      <w:r>
        <w:rPr>
          <w:lang w:val="es-PE"/>
        </w:rPr>
        <w:br w:type="page"/>
      </w:r>
      <w:r>
        <w:rPr>
          <w:b/>
          <w:lang w:val="es-PE"/>
        </w:rPr>
        <w:t>Detección de parámetro de condición insuficiente</w:t>
      </w:r>
    </w:p>
    <w:p w14:paraId="25389FC8" w14:textId="77777777" w:rsidR="004412F1" w:rsidRDefault="005A12A3">
      <w:pPr>
        <w:jc w:val="center"/>
        <w:rPr>
          <w:lang w:val="es-PE"/>
        </w:rPr>
      </w:pPr>
      <w:r>
        <w:rPr>
          <w:lang w:val="es-PE"/>
        </w:rPr>
        <w:t>(Nota del Ingeniero Supervisor al Coordinador de OSITRAN)</w:t>
      </w:r>
    </w:p>
    <w:p w14:paraId="08568FE1" w14:textId="77777777" w:rsidR="004412F1" w:rsidRDefault="004412F1">
      <w:pPr>
        <w:rPr>
          <w:lang w:val="es-PE"/>
        </w:rPr>
      </w:pPr>
    </w:p>
    <w:p w14:paraId="7BDA6481" w14:textId="77777777" w:rsidR="004412F1" w:rsidRDefault="004412F1">
      <w:pPr>
        <w:rPr>
          <w:lang w:val="es-PE"/>
        </w:rPr>
      </w:pPr>
    </w:p>
    <w:p w14:paraId="044EAACB" w14:textId="77777777" w:rsidR="004412F1" w:rsidRDefault="005A12A3">
      <w:pPr>
        <w:rPr>
          <w:lang w:val="es-PE"/>
        </w:rPr>
      </w:pPr>
      <w:r>
        <w:rPr>
          <w:lang w:val="es-PE"/>
        </w:rPr>
        <w:t>Lugar</w:t>
      </w:r>
    </w:p>
    <w:p w14:paraId="58FAE006" w14:textId="77777777" w:rsidR="004412F1" w:rsidRDefault="005A12A3">
      <w:pPr>
        <w:rPr>
          <w:lang w:val="es-PE"/>
        </w:rPr>
      </w:pPr>
      <w:r>
        <w:rPr>
          <w:lang w:val="es-PE"/>
        </w:rPr>
        <w:t>Fecha</w:t>
      </w:r>
    </w:p>
    <w:p w14:paraId="2B711B73" w14:textId="77777777" w:rsidR="004412F1" w:rsidRDefault="004412F1">
      <w:pPr>
        <w:rPr>
          <w:lang w:val="es-PE"/>
        </w:rPr>
      </w:pPr>
    </w:p>
    <w:p w14:paraId="2D36D961" w14:textId="77777777" w:rsidR="004412F1" w:rsidRDefault="005A12A3">
      <w:pPr>
        <w:rPr>
          <w:lang w:val="es-PE"/>
        </w:rPr>
      </w:pPr>
      <w:r>
        <w:rPr>
          <w:lang w:val="es-PE"/>
        </w:rPr>
        <w:t>Detección PCI Nº</w:t>
      </w:r>
    </w:p>
    <w:p w14:paraId="2C3E2678" w14:textId="77777777" w:rsidR="004412F1" w:rsidRDefault="004412F1">
      <w:pPr>
        <w:rPr>
          <w:lang w:val="es-PE"/>
        </w:rPr>
      </w:pPr>
    </w:p>
    <w:p w14:paraId="6756A754" w14:textId="77777777" w:rsidR="004412F1" w:rsidRDefault="005A12A3">
      <w:pPr>
        <w:rPr>
          <w:b/>
          <w:lang w:val="es-PE"/>
        </w:rPr>
      </w:pPr>
      <w:r>
        <w:rPr>
          <w:b/>
          <w:lang w:val="es-PE"/>
        </w:rPr>
        <w:t>Sr. Coordinador:</w:t>
      </w:r>
    </w:p>
    <w:p w14:paraId="025E2446" w14:textId="77777777" w:rsidR="004412F1" w:rsidRDefault="004412F1">
      <w:pPr>
        <w:rPr>
          <w:lang w:val="es-PE"/>
        </w:rPr>
      </w:pPr>
    </w:p>
    <w:p w14:paraId="70A25457" w14:textId="77777777" w:rsidR="004412F1" w:rsidRDefault="005A12A3">
      <w:pPr>
        <w:jc w:val="both"/>
      </w:pPr>
      <w:proofErr w:type="gramStart"/>
      <w:r>
        <w:rPr>
          <w:lang w:val="es-PE"/>
        </w:rPr>
        <w:t>De acuerdo a</w:t>
      </w:r>
      <w:proofErr w:type="gramEnd"/>
      <w:r>
        <w:rPr>
          <w:lang w:val="es-PE"/>
        </w:rPr>
        <w:t xml:space="preserve"> lo establecido en el ANEXO I del Contrato de Concesión, se comunica que se han localizado los siguientes defectos en la Concesión de la Carretera Longitudinal de la Sierra Tramo 4: Huancayo-Izcuchaca-Mayocc-Ayacucho/Ayacucho-Andahuaylas-Pte Sahuinto/Dv. </w:t>
      </w:r>
      <w:r>
        <w:t>Pisco – Huaytará - Ayacucho.</w:t>
      </w:r>
    </w:p>
    <w:p w14:paraId="1E8A6F51" w14:textId="77777777" w:rsidR="004412F1" w:rsidRDefault="004412F1"/>
    <w:p w14:paraId="3FDD3B96" w14:textId="77777777" w:rsidR="004412F1" w:rsidRDefault="005A12A3">
      <w:r>
        <w:t>Ruta:</w:t>
      </w:r>
    </w:p>
    <w:p w14:paraId="2543B612" w14:textId="77777777" w:rsidR="004412F1" w:rsidRDefault="004412F1"/>
    <w:p w14:paraId="31AC9C71" w14:textId="77777777" w:rsidR="004412F1" w:rsidRDefault="005A12A3">
      <w:r>
        <w:t>Sub Tramo:</w:t>
      </w:r>
    </w:p>
    <w:p w14:paraId="45FA74F7" w14:textId="77777777" w:rsidR="004412F1" w:rsidRDefault="004412F1"/>
    <w:tbl>
      <w:tblPr>
        <w:tblW w:w="7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4319"/>
        <w:gridCol w:w="719"/>
        <w:gridCol w:w="721"/>
        <w:gridCol w:w="900"/>
        <w:gridCol w:w="601"/>
      </w:tblGrid>
      <w:tr w:rsidR="004412F1" w14:paraId="0915F782"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466005F" w14:textId="77777777" w:rsidR="004412F1" w:rsidRDefault="005A12A3">
            <w:pPr>
              <w:jc w:val="center"/>
              <w:rPr>
                <w:b/>
              </w:rPr>
            </w:pPr>
            <w:r>
              <w:rPr>
                <w:b/>
              </w:rPr>
              <w:t>Ítem</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82911C8"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A9BF441" w14:textId="77777777" w:rsidR="004412F1" w:rsidRDefault="005A12A3">
            <w:pPr>
              <w:jc w:val="center"/>
              <w:rPr>
                <w:b/>
              </w:rPr>
            </w:pPr>
            <w:r>
              <w:rPr>
                <w:b/>
              </w:rPr>
              <w:t>Desde Km</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BF65034" w14:textId="77777777" w:rsidR="004412F1" w:rsidRDefault="005A12A3">
            <w:pPr>
              <w:jc w:val="center"/>
              <w:rPr>
                <w:b/>
              </w:rPr>
            </w:pPr>
            <w:r>
              <w:rPr>
                <w:b/>
              </w:rPr>
              <w:t>Hasta Km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36FDEFE" w14:textId="77777777" w:rsidR="004412F1" w:rsidRDefault="005A12A3">
            <w:pPr>
              <w:jc w:val="center"/>
              <w:rPr>
                <w:b/>
              </w:rPr>
            </w:pPr>
            <w:r>
              <w:rPr>
                <w:b/>
              </w:rPr>
              <w:t>Total de Km.</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5CA72BD" w14:textId="77777777" w:rsidR="004412F1" w:rsidRDefault="005A12A3">
            <w:pPr>
              <w:jc w:val="center"/>
              <w:rPr>
                <w:b/>
              </w:rPr>
            </w:pPr>
            <w:r>
              <w:rPr>
                <w:b/>
              </w:rPr>
              <w:t>Plazo</w:t>
            </w:r>
          </w:p>
          <w:p w14:paraId="22A0ACE8" w14:textId="77777777" w:rsidR="004412F1" w:rsidRDefault="005A12A3">
            <w:pPr>
              <w:jc w:val="center"/>
              <w:rPr>
                <w:b/>
              </w:rPr>
            </w:pPr>
            <w:r>
              <w:rPr>
                <w:b/>
              </w:rPr>
              <w:t>(días)</w:t>
            </w:r>
          </w:p>
        </w:tc>
      </w:tr>
      <w:tr w:rsidR="004412F1" w14:paraId="7B05D08C"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AC4E4AF"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E85D8BA"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FD83887"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4FD6E88"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98628ED"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ADCFDEA" w14:textId="77777777" w:rsidR="004412F1" w:rsidRDefault="005A12A3">
            <w:r>
              <w:t> </w:t>
            </w:r>
          </w:p>
        </w:tc>
      </w:tr>
      <w:tr w:rsidR="004412F1" w14:paraId="171D1E9E"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1E8332"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29BE437"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18EDDAA"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0DA6167"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4D7916C"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CF2BBD8" w14:textId="77777777" w:rsidR="004412F1" w:rsidRDefault="005A12A3">
            <w:r>
              <w:t> </w:t>
            </w:r>
          </w:p>
        </w:tc>
      </w:tr>
      <w:tr w:rsidR="004412F1" w14:paraId="09DB6CCF"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32C625F"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C6C195"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BFD60A0"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2709864"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4930BFF"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83FFD0B" w14:textId="77777777" w:rsidR="004412F1" w:rsidRDefault="005A12A3">
            <w:r>
              <w:t> </w:t>
            </w:r>
          </w:p>
        </w:tc>
      </w:tr>
      <w:tr w:rsidR="004412F1" w14:paraId="19889DE3"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1EA048F"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9BDC71A"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08C1288"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AF95F7"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319052A"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1E7ED54" w14:textId="77777777" w:rsidR="004412F1" w:rsidRDefault="005A12A3">
            <w:r>
              <w:t> </w:t>
            </w:r>
          </w:p>
        </w:tc>
      </w:tr>
      <w:tr w:rsidR="004412F1" w14:paraId="35D8B481"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1DD64C"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8B2EA5D"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2D5D9F1"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116923E"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9F54E5C"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2CBF73E" w14:textId="77777777" w:rsidR="004412F1" w:rsidRDefault="005A12A3">
            <w:r>
              <w:t> </w:t>
            </w:r>
          </w:p>
        </w:tc>
      </w:tr>
      <w:tr w:rsidR="004412F1" w14:paraId="0E21D306"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5918E6E"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C11FC6F"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90E0C6F"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AFFDD8F"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4E38B9F"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8700FFA" w14:textId="77777777" w:rsidR="004412F1" w:rsidRDefault="005A12A3">
            <w:r>
              <w:t> </w:t>
            </w:r>
          </w:p>
        </w:tc>
      </w:tr>
      <w:tr w:rsidR="004412F1" w14:paraId="72702AB5"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2A9418E"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244BD26"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2194F78"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00A8164"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E12A828"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CC9BD4E" w14:textId="77777777" w:rsidR="004412F1" w:rsidRDefault="005A12A3">
            <w:r>
              <w:t> </w:t>
            </w:r>
          </w:p>
        </w:tc>
      </w:tr>
      <w:tr w:rsidR="004412F1" w14:paraId="4EEA31C4"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42345A2"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3336A2"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FC3DC71"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7EC8AA1"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88F2970"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7359D8F" w14:textId="77777777" w:rsidR="004412F1" w:rsidRDefault="005A12A3">
            <w:r>
              <w:t> </w:t>
            </w:r>
          </w:p>
        </w:tc>
      </w:tr>
      <w:tr w:rsidR="004412F1" w14:paraId="7DBD7DCF"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9841C99"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C49DEBE"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8F2EB9A"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A453EDA"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88E4C0"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7BC4C07" w14:textId="77777777" w:rsidR="004412F1" w:rsidRDefault="005A12A3">
            <w:r>
              <w:t> </w:t>
            </w:r>
          </w:p>
        </w:tc>
      </w:tr>
      <w:tr w:rsidR="004412F1" w14:paraId="6E622C0A"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9906329"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3390A90"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E571B05"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EB44717"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51800A4"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4DD71C3" w14:textId="77777777" w:rsidR="004412F1" w:rsidRDefault="005A12A3">
            <w:r>
              <w:t> </w:t>
            </w:r>
          </w:p>
        </w:tc>
      </w:tr>
      <w:tr w:rsidR="004412F1" w14:paraId="0E442FE7"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740728B"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E772287"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B745B54"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9E06788"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0F080DC"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58C3118" w14:textId="77777777" w:rsidR="004412F1" w:rsidRDefault="005A12A3">
            <w:r>
              <w:t> </w:t>
            </w:r>
          </w:p>
        </w:tc>
      </w:tr>
      <w:tr w:rsidR="004412F1" w14:paraId="33C18E20"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EE6926"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44D027"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3F23531"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DEF8E84"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A3B1F37"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2962D7" w14:textId="77777777" w:rsidR="004412F1" w:rsidRDefault="005A12A3">
            <w:r>
              <w:t> </w:t>
            </w:r>
          </w:p>
        </w:tc>
      </w:tr>
      <w:tr w:rsidR="004412F1" w14:paraId="65841EDC"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376280F"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6EB9767"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71BF6A1"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6D13869"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36DD748"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7E8B567" w14:textId="77777777" w:rsidR="004412F1" w:rsidRDefault="005A12A3">
            <w:r>
              <w:t> </w:t>
            </w:r>
          </w:p>
        </w:tc>
      </w:tr>
      <w:tr w:rsidR="004412F1" w14:paraId="451274E0"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8A0D416" w14:textId="77777777" w:rsidR="004412F1" w:rsidRDefault="004412F1"/>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CF514A0" w14:textId="77777777" w:rsidR="004412F1" w:rsidRDefault="004412F1"/>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12526A7"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9489721" w14:textId="77777777" w:rsidR="004412F1" w:rsidRDefault="004412F1"/>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0DAAB3F" w14:textId="77777777" w:rsidR="004412F1" w:rsidRDefault="004412F1"/>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FE87D0E" w14:textId="77777777" w:rsidR="004412F1" w:rsidRDefault="004412F1"/>
        </w:tc>
      </w:tr>
    </w:tbl>
    <w:p w14:paraId="701A99B4" w14:textId="77777777" w:rsidR="004412F1" w:rsidRDefault="004412F1"/>
    <w:p w14:paraId="4787708C" w14:textId="77777777" w:rsidR="004412F1" w:rsidRDefault="005A12A3">
      <w:pPr>
        <w:rPr>
          <w:lang w:val="es-PE"/>
        </w:rPr>
      </w:pPr>
      <w:r>
        <w:rPr>
          <w:lang w:val="es-PE"/>
        </w:rPr>
        <w:t>Sin otro particular lo saluda atentamente:</w:t>
      </w:r>
    </w:p>
    <w:p w14:paraId="31F582E7" w14:textId="77777777" w:rsidR="004412F1" w:rsidRDefault="004412F1">
      <w:pPr>
        <w:rPr>
          <w:lang w:val="es-PE"/>
        </w:rPr>
      </w:pPr>
    </w:p>
    <w:p w14:paraId="32AB9BCE" w14:textId="77777777" w:rsidR="004412F1" w:rsidRDefault="004412F1">
      <w:pPr>
        <w:rPr>
          <w:lang w:val="es-PE"/>
        </w:rPr>
      </w:pPr>
    </w:p>
    <w:p w14:paraId="7C84F70A" w14:textId="77777777" w:rsidR="004412F1" w:rsidRDefault="004412F1">
      <w:pPr>
        <w:rPr>
          <w:lang w:val="es-PE"/>
        </w:rPr>
      </w:pPr>
    </w:p>
    <w:p w14:paraId="1406263C" w14:textId="77777777" w:rsidR="004412F1" w:rsidRDefault="005A12A3">
      <w:pPr>
        <w:jc w:val="center"/>
        <w:rPr>
          <w:lang w:val="es-PE"/>
        </w:rPr>
      </w:pPr>
      <w:r>
        <w:rPr>
          <w:lang w:val="es-PE"/>
        </w:rPr>
        <w:t>FIRMA</w:t>
      </w:r>
    </w:p>
    <w:p w14:paraId="4AF578FA" w14:textId="77777777" w:rsidR="004412F1" w:rsidRDefault="005A12A3">
      <w:pPr>
        <w:jc w:val="center"/>
        <w:rPr>
          <w:lang w:val="es-PE"/>
        </w:rPr>
      </w:pPr>
      <w:r>
        <w:rPr>
          <w:lang w:val="es-PE"/>
        </w:rPr>
        <w:t>Ing. Supervisor</w:t>
      </w:r>
    </w:p>
    <w:p w14:paraId="462EFCF7" w14:textId="77777777" w:rsidR="004412F1" w:rsidRDefault="004412F1">
      <w:pPr>
        <w:rPr>
          <w:lang w:val="es-PE"/>
        </w:rPr>
      </w:pPr>
    </w:p>
    <w:p w14:paraId="13AB6A06" w14:textId="77777777" w:rsidR="004412F1" w:rsidRDefault="005A12A3">
      <w:pPr>
        <w:jc w:val="both"/>
        <w:rPr>
          <w:lang w:val="es-PE"/>
        </w:rPr>
      </w:pPr>
      <w:r>
        <w:rPr>
          <w:lang w:val="es-PE"/>
        </w:rPr>
        <w:br w:type="page"/>
      </w:r>
    </w:p>
    <w:p w14:paraId="320F16F0" w14:textId="77777777" w:rsidR="004412F1" w:rsidRDefault="005A12A3">
      <w:pPr>
        <w:jc w:val="center"/>
        <w:rPr>
          <w:b/>
          <w:lang w:val="es-PE"/>
        </w:rPr>
      </w:pPr>
      <w:r>
        <w:rPr>
          <w:b/>
          <w:lang w:val="es-PE"/>
        </w:rPr>
        <w:t>Notificación de detección de parámetro de condición insuficiente</w:t>
      </w:r>
    </w:p>
    <w:p w14:paraId="07EFB5DB" w14:textId="77777777" w:rsidR="004412F1" w:rsidRDefault="005A12A3">
      <w:pPr>
        <w:jc w:val="center"/>
        <w:rPr>
          <w:lang w:val="es-PE"/>
        </w:rPr>
      </w:pPr>
      <w:r>
        <w:rPr>
          <w:lang w:val="es-PE"/>
        </w:rPr>
        <w:t>(Nota de OSITRAN al CONCESIONARIO)</w:t>
      </w:r>
    </w:p>
    <w:p w14:paraId="12203CAC" w14:textId="77777777" w:rsidR="004412F1" w:rsidRDefault="004412F1">
      <w:pPr>
        <w:rPr>
          <w:lang w:val="es-PE"/>
        </w:rPr>
      </w:pPr>
    </w:p>
    <w:p w14:paraId="79C4491B" w14:textId="77777777" w:rsidR="004412F1" w:rsidRDefault="004412F1">
      <w:pPr>
        <w:rPr>
          <w:lang w:val="es-PE"/>
        </w:rPr>
      </w:pPr>
    </w:p>
    <w:p w14:paraId="7A357A9B" w14:textId="77777777" w:rsidR="004412F1" w:rsidRDefault="005A12A3">
      <w:pPr>
        <w:rPr>
          <w:lang w:val="es-PE"/>
        </w:rPr>
      </w:pPr>
      <w:r>
        <w:rPr>
          <w:lang w:val="es-PE"/>
        </w:rPr>
        <w:t>Lugar</w:t>
      </w:r>
    </w:p>
    <w:p w14:paraId="70AD786D" w14:textId="77777777" w:rsidR="004412F1" w:rsidRDefault="005A12A3">
      <w:pPr>
        <w:rPr>
          <w:lang w:val="es-PE"/>
        </w:rPr>
      </w:pPr>
      <w:r>
        <w:rPr>
          <w:lang w:val="es-PE"/>
        </w:rPr>
        <w:t>Fecha</w:t>
      </w:r>
    </w:p>
    <w:p w14:paraId="49F1F1FF" w14:textId="77777777" w:rsidR="004412F1" w:rsidRDefault="004412F1">
      <w:pPr>
        <w:rPr>
          <w:lang w:val="es-PE"/>
        </w:rPr>
      </w:pPr>
    </w:p>
    <w:p w14:paraId="61DD9BFA" w14:textId="77777777" w:rsidR="004412F1" w:rsidRDefault="005A12A3">
      <w:pPr>
        <w:rPr>
          <w:lang w:val="es-PE"/>
        </w:rPr>
      </w:pPr>
      <w:r>
        <w:rPr>
          <w:lang w:val="es-PE"/>
        </w:rPr>
        <w:t>Notificación PCI Nº</w:t>
      </w:r>
    </w:p>
    <w:p w14:paraId="0DB5A595" w14:textId="77777777" w:rsidR="004412F1" w:rsidRDefault="004412F1">
      <w:pPr>
        <w:rPr>
          <w:lang w:val="es-PE"/>
        </w:rPr>
      </w:pPr>
    </w:p>
    <w:p w14:paraId="0C9DFDDA" w14:textId="77777777" w:rsidR="004412F1" w:rsidRDefault="005A12A3">
      <w:pPr>
        <w:rPr>
          <w:lang w:val="es-PE"/>
        </w:rPr>
      </w:pPr>
      <w:r>
        <w:rPr>
          <w:lang w:val="es-PE"/>
        </w:rPr>
        <w:t>Ref: Detección PCI Nº</w:t>
      </w:r>
    </w:p>
    <w:p w14:paraId="24205AEE" w14:textId="77777777" w:rsidR="004412F1" w:rsidRDefault="004412F1">
      <w:pPr>
        <w:rPr>
          <w:lang w:val="es-PE"/>
        </w:rPr>
      </w:pPr>
    </w:p>
    <w:p w14:paraId="084D21EC" w14:textId="77777777" w:rsidR="004412F1" w:rsidRDefault="005A12A3">
      <w:pPr>
        <w:rPr>
          <w:b/>
          <w:lang w:val="es-PE"/>
        </w:rPr>
      </w:pPr>
      <w:r>
        <w:rPr>
          <w:b/>
          <w:lang w:val="es-PE"/>
        </w:rPr>
        <w:t>Sres. de (nombre de la CONCESIONARIO):</w:t>
      </w:r>
    </w:p>
    <w:p w14:paraId="121B1CD3" w14:textId="77777777" w:rsidR="004412F1" w:rsidRDefault="004412F1">
      <w:pPr>
        <w:rPr>
          <w:lang w:val="es-PE"/>
        </w:rPr>
      </w:pPr>
    </w:p>
    <w:p w14:paraId="352D8612" w14:textId="77777777" w:rsidR="004412F1" w:rsidRDefault="005A12A3">
      <w:pPr>
        <w:jc w:val="both"/>
        <w:rPr>
          <w:lang w:val="es-PE"/>
        </w:rPr>
      </w:pPr>
      <w:proofErr w:type="gramStart"/>
      <w:r>
        <w:rPr>
          <w:lang w:val="es-PE"/>
        </w:rPr>
        <w:t>De acuerdo a</w:t>
      </w:r>
      <w:proofErr w:type="gramEnd"/>
      <w:r>
        <w:rPr>
          <w:lang w:val="es-PE"/>
        </w:rPr>
        <w:t xml:space="preserve"> lo establecido en el ANEXO I del Contrato de Concesión, se comunica que corresponde realizar las reparaciones de los defectos indicados en el cuadro adjunto.</w:t>
      </w:r>
    </w:p>
    <w:p w14:paraId="2E7D3BF4" w14:textId="77777777" w:rsidR="004412F1" w:rsidRDefault="004412F1">
      <w:pPr>
        <w:rPr>
          <w:lang w:val="es-PE"/>
        </w:rPr>
      </w:pPr>
    </w:p>
    <w:p w14:paraId="1571CA32" w14:textId="77777777" w:rsidR="004412F1" w:rsidRDefault="005A12A3">
      <w:r>
        <w:t>Ruta:</w:t>
      </w:r>
    </w:p>
    <w:p w14:paraId="4966AFBD" w14:textId="77777777" w:rsidR="004412F1" w:rsidRDefault="004412F1"/>
    <w:p w14:paraId="0370BBC2" w14:textId="77777777" w:rsidR="004412F1" w:rsidRDefault="005A12A3">
      <w:r>
        <w:t>Sub Tramo:</w:t>
      </w:r>
    </w:p>
    <w:p w14:paraId="16DFA9A4" w14:textId="77777777" w:rsidR="004412F1" w:rsidRDefault="004412F1"/>
    <w:tbl>
      <w:tblPr>
        <w:tblW w:w="7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6"/>
        <w:gridCol w:w="4319"/>
        <w:gridCol w:w="719"/>
        <w:gridCol w:w="721"/>
        <w:gridCol w:w="900"/>
        <w:gridCol w:w="601"/>
      </w:tblGrid>
      <w:tr w:rsidR="004412F1" w14:paraId="2771E668"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D7BB9D8" w14:textId="77777777" w:rsidR="004412F1" w:rsidRDefault="005A12A3">
            <w:pPr>
              <w:jc w:val="center"/>
              <w:rPr>
                <w:b/>
              </w:rPr>
            </w:pPr>
            <w:r>
              <w:rPr>
                <w:b/>
              </w:rPr>
              <w:t>Ítem</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E954EF7"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10315C0" w14:textId="77777777" w:rsidR="004412F1" w:rsidRDefault="005A12A3">
            <w:pPr>
              <w:jc w:val="center"/>
              <w:rPr>
                <w:b/>
              </w:rPr>
            </w:pPr>
            <w:r>
              <w:rPr>
                <w:b/>
              </w:rPr>
              <w:t>Desde Km</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E662D2E" w14:textId="77777777" w:rsidR="004412F1" w:rsidRDefault="005A12A3">
            <w:pPr>
              <w:jc w:val="center"/>
              <w:rPr>
                <w:b/>
              </w:rPr>
            </w:pPr>
            <w:r>
              <w:rPr>
                <w:b/>
              </w:rPr>
              <w:t>Hasta Km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0E03407" w14:textId="77777777" w:rsidR="004412F1" w:rsidRDefault="005A12A3">
            <w:pPr>
              <w:jc w:val="center"/>
              <w:rPr>
                <w:b/>
              </w:rPr>
            </w:pPr>
            <w:r>
              <w:rPr>
                <w:b/>
              </w:rPr>
              <w:t>Total de Km.</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4389CC1" w14:textId="77777777" w:rsidR="004412F1" w:rsidRDefault="005A12A3">
            <w:pPr>
              <w:jc w:val="center"/>
              <w:rPr>
                <w:b/>
              </w:rPr>
            </w:pPr>
            <w:r>
              <w:rPr>
                <w:b/>
              </w:rPr>
              <w:t>Plazo</w:t>
            </w:r>
          </w:p>
          <w:p w14:paraId="0AE25209" w14:textId="77777777" w:rsidR="004412F1" w:rsidRDefault="005A12A3">
            <w:pPr>
              <w:jc w:val="center"/>
              <w:rPr>
                <w:b/>
              </w:rPr>
            </w:pPr>
            <w:r>
              <w:rPr>
                <w:b/>
              </w:rPr>
              <w:t>(días)</w:t>
            </w:r>
          </w:p>
        </w:tc>
      </w:tr>
      <w:tr w:rsidR="004412F1" w14:paraId="75D7E900"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7A0F407"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4BE9EFD"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FE61FB6"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A5B4DC1"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BC2A747"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598112E" w14:textId="77777777" w:rsidR="004412F1" w:rsidRDefault="005A12A3">
            <w:r>
              <w:t> </w:t>
            </w:r>
          </w:p>
        </w:tc>
      </w:tr>
      <w:tr w:rsidR="004412F1" w14:paraId="1062E2F5"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712964A"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1C874D"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47F5689"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4279D23"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EC4199D"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41763F8" w14:textId="77777777" w:rsidR="004412F1" w:rsidRDefault="005A12A3">
            <w:r>
              <w:t> </w:t>
            </w:r>
          </w:p>
        </w:tc>
      </w:tr>
      <w:tr w:rsidR="004412F1" w14:paraId="28665CB2"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CA99DE2"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21AA883"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3BF9962"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86C1EBD"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6E42634"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9A8829" w14:textId="77777777" w:rsidR="004412F1" w:rsidRDefault="005A12A3">
            <w:r>
              <w:t> </w:t>
            </w:r>
          </w:p>
        </w:tc>
      </w:tr>
      <w:tr w:rsidR="004412F1" w14:paraId="7A76F27F"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9FEDD4C"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17C9522"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372222D"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C95F69C"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022857B"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7678C1D" w14:textId="77777777" w:rsidR="004412F1" w:rsidRDefault="005A12A3">
            <w:r>
              <w:t> </w:t>
            </w:r>
          </w:p>
        </w:tc>
      </w:tr>
      <w:tr w:rsidR="004412F1" w14:paraId="312939B3"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041FAA8"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E39D713"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BFCB7C9"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9238997"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3622B17"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81BE4E7" w14:textId="77777777" w:rsidR="004412F1" w:rsidRDefault="005A12A3">
            <w:r>
              <w:t> </w:t>
            </w:r>
          </w:p>
        </w:tc>
      </w:tr>
      <w:tr w:rsidR="004412F1" w14:paraId="5B8531F2"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5976252"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BA3928B"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D39C585"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C5B763B"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BD37319"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9F372BB" w14:textId="77777777" w:rsidR="004412F1" w:rsidRDefault="005A12A3">
            <w:r>
              <w:t> </w:t>
            </w:r>
          </w:p>
        </w:tc>
      </w:tr>
      <w:tr w:rsidR="004412F1" w14:paraId="592A872D"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D9EBBB"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6351E1C"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ED0BBFD"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C8AC01"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57B8D0F"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DF6B77" w14:textId="77777777" w:rsidR="004412F1" w:rsidRDefault="005A12A3">
            <w:r>
              <w:t> </w:t>
            </w:r>
          </w:p>
        </w:tc>
      </w:tr>
      <w:tr w:rsidR="004412F1" w14:paraId="3DA33DF5"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F90A61C"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B415510"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4693F4D"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4AE2373"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792A847"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04E79CB" w14:textId="77777777" w:rsidR="004412F1" w:rsidRDefault="005A12A3">
            <w:r>
              <w:t> </w:t>
            </w:r>
          </w:p>
        </w:tc>
      </w:tr>
      <w:tr w:rsidR="004412F1" w14:paraId="4A2C8B32"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A8CB858"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388E7BA"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62EA9A7"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72F58C3"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E6D1CA9"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AF167EB" w14:textId="77777777" w:rsidR="004412F1" w:rsidRDefault="005A12A3">
            <w:r>
              <w:t> </w:t>
            </w:r>
          </w:p>
        </w:tc>
      </w:tr>
      <w:tr w:rsidR="004412F1" w14:paraId="0A41C08F"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E4DB80"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BC58B46"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47CEB19"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75402C8"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CFBB7A7"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FC16B65" w14:textId="77777777" w:rsidR="004412F1" w:rsidRDefault="005A12A3">
            <w:r>
              <w:t> </w:t>
            </w:r>
          </w:p>
        </w:tc>
      </w:tr>
      <w:tr w:rsidR="004412F1" w14:paraId="020AFB40"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784F0A3"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2106A04"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ABFFC43"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23D63E5"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82DFB98"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719C0ED" w14:textId="77777777" w:rsidR="004412F1" w:rsidRDefault="005A12A3">
            <w:r>
              <w:t> </w:t>
            </w:r>
          </w:p>
        </w:tc>
      </w:tr>
      <w:tr w:rsidR="004412F1" w14:paraId="13401BE4"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A556DBC"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A5FBAF0"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5935A7D"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10323F6"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08750D5"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234EBA0" w14:textId="77777777" w:rsidR="004412F1" w:rsidRDefault="005A12A3">
            <w:r>
              <w:t> </w:t>
            </w:r>
          </w:p>
        </w:tc>
      </w:tr>
      <w:tr w:rsidR="004412F1" w14:paraId="67D8F23E"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7AA73D" w14:textId="77777777" w:rsidR="004412F1" w:rsidRDefault="005A12A3">
            <w:r>
              <w:t>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56E857D"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C03B3F8"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51C2DB3" w14:textId="77777777" w:rsidR="004412F1" w:rsidRDefault="005A12A3">
            <w:r>
              <w: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5120891" w14:textId="77777777" w:rsidR="004412F1" w:rsidRDefault="005A12A3">
            <w:r>
              <w:t> </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FDF62A9" w14:textId="77777777" w:rsidR="004412F1" w:rsidRDefault="005A12A3">
            <w:r>
              <w:t> </w:t>
            </w:r>
          </w:p>
        </w:tc>
      </w:tr>
      <w:tr w:rsidR="004412F1" w14:paraId="49BAD38C" w14:textId="77777777">
        <w:trPr>
          <w:trHeight w:val="255"/>
        </w:trPr>
        <w:tc>
          <w:tcPr>
            <w:tcW w:w="5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8D21050" w14:textId="77777777" w:rsidR="004412F1" w:rsidRDefault="004412F1"/>
        </w:tc>
        <w:tc>
          <w:tcPr>
            <w:tcW w:w="43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DC89417" w14:textId="77777777" w:rsidR="004412F1" w:rsidRDefault="004412F1"/>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2E63E0E"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5E750C4" w14:textId="77777777" w:rsidR="004412F1" w:rsidRDefault="004412F1"/>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6123317" w14:textId="77777777" w:rsidR="004412F1" w:rsidRDefault="004412F1"/>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33EC28F" w14:textId="77777777" w:rsidR="004412F1" w:rsidRDefault="004412F1"/>
        </w:tc>
      </w:tr>
    </w:tbl>
    <w:p w14:paraId="1F527568" w14:textId="77777777" w:rsidR="004412F1" w:rsidRDefault="004412F1"/>
    <w:p w14:paraId="396EDE90" w14:textId="77777777" w:rsidR="004412F1" w:rsidRDefault="005A12A3">
      <w:pPr>
        <w:rPr>
          <w:lang w:val="es-PE"/>
        </w:rPr>
      </w:pPr>
      <w:r>
        <w:rPr>
          <w:lang w:val="es-PE"/>
        </w:rPr>
        <w:t>Sin otro particular los saluda atentamente</w:t>
      </w:r>
    </w:p>
    <w:p w14:paraId="6D5D1499" w14:textId="77777777" w:rsidR="004412F1" w:rsidRDefault="004412F1">
      <w:pPr>
        <w:rPr>
          <w:lang w:val="es-PE"/>
        </w:rPr>
      </w:pPr>
    </w:p>
    <w:p w14:paraId="26EC2D11" w14:textId="77777777" w:rsidR="004412F1" w:rsidRDefault="004412F1">
      <w:pPr>
        <w:rPr>
          <w:lang w:val="es-PE"/>
        </w:rPr>
      </w:pPr>
    </w:p>
    <w:p w14:paraId="4D89A5D7" w14:textId="77777777" w:rsidR="004412F1" w:rsidRDefault="004412F1">
      <w:pPr>
        <w:rPr>
          <w:lang w:val="es-PE"/>
        </w:rPr>
      </w:pPr>
    </w:p>
    <w:p w14:paraId="34ABF994" w14:textId="77777777" w:rsidR="004412F1" w:rsidRDefault="005A12A3">
      <w:pPr>
        <w:jc w:val="center"/>
        <w:rPr>
          <w:lang w:val="es-PE"/>
        </w:rPr>
      </w:pPr>
      <w:r>
        <w:rPr>
          <w:lang w:val="es-PE"/>
        </w:rPr>
        <w:t>FIRMA</w:t>
      </w:r>
    </w:p>
    <w:p w14:paraId="44927FC0" w14:textId="77777777" w:rsidR="004412F1" w:rsidRDefault="005A12A3">
      <w:pPr>
        <w:suppressLineNumbers/>
        <w:suppressAutoHyphens/>
        <w:jc w:val="center"/>
        <w:rPr>
          <w:color w:val="000000"/>
          <w:lang w:val="es-ES"/>
        </w:rPr>
      </w:pPr>
      <w:r>
        <w:rPr>
          <w:color w:val="000000"/>
          <w:lang w:val="es-ES"/>
        </w:rPr>
        <w:t>Responsable por OSITRAN</w:t>
      </w:r>
    </w:p>
    <w:p w14:paraId="433BD28D" w14:textId="77777777" w:rsidR="004412F1" w:rsidRDefault="004412F1">
      <w:pPr>
        <w:jc w:val="both"/>
        <w:rPr>
          <w:lang w:val="es-PE"/>
        </w:rPr>
      </w:pPr>
    </w:p>
    <w:p w14:paraId="690930FB" w14:textId="77777777" w:rsidR="004412F1" w:rsidRDefault="004412F1">
      <w:pPr>
        <w:jc w:val="both"/>
        <w:rPr>
          <w:lang w:val="es-PE"/>
        </w:rPr>
      </w:pPr>
    </w:p>
    <w:p w14:paraId="20A8EB25" w14:textId="77777777" w:rsidR="004412F1" w:rsidRDefault="004412F1">
      <w:pPr>
        <w:jc w:val="both"/>
        <w:rPr>
          <w:lang w:val="es-PE"/>
        </w:rPr>
      </w:pPr>
    </w:p>
    <w:p w14:paraId="0B51BBBE" w14:textId="77777777" w:rsidR="004412F1" w:rsidRDefault="004412F1">
      <w:pPr>
        <w:jc w:val="both"/>
        <w:rPr>
          <w:lang w:val="es-PE"/>
        </w:rPr>
      </w:pPr>
    </w:p>
    <w:p w14:paraId="599C1E92" w14:textId="77777777" w:rsidR="004412F1" w:rsidRDefault="005A12A3">
      <w:pPr>
        <w:jc w:val="both"/>
        <w:rPr>
          <w:lang w:val="es-PE"/>
        </w:rPr>
      </w:pPr>
      <w:r>
        <w:rPr>
          <w:lang w:val="es-PE"/>
        </w:rPr>
        <w:br w:type="page"/>
      </w:r>
    </w:p>
    <w:p w14:paraId="554DA9DE" w14:textId="77777777" w:rsidR="004412F1" w:rsidRDefault="005A12A3">
      <w:pPr>
        <w:jc w:val="center"/>
        <w:rPr>
          <w:b/>
          <w:lang w:val="es-PE"/>
        </w:rPr>
      </w:pPr>
      <w:r>
        <w:rPr>
          <w:b/>
          <w:lang w:val="es-PE"/>
        </w:rPr>
        <w:t>Notificación de resolución de parámetro de condición insuficiente</w:t>
      </w:r>
    </w:p>
    <w:p w14:paraId="1F7A99E5" w14:textId="77777777" w:rsidR="004412F1" w:rsidRDefault="005A12A3">
      <w:pPr>
        <w:jc w:val="center"/>
        <w:rPr>
          <w:lang w:val="es-PE"/>
        </w:rPr>
      </w:pPr>
      <w:r>
        <w:rPr>
          <w:lang w:val="es-PE"/>
        </w:rPr>
        <w:t xml:space="preserve"> (Nota del CONCESIONARIO)</w:t>
      </w:r>
    </w:p>
    <w:p w14:paraId="3D6E9D6A" w14:textId="77777777" w:rsidR="004412F1" w:rsidRDefault="004412F1">
      <w:pPr>
        <w:rPr>
          <w:lang w:val="es-PE"/>
        </w:rPr>
      </w:pPr>
    </w:p>
    <w:p w14:paraId="5799C053" w14:textId="77777777" w:rsidR="004412F1" w:rsidRDefault="004412F1">
      <w:pPr>
        <w:rPr>
          <w:lang w:val="es-PE"/>
        </w:rPr>
      </w:pPr>
    </w:p>
    <w:p w14:paraId="407421AB" w14:textId="77777777" w:rsidR="004412F1" w:rsidRDefault="005A12A3">
      <w:pPr>
        <w:rPr>
          <w:lang w:val="es-PE"/>
        </w:rPr>
      </w:pPr>
      <w:r>
        <w:rPr>
          <w:lang w:val="es-PE"/>
        </w:rPr>
        <w:t>Lugar</w:t>
      </w:r>
    </w:p>
    <w:p w14:paraId="423C7E14" w14:textId="77777777" w:rsidR="004412F1" w:rsidRDefault="005A12A3">
      <w:pPr>
        <w:rPr>
          <w:lang w:val="es-PE"/>
        </w:rPr>
      </w:pPr>
      <w:r>
        <w:rPr>
          <w:lang w:val="es-PE"/>
        </w:rPr>
        <w:t>Fecha</w:t>
      </w:r>
    </w:p>
    <w:p w14:paraId="25BDA0C1" w14:textId="77777777" w:rsidR="004412F1" w:rsidRDefault="004412F1">
      <w:pPr>
        <w:rPr>
          <w:lang w:val="es-PE"/>
        </w:rPr>
      </w:pPr>
    </w:p>
    <w:p w14:paraId="76CCDDA2" w14:textId="77777777" w:rsidR="004412F1" w:rsidRDefault="005A12A3">
      <w:pPr>
        <w:rPr>
          <w:lang w:val="es-PE"/>
        </w:rPr>
      </w:pPr>
      <w:r>
        <w:rPr>
          <w:lang w:val="es-PE"/>
        </w:rPr>
        <w:t>Notificación PCI Nº</w:t>
      </w:r>
    </w:p>
    <w:p w14:paraId="2C5F81AB" w14:textId="77777777" w:rsidR="004412F1" w:rsidRDefault="004412F1">
      <w:pPr>
        <w:rPr>
          <w:lang w:val="es-PE"/>
        </w:rPr>
      </w:pPr>
    </w:p>
    <w:p w14:paraId="66FE53A9" w14:textId="77777777" w:rsidR="004412F1" w:rsidRDefault="005A12A3">
      <w:pPr>
        <w:rPr>
          <w:b/>
          <w:lang w:val="es-PE"/>
        </w:rPr>
      </w:pPr>
      <w:r>
        <w:rPr>
          <w:b/>
          <w:lang w:val="es-PE"/>
        </w:rPr>
        <w:t>Sres. de OSITRAN:</w:t>
      </w:r>
    </w:p>
    <w:p w14:paraId="45DC72BB" w14:textId="77777777" w:rsidR="004412F1" w:rsidRDefault="004412F1">
      <w:pPr>
        <w:rPr>
          <w:lang w:val="es-PE"/>
        </w:rPr>
      </w:pPr>
    </w:p>
    <w:p w14:paraId="352A3ED6" w14:textId="77777777" w:rsidR="004412F1" w:rsidRDefault="005A12A3">
      <w:pPr>
        <w:jc w:val="both"/>
        <w:rPr>
          <w:lang w:val="es-PE"/>
        </w:rPr>
      </w:pPr>
      <w:r>
        <w:rPr>
          <w:lang w:val="es-PE"/>
        </w:rPr>
        <w:t xml:space="preserve">De acuerdo a lo indicado en la Notificación de detección de parámetro de condición insuficiente </w:t>
      </w:r>
      <w:proofErr w:type="gramStart"/>
      <w:r>
        <w:rPr>
          <w:lang w:val="es-PE"/>
        </w:rPr>
        <w:t>Nº  _</w:t>
      </w:r>
      <w:proofErr w:type="gramEnd"/>
      <w:r>
        <w:rPr>
          <w:lang w:val="es-PE"/>
        </w:rPr>
        <w:t>____________ se comunica se han realizado las tareas necesarias para subsanar los defectos de acuerdo al siguiente detalle:</w:t>
      </w:r>
    </w:p>
    <w:p w14:paraId="30B9557C" w14:textId="77777777" w:rsidR="004412F1" w:rsidRDefault="004412F1">
      <w:pPr>
        <w:rPr>
          <w:lang w:val="es-PE"/>
        </w:rPr>
      </w:pPr>
    </w:p>
    <w:p w14:paraId="5111434C" w14:textId="77777777" w:rsidR="004412F1" w:rsidRDefault="005A12A3">
      <w:r>
        <w:t>Ruta:</w:t>
      </w:r>
    </w:p>
    <w:p w14:paraId="1E4F9EDE" w14:textId="77777777" w:rsidR="004412F1" w:rsidRDefault="004412F1"/>
    <w:p w14:paraId="6F8E5F78" w14:textId="77777777" w:rsidR="004412F1" w:rsidRDefault="005A12A3">
      <w:r>
        <w:t>Sub Tramo:</w:t>
      </w:r>
    </w:p>
    <w:p w14:paraId="43F180F8" w14:textId="77777777" w:rsidR="004412F1" w:rsidRDefault="004412F1"/>
    <w:p w14:paraId="22ED8608" w14:textId="77777777" w:rsidR="004412F1" w:rsidRDefault="004412F1"/>
    <w:tbl>
      <w:tblPr>
        <w:tblW w:w="7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7"/>
        <w:gridCol w:w="4320"/>
        <w:gridCol w:w="718"/>
        <w:gridCol w:w="721"/>
        <w:gridCol w:w="899"/>
      </w:tblGrid>
      <w:tr w:rsidR="004412F1" w14:paraId="05A71EEA"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D3BB5E1" w14:textId="77777777" w:rsidR="004412F1" w:rsidRDefault="005A12A3">
            <w:pPr>
              <w:jc w:val="center"/>
              <w:rPr>
                <w:b/>
              </w:rPr>
            </w:pPr>
            <w:r>
              <w:rPr>
                <w:b/>
              </w:rPr>
              <w:t>Ítem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6BD2B77" w14:textId="77777777" w:rsidR="004412F1" w:rsidRDefault="005A12A3">
            <w:pPr>
              <w:jc w:val="center"/>
              <w:rPr>
                <w:b/>
              </w:rPr>
            </w:pPr>
            <w:r>
              <w:rPr>
                <w:b/>
              </w:rPr>
              <w:t>Defecto no admitido</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2394CF2" w14:textId="77777777" w:rsidR="004412F1" w:rsidRDefault="005A12A3">
            <w:pPr>
              <w:jc w:val="center"/>
              <w:rPr>
                <w:b/>
              </w:rPr>
            </w:pPr>
            <w:r>
              <w:rPr>
                <w:b/>
              </w:rPr>
              <w:t>Desde Km</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B49BC27" w14:textId="77777777" w:rsidR="004412F1" w:rsidRDefault="005A12A3">
            <w:pPr>
              <w:jc w:val="center"/>
              <w:rPr>
                <w:b/>
              </w:rPr>
            </w:pPr>
            <w:r>
              <w:rPr>
                <w:b/>
              </w:rPr>
              <w:t>Hasta Km</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6C3EEA5" w14:textId="77777777" w:rsidR="004412F1" w:rsidRDefault="005A12A3">
            <w:pPr>
              <w:jc w:val="center"/>
              <w:rPr>
                <w:b/>
              </w:rPr>
            </w:pPr>
            <w:r>
              <w:rPr>
                <w:b/>
              </w:rPr>
              <w:t>Total de Km.</w:t>
            </w:r>
          </w:p>
        </w:tc>
      </w:tr>
      <w:tr w:rsidR="004412F1" w14:paraId="7E257888"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759AADB"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5FC8812"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3FD05C4"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CD2E0E9"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10B00AB" w14:textId="77777777" w:rsidR="004412F1" w:rsidRDefault="005A12A3">
            <w:r>
              <w:t> </w:t>
            </w:r>
          </w:p>
        </w:tc>
      </w:tr>
      <w:tr w:rsidR="004412F1" w14:paraId="3CC4B5FB"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E8E067E"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9C112D"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34BB97F"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B182848"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8CE489F" w14:textId="77777777" w:rsidR="004412F1" w:rsidRDefault="005A12A3">
            <w:r>
              <w:t> </w:t>
            </w:r>
          </w:p>
        </w:tc>
      </w:tr>
      <w:tr w:rsidR="004412F1" w14:paraId="31F31709"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1863D31"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5E666ED"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307820B"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214A1DB"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C9241CD" w14:textId="77777777" w:rsidR="004412F1" w:rsidRDefault="005A12A3">
            <w:r>
              <w:t> </w:t>
            </w:r>
          </w:p>
        </w:tc>
      </w:tr>
      <w:tr w:rsidR="004412F1" w14:paraId="3150752A"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5C78BA3"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344BE1C"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F3E2677"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E568B74"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930D462" w14:textId="77777777" w:rsidR="004412F1" w:rsidRDefault="005A12A3">
            <w:r>
              <w:t> </w:t>
            </w:r>
          </w:p>
        </w:tc>
      </w:tr>
      <w:tr w:rsidR="004412F1" w14:paraId="345AC671"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6ABA39F"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1B10306"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ECDC52F"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7128B44"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D759ED2" w14:textId="77777777" w:rsidR="004412F1" w:rsidRDefault="005A12A3">
            <w:r>
              <w:t> </w:t>
            </w:r>
          </w:p>
        </w:tc>
      </w:tr>
      <w:tr w:rsidR="004412F1" w14:paraId="47EA3C95"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97BA2F6"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7277CE7"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0EF72FA"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D1A981D"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04A92B1" w14:textId="77777777" w:rsidR="004412F1" w:rsidRDefault="005A12A3">
            <w:r>
              <w:t> </w:t>
            </w:r>
          </w:p>
        </w:tc>
      </w:tr>
      <w:tr w:rsidR="004412F1" w14:paraId="58D139B4"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0230763"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ADF0800"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942DA31"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4B96B22"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84FCF51" w14:textId="77777777" w:rsidR="004412F1" w:rsidRDefault="005A12A3">
            <w:r>
              <w:t> </w:t>
            </w:r>
          </w:p>
        </w:tc>
      </w:tr>
      <w:tr w:rsidR="004412F1" w14:paraId="2A4EE28D"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D9FA214"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019C47E"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793C68E"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B34F295"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94AEC0F" w14:textId="77777777" w:rsidR="004412F1" w:rsidRDefault="005A12A3">
            <w:r>
              <w:t> </w:t>
            </w:r>
          </w:p>
        </w:tc>
      </w:tr>
      <w:tr w:rsidR="004412F1" w14:paraId="3B9CD7D0"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F5612AA"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416DCA0"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C1AA9EF"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5F61E6D"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DFA04F4" w14:textId="77777777" w:rsidR="004412F1" w:rsidRDefault="005A12A3">
            <w:r>
              <w:t> </w:t>
            </w:r>
          </w:p>
        </w:tc>
      </w:tr>
      <w:tr w:rsidR="004412F1" w14:paraId="460B00D5"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B1011DE"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28A3A2F"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BE6C9F6"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FDE8E47"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8051533" w14:textId="77777777" w:rsidR="004412F1" w:rsidRDefault="005A12A3">
            <w:r>
              <w:t> </w:t>
            </w:r>
          </w:p>
        </w:tc>
      </w:tr>
      <w:tr w:rsidR="004412F1" w14:paraId="5804052B"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F2BCF86"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EC50545"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7680DBF"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DE41E85"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373AEC2" w14:textId="77777777" w:rsidR="004412F1" w:rsidRDefault="005A12A3">
            <w:r>
              <w:t> </w:t>
            </w:r>
          </w:p>
        </w:tc>
      </w:tr>
      <w:tr w:rsidR="004412F1" w14:paraId="79A93612"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D472168"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CD96402"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ADE504E"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BBA74A"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30D8B63" w14:textId="77777777" w:rsidR="004412F1" w:rsidRDefault="005A12A3">
            <w:r>
              <w:t> </w:t>
            </w:r>
          </w:p>
        </w:tc>
      </w:tr>
      <w:tr w:rsidR="004412F1" w14:paraId="17765ACF"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B8C39F6" w14:textId="77777777" w:rsidR="004412F1" w:rsidRDefault="005A12A3">
            <w:r>
              <w: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D988215" w14:textId="77777777" w:rsidR="004412F1" w:rsidRDefault="005A12A3">
            <w:r>
              <w:t> </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EC3593C"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7434B83" w14:textId="77777777" w:rsidR="004412F1" w:rsidRDefault="005A12A3">
            <w:r>
              <w:t>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BB4859B" w14:textId="77777777" w:rsidR="004412F1" w:rsidRDefault="005A12A3">
            <w:r>
              <w:t> </w:t>
            </w:r>
          </w:p>
        </w:tc>
      </w:tr>
      <w:tr w:rsidR="004412F1" w14:paraId="00AD076D" w14:textId="77777777">
        <w:trPr>
          <w:trHeight w:val="255"/>
        </w:trPr>
        <w:tc>
          <w:tcPr>
            <w:tcW w:w="55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2868653" w14:textId="77777777" w:rsidR="004412F1" w:rsidRDefault="004412F1"/>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DDBF0CC" w14:textId="77777777" w:rsidR="004412F1" w:rsidRDefault="004412F1"/>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9B1A95D" w14:textId="77777777" w:rsidR="004412F1" w:rsidRDefault="004412F1"/>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BB13F4" w14:textId="77777777" w:rsidR="004412F1" w:rsidRDefault="004412F1"/>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6F92FD6" w14:textId="77777777" w:rsidR="004412F1" w:rsidRDefault="004412F1"/>
        </w:tc>
      </w:tr>
    </w:tbl>
    <w:p w14:paraId="09029C8B" w14:textId="77777777" w:rsidR="004412F1" w:rsidRDefault="004412F1"/>
    <w:p w14:paraId="443C3FF6" w14:textId="77777777" w:rsidR="004412F1" w:rsidRDefault="004412F1"/>
    <w:p w14:paraId="566E9FF0" w14:textId="77777777" w:rsidR="004412F1" w:rsidRDefault="005A12A3">
      <w:pPr>
        <w:rPr>
          <w:lang w:val="es-PE"/>
        </w:rPr>
      </w:pPr>
      <w:r>
        <w:rPr>
          <w:lang w:val="es-PE"/>
        </w:rPr>
        <w:t>Sin otro particular los saluda atentamente</w:t>
      </w:r>
    </w:p>
    <w:p w14:paraId="6CFA9AFE" w14:textId="77777777" w:rsidR="004412F1" w:rsidRDefault="004412F1">
      <w:pPr>
        <w:rPr>
          <w:lang w:val="es-PE"/>
        </w:rPr>
      </w:pPr>
    </w:p>
    <w:p w14:paraId="6518F630" w14:textId="77777777" w:rsidR="004412F1" w:rsidRDefault="004412F1">
      <w:pPr>
        <w:rPr>
          <w:lang w:val="es-PE"/>
        </w:rPr>
      </w:pPr>
    </w:p>
    <w:p w14:paraId="09A96948" w14:textId="77777777" w:rsidR="004412F1" w:rsidRDefault="004412F1">
      <w:pPr>
        <w:rPr>
          <w:lang w:val="es-PE"/>
        </w:rPr>
      </w:pPr>
    </w:p>
    <w:p w14:paraId="43389A77" w14:textId="77777777" w:rsidR="004412F1" w:rsidRDefault="005A12A3">
      <w:pPr>
        <w:jc w:val="center"/>
        <w:rPr>
          <w:lang w:val="es-PE"/>
        </w:rPr>
      </w:pPr>
      <w:r>
        <w:rPr>
          <w:lang w:val="es-PE"/>
        </w:rPr>
        <w:t>Firma</w:t>
      </w:r>
    </w:p>
    <w:p w14:paraId="6D8AA09E" w14:textId="77777777" w:rsidR="004412F1" w:rsidRDefault="005A12A3">
      <w:pPr>
        <w:jc w:val="center"/>
        <w:rPr>
          <w:lang w:val="es-PE"/>
        </w:rPr>
      </w:pPr>
      <w:r>
        <w:rPr>
          <w:lang w:val="es-PE"/>
        </w:rPr>
        <w:t>Responsable por el CONCESIONARIO</w:t>
      </w:r>
    </w:p>
    <w:p w14:paraId="7A40C1FC" w14:textId="77777777" w:rsidR="004412F1" w:rsidRDefault="004412F1">
      <w:pPr>
        <w:jc w:val="both"/>
        <w:rPr>
          <w:lang w:val="es-PE"/>
        </w:rPr>
      </w:pPr>
    </w:p>
    <w:p w14:paraId="215ED2AA" w14:textId="77777777" w:rsidR="004412F1" w:rsidRDefault="004412F1">
      <w:pPr>
        <w:jc w:val="both"/>
        <w:rPr>
          <w:lang w:val="es-PE"/>
        </w:rPr>
      </w:pPr>
    </w:p>
    <w:p w14:paraId="4DC48FCF" w14:textId="77777777" w:rsidR="004412F1" w:rsidRDefault="004412F1">
      <w:pPr>
        <w:jc w:val="both"/>
        <w:rPr>
          <w:lang w:val="es-PE"/>
        </w:rPr>
      </w:pPr>
    </w:p>
    <w:p w14:paraId="08CDE00E" w14:textId="77777777" w:rsidR="004412F1" w:rsidRDefault="005A12A3">
      <w:pPr>
        <w:jc w:val="both"/>
        <w:rPr>
          <w:lang w:val="es-PE"/>
        </w:rPr>
      </w:pPr>
      <w:r>
        <w:rPr>
          <w:lang w:val="es-PE"/>
        </w:rPr>
        <w:br w:type="page"/>
      </w:r>
    </w:p>
    <w:p w14:paraId="5D19231F" w14:textId="77777777" w:rsidR="004412F1" w:rsidRDefault="005A12A3">
      <w:pPr>
        <w:jc w:val="center"/>
        <w:rPr>
          <w:b/>
          <w:lang w:val="es-PE"/>
        </w:rPr>
      </w:pPr>
      <w:r>
        <w:rPr>
          <w:b/>
          <w:lang w:val="es-PE"/>
        </w:rPr>
        <w:t>Detección de incumplimiento</w:t>
      </w:r>
    </w:p>
    <w:p w14:paraId="28653248" w14:textId="77777777" w:rsidR="004412F1" w:rsidRDefault="005A12A3">
      <w:pPr>
        <w:jc w:val="center"/>
        <w:rPr>
          <w:lang w:val="es-PE"/>
        </w:rPr>
      </w:pPr>
      <w:r>
        <w:rPr>
          <w:lang w:val="es-PE"/>
        </w:rPr>
        <w:t>(Nota del Ingeniero Supervisor al Coordinador de OSITRAN)</w:t>
      </w:r>
    </w:p>
    <w:p w14:paraId="4D46BBB6" w14:textId="77777777" w:rsidR="004412F1" w:rsidRDefault="005A12A3">
      <w:pPr>
        <w:rPr>
          <w:lang w:val="es-PE"/>
        </w:rPr>
      </w:pPr>
      <w:r>
        <w:rPr>
          <w:lang w:val="es-PE"/>
        </w:rPr>
        <w:t>Lugar</w:t>
      </w:r>
    </w:p>
    <w:p w14:paraId="2D9C20DE" w14:textId="77777777" w:rsidR="004412F1" w:rsidRDefault="005A12A3">
      <w:pPr>
        <w:rPr>
          <w:lang w:val="es-PE"/>
        </w:rPr>
      </w:pPr>
      <w:r>
        <w:rPr>
          <w:lang w:val="es-PE"/>
        </w:rPr>
        <w:t>Fecha</w:t>
      </w:r>
    </w:p>
    <w:p w14:paraId="59A59FC4" w14:textId="77777777" w:rsidR="004412F1" w:rsidRDefault="004412F1">
      <w:pPr>
        <w:rPr>
          <w:lang w:val="es-PE"/>
        </w:rPr>
      </w:pPr>
    </w:p>
    <w:p w14:paraId="41EF081B" w14:textId="77777777" w:rsidR="004412F1" w:rsidRDefault="005A12A3">
      <w:pPr>
        <w:rPr>
          <w:lang w:val="es-PE"/>
        </w:rPr>
      </w:pPr>
      <w:r>
        <w:rPr>
          <w:lang w:val="es-PE"/>
        </w:rPr>
        <w:t>Detección INS Nº:</w:t>
      </w:r>
    </w:p>
    <w:p w14:paraId="0A16CEDA" w14:textId="77777777" w:rsidR="004412F1" w:rsidRDefault="004412F1">
      <w:pPr>
        <w:rPr>
          <w:lang w:val="es-PE"/>
        </w:rPr>
      </w:pPr>
    </w:p>
    <w:p w14:paraId="280A28E9" w14:textId="77777777" w:rsidR="004412F1" w:rsidRDefault="005A12A3">
      <w:pPr>
        <w:rPr>
          <w:b/>
          <w:lang w:val="es-PE"/>
        </w:rPr>
      </w:pPr>
      <w:r>
        <w:rPr>
          <w:b/>
          <w:lang w:val="es-PE"/>
        </w:rPr>
        <w:t>Sr. Coordinador:</w:t>
      </w:r>
    </w:p>
    <w:p w14:paraId="28D03076" w14:textId="77777777" w:rsidR="004412F1" w:rsidRDefault="004412F1">
      <w:pPr>
        <w:rPr>
          <w:lang w:val="es-PE"/>
        </w:rPr>
      </w:pPr>
    </w:p>
    <w:p w14:paraId="55DFF316" w14:textId="77777777" w:rsidR="004412F1" w:rsidRDefault="005A12A3">
      <w:pPr>
        <w:jc w:val="both"/>
        <w:rPr>
          <w:lang w:val="es-PE"/>
        </w:rPr>
      </w:pPr>
      <w:r>
        <w:rPr>
          <w:lang w:val="es-PE"/>
        </w:rPr>
        <w:t>De acuerdo a lo establecido en el ANEXO I del Contrato de Concesión, se comunica que no se han cumplido con los plazos de ejecución de corrección de defectos establecidos en la Notificación de parámetro de condición insuficiente Nº ___________</w:t>
      </w:r>
      <w:proofErr w:type="gramStart"/>
      <w:r>
        <w:rPr>
          <w:lang w:val="es-PE"/>
        </w:rPr>
        <w:t>_  correspondiendo</w:t>
      </w:r>
      <w:proofErr w:type="gramEnd"/>
      <w:r>
        <w:rPr>
          <w:lang w:val="es-PE"/>
        </w:rPr>
        <w:t xml:space="preserve"> la penalidad por incumplimiento a partir de la fecha y hasta que se subsanen los defectos para los siguientes casos.</w:t>
      </w:r>
    </w:p>
    <w:p w14:paraId="0B7D7321" w14:textId="77777777" w:rsidR="004412F1" w:rsidRDefault="004412F1">
      <w:pPr>
        <w:jc w:val="both"/>
        <w:rPr>
          <w:lang w:val="es-PE"/>
        </w:rPr>
      </w:pPr>
    </w:p>
    <w:p w14:paraId="66B66E2F" w14:textId="77777777" w:rsidR="004412F1" w:rsidRDefault="005A12A3">
      <w:pPr>
        <w:jc w:val="both"/>
      </w:pPr>
      <w:r>
        <w:t>Ruta:</w:t>
      </w:r>
    </w:p>
    <w:p w14:paraId="7FADFFED" w14:textId="77777777" w:rsidR="004412F1" w:rsidRDefault="005A12A3">
      <w:pPr>
        <w:jc w:val="both"/>
      </w:pPr>
      <w:r>
        <w:t>Sub Tramo:</w:t>
      </w:r>
    </w:p>
    <w:p w14:paraId="514014CB" w14:textId="77777777" w:rsidR="004412F1" w:rsidRDefault="004412F1">
      <w:pPr>
        <w:jc w:val="both"/>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322"/>
        <w:gridCol w:w="719"/>
        <w:gridCol w:w="722"/>
        <w:gridCol w:w="898"/>
        <w:gridCol w:w="1262"/>
      </w:tblGrid>
      <w:tr w:rsidR="004412F1" w14:paraId="6300A1EB"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26A8697" w14:textId="77777777" w:rsidR="004412F1" w:rsidRDefault="005A12A3">
            <w:pPr>
              <w:jc w:val="center"/>
              <w:rPr>
                <w:b/>
              </w:rPr>
            </w:pPr>
            <w:r>
              <w:rPr>
                <w:b/>
              </w:rPr>
              <w:t>Ítem</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BBA1656"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F7C605" w14:textId="77777777" w:rsidR="004412F1" w:rsidRDefault="005A12A3">
            <w:pPr>
              <w:jc w:val="center"/>
              <w:rPr>
                <w:b/>
              </w:rPr>
            </w:pPr>
            <w:r>
              <w:rPr>
                <w:b/>
              </w:rPr>
              <w:t>Desde Km</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874937F" w14:textId="77777777" w:rsidR="004412F1" w:rsidRDefault="005A12A3">
            <w:pPr>
              <w:jc w:val="center"/>
              <w:rPr>
                <w:b/>
              </w:rPr>
            </w:pPr>
            <w:r>
              <w:rPr>
                <w:b/>
              </w:rPr>
              <w:t>Hasta Km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4B3546" w14:textId="77777777" w:rsidR="004412F1" w:rsidRDefault="005A12A3">
            <w:pPr>
              <w:jc w:val="center"/>
              <w:rPr>
                <w:b/>
              </w:rPr>
            </w:pPr>
            <w:r>
              <w:rPr>
                <w:b/>
              </w:rPr>
              <w:t>Total de Km.</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F477282" w14:textId="77777777" w:rsidR="004412F1" w:rsidRDefault="005A12A3">
            <w:pPr>
              <w:jc w:val="center"/>
              <w:rPr>
                <w:b/>
              </w:rPr>
            </w:pPr>
            <w:r>
              <w:rPr>
                <w:b/>
              </w:rPr>
              <w:t>Nuevo plazo (días)</w:t>
            </w:r>
          </w:p>
        </w:tc>
      </w:tr>
      <w:tr w:rsidR="004412F1" w14:paraId="69F0A5EA"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A509328"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02A36C0"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3600F"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108E01D"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A8902"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9B6EEB7" w14:textId="77777777" w:rsidR="004412F1" w:rsidRDefault="005A12A3">
            <w:r>
              <w:t> </w:t>
            </w:r>
          </w:p>
        </w:tc>
      </w:tr>
      <w:tr w:rsidR="004412F1" w14:paraId="747DF645"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019EE21"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DD145F4"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54C93"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078051"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D25FE4"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AB59E13" w14:textId="77777777" w:rsidR="004412F1" w:rsidRDefault="005A12A3">
            <w:r>
              <w:t> </w:t>
            </w:r>
          </w:p>
        </w:tc>
      </w:tr>
      <w:tr w:rsidR="004412F1" w14:paraId="3DD30E11"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F5DBE30"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A55FA7F"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7C9C7"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184C9DC"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0CC6C"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6EF1A5C" w14:textId="77777777" w:rsidR="004412F1" w:rsidRDefault="005A12A3">
            <w:r>
              <w:t> </w:t>
            </w:r>
          </w:p>
        </w:tc>
      </w:tr>
    </w:tbl>
    <w:p w14:paraId="64CF896D" w14:textId="77777777" w:rsidR="004412F1" w:rsidRDefault="004412F1">
      <w:pPr>
        <w:jc w:val="both"/>
      </w:pPr>
    </w:p>
    <w:p w14:paraId="08D7FFFB" w14:textId="77777777" w:rsidR="004412F1" w:rsidRDefault="004412F1">
      <w:pPr>
        <w:jc w:val="both"/>
      </w:pPr>
    </w:p>
    <w:p w14:paraId="6183EA71" w14:textId="77777777" w:rsidR="004412F1" w:rsidRDefault="005A12A3">
      <w:pPr>
        <w:jc w:val="both"/>
        <w:rPr>
          <w:lang w:val="es-PE"/>
        </w:rPr>
      </w:pPr>
      <w:r>
        <w:rPr>
          <w:lang w:val="es-PE"/>
        </w:rPr>
        <w:t xml:space="preserve">Por otra parte de acuerdo a lo establecido en el ANEXO I del Contrato se comunica </w:t>
      </w:r>
      <w:proofErr w:type="gramStart"/>
      <w:r>
        <w:rPr>
          <w:lang w:val="es-PE"/>
        </w:rPr>
        <w:t>que  se</w:t>
      </w:r>
      <w:proofErr w:type="gramEnd"/>
      <w:r>
        <w:rPr>
          <w:lang w:val="es-PE"/>
        </w:rPr>
        <w:t xml:space="preserve"> han cumplido con los plazos de ejecución de corrección de defectos establecidos en la Notificación de parámetro de condición insuficiente Nº ____________  no correspondiendo la penalidad por incumplimiento para los siguientes casos:</w:t>
      </w:r>
    </w:p>
    <w:p w14:paraId="1CC5DBFA" w14:textId="77777777" w:rsidR="004412F1" w:rsidRDefault="005A12A3">
      <w:pPr>
        <w:jc w:val="both"/>
      </w:pPr>
      <w:r>
        <w:t>Ruta:</w:t>
      </w:r>
    </w:p>
    <w:p w14:paraId="6D94C103" w14:textId="77777777" w:rsidR="004412F1" w:rsidRDefault="005A12A3">
      <w:pPr>
        <w:jc w:val="both"/>
      </w:pPr>
      <w:r>
        <w:t>Sub Tramo:</w:t>
      </w:r>
    </w:p>
    <w:p w14:paraId="7EBD7CF5" w14:textId="77777777" w:rsidR="004412F1" w:rsidRDefault="004412F1">
      <w:pPr>
        <w:jc w:val="both"/>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322"/>
        <w:gridCol w:w="719"/>
        <w:gridCol w:w="722"/>
        <w:gridCol w:w="898"/>
        <w:gridCol w:w="1262"/>
      </w:tblGrid>
      <w:tr w:rsidR="004412F1" w14:paraId="73794F59"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66FC05C" w14:textId="77777777" w:rsidR="004412F1" w:rsidRDefault="005A12A3">
            <w:pPr>
              <w:jc w:val="center"/>
              <w:rPr>
                <w:b/>
              </w:rPr>
            </w:pPr>
            <w:r>
              <w:rPr>
                <w:b/>
              </w:rPr>
              <w:t>Ítem</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8335EEA"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D1A82" w14:textId="77777777" w:rsidR="004412F1" w:rsidRDefault="005A12A3">
            <w:pPr>
              <w:jc w:val="center"/>
              <w:rPr>
                <w:b/>
              </w:rPr>
            </w:pPr>
            <w:r>
              <w:rPr>
                <w:b/>
              </w:rPr>
              <w:t>Desde Km</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87EF5D2" w14:textId="77777777" w:rsidR="004412F1" w:rsidRDefault="005A12A3">
            <w:pPr>
              <w:jc w:val="center"/>
              <w:rPr>
                <w:b/>
              </w:rPr>
            </w:pPr>
            <w:r>
              <w:rPr>
                <w:b/>
              </w:rPr>
              <w:t>Hasta Km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9583A" w14:textId="77777777" w:rsidR="004412F1" w:rsidRDefault="005A12A3">
            <w:pPr>
              <w:jc w:val="center"/>
              <w:rPr>
                <w:b/>
              </w:rPr>
            </w:pPr>
            <w:r>
              <w:rPr>
                <w:b/>
              </w:rPr>
              <w:t>Total de Km.</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0AA61DF" w14:textId="77777777" w:rsidR="004412F1" w:rsidRDefault="005A12A3">
            <w:pPr>
              <w:jc w:val="center"/>
              <w:rPr>
                <w:b/>
              </w:rPr>
            </w:pPr>
            <w:r>
              <w:rPr>
                <w:b/>
              </w:rPr>
              <w:t>Nuevo plazo (días)</w:t>
            </w:r>
          </w:p>
        </w:tc>
      </w:tr>
      <w:tr w:rsidR="004412F1" w14:paraId="09B4D432"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FE5F109"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35CA8BC"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1EC32"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E8F00F8"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51CE1"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DD1EE6E" w14:textId="77777777" w:rsidR="004412F1" w:rsidRDefault="005A12A3">
            <w:r>
              <w:t> </w:t>
            </w:r>
          </w:p>
        </w:tc>
      </w:tr>
      <w:tr w:rsidR="004412F1" w14:paraId="09A5A6FC"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93D3AA8"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D003D96"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77563"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96F4542"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0DD34"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F2E0C5" w14:textId="77777777" w:rsidR="004412F1" w:rsidRDefault="005A12A3">
            <w:r>
              <w:t> </w:t>
            </w:r>
          </w:p>
        </w:tc>
      </w:tr>
      <w:tr w:rsidR="004412F1" w14:paraId="7EEA2DE4"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303B49D"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034C52D"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7D1687"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0D62850"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D554DC"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D2566EB" w14:textId="77777777" w:rsidR="004412F1" w:rsidRDefault="005A12A3">
            <w:r>
              <w:t> </w:t>
            </w:r>
          </w:p>
        </w:tc>
      </w:tr>
    </w:tbl>
    <w:p w14:paraId="78EF92F0" w14:textId="77777777" w:rsidR="004412F1" w:rsidRDefault="004412F1"/>
    <w:p w14:paraId="19E4FEFF" w14:textId="77777777" w:rsidR="004412F1" w:rsidRDefault="005A12A3">
      <w:pPr>
        <w:rPr>
          <w:lang w:val="es-PE"/>
        </w:rPr>
      </w:pPr>
      <w:r>
        <w:rPr>
          <w:lang w:val="es-PE"/>
        </w:rPr>
        <w:t>Los motivos por los cuales no corresponde la penalidad en cada uno de estos casos son los siguientes:(especificar)</w:t>
      </w:r>
    </w:p>
    <w:p w14:paraId="01172F38" w14:textId="77777777" w:rsidR="004412F1" w:rsidRDefault="005A12A3">
      <w:pPr>
        <w:jc w:val="center"/>
        <w:rPr>
          <w:lang w:val="es-PE"/>
        </w:rPr>
      </w:pPr>
      <w:r>
        <w:rPr>
          <w:lang w:val="es-PE"/>
        </w:rPr>
        <w:t>FIRMA</w:t>
      </w:r>
    </w:p>
    <w:p w14:paraId="717B1BC2" w14:textId="77777777" w:rsidR="004412F1" w:rsidRDefault="005A12A3">
      <w:pPr>
        <w:jc w:val="center"/>
        <w:rPr>
          <w:lang w:val="es-PE"/>
        </w:rPr>
      </w:pPr>
      <w:r>
        <w:rPr>
          <w:lang w:val="es-PE"/>
        </w:rPr>
        <w:t>Ingeniero Supervisor</w:t>
      </w:r>
    </w:p>
    <w:p w14:paraId="1AE4C5F6" w14:textId="77777777" w:rsidR="004412F1" w:rsidRDefault="005A12A3">
      <w:pPr>
        <w:jc w:val="both"/>
        <w:rPr>
          <w:lang w:val="es-PE"/>
        </w:rPr>
      </w:pPr>
      <w:r>
        <w:rPr>
          <w:lang w:val="es-PE"/>
        </w:rPr>
        <w:br w:type="page"/>
      </w:r>
    </w:p>
    <w:p w14:paraId="558B1D59" w14:textId="77777777" w:rsidR="004412F1" w:rsidRDefault="005A12A3">
      <w:pPr>
        <w:jc w:val="center"/>
        <w:rPr>
          <w:b/>
          <w:lang w:val="es-PE"/>
        </w:rPr>
      </w:pPr>
      <w:r>
        <w:rPr>
          <w:b/>
          <w:lang w:val="es-PE"/>
        </w:rPr>
        <w:t>Notificación de incumplimiento</w:t>
      </w:r>
    </w:p>
    <w:p w14:paraId="54F1B4E6" w14:textId="77777777" w:rsidR="004412F1" w:rsidRDefault="005A12A3">
      <w:pPr>
        <w:jc w:val="center"/>
        <w:rPr>
          <w:lang w:val="es-PE"/>
        </w:rPr>
      </w:pPr>
      <w:r>
        <w:rPr>
          <w:lang w:val="es-PE"/>
        </w:rPr>
        <w:t>(Nota de OSITRAN al CONCESIONARIO)</w:t>
      </w:r>
    </w:p>
    <w:p w14:paraId="57B5C607" w14:textId="77777777" w:rsidR="004412F1" w:rsidRDefault="004412F1">
      <w:pPr>
        <w:rPr>
          <w:lang w:val="es-PE"/>
        </w:rPr>
      </w:pPr>
    </w:p>
    <w:p w14:paraId="737AD8A6" w14:textId="77777777" w:rsidR="004412F1" w:rsidRDefault="005A12A3">
      <w:pPr>
        <w:rPr>
          <w:lang w:val="es-PE"/>
        </w:rPr>
      </w:pPr>
      <w:r>
        <w:rPr>
          <w:lang w:val="es-PE"/>
        </w:rPr>
        <w:t>Lugar</w:t>
      </w:r>
    </w:p>
    <w:p w14:paraId="4AD65DE7" w14:textId="77777777" w:rsidR="004412F1" w:rsidRDefault="005A12A3">
      <w:pPr>
        <w:rPr>
          <w:lang w:val="es-PE"/>
        </w:rPr>
      </w:pPr>
      <w:r>
        <w:rPr>
          <w:lang w:val="es-PE"/>
        </w:rPr>
        <w:t>Fecha</w:t>
      </w:r>
    </w:p>
    <w:p w14:paraId="1CDD3BAA" w14:textId="77777777" w:rsidR="004412F1" w:rsidRDefault="005A12A3">
      <w:pPr>
        <w:rPr>
          <w:lang w:val="es-PE"/>
        </w:rPr>
      </w:pPr>
      <w:r>
        <w:rPr>
          <w:lang w:val="es-PE"/>
        </w:rPr>
        <w:t>Notificación de Incumplimiento Nº:</w:t>
      </w:r>
    </w:p>
    <w:p w14:paraId="6E46ACF1" w14:textId="77777777" w:rsidR="004412F1" w:rsidRDefault="004412F1">
      <w:pPr>
        <w:rPr>
          <w:lang w:val="es-PE"/>
        </w:rPr>
      </w:pPr>
    </w:p>
    <w:p w14:paraId="28657EA1" w14:textId="77777777" w:rsidR="004412F1" w:rsidRDefault="005A12A3">
      <w:pPr>
        <w:rPr>
          <w:b/>
          <w:lang w:val="es-PE"/>
        </w:rPr>
      </w:pPr>
      <w:r>
        <w:rPr>
          <w:b/>
          <w:lang w:val="es-PE"/>
        </w:rPr>
        <w:t>Sres. de (nombre del CONCESIONARIO):</w:t>
      </w:r>
    </w:p>
    <w:p w14:paraId="58B7C1AD" w14:textId="77777777" w:rsidR="004412F1" w:rsidRDefault="004412F1">
      <w:pPr>
        <w:rPr>
          <w:lang w:val="es-PE"/>
        </w:rPr>
      </w:pPr>
    </w:p>
    <w:p w14:paraId="1C8DE5DD" w14:textId="77777777" w:rsidR="004412F1" w:rsidRDefault="005A12A3">
      <w:pPr>
        <w:jc w:val="both"/>
        <w:rPr>
          <w:lang w:val="es-PE"/>
        </w:rPr>
      </w:pPr>
      <w:r>
        <w:rPr>
          <w:lang w:val="es-PE"/>
        </w:rPr>
        <w:t>De acuerdo a lo establecido en el ANEXO I del Contrato de Concesión, se comunica que no se han cumplido con los plazos de ejecución de corrección de defectos establecidos en la Notificación de parámetro de condición insuficiente Nº ___________</w:t>
      </w:r>
      <w:proofErr w:type="gramStart"/>
      <w:r>
        <w:rPr>
          <w:lang w:val="es-PE"/>
        </w:rPr>
        <w:t>_  correspondiendo</w:t>
      </w:r>
      <w:proofErr w:type="gramEnd"/>
      <w:r>
        <w:rPr>
          <w:lang w:val="es-PE"/>
        </w:rPr>
        <w:t xml:space="preserve"> la penalidad por incumplimiento a partir de la fecha y hasta que se subsanen los defectos para los siguientes casos.</w:t>
      </w:r>
    </w:p>
    <w:p w14:paraId="0AB804DD" w14:textId="77777777" w:rsidR="004412F1" w:rsidRDefault="004412F1">
      <w:pPr>
        <w:jc w:val="both"/>
        <w:rPr>
          <w:lang w:val="es-PE"/>
        </w:rPr>
      </w:pPr>
    </w:p>
    <w:p w14:paraId="509F40E4" w14:textId="77777777" w:rsidR="004412F1" w:rsidRDefault="005A12A3">
      <w:pPr>
        <w:jc w:val="both"/>
      </w:pPr>
      <w:r>
        <w:t>Ruta:</w:t>
      </w:r>
    </w:p>
    <w:p w14:paraId="088943EC" w14:textId="77777777" w:rsidR="004412F1" w:rsidRDefault="005A12A3">
      <w:pPr>
        <w:jc w:val="both"/>
      </w:pPr>
      <w:r>
        <w:t>Sub Tramo:</w:t>
      </w:r>
    </w:p>
    <w:p w14:paraId="14FF6717" w14:textId="77777777" w:rsidR="004412F1" w:rsidRDefault="004412F1">
      <w:pPr>
        <w:jc w:val="both"/>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322"/>
        <w:gridCol w:w="719"/>
        <w:gridCol w:w="722"/>
        <w:gridCol w:w="898"/>
        <w:gridCol w:w="1262"/>
      </w:tblGrid>
      <w:tr w:rsidR="004412F1" w14:paraId="3F2141FD"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522933B" w14:textId="77777777" w:rsidR="004412F1" w:rsidRDefault="005A12A3">
            <w:pPr>
              <w:jc w:val="center"/>
              <w:rPr>
                <w:b/>
              </w:rPr>
            </w:pPr>
            <w:r>
              <w:rPr>
                <w:b/>
              </w:rPr>
              <w:t>Ítem</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A7708EA"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9DC19E" w14:textId="77777777" w:rsidR="004412F1" w:rsidRDefault="005A12A3">
            <w:pPr>
              <w:jc w:val="center"/>
              <w:rPr>
                <w:b/>
              </w:rPr>
            </w:pPr>
            <w:r>
              <w:rPr>
                <w:b/>
              </w:rPr>
              <w:t>Desde Km</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6197E3F" w14:textId="77777777" w:rsidR="004412F1" w:rsidRDefault="005A12A3">
            <w:pPr>
              <w:jc w:val="center"/>
              <w:rPr>
                <w:b/>
              </w:rPr>
            </w:pPr>
            <w:r>
              <w:rPr>
                <w:b/>
              </w:rPr>
              <w:t>Hasta Km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D2B67" w14:textId="77777777" w:rsidR="004412F1" w:rsidRDefault="005A12A3">
            <w:pPr>
              <w:jc w:val="center"/>
              <w:rPr>
                <w:b/>
              </w:rPr>
            </w:pPr>
            <w:r>
              <w:rPr>
                <w:b/>
              </w:rPr>
              <w:t>Total de Km.</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346D334" w14:textId="77777777" w:rsidR="004412F1" w:rsidRDefault="005A12A3">
            <w:pPr>
              <w:jc w:val="center"/>
              <w:rPr>
                <w:b/>
              </w:rPr>
            </w:pPr>
            <w:r>
              <w:rPr>
                <w:b/>
              </w:rPr>
              <w:t>Nuevo plazo (días)</w:t>
            </w:r>
          </w:p>
        </w:tc>
      </w:tr>
      <w:tr w:rsidR="004412F1" w14:paraId="0735201D"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9ED676A"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3A54BEA"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E13F8"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F30E145"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ED52D"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28519A1" w14:textId="77777777" w:rsidR="004412F1" w:rsidRDefault="005A12A3">
            <w:r>
              <w:t> </w:t>
            </w:r>
          </w:p>
        </w:tc>
      </w:tr>
      <w:tr w:rsidR="004412F1" w14:paraId="1CBCAA13"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C1DBE39"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C174156"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3255A9"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D0D10EF"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4F60D1"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541EA0D" w14:textId="77777777" w:rsidR="004412F1" w:rsidRDefault="005A12A3">
            <w:r>
              <w:t> </w:t>
            </w:r>
          </w:p>
        </w:tc>
      </w:tr>
      <w:tr w:rsidR="004412F1" w14:paraId="09A5E9E0"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CD55AF8"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00F9B2E"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131AB"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B9B2DA3"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288C0"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CB512FB" w14:textId="77777777" w:rsidR="004412F1" w:rsidRDefault="005A12A3">
            <w:r>
              <w:t> </w:t>
            </w:r>
          </w:p>
        </w:tc>
      </w:tr>
      <w:tr w:rsidR="004412F1" w14:paraId="3DF64388"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D09DCD0"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E68F85F"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D2210"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EE09993"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708D79"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DF0122E" w14:textId="77777777" w:rsidR="004412F1" w:rsidRDefault="005A12A3">
            <w:r>
              <w:t> </w:t>
            </w:r>
          </w:p>
        </w:tc>
      </w:tr>
      <w:tr w:rsidR="004412F1" w14:paraId="25ED6220"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B898390"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588E5E8"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E8D0C4"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19DE717"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728CF"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AA563AB" w14:textId="77777777" w:rsidR="004412F1" w:rsidRDefault="005A12A3">
            <w:r>
              <w:t> </w:t>
            </w:r>
          </w:p>
        </w:tc>
      </w:tr>
    </w:tbl>
    <w:p w14:paraId="1EDA38A6" w14:textId="77777777" w:rsidR="004412F1" w:rsidRDefault="004412F1">
      <w:pPr>
        <w:jc w:val="both"/>
      </w:pPr>
    </w:p>
    <w:p w14:paraId="34BBF5AC" w14:textId="77777777" w:rsidR="004412F1" w:rsidRDefault="004412F1">
      <w:pPr>
        <w:jc w:val="both"/>
      </w:pPr>
    </w:p>
    <w:p w14:paraId="29CC9842" w14:textId="77777777" w:rsidR="004412F1" w:rsidRDefault="005A12A3">
      <w:pPr>
        <w:jc w:val="both"/>
        <w:rPr>
          <w:lang w:val="es-PE"/>
        </w:rPr>
      </w:pPr>
      <w:r>
        <w:rPr>
          <w:lang w:val="es-PE"/>
        </w:rPr>
        <w:t>Por otra parte de acuerdo a lo establecido en el ANEXO I del Contrato de Concesión, se comunica que se han cumplido con los plazos de ejecución de corrección de defectos establecidos en la Notificación de Incumplimiento Nº ___________</w:t>
      </w:r>
      <w:proofErr w:type="gramStart"/>
      <w:r>
        <w:rPr>
          <w:lang w:val="es-PE"/>
        </w:rPr>
        <w:t>_  no</w:t>
      </w:r>
      <w:proofErr w:type="gramEnd"/>
      <w:r>
        <w:rPr>
          <w:lang w:val="es-PE"/>
        </w:rPr>
        <w:t xml:space="preserve"> correspondiendo la penalidad por incumplimiento para los siguientes casos:</w:t>
      </w:r>
    </w:p>
    <w:p w14:paraId="28F9EE79" w14:textId="77777777" w:rsidR="004412F1" w:rsidRDefault="004412F1">
      <w:pPr>
        <w:jc w:val="both"/>
        <w:rPr>
          <w:lang w:val="es-PE"/>
        </w:rPr>
      </w:pPr>
    </w:p>
    <w:p w14:paraId="173E7146" w14:textId="77777777" w:rsidR="004412F1" w:rsidRDefault="005A12A3">
      <w:pPr>
        <w:jc w:val="both"/>
      </w:pPr>
      <w:r>
        <w:t>Ruta:</w:t>
      </w:r>
    </w:p>
    <w:p w14:paraId="518C51B0" w14:textId="77777777" w:rsidR="004412F1" w:rsidRDefault="005A12A3">
      <w:pPr>
        <w:jc w:val="both"/>
      </w:pPr>
      <w:r>
        <w:t>Sub Tramo:</w:t>
      </w:r>
    </w:p>
    <w:p w14:paraId="0F269CD0" w14:textId="77777777" w:rsidR="004412F1" w:rsidRDefault="004412F1">
      <w:pPr>
        <w:jc w:val="both"/>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3"/>
        <w:gridCol w:w="4322"/>
        <w:gridCol w:w="719"/>
        <w:gridCol w:w="722"/>
        <w:gridCol w:w="898"/>
        <w:gridCol w:w="1262"/>
      </w:tblGrid>
      <w:tr w:rsidR="004412F1" w14:paraId="48F14DD4"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75AA32A" w14:textId="77777777" w:rsidR="004412F1" w:rsidRDefault="005A12A3">
            <w:pPr>
              <w:jc w:val="center"/>
              <w:rPr>
                <w:b/>
              </w:rPr>
            </w:pPr>
            <w:r>
              <w:rPr>
                <w:b/>
              </w:rPr>
              <w:t>Ítem</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B3266A9" w14:textId="77777777" w:rsidR="004412F1" w:rsidRDefault="005A12A3">
            <w:pPr>
              <w:jc w:val="center"/>
              <w:rPr>
                <w:b/>
              </w:rPr>
            </w:pPr>
            <w:r>
              <w:rPr>
                <w:b/>
              </w:rPr>
              <w:t>Defecto no admitido</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994A84" w14:textId="77777777" w:rsidR="004412F1" w:rsidRDefault="005A12A3">
            <w:pPr>
              <w:jc w:val="center"/>
              <w:rPr>
                <w:b/>
              </w:rPr>
            </w:pPr>
            <w:r>
              <w:rPr>
                <w:b/>
              </w:rPr>
              <w:t>Desde Km</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ECCA415" w14:textId="77777777" w:rsidR="004412F1" w:rsidRDefault="005A12A3">
            <w:pPr>
              <w:jc w:val="center"/>
              <w:rPr>
                <w:b/>
              </w:rPr>
            </w:pPr>
            <w:r>
              <w:rPr>
                <w:b/>
              </w:rPr>
              <w:t>Hasta Km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FBCAF" w14:textId="77777777" w:rsidR="004412F1" w:rsidRDefault="005A12A3">
            <w:pPr>
              <w:jc w:val="center"/>
              <w:rPr>
                <w:b/>
              </w:rPr>
            </w:pPr>
            <w:r>
              <w:rPr>
                <w:b/>
              </w:rPr>
              <w:t>Total de Km.</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5B62D36" w14:textId="77777777" w:rsidR="004412F1" w:rsidRDefault="005A12A3">
            <w:pPr>
              <w:jc w:val="center"/>
              <w:rPr>
                <w:b/>
              </w:rPr>
            </w:pPr>
            <w:r>
              <w:rPr>
                <w:b/>
              </w:rPr>
              <w:t>Nuevo plazo (días)</w:t>
            </w:r>
          </w:p>
        </w:tc>
      </w:tr>
      <w:tr w:rsidR="004412F1" w14:paraId="058A884E"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C43965B"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77EC00D0"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E83129"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DB2C6A3"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B45C2"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A302F11" w14:textId="77777777" w:rsidR="004412F1" w:rsidRDefault="005A12A3">
            <w:r>
              <w:t> </w:t>
            </w:r>
          </w:p>
        </w:tc>
      </w:tr>
      <w:tr w:rsidR="004412F1" w14:paraId="0022230D"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E9BC5BE"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8FDE6B6"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88A20B"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7BD563E"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23EA0"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5C493925" w14:textId="77777777" w:rsidR="004412F1" w:rsidRDefault="005A12A3">
            <w:r>
              <w:t> </w:t>
            </w:r>
          </w:p>
        </w:tc>
      </w:tr>
      <w:tr w:rsidR="004412F1" w14:paraId="55A41C50"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8A75EB3"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7E8BC9E"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8B51F"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B6910D3"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728B8"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5A21248" w14:textId="77777777" w:rsidR="004412F1" w:rsidRDefault="005A12A3">
            <w:r>
              <w:t> </w:t>
            </w:r>
          </w:p>
        </w:tc>
      </w:tr>
      <w:tr w:rsidR="004412F1" w14:paraId="2EA63A8C"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3DEFFD5"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6D094EE4"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469BB"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24F8E9CD"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E2028"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09491B3" w14:textId="77777777" w:rsidR="004412F1" w:rsidRDefault="005A12A3">
            <w:r>
              <w:t> </w:t>
            </w:r>
          </w:p>
        </w:tc>
      </w:tr>
      <w:tr w:rsidR="004412F1" w14:paraId="70B8B4D5" w14:textId="77777777">
        <w:trPr>
          <w:trHeight w:val="255"/>
        </w:trPr>
        <w:tc>
          <w:tcPr>
            <w:tcW w:w="55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3A20E161" w14:textId="77777777" w:rsidR="004412F1" w:rsidRDefault="005A12A3">
            <w:r>
              <w:t> </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1A731BE2" w14:textId="77777777" w:rsidR="004412F1" w:rsidRDefault="005A12A3">
            <w:r>
              <w:t> </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1782E" w14:textId="77777777" w:rsidR="004412F1" w:rsidRDefault="004412F1"/>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4C6C56B3" w14:textId="77777777" w:rsidR="004412F1" w:rsidRDefault="005A12A3">
            <w:r>
              <w:t> </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6F0A2" w14:textId="77777777" w:rsidR="004412F1" w:rsidRDefault="004412F1"/>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bottom"/>
          </w:tcPr>
          <w:p w14:paraId="038A6E5E" w14:textId="77777777" w:rsidR="004412F1" w:rsidRDefault="005A12A3">
            <w:r>
              <w:t> </w:t>
            </w:r>
          </w:p>
        </w:tc>
      </w:tr>
    </w:tbl>
    <w:p w14:paraId="78FE416B" w14:textId="77777777" w:rsidR="004412F1" w:rsidRDefault="004412F1"/>
    <w:p w14:paraId="4D209165" w14:textId="77777777" w:rsidR="004412F1" w:rsidRDefault="005A12A3">
      <w:pPr>
        <w:rPr>
          <w:lang w:val="es-PE"/>
        </w:rPr>
      </w:pPr>
      <w:r>
        <w:rPr>
          <w:lang w:val="es-PE"/>
        </w:rPr>
        <w:t>Los motivos por los cuales no corresponde la penalidad en cada uno de estos casos son los siguientes:(especificar)</w:t>
      </w:r>
    </w:p>
    <w:p w14:paraId="75769C57" w14:textId="77777777" w:rsidR="004412F1" w:rsidRDefault="004412F1">
      <w:pPr>
        <w:rPr>
          <w:lang w:val="es-PE"/>
        </w:rPr>
      </w:pPr>
    </w:p>
    <w:p w14:paraId="6258AED6" w14:textId="77777777" w:rsidR="004412F1" w:rsidRDefault="005A12A3">
      <w:pPr>
        <w:jc w:val="center"/>
        <w:rPr>
          <w:lang w:val="es-PE"/>
        </w:rPr>
      </w:pPr>
      <w:r>
        <w:rPr>
          <w:lang w:val="es-PE"/>
        </w:rPr>
        <w:t>FIRMA</w:t>
      </w:r>
    </w:p>
    <w:p w14:paraId="7F38440B" w14:textId="77777777" w:rsidR="004412F1" w:rsidRDefault="005A12A3">
      <w:pPr>
        <w:jc w:val="center"/>
        <w:rPr>
          <w:lang w:val="es-PE"/>
        </w:rPr>
      </w:pPr>
      <w:r>
        <w:rPr>
          <w:lang w:val="es-PE"/>
        </w:rPr>
        <w:t>Ingeniero Supervisor</w:t>
      </w:r>
    </w:p>
    <w:p w14:paraId="2C976750" w14:textId="77777777" w:rsidR="004412F1" w:rsidRDefault="005A12A3">
      <w:pPr>
        <w:jc w:val="center"/>
        <w:rPr>
          <w:lang w:val="es-PE"/>
        </w:rPr>
      </w:pPr>
      <w:r>
        <w:rPr>
          <w:lang w:val="es-PE"/>
        </w:rPr>
        <w:t>Responsable por OSITRAN (nombre)</w:t>
      </w:r>
    </w:p>
    <w:p w14:paraId="476331B8" w14:textId="77777777" w:rsidR="004412F1" w:rsidRDefault="004412F1">
      <w:pPr>
        <w:jc w:val="both"/>
        <w:rPr>
          <w:lang w:val="es-PE"/>
        </w:rPr>
      </w:pPr>
    </w:p>
    <w:p w14:paraId="43772886" w14:textId="77777777" w:rsidR="004412F1" w:rsidRDefault="005A12A3">
      <w:pPr>
        <w:jc w:val="both"/>
        <w:rPr>
          <w:lang w:val="es-PE"/>
        </w:rPr>
      </w:pPr>
      <w:r>
        <w:rPr>
          <w:lang w:val="es-PE"/>
        </w:rPr>
        <w:br w:type="page"/>
      </w:r>
    </w:p>
    <w:p w14:paraId="4D5A7DDC" w14:textId="77777777" w:rsidR="004412F1" w:rsidRPr="00E03735" w:rsidRDefault="005A12A3">
      <w:pPr>
        <w:pStyle w:val="Ttulo2"/>
        <w:ind w:hanging="964"/>
        <w:jc w:val="center"/>
        <w:rPr>
          <w:rFonts w:ascii="Arial" w:hAnsi="Arial"/>
          <w:b/>
          <w:color w:val="000000"/>
          <w:sz w:val="24"/>
          <w:szCs w:val="24"/>
          <w:u w:val="none"/>
          <w:lang w:val="es-PE"/>
        </w:rPr>
      </w:pPr>
      <w:bookmarkStart w:id="2743" w:name="_Toc468837730"/>
      <w:bookmarkStart w:id="2744" w:name="_Toc139294836"/>
      <w:bookmarkStart w:id="2745" w:name="_Toc140089442"/>
      <w:r w:rsidRPr="00E03735">
        <w:rPr>
          <w:rFonts w:ascii="Arial" w:eastAsia="Arial" w:hAnsi="Arial"/>
          <w:b/>
          <w:color w:val="000000"/>
          <w:sz w:val="24"/>
          <w:szCs w:val="24"/>
          <w:u w:val="none"/>
          <w:lang w:val="es-PE"/>
        </w:rPr>
        <w:t>Apéndice 4</w:t>
      </w:r>
      <w:bookmarkEnd w:id="2743"/>
      <w:bookmarkEnd w:id="2744"/>
      <w:bookmarkEnd w:id="2745"/>
      <w:r w:rsidRPr="00E03735">
        <w:rPr>
          <w:rFonts w:ascii="Arial" w:eastAsia="Arial" w:hAnsi="Arial" w:cs="Arial"/>
          <w:b/>
          <w:color w:val="000000"/>
          <w:sz w:val="24"/>
          <w:szCs w:val="24"/>
          <w:u w:val="none"/>
          <w:lang w:val="es-PE"/>
        </w:rPr>
        <w:t xml:space="preserve"> </w:t>
      </w:r>
    </w:p>
    <w:p w14:paraId="239B5151" w14:textId="77777777" w:rsidR="004412F1" w:rsidRPr="00E03735" w:rsidRDefault="005A12A3" w:rsidP="0059350F">
      <w:pPr>
        <w:ind w:left="567"/>
        <w:jc w:val="center"/>
        <w:outlineLvl w:val="1"/>
        <w:rPr>
          <w:b/>
          <w:sz w:val="24"/>
          <w:szCs w:val="24"/>
          <w:lang w:val="es-PE"/>
        </w:rPr>
      </w:pPr>
      <w:bookmarkStart w:id="2746" w:name="_Toc468837731"/>
      <w:bookmarkStart w:id="2747" w:name="_Toc140089443"/>
      <w:r w:rsidRPr="00E03735">
        <w:rPr>
          <w:b/>
          <w:sz w:val="24"/>
          <w:szCs w:val="24"/>
          <w:lang w:val="es-PE"/>
        </w:rPr>
        <w:t>Planillas para el Cálculo del Nivel de Servicio</w:t>
      </w:r>
      <w:bookmarkEnd w:id="2746"/>
      <w:bookmarkEnd w:id="2747"/>
    </w:p>
    <w:p w14:paraId="188B5596" w14:textId="77777777" w:rsidR="004412F1" w:rsidRDefault="004412F1">
      <w:pPr>
        <w:jc w:val="both"/>
        <w:rPr>
          <w:lang w:val="es-PE"/>
        </w:rPr>
      </w:pPr>
    </w:p>
    <w:p w14:paraId="345F2812" w14:textId="77777777" w:rsidR="004412F1" w:rsidRDefault="004412F1">
      <w:pPr>
        <w:jc w:val="both"/>
        <w:rPr>
          <w:lang w:val="es-PE"/>
        </w:rPr>
      </w:pPr>
    </w:p>
    <w:p w14:paraId="41910671" w14:textId="77777777" w:rsidR="004412F1" w:rsidRDefault="004412F1">
      <w:pPr>
        <w:jc w:val="both"/>
        <w:rPr>
          <w:lang w:val="es-PE"/>
        </w:rPr>
      </w:pPr>
    </w:p>
    <w:p w14:paraId="73B0F6F6" w14:textId="77777777" w:rsidR="004412F1" w:rsidRDefault="004412F1">
      <w:pPr>
        <w:jc w:val="both"/>
        <w:rPr>
          <w:lang w:val="es-PE"/>
        </w:rPr>
      </w:pPr>
    </w:p>
    <w:p w14:paraId="66FF3A5E" w14:textId="77777777" w:rsidR="004412F1" w:rsidRDefault="004412F1">
      <w:pPr>
        <w:jc w:val="both"/>
        <w:rPr>
          <w:lang w:val="es-PE"/>
        </w:rPr>
      </w:pPr>
    </w:p>
    <w:p w14:paraId="686F23DA" w14:textId="77777777" w:rsidR="004412F1" w:rsidRDefault="004412F1">
      <w:pPr>
        <w:jc w:val="both"/>
        <w:rPr>
          <w:lang w:val="es-PE"/>
        </w:rPr>
      </w:pPr>
    </w:p>
    <w:p w14:paraId="0ABF5E21" w14:textId="77777777" w:rsidR="004412F1" w:rsidRDefault="004412F1">
      <w:pPr>
        <w:jc w:val="both"/>
        <w:rPr>
          <w:lang w:val="es-PE"/>
        </w:rPr>
      </w:pPr>
    </w:p>
    <w:p w14:paraId="6A8ADC19" w14:textId="77777777" w:rsidR="004412F1" w:rsidRDefault="004412F1">
      <w:pPr>
        <w:jc w:val="both"/>
        <w:rPr>
          <w:lang w:val="es-PE"/>
        </w:rPr>
      </w:pPr>
    </w:p>
    <w:p w14:paraId="6C2A8931" w14:textId="77777777" w:rsidR="004412F1" w:rsidRDefault="005A12A3">
      <w:pPr>
        <w:jc w:val="both"/>
        <w:rPr>
          <w:lang w:val="es-PE"/>
        </w:rPr>
      </w:pPr>
      <w:r>
        <w:rPr>
          <w:lang w:val="es-PE"/>
        </w:rPr>
        <w:br w:type="page"/>
      </w:r>
    </w:p>
    <w:p w14:paraId="36DDFC09" w14:textId="77777777" w:rsidR="004412F1" w:rsidRDefault="005A12A3">
      <w:pPr>
        <w:jc w:val="center"/>
      </w:pPr>
      <w:r>
        <w:rPr>
          <w:noProof/>
          <w:lang w:val="es-PE" w:eastAsia="es-PE"/>
        </w:rPr>
        <w:drawing>
          <wp:inline distT="0" distB="0" distL="0" distR="0" wp14:anchorId="7718D3C6" wp14:editId="0E813863">
            <wp:extent cx="3384550" cy="74041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referRelativeResize="0"/>
                  </pic:nvPicPr>
                  <pic:blipFill>
                    <a:blip r:embed="rId14"/>
                    <a:srcRect/>
                    <a:stretch>
                      <a:fillRect/>
                    </a:stretch>
                  </pic:blipFill>
                  <pic:spPr>
                    <a:xfrm>
                      <a:off x="0" y="0"/>
                      <a:ext cx="3384550" cy="7404100"/>
                    </a:xfrm>
                    <a:prstGeom prst="rect">
                      <a:avLst/>
                    </a:prstGeom>
                  </pic:spPr>
                </pic:pic>
              </a:graphicData>
            </a:graphic>
          </wp:inline>
        </w:drawing>
      </w:r>
    </w:p>
    <w:p w14:paraId="7D1ABA03" w14:textId="77777777" w:rsidR="004412F1" w:rsidRDefault="004412F1">
      <w:pPr>
        <w:jc w:val="both"/>
      </w:pPr>
    </w:p>
    <w:p w14:paraId="055EEFA4" w14:textId="77777777" w:rsidR="004412F1" w:rsidRDefault="005A12A3">
      <w:pPr>
        <w:jc w:val="both"/>
      </w:pPr>
      <w:r>
        <w:br w:type="page"/>
      </w:r>
    </w:p>
    <w:p w14:paraId="261C2572" w14:textId="77777777" w:rsidR="004412F1" w:rsidRDefault="005A12A3">
      <w:pPr>
        <w:jc w:val="center"/>
      </w:pPr>
      <w:r>
        <w:rPr>
          <w:noProof/>
          <w:lang w:val="es-PE" w:eastAsia="es-PE"/>
        </w:rPr>
        <w:drawing>
          <wp:inline distT="0" distB="0" distL="0" distR="0" wp14:anchorId="0E5CDF59" wp14:editId="1BF10159">
            <wp:extent cx="3684905" cy="72878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15"/>
                    <a:srcRect/>
                    <a:stretch>
                      <a:fillRect/>
                    </a:stretch>
                  </pic:blipFill>
                  <pic:spPr>
                    <a:xfrm>
                      <a:off x="0" y="0"/>
                      <a:ext cx="3684905" cy="7287895"/>
                    </a:xfrm>
                    <a:prstGeom prst="rect">
                      <a:avLst/>
                    </a:prstGeom>
                  </pic:spPr>
                </pic:pic>
              </a:graphicData>
            </a:graphic>
          </wp:inline>
        </w:drawing>
      </w:r>
    </w:p>
    <w:p w14:paraId="20D5491A" w14:textId="77777777" w:rsidR="004412F1" w:rsidRDefault="004412F1">
      <w:pPr>
        <w:jc w:val="both"/>
      </w:pPr>
    </w:p>
    <w:p w14:paraId="3162373F" w14:textId="77777777" w:rsidR="004412F1" w:rsidRDefault="005A12A3">
      <w:pPr>
        <w:jc w:val="both"/>
      </w:pPr>
      <w:r>
        <w:br w:type="page"/>
      </w:r>
    </w:p>
    <w:p w14:paraId="1FEE4CB2" w14:textId="77777777" w:rsidR="004412F1" w:rsidRDefault="005A12A3">
      <w:pPr>
        <w:jc w:val="center"/>
      </w:pPr>
      <w:r>
        <w:rPr>
          <w:noProof/>
          <w:lang w:val="es-PE" w:eastAsia="es-PE"/>
        </w:rPr>
        <w:drawing>
          <wp:inline distT="0" distB="0" distL="0" distR="0" wp14:anchorId="07CD66A9" wp14:editId="6DE82521">
            <wp:extent cx="3295650" cy="79705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16"/>
                    <a:srcRect/>
                    <a:stretch>
                      <a:fillRect/>
                    </a:stretch>
                  </pic:blipFill>
                  <pic:spPr>
                    <a:xfrm>
                      <a:off x="0" y="0"/>
                      <a:ext cx="3295650" cy="7970520"/>
                    </a:xfrm>
                    <a:prstGeom prst="rect">
                      <a:avLst/>
                    </a:prstGeom>
                  </pic:spPr>
                </pic:pic>
              </a:graphicData>
            </a:graphic>
          </wp:inline>
        </w:drawing>
      </w:r>
    </w:p>
    <w:p w14:paraId="14011638" w14:textId="77777777" w:rsidR="004412F1" w:rsidRDefault="004412F1">
      <w:pPr>
        <w:jc w:val="both"/>
      </w:pPr>
    </w:p>
    <w:p w14:paraId="08BE15C0" w14:textId="77777777" w:rsidR="004412F1" w:rsidRDefault="005A12A3">
      <w:pPr>
        <w:jc w:val="center"/>
      </w:pPr>
      <w:r>
        <w:br w:type="page"/>
      </w:r>
    </w:p>
    <w:p w14:paraId="7F550B16" w14:textId="77777777" w:rsidR="004412F1" w:rsidRDefault="005A12A3">
      <w:pPr>
        <w:jc w:val="center"/>
      </w:pPr>
      <w:r>
        <w:rPr>
          <w:noProof/>
          <w:lang w:val="es-PE" w:eastAsia="es-PE"/>
        </w:rPr>
        <w:drawing>
          <wp:inline distT="0" distB="0" distL="0" distR="0" wp14:anchorId="7DE5449E" wp14:editId="5F865550">
            <wp:extent cx="3541395" cy="77381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17"/>
                    <a:srcRect/>
                    <a:stretch>
                      <a:fillRect/>
                    </a:stretch>
                  </pic:blipFill>
                  <pic:spPr>
                    <a:xfrm>
                      <a:off x="0" y="0"/>
                      <a:ext cx="3541395" cy="7738110"/>
                    </a:xfrm>
                    <a:prstGeom prst="rect">
                      <a:avLst/>
                    </a:prstGeom>
                  </pic:spPr>
                </pic:pic>
              </a:graphicData>
            </a:graphic>
          </wp:inline>
        </w:drawing>
      </w:r>
    </w:p>
    <w:p w14:paraId="7C974EDD" w14:textId="77777777" w:rsidR="004412F1" w:rsidRDefault="004412F1">
      <w:pPr>
        <w:jc w:val="both"/>
      </w:pPr>
    </w:p>
    <w:p w14:paraId="53B96880" w14:textId="77777777" w:rsidR="004412F1" w:rsidRDefault="004412F1">
      <w:pPr>
        <w:jc w:val="both"/>
      </w:pPr>
    </w:p>
    <w:p w14:paraId="0AEAC5DA" w14:textId="77777777" w:rsidR="004412F1" w:rsidRDefault="005A12A3">
      <w:pPr>
        <w:jc w:val="both"/>
      </w:pPr>
      <w:r>
        <w:br w:type="page"/>
      </w:r>
    </w:p>
    <w:p w14:paraId="6BB4FD61" w14:textId="77777777" w:rsidR="004412F1" w:rsidRDefault="005A12A3">
      <w:pPr>
        <w:jc w:val="center"/>
      </w:pPr>
      <w:r>
        <w:rPr>
          <w:noProof/>
          <w:lang w:val="es-PE" w:eastAsia="es-PE"/>
        </w:rPr>
        <w:drawing>
          <wp:inline distT="0" distB="0" distL="0" distR="0" wp14:anchorId="3F83B7E7" wp14:editId="3B32EA97">
            <wp:extent cx="3555365" cy="75133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referRelativeResize="0"/>
                  </pic:nvPicPr>
                  <pic:blipFill>
                    <a:blip r:embed="rId18"/>
                    <a:srcRect/>
                    <a:stretch>
                      <a:fillRect/>
                    </a:stretch>
                  </pic:blipFill>
                  <pic:spPr>
                    <a:xfrm>
                      <a:off x="0" y="0"/>
                      <a:ext cx="3555365" cy="7513320"/>
                    </a:xfrm>
                    <a:prstGeom prst="rect">
                      <a:avLst/>
                    </a:prstGeom>
                  </pic:spPr>
                </pic:pic>
              </a:graphicData>
            </a:graphic>
          </wp:inline>
        </w:drawing>
      </w:r>
    </w:p>
    <w:p w14:paraId="1969737E" w14:textId="77777777" w:rsidR="004412F1" w:rsidRDefault="004412F1">
      <w:pPr>
        <w:jc w:val="both"/>
      </w:pPr>
    </w:p>
    <w:p w14:paraId="7D8068FC" w14:textId="77777777" w:rsidR="004412F1" w:rsidRDefault="004412F1">
      <w:pPr>
        <w:jc w:val="both"/>
      </w:pPr>
    </w:p>
    <w:p w14:paraId="42487EF0" w14:textId="77777777" w:rsidR="004412F1" w:rsidRDefault="005A12A3">
      <w:pPr>
        <w:jc w:val="both"/>
      </w:pPr>
      <w:r>
        <w:br w:type="page"/>
      </w:r>
    </w:p>
    <w:p w14:paraId="723A8C89" w14:textId="77777777" w:rsidR="004412F1" w:rsidRDefault="005A12A3">
      <w:pPr>
        <w:jc w:val="center"/>
      </w:pPr>
      <w:r>
        <w:rPr>
          <w:noProof/>
          <w:lang w:val="es-PE" w:eastAsia="es-PE"/>
        </w:rPr>
        <w:drawing>
          <wp:inline distT="0" distB="0" distL="0" distR="0" wp14:anchorId="2B5E7C3F" wp14:editId="62D14B1C">
            <wp:extent cx="3794125" cy="75133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9"/>
                    <a:srcRect/>
                    <a:stretch>
                      <a:fillRect/>
                    </a:stretch>
                  </pic:blipFill>
                  <pic:spPr>
                    <a:xfrm>
                      <a:off x="0" y="0"/>
                      <a:ext cx="3794125" cy="7513320"/>
                    </a:xfrm>
                    <a:prstGeom prst="rect">
                      <a:avLst/>
                    </a:prstGeom>
                  </pic:spPr>
                </pic:pic>
              </a:graphicData>
            </a:graphic>
          </wp:inline>
        </w:drawing>
      </w:r>
    </w:p>
    <w:p w14:paraId="4B2E4B52" w14:textId="77777777" w:rsidR="004412F1" w:rsidRDefault="004412F1">
      <w:pPr>
        <w:jc w:val="both"/>
      </w:pPr>
    </w:p>
    <w:p w14:paraId="4A0C63D4" w14:textId="77777777" w:rsidR="004412F1" w:rsidRDefault="004412F1">
      <w:pPr>
        <w:jc w:val="both"/>
        <w:rPr>
          <w:color w:val="000000"/>
        </w:rPr>
      </w:pPr>
    </w:p>
    <w:p w14:paraId="585E8A17" w14:textId="77777777" w:rsidR="004412F1" w:rsidRDefault="005A12A3">
      <w:pPr>
        <w:rPr>
          <w:rFonts w:ascii="CG Omega" w:eastAsia="CG Omega" w:hAnsi="CG Omega" w:cs="CG Omega"/>
          <w:u w:val="single"/>
        </w:rPr>
      </w:pPr>
      <w:r>
        <w:br w:type="page"/>
      </w:r>
    </w:p>
    <w:p w14:paraId="3DE47889" w14:textId="77777777" w:rsidR="004412F1" w:rsidRPr="00E03735" w:rsidRDefault="005A12A3">
      <w:pPr>
        <w:pStyle w:val="Ttulo2"/>
        <w:ind w:hanging="964"/>
        <w:jc w:val="center"/>
        <w:rPr>
          <w:rFonts w:ascii="Arial" w:eastAsia="Arial" w:hAnsi="Arial"/>
          <w:b/>
          <w:color w:val="000000"/>
          <w:sz w:val="24"/>
          <w:szCs w:val="24"/>
          <w:u w:val="none"/>
          <w:lang w:val="es-PE"/>
        </w:rPr>
      </w:pPr>
      <w:bookmarkStart w:id="2748" w:name="_Toc468837732"/>
      <w:bookmarkStart w:id="2749" w:name="_Toc139294837"/>
      <w:bookmarkStart w:id="2750" w:name="_Toc140089444"/>
      <w:r w:rsidRPr="00E03735">
        <w:rPr>
          <w:rFonts w:ascii="Arial" w:eastAsia="Arial" w:hAnsi="Arial"/>
          <w:b/>
          <w:color w:val="000000"/>
          <w:sz w:val="24"/>
          <w:szCs w:val="24"/>
          <w:u w:val="none"/>
          <w:lang w:val="es-PE"/>
        </w:rPr>
        <w:t>Apéndice 5</w:t>
      </w:r>
      <w:bookmarkEnd w:id="2748"/>
      <w:bookmarkEnd w:id="2749"/>
      <w:bookmarkEnd w:id="2750"/>
      <w:r w:rsidRPr="00E03735">
        <w:rPr>
          <w:rFonts w:ascii="Arial" w:eastAsia="Arial" w:hAnsi="Arial" w:cs="Arial"/>
          <w:b/>
          <w:color w:val="000000"/>
          <w:sz w:val="24"/>
          <w:szCs w:val="24"/>
          <w:u w:val="none"/>
          <w:lang w:val="es-PE"/>
        </w:rPr>
        <w:t xml:space="preserve"> </w:t>
      </w:r>
    </w:p>
    <w:p w14:paraId="00F0F3FE" w14:textId="77777777" w:rsidR="004412F1" w:rsidRPr="00E03735" w:rsidRDefault="005A12A3" w:rsidP="0059350F">
      <w:pPr>
        <w:ind w:left="567"/>
        <w:jc w:val="center"/>
        <w:outlineLvl w:val="1"/>
        <w:rPr>
          <w:b/>
          <w:sz w:val="24"/>
          <w:szCs w:val="24"/>
          <w:lang w:val="es-PE"/>
        </w:rPr>
      </w:pPr>
      <w:bookmarkStart w:id="2751" w:name="_Toc468837733"/>
      <w:bookmarkStart w:id="2752" w:name="_Toc140089445"/>
      <w:r w:rsidRPr="00E03735">
        <w:rPr>
          <w:b/>
          <w:sz w:val="24"/>
          <w:szCs w:val="24"/>
          <w:lang w:val="es-PE"/>
        </w:rPr>
        <w:t>Planilla de Cálculo de Nivel de Servicio Global (</w:t>
      </w:r>
      <w:proofErr w:type="gramStart"/>
      <w:r w:rsidRPr="00E03735">
        <w:rPr>
          <w:b/>
          <w:sz w:val="24"/>
          <w:szCs w:val="24"/>
          <w:lang w:val="es-PE"/>
        </w:rPr>
        <w:t>Sub Tramos</w:t>
      </w:r>
      <w:proofErr w:type="gramEnd"/>
      <w:r w:rsidRPr="00E03735">
        <w:rPr>
          <w:b/>
          <w:sz w:val="24"/>
          <w:szCs w:val="24"/>
          <w:lang w:val="es-PE"/>
        </w:rPr>
        <w:t xml:space="preserve"> Individuales y toda la Concesión)</w:t>
      </w:r>
      <w:bookmarkEnd w:id="2751"/>
      <w:bookmarkEnd w:id="2752"/>
    </w:p>
    <w:p w14:paraId="36CD110B" w14:textId="77777777" w:rsidR="004412F1" w:rsidRPr="00E03735" w:rsidRDefault="004412F1">
      <w:pPr>
        <w:rPr>
          <w:sz w:val="24"/>
          <w:szCs w:val="24"/>
          <w:lang w:val="es-PE"/>
        </w:rPr>
      </w:pPr>
    </w:p>
    <w:p w14:paraId="7413AE8F" w14:textId="77777777" w:rsidR="004412F1" w:rsidRDefault="004412F1">
      <w:pPr>
        <w:rPr>
          <w:lang w:val="es-PE"/>
        </w:rPr>
      </w:pPr>
    </w:p>
    <w:p w14:paraId="321C87E8" w14:textId="77777777" w:rsidR="004412F1" w:rsidRDefault="004412F1">
      <w:pPr>
        <w:rPr>
          <w:lang w:val="es-PE"/>
        </w:rPr>
      </w:pPr>
    </w:p>
    <w:p w14:paraId="0B968EC0" w14:textId="77777777" w:rsidR="004412F1" w:rsidRDefault="004412F1">
      <w:pPr>
        <w:rPr>
          <w:lang w:val="es-PE"/>
        </w:rPr>
      </w:pPr>
    </w:p>
    <w:p w14:paraId="29EF0975" w14:textId="77777777" w:rsidR="004412F1" w:rsidRDefault="004412F1">
      <w:pPr>
        <w:rPr>
          <w:lang w:val="es-PE"/>
        </w:rPr>
      </w:pPr>
    </w:p>
    <w:p w14:paraId="524A9FB3" w14:textId="77777777" w:rsidR="004412F1" w:rsidRDefault="004412F1">
      <w:pPr>
        <w:rPr>
          <w:lang w:val="es-PE"/>
        </w:rPr>
      </w:pPr>
    </w:p>
    <w:p w14:paraId="13DD79D6" w14:textId="77777777" w:rsidR="004412F1" w:rsidRDefault="004412F1">
      <w:pPr>
        <w:rPr>
          <w:lang w:val="es-PE"/>
        </w:rPr>
      </w:pPr>
    </w:p>
    <w:p w14:paraId="3297B81F" w14:textId="77777777" w:rsidR="004412F1" w:rsidRDefault="004412F1">
      <w:pPr>
        <w:rPr>
          <w:lang w:val="es-PE"/>
        </w:rPr>
      </w:pPr>
    </w:p>
    <w:p w14:paraId="017F4BA4" w14:textId="77777777" w:rsidR="004412F1" w:rsidRDefault="004412F1">
      <w:pPr>
        <w:rPr>
          <w:lang w:val="es-PE"/>
        </w:rPr>
      </w:pPr>
    </w:p>
    <w:p w14:paraId="0B8585E8" w14:textId="77777777" w:rsidR="004412F1" w:rsidRDefault="004412F1">
      <w:pPr>
        <w:rPr>
          <w:lang w:val="es-PE"/>
        </w:rPr>
      </w:pPr>
    </w:p>
    <w:p w14:paraId="1C6ED905" w14:textId="77777777" w:rsidR="004412F1" w:rsidRDefault="004412F1">
      <w:pPr>
        <w:rPr>
          <w:lang w:val="es-PE"/>
        </w:rPr>
      </w:pPr>
    </w:p>
    <w:p w14:paraId="63885B96" w14:textId="77777777" w:rsidR="004412F1" w:rsidRDefault="004412F1">
      <w:pPr>
        <w:rPr>
          <w:lang w:val="es-PE"/>
        </w:rPr>
      </w:pPr>
    </w:p>
    <w:p w14:paraId="012E659F" w14:textId="77777777" w:rsidR="004412F1" w:rsidRDefault="004412F1">
      <w:pPr>
        <w:rPr>
          <w:lang w:val="es-PE"/>
        </w:rPr>
      </w:pPr>
    </w:p>
    <w:p w14:paraId="6BFD3191" w14:textId="77777777" w:rsidR="004412F1" w:rsidRDefault="004412F1">
      <w:pPr>
        <w:rPr>
          <w:lang w:val="es-PE"/>
        </w:rPr>
      </w:pPr>
    </w:p>
    <w:p w14:paraId="6B637957" w14:textId="77777777" w:rsidR="004412F1" w:rsidRDefault="004412F1">
      <w:pPr>
        <w:rPr>
          <w:lang w:val="es-PE"/>
        </w:rPr>
      </w:pPr>
    </w:p>
    <w:p w14:paraId="6232F91D" w14:textId="77777777" w:rsidR="004412F1" w:rsidRDefault="004412F1">
      <w:pPr>
        <w:rPr>
          <w:lang w:val="es-PE"/>
        </w:rPr>
      </w:pPr>
    </w:p>
    <w:p w14:paraId="588BA6C6" w14:textId="77777777" w:rsidR="004412F1" w:rsidRDefault="004412F1">
      <w:pPr>
        <w:rPr>
          <w:lang w:val="es-PE"/>
        </w:rPr>
      </w:pPr>
    </w:p>
    <w:p w14:paraId="0089E096" w14:textId="77777777" w:rsidR="004412F1" w:rsidRDefault="004412F1">
      <w:pPr>
        <w:rPr>
          <w:lang w:val="es-PE"/>
        </w:rPr>
      </w:pPr>
    </w:p>
    <w:p w14:paraId="44798820" w14:textId="77777777" w:rsidR="004412F1" w:rsidRDefault="004412F1">
      <w:pPr>
        <w:rPr>
          <w:lang w:val="es-PE"/>
        </w:rPr>
      </w:pPr>
    </w:p>
    <w:p w14:paraId="0567FEDC" w14:textId="77777777" w:rsidR="004412F1" w:rsidRDefault="004412F1">
      <w:pPr>
        <w:rPr>
          <w:lang w:val="es-PE"/>
        </w:rPr>
      </w:pPr>
    </w:p>
    <w:p w14:paraId="01A8E497" w14:textId="77777777" w:rsidR="004412F1" w:rsidRDefault="004412F1">
      <w:pPr>
        <w:rPr>
          <w:lang w:val="es-PE"/>
        </w:rPr>
      </w:pPr>
    </w:p>
    <w:p w14:paraId="47561DD7" w14:textId="77777777" w:rsidR="004412F1" w:rsidRDefault="004412F1">
      <w:pPr>
        <w:rPr>
          <w:lang w:val="es-PE"/>
        </w:rPr>
      </w:pPr>
    </w:p>
    <w:p w14:paraId="4DC3A8A8" w14:textId="77777777" w:rsidR="004412F1" w:rsidRDefault="004412F1">
      <w:pPr>
        <w:rPr>
          <w:lang w:val="es-PE"/>
        </w:rPr>
      </w:pPr>
    </w:p>
    <w:p w14:paraId="662A1B62" w14:textId="77777777" w:rsidR="004412F1" w:rsidRDefault="004412F1">
      <w:pPr>
        <w:rPr>
          <w:lang w:val="es-PE"/>
        </w:rPr>
      </w:pPr>
    </w:p>
    <w:p w14:paraId="78695D15" w14:textId="77777777" w:rsidR="004412F1" w:rsidRDefault="004412F1">
      <w:pPr>
        <w:rPr>
          <w:lang w:val="es-PE"/>
        </w:rPr>
      </w:pPr>
    </w:p>
    <w:p w14:paraId="7D24F0B3" w14:textId="77777777" w:rsidR="004412F1" w:rsidRDefault="004412F1">
      <w:pPr>
        <w:rPr>
          <w:lang w:val="es-PE"/>
        </w:rPr>
      </w:pPr>
    </w:p>
    <w:p w14:paraId="0D330FD2" w14:textId="77777777" w:rsidR="004412F1" w:rsidRDefault="004412F1">
      <w:pPr>
        <w:rPr>
          <w:lang w:val="es-PE"/>
        </w:rPr>
      </w:pPr>
    </w:p>
    <w:p w14:paraId="7AF2AA73" w14:textId="77777777" w:rsidR="004412F1" w:rsidRDefault="005A12A3">
      <w:pPr>
        <w:rPr>
          <w:b/>
          <w:u w:val="single"/>
          <w:lang w:val="es-PE"/>
        </w:rPr>
      </w:pPr>
      <w:r>
        <w:rPr>
          <w:lang w:val="es-PE"/>
        </w:rPr>
        <w:br w:type="page"/>
      </w:r>
    </w:p>
    <w:p w14:paraId="4A8202B3" w14:textId="77777777" w:rsidR="004412F1" w:rsidRPr="00E03735" w:rsidRDefault="005A12A3">
      <w:pPr>
        <w:suppressLineNumbers/>
        <w:tabs>
          <w:tab w:val="center" w:pos="4419"/>
          <w:tab w:val="right" w:pos="8838"/>
        </w:tabs>
        <w:suppressAutoHyphens/>
        <w:ind w:left="-540"/>
        <w:jc w:val="center"/>
        <w:rPr>
          <w:b/>
          <w:color w:val="000000"/>
          <w:sz w:val="24"/>
          <w:szCs w:val="24"/>
          <w:u w:val="single"/>
          <w:lang w:val="es-PE"/>
        </w:rPr>
      </w:pPr>
      <w:r w:rsidRPr="00E03735">
        <w:rPr>
          <w:b/>
          <w:color w:val="000000"/>
          <w:sz w:val="24"/>
          <w:szCs w:val="24"/>
          <w:u w:val="single"/>
          <w:lang w:val="es-PE"/>
        </w:rPr>
        <w:t xml:space="preserve">PLANILLA DE CÁLCULO DE NIVEL DE SERVICIO GLOBAL POR </w:t>
      </w:r>
      <w:proofErr w:type="gramStart"/>
      <w:r w:rsidRPr="00E03735">
        <w:rPr>
          <w:b/>
          <w:color w:val="000000"/>
          <w:sz w:val="24"/>
          <w:szCs w:val="24"/>
          <w:u w:val="single"/>
          <w:lang w:val="es-PE"/>
        </w:rPr>
        <w:t>SUB TRAMO</w:t>
      </w:r>
      <w:proofErr w:type="gramEnd"/>
      <w:r w:rsidRPr="00E03735">
        <w:rPr>
          <w:b/>
          <w:color w:val="000000"/>
          <w:sz w:val="24"/>
          <w:szCs w:val="24"/>
          <w:u w:val="single"/>
          <w:lang w:val="es-PE"/>
        </w:rPr>
        <w:t xml:space="preserve"> Y NIVEL DE SERVICIO GLOBAL DE LA CONCESIÓN</w:t>
      </w:r>
    </w:p>
    <w:p w14:paraId="78AE6FDB" w14:textId="77777777" w:rsidR="004412F1" w:rsidRDefault="004412F1">
      <w:pPr>
        <w:ind w:hanging="1620"/>
        <w:jc w:val="both"/>
        <w:rPr>
          <w:lang w:val="es-PE"/>
        </w:rPr>
      </w:pPr>
    </w:p>
    <w:p w14:paraId="570614CD" w14:textId="77777777" w:rsidR="004412F1" w:rsidRDefault="004412F1">
      <w:pPr>
        <w:ind w:hanging="1620"/>
        <w:jc w:val="both"/>
        <w:rPr>
          <w:lang w:val="es-PE"/>
        </w:rPr>
      </w:pPr>
    </w:p>
    <w:p w14:paraId="1F58DA36" w14:textId="77777777" w:rsidR="004412F1" w:rsidRDefault="004412F1">
      <w:pPr>
        <w:ind w:hanging="1620"/>
        <w:jc w:val="center"/>
        <w:rPr>
          <w:lang w:val="es-PE"/>
        </w:rPr>
      </w:pPr>
    </w:p>
    <w:tbl>
      <w:tblPr>
        <w:tblW w:w="9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39"/>
        <w:gridCol w:w="480"/>
        <w:gridCol w:w="961"/>
        <w:gridCol w:w="961"/>
        <w:gridCol w:w="782"/>
        <w:gridCol w:w="727"/>
        <w:gridCol w:w="610"/>
        <w:gridCol w:w="195"/>
        <w:gridCol w:w="217"/>
        <w:gridCol w:w="209"/>
        <w:gridCol w:w="217"/>
        <w:gridCol w:w="168"/>
        <w:gridCol w:w="335"/>
        <w:gridCol w:w="217"/>
        <w:gridCol w:w="209"/>
        <w:gridCol w:w="262"/>
        <w:gridCol w:w="240"/>
        <w:gridCol w:w="362"/>
        <w:gridCol w:w="360"/>
        <w:gridCol w:w="360"/>
        <w:gridCol w:w="361"/>
        <w:gridCol w:w="240"/>
        <w:gridCol w:w="383"/>
        <w:gridCol w:w="8"/>
      </w:tblGrid>
      <w:tr w:rsidR="004412F1" w14:paraId="40C13533" w14:textId="77777777">
        <w:trPr>
          <w:cantSplit/>
          <w:trHeight w:val="327"/>
        </w:trPr>
        <w:tc>
          <w:tcPr>
            <w:tcW w:w="526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B80603" w14:textId="77777777" w:rsidR="004412F1" w:rsidRDefault="005A12A3">
            <w:pPr>
              <w:framePr w:hSpace="141" w:wrap="around" w:vAnchor="text" w:hAnchor="margin" w:xAlign="center" w:y="96"/>
              <w:jc w:val="center"/>
              <w:rPr>
                <w:sz w:val="16"/>
              </w:rPr>
            </w:pPr>
            <w:r>
              <w:rPr>
                <w:sz w:val="16"/>
                <w:lang w:val="es-PE"/>
              </w:rPr>
              <w:t xml:space="preserve">Carretera Longitudinal de la Sierra Tramo 4:  Huancayo-Izcuchaca-Mayocc-Ayacucho/Ayacucho-Andahuaylas-Pte Sahuinto/Dv. </w:t>
            </w:r>
            <w:r>
              <w:rPr>
                <w:sz w:val="16"/>
              </w:rPr>
              <w:t>Pisco – Huaytará - Ayacucho</w:t>
            </w:r>
          </w:p>
        </w:tc>
        <w:tc>
          <w:tcPr>
            <w:tcW w:w="243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CB6400" w14:textId="77777777" w:rsidR="004412F1" w:rsidRDefault="005A12A3">
            <w:pPr>
              <w:framePr w:hSpace="141" w:wrap="around" w:vAnchor="text" w:hAnchor="margin" w:xAlign="center" w:y="96"/>
              <w:jc w:val="center"/>
              <w:rPr>
                <w:sz w:val="16"/>
                <w:szCs w:val="16"/>
                <w:lang w:val="es-PE"/>
              </w:rPr>
            </w:pPr>
            <w:r>
              <w:rPr>
                <w:sz w:val="16"/>
                <w:szCs w:val="16"/>
                <w:lang w:val="es-PE"/>
              </w:rPr>
              <w:t>Hectómetros fallados en la muestra</w:t>
            </w:r>
          </w:p>
        </w:tc>
        <w:tc>
          <w:tcPr>
            <w:tcW w:w="17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C835B4" w14:textId="77777777" w:rsidR="004412F1" w:rsidRDefault="005A12A3">
            <w:pPr>
              <w:framePr w:hSpace="141" w:wrap="around" w:vAnchor="text" w:hAnchor="margin" w:xAlign="center" w:y="96"/>
              <w:jc w:val="center"/>
              <w:rPr>
                <w:sz w:val="16"/>
                <w:szCs w:val="16"/>
              </w:rPr>
            </w:pPr>
            <w:r>
              <w:rPr>
                <w:sz w:val="16"/>
                <w:szCs w:val="16"/>
              </w:rPr>
              <w:t>Ponderación por rubro %</w:t>
            </w:r>
          </w:p>
        </w:tc>
      </w:tr>
      <w:tr w:rsidR="004412F1" w14:paraId="75168493" w14:textId="77777777">
        <w:trPr>
          <w:gridAfter w:val="1"/>
          <w:wAfter w:w="5" w:type="dxa"/>
          <w:cantSplit/>
          <w:trHeight w:val="338"/>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22B434" w14:textId="77777777" w:rsidR="004412F1" w:rsidRDefault="004412F1">
            <w:pPr>
              <w:framePr w:hSpace="141" w:wrap="around" w:vAnchor="text" w:hAnchor="margin" w:xAlign="center" w:y="96"/>
              <w:jc w:val="center"/>
              <w:rPr>
                <w:sz w:val="16"/>
                <w:szCs w:val="16"/>
              </w:rPr>
            </w:pPr>
          </w:p>
          <w:p w14:paraId="0167FE18" w14:textId="77777777" w:rsidR="004412F1" w:rsidRDefault="004412F1">
            <w:pPr>
              <w:framePr w:hSpace="141" w:wrap="around" w:vAnchor="text" w:hAnchor="margin" w:xAlign="center" w:y="96"/>
              <w:jc w:val="center"/>
              <w:rPr>
                <w:sz w:val="16"/>
                <w:szCs w:val="16"/>
              </w:rPr>
            </w:pPr>
          </w:p>
          <w:p w14:paraId="0D8B91F9" w14:textId="77777777" w:rsidR="004412F1" w:rsidRDefault="005A12A3">
            <w:pPr>
              <w:framePr w:hSpace="141" w:wrap="around" w:vAnchor="text" w:hAnchor="margin" w:xAlign="center" w:y="96"/>
              <w:jc w:val="center"/>
              <w:rPr>
                <w:sz w:val="16"/>
                <w:szCs w:val="16"/>
              </w:rPr>
            </w:pPr>
            <w:r>
              <w:rPr>
                <w:sz w:val="16"/>
                <w:szCs w:val="16"/>
              </w:rPr>
              <w:t>Sub</w:t>
            </w:r>
          </w:p>
          <w:p w14:paraId="3E6BBA3A" w14:textId="77777777" w:rsidR="004412F1" w:rsidRDefault="005A12A3">
            <w:pPr>
              <w:framePr w:hSpace="141" w:wrap="around" w:vAnchor="text" w:hAnchor="margin" w:xAlign="center" w:y="96"/>
              <w:jc w:val="center"/>
              <w:rPr>
                <w:sz w:val="16"/>
                <w:szCs w:val="16"/>
              </w:rPr>
            </w:pPr>
            <w:r>
              <w:rPr>
                <w:sz w:val="16"/>
                <w:szCs w:val="16"/>
              </w:rPr>
              <w:t>Tramo</w:t>
            </w:r>
          </w:p>
        </w:tc>
        <w:tc>
          <w:tcPr>
            <w:tcW w:w="4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D40DF6" w14:textId="77777777" w:rsidR="004412F1" w:rsidRDefault="004412F1">
            <w:pPr>
              <w:framePr w:hSpace="141" w:wrap="around" w:vAnchor="text" w:hAnchor="margin" w:xAlign="center" w:y="96"/>
              <w:jc w:val="center"/>
              <w:rPr>
                <w:sz w:val="16"/>
                <w:szCs w:val="16"/>
              </w:rPr>
            </w:pPr>
          </w:p>
          <w:p w14:paraId="73287214" w14:textId="77777777" w:rsidR="004412F1" w:rsidRDefault="004412F1">
            <w:pPr>
              <w:framePr w:hSpace="141" w:wrap="around" w:vAnchor="text" w:hAnchor="margin" w:xAlign="center" w:y="96"/>
              <w:jc w:val="center"/>
              <w:rPr>
                <w:sz w:val="16"/>
                <w:szCs w:val="16"/>
              </w:rPr>
            </w:pPr>
          </w:p>
          <w:p w14:paraId="71AD4FB1" w14:textId="77777777" w:rsidR="004412F1" w:rsidRDefault="005A12A3">
            <w:pPr>
              <w:framePr w:hSpace="141" w:wrap="around" w:vAnchor="text" w:hAnchor="margin" w:xAlign="center" w:y="96"/>
              <w:jc w:val="center"/>
              <w:rPr>
                <w:sz w:val="16"/>
                <w:szCs w:val="16"/>
              </w:rPr>
            </w:pPr>
            <w:r>
              <w:rPr>
                <w:sz w:val="16"/>
                <w:szCs w:val="16"/>
              </w:rPr>
              <w:t>Ruta</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D71ED5" w14:textId="77777777" w:rsidR="004412F1" w:rsidRDefault="004412F1">
            <w:pPr>
              <w:framePr w:hSpace="141" w:wrap="around" w:vAnchor="text" w:hAnchor="margin" w:xAlign="center" w:y="96"/>
              <w:jc w:val="center"/>
              <w:rPr>
                <w:sz w:val="16"/>
                <w:szCs w:val="16"/>
              </w:rPr>
            </w:pPr>
          </w:p>
          <w:p w14:paraId="77C689A6" w14:textId="77777777" w:rsidR="004412F1" w:rsidRDefault="004412F1">
            <w:pPr>
              <w:framePr w:hSpace="141" w:wrap="around" w:vAnchor="text" w:hAnchor="margin" w:xAlign="center" w:y="96"/>
              <w:jc w:val="center"/>
              <w:rPr>
                <w:sz w:val="16"/>
                <w:szCs w:val="16"/>
              </w:rPr>
            </w:pPr>
          </w:p>
          <w:p w14:paraId="169B8EF5" w14:textId="77777777" w:rsidR="004412F1" w:rsidRDefault="005A12A3">
            <w:pPr>
              <w:framePr w:hSpace="141" w:wrap="around" w:vAnchor="text" w:hAnchor="margin" w:xAlign="center" w:y="96"/>
              <w:jc w:val="center"/>
              <w:rPr>
                <w:sz w:val="16"/>
                <w:szCs w:val="16"/>
              </w:rPr>
            </w:pPr>
            <w:r>
              <w:rPr>
                <w:sz w:val="16"/>
                <w:szCs w:val="16"/>
              </w:rPr>
              <w:t>Desde</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C804F9" w14:textId="77777777" w:rsidR="004412F1" w:rsidRDefault="004412F1">
            <w:pPr>
              <w:framePr w:hSpace="141" w:wrap="around" w:vAnchor="text" w:hAnchor="margin" w:xAlign="center" w:y="96"/>
              <w:jc w:val="center"/>
              <w:rPr>
                <w:sz w:val="16"/>
                <w:szCs w:val="16"/>
              </w:rPr>
            </w:pPr>
          </w:p>
          <w:p w14:paraId="5C73B898" w14:textId="77777777" w:rsidR="004412F1" w:rsidRDefault="004412F1">
            <w:pPr>
              <w:framePr w:hSpace="141" w:wrap="around" w:vAnchor="text" w:hAnchor="margin" w:xAlign="center" w:y="96"/>
              <w:jc w:val="center"/>
              <w:rPr>
                <w:sz w:val="16"/>
                <w:szCs w:val="16"/>
              </w:rPr>
            </w:pPr>
          </w:p>
          <w:p w14:paraId="5E7D8DE3" w14:textId="77777777" w:rsidR="004412F1" w:rsidRDefault="005A12A3">
            <w:pPr>
              <w:framePr w:hSpace="141" w:wrap="around" w:vAnchor="text" w:hAnchor="margin" w:xAlign="center" w:y="96"/>
              <w:jc w:val="center"/>
              <w:rPr>
                <w:sz w:val="16"/>
                <w:szCs w:val="16"/>
              </w:rPr>
            </w:pPr>
            <w:r>
              <w:rPr>
                <w:sz w:val="16"/>
                <w:szCs w:val="16"/>
              </w:rPr>
              <w:t>Hasta</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B9222C" w14:textId="77777777" w:rsidR="004412F1" w:rsidRDefault="004412F1">
            <w:pPr>
              <w:framePr w:hSpace="141" w:wrap="around" w:vAnchor="text" w:hAnchor="margin" w:xAlign="center" w:y="96"/>
              <w:jc w:val="center"/>
              <w:rPr>
                <w:sz w:val="16"/>
                <w:szCs w:val="16"/>
              </w:rPr>
            </w:pPr>
          </w:p>
          <w:p w14:paraId="0660AA42" w14:textId="77777777" w:rsidR="004412F1" w:rsidRDefault="004412F1">
            <w:pPr>
              <w:framePr w:hSpace="141" w:wrap="around" w:vAnchor="text" w:hAnchor="margin" w:xAlign="center" w:y="96"/>
              <w:jc w:val="center"/>
              <w:rPr>
                <w:sz w:val="16"/>
                <w:szCs w:val="16"/>
              </w:rPr>
            </w:pPr>
          </w:p>
          <w:p w14:paraId="45706943" w14:textId="77777777" w:rsidR="004412F1" w:rsidRDefault="005A12A3">
            <w:pPr>
              <w:framePr w:hSpace="141" w:wrap="around" w:vAnchor="text" w:hAnchor="margin" w:xAlign="center" w:y="96"/>
              <w:jc w:val="center"/>
              <w:rPr>
                <w:sz w:val="16"/>
                <w:szCs w:val="16"/>
              </w:rPr>
            </w:pPr>
            <w:r>
              <w:rPr>
                <w:sz w:val="16"/>
                <w:szCs w:val="16"/>
              </w:rPr>
              <w:t>Inicio</w:t>
            </w:r>
          </w:p>
        </w:tc>
        <w:tc>
          <w:tcPr>
            <w:tcW w:w="7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830D87" w14:textId="77777777" w:rsidR="004412F1" w:rsidRDefault="004412F1">
            <w:pPr>
              <w:framePr w:hSpace="141" w:wrap="around" w:vAnchor="text" w:hAnchor="margin" w:xAlign="center" w:y="96"/>
              <w:jc w:val="center"/>
              <w:rPr>
                <w:sz w:val="16"/>
                <w:szCs w:val="16"/>
              </w:rPr>
            </w:pPr>
          </w:p>
          <w:p w14:paraId="32AAB3E2" w14:textId="77777777" w:rsidR="004412F1" w:rsidRDefault="004412F1">
            <w:pPr>
              <w:framePr w:hSpace="141" w:wrap="around" w:vAnchor="text" w:hAnchor="margin" w:xAlign="center" w:y="96"/>
              <w:jc w:val="center"/>
              <w:rPr>
                <w:sz w:val="16"/>
                <w:szCs w:val="16"/>
              </w:rPr>
            </w:pPr>
          </w:p>
          <w:p w14:paraId="59C3B5A6" w14:textId="77777777" w:rsidR="004412F1" w:rsidRDefault="005A12A3">
            <w:pPr>
              <w:framePr w:hSpace="141" w:wrap="around" w:vAnchor="text" w:hAnchor="margin" w:xAlign="center" w:y="96"/>
              <w:jc w:val="center"/>
              <w:rPr>
                <w:sz w:val="16"/>
              </w:rPr>
            </w:pPr>
            <w:r>
              <w:rPr>
                <w:sz w:val="16"/>
              </w:rPr>
              <w:t>Fin</w:t>
            </w:r>
          </w:p>
        </w:tc>
        <w:tc>
          <w:tcPr>
            <w:tcW w:w="6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C8542" w14:textId="77777777" w:rsidR="004412F1" w:rsidRDefault="004412F1">
            <w:pPr>
              <w:framePr w:hSpace="141" w:wrap="around" w:vAnchor="text" w:hAnchor="margin" w:xAlign="center" w:y="96"/>
              <w:jc w:val="center"/>
              <w:rPr>
                <w:sz w:val="16"/>
              </w:rPr>
            </w:pPr>
          </w:p>
          <w:p w14:paraId="15311AA8" w14:textId="77777777" w:rsidR="004412F1" w:rsidRDefault="004412F1">
            <w:pPr>
              <w:framePr w:hSpace="141" w:wrap="around" w:vAnchor="text" w:hAnchor="margin" w:xAlign="center" w:y="96"/>
              <w:jc w:val="center"/>
              <w:rPr>
                <w:sz w:val="16"/>
              </w:rPr>
            </w:pPr>
          </w:p>
          <w:p w14:paraId="17D8652B" w14:textId="77777777" w:rsidR="004412F1" w:rsidRDefault="005A12A3">
            <w:pPr>
              <w:framePr w:hSpace="141" w:wrap="around" w:vAnchor="text" w:hAnchor="margin" w:xAlign="center" w:y="96"/>
              <w:jc w:val="center"/>
              <w:rPr>
                <w:sz w:val="16"/>
              </w:rPr>
            </w:pPr>
            <w:r>
              <w:rPr>
                <w:sz w:val="16"/>
              </w:rPr>
              <w:t>Long.</w:t>
            </w:r>
          </w:p>
          <w:p w14:paraId="63ADD6B2" w14:textId="77777777" w:rsidR="004412F1" w:rsidRDefault="005A12A3">
            <w:pPr>
              <w:framePr w:hSpace="141" w:wrap="around" w:vAnchor="text" w:hAnchor="margin" w:xAlign="center" w:y="96"/>
              <w:jc w:val="center"/>
              <w:rPr>
                <w:sz w:val="16"/>
              </w:rPr>
            </w:pPr>
            <w:r>
              <w:rPr>
                <w:sz w:val="16"/>
              </w:rPr>
              <w:t>Km.</w:t>
            </w:r>
          </w:p>
        </w:tc>
        <w:tc>
          <w:tcPr>
            <w:tcW w:w="1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124DB9" w14:textId="77777777" w:rsidR="004412F1" w:rsidRDefault="005A12A3">
            <w:pPr>
              <w:framePr w:hSpace="141" w:wrap="around" w:vAnchor="text" w:hAnchor="margin" w:xAlign="center" w:y="96"/>
              <w:jc w:val="center"/>
              <w:rPr>
                <w:sz w:val="16"/>
                <w:szCs w:val="16"/>
              </w:rPr>
            </w:pPr>
            <w:r>
              <w:rPr>
                <w:sz w:val="16"/>
                <w:szCs w:val="16"/>
              </w:rPr>
              <w:t>Muestra</w:t>
            </w:r>
          </w:p>
        </w:tc>
        <w:tc>
          <w:tcPr>
            <w:tcW w:w="11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3C6AA1" w14:textId="77777777" w:rsidR="004412F1" w:rsidRDefault="005A12A3">
            <w:pPr>
              <w:framePr w:hSpace="141" w:wrap="around" w:vAnchor="text" w:hAnchor="margin" w:xAlign="center" w:y="96"/>
              <w:jc w:val="center"/>
              <w:rPr>
                <w:sz w:val="16"/>
                <w:szCs w:val="16"/>
                <w:lang w:val="es-PE"/>
              </w:rPr>
            </w:pPr>
            <w:proofErr w:type="gramStart"/>
            <w:r>
              <w:rPr>
                <w:sz w:val="16"/>
                <w:szCs w:val="16"/>
                <w:lang w:val="es-PE"/>
              </w:rPr>
              <w:t>Total</w:t>
            </w:r>
            <w:proofErr w:type="gramEnd"/>
            <w:r>
              <w:rPr>
                <w:sz w:val="16"/>
                <w:szCs w:val="16"/>
                <w:lang w:val="es-PE"/>
              </w:rPr>
              <w:t xml:space="preserve"> de Hm con defecto</w:t>
            </w:r>
          </w:p>
        </w:tc>
        <w:tc>
          <w:tcPr>
            <w:tcW w:w="129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373B6" w14:textId="77777777" w:rsidR="004412F1" w:rsidRDefault="005A12A3">
            <w:pPr>
              <w:framePr w:hSpace="141" w:wrap="around" w:vAnchor="text" w:hAnchor="margin" w:xAlign="center" w:y="96"/>
              <w:jc w:val="center"/>
              <w:rPr>
                <w:sz w:val="16"/>
                <w:szCs w:val="16"/>
              </w:rPr>
            </w:pPr>
            <w:r>
              <w:rPr>
                <w:sz w:val="16"/>
                <w:szCs w:val="16"/>
              </w:rPr>
              <w:t>Porcentaje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0AE30F" w14:textId="77777777" w:rsidR="004412F1" w:rsidRDefault="005A12A3">
            <w:pPr>
              <w:framePr w:hSpace="141" w:wrap="around" w:vAnchor="text" w:hAnchor="margin" w:xAlign="center" w:y="96"/>
              <w:jc w:val="center"/>
              <w:rPr>
                <w:sz w:val="16"/>
                <w:szCs w:val="16"/>
              </w:rPr>
            </w:pPr>
            <w:r>
              <w:rPr>
                <w:sz w:val="16"/>
                <w:szCs w:val="16"/>
              </w:rPr>
              <w:t>100</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B59D66" w14:textId="77777777" w:rsidR="004412F1" w:rsidRDefault="005A12A3">
            <w:pPr>
              <w:framePr w:hSpace="141" w:wrap="around" w:vAnchor="text" w:hAnchor="margin" w:xAlign="center" w:y="96"/>
              <w:jc w:val="center"/>
              <w:rPr>
                <w:sz w:val="16"/>
                <w:szCs w:val="16"/>
              </w:rPr>
            </w:pPr>
            <w:r>
              <w:rPr>
                <w:sz w:val="16"/>
                <w:szCs w:val="16"/>
              </w:rPr>
              <w:t>40</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6441ED" w14:textId="77777777" w:rsidR="004412F1" w:rsidRDefault="005A12A3">
            <w:pPr>
              <w:framePr w:hSpace="141" w:wrap="around" w:vAnchor="text" w:hAnchor="margin" w:xAlign="center" w:y="96"/>
              <w:jc w:val="center"/>
              <w:rPr>
                <w:sz w:val="16"/>
                <w:szCs w:val="16"/>
              </w:rPr>
            </w:pPr>
            <w:r>
              <w:rPr>
                <w:sz w:val="16"/>
                <w:szCs w:val="16"/>
              </w:rPr>
              <w:t>80</w:t>
            </w: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41DBEB" w14:textId="77777777" w:rsidR="004412F1" w:rsidRDefault="005A12A3">
            <w:pPr>
              <w:framePr w:hSpace="141" w:wrap="around" w:vAnchor="text" w:hAnchor="margin" w:xAlign="center" w:y="96"/>
              <w:jc w:val="center"/>
              <w:rPr>
                <w:sz w:val="16"/>
                <w:szCs w:val="16"/>
              </w:rPr>
            </w:pPr>
            <w:r>
              <w:rPr>
                <w:sz w:val="16"/>
                <w:szCs w:val="16"/>
              </w:rPr>
              <w:t>40</w:t>
            </w: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9E9067" w14:textId="77777777" w:rsidR="004412F1" w:rsidRDefault="005A12A3">
            <w:pPr>
              <w:framePr w:hSpace="141" w:wrap="around" w:vAnchor="text" w:hAnchor="margin" w:xAlign="center" w:y="96"/>
              <w:jc w:val="center"/>
              <w:rPr>
                <w:sz w:val="16"/>
                <w:szCs w:val="16"/>
              </w:rPr>
            </w:pPr>
            <w:r>
              <w:rPr>
                <w:sz w:val="16"/>
                <w:szCs w:val="16"/>
              </w:rPr>
              <w:t>80</w:t>
            </w:r>
          </w:p>
        </w:tc>
      </w:tr>
      <w:tr w:rsidR="004412F1" w14:paraId="33E9A5D2" w14:textId="77777777">
        <w:trPr>
          <w:gridAfter w:val="1"/>
          <w:wAfter w:w="8" w:type="dxa"/>
          <w:cantSplit/>
          <w:trHeight w:val="131"/>
        </w:trPr>
        <w:tc>
          <w:tcPr>
            <w:tcW w:w="5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E8EE57" w14:textId="77777777" w:rsidR="004412F1" w:rsidRDefault="004412F1">
            <w:pPr>
              <w:framePr w:hSpace="141" w:wrap="around" w:vAnchor="text" w:hAnchor="margin" w:xAlign="center" w:y="96"/>
              <w:spacing w:line="276" w:lineRule="auto"/>
              <w:rPr>
                <w:sz w:val="16"/>
                <w:szCs w:val="16"/>
              </w:rPr>
            </w:pPr>
          </w:p>
        </w:tc>
        <w:tc>
          <w:tcPr>
            <w:tcW w:w="4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0C7206" w14:textId="77777777" w:rsidR="004412F1" w:rsidRDefault="004412F1">
            <w:pPr>
              <w:framePr w:hSpace="141" w:wrap="around" w:vAnchor="text" w:hAnchor="margin" w:xAlign="center" w:y="96"/>
              <w:spacing w:line="276" w:lineRule="auto"/>
              <w:rPr>
                <w:sz w:val="16"/>
                <w:szCs w:val="16"/>
              </w:rPr>
            </w:pPr>
          </w:p>
        </w:tc>
        <w:tc>
          <w:tcPr>
            <w:tcW w:w="9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7F11BE" w14:textId="77777777" w:rsidR="004412F1" w:rsidRDefault="004412F1">
            <w:pPr>
              <w:framePr w:hSpace="141" w:wrap="around" w:vAnchor="text" w:hAnchor="margin" w:xAlign="center" w:y="96"/>
              <w:spacing w:line="276" w:lineRule="auto"/>
              <w:rPr>
                <w:sz w:val="16"/>
                <w:szCs w:val="16"/>
              </w:rPr>
            </w:pPr>
          </w:p>
        </w:tc>
        <w:tc>
          <w:tcPr>
            <w:tcW w:w="9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D87D63" w14:textId="77777777" w:rsidR="004412F1" w:rsidRDefault="004412F1">
            <w:pPr>
              <w:framePr w:hSpace="141" w:wrap="around" w:vAnchor="text" w:hAnchor="margin" w:xAlign="center" w:y="96"/>
              <w:spacing w:line="276" w:lineRule="auto"/>
              <w:rPr>
                <w:sz w:val="16"/>
                <w:szCs w:val="16"/>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4F373A" w14:textId="77777777" w:rsidR="004412F1" w:rsidRDefault="004412F1">
            <w:pPr>
              <w:framePr w:hSpace="141" w:wrap="around" w:vAnchor="text" w:hAnchor="margin" w:xAlign="center" w:y="96"/>
              <w:spacing w:line="276" w:lineRule="auto"/>
              <w:rPr>
                <w:sz w:val="16"/>
                <w:szCs w:val="16"/>
              </w:rPr>
            </w:pPr>
          </w:p>
        </w:tc>
        <w:tc>
          <w:tcPr>
            <w:tcW w:w="7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067414" w14:textId="77777777" w:rsidR="004412F1" w:rsidRDefault="004412F1">
            <w:pPr>
              <w:framePr w:hSpace="141" w:wrap="around" w:vAnchor="text" w:hAnchor="margin" w:xAlign="center" w:y="96"/>
              <w:spacing w:line="276" w:lineRule="auto"/>
              <w:rPr>
                <w:sz w:val="16"/>
                <w:szCs w:val="16"/>
              </w:rPr>
            </w:pPr>
          </w:p>
        </w:tc>
        <w:tc>
          <w:tcPr>
            <w:tcW w:w="6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9FEC18" w14:textId="77777777" w:rsidR="004412F1" w:rsidRDefault="004412F1">
            <w:pPr>
              <w:framePr w:hSpace="141" w:wrap="around" w:vAnchor="text" w:hAnchor="margin" w:xAlign="center" w:y="96"/>
              <w:spacing w:line="276" w:lineRule="auto"/>
              <w:rPr>
                <w:sz w:val="16"/>
                <w:szCs w:val="16"/>
              </w:rPr>
            </w:pPr>
          </w:p>
        </w:tc>
        <w:tc>
          <w:tcPr>
            <w:tcW w:w="1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3143D6" w14:textId="77777777" w:rsidR="004412F1" w:rsidRDefault="004412F1">
            <w:pPr>
              <w:framePr w:hSpace="141" w:wrap="around" w:vAnchor="text" w:hAnchor="margin" w:xAlign="center" w:y="96"/>
              <w:spacing w:line="276" w:lineRule="auto"/>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450E4" w14:textId="77777777" w:rsidR="004412F1" w:rsidRDefault="005A12A3">
            <w:pPr>
              <w:framePr w:hSpace="141" w:wrap="around" w:vAnchor="text" w:hAnchor="margin" w:xAlign="center" w:y="96"/>
              <w:jc w:val="center"/>
              <w:rPr>
                <w:sz w:val="16"/>
                <w:szCs w:val="16"/>
              </w:rPr>
            </w:pPr>
            <w:r>
              <w:rPr>
                <w:sz w:val="16"/>
                <w:szCs w:val="16"/>
              </w:rPr>
              <w:t>S</w:t>
            </w: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A0271A" w14:textId="77777777" w:rsidR="004412F1" w:rsidRDefault="005A12A3">
            <w:pPr>
              <w:framePr w:hSpace="141" w:wrap="around" w:vAnchor="text" w:hAnchor="margin" w:xAlign="center" w:y="96"/>
              <w:jc w:val="center"/>
              <w:rPr>
                <w:sz w:val="16"/>
                <w:szCs w:val="16"/>
              </w:rPr>
            </w:pPr>
            <w:r>
              <w:rPr>
                <w:sz w:val="16"/>
                <w:szCs w:val="16"/>
              </w:rPr>
              <w:t>B</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08D5FB" w14:textId="77777777" w:rsidR="004412F1" w:rsidRDefault="005A12A3">
            <w:pPr>
              <w:framePr w:hSpace="141" w:wrap="around" w:vAnchor="text" w:hAnchor="margin" w:xAlign="center" w:y="96"/>
              <w:jc w:val="center"/>
              <w:rPr>
                <w:sz w:val="16"/>
              </w:rPr>
            </w:pPr>
            <w:r>
              <w:rPr>
                <w:sz w:val="16"/>
              </w:rPr>
              <w:t>D</w:t>
            </w: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05C73E" w14:textId="77777777" w:rsidR="004412F1" w:rsidRDefault="005A12A3">
            <w:pPr>
              <w:framePr w:hSpace="141" w:wrap="around" w:vAnchor="text" w:hAnchor="margin" w:xAlign="center" w:y="96"/>
              <w:jc w:val="center"/>
              <w:rPr>
                <w:sz w:val="16"/>
              </w:rPr>
            </w:pPr>
            <w:r>
              <w:rPr>
                <w:sz w:val="16"/>
              </w:rPr>
              <w:t>AC</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B94CD1" w14:textId="77777777" w:rsidR="004412F1" w:rsidRDefault="005A12A3">
            <w:pPr>
              <w:framePr w:hSpace="141" w:wrap="around" w:vAnchor="text" w:hAnchor="margin" w:xAlign="center" w:y="96"/>
              <w:jc w:val="center"/>
              <w:rPr>
                <w:sz w:val="16"/>
              </w:rPr>
            </w:pPr>
            <w:r>
              <w:rPr>
                <w:sz w:val="16"/>
              </w:rPr>
              <w:t>SV</w:t>
            </w: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C4F014" w14:textId="77777777" w:rsidR="004412F1" w:rsidRDefault="005A12A3">
            <w:pPr>
              <w:framePr w:hSpace="141" w:wrap="around" w:vAnchor="text" w:hAnchor="margin" w:xAlign="center" w:y="96"/>
              <w:jc w:val="center"/>
              <w:rPr>
                <w:sz w:val="16"/>
              </w:rPr>
            </w:pPr>
            <w:r>
              <w:rPr>
                <w:sz w:val="16"/>
              </w:rPr>
              <w:t>S</w:t>
            </w: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3AF660" w14:textId="77777777" w:rsidR="004412F1" w:rsidRDefault="005A12A3">
            <w:pPr>
              <w:framePr w:hSpace="141" w:wrap="around" w:vAnchor="text" w:hAnchor="margin" w:xAlign="center" w:y="96"/>
              <w:jc w:val="center"/>
              <w:rPr>
                <w:sz w:val="16"/>
              </w:rPr>
            </w:pPr>
            <w:r>
              <w:rPr>
                <w:sz w:val="16"/>
              </w:rPr>
              <w:t>B</w:t>
            </w: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A82D1" w14:textId="77777777" w:rsidR="004412F1" w:rsidRDefault="005A12A3">
            <w:pPr>
              <w:framePr w:hSpace="141" w:wrap="around" w:vAnchor="text" w:hAnchor="margin" w:xAlign="center" w:y="96"/>
              <w:jc w:val="center"/>
              <w:rPr>
                <w:sz w:val="16"/>
              </w:rPr>
            </w:pPr>
            <w:r>
              <w:rPr>
                <w:sz w:val="16"/>
              </w:rPr>
              <w:t>D</w:t>
            </w: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493967" w14:textId="77777777" w:rsidR="004412F1" w:rsidRDefault="005A12A3">
            <w:pPr>
              <w:framePr w:hSpace="141" w:wrap="around" w:vAnchor="text" w:hAnchor="margin" w:xAlign="center" w:y="96"/>
              <w:jc w:val="center"/>
              <w:rPr>
                <w:sz w:val="16"/>
              </w:rPr>
            </w:pPr>
            <w:r>
              <w:rPr>
                <w:sz w:val="16"/>
              </w:rPr>
              <w:t>AC</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2C2E70" w14:textId="77777777" w:rsidR="004412F1" w:rsidRDefault="005A12A3">
            <w:pPr>
              <w:framePr w:hSpace="141" w:wrap="around" w:vAnchor="text" w:hAnchor="margin" w:xAlign="center" w:y="96"/>
              <w:ind w:left="-19" w:firstLine="19"/>
              <w:jc w:val="center"/>
              <w:rPr>
                <w:sz w:val="16"/>
              </w:rPr>
            </w:pPr>
            <w:r>
              <w:rPr>
                <w:sz w:val="16"/>
              </w:rPr>
              <w:t>SV</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FE48A5" w14:textId="77777777" w:rsidR="004412F1" w:rsidRDefault="005A12A3">
            <w:pPr>
              <w:framePr w:hSpace="141" w:wrap="around" w:vAnchor="text" w:hAnchor="margin" w:xAlign="center" w:y="96"/>
              <w:jc w:val="center"/>
              <w:rPr>
                <w:sz w:val="16"/>
              </w:rPr>
            </w:pPr>
            <w:r>
              <w:rPr>
                <w:sz w:val="16"/>
              </w:rPr>
              <w:t>S</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35A022" w14:textId="77777777" w:rsidR="004412F1" w:rsidRDefault="005A12A3">
            <w:pPr>
              <w:framePr w:hSpace="141" w:wrap="around" w:vAnchor="text" w:hAnchor="margin" w:xAlign="center" w:y="96"/>
              <w:jc w:val="center"/>
              <w:rPr>
                <w:sz w:val="16"/>
              </w:rPr>
            </w:pPr>
            <w:r>
              <w:rPr>
                <w:sz w:val="16"/>
              </w:rPr>
              <w:t>B</w:t>
            </w: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4D090D" w14:textId="77777777" w:rsidR="004412F1" w:rsidRDefault="005A12A3">
            <w:pPr>
              <w:framePr w:hSpace="141" w:wrap="around" w:vAnchor="text" w:hAnchor="margin" w:xAlign="center" w:y="96"/>
              <w:jc w:val="center"/>
              <w:rPr>
                <w:sz w:val="16"/>
              </w:rPr>
            </w:pPr>
            <w:r>
              <w:rPr>
                <w:sz w:val="16"/>
              </w:rPr>
              <w:t>D</w:t>
            </w: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610341" w14:textId="77777777" w:rsidR="004412F1" w:rsidRDefault="005A12A3">
            <w:pPr>
              <w:framePr w:hSpace="141" w:wrap="around" w:vAnchor="text" w:hAnchor="margin" w:xAlign="center" w:y="96"/>
              <w:jc w:val="center"/>
              <w:rPr>
                <w:sz w:val="16"/>
              </w:rPr>
            </w:pPr>
            <w:r>
              <w:rPr>
                <w:sz w:val="16"/>
              </w:rPr>
              <w:t>AC</w:t>
            </w: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C68BB0" w14:textId="77777777" w:rsidR="004412F1" w:rsidRDefault="005A12A3">
            <w:pPr>
              <w:framePr w:hSpace="141" w:wrap="around" w:vAnchor="text" w:hAnchor="margin" w:xAlign="center" w:y="96"/>
              <w:jc w:val="center"/>
              <w:rPr>
                <w:sz w:val="16"/>
              </w:rPr>
            </w:pPr>
            <w:r>
              <w:rPr>
                <w:sz w:val="16"/>
              </w:rPr>
              <w:t>SV</w:t>
            </w:r>
          </w:p>
        </w:tc>
      </w:tr>
      <w:tr w:rsidR="004412F1" w14:paraId="6D9B1B9C" w14:textId="77777777">
        <w:trPr>
          <w:gridAfter w:val="1"/>
          <w:wAfter w:w="8" w:type="dxa"/>
          <w:trHeight w:val="1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8B3CB0" w14:textId="77777777" w:rsidR="004412F1" w:rsidRDefault="005A12A3">
            <w:pPr>
              <w:framePr w:hSpace="141" w:wrap="around" w:vAnchor="text" w:hAnchor="margin" w:xAlign="center" w:y="96"/>
              <w:jc w:val="center"/>
              <w:rPr>
                <w:sz w:val="16"/>
              </w:rPr>
            </w:pPr>
            <w:r>
              <w:rPr>
                <w:sz w:val="16"/>
              </w:rPr>
              <w:t>1</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A3E5C8"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B30C30"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61CF"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A009E8"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A8DC9B"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3D92F"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4FC6BB"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87A191"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4E02E8"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D23FD8"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818D6"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0D9BA4"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18AA83"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22573"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73A004"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CEA13C"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0C1DF1"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5614B"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D263AC"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4686D8"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AFB947"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63A419" w14:textId="77777777" w:rsidR="004412F1" w:rsidRDefault="004412F1">
            <w:pPr>
              <w:framePr w:hSpace="141" w:wrap="around" w:vAnchor="text" w:hAnchor="margin" w:xAlign="center" w:y="96"/>
              <w:jc w:val="center"/>
              <w:rPr>
                <w:sz w:val="16"/>
                <w:szCs w:val="16"/>
              </w:rPr>
            </w:pPr>
          </w:p>
        </w:tc>
      </w:tr>
      <w:tr w:rsidR="004412F1" w14:paraId="725FD5F5" w14:textId="77777777">
        <w:trPr>
          <w:gridAfter w:val="1"/>
          <w:wAfter w:w="8" w:type="dxa"/>
          <w:trHeight w:val="1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7F2947" w14:textId="77777777" w:rsidR="004412F1" w:rsidRDefault="005A12A3">
            <w:pPr>
              <w:framePr w:hSpace="141" w:wrap="around" w:vAnchor="text" w:hAnchor="margin" w:xAlign="center" w:y="96"/>
              <w:jc w:val="center"/>
              <w:rPr>
                <w:sz w:val="16"/>
              </w:rPr>
            </w:pPr>
            <w:r>
              <w:rPr>
                <w:sz w:val="16"/>
              </w:rPr>
              <w:t>2</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5F8181"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F7FD51"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BDE2E5"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B63631"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49EF2F"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69C1CF"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3CCC9C"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824F2A"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23FDF1"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D1A771"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119049"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93DF4"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2A6FD0"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1064EA"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FC43A5"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BBD43B"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C99341"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230AD1"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62C479"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839EA"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728553"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718749" w14:textId="77777777" w:rsidR="004412F1" w:rsidRDefault="004412F1">
            <w:pPr>
              <w:framePr w:hSpace="141" w:wrap="around" w:vAnchor="text" w:hAnchor="margin" w:xAlign="center" w:y="96"/>
              <w:jc w:val="center"/>
              <w:rPr>
                <w:sz w:val="16"/>
                <w:szCs w:val="16"/>
              </w:rPr>
            </w:pPr>
          </w:p>
        </w:tc>
      </w:tr>
      <w:tr w:rsidR="004412F1" w14:paraId="2AD20B28" w14:textId="77777777">
        <w:trPr>
          <w:gridAfter w:val="1"/>
          <w:wAfter w:w="8" w:type="dxa"/>
          <w:trHeight w:val="1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9FFB0F" w14:textId="77777777" w:rsidR="004412F1" w:rsidRDefault="005A12A3">
            <w:pPr>
              <w:framePr w:hSpace="141" w:wrap="around" w:vAnchor="text" w:hAnchor="margin" w:xAlign="center" w:y="96"/>
              <w:jc w:val="center"/>
              <w:rPr>
                <w:sz w:val="16"/>
              </w:rPr>
            </w:pPr>
            <w:r>
              <w:rPr>
                <w:sz w:val="16"/>
              </w:rPr>
              <w:t>3</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6F4D62"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F887C3"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7D118B"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16C2D5"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3D4E34"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EDFF27"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6241FA"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89E03F"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6CB538"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70E123"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79D39C"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B7BD9E"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F24E36"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AF322C"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24C9E8"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628FF1"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38CF0A"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B9F34"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C76F5F"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08756A"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8D3E8B"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A54EEF" w14:textId="77777777" w:rsidR="004412F1" w:rsidRDefault="004412F1">
            <w:pPr>
              <w:framePr w:hSpace="141" w:wrap="around" w:vAnchor="text" w:hAnchor="margin" w:xAlign="center" w:y="96"/>
              <w:jc w:val="center"/>
              <w:rPr>
                <w:sz w:val="16"/>
                <w:szCs w:val="16"/>
              </w:rPr>
            </w:pPr>
          </w:p>
        </w:tc>
      </w:tr>
      <w:tr w:rsidR="004412F1" w14:paraId="7AD03E1F" w14:textId="77777777">
        <w:trPr>
          <w:gridAfter w:val="1"/>
          <w:wAfter w:w="8" w:type="dxa"/>
          <w:trHeight w:val="1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02B953" w14:textId="77777777" w:rsidR="004412F1" w:rsidRDefault="005A12A3">
            <w:pPr>
              <w:framePr w:hSpace="141" w:wrap="around" w:vAnchor="text" w:hAnchor="margin" w:xAlign="center" w:y="96"/>
              <w:jc w:val="center"/>
              <w:rPr>
                <w:sz w:val="16"/>
              </w:rPr>
            </w:pPr>
            <w:r>
              <w:rPr>
                <w:sz w:val="16"/>
              </w:rPr>
              <w:t>4</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8C7D0C"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A5EB50"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410726"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BC0149"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A4E79"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42A9"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972AE8"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55D422"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B7EBA1"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D739B6"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CDB3C4"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7625F8"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9B64AC"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720290"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D90D54"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E12023"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9AC9A3"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3653D9"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3B794E"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A99E7F"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323D09"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5C6660" w14:textId="77777777" w:rsidR="004412F1" w:rsidRDefault="004412F1">
            <w:pPr>
              <w:framePr w:hSpace="141" w:wrap="around" w:vAnchor="text" w:hAnchor="margin" w:xAlign="center" w:y="96"/>
              <w:jc w:val="center"/>
              <w:rPr>
                <w:sz w:val="16"/>
                <w:szCs w:val="16"/>
              </w:rPr>
            </w:pPr>
          </w:p>
        </w:tc>
      </w:tr>
      <w:tr w:rsidR="004412F1" w14:paraId="3BE33DF2" w14:textId="77777777">
        <w:trPr>
          <w:gridAfter w:val="1"/>
          <w:wAfter w:w="8" w:type="dxa"/>
          <w:trHeight w:val="163"/>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EC35E2" w14:textId="77777777" w:rsidR="004412F1" w:rsidRDefault="005A12A3">
            <w:pPr>
              <w:framePr w:hSpace="141" w:wrap="around" w:vAnchor="text" w:hAnchor="margin" w:xAlign="center" w:y="96"/>
              <w:jc w:val="center"/>
              <w:rPr>
                <w:sz w:val="16"/>
                <w:szCs w:val="16"/>
              </w:rPr>
            </w:pPr>
            <w:r>
              <w:rPr>
                <w:sz w:val="16"/>
                <w:szCs w:val="16"/>
              </w:rPr>
              <w:t>5</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DBD413" w14:textId="77777777" w:rsidR="004412F1" w:rsidRDefault="004412F1">
            <w:pPr>
              <w:framePr w:hSpace="141" w:wrap="around" w:vAnchor="text" w:hAnchor="margin" w:xAlign="center" w:y="96"/>
              <w:jc w:val="center"/>
              <w:rPr>
                <w:sz w:val="16"/>
                <w:szCs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63C6D9"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D06D0B"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F3FC5D"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54C8F"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F6DC73"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73DABB"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9AFF30"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3CCAAC"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381A99"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6151ED"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90ABC5"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1A60A8"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FB00CB"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5A5DF0"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D29322"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635C1D"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D1996F"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F7E314"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CF7978"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73A62C"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BA9497" w14:textId="77777777" w:rsidR="004412F1" w:rsidRDefault="004412F1">
            <w:pPr>
              <w:framePr w:hSpace="141" w:wrap="around" w:vAnchor="text" w:hAnchor="margin" w:xAlign="center" w:y="96"/>
              <w:jc w:val="center"/>
              <w:rPr>
                <w:sz w:val="16"/>
                <w:szCs w:val="16"/>
              </w:rPr>
            </w:pPr>
          </w:p>
        </w:tc>
      </w:tr>
      <w:tr w:rsidR="004412F1" w14:paraId="6E9E279A" w14:textId="77777777">
        <w:trPr>
          <w:gridAfter w:val="1"/>
          <w:wAfter w:w="8" w:type="dxa"/>
          <w:trHeight w:val="174"/>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C45A2" w14:textId="77777777" w:rsidR="004412F1" w:rsidRDefault="005A12A3">
            <w:pPr>
              <w:framePr w:hSpace="141" w:wrap="around" w:vAnchor="text" w:hAnchor="margin" w:xAlign="center" w:y="96"/>
              <w:jc w:val="center"/>
              <w:rPr>
                <w:sz w:val="16"/>
              </w:rPr>
            </w:pPr>
            <w:r>
              <w:rPr>
                <w:sz w:val="16"/>
              </w:rPr>
              <w:t>6</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980DBA"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53630C"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0BB255" w14:textId="77777777" w:rsidR="004412F1" w:rsidRDefault="004412F1">
            <w:pPr>
              <w:framePr w:hSpace="141" w:wrap="around" w:vAnchor="text" w:hAnchor="margin" w:xAlign="center" w:y="96"/>
              <w:jc w:val="center"/>
              <w:rPr>
                <w:sz w:val="16"/>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51ACE" w14:textId="77777777" w:rsidR="004412F1" w:rsidRDefault="004412F1">
            <w:pPr>
              <w:framePr w:hSpace="141" w:wrap="around" w:vAnchor="text" w:hAnchor="margin" w:xAlign="center" w:y="96"/>
              <w:jc w:val="center"/>
              <w:rPr>
                <w:sz w:val="16"/>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A225F4" w14:textId="77777777" w:rsidR="004412F1" w:rsidRDefault="004412F1">
            <w:pPr>
              <w:framePr w:hSpace="141" w:wrap="around" w:vAnchor="text" w:hAnchor="margin" w:xAlign="center" w:y="96"/>
              <w:jc w:val="center"/>
              <w:rPr>
                <w:sz w:val="16"/>
              </w:rPr>
            </w:pPr>
          </w:p>
        </w:tc>
        <w:tc>
          <w:tcPr>
            <w:tcW w:w="6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96E8AB" w14:textId="77777777" w:rsidR="004412F1" w:rsidRDefault="004412F1">
            <w:pPr>
              <w:framePr w:hSpace="141" w:wrap="around" w:vAnchor="text" w:hAnchor="margin" w:xAlign="center" w:y="96"/>
              <w:jc w:val="center"/>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68B898"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7E7C34"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6FC0B0"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400C0F"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1B7969"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0D8272"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5205F7"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BB9134"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BE1B68"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2E425D"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4E4F8"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C0C93F"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F556D8"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7F4"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3C388"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0DD80" w14:textId="77777777" w:rsidR="004412F1" w:rsidRDefault="004412F1">
            <w:pPr>
              <w:framePr w:hSpace="141" w:wrap="around" w:vAnchor="text" w:hAnchor="margin" w:xAlign="center" w:y="96"/>
              <w:jc w:val="center"/>
              <w:rPr>
                <w:sz w:val="16"/>
                <w:szCs w:val="16"/>
              </w:rPr>
            </w:pPr>
          </w:p>
        </w:tc>
      </w:tr>
      <w:tr w:rsidR="004412F1" w14:paraId="19D9C37B" w14:textId="77777777">
        <w:trPr>
          <w:gridAfter w:val="1"/>
          <w:wAfter w:w="8" w:type="dxa"/>
          <w:trHeight w:val="163"/>
        </w:trPr>
        <w:tc>
          <w:tcPr>
            <w:tcW w:w="540" w:type="dxa"/>
            <w:tcBorders>
              <w:top w:val="single" w:sz="4" w:space="0" w:color="000000"/>
              <w:left w:val="nil"/>
              <w:bottom w:val="nil"/>
              <w:right w:val="nil"/>
            </w:tcBorders>
            <w:shd w:val="clear" w:color="auto" w:fill="auto"/>
            <w:tcMar>
              <w:top w:w="0" w:type="dxa"/>
              <w:left w:w="70" w:type="dxa"/>
              <w:bottom w:w="0" w:type="dxa"/>
              <w:right w:w="70" w:type="dxa"/>
            </w:tcMar>
          </w:tcPr>
          <w:p w14:paraId="44623050" w14:textId="77777777" w:rsidR="004412F1" w:rsidRDefault="004412F1">
            <w:pPr>
              <w:framePr w:hSpace="141" w:wrap="around" w:vAnchor="text" w:hAnchor="margin" w:xAlign="center" w:y="96"/>
              <w:jc w:val="center"/>
              <w:rPr>
                <w:sz w:val="16"/>
              </w:rPr>
            </w:pPr>
          </w:p>
        </w:tc>
        <w:tc>
          <w:tcPr>
            <w:tcW w:w="481" w:type="dxa"/>
            <w:tcBorders>
              <w:top w:val="single" w:sz="4" w:space="0" w:color="000000"/>
              <w:left w:val="nil"/>
              <w:bottom w:val="nil"/>
              <w:right w:val="nil"/>
            </w:tcBorders>
            <w:shd w:val="clear" w:color="auto" w:fill="auto"/>
            <w:tcMar>
              <w:top w:w="0" w:type="dxa"/>
              <w:left w:w="70" w:type="dxa"/>
              <w:bottom w:w="0" w:type="dxa"/>
              <w:right w:w="70" w:type="dxa"/>
            </w:tcMar>
          </w:tcPr>
          <w:p w14:paraId="05E44029" w14:textId="77777777" w:rsidR="004412F1" w:rsidRDefault="004412F1">
            <w:pPr>
              <w:framePr w:hSpace="141" w:wrap="around" w:vAnchor="text" w:hAnchor="margin" w:xAlign="center" w:y="96"/>
              <w:jc w:val="center"/>
              <w:rPr>
                <w:sz w:val="16"/>
              </w:rPr>
            </w:pPr>
          </w:p>
        </w:tc>
        <w:tc>
          <w:tcPr>
            <w:tcW w:w="962" w:type="dxa"/>
            <w:tcBorders>
              <w:top w:val="single" w:sz="4" w:space="0" w:color="000000"/>
              <w:left w:val="nil"/>
              <w:bottom w:val="nil"/>
              <w:right w:val="nil"/>
            </w:tcBorders>
            <w:shd w:val="clear" w:color="auto" w:fill="auto"/>
            <w:tcMar>
              <w:top w:w="0" w:type="dxa"/>
              <w:left w:w="70" w:type="dxa"/>
              <w:bottom w:w="0" w:type="dxa"/>
              <w:right w:w="70" w:type="dxa"/>
            </w:tcMar>
          </w:tcPr>
          <w:p w14:paraId="207E293B" w14:textId="77777777" w:rsidR="004412F1" w:rsidRDefault="004412F1">
            <w:pPr>
              <w:framePr w:hSpace="141" w:wrap="around" w:vAnchor="text" w:hAnchor="margin" w:xAlign="center" w:y="96"/>
              <w:jc w:val="center"/>
              <w:rPr>
                <w:sz w:val="16"/>
                <w:szCs w:val="16"/>
              </w:rPr>
            </w:pPr>
          </w:p>
        </w:tc>
        <w:tc>
          <w:tcPr>
            <w:tcW w:w="962" w:type="dxa"/>
            <w:tcBorders>
              <w:top w:val="single" w:sz="4" w:space="0" w:color="000000"/>
              <w:left w:val="nil"/>
              <w:bottom w:val="nil"/>
              <w:right w:val="nil"/>
            </w:tcBorders>
            <w:shd w:val="clear" w:color="auto" w:fill="auto"/>
            <w:tcMar>
              <w:top w:w="0" w:type="dxa"/>
              <w:left w:w="70" w:type="dxa"/>
              <w:bottom w:w="0" w:type="dxa"/>
              <w:right w:w="70" w:type="dxa"/>
            </w:tcMar>
          </w:tcPr>
          <w:p w14:paraId="23008916" w14:textId="77777777" w:rsidR="004412F1" w:rsidRDefault="004412F1">
            <w:pPr>
              <w:framePr w:hSpace="141" w:wrap="around" w:vAnchor="text" w:hAnchor="margin" w:xAlign="center" w:y="96"/>
              <w:jc w:val="center"/>
              <w:rPr>
                <w:sz w:val="16"/>
                <w:szCs w:val="16"/>
              </w:rPr>
            </w:pPr>
          </w:p>
        </w:tc>
        <w:tc>
          <w:tcPr>
            <w:tcW w:w="783" w:type="dxa"/>
            <w:tcBorders>
              <w:top w:val="single" w:sz="4" w:space="0" w:color="000000"/>
              <w:left w:val="nil"/>
              <w:bottom w:val="nil"/>
              <w:right w:val="nil"/>
            </w:tcBorders>
            <w:shd w:val="clear" w:color="auto" w:fill="auto"/>
            <w:tcMar>
              <w:top w:w="0" w:type="dxa"/>
              <w:left w:w="70" w:type="dxa"/>
              <w:bottom w:w="0" w:type="dxa"/>
              <w:right w:w="70" w:type="dxa"/>
            </w:tcMar>
          </w:tcPr>
          <w:p w14:paraId="6697E3DC" w14:textId="77777777" w:rsidR="004412F1" w:rsidRDefault="004412F1">
            <w:pPr>
              <w:framePr w:hSpace="141" w:wrap="around" w:vAnchor="text" w:hAnchor="margin" w:xAlign="center" w:y="96"/>
              <w:jc w:val="center"/>
              <w:rPr>
                <w:sz w:val="16"/>
                <w:szCs w:val="16"/>
              </w:rPr>
            </w:pPr>
          </w:p>
        </w:tc>
        <w:tc>
          <w:tcPr>
            <w:tcW w:w="728" w:type="dxa"/>
            <w:tcBorders>
              <w:top w:val="single" w:sz="4" w:space="0" w:color="000000"/>
              <w:left w:val="nil"/>
              <w:bottom w:val="nil"/>
              <w:right w:val="nil"/>
            </w:tcBorders>
            <w:shd w:val="clear" w:color="auto" w:fill="auto"/>
            <w:tcMar>
              <w:top w:w="0" w:type="dxa"/>
              <w:left w:w="70" w:type="dxa"/>
              <w:bottom w:w="0" w:type="dxa"/>
              <w:right w:w="70" w:type="dxa"/>
            </w:tcMar>
          </w:tcPr>
          <w:p w14:paraId="6C0D6B13" w14:textId="77777777" w:rsidR="004412F1" w:rsidRDefault="004412F1">
            <w:pPr>
              <w:framePr w:hSpace="141" w:wrap="around" w:vAnchor="text" w:hAnchor="margin" w:xAlign="center" w:y="96"/>
              <w:jc w:val="center"/>
              <w:rPr>
                <w:sz w:val="16"/>
                <w:szCs w:val="16"/>
              </w:rPr>
            </w:pPr>
          </w:p>
        </w:tc>
        <w:tc>
          <w:tcPr>
            <w:tcW w:w="610" w:type="dxa"/>
            <w:tcBorders>
              <w:top w:val="single" w:sz="4" w:space="0" w:color="000000"/>
              <w:left w:val="nil"/>
              <w:bottom w:val="nil"/>
              <w:right w:val="nil"/>
            </w:tcBorders>
            <w:shd w:val="clear" w:color="auto" w:fill="auto"/>
            <w:tcMar>
              <w:top w:w="0" w:type="dxa"/>
              <w:left w:w="70" w:type="dxa"/>
              <w:bottom w:w="0" w:type="dxa"/>
              <w:right w:w="70" w:type="dxa"/>
            </w:tcMar>
          </w:tcPr>
          <w:p w14:paraId="59D1B747" w14:textId="77777777" w:rsidR="004412F1" w:rsidRDefault="004412F1">
            <w:pPr>
              <w:framePr w:hSpace="141" w:wrap="around" w:vAnchor="text" w:hAnchor="margin" w:xAlign="center" w:y="96"/>
              <w:jc w:val="center"/>
              <w:rPr>
                <w:sz w:val="16"/>
                <w:szCs w:val="16"/>
              </w:rPr>
            </w:pPr>
          </w:p>
        </w:tc>
        <w:tc>
          <w:tcPr>
            <w:tcW w:w="192" w:type="dxa"/>
            <w:tcBorders>
              <w:top w:val="single" w:sz="4" w:space="0" w:color="000000"/>
              <w:left w:val="nil"/>
              <w:bottom w:val="nil"/>
              <w:right w:val="nil"/>
            </w:tcBorders>
            <w:shd w:val="clear" w:color="auto" w:fill="auto"/>
            <w:tcMar>
              <w:top w:w="0" w:type="dxa"/>
              <w:left w:w="70" w:type="dxa"/>
              <w:bottom w:w="0" w:type="dxa"/>
              <w:right w:w="70" w:type="dxa"/>
            </w:tcMar>
          </w:tcPr>
          <w:p w14:paraId="5D7116E7"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nil"/>
              <w:bottom w:val="nil"/>
              <w:right w:val="nil"/>
            </w:tcBorders>
            <w:shd w:val="clear" w:color="auto" w:fill="auto"/>
            <w:tcMar>
              <w:top w:w="0" w:type="dxa"/>
              <w:left w:w="70" w:type="dxa"/>
              <w:bottom w:w="0" w:type="dxa"/>
              <w:right w:w="70" w:type="dxa"/>
            </w:tcMar>
          </w:tcPr>
          <w:p w14:paraId="56887C46"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nil"/>
              <w:bottom w:val="nil"/>
              <w:right w:val="nil"/>
            </w:tcBorders>
            <w:shd w:val="clear" w:color="auto" w:fill="auto"/>
            <w:tcMar>
              <w:top w:w="0" w:type="dxa"/>
              <w:left w:w="70" w:type="dxa"/>
              <w:bottom w:w="0" w:type="dxa"/>
              <w:right w:w="70" w:type="dxa"/>
            </w:tcMar>
          </w:tcPr>
          <w:p w14:paraId="4D1479E6"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nil"/>
              <w:bottom w:val="nil"/>
              <w:right w:val="nil"/>
            </w:tcBorders>
            <w:shd w:val="clear" w:color="auto" w:fill="auto"/>
            <w:tcMar>
              <w:top w:w="0" w:type="dxa"/>
              <w:left w:w="70" w:type="dxa"/>
              <w:bottom w:w="0" w:type="dxa"/>
              <w:right w:w="70" w:type="dxa"/>
            </w:tcMar>
          </w:tcPr>
          <w:p w14:paraId="259538AF" w14:textId="77777777" w:rsidR="004412F1" w:rsidRDefault="004412F1">
            <w:pPr>
              <w:framePr w:hSpace="141" w:wrap="around" w:vAnchor="text" w:hAnchor="margin" w:xAlign="center" w:y="96"/>
              <w:jc w:val="center"/>
              <w:rPr>
                <w:sz w:val="16"/>
                <w:szCs w:val="16"/>
              </w:rPr>
            </w:pPr>
          </w:p>
        </w:tc>
        <w:tc>
          <w:tcPr>
            <w:tcW w:w="168" w:type="dxa"/>
            <w:tcBorders>
              <w:top w:val="single" w:sz="4" w:space="0" w:color="000000"/>
              <w:left w:val="nil"/>
              <w:bottom w:val="nil"/>
              <w:right w:val="nil"/>
            </w:tcBorders>
            <w:shd w:val="clear" w:color="auto" w:fill="auto"/>
            <w:tcMar>
              <w:top w:w="0" w:type="dxa"/>
              <w:left w:w="70" w:type="dxa"/>
              <w:bottom w:w="0" w:type="dxa"/>
              <w:right w:w="70" w:type="dxa"/>
            </w:tcMar>
          </w:tcPr>
          <w:p w14:paraId="68AC5A07" w14:textId="77777777" w:rsidR="004412F1" w:rsidRDefault="004412F1">
            <w:pPr>
              <w:framePr w:hSpace="141" w:wrap="around" w:vAnchor="text" w:hAnchor="margin" w:xAlign="center" w:y="96"/>
              <w:jc w:val="center"/>
              <w:rPr>
                <w:sz w:val="16"/>
                <w:szCs w:val="16"/>
              </w:rPr>
            </w:pPr>
          </w:p>
        </w:tc>
        <w:tc>
          <w:tcPr>
            <w:tcW w:w="334" w:type="dxa"/>
            <w:tcBorders>
              <w:top w:val="single" w:sz="4" w:space="0" w:color="000000"/>
              <w:left w:val="nil"/>
              <w:bottom w:val="nil"/>
              <w:right w:val="nil"/>
            </w:tcBorders>
            <w:shd w:val="clear" w:color="auto" w:fill="auto"/>
            <w:tcMar>
              <w:top w:w="0" w:type="dxa"/>
              <w:left w:w="70" w:type="dxa"/>
              <w:bottom w:w="0" w:type="dxa"/>
              <w:right w:w="70" w:type="dxa"/>
            </w:tcMar>
          </w:tcPr>
          <w:p w14:paraId="3706B12F" w14:textId="77777777" w:rsidR="004412F1" w:rsidRDefault="004412F1">
            <w:pPr>
              <w:framePr w:hSpace="141" w:wrap="around" w:vAnchor="text" w:hAnchor="margin" w:xAlign="center" w:y="96"/>
              <w:jc w:val="center"/>
              <w:rPr>
                <w:sz w:val="16"/>
                <w:szCs w:val="16"/>
              </w:rPr>
            </w:pPr>
          </w:p>
        </w:tc>
        <w:tc>
          <w:tcPr>
            <w:tcW w:w="217" w:type="dxa"/>
            <w:tcBorders>
              <w:top w:val="single" w:sz="4" w:space="0" w:color="000000"/>
              <w:left w:val="nil"/>
              <w:bottom w:val="nil"/>
              <w:right w:val="nil"/>
            </w:tcBorders>
            <w:shd w:val="clear" w:color="auto" w:fill="auto"/>
            <w:tcMar>
              <w:top w:w="0" w:type="dxa"/>
              <w:left w:w="70" w:type="dxa"/>
              <w:bottom w:w="0" w:type="dxa"/>
              <w:right w:w="70" w:type="dxa"/>
            </w:tcMar>
          </w:tcPr>
          <w:p w14:paraId="16C82E78" w14:textId="77777777" w:rsidR="004412F1" w:rsidRDefault="004412F1">
            <w:pPr>
              <w:framePr w:hSpace="141" w:wrap="around" w:vAnchor="text" w:hAnchor="margin" w:xAlign="center" w:y="96"/>
              <w:jc w:val="center"/>
              <w:rPr>
                <w:sz w:val="16"/>
                <w:szCs w:val="16"/>
              </w:rPr>
            </w:pPr>
          </w:p>
        </w:tc>
        <w:tc>
          <w:tcPr>
            <w:tcW w:w="209" w:type="dxa"/>
            <w:tcBorders>
              <w:top w:val="single" w:sz="4" w:space="0" w:color="000000"/>
              <w:left w:val="nil"/>
              <w:bottom w:val="nil"/>
              <w:right w:val="nil"/>
            </w:tcBorders>
            <w:shd w:val="clear" w:color="auto" w:fill="auto"/>
            <w:tcMar>
              <w:top w:w="0" w:type="dxa"/>
              <w:left w:w="70" w:type="dxa"/>
              <w:bottom w:w="0" w:type="dxa"/>
              <w:right w:w="70" w:type="dxa"/>
            </w:tcMar>
          </w:tcPr>
          <w:p w14:paraId="18AB75A2" w14:textId="77777777" w:rsidR="004412F1" w:rsidRDefault="004412F1">
            <w:pPr>
              <w:framePr w:hSpace="141" w:wrap="around" w:vAnchor="text" w:hAnchor="margin" w:xAlign="center" w:y="96"/>
              <w:jc w:val="center"/>
              <w:rPr>
                <w:sz w:val="16"/>
                <w:szCs w:val="16"/>
              </w:rPr>
            </w:pPr>
          </w:p>
        </w:tc>
        <w:tc>
          <w:tcPr>
            <w:tcW w:w="262" w:type="dxa"/>
            <w:tcBorders>
              <w:top w:val="single" w:sz="4" w:space="0" w:color="000000"/>
              <w:left w:val="nil"/>
              <w:bottom w:val="nil"/>
              <w:right w:val="nil"/>
            </w:tcBorders>
            <w:shd w:val="clear" w:color="auto" w:fill="auto"/>
            <w:tcMar>
              <w:top w:w="0" w:type="dxa"/>
              <w:left w:w="70" w:type="dxa"/>
              <w:bottom w:w="0" w:type="dxa"/>
              <w:right w:w="70" w:type="dxa"/>
            </w:tcMar>
          </w:tcPr>
          <w:p w14:paraId="04CC78A2"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nil"/>
              <w:bottom w:val="nil"/>
              <w:right w:val="nil"/>
            </w:tcBorders>
            <w:shd w:val="clear" w:color="auto" w:fill="auto"/>
            <w:tcMar>
              <w:top w:w="0" w:type="dxa"/>
              <w:left w:w="70" w:type="dxa"/>
              <w:bottom w:w="0" w:type="dxa"/>
              <w:right w:w="70" w:type="dxa"/>
            </w:tcMar>
          </w:tcPr>
          <w:p w14:paraId="333C9BD8"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nil"/>
              <w:bottom w:val="nil"/>
              <w:right w:val="nil"/>
            </w:tcBorders>
            <w:shd w:val="clear" w:color="auto" w:fill="auto"/>
            <w:tcMar>
              <w:top w:w="0" w:type="dxa"/>
              <w:left w:w="70" w:type="dxa"/>
              <w:bottom w:w="0" w:type="dxa"/>
              <w:right w:w="70" w:type="dxa"/>
            </w:tcMar>
          </w:tcPr>
          <w:p w14:paraId="373381C4"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nil"/>
              <w:bottom w:val="nil"/>
              <w:right w:val="nil"/>
            </w:tcBorders>
            <w:shd w:val="clear" w:color="auto" w:fill="auto"/>
            <w:tcMar>
              <w:top w:w="0" w:type="dxa"/>
              <w:left w:w="70" w:type="dxa"/>
              <w:bottom w:w="0" w:type="dxa"/>
              <w:right w:w="70" w:type="dxa"/>
            </w:tcMar>
          </w:tcPr>
          <w:p w14:paraId="4E05FCF1" w14:textId="77777777" w:rsidR="004412F1" w:rsidRDefault="004412F1">
            <w:pPr>
              <w:framePr w:hSpace="141" w:wrap="around" w:vAnchor="text" w:hAnchor="margin" w:xAlign="center" w:y="96"/>
              <w:jc w:val="center"/>
              <w:rPr>
                <w:sz w:val="16"/>
                <w:szCs w:val="16"/>
              </w:rPr>
            </w:pPr>
          </w:p>
        </w:tc>
        <w:tc>
          <w:tcPr>
            <w:tcW w:w="360" w:type="dxa"/>
            <w:tcBorders>
              <w:top w:val="single" w:sz="4" w:space="0" w:color="000000"/>
              <w:left w:val="nil"/>
              <w:bottom w:val="nil"/>
              <w:right w:val="nil"/>
            </w:tcBorders>
            <w:shd w:val="clear" w:color="auto" w:fill="auto"/>
            <w:tcMar>
              <w:top w:w="0" w:type="dxa"/>
              <w:left w:w="70" w:type="dxa"/>
              <w:bottom w:w="0" w:type="dxa"/>
              <w:right w:w="70" w:type="dxa"/>
            </w:tcMar>
          </w:tcPr>
          <w:p w14:paraId="56C580FE" w14:textId="77777777" w:rsidR="004412F1" w:rsidRDefault="004412F1">
            <w:pPr>
              <w:framePr w:hSpace="141" w:wrap="around" w:vAnchor="text" w:hAnchor="margin" w:xAlign="center" w:y="96"/>
              <w:jc w:val="center"/>
              <w:rPr>
                <w:sz w:val="16"/>
                <w:szCs w:val="16"/>
              </w:rPr>
            </w:pPr>
          </w:p>
        </w:tc>
        <w:tc>
          <w:tcPr>
            <w:tcW w:w="361" w:type="dxa"/>
            <w:tcBorders>
              <w:top w:val="single" w:sz="4" w:space="0" w:color="000000"/>
              <w:left w:val="nil"/>
              <w:bottom w:val="nil"/>
              <w:right w:val="nil"/>
            </w:tcBorders>
            <w:shd w:val="clear" w:color="auto" w:fill="auto"/>
            <w:tcMar>
              <w:top w:w="0" w:type="dxa"/>
              <w:left w:w="70" w:type="dxa"/>
              <w:bottom w:w="0" w:type="dxa"/>
              <w:right w:w="70" w:type="dxa"/>
            </w:tcMar>
          </w:tcPr>
          <w:p w14:paraId="71F26923" w14:textId="77777777" w:rsidR="004412F1" w:rsidRDefault="004412F1">
            <w:pPr>
              <w:framePr w:hSpace="141" w:wrap="around" w:vAnchor="text" w:hAnchor="margin" w:xAlign="center" w:y="96"/>
              <w:jc w:val="center"/>
              <w:rPr>
                <w:sz w:val="16"/>
                <w:szCs w:val="16"/>
              </w:rPr>
            </w:pPr>
          </w:p>
        </w:tc>
        <w:tc>
          <w:tcPr>
            <w:tcW w:w="240" w:type="dxa"/>
            <w:tcBorders>
              <w:top w:val="single" w:sz="4" w:space="0" w:color="000000"/>
              <w:left w:val="nil"/>
              <w:bottom w:val="nil"/>
              <w:right w:val="nil"/>
            </w:tcBorders>
            <w:shd w:val="clear" w:color="auto" w:fill="auto"/>
            <w:tcMar>
              <w:top w:w="0" w:type="dxa"/>
              <w:left w:w="70" w:type="dxa"/>
              <w:bottom w:w="0" w:type="dxa"/>
              <w:right w:w="70" w:type="dxa"/>
            </w:tcMar>
          </w:tcPr>
          <w:p w14:paraId="7BB84DE3" w14:textId="77777777" w:rsidR="004412F1" w:rsidRDefault="004412F1">
            <w:pPr>
              <w:framePr w:hSpace="141" w:wrap="around" w:vAnchor="text" w:hAnchor="margin" w:xAlign="center" w:y="96"/>
              <w:jc w:val="center"/>
              <w:rPr>
                <w:sz w:val="16"/>
                <w:szCs w:val="16"/>
              </w:rPr>
            </w:pPr>
          </w:p>
        </w:tc>
        <w:tc>
          <w:tcPr>
            <w:tcW w:w="383" w:type="dxa"/>
            <w:tcBorders>
              <w:top w:val="single" w:sz="4" w:space="0" w:color="000000"/>
              <w:left w:val="nil"/>
              <w:bottom w:val="nil"/>
              <w:right w:val="nil"/>
            </w:tcBorders>
            <w:shd w:val="clear" w:color="auto" w:fill="auto"/>
            <w:tcMar>
              <w:top w:w="0" w:type="dxa"/>
              <w:left w:w="70" w:type="dxa"/>
              <w:bottom w:w="0" w:type="dxa"/>
              <w:right w:w="70" w:type="dxa"/>
            </w:tcMar>
          </w:tcPr>
          <w:p w14:paraId="6890E623" w14:textId="77777777" w:rsidR="004412F1" w:rsidRDefault="004412F1">
            <w:pPr>
              <w:framePr w:hSpace="141" w:wrap="around" w:vAnchor="text" w:hAnchor="margin" w:xAlign="center" w:y="96"/>
              <w:jc w:val="center"/>
              <w:rPr>
                <w:sz w:val="16"/>
                <w:szCs w:val="16"/>
              </w:rPr>
            </w:pPr>
          </w:p>
        </w:tc>
      </w:tr>
      <w:tr w:rsidR="004412F1" w14:paraId="3EFC10E9" w14:textId="77777777">
        <w:trPr>
          <w:gridAfter w:val="1"/>
          <w:wAfter w:w="8" w:type="dxa"/>
          <w:trHeight w:val="174"/>
        </w:trPr>
        <w:tc>
          <w:tcPr>
            <w:tcW w:w="540" w:type="dxa"/>
            <w:tcBorders>
              <w:top w:val="nil"/>
              <w:left w:val="nil"/>
              <w:bottom w:val="nil"/>
              <w:right w:val="nil"/>
            </w:tcBorders>
            <w:shd w:val="clear" w:color="auto" w:fill="auto"/>
            <w:tcMar>
              <w:top w:w="0" w:type="dxa"/>
              <w:left w:w="70" w:type="dxa"/>
              <w:bottom w:w="0" w:type="dxa"/>
              <w:right w:w="70" w:type="dxa"/>
            </w:tcMar>
          </w:tcPr>
          <w:p w14:paraId="522CF556" w14:textId="77777777" w:rsidR="004412F1" w:rsidRDefault="004412F1">
            <w:pPr>
              <w:framePr w:hSpace="141" w:wrap="around" w:vAnchor="text" w:hAnchor="margin" w:xAlign="center" w:y="96"/>
              <w:jc w:val="center"/>
              <w:rPr>
                <w:sz w:val="16"/>
              </w:rPr>
            </w:pPr>
          </w:p>
        </w:tc>
        <w:tc>
          <w:tcPr>
            <w:tcW w:w="481" w:type="dxa"/>
            <w:tcBorders>
              <w:top w:val="nil"/>
              <w:left w:val="nil"/>
              <w:bottom w:val="nil"/>
              <w:right w:val="nil"/>
            </w:tcBorders>
            <w:shd w:val="clear" w:color="auto" w:fill="auto"/>
            <w:tcMar>
              <w:top w:w="0" w:type="dxa"/>
              <w:left w:w="70" w:type="dxa"/>
              <w:bottom w:w="0" w:type="dxa"/>
              <w:right w:w="70" w:type="dxa"/>
            </w:tcMar>
          </w:tcPr>
          <w:p w14:paraId="21CCD22A" w14:textId="77777777" w:rsidR="004412F1" w:rsidRDefault="004412F1">
            <w:pPr>
              <w:framePr w:hSpace="141" w:wrap="around" w:vAnchor="text" w:hAnchor="margin" w:xAlign="center" w:y="96"/>
              <w:jc w:val="center"/>
              <w:rPr>
                <w:sz w:val="16"/>
              </w:rPr>
            </w:pPr>
          </w:p>
        </w:tc>
        <w:tc>
          <w:tcPr>
            <w:tcW w:w="962" w:type="dxa"/>
            <w:tcBorders>
              <w:top w:val="nil"/>
              <w:left w:val="nil"/>
              <w:bottom w:val="nil"/>
              <w:right w:val="nil"/>
            </w:tcBorders>
            <w:shd w:val="clear" w:color="auto" w:fill="auto"/>
            <w:tcMar>
              <w:top w:w="0" w:type="dxa"/>
              <w:left w:w="70" w:type="dxa"/>
              <w:bottom w:w="0" w:type="dxa"/>
              <w:right w:w="70" w:type="dxa"/>
            </w:tcMar>
          </w:tcPr>
          <w:p w14:paraId="49A75AA4" w14:textId="77777777" w:rsidR="004412F1" w:rsidRDefault="004412F1">
            <w:pPr>
              <w:framePr w:hSpace="141" w:wrap="around" w:vAnchor="text" w:hAnchor="margin" w:xAlign="center" w:y="96"/>
              <w:jc w:val="center"/>
              <w:rPr>
                <w:sz w:val="16"/>
                <w:szCs w:val="16"/>
              </w:rPr>
            </w:pPr>
          </w:p>
        </w:tc>
        <w:tc>
          <w:tcPr>
            <w:tcW w:w="962" w:type="dxa"/>
            <w:tcBorders>
              <w:top w:val="nil"/>
              <w:left w:val="nil"/>
              <w:bottom w:val="nil"/>
              <w:right w:val="nil"/>
            </w:tcBorders>
            <w:shd w:val="clear" w:color="auto" w:fill="auto"/>
            <w:tcMar>
              <w:top w:w="0" w:type="dxa"/>
              <w:left w:w="70" w:type="dxa"/>
              <w:bottom w:w="0" w:type="dxa"/>
              <w:right w:w="70" w:type="dxa"/>
            </w:tcMar>
          </w:tcPr>
          <w:p w14:paraId="344D2710" w14:textId="77777777" w:rsidR="004412F1" w:rsidRDefault="004412F1">
            <w:pPr>
              <w:framePr w:hSpace="141" w:wrap="around" w:vAnchor="text" w:hAnchor="margin" w:xAlign="center" w:y="96"/>
              <w:jc w:val="center"/>
              <w:rPr>
                <w:sz w:val="16"/>
                <w:szCs w:val="16"/>
              </w:rPr>
            </w:pPr>
          </w:p>
        </w:tc>
        <w:tc>
          <w:tcPr>
            <w:tcW w:w="783" w:type="dxa"/>
            <w:tcBorders>
              <w:top w:val="nil"/>
              <w:left w:val="nil"/>
              <w:bottom w:val="nil"/>
              <w:right w:val="nil"/>
            </w:tcBorders>
            <w:shd w:val="clear" w:color="auto" w:fill="auto"/>
            <w:tcMar>
              <w:top w:w="0" w:type="dxa"/>
              <w:left w:w="70" w:type="dxa"/>
              <w:bottom w:w="0" w:type="dxa"/>
              <w:right w:w="70" w:type="dxa"/>
            </w:tcMar>
          </w:tcPr>
          <w:p w14:paraId="0EE0505B" w14:textId="77777777" w:rsidR="004412F1" w:rsidRDefault="004412F1">
            <w:pPr>
              <w:framePr w:hSpace="141" w:wrap="around" w:vAnchor="text" w:hAnchor="margin" w:xAlign="center" w:y="96"/>
              <w:jc w:val="center"/>
              <w:rPr>
                <w:sz w:val="16"/>
                <w:szCs w:val="16"/>
              </w:rPr>
            </w:pPr>
          </w:p>
        </w:tc>
        <w:tc>
          <w:tcPr>
            <w:tcW w:w="728" w:type="dxa"/>
            <w:tcBorders>
              <w:top w:val="nil"/>
              <w:left w:val="nil"/>
              <w:bottom w:val="nil"/>
              <w:right w:val="nil"/>
            </w:tcBorders>
            <w:shd w:val="clear" w:color="auto" w:fill="auto"/>
            <w:tcMar>
              <w:top w:w="0" w:type="dxa"/>
              <w:left w:w="70" w:type="dxa"/>
              <w:bottom w:w="0" w:type="dxa"/>
              <w:right w:w="70" w:type="dxa"/>
            </w:tcMar>
          </w:tcPr>
          <w:p w14:paraId="4E7767BC" w14:textId="77777777" w:rsidR="004412F1" w:rsidRDefault="004412F1">
            <w:pPr>
              <w:framePr w:hSpace="141" w:wrap="around" w:vAnchor="text" w:hAnchor="margin" w:xAlign="center" w:y="96"/>
              <w:jc w:val="center"/>
              <w:rPr>
                <w:sz w:val="16"/>
                <w:szCs w:val="16"/>
              </w:rPr>
            </w:pPr>
          </w:p>
        </w:tc>
        <w:tc>
          <w:tcPr>
            <w:tcW w:w="610" w:type="dxa"/>
            <w:tcBorders>
              <w:top w:val="nil"/>
              <w:left w:val="nil"/>
              <w:bottom w:val="nil"/>
              <w:right w:val="nil"/>
            </w:tcBorders>
            <w:shd w:val="clear" w:color="auto" w:fill="auto"/>
            <w:tcMar>
              <w:top w:w="0" w:type="dxa"/>
              <w:left w:w="70" w:type="dxa"/>
              <w:bottom w:w="0" w:type="dxa"/>
              <w:right w:w="70" w:type="dxa"/>
            </w:tcMar>
          </w:tcPr>
          <w:p w14:paraId="55D3655F" w14:textId="77777777" w:rsidR="004412F1" w:rsidRDefault="004412F1">
            <w:pPr>
              <w:framePr w:hSpace="141" w:wrap="around" w:vAnchor="text" w:hAnchor="margin" w:xAlign="center" w:y="96"/>
              <w:jc w:val="center"/>
              <w:rPr>
                <w:sz w:val="16"/>
                <w:szCs w:val="16"/>
              </w:rPr>
            </w:pPr>
          </w:p>
        </w:tc>
        <w:tc>
          <w:tcPr>
            <w:tcW w:w="192" w:type="dxa"/>
            <w:tcBorders>
              <w:top w:val="nil"/>
              <w:left w:val="nil"/>
              <w:bottom w:val="nil"/>
              <w:right w:val="nil"/>
            </w:tcBorders>
            <w:shd w:val="clear" w:color="auto" w:fill="auto"/>
            <w:tcMar>
              <w:top w:w="0" w:type="dxa"/>
              <w:left w:w="70" w:type="dxa"/>
              <w:bottom w:w="0" w:type="dxa"/>
              <w:right w:w="70" w:type="dxa"/>
            </w:tcMar>
          </w:tcPr>
          <w:p w14:paraId="29E4D1B1" w14:textId="77777777" w:rsidR="004412F1" w:rsidRDefault="004412F1">
            <w:pPr>
              <w:framePr w:hSpace="141" w:wrap="around" w:vAnchor="text" w:hAnchor="margin" w:xAlign="center" w:y="96"/>
              <w:jc w:val="center"/>
              <w:rPr>
                <w:sz w:val="16"/>
                <w:szCs w:val="16"/>
              </w:rPr>
            </w:pPr>
          </w:p>
        </w:tc>
        <w:tc>
          <w:tcPr>
            <w:tcW w:w="217" w:type="dxa"/>
            <w:tcBorders>
              <w:top w:val="nil"/>
              <w:left w:val="nil"/>
              <w:bottom w:val="nil"/>
              <w:right w:val="nil"/>
            </w:tcBorders>
            <w:shd w:val="clear" w:color="auto" w:fill="auto"/>
            <w:tcMar>
              <w:top w:w="0" w:type="dxa"/>
              <w:left w:w="70" w:type="dxa"/>
              <w:bottom w:w="0" w:type="dxa"/>
              <w:right w:w="70" w:type="dxa"/>
            </w:tcMar>
          </w:tcPr>
          <w:p w14:paraId="4A4D4785" w14:textId="77777777" w:rsidR="004412F1" w:rsidRDefault="004412F1">
            <w:pPr>
              <w:framePr w:hSpace="141" w:wrap="around" w:vAnchor="text" w:hAnchor="margin" w:xAlign="center" w:y="96"/>
              <w:jc w:val="center"/>
              <w:rPr>
                <w:sz w:val="16"/>
                <w:szCs w:val="16"/>
              </w:rPr>
            </w:pPr>
          </w:p>
        </w:tc>
        <w:tc>
          <w:tcPr>
            <w:tcW w:w="209" w:type="dxa"/>
            <w:tcBorders>
              <w:top w:val="nil"/>
              <w:left w:val="nil"/>
              <w:bottom w:val="nil"/>
              <w:right w:val="nil"/>
            </w:tcBorders>
            <w:shd w:val="clear" w:color="auto" w:fill="auto"/>
            <w:tcMar>
              <w:top w:w="0" w:type="dxa"/>
              <w:left w:w="70" w:type="dxa"/>
              <w:bottom w:w="0" w:type="dxa"/>
              <w:right w:w="70" w:type="dxa"/>
            </w:tcMar>
          </w:tcPr>
          <w:p w14:paraId="11BD9974" w14:textId="77777777" w:rsidR="004412F1" w:rsidRDefault="004412F1">
            <w:pPr>
              <w:framePr w:hSpace="141" w:wrap="around" w:vAnchor="text" w:hAnchor="margin" w:xAlign="center" w:y="96"/>
              <w:jc w:val="center"/>
              <w:rPr>
                <w:sz w:val="16"/>
                <w:szCs w:val="16"/>
              </w:rPr>
            </w:pPr>
          </w:p>
        </w:tc>
        <w:tc>
          <w:tcPr>
            <w:tcW w:w="217" w:type="dxa"/>
            <w:tcBorders>
              <w:top w:val="nil"/>
              <w:left w:val="nil"/>
              <w:bottom w:val="nil"/>
              <w:right w:val="nil"/>
            </w:tcBorders>
            <w:shd w:val="clear" w:color="auto" w:fill="auto"/>
            <w:tcMar>
              <w:top w:w="0" w:type="dxa"/>
              <w:left w:w="70" w:type="dxa"/>
              <w:bottom w:w="0" w:type="dxa"/>
              <w:right w:w="70" w:type="dxa"/>
            </w:tcMar>
          </w:tcPr>
          <w:p w14:paraId="31B4AC57" w14:textId="77777777" w:rsidR="004412F1" w:rsidRDefault="004412F1">
            <w:pPr>
              <w:framePr w:hSpace="141" w:wrap="around" w:vAnchor="text" w:hAnchor="margin" w:xAlign="center" w:y="96"/>
              <w:jc w:val="center"/>
              <w:rPr>
                <w:sz w:val="16"/>
                <w:szCs w:val="16"/>
              </w:rPr>
            </w:pPr>
          </w:p>
        </w:tc>
        <w:tc>
          <w:tcPr>
            <w:tcW w:w="168" w:type="dxa"/>
            <w:tcBorders>
              <w:top w:val="nil"/>
              <w:left w:val="nil"/>
              <w:bottom w:val="nil"/>
              <w:right w:val="nil"/>
            </w:tcBorders>
            <w:shd w:val="clear" w:color="auto" w:fill="auto"/>
            <w:tcMar>
              <w:top w:w="0" w:type="dxa"/>
              <w:left w:w="70" w:type="dxa"/>
              <w:bottom w:w="0" w:type="dxa"/>
              <w:right w:w="70" w:type="dxa"/>
            </w:tcMar>
          </w:tcPr>
          <w:p w14:paraId="7B445E18" w14:textId="77777777" w:rsidR="004412F1" w:rsidRDefault="004412F1">
            <w:pPr>
              <w:framePr w:hSpace="141" w:wrap="around" w:vAnchor="text" w:hAnchor="margin" w:xAlign="center" w:y="96"/>
              <w:jc w:val="center"/>
              <w:rPr>
                <w:sz w:val="16"/>
                <w:szCs w:val="16"/>
              </w:rPr>
            </w:pPr>
          </w:p>
        </w:tc>
        <w:tc>
          <w:tcPr>
            <w:tcW w:w="334" w:type="dxa"/>
            <w:tcBorders>
              <w:top w:val="nil"/>
              <w:left w:val="nil"/>
              <w:bottom w:val="nil"/>
              <w:right w:val="nil"/>
            </w:tcBorders>
            <w:shd w:val="clear" w:color="auto" w:fill="auto"/>
            <w:tcMar>
              <w:top w:w="0" w:type="dxa"/>
              <w:left w:w="70" w:type="dxa"/>
              <w:bottom w:w="0" w:type="dxa"/>
              <w:right w:w="70" w:type="dxa"/>
            </w:tcMar>
          </w:tcPr>
          <w:p w14:paraId="08DAAC6B" w14:textId="77777777" w:rsidR="004412F1" w:rsidRDefault="004412F1">
            <w:pPr>
              <w:framePr w:hSpace="141" w:wrap="around" w:vAnchor="text" w:hAnchor="margin" w:xAlign="center" w:y="96"/>
              <w:jc w:val="center"/>
              <w:rPr>
                <w:sz w:val="16"/>
                <w:szCs w:val="16"/>
              </w:rPr>
            </w:pPr>
          </w:p>
        </w:tc>
        <w:tc>
          <w:tcPr>
            <w:tcW w:w="217" w:type="dxa"/>
            <w:tcBorders>
              <w:top w:val="nil"/>
              <w:left w:val="nil"/>
              <w:bottom w:val="nil"/>
              <w:right w:val="nil"/>
            </w:tcBorders>
            <w:shd w:val="clear" w:color="auto" w:fill="auto"/>
            <w:tcMar>
              <w:top w:w="0" w:type="dxa"/>
              <w:left w:w="70" w:type="dxa"/>
              <w:bottom w:w="0" w:type="dxa"/>
              <w:right w:w="70" w:type="dxa"/>
            </w:tcMar>
          </w:tcPr>
          <w:p w14:paraId="48153559" w14:textId="77777777" w:rsidR="004412F1" w:rsidRDefault="004412F1">
            <w:pPr>
              <w:framePr w:hSpace="141" w:wrap="around" w:vAnchor="text" w:hAnchor="margin" w:xAlign="center" w:y="96"/>
              <w:jc w:val="center"/>
              <w:rPr>
                <w:sz w:val="16"/>
                <w:szCs w:val="16"/>
              </w:rPr>
            </w:pPr>
          </w:p>
        </w:tc>
        <w:tc>
          <w:tcPr>
            <w:tcW w:w="209" w:type="dxa"/>
            <w:tcBorders>
              <w:top w:val="nil"/>
              <w:left w:val="nil"/>
              <w:bottom w:val="nil"/>
              <w:right w:val="nil"/>
            </w:tcBorders>
            <w:shd w:val="clear" w:color="auto" w:fill="auto"/>
            <w:tcMar>
              <w:top w:w="0" w:type="dxa"/>
              <w:left w:w="70" w:type="dxa"/>
              <w:bottom w:w="0" w:type="dxa"/>
              <w:right w:w="70" w:type="dxa"/>
            </w:tcMar>
          </w:tcPr>
          <w:p w14:paraId="70AC852D" w14:textId="77777777" w:rsidR="004412F1" w:rsidRDefault="004412F1">
            <w:pPr>
              <w:framePr w:hSpace="141" w:wrap="around" w:vAnchor="text" w:hAnchor="margin" w:xAlign="center" w:y="96"/>
              <w:jc w:val="center"/>
              <w:rPr>
                <w:sz w:val="16"/>
                <w:szCs w:val="16"/>
              </w:rPr>
            </w:pPr>
          </w:p>
        </w:tc>
        <w:tc>
          <w:tcPr>
            <w:tcW w:w="262" w:type="dxa"/>
            <w:tcBorders>
              <w:top w:val="nil"/>
              <w:left w:val="nil"/>
              <w:bottom w:val="nil"/>
              <w:right w:val="nil"/>
            </w:tcBorders>
            <w:shd w:val="clear" w:color="auto" w:fill="auto"/>
            <w:tcMar>
              <w:top w:w="0" w:type="dxa"/>
              <w:left w:w="70" w:type="dxa"/>
              <w:bottom w:w="0" w:type="dxa"/>
              <w:right w:w="70" w:type="dxa"/>
            </w:tcMar>
          </w:tcPr>
          <w:p w14:paraId="257DF421" w14:textId="77777777" w:rsidR="004412F1" w:rsidRDefault="004412F1">
            <w:pPr>
              <w:framePr w:hSpace="141" w:wrap="around" w:vAnchor="text" w:hAnchor="margin" w:xAlign="center" w:y="96"/>
              <w:jc w:val="center"/>
              <w:rPr>
                <w:sz w:val="16"/>
                <w:szCs w:val="16"/>
              </w:rPr>
            </w:pPr>
          </w:p>
        </w:tc>
        <w:tc>
          <w:tcPr>
            <w:tcW w:w="240" w:type="dxa"/>
            <w:tcBorders>
              <w:top w:val="nil"/>
              <w:left w:val="nil"/>
              <w:bottom w:val="nil"/>
              <w:right w:val="nil"/>
            </w:tcBorders>
            <w:shd w:val="clear" w:color="auto" w:fill="auto"/>
            <w:tcMar>
              <w:top w:w="0" w:type="dxa"/>
              <w:left w:w="70" w:type="dxa"/>
              <w:bottom w:w="0" w:type="dxa"/>
              <w:right w:w="70" w:type="dxa"/>
            </w:tcMar>
          </w:tcPr>
          <w:p w14:paraId="6C0B554D" w14:textId="77777777" w:rsidR="004412F1" w:rsidRDefault="004412F1">
            <w:pPr>
              <w:framePr w:hSpace="141" w:wrap="around" w:vAnchor="text" w:hAnchor="margin" w:xAlign="center" w:y="96"/>
              <w:jc w:val="center"/>
              <w:rPr>
                <w:sz w:val="16"/>
                <w:szCs w:val="16"/>
              </w:rPr>
            </w:pPr>
          </w:p>
        </w:tc>
        <w:tc>
          <w:tcPr>
            <w:tcW w:w="360" w:type="dxa"/>
            <w:tcBorders>
              <w:top w:val="nil"/>
              <w:left w:val="nil"/>
              <w:bottom w:val="nil"/>
              <w:right w:val="nil"/>
            </w:tcBorders>
            <w:shd w:val="clear" w:color="auto" w:fill="auto"/>
            <w:tcMar>
              <w:top w:w="0" w:type="dxa"/>
              <w:left w:w="70" w:type="dxa"/>
              <w:bottom w:w="0" w:type="dxa"/>
              <w:right w:w="70" w:type="dxa"/>
            </w:tcMar>
          </w:tcPr>
          <w:p w14:paraId="09D45779" w14:textId="77777777" w:rsidR="004412F1" w:rsidRDefault="004412F1">
            <w:pPr>
              <w:framePr w:hSpace="141" w:wrap="around" w:vAnchor="text" w:hAnchor="margin" w:xAlign="center" w:y="96"/>
              <w:jc w:val="center"/>
              <w:rPr>
                <w:sz w:val="16"/>
                <w:szCs w:val="16"/>
              </w:rPr>
            </w:pPr>
          </w:p>
        </w:tc>
        <w:tc>
          <w:tcPr>
            <w:tcW w:w="360" w:type="dxa"/>
            <w:tcBorders>
              <w:top w:val="nil"/>
              <w:left w:val="nil"/>
              <w:bottom w:val="nil"/>
              <w:right w:val="nil"/>
            </w:tcBorders>
            <w:shd w:val="clear" w:color="auto" w:fill="auto"/>
            <w:tcMar>
              <w:top w:w="0" w:type="dxa"/>
              <w:left w:w="70" w:type="dxa"/>
              <w:bottom w:w="0" w:type="dxa"/>
              <w:right w:w="70" w:type="dxa"/>
            </w:tcMar>
          </w:tcPr>
          <w:p w14:paraId="322C7109" w14:textId="77777777" w:rsidR="004412F1" w:rsidRDefault="004412F1">
            <w:pPr>
              <w:framePr w:hSpace="141" w:wrap="around" w:vAnchor="text" w:hAnchor="margin" w:xAlign="center" w:y="96"/>
              <w:jc w:val="center"/>
              <w:rPr>
                <w:sz w:val="16"/>
                <w:szCs w:val="16"/>
              </w:rPr>
            </w:pPr>
          </w:p>
        </w:tc>
        <w:tc>
          <w:tcPr>
            <w:tcW w:w="360" w:type="dxa"/>
            <w:tcBorders>
              <w:top w:val="nil"/>
              <w:left w:val="nil"/>
              <w:bottom w:val="nil"/>
              <w:right w:val="nil"/>
            </w:tcBorders>
            <w:shd w:val="clear" w:color="auto" w:fill="auto"/>
            <w:tcMar>
              <w:top w:w="0" w:type="dxa"/>
              <w:left w:w="70" w:type="dxa"/>
              <w:bottom w:w="0" w:type="dxa"/>
              <w:right w:w="70" w:type="dxa"/>
            </w:tcMar>
          </w:tcPr>
          <w:p w14:paraId="6DF922F5" w14:textId="77777777" w:rsidR="004412F1" w:rsidRDefault="004412F1">
            <w:pPr>
              <w:framePr w:hSpace="141" w:wrap="around" w:vAnchor="text" w:hAnchor="margin" w:xAlign="center" w:y="96"/>
              <w:jc w:val="center"/>
              <w:rPr>
                <w:sz w:val="16"/>
                <w:szCs w:val="16"/>
              </w:rPr>
            </w:pPr>
          </w:p>
        </w:tc>
        <w:tc>
          <w:tcPr>
            <w:tcW w:w="361" w:type="dxa"/>
            <w:tcBorders>
              <w:top w:val="nil"/>
              <w:left w:val="nil"/>
              <w:bottom w:val="nil"/>
              <w:right w:val="nil"/>
            </w:tcBorders>
            <w:shd w:val="clear" w:color="auto" w:fill="auto"/>
            <w:tcMar>
              <w:top w:w="0" w:type="dxa"/>
              <w:left w:w="70" w:type="dxa"/>
              <w:bottom w:w="0" w:type="dxa"/>
              <w:right w:w="70" w:type="dxa"/>
            </w:tcMar>
          </w:tcPr>
          <w:p w14:paraId="09BF1628" w14:textId="77777777" w:rsidR="004412F1" w:rsidRDefault="004412F1">
            <w:pPr>
              <w:framePr w:hSpace="141" w:wrap="around" w:vAnchor="text" w:hAnchor="margin" w:xAlign="center" w:y="96"/>
              <w:jc w:val="center"/>
              <w:rPr>
                <w:sz w:val="16"/>
                <w:szCs w:val="16"/>
              </w:rPr>
            </w:pPr>
          </w:p>
        </w:tc>
        <w:tc>
          <w:tcPr>
            <w:tcW w:w="240" w:type="dxa"/>
            <w:tcBorders>
              <w:top w:val="nil"/>
              <w:left w:val="nil"/>
              <w:bottom w:val="nil"/>
              <w:right w:val="nil"/>
            </w:tcBorders>
            <w:shd w:val="clear" w:color="auto" w:fill="auto"/>
            <w:tcMar>
              <w:top w:w="0" w:type="dxa"/>
              <w:left w:w="70" w:type="dxa"/>
              <w:bottom w:w="0" w:type="dxa"/>
              <w:right w:w="70" w:type="dxa"/>
            </w:tcMar>
          </w:tcPr>
          <w:p w14:paraId="02C1A778" w14:textId="77777777" w:rsidR="004412F1" w:rsidRDefault="004412F1">
            <w:pPr>
              <w:framePr w:hSpace="141" w:wrap="around" w:vAnchor="text" w:hAnchor="margin" w:xAlign="center" w:y="96"/>
              <w:jc w:val="center"/>
              <w:rPr>
                <w:sz w:val="16"/>
                <w:szCs w:val="16"/>
              </w:rPr>
            </w:pPr>
          </w:p>
        </w:tc>
        <w:tc>
          <w:tcPr>
            <w:tcW w:w="383" w:type="dxa"/>
            <w:tcBorders>
              <w:top w:val="nil"/>
              <w:left w:val="nil"/>
              <w:bottom w:val="nil"/>
              <w:right w:val="nil"/>
            </w:tcBorders>
            <w:shd w:val="clear" w:color="auto" w:fill="auto"/>
            <w:tcMar>
              <w:top w:w="0" w:type="dxa"/>
              <w:left w:w="70" w:type="dxa"/>
              <w:bottom w:w="0" w:type="dxa"/>
              <w:right w:w="70" w:type="dxa"/>
            </w:tcMar>
          </w:tcPr>
          <w:p w14:paraId="5A425D24" w14:textId="77777777" w:rsidR="004412F1" w:rsidRDefault="004412F1">
            <w:pPr>
              <w:framePr w:hSpace="141" w:wrap="around" w:vAnchor="text" w:hAnchor="margin" w:xAlign="center" w:y="96"/>
              <w:jc w:val="center"/>
              <w:rPr>
                <w:sz w:val="16"/>
                <w:szCs w:val="16"/>
              </w:rPr>
            </w:pPr>
          </w:p>
        </w:tc>
      </w:tr>
    </w:tbl>
    <w:p w14:paraId="67219B86" w14:textId="77777777" w:rsidR="004412F1" w:rsidRDefault="004412F1">
      <w:pPr>
        <w:rPr>
          <w:b/>
        </w:rPr>
      </w:pPr>
    </w:p>
    <w:p w14:paraId="0F585E91" w14:textId="77777777" w:rsidR="004412F1" w:rsidRDefault="004412F1">
      <w:pPr>
        <w:rPr>
          <w:b/>
        </w:rPr>
      </w:pPr>
    </w:p>
    <w:p w14:paraId="4C308FF5" w14:textId="77777777" w:rsidR="004412F1" w:rsidRDefault="005A12A3">
      <w:pPr>
        <w:rPr>
          <w:b/>
          <w:u w:val="single"/>
        </w:rPr>
      </w:pPr>
      <w:r>
        <w:rPr>
          <w:b/>
          <w:u w:val="single"/>
        </w:rPr>
        <w:t>Leyenda</w:t>
      </w:r>
    </w:p>
    <w:p w14:paraId="7E0F7514" w14:textId="77777777" w:rsidR="004412F1" w:rsidRDefault="005A12A3">
      <w:r>
        <w:t>S: Superficie de rodadura</w:t>
      </w:r>
    </w:p>
    <w:p w14:paraId="320B809E" w14:textId="77777777" w:rsidR="004412F1" w:rsidRDefault="005A12A3">
      <w:r>
        <w:t>B: Bermas</w:t>
      </w:r>
    </w:p>
    <w:p w14:paraId="7E520D14" w14:textId="77777777" w:rsidR="004412F1" w:rsidRDefault="005A12A3">
      <w:r>
        <w:t>D: Drenajes, puentes y viaductos</w:t>
      </w:r>
    </w:p>
    <w:p w14:paraId="2CCCB6BF" w14:textId="77777777" w:rsidR="004412F1" w:rsidRDefault="005A12A3">
      <w:r>
        <w:t>AC: Área de Concesión</w:t>
      </w:r>
    </w:p>
    <w:p w14:paraId="448B883D" w14:textId="77777777" w:rsidR="004412F1" w:rsidRDefault="005A12A3">
      <w:r>
        <w:t>SV: Seguridad vial</w:t>
      </w:r>
    </w:p>
    <w:p w14:paraId="37F6779C" w14:textId="77777777" w:rsidR="004412F1" w:rsidRDefault="004412F1">
      <w:pPr>
        <w:rPr>
          <w:b/>
        </w:rPr>
      </w:pPr>
    </w:p>
    <w:p w14:paraId="05576149" w14:textId="77777777" w:rsidR="004412F1" w:rsidRDefault="004412F1">
      <w:pPr>
        <w:rPr>
          <w:b/>
        </w:rPr>
      </w:pPr>
    </w:p>
    <w:p w14:paraId="043BD72F" w14:textId="77777777" w:rsidR="004412F1" w:rsidRDefault="004412F1">
      <w:pPr>
        <w:rPr>
          <w:b/>
        </w:rPr>
      </w:pPr>
    </w:p>
    <w:p w14:paraId="06BAD941" w14:textId="77777777" w:rsidR="004412F1" w:rsidRDefault="004412F1">
      <w:pPr>
        <w:rPr>
          <w:b/>
        </w:rPr>
      </w:pPr>
    </w:p>
    <w:p w14:paraId="492D4869" w14:textId="77777777" w:rsidR="004412F1" w:rsidRDefault="004412F1">
      <w:pPr>
        <w:rPr>
          <w:b/>
        </w:rPr>
      </w:pPr>
    </w:p>
    <w:p w14:paraId="693FCE04" w14:textId="77777777" w:rsidR="004412F1" w:rsidRDefault="004412F1">
      <w:pPr>
        <w:rPr>
          <w:b/>
        </w:rPr>
      </w:pPr>
    </w:p>
    <w:p w14:paraId="4FCF628B" w14:textId="77777777" w:rsidR="004412F1" w:rsidRDefault="004412F1">
      <w:pPr>
        <w:rPr>
          <w:b/>
        </w:rPr>
      </w:pPr>
    </w:p>
    <w:p w14:paraId="62044855" w14:textId="77777777" w:rsidR="004412F1" w:rsidRDefault="004412F1">
      <w:pPr>
        <w:rPr>
          <w:b/>
        </w:rPr>
      </w:pPr>
    </w:p>
    <w:p w14:paraId="5957DCEA" w14:textId="77777777" w:rsidR="004412F1" w:rsidRDefault="004412F1">
      <w:pPr>
        <w:rPr>
          <w:b/>
        </w:rPr>
      </w:pPr>
    </w:p>
    <w:p w14:paraId="1AC2D666" w14:textId="77777777" w:rsidR="004412F1" w:rsidRDefault="004412F1">
      <w:pPr>
        <w:rPr>
          <w:b/>
        </w:rPr>
      </w:pPr>
    </w:p>
    <w:p w14:paraId="3FA7D548" w14:textId="77777777" w:rsidR="004412F1" w:rsidRDefault="004412F1">
      <w:pPr>
        <w:ind w:hanging="964"/>
        <w:jc w:val="center"/>
        <w:rPr>
          <w:b/>
          <w:color w:val="000000"/>
          <w:sz w:val="30"/>
        </w:rPr>
      </w:pPr>
      <w:bookmarkStart w:id="2753" w:name="_Apéndice_6"/>
      <w:bookmarkStart w:id="2754" w:name="_Ref272506852"/>
      <w:bookmarkEnd w:id="2753"/>
    </w:p>
    <w:p w14:paraId="24ADF6E9" w14:textId="77777777" w:rsidR="004412F1" w:rsidRDefault="004412F1">
      <w:pPr>
        <w:rPr>
          <w:b/>
        </w:rPr>
      </w:pPr>
    </w:p>
    <w:p w14:paraId="40E6149F" w14:textId="77777777" w:rsidR="004412F1" w:rsidRDefault="004412F1">
      <w:pPr>
        <w:rPr>
          <w:b/>
        </w:rPr>
      </w:pPr>
    </w:p>
    <w:p w14:paraId="55B1F8A5" w14:textId="77777777" w:rsidR="004412F1" w:rsidRDefault="004412F1"/>
    <w:p w14:paraId="279CA676" w14:textId="77777777" w:rsidR="004412F1" w:rsidRDefault="004412F1"/>
    <w:p w14:paraId="3FAAD283" w14:textId="77777777" w:rsidR="004412F1" w:rsidRDefault="005A12A3">
      <w:pPr>
        <w:rPr>
          <w:rFonts w:ascii="CG Omega" w:eastAsia="CG Omega" w:hAnsi="CG Omega" w:cs="CG Omega"/>
          <w:b/>
          <w:color w:val="000000"/>
          <w:u w:val="single"/>
        </w:rPr>
      </w:pPr>
      <w:r>
        <w:br w:type="page"/>
      </w:r>
    </w:p>
    <w:p w14:paraId="175AB6AC" w14:textId="77777777" w:rsidR="004412F1" w:rsidRPr="00E03735" w:rsidRDefault="005A12A3">
      <w:pPr>
        <w:pStyle w:val="Ttulo2"/>
        <w:ind w:hanging="964"/>
        <w:jc w:val="center"/>
        <w:rPr>
          <w:rFonts w:ascii="Arial" w:eastAsia="Arial" w:hAnsi="Arial"/>
          <w:b/>
          <w:color w:val="000000"/>
          <w:sz w:val="24"/>
          <w:szCs w:val="24"/>
          <w:u w:val="none"/>
        </w:rPr>
      </w:pPr>
      <w:bookmarkStart w:id="2755" w:name="_Toc468837734"/>
      <w:bookmarkStart w:id="2756" w:name="_Toc139294838"/>
      <w:bookmarkStart w:id="2757" w:name="_Toc140089446"/>
      <w:r w:rsidRPr="00E03735">
        <w:rPr>
          <w:rFonts w:ascii="Arial" w:eastAsia="Arial" w:hAnsi="Arial"/>
          <w:b/>
          <w:color w:val="000000"/>
          <w:sz w:val="24"/>
          <w:szCs w:val="24"/>
          <w:u w:val="none"/>
        </w:rPr>
        <w:t>Apéndice 6</w:t>
      </w:r>
      <w:bookmarkEnd w:id="2754"/>
      <w:bookmarkEnd w:id="2755"/>
      <w:bookmarkEnd w:id="2756"/>
      <w:bookmarkEnd w:id="2757"/>
    </w:p>
    <w:p w14:paraId="0E1E981D" w14:textId="77777777" w:rsidR="004412F1" w:rsidRPr="00E03735" w:rsidRDefault="005A12A3" w:rsidP="004B0E43">
      <w:pPr>
        <w:ind w:left="567"/>
        <w:jc w:val="center"/>
        <w:outlineLvl w:val="1"/>
        <w:rPr>
          <w:b/>
          <w:sz w:val="24"/>
          <w:szCs w:val="24"/>
          <w:lang w:val="es-PE"/>
        </w:rPr>
      </w:pPr>
      <w:bookmarkStart w:id="2758" w:name="_Toc468837735"/>
      <w:bookmarkStart w:id="2759" w:name="_Toc140089447"/>
      <w:r w:rsidRPr="00E03735">
        <w:rPr>
          <w:b/>
          <w:sz w:val="24"/>
          <w:szCs w:val="24"/>
          <w:lang w:val="es-PE"/>
        </w:rPr>
        <w:t xml:space="preserve">Niveles de Servicio globales requeridos (por </w:t>
      </w:r>
      <w:proofErr w:type="gramStart"/>
      <w:r w:rsidRPr="00E03735">
        <w:rPr>
          <w:b/>
          <w:sz w:val="24"/>
          <w:szCs w:val="24"/>
          <w:lang w:val="es-PE"/>
        </w:rPr>
        <w:t>Sub Tramos</w:t>
      </w:r>
      <w:proofErr w:type="gramEnd"/>
      <w:r w:rsidRPr="00E03735">
        <w:rPr>
          <w:b/>
          <w:sz w:val="24"/>
          <w:szCs w:val="24"/>
          <w:lang w:val="es-PE"/>
        </w:rPr>
        <w:t xml:space="preserve"> individuales y toda la Concesión)</w:t>
      </w:r>
      <w:bookmarkEnd w:id="2758"/>
      <w:bookmarkEnd w:id="2759"/>
    </w:p>
    <w:p w14:paraId="46BE49C8" w14:textId="77777777" w:rsidR="004412F1" w:rsidRDefault="004412F1">
      <w:pPr>
        <w:rPr>
          <w:lang w:val="es-PE"/>
        </w:rPr>
      </w:pPr>
    </w:p>
    <w:p w14:paraId="0D214ECF" w14:textId="77777777" w:rsidR="004412F1" w:rsidRDefault="004412F1">
      <w:pPr>
        <w:rPr>
          <w:lang w:val="es-PE"/>
        </w:rPr>
      </w:pPr>
    </w:p>
    <w:tbl>
      <w:tblPr>
        <w:tblpPr w:leftFromText="141" w:rightFromText="141" w:vertAnchor="text" w:horzAnchor="margin" w:tblpXSpec="center" w:tblpY="4"/>
        <w:tblW w:w="8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602"/>
        <w:gridCol w:w="478"/>
        <w:gridCol w:w="603"/>
        <w:gridCol w:w="55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58"/>
      </w:tblGrid>
      <w:tr w:rsidR="004412F1" w14:paraId="593F3F94" w14:textId="77777777">
        <w:trPr>
          <w:cantSplit/>
          <w:trHeight w:val="870"/>
        </w:trPr>
        <w:tc>
          <w:tcPr>
            <w:tcW w:w="8641"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D903CF" w14:textId="77777777" w:rsidR="004412F1" w:rsidRDefault="005A12A3">
            <w:pPr>
              <w:jc w:val="center"/>
              <w:rPr>
                <w:b/>
                <w:sz w:val="16"/>
                <w:szCs w:val="16"/>
                <w:lang w:val="es-PE"/>
              </w:rPr>
            </w:pPr>
            <w:r>
              <w:rPr>
                <w:lang w:val="es-PE"/>
              </w:rPr>
              <w:br w:type="page"/>
            </w:r>
          </w:p>
          <w:p w14:paraId="0D740746" w14:textId="77777777" w:rsidR="004412F1" w:rsidRDefault="005A12A3">
            <w:pPr>
              <w:jc w:val="center"/>
              <w:rPr>
                <w:b/>
                <w:sz w:val="16"/>
              </w:rPr>
            </w:pPr>
            <w:r>
              <w:rPr>
                <w:b/>
                <w:sz w:val="16"/>
                <w:lang w:val="es-PE"/>
              </w:rPr>
              <w:t xml:space="preserve">Niveles de Servicio globales requeridos </w:t>
            </w:r>
            <w:proofErr w:type="gramStart"/>
            <w:r>
              <w:rPr>
                <w:b/>
                <w:sz w:val="16"/>
                <w:lang w:val="es-PE"/>
              </w:rPr>
              <w:t xml:space="preserve">en </w:t>
            </w:r>
            <w:r>
              <w:rPr>
                <w:sz w:val="16"/>
                <w:lang w:val="es-PE"/>
              </w:rPr>
              <w:t xml:space="preserve"> </w:t>
            </w:r>
            <w:r>
              <w:rPr>
                <w:b/>
                <w:sz w:val="16"/>
                <w:lang w:val="es-PE"/>
              </w:rPr>
              <w:t>la</w:t>
            </w:r>
            <w:proofErr w:type="gramEnd"/>
            <w:r>
              <w:rPr>
                <w:b/>
                <w:sz w:val="16"/>
                <w:lang w:val="es-PE"/>
              </w:rPr>
              <w:t xml:space="preserve"> Carretera Longitudinal de la Sierra Tramo 4: </w:t>
            </w:r>
            <w:r>
              <w:rPr>
                <w:sz w:val="16"/>
                <w:lang w:val="es-PE"/>
              </w:rPr>
              <w:t xml:space="preserve"> </w:t>
            </w:r>
            <w:r>
              <w:rPr>
                <w:b/>
                <w:sz w:val="16"/>
                <w:lang w:val="es-PE"/>
              </w:rPr>
              <w:t xml:space="preserve">Huancayo-Izcuchaca-Mayocc-Ayacucho/Ayacucho-Andahuaylas-Pte Sahuinto/Dv. </w:t>
            </w:r>
            <w:r>
              <w:rPr>
                <w:b/>
                <w:sz w:val="16"/>
              </w:rPr>
              <w:t>Pisco – Huaytará - Ayacucho</w:t>
            </w:r>
          </w:p>
          <w:p w14:paraId="3747D190" w14:textId="77777777" w:rsidR="004412F1" w:rsidRDefault="004412F1">
            <w:pPr>
              <w:jc w:val="center"/>
              <w:rPr>
                <w:b/>
                <w:sz w:val="16"/>
                <w:szCs w:val="16"/>
              </w:rPr>
            </w:pPr>
          </w:p>
        </w:tc>
      </w:tr>
      <w:tr w:rsidR="004412F1" w14:paraId="4C75CE8A" w14:textId="77777777">
        <w:trPr>
          <w:cantSplit/>
          <w:trHeight w:val="162"/>
        </w:trPr>
        <w:tc>
          <w:tcPr>
            <w:tcW w:w="6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76E86E" w14:textId="77777777" w:rsidR="004412F1" w:rsidRDefault="005A12A3">
            <w:pPr>
              <w:rPr>
                <w:sz w:val="16"/>
                <w:szCs w:val="16"/>
              </w:rPr>
            </w:pPr>
            <w:r>
              <w:rPr>
                <w:sz w:val="16"/>
                <w:szCs w:val="16"/>
              </w:rPr>
              <w:t>Sub Tramo</w:t>
            </w:r>
          </w:p>
        </w:tc>
        <w:tc>
          <w:tcPr>
            <w:tcW w:w="4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BFB1BA" w14:textId="77777777" w:rsidR="004412F1" w:rsidRDefault="005A12A3">
            <w:pPr>
              <w:rPr>
                <w:sz w:val="16"/>
                <w:szCs w:val="16"/>
              </w:rPr>
            </w:pPr>
            <w:r>
              <w:rPr>
                <w:sz w:val="16"/>
                <w:szCs w:val="16"/>
              </w:rPr>
              <w:t>Ruta</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1230BE" w14:textId="77777777" w:rsidR="004412F1" w:rsidRDefault="005A12A3">
            <w:pPr>
              <w:jc w:val="center"/>
              <w:rPr>
                <w:sz w:val="16"/>
                <w:szCs w:val="16"/>
              </w:rPr>
            </w:pPr>
            <w:r>
              <w:rPr>
                <w:sz w:val="16"/>
                <w:szCs w:val="16"/>
              </w:rPr>
              <w:t>Localidad</w:t>
            </w:r>
          </w:p>
        </w:tc>
        <w:tc>
          <w:tcPr>
            <w:tcW w:w="6400"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E4D2C0" w14:textId="77777777" w:rsidR="004412F1" w:rsidRDefault="005A12A3">
            <w:pPr>
              <w:jc w:val="center"/>
              <w:rPr>
                <w:sz w:val="16"/>
                <w:szCs w:val="16"/>
                <w:lang w:val="es-PE"/>
              </w:rPr>
            </w:pPr>
            <w:r>
              <w:rPr>
                <w:sz w:val="16"/>
                <w:szCs w:val="16"/>
                <w:lang w:val="es-PE"/>
              </w:rPr>
              <w:t xml:space="preserve">Valores mínimos de servicio global por </w:t>
            </w:r>
            <w:proofErr w:type="gramStart"/>
            <w:r>
              <w:rPr>
                <w:sz w:val="16"/>
                <w:szCs w:val="16"/>
                <w:lang w:val="es-PE"/>
              </w:rPr>
              <w:t>Sub Tramo</w:t>
            </w:r>
            <w:proofErr w:type="gramEnd"/>
            <w:r>
              <w:rPr>
                <w:sz w:val="16"/>
                <w:szCs w:val="16"/>
                <w:lang w:val="es-PE"/>
              </w:rPr>
              <w:t xml:space="preserve"> al final de cada año (%)</w:t>
            </w:r>
          </w:p>
        </w:tc>
      </w:tr>
      <w:tr w:rsidR="004412F1" w14:paraId="33E5EEA7" w14:textId="77777777">
        <w:trPr>
          <w:cantSplit/>
          <w:trHeight w:val="146"/>
        </w:trPr>
        <w:tc>
          <w:tcPr>
            <w:tcW w:w="6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816636" w14:textId="77777777" w:rsidR="004412F1" w:rsidRDefault="004412F1">
            <w:pPr>
              <w:spacing w:line="276" w:lineRule="auto"/>
              <w:rPr>
                <w:sz w:val="16"/>
                <w:szCs w:val="16"/>
                <w:lang w:val="es-PE"/>
              </w:rPr>
            </w:pPr>
          </w:p>
        </w:tc>
        <w:tc>
          <w:tcPr>
            <w:tcW w:w="4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3B1CE8" w14:textId="77777777" w:rsidR="004412F1" w:rsidRDefault="004412F1">
            <w:pPr>
              <w:spacing w:line="276" w:lineRule="auto"/>
              <w:rPr>
                <w:sz w:val="16"/>
                <w:szCs w:val="16"/>
                <w:lang w:val="es-PE"/>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D0AA59" w14:textId="77777777" w:rsidR="004412F1" w:rsidRDefault="005A12A3">
            <w:pPr>
              <w:jc w:val="center"/>
              <w:rPr>
                <w:sz w:val="16"/>
                <w:szCs w:val="16"/>
              </w:rPr>
            </w:pPr>
            <w:r>
              <w:rPr>
                <w:sz w:val="16"/>
                <w:szCs w:val="16"/>
              </w:rPr>
              <w:t>Desde</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240FC4" w14:textId="77777777" w:rsidR="004412F1" w:rsidRDefault="005A12A3">
            <w:pPr>
              <w:jc w:val="center"/>
              <w:rPr>
                <w:sz w:val="16"/>
              </w:rPr>
            </w:pPr>
            <w:r>
              <w:rPr>
                <w:sz w:val="16"/>
                <w:szCs w:val="16"/>
              </w:rPr>
              <w:t>Hasta</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7DC093" w14:textId="77777777" w:rsidR="004412F1" w:rsidRDefault="005A12A3">
            <w:pPr>
              <w:rPr>
                <w:b/>
                <w:sz w:val="16"/>
                <w:szCs w:val="16"/>
              </w:rPr>
            </w:pPr>
            <w:r>
              <w:rPr>
                <w:b/>
                <w:sz w:val="16"/>
                <w:szCs w:val="16"/>
              </w:rPr>
              <w:t>1</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51903C" w14:textId="77777777" w:rsidR="004412F1" w:rsidRDefault="005A12A3">
            <w:pPr>
              <w:rPr>
                <w:b/>
                <w:sz w:val="16"/>
                <w:szCs w:val="16"/>
              </w:rPr>
            </w:pPr>
            <w:r>
              <w:rPr>
                <w:b/>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17168E" w14:textId="77777777" w:rsidR="004412F1" w:rsidRDefault="005A12A3">
            <w:pPr>
              <w:rPr>
                <w:b/>
                <w:sz w:val="16"/>
                <w:szCs w:val="16"/>
              </w:rPr>
            </w:pPr>
            <w:r>
              <w:rPr>
                <w:b/>
                <w:sz w:val="16"/>
                <w:szCs w:val="16"/>
              </w:rPr>
              <w:t>3</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C90760" w14:textId="77777777" w:rsidR="004412F1" w:rsidRDefault="005A12A3">
            <w:pPr>
              <w:rPr>
                <w:b/>
                <w:sz w:val="16"/>
                <w:szCs w:val="16"/>
              </w:rPr>
            </w:pPr>
            <w:r>
              <w:rPr>
                <w:b/>
                <w:sz w:val="16"/>
                <w:szCs w:val="16"/>
              </w:rPr>
              <w:t>4</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2CB3C8" w14:textId="77777777" w:rsidR="004412F1" w:rsidRDefault="005A12A3">
            <w:pPr>
              <w:rPr>
                <w:b/>
                <w:sz w:val="16"/>
                <w:szCs w:val="16"/>
              </w:rPr>
            </w:pPr>
            <w:r>
              <w:rPr>
                <w:b/>
                <w:sz w:val="16"/>
                <w:szCs w:val="16"/>
              </w:rPr>
              <w:t>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F9EB8F" w14:textId="77777777" w:rsidR="004412F1" w:rsidRDefault="005A12A3">
            <w:pPr>
              <w:rPr>
                <w:b/>
                <w:sz w:val="16"/>
                <w:szCs w:val="16"/>
              </w:rPr>
            </w:pPr>
            <w:r>
              <w:rPr>
                <w:b/>
                <w:sz w:val="16"/>
                <w:szCs w:val="16"/>
              </w:rPr>
              <w:t>6</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CE6FA5" w14:textId="77777777" w:rsidR="004412F1" w:rsidRDefault="005A12A3">
            <w:pPr>
              <w:rPr>
                <w:b/>
                <w:sz w:val="16"/>
                <w:szCs w:val="16"/>
              </w:rPr>
            </w:pPr>
            <w:r>
              <w:rPr>
                <w:b/>
                <w:sz w:val="16"/>
                <w:szCs w:val="16"/>
              </w:rPr>
              <w:t>7</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DC43E" w14:textId="77777777" w:rsidR="004412F1" w:rsidRDefault="005A12A3">
            <w:pPr>
              <w:rPr>
                <w:b/>
                <w:sz w:val="16"/>
                <w:szCs w:val="16"/>
              </w:rPr>
            </w:pPr>
            <w:r>
              <w:rPr>
                <w:b/>
                <w:sz w:val="16"/>
                <w:szCs w:val="16"/>
              </w:rPr>
              <w:t>8</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7E3F72" w14:textId="77777777" w:rsidR="004412F1" w:rsidRDefault="005A12A3">
            <w:pPr>
              <w:rPr>
                <w:b/>
                <w:sz w:val="16"/>
                <w:szCs w:val="16"/>
              </w:rPr>
            </w:pPr>
            <w:r>
              <w:rPr>
                <w:b/>
                <w:sz w:val="16"/>
                <w:szCs w:val="16"/>
              </w:rPr>
              <w:t>9</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54F476" w14:textId="77777777" w:rsidR="004412F1" w:rsidRDefault="005A12A3">
            <w:pPr>
              <w:rPr>
                <w:b/>
                <w:sz w:val="16"/>
                <w:szCs w:val="16"/>
              </w:rPr>
            </w:pPr>
            <w:r>
              <w:rPr>
                <w:b/>
                <w:sz w:val="16"/>
                <w:szCs w:val="16"/>
              </w:rPr>
              <w:t>10</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330E37" w14:textId="77777777" w:rsidR="004412F1" w:rsidRDefault="005A12A3">
            <w:pPr>
              <w:rPr>
                <w:b/>
                <w:sz w:val="16"/>
                <w:szCs w:val="16"/>
              </w:rPr>
            </w:pPr>
            <w:r>
              <w:rPr>
                <w:b/>
                <w:sz w:val="16"/>
                <w:szCs w:val="16"/>
              </w:rPr>
              <w:t>11</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B50211" w14:textId="77777777" w:rsidR="004412F1" w:rsidRDefault="005A12A3">
            <w:pPr>
              <w:rPr>
                <w:b/>
                <w:sz w:val="16"/>
                <w:szCs w:val="16"/>
              </w:rPr>
            </w:pPr>
            <w:r>
              <w:rPr>
                <w:b/>
                <w:sz w:val="16"/>
                <w:szCs w:val="16"/>
              </w:rPr>
              <w:t>12</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1CEE7E" w14:textId="77777777" w:rsidR="004412F1" w:rsidRDefault="005A12A3">
            <w:pPr>
              <w:rPr>
                <w:b/>
                <w:sz w:val="16"/>
                <w:szCs w:val="16"/>
              </w:rPr>
            </w:pPr>
            <w:r>
              <w:rPr>
                <w:b/>
                <w:sz w:val="16"/>
                <w:szCs w:val="16"/>
              </w:rPr>
              <w:t>13</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F6009B" w14:textId="77777777" w:rsidR="004412F1" w:rsidRDefault="005A12A3">
            <w:pPr>
              <w:rPr>
                <w:b/>
                <w:sz w:val="16"/>
                <w:szCs w:val="16"/>
              </w:rPr>
            </w:pPr>
            <w:r>
              <w:rPr>
                <w:b/>
                <w:sz w:val="16"/>
                <w:szCs w:val="16"/>
              </w:rPr>
              <w:t>14</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23A49" w14:textId="77777777" w:rsidR="004412F1" w:rsidRDefault="005A12A3">
            <w:pPr>
              <w:rPr>
                <w:b/>
                <w:sz w:val="16"/>
                <w:szCs w:val="16"/>
              </w:rPr>
            </w:pPr>
            <w:r>
              <w:rPr>
                <w:b/>
                <w:sz w:val="16"/>
                <w:szCs w:val="16"/>
              </w:rPr>
              <w:t>15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02E5A6" w14:textId="77777777" w:rsidR="004412F1" w:rsidRDefault="005A12A3">
            <w:pPr>
              <w:rPr>
                <w:b/>
                <w:sz w:val="16"/>
                <w:szCs w:val="16"/>
              </w:rPr>
            </w:pPr>
            <w:r>
              <w:rPr>
                <w:b/>
                <w:sz w:val="16"/>
                <w:szCs w:val="16"/>
              </w:rPr>
              <w:t>16</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30F70F" w14:textId="77777777" w:rsidR="004412F1" w:rsidRDefault="005A12A3">
            <w:pPr>
              <w:rPr>
                <w:b/>
                <w:sz w:val="16"/>
                <w:szCs w:val="16"/>
              </w:rPr>
            </w:pPr>
            <w:r>
              <w:rPr>
                <w:b/>
                <w:sz w:val="16"/>
                <w:szCs w:val="16"/>
              </w:rPr>
              <w:t>17</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82C78C" w14:textId="77777777" w:rsidR="004412F1" w:rsidRDefault="005A12A3">
            <w:pPr>
              <w:rPr>
                <w:b/>
                <w:sz w:val="16"/>
                <w:szCs w:val="16"/>
              </w:rPr>
            </w:pPr>
            <w:r>
              <w:rPr>
                <w:b/>
                <w:sz w:val="16"/>
                <w:szCs w:val="16"/>
              </w:rPr>
              <w:t>18</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2E428A" w14:textId="77777777" w:rsidR="004412F1" w:rsidRDefault="005A12A3">
            <w:pPr>
              <w:rPr>
                <w:b/>
                <w:sz w:val="16"/>
                <w:szCs w:val="16"/>
              </w:rPr>
            </w:pPr>
            <w:r>
              <w:rPr>
                <w:b/>
                <w:sz w:val="16"/>
                <w:szCs w:val="16"/>
              </w:rPr>
              <w:t>19</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BB8B91" w14:textId="77777777" w:rsidR="004412F1" w:rsidRDefault="005A12A3">
            <w:pPr>
              <w:rPr>
                <w:b/>
                <w:sz w:val="16"/>
                <w:szCs w:val="16"/>
              </w:rPr>
            </w:pPr>
            <w:r>
              <w:rPr>
                <w:b/>
                <w:sz w:val="16"/>
                <w:szCs w:val="16"/>
              </w:rPr>
              <w:t>20</w:t>
            </w:r>
          </w:p>
        </w:tc>
      </w:tr>
      <w:tr w:rsidR="004412F1" w14:paraId="145F1612" w14:textId="77777777">
        <w:trPr>
          <w:trHeight w:val="209"/>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014042" w14:textId="77777777" w:rsidR="004412F1" w:rsidRDefault="005A12A3">
            <w:pPr>
              <w:rPr>
                <w:sz w:val="16"/>
                <w:szCs w:val="16"/>
              </w:rPr>
            </w:pPr>
            <w:r>
              <w:rPr>
                <w:sz w:val="16"/>
                <w:szCs w:val="16"/>
              </w:rPr>
              <w:t>1</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0AD14F"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0C996C"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666FEA"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E0603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D8E42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B52D1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8EDCF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09A6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EFEF4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BB67C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89609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4A464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772D6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1645F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876C2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CCFF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D2E84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25084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BD05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34117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DD75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8A3244"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B72DA6" w14:textId="77777777" w:rsidR="004412F1" w:rsidRDefault="005A12A3">
            <w:pPr>
              <w:rPr>
                <w:sz w:val="16"/>
              </w:rPr>
            </w:pPr>
            <w:r>
              <w:rPr>
                <w:sz w:val="16"/>
                <w:szCs w:val="16"/>
              </w:rPr>
              <w:t>95</w:t>
            </w:r>
          </w:p>
        </w:tc>
      </w:tr>
      <w:tr w:rsidR="004412F1" w14:paraId="4F0D0350" w14:textId="77777777">
        <w:trPr>
          <w:trHeight w:val="238"/>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DE5F12" w14:textId="77777777" w:rsidR="004412F1" w:rsidRDefault="005A12A3">
            <w:pPr>
              <w:rPr>
                <w:sz w:val="16"/>
                <w:szCs w:val="16"/>
              </w:rPr>
            </w:pPr>
            <w:r>
              <w:rPr>
                <w:sz w:val="16"/>
                <w:szCs w:val="16"/>
              </w:rPr>
              <w:t>2</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F207A9"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CBB3C"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47A24B"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2A0B9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0C3CF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8B626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4A529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74E866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85FAD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F4445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EEE00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624C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D6F6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F8D55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1C055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0521E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F1D38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4C1E8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C2E5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CB5FE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2C058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DBE9BF"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A333F4" w14:textId="77777777" w:rsidR="004412F1" w:rsidRDefault="005A12A3">
            <w:pPr>
              <w:rPr>
                <w:sz w:val="16"/>
              </w:rPr>
            </w:pPr>
            <w:r>
              <w:rPr>
                <w:sz w:val="16"/>
                <w:szCs w:val="16"/>
              </w:rPr>
              <w:t>95</w:t>
            </w:r>
          </w:p>
        </w:tc>
      </w:tr>
      <w:tr w:rsidR="004412F1" w14:paraId="1AEB5535" w14:textId="77777777">
        <w:trPr>
          <w:trHeight w:val="273"/>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44EE93" w14:textId="77777777" w:rsidR="004412F1" w:rsidRDefault="005A12A3">
            <w:pPr>
              <w:rPr>
                <w:sz w:val="16"/>
                <w:szCs w:val="16"/>
              </w:rPr>
            </w:pPr>
            <w:r>
              <w:rPr>
                <w:sz w:val="16"/>
                <w:szCs w:val="16"/>
              </w:rPr>
              <w:t>3</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81676E"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699B42"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D762AEF"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5A0B9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7C320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97B53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0F0EA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B25EE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EED6B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B144A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A3069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40C5D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F2B40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F1521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E7761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AA84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7585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D47DD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ED379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7B61F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69479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EB90E5"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22678D" w14:textId="77777777" w:rsidR="004412F1" w:rsidRDefault="005A12A3">
            <w:pPr>
              <w:rPr>
                <w:sz w:val="16"/>
              </w:rPr>
            </w:pPr>
            <w:r>
              <w:rPr>
                <w:sz w:val="16"/>
                <w:szCs w:val="16"/>
              </w:rPr>
              <w:t>95</w:t>
            </w:r>
          </w:p>
        </w:tc>
      </w:tr>
      <w:tr w:rsidR="004412F1" w14:paraId="70B02D30" w14:textId="77777777">
        <w:trPr>
          <w:trHeight w:val="264"/>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308295" w14:textId="77777777" w:rsidR="004412F1" w:rsidRDefault="005A12A3">
            <w:pPr>
              <w:rPr>
                <w:sz w:val="16"/>
                <w:szCs w:val="16"/>
              </w:rPr>
            </w:pPr>
            <w:r>
              <w:rPr>
                <w:sz w:val="16"/>
                <w:szCs w:val="16"/>
              </w:rPr>
              <w:t>4</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0E6E09"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A03C4A"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35C7BC"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3C63D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01D0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F7810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1D7BF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29F38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701D1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18EB2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01EAF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9F0D1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C6412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BDB95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7D73A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CB07D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F9919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52FB5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80F5E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66425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0C9A0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7E4A93"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FFB42E" w14:textId="77777777" w:rsidR="004412F1" w:rsidRDefault="005A12A3">
            <w:pPr>
              <w:rPr>
                <w:sz w:val="16"/>
              </w:rPr>
            </w:pPr>
            <w:r>
              <w:rPr>
                <w:sz w:val="16"/>
                <w:szCs w:val="16"/>
              </w:rPr>
              <w:t>95</w:t>
            </w:r>
          </w:p>
        </w:tc>
      </w:tr>
      <w:tr w:rsidR="004412F1" w14:paraId="5F35F244" w14:textId="77777777">
        <w:trPr>
          <w:trHeight w:val="257"/>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C27A88" w14:textId="77777777" w:rsidR="004412F1" w:rsidRDefault="005A12A3">
            <w:pPr>
              <w:rPr>
                <w:sz w:val="16"/>
              </w:rPr>
            </w:pPr>
            <w:r>
              <w:rPr>
                <w:sz w:val="16"/>
              </w:rPr>
              <w:t>5</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E3830F" w14:textId="77777777" w:rsidR="004412F1" w:rsidRDefault="004412F1">
            <w:pPr>
              <w:rPr>
                <w:sz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278D26" w14:textId="77777777" w:rsidR="004412F1" w:rsidRDefault="004412F1">
            <w:pPr>
              <w:jc w:val="center"/>
              <w:rPr>
                <w:sz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5EB535"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5A9A40"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DC8DF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3E712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86CE4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A3C11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32BC7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75BEE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2AA12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75363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AD24F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70A4F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4CA2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7D20A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972C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949E7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90568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55744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59C65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19F010"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1B591A" w14:textId="77777777" w:rsidR="004412F1" w:rsidRDefault="005A12A3">
            <w:pPr>
              <w:rPr>
                <w:sz w:val="16"/>
              </w:rPr>
            </w:pPr>
            <w:r>
              <w:rPr>
                <w:sz w:val="16"/>
                <w:szCs w:val="16"/>
              </w:rPr>
              <w:t>95</w:t>
            </w:r>
          </w:p>
        </w:tc>
      </w:tr>
      <w:tr w:rsidR="004412F1" w14:paraId="61ACB265" w14:textId="77777777">
        <w:trPr>
          <w:trHeight w:val="26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9C00E8" w14:textId="77777777" w:rsidR="004412F1" w:rsidRDefault="005A12A3">
            <w:pPr>
              <w:rPr>
                <w:sz w:val="16"/>
              </w:rPr>
            </w:pPr>
            <w:r>
              <w:rPr>
                <w:sz w:val="16"/>
              </w:rPr>
              <w:t>6</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DB94D5" w14:textId="77777777" w:rsidR="004412F1" w:rsidRDefault="004412F1">
            <w:pPr>
              <w:rPr>
                <w:sz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E96CF8"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064BC6"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95C811"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29058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C6AFB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50C45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8A3AC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FD4B4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3D566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2994E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430F5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B0E5F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1CD6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E2B30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9F02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7DCF6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8A326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BB812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56FE8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6E50F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24CCC0"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CFC45A" w14:textId="77777777" w:rsidR="004412F1" w:rsidRDefault="005A12A3">
            <w:pPr>
              <w:rPr>
                <w:sz w:val="16"/>
              </w:rPr>
            </w:pPr>
            <w:r>
              <w:rPr>
                <w:sz w:val="16"/>
                <w:szCs w:val="16"/>
              </w:rPr>
              <w:t>95</w:t>
            </w:r>
          </w:p>
        </w:tc>
      </w:tr>
      <w:tr w:rsidR="004412F1" w14:paraId="1884D8E2"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44B6B7" w14:textId="77777777" w:rsidR="004412F1" w:rsidRDefault="005A12A3">
            <w:pPr>
              <w:rPr>
                <w:sz w:val="16"/>
              </w:rPr>
            </w:pPr>
            <w:r>
              <w:rPr>
                <w:sz w:val="16"/>
              </w:rPr>
              <w:t>7</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226525"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8F0E09"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A680F"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16B36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EE74B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FFF86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EA620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BFD77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B92AF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B358C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61593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A7FF5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BE30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42755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9B671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CF907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E6D3C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57D83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0E2B5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A18A6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46D36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27FACB"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CD0D52" w14:textId="77777777" w:rsidR="004412F1" w:rsidRDefault="005A12A3">
            <w:pPr>
              <w:rPr>
                <w:sz w:val="16"/>
              </w:rPr>
            </w:pPr>
            <w:r>
              <w:rPr>
                <w:sz w:val="16"/>
                <w:szCs w:val="16"/>
              </w:rPr>
              <w:t>95</w:t>
            </w:r>
          </w:p>
        </w:tc>
      </w:tr>
      <w:tr w:rsidR="004412F1" w14:paraId="3130E947"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8124A1" w14:textId="77777777" w:rsidR="004412F1" w:rsidRDefault="005A12A3">
            <w:pPr>
              <w:rPr>
                <w:sz w:val="16"/>
              </w:rPr>
            </w:pPr>
            <w:r>
              <w:rPr>
                <w:sz w:val="16"/>
              </w:rPr>
              <w:t>8</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66F5C0" w14:textId="77777777" w:rsidR="004412F1" w:rsidRDefault="004412F1">
            <w:pPr>
              <w:rPr>
                <w:sz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EA89B" w14:textId="77777777" w:rsidR="004412F1" w:rsidRDefault="004412F1">
            <w:pPr>
              <w:jc w:val="center"/>
              <w:rPr>
                <w:sz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C724B0" w14:textId="77777777" w:rsidR="004412F1" w:rsidRDefault="004412F1">
            <w:pPr>
              <w:jc w:val="center"/>
              <w:rPr>
                <w:sz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D760B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A6DC3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5C2F75"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957BC9"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BAB784"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1F3990"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F037C3"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97DD6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16712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005EE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45AD6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B1AB21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30175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FC5AE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38BBF1"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8EECD5"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2090E1"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62D7F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4CCFE" w14:textId="77777777" w:rsidR="004412F1" w:rsidRDefault="005A12A3">
            <w:pPr>
              <w:rPr>
                <w:sz w:val="16"/>
                <w:szCs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38FC38" w14:textId="77777777" w:rsidR="004412F1" w:rsidRDefault="005A12A3">
            <w:pPr>
              <w:rPr>
                <w:sz w:val="16"/>
                <w:szCs w:val="16"/>
              </w:rPr>
            </w:pPr>
            <w:r>
              <w:rPr>
                <w:sz w:val="16"/>
                <w:szCs w:val="16"/>
              </w:rPr>
              <w:t>95</w:t>
            </w:r>
          </w:p>
        </w:tc>
      </w:tr>
      <w:tr w:rsidR="004412F1" w14:paraId="19B1F60C"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72293A" w14:textId="77777777" w:rsidR="004412F1" w:rsidRDefault="005A12A3">
            <w:pPr>
              <w:rPr>
                <w:sz w:val="16"/>
              </w:rPr>
            </w:pPr>
            <w:r>
              <w:rPr>
                <w:sz w:val="16"/>
              </w:rPr>
              <w:t>9</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A46726" w14:textId="77777777" w:rsidR="004412F1" w:rsidRDefault="004412F1">
            <w:pPr>
              <w:rPr>
                <w:sz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15BE72" w14:textId="77777777" w:rsidR="004412F1" w:rsidRDefault="004412F1">
            <w:pPr>
              <w:jc w:val="center"/>
              <w:rPr>
                <w:sz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80A9B" w14:textId="77777777" w:rsidR="004412F1" w:rsidRDefault="004412F1">
            <w:pPr>
              <w:jc w:val="center"/>
              <w:rPr>
                <w:sz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FBE282"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2D54F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225DD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777345"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8E20A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880AA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0E5E6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492B54"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10040A"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7DB43"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2354E9"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7D31A2"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E5D629"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55F095"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FB708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19A4C4"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D2E16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ECD7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BE2BC6" w14:textId="77777777" w:rsidR="004412F1" w:rsidRDefault="005A12A3">
            <w:pPr>
              <w:rPr>
                <w:sz w:val="16"/>
                <w:szCs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20BF8" w14:textId="77777777" w:rsidR="004412F1" w:rsidRDefault="005A12A3">
            <w:pPr>
              <w:rPr>
                <w:sz w:val="16"/>
                <w:szCs w:val="16"/>
              </w:rPr>
            </w:pPr>
            <w:r>
              <w:rPr>
                <w:sz w:val="16"/>
                <w:szCs w:val="16"/>
              </w:rPr>
              <w:t>95</w:t>
            </w:r>
          </w:p>
        </w:tc>
      </w:tr>
      <w:tr w:rsidR="004412F1" w14:paraId="4405B441"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8F2BD" w14:textId="77777777" w:rsidR="004412F1" w:rsidRDefault="005A12A3">
            <w:pPr>
              <w:rPr>
                <w:sz w:val="16"/>
              </w:rPr>
            </w:pPr>
            <w:r>
              <w:rPr>
                <w:sz w:val="16"/>
              </w:rPr>
              <w:t>10</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C52855" w14:textId="77777777" w:rsidR="004412F1" w:rsidRDefault="004412F1">
            <w:pPr>
              <w:rPr>
                <w:sz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A91F64" w14:textId="77777777" w:rsidR="004412F1" w:rsidRDefault="004412F1">
            <w:pPr>
              <w:jc w:val="center"/>
              <w:rPr>
                <w:sz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26295B" w14:textId="77777777" w:rsidR="004412F1" w:rsidRDefault="004412F1">
            <w:pPr>
              <w:jc w:val="center"/>
              <w:rPr>
                <w:sz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0D3C5B"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D16706"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6A143E"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9757C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10460A"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5BBD0F"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70B09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340113"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1A1CC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CEE732"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88280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747D97"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02FD05"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B189B2"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FC6C8C"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DD0C80"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357BF2"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E0A68A"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61DBBF" w14:textId="77777777" w:rsidR="004412F1" w:rsidRDefault="005A12A3">
            <w:pPr>
              <w:rPr>
                <w:sz w:val="16"/>
                <w:szCs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37F02C" w14:textId="77777777" w:rsidR="004412F1" w:rsidRDefault="005A12A3">
            <w:pPr>
              <w:rPr>
                <w:sz w:val="16"/>
                <w:szCs w:val="16"/>
              </w:rPr>
            </w:pPr>
            <w:r>
              <w:rPr>
                <w:sz w:val="16"/>
                <w:szCs w:val="16"/>
              </w:rPr>
              <w:t>95</w:t>
            </w:r>
          </w:p>
        </w:tc>
      </w:tr>
      <w:tr w:rsidR="004412F1" w14:paraId="778D3D4F"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E10D96" w14:textId="77777777" w:rsidR="004412F1" w:rsidRDefault="005A12A3">
            <w:pPr>
              <w:rPr>
                <w:sz w:val="16"/>
              </w:rPr>
            </w:pPr>
            <w:r>
              <w:rPr>
                <w:sz w:val="16"/>
              </w:rPr>
              <w:t>11</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D30384"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3AB87D"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C495F0"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B8DBDA"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D6EE7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884FB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67B1B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19B23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D5CD2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2D3B9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5426E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6599A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C5644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A5D1B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6C0B9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046D3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DF39B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B5EDA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6C390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D39A7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92BB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6F8BD0"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536D1A" w14:textId="77777777" w:rsidR="004412F1" w:rsidRDefault="005A12A3">
            <w:pPr>
              <w:rPr>
                <w:sz w:val="16"/>
              </w:rPr>
            </w:pPr>
            <w:r>
              <w:rPr>
                <w:sz w:val="16"/>
                <w:szCs w:val="16"/>
              </w:rPr>
              <w:t>95</w:t>
            </w:r>
          </w:p>
        </w:tc>
      </w:tr>
      <w:tr w:rsidR="004412F1" w14:paraId="71BED98B"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75FFBF" w14:textId="77777777" w:rsidR="004412F1" w:rsidRDefault="005A12A3">
            <w:pPr>
              <w:rPr>
                <w:sz w:val="16"/>
              </w:rPr>
            </w:pPr>
            <w:r>
              <w:rPr>
                <w:sz w:val="16"/>
              </w:rPr>
              <w:t>12</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E0F6E9"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6D2F26"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B69654"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B1DFF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EA039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7765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A2D47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BCFD2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48453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94217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D51EA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051A7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D563D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63ADF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165A9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9E159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B0222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1BA84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14ACB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322C3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D7F88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652643"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799110" w14:textId="77777777" w:rsidR="004412F1" w:rsidRDefault="005A12A3">
            <w:pPr>
              <w:rPr>
                <w:sz w:val="16"/>
              </w:rPr>
            </w:pPr>
            <w:r>
              <w:rPr>
                <w:sz w:val="16"/>
                <w:szCs w:val="16"/>
              </w:rPr>
              <w:t>95</w:t>
            </w:r>
          </w:p>
        </w:tc>
      </w:tr>
      <w:tr w:rsidR="004412F1" w14:paraId="3979BCB0"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1AC9551" w14:textId="77777777" w:rsidR="004412F1" w:rsidRDefault="005A12A3">
            <w:pPr>
              <w:rPr>
                <w:sz w:val="16"/>
              </w:rPr>
            </w:pPr>
            <w:r>
              <w:rPr>
                <w:sz w:val="16"/>
              </w:rPr>
              <w:t>13</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E92CF4"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E4F07"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DA96D6"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D95AAD"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78448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EA239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655B2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6709E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F41D9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1F092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AE45C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B8AB4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8EB80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36AF1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E821A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60002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19A2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B38B6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F8DCE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3F002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F6A70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726181"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1360EA" w14:textId="77777777" w:rsidR="004412F1" w:rsidRDefault="005A12A3">
            <w:pPr>
              <w:rPr>
                <w:sz w:val="16"/>
              </w:rPr>
            </w:pPr>
            <w:r>
              <w:rPr>
                <w:sz w:val="16"/>
                <w:szCs w:val="16"/>
              </w:rPr>
              <w:t>95</w:t>
            </w:r>
          </w:p>
        </w:tc>
      </w:tr>
      <w:tr w:rsidR="004412F1" w14:paraId="1795085A"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870F3" w14:textId="77777777" w:rsidR="004412F1" w:rsidRDefault="005A12A3">
            <w:pPr>
              <w:rPr>
                <w:sz w:val="16"/>
              </w:rPr>
            </w:pPr>
            <w:r>
              <w:rPr>
                <w:sz w:val="16"/>
              </w:rPr>
              <w:t>14</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21D8EC"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8B8385"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41381E"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12B696"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F34A3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9741DB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A5C71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D442C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12C2A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C366C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49AFE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EE678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06260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EE4DD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2CDC6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10A7E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05F0C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F2F46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972C2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4824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8759B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891BCB"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8FC0694" w14:textId="77777777" w:rsidR="004412F1" w:rsidRDefault="005A12A3">
            <w:pPr>
              <w:rPr>
                <w:sz w:val="16"/>
              </w:rPr>
            </w:pPr>
            <w:r>
              <w:rPr>
                <w:sz w:val="16"/>
                <w:szCs w:val="16"/>
              </w:rPr>
              <w:t>95</w:t>
            </w:r>
          </w:p>
        </w:tc>
      </w:tr>
      <w:tr w:rsidR="004412F1" w14:paraId="57AD23E8"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B6E1B18" w14:textId="77777777" w:rsidR="004412F1" w:rsidRDefault="005A12A3">
            <w:pPr>
              <w:rPr>
                <w:sz w:val="16"/>
              </w:rPr>
            </w:pPr>
            <w:r>
              <w:rPr>
                <w:sz w:val="16"/>
              </w:rPr>
              <w:t>15</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123C9C"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AC2529"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1A4C5E"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08E03"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84D71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3C6A9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D1150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201A3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9A68B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AF882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05F91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31831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7E780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D03FC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2B597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14B99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21DED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6F462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E35B2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2BB85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4C842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779B9F"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9A048B" w14:textId="77777777" w:rsidR="004412F1" w:rsidRDefault="005A12A3">
            <w:pPr>
              <w:rPr>
                <w:sz w:val="16"/>
              </w:rPr>
            </w:pPr>
            <w:r>
              <w:rPr>
                <w:sz w:val="16"/>
                <w:szCs w:val="16"/>
              </w:rPr>
              <w:t>95</w:t>
            </w:r>
          </w:p>
        </w:tc>
      </w:tr>
      <w:tr w:rsidR="004412F1" w14:paraId="6295A1B1"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476C33" w14:textId="77777777" w:rsidR="004412F1" w:rsidRDefault="005A12A3">
            <w:pPr>
              <w:rPr>
                <w:sz w:val="16"/>
              </w:rPr>
            </w:pPr>
            <w:r>
              <w:rPr>
                <w:sz w:val="16"/>
              </w:rPr>
              <w:t>16</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0EB01A"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86AB89"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6F9BA8"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B363A8"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0305F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0897B8"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B1302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913ED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25269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46FA5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F13B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A3C56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FD887D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DFF5E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E9A4F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6A6FE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54828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2168EA"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C29EF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A42C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C0913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903C1B"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5EB014" w14:textId="77777777" w:rsidR="004412F1" w:rsidRDefault="005A12A3">
            <w:pPr>
              <w:rPr>
                <w:sz w:val="16"/>
              </w:rPr>
            </w:pPr>
            <w:r>
              <w:rPr>
                <w:sz w:val="16"/>
                <w:szCs w:val="16"/>
              </w:rPr>
              <w:t>95</w:t>
            </w:r>
          </w:p>
        </w:tc>
      </w:tr>
      <w:tr w:rsidR="004412F1" w14:paraId="038A9A0F"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68E682" w14:textId="77777777" w:rsidR="004412F1" w:rsidRDefault="005A12A3">
            <w:pPr>
              <w:rPr>
                <w:sz w:val="16"/>
              </w:rPr>
            </w:pPr>
            <w:r>
              <w:rPr>
                <w:sz w:val="16"/>
              </w:rPr>
              <w:t>17</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5FCF95"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AB767A"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CD6A5"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F37E36"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3DCAA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93B42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72BC9D"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BAD6A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CAD6F6"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557A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21B6E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071BB9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357DB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25DA9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3F756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8909B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47F03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D6D2A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5B5F3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610DC3"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59B59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97AA0A"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62E8D3" w14:textId="77777777" w:rsidR="004412F1" w:rsidRDefault="005A12A3">
            <w:pPr>
              <w:rPr>
                <w:sz w:val="16"/>
              </w:rPr>
            </w:pPr>
            <w:r>
              <w:rPr>
                <w:sz w:val="16"/>
                <w:szCs w:val="16"/>
              </w:rPr>
              <w:t>95</w:t>
            </w:r>
          </w:p>
        </w:tc>
      </w:tr>
      <w:tr w:rsidR="004412F1" w14:paraId="78F5B41C" w14:textId="77777777">
        <w:trPr>
          <w:trHeight w:val="272"/>
        </w:trPr>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44D5C9" w14:textId="77777777" w:rsidR="004412F1" w:rsidRDefault="005A12A3">
            <w:pPr>
              <w:rPr>
                <w:sz w:val="16"/>
              </w:rPr>
            </w:pPr>
            <w:r>
              <w:rPr>
                <w:sz w:val="16"/>
                <w:szCs w:val="16"/>
              </w:rPr>
              <w:t>Evi San Cleme</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CA83E5" w14:textId="77777777" w:rsidR="004412F1" w:rsidRDefault="004412F1">
            <w:pPr>
              <w:rPr>
                <w:sz w:val="16"/>
                <w:szCs w:val="16"/>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32B60B" w14:textId="77777777" w:rsidR="004412F1" w:rsidRDefault="004412F1">
            <w:pPr>
              <w:jc w:val="center"/>
              <w:rPr>
                <w:sz w:val="16"/>
                <w:szCs w:val="16"/>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7E9346" w14:textId="77777777" w:rsidR="004412F1" w:rsidRDefault="004412F1">
            <w:pPr>
              <w:jc w:val="center"/>
              <w:rPr>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E49EA6" w14:textId="77777777" w:rsidR="004412F1" w:rsidRDefault="005A12A3">
            <w:pPr>
              <w:rPr>
                <w:sz w:val="16"/>
                <w:szCs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A72551"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4F543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5DA562"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9E6277"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343C1B"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F2BF95"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ACA6E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8C85E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8F8A98F"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8D9BDC"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A0F04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2EDE30"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0E9DB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C58FB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276F4E"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E5E349"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4D1E84" w14:textId="77777777" w:rsidR="004412F1" w:rsidRDefault="005A12A3">
            <w:pPr>
              <w:rPr>
                <w:sz w:val="16"/>
              </w:rPr>
            </w:pPr>
            <w:r>
              <w:rPr>
                <w:sz w:val="16"/>
                <w:szCs w:val="16"/>
              </w:rPr>
              <w:t>95</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98943C" w14:textId="77777777" w:rsidR="004412F1" w:rsidRDefault="005A12A3">
            <w:pPr>
              <w:rPr>
                <w:sz w:val="16"/>
              </w:rPr>
            </w:pPr>
            <w:r>
              <w:rPr>
                <w:sz w:val="16"/>
                <w:szCs w:val="16"/>
              </w:rPr>
              <w:t>95</w:t>
            </w:r>
          </w:p>
        </w:tc>
        <w:tc>
          <w:tcPr>
            <w:tcW w:w="35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7B72F2" w14:textId="77777777" w:rsidR="004412F1" w:rsidRDefault="005A12A3">
            <w:pPr>
              <w:rPr>
                <w:sz w:val="16"/>
              </w:rPr>
            </w:pPr>
            <w:r>
              <w:rPr>
                <w:sz w:val="16"/>
                <w:szCs w:val="16"/>
              </w:rPr>
              <w:t>95</w:t>
            </w:r>
          </w:p>
        </w:tc>
      </w:tr>
      <w:tr w:rsidR="004412F1" w14:paraId="02A9B2E5" w14:textId="77777777">
        <w:trPr>
          <w:trHeight w:val="272"/>
        </w:trPr>
        <w:tc>
          <w:tcPr>
            <w:tcW w:w="602" w:type="dxa"/>
            <w:tcBorders>
              <w:top w:val="single" w:sz="4" w:space="0" w:color="000000"/>
              <w:left w:val="nil"/>
              <w:bottom w:val="nil"/>
              <w:right w:val="nil"/>
            </w:tcBorders>
            <w:shd w:val="clear" w:color="auto" w:fill="auto"/>
            <w:tcMar>
              <w:top w:w="0" w:type="dxa"/>
              <w:left w:w="70" w:type="dxa"/>
              <w:bottom w:w="0" w:type="dxa"/>
              <w:right w:w="70" w:type="dxa"/>
            </w:tcMar>
          </w:tcPr>
          <w:p w14:paraId="050B7C4E" w14:textId="77777777" w:rsidR="004412F1" w:rsidRDefault="004412F1">
            <w:pPr>
              <w:rPr>
                <w:sz w:val="16"/>
              </w:rPr>
            </w:pPr>
          </w:p>
        </w:tc>
        <w:tc>
          <w:tcPr>
            <w:tcW w:w="478" w:type="dxa"/>
            <w:tcBorders>
              <w:top w:val="single" w:sz="4" w:space="0" w:color="000000"/>
              <w:left w:val="nil"/>
              <w:bottom w:val="nil"/>
              <w:right w:val="nil"/>
            </w:tcBorders>
            <w:shd w:val="clear" w:color="auto" w:fill="auto"/>
            <w:tcMar>
              <w:top w:w="0" w:type="dxa"/>
              <w:left w:w="70" w:type="dxa"/>
              <w:bottom w:w="0" w:type="dxa"/>
              <w:right w:w="70" w:type="dxa"/>
            </w:tcMar>
          </w:tcPr>
          <w:p w14:paraId="24AC5FA1" w14:textId="77777777" w:rsidR="004412F1" w:rsidRDefault="004412F1">
            <w:pPr>
              <w:rPr>
                <w:sz w:val="16"/>
                <w:szCs w:val="16"/>
              </w:rPr>
            </w:pPr>
          </w:p>
        </w:tc>
        <w:tc>
          <w:tcPr>
            <w:tcW w:w="603" w:type="dxa"/>
            <w:tcBorders>
              <w:top w:val="single" w:sz="4" w:space="0" w:color="000000"/>
              <w:left w:val="nil"/>
              <w:bottom w:val="nil"/>
              <w:right w:val="nil"/>
            </w:tcBorders>
            <w:shd w:val="clear" w:color="auto" w:fill="auto"/>
            <w:tcMar>
              <w:top w:w="0" w:type="dxa"/>
              <w:left w:w="70" w:type="dxa"/>
              <w:bottom w:w="0" w:type="dxa"/>
              <w:right w:w="70" w:type="dxa"/>
            </w:tcMar>
            <w:vAlign w:val="center"/>
          </w:tcPr>
          <w:p w14:paraId="03DD6C2C" w14:textId="77777777" w:rsidR="004412F1" w:rsidRDefault="004412F1">
            <w:pPr>
              <w:jc w:val="center"/>
              <w:rPr>
                <w:sz w:val="16"/>
                <w:szCs w:val="16"/>
              </w:rPr>
            </w:pPr>
          </w:p>
        </w:tc>
        <w:tc>
          <w:tcPr>
            <w:tcW w:w="558" w:type="dxa"/>
            <w:tcBorders>
              <w:top w:val="single" w:sz="4" w:space="0" w:color="000000"/>
              <w:left w:val="nil"/>
              <w:bottom w:val="nil"/>
              <w:right w:val="nil"/>
            </w:tcBorders>
            <w:shd w:val="clear" w:color="auto" w:fill="auto"/>
            <w:tcMar>
              <w:top w:w="0" w:type="dxa"/>
              <w:left w:w="70" w:type="dxa"/>
              <w:bottom w:w="0" w:type="dxa"/>
              <w:right w:w="70" w:type="dxa"/>
            </w:tcMar>
            <w:vAlign w:val="center"/>
          </w:tcPr>
          <w:p w14:paraId="608B8ECD" w14:textId="77777777" w:rsidR="004412F1" w:rsidRDefault="004412F1">
            <w:pPr>
              <w:jc w:val="center"/>
              <w:rPr>
                <w:sz w:val="16"/>
                <w:szCs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64F23EDD"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3C628FCF"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2C33C4C7"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5910D232"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755CA213"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7DC2B1E7"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312FE6A0"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15AF5DC5"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03AD19A6"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22BDA8EF"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61069211"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541E8DAF"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332E67EA"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165540B8"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5FA09BF9"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2F8C8416"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3CB417A9"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63FC75CD" w14:textId="77777777" w:rsidR="004412F1" w:rsidRDefault="004412F1">
            <w:pPr>
              <w:rPr>
                <w:sz w:val="16"/>
              </w:rPr>
            </w:pPr>
          </w:p>
        </w:tc>
        <w:tc>
          <w:tcPr>
            <w:tcW w:w="318" w:type="dxa"/>
            <w:tcBorders>
              <w:top w:val="single" w:sz="4" w:space="0" w:color="000000"/>
              <w:left w:val="nil"/>
              <w:bottom w:val="nil"/>
              <w:right w:val="nil"/>
            </w:tcBorders>
            <w:shd w:val="clear" w:color="auto" w:fill="auto"/>
            <w:tcMar>
              <w:top w:w="0" w:type="dxa"/>
              <w:left w:w="70" w:type="dxa"/>
              <w:bottom w:w="0" w:type="dxa"/>
              <w:right w:w="70" w:type="dxa"/>
            </w:tcMar>
          </w:tcPr>
          <w:p w14:paraId="67401748" w14:textId="77777777" w:rsidR="004412F1" w:rsidRDefault="004412F1">
            <w:pPr>
              <w:rPr>
                <w:sz w:val="16"/>
              </w:rPr>
            </w:pPr>
          </w:p>
        </w:tc>
        <w:tc>
          <w:tcPr>
            <w:tcW w:w="358" w:type="dxa"/>
            <w:tcBorders>
              <w:top w:val="single" w:sz="4" w:space="0" w:color="000000"/>
              <w:left w:val="nil"/>
              <w:bottom w:val="nil"/>
              <w:right w:val="nil"/>
            </w:tcBorders>
            <w:shd w:val="clear" w:color="auto" w:fill="auto"/>
            <w:tcMar>
              <w:top w:w="0" w:type="dxa"/>
              <w:left w:w="70" w:type="dxa"/>
              <w:bottom w:w="0" w:type="dxa"/>
              <w:right w:w="70" w:type="dxa"/>
            </w:tcMar>
          </w:tcPr>
          <w:p w14:paraId="20CA0EE2" w14:textId="77777777" w:rsidR="004412F1" w:rsidRDefault="004412F1">
            <w:pPr>
              <w:rPr>
                <w:sz w:val="16"/>
              </w:rPr>
            </w:pPr>
          </w:p>
        </w:tc>
      </w:tr>
    </w:tbl>
    <w:p w14:paraId="4340B6E9" w14:textId="77777777" w:rsidR="004412F1" w:rsidRDefault="004412F1">
      <w:pPr>
        <w:jc w:val="both"/>
        <w:sectPr w:rsidR="004412F1">
          <w:footerReference w:type="default" r:id="rId20"/>
          <w:pgSz w:w="11907" w:h="16840"/>
          <w:pgMar w:top="1418" w:right="1701" w:bottom="1418" w:left="1701" w:header="720" w:footer="720" w:gutter="0"/>
          <w:cols w:space="720"/>
        </w:sectPr>
      </w:pPr>
    </w:p>
    <w:p w14:paraId="24B5D992" w14:textId="77777777" w:rsidR="004412F1" w:rsidRDefault="004412F1">
      <w:pPr>
        <w:rPr>
          <w:u w:val="single"/>
        </w:rPr>
      </w:pPr>
    </w:p>
    <w:p w14:paraId="6F68871C" w14:textId="77777777" w:rsidR="004412F1" w:rsidRPr="00E03735" w:rsidRDefault="005A12A3">
      <w:pPr>
        <w:pStyle w:val="Ttulo2"/>
        <w:ind w:hanging="964"/>
        <w:jc w:val="center"/>
        <w:rPr>
          <w:rFonts w:ascii="Arial" w:eastAsia="Arial" w:hAnsi="Arial"/>
          <w:b/>
          <w:sz w:val="24"/>
          <w:szCs w:val="24"/>
          <w:u w:val="none"/>
        </w:rPr>
      </w:pPr>
      <w:bookmarkStart w:id="2760" w:name="_Toc468837736"/>
      <w:bookmarkStart w:id="2761" w:name="_Toc139294839"/>
      <w:bookmarkStart w:id="2762" w:name="_Toc140089448"/>
      <w:r w:rsidRPr="00E03735">
        <w:rPr>
          <w:rFonts w:ascii="Arial" w:eastAsia="Arial" w:hAnsi="Arial"/>
          <w:b/>
          <w:sz w:val="24"/>
          <w:szCs w:val="24"/>
        </w:rPr>
        <w:t>Apéndice 7</w:t>
      </w:r>
      <w:bookmarkEnd w:id="2760"/>
      <w:bookmarkEnd w:id="2761"/>
      <w:bookmarkEnd w:id="2762"/>
    </w:p>
    <w:p w14:paraId="18142B8B" w14:textId="77777777" w:rsidR="004412F1" w:rsidRPr="00E03735" w:rsidRDefault="005A12A3" w:rsidP="00E0431E">
      <w:pPr>
        <w:ind w:left="567"/>
        <w:jc w:val="center"/>
        <w:outlineLvl w:val="1"/>
        <w:rPr>
          <w:b/>
          <w:sz w:val="24"/>
          <w:szCs w:val="24"/>
          <w:lang w:val="es-PE"/>
        </w:rPr>
      </w:pPr>
      <w:bookmarkStart w:id="2763" w:name="_Toc468837737"/>
      <w:bookmarkStart w:id="2764" w:name="_Toc140089449"/>
      <w:r w:rsidRPr="00E03735">
        <w:rPr>
          <w:b/>
          <w:sz w:val="24"/>
          <w:szCs w:val="24"/>
          <w:lang w:val="es-PE"/>
        </w:rPr>
        <w:t>Manual para Relevamiento de Niveles de Servicio</w:t>
      </w:r>
      <w:bookmarkEnd w:id="2763"/>
      <w:bookmarkEnd w:id="2764"/>
    </w:p>
    <w:p w14:paraId="58D73C66" w14:textId="77777777" w:rsidR="004412F1" w:rsidRPr="00E03735" w:rsidRDefault="004412F1">
      <w:pPr>
        <w:jc w:val="center"/>
        <w:rPr>
          <w:b/>
          <w:sz w:val="24"/>
          <w:szCs w:val="24"/>
          <w:lang w:val="es-PE"/>
        </w:rPr>
      </w:pPr>
    </w:p>
    <w:p w14:paraId="54350B24" w14:textId="77777777" w:rsidR="004412F1" w:rsidRDefault="004412F1">
      <w:pPr>
        <w:jc w:val="center"/>
        <w:rPr>
          <w:b/>
          <w:lang w:val="es-PE"/>
        </w:rPr>
      </w:pPr>
    </w:p>
    <w:p w14:paraId="11F9481C" w14:textId="77777777" w:rsidR="004412F1" w:rsidRDefault="005A12A3">
      <w:pPr>
        <w:jc w:val="center"/>
        <w:rPr>
          <w:b/>
          <w:lang w:val="es-PE"/>
        </w:rPr>
      </w:pPr>
      <w:r>
        <w:rPr>
          <w:b/>
          <w:lang w:val="es-PE"/>
        </w:rPr>
        <w:br w:type="page"/>
      </w:r>
    </w:p>
    <w:p w14:paraId="23502075" w14:textId="77777777" w:rsidR="004412F1" w:rsidRDefault="005A12A3">
      <w:pPr>
        <w:jc w:val="center"/>
        <w:rPr>
          <w:b/>
          <w:lang w:val="es-PE"/>
        </w:rPr>
      </w:pPr>
      <w:r>
        <w:rPr>
          <w:b/>
          <w:lang w:val="es-PE"/>
        </w:rPr>
        <w:t>MANUAL PARA EL</w:t>
      </w:r>
    </w:p>
    <w:p w14:paraId="53F9EA84" w14:textId="77777777" w:rsidR="004412F1" w:rsidRDefault="005A12A3">
      <w:pPr>
        <w:jc w:val="center"/>
        <w:rPr>
          <w:b/>
          <w:lang w:val="es-PE"/>
        </w:rPr>
      </w:pPr>
      <w:r>
        <w:rPr>
          <w:b/>
          <w:lang w:val="es-PE"/>
        </w:rPr>
        <w:t>RELEVAMIENTO DE NIVELES DE SERVICIO</w:t>
      </w:r>
    </w:p>
    <w:p w14:paraId="35A6A4C4" w14:textId="77777777" w:rsidR="004412F1" w:rsidRDefault="004412F1">
      <w:pPr>
        <w:jc w:val="center"/>
        <w:rPr>
          <w:b/>
          <w:lang w:val="es-PE"/>
        </w:rPr>
      </w:pPr>
    </w:p>
    <w:p w14:paraId="550BD2BC" w14:textId="77777777" w:rsidR="004412F1" w:rsidRDefault="004412F1">
      <w:pPr>
        <w:jc w:val="center"/>
        <w:rPr>
          <w:b/>
          <w:lang w:val="es-PE"/>
        </w:rPr>
      </w:pPr>
    </w:p>
    <w:p w14:paraId="41A066D7" w14:textId="77777777" w:rsidR="004412F1" w:rsidRDefault="005A12A3">
      <w:pPr>
        <w:jc w:val="center"/>
        <w:rPr>
          <w:b/>
        </w:rPr>
      </w:pPr>
      <w:r>
        <w:rPr>
          <w:b/>
        </w:rPr>
        <w:t>CONTENIDO</w:t>
      </w:r>
    </w:p>
    <w:p w14:paraId="41961934" w14:textId="77777777" w:rsidR="004412F1" w:rsidRDefault="004412F1">
      <w:pPr>
        <w:jc w:val="center"/>
        <w:rPr>
          <w:b/>
        </w:rPr>
      </w:pPr>
    </w:p>
    <w:p w14:paraId="3651A43A" w14:textId="77777777" w:rsidR="004412F1" w:rsidRDefault="004412F1">
      <w:pPr>
        <w:jc w:val="center"/>
        <w:rPr>
          <w:b/>
        </w:rPr>
      </w:pPr>
    </w:p>
    <w:p w14:paraId="751611B8" w14:textId="77777777" w:rsidR="004412F1" w:rsidRDefault="005A12A3">
      <w:pPr>
        <w:numPr>
          <w:ilvl w:val="5"/>
          <w:numId w:val="171"/>
        </w:numPr>
        <w:suppressLineNumbers/>
        <w:tabs>
          <w:tab w:val="left" w:pos="600"/>
          <w:tab w:val="right" w:pos="8787"/>
        </w:tabs>
        <w:suppressAutoHyphens/>
        <w:spacing w:after="120"/>
        <w:ind w:hanging="4320"/>
        <w:jc w:val="both"/>
        <w:rPr>
          <w:color w:val="000000"/>
        </w:rPr>
      </w:pPr>
      <w:r>
        <w:rPr>
          <w:color w:val="000000"/>
        </w:rPr>
        <w:t>INTRODUCCIÓN</w:t>
      </w:r>
    </w:p>
    <w:p w14:paraId="6AB2B913" w14:textId="77777777" w:rsidR="004412F1" w:rsidRDefault="005A12A3">
      <w:pPr>
        <w:numPr>
          <w:ilvl w:val="5"/>
          <w:numId w:val="171"/>
        </w:numPr>
        <w:suppressLineNumbers/>
        <w:tabs>
          <w:tab w:val="left" w:pos="600"/>
          <w:tab w:val="right" w:pos="8787"/>
        </w:tabs>
        <w:suppressAutoHyphens/>
        <w:spacing w:after="120"/>
        <w:ind w:hanging="4320"/>
        <w:jc w:val="both"/>
        <w:rPr>
          <w:color w:val="000000"/>
          <w:lang w:val="es-PE"/>
        </w:rPr>
      </w:pPr>
      <w:r>
        <w:rPr>
          <w:color w:val="000000"/>
          <w:lang w:val="es-PE"/>
        </w:rPr>
        <w:t>EVALUACION DE NIVELES DE SERVICIO INDIVIDUALES</w:t>
      </w:r>
    </w:p>
    <w:p w14:paraId="65730A35" w14:textId="77777777" w:rsidR="004412F1" w:rsidRDefault="005A12A3">
      <w:pPr>
        <w:tabs>
          <w:tab w:val="left" w:pos="720"/>
          <w:tab w:val="left" w:pos="1300"/>
          <w:tab w:val="right" w:pos="8787"/>
        </w:tabs>
        <w:ind w:left="360" w:firstLine="240"/>
        <w:jc w:val="both"/>
        <w:rPr>
          <w:lang w:val="es-PE"/>
        </w:rPr>
      </w:pPr>
      <w:r>
        <w:rPr>
          <w:lang w:val="es-PE"/>
        </w:rPr>
        <w:t>a.</w:t>
      </w:r>
      <w:r>
        <w:rPr>
          <w:lang w:val="es-PE"/>
        </w:rPr>
        <w:tab/>
        <w:t>Determinación de Niveles de Servicio en superficie de rodadura y bermas.</w:t>
      </w:r>
    </w:p>
    <w:p w14:paraId="095B7A36" w14:textId="77777777" w:rsidR="004412F1" w:rsidRDefault="005A12A3">
      <w:pPr>
        <w:tabs>
          <w:tab w:val="left" w:pos="720"/>
          <w:tab w:val="left" w:pos="1300"/>
          <w:tab w:val="right" w:pos="8787"/>
        </w:tabs>
        <w:ind w:left="360" w:firstLine="240"/>
        <w:jc w:val="both"/>
        <w:rPr>
          <w:lang w:val="es-PE"/>
        </w:rPr>
      </w:pPr>
      <w:r>
        <w:rPr>
          <w:lang w:val="es-PE"/>
        </w:rPr>
        <w:t>b.</w:t>
      </w:r>
      <w:r>
        <w:rPr>
          <w:lang w:val="es-PE"/>
        </w:rPr>
        <w:tab/>
        <w:t>Determinación de Niveles de Servicio en drenajes.</w:t>
      </w:r>
    </w:p>
    <w:p w14:paraId="156C0CC3" w14:textId="77777777" w:rsidR="004412F1" w:rsidRDefault="005A12A3">
      <w:pPr>
        <w:tabs>
          <w:tab w:val="left" w:pos="720"/>
          <w:tab w:val="left" w:pos="1300"/>
          <w:tab w:val="right" w:pos="8787"/>
        </w:tabs>
        <w:ind w:left="360" w:firstLine="240"/>
        <w:jc w:val="both"/>
        <w:rPr>
          <w:lang w:val="es-PE"/>
        </w:rPr>
      </w:pPr>
      <w:r>
        <w:rPr>
          <w:lang w:val="es-PE"/>
        </w:rPr>
        <w:t>c.</w:t>
      </w:r>
      <w:r>
        <w:rPr>
          <w:lang w:val="es-PE"/>
        </w:rPr>
        <w:tab/>
        <w:t>Determinación de Niveles de Servicios en puentes y viaductos.</w:t>
      </w:r>
    </w:p>
    <w:p w14:paraId="6D324F95" w14:textId="77777777" w:rsidR="004412F1" w:rsidRDefault="004412F1">
      <w:pPr>
        <w:tabs>
          <w:tab w:val="left" w:pos="720"/>
          <w:tab w:val="right" w:pos="8787"/>
        </w:tabs>
        <w:ind w:left="360"/>
        <w:jc w:val="both"/>
        <w:rPr>
          <w:lang w:val="es-PE"/>
        </w:rPr>
      </w:pPr>
    </w:p>
    <w:p w14:paraId="3E23F08E" w14:textId="77777777" w:rsidR="004412F1" w:rsidRDefault="005A12A3">
      <w:pPr>
        <w:numPr>
          <w:ilvl w:val="5"/>
          <w:numId w:val="171"/>
        </w:numPr>
        <w:suppressLineNumbers/>
        <w:tabs>
          <w:tab w:val="left" w:pos="600"/>
          <w:tab w:val="right" w:pos="8787"/>
        </w:tabs>
        <w:suppressAutoHyphens/>
        <w:spacing w:after="120"/>
        <w:ind w:hanging="4320"/>
        <w:jc w:val="both"/>
        <w:rPr>
          <w:color w:val="000000"/>
        </w:rPr>
      </w:pPr>
      <w:r>
        <w:rPr>
          <w:color w:val="000000"/>
        </w:rPr>
        <w:t>MEDICIÓN DE RUGOSIDAD</w:t>
      </w:r>
    </w:p>
    <w:p w14:paraId="03D040F2" w14:textId="77777777" w:rsidR="004412F1" w:rsidRDefault="005A12A3">
      <w:pPr>
        <w:numPr>
          <w:ilvl w:val="5"/>
          <w:numId w:val="171"/>
        </w:numPr>
        <w:suppressLineNumbers/>
        <w:tabs>
          <w:tab w:val="left" w:pos="600"/>
          <w:tab w:val="right" w:pos="8787"/>
        </w:tabs>
        <w:suppressAutoHyphens/>
        <w:spacing w:after="120"/>
        <w:ind w:hanging="4320"/>
        <w:jc w:val="both"/>
        <w:rPr>
          <w:color w:val="000000"/>
          <w:lang w:val="es-PE"/>
        </w:rPr>
      </w:pPr>
      <w:r>
        <w:rPr>
          <w:color w:val="000000"/>
          <w:lang w:val="es-PE"/>
        </w:rPr>
        <w:t>PARÁMETROS DE CONDICIÓN ESTRUCTURAL POR DEFLECTOMETRÍA</w:t>
      </w:r>
    </w:p>
    <w:p w14:paraId="675830B8" w14:textId="77777777" w:rsidR="004412F1" w:rsidRDefault="004412F1">
      <w:pPr>
        <w:tabs>
          <w:tab w:val="left" w:pos="993"/>
          <w:tab w:val="right" w:pos="8787"/>
        </w:tabs>
        <w:jc w:val="both"/>
        <w:rPr>
          <w:lang w:val="es-PE"/>
        </w:rPr>
      </w:pPr>
    </w:p>
    <w:p w14:paraId="3D51F483" w14:textId="77777777" w:rsidR="004412F1" w:rsidRDefault="004412F1">
      <w:pPr>
        <w:tabs>
          <w:tab w:val="left" w:pos="-720"/>
          <w:tab w:val="left" w:pos="540"/>
        </w:tabs>
        <w:jc w:val="both"/>
        <w:rPr>
          <w:lang w:val="es-PE"/>
        </w:rPr>
      </w:pPr>
    </w:p>
    <w:p w14:paraId="0C1E0E20" w14:textId="77777777" w:rsidR="004412F1" w:rsidRDefault="004412F1">
      <w:pPr>
        <w:tabs>
          <w:tab w:val="left" w:pos="-720"/>
          <w:tab w:val="left" w:pos="540"/>
        </w:tabs>
        <w:jc w:val="both"/>
        <w:rPr>
          <w:lang w:val="es-PE"/>
        </w:rPr>
      </w:pPr>
    </w:p>
    <w:p w14:paraId="78108E81" w14:textId="77777777" w:rsidR="004412F1" w:rsidRDefault="004412F1">
      <w:pPr>
        <w:tabs>
          <w:tab w:val="left" w:pos="-720"/>
          <w:tab w:val="left" w:pos="540"/>
        </w:tabs>
        <w:jc w:val="both"/>
        <w:rPr>
          <w:lang w:val="es-PE"/>
        </w:rPr>
      </w:pPr>
    </w:p>
    <w:p w14:paraId="2E37E380" w14:textId="77777777" w:rsidR="004412F1" w:rsidRDefault="004412F1">
      <w:pPr>
        <w:tabs>
          <w:tab w:val="left" w:pos="-720"/>
          <w:tab w:val="left" w:pos="540"/>
        </w:tabs>
        <w:jc w:val="both"/>
        <w:rPr>
          <w:lang w:val="es-PE"/>
        </w:rPr>
      </w:pPr>
    </w:p>
    <w:p w14:paraId="311F6A10" w14:textId="77777777" w:rsidR="004412F1" w:rsidRDefault="004412F1">
      <w:pPr>
        <w:tabs>
          <w:tab w:val="left" w:pos="-720"/>
          <w:tab w:val="left" w:pos="540"/>
        </w:tabs>
        <w:jc w:val="both"/>
        <w:rPr>
          <w:lang w:val="es-PE"/>
        </w:rPr>
      </w:pPr>
    </w:p>
    <w:p w14:paraId="1D34A302" w14:textId="77777777" w:rsidR="004412F1" w:rsidRDefault="004412F1">
      <w:pPr>
        <w:tabs>
          <w:tab w:val="left" w:pos="-720"/>
          <w:tab w:val="left" w:pos="540"/>
        </w:tabs>
        <w:jc w:val="both"/>
        <w:rPr>
          <w:lang w:val="es-PE"/>
        </w:rPr>
      </w:pPr>
    </w:p>
    <w:p w14:paraId="075E4A3D" w14:textId="77777777" w:rsidR="004412F1" w:rsidRDefault="004412F1">
      <w:pPr>
        <w:tabs>
          <w:tab w:val="left" w:pos="-720"/>
          <w:tab w:val="left" w:pos="540"/>
        </w:tabs>
        <w:jc w:val="both"/>
        <w:rPr>
          <w:lang w:val="es-PE"/>
        </w:rPr>
      </w:pPr>
    </w:p>
    <w:p w14:paraId="4752B6B7" w14:textId="77777777" w:rsidR="004412F1" w:rsidRDefault="004412F1">
      <w:pPr>
        <w:tabs>
          <w:tab w:val="left" w:pos="-720"/>
          <w:tab w:val="left" w:pos="540"/>
        </w:tabs>
        <w:jc w:val="both"/>
        <w:rPr>
          <w:lang w:val="es-PE"/>
        </w:rPr>
      </w:pPr>
    </w:p>
    <w:p w14:paraId="4B3858EE" w14:textId="77777777" w:rsidR="004412F1" w:rsidRDefault="004412F1">
      <w:pPr>
        <w:tabs>
          <w:tab w:val="left" w:pos="-720"/>
          <w:tab w:val="left" w:pos="540"/>
        </w:tabs>
        <w:jc w:val="both"/>
        <w:rPr>
          <w:lang w:val="es-PE"/>
        </w:rPr>
      </w:pPr>
    </w:p>
    <w:p w14:paraId="4BB8831E" w14:textId="77777777" w:rsidR="004412F1" w:rsidRDefault="004412F1">
      <w:pPr>
        <w:tabs>
          <w:tab w:val="left" w:pos="-720"/>
          <w:tab w:val="left" w:pos="540"/>
        </w:tabs>
        <w:jc w:val="both"/>
        <w:rPr>
          <w:lang w:val="es-PE"/>
        </w:rPr>
      </w:pPr>
    </w:p>
    <w:p w14:paraId="008AFBE1" w14:textId="77777777" w:rsidR="004412F1" w:rsidRDefault="004412F1">
      <w:pPr>
        <w:tabs>
          <w:tab w:val="left" w:pos="-720"/>
          <w:tab w:val="left" w:pos="540"/>
        </w:tabs>
        <w:jc w:val="both"/>
        <w:rPr>
          <w:lang w:val="es-PE"/>
        </w:rPr>
      </w:pPr>
    </w:p>
    <w:p w14:paraId="6EEDA261" w14:textId="77777777" w:rsidR="004412F1" w:rsidRDefault="004412F1">
      <w:pPr>
        <w:tabs>
          <w:tab w:val="left" w:pos="-720"/>
          <w:tab w:val="left" w:pos="540"/>
        </w:tabs>
        <w:jc w:val="both"/>
        <w:rPr>
          <w:lang w:val="es-PE"/>
        </w:rPr>
      </w:pPr>
    </w:p>
    <w:p w14:paraId="2D7B538F" w14:textId="77777777" w:rsidR="004412F1" w:rsidRDefault="004412F1">
      <w:pPr>
        <w:tabs>
          <w:tab w:val="left" w:pos="-720"/>
          <w:tab w:val="left" w:pos="540"/>
        </w:tabs>
        <w:jc w:val="both"/>
        <w:rPr>
          <w:lang w:val="es-PE"/>
        </w:rPr>
      </w:pPr>
    </w:p>
    <w:p w14:paraId="6F415EC0" w14:textId="77777777" w:rsidR="004412F1" w:rsidRDefault="004412F1">
      <w:pPr>
        <w:tabs>
          <w:tab w:val="left" w:pos="-720"/>
          <w:tab w:val="left" w:pos="540"/>
        </w:tabs>
        <w:jc w:val="both"/>
        <w:rPr>
          <w:lang w:val="es-PE"/>
        </w:rPr>
      </w:pPr>
    </w:p>
    <w:p w14:paraId="39DCE8BB" w14:textId="77777777" w:rsidR="004412F1" w:rsidRDefault="004412F1">
      <w:pPr>
        <w:tabs>
          <w:tab w:val="left" w:pos="-720"/>
          <w:tab w:val="left" w:pos="540"/>
        </w:tabs>
        <w:jc w:val="both"/>
        <w:rPr>
          <w:lang w:val="es-PE"/>
        </w:rPr>
      </w:pPr>
    </w:p>
    <w:p w14:paraId="6AD926DF" w14:textId="77777777" w:rsidR="004412F1" w:rsidRDefault="004412F1">
      <w:pPr>
        <w:tabs>
          <w:tab w:val="left" w:pos="-720"/>
          <w:tab w:val="left" w:pos="540"/>
        </w:tabs>
        <w:jc w:val="both"/>
        <w:rPr>
          <w:lang w:val="es-PE"/>
        </w:rPr>
      </w:pPr>
    </w:p>
    <w:p w14:paraId="27B52A28" w14:textId="77777777" w:rsidR="004412F1" w:rsidRDefault="004412F1">
      <w:pPr>
        <w:tabs>
          <w:tab w:val="left" w:pos="-720"/>
          <w:tab w:val="left" w:pos="540"/>
        </w:tabs>
        <w:jc w:val="both"/>
        <w:rPr>
          <w:lang w:val="es-PE"/>
        </w:rPr>
      </w:pPr>
    </w:p>
    <w:p w14:paraId="6C1EFECB" w14:textId="77777777" w:rsidR="004412F1" w:rsidRDefault="004412F1">
      <w:pPr>
        <w:tabs>
          <w:tab w:val="left" w:pos="-720"/>
          <w:tab w:val="left" w:pos="540"/>
        </w:tabs>
        <w:jc w:val="both"/>
        <w:rPr>
          <w:lang w:val="es-PE"/>
        </w:rPr>
      </w:pPr>
    </w:p>
    <w:p w14:paraId="7C21AFC6" w14:textId="77777777" w:rsidR="004412F1" w:rsidRDefault="004412F1">
      <w:pPr>
        <w:tabs>
          <w:tab w:val="left" w:pos="-720"/>
          <w:tab w:val="left" w:pos="540"/>
        </w:tabs>
        <w:jc w:val="both"/>
        <w:rPr>
          <w:lang w:val="es-PE"/>
        </w:rPr>
      </w:pPr>
    </w:p>
    <w:p w14:paraId="33612CDA" w14:textId="77777777" w:rsidR="004412F1" w:rsidRDefault="004412F1">
      <w:pPr>
        <w:tabs>
          <w:tab w:val="left" w:pos="-720"/>
          <w:tab w:val="left" w:pos="540"/>
        </w:tabs>
        <w:jc w:val="both"/>
        <w:rPr>
          <w:lang w:val="es-PE"/>
        </w:rPr>
      </w:pPr>
    </w:p>
    <w:p w14:paraId="32026CA8" w14:textId="77777777" w:rsidR="004412F1" w:rsidRDefault="004412F1">
      <w:pPr>
        <w:tabs>
          <w:tab w:val="left" w:pos="-720"/>
          <w:tab w:val="left" w:pos="540"/>
        </w:tabs>
        <w:jc w:val="both"/>
        <w:rPr>
          <w:lang w:val="es-PE"/>
        </w:rPr>
      </w:pPr>
    </w:p>
    <w:p w14:paraId="220F2B1F" w14:textId="77777777" w:rsidR="004412F1" w:rsidRDefault="004412F1">
      <w:pPr>
        <w:tabs>
          <w:tab w:val="left" w:pos="-720"/>
          <w:tab w:val="left" w:pos="540"/>
        </w:tabs>
        <w:jc w:val="both"/>
        <w:rPr>
          <w:lang w:val="es-PE"/>
        </w:rPr>
      </w:pPr>
    </w:p>
    <w:p w14:paraId="3AF5FFAE" w14:textId="77777777" w:rsidR="004412F1" w:rsidRDefault="004412F1">
      <w:pPr>
        <w:tabs>
          <w:tab w:val="left" w:pos="-720"/>
          <w:tab w:val="left" w:pos="540"/>
        </w:tabs>
        <w:jc w:val="both"/>
        <w:rPr>
          <w:lang w:val="es-PE"/>
        </w:rPr>
      </w:pPr>
    </w:p>
    <w:p w14:paraId="0A5E91A1" w14:textId="77777777" w:rsidR="004412F1" w:rsidRDefault="004412F1">
      <w:pPr>
        <w:tabs>
          <w:tab w:val="left" w:pos="-720"/>
          <w:tab w:val="left" w:pos="540"/>
        </w:tabs>
        <w:jc w:val="both"/>
        <w:rPr>
          <w:lang w:val="es-PE"/>
        </w:rPr>
      </w:pPr>
    </w:p>
    <w:p w14:paraId="690571AD" w14:textId="77777777" w:rsidR="004412F1" w:rsidRDefault="004412F1">
      <w:pPr>
        <w:tabs>
          <w:tab w:val="left" w:pos="-720"/>
          <w:tab w:val="left" w:pos="540"/>
        </w:tabs>
        <w:jc w:val="both"/>
        <w:rPr>
          <w:lang w:val="es-PE"/>
        </w:rPr>
      </w:pPr>
    </w:p>
    <w:p w14:paraId="10E6EFCA" w14:textId="77777777" w:rsidR="004412F1" w:rsidRDefault="004412F1">
      <w:pPr>
        <w:tabs>
          <w:tab w:val="left" w:pos="-720"/>
          <w:tab w:val="left" w:pos="540"/>
        </w:tabs>
        <w:jc w:val="both"/>
        <w:rPr>
          <w:lang w:val="es-PE"/>
        </w:rPr>
      </w:pPr>
    </w:p>
    <w:p w14:paraId="0689C81E" w14:textId="77777777" w:rsidR="004412F1" w:rsidRDefault="004412F1">
      <w:pPr>
        <w:tabs>
          <w:tab w:val="left" w:pos="-720"/>
          <w:tab w:val="left" w:pos="540"/>
        </w:tabs>
        <w:jc w:val="both"/>
        <w:rPr>
          <w:lang w:val="es-PE"/>
        </w:rPr>
      </w:pPr>
    </w:p>
    <w:p w14:paraId="6ECECF0F" w14:textId="77777777" w:rsidR="004412F1" w:rsidRDefault="004412F1">
      <w:pPr>
        <w:tabs>
          <w:tab w:val="left" w:pos="-720"/>
          <w:tab w:val="left" w:pos="540"/>
        </w:tabs>
        <w:jc w:val="both"/>
        <w:rPr>
          <w:lang w:val="es-PE"/>
        </w:rPr>
      </w:pPr>
    </w:p>
    <w:p w14:paraId="0EEA5A14" w14:textId="77777777" w:rsidR="004412F1" w:rsidRDefault="004412F1">
      <w:pPr>
        <w:tabs>
          <w:tab w:val="left" w:pos="-720"/>
          <w:tab w:val="left" w:pos="540"/>
        </w:tabs>
        <w:jc w:val="both"/>
        <w:rPr>
          <w:lang w:val="es-PE"/>
        </w:rPr>
      </w:pPr>
    </w:p>
    <w:p w14:paraId="4F8E6CD5" w14:textId="77777777" w:rsidR="004412F1" w:rsidRDefault="004412F1">
      <w:pPr>
        <w:tabs>
          <w:tab w:val="left" w:pos="-720"/>
          <w:tab w:val="left" w:pos="540"/>
        </w:tabs>
        <w:jc w:val="both"/>
        <w:rPr>
          <w:lang w:val="es-PE"/>
        </w:rPr>
      </w:pPr>
    </w:p>
    <w:p w14:paraId="25F210BB" w14:textId="77777777" w:rsidR="004412F1" w:rsidRDefault="004412F1">
      <w:pPr>
        <w:tabs>
          <w:tab w:val="left" w:pos="-720"/>
          <w:tab w:val="left" w:pos="540"/>
        </w:tabs>
        <w:jc w:val="both"/>
        <w:rPr>
          <w:lang w:val="es-PE"/>
        </w:rPr>
      </w:pPr>
    </w:p>
    <w:p w14:paraId="5278983F" w14:textId="77777777" w:rsidR="004412F1" w:rsidRDefault="004412F1">
      <w:pPr>
        <w:tabs>
          <w:tab w:val="left" w:pos="-720"/>
          <w:tab w:val="left" w:pos="540"/>
        </w:tabs>
        <w:jc w:val="both"/>
        <w:rPr>
          <w:lang w:val="es-PE"/>
        </w:rPr>
      </w:pPr>
    </w:p>
    <w:p w14:paraId="77757935" w14:textId="77777777" w:rsidR="004412F1" w:rsidRDefault="004412F1">
      <w:pPr>
        <w:tabs>
          <w:tab w:val="left" w:pos="-720"/>
          <w:tab w:val="left" w:pos="540"/>
        </w:tabs>
        <w:jc w:val="both"/>
        <w:rPr>
          <w:lang w:val="es-PE"/>
        </w:rPr>
      </w:pPr>
    </w:p>
    <w:p w14:paraId="70B7DBAA" w14:textId="77777777" w:rsidR="004412F1" w:rsidRDefault="004412F1">
      <w:pPr>
        <w:tabs>
          <w:tab w:val="left" w:pos="-720"/>
          <w:tab w:val="left" w:pos="540"/>
        </w:tabs>
        <w:jc w:val="both"/>
        <w:rPr>
          <w:lang w:val="es-PE"/>
        </w:rPr>
      </w:pPr>
    </w:p>
    <w:p w14:paraId="5872FADF" w14:textId="77777777" w:rsidR="004412F1" w:rsidRDefault="004412F1">
      <w:pPr>
        <w:tabs>
          <w:tab w:val="left" w:pos="-720"/>
          <w:tab w:val="left" w:pos="540"/>
        </w:tabs>
        <w:jc w:val="both"/>
        <w:rPr>
          <w:lang w:val="es-PE"/>
        </w:rPr>
      </w:pPr>
    </w:p>
    <w:p w14:paraId="4E0F2F6D" w14:textId="77777777" w:rsidR="004412F1" w:rsidRDefault="004412F1">
      <w:pPr>
        <w:tabs>
          <w:tab w:val="left" w:pos="-720"/>
          <w:tab w:val="left" w:pos="540"/>
        </w:tabs>
        <w:jc w:val="both"/>
        <w:rPr>
          <w:lang w:val="es-PE"/>
        </w:rPr>
      </w:pPr>
    </w:p>
    <w:p w14:paraId="379B5073" w14:textId="77777777" w:rsidR="004412F1" w:rsidRDefault="004412F1">
      <w:pPr>
        <w:tabs>
          <w:tab w:val="left" w:pos="-720"/>
          <w:tab w:val="left" w:pos="540"/>
        </w:tabs>
        <w:jc w:val="both"/>
        <w:rPr>
          <w:lang w:val="es-PE"/>
        </w:rPr>
      </w:pPr>
    </w:p>
    <w:p w14:paraId="5C6A1C2D" w14:textId="77777777" w:rsidR="004412F1" w:rsidRDefault="004412F1">
      <w:pPr>
        <w:tabs>
          <w:tab w:val="left" w:pos="-720"/>
          <w:tab w:val="left" w:pos="540"/>
        </w:tabs>
        <w:jc w:val="both"/>
        <w:rPr>
          <w:lang w:val="es-PE"/>
        </w:rPr>
      </w:pPr>
    </w:p>
    <w:p w14:paraId="6DC7C05D" w14:textId="77777777" w:rsidR="004412F1" w:rsidRDefault="004412F1">
      <w:pPr>
        <w:tabs>
          <w:tab w:val="left" w:pos="-720"/>
          <w:tab w:val="left" w:pos="540"/>
        </w:tabs>
        <w:jc w:val="both"/>
        <w:rPr>
          <w:lang w:val="es-PE"/>
        </w:rPr>
      </w:pPr>
    </w:p>
    <w:p w14:paraId="232B9DB5" w14:textId="77777777" w:rsidR="004412F1" w:rsidRDefault="005A12A3">
      <w:pPr>
        <w:tabs>
          <w:tab w:val="left" w:pos="426"/>
        </w:tabs>
        <w:rPr>
          <w:b/>
          <w:lang w:val="es-PE"/>
        </w:rPr>
      </w:pPr>
      <w:r>
        <w:rPr>
          <w:b/>
          <w:lang w:val="es-PE"/>
        </w:rPr>
        <w:t>A.</w:t>
      </w:r>
      <w:r>
        <w:rPr>
          <w:b/>
          <w:lang w:val="es-PE"/>
        </w:rPr>
        <w:tab/>
        <w:t>INTRODUCCIÓN</w:t>
      </w:r>
    </w:p>
    <w:p w14:paraId="5B4DEE36" w14:textId="77777777" w:rsidR="004412F1" w:rsidRDefault="004412F1">
      <w:pPr>
        <w:jc w:val="both"/>
        <w:rPr>
          <w:lang w:val="es-PE"/>
        </w:rPr>
      </w:pPr>
    </w:p>
    <w:p w14:paraId="57B87611" w14:textId="77777777" w:rsidR="004412F1" w:rsidRDefault="005A12A3">
      <w:pPr>
        <w:ind w:left="426"/>
        <w:jc w:val="both"/>
        <w:rPr>
          <w:lang w:val="es-PE"/>
        </w:rPr>
      </w:pPr>
      <w:r>
        <w:rPr>
          <w:lang w:val="es-PE"/>
        </w:rPr>
        <w:t>El presente “Manual para Relevamiento de Niveles de Servicio” ilustra y complementa algunos de los criterios y procedimientos propuestos en los “Procedimientos para la Explotación y para el Control de la Gestión del CONCESIONARIO de la Carretera Longitudinal de la Sierra Tramo 4: Huancayo-Izcuchaca-Mayocc-Ayacucho/Ayacucho-Andahuaylas-Pte Sahuinto/Dv. Pisco – Huaytará - Ayacucho.</w:t>
      </w:r>
    </w:p>
    <w:p w14:paraId="5A964BF5" w14:textId="77777777" w:rsidR="004412F1" w:rsidRDefault="004412F1">
      <w:pPr>
        <w:ind w:left="426"/>
        <w:jc w:val="both"/>
        <w:rPr>
          <w:lang w:val="es-PE"/>
        </w:rPr>
      </w:pPr>
    </w:p>
    <w:p w14:paraId="52ECD16A" w14:textId="77777777" w:rsidR="004412F1" w:rsidRDefault="005A12A3">
      <w:pPr>
        <w:suppressLineNumbers/>
        <w:suppressAutoHyphens/>
        <w:ind w:left="426"/>
        <w:jc w:val="both"/>
        <w:rPr>
          <w:color w:val="000000"/>
          <w:lang w:val="es-PE"/>
        </w:rPr>
      </w:pPr>
      <w:r>
        <w:rPr>
          <w:color w:val="000000"/>
          <w:lang w:val="es-PE"/>
        </w:rPr>
        <w:t>El propósito del documento es, además de establecer bases contractuales complementarias, servir como guía de campo para asistir a los encargados de la supervisión de la Conservación en el desarrollo de sus tareas. Solamente se han resumido aquí aquellos criterios y procedimientos de control que requieren definiciones más precisas para la medición o determinación de Niveles de Servicio. Se presentan ejemplos gráficos para ejemplificar la gravedad o seriedad de un defecto.</w:t>
      </w:r>
    </w:p>
    <w:p w14:paraId="622AC06C" w14:textId="77777777" w:rsidR="004412F1" w:rsidRDefault="004412F1">
      <w:pPr>
        <w:ind w:left="426"/>
        <w:jc w:val="both"/>
        <w:rPr>
          <w:lang w:val="es-PE"/>
        </w:rPr>
      </w:pPr>
    </w:p>
    <w:p w14:paraId="1D24E52D" w14:textId="77777777" w:rsidR="004412F1" w:rsidRDefault="005A12A3">
      <w:pPr>
        <w:ind w:left="426"/>
        <w:jc w:val="both"/>
        <w:rPr>
          <w:lang w:val="es-PE"/>
        </w:rPr>
      </w:pPr>
      <w:r>
        <w:rPr>
          <w:lang w:val="es-PE"/>
        </w:rPr>
        <w:t>En el Manual aparecen elementos aclaratorios para la supervisión del cumplimiento de los Niveles de Servicio individuales</w:t>
      </w:r>
      <w:r>
        <w:rPr>
          <w:i/>
          <w:lang w:val="es-PE"/>
        </w:rPr>
        <w:t xml:space="preserve"> </w:t>
      </w:r>
      <w:r>
        <w:rPr>
          <w:lang w:val="es-PE"/>
        </w:rPr>
        <w:t xml:space="preserve">relacionados con Superficie de rodadura, Bermas y Drenajes. La supervisión realizada sobre estas bases permitirá identificar debidamente y reportar sobre una misma base conceptual defectos localizados, y proceder </w:t>
      </w:r>
      <w:proofErr w:type="gramStart"/>
      <w:r>
        <w:rPr>
          <w:lang w:val="es-PE"/>
        </w:rPr>
        <w:t>de acuerdo a</w:t>
      </w:r>
      <w:proofErr w:type="gramEnd"/>
      <w:r>
        <w:rPr>
          <w:lang w:val="es-PE"/>
        </w:rPr>
        <w:t xml:space="preserve"> los mecanismos establecidos en el Contrato, exigir la corrección de los mismos.</w:t>
      </w:r>
    </w:p>
    <w:p w14:paraId="2B789F14" w14:textId="77777777" w:rsidR="004412F1" w:rsidRDefault="004412F1">
      <w:pPr>
        <w:ind w:left="426"/>
        <w:jc w:val="both"/>
        <w:rPr>
          <w:lang w:val="es-PE"/>
        </w:rPr>
      </w:pPr>
    </w:p>
    <w:p w14:paraId="4D7B90CA" w14:textId="77777777" w:rsidR="004412F1" w:rsidRDefault="005A12A3">
      <w:pPr>
        <w:ind w:left="426"/>
        <w:jc w:val="both"/>
        <w:rPr>
          <w:lang w:val="es-PE"/>
        </w:rPr>
      </w:pPr>
      <w:r>
        <w:rPr>
          <w:lang w:val="es-PE"/>
        </w:rPr>
        <w:t>En el caso de Seguridad Vial, Faja Pública y Puentes y Viaductos, los Niveles de Servicio exigidos son en su mayor parte casos o situaciones a evitar, cuya apreciación se efectúa por observación directa. El Manual no incluye en este momento la información gráfica que ejemplifica las situaciones a evitar, en el entendido de que los parámetros de condición elegidos son de común identificación en la práctica normal de la ingeniería.</w:t>
      </w:r>
    </w:p>
    <w:p w14:paraId="186E7D03" w14:textId="77777777" w:rsidR="004412F1" w:rsidRDefault="004412F1">
      <w:pPr>
        <w:ind w:left="426"/>
        <w:jc w:val="both"/>
        <w:rPr>
          <w:lang w:val="es-PE"/>
        </w:rPr>
      </w:pPr>
    </w:p>
    <w:p w14:paraId="61BE9795" w14:textId="77777777" w:rsidR="004412F1" w:rsidRDefault="005A12A3">
      <w:pPr>
        <w:ind w:left="426"/>
        <w:jc w:val="both"/>
        <w:rPr>
          <w:lang w:val="es-PE"/>
        </w:rPr>
      </w:pPr>
      <w:r>
        <w:rPr>
          <w:lang w:val="es-PE"/>
        </w:rPr>
        <w:t xml:space="preserve">El Manual hace referencia también a los procedimientos para la medición de la rugosidad, parámetro </w:t>
      </w:r>
      <w:proofErr w:type="gramStart"/>
      <w:r>
        <w:rPr>
          <w:lang w:val="es-PE"/>
        </w:rPr>
        <w:t>que</w:t>
      </w:r>
      <w:proofErr w:type="gramEnd"/>
      <w:r>
        <w:rPr>
          <w:lang w:val="es-PE"/>
        </w:rPr>
        <w:t xml:space="preserve"> por su significación y relación directa con la calidad de servicio, merece un tratamiento especial. Se recuerda que en la metodología elegida se establece para la medición de la rugosidad una frecuencia al menos anual.</w:t>
      </w:r>
    </w:p>
    <w:p w14:paraId="67CA1182" w14:textId="77777777" w:rsidR="004412F1" w:rsidRDefault="004412F1">
      <w:pPr>
        <w:ind w:left="426"/>
        <w:jc w:val="both"/>
        <w:rPr>
          <w:lang w:val="es-PE"/>
        </w:rPr>
      </w:pPr>
    </w:p>
    <w:p w14:paraId="4E0E9506" w14:textId="77777777" w:rsidR="004412F1" w:rsidRDefault="004412F1">
      <w:pPr>
        <w:tabs>
          <w:tab w:val="left" w:pos="300"/>
        </w:tabs>
        <w:jc w:val="both"/>
        <w:rPr>
          <w:lang w:val="es-PE"/>
        </w:rPr>
      </w:pPr>
    </w:p>
    <w:p w14:paraId="2077D721" w14:textId="77777777" w:rsidR="004412F1" w:rsidRDefault="005A12A3">
      <w:pPr>
        <w:tabs>
          <w:tab w:val="left" w:pos="426"/>
        </w:tabs>
        <w:rPr>
          <w:b/>
          <w:lang w:val="es-PE"/>
        </w:rPr>
      </w:pPr>
      <w:r>
        <w:rPr>
          <w:b/>
          <w:lang w:val="es-PE"/>
        </w:rPr>
        <w:t>B.</w:t>
      </w:r>
      <w:r>
        <w:rPr>
          <w:b/>
          <w:lang w:val="es-PE"/>
        </w:rPr>
        <w:tab/>
        <w:t>EVALUACIÓN DE NIVELES DE SERVICIO INDIVIDUALES</w:t>
      </w:r>
    </w:p>
    <w:p w14:paraId="3084DF8F" w14:textId="77777777" w:rsidR="004412F1" w:rsidRDefault="004412F1">
      <w:pPr>
        <w:jc w:val="both"/>
        <w:rPr>
          <w:lang w:val="es-PE"/>
        </w:rPr>
      </w:pPr>
    </w:p>
    <w:p w14:paraId="7481513B" w14:textId="77777777" w:rsidR="004412F1" w:rsidRDefault="005A12A3">
      <w:pPr>
        <w:ind w:left="426"/>
        <w:jc w:val="both"/>
        <w:rPr>
          <w:lang w:val="es-PE"/>
        </w:rPr>
      </w:pPr>
      <w:r>
        <w:rPr>
          <w:lang w:val="es-PE"/>
        </w:rPr>
        <w:t>A efectos de fiscalizar el cumplimiento de los Niveles de Servicio establecidos en los “Procedimientos para la Explotación y para el Control de la Gestión del CONCESIONARIO de la Carretera Longitudinal de la Sierra Tramo 4: Huancayo-Izcuchaca-Mayocc-Ayacucho/Ayacucho-Andahuaylas-Pte Sahuinto/Dv. Pisco – Huaytará - Ayacucho, se efectuarán evaluaciones permanentes en la oportunidad y lugares que el REGULADOR considere convenientes, sin la necesidad de previo aviso al CONCESIONARIO. Para la medición o determinación de los Niveles de Servicio alcanzados por el CONCESIONARIO a través de su gestión de Conservación, el REGULADOR se servirá de los lineamientos contenidos en este Manual.</w:t>
      </w:r>
    </w:p>
    <w:p w14:paraId="20162DEF" w14:textId="77777777" w:rsidR="004412F1" w:rsidRDefault="004412F1">
      <w:pPr>
        <w:tabs>
          <w:tab w:val="left" w:pos="1134"/>
        </w:tabs>
        <w:jc w:val="both"/>
        <w:rPr>
          <w:lang w:val="es-PE"/>
        </w:rPr>
      </w:pPr>
    </w:p>
    <w:p w14:paraId="0DECFA13" w14:textId="77777777" w:rsidR="004412F1" w:rsidRDefault="005A12A3">
      <w:pPr>
        <w:ind w:left="426"/>
        <w:jc w:val="both"/>
        <w:rPr>
          <w:lang w:val="es-PE"/>
        </w:rPr>
      </w:pPr>
      <w:r>
        <w:rPr>
          <w:lang w:val="es-PE"/>
        </w:rPr>
        <w:t>Los Niveles de Servicio individuales considerados en la metodología elegida, se vinculan con los siguientes componentes:</w:t>
      </w:r>
    </w:p>
    <w:p w14:paraId="574272FB" w14:textId="77777777" w:rsidR="004412F1" w:rsidRDefault="004412F1">
      <w:pPr>
        <w:tabs>
          <w:tab w:val="left" w:pos="1134"/>
        </w:tabs>
        <w:ind w:left="774"/>
        <w:jc w:val="both"/>
        <w:rPr>
          <w:lang w:val="es-PE"/>
        </w:rPr>
      </w:pPr>
    </w:p>
    <w:p w14:paraId="2B41FD59" w14:textId="77777777" w:rsidR="004412F1" w:rsidRDefault="005A12A3">
      <w:pPr>
        <w:numPr>
          <w:ilvl w:val="0"/>
          <w:numId w:val="172"/>
        </w:numPr>
        <w:tabs>
          <w:tab w:val="left" w:pos="851"/>
        </w:tabs>
        <w:ind w:left="851"/>
        <w:jc w:val="both"/>
      </w:pPr>
      <w:r>
        <w:t>Superficie de rodadura</w:t>
      </w:r>
    </w:p>
    <w:p w14:paraId="1DA103F8" w14:textId="77777777" w:rsidR="004412F1" w:rsidRDefault="005A12A3">
      <w:pPr>
        <w:numPr>
          <w:ilvl w:val="0"/>
          <w:numId w:val="172"/>
        </w:numPr>
        <w:tabs>
          <w:tab w:val="left" w:pos="851"/>
        </w:tabs>
        <w:ind w:left="851"/>
        <w:jc w:val="both"/>
      </w:pPr>
      <w:r>
        <w:t>Bermas</w:t>
      </w:r>
    </w:p>
    <w:p w14:paraId="45220341" w14:textId="77777777" w:rsidR="004412F1" w:rsidRDefault="005A12A3">
      <w:pPr>
        <w:numPr>
          <w:ilvl w:val="0"/>
          <w:numId w:val="172"/>
        </w:numPr>
        <w:tabs>
          <w:tab w:val="left" w:pos="851"/>
        </w:tabs>
        <w:ind w:left="851"/>
        <w:jc w:val="both"/>
      </w:pPr>
      <w:r>
        <w:t>Drenajes</w:t>
      </w:r>
    </w:p>
    <w:p w14:paraId="44E3BD5D" w14:textId="77777777" w:rsidR="004412F1" w:rsidRDefault="005A12A3">
      <w:pPr>
        <w:numPr>
          <w:ilvl w:val="0"/>
          <w:numId w:val="172"/>
        </w:numPr>
        <w:tabs>
          <w:tab w:val="left" w:pos="851"/>
        </w:tabs>
        <w:ind w:left="851"/>
        <w:jc w:val="both"/>
        <w:rPr>
          <w:lang w:val="es-PE"/>
        </w:rPr>
      </w:pPr>
      <w:r>
        <w:rPr>
          <w:lang w:val="es-PE"/>
        </w:rPr>
        <w:t>Seguridad Vial (señalización vertical y aérea, señalización horizontal y elementos de encarrilamiento y defensa)</w:t>
      </w:r>
    </w:p>
    <w:p w14:paraId="6FE47013" w14:textId="77777777" w:rsidR="004412F1" w:rsidRDefault="005A12A3">
      <w:pPr>
        <w:numPr>
          <w:ilvl w:val="0"/>
          <w:numId w:val="172"/>
        </w:numPr>
        <w:tabs>
          <w:tab w:val="left" w:pos="851"/>
        </w:tabs>
        <w:ind w:left="851"/>
        <w:jc w:val="both"/>
      </w:pPr>
      <w:r>
        <w:t>Faja pública</w:t>
      </w:r>
    </w:p>
    <w:p w14:paraId="29AC7A32" w14:textId="77777777" w:rsidR="004412F1" w:rsidRDefault="005A12A3">
      <w:pPr>
        <w:numPr>
          <w:ilvl w:val="0"/>
          <w:numId w:val="172"/>
        </w:numPr>
        <w:tabs>
          <w:tab w:val="left" w:pos="851"/>
        </w:tabs>
        <w:ind w:left="851"/>
        <w:jc w:val="both"/>
        <w:rPr>
          <w:lang w:val="es-PE"/>
        </w:rPr>
      </w:pPr>
      <w:r>
        <w:rPr>
          <w:lang w:val="es-PE"/>
        </w:rPr>
        <w:t>Puentes, obras de arte y Viaductos</w:t>
      </w:r>
    </w:p>
    <w:p w14:paraId="58D89C37" w14:textId="77777777" w:rsidR="004412F1" w:rsidRDefault="004412F1">
      <w:pPr>
        <w:ind w:left="851"/>
        <w:jc w:val="both"/>
        <w:rPr>
          <w:lang w:val="es-PE"/>
        </w:rPr>
      </w:pPr>
    </w:p>
    <w:p w14:paraId="08EDD1D6" w14:textId="77777777" w:rsidR="004412F1" w:rsidRDefault="005A12A3">
      <w:pPr>
        <w:ind w:left="426"/>
        <w:jc w:val="both"/>
        <w:rPr>
          <w:lang w:val="es-PE"/>
        </w:rPr>
      </w:pPr>
      <w:r>
        <w:rPr>
          <w:lang w:val="es-PE"/>
        </w:rPr>
        <w:t>En este Manual se incluyen únicamente lineamientos complementarios para determinar los Niveles de Servicio logrados por el CONCESIONARIO en el caso de superficie de rodadura, bermas y drenaje.</w:t>
      </w:r>
    </w:p>
    <w:p w14:paraId="2697A8C7" w14:textId="77777777" w:rsidR="004412F1" w:rsidRDefault="004412F1">
      <w:pPr>
        <w:jc w:val="both"/>
        <w:rPr>
          <w:lang w:val="es-PE"/>
        </w:rPr>
      </w:pPr>
    </w:p>
    <w:p w14:paraId="2332B050" w14:textId="77777777" w:rsidR="004412F1" w:rsidRDefault="005A12A3">
      <w:pPr>
        <w:ind w:left="426"/>
        <w:jc w:val="both"/>
        <w:rPr>
          <w:lang w:val="es-PE"/>
        </w:rPr>
      </w:pPr>
      <w:proofErr w:type="gramStart"/>
      <w:r>
        <w:rPr>
          <w:lang w:val="es-PE"/>
        </w:rPr>
        <w:t>En relación a</w:t>
      </w:r>
      <w:proofErr w:type="gramEnd"/>
      <w:r>
        <w:rPr>
          <w:lang w:val="es-PE"/>
        </w:rPr>
        <w:t xml:space="preserve"> los elementos de seguridad vial, faja pública y puentes y viaductos, las evaluaciones de campo se resolverán en base a lo establecido en los “Procedimientos para la Explotación y para el Control de la Gestión del CONCESIONARIO de la Carretera Longitudinal de la Sierra Tramo 4: Huancayo-Izcuchaca-Mayocc-Ayacucho/Ayacucho-Andahuaylas-Pte Sahuinto/Dv. Pisco – Huaytará – Ayacucho, por observación directa de los defectos encontrados. </w:t>
      </w:r>
    </w:p>
    <w:p w14:paraId="6AA2B49E" w14:textId="77777777" w:rsidR="004412F1" w:rsidRDefault="004412F1">
      <w:pPr>
        <w:jc w:val="both"/>
        <w:rPr>
          <w:lang w:val="es-PE"/>
        </w:rPr>
      </w:pPr>
    </w:p>
    <w:p w14:paraId="7EF7FD24" w14:textId="77777777" w:rsidR="004412F1" w:rsidRDefault="004412F1">
      <w:pPr>
        <w:jc w:val="both"/>
        <w:rPr>
          <w:lang w:val="es-PE"/>
        </w:rPr>
      </w:pPr>
    </w:p>
    <w:p w14:paraId="0AB755ED" w14:textId="77777777" w:rsidR="004412F1" w:rsidRDefault="005A12A3">
      <w:pPr>
        <w:numPr>
          <w:ilvl w:val="0"/>
          <w:numId w:val="173"/>
        </w:numPr>
        <w:tabs>
          <w:tab w:val="left" w:pos="709"/>
        </w:tabs>
        <w:ind w:hanging="2994"/>
        <w:rPr>
          <w:lang w:val="es-PE"/>
        </w:rPr>
      </w:pPr>
      <w:r>
        <w:rPr>
          <w:lang w:val="es-PE"/>
        </w:rPr>
        <w:t>Determinación de defectos en superficie de rodadura y bermas.</w:t>
      </w:r>
    </w:p>
    <w:p w14:paraId="366824B6" w14:textId="77777777" w:rsidR="004412F1" w:rsidRDefault="004412F1">
      <w:pPr>
        <w:jc w:val="both"/>
        <w:rPr>
          <w:lang w:val="es-PE"/>
        </w:rPr>
      </w:pPr>
    </w:p>
    <w:p w14:paraId="54553C1F" w14:textId="77777777" w:rsidR="004412F1" w:rsidRDefault="005A12A3">
      <w:pPr>
        <w:ind w:left="426"/>
        <w:jc w:val="both"/>
        <w:rPr>
          <w:lang w:val="es-PE"/>
        </w:rPr>
      </w:pPr>
      <w:r>
        <w:rPr>
          <w:lang w:val="es-PE"/>
        </w:rPr>
        <w:t>Los cuadros siguientes resumen definiciones, procedimientos y metodologías para la medición de los Niveles de Servicio individuales para superficie de rodadura y bermas.</w:t>
      </w:r>
    </w:p>
    <w:p w14:paraId="64F06194" w14:textId="77777777" w:rsidR="004412F1" w:rsidRDefault="004412F1">
      <w:pPr>
        <w:jc w:val="both"/>
        <w:rPr>
          <w:lang w:val="es-PE"/>
        </w:rPr>
      </w:pPr>
    </w:p>
    <w:p w14:paraId="74DC4F51" w14:textId="77777777" w:rsidR="004412F1" w:rsidRDefault="004412F1">
      <w:pPr>
        <w:jc w:val="both"/>
        <w:rPr>
          <w:lang w:val="es-PE"/>
        </w:rPr>
      </w:pPr>
    </w:p>
    <w:p w14:paraId="42DBCD7D" w14:textId="77777777" w:rsidR="004412F1" w:rsidRDefault="004412F1">
      <w:pPr>
        <w:jc w:val="both"/>
        <w:rPr>
          <w:lang w:val="es-PE"/>
        </w:rPr>
      </w:pPr>
    </w:p>
    <w:p w14:paraId="05670004" w14:textId="77777777" w:rsidR="004412F1" w:rsidRDefault="005A12A3">
      <w:pPr>
        <w:jc w:val="both"/>
        <w:rPr>
          <w:lang w:val="es-PE"/>
        </w:rPr>
      </w:pPr>
      <w:r>
        <w:rPr>
          <w:lang w:val="es-PE"/>
        </w:rPr>
        <w:br w:type="page"/>
      </w:r>
    </w:p>
    <w:p w14:paraId="5B78577E" w14:textId="77777777" w:rsidR="004412F1" w:rsidRDefault="005A12A3">
      <w:pPr>
        <w:jc w:val="center"/>
      </w:pPr>
      <w:r>
        <w:rPr>
          <w:noProof/>
          <w:lang w:val="es-PE" w:eastAsia="es-PE"/>
        </w:rPr>
        <w:drawing>
          <wp:inline distT="0" distB="0" distL="0" distR="0" wp14:anchorId="123B634A" wp14:editId="0B5CD9DD">
            <wp:extent cx="3719195" cy="739013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referRelativeResize="0"/>
                  </pic:nvPicPr>
                  <pic:blipFill>
                    <a:blip r:embed="rId21"/>
                    <a:srcRect/>
                    <a:stretch>
                      <a:fillRect/>
                    </a:stretch>
                  </pic:blipFill>
                  <pic:spPr>
                    <a:xfrm>
                      <a:off x="0" y="0"/>
                      <a:ext cx="3719195" cy="7390130"/>
                    </a:xfrm>
                    <a:prstGeom prst="rect">
                      <a:avLst/>
                    </a:prstGeom>
                  </pic:spPr>
                </pic:pic>
              </a:graphicData>
            </a:graphic>
          </wp:inline>
        </w:drawing>
      </w:r>
    </w:p>
    <w:p w14:paraId="32C165E6" w14:textId="77777777" w:rsidR="004412F1" w:rsidRDefault="004412F1">
      <w:pPr>
        <w:jc w:val="both"/>
      </w:pPr>
    </w:p>
    <w:p w14:paraId="406EFC53" w14:textId="77777777" w:rsidR="004412F1" w:rsidRDefault="005A12A3">
      <w:pPr>
        <w:jc w:val="both"/>
      </w:pPr>
      <w:r>
        <w:br w:type="page"/>
      </w:r>
    </w:p>
    <w:p w14:paraId="7CD2D8D6" w14:textId="77777777" w:rsidR="004412F1" w:rsidRDefault="005A12A3">
      <w:pPr>
        <w:jc w:val="center"/>
      </w:pPr>
      <w:r>
        <w:rPr>
          <w:noProof/>
          <w:lang w:val="es-PE" w:eastAsia="es-PE"/>
        </w:rPr>
        <w:drawing>
          <wp:inline distT="0" distB="0" distL="0" distR="0" wp14:anchorId="041EADCF" wp14:editId="27FE8C5B">
            <wp:extent cx="3329940" cy="717169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referRelativeResize="0"/>
                  </pic:nvPicPr>
                  <pic:blipFill>
                    <a:blip r:embed="rId22"/>
                    <a:srcRect/>
                    <a:stretch>
                      <a:fillRect/>
                    </a:stretch>
                  </pic:blipFill>
                  <pic:spPr>
                    <a:xfrm>
                      <a:off x="0" y="0"/>
                      <a:ext cx="3329940" cy="7171690"/>
                    </a:xfrm>
                    <a:prstGeom prst="rect">
                      <a:avLst/>
                    </a:prstGeom>
                  </pic:spPr>
                </pic:pic>
              </a:graphicData>
            </a:graphic>
          </wp:inline>
        </w:drawing>
      </w:r>
    </w:p>
    <w:p w14:paraId="3FD57E08" w14:textId="77777777" w:rsidR="004412F1" w:rsidRDefault="004412F1">
      <w:pPr>
        <w:jc w:val="both"/>
      </w:pPr>
    </w:p>
    <w:p w14:paraId="7C50CF25" w14:textId="77777777" w:rsidR="004412F1" w:rsidRDefault="005A12A3">
      <w:pPr>
        <w:jc w:val="both"/>
      </w:pPr>
      <w:r>
        <w:br w:type="page"/>
      </w:r>
    </w:p>
    <w:p w14:paraId="4327C144" w14:textId="77777777" w:rsidR="004412F1" w:rsidRDefault="005A12A3">
      <w:pPr>
        <w:jc w:val="center"/>
      </w:pPr>
      <w:r>
        <w:rPr>
          <w:noProof/>
          <w:lang w:val="es-PE" w:eastAsia="es-PE"/>
        </w:rPr>
        <w:drawing>
          <wp:inline distT="0" distB="0" distL="0" distR="0" wp14:anchorId="6B5B54B3" wp14:editId="29CD4878">
            <wp:extent cx="3582670" cy="777240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referRelativeResize="0"/>
                  </pic:nvPicPr>
                  <pic:blipFill>
                    <a:blip r:embed="rId23"/>
                    <a:srcRect/>
                    <a:stretch>
                      <a:fillRect/>
                    </a:stretch>
                  </pic:blipFill>
                  <pic:spPr>
                    <a:xfrm>
                      <a:off x="0" y="0"/>
                      <a:ext cx="3582670" cy="7772400"/>
                    </a:xfrm>
                    <a:prstGeom prst="rect">
                      <a:avLst/>
                    </a:prstGeom>
                  </pic:spPr>
                </pic:pic>
              </a:graphicData>
            </a:graphic>
          </wp:inline>
        </w:drawing>
      </w:r>
    </w:p>
    <w:p w14:paraId="672E2D3C" w14:textId="77777777" w:rsidR="004412F1" w:rsidRDefault="004412F1">
      <w:pPr>
        <w:jc w:val="both"/>
      </w:pPr>
    </w:p>
    <w:p w14:paraId="718A4756" w14:textId="77777777" w:rsidR="004412F1" w:rsidRDefault="005A12A3">
      <w:pPr>
        <w:jc w:val="center"/>
      </w:pPr>
      <w:r>
        <w:br w:type="page"/>
      </w:r>
      <w:r>
        <w:rPr>
          <w:noProof/>
          <w:lang w:val="es-PE" w:eastAsia="es-PE"/>
        </w:rPr>
        <w:drawing>
          <wp:inline distT="0" distB="0" distL="0" distR="0" wp14:anchorId="4361FDBC" wp14:editId="214FDC7B">
            <wp:extent cx="3439160" cy="7785735"/>
            <wp:effectExtent l="0" t="0" r="0" b="0"/>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referRelativeResize="0"/>
                  </pic:nvPicPr>
                  <pic:blipFill>
                    <a:blip r:embed="rId24"/>
                    <a:srcRect/>
                    <a:stretch>
                      <a:fillRect/>
                    </a:stretch>
                  </pic:blipFill>
                  <pic:spPr>
                    <a:xfrm>
                      <a:off x="0" y="0"/>
                      <a:ext cx="3439160" cy="7785735"/>
                    </a:xfrm>
                    <a:prstGeom prst="rect">
                      <a:avLst/>
                    </a:prstGeom>
                  </pic:spPr>
                </pic:pic>
              </a:graphicData>
            </a:graphic>
          </wp:inline>
        </w:drawing>
      </w:r>
    </w:p>
    <w:p w14:paraId="60DFA7B3" w14:textId="77777777" w:rsidR="004412F1" w:rsidRDefault="004412F1">
      <w:pPr>
        <w:jc w:val="both"/>
      </w:pPr>
    </w:p>
    <w:p w14:paraId="7F3168CC" w14:textId="77777777" w:rsidR="004412F1" w:rsidRDefault="004412F1">
      <w:pPr>
        <w:jc w:val="center"/>
      </w:pPr>
    </w:p>
    <w:p w14:paraId="258E5418" w14:textId="77777777" w:rsidR="004412F1" w:rsidRDefault="004412F1">
      <w:pPr>
        <w:jc w:val="both"/>
      </w:pPr>
    </w:p>
    <w:p w14:paraId="603CEB77" w14:textId="77777777" w:rsidR="004412F1" w:rsidRDefault="004412F1">
      <w:pPr>
        <w:jc w:val="both"/>
      </w:pPr>
    </w:p>
    <w:p w14:paraId="1C2230C4" w14:textId="77777777" w:rsidR="004412F1" w:rsidRDefault="005A12A3">
      <w:pPr>
        <w:jc w:val="center"/>
      </w:pPr>
      <w:r>
        <w:rPr>
          <w:noProof/>
          <w:lang w:val="es-PE" w:eastAsia="es-PE"/>
        </w:rPr>
        <w:drawing>
          <wp:inline distT="0" distB="0" distL="0" distR="0" wp14:anchorId="0FCA2398" wp14:editId="58C42794">
            <wp:extent cx="4394835" cy="7929245"/>
            <wp:effectExtent l="0" t="0" r="0" b="0"/>
            <wp:docPr id="12" name="Imagen 12" descr="exuda"/>
            <wp:cNvGraphicFramePr/>
            <a:graphic xmlns:a="http://schemas.openxmlformats.org/drawingml/2006/main">
              <a:graphicData uri="http://schemas.openxmlformats.org/drawingml/2006/picture">
                <pic:pic xmlns:pic="http://schemas.openxmlformats.org/drawingml/2006/picture">
                  <pic:nvPicPr>
                    <pic:cNvPr id="12" name="Imagen 12" descr="exuda"/>
                    <pic:cNvPicPr preferRelativeResize="0"/>
                  </pic:nvPicPr>
                  <pic:blipFill>
                    <a:blip r:embed="rId25"/>
                    <a:srcRect/>
                    <a:stretch>
                      <a:fillRect/>
                    </a:stretch>
                  </pic:blipFill>
                  <pic:spPr>
                    <a:xfrm>
                      <a:off x="0" y="0"/>
                      <a:ext cx="4394835" cy="7929245"/>
                    </a:xfrm>
                    <a:prstGeom prst="rect">
                      <a:avLst/>
                    </a:prstGeom>
                  </pic:spPr>
                </pic:pic>
              </a:graphicData>
            </a:graphic>
          </wp:inline>
        </w:drawing>
      </w:r>
    </w:p>
    <w:p w14:paraId="66B57E55" w14:textId="77777777" w:rsidR="004412F1" w:rsidRDefault="004412F1">
      <w:pPr>
        <w:jc w:val="both"/>
      </w:pPr>
    </w:p>
    <w:p w14:paraId="5BBC6662" w14:textId="77777777" w:rsidR="004412F1" w:rsidRDefault="004412F1">
      <w:pPr>
        <w:tabs>
          <w:tab w:val="left" w:pos="1440"/>
        </w:tabs>
        <w:jc w:val="both"/>
      </w:pPr>
    </w:p>
    <w:p w14:paraId="65B09FD5" w14:textId="77777777" w:rsidR="004412F1" w:rsidRDefault="005A12A3">
      <w:pPr>
        <w:tabs>
          <w:tab w:val="left" w:pos="1440"/>
        </w:tabs>
        <w:jc w:val="center"/>
      </w:pPr>
      <w:r>
        <w:rPr>
          <w:noProof/>
          <w:lang w:val="es-PE" w:eastAsia="es-PE"/>
        </w:rPr>
        <w:drawing>
          <wp:inline distT="0" distB="0" distL="0" distR="0" wp14:anchorId="782F3CCB" wp14:editId="473C2464">
            <wp:extent cx="4298950" cy="7785735"/>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referRelativeResize="0"/>
                  </pic:nvPicPr>
                  <pic:blipFill>
                    <a:blip r:embed="rId26"/>
                    <a:srcRect/>
                    <a:stretch>
                      <a:fillRect/>
                    </a:stretch>
                  </pic:blipFill>
                  <pic:spPr>
                    <a:xfrm>
                      <a:off x="0" y="0"/>
                      <a:ext cx="4298950" cy="7785735"/>
                    </a:xfrm>
                    <a:prstGeom prst="rect">
                      <a:avLst/>
                    </a:prstGeom>
                  </pic:spPr>
                </pic:pic>
              </a:graphicData>
            </a:graphic>
          </wp:inline>
        </w:drawing>
      </w:r>
    </w:p>
    <w:p w14:paraId="43F08D3D" w14:textId="77777777" w:rsidR="004412F1" w:rsidRDefault="004412F1">
      <w:pPr>
        <w:tabs>
          <w:tab w:val="left" w:pos="1440"/>
        </w:tabs>
        <w:jc w:val="center"/>
      </w:pPr>
    </w:p>
    <w:p w14:paraId="7E673559" w14:textId="77777777" w:rsidR="004412F1" w:rsidRDefault="004412F1">
      <w:pPr>
        <w:tabs>
          <w:tab w:val="left" w:pos="1440"/>
        </w:tabs>
        <w:jc w:val="center"/>
      </w:pPr>
    </w:p>
    <w:p w14:paraId="58768F84" w14:textId="77777777" w:rsidR="004412F1" w:rsidRDefault="005A12A3">
      <w:pPr>
        <w:tabs>
          <w:tab w:val="left" w:pos="1440"/>
        </w:tabs>
        <w:jc w:val="both"/>
      </w:pPr>
      <w:r>
        <w:br w:type="page"/>
      </w:r>
    </w:p>
    <w:p w14:paraId="576CA247" w14:textId="77777777" w:rsidR="004412F1" w:rsidRDefault="004412F1">
      <w:pPr>
        <w:tabs>
          <w:tab w:val="left" w:pos="1440"/>
        </w:tabs>
        <w:jc w:val="both"/>
      </w:pPr>
    </w:p>
    <w:p w14:paraId="7D9A6A23" w14:textId="77777777" w:rsidR="004412F1" w:rsidRDefault="005A12A3">
      <w:pPr>
        <w:tabs>
          <w:tab w:val="left" w:pos="1440"/>
        </w:tabs>
        <w:ind w:firstLine="1134"/>
        <w:jc w:val="both"/>
      </w:pPr>
      <w:r>
        <w:rPr>
          <w:noProof/>
          <w:lang w:val="es-PE" w:eastAsia="es-PE"/>
        </w:rPr>
        <w:drawing>
          <wp:inline distT="0" distB="0" distL="0" distR="0" wp14:anchorId="694CF8DA" wp14:editId="48F3ABF2">
            <wp:extent cx="8439150" cy="4270375"/>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referRelativeResize="0"/>
                  </pic:nvPicPr>
                  <pic:blipFill>
                    <a:blip r:embed="rId27"/>
                    <a:srcRect l="4352" t="23017" r="1964" b="1931"/>
                    <a:stretch>
                      <a:fillRect/>
                    </a:stretch>
                  </pic:blipFill>
                  <pic:spPr>
                    <a:xfrm rot="16200000">
                      <a:off x="0" y="0"/>
                      <a:ext cx="8439153" cy="4270611"/>
                    </a:xfrm>
                    <a:prstGeom prst="rect">
                      <a:avLst/>
                    </a:prstGeom>
                  </pic:spPr>
                </pic:pic>
              </a:graphicData>
            </a:graphic>
          </wp:inline>
        </w:drawing>
      </w:r>
    </w:p>
    <w:p w14:paraId="27E6B395" w14:textId="77777777" w:rsidR="004412F1" w:rsidRDefault="005A12A3">
      <w:pPr>
        <w:tabs>
          <w:tab w:val="left" w:pos="1440"/>
        </w:tabs>
        <w:jc w:val="both"/>
        <w:rPr>
          <w:lang w:val="es-PE"/>
        </w:rPr>
      </w:pPr>
      <w:r>
        <w:rPr>
          <w:u w:val="single"/>
          <w:lang w:val="es-PE"/>
        </w:rPr>
        <w:t>Existencia de material suelto</w:t>
      </w:r>
      <w:r>
        <w:rPr>
          <w:lang w:val="es-PE"/>
        </w:rPr>
        <w:t>:</w:t>
      </w:r>
    </w:p>
    <w:p w14:paraId="58842023" w14:textId="77777777" w:rsidR="004412F1" w:rsidRDefault="005A12A3">
      <w:pPr>
        <w:tabs>
          <w:tab w:val="left" w:pos="1440"/>
        </w:tabs>
        <w:jc w:val="both"/>
        <w:rPr>
          <w:lang w:val="es-PE"/>
        </w:rPr>
      </w:pPr>
      <w:r>
        <w:rPr>
          <w:lang w:val="es-PE"/>
        </w:rPr>
        <w:t>“Material suelto” se considera a los agregados, materiales residuales de tareas u obras ejecutadas, materiales erosionados o sedimentados depositados sobre la vía.</w:t>
      </w:r>
    </w:p>
    <w:p w14:paraId="5FD1C3B7" w14:textId="77777777" w:rsidR="004412F1" w:rsidRDefault="004412F1">
      <w:pPr>
        <w:tabs>
          <w:tab w:val="left" w:pos="1440"/>
        </w:tabs>
        <w:jc w:val="both"/>
        <w:rPr>
          <w:lang w:val="es-PE"/>
        </w:rPr>
      </w:pPr>
    </w:p>
    <w:p w14:paraId="0D4E3DFE" w14:textId="77777777" w:rsidR="004412F1" w:rsidRDefault="005A12A3">
      <w:pPr>
        <w:tabs>
          <w:tab w:val="left" w:pos="1440"/>
        </w:tabs>
        <w:jc w:val="both"/>
        <w:rPr>
          <w:lang w:val="es-PE"/>
        </w:rPr>
      </w:pPr>
      <w:r>
        <w:rPr>
          <w:u w:val="single"/>
          <w:lang w:val="es-PE"/>
        </w:rPr>
        <w:t>Existencia de Obstáculos</w:t>
      </w:r>
      <w:r>
        <w:rPr>
          <w:lang w:val="es-PE"/>
        </w:rPr>
        <w:t>:</w:t>
      </w:r>
    </w:p>
    <w:p w14:paraId="0DACEC14" w14:textId="77777777" w:rsidR="004412F1" w:rsidRDefault="005A12A3">
      <w:pPr>
        <w:tabs>
          <w:tab w:val="left" w:pos="1440"/>
        </w:tabs>
        <w:jc w:val="both"/>
        <w:rPr>
          <w:lang w:val="es-PE"/>
        </w:rPr>
      </w:pPr>
      <w:r>
        <w:rPr>
          <w:lang w:val="es-PE"/>
        </w:rPr>
        <w:t>Obstáculo es cualquier elemento que atente contra la seguridad del desplazamiento de los vehículos.</w:t>
      </w:r>
    </w:p>
    <w:p w14:paraId="3DE97496" w14:textId="77777777" w:rsidR="004412F1" w:rsidRDefault="004412F1">
      <w:pPr>
        <w:tabs>
          <w:tab w:val="left" w:pos="1440"/>
        </w:tabs>
        <w:jc w:val="both"/>
        <w:rPr>
          <w:lang w:val="es-PE"/>
        </w:rPr>
      </w:pPr>
    </w:p>
    <w:p w14:paraId="402A769C" w14:textId="77777777" w:rsidR="004412F1" w:rsidRDefault="004412F1">
      <w:pPr>
        <w:tabs>
          <w:tab w:val="left" w:pos="1440"/>
        </w:tabs>
        <w:jc w:val="both"/>
        <w:rPr>
          <w:lang w:val="es-PE"/>
        </w:rPr>
      </w:pPr>
    </w:p>
    <w:p w14:paraId="38150987" w14:textId="77777777" w:rsidR="004412F1" w:rsidRDefault="005A12A3">
      <w:pPr>
        <w:numPr>
          <w:ilvl w:val="0"/>
          <w:numId w:val="173"/>
        </w:numPr>
        <w:tabs>
          <w:tab w:val="left" w:pos="426"/>
        </w:tabs>
        <w:ind w:hanging="3420"/>
        <w:rPr>
          <w:lang w:val="es-PE"/>
        </w:rPr>
      </w:pPr>
      <w:r>
        <w:rPr>
          <w:lang w:val="es-PE"/>
        </w:rPr>
        <w:t>Determinación de defectos en drenajes.</w:t>
      </w:r>
    </w:p>
    <w:p w14:paraId="1A1B4521" w14:textId="77777777" w:rsidR="004412F1" w:rsidRDefault="004412F1">
      <w:pPr>
        <w:jc w:val="both"/>
        <w:rPr>
          <w:lang w:val="es-PE"/>
        </w:rPr>
      </w:pPr>
    </w:p>
    <w:p w14:paraId="2337C899" w14:textId="77777777" w:rsidR="004412F1" w:rsidRDefault="005A12A3">
      <w:pPr>
        <w:suppressLineNumbers/>
        <w:suppressAutoHyphens/>
        <w:jc w:val="both"/>
        <w:rPr>
          <w:b/>
          <w:color w:val="000000"/>
          <w:u w:val="single"/>
          <w:lang w:val="es-PE"/>
        </w:rPr>
      </w:pPr>
      <w:r>
        <w:rPr>
          <w:b/>
          <w:color w:val="000000"/>
          <w:u w:val="single"/>
          <w:lang w:val="es-PE"/>
        </w:rPr>
        <w:t>Las figuras siguientes indican los casos a evitar en materia de conservación de estructuras de drenaje.</w:t>
      </w:r>
    </w:p>
    <w:p w14:paraId="2E17659B" w14:textId="77777777" w:rsidR="004412F1" w:rsidRDefault="004412F1">
      <w:pPr>
        <w:suppressLineNumbers/>
        <w:suppressAutoHyphens/>
        <w:jc w:val="both"/>
        <w:rPr>
          <w:color w:val="000000"/>
          <w:lang w:val="es-ES"/>
        </w:rPr>
      </w:pPr>
    </w:p>
    <w:p w14:paraId="52A1C4D9" w14:textId="77777777" w:rsidR="004412F1" w:rsidRDefault="004412F1">
      <w:pPr>
        <w:suppressLineNumbers/>
        <w:suppressAutoHyphens/>
        <w:jc w:val="both"/>
        <w:rPr>
          <w:color w:val="000000"/>
          <w:lang w:val="es-ES"/>
        </w:rPr>
      </w:pPr>
    </w:p>
    <w:tbl>
      <w:tblPr>
        <w:tblW w:w="8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2264"/>
        <w:gridCol w:w="2856"/>
        <w:gridCol w:w="3441"/>
      </w:tblGrid>
      <w:tr w:rsidR="004412F1" w14:paraId="41A5BE26" w14:textId="77777777">
        <w:trPr>
          <w:cantSplit/>
          <w:jc w:val="center"/>
        </w:trPr>
        <w:tc>
          <w:tcPr>
            <w:tcW w:w="8561" w:type="dxa"/>
            <w:gridSpan w:val="3"/>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30994FF" w14:textId="77777777" w:rsidR="004412F1" w:rsidRDefault="005A12A3">
            <w:pPr>
              <w:jc w:val="center"/>
              <w:rPr>
                <w:b/>
              </w:rPr>
            </w:pPr>
            <w:r>
              <w:rPr>
                <w:b/>
              </w:rPr>
              <w:t>ALCANTARILLAS</w:t>
            </w:r>
          </w:p>
        </w:tc>
      </w:tr>
      <w:tr w:rsidR="004412F1" w14:paraId="76392856" w14:textId="77777777">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E7C8489" w14:textId="77777777" w:rsidR="004412F1" w:rsidRDefault="005A12A3">
            <w:pPr>
              <w:jc w:val="center"/>
            </w:pPr>
            <w:r>
              <w:t>PARÁMETRO</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9F52F3E" w14:textId="77777777" w:rsidR="004412F1" w:rsidRDefault="005A12A3">
            <w:pPr>
              <w:jc w:val="center"/>
              <w:rPr>
                <w:rFonts w:eastAsia="Times New Roman"/>
                <w:bCs/>
                <w:szCs w:val="18"/>
                <w:lang w:val="es-ES" w:eastAsia="es-ES"/>
              </w:rPr>
            </w:pPr>
            <w:r>
              <w:t>SITUACIÓN A EVITAR</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E22558F" w14:textId="77777777" w:rsidR="004412F1" w:rsidRDefault="005A12A3">
            <w:pPr>
              <w:jc w:val="center"/>
              <w:rPr>
                <w:b/>
              </w:rPr>
            </w:pPr>
            <w:r>
              <w:rPr>
                <w:b/>
              </w:rPr>
              <w:t>EJEMPLOS</w:t>
            </w:r>
          </w:p>
        </w:tc>
      </w:tr>
      <w:tr w:rsidR="004412F1" w14:paraId="6AE2D565" w14:textId="77777777">
        <w:trPr>
          <w:cantSplit/>
          <w:jc w:val="center"/>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09CD5FD6" w14:textId="77777777" w:rsidR="004412F1" w:rsidRDefault="005A12A3">
            <w:pPr>
              <w:jc w:val="center"/>
            </w:pPr>
            <w:r>
              <w:t>Obstrucciones al Libre Escurrimiento</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6E23A22" w14:textId="77777777" w:rsidR="004412F1" w:rsidRDefault="005A12A3">
            <w:pPr>
              <w:jc w:val="center"/>
            </w:pPr>
            <w:r>
              <w:t>Vegetación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4FDCF654" w14:textId="77777777" w:rsidR="004412F1" w:rsidRDefault="005A12A3">
            <w:pPr>
              <w:jc w:val="center"/>
            </w:pPr>
            <w:r>
              <w:rPr>
                <w:noProof/>
                <w:lang w:val="es-PE" w:eastAsia="es-PE"/>
              </w:rPr>
              <w:drawing>
                <wp:inline distT="0" distB="0" distL="0" distR="0" wp14:anchorId="47183A35" wp14:editId="077DCE30">
                  <wp:extent cx="1569720" cy="1180465"/>
                  <wp:effectExtent l="0" t="0" r="0" b="0"/>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referRelativeResize="0"/>
                        </pic:nvPicPr>
                        <pic:blipFill>
                          <a:blip r:embed="rId28"/>
                          <a:srcRect/>
                          <a:stretch>
                            <a:fillRect/>
                          </a:stretch>
                        </pic:blipFill>
                        <pic:spPr>
                          <a:xfrm>
                            <a:off x="0" y="0"/>
                            <a:ext cx="1569720" cy="1180465"/>
                          </a:xfrm>
                          <a:prstGeom prst="rect">
                            <a:avLst/>
                          </a:prstGeom>
                        </pic:spPr>
                      </pic:pic>
                    </a:graphicData>
                  </a:graphic>
                </wp:inline>
              </w:drawing>
            </w:r>
          </w:p>
        </w:tc>
      </w:tr>
      <w:tr w:rsidR="004412F1" w14:paraId="147478D4" w14:textId="77777777">
        <w:trPr>
          <w:cantSplit/>
          <w:jc w:val="center"/>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1B217E94" w14:textId="77777777" w:rsidR="004412F1" w:rsidRDefault="004412F1">
            <w:pPr>
              <w:spacing w:line="276" w:lineRule="auto"/>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F01A30B" w14:textId="77777777" w:rsidR="004412F1" w:rsidRDefault="005A12A3">
            <w:pPr>
              <w:jc w:val="center"/>
            </w:pPr>
            <w:r>
              <w:t>Colmataciones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CD8CE70" w14:textId="77777777" w:rsidR="004412F1" w:rsidRDefault="005A12A3">
            <w:pPr>
              <w:jc w:val="center"/>
            </w:pPr>
            <w:r>
              <w:rPr>
                <w:noProof/>
                <w:lang w:val="es-PE" w:eastAsia="es-PE"/>
              </w:rPr>
              <w:drawing>
                <wp:inline distT="0" distB="0" distL="0" distR="0" wp14:anchorId="005BAD21" wp14:editId="580D8C79">
                  <wp:extent cx="1569720" cy="1180465"/>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referRelativeResize="0"/>
                        </pic:nvPicPr>
                        <pic:blipFill>
                          <a:blip r:embed="rId29"/>
                          <a:srcRect/>
                          <a:stretch>
                            <a:fillRect/>
                          </a:stretch>
                        </pic:blipFill>
                        <pic:spPr>
                          <a:xfrm>
                            <a:off x="0" y="0"/>
                            <a:ext cx="1569720" cy="1180465"/>
                          </a:xfrm>
                          <a:prstGeom prst="rect">
                            <a:avLst/>
                          </a:prstGeom>
                        </pic:spPr>
                      </pic:pic>
                    </a:graphicData>
                  </a:graphic>
                </wp:inline>
              </w:drawing>
            </w:r>
          </w:p>
        </w:tc>
      </w:tr>
      <w:tr w:rsidR="004412F1" w14:paraId="46CC6363" w14:textId="77777777">
        <w:trPr>
          <w:cantSplit/>
          <w:jc w:val="center"/>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534C2432" w14:textId="77777777" w:rsidR="004412F1" w:rsidRDefault="005A12A3">
            <w:pPr>
              <w:jc w:val="center"/>
            </w:pPr>
            <w:r>
              <w:t>Fallas Estructurales</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B15816F" w14:textId="77777777" w:rsidR="004412F1" w:rsidRDefault="005A12A3">
            <w:pPr>
              <w:jc w:val="center"/>
            </w:pPr>
            <w:r>
              <w:t>Socavación</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3134F0C" w14:textId="77777777" w:rsidR="004412F1" w:rsidRDefault="005A12A3">
            <w:pPr>
              <w:jc w:val="center"/>
            </w:pPr>
            <w:r>
              <w:rPr>
                <w:noProof/>
                <w:lang w:val="es-PE" w:eastAsia="es-PE"/>
              </w:rPr>
              <w:drawing>
                <wp:inline distT="0" distB="0" distL="0" distR="0" wp14:anchorId="1AD2F4B9" wp14:editId="2A031B40">
                  <wp:extent cx="1569720" cy="1180465"/>
                  <wp:effectExtent l="0" t="0" r="0" b="0"/>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referRelativeResize="0"/>
                        </pic:nvPicPr>
                        <pic:blipFill>
                          <a:blip r:embed="rId30"/>
                          <a:srcRect/>
                          <a:stretch>
                            <a:fillRect/>
                          </a:stretch>
                        </pic:blipFill>
                        <pic:spPr>
                          <a:xfrm>
                            <a:off x="0" y="0"/>
                            <a:ext cx="1569720" cy="1180465"/>
                          </a:xfrm>
                          <a:prstGeom prst="rect">
                            <a:avLst/>
                          </a:prstGeom>
                        </pic:spPr>
                      </pic:pic>
                    </a:graphicData>
                  </a:graphic>
                </wp:inline>
              </w:drawing>
            </w:r>
          </w:p>
        </w:tc>
      </w:tr>
      <w:tr w:rsidR="004412F1" w14:paraId="35AB60CC" w14:textId="77777777">
        <w:trPr>
          <w:cantSplit/>
          <w:jc w:val="center"/>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2A0DB9B0" w14:textId="77777777" w:rsidR="004412F1" w:rsidRDefault="004412F1">
            <w:pPr>
              <w:spacing w:line="276" w:lineRule="auto"/>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6B995DEA" w14:textId="77777777" w:rsidR="004412F1" w:rsidRDefault="005A12A3">
            <w:pPr>
              <w:jc w:val="center"/>
            </w:pPr>
            <w:r>
              <w:t>Asentamientos</w:t>
            </w:r>
          </w:p>
        </w:tc>
        <w:tc>
          <w:tcPr>
            <w:tcW w:w="3441"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14:paraId="75B4D70F" w14:textId="77777777" w:rsidR="004412F1" w:rsidRDefault="005A12A3">
            <w:pPr>
              <w:jc w:val="center"/>
            </w:pPr>
            <w:r>
              <w:rPr>
                <w:noProof/>
                <w:lang w:val="es-PE" w:eastAsia="es-PE"/>
              </w:rPr>
              <w:drawing>
                <wp:inline distT="0" distB="0" distL="0" distR="0" wp14:anchorId="54392903" wp14:editId="2FE72BDC">
                  <wp:extent cx="1569720" cy="1180465"/>
                  <wp:effectExtent l="0" t="0" r="0"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referRelativeResize="0"/>
                        </pic:nvPicPr>
                        <pic:blipFill>
                          <a:blip r:embed="rId31"/>
                          <a:srcRect/>
                          <a:stretch>
                            <a:fillRect/>
                          </a:stretch>
                        </pic:blipFill>
                        <pic:spPr>
                          <a:xfrm>
                            <a:off x="0" y="0"/>
                            <a:ext cx="1569720" cy="1180465"/>
                          </a:xfrm>
                          <a:prstGeom prst="rect">
                            <a:avLst/>
                          </a:prstGeom>
                        </pic:spPr>
                      </pic:pic>
                    </a:graphicData>
                  </a:graphic>
                </wp:inline>
              </w:drawing>
            </w:r>
          </w:p>
        </w:tc>
      </w:tr>
    </w:tbl>
    <w:p w14:paraId="0AAD3FD0" w14:textId="77777777" w:rsidR="004412F1" w:rsidRDefault="004412F1">
      <w:pPr>
        <w:jc w:val="both"/>
      </w:pPr>
    </w:p>
    <w:p w14:paraId="3375CFE7" w14:textId="77777777" w:rsidR="004412F1" w:rsidRDefault="005A12A3">
      <w:pPr>
        <w:keepNext/>
        <w:ind w:left="964"/>
        <w:jc w:val="both"/>
        <w:rPr>
          <w:b/>
          <w:color w:val="000000"/>
          <w:u w:val="single"/>
        </w:rPr>
      </w:pPr>
      <w:r>
        <w:br w:type="page"/>
      </w:r>
    </w:p>
    <w:p w14:paraId="49B59361" w14:textId="77777777" w:rsidR="004412F1" w:rsidRDefault="005A12A3">
      <w:pPr>
        <w:numPr>
          <w:ilvl w:val="0"/>
          <w:numId w:val="173"/>
        </w:numPr>
        <w:tabs>
          <w:tab w:val="left" w:pos="426"/>
        </w:tabs>
        <w:ind w:hanging="3420"/>
        <w:rPr>
          <w:lang w:val="es-PE"/>
        </w:rPr>
      </w:pPr>
      <w:r>
        <w:rPr>
          <w:lang w:val="es-PE"/>
        </w:rPr>
        <w:t>Determinación de defectos en puentes y viaductos.</w:t>
      </w:r>
    </w:p>
    <w:p w14:paraId="55E3CE7F" w14:textId="77777777" w:rsidR="004412F1" w:rsidRDefault="004412F1">
      <w:pPr>
        <w:jc w:val="both"/>
        <w:rPr>
          <w:lang w:val="es-PE"/>
        </w:rPr>
      </w:pPr>
    </w:p>
    <w:p w14:paraId="1F75CB4F" w14:textId="77777777" w:rsidR="004412F1" w:rsidRDefault="005A12A3">
      <w:pPr>
        <w:suppressLineNumbers/>
        <w:suppressAutoHyphens/>
        <w:ind w:left="200"/>
        <w:jc w:val="both"/>
        <w:rPr>
          <w:color w:val="000000"/>
          <w:u w:val="single"/>
          <w:lang w:val="es-PE"/>
        </w:rPr>
      </w:pPr>
      <w:r>
        <w:rPr>
          <w:color w:val="000000"/>
          <w:u w:val="single"/>
          <w:lang w:val="es-PE"/>
        </w:rPr>
        <w:t>El cuadro siguiente indica los casos a evitar en materia de Conservación en puentes y viaductos.</w:t>
      </w:r>
    </w:p>
    <w:p w14:paraId="05056221" w14:textId="77777777" w:rsidR="004412F1" w:rsidRDefault="004412F1">
      <w:pPr>
        <w:suppressLineNumbers/>
        <w:suppressAutoHyphens/>
        <w:jc w:val="both"/>
        <w:rPr>
          <w:color w:val="000000"/>
          <w:lang w:val="es-ES"/>
        </w:rPr>
      </w:pPr>
    </w:p>
    <w:tbl>
      <w:tblPr>
        <w:tblW w:w="8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3256"/>
        <w:gridCol w:w="5220"/>
      </w:tblGrid>
      <w:tr w:rsidR="004412F1" w14:paraId="46CE2500" w14:textId="77777777">
        <w:trPr>
          <w:cantSplit/>
          <w:trHeight w:val="20"/>
          <w:tblHead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A9249F4" w14:textId="77777777" w:rsidR="004412F1" w:rsidRDefault="005A12A3">
            <w:pPr>
              <w:jc w:val="center"/>
              <w:rPr>
                <w:b/>
              </w:rPr>
            </w:pPr>
            <w:r>
              <w:rPr>
                <w:b/>
              </w:rPr>
              <w:t>PARÁMETRO</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92BF7CD" w14:textId="77777777" w:rsidR="004412F1" w:rsidRDefault="005A12A3">
            <w:pPr>
              <w:jc w:val="center"/>
              <w:rPr>
                <w:b/>
                <w:lang w:val="es-PE"/>
              </w:rPr>
            </w:pPr>
            <w:proofErr w:type="gramStart"/>
            <w:r>
              <w:rPr>
                <w:b/>
                <w:lang w:val="es-PE"/>
              </w:rPr>
              <w:t>SITUACIÓN A EVITAR</w:t>
            </w:r>
            <w:proofErr w:type="gramEnd"/>
            <w:r>
              <w:rPr>
                <w:b/>
                <w:lang w:val="es-PE"/>
              </w:rPr>
              <w:t xml:space="preserve"> O DEFECTO</w:t>
            </w:r>
          </w:p>
        </w:tc>
      </w:tr>
      <w:tr w:rsidR="004412F1" w14:paraId="6F2AB126"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D6E4D4F" w14:textId="77777777" w:rsidR="004412F1" w:rsidRDefault="005A12A3">
            <w:pPr>
              <w:jc w:val="center"/>
            </w:pPr>
            <w:r>
              <w:t>Suciedades o elementos extraños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B98C783" w14:textId="77777777" w:rsidR="004412F1" w:rsidRDefault="005A12A3">
            <w:pPr>
              <w:rPr>
                <w:lang w:val="es-PE"/>
              </w:rPr>
            </w:pPr>
            <w:r>
              <w:rPr>
                <w:lang w:val="es-PE"/>
              </w:rPr>
              <w:t>Material suelto o elementos riesgosos para la circulación en el tablero</w:t>
            </w:r>
          </w:p>
        </w:tc>
      </w:tr>
      <w:tr w:rsidR="004412F1" w14:paraId="790FD1E7"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3DAE05C"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0EDE1672" w14:textId="77777777" w:rsidR="004412F1" w:rsidRDefault="005A12A3">
            <w:r>
              <w:t xml:space="preserve">Obstrucciones en los drenes </w:t>
            </w:r>
          </w:p>
        </w:tc>
      </w:tr>
      <w:tr w:rsidR="004412F1" w14:paraId="099F2BCF"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EF4777D"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398D7E5" w14:textId="77777777" w:rsidR="004412F1" w:rsidRDefault="005A12A3">
            <w:pPr>
              <w:rPr>
                <w:lang w:val="es-PE"/>
              </w:rPr>
            </w:pPr>
            <w:r>
              <w:rPr>
                <w:lang w:val="es-PE"/>
              </w:rPr>
              <w:t>Manchas o deterioros en el hormigón a la salida de los drenes</w:t>
            </w:r>
          </w:p>
        </w:tc>
      </w:tr>
      <w:tr w:rsidR="004412F1" w14:paraId="0B4232CB"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A605FD8"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1E49AB6D" w14:textId="77777777" w:rsidR="004412F1" w:rsidRDefault="005A12A3">
            <w:r>
              <w:t>Materiales extraños en juntas</w:t>
            </w:r>
          </w:p>
        </w:tc>
      </w:tr>
      <w:tr w:rsidR="004412F1" w14:paraId="0110A8F9"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5A34016"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2DE3128" w14:textId="77777777" w:rsidR="004412F1" w:rsidRDefault="005A12A3">
            <w:pPr>
              <w:rPr>
                <w:lang w:val="es-PE"/>
              </w:rPr>
            </w:pPr>
            <w:r>
              <w:rPr>
                <w:lang w:val="es-PE"/>
              </w:rPr>
              <w:t>Nidos de pájaros o colonias de insectos</w:t>
            </w:r>
          </w:p>
        </w:tc>
      </w:tr>
      <w:tr w:rsidR="004412F1" w14:paraId="3C4EC3CE"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72EF8F9"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0126237" w14:textId="77777777" w:rsidR="004412F1" w:rsidRDefault="005A12A3">
            <w:r>
              <w:t>Vegetación en grietas</w:t>
            </w:r>
          </w:p>
        </w:tc>
      </w:tr>
      <w:tr w:rsidR="004412F1" w14:paraId="1028E1B5"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4BA77EC" w14:textId="77777777" w:rsidR="004412F1" w:rsidRDefault="005A12A3">
            <w:pPr>
              <w:jc w:val="center"/>
              <w:rPr>
                <w:lang w:val="es-PE"/>
              </w:rPr>
            </w:pPr>
            <w:r>
              <w:rPr>
                <w:lang w:val="es-PE"/>
              </w:rPr>
              <w:t>Deterioro del sobrepiso</w:t>
            </w:r>
          </w:p>
          <w:p w14:paraId="70977A83" w14:textId="77777777" w:rsidR="004412F1" w:rsidRDefault="005A12A3">
            <w:pPr>
              <w:jc w:val="center"/>
              <w:rPr>
                <w:lang w:val="es-PE"/>
              </w:rPr>
            </w:pPr>
            <w:r>
              <w:rPr>
                <w:lang w:val="es-PE"/>
              </w:rPr>
              <w:t>(se elegirá la medida que corresponda al caso de sobrepiso de hormigón o de concreto asfáltico)</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E43F55D" w14:textId="77777777" w:rsidR="004412F1" w:rsidRDefault="005A12A3">
            <w:pPr>
              <w:rPr>
                <w:lang w:val="es-PE"/>
              </w:rPr>
            </w:pPr>
            <w:r>
              <w:rPr>
                <w:lang w:val="es-PE"/>
              </w:rPr>
              <w:t>Reducción del espesor del sobrepiso superior al 10%</w:t>
            </w:r>
          </w:p>
        </w:tc>
      </w:tr>
      <w:tr w:rsidR="004412F1" w14:paraId="6D3D191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B67860B"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D8E0AB2" w14:textId="77777777" w:rsidR="004412F1" w:rsidRDefault="005A12A3">
            <w:pPr>
              <w:rPr>
                <w:lang w:val="es-PE"/>
              </w:rPr>
            </w:pPr>
            <w:r>
              <w:rPr>
                <w:lang w:val="es-PE"/>
              </w:rPr>
              <w:t>Huecos de cualquier dimensión o naturaleza</w:t>
            </w:r>
          </w:p>
        </w:tc>
      </w:tr>
      <w:tr w:rsidR="004412F1" w14:paraId="06EE445B"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BF7892D"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25661AF" w14:textId="77777777" w:rsidR="004412F1" w:rsidRDefault="005A12A3">
            <w:pPr>
              <w:rPr>
                <w:lang w:val="es-PE"/>
              </w:rPr>
            </w:pPr>
            <w:r>
              <w:rPr>
                <w:lang w:val="es-PE"/>
              </w:rPr>
              <w:t>Fisuras sin sellar (distintas de las de retracción por fraguado)</w:t>
            </w:r>
          </w:p>
        </w:tc>
      </w:tr>
      <w:tr w:rsidR="004412F1" w14:paraId="54072D06"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DC0F8FF"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6F1D59B3" w14:textId="77777777" w:rsidR="004412F1" w:rsidRDefault="005A12A3">
            <w:r>
              <w:t>Parches en mal estado</w:t>
            </w:r>
          </w:p>
        </w:tc>
      </w:tr>
      <w:tr w:rsidR="004412F1" w14:paraId="3FBA939F"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25728E8"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4C90B12" w14:textId="77777777" w:rsidR="004412F1" w:rsidRDefault="005A12A3">
            <w:r>
              <w:t>Ahuellamientos mayores que 12 mm</w:t>
            </w:r>
          </w:p>
        </w:tc>
      </w:tr>
      <w:tr w:rsidR="004412F1" w14:paraId="297332E0"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3BE0BAE"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CD31901" w14:textId="77777777" w:rsidR="004412F1" w:rsidRDefault="005A12A3">
            <w:r>
              <w:t>Hundimientos mayores que 12 mm</w:t>
            </w:r>
          </w:p>
        </w:tc>
      </w:tr>
      <w:tr w:rsidR="004412F1" w14:paraId="11E555EA"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3738A59"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28F6368" w14:textId="77777777" w:rsidR="004412F1" w:rsidRDefault="005A12A3">
            <w:pPr>
              <w:rPr>
                <w:lang w:val="es-PE"/>
              </w:rPr>
            </w:pPr>
            <w:proofErr w:type="gramStart"/>
            <w:r>
              <w:rPr>
                <w:lang w:val="es-PE"/>
              </w:rPr>
              <w:t>Exudaciones  (</w:t>
            </w:r>
            <w:proofErr w:type="gramEnd"/>
            <w:r>
              <w:rPr>
                <w:lang w:val="es-PE"/>
              </w:rPr>
              <w:t>nivel medio y/o alto)</w:t>
            </w:r>
          </w:p>
        </w:tc>
      </w:tr>
      <w:tr w:rsidR="004412F1" w14:paraId="1167977E"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61DB046" w14:textId="77777777" w:rsidR="004412F1" w:rsidRDefault="005A12A3">
            <w:pPr>
              <w:jc w:val="center"/>
              <w:rPr>
                <w:lang w:val="es-PE"/>
              </w:rPr>
            </w:pPr>
            <w:r>
              <w:rPr>
                <w:lang w:val="es-PE"/>
              </w:rPr>
              <w:t>Deficiencias en las juntas extremas o intermedias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C004518" w14:textId="77777777" w:rsidR="004412F1" w:rsidRDefault="005A12A3">
            <w:pPr>
              <w:rPr>
                <w:lang w:val="es-PE"/>
              </w:rPr>
            </w:pPr>
            <w:r>
              <w:rPr>
                <w:lang w:val="es-PE"/>
              </w:rPr>
              <w:t>Separación mayor a la indicada en los parámetros de diseño</w:t>
            </w:r>
          </w:p>
        </w:tc>
      </w:tr>
      <w:tr w:rsidR="004412F1" w14:paraId="1C22DB55"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E2B7438"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4167211" w14:textId="77777777" w:rsidR="004412F1" w:rsidRDefault="005A12A3">
            <w:pPr>
              <w:rPr>
                <w:lang w:val="es-PE"/>
              </w:rPr>
            </w:pPr>
            <w:r>
              <w:rPr>
                <w:lang w:val="es-PE"/>
              </w:rPr>
              <w:t>Juntas no estancas o sin sellar</w:t>
            </w:r>
          </w:p>
        </w:tc>
      </w:tr>
      <w:tr w:rsidR="004412F1" w14:paraId="073A8E15"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04507C0"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347093E" w14:textId="77777777" w:rsidR="004412F1" w:rsidRDefault="005A12A3">
            <w:pPr>
              <w:rPr>
                <w:lang w:val="es-PE"/>
              </w:rPr>
            </w:pPr>
            <w:r>
              <w:rPr>
                <w:lang w:val="es-PE"/>
              </w:rPr>
              <w:t>Diferencia altimétrica superior a 0.5 cm entre los bordes o entre bordes y material de relleno.</w:t>
            </w:r>
          </w:p>
        </w:tc>
      </w:tr>
      <w:tr w:rsidR="004412F1" w14:paraId="43704AAC"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C69758C"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24CF655C" w14:textId="77777777" w:rsidR="004412F1" w:rsidRDefault="005A12A3">
            <w:pPr>
              <w:rPr>
                <w:lang w:val="es-PE"/>
              </w:rPr>
            </w:pPr>
            <w:r>
              <w:rPr>
                <w:lang w:val="es-PE"/>
              </w:rPr>
              <w:t>Roturas o desprendimientos en los bordes</w:t>
            </w:r>
          </w:p>
        </w:tc>
      </w:tr>
      <w:tr w:rsidR="004412F1" w14:paraId="5A441EF4"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5ED7091" w14:textId="77777777" w:rsidR="004412F1" w:rsidRDefault="005A12A3">
            <w:pPr>
              <w:jc w:val="center"/>
              <w:rPr>
                <w:lang w:val="es-PE"/>
              </w:rPr>
            </w:pPr>
            <w:r>
              <w:rPr>
                <w:lang w:val="es-PE"/>
              </w:rPr>
              <w:t>Deterioros en elementos de hormigón</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1043A7A" w14:textId="77777777" w:rsidR="004412F1" w:rsidRDefault="005A12A3">
            <w:r>
              <w:t>Descascaramientos o desprendimientos</w:t>
            </w:r>
          </w:p>
        </w:tc>
      </w:tr>
      <w:tr w:rsidR="004412F1" w14:paraId="26B09F06"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2645F2B"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FA3B702" w14:textId="77777777" w:rsidR="004412F1" w:rsidRDefault="005A12A3">
            <w:pPr>
              <w:rPr>
                <w:lang w:val="es-PE"/>
              </w:rPr>
            </w:pPr>
            <w:r>
              <w:rPr>
                <w:lang w:val="es-PE"/>
              </w:rPr>
              <w:t>Armaduras expuestas u óxido superficial o fisuras a lo largo de la ubicación de armaduras</w:t>
            </w:r>
          </w:p>
        </w:tc>
      </w:tr>
      <w:tr w:rsidR="004412F1" w14:paraId="5AAB00F8"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0D164BF"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C12DCBC" w14:textId="77777777" w:rsidR="004412F1" w:rsidRDefault="005A12A3">
            <w:pPr>
              <w:rPr>
                <w:lang w:val="es-PE"/>
              </w:rPr>
            </w:pPr>
            <w:r>
              <w:rPr>
                <w:lang w:val="es-PE"/>
              </w:rPr>
              <w:t>Lesiones superficiales de profundidad superior a 0.5 cm</w:t>
            </w:r>
          </w:p>
        </w:tc>
      </w:tr>
      <w:tr w:rsidR="004412F1" w14:paraId="6C8E568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D5120C7"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C6367B4" w14:textId="77777777" w:rsidR="004412F1" w:rsidRDefault="005A12A3">
            <w:pPr>
              <w:rPr>
                <w:lang w:val="es-PE"/>
              </w:rPr>
            </w:pPr>
            <w:r>
              <w:rPr>
                <w:lang w:val="es-PE"/>
              </w:rPr>
              <w:t>Fisuras de espesor mayor a 0.3 mm sin sellar</w:t>
            </w:r>
          </w:p>
        </w:tc>
      </w:tr>
      <w:tr w:rsidR="004412F1" w14:paraId="50CECC30"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B998535" w14:textId="77777777" w:rsidR="004412F1" w:rsidRDefault="005A12A3">
            <w:pPr>
              <w:jc w:val="center"/>
              <w:rPr>
                <w:lang w:val="es-PE"/>
              </w:rPr>
            </w:pPr>
            <w:r>
              <w:rPr>
                <w:lang w:val="es-PE"/>
              </w:rPr>
              <w:t>Deterioros en sistemas de apoyo</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B97FCEC" w14:textId="77777777" w:rsidR="004412F1" w:rsidRDefault="005A12A3">
            <w:r>
              <w:t>Suciedades</w:t>
            </w:r>
          </w:p>
        </w:tc>
      </w:tr>
      <w:tr w:rsidR="004412F1" w14:paraId="0472ECCB"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87C4134"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1DE33B8" w14:textId="77777777" w:rsidR="004412F1" w:rsidRDefault="005A12A3">
            <w:pPr>
              <w:rPr>
                <w:lang w:val="es-PE"/>
              </w:rPr>
            </w:pPr>
            <w:r>
              <w:rPr>
                <w:lang w:val="es-PE"/>
              </w:rPr>
              <w:t>Signos de corrosión u oxidación</w:t>
            </w:r>
          </w:p>
        </w:tc>
      </w:tr>
      <w:tr w:rsidR="004412F1" w14:paraId="189CE35E"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7F2DE25"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B410656" w14:textId="77777777" w:rsidR="004412F1" w:rsidRDefault="005A12A3">
            <w:r>
              <w:t>Signos de aplastamiento</w:t>
            </w:r>
          </w:p>
        </w:tc>
      </w:tr>
      <w:tr w:rsidR="004412F1" w14:paraId="5380F620"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5CB439F"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1EE069F" w14:textId="77777777" w:rsidR="004412F1" w:rsidRDefault="005A12A3">
            <w:r>
              <w:t>Degradación o desplazamiento</w:t>
            </w:r>
          </w:p>
        </w:tc>
      </w:tr>
      <w:tr w:rsidR="004412F1" w14:paraId="58FD2747"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56F06EA"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F68F7F4" w14:textId="77777777" w:rsidR="004412F1" w:rsidRDefault="005A12A3">
            <w:pPr>
              <w:rPr>
                <w:lang w:val="es-PE"/>
              </w:rPr>
            </w:pPr>
            <w:r>
              <w:rPr>
                <w:lang w:val="es-PE"/>
              </w:rPr>
              <w:t>Obstáculos al libre movimiento de la estructura dentro de los parámetros de diseño</w:t>
            </w:r>
          </w:p>
        </w:tc>
      </w:tr>
      <w:tr w:rsidR="004412F1" w14:paraId="4FEF93DF"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2D8AE41" w14:textId="77777777" w:rsidR="004412F1" w:rsidRDefault="005A12A3">
            <w:pPr>
              <w:jc w:val="center"/>
            </w:pPr>
            <w:r>
              <w:t>Deterioros en elementos metálicos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DA1B6D3" w14:textId="77777777" w:rsidR="004412F1" w:rsidRDefault="005A12A3">
            <w:r>
              <w:t>Fisuras o agrietamientos</w:t>
            </w:r>
          </w:p>
        </w:tc>
      </w:tr>
      <w:tr w:rsidR="004412F1" w14:paraId="5049A166"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508ACFA"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8E0B9EE" w14:textId="77777777" w:rsidR="004412F1" w:rsidRDefault="005A12A3">
            <w:r>
              <w:t>Corrosión</w:t>
            </w:r>
          </w:p>
        </w:tc>
      </w:tr>
      <w:tr w:rsidR="004412F1" w14:paraId="3AC1116C"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3C199E7"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539F036" w14:textId="77777777" w:rsidR="004412F1" w:rsidRDefault="005A12A3">
            <w:r>
              <w:t>Roturas o deformaciones</w:t>
            </w:r>
          </w:p>
        </w:tc>
      </w:tr>
      <w:tr w:rsidR="004412F1" w14:paraId="2BBA3F7F"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BC632DB"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D99AE23" w14:textId="77777777" w:rsidR="004412F1" w:rsidRDefault="005A12A3">
            <w:pPr>
              <w:rPr>
                <w:lang w:val="es-PE"/>
              </w:rPr>
            </w:pPr>
            <w:r>
              <w:rPr>
                <w:lang w:val="es-PE"/>
              </w:rPr>
              <w:t>Pérdida de elementos de unión</w:t>
            </w:r>
          </w:p>
        </w:tc>
      </w:tr>
      <w:tr w:rsidR="004412F1" w14:paraId="0E4EBB9F"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322A941"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3C3EC59" w14:textId="77777777" w:rsidR="004412F1" w:rsidRDefault="005A12A3">
            <w:r>
              <w:t>Daños en soldaduras</w:t>
            </w:r>
          </w:p>
        </w:tc>
      </w:tr>
      <w:tr w:rsidR="004412F1" w14:paraId="25533525"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D807975"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4C06E45" w14:textId="77777777" w:rsidR="004412F1" w:rsidRDefault="005A12A3">
            <w:pPr>
              <w:rPr>
                <w:lang w:val="es-PE"/>
              </w:rPr>
            </w:pPr>
            <w:r>
              <w:rPr>
                <w:lang w:val="es-PE"/>
              </w:rPr>
              <w:t>Descascaramientos, ampollas o grietas en la pintura de protección</w:t>
            </w:r>
          </w:p>
        </w:tc>
      </w:tr>
      <w:tr w:rsidR="004412F1" w14:paraId="6B0DC4A8"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42A8B63"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6F31F841" w14:textId="77777777" w:rsidR="004412F1" w:rsidRDefault="005A12A3">
            <w:pPr>
              <w:rPr>
                <w:lang w:val="es-PE"/>
              </w:rPr>
            </w:pPr>
            <w:r>
              <w:rPr>
                <w:lang w:val="es-PE"/>
              </w:rPr>
              <w:t xml:space="preserve">Deterioro de galvanizado de protección </w:t>
            </w:r>
          </w:p>
        </w:tc>
      </w:tr>
      <w:tr w:rsidR="004412F1" w14:paraId="2D0CA5E7"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A3E425E" w14:textId="77777777" w:rsidR="004412F1" w:rsidRDefault="005A12A3">
            <w:pPr>
              <w:jc w:val="center"/>
            </w:pPr>
            <w:r>
              <w:t>Deterioro en sistemas antisísmicos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184C1D4" w14:textId="77777777" w:rsidR="004412F1" w:rsidRDefault="005A12A3">
            <w:r>
              <w:t>Elementos faltantes</w:t>
            </w:r>
          </w:p>
        </w:tc>
      </w:tr>
      <w:tr w:rsidR="004412F1" w14:paraId="7D593377"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945581F"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45288DC" w14:textId="77777777" w:rsidR="004412F1" w:rsidRDefault="005A12A3">
            <w:pPr>
              <w:rPr>
                <w:lang w:val="es-PE"/>
              </w:rPr>
            </w:pPr>
            <w:r>
              <w:rPr>
                <w:lang w:val="es-PE"/>
              </w:rPr>
              <w:t>Pérdida de la funcionalidad de cualquier elemento integrante</w:t>
            </w:r>
          </w:p>
        </w:tc>
      </w:tr>
      <w:tr w:rsidR="004412F1" w14:paraId="28C0231F"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2184A60" w14:textId="77777777" w:rsidR="004412F1" w:rsidRDefault="005A12A3">
            <w:pPr>
              <w:jc w:val="center"/>
              <w:rPr>
                <w:lang w:val="es-PE"/>
              </w:rPr>
            </w:pPr>
            <w:r>
              <w:rPr>
                <w:lang w:val="es-PE"/>
              </w:rPr>
              <w:t>Deterioro en sistemas de suspensión</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8EA1F50" w14:textId="77777777" w:rsidR="004412F1" w:rsidRDefault="005A12A3">
            <w:pPr>
              <w:rPr>
                <w:lang w:val="es-PE"/>
              </w:rPr>
            </w:pPr>
            <w:r>
              <w:rPr>
                <w:lang w:val="es-PE"/>
              </w:rPr>
              <w:t>Cables principales o péndolas con hilos rotos, protuberancias u oxidaciones</w:t>
            </w:r>
          </w:p>
        </w:tc>
      </w:tr>
      <w:tr w:rsidR="004412F1" w14:paraId="7939BE0D"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E1014AE"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9F64ECB" w14:textId="77777777" w:rsidR="004412F1" w:rsidRDefault="005A12A3">
            <w:pPr>
              <w:rPr>
                <w:lang w:val="es-PE"/>
              </w:rPr>
            </w:pPr>
            <w:r>
              <w:rPr>
                <w:lang w:val="es-PE"/>
              </w:rPr>
              <w:t>Abrazaderas, grapas o pernos en mal estado</w:t>
            </w:r>
          </w:p>
        </w:tc>
      </w:tr>
      <w:tr w:rsidR="004412F1" w14:paraId="55E5DC90"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73CDFC0"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560994D" w14:textId="77777777" w:rsidR="004412F1" w:rsidRDefault="005A12A3">
            <w:pPr>
              <w:rPr>
                <w:lang w:val="es-PE"/>
              </w:rPr>
            </w:pPr>
            <w:r>
              <w:rPr>
                <w:lang w:val="es-PE"/>
              </w:rPr>
              <w:t>Apoyos de cables principales en torres con suciedades u oxidaciones</w:t>
            </w:r>
          </w:p>
        </w:tc>
      </w:tr>
      <w:tr w:rsidR="004412F1" w14:paraId="261B7B39"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E4B65FD"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D948768" w14:textId="77777777" w:rsidR="004412F1" w:rsidRDefault="005A12A3">
            <w:pPr>
              <w:rPr>
                <w:lang w:val="es-PE"/>
              </w:rPr>
            </w:pPr>
            <w:r>
              <w:rPr>
                <w:lang w:val="es-PE"/>
              </w:rPr>
              <w:t>Cámaras de anclaje de cables principales con humedades, suciedades u oxidaciones</w:t>
            </w:r>
          </w:p>
        </w:tc>
      </w:tr>
      <w:tr w:rsidR="004412F1" w14:paraId="2BF25A54"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752F667" w14:textId="77777777" w:rsidR="004412F1" w:rsidRDefault="005A12A3">
            <w:pPr>
              <w:jc w:val="center"/>
              <w:rPr>
                <w:lang w:val="es-PE"/>
              </w:rPr>
            </w:pPr>
            <w:r>
              <w:rPr>
                <w:lang w:val="es-PE"/>
              </w:rPr>
              <w:t>Deterioro de elementos de mampostería</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4C385D8" w14:textId="77777777" w:rsidR="004412F1" w:rsidRDefault="005A12A3">
            <w:r>
              <w:t>Agrietamientos sin sellar</w:t>
            </w:r>
          </w:p>
        </w:tc>
      </w:tr>
      <w:tr w:rsidR="004412F1" w14:paraId="7964330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0B801E76"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4D1D5574" w14:textId="77777777" w:rsidR="004412F1" w:rsidRDefault="005A12A3">
            <w:r>
              <w:t>Desplazamientos, alabeos, desalineamientos</w:t>
            </w:r>
          </w:p>
        </w:tc>
      </w:tr>
      <w:tr w:rsidR="004412F1" w14:paraId="5C4B001D"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405B4D6"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39F738CE" w14:textId="77777777" w:rsidR="004412F1" w:rsidRDefault="005A12A3">
            <w:pPr>
              <w:rPr>
                <w:lang w:val="es-PE"/>
              </w:rPr>
            </w:pPr>
            <w:r>
              <w:rPr>
                <w:lang w:val="es-PE"/>
              </w:rPr>
              <w:t>Deterioro de mortero o sillares</w:t>
            </w:r>
          </w:p>
        </w:tc>
      </w:tr>
      <w:tr w:rsidR="004412F1" w14:paraId="4A617A2B"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4504B1A" w14:textId="77777777" w:rsidR="004412F1" w:rsidRDefault="005A12A3">
            <w:pPr>
              <w:jc w:val="center"/>
              <w:rPr>
                <w:lang w:val="es-PE"/>
              </w:rPr>
            </w:pPr>
            <w:r>
              <w:rPr>
                <w:lang w:val="es-PE"/>
              </w:rPr>
              <w:t>Obstrucciones al libre escurrimiento hidráulico</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75DF3DE" w14:textId="77777777" w:rsidR="004412F1" w:rsidRDefault="005A12A3">
            <w:pPr>
              <w:rPr>
                <w:lang w:val="es-PE"/>
              </w:rPr>
            </w:pPr>
            <w:r>
              <w:rPr>
                <w:lang w:val="es-PE"/>
              </w:rPr>
              <w:t>Que puedan afectar la estabilidad de la estructura</w:t>
            </w:r>
          </w:p>
        </w:tc>
      </w:tr>
      <w:tr w:rsidR="004412F1" w14:paraId="71AB570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18989A64"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3167AED8" w14:textId="77777777" w:rsidR="004412F1" w:rsidRDefault="005A12A3">
            <w:pPr>
              <w:rPr>
                <w:lang w:val="es-PE"/>
              </w:rPr>
            </w:pPr>
            <w:r>
              <w:rPr>
                <w:lang w:val="es-PE"/>
              </w:rPr>
              <w:t>Que restrinjan la entrada y salida expedita del agua en una longitud aguas arriba y abajo no inferior a la longitud del puente</w:t>
            </w:r>
          </w:p>
        </w:tc>
      </w:tr>
      <w:tr w:rsidR="004412F1" w14:paraId="1A1E8BF5" w14:textId="77777777">
        <w:trPr>
          <w:trHeight w:val="20"/>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535A697" w14:textId="77777777" w:rsidR="004412F1" w:rsidRDefault="005A12A3">
            <w:pPr>
              <w:jc w:val="center"/>
            </w:pPr>
            <w:r>
              <w:t>Socavación de fundaciones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0644D7FC" w14:textId="77777777" w:rsidR="004412F1" w:rsidRDefault="005A12A3">
            <w:pPr>
              <w:rPr>
                <w:lang w:val="es-PE"/>
              </w:rPr>
            </w:pPr>
            <w:r>
              <w:rPr>
                <w:lang w:val="es-PE"/>
              </w:rPr>
              <w:t>Niveles de lechos por debajo de la cara superior de dados o cabezales de pilotes, salvo que así hubiera sido proyectado o autorizado por la Supervisión.</w:t>
            </w:r>
          </w:p>
        </w:tc>
      </w:tr>
      <w:tr w:rsidR="004412F1" w14:paraId="52A7654B"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0EBEC54" w14:textId="77777777" w:rsidR="004412F1" w:rsidRDefault="005A12A3">
            <w:pPr>
              <w:jc w:val="center"/>
              <w:rPr>
                <w:lang w:val="es-PE"/>
              </w:rPr>
            </w:pPr>
            <w:r>
              <w:rPr>
                <w:lang w:val="es-PE"/>
              </w:rPr>
              <w:t>Deterioros en terraplenes de acceso y revestimientos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5D62072" w14:textId="77777777" w:rsidR="004412F1" w:rsidRDefault="005A12A3">
            <w:pPr>
              <w:rPr>
                <w:lang w:val="es-PE"/>
              </w:rPr>
            </w:pPr>
            <w:r>
              <w:rPr>
                <w:lang w:val="es-PE"/>
              </w:rPr>
              <w:t>Rajaduras, hundimientos o elementos faltantes</w:t>
            </w:r>
          </w:p>
        </w:tc>
      </w:tr>
      <w:tr w:rsidR="004412F1" w14:paraId="43015E65"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AE5CAB4"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C9E6123" w14:textId="77777777" w:rsidR="004412F1" w:rsidRDefault="005A12A3">
            <w:pPr>
              <w:rPr>
                <w:lang w:val="es-PE"/>
              </w:rPr>
            </w:pPr>
            <w:r>
              <w:rPr>
                <w:lang w:val="es-PE"/>
              </w:rPr>
              <w:t>Socavaciones en las vigas de fundación de revestimientos</w:t>
            </w:r>
          </w:p>
        </w:tc>
      </w:tr>
      <w:tr w:rsidR="004412F1" w14:paraId="6141CF4C"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268F2B00" w14:textId="77777777" w:rsidR="004412F1" w:rsidRDefault="005A12A3">
            <w:pPr>
              <w:jc w:val="center"/>
              <w:rPr>
                <w:lang w:val="es-PE"/>
              </w:rPr>
            </w:pPr>
            <w:r>
              <w:rPr>
                <w:lang w:val="es-PE"/>
              </w:rPr>
              <w:t>Deterioro de enrocados o gaviones de protección</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D715E76" w14:textId="77777777" w:rsidR="004412F1" w:rsidRDefault="005A12A3">
            <w:r>
              <w:t>Socavaciones</w:t>
            </w:r>
          </w:p>
        </w:tc>
      </w:tr>
      <w:tr w:rsidR="004412F1" w14:paraId="22CE5557"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4BA8F2C"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7413486C" w14:textId="77777777" w:rsidR="004412F1" w:rsidRDefault="005A12A3">
            <w:pPr>
              <w:rPr>
                <w:lang w:val="es-PE"/>
              </w:rPr>
            </w:pPr>
            <w:r>
              <w:rPr>
                <w:lang w:val="es-PE"/>
              </w:rPr>
              <w:t xml:space="preserve">Asentamientos que comprometan la utilidad de la protección </w:t>
            </w:r>
          </w:p>
        </w:tc>
      </w:tr>
      <w:tr w:rsidR="004412F1" w14:paraId="1BC2150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60ACB90E"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5D442EBE" w14:textId="77777777" w:rsidR="004412F1" w:rsidRDefault="005A12A3">
            <w:r>
              <w:t>Elementos faltantes</w:t>
            </w:r>
          </w:p>
        </w:tc>
      </w:tr>
      <w:tr w:rsidR="004412F1" w14:paraId="3855D0D7"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7FAC8301" w14:textId="77777777" w:rsidR="004412F1" w:rsidRDefault="005A12A3">
            <w:pPr>
              <w:jc w:val="center"/>
              <w:rPr>
                <w:lang w:val="es-PE"/>
              </w:rPr>
            </w:pPr>
            <w:r>
              <w:rPr>
                <w:lang w:val="es-PE"/>
              </w:rPr>
              <w:t>Deterioros de barandas y parapetos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182AADAF" w14:textId="77777777" w:rsidR="004412F1" w:rsidRDefault="005A12A3">
            <w:pPr>
              <w:rPr>
                <w:lang w:val="es-PE"/>
              </w:rPr>
            </w:pPr>
            <w:r>
              <w:rPr>
                <w:lang w:val="es-PE"/>
              </w:rPr>
              <w:t>Elementos rotos, faltantes, flojos o fuera de alineación</w:t>
            </w:r>
          </w:p>
        </w:tc>
      </w:tr>
      <w:tr w:rsidR="004412F1" w14:paraId="26385F0E"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F399FC5"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70B33655" w14:textId="77777777" w:rsidR="004412F1" w:rsidRDefault="005A12A3">
            <w:r>
              <w:t xml:space="preserve">Deterioros en la pintura </w:t>
            </w:r>
          </w:p>
        </w:tc>
      </w:tr>
      <w:tr w:rsidR="004412F1" w14:paraId="598B05C1" w14:textId="77777777">
        <w:trPr>
          <w:cantSplit/>
          <w:trHeight w:val="2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BA35F72" w14:textId="77777777" w:rsidR="004412F1" w:rsidRDefault="005A12A3">
            <w:pPr>
              <w:jc w:val="center"/>
            </w:pPr>
            <w:r>
              <w:t>Deterioros de veredas</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tcPr>
          <w:p w14:paraId="25917D92" w14:textId="77777777" w:rsidR="004412F1" w:rsidRDefault="005A12A3">
            <w:r>
              <w:t>Desniveles</w:t>
            </w:r>
          </w:p>
        </w:tc>
      </w:tr>
      <w:tr w:rsidR="004412F1" w14:paraId="3A89C57C"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4568B466"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5CDD8D7C" w14:textId="77777777" w:rsidR="004412F1" w:rsidRDefault="005A12A3">
            <w:r>
              <w:t>Suciedades</w:t>
            </w:r>
          </w:p>
        </w:tc>
      </w:tr>
      <w:tr w:rsidR="004412F1" w14:paraId="20DF9B21"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5269EE0D" w14:textId="77777777" w:rsidR="004412F1" w:rsidRDefault="004412F1">
            <w:pPr>
              <w:spacing w:line="276" w:lineRule="auto"/>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44DE57EB" w14:textId="77777777" w:rsidR="004412F1" w:rsidRDefault="005A12A3">
            <w:pPr>
              <w:rPr>
                <w:lang w:val="es-PE"/>
              </w:rPr>
            </w:pPr>
            <w:r>
              <w:rPr>
                <w:lang w:val="es-PE"/>
              </w:rPr>
              <w:t>Losetas sueltas, faltantes o rotas</w:t>
            </w:r>
          </w:p>
        </w:tc>
      </w:tr>
      <w:tr w:rsidR="004412F1" w14:paraId="41A05A6D" w14:textId="77777777">
        <w:trPr>
          <w:cantSplit/>
          <w:trHeight w:val="20"/>
        </w:trPr>
        <w:tc>
          <w:tcPr>
            <w:tcW w:w="3256" w:type="dxa"/>
            <w:vMerge/>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tcPr>
          <w:p w14:paraId="3D4F02C7" w14:textId="77777777" w:rsidR="004412F1" w:rsidRDefault="004412F1">
            <w:pPr>
              <w:spacing w:line="276" w:lineRule="auto"/>
              <w:rPr>
                <w:lang w:val="es-PE"/>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14:paraId="1B2A5234" w14:textId="77777777" w:rsidR="004412F1" w:rsidRDefault="005A12A3">
            <w:pPr>
              <w:rPr>
                <w:lang w:val="es-PE"/>
              </w:rPr>
            </w:pPr>
            <w:r>
              <w:rPr>
                <w:lang w:val="es-PE"/>
              </w:rPr>
              <w:t>Manchas o deterioros por pasaje de agua en juntas de cordones y veredas</w:t>
            </w:r>
          </w:p>
        </w:tc>
      </w:tr>
    </w:tbl>
    <w:p w14:paraId="3FB9D0A7" w14:textId="77777777" w:rsidR="004412F1" w:rsidRDefault="004412F1">
      <w:pPr>
        <w:jc w:val="both"/>
        <w:rPr>
          <w:lang w:val="es-PE"/>
        </w:rPr>
      </w:pPr>
    </w:p>
    <w:p w14:paraId="56867454" w14:textId="77777777" w:rsidR="004412F1" w:rsidRDefault="005A12A3">
      <w:pPr>
        <w:tabs>
          <w:tab w:val="left" w:pos="426"/>
        </w:tabs>
        <w:rPr>
          <w:lang w:val="es-PE"/>
        </w:rPr>
      </w:pPr>
      <w:r>
        <w:rPr>
          <w:lang w:val="es-PE"/>
        </w:rPr>
        <w:t>C.</w:t>
      </w:r>
      <w:r>
        <w:rPr>
          <w:lang w:val="es-PE"/>
        </w:rPr>
        <w:tab/>
      </w:r>
      <w:r>
        <w:rPr>
          <w:b/>
          <w:lang w:val="es-PE"/>
        </w:rPr>
        <w:t>MEDICIÓN DE RUGOSIDAD</w:t>
      </w:r>
    </w:p>
    <w:p w14:paraId="7F29964D" w14:textId="77777777" w:rsidR="004412F1" w:rsidRDefault="004412F1">
      <w:pPr>
        <w:jc w:val="both"/>
        <w:rPr>
          <w:lang w:val="es-PE"/>
        </w:rPr>
      </w:pPr>
    </w:p>
    <w:p w14:paraId="7977F55D" w14:textId="77777777" w:rsidR="004412F1" w:rsidRDefault="005A12A3">
      <w:pPr>
        <w:ind w:left="426"/>
        <w:jc w:val="both"/>
        <w:rPr>
          <w:lang w:val="es-PE"/>
        </w:rPr>
      </w:pPr>
      <w:r>
        <w:rPr>
          <w:lang w:val="es-PE"/>
        </w:rPr>
        <w:t>En el mes de noviembre de cada año de la Concesión y cada vez que se considere ha habido cambios sustanciales en la rugosidad, el CONCESIONARIO efectuará una evaluación de la rugosidad de la vía.</w:t>
      </w:r>
    </w:p>
    <w:p w14:paraId="0A0CF87C" w14:textId="77777777" w:rsidR="004412F1" w:rsidRDefault="004412F1">
      <w:pPr>
        <w:jc w:val="both"/>
        <w:rPr>
          <w:lang w:val="es-PE"/>
        </w:rPr>
      </w:pPr>
    </w:p>
    <w:p w14:paraId="2EA55EBA" w14:textId="77777777" w:rsidR="004412F1" w:rsidRDefault="005A12A3">
      <w:pPr>
        <w:ind w:left="426"/>
        <w:jc w:val="both"/>
        <w:rPr>
          <w:lang w:val="es-PE"/>
        </w:rPr>
      </w:pPr>
      <w:r>
        <w:rPr>
          <w:lang w:val="es-PE"/>
        </w:rPr>
        <w:t xml:space="preserve">Según la ASTM </w:t>
      </w:r>
      <w:proofErr w:type="gramStart"/>
      <w:r>
        <w:rPr>
          <w:lang w:val="es-PE"/>
        </w:rPr>
        <w:t>la rugosidad son</w:t>
      </w:r>
      <w:proofErr w:type="gramEnd"/>
      <w:r>
        <w:rPr>
          <w:lang w:val="es-PE"/>
        </w:rPr>
        <w:t xml:space="preserve"> “las desviaciones de la superficie del camino con respecto a una superficie plana que afectan la dinámica del vehículo, la calidad de circulación, las cargas dinámicas y el drenaje " (ASTM Specification E 867 - 82 A).</w:t>
      </w:r>
    </w:p>
    <w:p w14:paraId="192FC975" w14:textId="77777777" w:rsidR="004412F1" w:rsidRDefault="004412F1">
      <w:pPr>
        <w:jc w:val="both"/>
        <w:rPr>
          <w:lang w:val="es-PE"/>
        </w:rPr>
      </w:pPr>
    </w:p>
    <w:p w14:paraId="595056B5" w14:textId="77777777" w:rsidR="004412F1" w:rsidRDefault="005A12A3">
      <w:pPr>
        <w:ind w:left="426"/>
        <w:jc w:val="both"/>
        <w:rPr>
          <w:lang w:val="es-PE"/>
        </w:rPr>
      </w:pPr>
      <w:r>
        <w:rPr>
          <w:lang w:val="es-PE"/>
        </w:rPr>
        <w:t>El Índice de Rugosidad Internacional (IRI) es la escala estándar en la que se medirá la rugosidad de los pavimentos.</w:t>
      </w:r>
    </w:p>
    <w:p w14:paraId="7A1B4959" w14:textId="77777777" w:rsidR="004412F1" w:rsidRDefault="004412F1">
      <w:pPr>
        <w:jc w:val="both"/>
        <w:rPr>
          <w:lang w:val="es-PE"/>
        </w:rPr>
      </w:pPr>
    </w:p>
    <w:p w14:paraId="03D9D53F" w14:textId="77777777" w:rsidR="004412F1" w:rsidRDefault="005A12A3">
      <w:pPr>
        <w:ind w:left="426"/>
        <w:jc w:val="both"/>
        <w:rPr>
          <w:lang w:val="es-PE"/>
        </w:rPr>
      </w:pPr>
      <w:r>
        <w:rPr>
          <w:lang w:val="es-PE"/>
        </w:rPr>
        <w:t xml:space="preserve">La CONCESIONARIO y el REGULADOR podrán medir la rugosidad utilizando equipos y métodos de medición que sean compatibles con los métodos de medición clase 1 ó 2 establecidos en el World Bank </w:t>
      </w:r>
      <w:proofErr w:type="gramStart"/>
      <w:r>
        <w:rPr>
          <w:lang w:val="es-PE"/>
        </w:rPr>
        <w:t>Technical  Paper</w:t>
      </w:r>
      <w:proofErr w:type="gramEnd"/>
      <w:r>
        <w:rPr>
          <w:lang w:val="es-PE"/>
        </w:rPr>
        <w:t xml:space="preserve"> N° 46 del Banco Mundial o con los establecidos en la Norma ASTM E950.</w:t>
      </w:r>
    </w:p>
    <w:p w14:paraId="56D67361" w14:textId="77777777" w:rsidR="004412F1" w:rsidRDefault="004412F1">
      <w:pPr>
        <w:ind w:left="426"/>
        <w:jc w:val="both"/>
        <w:rPr>
          <w:lang w:val="es-PE"/>
        </w:rPr>
      </w:pPr>
    </w:p>
    <w:p w14:paraId="7C15317E" w14:textId="77777777" w:rsidR="004412F1" w:rsidRDefault="005A12A3">
      <w:pPr>
        <w:ind w:left="426"/>
        <w:jc w:val="both"/>
        <w:rPr>
          <w:lang w:val="es-PE"/>
        </w:rPr>
      </w:pPr>
      <w:r>
        <w:rPr>
          <w:lang w:val="es-PE"/>
        </w:rPr>
        <w:t xml:space="preserve">Sean cuales sean los equipos utilizados por la CONCESIONARIO y el REGULADOR, siempre antes de su utilización deberán ser calibrados en el mismo sector y la calibración del equipo y los detalles de </w:t>
      </w:r>
      <w:proofErr w:type="gramStart"/>
      <w:r>
        <w:rPr>
          <w:lang w:val="es-PE"/>
        </w:rPr>
        <w:t>la misma</w:t>
      </w:r>
      <w:proofErr w:type="gramEnd"/>
      <w:r>
        <w:rPr>
          <w:lang w:val="es-PE"/>
        </w:rPr>
        <w:t xml:space="preserve"> estarán disponibles para la otra parte.</w:t>
      </w:r>
    </w:p>
    <w:p w14:paraId="5418A622" w14:textId="77777777" w:rsidR="004412F1" w:rsidRDefault="004412F1">
      <w:pPr>
        <w:ind w:left="426"/>
        <w:jc w:val="both"/>
        <w:rPr>
          <w:lang w:val="es-PE"/>
        </w:rPr>
      </w:pPr>
    </w:p>
    <w:p w14:paraId="50AA4DD4" w14:textId="77777777" w:rsidR="004412F1" w:rsidRDefault="005A12A3">
      <w:pPr>
        <w:ind w:left="426"/>
        <w:jc w:val="both"/>
        <w:rPr>
          <w:lang w:val="es-PE"/>
        </w:rPr>
      </w:pPr>
      <w:r>
        <w:rPr>
          <w:lang w:val="es-PE"/>
        </w:rPr>
        <w:t>Para la evaluación del nivel de servicio se utilizará la Rugosidad Media Deslizante Máxima con un intervalo de 1 km.</w:t>
      </w:r>
    </w:p>
    <w:p w14:paraId="307891F0" w14:textId="77777777" w:rsidR="004412F1" w:rsidRDefault="004412F1">
      <w:pPr>
        <w:ind w:left="426"/>
        <w:jc w:val="both"/>
        <w:rPr>
          <w:lang w:val="es-PE"/>
        </w:rPr>
      </w:pPr>
    </w:p>
    <w:p w14:paraId="1C836873" w14:textId="77777777" w:rsidR="004412F1" w:rsidRDefault="005A12A3">
      <w:pPr>
        <w:ind w:left="426"/>
        <w:jc w:val="both"/>
        <w:rPr>
          <w:lang w:val="es-PE"/>
        </w:rPr>
      </w:pPr>
      <w:r>
        <w:rPr>
          <w:lang w:val="es-PE"/>
        </w:rPr>
        <w:t xml:space="preserve">Se medirá la rugosidad de cada uno de los </w:t>
      </w:r>
      <w:proofErr w:type="gramStart"/>
      <w:r>
        <w:rPr>
          <w:lang w:val="es-PE"/>
        </w:rPr>
        <w:t>Sub Tramos</w:t>
      </w:r>
      <w:proofErr w:type="gramEnd"/>
      <w:r>
        <w:rPr>
          <w:lang w:val="es-PE"/>
        </w:rPr>
        <w:t xml:space="preserve"> de la Concesión en intervalos no mayores de 100 metros. </w:t>
      </w:r>
    </w:p>
    <w:p w14:paraId="784AC975" w14:textId="77777777" w:rsidR="004412F1" w:rsidRDefault="004412F1">
      <w:pPr>
        <w:ind w:left="426"/>
        <w:jc w:val="both"/>
        <w:rPr>
          <w:lang w:val="es-PE"/>
        </w:rPr>
      </w:pPr>
    </w:p>
    <w:p w14:paraId="681F8ADB" w14:textId="77777777" w:rsidR="004412F1" w:rsidRDefault="005A12A3">
      <w:pPr>
        <w:ind w:left="426"/>
        <w:jc w:val="both"/>
        <w:rPr>
          <w:lang w:val="es-PE"/>
        </w:rPr>
      </w:pPr>
      <w:r>
        <w:rPr>
          <w:lang w:val="es-PE"/>
        </w:rPr>
        <w:t xml:space="preserve">Para cada intervalo se calcula el valor medio de las rugosidades de los intervalos ubicados en un entorno de 1 km del intervalo considerado y se le asigna a </w:t>
      </w:r>
      <w:proofErr w:type="gramStart"/>
      <w:r>
        <w:rPr>
          <w:lang w:val="es-PE"/>
        </w:rPr>
        <w:t>éste</w:t>
      </w:r>
      <w:proofErr w:type="gramEnd"/>
      <w:r>
        <w:rPr>
          <w:lang w:val="es-PE"/>
        </w:rPr>
        <w:t xml:space="preserve"> intervalo el valor resultante. Dicho valor se le denominará rugosidad media deslizante en ese intervalo.</w:t>
      </w:r>
    </w:p>
    <w:p w14:paraId="1D1EEF6B" w14:textId="77777777" w:rsidR="004412F1" w:rsidRDefault="004412F1">
      <w:pPr>
        <w:ind w:left="426"/>
        <w:jc w:val="both"/>
        <w:rPr>
          <w:lang w:val="es-PE"/>
        </w:rPr>
      </w:pPr>
    </w:p>
    <w:p w14:paraId="46D39903" w14:textId="77777777" w:rsidR="004412F1" w:rsidRDefault="005A12A3">
      <w:pPr>
        <w:ind w:left="426"/>
        <w:jc w:val="both"/>
        <w:rPr>
          <w:lang w:val="es-PE"/>
        </w:rPr>
      </w:pPr>
      <w:r>
        <w:rPr>
          <w:lang w:val="es-PE"/>
        </w:rPr>
        <w:t xml:space="preserve">Repitiendo el procedimiento anterior para cada uno de los intervalos que conforma el </w:t>
      </w:r>
      <w:proofErr w:type="gramStart"/>
      <w:r>
        <w:rPr>
          <w:lang w:val="es-PE"/>
        </w:rPr>
        <w:t>Sub Tramo</w:t>
      </w:r>
      <w:proofErr w:type="gramEnd"/>
      <w:r>
        <w:rPr>
          <w:lang w:val="es-PE"/>
        </w:rPr>
        <w:t xml:space="preserve"> se obtiene la rugosidad media deslizante en todos los intervalos del Sub Tramo.</w:t>
      </w:r>
    </w:p>
    <w:p w14:paraId="3EA1EA52" w14:textId="77777777" w:rsidR="004412F1" w:rsidRDefault="004412F1">
      <w:pPr>
        <w:jc w:val="both"/>
        <w:rPr>
          <w:lang w:val="es-PE"/>
        </w:rPr>
      </w:pPr>
    </w:p>
    <w:p w14:paraId="64A72AA5" w14:textId="77777777" w:rsidR="004412F1" w:rsidRDefault="005A12A3">
      <w:pPr>
        <w:rPr>
          <w:lang w:val="es-PE"/>
        </w:rPr>
      </w:pPr>
      <w:r>
        <w:rPr>
          <w:lang w:val="es-PE"/>
        </w:rPr>
        <w:br w:type="page"/>
      </w:r>
    </w:p>
    <w:p w14:paraId="7C1BFA7E" w14:textId="77777777" w:rsidR="004412F1" w:rsidRDefault="004412F1">
      <w:pPr>
        <w:jc w:val="both"/>
        <w:rPr>
          <w:lang w:val="es-PE"/>
        </w:rPr>
      </w:pPr>
    </w:p>
    <w:p w14:paraId="5865ABF5" w14:textId="77777777" w:rsidR="004412F1" w:rsidRDefault="005A12A3">
      <w:pPr>
        <w:tabs>
          <w:tab w:val="left" w:pos="426"/>
        </w:tabs>
        <w:rPr>
          <w:lang w:val="es-PE"/>
        </w:rPr>
      </w:pPr>
      <w:r>
        <w:rPr>
          <w:lang w:val="es-PE"/>
        </w:rPr>
        <w:t>D.</w:t>
      </w:r>
      <w:r>
        <w:rPr>
          <w:lang w:val="es-PE"/>
        </w:rPr>
        <w:tab/>
      </w:r>
      <w:r>
        <w:rPr>
          <w:b/>
          <w:lang w:val="es-PE"/>
        </w:rPr>
        <w:t>PARÁMETROS DE CONDICIÓN ESTRUCTURAL POR DEFLECTOMETRÍA</w:t>
      </w:r>
    </w:p>
    <w:p w14:paraId="4F82BD54" w14:textId="77777777" w:rsidR="004412F1" w:rsidRDefault="004412F1">
      <w:pPr>
        <w:tabs>
          <w:tab w:val="left" w:pos="500"/>
        </w:tabs>
        <w:jc w:val="both"/>
        <w:rPr>
          <w:b/>
          <w:lang w:val="es-PE"/>
        </w:rPr>
      </w:pPr>
    </w:p>
    <w:p w14:paraId="65A62BDC" w14:textId="77777777" w:rsidR="004412F1" w:rsidRDefault="005A12A3">
      <w:pPr>
        <w:tabs>
          <w:tab w:val="left" w:pos="500"/>
        </w:tabs>
        <w:jc w:val="both"/>
        <w:rPr>
          <w:b/>
          <w:u w:val="single"/>
        </w:rPr>
      </w:pPr>
      <w:r>
        <w:rPr>
          <w:b/>
          <w:u w:val="single"/>
        </w:rPr>
        <w:t xml:space="preserve">Nivel de Servicio </w:t>
      </w:r>
    </w:p>
    <w:p w14:paraId="32ED89CA" w14:textId="77777777" w:rsidR="004412F1" w:rsidRDefault="004412F1">
      <w:pPr>
        <w:tabs>
          <w:tab w:val="left" w:pos="500"/>
        </w:tabs>
        <w:jc w:val="both"/>
        <w:rPr>
          <w:b/>
          <w:u w:val="single"/>
        </w:rPr>
      </w:pPr>
    </w:p>
    <w:p w14:paraId="5DCBCF51" w14:textId="77777777" w:rsidR="004412F1" w:rsidRDefault="005A12A3">
      <w:pPr>
        <w:numPr>
          <w:ilvl w:val="0"/>
          <w:numId w:val="174"/>
        </w:numPr>
        <w:tabs>
          <w:tab w:val="left" w:pos="426"/>
        </w:tabs>
        <w:ind w:left="426" w:hanging="426"/>
        <w:jc w:val="both"/>
        <w:rPr>
          <w:lang w:val="es-PE"/>
        </w:rPr>
      </w:pPr>
      <w:r>
        <w:rPr>
          <w:lang w:val="es-PE"/>
        </w:rPr>
        <w:t xml:space="preserve">El CONCESIONARIO deberá efectuar el control estructural de la vía, mediante Deflectometría, en un período no mayor de dos (2) años y/o cada vez que se noten cambios sustanciales en la plataforma, </w:t>
      </w:r>
      <w:proofErr w:type="gramStart"/>
      <w:r>
        <w:rPr>
          <w:lang w:val="es-PE"/>
        </w:rPr>
        <w:t>de acuerdo a</w:t>
      </w:r>
      <w:proofErr w:type="gramEnd"/>
      <w:r>
        <w:rPr>
          <w:lang w:val="es-PE"/>
        </w:rPr>
        <w:t xml:space="preserve"> lo establecido en las Especificaciones Generales para la Construcción de carreteras EG-2013, y el manual de Ensayos para carreteras EM-2000 aprobado con RD Nº 028-2001-MTC/17, o en su defecto por la versión actualizada.</w:t>
      </w:r>
    </w:p>
    <w:p w14:paraId="6EDD3475" w14:textId="77777777" w:rsidR="004412F1" w:rsidRDefault="004412F1">
      <w:pPr>
        <w:tabs>
          <w:tab w:val="left" w:pos="500"/>
        </w:tabs>
        <w:jc w:val="both"/>
        <w:rPr>
          <w:lang w:val="es-PE"/>
        </w:rPr>
      </w:pPr>
    </w:p>
    <w:p w14:paraId="37326B22" w14:textId="77777777" w:rsidR="004412F1" w:rsidRDefault="005A12A3">
      <w:pPr>
        <w:numPr>
          <w:ilvl w:val="0"/>
          <w:numId w:val="174"/>
        </w:numPr>
        <w:tabs>
          <w:tab w:val="left" w:pos="426"/>
        </w:tabs>
        <w:ind w:left="426" w:hanging="426"/>
        <w:jc w:val="both"/>
        <w:rPr>
          <w:lang w:val="es-PE"/>
        </w:rPr>
      </w:pPr>
      <w:r>
        <w:rPr>
          <w:lang w:val="es-PE"/>
        </w:rPr>
        <w:t>El CONCESIONARIO deberá realizar la medición de la deflexión en los siguientes casos:</w:t>
      </w:r>
    </w:p>
    <w:p w14:paraId="2444D04B" w14:textId="77777777" w:rsidR="004412F1" w:rsidRDefault="004412F1">
      <w:pPr>
        <w:tabs>
          <w:tab w:val="left" w:pos="500"/>
        </w:tabs>
        <w:jc w:val="both"/>
        <w:rPr>
          <w:lang w:val="es-PE"/>
        </w:rPr>
      </w:pPr>
    </w:p>
    <w:p w14:paraId="7EF79805" w14:textId="77777777" w:rsidR="004412F1" w:rsidRDefault="005A12A3">
      <w:pPr>
        <w:numPr>
          <w:ilvl w:val="1"/>
          <w:numId w:val="174"/>
        </w:numPr>
        <w:tabs>
          <w:tab w:val="left" w:pos="360"/>
          <w:tab w:val="left" w:pos="851"/>
        </w:tabs>
        <w:ind w:left="851" w:hanging="425"/>
        <w:jc w:val="both"/>
        <w:rPr>
          <w:lang w:val="es-PE"/>
        </w:rPr>
      </w:pPr>
      <w:r>
        <w:rPr>
          <w:lang w:val="es-PE"/>
        </w:rPr>
        <w:t>Para realizar el seguimiento de la evolución de la deflexión con fines de supervisión.</w:t>
      </w:r>
    </w:p>
    <w:p w14:paraId="7B9002A8" w14:textId="77777777" w:rsidR="004412F1" w:rsidRDefault="005A12A3">
      <w:pPr>
        <w:numPr>
          <w:ilvl w:val="1"/>
          <w:numId w:val="174"/>
        </w:numPr>
        <w:tabs>
          <w:tab w:val="left" w:pos="360"/>
          <w:tab w:val="left" w:pos="851"/>
        </w:tabs>
        <w:ind w:left="851" w:hanging="425"/>
        <w:jc w:val="both"/>
        <w:rPr>
          <w:lang w:val="es-PE"/>
        </w:rPr>
      </w:pPr>
      <w:r>
        <w:rPr>
          <w:lang w:val="es-PE"/>
        </w:rPr>
        <w:t>Para la devolución de la carretera al término del contrato de concesión y/ en caso se rescinda el mismo.</w:t>
      </w:r>
    </w:p>
    <w:p w14:paraId="5EC2D733" w14:textId="77777777" w:rsidR="004412F1" w:rsidRDefault="004412F1">
      <w:pPr>
        <w:jc w:val="both"/>
        <w:rPr>
          <w:lang w:val="es-PE"/>
        </w:rPr>
      </w:pPr>
    </w:p>
    <w:p w14:paraId="73C69637" w14:textId="77777777" w:rsidR="004412F1" w:rsidRDefault="005A12A3">
      <w:pPr>
        <w:ind w:left="426"/>
        <w:jc w:val="both"/>
        <w:rPr>
          <w:lang w:val="es-PE"/>
        </w:rPr>
      </w:pPr>
      <w:r>
        <w:rPr>
          <w:lang w:val="es-PE"/>
        </w:rPr>
        <w:t>En todos los casos de realizar una intervención, el CONCESIONARIO deberá alcanzar a la Supervisión, los parámetros de diseño utilizados (Nº de ejes equivalente, período de diseño, IMDA y tasa de crecimiento utilizada).</w:t>
      </w:r>
    </w:p>
    <w:p w14:paraId="247DC241" w14:textId="77777777" w:rsidR="004412F1" w:rsidRDefault="004412F1">
      <w:pPr>
        <w:ind w:left="700"/>
        <w:jc w:val="both"/>
        <w:rPr>
          <w:lang w:val="es-PE"/>
        </w:rPr>
      </w:pPr>
    </w:p>
    <w:p w14:paraId="0791FE46" w14:textId="77777777" w:rsidR="004412F1" w:rsidRDefault="005A12A3">
      <w:pPr>
        <w:numPr>
          <w:ilvl w:val="0"/>
          <w:numId w:val="174"/>
        </w:numPr>
        <w:tabs>
          <w:tab w:val="left" w:pos="426"/>
        </w:tabs>
        <w:jc w:val="both"/>
        <w:rPr>
          <w:lang w:val="es-PE"/>
        </w:rPr>
      </w:pPr>
      <w:r>
        <w:rPr>
          <w:lang w:val="es-PE"/>
        </w:rPr>
        <w:t>Para determinar el estado de la condición estructural del pavimento, el CONCESIONARIO deberá obtener la deflexión admisible en función a los ejes equivalentes hallados en base al tránsito actualizado en el año de la puesta en servicio de la vía (Finalización de las Obras por el CONCEDENTE y/o de la Rehabilitación y Mejoramiento y el Mantenimiento Periódico Inicial del CONCESIONARIO) y para el período de análisis previsto para el diseño de las intervenciones en el pavimento.</w:t>
      </w:r>
    </w:p>
    <w:p w14:paraId="06D481EC" w14:textId="77777777" w:rsidR="004412F1" w:rsidRDefault="004412F1">
      <w:pPr>
        <w:tabs>
          <w:tab w:val="left" w:pos="500"/>
        </w:tabs>
        <w:jc w:val="both"/>
        <w:rPr>
          <w:lang w:val="es-PE"/>
        </w:rPr>
      </w:pPr>
    </w:p>
    <w:p w14:paraId="218900F2" w14:textId="77777777" w:rsidR="004412F1" w:rsidRDefault="005A12A3">
      <w:pPr>
        <w:numPr>
          <w:ilvl w:val="0"/>
          <w:numId w:val="174"/>
        </w:numPr>
        <w:tabs>
          <w:tab w:val="left" w:pos="426"/>
        </w:tabs>
        <w:ind w:left="426" w:hanging="426"/>
        <w:jc w:val="both"/>
        <w:rPr>
          <w:lang w:val="es-PE"/>
        </w:rPr>
      </w:pPr>
      <w:r>
        <w:rPr>
          <w:lang w:val="es-PE"/>
        </w:rPr>
        <w:t>El CONCESIONARIO efectuará el seguimiento y control de la condición estructural del pavimento basado en la deflexión característica y la deflexión admisible que se determinará de la siguiente manera:</w:t>
      </w:r>
    </w:p>
    <w:p w14:paraId="1FF5FEF6" w14:textId="77777777" w:rsidR="004412F1" w:rsidRDefault="004412F1">
      <w:pPr>
        <w:tabs>
          <w:tab w:val="left" w:pos="500"/>
        </w:tabs>
        <w:jc w:val="both"/>
        <w:rPr>
          <w:lang w:val="es-PE"/>
        </w:rPr>
      </w:pPr>
    </w:p>
    <w:p w14:paraId="3B42DBF0" w14:textId="77777777" w:rsidR="004412F1" w:rsidRDefault="005A12A3">
      <w:pPr>
        <w:numPr>
          <w:ilvl w:val="1"/>
          <w:numId w:val="174"/>
        </w:numPr>
        <w:tabs>
          <w:tab w:val="left" w:pos="851"/>
        </w:tabs>
        <w:ind w:left="851" w:hanging="425"/>
        <w:jc w:val="both"/>
      </w:pPr>
      <w:r>
        <w:t>Deflexión característica</w:t>
      </w:r>
    </w:p>
    <w:p w14:paraId="0EFC655A" w14:textId="77777777" w:rsidR="004412F1" w:rsidRDefault="004412F1">
      <w:pPr>
        <w:tabs>
          <w:tab w:val="left" w:pos="500"/>
        </w:tabs>
        <w:jc w:val="both"/>
      </w:pPr>
    </w:p>
    <w:p w14:paraId="03C8D509" w14:textId="77777777" w:rsidR="004412F1" w:rsidRDefault="005A12A3">
      <w:pPr>
        <w:tabs>
          <w:tab w:val="left" w:pos="500"/>
        </w:tabs>
        <w:ind w:firstLine="851"/>
        <w:jc w:val="both"/>
        <w:rPr>
          <w:lang w:val="es-PE"/>
        </w:rPr>
      </w:pPr>
      <w:r>
        <w:rPr>
          <w:lang w:val="es-PE"/>
        </w:rPr>
        <w:t>Dc=</w:t>
      </w:r>
      <w:r>
        <w:rPr>
          <w:lang w:val="es-PE"/>
        </w:rPr>
        <w:tab/>
        <w:t>Dp+T*(desv estandar)</w:t>
      </w:r>
    </w:p>
    <w:p w14:paraId="4AA17B9B" w14:textId="77777777" w:rsidR="004412F1" w:rsidRDefault="005A12A3">
      <w:pPr>
        <w:tabs>
          <w:tab w:val="left" w:pos="500"/>
        </w:tabs>
        <w:ind w:firstLine="851"/>
        <w:jc w:val="both"/>
        <w:rPr>
          <w:lang w:val="es-PE"/>
        </w:rPr>
      </w:pPr>
      <w:r>
        <w:rPr>
          <w:lang w:val="es-PE"/>
        </w:rPr>
        <w:t xml:space="preserve">Dc= </w:t>
      </w:r>
      <w:r>
        <w:rPr>
          <w:lang w:val="es-PE"/>
        </w:rPr>
        <w:tab/>
        <w:t>Deflexión característica</w:t>
      </w:r>
    </w:p>
    <w:p w14:paraId="300FD222" w14:textId="77777777" w:rsidR="004412F1" w:rsidRDefault="005A12A3">
      <w:pPr>
        <w:tabs>
          <w:tab w:val="left" w:pos="500"/>
        </w:tabs>
        <w:ind w:firstLine="851"/>
        <w:jc w:val="both"/>
        <w:rPr>
          <w:lang w:val="es-PE"/>
        </w:rPr>
      </w:pPr>
      <w:r>
        <w:rPr>
          <w:lang w:val="es-PE"/>
        </w:rPr>
        <w:t xml:space="preserve">Dp= </w:t>
      </w:r>
      <w:r>
        <w:rPr>
          <w:lang w:val="es-PE"/>
        </w:rPr>
        <w:tab/>
        <w:t>Deflexión promedio</w:t>
      </w:r>
    </w:p>
    <w:p w14:paraId="69FD409C" w14:textId="77777777" w:rsidR="004412F1" w:rsidRDefault="005A12A3">
      <w:pPr>
        <w:tabs>
          <w:tab w:val="left" w:pos="500"/>
        </w:tabs>
        <w:ind w:left="1418" w:hanging="567"/>
        <w:jc w:val="both"/>
        <w:rPr>
          <w:lang w:val="es-PE"/>
        </w:rPr>
      </w:pPr>
      <w:r>
        <w:rPr>
          <w:lang w:val="es-PE"/>
        </w:rPr>
        <w:t>T =</w:t>
      </w:r>
      <w:r>
        <w:rPr>
          <w:lang w:val="es-PE"/>
        </w:rPr>
        <w:tab/>
        <w:t>Coeficiente que representa el porcentaje del área total de probabilidad de presentar deflexiones superiores a la deflexión característica, T= 1.645.</w:t>
      </w:r>
    </w:p>
    <w:p w14:paraId="33A48DD8" w14:textId="77777777" w:rsidR="004412F1" w:rsidRDefault="004412F1">
      <w:pPr>
        <w:tabs>
          <w:tab w:val="left" w:pos="500"/>
        </w:tabs>
        <w:jc w:val="both"/>
        <w:rPr>
          <w:lang w:val="es-PE"/>
        </w:rPr>
      </w:pPr>
    </w:p>
    <w:p w14:paraId="4AE263E5" w14:textId="77777777" w:rsidR="004412F1" w:rsidRDefault="005A12A3">
      <w:pPr>
        <w:numPr>
          <w:ilvl w:val="1"/>
          <w:numId w:val="174"/>
        </w:numPr>
        <w:tabs>
          <w:tab w:val="left" w:pos="851"/>
        </w:tabs>
        <w:ind w:left="795" w:hanging="369"/>
        <w:jc w:val="both"/>
      </w:pPr>
      <w:r>
        <w:t>Deflexión admisible</w:t>
      </w:r>
    </w:p>
    <w:p w14:paraId="6A1F2C85" w14:textId="77777777" w:rsidR="004412F1" w:rsidRDefault="004412F1">
      <w:pPr>
        <w:tabs>
          <w:tab w:val="left" w:pos="500"/>
        </w:tabs>
        <w:jc w:val="both"/>
      </w:pPr>
    </w:p>
    <w:p w14:paraId="48FBCC79" w14:textId="77777777" w:rsidR="004412F1" w:rsidRDefault="005A12A3">
      <w:pPr>
        <w:tabs>
          <w:tab w:val="left" w:pos="500"/>
        </w:tabs>
        <w:ind w:firstLine="851"/>
        <w:jc w:val="both"/>
        <w:rPr>
          <w:vertAlign w:val="superscript"/>
        </w:rPr>
      </w:pPr>
      <w:r>
        <w:t>Da=</w:t>
      </w:r>
      <w:r>
        <w:tab/>
        <w:t>(1.15/N18)</w:t>
      </w:r>
      <w:r>
        <w:rPr>
          <w:vertAlign w:val="superscript"/>
        </w:rPr>
        <w:t>1/4</w:t>
      </w:r>
    </w:p>
    <w:p w14:paraId="7EE015D8" w14:textId="77777777" w:rsidR="004412F1" w:rsidRDefault="004412F1">
      <w:pPr>
        <w:tabs>
          <w:tab w:val="left" w:pos="500"/>
        </w:tabs>
        <w:ind w:firstLine="851"/>
        <w:jc w:val="both"/>
        <w:rPr>
          <w:vertAlign w:val="superscript"/>
        </w:rPr>
      </w:pPr>
    </w:p>
    <w:p w14:paraId="75B30224" w14:textId="77777777" w:rsidR="004412F1" w:rsidRDefault="005A12A3">
      <w:pPr>
        <w:tabs>
          <w:tab w:val="left" w:pos="500"/>
        </w:tabs>
        <w:ind w:firstLine="851"/>
        <w:jc w:val="both"/>
      </w:pPr>
      <w:r>
        <w:t xml:space="preserve">Da= </w:t>
      </w:r>
      <w:r>
        <w:tab/>
        <w:t>Deflexión admisible</w:t>
      </w:r>
    </w:p>
    <w:p w14:paraId="6F6616E3" w14:textId="77777777" w:rsidR="004412F1" w:rsidRDefault="005A12A3">
      <w:pPr>
        <w:tabs>
          <w:tab w:val="left" w:pos="500"/>
        </w:tabs>
        <w:ind w:firstLine="851"/>
        <w:jc w:val="both"/>
        <w:rPr>
          <w:lang w:val="es-PE"/>
        </w:rPr>
      </w:pPr>
      <w:r>
        <w:rPr>
          <w:lang w:val="es-PE"/>
        </w:rPr>
        <w:t>N18 = número total de ejes equivalente a 18 kips (8.2 Tn) (en millones)</w:t>
      </w:r>
    </w:p>
    <w:p w14:paraId="3A88ED63" w14:textId="77777777" w:rsidR="004412F1" w:rsidRDefault="004412F1">
      <w:pPr>
        <w:tabs>
          <w:tab w:val="left" w:pos="500"/>
        </w:tabs>
        <w:jc w:val="both"/>
        <w:rPr>
          <w:lang w:val="es-PE"/>
        </w:rPr>
      </w:pPr>
    </w:p>
    <w:p w14:paraId="3207D099" w14:textId="77777777" w:rsidR="004412F1" w:rsidRDefault="005A12A3">
      <w:pPr>
        <w:ind w:left="426"/>
        <w:jc w:val="both"/>
        <w:rPr>
          <w:lang w:val="es-PE"/>
        </w:rPr>
      </w:pPr>
      <w:r>
        <w:rPr>
          <w:lang w:val="es-PE"/>
        </w:rPr>
        <w:t>En todos los controles se deberá cumplir que “Deflexión característica sea menor que deflexión admisible (Dc&lt;Da).</w:t>
      </w:r>
    </w:p>
    <w:p w14:paraId="70DA4B0E" w14:textId="77777777" w:rsidR="004412F1" w:rsidRDefault="004412F1">
      <w:pPr>
        <w:tabs>
          <w:tab w:val="left" w:pos="500"/>
        </w:tabs>
        <w:ind w:left="700"/>
        <w:jc w:val="both"/>
        <w:rPr>
          <w:lang w:val="es-PE"/>
        </w:rPr>
      </w:pPr>
    </w:p>
    <w:p w14:paraId="017E5140" w14:textId="77777777" w:rsidR="004412F1" w:rsidRDefault="005A12A3">
      <w:pPr>
        <w:jc w:val="both"/>
        <w:rPr>
          <w:lang w:val="es-PE"/>
        </w:rPr>
      </w:pPr>
      <w:bookmarkStart w:id="2765" w:name="_Toc223355975"/>
      <w:bookmarkStart w:id="2766" w:name="_Toc227661461"/>
      <w:bookmarkStart w:id="2767" w:name="_Toc230142923"/>
      <w:bookmarkStart w:id="2768" w:name="_Toc219266143"/>
      <w:r>
        <w:rPr>
          <w:lang w:val="es-PE"/>
        </w:rPr>
        <w:t>En caso de aplicarse equipos de características superiores a la viga Benkelman (Deflectómetro de impacto, Deflectómetro de carga vibratoria sinusoidal, etc.), las medidas tomadas deberán correlacionarse respecto a los dispositivos señalados en la normatividad antes especificada.</w:t>
      </w:r>
      <w:bookmarkEnd w:id="2765"/>
      <w:bookmarkEnd w:id="2766"/>
      <w:bookmarkEnd w:id="2767"/>
      <w:bookmarkEnd w:id="2768"/>
    </w:p>
    <w:bookmarkEnd w:id="2667"/>
    <w:bookmarkEnd w:id="2687"/>
    <w:bookmarkEnd w:id="2688"/>
    <w:bookmarkEnd w:id="2689"/>
    <w:bookmarkEnd w:id="2690"/>
    <w:bookmarkEnd w:id="2691"/>
    <w:bookmarkEnd w:id="2692"/>
    <w:bookmarkEnd w:id="2693"/>
    <w:bookmarkEnd w:id="2694"/>
    <w:p w14:paraId="65FFACC9" w14:textId="77777777" w:rsidR="004412F1" w:rsidRDefault="005A12A3">
      <w:pPr>
        <w:rPr>
          <w:b/>
          <w:lang w:val="es-PE"/>
        </w:rPr>
      </w:pPr>
      <w:r>
        <w:rPr>
          <w:lang w:val="es-PE"/>
        </w:rPr>
        <w:br w:type="page"/>
      </w:r>
    </w:p>
    <w:p w14:paraId="1C947F21" w14:textId="77777777" w:rsidR="004412F1" w:rsidRDefault="005A12A3">
      <w:pPr>
        <w:pStyle w:val="Ttulo2"/>
        <w:ind w:hanging="964"/>
        <w:jc w:val="center"/>
        <w:rPr>
          <w:rFonts w:ascii="Arial" w:eastAsia="Arial" w:hAnsi="Arial"/>
          <w:b/>
          <w:sz w:val="24"/>
          <w:u w:val="none"/>
          <w:lang w:val="es-PE"/>
        </w:rPr>
      </w:pPr>
      <w:bookmarkStart w:id="2769" w:name="_ANEXO_II"/>
      <w:bookmarkStart w:id="2770" w:name="_Toc139294840"/>
      <w:bookmarkStart w:id="2771" w:name="_Toc468837738"/>
      <w:bookmarkStart w:id="2772" w:name="_Toc140089450"/>
      <w:bookmarkStart w:id="2773" w:name="_Toc131330026"/>
      <w:bookmarkStart w:id="2774" w:name="_Toc94328898"/>
      <w:bookmarkStart w:id="2775" w:name="_Toc94328638"/>
      <w:bookmarkStart w:id="2776" w:name="_Toc94330266"/>
      <w:bookmarkStart w:id="2777" w:name="_Toc94337952"/>
      <w:bookmarkStart w:id="2778" w:name="_Toc131329207"/>
      <w:bookmarkStart w:id="2779" w:name="_Toc102405417"/>
      <w:bookmarkStart w:id="2780" w:name="_Toc131328872"/>
      <w:bookmarkStart w:id="2781" w:name="_Toc94337722"/>
      <w:bookmarkStart w:id="2782" w:name="_Toc94329400"/>
      <w:bookmarkStart w:id="2783" w:name="_Toc134448912"/>
      <w:bookmarkStart w:id="2784" w:name="_Toc131329439"/>
      <w:bookmarkStart w:id="2785" w:name="_Toc94329646"/>
      <w:bookmarkStart w:id="2786" w:name="_Toc131333034"/>
      <w:bookmarkStart w:id="2787" w:name="_Toc94329154"/>
      <w:bookmarkStart w:id="2788" w:name="_Toc131328056"/>
      <w:bookmarkStart w:id="2789" w:name="_Toc131332113"/>
      <w:bookmarkEnd w:id="2769"/>
      <w:r>
        <w:rPr>
          <w:rFonts w:ascii="Arial" w:eastAsia="Arial" w:hAnsi="Arial"/>
          <w:b/>
          <w:sz w:val="24"/>
          <w:u w:val="none"/>
          <w:lang w:val="es-PE"/>
        </w:rPr>
        <w:t>Apéndice 8</w:t>
      </w:r>
      <w:bookmarkEnd w:id="2770"/>
      <w:bookmarkEnd w:id="2771"/>
      <w:bookmarkEnd w:id="2772"/>
    </w:p>
    <w:p w14:paraId="07DDC758" w14:textId="77777777" w:rsidR="004412F1" w:rsidRDefault="005A12A3">
      <w:pPr>
        <w:ind w:left="567"/>
        <w:jc w:val="center"/>
        <w:outlineLvl w:val="1"/>
        <w:rPr>
          <w:b/>
          <w:lang w:val="es-PE"/>
        </w:rPr>
      </w:pPr>
      <w:bookmarkStart w:id="2790" w:name="_Toc468837739"/>
      <w:bookmarkStart w:id="2791" w:name="_Toc140089451"/>
      <w:r>
        <w:rPr>
          <w:b/>
          <w:lang w:val="es-PE"/>
        </w:rPr>
        <w:t>Términos de Referencia para la</w:t>
      </w:r>
      <w:bookmarkEnd w:id="2790"/>
      <w:r>
        <w:rPr>
          <w:b/>
          <w:lang w:val="es-PE"/>
        </w:rPr>
        <w:t xml:space="preserve"> </w:t>
      </w:r>
      <w:bookmarkStart w:id="2792" w:name="_Toc468837740"/>
      <w:r>
        <w:rPr>
          <w:b/>
          <w:lang w:val="es-PE"/>
        </w:rPr>
        <w:t>elaboración del Diagnostico Técnico Legal, Plan de Saneamiento Físico Legal y elaboración de Expedientes Individuales de Predios</w:t>
      </w:r>
      <w:bookmarkEnd w:id="2791"/>
      <w:bookmarkEnd w:id="2792"/>
    </w:p>
    <w:p w14:paraId="20C5BBED" w14:textId="77777777" w:rsidR="00E0431E" w:rsidRPr="00E0431E" w:rsidRDefault="00E0431E" w:rsidP="00E0431E">
      <w:pPr>
        <w:ind w:left="567"/>
        <w:jc w:val="both"/>
      </w:pPr>
    </w:p>
    <w:p w14:paraId="57003A50" w14:textId="198F1282" w:rsidR="004412F1" w:rsidRDefault="005A12A3">
      <w:pPr>
        <w:numPr>
          <w:ilvl w:val="0"/>
          <w:numId w:val="175"/>
        </w:numPr>
        <w:ind w:left="567" w:hanging="567"/>
        <w:jc w:val="both"/>
      </w:pPr>
      <w:r>
        <w:rPr>
          <w:b/>
        </w:rPr>
        <w:t>ÁREA QUE REQUIERE EL SERVICIO</w:t>
      </w:r>
    </w:p>
    <w:p w14:paraId="3ECA0394" w14:textId="77777777" w:rsidR="004412F1" w:rsidRDefault="005A12A3">
      <w:pPr>
        <w:ind w:left="567"/>
        <w:jc w:val="both"/>
        <w:rPr>
          <w:lang w:val="es-PE"/>
        </w:rPr>
      </w:pPr>
      <w:r>
        <w:rPr>
          <w:lang w:val="es-PE"/>
        </w:rPr>
        <w:t>Unidad Gerencial de Derecho de Vía del Proyecto Especial de Infraestructura de Transporte Nacional - PROVÍAS NACIONAL.</w:t>
      </w:r>
    </w:p>
    <w:p w14:paraId="66F8098C" w14:textId="77777777" w:rsidR="004412F1" w:rsidRDefault="004412F1">
      <w:pPr>
        <w:ind w:left="567"/>
        <w:jc w:val="both"/>
        <w:rPr>
          <w:b/>
          <w:lang w:val="es-PE"/>
        </w:rPr>
      </w:pPr>
    </w:p>
    <w:p w14:paraId="54933652" w14:textId="77777777" w:rsidR="004412F1" w:rsidRDefault="005A12A3">
      <w:pPr>
        <w:numPr>
          <w:ilvl w:val="0"/>
          <w:numId w:val="175"/>
        </w:numPr>
        <w:ind w:left="567" w:hanging="567"/>
        <w:jc w:val="both"/>
      </w:pPr>
      <w:r>
        <w:rPr>
          <w:b/>
        </w:rPr>
        <w:t>DENOMINACION DE LA CONTRATACIÓN</w:t>
      </w:r>
    </w:p>
    <w:p w14:paraId="2E97C84C" w14:textId="77777777" w:rsidR="004412F1" w:rsidRDefault="005A12A3">
      <w:pPr>
        <w:ind w:left="567"/>
        <w:jc w:val="both"/>
        <w:rPr>
          <w:lang w:val="es-PE"/>
        </w:rPr>
      </w:pPr>
      <w:r>
        <w:rPr>
          <w:lang w:val="es-PE"/>
        </w:rPr>
        <w:t xml:space="preserve">Servicio técnico legal para la liberación de áreas, elaboración de expedientes individuales de diagnóstico técnico legal, elaboración de expedientes individuales con fines de valuación, saneamiento físico e inscripción registral de los predios afectados por la Longitudinal de la Sierra Tramo 4: Huancayo-Izcuchaca-Mayocc-Ayacucho/Ayacucho-Andahuaylas-Puente Sahuinto/Dv. Pisco - Huaytará – Ayacucho, mejoramiento y rehabilitación del </w:t>
      </w:r>
      <w:proofErr w:type="gramStart"/>
      <w:r>
        <w:rPr>
          <w:lang w:val="es-ES"/>
        </w:rPr>
        <w:t>Sub Tramo</w:t>
      </w:r>
      <w:proofErr w:type="gramEnd"/>
      <w:r>
        <w:rPr>
          <w:lang w:val="es-PE"/>
        </w:rPr>
        <w:t xml:space="preserve"> Izcuchaca – Mayoc</w:t>
      </w:r>
    </w:p>
    <w:p w14:paraId="0FEBE3A7" w14:textId="77777777" w:rsidR="004412F1" w:rsidRDefault="004412F1">
      <w:pPr>
        <w:tabs>
          <w:tab w:val="left" w:pos="993"/>
        </w:tabs>
        <w:jc w:val="both"/>
        <w:rPr>
          <w:lang w:val="es-PE"/>
        </w:rPr>
      </w:pPr>
    </w:p>
    <w:p w14:paraId="17A4ADCB" w14:textId="77777777" w:rsidR="004412F1" w:rsidRDefault="005A12A3">
      <w:pPr>
        <w:numPr>
          <w:ilvl w:val="0"/>
          <w:numId w:val="175"/>
        </w:numPr>
        <w:ind w:left="567" w:hanging="567"/>
        <w:jc w:val="both"/>
      </w:pPr>
      <w:r>
        <w:rPr>
          <w:b/>
        </w:rPr>
        <w:t>ALCANCES Y DESCRIPCION DEL SERVICIO</w:t>
      </w:r>
    </w:p>
    <w:p w14:paraId="23AC09FB" w14:textId="77777777" w:rsidR="004412F1" w:rsidRDefault="004412F1">
      <w:pPr>
        <w:ind w:left="567"/>
        <w:jc w:val="both"/>
        <w:rPr>
          <w:b/>
        </w:rPr>
      </w:pPr>
    </w:p>
    <w:p w14:paraId="1A07B5BB" w14:textId="77777777" w:rsidR="004412F1" w:rsidRDefault="005A12A3">
      <w:pPr>
        <w:numPr>
          <w:ilvl w:val="0"/>
          <w:numId w:val="176"/>
        </w:numPr>
        <w:tabs>
          <w:tab w:val="left" w:pos="1134"/>
        </w:tabs>
        <w:ind w:firstLine="207"/>
        <w:jc w:val="both"/>
        <w:rPr>
          <w:b/>
        </w:rPr>
      </w:pPr>
      <w:r>
        <w:rPr>
          <w:b/>
        </w:rPr>
        <w:t>Actividades</w:t>
      </w:r>
    </w:p>
    <w:p w14:paraId="34D38EB7" w14:textId="77777777" w:rsidR="004412F1" w:rsidRDefault="004412F1">
      <w:pPr>
        <w:ind w:left="567"/>
        <w:jc w:val="both"/>
      </w:pPr>
    </w:p>
    <w:p w14:paraId="3316DCC5" w14:textId="77777777" w:rsidR="004412F1" w:rsidRDefault="005A12A3">
      <w:pPr>
        <w:ind w:left="1134"/>
        <w:jc w:val="both"/>
        <w:rPr>
          <w:lang w:val="es-PE"/>
        </w:rPr>
      </w:pPr>
      <w:r>
        <w:rPr>
          <w:lang w:val="es-PE"/>
        </w:rPr>
        <w:t>El concesionario contratará a un Consultor, especializado en el proceso de liberación de áreas de proyectos viales, elaboración del diagnóstico técnico legal, conformación de los expedientes individuales con fines de valuación con la finalidad de llevar a cabo el proceso de saneamiento y/o inscripción registral de las áreas afectadas por la obra vial; para lo cual deberá contar con un grupo de profesionales con experiencia comprobada en la elaboración de diagnósticos técnicos legales, con el objeto de desarrollar el proceso de saneamiento físico legal de las áreas afectadas, necesarias para llevar a cabo el proyecto de infraestructura, finalizando dicho procedimiento con la inscripción registral de las áreas afectadas a favor de Provias Nacional.</w:t>
      </w:r>
    </w:p>
    <w:p w14:paraId="0F2046B0" w14:textId="77777777" w:rsidR="004412F1" w:rsidRDefault="005A12A3">
      <w:pPr>
        <w:ind w:left="993" w:hanging="426"/>
        <w:jc w:val="both"/>
        <w:rPr>
          <w:lang w:val="es-PE"/>
        </w:rPr>
      </w:pPr>
      <w:r>
        <w:rPr>
          <w:lang w:val="es-PE"/>
        </w:rPr>
        <w:t xml:space="preserve">. </w:t>
      </w:r>
      <w:r>
        <w:rPr>
          <w:lang w:val="es-PE"/>
        </w:rPr>
        <w:tab/>
      </w:r>
    </w:p>
    <w:p w14:paraId="64448E99" w14:textId="77777777" w:rsidR="004412F1" w:rsidRDefault="005A12A3">
      <w:pPr>
        <w:tabs>
          <w:tab w:val="left" w:pos="1134"/>
        </w:tabs>
        <w:ind w:left="1134" w:hanging="570"/>
        <w:jc w:val="both"/>
        <w:rPr>
          <w:b/>
          <w:lang w:val="es-PE"/>
        </w:rPr>
      </w:pPr>
      <w:r>
        <w:rPr>
          <w:b/>
          <w:lang w:val="es-PE"/>
        </w:rPr>
        <w:t>3.2.</w:t>
      </w:r>
      <w:r>
        <w:rPr>
          <w:b/>
          <w:lang w:val="es-PE"/>
        </w:rPr>
        <w:tab/>
        <w:t>Actividades referidas al diagnóstico, saneamiento físico legal e inscripción registral.</w:t>
      </w:r>
    </w:p>
    <w:p w14:paraId="351F7A6B" w14:textId="77777777" w:rsidR="004412F1" w:rsidRDefault="004412F1">
      <w:pPr>
        <w:tabs>
          <w:tab w:val="left" w:pos="1560"/>
        </w:tabs>
        <w:jc w:val="both"/>
        <w:rPr>
          <w:lang w:val="es-PE"/>
        </w:rPr>
      </w:pPr>
    </w:p>
    <w:p w14:paraId="13A837DC" w14:textId="77777777" w:rsidR="004412F1" w:rsidRDefault="005A12A3">
      <w:pPr>
        <w:tabs>
          <w:tab w:val="left" w:pos="1418"/>
        </w:tabs>
        <w:ind w:left="1843" w:hanging="709"/>
        <w:jc w:val="both"/>
        <w:rPr>
          <w:lang w:val="es-PE"/>
        </w:rPr>
      </w:pPr>
      <w:r>
        <w:rPr>
          <w:lang w:val="es-PE"/>
        </w:rPr>
        <w:t>3.2.1</w:t>
      </w:r>
      <w:r>
        <w:rPr>
          <w:lang w:val="es-PE"/>
        </w:rPr>
        <w:tab/>
        <w:t>Revisar, evaluar y analizar los documentos literales y gráficos que obran en los archivos de PROVÍAS NACIONAL y el Ministerio de Transportes y Comunicaciones, referidos a los Estudios Definitivos de Ingeniería y demás documentos necesarios para el servicio.</w:t>
      </w:r>
    </w:p>
    <w:p w14:paraId="3773B65C" w14:textId="77777777" w:rsidR="004412F1" w:rsidRDefault="004412F1">
      <w:pPr>
        <w:tabs>
          <w:tab w:val="left" w:pos="1560"/>
        </w:tabs>
        <w:ind w:left="1560"/>
        <w:jc w:val="both"/>
        <w:rPr>
          <w:lang w:val="es-PE"/>
        </w:rPr>
      </w:pPr>
    </w:p>
    <w:p w14:paraId="6D27AD2D" w14:textId="77777777" w:rsidR="004412F1" w:rsidRDefault="005A12A3">
      <w:pPr>
        <w:ind w:left="1843"/>
        <w:jc w:val="both"/>
        <w:rPr>
          <w:lang w:val="es-PE"/>
        </w:rPr>
      </w:pPr>
      <w:r>
        <w:rPr>
          <w:lang w:val="es-PE"/>
        </w:rPr>
        <w:t>Al respecto se deberá coordinar con el administrador del proyecto y los especialistas de la Unidad Gerencial de Derecho de Vía, el alcance de información necesaria, obrante en el archivo central de PROVÍAS NACIONAL y/o Ministerio de Transportes y Comunicaciones - MTC.</w:t>
      </w:r>
    </w:p>
    <w:p w14:paraId="262B9BAC" w14:textId="77777777" w:rsidR="004412F1" w:rsidRDefault="004412F1">
      <w:pPr>
        <w:tabs>
          <w:tab w:val="left" w:pos="1418"/>
        </w:tabs>
        <w:ind w:left="1418"/>
        <w:jc w:val="both"/>
        <w:rPr>
          <w:lang w:val="es-PE"/>
        </w:rPr>
      </w:pPr>
    </w:p>
    <w:p w14:paraId="71FFE6EE" w14:textId="77777777" w:rsidR="004412F1" w:rsidRDefault="005A12A3">
      <w:pPr>
        <w:tabs>
          <w:tab w:val="left" w:pos="1843"/>
        </w:tabs>
        <w:ind w:left="1843" w:hanging="709"/>
        <w:jc w:val="both"/>
        <w:rPr>
          <w:lang w:val="es-PE"/>
        </w:rPr>
      </w:pPr>
      <w:r>
        <w:rPr>
          <w:lang w:val="es-PE"/>
        </w:rPr>
        <w:t>3.2.2</w:t>
      </w:r>
      <w:r>
        <w:rPr>
          <w:lang w:val="es-PE"/>
        </w:rPr>
        <w:tab/>
        <w:t xml:space="preserve">Solicitar, gestionar y recopilar información en la Corte Superior de Justicia, </w:t>
      </w:r>
    </w:p>
    <w:p w14:paraId="014B2350" w14:textId="77777777" w:rsidR="004412F1" w:rsidRDefault="004412F1">
      <w:pPr>
        <w:tabs>
          <w:tab w:val="left" w:pos="1418"/>
        </w:tabs>
        <w:ind w:left="1418"/>
        <w:jc w:val="both"/>
        <w:rPr>
          <w:lang w:val="es-PE"/>
        </w:rPr>
      </w:pPr>
    </w:p>
    <w:p w14:paraId="3A966870" w14:textId="77777777" w:rsidR="004412F1" w:rsidRDefault="005A12A3">
      <w:pPr>
        <w:ind w:left="1843" w:hanging="709"/>
        <w:jc w:val="both"/>
        <w:rPr>
          <w:lang w:val="es-PE"/>
        </w:rPr>
      </w:pPr>
      <w:r>
        <w:rPr>
          <w:lang w:val="es-PE"/>
        </w:rPr>
        <w:t>3.2.3</w:t>
      </w:r>
      <w:r>
        <w:rPr>
          <w:lang w:val="es-PE"/>
        </w:rPr>
        <w:tab/>
        <w:t>Recopilar información ante el Registro de Predios, respecto de los antecedentes Registrales y Catastrales de los predios afectados, tomando en cuenta la exhaustiva revisión de tomos, fichas, partidas electrónicas y títulos archivados en forma física y digital (SIR y SARP).</w:t>
      </w:r>
    </w:p>
    <w:p w14:paraId="37316941" w14:textId="77777777" w:rsidR="004412F1" w:rsidRDefault="004412F1">
      <w:pPr>
        <w:tabs>
          <w:tab w:val="left" w:pos="1418"/>
        </w:tabs>
        <w:ind w:left="1418"/>
        <w:jc w:val="both"/>
        <w:rPr>
          <w:lang w:val="es-PE"/>
        </w:rPr>
      </w:pPr>
    </w:p>
    <w:p w14:paraId="7D9FBC60" w14:textId="77777777" w:rsidR="004412F1" w:rsidRDefault="005A12A3">
      <w:pPr>
        <w:ind w:left="1843" w:hanging="709"/>
        <w:jc w:val="both"/>
        <w:rPr>
          <w:lang w:val="es-PE"/>
        </w:rPr>
      </w:pPr>
      <w:r>
        <w:rPr>
          <w:lang w:val="es-PE"/>
        </w:rPr>
        <w:t>3.2.4</w:t>
      </w:r>
      <w:r>
        <w:rPr>
          <w:lang w:val="es-PE"/>
        </w:rPr>
        <w:tab/>
        <w:t>Realizar trabajos de campo para la identificación y/o verificación de los afectados y para la recopilación de información y/o documentos, en virtud de las entrevistas con los titulares de los predios afectados que constituyan medios probatorios de la titularidad registral o posesión de cada uno de los propietarios y/o posesionarios de los predios identificados como afectados, asimismo deberá solicitar la copia de los documentos de identidad personal de cada afectado, respecto a los posesionarios, deberá recopilar los documentos que prueban la posesión, de acuerdo a lo establecido en el artículo 4.3 del Decreto Legislativo Nº 1192.</w:t>
      </w:r>
    </w:p>
    <w:p w14:paraId="740A9FF0" w14:textId="77777777" w:rsidR="004412F1" w:rsidRDefault="004412F1">
      <w:pPr>
        <w:tabs>
          <w:tab w:val="left" w:pos="1418"/>
        </w:tabs>
        <w:ind w:left="1418"/>
        <w:jc w:val="both"/>
        <w:rPr>
          <w:lang w:val="es-PE"/>
        </w:rPr>
      </w:pPr>
    </w:p>
    <w:p w14:paraId="56A6BE23" w14:textId="77777777" w:rsidR="004412F1" w:rsidRDefault="005A12A3">
      <w:pPr>
        <w:ind w:left="1843" w:hanging="709"/>
        <w:jc w:val="both"/>
        <w:rPr>
          <w:lang w:val="es-PE"/>
        </w:rPr>
      </w:pPr>
      <w:r>
        <w:rPr>
          <w:lang w:val="es-PE"/>
        </w:rPr>
        <w:t>3.2.5</w:t>
      </w:r>
      <w:r>
        <w:rPr>
          <w:lang w:val="es-PE"/>
        </w:rPr>
        <w:tab/>
        <w:t xml:space="preserve">Realizar el levantamiento físico de la infraestructura existente, en la totalidad del ámbito del derecho de vía de la obra vial citada, tales como viviendas, carretera existente, caminos, canales, </w:t>
      </w:r>
      <w:proofErr w:type="gramStart"/>
      <w:r>
        <w:rPr>
          <w:lang w:val="es-PE"/>
        </w:rPr>
        <w:t>cunetas,  acequias</w:t>
      </w:r>
      <w:proofErr w:type="gramEnd"/>
      <w:r>
        <w:rPr>
          <w:lang w:val="es-PE"/>
        </w:rPr>
        <w:t>, pozos, límite de predios rurales, determinación del eje de vía  y otros elementos relevantes para el adecuado análisis técnico legal.</w:t>
      </w:r>
    </w:p>
    <w:p w14:paraId="55D9199C" w14:textId="77777777" w:rsidR="004412F1" w:rsidRDefault="004412F1">
      <w:pPr>
        <w:tabs>
          <w:tab w:val="left" w:pos="1560"/>
        </w:tabs>
        <w:jc w:val="both"/>
        <w:rPr>
          <w:lang w:val="es-PE"/>
        </w:rPr>
      </w:pPr>
    </w:p>
    <w:p w14:paraId="04B847CC" w14:textId="77777777" w:rsidR="004412F1" w:rsidRDefault="005A12A3">
      <w:pPr>
        <w:ind w:left="1843"/>
        <w:jc w:val="both"/>
        <w:rPr>
          <w:lang w:val="es-PE"/>
        </w:rPr>
      </w:pPr>
      <w:r>
        <w:rPr>
          <w:lang w:val="es-PE"/>
        </w:rPr>
        <w:t>Realizar el levantamiento físico del área afectada y del perímetro matriz del predio afectado con la finalidad de determinar la concordancia o la discrepancia de la inscripción registral y la realidad física teniéndose en cuenta lo señalado en la Directiva N° 001-2008-SNCP/CNC de fecha 28.08.2008, aprobado mediante resolución N° 003-2008-SNCP/CNC; el mismo que se realizará en coordinación con los especialistas de la Unidad Gerencial de Derecho de Vía.</w:t>
      </w:r>
    </w:p>
    <w:p w14:paraId="2CA71395" w14:textId="77777777" w:rsidR="004412F1" w:rsidRDefault="004412F1">
      <w:pPr>
        <w:ind w:left="1843"/>
        <w:jc w:val="both"/>
        <w:rPr>
          <w:lang w:val="es-PE"/>
        </w:rPr>
      </w:pPr>
    </w:p>
    <w:p w14:paraId="20A716FE" w14:textId="77777777" w:rsidR="004412F1" w:rsidRDefault="005A12A3">
      <w:pPr>
        <w:ind w:left="1843"/>
        <w:jc w:val="both"/>
        <w:rPr>
          <w:lang w:val="es-PE"/>
        </w:rPr>
      </w:pPr>
      <w:r>
        <w:rPr>
          <w:lang w:val="es-PE"/>
        </w:rPr>
        <w:t>El levantamiento físico, deberá realizarse con equipos de medición de tal forma que permitan obtener una precisión en posición horizontal no mayor de 10 cm.</w:t>
      </w:r>
    </w:p>
    <w:p w14:paraId="4529DC46" w14:textId="77777777" w:rsidR="004412F1" w:rsidRDefault="004412F1">
      <w:pPr>
        <w:ind w:left="1843"/>
        <w:jc w:val="both"/>
        <w:rPr>
          <w:u w:val="single"/>
          <w:lang w:val="es-PE"/>
        </w:rPr>
      </w:pPr>
    </w:p>
    <w:p w14:paraId="71F446A3" w14:textId="77777777" w:rsidR="004412F1" w:rsidRDefault="005A12A3">
      <w:pPr>
        <w:ind w:left="1843"/>
        <w:jc w:val="both"/>
        <w:rPr>
          <w:lang w:val="es-PE"/>
        </w:rPr>
      </w:pPr>
      <w:r>
        <w:rPr>
          <w:lang w:val="es-PE"/>
        </w:rPr>
        <w:t>Previo al levantamiento físico de las áreas afectadas, debe realizarse una publicación preliminar de la relación de los afectados así como el plano que contenga el eje de la vía,  el límite de derecho de vía y los predios afectados, en los lugares más concurridos por la población: Centros de Salud, mercados, Iglesias, locales comunales, Plazas y otros; el levantamiento físico del predio matriz y del área afectada, deberá llevarse a cabo con intervención del poseedor o su representante, y/o colindantes o vecinos, para lo cual el Contratista previamente deberá notificar al titular del predio y colindantes, de no encontrarse presente el poseedor o su representante, la delimitación del predio se efectuará en presencia de la autoridad del lugar; como prueba del levantamiento físico se deberá suscribir un Acta de Constatación de Trabajo Técnico, documento que deberá estar firmado como mínimo por el titular o el poseedor del predio, su representante o la autoridad del lugar y el profesional responsable del levantamiento catastral que intervienen en la diligencia.</w:t>
      </w:r>
    </w:p>
    <w:p w14:paraId="4346D9EB" w14:textId="77777777" w:rsidR="004412F1" w:rsidRDefault="004412F1">
      <w:pPr>
        <w:tabs>
          <w:tab w:val="left" w:pos="1418"/>
        </w:tabs>
        <w:ind w:left="1418"/>
        <w:jc w:val="both"/>
        <w:rPr>
          <w:lang w:val="es-PE"/>
        </w:rPr>
      </w:pPr>
    </w:p>
    <w:p w14:paraId="1022EC35" w14:textId="77777777" w:rsidR="004412F1" w:rsidRDefault="005A12A3">
      <w:pPr>
        <w:ind w:left="1843"/>
        <w:jc w:val="both"/>
        <w:rPr>
          <w:lang w:val="es-PE"/>
        </w:rPr>
      </w:pPr>
      <w:r>
        <w:rPr>
          <w:lang w:val="es-PE"/>
        </w:rPr>
        <w:t xml:space="preserve">Se deberá monumentar (conforme las normas establecidas por el </w:t>
      </w:r>
      <w:proofErr w:type="gramStart"/>
      <w:r>
        <w:rPr>
          <w:lang w:val="es-PE"/>
        </w:rPr>
        <w:t>IGN)  in</w:t>
      </w:r>
      <w:proofErr w:type="gramEnd"/>
      <w:r>
        <w:rPr>
          <w:lang w:val="es-PE"/>
        </w:rPr>
        <w:t xml:space="preserve"> situ los puntos de control geodésicos que se usaran para la ejecución de las actividades del levantamiento físico detalladas en los párrafos precedentes, los valores de posición del punto de control geodésico deberá ser certificada por el Instituto Geográfico Nacional.</w:t>
      </w:r>
    </w:p>
    <w:p w14:paraId="26CC6CF2" w14:textId="77777777" w:rsidR="004412F1" w:rsidRDefault="004412F1">
      <w:pPr>
        <w:ind w:left="1843"/>
        <w:jc w:val="both"/>
        <w:rPr>
          <w:lang w:val="es-PE"/>
        </w:rPr>
      </w:pPr>
    </w:p>
    <w:p w14:paraId="0B7C4287" w14:textId="77777777" w:rsidR="004412F1" w:rsidRDefault="005A12A3">
      <w:pPr>
        <w:ind w:left="1843"/>
        <w:jc w:val="both"/>
        <w:rPr>
          <w:lang w:val="es-PE"/>
        </w:rPr>
      </w:pPr>
      <w:r>
        <w:rPr>
          <w:lang w:val="es-PE"/>
        </w:rPr>
        <w:t>La representación gráfica del levantamiento físico deberá contener adicionalmente el ámbito geométrico del derecho de vía representado en un polígono (polilinea) cerrado (no deberá contener elementos denominados “arcos”), según los detalles especificados en la Resolución Ministerial (en todos sus artículos) que aprueba el derecho de vía, así también deberá contener el eje de vía de las calzadas, el eje de la mediana (de ser el caso) y el límite de área constructiva. Contendrá además la representación gráfica de los puntos de control usados y monumentados para la ejecución de las actividades de levantamiento, asimismo deberá incluirse las progresivas y otros elementos que considere.</w:t>
      </w:r>
    </w:p>
    <w:p w14:paraId="3910FAE0" w14:textId="77777777" w:rsidR="004412F1" w:rsidRDefault="004412F1">
      <w:pPr>
        <w:ind w:left="1843"/>
        <w:jc w:val="both"/>
        <w:rPr>
          <w:lang w:val="es-PE"/>
        </w:rPr>
      </w:pPr>
    </w:p>
    <w:p w14:paraId="5B75484D" w14:textId="77777777" w:rsidR="004412F1" w:rsidRDefault="005A12A3">
      <w:pPr>
        <w:ind w:left="1843"/>
        <w:jc w:val="both"/>
        <w:rPr>
          <w:lang w:val="es-PE"/>
        </w:rPr>
      </w:pPr>
      <w:r>
        <w:rPr>
          <w:lang w:val="es-PE"/>
        </w:rPr>
        <w:t xml:space="preserve">Toda representación gráfica deberá estar referido al Datum WGS 84 en coordenadas UTM, usando para tal fin elementos de la Red Geodésica Nacional y su equivalente en el Datum PSAD56, indicándose y detallándose para ello el procedimiento empleado para obtener la equivalencia del Datum PSAD 56. </w:t>
      </w:r>
    </w:p>
    <w:p w14:paraId="3D63A583" w14:textId="77777777" w:rsidR="004412F1" w:rsidRDefault="004412F1">
      <w:pPr>
        <w:tabs>
          <w:tab w:val="left" w:pos="1418"/>
        </w:tabs>
        <w:ind w:left="1418"/>
        <w:jc w:val="both"/>
        <w:rPr>
          <w:lang w:val="es-PE"/>
        </w:rPr>
      </w:pPr>
    </w:p>
    <w:p w14:paraId="32D16FE0" w14:textId="77777777" w:rsidR="004412F1" w:rsidRDefault="005A12A3">
      <w:pPr>
        <w:tabs>
          <w:tab w:val="left" w:pos="1843"/>
        </w:tabs>
        <w:ind w:left="1843" w:hanging="709"/>
        <w:jc w:val="both"/>
        <w:rPr>
          <w:lang w:val="es-PE"/>
        </w:rPr>
      </w:pPr>
      <w:r>
        <w:rPr>
          <w:lang w:val="es-PE"/>
        </w:rPr>
        <w:t>3.2.6</w:t>
      </w:r>
      <w:r>
        <w:rPr>
          <w:lang w:val="es-PE"/>
        </w:rPr>
        <w:tab/>
        <w:t>Realizar el estudio y análisis técnico legal en base a la documentación, planos y memorias descriptivas, recopilados de los afectados, entidades públicas y privadas, etc., el mismo que será complementado con la verificación y el levantamiento físico efectuado en campo, en los cuales se determinará la situación técnica legal de los predios y para desarrollar las acciones de liberación y saneamiento conforme lo establece la Ley, Ley N° 30230, Decreto Legislativo Nº  1192 y demás normas complementarias y conexas; el mismo que deberá ser presentado  en formato físico y digital (Word o Excel según corresponda) de la siguiente manera:</w:t>
      </w:r>
    </w:p>
    <w:p w14:paraId="27BDC3B0" w14:textId="77777777" w:rsidR="004412F1" w:rsidRDefault="004412F1">
      <w:pPr>
        <w:tabs>
          <w:tab w:val="left" w:pos="1560"/>
        </w:tabs>
        <w:ind w:left="1560"/>
        <w:jc w:val="both"/>
        <w:rPr>
          <w:lang w:val="es-PE"/>
        </w:rPr>
      </w:pPr>
    </w:p>
    <w:p w14:paraId="3608EC36" w14:textId="77777777" w:rsidR="004412F1" w:rsidRDefault="005A12A3">
      <w:pPr>
        <w:ind w:left="1843"/>
        <w:jc w:val="both"/>
        <w:rPr>
          <w:lang w:val="es-PE"/>
        </w:rPr>
      </w:pPr>
      <w:r>
        <w:rPr>
          <w:b/>
          <w:u w:val="single"/>
          <w:lang w:val="es-PE"/>
        </w:rPr>
        <w:t>Informe General del Análisis Técnico Legal;</w:t>
      </w:r>
      <w:r>
        <w:rPr>
          <w:lang w:val="es-PE"/>
        </w:rPr>
        <w:t xml:space="preserve"> de la totalidad de los predios afectados por el citado derecho de vía; conteniendo los resultados del  Diagnóstico Técnico Legal, detallando los datos generales del proyecto, identificación y características de la zona de estudio, la metodología empleada en el estudio, las actividades realizadas para la elaboración del informe, una breve descripción de la tenencia de la tierra en la zona de estudio y recomendaciones para la adquisición, el saneamiento físico legal e inscripción registral de las áreas que comprenden el Derecho de Vía de acuerdo a la normativa vigente, el cual deberá incluir:</w:t>
      </w:r>
    </w:p>
    <w:p w14:paraId="0F5AB314" w14:textId="77777777" w:rsidR="004412F1" w:rsidRDefault="004412F1">
      <w:pPr>
        <w:ind w:left="1418"/>
        <w:jc w:val="both"/>
        <w:rPr>
          <w:lang w:val="es-PE"/>
        </w:rPr>
      </w:pPr>
    </w:p>
    <w:p w14:paraId="2594C97A" w14:textId="77777777" w:rsidR="004412F1" w:rsidRDefault="005A12A3">
      <w:pPr>
        <w:ind w:left="2552" w:hanging="709"/>
        <w:jc w:val="both"/>
        <w:rPr>
          <w:lang w:val="es-PE"/>
        </w:rPr>
      </w:pPr>
      <w:r>
        <w:rPr>
          <w:b/>
          <w:u w:val="single"/>
          <w:lang w:val="es-PE"/>
        </w:rPr>
        <w:t>3.2.6.1</w:t>
      </w:r>
      <w:r>
        <w:rPr>
          <w:b/>
          <w:u w:val="single"/>
          <w:lang w:val="es-PE"/>
        </w:rPr>
        <w:tab/>
        <w:t>Informe Técnico de Levantamiento Físico:</w:t>
      </w:r>
      <w:r>
        <w:rPr>
          <w:lang w:val="es-PE"/>
        </w:rPr>
        <w:t xml:space="preserve"> Deberá detallar la metodología y los procedimientos utilizados, adjuntándose en formato digital los archivos que sustenten los elementos utilizados para dicho fin (data cruda, data post procesada, ficha técnica de los equipos utilizados, ficha técnica de los puntos de control geodésico usados y la de la Estación de Rastreo Permanente , certificados de calibración (de ser el caso), copia de la libreta de campo y otros, así también debe adjuntar los planos físico impreso y vectorial digital del levantamiento físico efectuado, (conteniendo lo indicado en el ítem 5.2.5) a una escala convencional y debidamente formateados para su adecuada lectura y análisis, fotografías y otros elementos que considere pertinente. (Archivo Word, planos en formato DWG y SHP).</w:t>
      </w:r>
    </w:p>
    <w:p w14:paraId="58022489" w14:textId="77777777" w:rsidR="004412F1" w:rsidRDefault="004412F1">
      <w:pPr>
        <w:ind w:left="1418"/>
        <w:jc w:val="both"/>
        <w:rPr>
          <w:lang w:val="es-PE"/>
        </w:rPr>
      </w:pPr>
    </w:p>
    <w:p w14:paraId="65408617" w14:textId="77777777" w:rsidR="004412F1" w:rsidRDefault="005A12A3">
      <w:pPr>
        <w:ind w:left="2552" w:hanging="709"/>
        <w:jc w:val="both"/>
        <w:rPr>
          <w:lang w:val="es-PE"/>
        </w:rPr>
      </w:pPr>
      <w:r>
        <w:rPr>
          <w:b/>
          <w:u w:val="single"/>
          <w:lang w:val="es-PE"/>
        </w:rPr>
        <w:t>3.2.6.2</w:t>
      </w:r>
      <w:r>
        <w:rPr>
          <w:b/>
          <w:u w:val="single"/>
          <w:lang w:val="es-PE"/>
        </w:rPr>
        <w:tab/>
        <w:t>Un (01) cuadro resumen de la Totalidad de los predios afectados por la obra vial:</w:t>
      </w:r>
      <w:r>
        <w:rPr>
          <w:lang w:val="es-PE"/>
        </w:rPr>
        <w:t xml:space="preserve"> Comprenden los predios identificados y codificados (acorde a la directiva emitida por PROVIAS NACIONAL) a todo lo largo del proyecto vial con el total de las áreas afectadas tanto de propietarios como posesionarios, describiendo los datos como: ítem, código de afectación (según formato proporcionado por Provias Nacional), apellidos y nombres y/o razón social de los propietarios o posesionarios, DNI, estado civil, ubicación geográfica del predio, unidad catastral, progresivas, lado, tipo y uso del predio, área total, área de afectación, condición jurídica (propietario o posesionario), estado del predio (inscritos, no inscrito), datos registrales (tomo, ficha y/o partida electrónica), antecedentes de la propiedad del predio (inmatriculación, independización o acumulación, etc.), cargas y gravámenes, duplicidad de partidas, naturaleza del titular (Estatal, Privado), se deberá consignar las observaciones, conclusiones y recomendaciones, relacionadas a las acciones de adquisición, saneamiento físico legal y la inscripción registral de las áreas afectadas por la obra vial, según corresponda, el cual deberá ser entregado en formato físico y digital (Hoja de cálculo Excel).</w:t>
      </w:r>
    </w:p>
    <w:p w14:paraId="776516E4" w14:textId="77777777" w:rsidR="004412F1" w:rsidRDefault="004412F1">
      <w:pPr>
        <w:ind w:left="1418"/>
        <w:jc w:val="both"/>
        <w:rPr>
          <w:lang w:val="es-PE"/>
        </w:rPr>
      </w:pPr>
    </w:p>
    <w:p w14:paraId="7C2C104D" w14:textId="77777777" w:rsidR="004412F1" w:rsidRDefault="005A12A3">
      <w:pPr>
        <w:ind w:left="2552" w:hanging="709"/>
        <w:jc w:val="both"/>
        <w:rPr>
          <w:lang w:val="es-PE"/>
        </w:rPr>
      </w:pPr>
      <w:r>
        <w:rPr>
          <w:b/>
          <w:u w:val="single"/>
          <w:lang w:val="es-PE"/>
        </w:rPr>
        <w:t>3.2.6.3</w:t>
      </w:r>
      <w:r>
        <w:rPr>
          <w:b/>
          <w:u w:val="single"/>
          <w:lang w:val="es-PE"/>
        </w:rPr>
        <w:tab/>
        <w:t>Seis (06) cuadros conteniendo la información siguiente:</w:t>
      </w:r>
      <w:r>
        <w:rPr>
          <w:lang w:val="es-PE"/>
        </w:rPr>
        <w:t xml:space="preserve"> i) Titulares de predios debidamente inscritos en registros públicos, ii) Propietarios no inscritos en Registros Públicos, pero con documentación que sustente su derecho, iii) Posesionarios que cuenten con algún documento que sustente su condición, o sin ella, iv) Predios con duplicidad registral y/o proceso judicial v) Predios con carga o gravamen o hipoteca, vi) Predios estatales inscritos y no inscritos; dichos cuadros deberán contar con observaciones que sustente su clasificación y ser entregados en formato físico y digital (Hoja de cálculo Excel).</w:t>
      </w:r>
    </w:p>
    <w:p w14:paraId="417A5455" w14:textId="77777777" w:rsidR="004412F1" w:rsidRDefault="004412F1">
      <w:pPr>
        <w:ind w:left="1418"/>
        <w:jc w:val="both"/>
        <w:rPr>
          <w:lang w:val="es-PE"/>
        </w:rPr>
      </w:pPr>
    </w:p>
    <w:p w14:paraId="0D020C2F" w14:textId="77777777" w:rsidR="004412F1" w:rsidRDefault="005A12A3">
      <w:pPr>
        <w:ind w:left="2552" w:hanging="709"/>
        <w:jc w:val="both"/>
        <w:rPr>
          <w:lang w:val="es-PE"/>
        </w:rPr>
      </w:pPr>
      <w:r>
        <w:rPr>
          <w:b/>
          <w:u w:val="single"/>
          <w:lang w:val="es-PE"/>
        </w:rPr>
        <w:t>3.2.6.4</w:t>
      </w:r>
      <w:r>
        <w:rPr>
          <w:b/>
          <w:u w:val="single"/>
          <w:lang w:val="es-PE"/>
        </w:rPr>
        <w:tab/>
        <w:t xml:space="preserve">Plano de Mosaico de Propiedades Matrices: </w:t>
      </w:r>
      <w:r>
        <w:rPr>
          <w:lang w:val="es-PE"/>
        </w:rPr>
        <w:t>El cual deberá contener los perímetros de los fundos, haciendas, comunidades campesinas, etc. inscritos y no inscritos, que se encuentren superpuestas e involucradas por el área del proyecto vial, dicho plano adicionalmente deberá contener los predios afectados por el derecho de vía, indicando individualmente la fuente de información.</w:t>
      </w:r>
    </w:p>
    <w:p w14:paraId="229A2F9B" w14:textId="77777777" w:rsidR="004412F1" w:rsidRDefault="004412F1">
      <w:pPr>
        <w:ind w:left="1418"/>
        <w:jc w:val="both"/>
        <w:rPr>
          <w:lang w:val="es-PE"/>
        </w:rPr>
      </w:pPr>
    </w:p>
    <w:p w14:paraId="1021208F" w14:textId="77777777" w:rsidR="004412F1" w:rsidRDefault="005A12A3">
      <w:pPr>
        <w:ind w:left="2552" w:hanging="709"/>
        <w:jc w:val="both"/>
        <w:rPr>
          <w:lang w:val="es-PE"/>
        </w:rPr>
      </w:pPr>
      <w:r>
        <w:rPr>
          <w:b/>
          <w:u w:val="single"/>
          <w:lang w:val="es-PE"/>
        </w:rPr>
        <w:t>3.2.6.5</w:t>
      </w:r>
      <w:r>
        <w:rPr>
          <w:b/>
          <w:u w:val="single"/>
          <w:lang w:val="es-PE"/>
        </w:rPr>
        <w:tab/>
        <w:t xml:space="preserve">Plano que contenga el Mosaico de Propiedades: </w:t>
      </w:r>
      <w:r>
        <w:rPr>
          <w:lang w:val="es-PE"/>
        </w:rPr>
        <w:t>Debe contener la información escaneada y vectorizada de las hojas catastrales y/o topográficas de la zona de influencia del proyecto, solicitadas en el ítem 5.2 (su presentación solo será en formato digital).</w:t>
      </w:r>
    </w:p>
    <w:p w14:paraId="61EAB9DB" w14:textId="77777777" w:rsidR="004412F1" w:rsidRDefault="004412F1">
      <w:pPr>
        <w:ind w:left="1418"/>
        <w:jc w:val="both"/>
        <w:rPr>
          <w:lang w:val="es-PE"/>
        </w:rPr>
      </w:pPr>
    </w:p>
    <w:p w14:paraId="04E8F156" w14:textId="77777777" w:rsidR="004412F1" w:rsidRDefault="005A12A3">
      <w:pPr>
        <w:ind w:left="2552" w:hanging="709"/>
        <w:jc w:val="both"/>
        <w:rPr>
          <w:lang w:val="es-PE"/>
        </w:rPr>
      </w:pPr>
      <w:r>
        <w:rPr>
          <w:b/>
          <w:u w:val="single"/>
          <w:lang w:val="es-PE"/>
        </w:rPr>
        <w:t>3.2.6.6</w:t>
      </w:r>
      <w:r>
        <w:rPr>
          <w:b/>
          <w:u w:val="single"/>
          <w:lang w:val="es-PE"/>
        </w:rPr>
        <w:tab/>
        <w:t xml:space="preserve">Plano Clave de Predios Afectados: </w:t>
      </w:r>
      <w:r>
        <w:rPr>
          <w:lang w:val="es-PE"/>
        </w:rPr>
        <w:t>Debe contener los predios afectados, detallados por su condición jurídica (inscritos y no inscritos, etc.), posesionarios y demás áreas que comprenden todo el derecho de vía de la obra vial. Asimismo, se deberá identificar los predios afectados de propiedad estatal y privada.</w:t>
      </w:r>
    </w:p>
    <w:p w14:paraId="777F1D7F" w14:textId="77777777" w:rsidR="004412F1" w:rsidRDefault="004412F1">
      <w:pPr>
        <w:ind w:left="1418"/>
        <w:jc w:val="both"/>
        <w:rPr>
          <w:lang w:val="es-PE"/>
        </w:rPr>
      </w:pPr>
    </w:p>
    <w:p w14:paraId="629B863F" w14:textId="77777777" w:rsidR="004412F1" w:rsidRDefault="005A12A3">
      <w:pPr>
        <w:ind w:left="2552" w:hanging="709"/>
        <w:jc w:val="both"/>
        <w:rPr>
          <w:lang w:val="es-PE"/>
        </w:rPr>
      </w:pPr>
      <w:r>
        <w:rPr>
          <w:b/>
          <w:u w:val="single"/>
          <w:lang w:val="es-PE"/>
        </w:rPr>
        <w:t>3.2.6.7</w:t>
      </w:r>
      <w:r>
        <w:rPr>
          <w:b/>
          <w:u w:val="single"/>
          <w:lang w:val="es-PE"/>
        </w:rPr>
        <w:tab/>
        <w:t>Plano Temático del área ocupada por el derecho de vía de la obra vial;</w:t>
      </w:r>
      <w:r>
        <w:rPr>
          <w:lang w:val="es-PE"/>
        </w:rPr>
        <w:t xml:space="preserve"> que incluye la información cartográfica (zonificación, zonas arqueológicas, concesiones mineras, áreas naturales protegidas, fajas marginales, etc.) recopilada de las diferentes entidades consultadas, que incluya las progresivas, el eje de vía, derecho de vía.</w:t>
      </w:r>
    </w:p>
    <w:p w14:paraId="037A1B7F" w14:textId="77777777" w:rsidR="004412F1" w:rsidRDefault="004412F1">
      <w:pPr>
        <w:ind w:left="708"/>
        <w:rPr>
          <w:color w:val="000000"/>
          <w:lang w:val="es-PE"/>
        </w:rPr>
      </w:pPr>
    </w:p>
    <w:p w14:paraId="7E7D8D3B" w14:textId="77777777" w:rsidR="004412F1" w:rsidRDefault="005A12A3">
      <w:pPr>
        <w:ind w:left="2552" w:hanging="3"/>
        <w:jc w:val="both"/>
        <w:rPr>
          <w:lang w:val="es-PE"/>
        </w:rPr>
      </w:pPr>
      <w:r>
        <w:rPr>
          <w:lang w:val="es-PE"/>
        </w:rPr>
        <w:t>Los planos solicitados en los párrafos anteriores deberán ser elaborados y presentados en el sistema de proyección UTM, Datum WGS84, adicionalmente dichos planos serán presentados en el sistema de proyección UTM, con Datum PSAD56, indicándose el procedimiento empleado para obtener la equivalencia del Datum PSAD 56, según la zona geográfica que corresponda.</w:t>
      </w:r>
    </w:p>
    <w:p w14:paraId="31A0162F" w14:textId="77777777" w:rsidR="004412F1" w:rsidRDefault="004412F1">
      <w:pPr>
        <w:ind w:left="2552" w:hanging="3"/>
        <w:jc w:val="both"/>
        <w:rPr>
          <w:lang w:val="es-PE"/>
        </w:rPr>
      </w:pPr>
    </w:p>
    <w:p w14:paraId="657FC564" w14:textId="77777777" w:rsidR="004412F1" w:rsidRDefault="005A12A3">
      <w:pPr>
        <w:ind w:left="2552" w:hanging="3"/>
        <w:jc w:val="both"/>
        <w:rPr>
          <w:lang w:val="es-PE"/>
        </w:rPr>
      </w:pPr>
      <w:r>
        <w:rPr>
          <w:lang w:val="es-PE"/>
        </w:rPr>
        <w:t xml:space="preserve"> Dichos planos deberán estar acondicionados a una escala convencional y deberán ser presentados en versión física impresa a color y versión digital (formato DWG versión 2010 SHP y PDF). La escala de impresión deberá ser convencional y adecuada para el análisis visual.</w:t>
      </w:r>
    </w:p>
    <w:p w14:paraId="71C46FA2" w14:textId="77777777" w:rsidR="004412F1" w:rsidRDefault="004412F1">
      <w:pPr>
        <w:ind w:left="2552" w:hanging="3"/>
        <w:jc w:val="both"/>
        <w:rPr>
          <w:lang w:val="es-PE"/>
        </w:rPr>
      </w:pPr>
    </w:p>
    <w:p w14:paraId="17FB7FAF" w14:textId="77777777" w:rsidR="004412F1" w:rsidRDefault="005A12A3">
      <w:pPr>
        <w:ind w:left="2552" w:hanging="3"/>
        <w:jc w:val="both"/>
        <w:rPr>
          <w:lang w:val="es-PE"/>
        </w:rPr>
      </w:pPr>
      <w:r>
        <w:rPr>
          <w:lang w:val="es-PE"/>
        </w:rPr>
        <w:t>Para el caso de archivos formato DWG, los nombres de Layer o capas de información deberán ser acompañadas de su descripción correspondiente, dentro del mismo formato DWG, de modo que facilite su análisis.</w:t>
      </w:r>
    </w:p>
    <w:p w14:paraId="265E0A5B" w14:textId="77777777" w:rsidR="004412F1" w:rsidRDefault="004412F1">
      <w:pPr>
        <w:ind w:left="1418"/>
        <w:jc w:val="both"/>
        <w:rPr>
          <w:lang w:val="es-PE"/>
        </w:rPr>
      </w:pPr>
    </w:p>
    <w:p w14:paraId="00C01E3A" w14:textId="77777777" w:rsidR="004412F1" w:rsidRDefault="005A12A3">
      <w:pPr>
        <w:ind w:left="2552" w:hanging="709"/>
        <w:jc w:val="both"/>
        <w:rPr>
          <w:b/>
        </w:rPr>
      </w:pPr>
      <w:r>
        <w:rPr>
          <w:b/>
          <w:u w:val="single"/>
          <w:lang w:val="es-PE"/>
        </w:rPr>
        <w:t>3.2.6.8</w:t>
      </w:r>
      <w:r>
        <w:rPr>
          <w:b/>
          <w:u w:val="single"/>
          <w:lang w:val="es-PE"/>
        </w:rPr>
        <w:tab/>
        <w:t xml:space="preserve">Expedientes de Diagnóstico Técnico Legal: </w:t>
      </w:r>
      <w:r>
        <w:rPr>
          <w:lang w:val="es-PE"/>
        </w:rPr>
        <w:t xml:space="preserve">Que corresponde a predios afectados (inscritos no inscritos y posesionarios) por la obra vial, los cuales se presentaran de manera individual. </w:t>
      </w:r>
      <w:r>
        <w:t>Los referidos expedientes tendrán las siguientes características:</w:t>
      </w:r>
    </w:p>
    <w:p w14:paraId="65545063" w14:textId="77777777" w:rsidR="004412F1" w:rsidRDefault="004412F1">
      <w:pPr>
        <w:ind w:left="1276"/>
        <w:jc w:val="both"/>
      </w:pPr>
    </w:p>
    <w:p w14:paraId="6E9CE471" w14:textId="77777777" w:rsidR="004412F1" w:rsidRDefault="005A12A3">
      <w:pPr>
        <w:numPr>
          <w:ilvl w:val="0"/>
          <w:numId w:val="177"/>
        </w:numPr>
        <w:ind w:left="2410" w:firstLine="141"/>
        <w:jc w:val="both"/>
      </w:pPr>
      <w:r>
        <w:rPr>
          <w:b/>
        </w:rPr>
        <w:t>Ficha de Diagnóstico Técnico Legal</w:t>
      </w:r>
    </w:p>
    <w:p w14:paraId="13F4BFBC" w14:textId="77777777" w:rsidR="004412F1" w:rsidRDefault="005A12A3">
      <w:pPr>
        <w:numPr>
          <w:ilvl w:val="0"/>
          <w:numId w:val="178"/>
        </w:numPr>
        <w:ind w:left="3119" w:hanging="283"/>
        <w:jc w:val="both"/>
      </w:pPr>
      <w:r>
        <w:t>Código del predio afectado.</w:t>
      </w:r>
    </w:p>
    <w:p w14:paraId="2F6C4C5D" w14:textId="77777777" w:rsidR="004412F1" w:rsidRDefault="005A12A3">
      <w:pPr>
        <w:numPr>
          <w:ilvl w:val="0"/>
          <w:numId w:val="178"/>
        </w:numPr>
        <w:ind w:left="3119" w:hanging="283"/>
        <w:jc w:val="both"/>
        <w:rPr>
          <w:lang w:val="es-PE"/>
        </w:rPr>
      </w:pPr>
      <w:r>
        <w:rPr>
          <w:lang w:val="es-PE"/>
        </w:rPr>
        <w:t xml:space="preserve">Datos de los Titulares del Predio (propietarios y/o posesionarios), número de DNI, estado civil, detalle de los documentos que sustentan la propiedad o posesión del predio (título de propiedad, constancias de posesión, etc.), Condición Jurídica, dirección de domicilio y número de teléfono de los afectados (de contar con dicho servicio). </w:t>
      </w:r>
    </w:p>
    <w:p w14:paraId="68BA670C" w14:textId="77777777" w:rsidR="004412F1" w:rsidRDefault="005A12A3">
      <w:pPr>
        <w:numPr>
          <w:ilvl w:val="0"/>
          <w:numId w:val="178"/>
        </w:numPr>
        <w:ind w:left="3119" w:hanging="283"/>
        <w:jc w:val="both"/>
        <w:rPr>
          <w:lang w:val="es-PE"/>
        </w:rPr>
      </w:pPr>
      <w:r>
        <w:rPr>
          <w:lang w:val="es-PE"/>
        </w:rPr>
        <w:t>Ubicación geográfica del predio, unidad catastral, manzana, lote, etc.</w:t>
      </w:r>
    </w:p>
    <w:p w14:paraId="52101A57" w14:textId="77777777" w:rsidR="004412F1" w:rsidRDefault="005A12A3">
      <w:pPr>
        <w:numPr>
          <w:ilvl w:val="0"/>
          <w:numId w:val="178"/>
        </w:numPr>
        <w:ind w:left="3119" w:hanging="283"/>
        <w:jc w:val="both"/>
        <w:rPr>
          <w:lang w:val="es-PE"/>
        </w:rPr>
      </w:pPr>
      <w:r>
        <w:rPr>
          <w:lang w:val="es-PE"/>
        </w:rPr>
        <w:t>Tramos, progresivas y lado de afectación del predio.</w:t>
      </w:r>
    </w:p>
    <w:p w14:paraId="4ECF536C" w14:textId="77777777" w:rsidR="004412F1" w:rsidRDefault="005A12A3">
      <w:pPr>
        <w:numPr>
          <w:ilvl w:val="0"/>
          <w:numId w:val="178"/>
        </w:numPr>
        <w:ind w:left="3119" w:hanging="283"/>
        <w:jc w:val="both"/>
        <w:rPr>
          <w:lang w:val="es-PE"/>
        </w:rPr>
      </w:pPr>
      <w:r>
        <w:rPr>
          <w:lang w:val="es-PE"/>
        </w:rPr>
        <w:t>Datos del predio (predios inscritos, predios no inscritos, predios en proceso de inscripción, etc.) modo de adquisición del predio, Condición de titularidad (propietario, posesionario), fecha de inscripción, Documento legal de titularidad, datos técnicos del predio (área y perímetro inscrito).</w:t>
      </w:r>
    </w:p>
    <w:p w14:paraId="02C02B95" w14:textId="77777777" w:rsidR="004412F1" w:rsidRDefault="005A12A3">
      <w:pPr>
        <w:numPr>
          <w:ilvl w:val="0"/>
          <w:numId w:val="178"/>
        </w:numPr>
        <w:ind w:left="3119" w:hanging="283"/>
        <w:jc w:val="both"/>
        <w:rPr>
          <w:lang w:val="es-PE"/>
        </w:rPr>
      </w:pPr>
      <w:r>
        <w:rPr>
          <w:lang w:val="es-PE"/>
        </w:rPr>
        <w:t>Tipo de predio (rural, urbano, etc.), Zonificación (resolución de aprobación) y uso del área afectada (agrícola, forestal, vivienda, pastos naturales, etc.).</w:t>
      </w:r>
    </w:p>
    <w:p w14:paraId="2154A256" w14:textId="77777777" w:rsidR="004412F1" w:rsidRDefault="005A12A3">
      <w:pPr>
        <w:numPr>
          <w:ilvl w:val="0"/>
          <w:numId w:val="178"/>
        </w:numPr>
        <w:ind w:left="3119" w:hanging="283"/>
        <w:jc w:val="both"/>
        <w:rPr>
          <w:lang w:val="es-PE"/>
        </w:rPr>
      </w:pPr>
      <w:r>
        <w:rPr>
          <w:lang w:val="es-PE"/>
        </w:rPr>
        <w:t>Características físicas del predio afectado (indicar si cuenta con servicios de agua, luz, desagüe, telefonía, modo de recurso de agua, etc.), así mismo deberá indicar el área grafica del predio total y el área de afectación.</w:t>
      </w:r>
    </w:p>
    <w:p w14:paraId="46E4815B" w14:textId="77777777" w:rsidR="004412F1" w:rsidRDefault="005A12A3">
      <w:pPr>
        <w:numPr>
          <w:ilvl w:val="0"/>
          <w:numId w:val="178"/>
        </w:numPr>
        <w:ind w:left="3119" w:hanging="283"/>
        <w:jc w:val="both"/>
        <w:rPr>
          <w:lang w:val="es-PE"/>
        </w:rPr>
      </w:pPr>
      <w:r>
        <w:rPr>
          <w:lang w:val="es-PE"/>
        </w:rPr>
        <w:t>Resultados de la recopilación de información relevante de las entidades públicas y privadas relevantes para el estudio de diagnóstico físico y legal.</w:t>
      </w:r>
    </w:p>
    <w:p w14:paraId="47434ECF" w14:textId="77777777" w:rsidR="004412F1" w:rsidRDefault="005A12A3">
      <w:pPr>
        <w:numPr>
          <w:ilvl w:val="0"/>
          <w:numId w:val="178"/>
        </w:numPr>
        <w:ind w:left="3119" w:hanging="283"/>
        <w:jc w:val="both"/>
        <w:rPr>
          <w:lang w:val="es-PE"/>
        </w:rPr>
      </w:pPr>
      <w:r>
        <w:rPr>
          <w:lang w:val="es-PE"/>
        </w:rPr>
        <w:t xml:space="preserve">Análisis técnico del predio afectado (características generales del predio afectado, determinación del área registral y área física, descripción de la información registral, análisis de la base catastral, análisis del tipo de la zonificación, superposición grafica o </w:t>
      </w:r>
      <w:proofErr w:type="gramStart"/>
      <w:r>
        <w:rPr>
          <w:lang w:val="es-PE"/>
        </w:rPr>
        <w:t>física(</w:t>
      </w:r>
      <w:proofErr w:type="gramEnd"/>
      <w:r>
        <w:rPr>
          <w:lang w:val="es-PE"/>
        </w:rPr>
        <w:t>es imposible que se dé una superposición física, el termino correcto a mi opinión es controversia) del predio afectado, resultados de la evaluación de la información registral, catastral y de los trabajos de campo, etc.).</w:t>
      </w:r>
    </w:p>
    <w:p w14:paraId="7C33315D" w14:textId="77777777" w:rsidR="004412F1" w:rsidRDefault="005A12A3">
      <w:pPr>
        <w:numPr>
          <w:ilvl w:val="0"/>
          <w:numId w:val="178"/>
        </w:numPr>
        <w:ind w:left="3119" w:hanging="283"/>
        <w:jc w:val="both"/>
        <w:rPr>
          <w:lang w:val="es-PE"/>
        </w:rPr>
      </w:pPr>
      <w:r>
        <w:rPr>
          <w:lang w:val="es-PE"/>
        </w:rPr>
        <w:t>Análisis legal del predio afectado, en base a la información recopilada de las instituciones públicas y de la información verificada y recopilada en campo para la determinación de la condición jurídica (propietario y/o posesionario, sucesiones testamentarias, ocupantes precarios, documentos sustentatorios, antecedentes dominiales, descripción de la inscripción registral, procesos judiciales, hipotecas, duplicidades de inscripciones registrales, personería jurídica, declaración jurada de autoevalúo, etc.</w:t>
      </w:r>
    </w:p>
    <w:p w14:paraId="52F9B8A4" w14:textId="77777777" w:rsidR="004412F1" w:rsidRDefault="005A12A3">
      <w:pPr>
        <w:numPr>
          <w:ilvl w:val="0"/>
          <w:numId w:val="178"/>
        </w:numPr>
        <w:ind w:left="3119" w:hanging="283"/>
        <w:jc w:val="both"/>
        <w:rPr>
          <w:lang w:val="es-PE"/>
        </w:rPr>
      </w:pPr>
      <w:r>
        <w:rPr>
          <w:lang w:val="es-PE"/>
        </w:rPr>
        <w:t>Presentación del Plan de Saneamiento físico legal, con conclusiones y recomendaciones orientadas a las acciones de saneamiento físico legal, la adquisición e inscripción registral de las áreas afectadas a favor de Provias Nacional (precisar el detalle de las estrategias planteadas).</w:t>
      </w:r>
    </w:p>
    <w:p w14:paraId="512D4F28" w14:textId="77777777" w:rsidR="004412F1" w:rsidRDefault="005A12A3">
      <w:pPr>
        <w:numPr>
          <w:ilvl w:val="0"/>
          <w:numId w:val="178"/>
        </w:numPr>
        <w:ind w:left="3119" w:hanging="283"/>
        <w:jc w:val="both"/>
        <w:rPr>
          <w:lang w:val="es-PE"/>
        </w:rPr>
      </w:pPr>
      <w:r>
        <w:rPr>
          <w:lang w:val="es-PE"/>
        </w:rPr>
        <w:t>Plazos y costos de los mecanismos de saneamiento que se aplicaran en cada caso.</w:t>
      </w:r>
    </w:p>
    <w:p w14:paraId="52429ABB" w14:textId="77777777" w:rsidR="004412F1" w:rsidRDefault="005A12A3">
      <w:pPr>
        <w:numPr>
          <w:ilvl w:val="0"/>
          <w:numId w:val="178"/>
        </w:numPr>
        <w:ind w:left="3119" w:hanging="283"/>
        <w:jc w:val="both"/>
        <w:rPr>
          <w:lang w:val="es-PE"/>
        </w:rPr>
      </w:pPr>
      <w:r>
        <w:rPr>
          <w:lang w:val="es-PE"/>
        </w:rPr>
        <w:t xml:space="preserve">Observaciones Generales: Deberá indicar, entre otros, la fuente de la información geográfica utilizada (PETT, COFOPRI, SUNARP, etc.) indicando su fecha de actualización y los detalles técnicos como: Datum, Zona Geográfica, método de levantamiento etc. </w:t>
      </w:r>
    </w:p>
    <w:p w14:paraId="6036D2AC" w14:textId="77777777" w:rsidR="004412F1" w:rsidRDefault="005A12A3">
      <w:pPr>
        <w:numPr>
          <w:ilvl w:val="0"/>
          <w:numId w:val="178"/>
        </w:numPr>
        <w:ind w:left="3119" w:hanging="283"/>
        <w:jc w:val="both"/>
      </w:pPr>
      <w:r>
        <w:t>Registro Fotográfico a colores.</w:t>
      </w:r>
    </w:p>
    <w:p w14:paraId="323CE90D" w14:textId="77777777" w:rsidR="004412F1" w:rsidRDefault="004412F1">
      <w:pPr>
        <w:ind w:left="1416"/>
        <w:jc w:val="both"/>
        <w:rPr>
          <w:b/>
        </w:rPr>
      </w:pPr>
    </w:p>
    <w:p w14:paraId="65C56605" w14:textId="77777777" w:rsidR="004412F1" w:rsidRDefault="005A12A3">
      <w:pPr>
        <w:numPr>
          <w:ilvl w:val="0"/>
          <w:numId w:val="177"/>
        </w:numPr>
        <w:ind w:left="2835" w:hanging="283"/>
        <w:jc w:val="both"/>
        <w:rPr>
          <w:lang w:val="es-PE"/>
        </w:rPr>
      </w:pPr>
      <w:r>
        <w:rPr>
          <w:b/>
          <w:lang w:val="es-PE"/>
        </w:rPr>
        <w:t>Planos Individuales de Diagnóstico por cada predio afectado</w:t>
      </w:r>
    </w:p>
    <w:p w14:paraId="60E7C6E6" w14:textId="77777777" w:rsidR="004412F1" w:rsidRDefault="005A12A3">
      <w:pPr>
        <w:ind w:left="2835"/>
        <w:jc w:val="both"/>
        <w:rPr>
          <w:lang w:val="es-PE"/>
        </w:rPr>
      </w:pPr>
      <w:r>
        <w:rPr>
          <w:lang w:val="es-PE"/>
        </w:rPr>
        <w:t>Los planos contendrán como mínimo un cuadro de datos técnicos de área y perímetro, indicando en una leyenda las superposiciones y áreas correspondientes, además deberá visualizarse el derecho de vía, eje de vía y progresivas, así como las toponimias del sector.</w:t>
      </w:r>
    </w:p>
    <w:p w14:paraId="36C653C6" w14:textId="77777777" w:rsidR="004412F1" w:rsidRDefault="004412F1">
      <w:pPr>
        <w:ind w:left="1701"/>
        <w:jc w:val="both"/>
        <w:rPr>
          <w:lang w:val="es-PE"/>
        </w:rPr>
      </w:pPr>
    </w:p>
    <w:p w14:paraId="7188B42F" w14:textId="77777777" w:rsidR="004412F1" w:rsidRDefault="005A12A3">
      <w:pPr>
        <w:ind w:left="2835"/>
        <w:jc w:val="both"/>
        <w:rPr>
          <w:lang w:val="es-PE"/>
        </w:rPr>
      </w:pPr>
      <w:r>
        <w:rPr>
          <w:lang w:val="es-PE"/>
        </w:rPr>
        <w:t xml:space="preserve">Los Planos individuales por cada predio afectado, será presentado en versión física impresa a colores y en versión digital (formato DWG versión 2010 y PDF) en sistema de proyección UTM Datum WGS84 y solo en versión digital (formato DWG versión 2010 y PDF) para el plano con sistema de proyección UTM Datum PSAD56 Indicándose el procedimiento empleado para obtener la equivalencia del Datum PSAD 56. </w:t>
      </w:r>
    </w:p>
    <w:p w14:paraId="24756670" w14:textId="77777777" w:rsidR="004412F1" w:rsidRDefault="005A12A3">
      <w:pPr>
        <w:ind w:left="2835"/>
        <w:jc w:val="both"/>
        <w:rPr>
          <w:lang w:val="es-PE"/>
        </w:rPr>
      </w:pPr>
      <w:r>
        <w:rPr>
          <w:lang w:val="es-PE"/>
        </w:rPr>
        <w:t>Para el caso de archivos formatos DWG los nombres de Layer o capas de información deberán ser acompañadas de su descripción correspondiente, de modo que facilite su análisis.</w:t>
      </w:r>
    </w:p>
    <w:p w14:paraId="46E797CD" w14:textId="77777777" w:rsidR="004412F1" w:rsidRDefault="004412F1">
      <w:pPr>
        <w:ind w:left="1418"/>
        <w:jc w:val="both"/>
        <w:rPr>
          <w:lang w:val="es-PE"/>
        </w:rPr>
      </w:pPr>
    </w:p>
    <w:p w14:paraId="3DB76765" w14:textId="77777777" w:rsidR="004412F1" w:rsidRDefault="005A12A3">
      <w:pPr>
        <w:numPr>
          <w:ilvl w:val="0"/>
          <w:numId w:val="177"/>
        </w:numPr>
        <w:ind w:left="1418" w:firstLine="1134"/>
        <w:jc w:val="both"/>
      </w:pPr>
      <w:r>
        <w:rPr>
          <w:b/>
        </w:rPr>
        <w:t xml:space="preserve">Documentos sustentatorios (ANEXOs). </w:t>
      </w:r>
    </w:p>
    <w:p w14:paraId="400651F4" w14:textId="77777777" w:rsidR="004412F1" w:rsidRDefault="004412F1">
      <w:pPr>
        <w:ind w:left="1418"/>
        <w:jc w:val="both"/>
      </w:pPr>
    </w:p>
    <w:p w14:paraId="4D82C353" w14:textId="77777777" w:rsidR="004412F1" w:rsidRDefault="005A12A3">
      <w:pPr>
        <w:ind w:left="2835"/>
        <w:jc w:val="both"/>
        <w:rPr>
          <w:lang w:val="es-PE"/>
        </w:rPr>
      </w:pPr>
      <w:r>
        <w:rPr>
          <w:lang w:val="es-PE"/>
        </w:rPr>
        <w:t xml:space="preserve">Se deberá adjuntar la documentación sustentatoria utilizadas para el estudio tales como: Resultados de </w:t>
      </w:r>
      <w:r>
        <w:rPr>
          <w:u w:val="single"/>
          <w:lang w:val="es-PE"/>
        </w:rPr>
        <w:t>búsquedas catastrales de áreas inscritas y áreas en posesión individualmente,</w:t>
      </w:r>
      <w:r>
        <w:rPr>
          <w:lang w:val="es-PE"/>
        </w:rPr>
        <w:t xml:space="preserve"> partidas registrales, títulos archivados, planos, DNI, certificado de posesión acreditada de acuerdo a lo solicitado en el Decreto Legislativo Nº 1192 u otros documentos relevantes a la propiedad y/o posesión, obtenidas en las diversas entidades públicas y privadas, dicha documentación debe ser posterior a la iniciación del servicio tener una antigüedad no mayor de tres (03) meses de iniciado el servicio. En ese contexto el contratista deberá hacer entrega de toda la información cartográfica primigenia (solicitada, adquirida y/o generada), la cual sirvió para la elaboración del Diagnóstico Físico Legal de los predios afectados por la obra </w:t>
      </w:r>
      <w:proofErr w:type="gramStart"/>
      <w:r>
        <w:rPr>
          <w:lang w:val="es-PE"/>
        </w:rPr>
        <w:t>vial</w:t>
      </w:r>
      <w:proofErr w:type="gramEnd"/>
      <w:r>
        <w:rPr>
          <w:lang w:val="es-PE"/>
        </w:rPr>
        <w:t xml:space="preserve"> así como fotografías a color del predio afectado. Estos documentos deberán ser presentados impresos a color y en versión digital (PDF). Estos documentos sustentatorios (ANEXOs) deberán ser presentados en versión física y digital.</w:t>
      </w:r>
    </w:p>
    <w:p w14:paraId="2C8C1E25" w14:textId="77777777" w:rsidR="004412F1" w:rsidRDefault="005A12A3">
      <w:pPr>
        <w:ind w:left="2835"/>
        <w:jc w:val="both"/>
        <w:rPr>
          <w:lang w:val="es-PE"/>
        </w:rPr>
      </w:pPr>
      <w:r>
        <w:rPr>
          <w:lang w:val="es-PE"/>
        </w:rPr>
        <w:t>Para el caso de reconstrucciones de planos que obra en los títulos archivados y cuyas memorias descriptivas cuenten con cuadro de coordenadas, el consultor deberá agregar dicho cuadro en formato Excel.</w:t>
      </w:r>
    </w:p>
    <w:p w14:paraId="166D46DD" w14:textId="77777777" w:rsidR="004412F1" w:rsidRDefault="005A12A3">
      <w:pPr>
        <w:ind w:left="2835"/>
        <w:jc w:val="both"/>
        <w:rPr>
          <w:lang w:val="es-PE"/>
        </w:rPr>
      </w:pPr>
      <w:r>
        <w:rPr>
          <w:lang w:val="es-PE"/>
        </w:rPr>
        <w:t>Para el caso de reconstrucciones de planos que obra en los títulos archivados y cuyas memorias descriptivas no cuenten con cuadro de coordenadas, pero si se encuentran identificados dichas coordenadas en el plano físico, el consultor deberá entregar la imagen del plano georreferenciado plasmado en un formato DWG.</w:t>
      </w:r>
    </w:p>
    <w:p w14:paraId="79444275" w14:textId="77777777" w:rsidR="004412F1" w:rsidRDefault="004412F1">
      <w:pPr>
        <w:ind w:left="2410"/>
        <w:jc w:val="both"/>
        <w:rPr>
          <w:lang w:val="es-PE"/>
        </w:rPr>
      </w:pPr>
    </w:p>
    <w:p w14:paraId="4AB668DB" w14:textId="77777777" w:rsidR="004412F1" w:rsidRDefault="005A12A3">
      <w:pPr>
        <w:ind w:left="1843" w:hanging="709"/>
        <w:jc w:val="both"/>
        <w:rPr>
          <w:lang w:val="es-PE"/>
        </w:rPr>
      </w:pPr>
      <w:r>
        <w:rPr>
          <w:lang w:val="es-PE"/>
        </w:rPr>
        <w:t>3.2.7</w:t>
      </w:r>
      <w:r>
        <w:rPr>
          <w:lang w:val="es-PE"/>
        </w:rPr>
        <w:tab/>
        <w:t>De ser el caso, deberá conformar el expediente con fines de expropiación, de los predios de propiedad privada, recaídos en duplicidad registral, proceso judicial o negativa del titular del predio afectado al trato directo, el mismo que deberá contener, la Ficha Técnico Legal para Expropiación, los planos y memorias descriptivas, el Certificado de búsqueda Catastral e Informe Técnico expedido por Registros Públicos y demás documentos relevantes para el proceso.</w:t>
      </w:r>
    </w:p>
    <w:p w14:paraId="52E17831" w14:textId="77777777" w:rsidR="004412F1" w:rsidRDefault="004412F1">
      <w:pPr>
        <w:tabs>
          <w:tab w:val="left" w:pos="1418"/>
        </w:tabs>
        <w:ind w:left="1418"/>
        <w:jc w:val="both"/>
        <w:rPr>
          <w:lang w:val="es-PE"/>
        </w:rPr>
      </w:pPr>
    </w:p>
    <w:p w14:paraId="2ECCD973" w14:textId="77777777" w:rsidR="004412F1" w:rsidRDefault="005A12A3">
      <w:pPr>
        <w:tabs>
          <w:tab w:val="left" w:pos="1418"/>
        </w:tabs>
        <w:ind w:left="1843" w:hanging="709"/>
        <w:jc w:val="both"/>
        <w:rPr>
          <w:lang w:val="es-PE"/>
        </w:rPr>
      </w:pPr>
      <w:r>
        <w:rPr>
          <w:lang w:val="es-PE"/>
        </w:rPr>
        <w:t>3.2.8</w:t>
      </w:r>
      <w:r>
        <w:rPr>
          <w:lang w:val="es-PE"/>
        </w:rPr>
        <w:tab/>
        <w:t>Realizar las consultas y coordinaciones necesarias con representantes de las entidades competentes, con la finalidad de conformar los expedientes de adquisición, saneamiento e inscripción registral de las áreas afectadas por la obra vial a favor de Provias Nacional.</w:t>
      </w:r>
    </w:p>
    <w:p w14:paraId="03BEEEF7" w14:textId="77777777" w:rsidR="004412F1" w:rsidRDefault="004412F1">
      <w:pPr>
        <w:tabs>
          <w:tab w:val="left" w:pos="1418"/>
        </w:tabs>
        <w:ind w:left="1418"/>
        <w:jc w:val="both"/>
        <w:rPr>
          <w:lang w:val="es-PE"/>
        </w:rPr>
      </w:pPr>
    </w:p>
    <w:p w14:paraId="4EE23992" w14:textId="77777777" w:rsidR="004412F1" w:rsidRDefault="005A12A3">
      <w:pPr>
        <w:tabs>
          <w:tab w:val="left" w:pos="1418"/>
        </w:tabs>
        <w:ind w:left="1843" w:hanging="709"/>
        <w:jc w:val="both"/>
        <w:rPr>
          <w:lang w:val="es-PE"/>
        </w:rPr>
      </w:pPr>
      <w:r>
        <w:rPr>
          <w:lang w:val="es-PE"/>
        </w:rPr>
        <w:t>3.2.9</w:t>
      </w:r>
      <w:r>
        <w:rPr>
          <w:lang w:val="es-PE"/>
        </w:rPr>
        <w:tab/>
        <w:t>Conformar y tramitar la inscripción registral de Anotación Preventiva del área del derecho de vía de la obra vial en el marco del Art. 42 de la Ley Nº 30230.</w:t>
      </w:r>
    </w:p>
    <w:p w14:paraId="57C76696" w14:textId="77777777" w:rsidR="004412F1" w:rsidRDefault="004412F1">
      <w:pPr>
        <w:tabs>
          <w:tab w:val="left" w:pos="1418"/>
        </w:tabs>
        <w:ind w:left="1418"/>
        <w:jc w:val="both"/>
        <w:rPr>
          <w:lang w:val="es-PE"/>
        </w:rPr>
      </w:pPr>
    </w:p>
    <w:p w14:paraId="17B76C73" w14:textId="77777777" w:rsidR="004412F1" w:rsidRDefault="005A12A3">
      <w:pPr>
        <w:tabs>
          <w:tab w:val="left" w:pos="1843"/>
        </w:tabs>
        <w:ind w:left="1843" w:hanging="709"/>
        <w:jc w:val="both"/>
        <w:rPr>
          <w:lang w:val="es-PE"/>
        </w:rPr>
      </w:pPr>
      <w:r>
        <w:rPr>
          <w:lang w:val="es-PE"/>
        </w:rPr>
        <w:t>3.2.10</w:t>
      </w:r>
      <w:r>
        <w:rPr>
          <w:lang w:val="es-PE"/>
        </w:rPr>
        <w:tab/>
        <w:t>Elaboración de los planos de independización, planos remanentes, planos perimétricos con fines de prevalencia catastral, etc., con sus respectivas memorias descriptivas para cada uno de los predios adquiridos y/o afectados por la obra vial, según sea el caso, con la finalidad de solicitar la inscripción registral a favor de Provias Nacional. En el caso que no sea factible determinar el área, los linderos o medidas perimétricas del área remanente, deberá de aplicar lo dispuesto en la Cuarta Disposición Complementaria y Final del Reglamento de Predios de la SUNARP.</w:t>
      </w:r>
    </w:p>
    <w:p w14:paraId="72C83717" w14:textId="77777777" w:rsidR="004412F1" w:rsidRDefault="005A12A3">
      <w:pPr>
        <w:ind w:left="1843"/>
        <w:jc w:val="both"/>
        <w:rPr>
          <w:lang w:val="es-PE"/>
        </w:rPr>
      </w:pPr>
      <w:r>
        <w:rPr>
          <w:lang w:val="es-PE"/>
        </w:rPr>
        <w:t>Todos los planos mencionados deben de ser firmados por un verificador catastral.</w:t>
      </w:r>
    </w:p>
    <w:p w14:paraId="05F659DB" w14:textId="77777777" w:rsidR="004412F1" w:rsidRDefault="004412F1">
      <w:pPr>
        <w:ind w:left="1843"/>
        <w:jc w:val="both"/>
        <w:rPr>
          <w:lang w:val="es-PE"/>
        </w:rPr>
      </w:pPr>
    </w:p>
    <w:p w14:paraId="56E1DAA2" w14:textId="77777777" w:rsidR="004412F1" w:rsidRDefault="005A12A3">
      <w:pPr>
        <w:tabs>
          <w:tab w:val="left" w:pos="1418"/>
        </w:tabs>
        <w:ind w:left="1843" w:hanging="709"/>
        <w:jc w:val="both"/>
        <w:rPr>
          <w:lang w:val="es-PE"/>
        </w:rPr>
      </w:pPr>
      <w:r>
        <w:rPr>
          <w:lang w:val="es-PE"/>
        </w:rPr>
        <w:t>3.2.11</w:t>
      </w:r>
      <w:r>
        <w:rPr>
          <w:lang w:val="es-PE"/>
        </w:rPr>
        <w:tab/>
        <w:t xml:space="preserve">Realizar las acciones técnico legales, orientadas al procedimiento de saneamiento físico legal de matrices, procedimiento de individual de regularización de dominio de tracto sucesivo, procedimiento de rectificación de áreas,  la regularización del derecho de propiedad o cualquier otro derecho real, en el Registro de Predios respectivo, procedimientos de reversión, rectificación, corrección de inexactitudes registrales, procedimiento de declaración de abandono, aplicación de prevalencia de conformidad con el Artículo 47° de la Ley N° 30230, inmatriculación y/o cualquier otro procedimiento orientado a corregir las deficiencias contenidas en la inscripción registral de los predios afectados dentro del marco de lo dispuesto en la Ley N° 30230 y su Reglamento D.S. N° 019-2015-PCM en concordancia con la Segunda Disposición Transitoria del D.L N° 1192. </w:t>
      </w:r>
    </w:p>
    <w:p w14:paraId="318D5BE8" w14:textId="77777777" w:rsidR="004412F1" w:rsidRDefault="005A12A3">
      <w:pPr>
        <w:ind w:left="1843"/>
        <w:jc w:val="both"/>
        <w:rPr>
          <w:lang w:val="es-PE"/>
        </w:rPr>
      </w:pPr>
      <w:r>
        <w:rPr>
          <w:lang w:val="es-PE"/>
        </w:rPr>
        <w:t>De ser el caso, deberá solicitar el certificado catastral a que hace mención el Art. 11 del Decreto Supremo N° 019-2015-</w:t>
      </w:r>
      <w:proofErr w:type="gramStart"/>
      <w:r>
        <w:rPr>
          <w:lang w:val="es-PE"/>
        </w:rPr>
        <w:t>PCM</w:t>
      </w:r>
      <w:proofErr w:type="gramEnd"/>
      <w:r>
        <w:rPr>
          <w:lang w:val="es-PE"/>
        </w:rPr>
        <w:t xml:space="preserve"> así como efectuar la anotación preventiva regulada en el Art. 7 del D.S. N° 019-2015-PCM. </w:t>
      </w:r>
    </w:p>
    <w:p w14:paraId="170BB212" w14:textId="77777777" w:rsidR="004412F1" w:rsidRDefault="005A12A3">
      <w:pPr>
        <w:ind w:left="1843"/>
        <w:jc w:val="both"/>
        <w:rPr>
          <w:lang w:val="es-PE"/>
        </w:rPr>
      </w:pPr>
      <w:r>
        <w:rPr>
          <w:lang w:val="es-PE"/>
        </w:rPr>
        <w:t xml:space="preserve"> </w:t>
      </w:r>
    </w:p>
    <w:p w14:paraId="36BB0766" w14:textId="77777777" w:rsidR="004412F1" w:rsidRDefault="005A12A3">
      <w:pPr>
        <w:tabs>
          <w:tab w:val="left" w:pos="1418"/>
        </w:tabs>
        <w:ind w:left="1843" w:hanging="709"/>
        <w:jc w:val="both"/>
        <w:rPr>
          <w:lang w:val="es-PE"/>
        </w:rPr>
      </w:pPr>
      <w:r>
        <w:rPr>
          <w:lang w:val="es-PE"/>
        </w:rPr>
        <w:t>3.2.12</w:t>
      </w:r>
      <w:r>
        <w:rPr>
          <w:lang w:val="es-PE"/>
        </w:rPr>
        <w:tab/>
      </w:r>
      <w:proofErr w:type="gramStart"/>
      <w:r>
        <w:rPr>
          <w:lang w:val="es-PE"/>
        </w:rPr>
        <w:t>Conformar,  tramitar</w:t>
      </w:r>
      <w:proofErr w:type="gramEnd"/>
      <w:r>
        <w:rPr>
          <w:lang w:val="es-PE"/>
        </w:rPr>
        <w:t xml:space="preserve"> y efectuar el seguimiento de expedientes con fines de realizar la inscripción registral de predios estatales, elaborados en el marco de la Ley Nº 29151, Ley Nº 30230, Decreto Legislativo Nº1192 y demás normas complementarias y conexas. En caso de existir observaciones, éstas deberán ser subsanadas dentro del plazo establecido. Acto seguido, con la Resolución que aprueba la transferencia interestatal, se deberá conformar el expediente técnico legal para su presentación ante la Oficina Registral correspondiente a fin de solicitar la inscripción submateria a favor de Provias Nacional.</w:t>
      </w:r>
    </w:p>
    <w:p w14:paraId="4017A9FF" w14:textId="77777777" w:rsidR="004412F1" w:rsidRDefault="004412F1">
      <w:pPr>
        <w:ind w:left="708"/>
        <w:rPr>
          <w:color w:val="000000"/>
          <w:lang w:val="es-PE"/>
        </w:rPr>
      </w:pPr>
    </w:p>
    <w:p w14:paraId="66E18296" w14:textId="77777777" w:rsidR="004412F1" w:rsidRDefault="005A12A3">
      <w:pPr>
        <w:tabs>
          <w:tab w:val="left" w:pos="1418"/>
        </w:tabs>
        <w:ind w:left="1843" w:hanging="709"/>
        <w:jc w:val="both"/>
        <w:rPr>
          <w:lang w:val="es-PE"/>
        </w:rPr>
      </w:pPr>
      <w:r>
        <w:rPr>
          <w:lang w:val="es-PE"/>
        </w:rPr>
        <w:t>3.2.13</w:t>
      </w:r>
      <w:r>
        <w:rPr>
          <w:lang w:val="es-PE"/>
        </w:rPr>
        <w:tab/>
        <w:t>Luego de realizar las acciones de saneamiento físico legal citadas en el numeral 5.2.11, deberá elaborar los planos perimétricos y memorias descriptivas, en atención a la Directiva N° 002-2014-SUNARP-SN, a fin de que se efectúen las búsquedas catastrales de cada uno de los predios afectado del proyecto de obra vial ante el Registro de Predios de la Oficina Registral correspondiente.</w:t>
      </w:r>
    </w:p>
    <w:p w14:paraId="745BA45B" w14:textId="77777777" w:rsidR="004412F1" w:rsidRDefault="004412F1">
      <w:pPr>
        <w:tabs>
          <w:tab w:val="left" w:pos="1418"/>
        </w:tabs>
        <w:ind w:left="1418"/>
        <w:jc w:val="both"/>
        <w:rPr>
          <w:lang w:val="es-PE"/>
        </w:rPr>
      </w:pPr>
    </w:p>
    <w:p w14:paraId="7ABD3E87" w14:textId="77777777" w:rsidR="004412F1" w:rsidRDefault="005A12A3">
      <w:pPr>
        <w:ind w:left="1843" w:hanging="709"/>
        <w:jc w:val="both"/>
        <w:rPr>
          <w:lang w:val="es-PE"/>
        </w:rPr>
      </w:pPr>
      <w:r>
        <w:rPr>
          <w:lang w:val="es-PE"/>
        </w:rPr>
        <w:t>3.2.14</w:t>
      </w:r>
      <w:r>
        <w:rPr>
          <w:lang w:val="es-PE"/>
        </w:rPr>
        <w:tab/>
        <w:t>Conformar, gestionar expedientes de inscripción registrales a los Registros Públicos, del total de inmuebles materia del procedimiento de adquisición por trato directo, afectados por la obra vial, el cual deberá incluir toda la información técnica y legal, así como la información física y digital y deberá contener los requisitos establecidos en el marco de la Ley Nº 30230, Decreto Legislativo Nº1192, Ley Nº 29151 y demás normas complementarias y conexas. En caso de existir observaciones, éstas deberán ser subsanadas dentro del plazo establecido, asimismo el seguimiento se deberá realizar hasta la inscripción registral a favor de PROVIAS NACIONAL.</w:t>
      </w:r>
    </w:p>
    <w:p w14:paraId="4914AA78" w14:textId="77777777" w:rsidR="004412F1" w:rsidRDefault="004412F1">
      <w:pPr>
        <w:ind w:left="708"/>
        <w:rPr>
          <w:color w:val="000000"/>
          <w:lang w:val="es-PE"/>
        </w:rPr>
      </w:pPr>
    </w:p>
    <w:p w14:paraId="38DC86F3" w14:textId="77777777" w:rsidR="004412F1" w:rsidRDefault="005A12A3">
      <w:pPr>
        <w:tabs>
          <w:tab w:val="left" w:pos="1418"/>
        </w:tabs>
        <w:ind w:left="1843" w:hanging="709"/>
        <w:jc w:val="both"/>
        <w:rPr>
          <w:lang w:val="es-PE"/>
        </w:rPr>
      </w:pPr>
      <w:r>
        <w:rPr>
          <w:lang w:val="es-PE"/>
        </w:rPr>
        <w:t>3.2.15</w:t>
      </w:r>
      <w:r>
        <w:rPr>
          <w:lang w:val="es-PE"/>
        </w:rPr>
        <w:tab/>
        <w:t xml:space="preserve">En caso de que algunos predios   queden </w:t>
      </w:r>
      <w:proofErr w:type="gramStart"/>
      <w:r>
        <w:rPr>
          <w:lang w:val="es-PE"/>
        </w:rPr>
        <w:t>pendiente</w:t>
      </w:r>
      <w:proofErr w:type="gramEnd"/>
      <w:r>
        <w:rPr>
          <w:lang w:val="es-PE"/>
        </w:rPr>
        <w:t xml:space="preserve"> de inscripción o sean observados en dicho trámite el contratista deberá consignar las estrategias de acción aplicarse tanto en lo técnico como en lo legal a fin de concluir con la gestión correspondiente</w:t>
      </w:r>
    </w:p>
    <w:p w14:paraId="7F31EB72" w14:textId="77777777" w:rsidR="004412F1" w:rsidRDefault="004412F1">
      <w:pPr>
        <w:ind w:left="708"/>
        <w:rPr>
          <w:color w:val="000000"/>
          <w:lang w:val="es-PE"/>
        </w:rPr>
      </w:pPr>
    </w:p>
    <w:p w14:paraId="39226615" w14:textId="77777777" w:rsidR="004412F1" w:rsidRDefault="005A12A3">
      <w:pPr>
        <w:tabs>
          <w:tab w:val="left" w:pos="1418"/>
        </w:tabs>
        <w:ind w:left="1843" w:hanging="709"/>
        <w:jc w:val="both"/>
        <w:rPr>
          <w:lang w:val="es-PE"/>
        </w:rPr>
      </w:pPr>
      <w:r>
        <w:rPr>
          <w:lang w:val="es-PE"/>
        </w:rPr>
        <w:t>3.2.16</w:t>
      </w:r>
      <w:r>
        <w:rPr>
          <w:lang w:val="es-PE"/>
        </w:rPr>
        <w:tab/>
        <w:t>Precisar estrategias y un plan de saneamiento de los predios que no pudieron realizarse la inscripción registral a favor de PROVIAS NACIONAL   orientadas a las acciones de saneamiento físico legal, la adquisición e inscripción registral de las áreas afectadas a favor de Provias Nacional (precisar el detalle de las estrategias planteadas).</w:t>
      </w:r>
    </w:p>
    <w:p w14:paraId="77B2FC3B" w14:textId="77777777" w:rsidR="004412F1" w:rsidRDefault="004412F1">
      <w:pPr>
        <w:ind w:left="708"/>
        <w:rPr>
          <w:color w:val="000000"/>
          <w:lang w:val="es-PE"/>
        </w:rPr>
      </w:pPr>
    </w:p>
    <w:p w14:paraId="28836403" w14:textId="77777777" w:rsidR="004412F1" w:rsidRDefault="005A12A3">
      <w:pPr>
        <w:tabs>
          <w:tab w:val="left" w:pos="1418"/>
        </w:tabs>
        <w:ind w:left="1843" w:hanging="709"/>
        <w:jc w:val="both"/>
        <w:rPr>
          <w:lang w:val="es-PE"/>
        </w:rPr>
      </w:pPr>
      <w:r>
        <w:rPr>
          <w:lang w:val="es-PE"/>
        </w:rPr>
        <w:t>3.2.17</w:t>
      </w:r>
      <w:r>
        <w:rPr>
          <w:lang w:val="es-PE"/>
        </w:rPr>
        <w:tab/>
        <w:t>Plazos y costos de los mecanismos de saneamiento que se aplicaran en cada caso que quede pendiente.</w:t>
      </w:r>
    </w:p>
    <w:p w14:paraId="53A0953D" w14:textId="77777777" w:rsidR="004412F1" w:rsidRDefault="004412F1">
      <w:pPr>
        <w:ind w:left="708"/>
        <w:rPr>
          <w:color w:val="000000"/>
          <w:lang w:val="es-PE"/>
        </w:rPr>
      </w:pPr>
    </w:p>
    <w:p w14:paraId="528A304F" w14:textId="77777777" w:rsidR="004412F1" w:rsidRDefault="005A12A3">
      <w:pPr>
        <w:tabs>
          <w:tab w:val="left" w:pos="1418"/>
        </w:tabs>
        <w:ind w:left="1843" w:hanging="709"/>
        <w:jc w:val="both"/>
        <w:rPr>
          <w:lang w:val="es-PE"/>
        </w:rPr>
      </w:pPr>
      <w:r>
        <w:rPr>
          <w:lang w:val="es-PE"/>
        </w:rPr>
        <w:t>3.2.18</w:t>
      </w:r>
      <w:r>
        <w:rPr>
          <w:lang w:val="es-PE"/>
        </w:rPr>
        <w:tab/>
        <w:t xml:space="preserve">Elaborar un plano mosaico de áreas afectadas por la obra vial los cuales fueron inscritos en registros públicos </w:t>
      </w:r>
    </w:p>
    <w:p w14:paraId="1A6C16CD" w14:textId="77777777" w:rsidR="004412F1" w:rsidRDefault="004412F1">
      <w:pPr>
        <w:tabs>
          <w:tab w:val="left" w:pos="1418"/>
        </w:tabs>
        <w:ind w:left="1418"/>
        <w:jc w:val="both"/>
        <w:rPr>
          <w:lang w:val="es-PE"/>
        </w:rPr>
      </w:pPr>
    </w:p>
    <w:p w14:paraId="3FB3709E" w14:textId="77777777" w:rsidR="004412F1" w:rsidRDefault="005A12A3">
      <w:pPr>
        <w:ind w:left="1134" w:hanging="567"/>
        <w:jc w:val="both"/>
        <w:rPr>
          <w:lang w:val="es-PE"/>
        </w:rPr>
      </w:pPr>
      <w:r>
        <w:rPr>
          <w:b/>
          <w:lang w:val="es-PE"/>
        </w:rPr>
        <w:t>3.3</w:t>
      </w:r>
      <w:r>
        <w:rPr>
          <w:b/>
          <w:lang w:val="es-PE"/>
        </w:rPr>
        <w:tab/>
        <w:t>Actividades referidas a la elaboración de los Expedientes Individuales Técnico Legal para Tasación respecto a cada uno de los predios afectados por el derecho de vía,</w:t>
      </w:r>
      <w:r>
        <w:rPr>
          <w:lang w:val="es-PE"/>
        </w:rPr>
        <w:t xml:space="preserve"> </w:t>
      </w:r>
    </w:p>
    <w:p w14:paraId="61F43570" w14:textId="77777777" w:rsidR="004412F1" w:rsidRDefault="005A12A3">
      <w:pPr>
        <w:ind w:left="285" w:firstLine="849"/>
        <w:jc w:val="both"/>
        <w:rPr>
          <w:lang w:val="es-PE"/>
        </w:rPr>
      </w:pPr>
      <w:r>
        <w:rPr>
          <w:lang w:val="es-PE"/>
        </w:rPr>
        <w:t>Los expedientes individuales deben de estar conformado por:</w:t>
      </w:r>
    </w:p>
    <w:p w14:paraId="70B2F3EF" w14:textId="77777777" w:rsidR="004412F1" w:rsidRDefault="004412F1">
      <w:pPr>
        <w:ind w:left="285" w:firstLine="708"/>
        <w:jc w:val="both"/>
        <w:rPr>
          <w:lang w:val="es-PE"/>
        </w:rPr>
      </w:pPr>
    </w:p>
    <w:p w14:paraId="1C450765" w14:textId="77777777" w:rsidR="004412F1" w:rsidRDefault="005A12A3">
      <w:pPr>
        <w:tabs>
          <w:tab w:val="left" w:pos="1418"/>
        </w:tabs>
        <w:ind w:left="1843" w:hanging="709"/>
        <w:jc w:val="both"/>
        <w:rPr>
          <w:lang w:val="es-PE"/>
        </w:rPr>
      </w:pPr>
      <w:r>
        <w:rPr>
          <w:lang w:val="es-PE"/>
        </w:rPr>
        <w:t>3.3.1</w:t>
      </w:r>
      <w:r>
        <w:rPr>
          <w:lang w:val="es-PE"/>
        </w:rPr>
        <w:tab/>
      </w:r>
      <w:r>
        <w:rPr>
          <w:b/>
          <w:u w:val="single"/>
          <w:lang w:val="es-PE"/>
        </w:rPr>
        <w:t>Memoria Descriptiva;</w:t>
      </w:r>
      <w:r>
        <w:rPr>
          <w:b/>
          <w:lang w:val="es-PE"/>
        </w:rPr>
        <w:t xml:space="preserve"> </w:t>
      </w:r>
      <w:r>
        <w:rPr>
          <w:lang w:val="es-PE"/>
        </w:rPr>
        <w:t>donde se consigne al propietario (privado) o posesionario y/o comunero, inscripción del predio, información del terreno (ubicación, nombre del predio, áreas, linderos y medidas perimétricas del área total, área afectada y área remanente), de ser el caso, características técnicas de la edificación (características constructivas y del material, servicios de infraestructura básicas, antigüedad de la misma, estado de conservación, área total, área afectada directa e indirectamente, información de las obras complementarias afectadas (descripción y metrados), suscrito por un Ingeniero Civil para el caso que presenten edificaciones en predios urbanos o Ing. Agrónomo y/o agrícola respecto a predios rurales con plantaciones y/o cultivos. Es necesario precisar que de existir área remanente no factible o resulte inútil para los fines que estaba destinado el predio, deberá indicarse para su valorización con el sustento adecuado e indicado en la memoria descriptiva.</w:t>
      </w:r>
    </w:p>
    <w:p w14:paraId="1F397301" w14:textId="77777777" w:rsidR="004412F1" w:rsidRDefault="005A12A3">
      <w:pPr>
        <w:ind w:left="1843"/>
        <w:jc w:val="both"/>
        <w:rPr>
          <w:lang w:val="es-PE"/>
        </w:rPr>
      </w:pPr>
      <w:r>
        <w:rPr>
          <w:lang w:val="es-PE"/>
        </w:rPr>
        <w:t>Asimismo, la memoria descriptiva deberá contener las fotografías necesarias a color del área afectada, en el que se visualice la afectación.</w:t>
      </w:r>
    </w:p>
    <w:p w14:paraId="79FDA183" w14:textId="77777777" w:rsidR="004412F1" w:rsidRDefault="005A12A3">
      <w:pPr>
        <w:ind w:left="2268"/>
        <w:jc w:val="both"/>
        <w:rPr>
          <w:lang w:val="es-PE"/>
        </w:rPr>
      </w:pPr>
      <w:r>
        <w:rPr>
          <w:lang w:val="es-PE"/>
        </w:rPr>
        <w:t xml:space="preserve"> </w:t>
      </w:r>
    </w:p>
    <w:p w14:paraId="122A089E" w14:textId="77777777" w:rsidR="004412F1" w:rsidRDefault="005A12A3">
      <w:pPr>
        <w:tabs>
          <w:tab w:val="left" w:pos="1843"/>
        </w:tabs>
        <w:ind w:left="851" w:firstLine="283"/>
        <w:jc w:val="both"/>
        <w:rPr>
          <w:lang w:val="es-PE"/>
        </w:rPr>
      </w:pPr>
      <w:r>
        <w:rPr>
          <w:lang w:val="es-PE"/>
        </w:rPr>
        <w:t>3.3.2</w:t>
      </w:r>
      <w:r>
        <w:rPr>
          <w:lang w:val="es-PE"/>
        </w:rPr>
        <w:tab/>
      </w:r>
      <w:r>
        <w:rPr>
          <w:b/>
          <w:u w:val="single"/>
          <w:lang w:val="es-PE"/>
        </w:rPr>
        <w:t xml:space="preserve">Planos  </w:t>
      </w:r>
    </w:p>
    <w:p w14:paraId="719949C5" w14:textId="77777777" w:rsidR="004412F1" w:rsidRDefault="004412F1">
      <w:pPr>
        <w:tabs>
          <w:tab w:val="left" w:pos="1418"/>
        </w:tabs>
        <w:ind w:left="1418"/>
        <w:jc w:val="both"/>
        <w:rPr>
          <w:lang w:val="es-PE"/>
        </w:rPr>
      </w:pPr>
    </w:p>
    <w:p w14:paraId="20B0097F" w14:textId="77777777" w:rsidR="004412F1" w:rsidRDefault="005A12A3">
      <w:pPr>
        <w:tabs>
          <w:tab w:val="left" w:pos="1843"/>
        </w:tabs>
        <w:ind w:left="1843"/>
        <w:jc w:val="both"/>
        <w:rPr>
          <w:lang w:val="es-PE"/>
        </w:rPr>
      </w:pPr>
      <w:r>
        <w:rPr>
          <w:b/>
          <w:lang w:val="es-PE"/>
        </w:rPr>
        <w:t>Plano del área afectada y plano del área matriz</w:t>
      </w:r>
    </w:p>
    <w:p w14:paraId="1C691B97" w14:textId="77777777" w:rsidR="004412F1" w:rsidRDefault="005A12A3">
      <w:pPr>
        <w:tabs>
          <w:tab w:val="left" w:pos="1843"/>
        </w:tabs>
        <w:ind w:left="1843"/>
        <w:jc w:val="both"/>
        <w:rPr>
          <w:lang w:val="es-PE"/>
        </w:rPr>
      </w:pPr>
      <w:r>
        <w:rPr>
          <w:lang w:val="es-PE"/>
        </w:rPr>
        <w:t>Los que deben de contener:</w:t>
      </w:r>
    </w:p>
    <w:p w14:paraId="07542A27" w14:textId="77777777" w:rsidR="004412F1" w:rsidRDefault="005A12A3">
      <w:pPr>
        <w:tabs>
          <w:tab w:val="left" w:pos="1843"/>
        </w:tabs>
        <w:ind w:left="1843"/>
        <w:jc w:val="both"/>
        <w:rPr>
          <w:lang w:val="es-PE"/>
        </w:rPr>
      </w:pPr>
      <w:r>
        <w:rPr>
          <w:lang w:val="es-PE"/>
        </w:rPr>
        <w:t>Cuadro de datos técnicos de linderos y medidas perimétricas</w:t>
      </w:r>
    </w:p>
    <w:p w14:paraId="42E1D9C8" w14:textId="77777777" w:rsidR="004412F1" w:rsidRDefault="005A12A3">
      <w:pPr>
        <w:tabs>
          <w:tab w:val="left" w:pos="1843"/>
        </w:tabs>
        <w:ind w:left="1843"/>
        <w:jc w:val="both"/>
        <w:rPr>
          <w:lang w:val="es-PE"/>
        </w:rPr>
      </w:pPr>
      <w:r>
        <w:rPr>
          <w:lang w:val="es-PE"/>
        </w:rPr>
        <w:t>Cuadro de datos del titular y demás datos descriptivos del área afectada y área matriz</w:t>
      </w:r>
    </w:p>
    <w:p w14:paraId="6D6CAFA9" w14:textId="77777777" w:rsidR="004412F1" w:rsidRDefault="004412F1">
      <w:pPr>
        <w:tabs>
          <w:tab w:val="left" w:pos="1843"/>
        </w:tabs>
        <w:ind w:left="1843"/>
        <w:jc w:val="both"/>
        <w:rPr>
          <w:lang w:val="es-PE"/>
        </w:rPr>
      </w:pPr>
    </w:p>
    <w:p w14:paraId="7D9BD6B5" w14:textId="77777777" w:rsidR="004412F1" w:rsidRDefault="005A12A3">
      <w:pPr>
        <w:tabs>
          <w:tab w:val="left" w:pos="1843"/>
        </w:tabs>
        <w:ind w:left="1843"/>
        <w:jc w:val="both"/>
        <w:rPr>
          <w:lang w:val="es-PE"/>
        </w:rPr>
      </w:pPr>
      <w:r>
        <w:rPr>
          <w:lang w:val="es-PE"/>
        </w:rPr>
        <w:t>Esquema de Ubicación y/o localización del inmueble detalle de la afectación debidamente geo referenciado en coordenadas UTM. Datum WGS84</w:t>
      </w:r>
    </w:p>
    <w:p w14:paraId="5E88E8BF" w14:textId="77777777" w:rsidR="004412F1" w:rsidRDefault="004412F1">
      <w:pPr>
        <w:tabs>
          <w:tab w:val="left" w:pos="1843"/>
        </w:tabs>
        <w:ind w:left="1843"/>
        <w:jc w:val="both"/>
        <w:rPr>
          <w:lang w:val="es-PE"/>
        </w:rPr>
      </w:pPr>
    </w:p>
    <w:p w14:paraId="4555BF21" w14:textId="77777777" w:rsidR="004412F1" w:rsidRDefault="005A12A3">
      <w:pPr>
        <w:tabs>
          <w:tab w:val="left" w:pos="1843"/>
        </w:tabs>
        <w:ind w:left="1843"/>
        <w:jc w:val="both"/>
        <w:rPr>
          <w:lang w:val="es-PE"/>
        </w:rPr>
      </w:pPr>
      <w:proofErr w:type="gramStart"/>
      <w:r>
        <w:rPr>
          <w:lang w:val="es-PE"/>
        </w:rPr>
        <w:t>Además</w:t>
      </w:r>
      <w:proofErr w:type="gramEnd"/>
      <w:r>
        <w:rPr>
          <w:lang w:val="es-PE"/>
        </w:rPr>
        <w:t xml:space="preserve"> se debe de apreciar áreas remanentes con respecto al Derecho de Via, así como el trazo del eje de Via, progresivas límites del derecho de vía, toponimia, planimetría.</w:t>
      </w:r>
    </w:p>
    <w:p w14:paraId="0592235E" w14:textId="77777777" w:rsidR="004412F1" w:rsidRDefault="004412F1">
      <w:pPr>
        <w:tabs>
          <w:tab w:val="left" w:pos="1843"/>
        </w:tabs>
        <w:ind w:left="1843"/>
        <w:jc w:val="both"/>
        <w:rPr>
          <w:lang w:val="es-PE"/>
        </w:rPr>
      </w:pPr>
    </w:p>
    <w:p w14:paraId="52638079" w14:textId="77777777" w:rsidR="004412F1" w:rsidRDefault="005A12A3">
      <w:pPr>
        <w:tabs>
          <w:tab w:val="left" w:pos="1843"/>
        </w:tabs>
        <w:ind w:left="1843"/>
        <w:jc w:val="both"/>
        <w:rPr>
          <w:lang w:val="es-PE"/>
        </w:rPr>
      </w:pPr>
      <w:r>
        <w:rPr>
          <w:lang w:val="es-PE"/>
        </w:rPr>
        <w:t>La información gráfica del plano deberá estar referida al Datum WGS 84. El plano deberá contener doble cuadro de datos técnicos del mismo predio, es decir uno referido al Datum WGS84 y otro al Datum PSAD56.</w:t>
      </w:r>
    </w:p>
    <w:p w14:paraId="4E448C0E" w14:textId="77777777" w:rsidR="004412F1" w:rsidRDefault="004412F1">
      <w:pPr>
        <w:tabs>
          <w:tab w:val="left" w:pos="1418"/>
        </w:tabs>
        <w:ind w:left="1418"/>
        <w:jc w:val="both"/>
        <w:rPr>
          <w:lang w:val="es-PE"/>
        </w:rPr>
      </w:pPr>
    </w:p>
    <w:p w14:paraId="36BDD6B8" w14:textId="77777777" w:rsidR="004412F1" w:rsidRDefault="005A12A3">
      <w:pPr>
        <w:ind w:left="1843"/>
        <w:jc w:val="both"/>
        <w:rPr>
          <w:lang w:val="es-PE"/>
        </w:rPr>
      </w:pPr>
      <w:r>
        <w:rPr>
          <w:lang w:val="es-PE"/>
        </w:rPr>
        <w:t xml:space="preserve">Así mismo deberá adjuntar un </w:t>
      </w:r>
      <w:r>
        <w:rPr>
          <w:b/>
          <w:lang w:val="es-PE"/>
        </w:rPr>
        <w:t>Plano clave</w:t>
      </w:r>
      <w:r>
        <w:rPr>
          <w:lang w:val="es-PE"/>
        </w:rPr>
        <w:t xml:space="preserve"> y cuadro resumen donde se pueda identificar al predio afectado manteniendo las referencias, estos deberán ser elaborados en coordenadas UTM, datum WGS84 utilizando una escala de 1/1000, o una adecuada y de uso convencional para la DC. que permita su adecuada visualización y análisis</w:t>
      </w:r>
    </w:p>
    <w:p w14:paraId="2BE31E52" w14:textId="77777777" w:rsidR="004412F1" w:rsidRDefault="004412F1">
      <w:pPr>
        <w:tabs>
          <w:tab w:val="left" w:pos="1276"/>
          <w:tab w:val="left" w:pos="1418"/>
        </w:tabs>
        <w:ind w:left="1418"/>
        <w:jc w:val="both"/>
        <w:rPr>
          <w:lang w:val="es-PE"/>
        </w:rPr>
      </w:pPr>
    </w:p>
    <w:p w14:paraId="430F0296" w14:textId="77777777" w:rsidR="004412F1" w:rsidRDefault="005A12A3">
      <w:pPr>
        <w:tabs>
          <w:tab w:val="left" w:pos="1418"/>
        </w:tabs>
        <w:ind w:left="1843" w:hanging="709"/>
        <w:jc w:val="both"/>
        <w:rPr>
          <w:lang w:val="es-PE"/>
        </w:rPr>
      </w:pPr>
      <w:r>
        <w:rPr>
          <w:lang w:val="es-PE"/>
        </w:rPr>
        <w:t>3.3.3</w:t>
      </w:r>
      <w:r>
        <w:rPr>
          <w:lang w:val="es-PE"/>
        </w:rPr>
        <w:tab/>
      </w:r>
      <w:r>
        <w:rPr>
          <w:b/>
          <w:u w:val="single"/>
          <w:lang w:val="es-PE"/>
        </w:rPr>
        <w:t>Planos de ubicación, distribución y elevación del predio afectado, para afectaciones de   edificaciones,</w:t>
      </w:r>
    </w:p>
    <w:p w14:paraId="31E30351" w14:textId="77777777" w:rsidR="004412F1" w:rsidRDefault="005A12A3">
      <w:pPr>
        <w:ind w:left="1843"/>
        <w:jc w:val="both"/>
        <w:rPr>
          <w:lang w:val="es-PE"/>
        </w:rPr>
      </w:pPr>
      <w:r>
        <w:rPr>
          <w:lang w:val="es-PE"/>
        </w:rPr>
        <w:t xml:space="preserve">Se </w:t>
      </w:r>
      <w:proofErr w:type="gramStart"/>
      <w:r>
        <w:rPr>
          <w:lang w:val="es-PE"/>
        </w:rPr>
        <w:t>presentará  los</w:t>
      </w:r>
      <w:proofErr w:type="gramEnd"/>
      <w:r>
        <w:rPr>
          <w:lang w:val="es-PE"/>
        </w:rPr>
        <w:t xml:space="preserve"> planos de distribución del predio afectado, a escala de 1/100 o una adecuada y de uso convencional, consignando un cuadro de detalle de materiales de construcción, área directa e indirecta afectada, obras complementarias de ser el caso, asimismo plano de elevación, debiendo ser presentados en versión física y digital (programa CAD y PDF) a color.</w:t>
      </w:r>
    </w:p>
    <w:p w14:paraId="6D03178F" w14:textId="77777777" w:rsidR="004412F1" w:rsidRDefault="005A12A3">
      <w:pPr>
        <w:numPr>
          <w:ilvl w:val="0"/>
          <w:numId w:val="179"/>
        </w:numPr>
        <w:ind w:left="2127" w:hanging="284"/>
        <w:jc w:val="both"/>
        <w:rPr>
          <w:lang w:val="es-PE"/>
        </w:rPr>
      </w:pPr>
      <w:r>
        <w:rPr>
          <w:lang w:val="es-PE"/>
        </w:rPr>
        <w:t>Copia informativa de la partida registral con una antigüedad no mayor de seis meses de su expedición, en caso de tratarse de bien inmueble inscrito</w:t>
      </w:r>
    </w:p>
    <w:p w14:paraId="2AABC0B0" w14:textId="77777777" w:rsidR="004412F1" w:rsidRDefault="005A12A3">
      <w:pPr>
        <w:numPr>
          <w:ilvl w:val="0"/>
          <w:numId w:val="179"/>
        </w:numPr>
        <w:ind w:left="2268" w:hanging="425"/>
        <w:jc w:val="both"/>
        <w:rPr>
          <w:lang w:val="es-PE"/>
        </w:rPr>
      </w:pPr>
      <w:r>
        <w:rPr>
          <w:lang w:val="es-PE"/>
        </w:rPr>
        <w:t>Declaratoria de fábrica o de edificación si la hubiera</w:t>
      </w:r>
    </w:p>
    <w:p w14:paraId="1A0BDD9B" w14:textId="77777777" w:rsidR="004412F1" w:rsidRDefault="005A12A3">
      <w:pPr>
        <w:numPr>
          <w:ilvl w:val="0"/>
          <w:numId w:val="179"/>
        </w:numPr>
        <w:ind w:left="2268" w:hanging="425"/>
        <w:jc w:val="both"/>
        <w:rPr>
          <w:lang w:val="es-PE"/>
        </w:rPr>
      </w:pPr>
      <w:r>
        <w:rPr>
          <w:lang w:val="es-PE"/>
        </w:rPr>
        <w:t>Declaración Jurada de Autoavaluo, correspondiente al último año, si la hubiera</w:t>
      </w:r>
    </w:p>
    <w:p w14:paraId="54414997" w14:textId="77777777" w:rsidR="004412F1" w:rsidRDefault="005A12A3">
      <w:pPr>
        <w:numPr>
          <w:ilvl w:val="0"/>
          <w:numId w:val="179"/>
        </w:numPr>
        <w:ind w:left="2127" w:hanging="284"/>
        <w:jc w:val="both"/>
        <w:rPr>
          <w:lang w:val="es-PE"/>
        </w:rPr>
      </w:pPr>
      <w:r>
        <w:rPr>
          <w:lang w:val="es-PE"/>
        </w:rPr>
        <w:t xml:space="preserve">Relación cuantificada de cultivos permanentes y/o transitorios indicando sus características si los hubiera (tipo, especie, edad, cuantificado por área para cultivos transitorios y por unidad para cultivos permanentes) suscrito por un ingeniero agrónomo y/o agrícola este ítem debe de formar parte de la memoria descriptiva. </w:t>
      </w:r>
    </w:p>
    <w:p w14:paraId="67B10E3A" w14:textId="77777777" w:rsidR="004412F1" w:rsidRDefault="005A12A3">
      <w:pPr>
        <w:numPr>
          <w:ilvl w:val="0"/>
          <w:numId w:val="179"/>
        </w:numPr>
        <w:ind w:left="2127" w:hanging="284"/>
        <w:jc w:val="both"/>
        <w:rPr>
          <w:lang w:val="es-PE"/>
        </w:rPr>
      </w:pPr>
      <w:r>
        <w:rPr>
          <w:lang w:val="es-PE"/>
        </w:rPr>
        <w:t>Relación cuantificada de obras complementarias e instalaciones fijas y permanentes, si las hubiera, la cual será parte de la memoria descriptiva.</w:t>
      </w:r>
    </w:p>
    <w:p w14:paraId="0E7BC840" w14:textId="77777777" w:rsidR="004412F1" w:rsidRDefault="005A12A3">
      <w:pPr>
        <w:numPr>
          <w:ilvl w:val="0"/>
          <w:numId w:val="179"/>
        </w:numPr>
        <w:ind w:left="2127" w:hanging="284"/>
        <w:jc w:val="both"/>
        <w:rPr>
          <w:lang w:val="es-PE"/>
        </w:rPr>
      </w:pPr>
      <w:r>
        <w:rPr>
          <w:lang w:val="es-PE"/>
        </w:rPr>
        <w:t>En caso de construcciones especiales; cuando las hubiere, se acompaña la siguiente documentación: planos, memoria descriptiva y especificaciones técnicas relativas a las mimas.</w:t>
      </w:r>
    </w:p>
    <w:p w14:paraId="3DBDF86C" w14:textId="77777777" w:rsidR="004412F1" w:rsidRDefault="005A12A3">
      <w:pPr>
        <w:numPr>
          <w:ilvl w:val="0"/>
          <w:numId w:val="179"/>
        </w:numPr>
        <w:ind w:left="2268" w:hanging="425"/>
        <w:jc w:val="both"/>
        <w:rPr>
          <w:lang w:val="es-PE"/>
        </w:rPr>
      </w:pPr>
      <w:r>
        <w:rPr>
          <w:lang w:val="es-PE"/>
        </w:rPr>
        <w:t>De existir adjuntar el expedientillo del Valor estimado del inmueble.</w:t>
      </w:r>
    </w:p>
    <w:p w14:paraId="3BF0116A" w14:textId="77777777" w:rsidR="004412F1" w:rsidRDefault="004412F1">
      <w:pPr>
        <w:ind w:left="1985"/>
        <w:jc w:val="both"/>
        <w:rPr>
          <w:lang w:val="es-PE"/>
        </w:rPr>
      </w:pPr>
    </w:p>
    <w:p w14:paraId="03D8E29B" w14:textId="77777777" w:rsidR="004412F1" w:rsidRDefault="005A12A3">
      <w:pPr>
        <w:ind w:left="1985" w:hanging="141"/>
        <w:jc w:val="both"/>
        <w:rPr>
          <w:b/>
          <w:lang w:val="es-PE"/>
        </w:rPr>
      </w:pPr>
      <w:r>
        <w:rPr>
          <w:b/>
          <w:lang w:val="es-PE"/>
        </w:rPr>
        <w:t>Documentos del sujeto pasivo</w:t>
      </w:r>
    </w:p>
    <w:p w14:paraId="327A18A5" w14:textId="77777777" w:rsidR="004412F1" w:rsidRDefault="005A12A3">
      <w:pPr>
        <w:ind w:left="1985" w:hanging="141"/>
        <w:jc w:val="both"/>
        <w:rPr>
          <w:lang w:val="es-PE"/>
        </w:rPr>
      </w:pPr>
      <w:r>
        <w:rPr>
          <w:lang w:val="es-PE"/>
        </w:rPr>
        <w:t xml:space="preserve">Los expedientes individuales deben de contar con: </w:t>
      </w:r>
    </w:p>
    <w:p w14:paraId="11103E99" w14:textId="77777777" w:rsidR="004412F1" w:rsidRDefault="005A12A3">
      <w:pPr>
        <w:numPr>
          <w:ilvl w:val="0"/>
          <w:numId w:val="180"/>
        </w:numPr>
        <w:ind w:left="2127" w:hanging="284"/>
        <w:contextualSpacing/>
        <w:jc w:val="both"/>
        <w:rPr>
          <w:color w:val="000000"/>
          <w:lang w:val="es-PE"/>
        </w:rPr>
      </w:pPr>
      <w:r>
        <w:rPr>
          <w:color w:val="000000"/>
          <w:lang w:val="es-PE"/>
        </w:rPr>
        <w:t>La documentación sustentatoria respecto a la propiedad inscrita o no inscrita; en caso de propietarios copia simple del título de propiedad (la DNC no acepta copia del título salvo que no se encuentre inscrito dicho título de propiedad, ejemplo títulos de la DGRA).</w:t>
      </w:r>
    </w:p>
    <w:p w14:paraId="373E2017" w14:textId="77777777" w:rsidR="004412F1" w:rsidRDefault="005A12A3">
      <w:pPr>
        <w:numPr>
          <w:ilvl w:val="0"/>
          <w:numId w:val="180"/>
        </w:numPr>
        <w:ind w:left="2127" w:hanging="284"/>
        <w:contextualSpacing/>
        <w:jc w:val="both"/>
        <w:rPr>
          <w:color w:val="000000"/>
          <w:lang w:val="es-PE"/>
        </w:rPr>
      </w:pPr>
      <w:r>
        <w:rPr>
          <w:color w:val="000000"/>
          <w:lang w:val="es-PE"/>
        </w:rPr>
        <w:t>En caso de propietario con documento de fecha cierta y el respectivo trato sucesivo del titular registral.</w:t>
      </w:r>
    </w:p>
    <w:p w14:paraId="6561E825" w14:textId="77777777" w:rsidR="004412F1" w:rsidRDefault="005A12A3">
      <w:pPr>
        <w:numPr>
          <w:ilvl w:val="0"/>
          <w:numId w:val="180"/>
        </w:numPr>
        <w:ind w:left="2127" w:hanging="284"/>
        <w:contextualSpacing/>
        <w:jc w:val="both"/>
        <w:rPr>
          <w:color w:val="000000"/>
          <w:lang w:val="es-PE"/>
        </w:rPr>
      </w:pPr>
      <w:r>
        <w:rPr>
          <w:color w:val="000000"/>
          <w:lang w:val="es-PE"/>
        </w:rPr>
        <w:t>En caso de ser posesionario la constancia de posesión y documentación en calidad de prueba complementaria.</w:t>
      </w:r>
    </w:p>
    <w:p w14:paraId="7813D2D1" w14:textId="77777777" w:rsidR="004412F1" w:rsidRDefault="005A12A3">
      <w:pPr>
        <w:numPr>
          <w:ilvl w:val="0"/>
          <w:numId w:val="180"/>
        </w:numPr>
        <w:ind w:left="2127" w:hanging="284"/>
        <w:contextualSpacing/>
        <w:jc w:val="both"/>
        <w:rPr>
          <w:color w:val="000000"/>
          <w:lang w:val="es-PE"/>
        </w:rPr>
      </w:pPr>
      <w:r>
        <w:rPr>
          <w:color w:val="000000"/>
          <w:lang w:val="es-PE"/>
        </w:rPr>
        <w:t xml:space="preserve"> En caso de persona natural copia simple del Documento Nacional de Identidad - DNI vigente o la hoja de consulta en línea emitida por RENIEC.</w:t>
      </w:r>
    </w:p>
    <w:p w14:paraId="2B8B940A" w14:textId="77777777" w:rsidR="004412F1" w:rsidRDefault="005A12A3">
      <w:pPr>
        <w:numPr>
          <w:ilvl w:val="0"/>
          <w:numId w:val="180"/>
        </w:numPr>
        <w:ind w:left="2127" w:hanging="284"/>
        <w:contextualSpacing/>
        <w:jc w:val="both"/>
        <w:rPr>
          <w:color w:val="000000"/>
          <w:lang w:val="es-PE"/>
        </w:rPr>
      </w:pPr>
      <w:r>
        <w:rPr>
          <w:color w:val="000000"/>
          <w:lang w:val="es-PE"/>
        </w:rPr>
        <w:t>En caso de persona jurídica copia informativa de la partida registral actualizada emitida por el Registro de personas jurídica de la SUNARP.</w:t>
      </w:r>
    </w:p>
    <w:p w14:paraId="24BAFDB4" w14:textId="77777777" w:rsidR="004412F1" w:rsidRDefault="005A12A3">
      <w:pPr>
        <w:numPr>
          <w:ilvl w:val="0"/>
          <w:numId w:val="180"/>
        </w:numPr>
        <w:ind w:left="2127" w:hanging="284"/>
        <w:contextualSpacing/>
        <w:jc w:val="both"/>
        <w:rPr>
          <w:color w:val="000000"/>
          <w:lang w:val="es-PE"/>
        </w:rPr>
      </w:pPr>
      <w:r>
        <w:rPr>
          <w:color w:val="000000"/>
          <w:lang w:val="es-PE"/>
        </w:rPr>
        <w:t xml:space="preserve">Cabe indicar, que para los expedientes cuyo titular es la Comunidad Campesina, se determinará como titular del terreno afectado a la Comunidad, para ello se sustentará con los documentos probatorios que acrediten la propiedad o posesión y la representación legal de la comunidad campesina. </w:t>
      </w:r>
      <w:proofErr w:type="gramStart"/>
      <w:r>
        <w:rPr>
          <w:color w:val="000000"/>
          <w:lang w:val="es-PE"/>
        </w:rPr>
        <w:t>Asimismo</w:t>
      </w:r>
      <w:proofErr w:type="gramEnd"/>
      <w:r>
        <w:rPr>
          <w:color w:val="000000"/>
          <w:lang w:val="es-PE"/>
        </w:rPr>
        <w:t xml:space="preserve"> con respecto a la conducción ejercida por sus comuneros hábiles y/o integrados, ésta se acreditará mediante la constancia y el registro padrón de comuneros que proporcione la Comunidad, tomando en cuenta para ello solo la afectación de mejoras, plantaciones y obras complementarias.</w:t>
      </w:r>
    </w:p>
    <w:p w14:paraId="34A3B377" w14:textId="77777777" w:rsidR="004412F1" w:rsidRDefault="004412F1">
      <w:pPr>
        <w:ind w:left="1985"/>
        <w:jc w:val="both"/>
        <w:rPr>
          <w:b/>
          <w:lang w:val="es-PE"/>
        </w:rPr>
      </w:pPr>
    </w:p>
    <w:p w14:paraId="0728A43E" w14:textId="77777777" w:rsidR="004412F1" w:rsidRDefault="005A12A3">
      <w:pPr>
        <w:ind w:left="1985" w:hanging="141"/>
        <w:jc w:val="both"/>
        <w:rPr>
          <w:b/>
          <w:lang w:val="es-PE"/>
        </w:rPr>
      </w:pPr>
      <w:r>
        <w:rPr>
          <w:b/>
          <w:lang w:val="es-PE"/>
        </w:rPr>
        <w:t>Perjuicio económico</w:t>
      </w:r>
    </w:p>
    <w:p w14:paraId="3D3180FE" w14:textId="77777777" w:rsidR="004412F1" w:rsidRDefault="005A12A3">
      <w:pPr>
        <w:ind w:left="1843"/>
        <w:jc w:val="both"/>
        <w:rPr>
          <w:lang w:val="es-PE"/>
        </w:rPr>
      </w:pPr>
      <w:r>
        <w:rPr>
          <w:lang w:val="es-PE"/>
        </w:rPr>
        <w:t>Comprende únicamente el Daño Emergente y Lucro Cesante, los cuales deben ser debidamente acreditados o cuenten con informe debidamente sustentado, se debe de precisar que el gasto de traslado de bienes dentro del territorio nacional en que incurre el sujeto pasivo forma parte del daño emergente (DL 1192).</w:t>
      </w:r>
    </w:p>
    <w:p w14:paraId="2F2E5908" w14:textId="77777777" w:rsidR="004412F1" w:rsidRDefault="004412F1">
      <w:pPr>
        <w:ind w:left="1985"/>
        <w:jc w:val="both"/>
        <w:rPr>
          <w:b/>
          <w:lang w:val="es-PE"/>
        </w:rPr>
      </w:pPr>
    </w:p>
    <w:p w14:paraId="201A49B2" w14:textId="77777777" w:rsidR="004412F1" w:rsidRDefault="005A12A3">
      <w:pPr>
        <w:ind w:left="1985" w:hanging="141"/>
        <w:jc w:val="both"/>
        <w:rPr>
          <w:b/>
          <w:lang w:val="es-PE"/>
        </w:rPr>
      </w:pPr>
      <w:r>
        <w:rPr>
          <w:b/>
          <w:lang w:val="es-PE"/>
        </w:rPr>
        <w:t>Gastos tributarios</w:t>
      </w:r>
    </w:p>
    <w:p w14:paraId="2B89F793" w14:textId="77777777" w:rsidR="004412F1" w:rsidRDefault="005A12A3">
      <w:pPr>
        <w:ind w:left="1418" w:firstLine="425"/>
        <w:jc w:val="both"/>
        <w:rPr>
          <w:lang w:val="es-PE"/>
        </w:rPr>
      </w:pPr>
      <w:r>
        <w:rPr>
          <w:lang w:val="es-PE"/>
        </w:rPr>
        <w:t xml:space="preserve">Se reconocerá el impuesto a la renta. </w:t>
      </w:r>
    </w:p>
    <w:p w14:paraId="66EB87EF" w14:textId="77777777" w:rsidR="004412F1" w:rsidRDefault="004412F1">
      <w:pPr>
        <w:ind w:left="1985"/>
        <w:jc w:val="both"/>
        <w:rPr>
          <w:lang w:val="es-PE"/>
        </w:rPr>
      </w:pPr>
    </w:p>
    <w:p w14:paraId="74CACB3D" w14:textId="77777777" w:rsidR="004412F1" w:rsidRDefault="005A12A3">
      <w:pPr>
        <w:tabs>
          <w:tab w:val="left" w:pos="1134"/>
        </w:tabs>
        <w:ind w:left="567"/>
        <w:jc w:val="both"/>
        <w:rPr>
          <w:lang w:val="es-PE"/>
        </w:rPr>
      </w:pPr>
      <w:r>
        <w:rPr>
          <w:lang w:val="es-PE"/>
        </w:rPr>
        <w:t xml:space="preserve"> 3.4</w:t>
      </w:r>
      <w:r>
        <w:rPr>
          <w:lang w:val="es-PE"/>
        </w:rPr>
        <w:tab/>
      </w:r>
      <w:r>
        <w:rPr>
          <w:b/>
          <w:u w:val="single"/>
          <w:lang w:val="es-PE"/>
        </w:rPr>
        <w:t>Elaborar el Plano perimétricos de consulta y Memoria Descriptiva</w:t>
      </w:r>
    </w:p>
    <w:p w14:paraId="22E3E730" w14:textId="77777777" w:rsidR="004412F1" w:rsidRDefault="005A12A3">
      <w:pPr>
        <w:ind w:left="1134"/>
        <w:jc w:val="both"/>
        <w:rPr>
          <w:lang w:val="es-PE"/>
        </w:rPr>
      </w:pPr>
      <w:r>
        <w:rPr>
          <w:lang w:val="es-PE"/>
        </w:rPr>
        <w:t>Se debe elaborar conforme a lo indicado en la Directiva N° 002-2014-SUNARP-SN, a fin de efectuar las búsquedas catastrales ante el Registro de Predios de la Oficina Registral correspondiente, para cada uno de los sujetos Pasivos mencionados en el Decreto Legislativo N° 1192 (propietarios inscritos, propietarios no inscritos, posesionarios que acrediten 10 años o más  de posesión) ubicados todo el citado tramo vial, siempre no requieran acciones previas de saneamiento físico legal para la transferencia a favor de PROVIAS NACIONAL.</w:t>
      </w:r>
    </w:p>
    <w:p w14:paraId="1C28D204" w14:textId="77777777" w:rsidR="004412F1" w:rsidRDefault="004412F1">
      <w:pPr>
        <w:rPr>
          <w:lang w:val="es-PE"/>
        </w:rPr>
      </w:pPr>
    </w:p>
    <w:p w14:paraId="650D920E" w14:textId="77777777" w:rsidR="004412F1" w:rsidRDefault="005A12A3">
      <w:pPr>
        <w:ind w:left="1134" w:hanging="425"/>
        <w:jc w:val="both"/>
        <w:rPr>
          <w:lang w:val="es-PE"/>
        </w:rPr>
      </w:pPr>
      <w:r>
        <w:rPr>
          <w:lang w:val="es-PE"/>
        </w:rPr>
        <w:t>3.5</w:t>
      </w:r>
      <w:r>
        <w:rPr>
          <w:lang w:val="es-PE"/>
        </w:rPr>
        <w:tab/>
        <w:t>El contratista instalará una oficina para los trabajos de gabinete y recepción de documentación, la cual deberá estar ubicada en la zona del proyecto vial. La instalación de la oficina deberá estar operativa dentro de los 10 días calendarios de iniciado el servicio.</w:t>
      </w:r>
    </w:p>
    <w:p w14:paraId="54A9228A" w14:textId="77777777" w:rsidR="004412F1" w:rsidRDefault="004412F1">
      <w:pPr>
        <w:tabs>
          <w:tab w:val="left" w:pos="1418"/>
        </w:tabs>
        <w:ind w:left="1418"/>
        <w:jc w:val="both"/>
        <w:rPr>
          <w:lang w:val="es-PE"/>
        </w:rPr>
      </w:pPr>
    </w:p>
    <w:p w14:paraId="779EE0D8" w14:textId="77777777" w:rsidR="004412F1" w:rsidRDefault="005A12A3">
      <w:pPr>
        <w:ind w:left="1134" w:hanging="425"/>
        <w:jc w:val="both"/>
        <w:rPr>
          <w:lang w:val="es-PE"/>
        </w:rPr>
      </w:pPr>
      <w:r>
        <w:rPr>
          <w:lang w:val="es-PE"/>
        </w:rPr>
        <w:t>3.6</w:t>
      </w:r>
      <w:r>
        <w:rPr>
          <w:lang w:val="es-PE"/>
        </w:rPr>
        <w:tab/>
        <w:t>Para realizar las actividades en campo, el contratista deberá contar con el servicio de las movilidades requeridas para efectuar el recorrido y los trabajos de campo en todo el tramo de la carretera, tanto del diagnóstico como de los expedientes individuales, el mismo que deberá incluir chofer y combustible.</w:t>
      </w:r>
    </w:p>
    <w:p w14:paraId="2524C112" w14:textId="77777777" w:rsidR="004412F1" w:rsidRDefault="004412F1">
      <w:pPr>
        <w:ind w:left="708"/>
        <w:rPr>
          <w:color w:val="000000"/>
          <w:lang w:val="es-PE"/>
        </w:rPr>
      </w:pPr>
    </w:p>
    <w:p w14:paraId="0E0F9A19" w14:textId="65FE6044" w:rsidR="004412F1" w:rsidRDefault="005A12A3">
      <w:pPr>
        <w:ind w:left="1134" w:hanging="425"/>
        <w:jc w:val="both"/>
        <w:rPr>
          <w:lang w:val="es-PE"/>
        </w:rPr>
      </w:pPr>
      <w:r>
        <w:rPr>
          <w:lang w:val="es-PE"/>
        </w:rPr>
        <w:t>3.7</w:t>
      </w:r>
      <w:r>
        <w:rPr>
          <w:lang w:val="es-PE"/>
        </w:rPr>
        <w:tab/>
        <w:t>El</w:t>
      </w:r>
      <w:r w:rsidR="00E03735">
        <w:rPr>
          <w:lang w:val="es-PE"/>
        </w:rPr>
        <w:t xml:space="preserve"> </w:t>
      </w:r>
      <w:proofErr w:type="gramStart"/>
      <w:r>
        <w:rPr>
          <w:lang w:val="es-PE"/>
        </w:rPr>
        <w:t>Jefe</w:t>
      </w:r>
      <w:proofErr w:type="gramEnd"/>
      <w:r>
        <w:rPr>
          <w:lang w:val="es-PE"/>
        </w:rPr>
        <w:t xml:space="preserve"> de servicio, en coordinación con el administrador del proyecto, deberá trasladarse de la zona de la obra vial, a la Unidad Gerencial de Derecho de Vía, a fin de informar sobre los avances de las actividades encomendadas y para lo cual deberá desplazarse a la sede central por un total de 12 días, distribuidos en 04 visitas, previa coordinación con el encargado del proyecto.   </w:t>
      </w:r>
    </w:p>
    <w:p w14:paraId="07975A4C" w14:textId="77777777" w:rsidR="004412F1" w:rsidRDefault="004412F1">
      <w:pPr>
        <w:tabs>
          <w:tab w:val="left" w:pos="1418"/>
        </w:tabs>
        <w:ind w:left="1418"/>
        <w:jc w:val="both"/>
        <w:rPr>
          <w:lang w:val="es-PE"/>
        </w:rPr>
      </w:pPr>
    </w:p>
    <w:p w14:paraId="546FC556" w14:textId="77777777" w:rsidR="004412F1" w:rsidRDefault="005A12A3">
      <w:pPr>
        <w:ind w:left="1134" w:hanging="425"/>
        <w:jc w:val="both"/>
        <w:rPr>
          <w:lang w:val="es-PE"/>
        </w:rPr>
      </w:pPr>
      <w:r>
        <w:rPr>
          <w:lang w:val="es-PE"/>
        </w:rPr>
        <w:t>3.8</w:t>
      </w:r>
      <w:r>
        <w:rPr>
          <w:lang w:val="es-PE"/>
        </w:rPr>
        <w:tab/>
        <w:t>Otras actividades que la Entidad lo solicita en función del objeto del servicio, previo acuerdo entre ambas partes.</w:t>
      </w:r>
    </w:p>
    <w:p w14:paraId="5EF26921" w14:textId="77777777" w:rsidR="004412F1" w:rsidRDefault="004412F1">
      <w:pPr>
        <w:tabs>
          <w:tab w:val="left" w:pos="1560"/>
        </w:tabs>
        <w:ind w:left="1560"/>
        <w:jc w:val="both"/>
        <w:rPr>
          <w:lang w:val="es-PE"/>
        </w:rPr>
      </w:pPr>
    </w:p>
    <w:p w14:paraId="14B7FE9E" w14:textId="77777777" w:rsidR="004412F1" w:rsidRDefault="004412F1">
      <w:pPr>
        <w:ind w:left="567"/>
        <w:jc w:val="both"/>
        <w:rPr>
          <w:b/>
          <w:lang w:val="es-PE"/>
        </w:rPr>
      </w:pPr>
    </w:p>
    <w:p w14:paraId="71AFAEE4" w14:textId="77777777" w:rsidR="004412F1" w:rsidRDefault="005A12A3">
      <w:pPr>
        <w:numPr>
          <w:ilvl w:val="0"/>
          <w:numId w:val="175"/>
        </w:numPr>
        <w:ind w:left="567" w:hanging="567"/>
        <w:jc w:val="both"/>
      </w:pPr>
      <w:r>
        <w:rPr>
          <w:b/>
        </w:rPr>
        <w:t>ENTREGABLES Y PLAZO</w:t>
      </w:r>
    </w:p>
    <w:p w14:paraId="7BD54335" w14:textId="77777777" w:rsidR="004412F1" w:rsidRDefault="005A12A3">
      <w:pPr>
        <w:ind w:left="567"/>
        <w:jc w:val="both"/>
        <w:rPr>
          <w:lang w:val="es-PE"/>
        </w:rPr>
      </w:pPr>
      <w:r>
        <w:rPr>
          <w:lang w:val="es-PE"/>
        </w:rPr>
        <w:t xml:space="preserve">Los entregables y los plazos se realizarán en dos (02) ejemplares físicos y un (01) ejemplar digital, </w:t>
      </w:r>
      <w:proofErr w:type="gramStart"/>
      <w:r>
        <w:rPr>
          <w:lang w:val="es-PE"/>
        </w:rPr>
        <w:t>de acuerdo al</w:t>
      </w:r>
      <w:proofErr w:type="gramEnd"/>
      <w:r>
        <w:rPr>
          <w:lang w:val="es-PE"/>
        </w:rPr>
        <w:t xml:space="preserve"> siguiente detalle:</w:t>
      </w:r>
    </w:p>
    <w:p w14:paraId="3F803520" w14:textId="77777777" w:rsidR="004412F1" w:rsidRDefault="004412F1">
      <w:pPr>
        <w:tabs>
          <w:tab w:val="left" w:pos="567"/>
        </w:tabs>
        <w:ind w:left="567"/>
        <w:jc w:val="both"/>
        <w:rPr>
          <w:b/>
          <w:u w:val="single"/>
          <w:lang w:val="es-PE"/>
        </w:rPr>
      </w:pPr>
    </w:p>
    <w:p w14:paraId="3482E39E" w14:textId="77777777" w:rsidR="004412F1" w:rsidRDefault="005A12A3">
      <w:pPr>
        <w:tabs>
          <w:tab w:val="left" w:pos="567"/>
        </w:tabs>
        <w:ind w:left="567"/>
        <w:jc w:val="both"/>
        <w:rPr>
          <w:b/>
          <w:u w:val="single"/>
          <w:lang w:val="es-PE"/>
        </w:rPr>
      </w:pPr>
      <w:r>
        <w:rPr>
          <w:b/>
          <w:u w:val="single"/>
          <w:lang w:val="es-PE"/>
        </w:rPr>
        <w:t>PRIMERA ETAPA</w:t>
      </w:r>
    </w:p>
    <w:p w14:paraId="1C62F9D2" w14:textId="77777777" w:rsidR="004412F1" w:rsidRDefault="004412F1">
      <w:pPr>
        <w:tabs>
          <w:tab w:val="left" w:pos="567"/>
        </w:tabs>
        <w:ind w:left="567"/>
        <w:jc w:val="both"/>
        <w:rPr>
          <w:b/>
          <w:u w:val="single"/>
          <w:lang w:val="es-PE"/>
        </w:rPr>
      </w:pPr>
    </w:p>
    <w:p w14:paraId="1C16A377" w14:textId="77777777" w:rsidR="004412F1" w:rsidRDefault="005A12A3">
      <w:pPr>
        <w:tabs>
          <w:tab w:val="left" w:pos="2268"/>
        </w:tabs>
        <w:ind w:left="2835" w:hanging="2268"/>
        <w:jc w:val="both"/>
        <w:rPr>
          <w:b/>
          <w:lang w:val="es-PE"/>
        </w:rPr>
      </w:pPr>
      <w:r>
        <w:rPr>
          <w:b/>
          <w:lang w:val="es-PE"/>
        </w:rPr>
        <w:t>Primer Entregable</w:t>
      </w:r>
    </w:p>
    <w:p w14:paraId="2B89CC39" w14:textId="77777777" w:rsidR="004412F1" w:rsidRDefault="005A12A3">
      <w:pPr>
        <w:tabs>
          <w:tab w:val="left" w:pos="2268"/>
        </w:tabs>
        <w:ind w:left="567"/>
        <w:jc w:val="both"/>
        <w:rPr>
          <w:lang w:val="es-PE"/>
        </w:rPr>
      </w:pPr>
      <w:r>
        <w:rPr>
          <w:lang w:val="es-PE"/>
        </w:rPr>
        <w:t>Informe de avance del Estudio de análisis técnico legal el mismo que deberá describir las actividades realizadas en la ejecución del servicio que incluya la descripción de las actividades referidas a levantamiento físico, el mismo que debe de estar adecuado a lo establecido al DL 1192.</w:t>
      </w:r>
    </w:p>
    <w:p w14:paraId="606C5ED4" w14:textId="77777777" w:rsidR="004412F1" w:rsidRDefault="005A12A3">
      <w:pPr>
        <w:tabs>
          <w:tab w:val="left" w:pos="2268"/>
        </w:tabs>
        <w:ind w:left="2552" w:hanging="1985"/>
        <w:jc w:val="both"/>
        <w:rPr>
          <w:lang w:val="es-PE"/>
        </w:rPr>
      </w:pPr>
      <w:r>
        <w:rPr>
          <w:lang w:val="es-PE"/>
        </w:rPr>
        <w:tab/>
      </w:r>
      <w:r>
        <w:rPr>
          <w:lang w:val="es-PE"/>
        </w:rPr>
        <w:tab/>
      </w:r>
    </w:p>
    <w:p w14:paraId="387EC6BB" w14:textId="77777777" w:rsidR="004412F1" w:rsidRDefault="005A12A3">
      <w:pPr>
        <w:tabs>
          <w:tab w:val="left" w:pos="1701"/>
        </w:tabs>
        <w:ind w:left="2552" w:hanging="1985"/>
        <w:jc w:val="both"/>
        <w:rPr>
          <w:strike/>
          <w:lang w:val="es-PE"/>
        </w:rPr>
      </w:pPr>
      <w:r>
        <w:rPr>
          <w:lang w:val="es-PE"/>
        </w:rPr>
        <w:t>Plazo:</w:t>
      </w:r>
      <w:r>
        <w:rPr>
          <w:lang w:val="es-PE"/>
        </w:rPr>
        <w:tab/>
        <w:t>45 días calendarios de iniciado el servicio.</w:t>
      </w:r>
    </w:p>
    <w:p w14:paraId="729AB3FF" w14:textId="77777777" w:rsidR="004412F1" w:rsidRDefault="004412F1">
      <w:pPr>
        <w:tabs>
          <w:tab w:val="left" w:pos="2268"/>
        </w:tabs>
        <w:ind w:left="2552" w:hanging="1985"/>
        <w:jc w:val="both"/>
        <w:rPr>
          <w:strike/>
          <w:lang w:val="es-PE"/>
        </w:rPr>
      </w:pPr>
    </w:p>
    <w:p w14:paraId="33F82317" w14:textId="77777777" w:rsidR="004412F1" w:rsidRDefault="005A12A3">
      <w:pPr>
        <w:tabs>
          <w:tab w:val="left" w:pos="2268"/>
        </w:tabs>
        <w:ind w:left="2835" w:hanging="2268"/>
        <w:jc w:val="both"/>
        <w:rPr>
          <w:b/>
          <w:lang w:val="es-PE"/>
        </w:rPr>
      </w:pPr>
      <w:r>
        <w:rPr>
          <w:b/>
          <w:lang w:val="es-PE"/>
        </w:rPr>
        <w:t>Segundo Entregable</w:t>
      </w:r>
    </w:p>
    <w:p w14:paraId="51670119" w14:textId="77777777" w:rsidR="004412F1" w:rsidRDefault="005A12A3">
      <w:pPr>
        <w:tabs>
          <w:tab w:val="left" w:pos="2268"/>
        </w:tabs>
        <w:ind w:left="567"/>
        <w:jc w:val="both"/>
        <w:rPr>
          <w:lang w:val="es-PE"/>
        </w:rPr>
      </w:pPr>
      <w:r>
        <w:rPr>
          <w:lang w:val="es-PE"/>
        </w:rPr>
        <w:t xml:space="preserve">Deberá contener los expedientes individuales de diagnóstico técnico legal concluidos al 100% por cada predio afectado, conformado </w:t>
      </w:r>
      <w:proofErr w:type="gramStart"/>
      <w:r>
        <w:rPr>
          <w:lang w:val="es-PE"/>
        </w:rPr>
        <w:t>de acuerdo a</w:t>
      </w:r>
      <w:proofErr w:type="gramEnd"/>
      <w:r>
        <w:rPr>
          <w:lang w:val="es-PE"/>
        </w:rPr>
        <w:t xml:space="preserve"> las características indicadas en las actividades del presente término de referencia y deberá ser de la totalidad de predios adecuados al DL 1192</w:t>
      </w:r>
    </w:p>
    <w:p w14:paraId="77A1EA74" w14:textId="77777777" w:rsidR="004412F1" w:rsidRDefault="004412F1">
      <w:pPr>
        <w:tabs>
          <w:tab w:val="left" w:pos="2268"/>
        </w:tabs>
        <w:ind w:left="2552" w:hanging="1985"/>
        <w:jc w:val="both"/>
        <w:rPr>
          <w:lang w:val="es-PE"/>
        </w:rPr>
      </w:pPr>
    </w:p>
    <w:p w14:paraId="19AC6432" w14:textId="77777777" w:rsidR="004412F1" w:rsidRDefault="005A12A3">
      <w:pPr>
        <w:tabs>
          <w:tab w:val="left" w:pos="2268"/>
        </w:tabs>
        <w:ind w:left="2552" w:hanging="1985"/>
        <w:jc w:val="both"/>
        <w:rPr>
          <w:strike/>
          <w:lang w:val="es-PE"/>
        </w:rPr>
      </w:pPr>
      <w:r>
        <w:rPr>
          <w:lang w:val="es-PE"/>
        </w:rPr>
        <w:t>*Plazo</w:t>
      </w:r>
      <w:r>
        <w:rPr>
          <w:lang w:val="es-PE"/>
        </w:rPr>
        <w:tab/>
        <w:t>:</w:t>
      </w:r>
      <w:r>
        <w:rPr>
          <w:lang w:val="es-PE"/>
        </w:rPr>
        <w:tab/>
      </w:r>
      <w:proofErr w:type="gramStart"/>
      <w:r>
        <w:rPr>
          <w:lang w:val="es-PE"/>
        </w:rPr>
        <w:t>----  días</w:t>
      </w:r>
      <w:proofErr w:type="gramEnd"/>
      <w:r>
        <w:rPr>
          <w:lang w:val="es-PE"/>
        </w:rPr>
        <w:t xml:space="preserve"> calendarios de iniciado el servicio.</w:t>
      </w:r>
    </w:p>
    <w:p w14:paraId="058C95FA" w14:textId="77777777" w:rsidR="004412F1" w:rsidRDefault="004412F1">
      <w:pPr>
        <w:tabs>
          <w:tab w:val="left" w:pos="2127"/>
        </w:tabs>
        <w:ind w:left="2268" w:hanging="1701"/>
        <w:jc w:val="both"/>
        <w:rPr>
          <w:lang w:val="es-PE"/>
        </w:rPr>
      </w:pPr>
    </w:p>
    <w:p w14:paraId="7D625A0E" w14:textId="77777777" w:rsidR="004412F1" w:rsidRDefault="004412F1">
      <w:pPr>
        <w:tabs>
          <w:tab w:val="left" w:pos="2127"/>
        </w:tabs>
        <w:ind w:left="2268" w:hanging="1701"/>
        <w:jc w:val="both"/>
        <w:rPr>
          <w:lang w:val="es-PE"/>
        </w:rPr>
      </w:pPr>
    </w:p>
    <w:p w14:paraId="4125BACE" w14:textId="77777777" w:rsidR="004412F1" w:rsidRDefault="005A12A3">
      <w:pPr>
        <w:tabs>
          <w:tab w:val="left" w:pos="2268"/>
        </w:tabs>
        <w:ind w:left="2552" w:hanging="1985"/>
        <w:jc w:val="both"/>
        <w:rPr>
          <w:lang w:val="es-PE"/>
        </w:rPr>
      </w:pPr>
      <w:r>
        <w:rPr>
          <w:b/>
          <w:lang w:val="es-PE"/>
        </w:rPr>
        <w:t>Tercer Entregable</w:t>
      </w:r>
      <w:r>
        <w:rPr>
          <w:b/>
          <w:lang w:val="es-PE"/>
        </w:rPr>
        <w:tab/>
        <w:t>:</w:t>
      </w:r>
      <w:r>
        <w:rPr>
          <w:b/>
          <w:lang w:val="es-PE"/>
        </w:rPr>
        <w:tab/>
      </w:r>
      <w:r>
        <w:rPr>
          <w:lang w:val="es-PE"/>
        </w:rPr>
        <w:t xml:space="preserve">Presentación de los expedientes establecidos en el </w:t>
      </w:r>
      <w:proofErr w:type="gramStart"/>
      <w:r>
        <w:rPr>
          <w:lang w:val="es-PE"/>
        </w:rPr>
        <w:t>5.4  (</w:t>
      </w:r>
      <w:proofErr w:type="gramEnd"/>
      <w:r>
        <w:rPr>
          <w:lang w:val="es-PE"/>
        </w:rPr>
        <w:t>considerar tres equipos)</w:t>
      </w:r>
    </w:p>
    <w:p w14:paraId="5F7C4414" w14:textId="77777777" w:rsidR="004412F1" w:rsidRDefault="005A12A3">
      <w:pPr>
        <w:tabs>
          <w:tab w:val="left" w:pos="2268"/>
        </w:tabs>
        <w:ind w:left="2552"/>
        <w:jc w:val="both"/>
        <w:rPr>
          <w:lang w:val="es-PE"/>
        </w:rPr>
      </w:pPr>
      <w:r>
        <w:rPr>
          <w:lang w:val="es-PE"/>
        </w:rPr>
        <w:t>Presentación del avance   de las actividades previstas en el numeral 5.2.12</w:t>
      </w:r>
    </w:p>
    <w:p w14:paraId="3D4CABE7" w14:textId="77777777" w:rsidR="004412F1" w:rsidRDefault="004412F1">
      <w:pPr>
        <w:tabs>
          <w:tab w:val="left" w:pos="2268"/>
        </w:tabs>
        <w:ind w:left="3130"/>
        <w:jc w:val="both"/>
        <w:rPr>
          <w:lang w:val="es-PE"/>
        </w:rPr>
      </w:pPr>
    </w:p>
    <w:p w14:paraId="416B8154" w14:textId="77777777" w:rsidR="004412F1" w:rsidRDefault="005A12A3">
      <w:pPr>
        <w:tabs>
          <w:tab w:val="left" w:pos="2268"/>
        </w:tabs>
        <w:ind w:left="2552" w:hanging="1985"/>
        <w:jc w:val="both"/>
        <w:rPr>
          <w:strike/>
          <w:lang w:val="es-PE"/>
        </w:rPr>
      </w:pPr>
      <w:r>
        <w:rPr>
          <w:lang w:val="es-PE"/>
        </w:rPr>
        <w:t>*Plazo</w:t>
      </w:r>
      <w:r>
        <w:rPr>
          <w:lang w:val="es-PE"/>
        </w:rPr>
        <w:tab/>
        <w:t>:</w:t>
      </w:r>
      <w:r>
        <w:rPr>
          <w:lang w:val="es-PE"/>
        </w:rPr>
        <w:tab/>
        <w:t>---- días calendarios de iniciado el servicio.</w:t>
      </w:r>
    </w:p>
    <w:p w14:paraId="544D4722" w14:textId="77777777" w:rsidR="004412F1" w:rsidRDefault="004412F1">
      <w:pPr>
        <w:tabs>
          <w:tab w:val="left" w:pos="2268"/>
        </w:tabs>
        <w:ind w:left="2552" w:hanging="1985"/>
        <w:jc w:val="both"/>
        <w:rPr>
          <w:b/>
          <w:lang w:val="es-PE"/>
        </w:rPr>
      </w:pPr>
    </w:p>
    <w:p w14:paraId="33AED877" w14:textId="77777777" w:rsidR="004412F1" w:rsidRDefault="005A12A3">
      <w:pPr>
        <w:tabs>
          <w:tab w:val="left" w:pos="2268"/>
        </w:tabs>
        <w:ind w:left="2977" w:hanging="2410"/>
        <w:jc w:val="both"/>
        <w:rPr>
          <w:b/>
          <w:lang w:val="es-PE"/>
        </w:rPr>
      </w:pPr>
      <w:r>
        <w:rPr>
          <w:b/>
          <w:lang w:val="es-PE"/>
        </w:rPr>
        <w:t>Cuarto  Entregable:</w:t>
      </w:r>
      <w:r>
        <w:rPr>
          <w:b/>
          <w:lang w:val="es-PE"/>
        </w:rPr>
        <w:tab/>
      </w:r>
      <w:r>
        <w:rPr>
          <w:lang w:val="es-PE"/>
        </w:rPr>
        <w:t xml:space="preserve">- Presentar el avance de la conformación de los  expedientes de inscripción registral a los Registros Públicos,    (inscripción de sucesiones intestadas, rectificaciones, tramites de contratos de compra y venta, rectificación de estado civil de los afectados, análisis y aplicación de prevalencia de la información, etc.), el cual deberá incluir toda la información técnica y legal, así como la información física y digital y deberá contener los requisitos establecidos en el marco de la Ley Nº 30230, Decreto Legislativo Nº1192, Ley Nº 29151 y demás normas complementarias y conexas. </w:t>
      </w:r>
    </w:p>
    <w:p w14:paraId="55B32366" w14:textId="77777777" w:rsidR="004412F1" w:rsidRDefault="004412F1">
      <w:pPr>
        <w:tabs>
          <w:tab w:val="left" w:pos="2268"/>
        </w:tabs>
        <w:ind w:left="2552" w:hanging="1985"/>
        <w:jc w:val="both"/>
        <w:rPr>
          <w:b/>
          <w:lang w:val="es-PE"/>
        </w:rPr>
      </w:pPr>
    </w:p>
    <w:p w14:paraId="5461D58C" w14:textId="77777777" w:rsidR="004412F1" w:rsidRDefault="005A12A3">
      <w:pPr>
        <w:numPr>
          <w:ilvl w:val="0"/>
          <w:numId w:val="178"/>
        </w:numPr>
        <w:tabs>
          <w:tab w:val="left" w:pos="2268"/>
        </w:tabs>
        <w:ind w:left="3261" w:hanging="283"/>
        <w:jc w:val="both"/>
        <w:rPr>
          <w:b/>
          <w:lang w:val="es-PE"/>
        </w:rPr>
      </w:pPr>
      <w:r>
        <w:rPr>
          <w:lang w:val="es-PE"/>
        </w:rPr>
        <w:t>Presentación de los cargos de ingreso a la SUNARP de los expedientes para la búsqueda catastral</w:t>
      </w:r>
      <w:r>
        <w:rPr>
          <w:b/>
          <w:lang w:val="es-PE"/>
        </w:rPr>
        <w:t xml:space="preserve"> </w:t>
      </w:r>
    </w:p>
    <w:p w14:paraId="484A3F5D" w14:textId="77777777" w:rsidR="004412F1" w:rsidRDefault="004412F1">
      <w:pPr>
        <w:tabs>
          <w:tab w:val="left" w:pos="2268"/>
        </w:tabs>
        <w:ind w:left="2552" w:hanging="1985"/>
        <w:jc w:val="both"/>
        <w:rPr>
          <w:b/>
          <w:lang w:val="es-PE"/>
        </w:rPr>
      </w:pPr>
    </w:p>
    <w:p w14:paraId="636DB504" w14:textId="77777777" w:rsidR="004412F1" w:rsidRDefault="005A12A3">
      <w:pPr>
        <w:tabs>
          <w:tab w:val="left" w:pos="2694"/>
        </w:tabs>
        <w:ind w:left="2977" w:hanging="2410"/>
        <w:jc w:val="both"/>
        <w:rPr>
          <w:b/>
          <w:lang w:val="es-PE"/>
        </w:rPr>
      </w:pPr>
      <w:r>
        <w:rPr>
          <w:b/>
          <w:lang w:val="es-PE"/>
        </w:rPr>
        <w:tab/>
        <w:t xml:space="preserve">     </w:t>
      </w:r>
      <w:r>
        <w:rPr>
          <w:lang w:val="es-PE"/>
        </w:rPr>
        <w:t>De ser el caso a solicitud de la entidad deberá presentar el expedientillo para tasación de acuerdo con lo establecido en ítem 21.6 del DL 1192 el mismo que servirá para tener el valor estimado para el pago a cuenta del 50%.</w:t>
      </w:r>
    </w:p>
    <w:p w14:paraId="02C63951" w14:textId="77777777" w:rsidR="004412F1" w:rsidRDefault="004412F1">
      <w:pPr>
        <w:tabs>
          <w:tab w:val="left" w:pos="2268"/>
        </w:tabs>
        <w:ind w:left="2552" w:hanging="1985"/>
        <w:jc w:val="both"/>
        <w:rPr>
          <w:b/>
          <w:lang w:val="es-PE"/>
        </w:rPr>
      </w:pPr>
    </w:p>
    <w:p w14:paraId="09918A42" w14:textId="77777777" w:rsidR="004412F1" w:rsidRDefault="005A12A3">
      <w:pPr>
        <w:tabs>
          <w:tab w:val="left" w:pos="2268"/>
        </w:tabs>
        <w:ind w:left="2552" w:hanging="1985"/>
        <w:jc w:val="both"/>
        <w:rPr>
          <w:b/>
          <w:lang w:val="es-PE"/>
        </w:rPr>
      </w:pPr>
      <w:r>
        <w:rPr>
          <w:lang w:val="es-PE"/>
        </w:rPr>
        <w:t>*Plazo</w:t>
      </w:r>
      <w:r>
        <w:rPr>
          <w:lang w:val="es-PE"/>
        </w:rPr>
        <w:tab/>
        <w:t>:</w:t>
      </w:r>
      <w:r>
        <w:rPr>
          <w:lang w:val="es-PE"/>
        </w:rPr>
        <w:tab/>
        <w:t>----- días calendarios de iniciado el servicio</w:t>
      </w:r>
    </w:p>
    <w:p w14:paraId="2F71B170" w14:textId="77777777" w:rsidR="004412F1" w:rsidRDefault="004412F1">
      <w:pPr>
        <w:tabs>
          <w:tab w:val="left" w:pos="2268"/>
        </w:tabs>
        <w:ind w:left="2552" w:hanging="1985"/>
        <w:jc w:val="both"/>
        <w:rPr>
          <w:b/>
          <w:lang w:val="es-PE"/>
        </w:rPr>
      </w:pPr>
    </w:p>
    <w:p w14:paraId="37B0EDA5" w14:textId="77777777" w:rsidR="004412F1" w:rsidRDefault="005A12A3">
      <w:pPr>
        <w:tabs>
          <w:tab w:val="left" w:pos="2268"/>
        </w:tabs>
        <w:ind w:left="2552" w:hanging="1985"/>
        <w:jc w:val="both"/>
        <w:rPr>
          <w:b/>
          <w:lang w:val="es-PE"/>
        </w:rPr>
      </w:pPr>
      <w:r>
        <w:rPr>
          <w:b/>
          <w:lang w:val="es-PE"/>
        </w:rPr>
        <w:t>Quinto Entregable</w:t>
      </w:r>
    </w:p>
    <w:p w14:paraId="1999A6FA" w14:textId="77777777" w:rsidR="004412F1" w:rsidRDefault="005A12A3">
      <w:pPr>
        <w:tabs>
          <w:tab w:val="left" w:pos="2268"/>
        </w:tabs>
        <w:ind w:left="2552" w:hanging="1985"/>
        <w:jc w:val="both"/>
        <w:rPr>
          <w:b/>
          <w:u w:val="single"/>
          <w:lang w:val="es-PE"/>
        </w:rPr>
      </w:pPr>
      <w:r>
        <w:rPr>
          <w:lang w:val="es-PE"/>
        </w:rPr>
        <w:t xml:space="preserve">Presentación de </w:t>
      </w:r>
      <w:r>
        <w:rPr>
          <w:b/>
          <w:u w:val="single"/>
          <w:lang w:val="es-PE"/>
        </w:rPr>
        <w:t>Expedientes individuales</w:t>
      </w:r>
    </w:p>
    <w:p w14:paraId="36A78050" w14:textId="77777777" w:rsidR="004412F1" w:rsidRDefault="004412F1">
      <w:pPr>
        <w:tabs>
          <w:tab w:val="left" w:pos="2268"/>
        </w:tabs>
        <w:ind w:left="2552" w:hanging="1985"/>
        <w:jc w:val="both"/>
        <w:rPr>
          <w:b/>
          <w:u w:val="single"/>
          <w:lang w:val="es-PE"/>
        </w:rPr>
      </w:pPr>
    </w:p>
    <w:p w14:paraId="52F25F71" w14:textId="77777777" w:rsidR="004412F1" w:rsidRDefault="005A12A3">
      <w:pPr>
        <w:ind w:left="567"/>
        <w:jc w:val="both"/>
        <w:rPr>
          <w:lang w:val="es-PE"/>
        </w:rPr>
      </w:pPr>
      <w:r>
        <w:rPr>
          <w:lang w:val="es-PE"/>
        </w:rPr>
        <w:t xml:space="preserve">Presentación de los expedientes individuales </w:t>
      </w:r>
      <w:proofErr w:type="gramStart"/>
      <w:r>
        <w:rPr>
          <w:lang w:val="es-PE"/>
        </w:rPr>
        <w:t>de acuerdo a</w:t>
      </w:r>
      <w:proofErr w:type="gramEnd"/>
      <w:r>
        <w:rPr>
          <w:lang w:val="es-PE"/>
        </w:rPr>
        <w:t xml:space="preserve"> lo establecido en el ítem 5.3 el 50% del total de afectados (lo que dará lugar a la comunicación de los afectados para la inscripción preventiva)</w:t>
      </w:r>
    </w:p>
    <w:p w14:paraId="37445ED9" w14:textId="77777777" w:rsidR="004412F1" w:rsidRDefault="005A12A3">
      <w:pPr>
        <w:ind w:left="567"/>
        <w:jc w:val="both"/>
        <w:rPr>
          <w:lang w:val="es-PE"/>
        </w:rPr>
      </w:pPr>
      <w:r>
        <w:rPr>
          <w:lang w:val="es-PE"/>
        </w:rPr>
        <w:t xml:space="preserve">De ser el caso a solicitud de la entidad deberá presentar el expedientillo para tasación </w:t>
      </w:r>
      <w:proofErr w:type="gramStart"/>
      <w:r>
        <w:rPr>
          <w:lang w:val="es-PE"/>
        </w:rPr>
        <w:t>de acuerdo a</w:t>
      </w:r>
      <w:proofErr w:type="gramEnd"/>
      <w:r>
        <w:rPr>
          <w:lang w:val="es-PE"/>
        </w:rPr>
        <w:t xml:space="preserve"> lo establecido en ítem 21.6 del DL 1192 el mismo que servirá para tener el valor estimado para el pago a cuenta del 50% </w:t>
      </w:r>
    </w:p>
    <w:p w14:paraId="54F77AC8" w14:textId="77777777" w:rsidR="004412F1" w:rsidRDefault="004412F1">
      <w:pPr>
        <w:tabs>
          <w:tab w:val="left" w:pos="2268"/>
        </w:tabs>
        <w:ind w:left="2552" w:hanging="1985"/>
        <w:jc w:val="both"/>
        <w:rPr>
          <w:lang w:val="es-PE"/>
        </w:rPr>
      </w:pPr>
    </w:p>
    <w:p w14:paraId="352E1D3A" w14:textId="77777777" w:rsidR="004412F1" w:rsidRDefault="005A12A3">
      <w:pPr>
        <w:tabs>
          <w:tab w:val="left" w:pos="2268"/>
        </w:tabs>
        <w:ind w:left="2552" w:hanging="1985"/>
        <w:jc w:val="both"/>
        <w:rPr>
          <w:strike/>
          <w:lang w:val="es-PE"/>
        </w:rPr>
      </w:pPr>
      <w:r>
        <w:rPr>
          <w:b/>
          <w:lang w:val="es-PE"/>
        </w:rPr>
        <w:t>*Plazo</w:t>
      </w:r>
      <w:r>
        <w:rPr>
          <w:b/>
          <w:lang w:val="es-PE"/>
        </w:rPr>
        <w:tab/>
        <w:t>:</w:t>
      </w:r>
      <w:r>
        <w:rPr>
          <w:lang w:val="es-PE"/>
        </w:rPr>
        <w:tab/>
        <w:t>----- días calendarios de iniciado el servicio.</w:t>
      </w:r>
    </w:p>
    <w:p w14:paraId="45241A5A" w14:textId="77777777" w:rsidR="004412F1" w:rsidRDefault="004412F1">
      <w:pPr>
        <w:tabs>
          <w:tab w:val="left" w:pos="2268"/>
        </w:tabs>
        <w:ind w:left="2552" w:hanging="1985"/>
        <w:jc w:val="both"/>
        <w:rPr>
          <w:b/>
          <w:lang w:val="es-PE"/>
        </w:rPr>
      </w:pPr>
    </w:p>
    <w:p w14:paraId="1513D833" w14:textId="77777777" w:rsidR="004412F1" w:rsidRDefault="005A12A3">
      <w:pPr>
        <w:tabs>
          <w:tab w:val="left" w:pos="2268"/>
        </w:tabs>
        <w:ind w:left="2552" w:hanging="1985"/>
        <w:jc w:val="both"/>
        <w:rPr>
          <w:b/>
          <w:lang w:val="es-PE"/>
        </w:rPr>
      </w:pPr>
      <w:r>
        <w:rPr>
          <w:b/>
          <w:lang w:val="es-PE"/>
        </w:rPr>
        <w:t>Sexto Entregable</w:t>
      </w:r>
    </w:p>
    <w:p w14:paraId="3559C66A" w14:textId="77777777" w:rsidR="004412F1" w:rsidRDefault="005A12A3">
      <w:pPr>
        <w:tabs>
          <w:tab w:val="left" w:pos="2268"/>
        </w:tabs>
        <w:ind w:left="2552" w:hanging="1985"/>
        <w:jc w:val="both"/>
        <w:rPr>
          <w:b/>
          <w:u w:val="single"/>
          <w:lang w:val="es-PE"/>
        </w:rPr>
      </w:pPr>
      <w:r>
        <w:rPr>
          <w:lang w:val="es-PE"/>
        </w:rPr>
        <w:t xml:space="preserve">Presentación de </w:t>
      </w:r>
      <w:r>
        <w:rPr>
          <w:b/>
          <w:u w:val="single"/>
          <w:lang w:val="es-PE"/>
        </w:rPr>
        <w:t>Expedientes individuales</w:t>
      </w:r>
    </w:p>
    <w:p w14:paraId="501D9897" w14:textId="77777777" w:rsidR="004412F1" w:rsidRDefault="004412F1">
      <w:pPr>
        <w:tabs>
          <w:tab w:val="left" w:pos="2268"/>
        </w:tabs>
        <w:ind w:left="2552" w:hanging="1985"/>
        <w:jc w:val="both"/>
        <w:rPr>
          <w:b/>
          <w:u w:val="single"/>
          <w:lang w:val="es-PE"/>
        </w:rPr>
      </w:pPr>
    </w:p>
    <w:p w14:paraId="1A73A8A8" w14:textId="77777777" w:rsidR="004412F1" w:rsidRDefault="005A12A3">
      <w:pPr>
        <w:numPr>
          <w:ilvl w:val="0"/>
          <w:numId w:val="178"/>
        </w:numPr>
        <w:tabs>
          <w:tab w:val="left" w:pos="993"/>
        </w:tabs>
        <w:ind w:left="993" w:hanging="426"/>
        <w:jc w:val="both"/>
        <w:rPr>
          <w:lang w:val="es-PE"/>
        </w:rPr>
      </w:pPr>
      <w:r>
        <w:rPr>
          <w:lang w:val="es-PE"/>
        </w:rPr>
        <w:t xml:space="preserve">Presentación de los expedientes individuales </w:t>
      </w:r>
      <w:proofErr w:type="gramStart"/>
      <w:r>
        <w:rPr>
          <w:lang w:val="es-PE"/>
        </w:rPr>
        <w:t>de acuerdo a</w:t>
      </w:r>
      <w:proofErr w:type="gramEnd"/>
      <w:r>
        <w:rPr>
          <w:lang w:val="es-PE"/>
        </w:rPr>
        <w:t xml:space="preserve"> lo establecido en el ítem 5.3 el 50% restante del total de afectados (lo que dará lugar a la comunicación de los afectados para la inscripción preventiva).</w:t>
      </w:r>
    </w:p>
    <w:p w14:paraId="6219F9AA" w14:textId="77777777" w:rsidR="004412F1" w:rsidRDefault="005A12A3">
      <w:pPr>
        <w:numPr>
          <w:ilvl w:val="0"/>
          <w:numId w:val="178"/>
        </w:numPr>
        <w:tabs>
          <w:tab w:val="left" w:pos="993"/>
        </w:tabs>
        <w:ind w:left="993" w:hanging="426"/>
        <w:jc w:val="both"/>
        <w:rPr>
          <w:lang w:val="es-PE"/>
        </w:rPr>
      </w:pPr>
      <w:r>
        <w:rPr>
          <w:lang w:val="es-PE"/>
        </w:rPr>
        <w:t>Presentación de los expedientes de transferencia interestatal que se encuentran</w:t>
      </w:r>
    </w:p>
    <w:p w14:paraId="198BD749" w14:textId="77777777" w:rsidR="004412F1" w:rsidRDefault="005A12A3">
      <w:pPr>
        <w:ind w:left="993" w:hanging="145"/>
        <w:jc w:val="both"/>
        <w:rPr>
          <w:lang w:val="es-PE"/>
        </w:rPr>
      </w:pPr>
      <w:r>
        <w:rPr>
          <w:lang w:val="es-PE"/>
        </w:rPr>
        <w:tab/>
        <w:t>Inscritos a nombre de PROVIAS NACIONAL.</w:t>
      </w:r>
    </w:p>
    <w:p w14:paraId="24CECDE8" w14:textId="77777777" w:rsidR="004412F1" w:rsidRDefault="005A12A3">
      <w:pPr>
        <w:numPr>
          <w:ilvl w:val="0"/>
          <w:numId w:val="178"/>
        </w:numPr>
        <w:tabs>
          <w:tab w:val="left" w:pos="993"/>
        </w:tabs>
        <w:ind w:left="993" w:hanging="426"/>
        <w:jc w:val="both"/>
        <w:rPr>
          <w:lang w:val="es-PE"/>
        </w:rPr>
      </w:pPr>
      <w:r>
        <w:rPr>
          <w:lang w:val="es-PE"/>
        </w:rPr>
        <w:t>Presentación de los expedientes individuales de los predios que tengan duplicidad y controversia sobre la propiedad acuerdo a lo establecido en el ítem 5.3 y otros.</w:t>
      </w:r>
    </w:p>
    <w:p w14:paraId="2CBE1493" w14:textId="77777777" w:rsidR="004412F1" w:rsidRDefault="005A12A3">
      <w:pPr>
        <w:numPr>
          <w:ilvl w:val="0"/>
          <w:numId w:val="178"/>
        </w:numPr>
        <w:tabs>
          <w:tab w:val="left" w:pos="993"/>
        </w:tabs>
        <w:ind w:left="993" w:hanging="426"/>
        <w:jc w:val="both"/>
        <w:rPr>
          <w:lang w:val="es-PE"/>
        </w:rPr>
      </w:pPr>
      <w:r>
        <w:rPr>
          <w:lang w:val="es-PE"/>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cuyos expedientes individuales fueron presentados en el quinto entregable para lo cual la entidad le alcanzar las comunicaciones al sujeto pasivo.</w:t>
      </w:r>
    </w:p>
    <w:p w14:paraId="13281655" w14:textId="77777777" w:rsidR="004412F1" w:rsidRDefault="005A12A3">
      <w:pPr>
        <w:tabs>
          <w:tab w:val="left" w:pos="2268"/>
        </w:tabs>
        <w:ind w:left="2552" w:hanging="1985"/>
        <w:jc w:val="both"/>
        <w:rPr>
          <w:lang w:val="es-PE"/>
        </w:rPr>
      </w:pPr>
      <w:r>
        <w:rPr>
          <w:lang w:val="es-PE"/>
        </w:rPr>
        <w:tab/>
      </w:r>
      <w:r>
        <w:rPr>
          <w:lang w:val="es-PE"/>
        </w:rPr>
        <w:tab/>
      </w:r>
    </w:p>
    <w:p w14:paraId="03ED86EF" w14:textId="77777777" w:rsidR="004412F1" w:rsidRDefault="005A12A3">
      <w:pPr>
        <w:tabs>
          <w:tab w:val="left" w:pos="2268"/>
        </w:tabs>
        <w:ind w:left="2552" w:hanging="1985"/>
        <w:jc w:val="both"/>
        <w:rPr>
          <w:lang w:val="es-PE"/>
        </w:rPr>
      </w:pPr>
      <w:r>
        <w:rPr>
          <w:b/>
          <w:lang w:val="es-PE"/>
        </w:rPr>
        <w:t>*Plazo</w:t>
      </w:r>
      <w:r>
        <w:rPr>
          <w:b/>
          <w:lang w:val="es-PE"/>
        </w:rPr>
        <w:tab/>
        <w:t>:</w:t>
      </w:r>
      <w:r>
        <w:rPr>
          <w:lang w:val="es-PE"/>
        </w:rPr>
        <w:tab/>
        <w:t>----- días calendarios de iniciado el servicio</w:t>
      </w:r>
    </w:p>
    <w:p w14:paraId="4A5E4050" w14:textId="77777777" w:rsidR="004412F1" w:rsidRDefault="004412F1">
      <w:pPr>
        <w:tabs>
          <w:tab w:val="left" w:pos="2268"/>
        </w:tabs>
        <w:ind w:left="2552" w:hanging="1985"/>
        <w:jc w:val="both"/>
        <w:rPr>
          <w:lang w:val="es-PE"/>
        </w:rPr>
      </w:pPr>
    </w:p>
    <w:p w14:paraId="1CD60D77" w14:textId="77777777" w:rsidR="004412F1" w:rsidRDefault="005A12A3">
      <w:pPr>
        <w:tabs>
          <w:tab w:val="left" w:pos="2268"/>
        </w:tabs>
        <w:ind w:left="2552" w:hanging="1985"/>
        <w:jc w:val="both"/>
        <w:rPr>
          <w:b/>
          <w:lang w:val="es-PE"/>
        </w:rPr>
      </w:pPr>
      <w:r>
        <w:rPr>
          <w:b/>
          <w:lang w:val="es-PE"/>
        </w:rPr>
        <w:t>Séptimo Entregable</w:t>
      </w:r>
    </w:p>
    <w:p w14:paraId="5ACF3DE2" w14:textId="77777777" w:rsidR="004412F1" w:rsidRDefault="005A12A3">
      <w:pPr>
        <w:ind w:left="567"/>
        <w:jc w:val="both"/>
        <w:rPr>
          <w:lang w:val="es-PE"/>
        </w:rPr>
      </w:pPr>
      <w:r>
        <w:rPr>
          <w:lang w:val="es-PE"/>
        </w:rPr>
        <w:t>Deberá presentar copia del expediente presentado a Registros Públicos y copia del cargo de solicitud de Anotación Preventiva del área del derecho de vía de la obra vial en el marco del Art. 42 de la Ley Nº 30230, presentado a Registros Públicos del 50% de los predios privados restantes cuyos expedientes individuales fueron presentados en el quinto entregable para lo cual la entidad le alcanzar las comunicaciones al sujeto pasivo.</w:t>
      </w:r>
    </w:p>
    <w:p w14:paraId="5B85F505" w14:textId="77777777" w:rsidR="004412F1" w:rsidRDefault="004412F1">
      <w:pPr>
        <w:tabs>
          <w:tab w:val="left" w:pos="2268"/>
        </w:tabs>
        <w:ind w:left="2552" w:hanging="1985"/>
        <w:jc w:val="both"/>
        <w:rPr>
          <w:b/>
          <w:lang w:val="es-PE"/>
        </w:rPr>
      </w:pPr>
    </w:p>
    <w:p w14:paraId="3D15AC90" w14:textId="77777777" w:rsidR="004412F1" w:rsidRDefault="005A12A3">
      <w:pPr>
        <w:tabs>
          <w:tab w:val="left" w:pos="2268"/>
        </w:tabs>
        <w:ind w:left="2552" w:hanging="1985"/>
        <w:jc w:val="both"/>
        <w:rPr>
          <w:lang w:val="es-PE"/>
        </w:rPr>
      </w:pPr>
      <w:r>
        <w:rPr>
          <w:b/>
          <w:lang w:val="es-PE"/>
        </w:rPr>
        <w:t>*Plazo</w:t>
      </w:r>
      <w:r>
        <w:rPr>
          <w:b/>
          <w:lang w:val="es-PE"/>
        </w:rPr>
        <w:tab/>
        <w:t>:</w:t>
      </w:r>
      <w:r>
        <w:rPr>
          <w:lang w:val="es-PE"/>
        </w:rPr>
        <w:tab/>
        <w:t>----- días calendarios de iniciado el servicio</w:t>
      </w:r>
    </w:p>
    <w:p w14:paraId="0389F1CC" w14:textId="77777777" w:rsidR="004412F1" w:rsidRDefault="005A12A3">
      <w:pPr>
        <w:tabs>
          <w:tab w:val="left" w:pos="2268"/>
        </w:tabs>
        <w:ind w:left="2552" w:hanging="1985"/>
        <w:jc w:val="both"/>
        <w:rPr>
          <w:b/>
          <w:lang w:val="es-PE"/>
        </w:rPr>
      </w:pPr>
      <w:r>
        <w:rPr>
          <w:b/>
          <w:lang w:val="es-PE"/>
        </w:rPr>
        <w:tab/>
      </w:r>
      <w:r>
        <w:rPr>
          <w:b/>
          <w:lang w:val="es-PE"/>
        </w:rPr>
        <w:tab/>
      </w:r>
      <w:r>
        <w:rPr>
          <w:b/>
          <w:lang w:val="es-PE"/>
        </w:rPr>
        <w:tab/>
      </w:r>
    </w:p>
    <w:p w14:paraId="5E0DDEA6" w14:textId="77777777" w:rsidR="004412F1" w:rsidRDefault="005A12A3">
      <w:pPr>
        <w:tabs>
          <w:tab w:val="left" w:pos="2268"/>
        </w:tabs>
        <w:ind w:left="2694" w:hanging="2127"/>
        <w:jc w:val="both"/>
        <w:rPr>
          <w:b/>
        </w:rPr>
      </w:pPr>
      <w:r>
        <w:rPr>
          <w:b/>
        </w:rPr>
        <w:t>Octavo Entregable</w:t>
      </w:r>
    </w:p>
    <w:p w14:paraId="55236157" w14:textId="77777777" w:rsidR="004412F1" w:rsidRDefault="005A12A3">
      <w:pPr>
        <w:numPr>
          <w:ilvl w:val="0"/>
          <w:numId w:val="178"/>
        </w:numPr>
        <w:tabs>
          <w:tab w:val="left" w:pos="993"/>
        </w:tabs>
        <w:ind w:left="993" w:hanging="426"/>
        <w:jc w:val="both"/>
        <w:rPr>
          <w:b/>
          <w:lang w:val="es-PE"/>
        </w:rPr>
      </w:pPr>
      <w:r>
        <w:rPr>
          <w:lang w:val="es-PE"/>
        </w:rPr>
        <w:t>Presentar el avance final de las actividades de inscripción registral a los Registros Públicos, (inscripción de sucesiones intestadas, rectificaciones, tramites de contratos de compra y venta, rectificación de estado civil de los afectados, análisis y aplicación de prevalencia de la información, etc.).</w:t>
      </w:r>
    </w:p>
    <w:p w14:paraId="495A3B0B" w14:textId="77777777" w:rsidR="004412F1" w:rsidRDefault="005A12A3">
      <w:pPr>
        <w:numPr>
          <w:ilvl w:val="0"/>
          <w:numId w:val="178"/>
        </w:numPr>
        <w:tabs>
          <w:tab w:val="left" w:pos="993"/>
        </w:tabs>
        <w:ind w:left="993" w:hanging="426"/>
        <w:jc w:val="both"/>
        <w:rPr>
          <w:b/>
          <w:lang w:val="es-PE"/>
        </w:rPr>
      </w:pPr>
      <w:r>
        <w:rPr>
          <w:lang w:val="es-PE"/>
        </w:rPr>
        <w:t>Presentar el informe final del total de predios que se encuentran expeditos para que se proceda a la inscripción registral</w:t>
      </w:r>
      <w:r>
        <w:rPr>
          <w:b/>
          <w:lang w:val="es-PE"/>
        </w:rPr>
        <w:tab/>
      </w:r>
    </w:p>
    <w:p w14:paraId="2597F92D" w14:textId="77777777" w:rsidR="004412F1" w:rsidRDefault="004412F1">
      <w:pPr>
        <w:tabs>
          <w:tab w:val="left" w:pos="2268"/>
        </w:tabs>
        <w:ind w:left="2552"/>
        <w:jc w:val="both"/>
        <w:rPr>
          <w:b/>
          <w:lang w:val="es-PE"/>
        </w:rPr>
      </w:pPr>
    </w:p>
    <w:p w14:paraId="523F0791" w14:textId="77777777" w:rsidR="004412F1" w:rsidRDefault="005A12A3">
      <w:pPr>
        <w:tabs>
          <w:tab w:val="left" w:pos="2268"/>
        </w:tabs>
        <w:ind w:left="2552" w:hanging="1985"/>
        <w:jc w:val="both"/>
        <w:rPr>
          <w:lang w:val="es-PE"/>
        </w:rPr>
      </w:pPr>
      <w:r>
        <w:rPr>
          <w:b/>
          <w:lang w:val="es-PE"/>
        </w:rPr>
        <w:t>*Plazo</w:t>
      </w:r>
      <w:r>
        <w:rPr>
          <w:b/>
          <w:lang w:val="es-PE"/>
        </w:rPr>
        <w:tab/>
        <w:t>:</w:t>
      </w:r>
      <w:r>
        <w:rPr>
          <w:lang w:val="es-PE"/>
        </w:rPr>
        <w:tab/>
        <w:t>------ días calendarios de iniciado el servicio</w:t>
      </w:r>
    </w:p>
    <w:p w14:paraId="571225CF" w14:textId="77777777" w:rsidR="004412F1" w:rsidRDefault="004412F1">
      <w:pPr>
        <w:tabs>
          <w:tab w:val="left" w:pos="2268"/>
        </w:tabs>
        <w:ind w:left="2552" w:hanging="1985"/>
        <w:jc w:val="both"/>
        <w:rPr>
          <w:b/>
          <w:lang w:val="es-PE"/>
        </w:rPr>
      </w:pPr>
    </w:p>
    <w:p w14:paraId="6E4151C2" w14:textId="77777777" w:rsidR="004412F1" w:rsidRDefault="005A12A3">
      <w:pPr>
        <w:tabs>
          <w:tab w:val="left" w:pos="2268"/>
        </w:tabs>
        <w:ind w:left="2552" w:hanging="1985"/>
        <w:jc w:val="both"/>
        <w:rPr>
          <w:lang w:val="es-PE"/>
        </w:rPr>
      </w:pPr>
      <w:r>
        <w:rPr>
          <w:lang w:val="es-PE"/>
        </w:rPr>
        <w:tab/>
      </w:r>
      <w:r>
        <w:rPr>
          <w:lang w:val="es-PE"/>
        </w:rPr>
        <w:tab/>
        <w:t>Presentación de un informe referido a las acciones realizadas para lograr el saneamiento físico legal y la inscripción registral de las áreas afectadas a nombre de Provias Nacional.</w:t>
      </w:r>
    </w:p>
    <w:p w14:paraId="5AEA7E54" w14:textId="77777777" w:rsidR="004412F1" w:rsidRDefault="004412F1">
      <w:pPr>
        <w:tabs>
          <w:tab w:val="left" w:pos="2268"/>
        </w:tabs>
        <w:ind w:left="2552" w:hanging="1985"/>
        <w:jc w:val="both"/>
        <w:rPr>
          <w:lang w:val="es-PE"/>
        </w:rPr>
      </w:pPr>
    </w:p>
    <w:p w14:paraId="70FD4A48" w14:textId="77777777" w:rsidR="004412F1" w:rsidRDefault="005A12A3">
      <w:pPr>
        <w:tabs>
          <w:tab w:val="left" w:pos="2268"/>
        </w:tabs>
        <w:ind w:left="2552" w:hanging="1985"/>
        <w:jc w:val="both"/>
        <w:rPr>
          <w:b/>
        </w:rPr>
      </w:pPr>
      <w:r>
        <w:rPr>
          <w:b/>
        </w:rPr>
        <w:t>Noveno Entregable</w:t>
      </w:r>
    </w:p>
    <w:p w14:paraId="4017B054" w14:textId="77777777" w:rsidR="004412F1" w:rsidRDefault="005A12A3">
      <w:pPr>
        <w:numPr>
          <w:ilvl w:val="0"/>
          <w:numId w:val="178"/>
        </w:numPr>
        <w:tabs>
          <w:tab w:val="left" w:pos="993"/>
        </w:tabs>
        <w:ind w:left="993" w:hanging="426"/>
        <w:jc w:val="both"/>
        <w:rPr>
          <w:lang w:val="es-PE"/>
        </w:rPr>
      </w:pPr>
      <w:r>
        <w:rPr>
          <w:lang w:val="es-PE"/>
        </w:rPr>
        <w:t>Presentación de un informe Final de los predios pendientes de inscripción y las estrategias a seguir para logra inscribirlos.</w:t>
      </w:r>
    </w:p>
    <w:p w14:paraId="67D4703D" w14:textId="77777777" w:rsidR="004412F1" w:rsidRDefault="004412F1">
      <w:pPr>
        <w:tabs>
          <w:tab w:val="left" w:pos="2268"/>
        </w:tabs>
        <w:ind w:left="2694"/>
        <w:jc w:val="both"/>
        <w:rPr>
          <w:lang w:val="es-PE"/>
        </w:rPr>
      </w:pPr>
    </w:p>
    <w:p w14:paraId="5BE2B950" w14:textId="77777777" w:rsidR="004412F1" w:rsidRDefault="005A12A3">
      <w:pPr>
        <w:tabs>
          <w:tab w:val="left" w:pos="2268"/>
        </w:tabs>
        <w:ind w:left="2552" w:hanging="1985"/>
        <w:jc w:val="both"/>
        <w:rPr>
          <w:strike/>
          <w:lang w:val="es-PE"/>
        </w:rPr>
      </w:pPr>
      <w:r>
        <w:rPr>
          <w:b/>
          <w:lang w:val="es-PE"/>
        </w:rPr>
        <w:t>*Plazo</w:t>
      </w:r>
      <w:r>
        <w:rPr>
          <w:b/>
          <w:lang w:val="es-PE"/>
        </w:rPr>
        <w:tab/>
        <w:t>:</w:t>
      </w:r>
      <w:r>
        <w:rPr>
          <w:lang w:val="es-PE"/>
        </w:rPr>
        <w:tab/>
        <w:t>----- días calendarios de iniciado el servicio.</w:t>
      </w:r>
    </w:p>
    <w:p w14:paraId="23EC1425" w14:textId="77777777" w:rsidR="004412F1" w:rsidRDefault="004412F1">
      <w:pPr>
        <w:tabs>
          <w:tab w:val="left" w:pos="709"/>
        </w:tabs>
        <w:ind w:left="709" w:hanging="283"/>
        <w:jc w:val="both"/>
        <w:rPr>
          <w:lang w:val="es-PE"/>
        </w:rPr>
      </w:pPr>
    </w:p>
    <w:p w14:paraId="32CDA05D" w14:textId="77777777" w:rsidR="004412F1" w:rsidRDefault="005A12A3">
      <w:pPr>
        <w:ind w:left="709" w:hanging="142"/>
        <w:jc w:val="both"/>
        <w:rPr>
          <w:b/>
          <w:lang w:val="es-PE"/>
        </w:rPr>
      </w:pPr>
      <w:r>
        <w:rPr>
          <w:b/>
          <w:lang w:val="es-PE"/>
        </w:rPr>
        <w:t>*La entidad a partir del segundo entregable evaluara los plazos necesarios para la entrega de estos.</w:t>
      </w:r>
    </w:p>
    <w:p w14:paraId="158DF039" w14:textId="77777777" w:rsidR="004412F1" w:rsidRDefault="004412F1">
      <w:pPr>
        <w:jc w:val="both"/>
        <w:rPr>
          <w:b/>
          <w:lang w:val="es-PE"/>
        </w:rPr>
      </w:pPr>
    </w:p>
    <w:p w14:paraId="0145656C" w14:textId="77777777" w:rsidR="004412F1" w:rsidRDefault="005A12A3">
      <w:pPr>
        <w:numPr>
          <w:ilvl w:val="0"/>
          <w:numId w:val="175"/>
        </w:numPr>
        <w:tabs>
          <w:tab w:val="left" w:pos="709"/>
        </w:tabs>
        <w:ind w:left="567" w:hanging="567"/>
        <w:jc w:val="both"/>
      </w:pPr>
      <w:r>
        <w:rPr>
          <w:b/>
        </w:rPr>
        <w:t xml:space="preserve">OTRAS CONDICIONES </w:t>
      </w:r>
    </w:p>
    <w:p w14:paraId="5E5081E0" w14:textId="77777777" w:rsidR="004412F1" w:rsidRDefault="004412F1">
      <w:pPr>
        <w:ind w:left="851" w:hanging="142"/>
        <w:jc w:val="both"/>
        <w:rPr>
          <w:b/>
        </w:rPr>
      </w:pPr>
    </w:p>
    <w:p w14:paraId="51935D92" w14:textId="77777777" w:rsidR="004412F1" w:rsidRDefault="005A12A3">
      <w:pPr>
        <w:ind w:left="709"/>
        <w:jc w:val="both"/>
        <w:rPr>
          <w:rFonts w:eastAsia="Times New Roman"/>
          <w:bCs/>
          <w:szCs w:val="18"/>
          <w:lang w:val="es-ES" w:eastAsia="es-ES"/>
        </w:rPr>
      </w:pPr>
      <w:r>
        <w:rPr>
          <w:lang w:val="es-PE"/>
        </w:rPr>
        <w:t>El Contratista deberá tener en consideración el cumplimiento de los plazos contenidos en el presente TdR ya que estos se encuentran regulados en el DL 1192</w:t>
      </w:r>
    </w:p>
    <w:p w14:paraId="1D797E43" w14:textId="77777777" w:rsidR="004412F1" w:rsidRDefault="004412F1">
      <w:pPr>
        <w:tabs>
          <w:tab w:val="left" w:pos="2268"/>
        </w:tabs>
        <w:ind w:left="2552" w:hanging="1985"/>
        <w:jc w:val="both"/>
        <w:rPr>
          <w:b/>
          <w:lang w:val="es-PE"/>
        </w:rPr>
      </w:pPr>
    </w:p>
    <w:p w14:paraId="58ED8A1C" w14:textId="77777777" w:rsidR="004412F1" w:rsidRDefault="004412F1">
      <w:pPr>
        <w:tabs>
          <w:tab w:val="left" w:pos="2268"/>
        </w:tabs>
        <w:ind w:left="2552" w:hanging="1985"/>
        <w:jc w:val="both"/>
        <w:rPr>
          <w:b/>
          <w:lang w:val="es-PE"/>
        </w:rPr>
      </w:pPr>
    </w:p>
    <w:p w14:paraId="2BD82FBC" w14:textId="77777777" w:rsidR="004412F1" w:rsidRDefault="004412F1">
      <w:pPr>
        <w:tabs>
          <w:tab w:val="left" w:pos="2268"/>
        </w:tabs>
        <w:jc w:val="both"/>
        <w:rPr>
          <w:b/>
          <w:lang w:val="es-PE"/>
        </w:rPr>
      </w:pPr>
    </w:p>
    <w:p w14:paraId="1FAC17CA" w14:textId="77777777" w:rsidR="004412F1" w:rsidRDefault="005A12A3">
      <w:pPr>
        <w:jc w:val="both"/>
        <w:rPr>
          <w:b/>
          <w:lang w:val="es-PE"/>
        </w:rPr>
      </w:pPr>
      <w:r>
        <w:rPr>
          <w:b/>
          <w:lang w:val="es-PE"/>
        </w:rPr>
        <w:t>Costo Unitario por Diagnóstico Técnico Legal predial</w:t>
      </w:r>
    </w:p>
    <w:p w14:paraId="281967B7" w14:textId="77777777" w:rsidR="004412F1" w:rsidRDefault="004412F1">
      <w:pPr>
        <w:jc w:val="both"/>
        <w:rPr>
          <w:lang w:val="es-PE"/>
        </w:rPr>
      </w:pPr>
    </w:p>
    <w:p w14:paraId="71ACAE52" w14:textId="77777777" w:rsidR="004412F1" w:rsidRDefault="004412F1">
      <w:pPr>
        <w:jc w:val="both"/>
        <w:rPr>
          <w:lang w:val="es-PE"/>
        </w:rPr>
      </w:pPr>
    </w:p>
    <w:tbl>
      <w:tblPr>
        <w:tblW w:w="7940"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6740"/>
        <w:gridCol w:w="1200"/>
      </w:tblGrid>
      <w:tr w:rsidR="004412F1" w14:paraId="73C3F9D4" w14:textId="77777777">
        <w:trPr>
          <w:trHeight w:val="315"/>
        </w:trPr>
        <w:tc>
          <w:tcPr>
            <w:tcW w:w="6740" w:type="dxa"/>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08A86DA3" w14:textId="77777777" w:rsidR="004412F1" w:rsidRDefault="005A12A3">
            <w:pPr>
              <w:jc w:val="center"/>
              <w:rPr>
                <w:b/>
                <w:color w:val="000000"/>
              </w:rPr>
            </w:pPr>
            <w:r>
              <w:rPr>
                <w:b/>
                <w:color w:val="000000"/>
              </w:rPr>
              <w:t>Detalle</w:t>
            </w:r>
          </w:p>
        </w:tc>
        <w:tc>
          <w:tcPr>
            <w:tcW w:w="1200" w:type="dxa"/>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tcPr>
          <w:p w14:paraId="4082C4C8" w14:textId="77777777" w:rsidR="004412F1" w:rsidRDefault="005A12A3">
            <w:pPr>
              <w:jc w:val="center"/>
              <w:rPr>
                <w:rFonts w:eastAsia="Times New Roman"/>
                <w:b/>
                <w:bCs/>
                <w:color w:val="000000"/>
                <w:szCs w:val="18"/>
                <w:lang w:val="es-ES" w:eastAsia="es-ES"/>
              </w:rPr>
            </w:pPr>
            <w:r>
              <w:rPr>
                <w:b/>
                <w:color w:val="000000"/>
              </w:rPr>
              <w:t>Soles (S/)</w:t>
            </w:r>
          </w:p>
        </w:tc>
      </w:tr>
      <w:tr w:rsidR="004412F1" w14:paraId="5F6381AF"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0543DAA" w14:textId="77777777" w:rsidR="004412F1" w:rsidRDefault="005A12A3">
            <w:pPr>
              <w:rPr>
                <w:color w:val="000000"/>
                <w:lang w:val="es-PE"/>
              </w:rPr>
            </w:pPr>
            <w:r>
              <w:rPr>
                <w:color w:val="000000"/>
                <w:lang w:val="es-PE"/>
              </w:rPr>
              <w:t>Verificación física y levantamiento topográfico del predio, el diseño vial, e infraestructura existente</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ACE8223" w14:textId="77777777" w:rsidR="004412F1" w:rsidRDefault="005A12A3">
            <w:pPr>
              <w:jc w:val="right"/>
              <w:rPr>
                <w:rFonts w:eastAsia="Times New Roman"/>
                <w:bCs/>
                <w:color w:val="000000"/>
                <w:szCs w:val="18"/>
                <w:lang w:val="es-ES" w:eastAsia="es-ES"/>
              </w:rPr>
            </w:pPr>
            <w:r>
              <w:rPr>
                <w:color w:val="000000"/>
              </w:rPr>
              <w:t>720.00</w:t>
            </w:r>
          </w:p>
        </w:tc>
      </w:tr>
      <w:tr w:rsidR="004412F1" w14:paraId="1927D7E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772F1EA" w14:textId="77777777" w:rsidR="004412F1" w:rsidRDefault="005A12A3">
            <w:pPr>
              <w:rPr>
                <w:color w:val="000000"/>
              </w:rPr>
            </w:pPr>
            <w:r>
              <w:rPr>
                <w:color w:val="000000"/>
              </w:rPr>
              <w:t>Verificación legal del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FB76197" w14:textId="77777777" w:rsidR="004412F1" w:rsidRDefault="005A12A3">
            <w:pPr>
              <w:jc w:val="right"/>
              <w:rPr>
                <w:rFonts w:eastAsia="Times New Roman"/>
                <w:bCs/>
                <w:color w:val="000000"/>
                <w:szCs w:val="18"/>
                <w:lang w:val="es-ES" w:eastAsia="es-ES"/>
              </w:rPr>
            </w:pPr>
            <w:r>
              <w:rPr>
                <w:color w:val="000000"/>
              </w:rPr>
              <w:t>270.00</w:t>
            </w:r>
          </w:p>
        </w:tc>
      </w:tr>
      <w:tr w:rsidR="004412F1" w14:paraId="255B9945"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89301BA" w14:textId="77777777" w:rsidR="004412F1" w:rsidRDefault="005A12A3">
            <w:pPr>
              <w:rPr>
                <w:color w:val="000000"/>
              </w:rPr>
            </w:pPr>
            <w:r>
              <w:rPr>
                <w:color w:val="000000"/>
              </w:rPr>
              <w:t xml:space="preserve">Adquisición de Información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AB60E9E" w14:textId="77777777" w:rsidR="004412F1" w:rsidRDefault="005A12A3">
            <w:pPr>
              <w:jc w:val="right"/>
              <w:rPr>
                <w:rFonts w:eastAsia="Times New Roman"/>
                <w:bCs/>
                <w:color w:val="000000"/>
                <w:szCs w:val="18"/>
                <w:lang w:val="es-ES" w:eastAsia="es-ES"/>
              </w:rPr>
            </w:pPr>
            <w:r>
              <w:rPr>
                <w:color w:val="000000"/>
              </w:rPr>
              <w:t>250.00</w:t>
            </w:r>
          </w:p>
        </w:tc>
      </w:tr>
      <w:tr w:rsidR="004412F1" w14:paraId="6A495B0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613A5B0" w14:textId="77777777" w:rsidR="004412F1" w:rsidRDefault="005A12A3">
            <w:pPr>
              <w:rPr>
                <w:color w:val="000000"/>
              </w:rPr>
            </w:pPr>
            <w:r>
              <w:rPr>
                <w:color w:val="000000"/>
              </w:rPr>
              <w:t>Alquileres y servicios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AC81E8F" w14:textId="77777777" w:rsidR="004412F1" w:rsidRDefault="005A12A3">
            <w:pPr>
              <w:jc w:val="right"/>
              <w:rPr>
                <w:rFonts w:eastAsia="Times New Roman"/>
                <w:bCs/>
                <w:color w:val="000000"/>
                <w:szCs w:val="18"/>
                <w:lang w:val="es-ES" w:eastAsia="es-ES"/>
              </w:rPr>
            </w:pPr>
            <w:r>
              <w:rPr>
                <w:color w:val="000000"/>
              </w:rPr>
              <w:t>70.00</w:t>
            </w:r>
          </w:p>
        </w:tc>
      </w:tr>
      <w:tr w:rsidR="004412F1" w14:paraId="013294E9"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B36A205" w14:textId="77777777" w:rsidR="004412F1" w:rsidRDefault="005A12A3">
            <w:pPr>
              <w:rPr>
                <w:color w:val="000000"/>
                <w:lang w:val="es-PE"/>
              </w:rPr>
            </w:pPr>
            <w:r>
              <w:rPr>
                <w:color w:val="000000"/>
                <w:lang w:val="es-PE"/>
              </w:rPr>
              <w:t>Movilización y Apoyo Logístico (Viáticos y otros)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9F2584F" w14:textId="77777777" w:rsidR="004412F1" w:rsidRDefault="005A12A3">
            <w:pPr>
              <w:jc w:val="right"/>
              <w:rPr>
                <w:rFonts w:eastAsia="Times New Roman"/>
                <w:bCs/>
                <w:color w:val="000000"/>
                <w:szCs w:val="18"/>
                <w:lang w:val="es-ES" w:eastAsia="es-ES"/>
              </w:rPr>
            </w:pPr>
            <w:r>
              <w:rPr>
                <w:color w:val="000000"/>
              </w:rPr>
              <w:t>85.00</w:t>
            </w:r>
          </w:p>
        </w:tc>
      </w:tr>
      <w:tr w:rsidR="004412F1" w14:paraId="717A4CA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C8769B1" w14:textId="77777777" w:rsidR="004412F1" w:rsidRDefault="005A12A3">
            <w:pPr>
              <w:rPr>
                <w:color w:val="000000"/>
              </w:rPr>
            </w:pPr>
            <w:r>
              <w:rPr>
                <w:color w:val="000000"/>
              </w:rPr>
              <w:t xml:space="preserve">Publicaciones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1EE63DF" w14:textId="77777777" w:rsidR="004412F1" w:rsidRDefault="005A12A3">
            <w:pPr>
              <w:jc w:val="right"/>
              <w:rPr>
                <w:rFonts w:eastAsia="Times New Roman"/>
                <w:bCs/>
                <w:color w:val="000000"/>
                <w:szCs w:val="18"/>
                <w:lang w:val="es-ES" w:eastAsia="es-ES"/>
              </w:rPr>
            </w:pPr>
            <w:r>
              <w:rPr>
                <w:color w:val="000000"/>
              </w:rPr>
              <w:t>60.00</w:t>
            </w:r>
          </w:p>
        </w:tc>
      </w:tr>
      <w:tr w:rsidR="004412F1" w14:paraId="0649D783"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BDC3ECB" w14:textId="77777777" w:rsidR="004412F1" w:rsidRDefault="005A12A3">
            <w:pPr>
              <w:rPr>
                <w:color w:val="000000"/>
                <w:lang w:val="es-PE"/>
              </w:rPr>
            </w:pPr>
            <w:r>
              <w:rPr>
                <w:color w:val="000000"/>
                <w:lang w:val="es-PE"/>
              </w:rPr>
              <w:t>Elaboración de Planos, Mosaicos y otros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B61E98E" w14:textId="77777777" w:rsidR="004412F1" w:rsidRDefault="005A12A3">
            <w:pPr>
              <w:jc w:val="right"/>
              <w:rPr>
                <w:rFonts w:eastAsia="Times New Roman"/>
                <w:bCs/>
                <w:color w:val="000000"/>
                <w:szCs w:val="18"/>
                <w:lang w:val="es-ES" w:eastAsia="es-ES"/>
              </w:rPr>
            </w:pPr>
            <w:r>
              <w:rPr>
                <w:color w:val="000000"/>
              </w:rPr>
              <w:t>115.00</w:t>
            </w:r>
          </w:p>
        </w:tc>
      </w:tr>
      <w:tr w:rsidR="004412F1" w14:paraId="3071B1F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9DD77C8" w14:textId="77777777" w:rsidR="004412F1" w:rsidRDefault="005A12A3">
            <w:pPr>
              <w:rPr>
                <w:color w:val="000000"/>
              </w:rPr>
            </w:pPr>
            <w:r>
              <w:rPr>
                <w:color w:val="000000"/>
              </w:rPr>
              <w:t>Notificaciones y Comunicaciones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0492088" w14:textId="77777777" w:rsidR="004412F1" w:rsidRDefault="005A12A3">
            <w:pPr>
              <w:jc w:val="right"/>
              <w:rPr>
                <w:rFonts w:eastAsia="Times New Roman"/>
                <w:bCs/>
                <w:color w:val="000000"/>
                <w:szCs w:val="18"/>
                <w:lang w:val="es-ES" w:eastAsia="es-ES"/>
              </w:rPr>
            </w:pPr>
            <w:r>
              <w:rPr>
                <w:color w:val="000000"/>
              </w:rPr>
              <w:t>30.00</w:t>
            </w:r>
          </w:p>
        </w:tc>
      </w:tr>
      <w:tr w:rsidR="004412F1" w14:paraId="4B5C1C1B"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4C4F8D2" w14:textId="77777777" w:rsidR="004412F1" w:rsidRDefault="005A12A3">
            <w:pPr>
              <w:rPr>
                <w:b/>
                <w:color w:val="000000"/>
              </w:rPr>
            </w:pPr>
            <w:r>
              <w:rPr>
                <w:b/>
                <w:color w:val="000000"/>
              </w:rPr>
              <w:t>Costo Directo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38A4A95" w14:textId="77777777" w:rsidR="004412F1" w:rsidRDefault="005A12A3">
            <w:pPr>
              <w:jc w:val="right"/>
              <w:rPr>
                <w:rFonts w:eastAsia="Times New Roman"/>
                <w:b/>
                <w:bCs/>
                <w:color w:val="000000"/>
                <w:szCs w:val="18"/>
                <w:lang w:val="es-ES" w:eastAsia="es-ES"/>
              </w:rPr>
            </w:pPr>
            <w:r>
              <w:rPr>
                <w:b/>
                <w:color w:val="000000"/>
              </w:rPr>
              <w:t>1,600.00</w:t>
            </w:r>
          </w:p>
        </w:tc>
      </w:tr>
      <w:tr w:rsidR="004412F1" w14:paraId="1B260C4B"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7AF19D1" w14:textId="77777777" w:rsidR="004412F1" w:rsidRDefault="005A12A3">
            <w:pPr>
              <w:rPr>
                <w:color w:val="000000"/>
              </w:rPr>
            </w:pPr>
            <w:r>
              <w:rPr>
                <w:color w:val="000000"/>
              </w:rPr>
              <w:t>Utilidad 10%</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037E30E2" w14:textId="77777777" w:rsidR="004412F1" w:rsidRDefault="005A12A3">
            <w:pPr>
              <w:jc w:val="right"/>
              <w:rPr>
                <w:rFonts w:eastAsia="Times New Roman"/>
                <w:bCs/>
                <w:color w:val="000000"/>
                <w:szCs w:val="18"/>
                <w:lang w:val="es-ES" w:eastAsia="es-ES"/>
              </w:rPr>
            </w:pPr>
            <w:r>
              <w:rPr>
                <w:color w:val="000000"/>
              </w:rPr>
              <w:t>160.00</w:t>
            </w:r>
          </w:p>
        </w:tc>
      </w:tr>
      <w:tr w:rsidR="004412F1" w14:paraId="23C3B07D"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DB269F2" w14:textId="77777777" w:rsidR="004412F1" w:rsidRDefault="005A12A3">
            <w:pPr>
              <w:rPr>
                <w:b/>
                <w:color w:val="000000"/>
              </w:rPr>
            </w:pPr>
            <w:r>
              <w:rPr>
                <w:b/>
                <w:color w:val="000000"/>
              </w:rPr>
              <w:t>Sub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0973471" w14:textId="77777777" w:rsidR="004412F1" w:rsidRDefault="005A12A3">
            <w:pPr>
              <w:jc w:val="right"/>
              <w:rPr>
                <w:rFonts w:eastAsia="Times New Roman"/>
                <w:b/>
                <w:bCs/>
                <w:color w:val="000000"/>
                <w:szCs w:val="18"/>
                <w:lang w:val="es-ES" w:eastAsia="es-ES"/>
              </w:rPr>
            </w:pPr>
            <w:r>
              <w:rPr>
                <w:b/>
                <w:color w:val="000000"/>
              </w:rPr>
              <w:t>1,760.00</w:t>
            </w:r>
          </w:p>
        </w:tc>
      </w:tr>
      <w:tr w:rsidR="004412F1" w14:paraId="364CC5C9"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556724B" w14:textId="77777777" w:rsidR="004412F1" w:rsidRDefault="005A12A3">
            <w:pPr>
              <w:rPr>
                <w:color w:val="000000"/>
              </w:rPr>
            </w:pPr>
            <w:r>
              <w:rPr>
                <w:color w:val="000000"/>
              </w:rPr>
              <w:t>Aporte por regulación 1%</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006B7AA5" w14:textId="77777777" w:rsidR="004412F1" w:rsidRDefault="005A12A3">
            <w:pPr>
              <w:jc w:val="right"/>
              <w:rPr>
                <w:rFonts w:eastAsia="Times New Roman"/>
                <w:bCs/>
                <w:color w:val="000000"/>
                <w:szCs w:val="18"/>
                <w:lang w:val="es-ES" w:eastAsia="es-ES"/>
              </w:rPr>
            </w:pPr>
            <w:r>
              <w:rPr>
                <w:color w:val="000000"/>
              </w:rPr>
              <w:t>17.60</w:t>
            </w:r>
          </w:p>
        </w:tc>
      </w:tr>
      <w:tr w:rsidR="004412F1" w14:paraId="3E77FE24"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A4C928D" w14:textId="77777777" w:rsidR="004412F1" w:rsidRDefault="005A12A3">
            <w:pPr>
              <w:rPr>
                <w:b/>
                <w:color w:val="000000"/>
              </w:rPr>
            </w:pPr>
            <w:r>
              <w:rPr>
                <w:b/>
                <w:color w:val="000000"/>
              </w:rPr>
              <w:t>Sub Total sin IGV</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69F0B0F" w14:textId="77777777" w:rsidR="004412F1" w:rsidRDefault="005A12A3">
            <w:pPr>
              <w:jc w:val="right"/>
              <w:rPr>
                <w:rFonts w:eastAsia="Times New Roman"/>
                <w:b/>
                <w:bCs/>
                <w:color w:val="000000"/>
                <w:szCs w:val="18"/>
                <w:lang w:val="es-ES" w:eastAsia="es-ES"/>
              </w:rPr>
            </w:pPr>
            <w:r>
              <w:rPr>
                <w:b/>
                <w:color w:val="000000"/>
              </w:rPr>
              <w:t>1,777.60</w:t>
            </w:r>
          </w:p>
        </w:tc>
      </w:tr>
      <w:tr w:rsidR="004412F1" w14:paraId="5F742E47"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C5D6DB1" w14:textId="77777777" w:rsidR="004412F1" w:rsidRDefault="005A12A3">
            <w:pPr>
              <w:rPr>
                <w:color w:val="000000"/>
              </w:rPr>
            </w:pPr>
            <w:r>
              <w:rPr>
                <w:color w:val="000000"/>
              </w:rPr>
              <w:t>IGV 18%</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745E522" w14:textId="77777777" w:rsidR="004412F1" w:rsidRDefault="005A12A3">
            <w:pPr>
              <w:jc w:val="right"/>
              <w:rPr>
                <w:rFonts w:eastAsia="Times New Roman"/>
                <w:bCs/>
                <w:color w:val="000000"/>
                <w:szCs w:val="18"/>
                <w:lang w:val="es-ES" w:eastAsia="es-ES"/>
              </w:rPr>
            </w:pPr>
            <w:r>
              <w:rPr>
                <w:color w:val="000000"/>
              </w:rPr>
              <w:t>319.97</w:t>
            </w:r>
          </w:p>
        </w:tc>
      </w:tr>
      <w:tr w:rsidR="004412F1" w14:paraId="24719192"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7204D56" w14:textId="77777777" w:rsidR="004412F1" w:rsidRDefault="005A12A3">
            <w:pPr>
              <w:rPr>
                <w:b/>
                <w:color w:val="000000"/>
              </w:rPr>
            </w:pPr>
            <w:r>
              <w:rPr>
                <w:b/>
                <w:color w:val="000000"/>
              </w:rPr>
              <w:t xml:space="preserve">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D439329" w14:textId="77777777" w:rsidR="004412F1" w:rsidRDefault="005A12A3">
            <w:pPr>
              <w:jc w:val="right"/>
              <w:rPr>
                <w:rFonts w:eastAsia="Times New Roman"/>
                <w:b/>
                <w:bCs/>
                <w:color w:val="000000"/>
                <w:szCs w:val="18"/>
                <w:lang w:val="es-ES" w:eastAsia="es-ES"/>
              </w:rPr>
            </w:pPr>
            <w:r>
              <w:rPr>
                <w:b/>
                <w:color w:val="000000"/>
              </w:rPr>
              <w:t>2,097.57</w:t>
            </w:r>
          </w:p>
        </w:tc>
      </w:tr>
    </w:tbl>
    <w:p w14:paraId="33EA4350" w14:textId="77777777" w:rsidR="004412F1" w:rsidRDefault="004412F1">
      <w:pPr>
        <w:jc w:val="both"/>
      </w:pPr>
    </w:p>
    <w:p w14:paraId="3D253386" w14:textId="77777777" w:rsidR="004412F1" w:rsidRDefault="005A12A3">
      <w:pPr>
        <w:jc w:val="both"/>
        <w:rPr>
          <w:b/>
          <w:lang w:val="es-PE"/>
        </w:rPr>
      </w:pPr>
      <w:r>
        <w:rPr>
          <w:b/>
          <w:lang w:val="es-PE"/>
        </w:rPr>
        <w:t xml:space="preserve">Costo Unitario por Plan de Saneamiento </w:t>
      </w:r>
    </w:p>
    <w:p w14:paraId="57365EE4" w14:textId="77777777" w:rsidR="004412F1" w:rsidRDefault="004412F1">
      <w:pPr>
        <w:jc w:val="both"/>
        <w:rPr>
          <w:lang w:val="es-PE"/>
        </w:rPr>
      </w:pPr>
    </w:p>
    <w:tbl>
      <w:tblPr>
        <w:tblW w:w="7940"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6740"/>
        <w:gridCol w:w="1200"/>
      </w:tblGrid>
      <w:tr w:rsidR="004412F1" w14:paraId="4AA5D1F6" w14:textId="77777777">
        <w:trPr>
          <w:trHeight w:val="315"/>
        </w:trPr>
        <w:tc>
          <w:tcPr>
            <w:tcW w:w="6740" w:type="dxa"/>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5BE3280B" w14:textId="77777777" w:rsidR="004412F1" w:rsidRDefault="005A12A3">
            <w:pPr>
              <w:jc w:val="center"/>
              <w:rPr>
                <w:b/>
                <w:color w:val="000000"/>
              </w:rPr>
            </w:pPr>
            <w:r>
              <w:rPr>
                <w:b/>
                <w:color w:val="000000"/>
              </w:rPr>
              <w:t>Detalle</w:t>
            </w:r>
          </w:p>
        </w:tc>
        <w:tc>
          <w:tcPr>
            <w:tcW w:w="1200" w:type="dxa"/>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tcPr>
          <w:p w14:paraId="34841852" w14:textId="77777777" w:rsidR="004412F1" w:rsidRDefault="005A12A3">
            <w:pPr>
              <w:jc w:val="center"/>
              <w:rPr>
                <w:rFonts w:eastAsia="Times New Roman"/>
                <w:b/>
                <w:bCs/>
                <w:color w:val="000000"/>
                <w:szCs w:val="18"/>
                <w:lang w:val="es-ES" w:eastAsia="es-ES"/>
              </w:rPr>
            </w:pPr>
            <w:r>
              <w:rPr>
                <w:b/>
                <w:color w:val="000000"/>
              </w:rPr>
              <w:t>Soles (S/)</w:t>
            </w:r>
          </w:p>
        </w:tc>
      </w:tr>
      <w:tr w:rsidR="004412F1" w14:paraId="55D77F63" w14:textId="77777777">
        <w:trPr>
          <w:trHeight w:val="315"/>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674B1D8" w14:textId="77777777" w:rsidR="004412F1" w:rsidRDefault="005A12A3">
            <w:pPr>
              <w:rPr>
                <w:b/>
                <w:color w:val="000000"/>
              </w:rPr>
            </w:pPr>
            <w:r>
              <w:rPr>
                <w:b/>
                <w:color w:val="000000"/>
              </w:rPr>
              <w:t>Trabajos de Campo</w:t>
            </w:r>
          </w:p>
        </w:tc>
      </w:tr>
      <w:tr w:rsidR="004412F1" w14:paraId="7318CE1F"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73EE396" w14:textId="77777777" w:rsidR="004412F1" w:rsidRDefault="005A12A3">
            <w:pPr>
              <w:rPr>
                <w:color w:val="000000"/>
                <w:lang w:val="es-PE"/>
              </w:rPr>
            </w:pPr>
            <w:r>
              <w:rPr>
                <w:color w:val="000000"/>
                <w:lang w:val="es-PE"/>
              </w:rPr>
              <w:t>Verificación y Levantamiento de Información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2ADDD8A" w14:textId="77777777" w:rsidR="004412F1" w:rsidRDefault="005A12A3">
            <w:pPr>
              <w:jc w:val="right"/>
              <w:rPr>
                <w:rFonts w:eastAsia="Times New Roman"/>
                <w:bCs/>
                <w:color w:val="000000"/>
                <w:szCs w:val="18"/>
                <w:lang w:val="es-ES" w:eastAsia="es-ES"/>
              </w:rPr>
            </w:pPr>
            <w:r>
              <w:rPr>
                <w:color w:val="000000"/>
              </w:rPr>
              <w:t>21.80</w:t>
            </w:r>
          </w:p>
        </w:tc>
      </w:tr>
      <w:tr w:rsidR="004412F1" w14:paraId="64D2F0C2"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9A8770C" w14:textId="77777777" w:rsidR="004412F1" w:rsidRDefault="005A12A3">
            <w:pPr>
              <w:rPr>
                <w:color w:val="000000"/>
                <w:lang w:val="es-PE"/>
              </w:rPr>
            </w:pPr>
            <w:r>
              <w:rPr>
                <w:color w:val="000000"/>
                <w:lang w:val="es-PE"/>
              </w:rPr>
              <w:t>Verificación y Levantamiento de Edificaciones existentes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EEBBD88" w14:textId="77777777" w:rsidR="004412F1" w:rsidRDefault="005A12A3">
            <w:pPr>
              <w:jc w:val="right"/>
              <w:rPr>
                <w:rFonts w:eastAsia="Times New Roman"/>
                <w:bCs/>
                <w:color w:val="000000"/>
                <w:szCs w:val="18"/>
                <w:lang w:val="es-ES" w:eastAsia="es-ES"/>
              </w:rPr>
            </w:pPr>
            <w:r>
              <w:rPr>
                <w:color w:val="000000"/>
              </w:rPr>
              <w:t>62.12</w:t>
            </w:r>
          </w:p>
        </w:tc>
      </w:tr>
      <w:tr w:rsidR="004412F1" w14:paraId="27DF0E7A"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B6B211D" w14:textId="77777777" w:rsidR="004412F1" w:rsidRDefault="005A12A3">
            <w:pPr>
              <w:rPr>
                <w:color w:val="000000"/>
                <w:lang w:val="es-PE"/>
              </w:rPr>
            </w:pPr>
            <w:r>
              <w:rPr>
                <w:color w:val="000000"/>
                <w:lang w:val="es-PE"/>
              </w:rPr>
              <w:t>Actualización de partidas registrales y títulos archivador - propiedades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7E218D3" w14:textId="77777777" w:rsidR="004412F1" w:rsidRDefault="005A12A3">
            <w:pPr>
              <w:jc w:val="right"/>
              <w:rPr>
                <w:rFonts w:eastAsia="Times New Roman"/>
                <w:bCs/>
                <w:color w:val="000000"/>
                <w:szCs w:val="18"/>
                <w:lang w:val="es-ES" w:eastAsia="es-ES"/>
              </w:rPr>
            </w:pPr>
            <w:r>
              <w:rPr>
                <w:color w:val="000000"/>
              </w:rPr>
              <w:t>34.10</w:t>
            </w:r>
          </w:p>
        </w:tc>
      </w:tr>
      <w:tr w:rsidR="004412F1" w14:paraId="7E00DB70" w14:textId="77777777">
        <w:trPr>
          <w:trHeight w:val="315"/>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33B1E29" w14:textId="77777777" w:rsidR="004412F1" w:rsidRDefault="005A12A3">
            <w:pPr>
              <w:rPr>
                <w:b/>
                <w:color w:val="000000"/>
              </w:rPr>
            </w:pPr>
            <w:r>
              <w:rPr>
                <w:b/>
                <w:color w:val="000000"/>
              </w:rPr>
              <w:t>Trabajos de Gabinete</w:t>
            </w:r>
          </w:p>
        </w:tc>
      </w:tr>
      <w:tr w:rsidR="004412F1" w14:paraId="3CE779E0"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1EF6202" w14:textId="77777777" w:rsidR="004412F1" w:rsidRDefault="005A12A3">
            <w:pPr>
              <w:rPr>
                <w:color w:val="000000"/>
                <w:lang w:val="es-PE"/>
              </w:rPr>
            </w:pPr>
            <w:r>
              <w:rPr>
                <w:color w:val="000000"/>
                <w:lang w:val="es-PE"/>
              </w:rPr>
              <w:t>Coordinaciones con la autoridad competente</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78FA631" w14:textId="77777777" w:rsidR="004412F1" w:rsidRDefault="005A12A3">
            <w:pPr>
              <w:jc w:val="right"/>
              <w:rPr>
                <w:rFonts w:eastAsia="Times New Roman"/>
                <w:bCs/>
                <w:color w:val="000000"/>
                <w:szCs w:val="18"/>
                <w:lang w:val="es-ES" w:eastAsia="es-ES"/>
              </w:rPr>
            </w:pPr>
            <w:r>
              <w:rPr>
                <w:color w:val="000000"/>
              </w:rPr>
              <w:t>82.00</w:t>
            </w:r>
          </w:p>
        </w:tc>
      </w:tr>
      <w:tr w:rsidR="004412F1" w14:paraId="0713B6A1"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73B4937" w14:textId="77777777" w:rsidR="004412F1" w:rsidRDefault="005A12A3">
            <w:pPr>
              <w:rPr>
                <w:color w:val="000000"/>
              </w:rPr>
            </w:pPr>
            <w:r>
              <w:rPr>
                <w:color w:val="000000"/>
              </w:rPr>
              <w:t>Planos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874775B" w14:textId="77777777" w:rsidR="004412F1" w:rsidRDefault="005A12A3">
            <w:pPr>
              <w:jc w:val="right"/>
              <w:rPr>
                <w:rFonts w:eastAsia="Times New Roman"/>
                <w:bCs/>
                <w:color w:val="000000"/>
                <w:szCs w:val="18"/>
                <w:lang w:val="es-ES" w:eastAsia="es-ES"/>
              </w:rPr>
            </w:pPr>
            <w:r>
              <w:rPr>
                <w:color w:val="000000"/>
              </w:rPr>
              <w:t>69.60</w:t>
            </w:r>
          </w:p>
        </w:tc>
      </w:tr>
      <w:tr w:rsidR="004412F1" w14:paraId="03BC2FA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A51E66D" w14:textId="77777777" w:rsidR="004412F1" w:rsidRDefault="005A12A3">
            <w:pPr>
              <w:rPr>
                <w:color w:val="000000"/>
              </w:rPr>
            </w:pPr>
            <w:r>
              <w:rPr>
                <w:color w:val="000000"/>
              </w:rPr>
              <w:t>Memorias Descriptivas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301B651" w14:textId="77777777" w:rsidR="004412F1" w:rsidRDefault="005A12A3">
            <w:pPr>
              <w:jc w:val="right"/>
              <w:rPr>
                <w:rFonts w:eastAsia="Times New Roman"/>
                <w:bCs/>
                <w:color w:val="000000"/>
                <w:szCs w:val="18"/>
                <w:lang w:val="es-ES" w:eastAsia="es-ES"/>
              </w:rPr>
            </w:pPr>
            <w:r>
              <w:rPr>
                <w:color w:val="000000"/>
              </w:rPr>
              <w:t>68.20</w:t>
            </w:r>
          </w:p>
        </w:tc>
      </w:tr>
      <w:tr w:rsidR="004412F1" w14:paraId="08481B1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57CAE32" w14:textId="77777777" w:rsidR="004412F1" w:rsidRDefault="005A12A3">
            <w:pPr>
              <w:rPr>
                <w:color w:val="000000"/>
              </w:rPr>
            </w:pPr>
            <w:r>
              <w:rPr>
                <w:color w:val="000000"/>
              </w:rPr>
              <w:t>Notificaciones/Comunicaciones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B33AB86" w14:textId="77777777" w:rsidR="004412F1" w:rsidRDefault="005A12A3">
            <w:pPr>
              <w:jc w:val="right"/>
              <w:rPr>
                <w:rFonts w:eastAsia="Times New Roman"/>
                <w:bCs/>
                <w:color w:val="000000"/>
                <w:szCs w:val="18"/>
                <w:lang w:val="es-ES" w:eastAsia="es-ES"/>
              </w:rPr>
            </w:pPr>
            <w:r>
              <w:rPr>
                <w:color w:val="000000"/>
              </w:rPr>
              <w:t>19.00</w:t>
            </w:r>
          </w:p>
        </w:tc>
      </w:tr>
      <w:tr w:rsidR="004412F1" w14:paraId="7FB91BE5"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143C194" w14:textId="77777777" w:rsidR="004412F1" w:rsidRDefault="005A12A3">
            <w:pPr>
              <w:rPr>
                <w:color w:val="000000"/>
                <w:lang w:val="es-PE"/>
              </w:rPr>
            </w:pPr>
            <w:r>
              <w:rPr>
                <w:color w:val="000000"/>
                <w:lang w:val="es-PE"/>
              </w:rPr>
              <w:t>Conformación del Expediente – Impresiones y otros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F663983" w14:textId="77777777" w:rsidR="004412F1" w:rsidRDefault="005A12A3">
            <w:pPr>
              <w:jc w:val="right"/>
              <w:rPr>
                <w:rFonts w:eastAsia="Times New Roman"/>
                <w:bCs/>
                <w:color w:val="000000"/>
                <w:szCs w:val="18"/>
                <w:lang w:val="es-ES" w:eastAsia="es-ES"/>
              </w:rPr>
            </w:pPr>
            <w:r>
              <w:rPr>
                <w:color w:val="000000"/>
              </w:rPr>
              <w:t>16.50</w:t>
            </w:r>
          </w:p>
        </w:tc>
      </w:tr>
      <w:tr w:rsidR="004412F1" w14:paraId="0D9D4645"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B702111" w14:textId="77777777" w:rsidR="004412F1" w:rsidRDefault="005A12A3">
            <w:pPr>
              <w:rPr>
                <w:b/>
                <w:color w:val="000000"/>
              </w:rPr>
            </w:pPr>
            <w:r>
              <w:rPr>
                <w:b/>
                <w:color w:val="000000"/>
              </w:rPr>
              <w:t>Costo Directo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7B17334" w14:textId="77777777" w:rsidR="004412F1" w:rsidRDefault="005A12A3">
            <w:pPr>
              <w:jc w:val="right"/>
              <w:rPr>
                <w:rFonts w:eastAsia="Times New Roman"/>
                <w:b/>
                <w:bCs/>
                <w:color w:val="000000"/>
                <w:szCs w:val="18"/>
                <w:lang w:val="es-ES" w:eastAsia="es-ES"/>
              </w:rPr>
            </w:pPr>
            <w:r>
              <w:rPr>
                <w:b/>
                <w:color w:val="000000"/>
              </w:rPr>
              <w:t>356.82</w:t>
            </w:r>
          </w:p>
        </w:tc>
      </w:tr>
      <w:tr w:rsidR="004412F1" w14:paraId="347EC8DF"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59D7744" w14:textId="77777777" w:rsidR="004412F1" w:rsidRDefault="005A12A3">
            <w:pPr>
              <w:rPr>
                <w:color w:val="000000"/>
              </w:rPr>
            </w:pPr>
            <w:r>
              <w:rPr>
                <w:color w:val="000000"/>
              </w:rPr>
              <w:t>Utilidad 10%</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4F5605D" w14:textId="77777777" w:rsidR="004412F1" w:rsidRDefault="005A12A3">
            <w:pPr>
              <w:jc w:val="right"/>
              <w:rPr>
                <w:rFonts w:eastAsia="Times New Roman"/>
                <w:bCs/>
                <w:color w:val="000000"/>
                <w:szCs w:val="18"/>
                <w:lang w:val="es-ES" w:eastAsia="es-ES"/>
              </w:rPr>
            </w:pPr>
            <w:r>
              <w:rPr>
                <w:color w:val="000000"/>
              </w:rPr>
              <w:t>35.68</w:t>
            </w:r>
          </w:p>
        </w:tc>
      </w:tr>
      <w:tr w:rsidR="004412F1" w14:paraId="7F5A306D"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EECDADD" w14:textId="77777777" w:rsidR="004412F1" w:rsidRDefault="005A12A3">
            <w:pPr>
              <w:rPr>
                <w:color w:val="000000"/>
              </w:rPr>
            </w:pPr>
            <w:r>
              <w:rPr>
                <w:color w:val="000000"/>
              </w:rPr>
              <w:t>Sub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F9557E7" w14:textId="77777777" w:rsidR="004412F1" w:rsidRDefault="005A12A3">
            <w:pPr>
              <w:jc w:val="right"/>
              <w:rPr>
                <w:rFonts w:eastAsia="Times New Roman"/>
                <w:bCs/>
                <w:color w:val="000000"/>
                <w:szCs w:val="18"/>
                <w:lang w:val="es-ES" w:eastAsia="es-ES"/>
              </w:rPr>
            </w:pPr>
            <w:r>
              <w:rPr>
                <w:color w:val="000000"/>
              </w:rPr>
              <w:t>392.50</w:t>
            </w:r>
          </w:p>
        </w:tc>
      </w:tr>
      <w:tr w:rsidR="004412F1" w14:paraId="598EF96D"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200BAF0" w14:textId="77777777" w:rsidR="004412F1" w:rsidRDefault="005A12A3">
            <w:pPr>
              <w:rPr>
                <w:color w:val="000000"/>
              </w:rPr>
            </w:pPr>
            <w:r>
              <w:rPr>
                <w:color w:val="000000"/>
              </w:rPr>
              <w:t>IGV 18%</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1104E0C" w14:textId="77777777" w:rsidR="004412F1" w:rsidRDefault="005A12A3">
            <w:pPr>
              <w:jc w:val="right"/>
              <w:rPr>
                <w:rFonts w:eastAsia="Times New Roman"/>
                <w:bCs/>
                <w:color w:val="000000"/>
                <w:szCs w:val="18"/>
                <w:lang w:val="es-ES" w:eastAsia="es-ES"/>
              </w:rPr>
            </w:pPr>
            <w:r>
              <w:rPr>
                <w:color w:val="000000"/>
              </w:rPr>
              <w:t>70.65</w:t>
            </w:r>
          </w:p>
        </w:tc>
      </w:tr>
      <w:tr w:rsidR="004412F1" w14:paraId="13016919"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D03A6FC" w14:textId="77777777" w:rsidR="004412F1" w:rsidRDefault="005A12A3">
            <w:pPr>
              <w:rPr>
                <w:color w:val="000000"/>
              </w:rPr>
            </w:pPr>
            <w:r>
              <w:rPr>
                <w:color w:val="000000"/>
              </w:rPr>
              <w:t>Sub Total con IGV</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029E9F6" w14:textId="77777777" w:rsidR="004412F1" w:rsidRDefault="005A12A3">
            <w:pPr>
              <w:jc w:val="right"/>
              <w:rPr>
                <w:rFonts w:eastAsia="Times New Roman"/>
                <w:bCs/>
                <w:color w:val="000000"/>
                <w:szCs w:val="18"/>
                <w:lang w:val="es-ES" w:eastAsia="es-ES"/>
              </w:rPr>
            </w:pPr>
            <w:r>
              <w:rPr>
                <w:color w:val="000000"/>
              </w:rPr>
              <w:t>463.15</w:t>
            </w:r>
          </w:p>
        </w:tc>
      </w:tr>
      <w:tr w:rsidR="004412F1" w14:paraId="6678BD66"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82998C2" w14:textId="77777777" w:rsidR="004412F1" w:rsidRDefault="005A12A3">
            <w:pPr>
              <w:rPr>
                <w:color w:val="000000"/>
              </w:rPr>
            </w:pPr>
            <w:r>
              <w:rPr>
                <w:color w:val="000000"/>
              </w:rPr>
              <w:t>Aporte por regulación 1%</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ED6188E" w14:textId="77777777" w:rsidR="004412F1" w:rsidRDefault="005A12A3">
            <w:pPr>
              <w:jc w:val="right"/>
              <w:rPr>
                <w:rFonts w:eastAsia="Times New Roman"/>
                <w:bCs/>
                <w:color w:val="000000"/>
                <w:szCs w:val="18"/>
                <w:lang w:val="es-ES" w:eastAsia="es-ES"/>
              </w:rPr>
            </w:pPr>
            <w:r>
              <w:rPr>
                <w:color w:val="000000"/>
              </w:rPr>
              <w:t>4.63</w:t>
            </w:r>
          </w:p>
        </w:tc>
      </w:tr>
      <w:tr w:rsidR="004412F1" w14:paraId="3FC076E5" w14:textId="77777777">
        <w:trPr>
          <w:trHeight w:val="315"/>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106ECA3" w14:textId="77777777" w:rsidR="004412F1" w:rsidRDefault="005A12A3">
            <w:pPr>
              <w:rPr>
                <w:b/>
                <w:color w:val="000000"/>
              </w:rPr>
            </w:pPr>
            <w:r>
              <w:rPr>
                <w:b/>
                <w:color w:val="000000"/>
              </w:rPr>
              <w:t xml:space="preserve">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1B10959" w14:textId="77777777" w:rsidR="004412F1" w:rsidRDefault="005A12A3">
            <w:pPr>
              <w:jc w:val="right"/>
              <w:rPr>
                <w:rFonts w:eastAsia="Times New Roman"/>
                <w:b/>
                <w:bCs/>
                <w:color w:val="000000"/>
                <w:szCs w:val="18"/>
                <w:lang w:val="es-ES" w:eastAsia="es-ES"/>
              </w:rPr>
            </w:pPr>
            <w:r>
              <w:rPr>
                <w:b/>
                <w:color w:val="000000"/>
              </w:rPr>
              <w:t>467.78</w:t>
            </w:r>
          </w:p>
        </w:tc>
      </w:tr>
    </w:tbl>
    <w:p w14:paraId="559E07AE" w14:textId="77777777" w:rsidR="004412F1" w:rsidRDefault="004412F1">
      <w:pPr>
        <w:jc w:val="both"/>
      </w:pPr>
    </w:p>
    <w:p w14:paraId="2A998BE8" w14:textId="77777777" w:rsidR="004412F1" w:rsidRDefault="004412F1">
      <w:pPr>
        <w:jc w:val="both"/>
      </w:pPr>
    </w:p>
    <w:p w14:paraId="5F991A1F" w14:textId="77777777" w:rsidR="004412F1" w:rsidRDefault="005A12A3">
      <w:pPr>
        <w:ind w:left="284" w:hanging="284"/>
        <w:jc w:val="both"/>
        <w:rPr>
          <w:rFonts w:eastAsia="Times New Roman"/>
          <w:bCs/>
          <w:szCs w:val="18"/>
          <w:lang w:val="es-ES" w:eastAsia="es-ES"/>
        </w:rPr>
      </w:pPr>
      <w:r>
        <w:rPr>
          <w:lang w:val="es-PE"/>
        </w:rPr>
        <w:t xml:space="preserve">** Los planos deberán de estar firmados por un verificador catastral a fin de que los predios puedan ser adquiridos </w:t>
      </w:r>
    </w:p>
    <w:p w14:paraId="0F8C051C" w14:textId="77777777" w:rsidR="004412F1" w:rsidRDefault="004412F1">
      <w:pPr>
        <w:jc w:val="both"/>
        <w:rPr>
          <w:lang w:val="es-PE"/>
        </w:rPr>
      </w:pPr>
    </w:p>
    <w:p w14:paraId="09ACC197" w14:textId="77777777" w:rsidR="004412F1" w:rsidRDefault="005A12A3">
      <w:pPr>
        <w:jc w:val="both"/>
        <w:rPr>
          <w:b/>
          <w:lang w:val="es-PE"/>
        </w:rPr>
      </w:pPr>
      <w:r>
        <w:rPr>
          <w:b/>
          <w:lang w:val="es-PE"/>
        </w:rPr>
        <w:t>Costo Unitario por Expediente Individual con fines de tasación</w:t>
      </w:r>
    </w:p>
    <w:p w14:paraId="438B7D18" w14:textId="77777777" w:rsidR="004412F1" w:rsidRDefault="004412F1">
      <w:pPr>
        <w:jc w:val="both"/>
        <w:rPr>
          <w:lang w:val="es-PE"/>
        </w:rPr>
      </w:pPr>
    </w:p>
    <w:p w14:paraId="594AE73F" w14:textId="77777777" w:rsidR="004412F1" w:rsidRDefault="005A12A3">
      <w:pPr>
        <w:jc w:val="both"/>
        <w:rPr>
          <w:u w:val="single"/>
        </w:rPr>
      </w:pPr>
      <w:r>
        <w:rPr>
          <w:u w:val="single"/>
        </w:rPr>
        <w:t>Propietario</w:t>
      </w:r>
    </w:p>
    <w:p w14:paraId="29963A73" w14:textId="77777777" w:rsidR="004412F1" w:rsidRDefault="004412F1">
      <w:pPr>
        <w:jc w:val="both"/>
        <w:rPr>
          <w:u w:val="single"/>
        </w:rPr>
      </w:pPr>
    </w:p>
    <w:tbl>
      <w:tblPr>
        <w:tblW w:w="7940"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6740"/>
        <w:gridCol w:w="1200"/>
      </w:tblGrid>
      <w:tr w:rsidR="004412F1" w14:paraId="502B5502" w14:textId="77777777">
        <w:trPr>
          <w:trHeight w:val="315"/>
          <w:tblHeader/>
        </w:trPr>
        <w:tc>
          <w:tcPr>
            <w:tcW w:w="6740" w:type="dxa"/>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034D0A19" w14:textId="77777777" w:rsidR="004412F1" w:rsidRDefault="005A12A3">
            <w:pPr>
              <w:jc w:val="center"/>
              <w:rPr>
                <w:b/>
                <w:color w:val="000000"/>
              </w:rPr>
            </w:pPr>
            <w:r>
              <w:rPr>
                <w:b/>
                <w:color w:val="000000"/>
              </w:rPr>
              <w:t>Detalle</w:t>
            </w:r>
          </w:p>
        </w:tc>
        <w:tc>
          <w:tcPr>
            <w:tcW w:w="1200" w:type="dxa"/>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tcPr>
          <w:p w14:paraId="3D891D06" w14:textId="77777777" w:rsidR="004412F1" w:rsidRDefault="005A12A3">
            <w:pPr>
              <w:jc w:val="center"/>
              <w:rPr>
                <w:rFonts w:eastAsia="Times New Roman"/>
                <w:b/>
                <w:bCs/>
                <w:color w:val="000000"/>
                <w:szCs w:val="18"/>
                <w:lang w:val="es-ES" w:eastAsia="es-ES"/>
              </w:rPr>
            </w:pPr>
            <w:r>
              <w:rPr>
                <w:b/>
                <w:color w:val="000000"/>
              </w:rPr>
              <w:t>Soles (S/)</w:t>
            </w:r>
          </w:p>
        </w:tc>
      </w:tr>
      <w:tr w:rsidR="004412F1" w14:paraId="3FE9399A" w14:textId="77777777">
        <w:trPr>
          <w:trHeight w:val="315"/>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96918CD" w14:textId="77777777" w:rsidR="004412F1" w:rsidRDefault="005A12A3">
            <w:pPr>
              <w:rPr>
                <w:b/>
                <w:color w:val="000000"/>
              </w:rPr>
            </w:pPr>
            <w:r>
              <w:rPr>
                <w:b/>
                <w:color w:val="000000"/>
              </w:rPr>
              <w:t>Trabajos de Campo</w:t>
            </w:r>
          </w:p>
        </w:tc>
      </w:tr>
      <w:tr w:rsidR="004412F1" w14:paraId="78405218"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153AD92" w14:textId="77777777" w:rsidR="004412F1" w:rsidRDefault="005A12A3">
            <w:pPr>
              <w:rPr>
                <w:color w:val="000000"/>
                <w:lang w:val="es-PE"/>
              </w:rPr>
            </w:pPr>
            <w:r>
              <w:rPr>
                <w:color w:val="000000"/>
                <w:lang w:val="es-PE"/>
              </w:rPr>
              <w:t>Verificación y Levantamiento de Información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236B812" w14:textId="77777777" w:rsidR="004412F1" w:rsidRDefault="005A12A3">
            <w:pPr>
              <w:jc w:val="right"/>
              <w:rPr>
                <w:rFonts w:eastAsia="Times New Roman"/>
                <w:bCs/>
                <w:color w:val="000000"/>
                <w:szCs w:val="18"/>
                <w:lang w:val="es-ES" w:eastAsia="es-ES"/>
              </w:rPr>
            </w:pPr>
            <w:r>
              <w:rPr>
                <w:color w:val="000000"/>
              </w:rPr>
              <w:t>38.30</w:t>
            </w:r>
          </w:p>
        </w:tc>
      </w:tr>
      <w:tr w:rsidR="004412F1" w14:paraId="211747C3"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69A4E77" w14:textId="77777777" w:rsidR="004412F1" w:rsidRDefault="005A12A3">
            <w:pPr>
              <w:rPr>
                <w:color w:val="000000"/>
                <w:lang w:val="es-PE"/>
              </w:rPr>
            </w:pPr>
            <w:r>
              <w:rPr>
                <w:color w:val="000000"/>
                <w:lang w:val="es-PE"/>
              </w:rPr>
              <w:t>Verificación y Levantamiento de Edificaciones existentes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8C10CDC" w14:textId="77777777" w:rsidR="004412F1" w:rsidRDefault="005A12A3">
            <w:pPr>
              <w:jc w:val="right"/>
              <w:rPr>
                <w:rFonts w:eastAsia="Times New Roman"/>
                <w:bCs/>
                <w:color w:val="000000"/>
                <w:szCs w:val="18"/>
                <w:lang w:val="es-ES" w:eastAsia="es-ES"/>
              </w:rPr>
            </w:pPr>
            <w:r>
              <w:rPr>
                <w:color w:val="000000"/>
              </w:rPr>
              <w:t>72.20</w:t>
            </w:r>
          </w:p>
        </w:tc>
      </w:tr>
      <w:tr w:rsidR="004412F1" w14:paraId="4818028D"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528D6CA" w14:textId="77777777" w:rsidR="004412F1" w:rsidRDefault="005A12A3">
            <w:pPr>
              <w:rPr>
                <w:color w:val="000000"/>
                <w:lang w:val="es-PE"/>
              </w:rPr>
            </w:pPr>
            <w:r>
              <w:rPr>
                <w:color w:val="000000"/>
                <w:lang w:val="es-PE"/>
              </w:rPr>
              <w:t>Verificación y Levantamiento de cultivos y plantaciones existentes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AC4B9C8" w14:textId="77777777" w:rsidR="004412F1" w:rsidRDefault="005A12A3">
            <w:pPr>
              <w:jc w:val="right"/>
              <w:rPr>
                <w:rFonts w:eastAsia="Times New Roman"/>
                <w:bCs/>
                <w:color w:val="000000"/>
                <w:szCs w:val="18"/>
                <w:lang w:val="es-ES" w:eastAsia="es-ES"/>
              </w:rPr>
            </w:pPr>
            <w:r>
              <w:rPr>
                <w:color w:val="000000"/>
              </w:rPr>
              <w:t>69.80</w:t>
            </w:r>
          </w:p>
        </w:tc>
      </w:tr>
      <w:tr w:rsidR="004412F1" w14:paraId="4C80EBB3"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C26AD58" w14:textId="77777777" w:rsidR="004412F1" w:rsidRDefault="005A12A3">
            <w:pPr>
              <w:rPr>
                <w:color w:val="000000"/>
                <w:lang w:val="es-PE"/>
              </w:rPr>
            </w:pPr>
            <w:r>
              <w:rPr>
                <w:color w:val="000000"/>
                <w:lang w:val="es-PE"/>
              </w:rPr>
              <w:t>Partidas registrales y títulos archivados – propiedades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2D4E5CE" w14:textId="77777777" w:rsidR="004412F1" w:rsidRDefault="005A12A3">
            <w:pPr>
              <w:jc w:val="right"/>
              <w:rPr>
                <w:rFonts w:eastAsia="Times New Roman"/>
                <w:bCs/>
                <w:color w:val="000000"/>
                <w:szCs w:val="18"/>
                <w:lang w:val="es-ES" w:eastAsia="es-ES"/>
              </w:rPr>
            </w:pPr>
            <w:r>
              <w:rPr>
                <w:color w:val="000000"/>
              </w:rPr>
              <w:t>89.50</w:t>
            </w:r>
          </w:p>
        </w:tc>
      </w:tr>
      <w:tr w:rsidR="004412F1" w14:paraId="19E46975"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8DF0008" w14:textId="77777777" w:rsidR="004412F1" w:rsidRDefault="005A12A3">
            <w:pPr>
              <w:rPr>
                <w:b/>
                <w:color w:val="000000"/>
              </w:rPr>
            </w:pPr>
            <w:r>
              <w:rPr>
                <w:b/>
                <w:color w:val="000000"/>
              </w:rPr>
              <w:t>Trabajos de Gabinete</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E10E9C0" w14:textId="77777777" w:rsidR="004412F1" w:rsidRDefault="005A12A3">
            <w:pPr>
              <w:jc w:val="right"/>
              <w:rPr>
                <w:color w:val="000000"/>
              </w:rPr>
            </w:pPr>
            <w:r>
              <w:rPr>
                <w:color w:val="000000"/>
              </w:rPr>
              <w:t> </w:t>
            </w:r>
          </w:p>
        </w:tc>
      </w:tr>
      <w:tr w:rsidR="004412F1" w14:paraId="0E9E1834"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AAE66F9" w14:textId="77777777" w:rsidR="004412F1" w:rsidRDefault="005A12A3">
            <w:pPr>
              <w:rPr>
                <w:color w:val="000000"/>
                <w:lang w:val="es-PE"/>
              </w:rPr>
            </w:pPr>
            <w:r>
              <w:rPr>
                <w:color w:val="000000"/>
                <w:lang w:val="es-PE"/>
              </w:rPr>
              <w:t>Planos por predio y Memorias descriptivas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FB14482" w14:textId="77777777" w:rsidR="004412F1" w:rsidRDefault="005A12A3">
            <w:pPr>
              <w:jc w:val="right"/>
              <w:rPr>
                <w:rFonts w:eastAsia="Times New Roman"/>
                <w:bCs/>
                <w:color w:val="000000"/>
                <w:szCs w:val="18"/>
                <w:lang w:val="es-ES" w:eastAsia="es-ES"/>
              </w:rPr>
            </w:pPr>
            <w:r>
              <w:rPr>
                <w:color w:val="000000"/>
              </w:rPr>
              <w:t>112.20</w:t>
            </w:r>
          </w:p>
        </w:tc>
      </w:tr>
      <w:tr w:rsidR="004412F1" w14:paraId="7592F9E3"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21348B9" w14:textId="77777777" w:rsidR="004412F1" w:rsidRDefault="005A12A3">
            <w:pPr>
              <w:rPr>
                <w:color w:val="000000"/>
                <w:lang w:val="es-PE"/>
              </w:rPr>
            </w:pPr>
            <w:r>
              <w:rPr>
                <w:color w:val="000000"/>
                <w:lang w:val="es-PE"/>
              </w:rPr>
              <w:t>Sensibilización social: Acercamiento y explicación a la población</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8D9C623" w14:textId="77777777" w:rsidR="004412F1" w:rsidRDefault="005A12A3">
            <w:pPr>
              <w:jc w:val="right"/>
              <w:rPr>
                <w:rFonts w:eastAsia="Times New Roman"/>
                <w:bCs/>
                <w:color w:val="000000"/>
                <w:szCs w:val="18"/>
                <w:lang w:val="es-ES" w:eastAsia="es-ES"/>
              </w:rPr>
            </w:pPr>
            <w:r>
              <w:rPr>
                <w:color w:val="000000"/>
              </w:rPr>
              <w:t>50.00</w:t>
            </w:r>
          </w:p>
        </w:tc>
      </w:tr>
      <w:tr w:rsidR="004412F1" w14:paraId="60D739FA"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2897D1E" w14:textId="77777777" w:rsidR="004412F1" w:rsidRDefault="005A12A3">
            <w:pPr>
              <w:rPr>
                <w:color w:val="000000"/>
                <w:lang w:val="es-PE"/>
              </w:rPr>
            </w:pPr>
            <w:r>
              <w:rPr>
                <w:color w:val="000000"/>
                <w:lang w:val="es-PE"/>
              </w:rPr>
              <w:t>Verificación y levantamiento de información lucro cesante y daño emergente – documentaria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0F91A0EC" w14:textId="77777777" w:rsidR="004412F1" w:rsidRDefault="005A12A3">
            <w:pPr>
              <w:jc w:val="right"/>
              <w:rPr>
                <w:rFonts w:eastAsia="Times New Roman"/>
                <w:bCs/>
                <w:color w:val="000000"/>
                <w:szCs w:val="18"/>
                <w:lang w:val="es-ES" w:eastAsia="es-ES"/>
              </w:rPr>
            </w:pPr>
            <w:r>
              <w:rPr>
                <w:color w:val="000000"/>
              </w:rPr>
              <w:t>85.05</w:t>
            </w:r>
          </w:p>
        </w:tc>
      </w:tr>
      <w:tr w:rsidR="004412F1" w14:paraId="72360960"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BD80729" w14:textId="77777777" w:rsidR="004412F1" w:rsidRDefault="005A12A3">
            <w:pPr>
              <w:rPr>
                <w:color w:val="000000"/>
                <w:lang w:val="es-PE"/>
              </w:rPr>
            </w:pPr>
            <w:r>
              <w:rPr>
                <w:color w:val="000000"/>
                <w:lang w:val="es-PE"/>
              </w:rPr>
              <w:t>Obtención de documentación, análisis y cálculo para determinación de impuesto a la renta, según corresponda.</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997737A" w14:textId="77777777" w:rsidR="004412F1" w:rsidRDefault="005A12A3">
            <w:pPr>
              <w:jc w:val="right"/>
              <w:rPr>
                <w:rFonts w:eastAsia="Times New Roman"/>
                <w:bCs/>
                <w:color w:val="000000"/>
                <w:szCs w:val="18"/>
                <w:lang w:val="es-ES" w:eastAsia="es-ES"/>
              </w:rPr>
            </w:pPr>
            <w:r>
              <w:rPr>
                <w:color w:val="000000"/>
              </w:rPr>
              <w:t>30.00</w:t>
            </w:r>
          </w:p>
        </w:tc>
      </w:tr>
      <w:tr w:rsidR="004412F1" w14:paraId="525C8897"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E12A3F5" w14:textId="77777777" w:rsidR="004412F1" w:rsidRDefault="005A12A3">
            <w:pPr>
              <w:rPr>
                <w:color w:val="000000"/>
              </w:rPr>
            </w:pPr>
            <w:r>
              <w:rPr>
                <w:color w:val="000000"/>
              </w:rPr>
              <w:t>Coordinaciones interinstitucionales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C28C00D" w14:textId="77777777" w:rsidR="004412F1" w:rsidRDefault="005A12A3">
            <w:pPr>
              <w:jc w:val="right"/>
              <w:rPr>
                <w:rFonts w:eastAsia="Times New Roman"/>
                <w:bCs/>
                <w:color w:val="000000"/>
                <w:szCs w:val="18"/>
                <w:lang w:val="es-ES" w:eastAsia="es-ES"/>
              </w:rPr>
            </w:pPr>
            <w:r>
              <w:rPr>
                <w:color w:val="000000"/>
              </w:rPr>
              <w:t>21.15</w:t>
            </w:r>
          </w:p>
        </w:tc>
      </w:tr>
      <w:tr w:rsidR="004412F1" w14:paraId="2BAFDFA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2F0E8D7" w14:textId="77777777" w:rsidR="004412F1" w:rsidRDefault="005A12A3">
            <w:pPr>
              <w:rPr>
                <w:color w:val="000000"/>
                <w:lang w:val="es-PE"/>
              </w:rPr>
            </w:pPr>
            <w:r>
              <w:rPr>
                <w:color w:val="000000"/>
                <w:lang w:val="es-PE"/>
              </w:rPr>
              <w:t>Conformación del expediente (impresiones y otros)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F214DBC" w14:textId="77777777" w:rsidR="004412F1" w:rsidRDefault="005A12A3">
            <w:pPr>
              <w:jc w:val="right"/>
              <w:rPr>
                <w:rFonts w:eastAsia="Times New Roman"/>
                <w:bCs/>
                <w:color w:val="000000"/>
                <w:szCs w:val="18"/>
                <w:lang w:val="es-ES" w:eastAsia="es-ES"/>
              </w:rPr>
            </w:pPr>
            <w:r>
              <w:rPr>
                <w:color w:val="000000"/>
              </w:rPr>
              <w:t>17.80</w:t>
            </w:r>
          </w:p>
        </w:tc>
      </w:tr>
      <w:tr w:rsidR="004412F1" w14:paraId="3495FA1F"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52469B5" w14:textId="77777777" w:rsidR="004412F1" w:rsidRDefault="005A12A3">
            <w:pPr>
              <w:rPr>
                <w:b/>
                <w:color w:val="000000"/>
              </w:rPr>
            </w:pPr>
            <w:r>
              <w:rPr>
                <w:b/>
                <w:color w:val="000000"/>
              </w:rPr>
              <w:t>Costo Directo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0F7FC47" w14:textId="77777777" w:rsidR="004412F1" w:rsidRDefault="005A12A3">
            <w:pPr>
              <w:jc w:val="right"/>
              <w:rPr>
                <w:rFonts w:eastAsia="Times New Roman"/>
                <w:b/>
                <w:bCs/>
                <w:color w:val="000000"/>
                <w:szCs w:val="18"/>
                <w:lang w:val="es-ES" w:eastAsia="es-ES"/>
              </w:rPr>
            </w:pPr>
            <w:r>
              <w:rPr>
                <w:b/>
                <w:color w:val="000000"/>
              </w:rPr>
              <w:t>586.00</w:t>
            </w:r>
          </w:p>
        </w:tc>
      </w:tr>
      <w:tr w:rsidR="004412F1" w14:paraId="727321F0"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8A9584A" w14:textId="77777777" w:rsidR="004412F1" w:rsidRDefault="005A12A3">
            <w:pPr>
              <w:rPr>
                <w:color w:val="000000"/>
              </w:rPr>
            </w:pPr>
            <w:r>
              <w:rPr>
                <w:color w:val="000000"/>
              </w:rPr>
              <w:t>Utilidad 10%</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3AD17B4" w14:textId="77777777" w:rsidR="004412F1" w:rsidRDefault="005A12A3">
            <w:pPr>
              <w:jc w:val="right"/>
              <w:rPr>
                <w:rFonts w:eastAsia="Times New Roman"/>
                <w:bCs/>
                <w:color w:val="000000"/>
                <w:szCs w:val="18"/>
                <w:lang w:val="es-ES" w:eastAsia="es-ES"/>
              </w:rPr>
            </w:pPr>
            <w:r>
              <w:rPr>
                <w:color w:val="000000"/>
              </w:rPr>
              <w:t>58.60</w:t>
            </w:r>
          </w:p>
        </w:tc>
      </w:tr>
      <w:tr w:rsidR="004412F1" w14:paraId="504E993D"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5E9F451" w14:textId="77777777" w:rsidR="004412F1" w:rsidRDefault="005A12A3">
            <w:pPr>
              <w:rPr>
                <w:color w:val="000000"/>
              </w:rPr>
            </w:pPr>
            <w:r>
              <w:rPr>
                <w:color w:val="000000"/>
              </w:rPr>
              <w:t xml:space="preserve">Sub 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B4E9248" w14:textId="77777777" w:rsidR="004412F1" w:rsidRDefault="005A12A3">
            <w:pPr>
              <w:jc w:val="right"/>
              <w:rPr>
                <w:rFonts w:eastAsia="Times New Roman"/>
                <w:b/>
                <w:bCs/>
                <w:color w:val="000000"/>
                <w:szCs w:val="18"/>
                <w:lang w:val="es-ES" w:eastAsia="es-ES"/>
              </w:rPr>
            </w:pPr>
            <w:r>
              <w:rPr>
                <w:b/>
                <w:color w:val="000000"/>
              </w:rPr>
              <w:t>644.60</w:t>
            </w:r>
          </w:p>
        </w:tc>
      </w:tr>
      <w:tr w:rsidR="004412F1" w14:paraId="2B40116A"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259A521" w14:textId="77777777" w:rsidR="004412F1" w:rsidRDefault="005A12A3">
            <w:pPr>
              <w:rPr>
                <w:color w:val="000000"/>
              </w:rPr>
            </w:pPr>
            <w:r>
              <w:rPr>
                <w:color w:val="000000"/>
              </w:rPr>
              <w:t>IGV 18%</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420D95F" w14:textId="77777777" w:rsidR="004412F1" w:rsidRDefault="005A12A3">
            <w:pPr>
              <w:jc w:val="right"/>
              <w:rPr>
                <w:rFonts w:eastAsia="Times New Roman"/>
                <w:bCs/>
                <w:color w:val="000000"/>
                <w:szCs w:val="18"/>
                <w:lang w:val="es-ES" w:eastAsia="es-ES"/>
              </w:rPr>
            </w:pPr>
            <w:r>
              <w:rPr>
                <w:color w:val="000000"/>
              </w:rPr>
              <w:t>116.03</w:t>
            </w:r>
          </w:p>
        </w:tc>
      </w:tr>
      <w:tr w:rsidR="004412F1" w14:paraId="4B2EB541"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3E8EBBE" w14:textId="77777777" w:rsidR="004412F1" w:rsidRDefault="005A12A3">
            <w:pPr>
              <w:rPr>
                <w:color w:val="000000"/>
              </w:rPr>
            </w:pPr>
            <w:r>
              <w:rPr>
                <w:color w:val="000000"/>
              </w:rPr>
              <w:t>Sub Total con IGV</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9A8C8DE" w14:textId="77777777" w:rsidR="004412F1" w:rsidRDefault="005A12A3">
            <w:pPr>
              <w:jc w:val="right"/>
              <w:rPr>
                <w:rFonts w:eastAsia="Times New Roman"/>
                <w:b/>
                <w:bCs/>
                <w:color w:val="000000"/>
                <w:szCs w:val="18"/>
                <w:lang w:val="es-ES" w:eastAsia="es-ES"/>
              </w:rPr>
            </w:pPr>
            <w:r>
              <w:rPr>
                <w:b/>
                <w:color w:val="000000"/>
              </w:rPr>
              <w:t>760.63</w:t>
            </w:r>
          </w:p>
        </w:tc>
      </w:tr>
      <w:tr w:rsidR="004412F1" w14:paraId="579FB567"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9EC58D3" w14:textId="77777777" w:rsidR="004412F1" w:rsidRDefault="005A12A3">
            <w:pPr>
              <w:rPr>
                <w:color w:val="000000"/>
              </w:rPr>
            </w:pPr>
            <w:r>
              <w:rPr>
                <w:color w:val="000000"/>
              </w:rPr>
              <w:t>Aporte por regulación 1%</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B188B2A" w14:textId="77777777" w:rsidR="004412F1" w:rsidRDefault="005A12A3">
            <w:pPr>
              <w:jc w:val="right"/>
              <w:rPr>
                <w:rFonts w:eastAsia="Times New Roman"/>
                <w:bCs/>
                <w:color w:val="000000"/>
                <w:szCs w:val="18"/>
                <w:lang w:val="es-ES" w:eastAsia="es-ES"/>
              </w:rPr>
            </w:pPr>
            <w:r>
              <w:rPr>
                <w:color w:val="000000"/>
              </w:rPr>
              <w:t>7.61</w:t>
            </w:r>
          </w:p>
        </w:tc>
      </w:tr>
      <w:tr w:rsidR="004412F1" w14:paraId="2AF656EE"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4FF26E2" w14:textId="77777777" w:rsidR="004412F1" w:rsidRDefault="005A12A3">
            <w:pPr>
              <w:rPr>
                <w:b/>
                <w:color w:val="000000"/>
              </w:rPr>
            </w:pPr>
            <w:r>
              <w:rPr>
                <w:b/>
                <w:color w:val="000000"/>
              </w:rPr>
              <w:t xml:space="preserve">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B83663E" w14:textId="77777777" w:rsidR="004412F1" w:rsidRDefault="005A12A3">
            <w:pPr>
              <w:jc w:val="right"/>
              <w:rPr>
                <w:rFonts w:eastAsia="Times New Roman"/>
                <w:b/>
                <w:bCs/>
                <w:color w:val="000000"/>
                <w:szCs w:val="18"/>
                <w:lang w:val="es-ES" w:eastAsia="es-ES"/>
              </w:rPr>
            </w:pPr>
            <w:r>
              <w:rPr>
                <w:b/>
                <w:color w:val="000000"/>
              </w:rPr>
              <w:t>768.23</w:t>
            </w:r>
          </w:p>
        </w:tc>
      </w:tr>
    </w:tbl>
    <w:p w14:paraId="4771AC6C" w14:textId="77777777" w:rsidR="004412F1" w:rsidRDefault="004412F1">
      <w:pPr>
        <w:jc w:val="both"/>
        <w:rPr>
          <w:u w:val="single"/>
        </w:rPr>
      </w:pPr>
    </w:p>
    <w:p w14:paraId="6EF07B68" w14:textId="77777777" w:rsidR="004412F1" w:rsidRDefault="004412F1">
      <w:pPr>
        <w:jc w:val="both"/>
        <w:rPr>
          <w:u w:val="single"/>
        </w:rPr>
      </w:pPr>
    </w:p>
    <w:p w14:paraId="1ABB2C43" w14:textId="77777777" w:rsidR="004412F1" w:rsidRDefault="005A12A3">
      <w:pPr>
        <w:jc w:val="both"/>
        <w:rPr>
          <w:u w:val="single"/>
        </w:rPr>
      </w:pPr>
      <w:r>
        <w:rPr>
          <w:u w:val="single"/>
        </w:rPr>
        <w:t>Posesionario</w:t>
      </w:r>
    </w:p>
    <w:p w14:paraId="199DB3F9" w14:textId="77777777" w:rsidR="004412F1" w:rsidRDefault="004412F1">
      <w:pPr>
        <w:jc w:val="both"/>
        <w:rPr>
          <w:u w:val="single"/>
        </w:rPr>
      </w:pPr>
    </w:p>
    <w:tbl>
      <w:tblPr>
        <w:tblW w:w="7940"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6740"/>
        <w:gridCol w:w="1200"/>
      </w:tblGrid>
      <w:tr w:rsidR="004412F1" w14:paraId="016FB4DF" w14:textId="77777777">
        <w:trPr>
          <w:trHeight w:val="315"/>
          <w:tblHeader/>
        </w:trPr>
        <w:tc>
          <w:tcPr>
            <w:tcW w:w="6740" w:type="dxa"/>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520E22AF" w14:textId="77777777" w:rsidR="004412F1" w:rsidRDefault="005A12A3">
            <w:pPr>
              <w:jc w:val="center"/>
              <w:rPr>
                <w:b/>
                <w:color w:val="000000"/>
              </w:rPr>
            </w:pPr>
            <w:r>
              <w:rPr>
                <w:b/>
                <w:color w:val="000000"/>
              </w:rPr>
              <w:t>Detalle</w:t>
            </w:r>
          </w:p>
        </w:tc>
        <w:tc>
          <w:tcPr>
            <w:tcW w:w="1200" w:type="dxa"/>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tcPr>
          <w:p w14:paraId="03557B81" w14:textId="77777777" w:rsidR="004412F1" w:rsidRDefault="005A12A3">
            <w:pPr>
              <w:jc w:val="center"/>
              <w:rPr>
                <w:rFonts w:eastAsia="Times New Roman"/>
                <w:b/>
                <w:bCs/>
                <w:color w:val="000000"/>
                <w:szCs w:val="18"/>
                <w:lang w:val="es-ES" w:eastAsia="es-ES"/>
              </w:rPr>
            </w:pPr>
            <w:r>
              <w:rPr>
                <w:b/>
                <w:color w:val="000000"/>
              </w:rPr>
              <w:t>Soles (S/)</w:t>
            </w:r>
          </w:p>
        </w:tc>
      </w:tr>
      <w:tr w:rsidR="004412F1" w14:paraId="36BC14CB" w14:textId="77777777">
        <w:trPr>
          <w:trHeight w:val="315"/>
        </w:trPr>
        <w:tc>
          <w:tcPr>
            <w:tcW w:w="79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57A7A8C" w14:textId="77777777" w:rsidR="004412F1" w:rsidRDefault="005A12A3">
            <w:pPr>
              <w:rPr>
                <w:b/>
                <w:color w:val="000000"/>
              </w:rPr>
            </w:pPr>
            <w:r>
              <w:rPr>
                <w:b/>
                <w:color w:val="000000"/>
              </w:rPr>
              <w:t>Trabajos de Campo</w:t>
            </w:r>
          </w:p>
        </w:tc>
      </w:tr>
      <w:tr w:rsidR="004412F1" w14:paraId="03753DE9"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8767D12" w14:textId="77777777" w:rsidR="004412F1" w:rsidRDefault="005A12A3">
            <w:pPr>
              <w:rPr>
                <w:color w:val="000000"/>
                <w:lang w:val="es-PE"/>
              </w:rPr>
            </w:pPr>
            <w:r>
              <w:rPr>
                <w:color w:val="000000"/>
                <w:lang w:val="es-PE"/>
              </w:rPr>
              <w:t>Verificación y Levantamiento de Información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4A906C3" w14:textId="77777777" w:rsidR="004412F1" w:rsidRDefault="005A12A3">
            <w:pPr>
              <w:jc w:val="right"/>
              <w:rPr>
                <w:rFonts w:eastAsia="Times New Roman"/>
                <w:bCs/>
                <w:color w:val="000000"/>
                <w:szCs w:val="18"/>
                <w:lang w:val="es-ES" w:eastAsia="es-ES"/>
              </w:rPr>
            </w:pPr>
            <w:r>
              <w:rPr>
                <w:color w:val="000000"/>
              </w:rPr>
              <w:t>38.30</w:t>
            </w:r>
          </w:p>
        </w:tc>
      </w:tr>
      <w:tr w:rsidR="004412F1" w14:paraId="7F61D77E"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3D4C9AB" w14:textId="77777777" w:rsidR="004412F1" w:rsidRDefault="005A12A3">
            <w:pPr>
              <w:rPr>
                <w:color w:val="000000"/>
                <w:lang w:val="es-PE"/>
              </w:rPr>
            </w:pPr>
            <w:r>
              <w:rPr>
                <w:color w:val="000000"/>
                <w:lang w:val="es-PE"/>
              </w:rPr>
              <w:t>Verificación y Levantamiento de Edificaciones existentes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5497D89" w14:textId="77777777" w:rsidR="004412F1" w:rsidRDefault="005A12A3">
            <w:pPr>
              <w:jc w:val="right"/>
              <w:rPr>
                <w:rFonts w:eastAsia="Times New Roman"/>
                <w:bCs/>
                <w:color w:val="000000"/>
                <w:szCs w:val="18"/>
                <w:lang w:val="es-ES" w:eastAsia="es-ES"/>
              </w:rPr>
            </w:pPr>
            <w:r>
              <w:rPr>
                <w:color w:val="000000"/>
              </w:rPr>
              <w:t>72.20</w:t>
            </w:r>
          </w:p>
        </w:tc>
      </w:tr>
      <w:tr w:rsidR="004412F1" w14:paraId="3F3FB344"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794FE19" w14:textId="77777777" w:rsidR="004412F1" w:rsidRDefault="005A12A3">
            <w:pPr>
              <w:rPr>
                <w:color w:val="000000"/>
                <w:lang w:val="es-PE"/>
              </w:rPr>
            </w:pPr>
            <w:r>
              <w:rPr>
                <w:color w:val="000000"/>
                <w:lang w:val="es-PE"/>
              </w:rPr>
              <w:t>Verificación y Levantamiento de cultivos y plantaciones existentes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9E4F2B3" w14:textId="77777777" w:rsidR="004412F1" w:rsidRDefault="005A12A3">
            <w:pPr>
              <w:jc w:val="right"/>
              <w:rPr>
                <w:rFonts w:eastAsia="Times New Roman"/>
                <w:bCs/>
                <w:color w:val="000000"/>
                <w:szCs w:val="18"/>
                <w:lang w:val="es-ES" w:eastAsia="es-ES"/>
              </w:rPr>
            </w:pPr>
            <w:r>
              <w:rPr>
                <w:color w:val="000000"/>
              </w:rPr>
              <w:t>69.80</w:t>
            </w:r>
          </w:p>
        </w:tc>
      </w:tr>
      <w:tr w:rsidR="004412F1" w14:paraId="633D5AC8"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9CD034F" w14:textId="77777777" w:rsidR="004412F1" w:rsidRDefault="005A12A3">
            <w:pPr>
              <w:rPr>
                <w:color w:val="000000"/>
                <w:lang w:val="es-PE"/>
              </w:rPr>
            </w:pPr>
            <w:r>
              <w:rPr>
                <w:color w:val="000000"/>
                <w:lang w:val="es-PE"/>
              </w:rPr>
              <w:t>Búsqueda de información en SUNARP</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904ABBE" w14:textId="77777777" w:rsidR="004412F1" w:rsidRDefault="005A12A3">
            <w:pPr>
              <w:jc w:val="right"/>
              <w:rPr>
                <w:rFonts w:eastAsia="Times New Roman"/>
                <w:bCs/>
                <w:color w:val="000000"/>
                <w:szCs w:val="18"/>
                <w:lang w:val="es-ES" w:eastAsia="es-ES"/>
              </w:rPr>
            </w:pPr>
            <w:r>
              <w:rPr>
                <w:color w:val="000000"/>
              </w:rPr>
              <w:t>32.50</w:t>
            </w:r>
          </w:p>
        </w:tc>
      </w:tr>
      <w:tr w:rsidR="004412F1" w14:paraId="04AB9E78"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3D0A4CA" w14:textId="77777777" w:rsidR="004412F1" w:rsidRDefault="005A12A3">
            <w:pPr>
              <w:rPr>
                <w:color w:val="000000"/>
                <w:lang w:val="es-PE"/>
              </w:rPr>
            </w:pPr>
            <w:r>
              <w:rPr>
                <w:color w:val="000000"/>
                <w:lang w:val="es-PE"/>
              </w:rPr>
              <w:t>Obtención de Constancias de Posesión</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64EB612" w14:textId="77777777" w:rsidR="004412F1" w:rsidRDefault="005A12A3">
            <w:pPr>
              <w:jc w:val="right"/>
              <w:rPr>
                <w:rFonts w:eastAsia="Times New Roman"/>
                <w:bCs/>
                <w:color w:val="000000"/>
                <w:szCs w:val="18"/>
                <w:lang w:val="es-ES" w:eastAsia="es-ES"/>
              </w:rPr>
            </w:pPr>
            <w:r>
              <w:rPr>
                <w:color w:val="000000"/>
              </w:rPr>
              <w:t>75.00</w:t>
            </w:r>
          </w:p>
        </w:tc>
      </w:tr>
      <w:tr w:rsidR="004412F1" w14:paraId="78308740"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6EB1179" w14:textId="77777777" w:rsidR="004412F1" w:rsidRDefault="005A12A3">
            <w:pPr>
              <w:rPr>
                <w:b/>
                <w:color w:val="000000"/>
              </w:rPr>
            </w:pPr>
            <w:r>
              <w:rPr>
                <w:b/>
                <w:color w:val="000000"/>
              </w:rPr>
              <w:t>Trabajos de Gabinete</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30A2B6B" w14:textId="77777777" w:rsidR="004412F1" w:rsidRDefault="005A12A3">
            <w:pPr>
              <w:jc w:val="right"/>
              <w:rPr>
                <w:color w:val="000000"/>
              </w:rPr>
            </w:pPr>
            <w:r>
              <w:rPr>
                <w:color w:val="000000"/>
              </w:rPr>
              <w:t> </w:t>
            </w:r>
          </w:p>
        </w:tc>
      </w:tr>
      <w:tr w:rsidR="004412F1" w14:paraId="7987233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vAlign w:val="center"/>
          </w:tcPr>
          <w:p w14:paraId="78C1AB37" w14:textId="77777777" w:rsidR="004412F1" w:rsidRDefault="005A12A3">
            <w:pPr>
              <w:rPr>
                <w:color w:val="000000"/>
                <w:lang w:val="es-PE"/>
              </w:rPr>
            </w:pPr>
            <w:r>
              <w:rPr>
                <w:color w:val="000000"/>
                <w:lang w:val="es-PE"/>
              </w:rPr>
              <w:t>Planos por predio y Memorias descriptivas por predio</w:t>
            </w:r>
          </w:p>
        </w:tc>
        <w:tc>
          <w:tcPr>
            <w:tcW w:w="1200" w:type="dxa"/>
            <w:tcBorders>
              <w:top w:val="nil"/>
              <w:left w:val="nil"/>
              <w:bottom w:val="single" w:sz="8" w:space="0" w:color="000000"/>
              <w:right w:val="single" w:sz="8" w:space="0" w:color="000000"/>
            </w:tcBorders>
            <w:shd w:val="clear" w:color="auto" w:fill="auto"/>
            <w:vAlign w:val="center"/>
          </w:tcPr>
          <w:p w14:paraId="38D25EAF" w14:textId="77777777" w:rsidR="004412F1" w:rsidRDefault="005A12A3">
            <w:pPr>
              <w:jc w:val="right"/>
              <w:rPr>
                <w:rFonts w:eastAsia="Times New Roman"/>
                <w:bCs/>
                <w:color w:val="000000"/>
                <w:szCs w:val="18"/>
                <w:lang w:val="es-ES" w:eastAsia="es-ES"/>
              </w:rPr>
            </w:pPr>
            <w:r>
              <w:rPr>
                <w:color w:val="000000"/>
              </w:rPr>
              <w:t>112.20</w:t>
            </w:r>
          </w:p>
        </w:tc>
      </w:tr>
      <w:tr w:rsidR="004412F1" w14:paraId="54D32E64"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05F8F76" w14:textId="77777777" w:rsidR="004412F1" w:rsidRDefault="005A12A3">
            <w:pPr>
              <w:rPr>
                <w:color w:val="000000"/>
                <w:lang w:val="es-PE"/>
              </w:rPr>
            </w:pPr>
            <w:r>
              <w:rPr>
                <w:color w:val="000000"/>
                <w:lang w:val="es-PE"/>
              </w:rPr>
              <w:t>Sensibilización social: Acercamiento y explicación a la población</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D0F739C" w14:textId="77777777" w:rsidR="004412F1" w:rsidRDefault="005A12A3">
            <w:pPr>
              <w:jc w:val="right"/>
              <w:rPr>
                <w:rFonts w:eastAsia="Times New Roman"/>
                <w:bCs/>
                <w:color w:val="000000"/>
                <w:szCs w:val="18"/>
                <w:lang w:val="es-ES" w:eastAsia="es-ES"/>
              </w:rPr>
            </w:pPr>
            <w:r>
              <w:rPr>
                <w:color w:val="000000"/>
              </w:rPr>
              <w:t>50.00</w:t>
            </w:r>
          </w:p>
        </w:tc>
      </w:tr>
      <w:tr w:rsidR="004412F1" w14:paraId="4E90186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4A7A2F2" w14:textId="77777777" w:rsidR="004412F1" w:rsidRDefault="005A12A3">
            <w:pPr>
              <w:rPr>
                <w:color w:val="000000"/>
                <w:lang w:val="es-PE"/>
              </w:rPr>
            </w:pPr>
            <w:r>
              <w:rPr>
                <w:color w:val="000000"/>
                <w:lang w:val="es-PE"/>
              </w:rPr>
              <w:t>Verificación y levantamiento de información lucro cesante y daño emergente – documentaria por predio</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E22F7FA" w14:textId="77777777" w:rsidR="004412F1" w:rsidRDefault="005A12A3">
            <w:pPr>
              <w:jc w:val="right"/>
              <w:rPr>
                <w:rFonts w:eastAsia="Times New Roman"/>
                <w:bCs/>
                <w:color w:val="000000"/>
                <w:szCs w:val="18"/>
                <w:lang w:val="es-ES" w:eastAsia="es-ES"/>
              </w:rPr>
            </w:pPr>
            <w:r>
              <w:rPr>
                <w:color w:val="000000"/>
              </w:rPr>
              <w:t>30.00</w:t>
            </w:r>
          </w:p>
        </w:tc>
      </w:tr>
      <w:tr w:rsidR="004412F1" w14:paraId="0F582A44"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904CE29" w14:textId="77777777" w:rsidR="004412F1" w:rsidRDefault="005A12A3">
            <w:pPr>
              <w:rPr>
                <w:color w:val="000000"/>
                <w:lang w:val="es-PE"/>
              </w:rPr>
            </w:pPr>
            <w:r>
              <w:rPr>
                <w:color w:val="000000"/>
                <w:lang w:val="es-PE"/>
              </w:rPr>
              <w:t>Obtención de documentación, análisis y cálculo para determinación de impuesto a la renta, según corresponda.</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865AADA" w14:textId="77777777" w:rsidR="004412F1" w:rsidRDefault="005A12A3">
            <w:pPr>
              <w:jc w:val="right"/>
              <w:rPr>
                <w:rFonts w:eastAsia="Times New Roman"/>
                <w:bCs/>
                <w:color w:val="000000"/>
                <w:szCs w:val="18"/>
                <w:lang w:val="es-ES" w:eastAsia="es-ES"/>
              </w:rPr>
            </w:pPr>
            <w:r>
              <w:rPr>
                <w:color w:val="000000"/>
              </w:rPr>
              <w:t>30.00</w:t>
            </w:r>
          </w:p>
        </w:tc>
      </w:tr>
      <w:tr w:rsidR="004412F1" w14:paraId="205858EA"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45A279A" w14:textId="77777777" w:rsidR="004412F1" w:rsidRDefault="005A12A3">
            <w:pPr>
              <w:rPr>
                <w:color w:val="000000"/>
              </w:rPr>
            </w:pPr>
            <w:r>
              <w:rPr>
                <w:color w:val="000000"/>
              </w:rPr>
              <w:t>Coordinaciones interinstitucionales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1AE21ED" w14:textId="77777777" w:rsidR="004412F1" w:rsidRDefault="005A12A3">
            <w:pPr>
              <w:jc w:val="right"/>
              <w:rPr>
                <w:rFonts w:eastAsia="Times New Roman"/>
                <w:bCs/>
                <w:color w:val="000000"/>
                <w:szCs w:val="18"/>
                <w:lang w:val="es-ES" w:eastAsia="es-ES"/>
              </w:rPr>
            </w:pPr>
            <w:r>
              <w:rPr>
                <w:color w:val="000000"/>
              </w:rPr>
              <w:t>21.15</w:t>
            </w:r>
          </w:p>
        </w:tc>
      </w:tr>
      <w:tr w:rsidR="004412F1" w14:paraId="59B60CF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857DE59" w14:textId="77777777" w:rsidR="004412F1" w:rsidRDefault="005A12A3">
            <w:pPr>
              <w:rPr>
                <w:color w:val="000000"/>
                <w:lang w:val="es-PE"/>
              </w:rPr>
            </w:pPr>
            <w:r>
              <w:rPr>
                <w:color w:val="000000"/>
                <w:lang w:val="es-PE"/>
              </w:rPr>
              <w:t>Conformación del expediente (impresiones y otros)</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DF9F843" w14:textId="77777777" w:rsidR="004412F1" w:rsidRDefault="005A12A3">
            <w:pPr>
              <w:jc w:val="right"/>
              <w:rPr>
                <w:rFonts w:eastAsia="Times New Roman"/>
                <w:bCs/>
                <w:color w:val="000000"/>
                <w:szCs w:val="18"/>
                <w:lang w:val="es-ES" w:eastAsia="es-ES"/>
              </w:rPr>
            </w:pPr>
            <w:r>
              <w:rPr>
                <w:color w:val="000000"/>
              </w:rPr>
              <w:t>17.80</w:t>
            </w:r>
          </w:p>
        </w:tc>
      </w:tr>
      <w:tr w:rsidR="004412F1" w14:paraId="286F45EC"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81C256A" w14:textId="77777777" w:rsidR="004412F1" w:rsidRDefault="005A12A3">
            <w:pPr>
              <w:rPr>
                <w:b/>
                <w:color w:val="000000"/>
              </w:rPr>
            </w:pPr>
            <w:r>
              <w:rPr>
                <w:b/>
                <w:color w:val="000000"/>
              </w:rPr>
              <w:t>Costo Directo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AD42A80" w14:textId="77777777" w:rsidR="004412F1" w:rsidRDefault="005A12A3">
            <w:pPr>
              <w:jc w:val="right"/>
              <w:rPr>
                <w:rFonts w:eastAsia="Times New Roman"/>
                <w:b/>
                <w:bCs/>
                <w:color w:val="000000"/>
                <w:szCs w:val="18"/>
                <w:lang w:val="es-ES" w:eastAsia="es-ES"/>
              </w:rPr>
            </w:pPr>
            <w:r>
              <w:rPr>
                <w:b/>
                <w:color w:val="000000"/>
              </w:rPr>
              <w:t>548.95</w:t>
            </w:r>
          </w:p>
        </w:tc>
      </w:tr>
      <w:tr w:rsidR="004412F1" w14:paraId="298C2B5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FDA24E8" w14:textId="77777777" w:rsidR="004412F1" w:rsidRDefault="005A12A3">
            <w:pPr>
              <w:rPr>
                <w:color w:val="000000"/>
              </w:rPr>
            </w:pPr>
            <w:r>
              <w:rPr>
                <w:color w:val="000000"/>
              </w:rPr>
              <w:t>Utilidad 10%</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EC6BEA1" w14:textId="77777777" w:rsidR="004412F1" w:rsidRDefault="005A12A3">
            <w:pPr>
              <w:jc w:val="right"/>
              <w:rPr>
                <w:rFonts w:eastAsia="Times New Roman"/>
                <w:bCs/>
                <w:color w:val="000000"/>
                <w:szCs w:val="18"/>
                <w:lang w:val="es-ES" w:eastAsia="es-ES"/>
              </w:rPr>
            </w:pPr>
            <w:r>
              <w:rPr>
                <w:color w:val="000000"/>
              </w:rPr>
              <w:t>54.90</w:t>
            </w:r>
          </w:p>
        </w:tc>
      </w:tr>
      <w:tr w:rsidR="004412F1" w14:paraId="0EC91B8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1675E09" w14:textId="77777777" w:rsidR="004412F1" w:rsidRDefault="005A12A3">
            <w:pPr>
              <w:rPr>
                <w:color w:val="000000"/>
              </w:rPr>
            </w:pPr>
            <w:r>
              <w:rPr>
                <w:color w:val="000000"/>
              </w:rPr>
              <w:t>Sub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58F1FEF" w14:textId="77777777" w:rsidR="004412F1" w:rsidRDefault="005A12A3">
            <w:pPr>
              <w:jc w:val="right"/>
              <w:rPr>
                <w:rFonts w:eastAsia="Times New Roman"/>
                <w:b/>
                <w:bCs/>
                <w:color w:val="000000"/>
                <w:szCs w:val="18"/>
                <w:lang w:val="es-ES" w:eastAsia="es-ES"/>
              </w:rPr>
            </w:pPr>
            <w:r>
              <w:rPr>
                <w:b/>
                <w:color w:val="000000"/>
              </w:rPr>
              <w:t>603.85</w:t>
            </w:r>
          </w:p>
        </w:tc>
      </w:tr>
      <w:tr w:rsidR="004412F1" w14:paraId="1BF68912"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431A0E5" w14:textId="77777777" w:rsidR="004412F1" w:rsidRDefault="005A12A3">
            <w:pPr>
              <w:rPr>
                <w:color w:val="000000"/>
              </w:rPr>
            </w:pPr>
            <w:r>
              <w:rPr>
                <w:color w:val="000000"/>
              </w:rPr>
              <w:t>IGV 18%</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0EF65A65" w14:textId="77777777" w:rsidR="004412F1" w:rsidRDefault="005A12A3">
            <w:pPr>
              <w:jc w:val="right"/>
              <w:rPr>
                <w:rFonts w:eastAsia="Times New Roman"/>
                <w:bCs/>
                <w:color w:val="000000"/>
                <w:szCs w:val="18"/>
                <w:lang w:val="es-ES" w:eastAsia="es-ES"/>
              </w:rPr>
            </w:pPr>
            <w:r>
              <w:rPr>
                <w:color w:val="000000"/>
              </w:rPr>
              <w:t>108.69</w:t>
            </w:r>
          </w:p>
        </w:tc>
      </w:tr>
      <w:tr w:rsidR="004412F1" w14:paraId="63643EDF"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BF529BD" w14:textId="77777777" w:rsidR="004412F1" w:rsidRDefault="005A12A3">
            <w:pPr>
              <w:rPr>
                <w:color w:val="000000"/>
              </w:rPr>
            </w:pPr>
            <w:r>
              <w:rPr>
                <w:color w:val="000000"/>
              </w:rPr>
              <w:t>Sub Total con IGV</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74F2C52" w14:textId="77777777" w:rsidR="004412F1" w:rsidRDefault="005A12A3">
            <w:pPr>
              <w:jc w:val="right"/>
              <w:rPr>
                <w:rFonts w:eastAsia="Times New Roman"/>
                <w:b/>
                <w:bCs/>
                <w:color w:val="000000"/>
                <w:szCs w:val="18"/>
                <w:lang w:val="es-ES" w:eastAsia="es-ES"/>
              </w:rPr>
            </w:pPr>
            <w:r>
              <w:rPr>
                <w:b/>
                <w:color w:val="000000"/>
              </w:rPr>
              <w:t>712.54</w:t>
            </w:r>
          </w:p>
        </w:tc>
      </w:tr>
      <w:tr w:rsidR="004412F1" w14:paraId="7CD9464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17CCDF3C" w14:textId="77777777" w:rsidR="004412F1" w:rsidRDefault="005A12A3">
            <w:pPr>
              <w:rPr>
                <w:color w:val="000000"/>
              </w:rPr>
            </w:pPr>
            <w:r>
              <w:rPr>
                <w:color w:val="000000"/>
              </w:rPr>
              <w:t>Aporte por regulación 1%</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99CBBB1" w14:textId="77777777" w:rsidR="004412F1" w:rsidRDefault="005A12A3">
            <w:pPr>
              <w:jc w:val="right"/>
              <w:rPr>
                <w:rFonts w:eastAsia="Times New Roman"/>
                <w:bCs/>
                <w:color w:val="000000"/>
                <w:szCs w:val="18"/>
                <w:lang w:val="es-ES" w:eastAsia="es-ES"/>
              </w:rPr>
            </w:pPr>
            <w:r>
              <w:rPr>
                <w:color w:val="000000"/>
              </w:rPr>
              <w:t>7.13</w:t>
            </w:r>
          </w:p>
        </w:tc>
      </w:tr>
      <w:tr w:rsidR="004412F1" w14:paraId="71BEEF60"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66AB903" w14:textId="77777777" w:rsidR="004412F1" w:rsidRDefault="005A12A3">
            <w:pPr>
              <w:rPr>
                <w:b/>
                <w:color w:val="000000"/>
              </w:rPr>
            </w:pPr>
            <w:r>
              <w:rPr>
                <w:b/>
                <w:color w:val="000000"/>
              </w:rPr>
              <w:t xml:space="preserve">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3748750B" w14:textId="77777777" w:rsidR="004412F1" w:rsidRDefault="005A12A3">
            <w:pPr>
              <w:jc w:val="right"/>
              <w:rPr>
                <w:rFonts w:eastAsia="Times New Roman"/>
                <w:b/>
                <w:bCs/>
                <w:color w:val="000000"/>
                <w:szCs w:val="18"/>
                <w:lang w:val="es-ES" w:eastAsia="es-ES"/>
              </w:rPr>
            </w:pPr>
            <w:r>
              <w:rPr>
                <w:b/>
                <w:color w:val="000000"/>
              </w:rPr>
              <w:t>719.66</w:t>
            </w:r>
          </w:p>
        </w:tc>
      </w:tr>
    </w:tbl>
    <w:p w14:paraId="44F2218C" w14:textId="77777777" w:rsidR="004412F1" w:rsidRDefault="004412F1">
      <w:pPr>
        <w:jc w:val="both"/>
        <w:rPr>
          <w:u w:val="single"/>
        </w:rPr>
      </w:pPr>
    </w:p>
    <w:p w14:paraId="17FDD273" w14:textId="77777777" w:rsidR="004412F1" w:rsidRDefault="004412F1">
      <w:pPr>
        <w:jc w:val="both"/>
        <w:rPr>
          <w:u w:val="single"/>
        </w:rPr>
      </w:pPr>
    </w:p>
    <w:p w14:paraId="7F7F5067" w14:textId="77777777" w:rsidR="004412F1" w:rsidRDefault="004412F1">
      <w:pPr>
        <w:jc w:val="both"/>
        <w:rPr>
          <w:u w:val="single"/>
        </w:rPr>
      </w:pPr>
    </w:p>
    <w:p w14:paraId="523C7C53" w14:textId="77777777" w:rsidR="004412F1" w:rsidRDefault="005A12A3">
      <w:pPr>
        <w:jc w:val="both"/>
        <w:rPr>
          <w:rFonts w:eastAsia="Times New Roman"/>
          <w:b/>
          <w:bCs/>
          <w:szCs w:val="18"/>
          <w:lang w:val="es-ES" w:eastAsia="es-ES"/>
        </w:rPr>
      </w:pPr>
      <w:r>
        <w:rPr>
          <w:b/>
          <w:lang w:val="es-PE"/>
        </w:rPr>
        <w:t>Costo Unitario por Presentación de Expediente a SUNARP con fines de obtención del CBC</w:t>
      </w:r>
    </w:p>
    <w:p w14:paraId="757A4E32" w14:textId="77777777" w:rsidR="004412F1" w:rsidRDefault="004412F1">
      <w:pPr>
        <w:tabs>
          <w:tab w:val="left" w:pos="2268"/>
        </w:tabs>
        <w:ind w:left="2552" w:hanging="1985"/>
        <w:jc w:val="both"/>
        <w:rPr>
          <w:lang w:val="es-PE"/>
        </w:rPr>
      </w:pPr>
    </w:p>
    <w:p w14:paraId="7016D064" w14:textId="77777777" w:rsidR="004412F1" w:rsidRDefault="004412F1">
      <w:pPr>
        <w:tabs>
          <w:tab w:val="left" w:pos="2268"/>
        </w:tabs>
        <w:ind w:left="2552" w:hanging="1985"/>
        <w:jc w:val="both"/>
        <w:rPr>
          <w:lang w:val="es-PE"/>
        </w:rPr>
      </w:pPr>
    </w:p>
    <w:tbl>
      <w:tblPr>
        <w:tblW w:w="7940"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6740"/>
        <w:gridCol w:w="1200"/>
      </w:tblGrid>
      <w:tr w:rsidR="004412F1" w14:paraId="7BC5EA57" w14:textId="77777777">
        <w:trPr>
          <w:trHeight w:val="522"/>
          <w:tblHeader/>
        </w:trPr>
        <w:tc>
          <w:tcPr>
            <w:tcW w:w="6740" w:type="dxa"/>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364592D3" w14:textId="77777777" w:rsidR="004412F1" w:rsidRDefault="005A12A3">
            <w:pPr>
              <w:jc w:val="center"/>
              <w:rPr>
                <w:b/>
                <w:color w:val="000000"/>
              </w:rPr>
            </w:pPr>
            <w:r>
              <w:rPr>
                <w:b/>
                <w:color w:val="000000"/>
              </w:rPr>
              <w:t>Descripción</w:t>
            </w:r>
          </w:p>
        </w:tc>
        <w:tc>
          <w:tcPr>
            <w:tcW w:w="1200" w:type="dxa"/>
            <w:tcBorders>
              <w:top w:val="single" w:sz="8" w:space="0" w:color="000000"/>
              <w:left w:val="nil"/>
              <w:bottom w:val="single" w:sz="8" w:space="0" w:color="000000"/>
              <w:right w:val="single" w:sz="8" w:space="0" w:color="000000"/>
            </w:tcBorders>
            <w:shd w:val="clear" w:color="auto" w:fill="BFBFBF"/>
            <w:tcMar>
              <w:top w:w="0" w:type="dxa"/>
              <w:left w:w="70" w:type="dxa"/>
              <w:bottom w:w="0" w:type="dxa"/>
              <w:right w:w="70" w:type="dxa"/>
            </w:tcMar>
            <w:vAlign w:val="center"/>
          </w:tcPr>
          <w:p w14:paraId="261E844B" w14:textId="77777777" w:rsidR="004412F1" w:rsidRDefault="005A12A3">
            <w:pPr>
              <w:jc w:val="center"/>
              <w:rPr>
                <w:rFonts w:eastAsia="Times New Roman"/>
                <w:b/>
                <w:bCs/>
                <w:color w:val="000000"/>
                <w:szCs w:val="18"/>
                <w:lang w:val="es-ES" w:eastAsia="es-ES"/>
              </w:rPr>
            </w:pPr>
            <w:r>
              <w:rPr>
                <w:b/>
                <w:color w:val="000000"/>
              </w:rPr>
              <w:t>Soles (S/)</w:t>
            </w:r>
          </w:p>
        </w:tc>
      </w:tr>
      <w:tr w:rsidR="004412F1" w14:paraId="03949A5F"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2BBF52D" w14:textId="77777777" w:rsidR="004412F1" w:rsidRDefault="005A12A3">
            <w:pPr>
              <w:rPr>
                <w:b/>
                <w:color w:val="000000"/>
                <w:lang w:val="es-PE"/>
              </w:rPr>
            </w:pPr>
            <w:r>
              <w:rPr>
                <w:b/>
                <w:color w:val="000000"/>
                <w:lang w:val="es-PE"/>
              </w:rPr>
              <w:t>Presentación a SUNARP de expediente y plano para Certificado de Búsqueda Catastral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FB9BD01" w14:textId="77777777" w:rsidR="004412F1" w:rsidRDefault="005A12A3">
            <w:pPr>
              <w:jc w:val="right"/>
              <w:rPr>
                <w:b/>
                <w:color w:val="000000"/>
                <w:lang w:val="es-PE"/>
              </w:rPr>
            </w:pPr>
            <w:r>
              <w:rPr>
                <w:b/>
                <w:color w:val="000000"/>
                <w:lang w:val="es-PE"/>
              </w:rPr>
              <w:t> </w:t>
            </w:r>
          </w:p>
        </w:tc>
      </w:tr>
      <w:tr w:rsidR="004412F1" w14:paraId="651B218A"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6F2DB2A" w14:textId="77777777" w:rsidR="004412F1" w:rsidRDefault="005A12A3">
            <w:pPr>
              <w:rPr>
                <w:color w:val="000000"/>
                <w:lang w:val="es-PE"/>
              </w:rPr>
            </w:pPr>
            <w:r>
              <w:rPr>
                <w:color w:val="000000"/>
                <w:lang w:val="es-PE"/>
              </w:rPr>
              <w:t xml:space="preserve">Conformación del Expediente </w:t>
            </w:r>
            <w:proofErr w:type="gramStart"/>
            <w:r>
              <w:rPr>
                <w:color w:val="000000"/>
                <w:lang w:val="es-PE"/>
              </w:rPr>
              <w:t>de acuerdo a</w:t>
            </w:r>
            <w:proofErr w:type="gramEnd"/>
            <w:r>
              <w:rPr>
                <w:color w:val="000000"/>
                <w:lang w:val="es-PE"/>
              </w:rPr>
              <w:t xml:space="preserve"> la Directiva de SUNARP de la 1192</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DCEE459" w14:textId="77777777" w:rsidR="004412F1" w:rsidRDefault="005A12A3">
            <w:pPr>
              <w:jc w:val="right"/>
              <w:rPr>
                <w:rFonts w:eastAsia="Times New Roman"/>
                <w:bCs/>
                <w:color w:val="000000"/>
                <w:szCs w:val="18"/>
                <w:lang w:val="es-ES" w:eastAsia="es-ES"/>
              </w:rPr>
            </w:pPr>
            <w:r>
              <w:rPr>
                <w:color w:val="000000"/>
              </w:rPr>
              <w:t>126.30</w:t>
            </w:r>
          </w:p>
        </w:tc>
      </w:tr>
      <w:tr w:rsidR="004412F1" w14:paraId="78157FF1"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CE2AAF6" w14:textId="77777777" w:rsidR="004412F1" w:rsidRDefault="005A12A3">
            <w:pPr>
              <w:rPr>
                <w:color w:val="000000"/>
              </w:rPr>
            </w:pPr>
            <w:r>
              <w:rPr>
                <w:color w:val="000000"/>
              </w:rPr>
              <w:t>Coordinaciones interinstitucionales  SUNARP</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7EC5748F" w14:textId="77777777" w:rsidR="004412F1" w:rsidRDefault="005A12A3">
            <w:pPr>
              <w:jc w:val="right"/>
              <w:rPr>
                <w:rFonts w:eastAsia="Times New Roman"/>
                <w:bCs/>
                <w:color w:val="000000"/>
                <w:szCs w:val="18"/>
                <w:lang w:val="es-ES" w:eastAsia="es-ES"/>
              </w:rPr>
            </w:pPr>
            <w:r>
              <w:rPr>
                <w:color w:val="000000"/>
              </w:rPr>
              <w:t>30.00</w:t>
            </w:r>
          </w:p>
        </w:tc>
      </w:tr>
      <w:tr w:rsidR="004412F1" w14:paraId="317F4D09"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BDA3343" w14:textId="77777777" w:rsidR="004412F1" w:rsidRDefault="005A12A3">
            <w:pPr>
              <w:rPr>
                <w:color w:val="000000"/>
                <w:lang w:val="es-PE"/>
              </w:rPr>
            </w:pPr>
            <w:r>
              <w:rPr>
                <w:color w:val="000000"/>
                <w:lang w:val="es-PE"/>
              </w:rPr>
              <w:t>Pago de tasas para la obtención de información catastral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CED9524" w14:textId="77777777" w:rsidR="004412F1" w:rsidRDefault="005A12A3">
            <w:pPr>
              <w:jc w:val="right"/>
              <w:rPr>
                <w:rFonts w:eastAsia="Times New Roman"/>
                <w:bCs/>
                <w:color w:val="000000"/>
                <w:szCs w:val="18"/>
                <w:lang w:val="es-ES" w:eastAsia="es-ES"/>
              </w:rPr>
            </w:pPr>
            <w:r>
              <w:rPr>
                <w:color w:val="000000"/>
              </w:rPr>
              <w:t>74.00</w:t>
            </w:r>
          </w:p>
        </w:tc>
      </w:tr>
      <w:tr w:rsidR="004412F1" w14:paraId="242BC02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BBB2CA1" w14:textId="77777777" w:rsidR="004412F1" w:rsidRDefault="005A12A3">
            <w:pPr>
              <w:rPr>
                <w:b/>
                <w:color w:val="000000"/>
              </w:rPr>
            </w:pPr>
            <w:r>
              <w:rPr>
                <w:b/>
                <w:color w:val="000000"/>
              </w:rPr>
              <w:t>Costo Directo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56AC1EF0" w14:textId="77777777" w:rsidR="004412F1" w:rsidRDefault="005A12A3">
            <w:pPr>
              <w:jc w:val="right"/>
              <w:rPr>
                <w:rFonts w:eastAsia="Times New Roman"/>
                <w:b/>
                <w:bCs/>
                <w:color w:val="000000"/>
                <w:szCs w:val="18"/>
                <w:lang w:val="es-ES" w:eastAsia="es-ES"/>
              </w:rPr>
            </w:pPr>
            <w:r>
              <w:rPr>
                <w:b/>
                <w:color w:val="000000"/>
              </w:rPr>
              <w:t>230.30</w:t>
            </w:r>
          </w:p>
        </w:tc>
      </w:tr>
      <w:tr w:rsidR="004412F1" w14:paraId="73287F79"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D780970" w14:textId="77777777" w:rsidR="004412F1" w:rsidRDefault="005A12A3">
            <w:pPr>
              <w:rPr>
                <w:color w:val="000000"/>
              </w:rPr>
            </w:pPr>
            <w:r>
              <w:rPr>
                <w:color w:val="000000"/>
              </w:rPr>
              <w:t>Utilidad 10%</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10EE308" w14:textId="77777777" w:rsidR="004412F1" w:rsidRDefault="005A12A3">
            <w:pPr>
              <w:jc w:val="right"/>
              <w:rPr>
                <w:rFonts w:eastAsia="Times New Roman"/>
                <w:bCs/>
                <w:color w:val="000000"/>
                <w:szCs w:val="18"/>
                <w:lang w:val="es-ES" w:eastAsia="es-ES"/>
              </w:rPr>
            </w:pPr>
            <w:r>
              <w:rPr>
                <w:color w:val="000000"/>
              </w:rPr>
              <w:t>23.03</w:t>
            </w:r>
          </w:p>
        </w:tc>
      </w:tr>
      <w:tr w:rsidR="004412F1" w14:paraId="0B570AB9"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3AF2F6D" w14:textId="77777777" w:rsidR="004412F1" w:rsidRDefault="005A12A3">
            <w:pPr>
              <w:rPr>
                <w:color w:val="000000"/>
              </w:rPr>
            </w:pPr>
            <w:r>
              <w:rPr>
                <w:color w:val="000000"/>
              </w:rPr>
              <w:t>Sub total</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22BB6D26" w14:textId="77777777" w:rsidR="004412F1" w:rsidRDefault="005A12A3">
            <w:pPr>
              <w:jc w:val="right"/>
              <w:rPr>
                <w:rFonts w:eastAsia="Times New Roman"/>
                <w:bCs/>
                <w:color w:val="000000"/>
                <w:szCs w:val="18"/>
                <w:lang w:val="es-ES" w:eastAsia="es-ES"/>
              </w:rPr>
            </w:pPr>
            <w:r>
              <w:rPr>
                <w:color w:val="000000"/>
              </w:rPr>
              <w:t>253.33</w:t>
            </w:r>
          </w:p>
        </w:tc>
      </w:tr>
      <w:tr w:rsidR="004412F1" w14:paraId="1E5C74A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25430C5D" w14:textId="77777777" w:rsidR="004412F1" w:rsidRDefault="005A12A3">
            <w:pPr>
              <w:rPr>
                <w:color w:val="000000"/>
              </w:rPr>
            </w:pPr>
            <w:r>
              <w:rPr>
                <w:color w:val="000000"/>
              </w:rPr>
              <w:t>IGV 18%</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183E0542" w14:textId="77777777" w:rsidR="004412F1" w:rsidRDefault="005A12A3">
            <w:pPr>
              <w:jc w:val="right"/>
              <w:rPr>
                <w:rFonts w:eastAsia="Times New Roman"/>
                <w:bCs/>
                <w:color w:val="000000"/>
                <w:szCs w:val="18"/>
                <w:lang w:val="es-ES" w:eastAsia="es-ES"/>
              </w:rPr>
            </w:pPr>
            <w:r>
              <w:rPr>
                <w:color w:val="000000"/>
              </w:rPr>
              <w:t>45.60</w:t>
            </w:r>
          </w:p>
        </w:tc>
      </w:tr>
      <w:tr w:rsidR="004412F1" w14:paraId="40C8F6EB"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BF486BB" w14:textId="77777777" w:rsidR="004412F1" w:rsidRDefault="005A12A3">
            <w:pPr>
              <w:rPr>
                <w:color w:val="000000"/>
              </w:rPr>
            </w:pPr>
            <w:r>
              <w:rPr>
                <w:color w:val="000000"/>
              </w:rPr>
              <w:t>Sub Total con IGV</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EE1A021" w14:textId="77777777" w:rsidR="004412F1" w:rsidRDefault="005A12A3">
            <w:pPr>
              <w:jc w:val="right"/>
              <w:rPr>
                <w:rFonts w:eastAsia="Times New Roman"/>
                <w:bCs/>
                <w:color w:val="000000"/>
                <w:szCs w:val="18"/>
                <w:lang w:val="es-ES" w:eastAsia="es-ES"/>
              </w:rPr>
            </w:pPr>
            <w:r>
              <w:rPr>
                <w:color w:val="000000"/>
              </w:rPr>
              <w:t>298.93</w:t>
            </w:r>
          </w:p>
        </w:tc>
      </w:tr>
      <w:tr w:rsidR="004412F1" w14:paraId="4A31D4D3"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8B5628B" w14:textId="77777777" w:rsidR="004412F1" w:rsidRDefault="005A12A3">
            <w:pPr>
              <w:rPr>
                <w:color w:val="000000"/>
              </w:rPr>
            </w:pPr>
            <w:r>
              <w:rPr>
                <w:color w:val="000000"/>
              </w:rPr>
              <w:t>Aporte por regulación 1%</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61927225" w14:textId="77777777" w:rsidR="004412F1" w:rsidRDefault="005A12A3">
            <w:pPr>
              <w:jc w:val="right"/>
              <w:rPr>
                <w:rFonts w:eastAsia="Times New Roman"/>
                <w:bCs/>
                <w:color w:val="000000"/>
                <w:szCs w:val="18"/>
                <w:lang w:val="es-ES" w:eastAsia="es-ES"/>
              </w:rPr>
            </w:pPr>
            <w:r>
              <w:rPr>
                <w:color w:val="000000"/>
              </w:rPr>
              <w:t>29.89</w:t>
            </w:r>
          </w:p>
        </w:tc>
      </w:tr>
      <w:tr w:rsidR="004412F1" w14:paraId="5F7DB716" w14:textId="77777777">
        <w:trPr>
          <w:trHeight w:val="522"/>
        </w:trPr>
        <w:tc>
          <w:tcPr>
            <w:tcW w:w="6740" w:type="dxa"/>
            <w:tcBorders>
              <w:top w:val="nil"/>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4BE8541" w14:textId="77777777" w:rsidR="004412F1" w:rsidRDefault="005A12A3">
            <w:pPr>
              <w:rPr>
                <w:b/>
                <w:color w:val="000000"/>
              </w:rPr>
            </w:pPr>
            <w:r>
              <w:rPr>
                <w:b/>
                <w:color w:val="000000"/>
              </w:rPr>
              <w:t xml:space="preserve">Total </w:t>
            </w:r>
          </w:p>
        </w:tc>
        <w:tc>
          <w:tcPr>
            <w:tcW w:w="1200" w:type="dxa"/>
            <w:tcBorders>
              <w:top w:val="nil"/>
              <w:left w:val="nil"/>
              <w:bottom w:val="single" w:sz="8" w:space="0" w:color="000000"/>
              <w:right w:val="single" w:sz="8" w:space="0" w:color="000000"/>
            </w:tcBorders>
            <w:shd w:val="clear" w:color="auto" w:fill="auto"/>
            <w:tcMar>
              <w:top w:w="0" w:type="dxa"/>
              <w:left w:w="70" w:type="dxa"/>
              <w:bottom w:w="0" w:type="dxa"/>
              <w:right w:w="70" w:type="dxa"/>
            </w:tcMar>
            <w:vAlign w:val="center"/>
          </w:tcPr>
          <w:p w14:paraId="4C0B1050" w14:textId="77777777" w:rsidR="004412F1" w:rsidRDefault="005A12A3">
            <w:pPr>
              <w:jc w:val="right"/>
              <w:rPr>
                <w:rFonts w:eastAsia="Times New Roman"/>
                <w:b/>
                <w:bCs/>
                <w:color w:val="000000"/>
                <w:szCs w:val="18"/>
                <w:lang w:val="es-ES" w:eastAsia="es-ES"/>
              </w:rPr>
            </w:pPr>
            <w:r>
              <w:rPr>
                <w:b/>
                <w:color w:val="000000"/>
              </w:rPr>
              <w:t>328.82</w:t>
            </w:r>
          </w:p>
        </w:tc>
      </w:tr>
    </w:tbl>
    <w:p w14:paraId="3165D81B" w14:textId="77777777" w:rsidR="004412F1" w:rsidRPr="00822EA3" w:rsidRDefault="004412F1" w:rsidP="00822EA3">
      <w:pPr>
        <w:rPr>
          <w:rFonts w:eastAsia="SimSun"/>
          <w:b/>
          <w:lang w:eastAsia="zh-CN"/>
        </w:rPr>
      </w:pPr>
    </w:p>
    <w:p w14:paraId="2B2062E5" w14:textId="77777777" w:rsidR="004412F1" w:rsidRDefault="004412F1">
      <w:pPr>
        <w:jc w:val="center"/>
        <w:rPr>
          <w:b/>
        </w:rPr>
      </w:pPr>
    </w:p>
    <w:p w14:paraId="147EB1ED" w14:textId="77777777" w:rsidR="004412F1" w:rsidRDefault="005A12A3">
      <w:pPr>
        <w:rPr>
          <w:rFonts w:ascii="CG Omega" w:eastAsia="CG Omega" w:hAnsi="CG Omega" w:cs="CG Omega"/>
          <w:b/>
          <w:u w:val="single"/>
        </w:rPr>
      </w:pPr>
      <w:r>
        <w:br w:type="page"/>
      </w:r>
    </w:p>
    <w:p w14:paraId="5B7C968E" w14:textId="77777777" w:rsidR="004412F1" w:rsidRDefault="005A12A3">
      <w:pPr>
        <w:pStyle w:val="Ttulo2"/>
        <w:ind w:hanging="964"/>
        <w:jc w:val="center"/>
        <w:rPr>
          <w:rFonts w:ascii="Arial" w:eastAsia="Arial" w:hAnsi="Arial"/>
          <w:b/>
          <w:sz w:val="24"/>
          <w:u w:val="none"/>
        </w:rPr>
      </w:pPr>
      <w:bookmarkStart w:id="2793" w:name="_Toc139294841"/>
      <w:bookmarkStart w:id="2794" w:name="_Toc468837741"/>
      <w:bookmarkStart w:id="2795" w:name="_Toc140089452"/>
      <w:r>
        <w:rPr>
          <w:rFonts w:ascii="Arial" w:eastAsia="Arial" w:hAnsi="Arial"/>
          <w:b/>
          <w:sz w:val="24"/>
          <w:u w:val="none"/>
        </w:rPr>
        <w:t>Apéndice 9</w:t>
      </w:r>
      <w:bookmarkEnd w:id="2793"/>
      <w:bookmarkEnd w:id="2794"/>
      <w:bookmarkEnd w:id="2795"/>
    </w:p>
    <w:p w14:paraId="55A8AE09" w14:textId="77777777" w:rsidR="004412F1" w:rsidRPr="00822EA3" w:rsidRDefault="005A12A3" w:rsidP="00822EA3">
      <w:pPr>
        <w:ind w:left="567"/>
        <w:jc w:val="center"/>
        <w:outlineLvl w:val="1"/>
        <w:rPr>
          <w:b/>
          <w:lang w:val="es-PE"/>
        </w:rPr>
      </w:pPr>
      <w:bookmarkStart w:id="2796" w:name="_Toc468837744"/>
      <w:bookmarkStart w:id="2797" w:name="_Toc140089453"/>
      <w:r w:rsidRPr="00822EA3">
        <w:rPr>
          <w:b/>
          <w:lang w:val="es-PE"/>
        </w:rPr>
        <w:t>Información técnica para el suministro y la instalación de ductos y cámaras</w:t>
      </w:r>
      <w:bookmarkEnd w:id="2796"/>
      <w:bookmarkEnd w:id="2797"/>
    </w:p>
    <w:p w14:paraId="4329710D" w14:textId="77777777" w:rsidR="004412F1" w:rsidRDefault="004412F1">
      <w:pPr>
        <w:jc w:val="center"/>
        <w:rPr>
          <w:b/>
          <w:lang w:val="es-PE"/>
        </w:rPr>
      </w:pPr>
    </w:p>
    <w:p w14:paraId="27E2DB23" w14:textId="77777777" w:rsidR="004412F1" w:rsidRDefault="004412F1">
      <w:pPr>
        <w:jc w:val="center"/>
        <w:rPr>
          <w:b/>
          <w:lang w:val="es-PE"/>
        </w:rPr>
      </w:pPr>
    </w:p>
    <w:p w14:paraId="44FD9845" w14:textId="77777777" w:rsidR="004412F1" w:rsidRDefault="004412F1">
      <w:pPr>
        <w:jc w:val="center"/>
        <w:rPr>
          <w:b/>
          <w:lang w:val="es-PE"/>
        </w:rPr>
      </w:pPr>
    </w:p>
    <w:p w14:paraId="4FC75EA4" w14:textId="77777777" w:rsidR="004412F1" w:rsidRDefault="005A12A3">
      <w:pPr>
        <w:jc w:val="center"/>
        <w:rPr>
          <w:b/>
        </w:rPr>
      </w:pPr>
      <w:r>
        <w:rPr>
          <w:noProof/>
          <w:lang w:val="es-PE" w:eastAsia="es-PE"/>
        </w:rPr>
        <w:drawing>
          <wp:inline distT="0" distB="0" distL="0" distR="0" wp14:anchorId="528A739B" wp14:editId="2481F599">
            <wp:extent cx="5760085" cy="2552700"/>
            <wp:effectExtent l="0" t="0" r="0" b="0"/>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referRelativeResize="0"/>
                  </pic:nvPicPr>
                  <pic:blipFill>
                    <a:blip r:embed="rId32"/>
                    <a:srcRect/>
                    <a:stretch>
                      <a:fillRect/>
                    </a:stretch>
                  </pic:blipFill>
                  <pic:spPr>
                    <a:xfrm>
                      <a:off x="0" y="0"/>
                      <a:ext cx="5760085" cy="2553058"/>
                    </a:xfrm>
                    <a:prstGeom prst="rect">
                      <a:avLst/>
                    </a:prstGeom>
                  </pic:spPr>
                </pic:pic>
              </a:graphicData>
            </a:graphic>
          </wp:inline>
        </w:drawing>
      </w:r>
    </w:p>
    <w:p w14:paraId="2E868FAC" w14:textId="77777777" w:rsidR="004412F1" w:rsidRDefault="004412F1">
      <w:pPr>
        <w:jc w:val="center"/>
        <w:rPr>
          <w:b/>
        </w:rPr>
      </w:pPr>
    </w:p>
    <w:p w14:paraId="7B428802" w14:textId="77777777" w:rsidR="004412F1" w:rsidRDefault="005A12A3">
      <w:pPr>
        <w:jc w:val="center"/>
        <w:rPr>
          <w:b/>
        </w:rPr>
      </w:pPr>
      <w:r>
        <w:rPr>
          <w:b/>
          <w:noProof/>
          <w:lang w:val="es-PE" w:eastAsia="es-PE"/>
        </w:rPr>
        <w:drawing>
          <wp:inline distT="0" distB="0" distL="0" distR="0" wp14:anchorId="28B7C4D4" wp14:editId="2D06AF1E">
            <wp:extent cx="5733415" cy="2620645"/>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referRelativeResize="0"/>
                  </pic:nvPicPr>
                  <pic:blipFill>
                    <a:blip r:embed="rId33"/>
                    <a:srcRect/>
                    <a:stretch>
                      <a:fillRect/>
                    </a:stretch>
                  </pic:blipFill>
                  <pic:spPr>
                    <a:xfrm>
                      <a:off x="0" y="0"/>
                      <a:ext cx="5733891" cy="2621026"/>
                    </a:xfrm>
                    <a:prstGeom prst="rect">
                      <a:avLst/>
                    </a:prstGeom>
                  </pic:spPr>
                </pic:pic>
              </a:graphicData>
            </a:graphic>
          </wp:inline>
        </w:drawing>
      </w:r>
    </w:p>
    <w:p w14:paraId="42689C5A" w14:textId="77777777" w:rsidR="004412F1" w:rsidRDefault="004412F1">
      <w:pPr>
        <w:jc w:val="center"/>
        <w:rPr>
          <w:b/>
        </w:rPr>
      </w:pPr>
    </w:p>
    <w:p w14:paraId="42430AA0" w14:textId="77777777" w:rsidR="004412F1" w:rsidRDefault="005A12A3">
      <w:pPr>
        <w:jc w:val="center"/>
        <w:rPr>
          <w:b/>
        </w:rPr>
      </w:pPr>
      <w:r>
        <w:rPr>
          <w:b/>
          <w:noProof/>
          <w:lang w:val="es-PE" w:eastAsia="es-PE"/>
        </w:rPr>
        <w:drawing>
          <wp:inline distT="0" distB="0" distL="0" distR="0" wp14:anchorId="7478CAEA" wp14:editId="590D7BFA">
            <wp:extent cx="5737225" cy="950595"/>
            <wp:effectExtent l="0" t="0" r="0" b="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referRelativeResize="0"/>
                  </pic:nvPicPr>
                  <pic:blipFill>
                    <a:blip r:embed="rId34"/>
                    <a:srcRect b="21451"/>
                    <a:stretch>
                      <a:fillRect/>
                    </a:stretch>
                  </pic:blipFill>
                  <pic:spPr>
                    <a:xfrm>
                      <a:off x="0" y="0"/>
                      <a:ext cx="5737250" cy="950768"/>
                    </a:xfrm>
                    <a:prstGeom prst="rect">
                      <a:avLst/>
                    </a:prstGeom>
                  </pic:spPr>
                </pic:pic>
              </a:graphicData>
            </a:graphic>
          </wp:inline>
        </w:drawing>
      </w:r>
    </w:p>
    <w:p w14:paraId="20FB857A" w14:textId="77777777" w:rsidR="004412F1" w:rsidRDefault="004412F1">
      <w:pPr>
        <w:jc w:val="center"/>
        <w:rPr>
          <w:b/>
        </w:rPr>
      </w:pPr>
    </w:p>
    <w:p w14:paraId="6C3C5BA1" w14:textId="77777777" w:rsidR="004412F1" w:rsidRDefault="005A12A3">
      <w:pPr>
        <w:jc w:val="center"/>
        <w:rPr>
          <w:b/>
        </w:rPr>
      </w:pPr>
      <w:r>
        <w:rPr>
          <w:b/>
          <w:noProof/>
          <w:lang w:val="es-PE" w:eastAsia="es-PE"/>
        </w:rPr>
        <w:drawing>
          <wp:inline distT="0" distB="0" distL="0" distR="0" wp14:anchorId="755A0128" wp14:editId="18EB457C">
            <wp:extent cx="5728335" cy="4117340"/>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referRelativeResize="0"/>
                  </pic:nvPicPr>
                  <pic:blipFill>
                    <a:blip r:embed="rId35"/>
                    <a:srcRect/>
                    <a:stretch>
                      <a:fillRect/>
                    </a:stretch>
                  </pic:blipFill>
                  <pic:spPr>
                    <a:xfrm>
                      <a:off x="0" y="0"/>
                      <a:ext cx="5728692" cy="4117663"/>
                    </a:xfrm>
                    <a:prstGeom prst="rect">
                      <a:avLst/>
                    </a:prstGeom>
                  </pic:spPr>
                </pic:pic>
              </a:graphicData>
            </a:graphic>
          </wp:inline>
        </w:drawing>
      </w:r>
    </w:p>
    <w:p w14:paraId="6294262C" w14:textId="77777777" w:rsidR="004412F1" w:rsidRDefault="004412F1">
      <w:pPr>
        <w:jc w:val="center"/>
        <w:rPr>
          <w:b/>
        </w:rPr>
      </w:pPr>
    </w:p>
    <w:p w14:paraId="68895B65" w14:textId="77777777" w:rsidR="004412F1" w:rsidRDefault="005A12A3">
      <w:pPr>
        <w:jc w:val="both"/>
        <w:rPr>
          <w:lang w:val="es-PE"/>
        </w:rPr>
      </w:pPr>
      <w:r>
        <w:rPr>
          <w:lang w:val="es-PE"/>
        </w:rPr>
        <w:t>Las obligaciones del Concesionario están referidas a los ductos y cámaras y no incluyen suministro de fibra óptica.</w:t>
      </w:r>
    </w:p>
    <w:p w14:paraId="788423BB" w14:textId="77777777" w:rsidR="004412F1" w:rsidRDefault="004412F1">
      <w:pPr>
        <w:jc w:val="center"/>
        <w:rPr>
          <w:b/>
          <w:lang w:val="es-PE"/>
        </w:rPr>
      </w:pPr>
    </w:p>
    <w:p w14:paraId="005BA84F" w14:textId="77777777" w:rsidR="004412F1" w:rsidRDefault="004412F1">
      <w:pPr>
        <w:jc w:val="center"/>
        <w:rPr>
          <w:b/>
          <w:lang w:val="es-PE"/>
        </w:rPr>
      </w:pPr>
    </w:p>
    <w:p w14:paraId="57549D6A" w14:textId="77777777" w:rsidR="004412F1" w:rsidRDefault="004412F1">
      <w:pPr>
        <w:jc w:val="center"/>
        <w:rPr>
          <w:b/>
          <w:lang w:val="es-PE"/>
        </w:rPr>
      </w:pPr>
    </w:p>
    <w:p w14:paraId="6427C69F" w14:textId="77777777" w:rsidR="004412F1" w:rsidRDefault="004412F1">
      <w:pPr>
        <w:jc w:val="center"/>
        <w:rPr>
          <w:b/>
          <w:lang w:val="es-PE"/>
        </w:rPr>
      </w:pPr>
    </w:p>
    <w:p w14:paraId="64FBA531" w14:textId="77777777" w:rsidR="004412F1" w:rsidRDefault="004412F1">
      <w:pPr>
        <w:jc w:val="center"/>
        <w:rPr>
          <w:b/>
          <w:lang w:val="es-PE"/>
        </w:rPr>
      </w:pPr>
    </w:p>
    <w:p w14:paraId="24FD2411" w14:textId="77777777" w:rsidR="004412F1" w:rsidRDefault="004412F1">
      <w:pPr>
        <w:jc w:val="center"/>
        <w:rPr>
          <w:b/>
          <w:lang w:val="es-PE"/>
        </w:rPr>
      </w:pPr>
    </w:p>
    <w:p w14:paraId="1E5D5CCC" w14:textId="77777777" w:rsidR="004412F1" w:rsidRDefault="004412F1">
      <w:pPr>
        <w:jc w:val="center"/>
        <w:rPr>
          <w:b/>
          <w:lang w:val="es-PE"/>
        </w:rPr>
      </w:pPr>
    </w:p>
    <w:p w14:paraId="7EBDAF8F" w14:textId="77777777" w:rsidR="004412F1" w:rsidRDefault="004412F1">
      <w:pPr>
        <w:jc w:val="center"/>
        <w:rPr>
          <w:b/>
          <w:lang w:val="es-PE"/>
        </w:rPr>
      </w:pPr>
    </w:p>
    <w:p w14:paraId="4E04FCA8" w14:textId="77777777" w:rsidR="004412F1" w:rsidRDefault="004412F1">
      <w:pPr>
        <w:jc w:val="center"/>
        <w:rPr>
          <w:b/>
          <w:lang w:val="es-PE"/>
        </w:rPr>
      </w:pPr>
    </w:p>
    <w:p w14:paraId="305D8EAD" w14:textId="77777777" w:rsidR="004412F1" w:rsidRDefault="004412F1">
      <w:pPr>
        <w:jc w:val="center"/>
        <w:rPr>
          <w:b/>
          <w:lang w:val="es-PE"/>
        </w:rPr>
      </w:pPr>
    </w:p>
    <w:p w14:paraId="10374DEE" w14:textId="77777777" w:rsidR="004412F1" w:rsidRDefault="004412F1">
      <w:pPr>
        <w:jc w:val="center"/>
        <w:rPr>
          <w:b/>
          <w:lang w:val="es-PE"/>
        </w:rPr>
      </w:pPr>
    </w:p>
    <w:p w14:paraId="34B55716" w14:textId="77777777" w:rsidR="004412F1" w:rsidRDefault="004412F1">
      <w:pPr>
        <w:jc w:val="center"/>
        <w:rPr>
          <w:b/>
          <w:lang w:val="es-PE"/>
        </w:rPr>
      </w:pPr>
    </w:p>
    <w:p w14:paraId="2BDAC69A" w14:textId="77777777" w:rsidR="004412F1" w:rsidRDefault="004412F1">
      <w:pPr>
        <w:jc w:val="center"/>
        <w:rPr>
          <w:b/>
          <w:lang w:val="es-PE"/>
        </w:rPr>
      </w:pPr>
    </w:p>
    <w:p w14:paraId="0301D319" w14:textId="77777777" w:rsidR="004412F1" w:rsidRDefault="004412F1">
      <w:pPr>
        <w:jc w:val="center"/>
        <w:rPr>
          <w:b/>
          <w:lang w:val="es-PE"/>
        </w:rPr>
      </w:pPr>
    </w:p>
    <w:p w14:paraId="780C0EB1" w14:textId="77777777" w:rsidR="004412F1" w:rsidRDefault="004412F1">
      <w:pPr>
        <w:jc w:val="center"/>
        <w:rPr>
          <w:b/>
          <w:lang w:val="es-PE"/>
        </w:rPr>
      </w:pPr>
    </w:p>
    <w:p w14:paraId="019C8761" w14:textId="77777777" w:rsidR="004412F1" w:rsidRDefault="004412F1">
      <w:pPr>
        <w:jc w:val="center"/>
        <w:rPr>
          <w:b/>
          <w:lang w:val="es-PE"/>
        </w:rPr>
      </w:pPr>
    </w:p>
    <w:p w14:paraId="6D024E01" w14:textId="77777777" w:rsidR="004412F1" w:rsidRDefault="004412F1">
      <w:pPr>
        <w:jc w:val="center"/>
        <w:rPr>
          <w:b/>
          <w:lang w:val="es-PE"/>
        </w:rPr>
      </w:pPr>
    </w:p>
    <w:p w14:paraId="0C777E4B" w14:textId="77777777" w:rsidR="004412F1" w:rsidRDefault="004412F1">
      <w:pPr>
        <w:jc w:val="center"/>
        <w:rPr>
          <w:b/>
          <w:lang w:val="es-PE"/>
        </w:rPr>
      </w:pPr>
    </w:p>
    <w:p w14:paraId="5F34C0E9" w14:textId="77777777" w:rsidR="004412F1" w:rsidRDefault="004412F1">
      <w:pPr>
        <w:jc w:val="center"/>
        <w:rPr>
          <w:b/>
          <w:lang w:val="es-PE"/>
        </w:rPr>
      </w:pPr>
    </w:p>
    <w:p w14:paraId="05D9974B" w14:textId="77777777" w:rsidR="004412F1" w:rsidRDefault="004412F1">
      <w:pPr>
        <w:jc w:val="center"/>
        <w:rPr>
          <w:b/>
          <w:lang w:val="es-PE"/>
        </w:rPr>
      </w:pPr>
    </w:p>
    <w:p w14:paraId="078DDA43" w14:textId="77777777" w:rsidR="004412F1" w:rsidRDefault="004412F1">
      <w:pPr>
        <w:jc w:val="center"/>
        <w:rPr>
          <w:b/>
          <w:lang w:val="es-PE"/>
        </w:rPr>
      </w:pPr>
    </w:p>
    <w:p w14:paraId="67FAF0CA" w14:textId="77777777" w:rsidR="004412F1" w:rsidRDefault="004412F1">
      <w:pPr>
        <w:jc w:val="center"/>
        <w:rPr>
          <w:b/>
          <w:lang w:val="es-PE"/>
        </w:rPr>
      </w:pPr>
    </w:p>
    <w:p w14:paraId="20F454EB" w14:textId="77777777" w:rsidR="004412F1" w:rsidRDefault="004412F1">
      <w:pPr>
        <w:jc w:val="center"/>
        <w:rPr>
          <w:b/>
          <w:lang w:val="es-PE"/>
        </w:rPr>
      </w:pPr>
    </w:p>
    <w:p w14:paraId="586A858D" w14:textId="77777777" w:rsidR="004412F1" w:rsidRDefault="004412F1">
      <w:pPr>
        <w:jc w:val="center"/>
        <w:rPr>
          <w:b/>
          <w:lang w:val="es-PE"/>
        </w:rPr>
      </w:pPr>
    </w:p>
    <w:p w14:paraId="09924552" w14:textId="77777777" w:rsidR="004412F1" w:rsidRDefault="004412F1">
      <w:pPr>
        <w:jc w:val="center"/>
        <w:rPr>
          <w:b/>
          <w:lang w:val="es-PE"/>
        </w:rPr>
      </w:pPr>
    </w:p>
    <w:p w14:paraId="4B7A1F20" w14:textId="77777777" w:rsidR="004412F1" w:rsidRDefault="004412F1">
      <w:pPr>
        <w:jc w:val="center"/>
        <w:rPr>
          <w:b/>
          <w:lang w:val="es-PE"/>
        </w:rPr>
      </w:pPr>
    </w:p>
    <w:p w14:paraId="2708DB47" w14:textId="77777777" w:rsidR="004412F1" w:rsidRDefault="005A12A3">
      <w:pPr>
        <w:pStyle w:val="Ttulo2"/>
        <w:ind w:left="0"/>
        <w:jc w:val="center"/>
        <w:rPr>
          <w:rFonts w:ascii="Arial" w:hAnsi="Arial"/>
          <w:b/>
          <w:lang w:val="es-PE"/>
        </w:rPr>
      </w:pPr>
      <w:bookmarkStart w:id="2798" w:name="_Toc468837745"/>
      <w:bookmarkStart w:id="2799" w:name="_Toc139294842"/>
      <w:bookmarkStart w:id="2800" w:name="_Toc140089454"/>
      <w:r>
        <w:rPr>
          <w:rFonts w:ascii="Arial" w:hAnsi="Arial"/>
          <w:b/>
          <w:lang w:val="es-PE"/>
        </w:rPr>
        <w:t xml:space="preserve">Apéndice </w:t>
      </w:r>
      <w:bookmarkEnd w:id="2798"/>
      <w:r>
        <w:rPr>
          <w:rFonts w:ascii="Arial" w:eastAsia="Arial" w:hAnsi="Arial" w:cs="Arial"/>
          <w:b/>
          <w:lang w:val="es-PE"/>
        </w:rPr>
        <w:t>10</w:t>
      </w:r>
      <w:bookmarkEnd w:id="2799"/>
      <w:bookmarkEnd w:id="2800"/>
    </w:p>
    <w:p w14:paraId="19D105AB" w14:textId="77777777" w:rsidR="004412F1" w:rsidRPr="0059350F" w:rsidRDefault="005A12A3" w:rsidP="0059350F">
      <w:pPr>
        <w:ind w:left="567"/>
        <w:jc w:val="center"/>
        <w:outlineLvl w:val="1"/>
        <w:rPr>
          <w:b/>
          <w:lang w:val="es-PE"/>
        </w:rPr>
      </w:pPr>
      <w:bookmarkStart w:id="2801" w:name="_Toc468837746"/>
      <w:bookmarkStart w:id="2802" w:name="_Toc410058186"/>
      <w:bookmarkStart w:id="2803" w:name="_Toc140089455"/>
      <w:r w:rsidRPr="0059350F">
        <w:rPr>
          <w:b/>
          <w:lang w:val="es-PE"/>
        </w:rPr>
        <w:t>Sistema de Peaje para la operación estandarizada</w:t>
      </w:r>
      <w:bookmarkEnd w:id="2801"/>
      <w:bookmarkEnd w:id="2802"/>
      <w:bookmarkEnd w:id="2803"/>
    </w:p>
    <w:p w14:paraId="3251E34B" w14:textId="77777777" w:rsidR="0059350F" w:rsidRPr="0059350F" w:rsidRDefault="0059350F" w:rsidP="0059350F">
      <w:pPr>
        <w:pStyle w:val="Ttulo"/>
        <w:ind w:left="360"/>
        <w:jc w:val="left"/>
      </w:pPr>
    </w:p>
    <w:p w14:paraId="78949A3C" w14:textId="3C70113B" w:rsidR="004412F1" w:rsidRDefault="005A12A3">
      <w:pPr>
        <w:pStyle w:val="Ttulo"/>
        <w:numPr>
          <w:ilvl w:val="0"/>
          <w:numId w:val="181"/>
        </w:numPr>
        <w:jc w:val="left"/>
      </w:pPr>
      <w:r>
        <w:t>Aspectos Generales</w:t>
      </w:r>
    </w:p>
    <w:p w14:paraId="77EDE7E8" w14:textId="77777777" w:rsidR="004412F1" w:rsidRDefault="004412F1">
      <w:pPr>
        <w:pStyle w:val="Ttulo"/>
        <w:jc w:val="both"/>
        <w:rPr>
          <w:b w:val="0"/>
          <w:color w:val="888888"/>
        </w:rPr>
      </w:pPr>
    </w:p>
    <w:p w14:paraId="7CE6A6A3" w14:textId="77777777" w:rsidR="004412F1" w:rsidRDefault="005A12A3">
      <w:r>
        <w:rPr>
          <w:b/>
        </w:rPr>
        <w:t>Especificaciones Técnicas</w:t>
      </w:r>
    </w:p>
    <w:p w14:paraId="3793C90E" w14:textId="77777777" w:rsidR="004412F1" w:rsidRDefault="005A12A3">
      <w:pPr>
        <w:jc w:val="both"/>
      </w:pPr>
      <w:r>
        <w:t xml:space="preserve"> </w:t>
      </w:r>
    </w:p>
    <w:tbl>
      <w:tblPr>
        <w:tblW w:w="0" w:type="auto"/>
        <w:tblInd w:w="96" w:type="dxa"/>
        <w:tblLayout w:type="fixed"/>
        <w:tblLook w:val="04A0" w:firstRow="1" w:lastRow="0" w:firstColumn="1" w:lastColumn="0" w:noHBand="0" w:noVBand="1"/>
      </w:tblPr>
      <w:tblGrid>
        <w:gridCol w:w="990"/>
        <w:gridCol w:w="2475"/>
        <w:gridCol w:w="236"/>
        <w:gridCol w:w="4320"/>
        <w:gridCol w:w="705"/>
        <w:gridCol w:w="212"/>
      </w:tblGrid>
      <w:tr w:rsidR="004412F1" w14:paraId="5BD17367" w14:textId="77777777">
        <w:trPr>
          <w:gridAfter w:val="1"/>
          <w:wAfter w:w="212" w:type="dxa"/>
          <w:trHeight w:val="165"/>
        </w:trPr>
        <w:tc>
          <w:tcPr>
            <w:tcW w:w="990" w:type="dxa"/>
            <w:tcBorders>
              <w:top w:val="single" w:sz="8" w:space="0" w:color="auto"/>
              <w:left w:val="single" w:sz="8" w:space="0" w:color="auto"/>
              <w:bottom w:val="single" w:sz="8" w:space="0" w:color="000000" w:themeColor="text1"/>
              <w:right w:val="single" w:sz="8" w:space="0" w:color="auto"/>
            </w:tcBorders>
            <w:tcMar>
              <w:left w:w="99" w:type="dxa"/>
              <w:right w:w="99" w:type="dxa"/>
            </w:tcMar>
            <w:vAlign w:val="center"/>
          </w:tcPr>
          <w:p w14:paraId="3B94F215" w14:textId="77777777" w:rsidR="004412F1" w:rsidRDefault="005A12A3">
            <w:r>
              <w:rPr>
                <w:b/>
                <w:sz w:val="20"/>
                <w:lang w:val="es"/>
              </w:rPr>
              <w:t>Sistema</w:t>
            </w:r>
          </w:p>
        </w:tc>
        <w:tc>
          <w:tcPr>
            <w:tcW w:w="2475" w:type="dxa"/>
            <w:tcBorders>
              <w:top w:val="single" w:sz="8" w:space="0" w:color="auto"/>
              <w:left w:val="single" w:sz="8" w:space="0" w:color="auto"/>
              <w:bottom w:val="single" w:sz="8" w:space="0" w:color="000000" w:themeColor="text1"/>
              <w:right w:val="single" w:sz="8" w:space="0" w:color="auto"/>
            </w:tcBorders>
            <w:tcMar>
              <w:left w:w="99" w:type="dxa"/>
              <w:right w:w="99" w:type="dxa"/>
            </w:tcMar>
            <w:vAlign w:val="center"/>
          </w:tcPr>
          <w:p w14:paraId="5C17DADB" w14:textId="77777777" w:rsidR="004412F1" w:rsidRDefault="005A12A3">
            <w:r>
              <w:rPr>
                <w:b/>
                <w:sz w:val="20"/>
                <w:lang w:val="es"/>
              </w:rPr>
              <w:t>Equipos</w:t>
            </w:r>
          </w:p>
        </w:tc>
        <w:tc>
          <w:tcPr>
            <w:tcW w:w="4335" w:type="dxa"/>
            <w:gridSpan w:val="2"/>
            <w:tcBorders>
              <w:top w:val="single" w:sz="8" w:space="0" w:color="auto"/>
              <w:left w:val="single" w:sz="8" w:space="0" w:color="auto"/>
              <w:bottom w:val="single" w:sz="8" w:space="0" w:color="000000" w:themeColor="text1"/>
              <w:right w:val="single" w:sz="8" w:space="0" w:color="auto"/>
            </w:tcBorders>
            <w:tcMar>
              <w:left w:w="99" w:type="dxa"/>
              <w:right w:w="99" w:type="dxa"/>
            </w:tcMar>
            <w:vAlign w:val="center"/>
          </w:tcPr>
          <w:p w14:paraId="1A33EB7D" w14:textId="77777777" w:rsidR="004412F1" w:rsidRDefault="005A12A3">
            <w:r>
              <w:rPr>
                <w:b/>
                <w:sz w:val="20"/>
                <w:lang w:val="es"/>
              </w:rPr>
              <w:t>Especificación</w:t>
            </w:r>
          </w:p>
        </w:tc>
        <w:tc>
          <w:tcPr>
            <w:tcW w:w="705" w:type="dxa"/>
            <w:tcBorders>
              <w:top w:val="single" w:sz="8" w:space="0" w:color="auto"/>
              <w:left w:val="nil"/>
              <w:bottom w:val="single" w:sz="8" w:space="0" w:color="000000" w:themeColor="text1"/>
              <w:right w:val="single" w:sz="8" w:space="0" w:color="auto"/>
            </w:tcBorders>
            <w:tcMar>
              <w:left w:w="99" w:type="dxa"/>
              <w:right w:w="99" w:type="dxa"/>
            </w:tcMar>
            <w:vAlign w:val="center"/>
          </w:tcPr>
          <w:p w14:paraId="54DDCB6A" w14:textId="77777777" w:rsidR="004412F1" w:rsidRDefault="005A12A3">
            <w:r>
              <w:rPr>
                <w:b/>
                <w:sz w:val="20"/>
                <w:lang w:val="es"/>
              </w:rPr>
              <w:t>Cant</w:t>
            </w:r>
          </w:p>
        </w:tc>
      </w:tr>
      <w:tr w:rsidR="004412F1" w14:paraId="2A06CE51" w14:textId="77777777">
        <w:trPr>
          <w:gridAfter w:val="1"/>
          <w:wAfter w:w="212" w:type="dxa"/>
          <w:trHeight w:val="165"/>
        </w:trPr>
        <w:tc>
          <w:tcPr>
            <w:tcW w:w="990" w:type="dxa"/>
            <w:vMerge w:val="restart"/>
            <w:tcBorders>
              <w:top w:val="single" w:sz="8" w:space="0" w:color="000000" w:themeColor="text1"/>
              <w:left w:val="single" w:sz="8" w:space="0" w:color="auto"/>
              <w:bottom w:val="single" w:sz="8" w:space="0" w:color="000000" w:themeColor="text1"/>
              <w:right w:val="single" w:sz="8" w:space="0" w:color="auto"/>
            </w:tcBorders>
            <w:tcMar>
              <w:left w:w="99" w:type="dxa"/>
              <w:right w:w="99" w:type="dxa"/>
            </w:tcMar>
            <w:vAlign w:val="center"/>
          </w:tcPr>
          <w:p w14:paraId="0D4524B7" w14:textId="77777777" w:rsidR="004412F1" w:rsidRDefault="005A12A3">
            <w:r>
              <w:rPr>
                <w:sz w:val="18"/>
                <w:lang w:val="es"/>
              </w:rPr>
              <w:t>Carril/Vía</w:t>
            </w:r>
          </w:p>
        </w:tc>
        <w:tc>
          <w:tcPr>
            <w:tcW w:w="2490" w:type="dxa"/>
            <w:gridSpan w:val="2"/>
            <w:tcBorders>
              <w:top w:val="single" w:sz="8" w:space="0" w:color="000000" w:themeColor="text1"/>
              <w:left w:val="single" w:sz="8" w:space="0" w:color="auto"/>
              <w:bottom w:val="single" w:sz="8" w:space="0" w:color="auto"/>
              <w:right w:val="single" w:sz="8" w:space="0" w:color="auto"/>
            </w:tcBorders>
            <w:tcMar>
              <w:left w:w="99" w:type="dxa"/>
              <w:right w:w="99" w:type="dxa"/>
            </w:tcMar>
            <w:vAlign w:val="center"/>
          </w:tcPr>
          <w:p w14:paraId="309E4258" w14:textId="77777777" w:rsidR="004412F1" w:rsidRDefault="005A12A3">
            <w:r>
              <w:rPr>
                <w:sz w:val="18"/>
                <w:lang w:val="es"/>
              </w:rPr>
              <w:t>Detector Óptico de Vehículo</w:t>
            </w:r>
          </w:p>
        </w:tc>
        <w:tc>
          <w:tcPr>
            <w:tcW w:w="4320" w:type="dxa"/>
            <w:tcBorders>
              <w:top w:val="nil"/>
              <w:left w:val="nil"/>
              <w:bottom w:val="single" w:sz="8" w:space="0" w:color="000000" w:themeColor="text1"/>
              <w:right w:val="single" w:sz="8" w:space="0" w:color="auto"/>
            </w:tcBorders>
            <w:tcMar>
              <w:left w:w="99" w:type="dxa"/>
              <w:right w:w="99" w:type="dxa"/>
            </w:tcMar>
            <w:vAlign w:val="center"/>
          </w:tcPr>
          <w:p w14:paraId="4263F6D8" w14:textId="77777777" w:rsidR="004412F1" w:rsidRDefault="005A12A3">
            <w:pPr>
              <w:rPr>
                <w:lang w:val="es-PE"/>
              </w:rPr>
            </w:pPr>
            <w:r>
              <w:rPr>
                <w:sz w:val="18"/>
                <w:szCs w:val="18"/>
                <w:lang w:val="en-US"/>
              </w:rPr>
              <w:t>IR sensor, Raised axle and trailer linkage detection, 1 cabinet</w:t>
            </w:r>
          </w:p>
        </w:tc>
        <w:tc>
          <w:tcPr>
            <w:tcW w:w="705" w:type="dxa"/>
            <w:tcBorders>
              <w:top w:val="single" w:sz="8" w:space="0" w:color="000000" w:themeColor="text1"/>
              <w:left w:val="single" w:sz="8" w:space="0" w:color="auto"/>
              <w:bottom w:val="single" w:sz="8" w:space="0" w:color="auto"/>
              <w:right w:val="single" w:sz="8" w:space="0" w:color="auto"/>
            </w:tcBorders>
            <w:tcMar>
              <w:left w:w="99" w:type="dxa"/>
              <w:right w:w="99" w:type="dxa"/>
            </w:tcMar>
            <w:vAlign w:val="center"/>
          </w:tcPr>
          <w:p w14:paraId="1001A43F" w14:textId="77777777" w:rsidR="004412F1" w:rsidRDefault="005A12A3">
            <w:r>
              <w:rPr>
                <w:sz w:val="18"/>
                <w:lang w:val="es"/>
              </w:rPr>
              <w:t>1</w:t>
            </w:r>
          </w:p>
        </w:tc>
      </w:tr>
      <w:tr w:rsidR="004412F1" w14:paraId="7E3982B0" w14:textId="77777777">
        <w:trPr>
          <w:gridAfter w:val="1"/>
          <w:wAfter w:w="212" w:type="dxa"/>
          <w:trHeight w:val="165"/>
        </w:trPr>
        <w:tc>
          <w:tcPr>
            <w:tcW w:w="990" w:type="dxa"/>
            <w:vMerge/>
            <w:tcBorders>
              <w:left w:val="single" w:sz="0" w:space="0" w:color="auto"/>
              <w:right w:val="single" w:sz="0" w:space="0" w:color="auto"/>
            </w:tcBorders>
            <w:vAlign w:val="center"/>
          </w:tcPr>
          <w:p w14:paraId="6225D390" w14:textId="77777777" w:rsidR="004412F1" w:rsidRDefault="004412F1"/>
        </w:tc>
        <w:tc>
          <w:tcPr>
            <w:tcW w:w="2490" w:type="dxa"/>
            <w:gridSpan w:val="2"/>
            <w:tcBorders>
              <w:top w:val="single" w:sz="8" w:space="0" w:color="000000" w:themeColor="text1"/>
              <w:left w:val="nil"/>
              <w:bottom w:val="single" w:sz="8" w:space="0" w:color="auto"/>
              <w:right w:val="single" w:sz="8" w:space="0" w:color="auto"/>
            </w:tcBorders>
            <w:tcMar>
              <w:left w:w="99" w:type="dxa"/>
              <w:right w:w="99" w:type="dxa"/>
            </w:tcMar>
            <w:vAlign w:val="center"/>
          </w:tcPr>
          <w:p w14:paraId="603228DB" w14:textId="77777777" w:rsidR="004412F1" w:rsidRDefault="005A12A3">
            <w:r>
              <w:rPr>
                <w:sz w:val="18"/>
                <w:lang w:val="es"/>
              </w:rPr>
              <w:t xml:space="preserve">Sensor Pedal </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7F5648D3" w14:textId="77777777" w:rsidR="004412F1" w:rsidRDefault="005A12A3">
            <w:pPr>
              <w:rPr>
                <w:lang w:val="es-PE"/>
              </w:rPr>
            </w:pPr>
            <w:r>
              <w:rPr>
                <w:sz w:val="18"/>
                <w:szCs w:val="18"/>
                <w:lang w:val="en-US"/>
              </w:rPr>
              <w:t>1Cm resolution Incl. frame, warranty &lt; 5M axles</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2C34BCBE" w14:textId="77777777" w:rsidR="004412F1" w:rsidRDefault="005A12A3">
            <w:r>
              <w:rPr>
                <w:sz w:val="18"/>
                <w:lang w:val="es"/>
              </w:rPr>
              <w:t>1</w:t>
            </w:r>
          </w:p>
        </w:tc>
      </w:tr>
      <w:tr w:rsidR="004412F1" w14:paraId="3F411914" w14:textId="77777777">
        <w:trPr>
          <w:gridAfter w:val="1"/>
          <w:wAfter w:w="212" w:type="dxa"/>
          <w:trHeight w:val="165"/>
        </w:trPr>
        <w:tc>
          <w:tcPr>
            <w:tcW w:w="990" w:type="dxa"/>
            <w:vMerge/>
            <w:tcBorders>
              <w:left w:val="single" w:sz="0" w:space="0" w:color="auto"/>
              <w:right w:val="single" w:sz="0" w:space="0" w:color="auto"/>
            </w:tcBorders>
            <w:vAlign w:val="center"/>
          </w:tcPr>
          <w:p w14:paraId="7F578694"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5BD2EAA7" w14:textId="77777777" w:rsidR="004412F1" w:rsidRDefault="005A12A3">
            <w:r>
              <w:rPr>
                <w:sz w:val="18"/>
                <w:lang w:val="es"/>
              </w:rPr>
              <w:t>Barrera Automática</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4580F17E" w14:textId="77777777" w:rsidR="004412F1" w:rsidRDefault="005A12A3">
            <w:pPr>
              <w:rPr>
                <w:lang w:val="es-PE"/>
              </w:rPr>
            </w:pPr>
            <w:r>
              <w:rPr>
                <w:sz w:val="18"/>
                <w:szCs w:val="18"/>
                <w:lang w:val="en-US"/>
              </w:rPr>
              <w:t>Incl. loop detector, IR detector, Lamp(</w:t>
            </w:r>
            <w:proofErr w:type="gramStart"/>
            <w:r>
              <w:rPr>
                <w:sz w:val="18"/>
                <w:szCs w:val="18"/>
                <w:lang w:val="en-US"/>
              </w:rPr>
              <w:t>G,R</w:t>
            </w:r>
            <w:proofErr w:type="gramEnd"/>
            <w:r>
              <w:rPr>
                <w:sz w:val="18"/>
                <w:szCs w:val="18"/>
                <w:lang w:val="en-US"/>
              </w:rPr>
              <w:t>), WL included</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7EBD4D08" w14:textId="77777777" w:rsidR="004412F1" w:rsidRDefault="005A12A3">
            <w:r>
              <w:rPr>
                <w:sz w:val="18"/>
                <w:lang w:val="es"/>
              </w:rPr>
              <w:t>1</w:t>
            </w:r>
          </w:p>
        </w:tc>
      </w:tr>
      <w:tr w:rsidR="004412F1" w14:paraId="1148D010" w14:textId="77777777">
        <w:trPr>
          <w:gridAfter w:val="1"/>
          <w:wAfter w:w="212" w:type="dxa"/>
          <w:trHeight w:val="375"/>
        </w:trPr>
        <w:tc>
          <w:tcPr>
            <w:tcW w:w="990" w:type="dxa"/>
            <w:vMerge/>
            <w:tcBorders>
              <w:left w:val="single" w:sz="0" w:space="0" w:color="auto"/>
              <w:right w:val="single" w:sz="0" w:space="0" w:color="auto"/>
            </w:tcBorders>
            <w:vAlign w:val="center"/>
          </w:tcPr>
          <w:p w14:paraId="3F6BE0C5"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289AAA81" w14:textId="77777777" w:rsidR="004412F1" w:rsidRDefault="005A12A3">
            <w:r>
              <w:rPr>
                <w:sz w:val="18"/>
                <w:lang w:val="es"/>
              </w:rPr>
              <w:t>Pantalla de Información Peaje</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508BCE89" w14:textId="77777777" w:rsidR="004412F1" w:rsidRDefault="005A12A3">
            <w:r>
              <w:rPr>
                <w:sz w:val="18"/>
                <w:lang w:val="es"/>
              </w:rPr>
              <w:t>3 color</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1E7F360A" w14:textId="77777777" w:rsidR="004412F1" w:rsidRDefault="005A12A3">
            <w:r>
              <w:rPr>
                <w:sz w:val="18"/>
                <w:lang w:val="es"/>
              </w:rPr>
              <w:t>1</w:t>
            </w:r>
          </w:p>
        </w:tc>
      </w:tr>
      <w:tr w:rsidR="004412F1" w14:paraId="1EC6733D" w14:textId="77777777">
        <w:trPr>
          <w:gridAfter w:val="1"/>
          <w:wAfter w:w="212" w:type="dxa"/>
          <w:trHeight w:val="165"/>
        </w:trPr>
        <w:tc>
          <w:tcPr>
            <w:tcW w:w="990" w:type="dxa"/>
            <w:vMerge/>
            <w:tcBorders>
              <w:left w:val="single" w:sz="0" w:space="0" w:color="auto"/>
              <w:right w:val="single" w:sz="0" w:space="0" w:color="auto"/>
            </w:tcBorders>
            <w:vAlign w:val="center"/>
          </w:tcPr>
          <w:p w14:paraId="3162B2A8"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326C9D64" w14:textId="77777777" w:rsidR="004412F1" w:rsidRDefault="005A12A3">
            <w:pPr>
              <w:rPr>
                <w:lang w:val="es-PE"/>
              </w:rPr>
            </w:pPr>
            <w:r>
              <w:rPr>
                <w:sz w:val="18"/>
                <w:lang w:val="es"/>
              </w:rPr>
              <w:t>OCR (ANPR) Cámara óptica de reconocimiento</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0BDECE50" w14:textId="77777777" w:rsidR="004412F1" w:rsidRDefault="005A12A3">
            <w:pPr>
              <w:tabs>
                <w:tab w:val="left" w:pos="645"/>
              </w:tabs>
              <w:rPr>
                <w:lang w:val="es-PE"/>
              </w:rPr>
            </w:pPr>
            <w:r>
              <w:rPr>
                <w:sz w:val="18"/>
                <w:lang w:val="es"/>
              </w:rPr>
              <w:t>Incluye luz infraroja, poste, covertor, afinamiento</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7D9D8363" w14:textId="77777777" w:rsidR="004412F1" w:rsidRDefault="005A12A3">
            <w:r>
              <w:rPr>
                <w:sz w:val="18"/>
                <w:lang w:val="es"/>
              </w:rPr>
              <w:t>1</w:t>
            </w:r>
          </w:p>
        </w:tc>
      </w:tr>
      <w:tr w:rsidR="004412F1" w14:paraId="19CFC53D" w14:textId="77777777">
        <w:trPr>
          <w:gridAfter w:val="1"/>
          <w:wAfter w:w="212" w:type="dxa"/>
          <w:trHeight w:val="165"/>
        </w:trPr>
        <w:tc>
          <w:tcPr>
            <w:tcW w:w="990" w:type="dxa"/>
            <w:vMerge/>
            <w:tcBorders>
              <w:left w:val="single" w:sz="0" w:space="0" w:color="auto"/>
              <w:bottom w:val="single" w:sz="0" w:space="0" w:color="000000" w:themeColor="text1"/>
              <w:right w:val="single" w:sz="0" w:space="0" w:color="auto"/>
            </w:tcBorders>
            <w:vAlign w:val="center"/>
          </w:tcPr>
          <w:p w14:paraId="3E3FB1D1"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2C9583C8" w14:textId="77777777" w:rsidR="004412F1" w:rsidRDefault="005A12A3">
            <w:r>
              <w:rPr>
                <w:sz w:val="18"/>
                <w:lang w:val="es"/>
              </w:rPr>
              <w:t xml:space="preserve">Antena RFID </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7EED55DC" w14:textId="77777777" w:rsidR="004412F1" w:rsidRDefault="005A12A3">
            <w:pPr>
              <w:tabs>
                <w:tab w:val="left" w:pos="645"/>
              </w:tabs>
            </w:pPr>
            <w:r>
              <w:rPr>
                <w:sz w:val="18"/>
                <w:lang w:val="es"/>
              </w:rPr>
              <w:t>Solo lectura</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7203E0B0" w14:textId="77777777" w:rsidR="004412F1" w:rsidRDefault="005A12A3">
            <w:r>
              <w:rPr>
                <w:sz w:val="18"/>
                <w:lang w:val="es"/>
              </w:rPr>
              <w:t>1</w:t>
            </w:r>
          </w:p>
        </w:tc>
      </w:tr>
      <w:tr w:rsidR="004412F1" w14:paraId="520DE357" w14:textId="77777777">
        <w:trPr>
          <w:gridAfter w:val="1"/>
          <w:wAfter w:w="212" w:type="dxa"/>
          <w:trHeight w:val="165"/>
        </w:trPr>
        <w:tc>
          <w:tcPr>
            <w:tcW w:w="990" w:type="dxa"/>
            <w:vMerge w:val="restart"/>
            <w:tcBorders>
              <w:top w:val="nil"/>
              <w:left w:val="single" w:sz="8" w:space="0" w:color="auto"/>
              <w:bottom w:val="single" w:sz="8" w:space="0" w:color="000000" w:themeColor="text1"/>
              <w:right w:val="single" w:sz="8" w:space="0" w:color="auto"/>
            </w:tcBorders>
            <w:tcMar>
              <w:left w:w="99" w:type="dxa"/>
              <w:right w:w="99" w:type="dxa"/>
            </w:tcMar>
            <w:vAlign w:val="center"/>
          </w:tcPr>
          <w:p w14:paraId="52CE6E08" w14:textId="77777777" w:rsidR="004412F1" w:rsidRDefault="005A12A3">
            <w:r>
              <w:rPr>
                <w:sz w:val="18"/>
                <w:lang w:val="es"/>
              </w:rPr>
              <w:t>Caseta</w:t>
            </w:r>
          </w:p>
        </w:tc>
        <w:tc>
          <w:tcPr>
            <w:tcW w:w="2490" w:type="dxa"/>
            <w:gridSpan w:val="2"/>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545FFD93" w14:textId="77777777" w:rsidR="004412F1" w:rsidRDefault="005A12A3">
            <w:pPr>
              <w:rPr>
                <w:lang w:val="es-PE"/>
              </w:rPr>
            </w:pPr>
            <w:r>
              <w:rPr>
                <w:sz w:val="18"/>
                <w:lang w:val="es"/>
              </w:rPr>
              <w:t>Controlador y Terminal de Carril</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018FD3FC" w14:textId="77777777" w:rsidR="004412F1" w:rsidRDefault="005A12A3">
            <w:pPr>
              <w:rPr>
                <w:lang w:val="es-PE"/>
              </w:rPr>
            </w:pPr>
            <w:r>
              <w:rPr>
                <w:sz w:val="18"/>
                <w:szCs w:val="18"/>
                <w:lang w:val="en-US"/>
              </w:rPr>
              <w:t>Industrial PC and peripherals, 17", SXVGA</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05C42D63" w14:textId="77777777" w:rsidR="004412F1" w:rsidRDefault="005A12A3">
            <w:r>
              <w:rPr>
                <w:sz w:val="18"/>
                <w:lang w:val="es"/>
              </w:rPr>
              <w:t>1</w:t>
            </w:r>
          </w:p>
        </w:tc>
      </w:tr>
      <w:tr w:rsidR="004412F1" w14:paraId="45700F48" w14:textId="77777777">
        <w:trPr>
          <w:gridAfter w:val="1"/>
          <w:wAfter w:w="212" w:type="dxa"/>
          <w:trHeight w:val="165"/>
        </w:trPr>
        <w:tc>
          <w:tcPr>
            <w:tcW w:w="990" w:type="dxa"/>
            <w:vMerge/>
            <w:tcBorders>
              <w:left w:val="single" w:sz="0" w:space="0" w:color="auto"/>
              <w:right w:val="single" w:sz="0" w:space="0" w:color="auto"/>
            </w:tcBorders>
            <w:vAlign w:val="center"/>
          </w:tcPr>
          <w:p w14:paraId="79D764AA"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573DC977" w14:textId="77777777" w:rsidR="004412F1" w:rsidRDefault="005A12A3">
            <w:r>
              <w:rPr>
                <w:sz w:val="18"/>
                <w:lang w:val="es"/>
              </w:rPr>
              <w:t xml:space="preserve">Impresora de </w:t>
            </w:r>
            <w:proofErr w:type="gramStart"/>
            <w:r>
              <w:rPr>
                <w:sz w:val="18"/>
                <w:lang w:val="es"/>
              </w:rPr>
              <w:t>Tickets</w:t>
            </w:r>
            <w:proofErr w:type="gramEnd"/>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7866AFDF" w14:textId="77777777" w:rsidR="004412F1" w:rsidRDefault="005A12A3">
            <w:pPr>
              <w:rPr>
                <w:lang w:val="es-PE"/>
              </w:rPr>
            </w:pPr>
            <w:r>
              <w:rPr>
                <w:sz w:val="18"/>
                <w:szCs w:val="18"/>
                <w:lang w:val="en-US"/>
              </w:rPr>
              <w:t>Thermal printing, Automatic cutting, Additional Paper</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1675EF75" w14:textId="77777777" w:rsidR="004412F1" w:rsidRDefault="005A12A3">
            <w:r>
              <w:rPr>
                <w:sz w:val="18"/>
                <w:lang w:val="es"/>
              </w:rPr>
              <w:t>1</w:t>
            </w:r>
          </w:p>
        </w:tc>
      </w:tr>
      <w:tr w:rsidR="004412F1" w14:paraId="6A939CE4" w14:textId="77777777">
        <w:trPr>
          <w:gridAfter w:val="1"/>
          <w:wAfter w:w="212" w:type="dxa"/>
          <w:trHeight w:val="165"/>
        </w:trPr>
        <w:tc>
          <w:tcPr>
            <w:tcW w:w="990" w:type="dxa"/>
            <w:vMerge/>
            <w:tcBorders>
              <w:left w:val="single" w:sz="0" w:space="0" w:color="auto"/>
              <w:right w:val="single" w:sz="0" w:space="0" w:color="auto"/>
            </w:tcBorders>
            <w:vAlign w:val="center"/>
          </w:tcPr>
          <w:p w14:paraId="77070456"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633E4682" w14:textId="77777777" w:rsidR="004412F1" w:rsidRDefault="005A12A3">
            <w:r>
              <w:rPr>
                <w:sz w:val="18"/>
                <w:lang w:val="es"/>
              </w:rPr>
              <w:t xml:space="preserve">Camera CCTV </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6723DF63" w14:textId="77777777" w:rsidR="004412F1" w:rsidRDefault="005A12A3">
            <w:pPr>
              <w:rPr>
                <w:lang w:val="es-PE"/>
              </w:rPr>
            </w:pPr>
            <w:r>
              <w:rPr>
                <w:sz w:val="18"/>
                <w:szCs w:val="18"/>
                <w:lang w:val="en-US"/>
              </w:rPr>
              <w:t>520K pixels, 650 TV Lines, Outdoor Dome</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663DC3F6" w14:textId="77777777" w:rsidR="004412F1" w:rsidRDefault="005A12A3">
            <w:r>
              <w:rPr>
                <w:sz w:val="18"/>
                <w:lang w:val="es"/>
              </w:rPr>
              <w:t>1</w:t>
            </w:r>
          </w:p>
        </w:tc>
      </w:tr>
      <w:tr w:rsidR="004412F1" w14:paraId="6FB6C1BB" w14:textId="77777777">
        <w:trPr>
          <w:gridAfter w:val="1"/>
          <w:wAfter w:w="212" w:type="dxa"/>
          <w:trHeight w:val="165"/>
        </w:trPr>
        <w:tc>
          <w:tcPr>
            <w:tcW w:w="990" w:type="dxa"/>
            <w:vMerge/>
            <w:tcBorders>
              <w:left w:val="single" w:sz="0" w:space="0" w:color="auto"/>
              <w:right w:val="single" w:sz="0" w:space="0" w:color="auto"/>
            </w:tcBorders>
            <w:vAlign w:val="center"/>
          </w:tcPr>
          <w:p w14:paraId="3BF6BF94"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04206810" w14:textId="77777777" w:rsidR="004412F1" w:rsidRDefault="005A12A3">
            <w:r>
              <w:rPr>
                <w:sz w:val="18"/>
                <w:lang w:val="es"/>
              </w:rPr>
              <w:t>Lectora e-Card (Interior)</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6A44D260" w14:textId="77777777" w:rsidR="004412F1" w:rsidRDefault="005A12A3">
            <w:pPr>
              <w:rPr>
                <w:lang w:val="es-PE"/>
              </w:rPr>
            </w:pPr>
            <w:r>
              <w:rPr>
                <w:sz w:val="18"/>
                <w:szCs w:val="18"/>
                <w:lang w:val="en-US"/>
              </w:rPr>
              <w:t>SO/IEC 14443 A &amp; B compatible, 13.56MHz</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6D479F4A" w14:textId="77777777" w:rsidR="004412F1" w:rsidRDefault="005A12A3">
            <w:r>
              <w:rPr>
                <w:sz w:val="18"/>
                <w:lang w:val="es"/>
              </w:rPr>
              <w:t>1</w:t>
            </w:r>
          </w:p>
        </w:tc>
      </w:tr>
      <w:tr w:rsidR="004412F1" w14:paraId="097B11B9" w14:textId="77777777">
        <w:trPr>
          <w:gridAfter w:val="1"/>
          <w:wAfter w:w="212" w:type="dxa"/>
          <w:trHeight w:val="165"/>
        </w:trPr>
        <w:tc>
          <w:tcPr>
            <w:tcW w:w="990" w:type="dxa"/>
            <w:vMerge/>
            <w:tcBorders>
              <w:left w:val="single" w:sz="0" w:space="0" w:color="auto"/>
              <w:right w:val="single" w:sz="0" w:space="0" w:color="auto"/>
            </w:tcBorders>
            <w:vAlign w:val="center"/>
          </w:tcPr>
          <w:p w14:paraId="513319D8"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30735780" w14:textId="77777777" w:rsidR="004412F1" w:rsidRDefault="005A12A3">
            <w:r>
              <w:rPr>
                <w:sz w:val="18"/>
                <w:lang w:val="es"/>
              </w:rPr>
              <w:t>Lectora e-Card (Exterior)</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53F08FC8" w14:textId="77777777" w:rsidR="004412F1" w:rsidRDefault="005A12A3">
            <w:pPr>
              <w:tabs>
                <w:tab w:val="left" w:pos="645"/>
              </w:tabs>
              <w:rPr>
                <w:lang w:val="es-PE"/>
              </w:rPr>
            </w:pPr>
            <w:r>
              <w:rPr>
                <w:sz w:val="18"/>
                <w:szCs w:val="18"/>
                <w:lang w:val="en-US"/>
              </w:rPr>
              <w:t>2 Tier type, ISO/IEC 14443 A &amp; B compatible,13.56MH</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4EC8D408" w14:textId="77777777" w:rsidR="004412F1" w:rsidRDefault="005A12A3">
            <w:r>
              <w:rPr>
                <w:sz w:val="18"/>
                <w:lang w:val="es"/>
              </w:rPr>
              <w:t>1</w:t>
            </w:r>
          </w:p>
        </w:tc>
      </w:tr>
      <w:tr w:rsidR="004412F1" w14:paraId="129CFF7D" w14:textId="77777777">
        <w:trPr>
          <w:gridAfter w:val="1"/>
          <w:wAfter w:w="212" w:type="dxa"/>
          <w:trHeight w:val="165"/>
        </w:trPr>
        <w:tc>
          <w:tcPr>
            <w:tcW w:w="990" w:type="dxa"/>
            <w:vMerge/>
            <w:tcBorders>
              <w:left w:val="single" w:sz="0" w:space="0" w:color="auto"/>
              <w:bottom w:val="single" w:sz="0" w:space="0" w:color="000000" w:themeColor="text1"/>
              <w:right w:val="single" w:sz="0" w:space="0" w:color="auto"/>
            </w:tcBorders>
            <w:vAlign w:val="center"/>
          </w:tcPr>
          <w:p w14:paraId="51639F60"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75E6166A" w14:textId="77777777" w:rsidR="004412F1" w:rsidRDefault="005A12A3">
            <w:r>
              <w:rPr>
                <w:sz w:val="18"/>
                <w:lang w:val="es"/>
              </w:rPr>
              <w:t>Lámpara de advertencia</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16F6D9F8" w14:textId="77777777" w:rsidR="004412F1" w:rsidRDefault="005A12A3">
            <w:r>
              <w:rPr>
                <w:sz w:val="18"/>
                <w:lang w:val="es"/>
              </w:rPr>
              <w:t>Red/Green LED Lamp</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1714C382" w14:textId="77777777" w:rsidR="004412F1" w:rsidRDefault="005A12A3">
            <w:r>
              <w:rPr>
                <w:sz w:val="18"/>
                <w:lang w:val="es"/>
              </w:rPr>
              <w:t>1</w:t>
            </w:r>
          </w:p>
        </w:tc>
      </w:tr>
      <w:tr w:rsidR="004412F1" w14:paraId="041ABB6A" w14:textId="77777777">
        <w:trPr>
          <w:gridAfter w:val="1"/>
          <w:wAfter w:w="212" w:type="dxa"/>
          <w:trHeight w:val="165"/>
        </w:trPr>
        <w:tc>
          <w:tcPr>
            <w:tcW w:w="990" w:type="dxa"/>
            <w:vMerge w:val="restart"/>
            <w:tcBorders>
              <w:top w:val="nil"/>
              <w:left w:val="single" w:sz="8" w:space="0" w:color="auto"/>
              <w:bottom w:val="single" w:sz="8" w:space="0" w:color="000000" w:themeColor="text1"/>
              <w:right w:val="single" w:sz="8" w:space="0" w:color="auto"/>
            </w:tcBorders>
            <w:tcMar>
              <w:left w:w="99" w:type="dxa"/>
              <w:right w:w="99" w:type="dxa"/>
            </w:tcMar>
            <w:vAlign w:val="center"/>
          </w:tcPr>
          <w:p w14:paraId="2C0206CC" w14:textId="77777777" w:rsidR="004412F1" w:rsidRDefault="005A12A3">
            <w:r>
              <w:rPr>
                <w:sz w:val="18"/>
                <w:lang w:val="es"/>
              </w:rPr>
              <w:t>Oficina</w:t>
            </w:r>
          </w:p>
        </w:tc>
        <w:tc>
          <w:tcPr>
            <w:tcW w:w="2490" w:type="dxa"/>
            <w:gridSpan w:val="2"/>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64CB9646" w14:textId="77777777" w:rsidR="004412F1" w:rsidRDefault="005A12A3">
            <w:r>
              <w:rPr>
                <w:sz w:val="18"/>
                <w:lang w:val="es"/>
              </w:rPr>
              <w:t>Servidor de Peaje</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7150F749" w14:textId="77777777" w:rsidR="004412F1" w:rsidRDefault="005A12A3">
            <w:pPr>
              <w:rPr>
                <w:lang w:val="es-PE"/>
              </w:rPr>
            </w:pPr>
            <w:r>
              <w:rPr>
                <w:sz w:val="18"/>
                <w:szCs w:val="18"/>
                <w:lang w:val="en-US"/>
              </w:rPr>
              <w:t>1GHz (Minimum), 1GB/100GB (Minimum), 2 Ethernet, Windows</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4A2B8F06" w14:textId="77777777" w:rsidR="004412F1" w:rsidRDefault="005A12A3">
            <w:r>
              <w:rPr>
                <w:sz w:val="18"/>
                <w:lang w:val="es"/>
              </w:rPr>
              <w:t>1</w:t>
            </w:r>
          </w:p>
        </w:tc>
      </w:tr>
      <w:tr w:rsidR="004412F1" w14:paraId="64AEA227" w14:textId="77777777">
        <w:trPr>
          <w:gridAfter w:val="1"/>
          <w:wAfter w:w="212" w:type="dxa"/>
          <w:trHeight w:val="165"/>
        </w:trPr>
        <w:tc>
          <w:tcPr>
            <w:tcW w:w="990" w:type="dxa"/>
            <w:vMerge/>
            <w:tcBorders>
              <w:left w:val="single" w:sz="0" w:space="0" w:color="auto"/>
              <w:right w:val="single" w:sz="0" w:space="0" w:color="auto"/>
            </w:tcBorders>
            <w:vAlign w:val="center"/>
          </w:tcPr>
          <w:p w14:paraId="10948A02"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2D7F208E" w14:textId="77777777" w:rsidR="004412F1" w:rsidRDefault="005A12A3">
            <w:r>
              <w:rPr>
                <w:sz w:val="18"/>
                <w:lang w:val="es"/>
              </w:rPr>
              <w:t xml:space="preserve">Terminal Operación </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0110B969" w14:textId="77777777" w:rsidR="004412F1" w:rsidRDefault="005A12A3">
            <w:pPr>
              <w:tabs>
                <w:tab w:val="left" w:pos="810"/>
              </w:tabs>
              <w:rPr>
                <w:lang w:val="es-PE"/>
              </w:rPr>
            </w:pPr>
            <w:r>
              <w:rPr>
                <w:sz w:val="18"/>
                <w:szCs w:val="18"/>
                <w:lang w:val="en-US"/>
              </w:rPr>
              <w:t>Core2duo, 512MB/60GB (Minimum), Windows 7</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79A5B21B" w14:textId="77777777" w:rsidR="004412F1" w:rsidRDefault="005A12A3">
            <w:r>
              <w:rPr>
                <w:sz w:val="18"/>
                <w:lang w:val="es"/>
              </w:rPr>
              <w:t>1</w:t>
            </w:r>
          </w:p>
        </w:tc>
      </w:tr>
      <w:tr w:rsidR="004412F1" w14:paraId="64B4F666" w14:textId="77777777">
        <w:trPr>
          <w:gridAfter w:val="1"/>
          <w:wAfter w:w="212" w:type="dxa"/>
          <w:trHeight w:val="165"/>
        </w:trPr>
        <w:tc>
          <w:tcPr>
            <w:tcW w:w="990" w:type="dxa"/>
            <w:vMerge/>
            <w:tcBorders>
              <w:left w:val="single" w:sz="0" w:space="0" w:color="auto"/>
              <w:right w:val="single" w:sz="0" w:space="0" w:color="auto"/>
            </w:tcBorders>
            <w:vAlign w:val="center"/>
          </w:tcPr>
          <w:p w14:paraId="1A8FB093"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1575BB4A" w14:textId="77777777" w:rsidR="004412F1" w:rsidRDefault="005A12A3">
            <w:r>
              <w:rPr>
                <w:sz w:val="18"/>
                <w:lang w:val="es"/>
              </w:rPr>
              <w:t>Impresora</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609ECF16" w14:textId="77777777" w:rsidR="004412F1" w:rsidRDefault="005A12A3">
            <w:pPr>
              <w:tabs>
                <w:tab w:val="left" w:pos="885"/>
              </w:tabs>
              <w:rPr>
                <w:lang w:val="es-PE"/>
              </w:rPr>
            </w:pPr>
            <w:r>
              <w:rPr>
                <w:sz w:val="18"/>
                <w:szCs w:val="18"/>
                <w:lang w:val="en-US"/>
              </w:rPr>
              <w:t>Laser beam, 1200*1200dpi, A4/A3/Letter printer</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477B6A97" w14:textId="77777777" w:rsidR="004412F1" w:rsidRDefault="005A12A3">
            <w:r>
              <w:rPr>
                <w:sz w:val="18"/>
                <w:lang w:val="es"/>
              </w:rPr>
              <w:t>1</w:t>
            </w:r>
          </w:p>
        </w:tc>
      </w:tr>
      <w:tr w:rsidR="004412F1" w14:paraId="33EAA9A7" w14:textId="77777777">
        <w:trPr>
          <w:gridAfter w:val="1"/>
          <w:wAfter w:w="212" w:type="dxa"/>
          <w:trHeight w:val="465"/>
        </w:trPr>
        <w:tc>
          <w:tcPr>
            <w:tcW w:w="990" w:type="dxa"/>
            <w:vMerge/>
            <w:tcBorders>
              <w:left w:val="single" w:sz="0" w:space="0" w:color="auto"/>
              <w:right w:val="single" w:sz="0" w:space="0" w:color="auto"/>
            </w:tcBorders>
            <w:vAlign w:val="center"/>
          </w:tcPr>
          <w:p w14:paraId="0D5D9534"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5A319FD1" w14:textId="77777777" w:rsidR="004412F1" w:rsidRDefault="005A12A3">
            <w:proofErr w:type="gramStart"/>
            <w:r>
              <w:rPr>
                <w:sz w:val="18"/>
                <w:lang w:val="es"/>
              </w:rPr>
              <w:t>Hub</w:t>
            </w:r>
            <w:proofErr w:type="gramEnd"/>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3CCCEA0B" w14:textId="77777777" w:rsidR="004412F1" w:rsidRDefault="005A12A3">
            <w:pPr>
              <w:rPr>
                <w:lang w:val="es-PE"/>
              </w:rPr>
            </w:pPr>
            <w:r>
              <w:rPr>
                <w:sz w:val="18"/>
                <w:szCs w:val="18"/>
                <w:lang w:val="en-US"/>
              </w:rPr>
              <w:t>10/100/1000 Ethernet 6 port (Minimum), 6.5Mbps (Minimum) through put</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1C3B8F06" w14:textId="77777777" w:rsidR="004412F1" w:rsidRDefault="005A12A3">
            <w:r>
              <w:rPr>
                <w:sz w:val="18"/>
                <w:lang w:val="es"/>
              </w:rPr>
              <w:t>1</w:t>
            </w:r>
          </w:p>
        </w:tc>
      </w:tr>
      <w:tr w:rsidR="004412F1" w14:paraId="6192B154" w14:textId="77777777">
        <w:trPr>
          <w:gridAfter w:val="1"/>
          <w:wAfter w:w="212" w:type="dxa"/>
          <w:trHeight w:val="165"/>
        </w:trPr>
        <w:tc>
          <w:tcPr>
            <w:tcW w:w="990" w:type="dxa"/>
            <w:vMerge/>
            <w:tcBorders>
              <w:left w:val="single" w:sz="0" w:space="0" w:color="auto"/>
              <w:right w:val="single" w:sz="0" w:space="0" w:color="auto"/>
            </w:tcBorders>
            <w:vAlign w:val="center"/>
          </w:tcPr>
          <w:p w14:paraId="4C7B48A7"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309F1878" w14:textId="77777777" w:rsidR="004412F1" w:rsidRDefault="005A12A3">
            <w:r>
              <w:rPr>
                <w:sz w:val="18"/>
                <w:lang w:val="es"/>
              </w:rPr>
              <w:t>GSM Modem</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627A795A" w14:textId="77777777" w:rsidR="004412F1" w:rsidRDefault="005A12A3">
            <w:r>
              <w:rPr>
                <w:sz w:val="18"/>
                <w:lang w:val="es"/>
              </w:rPr>
              <w:t xml:space="preserve">Peru GSM </w:t>
            </w:r>
            <w:proofErr w:type="gramStart"/>
            <w:r>
              <w:rPr>
                <w:sz w:val="18"/>
                <w:lang w:val="es"/>
              </w:rPr>
              <w:t>interface</w:t>
            </w:r>
            <w:proofErr w:type="gramEnd"/>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0F8E4FA9" w14:textId="77777777" w:rsidR="004412F1" w:rsidRDefault="005A12A3">
            <w:r>
              <w:rPr>
                <w:sz w:val="18"/>
                <w:lang w:val="es"/>
              </w:rPr>
              <w:t>1</w:t>
            </w:r>
          </w:p>
        </w:tc>
      </w:tr>
      <w:tr w:rsidR="004412F1" w14:paraId="29BA011F" w14:textId="77777777">
        <w:trPr>
          <w:gridAfter w:val="1"/>
          <w:wAfter w:w="212" w:type="dxa"/>
          <w:trHeight w:val="165"/>
        </w:trPr>
        <w:tc>
          <w:tcPr>
            <w:tcW w:w="990" w:type="dxa"/>
            <w:vMerge/>
            <w:tcBorders>
              <w:left w:val="single" w:sz="0" w:space="0" w:color="auto"/>
              <w:bottom w:val="single" w:sz="0" w:space="0" w:color="000000" w:themeColor="text1"/>
              <w:right w:val="single" w:sz="0" w:space="0" w:color="auto"/>
            </w:tcBorders>
            <w:vAlign w:val="center"/>
          </w:tcPr>
          <w:p w14:paraId="53A9C06D"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3247F86E" w14:textId="77777777" w:rsidR="004412F1" w:rsidRDefault="005A12A3">
            <w:pPr>
              <w:rPr>
                <w:lang w:val="es-PE"/>
              </w:rPr>
            </w:pPr>
            <w:r>
              <w:rPr>
                <w:sz w:val="18"/>
                <w:lang w:val="es"/>
              </w:rPr>
              <w:t>Equipo, soporte de fibra óptica</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0E125DD8" w14:textId="77777777" w:rsidR="004412F1" w:rsidRDefault="005A12A3">
            <w:pPr>
              <w:rPr>
                <w:lang w:val="es-PE"/>
              </w:rPr>
            </w:pPr>
            <w:r>
              <w:rPr>
                <w:sz w:val="18"/>
                <w:lang w:val="es"/>
              </w:rPr>
              <w:t>La comunicación de fibra óptica</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71A6DEB0" w14:textId="77777777" w:rsidR="004412F1" w:rsidRDefault="005A12A3">
            <w:r>
              <w:rPr>
                <w:sz w:val="18"/>
                <w:lang w:val="es"/>
              </w:rPr>
              <w:t>1</w:t>
            </w:r>
          </w:p>
        </w:tc>
      </w:tr>
      <w:tr w:rsidR="004412F1" w14:paraId="78CA9199" w14:textId="77777777">
        <w:trPr>
          <w:gridAfter w:val="1"/>
          <w:wAfter w:w="212" w:type="dxa"/>
          <w:trHeight w:val="165"/>
        </w:trPr>
        <w:tc>
          <w:tcPr>
            <w:tcW w:w="990" w:type="dxa"/>
            <w:vMerge/>
            <w:tcBorders>
              <w:left w:val="single" w:sz="0" w:space="0" w:color="auto"/>
              <w:bottom w:val="single" w:sz="0" w:space="0" w:color="000000" w:themeColor="text1"/>
              <w:right w:val="single" w:sz="0" w:space="0" w:color="auto"/>
            </w:tcBorders>
            <w:vAlign w:val="center"/>
          </w:tcPr>
          <w:p w14:paraId="5FC9CD6A"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5BDA3C77" w14:textId="77777777" w:rsidR="004412F1" w:rsidRDefault="005A12A3">
            <w:r>
              <w:rPr>
                <w:sz w:val="18"/>
                <w:lang w:val="es"/>
              </w:rPr>
              <w:t>UPS</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5E4E7CB7" w14:textId="77777777" w:rsidR="004412F1" w:rsidRDefault="005A12A3">
            <w:pPr>
              <w:rPr>
                <w:lang w:val="es-PE"/>
              </w:rPr>
            </w:pPr>
            <w:r>
              <w:rPr>
                <w:sz w:val="18"/>
                <w:szCs w:val="18"/>
                <w:lang w:val="en-US"/>
              </w:rPr>
              <w:t>7.5 KVA, 200AH 12V*16ea, 4 hours</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0413705F" w14:textId="77777777" w:rsidR="004412F1" w:rsidRDefault="005A12A3">
            <w:r>
              <w:rPr>
                <w:sz w:val="18"/>
                <w:lang w:val="es"/>
              </w:rPr>
              <w:t>1</w:t>
            </w:r>
          </w:p>
        </w:tc>
      </w:tr>
      <w:tr w:rsidR="004412F1" w14:paraId="334C5099" w14:textId="77777777">
        <w:trPr>
          <w:gridAfter w:val="1"/>
          <w:wAfter w:w="212" w:type="dxa"/>
          <w:trHeight w:val="165"/>
        </w:trPr>
        <w:tc>
          <w:tcPr>
            <w:tcW w:w="990" w:type="dxa"/>
            <w:vMerge w:val="restart"/>
            <w:tcBorders>
              <w:top w:val="nil"/>
              <w:left w:val="single" w:sz="8" w:space="0" w:color="auto"/>
              <w:bottom w:val="single" w:sz="8" w:space="0" w:color="000000" w:themeColor="text1"/>
              <w:right w:val="single" w:sz="8" w:space="0" w:color="auto"/>
            </w:tcBorders>
            <w:tcMar>
              <w:left w:w="99" w:type="dxa"/>
              <w:right w:w="99" w:type="dxa"/>
            </w:tcMar>
            <w:vAlign w:val="center"/>
          </w:tcPr>
          <w:p w14:paraId="0E40976A" w14:textId="77777777" w:rsidR="004412F1" w:rsidRDefault="005A12A3">
            <w:r>
              <w:rPr>
                <w:sz w:val="18"/>
                <w:lang w:val="es"/>
              </w:rPr>
              <w:t>Otros</w:t>
            </w:r>
          </w:p>
        </w:tc>
        <w:tc>
          <w:tcPr>
            <w:tcW w:w="2490" w:type="dxa"/>
            <w:gridSpan w:val="2"/>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5EFD88A9" w14:textId="77777777" w:rsidR="004412F1" w:rsidRDefault="005A12A3">
            <w:pPr>
              <w:rPr>
                <w:lang w:val="es-PE"/>
              </w:rPr>
            </w:pPr>
            <w:r>
              <w:rPr>
                <w:sz w:val="18"/>
                <w:lang w:val="es"/>
              </w:rPr>
              <w:t>Monitor de Supervisión para la Oficina</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3F709C5A" w14:textId="77777777" w:rsidR="004412F1" w:rsidRDefault="005A12A3">
            <w:pPr>
              <w:tabs>
                <w:tab w:val="left" w:pos="885"/>
              </w:tabs>
            </w:pPr>
            <w:r>
              <w:rPr>
                <w:sz w:val="18"/>
                <w:lang w:val="es"/>
              </w:rPr>
              <w:t>42 “</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5E2B042E" w14:textId="77777777" w:rsidR="004412F1" w:rsidRDefault="005A12A3">
            <w:r>
              <w:rPr>
                <w:sz w:val="18"/>
                <w:lang w:val="es"/>
              </w:rPr>
              <w:t>1</w:t>
            </w:r>
          </w:p>
        </w:tc>
      </w:tr>
      <w:tr w:rsidR="004412F1" w14:paraId="610B1B05" w14:textId="77777777">
        <w:trPr>
          <w:gridAfter w:val="1"/>
          <w:wAfter w:w="212" w:type="dxa"/>
          <w:trHeight w:val="165"/>
        </w:trPr>
        <w:tc>
          <w:tcPr>
            <w:tcW w:w="990" w:type="dxa"/>
            <w:vMerge/>
            <w:tcBorders>
              <w:left w:val="single" w:sz="0" w:space="0" w:color="auto"/>
              <w:right w:val="single" w:sz="0" w:space="0" w:color="auto"/>
            </w:tcBorders>
            <w:vAlign w:val="center"/>
          </w:tcPr>
          <w:p w14:paraId="11BCC90A"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127934BD" w14:textId="77777777" w:rsidR="004412F1" w:rsidRDefault="005A12A3">
            <w:r>
              <w:rPr>
                <w:sz w:val="18"/>
                <w:lang w:val="es"/>
              </w:rPr>
              <w:t>Lámpara de carril</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4EE901AA" w14:textId="77777777" w:rsidR="004412F1" w:rsidRDefault="005A12A3">
            <w:r>
              <w:rPr>
                <w:sz w:val="18"/>
                <w:lang w:val="es"/>
              </w:rPr>
              <w:t>3.2W, Solar battery</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5BF1A9C7" w14:textId="77777777" w:rsidR="004412F1" w:rsidRDefault="005A12A3">
            <w:r>
              <w:rPr>
                <w:sz w:val="18"/>
                <w:lang w:val="es"/>
              </w:rPr>
              <w:t>2</w:t>
            </w:r>
          </w:p>
        </w:tc>
      </w:tr>
      <w:tr w:rsidR="004412F1" w14:paraId="7478936B" w14:textId="77777777">
        <w:trPr>
          <w:gridAfter w:val="1"/>
          <w:wAfter w:w="212" w:type="dxa"/>
          <w:trHeight w:val="165"/>
        </w:trPr>
        <w:tc>
          <w:tcPr>
            <w:tcW w:w="990" w:type="dxa"/>
            <w:vMerge/>
            <w:tcBorders>
              <w:left w:val="single" w:sz="0" w:space="0" w:color="auto"/>
              <w:bottom w:val="single" w:sz="0" w:space="0" w:color="000000" w:themeColor="text1"/>
              <w:right w:val="single" w:sz="0" w:space="0" w:color="auto"/>
            </w:tcBorders>
            <w:vAlign w:val="center"/>
          </w:tcPr>
          <w:p w14:paraId="021885F5" w14:textId="77777777" w:rsidR="004412F1" w:rsidRDefault="004412F1"/>
        </w:tc>
        <w:tc>
          <w:tcPr>
            <w:tcW w:w="2490" w:type="dxa"/>
            <w:gridSpan w:val="2"/>
            <w:tcBorders>
              <w:top w:val="single" w:sz="8" w:space="0" w:color="auto"/>
              <w:left w:val="nil"/>
              <w:bottom w:val="single" w:sz="8" w:space="0" w:color="auto"/>
              <w:right w:val="single" w:sz="8" w:space="0" w:color="auto"/>
            </w:tcBorders>
            <w:tcMar>
              <w:left w:w="99" w:type="dxa"/>
              <w:right w:w="99" w:type="dxa"/>
            </w:tcMar>
            <w:vAlign w:val="center"/>
          </w:tcPr>
          <w:p w14:paraId="01D7B424" w14:textId="77777777" w:rsidR="004412F1" w:rsidRDefault="005A12A3">
            <w:pPr>
              <w:rPr>
                <w:lang w:val="es-PE"/>
              </w:rPr>
            </w:pPr>
            <w:r>
              <w:rPr>
                <w:sz w:val="18"/>
                <w:lang w:val="es"/>
              </w:rPr>
              <w:t>Lámpara de Operación de carril</w:t>
            </w:r>
          </w:p>
        </w:tc>
        <w:tc>
          <w:tcPr>
            <w:tcW w:w="4320" w:type="dxa"/>
            <w:tcBorders>
              <w:top w:val="single" w:sz="8" w:space="0" w:color="auto"/>
              <w:left w:val="nil"/>
              <w:bottom w:val="single" w:sz="8" w:space="0" w:color="auto"/>
              <w:right w:val="single" w:sz="8" w:space="0" w:color="auto"/>
            </w:tcBorders>
            <w:tcMar>
              <w:left w:w="99" w:type="dxa"/>
              <w:right w:w="99" w:type="dxa"/>
            </w:tcMar>
            <w:vAlign w:val="center"/>
          </w:tcPr>
          <w:p w14:paraId="4B267C08" w14:textId="77777777" w:rsidR="004412F1" w:rsidRDefault="005A12A3">
            <w:r>
              <w:rPr>
                <w:sz w:val="18"/>
                <w:lang w:val="es"/>
              </w:rPr>
              <w:t xml:space="preserve">2 </w:t>
            </w:r>
            <w:proofErr w:type="gramStart"/>
            <w:r>
              <w:rPr>
                <w:sz w:val="18"/>
                <w:lang w:val="es"/>
              </w:rPr>
              <w:t>Color</w:t>
            </w:r>
            <w:proofErr w:type="gramEnd"/>
            <w:r>
              <w:rPr>
                <w:sz w:val="18"/>
                <w:lang w:val="es"/>
              </w:rPr>
              <w:t xml:space="preserve"> LED Lamp</w:t>
            </w:r>
          </w:p>
        </w:tc>
        <w:tc>
          <w:tcPr>
            <w:tcW w:w="705" w:type="dxa"/>
            <w:tcBorders>
              <w:top w:val="single" w:sz="8" w:space="0" w:color="auto"/>
              <w:left w:val="single" w:sz="8" w:space="0" w:color="auto"/>
              <w:bottom w:val="single" w:sz="8" w:space="0" w:color="auto"/>
              <w:right w:val="single" w:sz="8" w:space="0" w:color="auto"/>
            </w:tcBorders>
            <w:tcMar>
              <w:left w:w="99" w:type="dxa"/>
              <w:right w:w="99" w:type="dxa"/>
            </w:tcMar>
            <w:vAlign w:val="center"/>
          </w:tcPr>
          <w:p w14:paraId="1E711D2A" w14:textId="77777777" w:rsidR="004412F1" w:rsidRDefault="005A12A3">
            <w:r>
              <w:rPr>
                <w:sz w:val="18"/>
                <w:lang w:val="es"/>
              </w:rPr>
              <w:t>2</w:t>
            </w:r>
          </w:p>
        </w:tc>
      </w:tr>
      <w:tr w:rsidR="004412F1" w14:paraId="5C76B04F" w14:textId="77777777">
        <w:trPr>
          <w:trHeight w:val="300"/>
        </w:trPr>
        <w:tc>
          <w:tcPr>
            <w:tcW w:w="990" w:type="dxa"/>
            <w:tcBorders>
              <w:top w:val="nil"/>
              <w:left w:val="nil"/>
              <w:bottom w:val="nil"/>
              <w:right w:val="nil"/>
            </w:tcBorders>
            <w:vAlign w:val="center"/>
          </w:tcPr>
          <w:p w14:paraId="50BC74CB" w14:textId="77777777" w:rsidR="004412F1" w:rsidRDefault="004412F1"/>
        </w:tc>
        <w:tc>
          <w:tcPr>
            <w:tcW w:w="2475" w:type="dxa"/>
            <w:tcBorders>
              <w:top w:val="single" w:sz="8" w:space="0" w:color="auto"/>
              <w:left w:val="nil"/>
              <w:bottom w:val="nil"/>
              <w:right w:val="nil"/>
            </w:tcBorders>
            <w:vAlign w:val="center"/>
          </w:tcPr>
          <w:p w14:paraId="68D97293" w14:textId="77777777" w:rsidR="004412F1" w:rsidRDefault="004412F1"/>
        </w:tc>
        <w:tc>
          <w:tcPr>
            <w:tcW w:w="15" w:type="dxa"/>
            <w:tcBorders>
              <w:top w:val="nil"/>
              <w:left w:val="nil"/>
              <w:bottom w:val="nil"/>
              <w:right w:val="nil"/>
            </w:tcBorders>
            <w:vAlign w:val="center"/>
          </w:tcPr>
          <w:p w14:paraId="790D61A4" w14:textId="77777777" w:rsidR="004412F1" w:rsidRDefault="004412F1"/>
        </w:tc>
        <w:tc>
          <w:tcPr>
            <w:tcW w:w="4320" w:type="dxa"/>
            <w:tcBorders>
              <w:top w:val="single" w:sz="8" w:space="0" w:color="auto"/>
              <w:left w:val="nil"/>
              <w:bottom w:val="nil"/>
              <w:right w:val="nil"/>
            </w:tcBorders>
            <w:vAlign w:val="center"/>
          </w:tcPr>
          <w:p w14:paraId="1167D488" w14:textId="77777777" w:rsidR="004412F1" w:rsidRDefault="004412F1"/>
        </w:tc>
        <w:tc>
          <w:tcPr>
            <w:tcW w:w="705" w:type="dxa"/>
            <w:gridSpan w:val="2"/>
            <w:tcBorders>
              <w:top w:val="single" w:sz="8" w:space="0" w:color="auto"/>
              <w:left w:val="nil"/>
              <w:bottom w:val="nil"/>
              <w:right w:val="nil"/>
            </w:tcBorders>
            <w:vAlign w:val="center"/>
          </w:tcPr>
          <w:p w14:paraId="575113F0" w14:textId="77777777" w:rsidR="004412F1" w:rsidRDefault="004412F1"/>
        </w:tc>
      </w:tr>
    </w:tbl>
    <w:p w14:paraId="5056A389" w14:textId="77777777" w:rsidR="004412F1" w:rsidRDefault="005A12A3">
      <w:pPr>
        <w:jc w:val="both"/>
      </w:pPr>
      <w:r>
        <w:t xml:space="preserve"> </w:t>
      </w:r>
    </w:p>
    <w:p w14:paraId="26CC9AA2" w14:textId="77777777" w:rsidR="004412F1" w:rsidRDefault="005A12A3">
      <w:pPr>
        <w:jc w:val="both"/>
      </w:pPr>
      <w:r>
        <w:t xml:space="preserve"> </w:t>
      </w:r>
    </w:p>
    <w:p w14:paraId="125506DB" w14:textId="77777777" w:rsidR="004412F1" w:rsidRDefault="005A12A3">
      <w:pPr>
        <w:jc w:val="both"/>
      </w:pPr>
      <w:r>
        <w:t xml:space="preserve"> </w:t>
      </w:r>
    </w:p>
    <w:p w14:paraId="62F4B668" w14:textId="77777777" w:rsidR="004412F1" w:rsidRDefault="005A12A3">
      <w:pPr>
        <w:jc w:val="both"/>
      </w:pPr>
      <w:r>
        <w:t xml:space="preserve"> </w:t>
      </w:r>
    </w:p>
    <w:p w14:paraId="61068C1F" w14:textId="77777777" w:rsidR="004412F1" w:rsidRDefault="005A12A3">
      <w:pPr>
        <w:jc w:val="both"/>
      </w:pPr>
      <w:r>
        <w:t xml:space="preserve"> </w:t>
      </w:r>
    </w:p>
    <w:p w14:paraId="533A6105" w14:textId="77777777" w:rsidR="004412F1" w:rsidRDefault="005A12A3">
      <w:pPr>
        <w:jc w:val="both"/>
      </w:pPr>
      <w:r>
        <w:t xml:space="preserve"> </w:t>
      </w:r>
    </w:p>
    <w:p w14:paraId="01A8DBE8" w14:textId="77777777" w:rsidR="004412F1" w:rsidRDefault="005A12A3">
      <w:pPr>
        <w:jc w:val="both"/>
      </w:pPr>
      <w:r>
        <w:t xml:space="preserve"> </w:t>
      </w:r>
    </w:p>
    <w:p w14:paraId="4608F3A6" w14:textId="77777777" w:rsidR="004412F1" w:rsidRDefault="005A12A3">
      <w:pPr>
        <w:jc w:val="both"/>
      </w:pPr>
      <w:r>
        <w:t xml:space="preserve"> </w:t>
      </w:r>
    </w:p>
    <w:p w14:paraId="60781320" w14:textId="77777777" w:rsidR="004412F1" w:rsidRDefault="005A12A3">
      <w:pPr>
        <w:jc w:val="both"/>
      </w:pPr>
      <w:r>
        <w:t>Sistema de peaje: Nivel Central</w:t>
      </w:r>
    </w:p>
    <w:p w14:paraId="7982A689" w14:textId="77777777" w:rsidR="004412F1" w:rsidRDefault="005A12A3">
      <w:pPr>
        <w:jc w:val="both"/>
      </w:pPr>
      <w:r>
        <w:t xml:space="preserve"> </w:t>
      </w:r>
    </w:p>
    <w:tbl>
      <w:tblPr>
        <w:tblStyle w:val="Tablaconcuadrcula"/>
        <w:tblW w:w="0" w:type="auto"/>
        <w:tblInd w:w="105" w:type="dxa"/>
        <w:tblLayout w:type="fixed"/>
        <w:tblLook w:val="04A0" w:firstRow="1" w:lastRow="0" w:firstColumn="1" w:lastColumn="0" w:noHBand="0" w:noVBand="1"/>
      </w:tblPr>
      <w:tblGrid>
        <w:gridCol w:w="3540"/>
        <w:gridCol w:w="1425"/>
      </w:tblGrid>
      <w:tr w:rsidR="004412F1" w14:paraId="094EB83B"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243BD5E6" w14:textId="77777777" w:rsidR="004412F1" w:rsidRDefault="005A12A3">
            <w:pPr>
              <w:rPr>
                <w:lang w:val="es-PE"/>
              </w:rPr>
            </w:pPr>
            <w:r>
              <w:rPr>
                <w:b/>
                <w:color w:val="000000" w:themeColor="text1"/>
                <w:sz w:val="20"/>
                <w:lang w:val="en-US"/>
              </w:rPr>
              <w:t>Descripción</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2689A369" w14:textId="77777777" w:rsidR="004412F1" w:rsidRDefault="005A12A3">
            <w:pPr>
              <w:jc w:val="both"/>
              <w:rPr>
                <w:b/>
                <w:sz w:val="20"/>
                <w:lang w:val="es-PE"/>
              </w:rPr>
            </w:pPr>
            <w:r>
              <w:rPr>
                <w:b/>
                <w:sz w:val="20"/>
                <w:lang w:val="es-PE"/>
              </w:rPr>
              <w:t>Cantidad</w:t>
            </w:r>
          </w:p>
        </w:tc>
      </w:tr>
      <w:tr w:rsidR="004412F1" w14:paraId="46FD545B"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2BFE750B" w14:textId="77777777" w:rsidR="004412F1" w:rsidRDefault="005A12A3">
            <w:pPr>
              <w:rPr>
                <w:lang w:val="es-PE"/>
              </w:rPr>
            </w:pPr>
            <w:r>
              <w:rPr>
                <w:color w:val="000000" w:themeColor="text1"/>
                <w:sz w:val="20"/>
                <w:lang w:val="en-US"/>
              </w:rPr>
              <w:t xml:space="preserve">Servidor MONITOREO </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5BDCF705" w14:textId="77777777" w:rsidR="004412F1" w:rsidRDefault="005A12A3">
            <w:pPr>
              <w:jc w:val="both"/>
              <w:rPr>
                <w:sz w:val="20"/>
                <w:lang w:val="es-PE"/>
              </w:rPr>
            </w:pPr>
            <w:r>
              <w:rPr>
                <w:sz w:val="20"/>
                <w:lang w:val="es-PE"/>
              </w:rPr>
              <w:t>1</w:t>
            </w:r>
          </w:p>
        </w:tc>
      </w:tr>
      <w:tr w:rsidR="004412F1" w14:paraId="3C89E225"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F9A0338" w14:textId="77777777" w:rsidR="004412F1" w:rsidRDefault="005A12A3">
            <w:pPr>
              <w:rPr>
                <w:lang w:val="es-PE"/>
              </w:rPr>
            </w:pPr>
            <w:r>
              <w:rPr>
                <w:color w:val="000000" w:themeColor="text1"/>
                <w:sz w:val="20"/>
                <w:lang w:val="en-US"/>
              </w:rPr>
              <w:t>Servidor TRANSACCIONES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527A6537" w14:textId="77777777" w:rsidR="004412F1" w:rsidRDefault="005A12A3">
            <w:pPr>
              <w:jc w:val="both"/>
              <w:rPr>
                <w:sz w:val="20"/>
                <w:lang w:val="es-PE"/>
              </w:rPr>
            </w:pPr>
            <w:r>
              <w:rPr>
                <w:sz w:val="20"/>
                <w:lang w:val="es-PE"/>
              </w:rPr>
              <w:t>1</w:t>
            </w:r>
          </w:p>
        </w:tc>
      </w:tr>
      <w:tr w:rsidR="004412F1" w14:paraId="619A1C3C"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10B58641" w14:textId="77777777" w:rsidR="004412F1" w:rsidRDefault="005A12A3">
            <w:pPr>
              <w:rPr>
                <w:lang w:val="es-PE"/>
              </w:rPr>
            </w:pPr>
            <w:r>
              <w:rPr>
                <w:color w:val="000000" w:themeColor="text1"/>
                <w:sz w:val="20"/>
                <w:lang w:val="en-US"/>
              </w:rPr>
              <w:t>Software BASE DE DATOS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1EEC12CE" w14:textId="77777777" w:rsidR="004412F1" w:rsidRDefault="005A12A3">
            <w:pPr>
              <w:jc w:val="both"/>
              <w:rPr>
                <w:sz w:val="20"/>
                <w:lang w:val="es-PE"/>
              </w:rPr>
            </w:pPr>
            <w:r>
              <w:rPr>
                <w:sz w:val="20"/>
                <w:lang w:val="es-PE"/>
              </w:rPr>
              <w:t>1</w:t>
            </w:r>
          </w:p>
        </w:tc>
      </w:tr>
      <w:tr w:rsidR="004412F1" w14:paraId="36F1F8F6"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03A1ADC" w14:textId="77777777" w:rsidR="004412F1" w:rsidRDefault="005A12A3">
            <w:pPr>
              <w:rPr>
                <w:lang w:val="es-PE"/>
              </w:rPr>
            </w:pPr>
            <w:r>
              <w:rPr>
                <w:color w:val="000000" w:themeColor="text1"/>
                <w:sz w:val="20"/>
                <w:lang w:val="en-US"/>
              </w:rPr>
              <w:t>Computadoras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00256DCD" w14:textId="77777777" w:rsidR="004412F1" w:rsidRDefault="005A12A3">
            <w:pPr>
              <w:jc w:val="both"/>
              <w:rPr>
                <w:sz w:val="20"/>
                <w:lang w:val="es-PE"/>
              </w:rPr>
            </w:pPr>
            <w:r>
              <w:rPr>
                <w:sz w:val="20"/>
                <w:lang w:val="es-PE"/>
              </w:rPr>
              <w:t>2</w:t>
            </w:r>
          </w:p>
        </w:tc>
      </w:tr>
      <w:tr w:rsidR="004412F1" w14:paraId="6783F325"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BE8C4A4" w14:textId="77777777" w:rsidR="004412F1" w:rsidRDefault="005A12A3">
            <w:pPr>
              <w:rPr>
                <w:lang w:val="es-PE"/>
              </w:rPr>
            </w:pPr>
            <w:r>
              <w:rPr>
                <w:color w:val="000000" w:themeColor="text1"/>
                <w:sz w:val="20"/>
                <w:lang w:val="en-US"/>
              </w:rPr>
              <w:t xml:space="preserve">Monitores Video </w:t>
            </w:r>
            <w:proofErr w:type="gramStart"/>
            <w:r>
              <w:rPr>
                <w:color w:val="000000" w:themeColor="text1"/>
                <w:sz w:val="20"/>
                <w:lang w:val="en-US"/>
              </w:rPr>
              <w:t>ON LINE</w:t>
            </w:r>
            <w:proofErr w:type="gramEnd"/>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2BCCB68C" w14:textId="77777777" w:rsidR="004412F1" w:rsidRDefault="005A12A3">
            <w:pPr>
              <w:jc w:val="both"/>
              <w:rPr>
                <w:sz w:val="20"/>
                <w:lang w:val="es-PE"/>
              </w:rPr>
            </w:pPr>
            <w:r>
              <w:rPr>
                <w:sz w:val="20"/>
                <w:lang w:val="es-PE"/>
              </w:rPr>
              <w:t>2</w:t>
            </w:r>
          </w:p>
        </w:tc>
      </w:tr>
      <w:tr w:rsidR="004412F1" w14:paraId="72AFB24F"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4C13CDEC" w14:textId="77777777" w:rsidR="004412F1" w:rsidRDefault="005A12A3">
            <w:pPr>
              <w:rPr>
                <w:lang w:val="es-PE"/>
              </w:rPr>
            </w:pPr>
            <w:r>
              <w:rPr>
                <w:color w:val="000000" w:themeColor="text1"/>
                <w:sz w:val="20"/>
                <w:lang w:val="en-US"/>
              </w:rPr>
              <w:t>Software Monitoreo</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2ECFBDC3" w14:textId="77777777" w:rsidR="004412F1" w:rsidRDefault="005A12A3">
            <w:pPr>
              <w:jc w:val="both"/>
              <w:rPr>
                <w:sz w:val="20"/>
                <w:lang w:val="es-PE"/>
              </w:rPr>
            </w:pPr>
            <w:r>
              <w:rPr>
                <w:sz w:val="20"/>
                <w:lang w:val="es-PE"/>
              </w:rPr>
              <w:t>1</w:t>
            </w:r>
          </w:p>
        </w:tc>
      </w:tr>
      <w:tr w:rsidR="004412F1" w14:paraId="1A658C87"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5958840C" w14:textId="77777777" w:rsidR="004412F1" w:rsidRDefault="005A12A3">
            <w:pPr>
              <w:rPr>
                <w:lang w:val="es-PE"/>
              </w:rPr>
            </w:pPr>
            <w:r>
              <w:rPr>
                <w:color w:val="000000" w:themeColor="text1"/>
                <w:sz w:val="20"/>
                <w:lang w:val="en-US"/>
              </w:rPr>
              <w:t>Software BASE DE DATOS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33CEAA3C" w14:textId="77777777" w:rsidR="004412F1" w:rsidRDefault="005A12A3">
            <w:pPr>
              <w:jc w:val="both"/>
              <w:rPr>
                <w:sz w:val="20"/>
                <w:lang w:val="es-PE"/>
              </w:rPr>
            </w:pPr>
            <w:r>
              <w:rPr>
                <w:sz w:val="20"/>
                <w:lang w:val="es-PE"/>
              </w:rPr>
              <w:t>1</w:t>
            </w:r>
          </w:p>
        </w:tc>
      </w:tr>
      <w:tr w:rsidR="004412F1" w14:paraId="3E5EC04D"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44CCCA85" w14:textId="77777777" w:rsidR="004412F1" w:rsidRDefault="005A12A3">
            <w:pPr>
              <w:rPr>
                <w:lang w:val="es-PE"/>
              </w:rPr>
            </w:pPr>
            <w:r>
              <w:rPr>
                <w:color w:val="000000" w:themeColor="text1"/>
                <w:sz w:val="20"/>
                <w:lang w:val="en-US"/>
              </w:rPr>
              <w:t xml:space="preserve">Software </w:t>
            </w:r>
            <w:r>
              <w:rPr>
                <w:color w:val="000000" w:themeColor="text1"/>
                <w:sz w:val="20"/>
                <w:lang w:val="es-PE"/>
              </w:rPr>
              <w:t>Gestión</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7F8221FC" w14:textId="77777777" w:rsidR="004412F1" w:rsidRDefault="005A12A3">
            <w:pPr>
              <w:jc w:val="both"/>
              <w:rPr>
                <w:sz w:val="20"/>
                <w:lang w:val="es-PE"/>
              </w:rPr>
            </w:pPr>
            <w:r>
              <w:rPr>
                <w:sz w:val="20"/>
                <w:lang w:val="es-PE"/>
              </w:rPr>
              <w:t>1</w:t>
            </w:r>
          </w:p>
        </w:tc>
      </w:tr>
      <w:tr w:rsidR="004412F1" w14:paraId="4D598806"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54041846" w14:textId="77777777" w:rsidR="004412F1" w:rsidRDefault="005A12A3">
            <w:pPr>
              <w:rPr>
                <w:lang w:val="es-PE"/>
              </w:rPr>
            </w:pPr>
            <w:r>
              <w:rPr>
                <w:color w:val="000000" w:themeColor="text1"/>
                <w:sz w:val="20"/>
                <w:lang w:val="en-US"/>
              </w:rPr>
              <w:t>Equipamiento para COMUNICAC</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3C240827" w14:textId="77777777" w:rsidR="004412F1" w:rsidRDefault="005A12A3">
            <w:pPr>
              <w:jc w:val="both"/>
              <w:rPr>
                <w:sz w:val="20"/>
                <w:lang w:val="es-PE"/>
              </w:rPr>
            </w:pPr>
            <w:r>
              <w:rPr>
                <w:sz w:val="20"/>
                <w:lang w:val="es-PE"/>
              </w:rPr>
              <w:t>1</w:t>
            </w:r>
          </w:p>
        </w:tc>
      </w:tr>
      <w:tr w:rsidR="004412F1" w14:paraId="49599D0D"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7EC42F6F" w14:textId="77777777" w:rsidR="004412F1" w:rsidRDefault="005A12A3">
            <w:pPr>
              <w:rPr>
                <w:lang w:val="es-PE"/>
              </w:rPr>
            </w:pPr>
            <w:r>
              <w:rPr>
                <w:color w:val="000000" w:themeColor="text1"/>
                <w:sz w:val="20"/>
                <w:lang w:val="en-US"/>
              </w:rPr>
              <w:t xml:space="preserve">Equipamiento </w:t>
            </w:r>
            <w:proofErr w:type="gramStart"/>
            <w:r>
              <w:rPr>
                <w:color w:val="000000" w:themeColor="text1"/>
                <w:sz w:val="20"/>
                <w:lang w:val="en-US"/>
              </w:rPr>
              <w:t>para VIDEO</w:t>
            </w:r>
            <w:proofErr w:type="gramEnd"/>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475CACAF" w14:textId="77777777" w:rsidR="004412F1" w:rsidRDefault="005A12A3">
            <w:pPr>
              <w:jc w:val="both"/>
              <w:rPr>
                <w:sz w:val="20"/>
                <w:lang w:val="es-PE"/>
              </w:rPr>
            </w:pPr>
            <w:r>
              <w:rPr>
                <w:sz w:val="20"/>
                <w:lang w:val="es-PE"/>
              </w:rPr>
              <w:t>1</w:t>
            </w:r>
          </w:p>
        </w:tc>
      </w:tr>
      <w:tr w:rsidR="004412F1" w14:paraId="4196DD93" w14:textId="77777777">
        <w:trPr>
          <w:trHeight w:val="300"/>
        </w:trPr>
        <w:tc>
          <w:tcPr>
            <w:tcW w:w="3540" w:type="dxa"/>
            <w:tcBorders>
              <w:top w:val="single" w:sz="8" w:space="0" w:color="auto"/>
              <w:left w:val="single" w:sz="8" w:space="0" w:color="auto"/>
              <w:bottom w:val="single" w:sz="8" w:space="0" w:color="auto"/>
              <w:right w:val="single" w:sz="8" w:space="0" w:color="auto"/>
            </w:tcBorders>
            <w:tcMar>
              <w:left w:w="108" w:type="dxa"/>
              <w:right w:w="108" w:type="dxa"/>
            </w:tcMar>
          </w:tcPr>
          <w:p w14:paraId="0DEACFA5" w14:textId="77777777" w:rsidR="004412F1" w:rsidRDefault="005A12A3">
            <w:pPr>
              <w:rPr>
                <w:lang w:val="es-PE"/>
              </w:rPr>
            </w:pPr>
            <w:r>
              <w:rPr>
                <w:color w:val="000000" w:themeColor="text1"/>
                <w:sz w:val="20"/>
                <w:lang w:val="en-US"/>
              </w:rPr>
              <w:t>UPS</w:t>
            </w:r>
          </w:p>
        </w:tc>
        <w:tc>
          <w:tcPr>
            <w:tcW w:w="1425" w:type="dxa"/>
            <w:tcBorders>
              <w:top w:val="single" w:sz="8" w:space="0" w:color="auto"/>
              <w:left w:val="single" w:sz="8" w:space="0" w:color="auto"/>
              <w:bottom w:val="single" w:sz="8" w:space="0" w:color="auto"/>
              <w:right w:val="single" w:sz="8" w:space="0" w:color="auto"/>
            </w:tcBorders>
            <w:tcMar>
              <w:left w:w="108" w:type="dxa"/>
              <w:right w:w="108" w:type="dxa"/>
            </w:tcMar>
          </w:tcPr>
          <w:p w14:paraId="042CB134" w14:textId="77777777" w:rsidR="004412F1" w:rsidRDefault="005A12A3">
            <w:pPr>
              <w:jc w:val="both"/>
              <w:rPr>
                <w:sz w:val="20"/>
                <w:lang w:val="es-PE"/>
              </w:rPr>
            </w:pPr>
            <w:r>
              <w:rPr>
                <w:sz w:val="20"/>
                <w:lang w:val="es-PE"/>
              </w:rPr>
              <w:t>1</w:t>
            </w:r>
          </w:p>
        </w:tc>
      </w:tr>
    </w:tbl>
    <w:p w14:paraId="53BF2765" w14:textId="77777777" w:rsidR="004412F1" w:rsidRDefault="004412F1">
      <w:pPr>
        <w:ind w:right="295" w:hanging="1077"/>
        <w:jc w:val="both"/>
        <w:rPr>
          <w:color w:val="000000" w:themeColor="text1"/>
        </w:rPr>
      </w:pPr>
    </w:p>
    <w:p w14:paraId="6757231C" w14:textId="77777777" w:rsidR="004412F1" w:rsidRDefault="005A12A3">
      <w:pPr>
        <w:ind w:right="295"/>
      </w:pPr>
      <w:r>
        <w:rPr>
          <w:noProof/>
          <w:lang w:val="es-PE" w:eastAsia="es-PE"/>
        </w:rPr>
        <w:drawing>
          <wp:inline distT="0" distB="0" distL="0" distR="0" wp14:anchorId="14D55388" wp14:editId="56F245B2">
            <wp:extent cx="4572000" cy="4057650"/>
            <wp:effectExtent l="0" t="0" r="0" b="0"/>
            <wp:docPr id="32291705" name="Picture 3229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1705" name="Picture 3229170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572000" cy="4057650"/>
                    </a:xfrm>
                    <a:prstGeom prst="rect">
                      <a:avLst/>
                    </a:prstGeom>
                  </pic:spPr>
                </pic:pic>
              </a:graphicData>
            </a:graphic>
          </wp:inline>
        </w:drawing>
      </w:r>
    </w:p>
    <w:p w14:paraId="14EAC5B6" w14:textId="77777777" w:rsidR="004412F1" w:rsidRDefault="004412F1">
      <w:pPr>
        <w:ind w:right="295" w:hanging="1077"/>
        <w:jc w:val="both"/>
      </w:pPr>
    </w:p>
    <w:p w14:paraId="0DAF971C" w14:textId="77777777" w:rsidR="004412F1" w:rsidRDefault="005A12A3">
      <w:pPr>
        <w:pStyle w:val="Prrafodelista"/>
        <w:numPr>
          <w:ilvl w:val="0"/>
          <w:numId w:val="182"/>
        </w:numPr>
        <w:ind w:left="426" w:hanging="426"/>
        <w:jc w:val="both"/>
      </w:pPr>
      <w:r>
        <w:t>Sistema de peaje carril</w:t>
      </w:r>
    </w:p>
    <w:p w14:paraId="2444C54C" w14:textId="77777777" w:rsidR="004412F1" w:rsidRDefault="005A12A3">
      <w:pPr>
        <w:jc w:val="both"/>
      </w:pPr>
      <w:r>
        <w:t xml:space="preserve"> </w:t>
      </w:r>
    </w:p>
    <w:p w14:paraId="7D51A9F4" w14:textId="77777777" w:rsidR="004412F1" w:rsidRDefault="005A12A3">
      <w:pPr>
        <w:ind w:firstLine="426"/>
        <w:jc w:val="both"/>
      </w:pPr>
      <w:r>
        <w:t>2.1</w:t>
      </w:r>
      <w:r>
        <w:tab/>
        <w:t>Sistema de peaje la isla</w:t>
      </w:r>
    </w:p>
    <w:p w14:paraId="40F2026E" w14:textId="77777777" w:rsidR="004412F1" w:rsidRDefault="005A12A3">
      <w:pPr>
        <w:ind w:left="993"/>
        <w:jc w:val="both"/>
        <w:rPr>
          <w:lang w:val="es-PE"/>
        </w:rPr>
      </w:pPr>
      <w:r>
        <w:rPr>
          <w:lang w:val="es-PE"/>
        </w:rPr>
        <w:t>La característica esencial de la instalación del carril es para detectar con precisión los elementos siguientes:</w:t>
      </w:r>
    </w:p>
    <w:p w14:paraId="1F541B7E" w14:textId="77777777" w:rsidR="004412F1" w:rsidRDefault="005A12A3">
      <w:pPr>
        <w:ind w:left="1077" w:hanging="1077"/>
        <w:jc w:val="both"/>
        <w:rPr>
          <w:lang w:val="es-PE"/>
        </w:rPr>
      </w:pPr>
      <w:r>
        <w:rPr>
          <w:lang w:val="es-PE"/>
        </w:rPr>
        <w:t xml:space="preserve"> </w:t>
      </w:r>
    </w:p>
    <w:p w14:paraId="78AF68F7" w14:textId="77777777" w:rsidR="004412F1" w:rsidRDefault="005A12A3">
      <w:pPr>
        <w:rPr>
          <w:lang w:val="es-PE"/>
        </w:rPr>
      </w:pPr>
      <w:r>
        <w:rPr>
          <w:color w:val="333333"/>
          <w:u w:val="single"/>
          <w:lang w:val="es"/>
        </w:rPr>
        <w:t>Detección de vehículos</w:t>
      </w:r>
    </w:p>
    <w:p w14:paraId="7C5AD4C5" w14:textId="77777777" w:rsidR="004412F1" w:rsidRDefault="005A12A3">
      <w:pPr>
        <w:rPr>
          <w:lang w:val="es-PE"/>
        </w:rPr>
      </w:pPr>
      <w:r>
        <w:rPr>
          <w:color w:val="333333"/>
          <w:lang w:val="es"/>
        </w:rPr>
        <w:t>El conteo del número de vehículos se hace con la detección de ancho del neumático y el número de ejes (incluyendo eje levantado), diferenciando las ruedas individuales y dobles para identificar a los vehículos livianos y de carga.</w:t>
      </w:r>
    </w:p>
    <w:p w14:paraId="43A19250" w14:textId="77777777" w:rsidR="004412F1" w:rsidRDefault="005A12A3">
      <w:pPr>
        <w:ind w:left="1077" w:hanging="1077"/>
        <w:jc w:val="both"/>
        <w:rPr>
          <w:sz w:val="28"/>
          <w:lang w:val="es"/>
        </w:rPr>
      </w:pPr>
      <w:r>
        <w:rPr>
          <w:sz w:val="28"/>
          <w:szCs w:val="28"/>
          <w:lang w:val="es"/>
        </w:rPr>
        <w:t xml:space="preserve"> </w:t>
      </w:r>
    </w:p>
    <w:p w14:paraId="2876CD92" w14:textId="77777777" w:rsidR="004412F1" w:rsidRDefault="005A12A3">
      <w:pPr>
        <w:rPr>
          <w:lang w:val="es-PE"/>
        </w:rPr>
      </w:pPr>
      <w:r>
        <w:rPr>
          <w:color w:val="333333"/>
          <w:u w:val="single"/>
          <w:lang w:val="es"/>
        </w:rPr>
        <w:t>Las medidas preventivas contra la corrupción</w:t>
      </w:r>
    </w:p>
    <w:p w14:paraId="70B930F4" w14:textId="77777777" w:rsidR="004412F1" w:rsidRDefault="005A12A3">
      <w:pPr>
        <w:rPr>
          <w:lang w:val="es-PE"/>
        </w:rPr>
      </w:pPr>
      <w:r>
        <w:rPr>
          <w:color w:val="333333"/>
          <w:lang w:val="es"/>
        </w:rPr>
        <w:t>El sistema de detección de Número de ejes, etc. deja constancia de la discrepancia del tipo de vehículo y el cambio arbitrario del tipo de vehículo realizado por los trabajadores. (Reporte el número de ejes del vehículo y la imagen del vehículo y la matrícula). Se realizan los siguientes equipos:</w:t>
      </w:r>
    </w:p>
    <w:p w14:paraId="0B97F575" w14:textId="77777777" w:rsidR="004412F1" w:rsidRDefault="005A12A3">
      <w:pPr>
        <w:rPr>
          <w:lang w:val="es-PE"/>
        </w:rPr>
      </w:pPr>
      <w:r>
        <w:rPr>
          <w:color w:val="333333"/>
          <w:lang w:val="es"/>
        </w:rPr>
        <w:t xml:space="preserve"> </w:t>
      </w:r>
    </w:p>
    <w:p w14:paraId="5FB043DF" w14:textId="77777777" w:rsidR="004412F1" w:rsidRDefault="005A12A3">
      <w:pPr>
        <w:rPr>
          <w:lang w:val="es-PE"/>
        </w:rPr>
      </w:pPr>
      <w:r>
        <w:rPr>
          <w:b/>
          <w:color w:val="333333"/>
          <w:lang w:val="es"/>
        </w:rPr>
        <w:t xml:space="preserve">Sensor de Pedal Numérico </w:t>
      </w:r>
      <w:r>
        <w:rPr>
          <w:color w:val="333333"/>
          <w:lang w:val="es"/>
        </w:rPr>
        <w:t>(Numerical Treadle Sensor),</w:t>
      </w:r>
      <w:r>
        <w:rPr>
          <w:b/>
          <w:color w:val="333333"/>
          <w:lang w:val="es"/>
        </w:rPr>
        <w:t xml:space="preserve"> </w:t>
      </w:r>
      <w:r>
        <w:rPr>
          <w:color w:val="333333"/>
          <w:lang w:val="es"/>
        </w:rPr>
        <w:t>clasifica los vehículos mediante la medición de la anchura del neumático y la anchura de pedal.</w:t>
      </w:r>
    </w:p>
    <w:p w14:paraId="0828AEF6" w14:textId="77777777" w:rsidR="004412F1" w:rsidRDefault="005A12A3">
      <w:pPr>
        <w:rPr>
          <w:lang w:val="es-PE"/>
        </w:rPr>
      </w:pPr>
      <w:r>
        <w:rPr>
          <w:color w:val="333333"/>
          <w:lang w:val="es"/>
        </w:rPr>
        <w:t xml:space="preserve"> </w:t>
      </w:r>
    </w:p>
    <w:p w14:paraId="1BCCCAE4" w14:textId="77777777" w:rsidR="004412F1" w:rsidRDefault="005A12A3">
      <w:pPr>
        <w:rPr>
          <w:lang w:val="es-PE"/>
        </w:rPr>
      </w:pPr>
      <w:r>
        <w:rPr>
          <w:b/>
          <w:color w:val="333333"/>
          <w:lang w:val="es"/>
        </w:rPr>
        <w:t xml:space="preserve">Detector óptico del vehículo </w:t>
      </w:r>
      <w:r>
        <w:rPr>
          <w:color w:val="333333"/>
          <w:lang w:val="es"/>
        </w:rPr>
        <w:t>(Optical Vehicle Detector), detecta la conexión del remolque y se crió eje por la interconexión con el sensor del pedal. Las siguientes imágenes muestran los remolques y camiones de carga con el eje planteado que pasan a través de la oficina</w:t>
      </w:r>
    </w:p>
    <w:p w14:paraId="1A905729" w14:textId="77777777" w:rsidR="004412F1" w:rsidRDefault="005A12A3">
      <w:pPr>
        <w:ind w:left="1077" w:hanging="1077"/>
        <w:jc w:val="both"/>
        <w:rPr>
          <w:sz w:val="28"/>
          <w:lang w:val="es"/>
        </w:rPr>
      </w:pPr>
      <w:r>
        <w:rPr>
          <w:sz w:val="28"/>
          <w:szCs w:val="28"/>
          <w:lang w:val="es"/>
        </w:rPr>
        <w:t xml:space="preserve"> </w:t>
      </w:r>
    </w:p>
    <w:p w14:paraId="2E6C7A91" w14:textId="77777777" w:rsidR="004412F1" w:rsidRDefault="005A12A3">
      <w:pPr>
        <w:rPr>
          <w:lang w:val="es-PE"/>
        </w:rPr>
      </w:pPr>
      <w:r>
        <w:rPr>
          <w:b/>
          <w:lang w:val="es"/>
        </w:rPr>
        <w:t>Barreras de control</w:t>
      </w:r>
    </w:p>
    <w:p w14:paraId="12A6C8C5" w14:textId="77777777" w:rsidR="004412F1" w:rsidRDefault="005A12A3">
      <w:pPr>
        <w:rPr>
          <w:lang w:val="es-PE"/>
        </w:rPr>
      </w:pPr>
      <w:r>
        <w:rPr>
          <w:b/>
          <w:bCs/>
          <w:lang w:val="es"/>
        </w:rPr>
        <w:t xml:space="preserve"> </w:t>
      </w:r>
    </w:p>
    <w:p w14:paraId="2370FAF8" w14:textId="77777777" w:rsidR="004412F1" w:rsidRDefault="005A12A3">
      <w:pPr>
        <w:tabs>
          <w:tab w:val="left" w:pos="2798"/>
        </w:tabs>
        <w:rPr>
          <w:lang w:val="es-PE"/>
        </w:rPr>
      </w:pPr>
      <w:r>
        <w:rPr>
          <w:b/>
          <w:lang w:val="es"/>
        </w:rPr>
        <w:t>Semáforos de Carril</w:t>
      </w:r>
    </w:p>
    <w:p w14:paraId="4058C7EC" w14:textId="77777777" w:rsidR="004412F1" w:rsidRDefault="005A12A3">
      <w:pPr>
        <w:tabs>
          <w:tab w:val="left" w:pos="2798"/>
        </w:tabs>
        <w:rPr>
          <w:lang w:val="es-PE"/>
        </w:rPr>
      </w:pPr>
      <w:r>
        <w:rPr>
          <w:b/>
          <w:bCs/>
          <w:lang w:val="es"/>
        </w:rPr>
        <w:t xml:space="preserve"> </w:t>
      </w:r>
    </w:p>
    <w:p w14:paraId="28FA7BAF" w14:textId="77777777" w:rsidR="004412F1" w:rsidRDefault="005A12A3">
      <w:pPr>
        <w:rPr>
          <w:lang w:val="es-PE"/>
        </w:rPr>
      </w:pPr>
      <w:r>
        <w:rPr>
          <w:b/>
          <w:lang w:val="es"/>
        </w:rPr>
        <w:t>Semáforos de Marquesina</w:t>
      </w:r>
    </w:p>
    <w:p w14:paraId="2C679EF9" w14:textId="77777777" w:rsidR="004412F1" w:rsidRDefault="005A12A3">
      <w:pPr>
        <w:rPr>
          <w:lang w:val="es-PE"/>
        </w:rPr>
      </w:pPr>
      <w:r>
        <w:rPr>
          <w:b/>
          <w:bCs/>
          <w:lang w:val="es"/>
        </w:rPr>
        <w:t xml:space="preserve"> </w:t>
      </w:r>
    </w:p>
    <w:p w14:paraId="1E4A8B5A" w14:textId="77777777" w:rsidR="004412F1" w:rsidRDefault="005A12A3">
      <w:pPr>
        <w:spacing w:line="276" w:lineRule="auto"/>
        <w:rPr>
          <w:color w:val="333333"/>
          <w:lang w:val="es"/>
        </w:rPr>
      </w:pPr>
      <w:r>
        <w:rPr>
          <w:b/>
          <w:lang w:val="es"/>
        </w:rPr>
        <w:t xml:space="preserve">CCTV </w:t>
      </w:r>
      <w:r>
        <w:rPr>
          <w:lang w:val="es"/>
        </w:rPr>
        <w:t>(</w:t>
      </w:r>
      <w:r>
        <w:rPr>
          <w:color w:val="333333"/>
          <w:lang w:val="es"/>
        </w:rPr>
        <w:t>circuito cerrado de televisión</w:t>
      </w:r>
      <w:r>
        <w:rPr>
          <w:lang w:val="es"/>
        </w:rPr>
        <w:t xml:space="preserve">), </w:t>
      </w:r>
      <w:r>
        <w:rPr>
          <w:color w:val="333333"/>
          <w:lang w:val="es"/>
        </w:rPr>
        <w:t>donde se pueden ver las matriculas vehiculares de las transacciones realizadas, y estas imágenes son grabados en el DVR en la oficina del peaje.</w:t>
      </w:r>
    </w:p>
    <w:p w14:paraId="2CD0CDD1" w14:textId="77777777" w:rsidR="004412F1" w:rsidRDefault="005A12A3">
      <w:pPr>
        <w:rPr>
          <w:lang w:val="es-PE"/>
        </w:rPr>
      </w:pPr>
      <w:r>
        <w:rPr>
          <w:b/>
          <w:color w:val="333333"/>
          <w:lang w:val="es"/>
        </w:rPr>
        <w:t xml:space="preserve">Lámparas LED de carril </w:t>
      </w:r>
      <w:r>
        <w:rPr>
          <w:color w:val="333333"/>
          <w:lang w:val="es"/>
        </w:rPr>
        <w:t>(LED Line Lamp), colocadas en el carril de cobro, la lámpara cuenta con una fuente de alimentación integrada de celdas solares, para que trabaje automáticamente de sol a sol.</w:t>
      </w:r>
    </w:p>
    <w:p w14:paraId="6174A7C3" w14:textId="77777777" w:rsidR="004412F1" w:rsidRDefault="005A12A3">
      <w:pPr>
        <w:rPr>
          <w:lang w:val="es-PE"/>
        </w:rPr>
      </w:pPr>
      <w:r>
        <w:rPr>
          <w:color w:val="333333"/>
          <w:lang w:val="es"/>
        </w:rPr>
        <w:t xml:space="preserve"> </w:t>
      </w:r>
    </w:p>
    <w:p w14:paraId="5354BFB3" w14:textId="77777777" w:rsidR="004412F1" w:rsidRDefault="005A12A3">
      <w:pPr>
        <w:rPr>
          <w:lang w:val="es-PE"/>
        </w:rPr>
      </w:pPr>
      <w:r>
        <w:rPr>
          <w:b/>
          <w:lang w:val="es"/>
        </w:rPr>
        <w:t xml:space="preserve">Cámaras OCR </w:t>
      </w:r>
      <w:r>
        <w:rPr>
          <w:lang w:val="es"/>
        </w:rPr>
        <w:t>(Optical Character Recognition), cámaras para capturar las matriculas de circulación de los vehículos y digitalizarlas.</w:t>
      </w:r>
    </w:p>
    <w:p w14:paraId="754B2A63" w14:textId="77777777" w:rsidR="004412F1" w:rsidRDefault="005A12A3">
      <w:pPr>
        <w:rPr>
          <w:lang w:val="es-PE"/>
        </w:rPr>
      </w:pPr>
      <w:r>
        <w:rPr>
          <w:b/>
          <w:bCs/>
          <w:color w:val="333333"/>
          <w:lang w:val="es"/>
        </w:rPr>
        <w:t xml:space="preserve"> </w:t>
      </w:r>
    </w:p>
    <w:p w14:paraId="5FA61B8A" w14:textId="77777777" w:rsidR="004412F1" w:rsidRDefault="005A12A3">
      <w:pPr>
        <w:rPr>
          <w:lang w:val="es-PE"/>
        </w:rPr>
      </w:pPr>
      <w:r>
        <w:rPr>
          <w:b/>
          <w:color w:val="333333"/>
          <w:lang w:val="es"/>
        </w:rPr>
        <w:t>Pantalla de</w:t>
      </w:r>
      <w:r>
        <w:rPr>
          <w:b/>
          <w:lang w:val="es"/>
        </w:rPr>
        <w:t xml:space="preserve"> </w:t>
      </w:r>
      <w:r>
        <w:rPr>
          <w:b/>
          <w:color w:val="333333"/>
          <w:lang w:val="es"/>
        </w:rPr>
        <w:t>Información de Peaje</w:t>
      </w:r>
      <w:r>
        <w:rPr>
          <w:color w:val="333333"/>
          <w:lang w:val="es"/>
        </w:rPr>
        <w:t xml:space="preserve"> (TID</w:t>
      </w:r>
      <w:r>
        <w:rPr>
          <w:lang w:val="es"/>
        </w:rPr>
        <w:t xml:space="preserve">), </w:t>
      </w:r>
      <w:r>
        <w:rPr>
          <w:color w:val="333333"/>
          <w:lang w:val="es"/>
        </w:rPr>
        <w:t>pantalla LED para mostrar el número de la placa del vehículo, la cantidad pagada, y otra información para que el conductor pueda ver el estado de la transacción del cobro del peaje.</w:t>
      </w:r>
    </w:p>
    <w:p w14:paraId="027B557A" w14:textId="77777777" w:rsidR="004412F1" w:rsidRDefault="005A12A3">
      <w:pPr>
        <w:rPr>
          <w:lang w:val="es-PE"/>
        </w:rPr>
      </w:pPr>
      <w:r>
        <w:rPr>
          <w:b/>
          <w:bCs/>
          <w:color w:val="333333"/>
          <w:lang w:val="es"/>
        </w:rPr>
        <w:t xml:space="preserve"> </w:t>
      </w:r>
    </w:p>
    <w:p w14:paraId="508AE2B7" w14:textId="77777777" w:rsidR="004412F1" w:rsidRDefault="005A12A3">
      <w:pPr>
        <w:rPr>
          <w:lang w:val="es-PE"/>
        </w:rPr>
      </w:pPr>
      <w:r>
        <w:rPr>
          <w:b/>
          <w:color w:val="333333"/>
          <w:lang w:val="es"/>
        </w:rPr>
        <w:t xml:space="preserve">Lámpara de advertencia </w:t>
      </w:r>
      <w:r>
        <w:rPr>
          <w:color w:val="333333"/>
          <w:lang w:val="es"/>
        </w:rPr>
        <w:t>(WL), se activa la Lámpara giratoria y el zumbador en situaciones anormales al modificar el tipo de vehículo o números de placa, y cambios en la cantidad descontada.</w:t>
      </w:r>
    </w:p>
    <w:p w14:paraId="7B286590" w14:textId="77777777" w:rsidR="004412F1" w:rsidRDefault="005A12A3">
      <w:pPr>
        <w:ind w:left="1077" w:hanging="1077"/>
        <w:jc w:val="both"/>
        <w:rPr>
          <w:sz w:val="28"/>
          <w:lang w:val="es"/>
        </w:rPr>
      </w:pPr>
      <w:r>
        <w:rPr>
          <w:sz w:val="28"/>
          <w:szCs w:val="28"/>
          <w:lang w:val="es"/>
        </w:rPr>
        <w:t xml:space="preserve"> </w:t>
      </w:r>
    </w:p>
    <w:p w14:paraId="57CD4969" w14:textId="77777777" w:rsidR="004412F1" w:rsidRDefault="005A12A3">
      <w:pPr>
        <w:tabs>
          <w:tab w:val="left" w:pos="993"/>
        </w:tabs>
        <w:rPr>
          <w:lang w:val="es-PE"/>
        </w:rPr>
      </w:pPr>
      <w:r>
        <w:rPr>
          <w:b/>
          <w:color w:val="333333"/>
          <w:lang w:val="es"/>
        </w:rPr>
        <w:t>2.2</w:t>
      </w:r>
      <w:r>
        <w:rPr>
          <w:lang w:val="es-PE"/>
        </w:rPr>
        <w:tab/>
      </w:r>
      <w:r>
        <w:rPr>
          <w:b/>
          <w:color w:val="333333"/>
          <w:lang w:val="es"/>
        </w:rPr>
        <w:t>Sistema de Peaje de Cabina</w:t>
      </w:r>
    </w:p>
    <w:p w14:paraId="798623F9" w14:textId="77777777" w:rsidR="004412F1" w:rsidRDefault="005A12A3">
      <w:pPr>
        <w:rPr>
          <w:lang w:val="es-PE"/>
        </w:rPr>
      </w:pPr>
      <w:r>
        <w:rPr>
          <w:b/>
          <w:bCs/>
          <w:color w:val="888888"/>
          <w:lang w:val="es"/>
        </w:rPr>
        <w:t xml:space="preserve"> </w:t>
      </w:r>
    </w:p>
    <w:p w14:paraId="2A1EF7B4" w14:textId="77777777" w:rsidR="004412F1" w:rsidRDefault="005A12A3">
      <w:pPr>
        <w:rPr>
          <w:lang w:val="es-PE"/>
        </w:rPr>
      </w:pPr>
      <w:r>
        <w:rPr>
          <w:color w:val="333333"/>
          <w:lang w:val="es"/>
        </w:rPr>
        <w:t xml:space="preserve">El sistema de peaje de carril controla los periféricos instalados en la isla de cobro, y mantiene la base de datos con la información generada. </w:t>
      </w:r>
    </w:p>
    <w:p w14:paraId="01116BC4" w14:textId="77777777" w:rsidR="004412F1" w:rsidRDefault="005A12A3">
      <w:pPr>
        <w:rPr>
          <w:lang w:val="es-PE"/>
        </w:rPr>
      </w:pPr>
      <w:r>
        <w:rPr>
          <w:color w:val="333333"/>
          <w:lang w:val="es"/>
        </w:rPr>
        <w:t xml:space="preserve"> </w:t>
      </w:r>
    </w:p>
    <w:p w14:paraId="145FFA99" w14:textId="77777777" w:rsidR="004412F1" w:rsidRDefault="005A12A3">
      <w:pPr>
        <w:rPr>
          <w:lang w:val="es-PE"/>
        </w:rPr>
      </w:pPr>
      <w:r>
        <w:rPr>
          <w:b/>
          <w:lang w:val="es"/>
        </w:rPr>
        <w:t xml:space="preserve">Terminal de Peaje </w:t>
      </w:r>
      <w:r>
        <w:rPr>
          <w:lang w:val="es"/>
        </w:rPr>
        <w:t>(PC con Monitor de tacto), para el registro manual de las placas de los vehículos por cada transacción.</w:t>
      </w:r>
    </w:p>
    <w:p w14:paraId="411D827F" w14:textId="77777777" w:rsidR="004412F1" w:rsidRDefault="005A12A3">
      <w:pPr>
        <w:rPr>
          <w:lang w:val="es-PE"/>
        </w:rPr>
      </w:pPr>
      <w:r>
        <w:rPr>
          <w:b/>
          <w:lang w:val="es"/>
        </w:rPr>
        <w:t xml:space="preserve">Impresora de </w:t>
      </w:r>
      <w:proofErr w:type="gramStart"/>
      <w:r>
        <w:rPr>
          <w:b/>
          <w:lang w:val="es"/>
        </w:rPr>
        <w:t>Ticket</w:t>
      </w:r>
      <w:proofErr w:type="gramEnd"/>
      <w:r>
        <w:rPr>
          <w:b/>
          <w:lang w:val="es"/>
        </w:rPr>
        <w:t xml:space="preserve"> </w:t>
      </w:r>
      <w:r>
        <w:rPr>
          <w:lang w:val="es"/>
        </w:rPr>
        <w:t>(Impresora térmica de impresión de ticket) para cada transacción, para el pago con efectivo.</w:t>
      </w:r>
    </w:p>
    <w:p w14:paraId="242408FC" w14:textId="77777777" w:rsidR="004412F1" w:rsidRDefault="005A12A3">
      <w:pPr>
        <w:rPr>
          <w:lang w:val="es-PE"/>
        </w:rPr>
      </w:pPr>
      <w:r>
        <w:rPr>
          <w:b/>
          <w:lang w:val="es"/>
        </w:rPr>
        <w:t>Lectora de Tarjetas Electrónicas</w:t>
      </w:r>
      <w:r>
        <w:rPr>
          <w:lang w:val="es"/>
        </w:rPr>
        <w:t xml:space="preserve"> (e Card)</w:t>
      </w:r>
      <w:r>
        <w:rPr>
          <w:b/>
          <w:lang w:val="es"/>
        </w:rPr>
        <w:t xml:space="preserve"> </w:t>
      </w:r>
      <w:r>
        <w:rPr>
          <w:lang w:val="es"/>
        </w:rPr>
        <w:t>captura la información a la aproximación de la tarjeta al lector.</w:t>
      </w:r>
    </w:p>
    <w:p w14:paraId="1579683E" w14:textId="77777777" w:rsidR="004412F1" w:rsidRDefault="005A12A3">
      <w:pPr>
        <w:rPr>
          <w:lang w:val="es-PE"/>
        </w:rPr>
      </w:pPr>
      <w:r>
        <w:rPr>
          <w:b/>
          <w:lang w:val="es"/>
        </w:rPr>
        <w:t>Lectora de Tag</w:t>
      </w:r>
      <w:r>
        <w:rPr>
          <w:lang w:val="es"/>
        </w:rPr>
        <w:t xml:space="preserve"> (Tag) captura los dispositivos tag.</w:t>
      </w:r>
    </w:p>
    <w:p w14:paraId="6DA0CAF1" w14:textId="77777777" w:rsidR="004412F1" w:rsidRDefault="005A12A3">
      <w:pPr>
        <w:rPr>
          <w:lang w:val="es-PE"/>
        </w:rPr>
      </w:pPr>
      <w:r>
        <w:rPr>
          <w:rFonts w:ascii="Arial Narrow" w:eastAsia="Arial Narrow" w:hAnsi="Arial Narrow" w:cs="Arial Narrow"/>
          <w:b/>
          <w:bCs/>
          <w:color w:val="333333"/>
          <w:lang w:val="es"/>
        </w:rPr>
        <w:t xml:space="preserve"> </w:t>
      </w:r>
    </w:p>
    <w:p w14:paraId="4C967723" w14:textId="77777777" w:rsidR="004412F1" w:rsidRDefault="005A12A3">
      <w:pPr>
        <w:pStyle w:val="Prrafodelista"/>
        <w:numPr>
          <w:ilvl w:val="0"/>
          <w:numId w:val="182"/>
        </w:numPr>
        <w:ind w:left="426" w:hanging="426"/>
        <w:jc w:val="both"/>
        <w:rPr>
          <w:color w:val="333333"/>
          <w:lang w:val="es"/>
        </w:rPr>
      </w:pPr>
      <w:r>
        <w:rPr>
          <w:color w:val="333333"/>
          <w:lang w:val="es"/>
        </w:rPr>
        <w:t>Sistema de Oficina de Peaje</w:t>
      </w:r>
    </w:p>
    <w:p w14:paraId="43654FA8" w14:textId="77777777" w:rsidR="004412F1" w:rsidRDefault="005A12A3">
      <w:pPr>
        <w:rPr>
          <w:lang w:val="es"/>
        </w:rPr>
      </w:pPr>
      <w:r>
        <w:rPr>
          <w:b/>
          <w:lang w:val="es"/>
        </w:rPr>
        <w:t xml:space="preserve">Terminal Administrativo </w:t>
      </w:r>
      <w:r>
        <w:rPr>
          <w:lang w:val="es"/>
        </w:rPr>
        <w:t>(PC con Monitor mínimo 02)</w:t>
      </w:r>
    </w:p>
    <w:p w14:paraId="20ADC6FC" w14:textId="77777777" w:rsidR="004412F1" w:rsidRDefault="005A12A3">
      <w:pPr>
        <w:rPr>
          <w:lang w:val="es-PE"/>
        </w:rPr>
      </w:pPr>
      <w:r>
        <w:rPr>
          <w:b/>
          <w:lang w:val="es"/>
        </w:rPr>
        <w:t>Monitor para video</w:t>
      </w:r>
    </w:p>
    <w:p w14:paraId="45B77B0D" w14:textId="77777777" w:rsidR="004412F1" w:rsidRDefault="005A12A3">
      <w:pPr>
        <w:rPr>
          <w:lang w:val="es-PE"/>
        </w:rPr>
      </w:pPr>
      <w:r>
        <w:rPr>
          <w:b/>
          <w:lang w:val="es"/>
        </w:rPr>
        <w:t>DVR</w:t>
      </w:r>
      <w:r>
        <w:rPr>
          <w:lang w:val="es"/>
        </w:rPr>
        <w:t xml:space="preserve"> (Grabador de Video) circuito cerrado de televisión</w:t>
      </w:r>
    </w:p>
    <w:p w14:paraId="2AF882D5" w14:textId="77777777" w:rsidR="004412F1" w:rsidRDefault="005A12A3">
      <w:pPr>
        <w:rPr>
          <w:lang w:val="es-PE"/>
        </w:rPr>
      </w:pPr>
      <w:r>
        <w:rPr>
          <w:b/>
          <w:lang w:val="es"/>
        </w:rPr>
        <w:t>Servidor</w:t>
      </w:r>
    </w:p>
    <w:p w14:paraId="1ABFE871" w14:textId="77777777" w:rsidR="004412F1" w:rsidRDefault="005A12A3">
      <w:pPr>
        <w:rPr>
          <w:lang w:val="es-PE"/>
        </w:rPr>
      </w:pPr>
      <w:r>
        <w:rPr>
          <w:b/>
          <w:lang w:val="es"/>
        </w:rPr>
        <w:t>UPS</w:t>
      </w:r>
    </w:p>
    <w:p w14:paraId="4F450054" w14:textId="77777777" w:rsidR="004412F1" w:rsidRDefault="005A12A3">
      <w:pPr>
        <w:rPr>
          <w:lang w:val="es-PE"/>
        </w:rPr>
      </w:pPr>
      <w:r>
        <w:rPr>
          <w:b/>
          <w:lang w:val="es"/>
        </w:rPr>
        <w:t>MLBS</w:t>
      </w:r>
      <w:r>
        <w:rPr>
          <w:lang w:val="es"/>
        </w:rPr>
        <w:t xml:space="preserve"> Sistema de Transmisión de movimientos en vivo</w:t>
      </w:r>
    </w:p>
    <w:p w14:paraId="252A8915" w14:textId="77777777" w:rsidR="004412F1" w:rsidRDefault="005A12A3">
      <w:pPr>
        <w:ind w:left="426"/>
        <w:jc w:val="both"/>
        <w:rPr>
          <w:sz w:val="36"/>
        </w:rPr>
      </w:pPr>
      <w:r>
        <w:rPr>
          <w:b/>
        </w:rPr>
        <w:t>DVR</w:t>
      </w:r>
      <w:r>
        <w:t xml:space="preserve"> circuito cerrado de televisión</w:t>
      </w:r>
    </w:p>
    <w:p w14:paraId="6BD9BA0D" w14:textId="77777777" w:rsidR="004412F1" w:rsidRDefault="005A12A3">
      <w:r>
        <w:rPr>
          <w:rFonts w:ascii="Arial Narrow" w:eastAsia="Arial Narrow" w:hAnsi="Arial Narrow" w:cs="Arial Narrow"/>
          <w:b/>
          <w:bCs/>
          <w:color w:val="333333"/>
          <w:lang w:val="es"/>
        </w:rPr>
        <w:t xml:space="preserve"> </w:t>
      </w:r>
    </w:p>
    <w:p w14:paraId="1AC3733F" w14:textId="77777777" w:rsidR="004412F1" w:rsidRDefault="005A12A3">
      <w:pPr>
        <w:pStyle w:val="Prrafodelista"/>
        <w:numPr>
          <w:ilvl w:val="0"/>
          <w:numId w:val="182"/>
        </w:numPr>
        <w:ind w:left="426" w:hanging="426"/>
        <w:jc w:val="both"/>
        <w:rPr>
          <w:color w:val="333333"/>
          <w:lang w:val="es"/>
        </w:rPr>
      </w:pPr>
      <w:r>
        <w:rPr>
          <w:color w:val="333333"/>
          <w:lang w:val="es"/>
        </w:rPr>
        <w:t>Sistema de Sede Central de Peajes</w:t>
      </w:r>
    </w:p>
    <w:p w14:paraId="5728E85D" w14:textId="77777777" w:rsidR="004412F1" w:rsidRDefault="005A12A3">
      <w:pPr>
        <w:rPr>
          <w:lang w:val="es"/>
        </w:rPr>
      </w:pPr>
      <w:r>
        <w:rPr>
          <w:b/>
          <w:lang w:val="es"/>
        </w:rPr>
        <w:t xml:space="preserve">Terminal de Monitoreo </w:t>
      </w:r>
      <w:r>
        <w:rPr>
          <w:lang w:val="es"/>
        </w:rPr>
        <w:t>(PC con Monitor mínimo 02)</w:t>
      </w:r>
    </w:p>
    <w:p w14:paraId="576725A1" w14:textId="77777777" w:rsidR="004412F1" w:rsidRDefault="005A12A3">
      <w:pPr>
        <w:rPr>
          <w:lang w:val="es-PE"/>
        </w:rPr>
      </w:pPr>
      <w:r>
        <w:rPr>
          <w:b/>
          <w:lang w:val="es"/>
        </w:rPr>
        <w:t xml:space="preserve">Monitor para video </w:t>
      </w:r>
      <w:r>
        <w:rPr>
          <w:lang w:val="es"/>
        </w:rPr>
        <w:t xml:space="preserve">(Pantalla plana de 52”) </w:t>
      </w:r>
    </w:p>
    <w:p w14:paraId="2B1B7645" w14:textId="77777777" w:rsidR="004412F1" w:rsidRDefault="005A12A3">
      <w:r>
        <w:rPr>
          <w:b/>
          <w:lang w:val="es"/>
        </w:rPr>
        <w:t>Servidor Central</w:t>
      </w:r>
    </w:p>
    <w:p w14:paraId="5794F44E" w14:textId="77777777" w:rsidR="004412F1" w:rsidRDefault="005A12A3">
      <w:r>
        <w:rPr>
          <w:b/>
          <w:lang w:val="es"/>
        </w:rPr>
        <w:t>UPS</w:t>
      </w:r>
    </w:p>
    <w:p w14:paraId="086D39DE" w14:textId="77777777" w:rsidR="004412F1" w:rsidRDefault="005A12A3">
      <w:r>
        <w:rPr>
          <w:rFonts w:ascii="Arial Narrow" w:eastAsia="Arial Narrow" w:hAnsi="Arial Narrow" w:cs="Arial Narrow"/>
          <w:lang w:val="es"/>
        </w:rPr>
        <w:t xml:space="preserve"> </w:t>
      </w:r>
    </w:p>
    <w:p w14:paraId="6151B1D8" w14:textId="77777777" w:rsidR="004412F1" w:rsidRDefault="005A12A3">
      <w:pPr>
        <w:pStyle w:val="Prrafodelista"/>
        <w:numPr>
          <w:ilvl w:val="0"/>
          <w:numId w:val="182"/>
        </w:numPr>
        <w:ind w:left="426" w:hanging="426"/>
        <w:jc w:val="both"/>
        <w:rPr>
          <w:color w:val="333333"/>
          <w:lang w:val="es"/>
        </w:rPr>
      </w:pPr>
      <w:r>
        <w:rPr>
          <w:color w:val="333333"/>
          <w:lang w:val="es"/>
        </w:rPr>
        <w:t>Configuración del software</w:t>
      </w:r>
    </w:p>
    <w:p w14:paraId="16208E27" w14:textId="77777777" w:rsidR="004412F1" w:rsidRDefault="005A12A3">
      <w:pPr>
        <w:rPr>
          <w:color w:val="333333"/>
          <w:lang w:val="es"/>
        </w:rPr>
      </w:pPr>
      <w:r>
        <w:rPr>
          <w:color w:val="333333"/>
          <w:lang w:val="es"/>
        </w:rPr>
        <w:t xml:space="preserve">El Software estará formado por el Software del Carril de Cobro, Software de Oficina de Peaje y Software del Centro de Gestión, por el cual se </w:t>
      </w:r>
      <w:proofErr w:type="gramStart"/>
      <w:r>
        <w:rPr>
          <w:color w:val="333333"/>
          <w:lang w:val="es"/>
        </w:rPr>
        <w:t>pagaran</w:t>
      </w:r>
      <w:proofErr w:type="gramEnd"/>
      <w:r>
        <w:rPr>
          <w:color w:val="333333"/>
          <w:lang w:val="es"/>
        </w:rPr>
        <w:t xml:space="preserve"> las licencias correspondientes.</w:t>
      </w:r>
    </w:p>
    <w:p w14:paraId="79FA2A1B" w14:textId="77777777" w:rsidR="004412F1" w:rsidRDefault="005A12A3">
      <w:pPr>
        <w:tabs>
          <w:tab w:val="left" w:pos="3750"/>
        </w:tabs>
        <w:rPr>
          <w:lang w:val="es-PE"/>
        </w:rPr>
      </w:pPr>
      <w:r>
        <w:rPr>
          <w:rFonts w:ascii="Arial Narrow" w:eastAsia="Arial Narrow" w:hAnsi="Arial Narrow" w:cs="Arial Narrow"/>
          <w:lang w:val="es"/>
        </w:rPr>
        <w:t xml:space="preserve"> </w:t>
      </w:r>
    </w:p>
    <w:p w14:paraId="0D2E5A01" w14:textId="77777777" w:rsidR="004412F1" w:rsidRDefault="005A12A3">
      <w:pPr>
        <w:pStyle w:val="Prrafodelista"/>
        <w:numPr>
          <w:ilvl w:val="0"/>
          <w:numId w:val="182"/>
        </w:numPr>
        <w:ind w:left="426" w:hanging="426"/>
        <w:jc w:val="both"/>
        <w:rPr>
          <w:color w:val="333333"/>
          <w:lang w:val="es"/>
        </w:rPr>
      </w:pPr>
      <w:r>
        <w:rPr>
          <w:color w:val="333333"/>
          <w:lang w:val="es"/>
        </w:rPr>
        <w:t>Responsabilidades</w:t>
      </w:r>
    </w:p>
    <w:p w14:paraId="463F8625" w14:textId="77777777" w:rsidR="004412F1" w:rsidRDefault="005A12A3">
      <w:pPr>
        <w:pStyle w:val="Prrafodelista"/>
        <w:numPr>
          <w:ilvl w:val="0"/>
          <w:numId w:val="183"/>
        </w:numPr>
        <w:ind w:left="1146" w:hanging="720"/>
        <w:jc w:val="both"/>
        <w:rPr>
          <w:color w:val="333333"/>
          <w:lang w:val="es"/>
        </w:rPr>
      </w:pPr>
      <w:r>
        <w:rPr>
          <w:color w:val="333333"/>
          <w:lang w:val="es"/>
        </w:rPr>
        <w:t>Las Unidades de peaje existentes cuentan con Sistema de Peaje – Detracción y equipamiento, el CONCESIONARIO pagará el licenciamiento y evaluarán la renovación de los equipos.</w:t>
      </w:r>
    </w:p>
    <w:p w14:paraId="0E0A129C" w14:textId="77777777" w:rsidR="004412F1" w:rsidRDefault="005A12A3">
      <w:pPr>
        <w:ind w:left="1077" w:hanging="1077"/>
        <w:jc w:val="both"/>
        <w:rPr>
          <w:color w:val="333333"/>
          <w:lang w:val="es"/>
        </w:rPr>
      </w:pPr>
      <w:r>
        <w:rPr>
          <w:color w:val="333333"/>
          <w:lang w:val="es"/>
        </w:rPr>
        <w:t xml:space="preserve"> </w:t>
      </w:r>
    </w:p>
    <w:p w14:paraId="3378A3FE" w14:textId="77777777" w:rsidR="004412F1" w:rsidRDefault="005A12A3">
      <w:pPr>
        <w:pStyle w:val="Prrafodelista"/>
        <w:numPr>
          <w:ilvl w:val="0"/>
          <w:numId w:val="183"/>
        </w:numPr>
        <w:ind w:left="1146" w:hanging="720"/>
        <w:jc w:val="both"/>
        <w:rPr>
          <w:color w:val="333333"/>
          <w:lang w:val="es"/>
        </w:rPr>
      </w:pPr>
      <w:r>
        <w:rPr>
          <w:color w:val="333333"/>
          <w:lang w:val="es"/>
        </w:rPr>
        <w:t xml:space="preserve">Para las unidades de Peaje proyectadas el CONCESIONARIO pagará el licenciamiento del Software, y considerará los equipos para su funcionamiento, cuya relación y especificaciones técnicas son las contenidas en el presente Apéndice. </w:t>
      </w:r>
    </w:p>
    <w:p w14:paraId="36381F64" w14:textId="77777777" w:rsidR="004412F1" w:rsidRDefault="005A12A3">
      <w:pPr>
        <w:jc w:val="center"/>
        <w:rPr>
          <w:b/>
          <w:bCs/>
          <w:lang w:val="es"/>
        </w:rPr>
      </w:pPr>
      <w:r>
        <w:rPr>
          <w:b/>
          <w:bCs/>
          <w:lang w:val="es"/>
        </w:rPr>
        <w:t xml:space="preserve"> </w:t>
      </w:r>
    </w:p>
    <w:p w14:paraId="22190A2F" w14:textId="77777777" w:rsidR="004412F1" w:rsidRDefault="004412F1">
      <w:pPr>
        <w:jc w:val="center"/>
        <w:rPr>
          <w:b/>
          <w:bCs/>
          <w:lang w:val="es"/>
        </w:rPr>
      </w:pPr>
    </w:p>
    <w:p w14:paraId="35A87229" w14:textId="77777777" w:rsidR="004412F1" w:rsidRDefault="005A12A3">
      <w:pPr>
        <w:ind w:right="295"/>
      </w:pPr>
      <w:r>
        <w:rPr>
          <w:noProof/>
          <w:lang w:val="es-PE" w:eastAsia="es-PE"/>
        </w:rPr>
        <w:drawing>
          <wp:inline distT="0" distB="0" distL="0" distR="0" wp14:anchorId="2768ADD5" wp14:editId="75E19AFE">
            <wp:extent cx="4314825" cy="4572000"/>
            <wp:effectExtent l="0" t="0" r="0" b="0"/>
            <wp:docPr id="1220551956" name="Picture 122055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51956" name="Picture 122055195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314825" cy="4572000"/>
                    </a:xfrm>
                    <a:prstGeom prst="rect">
                      <a:avLst/>
                    </a:prstGeom>
                  </pic:spPr>
                </pic:pic>
              </a:graphicData>
            </a:graphic>
          </wp:inline>
        </w:drawing>
      </w:r>
    </w:p>
    <w:p w14:paraId="1A305481" w14:textId="77777777" w:rsidR="004412F1" w:rsidRDefault="004412F1">
      <w:pPr>
        <w:pStyle w:val="Ttulo"/>
        <w:jc w:val="both"/>
        <w:rPr>
          <w:b w:val="0"/>
        </w:rPr>
      </w:pPr>
    </w:p>
    <w:p w14:paraId="4B26A8E3" w14:textId="77777777" w:rsidR="004412F1" w:rsidRDefault="004412F1">
      <w:pPr>
        <w:jc w:val="center"/>
        <w:rPr>
          <w:b/>
        </w:rPr>
      </w:pPr>
    </w:p>
    <w:p w14:paraId="2529E602" w14:textId="77777777" w:rsidR="004412F1" w:rsidRDefault="005A12A3">
      <w:pPr>
        <w:rPr>
          <w:b/>
        </w:rPr>
      </w:pPr>
      <w:r>
        <w:br w:type="page"/>
      </w:r>
    </w:p>
    <w:p w14:paraId="53699086" w14:textId="77777777" w:rsidR="004412F1" w:rsidRDefault="005A12A3">
      <w:pPr>
        <w:pStyle w:val="Ttulo2"/>
        <w:ind w:left="0"/>
        <w:jc w:val="center"/>
        <w:rPr>
          <w:rFonts w:ascii="Arial" w:hAnsi="Arial"/>
          <w:b/>
          <w:lang w:val="es-PE"/>
        </w:rPr>
      </w:pPr>
      <w:bookmarkStart w:id="2804" w:name="_Toc468837747"/>
      <w:bookmarkStart w:id="2805" w:name="_Toc139294843"/>
      <w:bookmarkStart w:id="2806" w:name="_Toc140089456"/>
      <w:r>
        <w:rPr>
          <w:rFonts w:ascii="Arial" w:hAnsi="Arial"/>
          <w:b/>
          <w:lang w:val="es-PE"/>
        </w:rPr>
        <w:t xml:space="preserve">Apéndice </w:t>
      </w:r>
      <w:bookmarkEnd w:id="2804"/>
      <w:r>
        <w:rPr>
          <w:rFonts w:ascii="Arial" w:eastAsia="Arial" w:hAnsi="Arial" w:cs="Arial"/>
          <w:b/>
          <w:bCs/>
          <w:lang w:val="es-PE"/>
        </w:rPr>
        <w:t>11</w:t>
      </w:r>
      <w:bookmarkEnd w:id="2805"/>
      <w:bookmarkEnd w:id="2806"/>
    </w:p>
    <w:p w14:paraId="13DA4E8E" w14:textId="77777777" w:rsidR="004412F1" w:rsidRDefault="005A12A3" w:rsidP="0059350F">
      <w:pPr>
        <w:ind w:left="567"/>
        <w:jc w:val="center"/>
        <w:outlineLvl w:val="1"/>
        <w:rPr>
          <w:b/>
          <w:lang w:val="es-PE"/>
        </w:rPr>
      </w:pPr>
      <w:bookmarkStart w:id="2807" w:name="_Toc468837748"/>
      <w:bookmarkStart w:id="2808" w:name="_Toc140089457"/>
      <w:r>
        <w:rPr>
          <w:b/>
          <w:lang w:val="es-PE"/>
        </w:rPr>
        <w:t xml:space="preserve">Lista de puentes a ser entregados por el </w:t>
      </w:r>
      <w:bookmarkEnd w:id="2807"/>
      <w:r>
        <w:rPr>
          <w:b/>
          <w:lang w:val="es-PE"/>
        </w:rPr>
        <w:t>CONCEDENTE al CONCESIONARIO</w:t>
      </w:r>
      <w:bookmarkEnd w:id="2808"/>
    </w:p>
    <w:p w14:paraId="39046A50" w14:textId="77777777" w:rsidR="004412F1" w:rsidRDefault="004412F1">
      <w:pPr>
        <w:jc w:val="center"/>
        <w:rPr>
          <w:b/>
          <w:lang w:val="es-PE"/>
        </w:rPr>
      </w:pPr>
    </w:p>
    <w:p w14:paraId="796F58E6" w14:textId="62993E51" w:rsidR="004412F1" w:rsidRDefault="00602B3D" w:rsidP="00602B3D">
      <w:pPr>
        <w:ind w:left="567" w:hanging="567"/>
        <w:jc w:val="both"/>
        <w:rPr>
          <w:lang w:val="es"/>
        </w:rPr>
      </w:pPr>
      <w:r>
        <w:rPr>
          <w:lang w:val="es"/>
        </w:rPr>
        <w:t xml:space="preserve">a)   </w:t>
      </w:r>
      <w:r w:rsidR="005A12A3">
        <w:rPr>
          <w:lang w:val="es"/>
        </w:rPr>
        <w:t xml:space="preserve">El CONCESIONARIO recibirá los 12 puentes que serán remplazados por el CONCEDENTE en el </w:t>
      </w:r>
      <w:proofErr w:type="gramStart"/>
      <w:r w:rsidR="005A12A3">
        <w:rPr>
          <w:lang w:val="es"/>
        </w:rPr>
        <w:t>Sub Tramo</w:t>
      </w:r>
      <w:proofErr w:type="gramEnd"/>
      <w:r w:rsidR="005A12A3">
        <w:rPr>
          <w:lang w:val="es"/>
        </w:rPr>
        <w:t xml:space="preserve"> San Clemente – Ayacucho.</w:t>
      </w:r>
    </w:p>
    <w:p w14:paraId="3FB26797" w14:textId="77777777" w:rsidR="004412F1" w:rsidRDefault="005A12A3">
      <w:pPr>
        <w:jc w:val="both"/>
        <w:rPr>
          <w:lang w:val="es"/>
        </w:rPr>
      </w:pPr>
      <w:r>
        <w:rPr>
          <w:lang w:val="es"/>
        </w:rPr>
        <w:t xml:space="preserve"> </w:t>
      </w:r>
    </w:p>
    <w:p w14:paraId="3A3CE565" w14:textId="77777777" w:rsidR="004412F1" w:rsidRDefault="005A12A3">
      <w:pPr>
        <w:ind w:left="567" w:hanging="567"/>
        <w:jc w:val="both"/>
        <w:rPr>
          <w:rFonts w:eastAsia="Times New Roman"/>
          <w:bCs/>
          <w:szCs w:val="18"/>
          <w:lang w:val="es" w:eastAsia="es-ES"/>
        </w:rPr>
      </w:pPr>
      <w:r>
        <w:rPr>
          <w:lang w:val="es"/>
        </w:rPr>
        <w:t>b)</w:t>
      </w:r>
      <w:r>
        <w:rPr>
          <w:lang w:val="es-PE"/>
        </w:rPr>
        <w:tab/>
      </w:r>
      <w:r>
        <w:rPr>
          <w:lang w:val="es"/>
        </w:rPr>
        <w:t xml:space="preserve">Los puentes considerados </w:t>
      </w:r>
      <w:proofErr w:type="gramStart"/>
      <w:r>
        <w:rPr>
          <w:lang w:val="es"/>
        </w:rPr>
        <w:t>de acuerdo al</w:t>
      </w:r>
      <w:proofErr w:type="gramEnd"/>
      <w:r>
        <w:rPr>
          <w:lang w:val="es"/>
        </w:rPr>
        <w:t xml:space="preserve"> Numeral 1.5 del Anexo 9 de las Bases son los siguientes:</w:t>
      </w:r>
    </w:p>
    <w:p w14:paraId="4D392FDA" w14:textId="77777777" w:rsidR="004412F1" w:rsidRDefault="005A12A3">
      <w:pPr>
        <w:ind w:left="851" w:hanging="284"/>
        <w:jc w:val="both"/>
        <w:rPr>
          <w:lang w:val="es"/>
        </w:rPr>
      </w:pPr>
      <w:r>
        <w:rPr>
          <w:lang w:val="es"/>
        </w:rPr>
        <w:t>•</w:t>
      </w:r>
      <w:r>
        <w:rPr>
          <w:lang w:val="es-PE"/>
        </w:rPr>
        <w:tab/>
      </w:r>
      <w:r>
        <w:rPr>
          <w:lang w:val="es"/>
        </w:rPr>
        <w:t>Puente Huancano (31 m)</w:t>
      </w:r>
    </w:p>
    <w:p w14:paraId="25EDA812" w14:textId="77777777" w:rsidR="004412F1" w:rsidRDefault="005A12A3">
      <w:pPr>
        <w:ind w:left="851" w:hanging="284"/>
        <w:jc w:val="both"/>
        <w:rPr>
          <w:lang w:val="es"/>
        </w:rPr>
      </w:pPr>
      <w:r>
        <w:rPr>
          <w:lang w:val="es"/>
        </w:rPr>
        <w:t>•</w:t>
      </w:r>
      <w:r>
        <w:rPr>
          <w:lang w:val="es-PE"/>
        </w:rPr>
        <w:tab/>
      </w:r>
      <w:r>
        <w:rPr>
          <w:lang w:val="es"/>
        </w:rPr>
        <w:t>Puente Rumicahaca I (60 m)</w:t>
      </w:r>
    </w:p>
    <w:p w14:paraId="29558744" w14:textId="77777777" w:rsidR="004412F1" w:rsidRDefault="005A12A3">
      <w:pPr>
        <w:ind w:left="851" w:hanging="284"/>
        <w:jc w:val="both"/>
        <w:rPr>
          <w:lang w:val="es"/>
        </w:rPr>
      </w:pPr>
      <w:r>
        <w:rPr>
          <w:lang w:val="es"/>
        </w:rPr>
        <w:t>•</w:t>
      </w:r>
      <w:r>
        <w:rPr>
          <w:lang w:val="es-PE"/>
        </w:rPr>
        <w:tab/>
      </w:r>
      <w:r>
        <w:rPr>
          <w:lang w:val="es"/>
        </w:rPr>
        <w:t>Puente Niñacha (15 m)</w:t>
      </w:r>
    </w:p>
    <w:p w14:paraId="5133158B" w14:textId="77777777" w:rsidR="004412F1" w:rsidRDefault="005A12A3">
      <w:pPr>
        <w:ind w:left="851" w:hanging="284"/>
        <w:jc w:val="both"/>
        <w:rPr>
          <w:lang w:val="es"/>
        </w:rPr>
      </w:pPr>
      <w:r>
        <w:rPr>
          <w:lang w:val="es"/>
        </w:rPr>
        <w:t>•</w:t>
      </w:r>
      <w:r>
        <w:rPr>
          <w:lang w:val="es-PE"/>
        </w:rPr>
        <w:tab/>
      </w:r>
      <w:r>
        <w:rPr>
          <w:lang w:val="es"/>
        </w:rPr>
        <w:t>Puente Supaymayo (15 m)</w:t>
      </w:r>
    </w:p>
    <w:p w14:paraId="2FCE472B" w14:textId="77777777" w:rsidR="004412F1" w:rsidRDefault="005A12A3">
      <w:pPr>
        <w:ind w:left="851" w:hanging="284"/>
        <w:jc w:val="both"/>
        <w:rPr>
          <w:lang w:val="es"/>
        </w:rPr>
      </w:pPr>
      <w:r>
        <w:rPr>
          <w:lang w:val="es"/>
        </w:rPr>
        <w:t>•</w:t>
      </w:r>
      <w:r>
        <w:rPr>
          <w:lang w:val="es-PE"/>
        </w:rPr>
        <w:tab/>
      </w:r>
      <w:r>
        <w:rPr>
          <w:lang w:val="es"/>
        </w:rPr>
        <w:t>Puente Suchuna (15 m)</w:t>
      </w:r>
    </w:p>
    <w:p w14:paraId="178D1603" w14:textId="77777777" w:rsidR="004412F1" w:rsidRDefault="005A12A3">
      <w:pPr>
        <w:ind w:left="851" w:hanging="284"/>
        <w:jc w:val="both"/>
        <w:rPr>
          <w:lang w:val="es"/>
        </w:rPr>
      </w:pPr>
      <w:r>
        <w:rPr>
          <w:lang w:val="es"/>
        </w:rPr>
        <w:t>•</w:t>
      </w:r>
      <w:r>
        <w:rPr>
          <w:lang w:val="es-PE"/>
        </w:rPr>
        <w:tab/>
      </w:r>
      <w:r>
        <w:rPr>
          <w:lang w:val="es"/>
        </w:rPr>
        <w:t>Puente Niñobamba (15 m)</w:t>
      </w:r>
    </w:p>
    <w:p w14:paraId="1A923F51" w14:textId="77777777" w:rsidR="004412F1" w:rsidRDefault="005A12A3">
      <w:pPr>
        <w:ind w:left="851" w:hanging="284"/>
        <w:jc w:val="both"/>
        <w:rPr>
          <w:lang w:val="es"/>
        </w:rPr>
      </w:pPr>
      <w:r>
        <w:rPr>
          <w:lang w:val="es"/>
        </w:rPr>
        <w:t>•</w:t>
      </w:r>
      <w:r>
        <w:rPr>
          <w:lang w:val="es-PE"/>
        </w:rPr>
        <w:tab/>
      </w:r>
      <w:r>
        <w:rPr>
          <w:lang w:val="es"/>
        </w:rPr>
        <w:t>Puente Rumichaca II (21 m)</w:t>
      </w:r>
    </w:p>
    <w:p w14:paraId="7793D22D" w14:textId="77777777" w:rsidR="004412F1" w:rsidRDefault="005A12A3">
      <w:pPr>
        <w:ind w:left="851" w:hanging="284"/>
        <w:jc w:val="both"/>
        <w:rPr>
          <w:lang w:val="es"/>
        </w:rPr>
      </w:pPr>
      <w:r>
        <w:rPr>
          <w:lang w:val="es"/>
        </w:rPr>
        <w:t>•</w:t>
      </w:r>
      <w:r>
        <w:rPr>
          <w:lang w:val="es-PE"/>
        </w:rPr>
        <w:tab/>
      </w:r>
      <w:r>
        <w:rPr>
          <w:lang w:val="es"/>
        </w:rPr>
        <w:t>Puente S-N/Km. 266+284 (15 m)</w:t>
      </w:r>
    </w:p>
    <w:p w14:paraId="7CF2FAAF" w14:textId="77777777" w:rsidR="004412F1" w:rsidRDefault="005A12A3">
      <w:pPr>
        <w:ind w:left="851" w:hanging="284"/>
        <w:jc w:val="both"/>
        <w:rPr>
          <w:lang w:val="es"/>
        </w:rPr>
      </w:pPr>
      <w:r>
        <w:rPr>
          <w:lang w:val="es"/>
        </w:rPr>
        <w:t>•</w:t>
      </w:r>
      <w:r>
        <w:rPr>
          <w:lang w:val="es-PE"/>
        </w:rPr>
        <w:tab/>
      </w:r>
      <w:r>
        <w:rPr>
          <w:lang w:val="es"/>
        </w:rPr>
        <w:t>Puente Ccatumpampa (21 m)</w:t>
      </w:r>
    </w:p>
    <w:p w14:paraId="108812F9" w14:textId="77777777" w:rsidR="004412F1" w:rsidRDefault="005A12A3">
      <w:pPr>
        <w:ind w:left="851" w:hanging="284"/>
        <w:jc w:val="both"/>
        <w:rPr>
          <w:lang w:val="es"/>
        </w:rPr>
      </w:pPr>
      <w:r>
        <w:rPr>
          <w:lang w:val="es"/>
        </w:rPr>
        <w:t>•</w:t>
      </w:r>
      <w:r>
        <w:rPr>
          <w:lang w:val="es-PE"/>
        </w:rPr>
        <w:tab/>
      </w:r>
      <w:r>
        <w:rPr>
          <w:lang w:val="es"/>
        </w:rPr>
        <w:t>Puente Angasmayo (31 m)</w:t>
      </w:r>
    </w:p>
    <w:p w14:paraId="4F4C96A0" w14:textId="77777777" w:rsidR="004412F1" w:rsidRDefault="005A12A3">
      <w:pPr>
        <w:ind w:left="851" w:hanging="284"/>
        <w:jc w:val="both"/>
        <w:rPr>
          <w:lang w:val="es"/>
        </w:rPr>
      </w:pPr>
      <w:r>
        <w:rPr>
          <w:lang w:val="es"/>
        </w:rPr>
        <w:t>•</w:t>
      </w:r>
      <w:r>
        <w:rPr>
          <w:lang w:val="es-PE"/>
        </w:rPr>
        <w:tab/>
      </w:r>
      <w:r>
        <w:rPr>
          <w:lang w:val="es"/>
        </w:rPr>
        <w:t>Puente Casacancha (31 m)</w:t>
      </w:r>
    </w:p>
    <w:p w14:paraId="483B4C7E" w14:textId="77777777" w:rsidR="004412F1" w:rsidRDefault="005A12A3">
      <w:pPr>
        <w:ind w:left="851" w:hanging="284"/>
        <w:jc w:val="both"/>
        <w:rPr>
          <w:lang w:val="es"/>
        </w:rPr>
      </w:pPr>
      <w:r>
        <w:rPr>
          <w:lang w:val="es"/>
        </w:rPr>
        <w:t>•</w:t>
      </w:r>
      <w:r>
        <w:rPr>
          <w:lang w:val="es-PE"/>
        </w:rPr>
        <w:tab/>
      </w:r>
      <w:r>
        <w:rPr>
          <w:lang w:val="es"/>
        </w:rPr>
        <w:t>Puente S-N/Km. 327+733 (15 m)</w:t>
      </w:r>
    </w:p>
    <w:p w14:paraId="25F26BD8" w14:textId="77777777" w:rsidR="004412F1" w:rsidRDefault="005A12A3">
      <w:pPr>
        <w:jc w:val="both"/>
        <w:rPr>
          <w:lang w:val="es"/>
        </w:rPr>
      </w:pPr>
      <w:r>
        <w:rPr>
          <w:lang w:val="es"/>
        </w:rPr>
        <w:t xml:space="preserve"> </w:t>
      </w:r>
    </w:p>
    <w:p w14:paraId="602010CA" w14:textId="77777777" w:rsidR="004412F1" w:rsidRDefault="005A12A3">
      <w:pPr>
        <w:ind w:left="567" w:hanging="567"/>
        <w:jc w:val="both"/>
        <w:rPr>
          <w:rFonts w:eastAsia="Times New Roman"/>
          <w:bCs/>
          <w:szCs w:val="18"/>
          <w:lang w:val="es" w:eastAsia="es-ES"/>
        </w:rPr>
      </w:pPr>
      <w:r>
        <w:rPr>
          <w:lang w:val="es"/>
        </w:rPr>
        <w:t>c)</w:t>
      </w:r>
      <w:r>
        <w:rPr>
          <w:lang w:val="es-PE"/>
        </w:rPr>
        <w:tab/>
      </w:r>
      <w:r>
        <w:rPr>
          <w:lang w:val="es"/>
        </w:rPr>
        <w:t xml:space="preserve">Para la recepción por el CONCESIONARIO, los puentes indicados en el literal anterior, estos deberán cumplir como mínimo con los Niveles de Servicio considerados para la recepción de puentes en donde no se </w:t>
      </w:r>
      <w:proofErr w:type="gramStart"/>
      <w:r>
        <w:rPr>
          <w:lang w:val="es"/>
        </w:rPr>
        <w:t>ejecutaran</w:t>
      </w:r>
      <w:proofErr w:type="gramEnd"/>
      <w:r>
        <w:rPr>
          <w:lang w:val="es"/>
        </w:rPr>
        <w:t xml:space="preserve"> intervenciones de Rehabilitación y Mejoramiento ni Mantenimiento Periódico Inicial.</w:t>
      </w:r>
    </w:p>
    <w:p w14:paraId="4930EE9F" w14:textId="77777777" w:rsidR="004412F1" w:rsidRDefault="005A12A3">
      <w:pPr>
        <w:jc w:val="both"/>
        <w:rPr>
          <w:lang w:val="es"/>
        </w:rPr>
      </w:pPr>
      <w:r>
        <w:rPr>
          <w:lang w:val="es"/>
        </w:rPr>
        <w:t xml:space="preserve"> </w:t>
      </w:r>
    </w:p>
    <w:p w14:paraId="753F3069" w14:textId="77777777" w:rsidR="004412F1" w:rsidRDefault="005A12A3">
      <w:pPr>
        <w:ind w:left="567" w:hanging="567"/>
        <w:jc w:val="both"/>
        <w:rPr>
          <w:rFonts w:eastAsia="Times New Roman"/>
          <w:bCs/>
          <w:szCs w:val="18"/>
          <w:lang w:val="es" w:eastAsia="es-ES"/>
        </w:rPr>
      </w:pPr>
      <w:r>
        <w:rPr>
          <w:lang w:val="es"/>
        </w:rPr>
        <w:t>d)</w:t>
      </w:r>
      <w:r>
        <w:rPr>
          <w:lang w:val="es-PE"/>
        </w:rPr>
        <w:tab/>
      </w:r>
      <w:r>
        <w:rPr>
          <w:lang w:val="es"/>
        </w:rPr>
        <w:t xml:space="preserve">La no recepción de los puentes que no cumplan con los Niveles de Servicio no impedirá el cobro en las unidades de peaje ubicadas en el </w:t>
      </w:r>
      <w:proofErr w:type="gramStart"/>
      <w:r>
        <w:rPr>
          <w:lang w:val="es"/>
        </w:rPr>
        <w:t>sub tramo</w:t>
      </w:r>
      <w:proofErr w:type="gramEnd"/>
      <w:r>
        <w:rPr>
          <w:lang w:val="es"/>
        </w:rPr>
        <w:t xml:space="preserve"> ya que afectaría el cofinanciamiento, asimismo, no será motivo para que el Concesionario no recepcione los demás puentes. </w:t>
      </w:r>
    </w:p>
    <w:p w14:paraId="14312681" w14:textId="77777777" w:rsidR="004412F1" w:rsidRDefault="005A12A3">
      <w:pPr>
        <w:jc w:val="both"/>
        <w:rPr>
          <w:lang w:val="es"/>
        </w:rPr>
      </w:pPr>
      <w:r>
        <w:rPr>
          <w:lang w:val="es"/>
        </w:rPr>
        <w:t xml:space="preserve"> </w:t>
      </w:r>
    </w:p>
    <w:p w14:paraId="3C9EEE2B" w14:textId="77777777" w:rsidR="004412F1" w:rsidRDefault="005A12A3">
      <w:pPr>
        <w:ind w:left="567" w:hanging="567"/>
        <w:jc w:val="both"/>
        <w:rPr>
          <w:rFonts w:eastAsia="Times New Roman"/>
          <w:bCs/>
          <w:szCs w:val="18"/>
          <w:lang w:val="es" w:eastAsia="es-ES"/>
        </w:rPr>
      </w:pPr>
      <w:r>
        <w:rPr>
          <w:lang w:val="es"/>
        </w:rPr>
        <w:t>e)</w:t>
      </w:r>
      <w:r>
        <w:rPr>
          <w:lang w:val="es-PE"/>
        </w:rPr>
        <w:tab/>
      </w:r>
      <w:r>
        <w:rPr>
          <w:lang w:val="es"/>
        </w:rPr>
        <w:t>En caso se generen discrepancias sobre los Niveles de Servicio, cualquiera de las Partes podrá solicitar que la controversia sea dirimida por un peritaje técnico a cargo de un ingeniero civil elegido de común acuerdo entre el CONCEDENTE y el CONCESIONARIO.</w:t>
      </w:r>
    </w:p>
    <w:p w14:paraId="3823B027" w14:textId="77777777" w:rsidR="004412F1" w:rsidRDefault="005A12A3">
      <w:pPr>
        <w:jc w:val="both"/>
        <w:rPr>
          <w:lang w:val="es"/>
        </w:rPr>
      </w:pPr>
      <w:r>
        <w:rPr>
          <w:lang w:val="es"/>
        </w:rPr>
        <w:t xml:space="preserve"> </w:t>
      </w:r>
    </w:p>
    <w:p w14:paraId="4C299B6A" w14:textId="77777777" w:rsidR="004412F1" w:rsidRDefault="005A12A3">
      <w:pPr>
        <w:ind w:left="567" w:hanging="567"/>
        <w:jc w:val="both"/>
        <w:rPr>
          <w:rFonts w:eastAsia="Times New Roman"/>
          <w:bCs/>
          <w:szCs w:val="18"/>
          <w:lang w:val="es" w:eastAsia="es-ES"/>
        </w:rPr>
      </w:pPr>
      <w:r>
        <w:rPr>
          <w:lang w:val="es"/>
        </w:rPr>
        <w:t>f)</w:t>
      </w:r>
      <w:r>
        <w:rPr>
          <w:lang w:val="es-PE"/>
        </w:rPr>
        <w:tab/>
      </w:r>
      <w:proofErr w:type="gramStart"/>
      <w:r>
        <w:rPr>
          <w:lang w:val="es"/>
        </w:rPr>
        <w:t>En caso que</w:t>
      </w:r>
      <w:proofErr w:type="gramEnd"/>
      <w:r>
        <w:rPr>
          <w:lang w:val="es"/>
        </w:rPr>
        <w:t xml:space="preserve"> luego de transcurridos cinco (5) Días desde la fecha de emplazamiento, las Partes no hubieran designado al perito común, cualquiera de ellas podrá solicitar al Colegio de Ingenieros del Perú la designación del perito. En ningún caso, el perito deberá haber tenido vinculación alguna de manera directa o indirecta con ninguna de las Partes en los últimos cinco (5) años.</w:t>
      </w:r>
    </w:p>
    <w:p w14:paraId="733C03C7" w14:textId="77777777" w:rsidR="004412F1" w:rsidRDefault="005A12A3">
      <w:pPr>
        <w:jc w:val="both"/>
        <w:rPr>
          <w:lang w:val="es"/>
        </w:rPr>
      </w:pPr>
      <w:r>
        <w:rPr>
          <w:lang w:val="es"/>
        </w:rPr>
        <w:t xml:space="preserve"> </w:t>
      </w:r>
    </w:p>
    <w:p w14:paraId="6069D410" w14:textId="77777777" w:rsidR="004412F1" w:rsidRDefault="005A12A3">
      <w:pPr>
        <w:ind w:left="567" w:hanging="567"/>
        <w:jc w:val="both"/>
        <w:rPr>
          <w:rFonts w:eastAsia="Times New Roman"/>
          <w:bCs/>
          <w:szCs w:val="18"/>
          <w:lang w:val="es" w:eastAsia="es-ES"/>
        </w:rPr>
      </w:pPr>
      <w:r>
        <w:rPr>
          <w:lang w:val="es"/>
        </w:rPr>
        <w:t>g)</w:t>
      </w:r>
      <w:r>
        <w:rPr>
          <w:lang w:val="es-PE"/>
        </w:rPr>
        <w:tab/>
      </w:r>
      <w:r>
        <w:rPr>
          <w:lang w:val="es"/>
        </w:rPr>
        <w:t>El pronunciamiento del perito deberá ser emitido en un plazo no mayor de treinta (30) Días contados a partir de que las Partes hayan sustentado su posición dentro del plazo otorgado por el perito y tendrá carácter definitivo no pudiendo ser impugnado. Los costos del peritaje serán sufragados por la Parte que no resultó favorecida con el pronunciamiento del perito.</w:t>
      </w:r>
    </w:p>
    <w:p w14:paraId="56F963DF" w14:textId="77777777" w:rsidR="004412F1" w:rsidRDefault="004412F1">
      <w:pPr>
        <w:jc w:val="center"/>
        <w:rPr>
          <w:b/>
          <w:lang w:val="es-PE"/>
        </w:rPr>
      </w:pPr>
    </w:p>
    <w:p w14:paraId="387937BB" w14:textId="77777777" w:rsidR="004412F1" w:rsidRDefault="004412F1">
      <w:pPr>
        <w:jc w:val="center"/>
        <w:rPr>
          <w:b/>
          <w:lang w:val="es-PE"/>
        </w:rPr>
      </w:pPr>
    </w:p>
    <w:p w14:paraId="1D5BD2FC" w14:textId="77777777" w:rsidR="004412F1" w:rsidRDefault="005A12A3">
      <w:pPr>
        <w:rPr>
          <w:rFonts w:eastAsia="SimSun"/>
          <w:lang w:val="es-PE" w:eastAsia="zh-CN"/>
        </w:rPr>
      </w:pPr>
      <w:r>
        <w:rPr>
          <w:lang w:val="es-PE"/>
        </w:rPr>
        <w:br w:type="page"/>
      </w:r>
    </w:p>
    <w:p w14:paraId="66B9BD0D" w14:textId="77777777" w:rsidR="004412F1" w:rsidRDefault="005A12A3">
      <w:pPr>
        <w:pStyle w:val="Ttulo2"/>
        <w:ind w:left="0"/>
        <w:jc w:val="center"/>
        <w:rPr>
          <w:rFonts w:ascii="Arial" w:eastAsia="SimSun" w:hAnsi="Arial" w:cs="Arial"/>
          <w:b/>
          <w:lang w:val="es-PE" w:eastAsia="zh-CN"/>
        </w:rPr>
      </w:pPr>
      <w:bookmarkStart w:id="2809" w:name="_Toc140089458"/>
      <w:r>
        <w:rPr>
          <w:rFonts w:ascii="Arial" w:eastAsia="Arial" w:hAnsi="Arial" w:cs="Arial"/>
          <w:b/>
          <w:lang w:val="es-PE"/>
        </w:rPr>
        <w:t>Apéndice 12</w:t>
      </w:r>
      <w:bookmarkEnd w:id="2809"/>
    </w:p>
    <w:p w14:paraId="7E967BB4" w14:textId="77777777" w:rsidR="004412F1" w:rsidRDefault="004412F1">
      <w:pPr>
        <w:tabs>
          <w:tab w:val="left" w:pos="1418"/>
        </w:tabs>
        <w:ind w:left="1418" w:hanging="1418"/>
        <w:jc w:val="both"/>
        <w:rPr>
          <w:rFonts w:eastAsia="SimSun"/>
          <w:lang w:val="es-PE" w:eastAsia="zh-CN"/>
        </w:rPr>
      </w:pPr>
    </w:p>
    <w:p w14:paraId="6E149C61" w14:textId="77777777" w:rsidR="004412F1" w:rsidRPr="00602B3D" w:rsidRDefault="005A12A3" w:rsidP="00602B3D">
      <w:pPr>
        <w:ind w:left="567"/>
        <w:jc w:val="center"/>
        <w:outlineLvl w:val="1"/>
        <w:rPr>
          <w:b/>
          <w:lang w:val="es-PE"/>
        </w:rPr>
      </w:pPr>
      <w:bookmarkStart w:id="2810" w:name="_Toc140089459"/>
      <w:r>
        <w:rPr>
          <w:b/>
          <w:lang w:val="es-PE"/>
        </w:rPr>
        <w:t xml:space="preserve">Trazo aplicable a los </w:t>
      </w:r>
      <w:proofErr w:type="gramStart"/>
      <w:r>
        <w:rPr>
          <w:b/>
          <w:lang w:val="es-PE"/>
        </w:rPr>
        <w:t>Sub Tramos</w:t>
      </w:r>
      <w:proofErr w:type="gramEnd"/>
      <w:r>
        <w:rPr>
          <w:b/>
          <w:lang w:val="es-PE"/>
        </w:rPr>
        <w:t xml:space="preserve"> de Rehabilitación y mejoramiento de la Concesión.</w:t>
      </w:r>
      <w:bookmarkEnd w:id="2810"/>
    </w:p>
    <w:p w14:paraId="27C015F9" w14:textId="77777777" w:rsidR="004412F1" w:rsidRDefault="004412F1">
      <w:pPr>
        <w:rPr>
          <w:rFonts w:eastAsia="SimSun"/>
          <w:lang w:val="es-PE" w:eastAsia="zh-CN"/>
        </w:rPr>
      </w:pPr>
    </w:p>
    <w:p w14:paraId="0F17B81E" w14:textId="77777777" w:rsidR="004412F1" w:rsidRDefault="004412F1">
      <w:pPr>
        <w:rPr>
          <w:rFonts w:eastAsia="SimSun"/>
          <w:lang w:val="es-PE" w:eastAsia="zh-CN"/>
        </w:rPr>
      </w:pPr>
    </w:p>
    <w:p w14:paraId="1BFF1564" w14:textId="77777777" w:rsidR="004412F1" w:rsidRDefault="004412F1">
      <w:pPr>
        <w:rPr>
          <w:rFonts w:eastAsia="SimSun"/>
          <w:lang w:val="es-PE" w:eastAsia="zh-CN"/>
        </w:rPr>
      </w:pPr>
    </w:p>
    <w:p w14:paraId="23E4638A" w14:textId="77777777" w:rsidR="004412F1" w:rsidRDefault="004412F1">
      <w:pPr>
        <w:rPr>
          <w:rFonts w:eastAsia="SimSun"/>
          <w:lang w:val="es-PE" w:eastAsia="zh-CN"/>
        </w:rPr>
      </w:pPr>
    </w:p>
    <w:p w14:paraId="0BCB602E" w14:textId="77777777" w:rsidR="004412F1" w:rsidRDefault="004412F1">
      <w:pPr>
        <w:rPr>
          <w:rFonts w:eastAsia="SimSun"/>
          <w:lang w:val="es-PE" w:eastAsia="zh-CN"/>
        </w:rPr>
      </w:pPr>
    </w:p>
    <w:p w14:paraId="14357D49" w14:textId="77777777" w:rsidR="004412F1" w:rsidRDefault="004412F1">
      <w:pPr>
        <w:rPr>
          <w:rFonts w:eastAsia="SimSun"/>
          <w:lang w:val="es-PE" w:eastAsia="zh-CN"/>
        </w:rPr>
      </w:pPr>
    </w:p>
    <w:p w14:paraId="63141250" w14:textId="77777777" w:rsidR="004412F1" w:rsidRDefault="004412F1">
      <w:pPr>
        <w:rPr>
          <w:rFonts w:eastAsia="SimSun"/>
          <w:lang w:val="es-PE" w:eastAsia="zh-CN"/>
        </w:rPr>
      </w:pPr>
    </w:p>
    <w:p w14:paraId="140F7B21" w14:textId="77777777" w:rsidR="004412F1" w:rsidRDefault="004412F1">
      <w:pPr>
        <w:rPr>
          <w:rFonts w:eastAsia="SimSun"/>
          <w:lang w:val="es-PE" w:eastAsia="zh-CN"/>
        </w:rPr>
      </w:pPr>
    </w:p>
    <w:p w14:paraId="30F36254" w14:textId="77777777" w:rsidR="004412F1" w:rsidRDefault="004412F1">
      <w:pPr>
        <w:rPr>
          <w:rFonts w:eastAsia="SimSun"/>
          <w:lang w:val="es-PE" w:eastAsia="zh-CN"/>
        </w:rPr>
      </w:pPr>
    </w:p>
    <w:p w14:paraId="040FF2FB" w14:textId="77777777" w:rsidR="004412F1" w:rsidRDefault="004412F1">
      <w:pPr>
        <w:rPr>
          <w:rFonts w:eastAsia="SimSun"/>
          <w:lang w:val="es-PE" w:eastAsia="zh-CN"/>
        </w:rPr>
      </w:pPr>
    </w:p>
    <w:p w14:paraId="72E93F14" w14:textId="77777777" w:rsidR="004412F1" w:rsidRDefault="004412F1">
      <w:pPr>
        <w:rPr>
          <w:rFonts w:eastAsia="SimSun"/>
          <w:lang w:val="es-PE" w:eastAsia="zh-CN"/>
        </w:rPr>
      </w:pPr>
    </w:p>
    <w:p w14:paraId="7925CF6F" w14:textId="77777777" w:rsidR="004412F1" w:rsidRDefault="004412F1">
      <w:pPr>
        <w:rPr>
          <w:rFonts w:eastAsia="SimSun"/>
          <w:lang w:val="es-PE" w:eastAsia="zh-CN"/>
        </w:rPr>
      </w:pPr>
    </w:p>
    <w:p w14:paraId="3A93C831" w14:textId="77777777" w:rsidR="004412F1" w:rsidRDefault="004412F1">
      <w:pPr>
        <w:rPr>
          <w:rFonts w:eastAsia="SimSun"/>
          <w:lang w:val="es-PE" w:eastAsia="zh-CN"/>
        </w:rPr>
      </w:pPr>
    </w:p>
    <w:p w14:paraId="5273C4CF" w14:textId="77777777" w:rsidR="004412F1" w:rsidRDefault="004412F1">
      <w:pPr>
        <w:rPr>
          <w:rFonts w:eastAsia="SimSun"/>
          <w:lang w:val="es-PE" w:eastAsia="zh-CN"/>
        </w:rPr>
      </w:pPr>
    </w:p>
    <w:p w14:paraId="3E521E34" w14:textId="77777777" w:rsidR="004412F1" w:rsidRDefault="004412F1">
      <w:pPr>
        <w:rPr>
          <w:rFonts w:eastAsia="SimSun"/>
          <w:lang w:val="es-PE" w:eastAsia="zh-CN"/>
        </w:rPr>
      </w:pPr>
    </w:p>
    <w:p w14:paraId="6F5D8508" w14:textId="77777777" w:rsidR="004412F1" w:rsidRDefault="004412F1">
      <w:pPr>
        <w:rPr>
          <w:rFonts w:eastAsia="SimSun"/>
          <w:lang w:val="es-PE" w:eastAsia="zh-CN"/>
        </w:rPr>
      </w:pPr>
    </w:p>
    <w:p w14:paraId="71C5836E" w14:textId="77777777" w:rsidR="004412F1" w:rsidRDefault="004412F1">
      <w:pPr>
        <w:rPr>
          <w:rFonts w:eastAsia="SimSun"/>
          <w:lang w:val="es-PE" w:eastAsia="zh-CN"/>
        </w:rPr>
      </w:pPr>
    </w:p>
    <w:p w14:paraId="41501928" w14:textId="77777777" w:rsidR="004412F1" w:rsidRDefault="004412F1">
      <w:pPr>
        <w:rPr>
          <w:rFonts w:eastAsia="SimSun"/>
          <w:lang w:val="es-PE" w:eastAsia="zh-CN"/>
        </w:rPr>
      </w:pPr>
    </w:p>
    <w:p w14:paraId="38E1F9A9" w14:textId="77777777" w:rsidR="004412F1" w:rsidRDefault="004412F1">
      <w:pPr>
        <w:rPr>
          <w:rFonts w:eastAsia="SimSun"/>
          <w:lang w:val="es-PE" w:eastAsia="zh-CN"/>
        </w:rPr>
      </w:pPr>
    </w:p>
    <w:p w14:paraId="503391F9" w14:textId="77777777" w:rsidR="004412F1" w:rsidRDefault="004412F1">
      <w:pPr>
        <w:rPr>
          <w:rFonts w:eastAsia="SimSun"/>
          <w:lang w:val="es-PE" w:eastAsia="zh-CN"/>
        </w:rPr>
      </w:pPr>
    </w:p>
    <w:p w14:paraId="6573E588" w14:textId="77777777" w:rsidR="004412F1" w:rsidRDefault="004412F1">
      <w:pPr>
        <w:rPr>
          <w:rFonts w:eastAsia="SimSun"/>
          <w:lang w:val="es-PE" w:eastAsia="zh-CN"/>
        </w:rPr>
      </w:pPr>
    </w:p>
    <w:p w14:paraId="2A3977B6" w14:textId="77777777" w:rsidR="004412F1" w:rsidRDefault="004412F1">
      <w:pPr>
        <w:rPr>
          <w:rFonts w:eastAsia="SimSun"/>
          <w:lang w:val="es-PE" w:eastAsia="zh-CN"/>
        </w:rPr>
      </w:pPr>
    </w:p>
    <w:p w14:paraId="79B24AC5" w14:textId="77777777" w:rsidR="004412F1" w:rsidRDefault="004412F1">
      <w:pPr>
        <w:rPr>
          <w:rFonts w:eastAsia="SimSun"/>
          <w:lang w:val="es-PE" w:eastAsia="zh-CN"/>
        </w:rPr>
      </w:pPr>
    </w:p>
    <w:p w14:paraId="47EB569C" w14:textId="77777777" w:rsidR="004412F1" w:rsidRDefault="004412F1">
      <w:pPr>
        <w:rPr>
          <w:rFonts w:eastAsia="SimSun"/>
          <w:lang w:val="es-PE" w:eastAsia="zh-CN"/>
        </w:rPr>
      </w:pPr>
    </w:p>
    <w:p w14:paraId="2A668001" w14:textId="77777777" w:rsidR="004412F1" w:rsidRDefault="004412F1">
      <w:pPr>
        <w:rPr>
          <w:rFonts w:eastAsia="SimSun"/>
          <w:lang w:val="es-PE" w:eastAsia="zh-CN"/>
        </w:rPr>
      </w:pPr>
    </w:p>
    <w:p w14:paraId="39497E54" w14:textId="77777777" w:rsidR="004412F1" w:rsidRDefault="004412F1">
      <w:pPr>
        <w:rPr>
          <w:rFonts w:eastAsia="SimSun"/>
          <w:lang w:val="es-PE" w:eastAsia="zh-CN"/>
        </w:rPr>
      </w:pPr>
    </w:p>
    <w:p w14:paraId="53803FCB" w14:textId="77777777" w:rsidR="004412F1" w:rsidRDefault="004412F1">
      <w:pPr>
        <w:rPr>
          <w:rFonts w:eastAsia="SimSun"/>
          <w:lang w:val="es-PE" w:eastAsia="zh-CN"/>
        </w:rPr>
      </w:pPr>
    </w:p>
    <w:p w14:paraId="7A1C426F" w14:textId="77777777" w:rsidR="004412F1" w:rsidRDefault="004412F1">
      <w:pPr>
        <w:rPr>
          <w:rFonts w:eastAsia="SimSun"/>
          <w:lang w:val="es-PE" w:eastAsia="zh-CN"/>
        </w:rPr>
      </w:pPr>
    </w:p>
    <w:p w14:paraId="292D878C" w14:textId="77777777" w:rsidR="004412F1" w:rsidRDefault="004412F1">
      <w:pPr>
        <w:rPr>
          <w:rFonts w:eastAsia="SimSun"/>
          <w:lang w:val="es-PE" w:eastAsia="zh-CN"/>
        </w:rPr>
      </w:pPr>
    </w:p>
    <w:p w14:paraId="52B5DD00" w14:textId="77777777" w:rsidR="004412F1" w:rsidRDefault="004412F1">
      <w:pPr>
        <w:rPr>
          <w:rFonts w:eastAsia="SimSun"/>
          <w:lang w:val="es-PE" w:eastAsia="zh-CN"/>
        </w:rPr>
      </w:pPr>
    </w:p>
    <w:p w14:paraId="25EC2C5B" w14:textId="77777777" w:rsidR="004412F1" w:rsidRDefault="004412F1">
      <w:pPr>
        <w:rPr>
          <w:rFonts w:eastAsia="SimSun"/>
          <w:lang w:val="es-PE" w:eastAsia="zh-CN"/>
        </w:rPr>
      </w:pPr>
    </w:p>
    <w:p w14:paraId="706E735A" w14:textId="77777777" w:rsidR="004412F1" w:rsidRDefault="004412F1">
      <w:pPr>
        <w:rPr>
          <w:rFonts w:eastAsia="SimSun"/>
          <w:b/>
          <w:lang w:val="es-PE" w:eastAsia="zh-CN"/>
        </w:rPr>
      </w:pPr>
    </w:p>
    <w:p w14:paraId="584C2ACC" w14:textId="77777777" w:rsidR="004412F1" w:rsidRDefault="004412F1">
      <w:pPr>
        <w:rPr>
          <w:rFonts w:eastAsia="SimSun"/>
          <w:b/>
          <w:lang w:val="es-PE" w:eastAsia="zh-CN"/>
        </w:rPr>
      </w:pPr>
    </w:p>
    <w:p w14:paraId="7D12AB8C" w14:textId="77777777" w:rsidR="004412F1" w:rsidRDefault="004412F1">
      <w:pPr>
        <w:rPr>
          <w:rFonts w:eastAsia="SimSun"/>
          <w:b/>
          <w:lang w:val="es-PE" w:eastAsia="zh-CN"/>
        </w:rPr>
      </w:pPr>
    </w:p>
    <w:p w14:paraId="504C1916" w14:textId="77777777" w:rsidR="004412F1" w:rsidRDefault="004412F1">
      <w:pPr>
        <w:rPr>
          <w:rFonts w:eastAsia="SimSun"/>
          <w:b/>
          <w:lang w:val="es-PE" w:eastAsia="zh-CN"/>
        </w:rPr>
      </w:pPr>
    </w:p>
    <w:p w14:paraId="126B4B52" w14:textId="77777777" w:rsidR="004412F1" w:rsidRDefault="004412F1">
      <w:pPr>
        <w:rPr>
          <w:rFonts w:eastAsia="SimSun"/>
          <w:b/>
          <w:lang w:val="es-PE" w:eastAsia="zh-CN"/>
        </w:rPr>
      </w:pPr>
    </w:p>
    <w:p w14:paraId="3935329A" w14:textId="77777777" w:rsidR="004412F1" w:rsidRDefault="004412F1">
      <w:pPr>
        <w:rPr>
          <w:rFonts w:eastAsia="SimSun"/>
          <w:b/>
          <w:lang w:val="es-PE" w:eastAsia="zh-CN"/>
        </w:rPr>
      </w:pPr>
    </w:p>
    <w:p w14:paraId="48E2FF0F" w14:textId="77777777" w:rsidR="004412F1" w:rsidRDefault="004412F1">
      <w:pPr>
        <w:rPr>
          <w:rFonts w:eastAsia="SimSun"/>
          <w:b/>
          <w:lang w:val="es-PE" w:eastAsia="zh-CN"/>
        </w:rPr>
      </w:pPr>
    </w:p>
    <w:p w14:paraId="475FB65E" w14:textId="77777777" w:rsidR="004412F1" w:rsidRDefault="004412F1">
      <w:pPr>
        <w:rPr>
          <w:rFonts w:eastAsia="SimSun"/>
          <w:b/>
          <w:lang w:val="es-PE" w:eastAsia="zh-CN"/>
        </w:rPr>
      </w:pPr>
    </w:p>
    <w:p w14:paraId="3DE41EC6" w14:textId="77777777" w:rsidR="004412F1" w:rsidRDefault="004412F1">
      <w:pPr>
        <w:rPr>
          <w:rFonts w:eastAsia="SimSun"/>
          <w:b/>
          <w:lang w:val="es-PE" w:eastAsia="zh-CN"/>
        </w:rPr>
      </w:pPr>
    </w:p>
    <w:p w14:paraId="737D579C" w14:textId="77777777" w:rsidR="004412F1" w:rsidRDefault="004412F1">
      <w:pPr>
        <w:rPr>
          <w:rFonts w:eastAsia="SimSun"/>
          <w:b/>
          <w:lang w:val="es-PE" w:eastAsia="zh-CN"/>
        </w:rPr>
      </w:pPr>
    </w:p>
    <w:p w14:paraId="2A96F907" w14:textId="77777777" w:rsidR="004412F1" w:rsidRDefault="004412F1">
      <w:pPr>
        <w:rPr>
          <w:rFonts w:eastAsia="SimSun"/>
          <w:b/>
          <w:lang w:val="es-PE" w:eastAsia="zh-CN"/>
        </w:rPr>
      </w:pPr>
    </w:p>
    <w:p w14:paraId="7CDC5708" w14:textId="77777777" w:rsidR="004412F1" w:rsidRDefault="004412F1">
      <w:pPr>
        <w:rPr>
          <w:rFonts w:eastAsia="SimSun"/>
          <w:b/>
          <w:lang w:val="es-PE" w:eastAsia="zh-CN"/>
        </w:rPr>
      </w:pPr>
    </w:p>
    <w:p w14:paraId="2C03D7C7" w14:textId="77777777" w:rsidR="004412F1" w:rsidRDefault="004412F1">
      <w:pPr>
        <w:rPr>
          <w:rFonts w:eastAsia="SimSun"/>
          <w:b/>
          <w:lang w:val="es-PE" w:eastAsia="zh-CN"/>
        </w:rPr>
      </w:pPr>
    </w:p>
    <w:p w14:paraId="2A79A92A" w14:textId="77777777" w:rsidR="004412F1" w:rsidRDefault="004412F1">
      <w:pPr>
        <w:rPr>
          <w:rFonts w:eastAsia="SimSun"/>
          <w:b/>
          <w:lang w:val="es-PE" w:eastAsia="zh-CN"/>
        </w:rPr>
      </w:pPr>
    </w:p>
    <w:p w14:paraId="185B68C2" w14:textId="77777777" w:rsidR="004412F1" w:rsidRDefault="004412F1">
      <w:pPr>
        <w:rPr>
          <w:rFonts w:eastAsia="SimSun"/>
          <w:b/>
          <w:lang w:val="es-PE" w:eastAsia="zh-CN"/>
        </w:rPr>
      </w:pPr>
    </w:p>
    <w:p w14:paraId="05CE8C4F" w14:textId="77777777" w:rsidR="004412F1" w:rsidRDefault="004412F1">
      <w:pPr>
        <w:rPr>
          <w:b/>
          <w:lang w:val="es-PE"/>
        </w:rPr>
      </w:pPr>
    </w:p>
    <w:p w14:paraId="5FE95E28" w14:textId="77777777" w:rsidR="004412F1" w:rsidRDefault="004412F1">
      <w:pPr>
        <w:rPr>
          <w:b/>
          <w:lang w:val="es-PE"/>
        </w:rPr>
      </w:pPr>
    </w:p>
    <w:p w14:paraId="16CE0BDC" w14:textId="77777777" w:rsidR="004412F1" w:rsidRDefault="004412F1">
      <w:pPr>
        <w:rPr>
          <w:b/>
          <w:lang w:val="es-PE"/>
        </w:rPr>
      </w:pPr>
    </w:p>
    <w:p w14:paraId="79A9BCE7" w14:textId="77777777" w:rsidR="004412F1" w:rsidRDefault="004412F1">
      <w:pPr>
        <w:rPr>
          <w:b/>
          <w:lang w:val="es-PE"/>
        </w:rPr>
      </w:pPr>
    </w:p>
    <w:p w14:paraId="7FC0DCC8" w14:textId="77777777" w:rsidR="004412F1" w:rsidRDefault="005A12A3">
      <w:pPr>
        <w:pStyle w:val="Ttulo1"/>
        <w:jc w:val="center"/>
        <w:rPr>
          <w:color w:val="000000"/>
          <w:lang w:val="pt-BR"/>
        </w:rPr>
      </w:pPr>
      <w:bookmarkStart w:id="2811" w:name="_Toc139294844"/>
      <w:bookmarkStart w:id="2812" w:name="_Toc468837749"/>
      <w:bookmarkStart w:id="2813" w:name="_Toc140089460"/>
      <w:r>
        <w:rPr>
          <w:color w:val="000000"/>
          <w:lang w:val="pt-BR"/>
        </w:rPr>
        <w:t>ANEXO II</w:t>
      </w:r>
      <w:bookmarkEnd w:id="2811"/>
      <w:bookmarkEnd w:id="2812"/>
      <w:bookmarkEnd w:id="2813"/>
    </w:p>
    <w:p w14:paraId="0D7097E9" w14:textId="0250471F" w:rsidR="00822EA3" w:rsidRPr="00B9424E" w:rsidRDefault="005A12A3" w:rsidP="00E0431E">
      <w:pPr>
        <w:ind w:left="567"/>
        <w:jc w:val="center"/>
        <w:outlineLvl w:val="1"/>
        <w:rPr>
          <w:b/>
          <w:lang w:val="es-PE"/>
        </w:rPr>
      </w:pPr>
      <w:bookmarkStart w:id="2814" w:name="_Toc140089461"/>
      <w:r w:rsidRPr="00B9424E">
        <w:rPr>
          <w:b/>
          <w:lang w:val="es-PE"/>
        </w:rPr>
        <w:t>RELACIÓN DE ENTIDADES AUTORIZADAS A EMITIR GARANTÍAS</w:t>
      </w:r>
      <w:bookmarkEnd w:id="2814"/>
    </w:p>
    <w:p w14:paraId="14689F46" w14:textId="77777777" w:rsidR="00E0431E" w:rsidRDefault="00E0431E">
      <w:pPr>
        <w:jc w:val="both"/>
        <w:rPr>
          <w:lang w:val="es-PE"/>
        </w:rPr>
      </w:pPr>
    </w:p>
    <w:p w14:paraId="1AA08BE1" w14:textId="5CC533FF" w:rsidR="004412F1" w:rsidRDefault="005A12A3">
      <w:pPr>
        <w:jc w:val="both"/>
        <w:rPr>
          <w:lang w:val="es-PE"/>
        </w:rPr>
      </w:pPr>
      <w:r>
        <w:rPr>
          <w:lang w:val="es-PE"/>
        </w:rPr>
        <w:t>Las Garantías de Fiel Cumplimiento podrán ser emitidas por las siguientes entidades:</w:t>
      </w:r>
    </w:p>
    <w:p w14:paraId="1C22E56C" w14:textId="77777777" w:rsidR="004412F1" w:rsidRDefault="004412F1">
      <w:pPr>
        <w:jc w:val="center"/>
        <w:rPr>
          <w:b/>
          <w:lang w:val="es-PE"/>
        </w:rPr>
      </w:pPr>
    </w:p>
    <w:p w14:paraId="01C819EF" w14:textId="77777777" w:rsidR="004412F1" w:rsidRDefault="005A12A3">
      <w:pPr>
        <w:numPr>
          <w:ilvl w:val="0"/>
          <w:numId w:val="184"/>
        </w:numPr>
        <w:ind w:left="567" w:hanging="567"/>
        <w:jc w:val="both"/>
        <w:rPr>
          <w:color w:val="000000"/>
          <w:lang w:val="es-PE"/>
        </w:rPr>
      </w:pPr>
      <w:r>
        <w:rPr>
          <w:color w:val="000000"/>
          <w:lang w:val="es-PE"/>
        </w:rPr>
        <w:t>Empresas bancarias nacionales autorizadas por la Superintendencia de Banca, Seguros y AFP para emitir cartas fianza que ostenten, como mínimo, alguna de las siguientes calificaciones:</w:t>
      </w:r>
    </w:p>
    <w:p w14:paraId="7497940D" w14:textId="77777777" w:rsidR="004412F1" w:rsidRDefault="004412F1">
      <w:pPr>
        <w:ind w:left="709" w:hanging="142"/>
        <w:jc w:val="both"/>
        <w:rPr>
          <w:color w:val="000000"/>
          <w:lang w:val="es-PE"/>
        </w:rPr>
      </w:pPr>
    </w:p>
    <w:p w14:paraId="7617B9B2" w14:textId="77777777" w:rsidR="004412F1" w:rsidRDefault="005A12A3">
      <w:pPr>
        <w:numPr>
          <w:ilvl w:val="0"/>
          <w:numId w:val="185"/>
        </w:numPr>
        <w:ind w:left="1134" w:hanging="567"/>
        <w:jc w:val="both"/>
        <w:rPr>
          <w:color w:val="000000"/>
        </w:rPr>
      </w:pPr>
      <w:r>
        <w:rPr>
          <w:color w:val="000000"/>
        </w:rPr>
        <w:t>Fortaleza financiera: A</w:t>
      </w:r>
    </w:p>
    <w:p w14:paraId="073BE611" w14:textId="77777777" w:rsidR="004412F1" w:rsidRDefault="005A12A3">
      <w:pPr>
        <w:numPr>
          <w:ilvl w:val="0"/>
          <w:numId w:val="185"/>
        </w:numPr>
        <w:ind w:left="1134" w:hanging="567"/>
        <w:jc w:val="both"/>
        <w:rPr>
          <w:color w:val="000000"/>
          <w:lang w:val="es-PE"/>
        </w:rPr>
      </w:pPr>
      <w:r>
        <w:rPr>
          <w:color w:val="000000"/>
          <w:lang w:val="es-PE"/>
        </w:rPr>
        <w:t>Instrumentos de Corto Plazo: calificación mínima de CP-1, Categoría-1, CLA-1 o EQL-1</w:t>
      </w:r>
    </w:p>
    <w:p w14:paraId="1FF5CC28" w14:textId="77777777" w:rsidR="004412F1" w:rsidRDefault="005A12A3">
      <w:pPr>
        <w:numPr>
          <w:ilvl w:val="0"/>
          <w:numId w:val="185"/>
        </w:numPr>
        <w:ind w:left="1134" w:hanging="567"/>
        <w:jc w:val="both"/>
        <w:rPr>
          <w:color w:val="000000"/>
        </w:rPr>
      </w:pPr>
      <w:r>
        <w:rPr>
          <w:color w:val="000000"/>
        </w:rPr>
        <w:t>Instrumentos de Largo Plazo: AA</w:t>
      </w:r>
    </w:p>
    <w:p w14:paraId="33A5D3ED" w14:textId="77777777" w:rsidR="004412F1" w:rsidRDefault="005A12A3">
      <w:pPr>
        <w:ind w:left="567"/>
        <w:jc w:val="both"/>
        <w:rPr>
          <w:color w:val="000000"/>
          <w:lang w:val="es-PE"/>
        </w:rPr>
      </w:pPr>
      <w:r>
        <w:rPr>
          <w:color w:val="000000"/>
          <w:lang w:val="es-PE"/>
        </w:rPr>
        <w:br/>
        <w:t>Las clasificaciones o calificaciones antes indicadas deberán encontrarse vigentes al momento de presentar las cartas fianzas y ser otorgadas por al menos dos clasificadoras de riesgos autorizadas por la Superintendencia de Mercado de Valores.</w:t>
      </w:r>
    </w:p>
    <w:p w14:paraId="7BC00A2E" w14:textId="77777777" w:rsidR="004412F1" w:rsidRDefault="004412F1">
      <w:pPr>
        <w:ind w:left="567"/>
        <w:jc w:val="both"/>
        <w:rPr>
          <w:color w:val="000000"/>
          <w:lang w:val="es-PE"/>
        </w:rPr>
      </w:pPr>
    </w:p>
    <w:p w14:paraId="115373CF" w14:textId="77777777" w:rsidR="004412F1" w:rsidRDefault="005A12A3">
      <w:pPr>
        <w:numPr>
          <w:ilvl w:val="0"/>
          <w:numId w:val="184"/>
        </w:numPr>
        <w:ind w:left="567" w:hanging="567"/>
        <w:jc w:val="both"/>
        <w:rPr>
          <w:color w:val="000000"/>
          <w:lang w:val="es-PE"/>
        </w:rPr>
      </w:pPr>
      <w:r>
        <w:rPr>
          <w:color w:val="000000"/>
          <w:lang w:val="es-PE"/>
        </w:rPr>
        <w:t>Empresas de seguros nacionales autorizadas por la Superintendencia de Banca, Seguros y AFP para emitir cartas fianza y que a la fecha de emisión de las cartas fianza cuenten con una calificación mínima de “A” para la fortaleza financiera asignada por dos clasificadoras de riesgos autorizadas por la Superintendencia de Mercado de Valores.</w:t>
      </w:r>
    </w:p>
    <w:p w14:paraId="498E91A8" w14:textId="77777777" w:rsidR="004412F1" w:rsidRDefault="004412F1">
      <w:pPr>
        <w:ind w:left="567"/>
        <w:jc w:val="both"/>
        <w:rPr>
          <w:b/>
          <w:color w:val="000000"/>
          <w:lang w:val="es-PE"/>
        </w:rPr>
      </w:pPr>
    </w:p>
    <w:p w14:paraId="7D76C27A" w14:textId="77777777" w:rsidR="004412F1" w:rsidRDefault="005A12A3">
      <w:pPr>
        <w:numPr>
          <w:ilvl w:val="0"/>
          <w:numId w:val="184"/>
        </w:numPr>
        <w:ind w:left="567" w:hanging="567"/>
        <w:jc w:val="both"/>
        <w:rPr>
          <w:color w:val="000000"/>
          <w:lang w:val="es-PE"/>
        </w:rPr>
      </w:pPr>
      <w:r>
        <w:rPr>
          <w:color w:val="000000"/>
          <w:lang w:val="es-PE"/>
        </w:rPr>
        <w:t xml:space="preserve">Entidades designadas como Bancos Extranjeros de Primera Categoría en la circular emitida por el Banco Central de Reserva del Perú vigente. </w:t>
      </w:r>
    </w:p>
    <w:p w14:paraId="500FCA77" w14:textId="77777777" w:rsidR="004412F1" w:rsidRDefault="004412F1">
      <w:pPr>
        <w:ind w:left="708"/>
        <w:rPr>
          <w:color w:val="000000"/>
          <w:lang w:val="es-PE"/>
        </w:rPr>
      </w:pPr>
    </w:p>
    <w:p w14:paraId="08D712B9" w14:textId="77777777" w:rsidR="004412F1" w:rsidRDefault="005A12A3">
      <w:pPr>
        <w:numPr>
          <w:ilvl w:val="0"/>
          <w:numId w:val="184"/>
        </w:numPr>
        <w:ind w:left="567" w:hanging="567"/>
        <w:jc w:val="both"/>
        <w:rPr>
          <w:color w:val="000000"/>
          <w:lang w:val="es-PE"/>
        </w:rPr>
      </w:pPr>
      <w:r>
        <w:rPr>
          <w:color w:val="000000"/>
          <w:lang w:val="es-PE"/>
        </w:rPr>
        <w:t>Cualquier entidad financiera internacional con grado de inversión, asignada por una entidad clasificadora de riesgo internacional de reconocido prestigio que clasifica a la República del Perú.</w:t>
      </w:r>
    </w:p>
    <w:p w14:paraId="3DF5EE5E" w14:textId="77777777" w:rsidR="004412F1" w:rsidRDefault="004412F1">
      <w:pPr>
        <w:ind w:left="708"/>
        <w:rPr>
          <w:color w:val="000000"/>
          <w:lang w:val="es-PE"/>
        </w:rPr>
      </w:pPr>
    </w:p>
    <w:p w14:paraId="1EC6579B" w14:textId="77777777" w:rsidR="004412F1" w:rsidRDefault="005A12A3">
      <w:pPr>
        <w:numPr>
          <w:ilvl w:val="0"/>
          <w:numId w:val="184"/>
        </w:numPr>
        <w:ind w:left="567" w:hanging="567"/>
        <w:jc w:val="both"/>
        <w:rPr>
          <w:color w:val="000000"/>
          <w:lang w:val="es-PE"/>
        </w:rPr>
      </w:pPr>
      <w:r>
        <w:rPr>
          <w:color w:val="000000"/>
          <w:lang w:val="es-PE"/>
        </w:rPr>
        <w:t>Cualquier institución multilateral de crédito de la cual el Estado de la República del Perú sea miembro.</w:t>
      </w:r>
    </w:p>
    <w:p w14:paraId="3A1B856A" w14:textId="77777777" w:rsidR="004412F1" w:rsidRDefault="005A12A3">
      <w:pPr>
        <w:ind w:left="567"/>
        <w:jc w:val="both"/>
        <w:rPr>
          <w:b/>
          <w:color w:val="000000"/>
          <w:lang w:val="es-PE"/>
        </w:rPr>
      </w:pPr>
      <w:r>
        <w:rPr>
          <w:color w:val="000000"/>
          <w:lang w:val="es-PE"/>
        </w:rPr>
        <w:br/>
        <w:t>Las garantías emitidas por Bancos Extranjeros de Primera Categoría o entidades financieras internacionales, o por alguna de las filiales o sucursales de éstas, deberán ser necesariamente confirmadas por alguna de las empresas bancarias del sistema financiero nacional a las que se refiere el Literal a) precedente.</w:t>
      </w:r>
    </w:p>
    <w:p w14:paraId="4CD9FE83" w14:textId="77777777" w:rsidR="004412F1" w:rsidRDefault="004412F1">
      <w:pPr>
        <w:ind w:left="567"/>
        <w:jc w:val="both"/>
        <w:rPr>
          <w:color w:val="000000"/>
          <w:lang w:val="es-PE"/>
        </w:rPr>
      </w:pPr>
    </w:p>
    <w:p w14:paraId="6205BA9C" w14:textId="77777777" w:rsidR="004412F1" w:rsidRDefault="004412F1">
      <w:pPr>
        <w:ind w:left="567"/>
        <w:jc w:val="both"/>
        <w:rPr>
          <w:color w:val="000000"/>
          <w:lang w:val="es-PE"/>
        </w:rPr>
      </w:pPr>
    </w:p>
    <w:p w14:paraId="10D4D668" w14:textId="77777777" w:rsidR="004412F1" w:rsidRDefault="004412F1">
      <w:pPr>
        <w:ind w:left="567"/>
        <w:jc w:val="both"/>
        <w:rPr>
          <w:color w:val="000000"/>
          <w:lang w:val="es-PE"/>
        </w:rPr>
      </w:pPr>
    </w:p>
    <w:p w14:paraId="5031FE31" w14:textId="77777777" w:rsidR="004412F1" w:rsidRDefault="004412F1">
      <w:pPr>
        <w:ind w:left="567"/>
        <w:jc w:val="both"/>
        <w:rPr>
          <w:color w:val="000000"/>
          <w:lang w:val="es-PE"/>
        </w:rPr>
      </w:pPr>
    </w:p>
    <w:p w14:paraId="28F1704C" w14:textId="77777777" w:rsidR="004412F1" w:rsidRDefault="004412F1">
      <w:pPr>
        <w:ind w:left="567"/>
        <w:jc w:val="both"/>
        <w:rPr>
          <w:color w:val="000000"/>
          <w:lang w:val="es-PE"/>
        </w:rPr>
      </w:pPr>
    </w:p>
    <w:p w14:paraId="516DECEC" w14:textId="77777777" w:rsidR="004412F1" w:rsidRDefault="004412F1">
      <w:pPr>
        <w:ind w:left="567"/>
        <w:jc w:val="both"/>
        <w:rPr>
          <w:color w:val="000000"/>
          <w:lang w:val="es-PE"/>
        </w:rPr>
      </w:pPr>
    </w:p>
    <w:p w14:paraId="0127075C" w14:textId="77777777" w:rsidR="004412F1" w:rsidRDefault="004412F1">
      <w:pPr>
        <w:ind w:left="567"/>
        <w:jc w:val="both"/>
        <w:rPr>
          <w:color w:val="000000"/>
          <w:lang w:val="es-PE"/>
        </w:rPr>
      </w:pPr>
    </w:p>
    <w:p w14:paraId="5151FDEE" w14:textId="77777777" w:rsidR="004412F1" w:rsidRDefault="004412F1">
      <w:pPr>
        <w:ind w:left="567"/>
        <w:jc w:val="both"/>
        <w:rPr>
          <w:color w:val="000000"/>
          <w:lang w:val="es-PE"/>
        </w:rPr>
      </w:pPr>
    </w:p>
    <w:p w14:paraId="5187856D" w14:textId="77777777" w:rsidR="004412F1" w:rsidRDefault="004412F1">
      <w:pPr>
        <w:ind w:left="567"/>
        <w:jc w:val="both"/>
        <w:rPr>
          <w:color w:val="000000"/>
          <w:lang w:val="es-PE"/>
        </w:rPr>
      </w:pPr>
    </w:p>
    <w:p w14:paraId="57169677" w14:textId="77777777" w:rsidR="004412F1" w:rsidRDefault="004412F1">
      <w:pPr>
        <w:ind w:left="567"/>
        <w:jc w:val="both"/>
        <w:rPr>
          <w:color w:val="000000"/>
          <w:lang w:val="es-PE"/>
        </w:rPr>
      </w:pPr>
    </w:p>
    <w:p w14:paraId="18973457" w14:textId="77777777" w:rsidR="004412F1" w:rsidRDefault="004412F1">
      <w:pPr>
        <w:ind w:left="567"/>
        <w:jc w:val="both"/>
        <w:rPr>
          <w:color w:val="000000"/>
          <w:lang w:val="es-PE"/>
        </w:rPr>
      </w:pPr>
    </w:p>
    <w:p w14:paraId="7BBFB0AA" w14:textId="77777777" w:rsidR="004412F1" w:rsidRDefault="004412F1">
      <w:pPr>
        <w:ind w:left="567"/>
        <w:jc w:val="both"/>
        <w:rPr>
          <w:color w:val="000000"/>
          <w:lang w:val="es-PE"/>
        </w:rPr>
      </w:pPr>
    </w:p>
    <w:p w14:paraId="03E95968" w14:textId="77777777" w:rsidR="004412F1" w:rsidRDefault="004412F1">
      <w:pPr>
        <w:ind w:left="567"/>
        <w:jc w:val="both"/>
        <w:rPr>
          <w:color w:val="000000"/>
          <w:lang w:val="es-PE"/>
        </w:rPr>
      </w:pPr>
    </w:p>
    <w:p w14:paraId="2A1790C6" w14:textId="77777777" w:rsidR="004412F1" w:rsidRDefault="004412F1">
      <w:pPr>
        <w:ind w:left="567"/>
        <w:jc w:val="both"/>
        <w:rPr>
          <w:color w:val="000000"/>
          <w:lang w:val="es-PE"/>
        </w:rPr>
      </w:pPr>
    </w:p>
    <w:p w14:paraId="6519B2ED" w14:textId="77777777" w:rsidR="004412F1" w:rsidRDefault="005A12A3">
      <w:pPr>
        <w:ind w:left="567"/>
        <w:jc w:val="both"/>
        <w:rPr>
          <w:color w:val="000000"/>
          <w:lang w:val="es-PE"/>
        </w:rPr>
      </w:pPr>
      <w:r>
        <w:rPr>
          <w:lang w:val="es-PE"/>
        </w:rPr>
        <w:br w:type="page"/>
      </w:r>
    </w:p>
    <w:p w14:paraId="25F21460" w14:textId="77777777" w:rsidR="004412F1" w:rsidRDefault="005A12A3">
      <w:pPr>
        <w:pStyle w:val="Ttulo1"/>
        <w:jc w:val="center"/>
        <w:rPr>
          <w:color w:val="000000"/>
          <w:lang w:val="es-MX"/>
        </w:rPr>
      </w:pPr>
      <w:bookmarkStart w:id="2815" w:name="_Toc468837751"/>
      <w:bookmarkStart w:id="2816" w:name="_Ref272157321"/>
      <w:bookmarkStart w:id="2817" w:name="_Toc139294845"/>
      <w:bookmarkStart w:id="2818" w:name="_Toc140089462"/>
      <w:r>
        <w:rPr>
          <w:color w:val="000000"/>
          <w:lang w:val="es-MX"/>
        </w:rPr>
        <w:t>ANEXO III</w:t>
      </w:r>
      <w:bookmarkEnd w:id="2815"/>
      <w:bookmarkEnd w:id="2816"/>
      <w:bookmarkEnd w:id="2817"/>
      <w:bookmarkEnd w:id="2818"/>
    </w:p>
    <w:p w14:paraId="53047E64" w14:textId="77777777" w:rsidR="004412F1" w:rsidRDefault="004412F1">
      <w:pPr>
        <w:rPr>
          <w:rFonts w:eastAsia="SimSun"/>
          <w:b/>
          <w:color w:val="000000"/>
          <w:lang w:val="es-PE" w:eastAsia="zh-CN"/>
        </w:rPr>
      </w:pPr>
    </w:p>
    <w:p w14:paraId="6E71A229" w14:textId="77777777" w:rsidR="004412F1" w:rsidRPr="00B9424E" w:rsidRDefault="005A12A3" w:rsidP="00B9424E">
      <w:pPr>
        <w:ind w:left="567"/>
        <w:jc w:val="center"/>
        <w:outlineLvl w:val="1"/>
        <w:rPr>
          <w:b/>
          <w:lang w:val="es-PE"/>
        </w:rPr>
      </w:pPr>
      <w:bookmarkStart w:id="2819" w:name="_Toc468837752"/>
      <w:bookmarkStart w:id="2820" w:name="_Toc140089463"/>
      <w:r w:rsidRPr="00B9424E">
        <w:rPr>
          <w:b/>
          <w:lang w:val="es-PE"/>
        </w:rPr>
        <w:t>GARANTÍA DE FIEL CUMPLIMIENTO DE CONTRATO DE CONCESIÓN</w:t>
      </w:r>
      <w:bookmarkEnd w:id="2819"/>
      <w:bookmarkEnd w:id="2820"/>
    </w:p>
    <w:p w14:paraId="1866E4F3" w14:textId="77777777" w:rsidR="004412F1" w:rsidRDefault="004412F1">
      <w:pPr>
        <w:jc w:val="center"/>
        <w:rPr>
          <w:rFonts w:ascii="Courier New" w:hAnsi="Courier New"/>
          <w:b/>
          <w:color w:val="000000"/>
          <w:lang w:val="es-PE"/>
        </w:rPr>
      </w:pPr>
    </w:p>
    <w:p w14:paraId="3E6A010A" w14:textId="77777777" w:rsidR="004412F1" w:rsidRDefault="005A12A3">
      <w:pPr>
        <w:jc w:val="right"/>
        <w:rPr>
          <w:color w:val="000000"/>
          <w:lang w:val="es-PE"/>
        </w:rPr>
      </w:pPr>
      <w:r>
        <w:rPr>
          <w:color w:val="000000"/>
          <w:lang w:val="es-PE"/>
        </w:rPr>
        <w:t xml:space="preserve">Lima, …… de ................... de 202.... </w:t>
      </w:r>
    </w:p>
    <w:p w14:paraId="03B6B068" w14:textId="77777777" w:rsidR="004412F1" w:rsidRDefault="005A12A3">
      <w:pPr>
        <w:jc w:val="both"/>
        <w:rPr>
          <w:color w:val="000000"/>
          <w:lang w:val="es-PE"/>
        </w:rPr>
      </w:pPr>
      <w:r>
        <w:rPr>
          <w:color w:val="000000"/>
          <w:lang w:val="es-PE"/>
        </w:rPr>
        <w:t xml:space="preserve">Señores </w:t>
      </w:r>
    </w:p>
    <w:p w14:paraId="129A3C1B" w14:textId="77777777" w:rsidR="004412F1" w:rsidRDefault="005A12A3">
      <w:pPr>
        <w:rPr>
          <w:b/>
          <w:lang w:val="es-PE"/>
        </w:rPr>
      </w:pPr>
      <w:r>
        <w:rPr>
          <w:b/>
          <w:lang w:val="es-PE"/>
        </w:rPr>
        <w:t>Ministerio de Transportes y Comunicaciones</w:t>
      </w:r>
    </w:p>
    <w:p w14:paraId="4200A5BC" w14:textId="77777777" w:rsidR="004412F1" w:rsidRDefault="005A12A3">
      <w:pPr>
        <w:jc w:val="both"/>
        <w:rPr>
          <w:color w:val="000000"/>
          <w:lang w:val="es-PE"/>
        </w:rPr>
      </w:pPr>
      <w:proofErr w:type="gramStart"/>
      <w:r>
        <w:rPr>
          <w:color w:val="000000"/>
          <w:lang w:val="es-PE"/>
        </w:rPr>
        <w:t>Presente.-</w:t>
      </w:r>
      <w:proofErr w:type="gramEnd"/>
      <w:r>
        <w:rPr>
          <w:color w:val="000000"/>
          <w:lang w:val="es-PE"/>
        </w:rPr>
        <w:t xml:space="preserve"> </w:t>
      </w:r>
    </w:p>
    <w:p w14:paraId="2DE2F38A" w14:textId="77777777" w:rsidR="004412F1" w:rsidRDefault="004412F1">
      <w:pPr>
        <w:jc w:val="both"/>
        <w:rPr>
          <w:color w:val="000000"/>
          <w:lang w:val="es-PE"/>
        </w:rPr>
      </w:pPr>
    </w:p>
    <w:p w14:paraId="76A5D197" w14:textId="77777777" w:rsidR="004412F1" w:rsidRDefault="005A12A3">
      <w:pPr>
        <w:jc w:val="both"/>
        <w:rPr>
          <w:color w:val="000000"/>
          <w:lang w:val="es-PE"/>
        </w:rPr>
      </w:pPr>
      <w:r>
        <w:rPr>
          <w:color w:val="000000"/>
          <w:lang w:val="es-PE"/>
        </w:rPr>
        <w:t>Ref.: Carta Fianza No……</w:t>
      </w:r>
      <w:proofErr w:type="gramStart"/>
      <w:r>
        <w:rPr>
          <w:color w:val="000000"/>
          <w:lang w:val="es-PE"/>
        </w:rPr>
        <w:t>…….</w:t>
      </w:r>
      <w:proofErr w:type="gramEnd"/>
      <w:r>
        <w:rPr>
          <w:color w:val="000000"/>
          <w:lang w:val="es-PE"/>
        </w:rPr>
        <w:t xml:space="preserve">. </w:t>
      </w:r>
    </w:p>
    <w:p w14:paraId="5266939A" w14:textId="77777777" w:rsidR="004412F1" w:rsidRDefault="005A12A3">
      <w:pPr>
        <w:jc w:val="both"/>
        <w:rPr>
          <w:color w:val="000000"/>
          <w:lang w:val="es-PE"/>
        </w:rPr>
      </w:pPr>
      <w:proofErr w:type="gramStart"/>
      <w:r>
        <w:rPr>
          <w:color w:val="000000"/>
          <w:lang w:val="es-PE"/>
        </w:rPr>
        <w:t>Vencimiento:......................</w:t>
      </w:r>
      <w:proofErr w:type="gramEnd"/>
      <w:r>
        <w:rPr>
          <w:color w:val="000000"/>
          <w:lang w:val="es-PE"/>
        </w:rPr>
        <w:t xml:space="preserve"> </w:t>
      </w:r>
    </w:p>
    <w:p w14:paraId="44395DA0" w14:textId="77777777" w:rsidR="004412F1" w:rsidRDefault="004412F1">
      <w:pPr>
        <w:jc w:val="both"/>
        <w:rPr>
          <w:color w:val="000000"/>
          <w:sz w:val="18"/>
          <w:lang w:val="es-PE"/>
        </w:rPr>
      </w:pPr>
    </w:p>
    <w:p w14:paraId="67C9A56E" w14:textId="77777777" w:rsidR="004412F1" w:rsidRDefault="005A12A3">
      <w:pPr>
        <w:jc w:val="both"/>
        <w:rPr>
          <w:color w:val="000000"/>
          <w:lang w:val="es-PE"/>
        </w:rPr>
      </w:pPr>
      <w:r>
        <w:rPr>
          <w:color w:val="000000"/>
          <w:lang w:val="es-PE"/>
        </w:rPr>
        <w:t xml:space="preserve">De nuestra consideración: </w:t>
      </w:r>
    </w:p>
    <w:p w14:paraId="3DDC52CA" w14:textId="77777777" w:rsidR="004412F1" w:rsidRDefault="004412F1">
      <w:pPr>
        <w:jc w:val="both"/>
        <w:rPr>
          <w:color w:val="000000"/>
          <w:sz w:val="18"/>
          <w:lang w:val="es-PE"/>
        </w:rPr>
      </w:pPr>
    </w:p>
    <w:p w14:paraId="4860E374" w14:textId="77777777" w:rsidR="004412F1" w:rsidRDefault="005A12A3">
      <w:pPr>
        <w:jc w:val="both"/>
        <w:rPr>
          <w:color w:val="000000"/>
          <w:lang w:val="es-PE"/>
        </w:rPr>
      </w:pPr>
      <w:r>
        <w:rPr>
          <w:color w:val="000000"/>
          <w:lang w:val="es-PE"/>
        </w:rPr>
        <w:t>Por la presente y a la solicitud de nuestros clientes, señores .................................................... (</w:t>
      </w:r>
      <w:r>
        <w:rPr>
          <w:i/>
          <w:color w:val="000000"/>
          <w:lang w:val="es-PE"/>
        </w:rPr>
        <w:t>nombre de la persona jurídica</w:t>
      </w:r>
      <w:r>
        <w:rPr>
          <w:color w:val="000000"/>
          <w:lang w:val="es-PE"/>
        </w:rPr>
        <w:t xml:space="preserve">) (en adelante “el CONCESIONARIO”) constituimos esta fianza solidaria, irrevocable, incondicional y de realización automática, sin beneficio de excusión, ni división, hasta por la suma de </w:t>
      </w:r>
      <w:r w:rsidRPr="00E03735">
        <w:rPr>
          <w:color w:val="000000"/>
          <w:lang w:val="es-PE"/>
        </w:rPr>
        <w:t>US$</w:t>
      </w:r>
      <w:r>
        <w:rPr>
          <w:color w:val="000000"/>
          <w:lang w:val="es-PE"/>
        </w:rPr>
        <w:t xml:space="preserve"> .............................................. </w:t>
      </w:r>
      <w:proofErr w:type="gramStart"/>
      <w:r>
        <w:rPr>
          <w:color w:val="000000"/>
          <w:lang w:val="es-PE"/>
        </w:rPr>
        <w:t xml:space="preserve">(  </w:t>
      </w:r>
      <w:proofErr w:type="gramEnd"/>
      <w:r>
        <w:rPr>
          <w:color w:val="000000"/>
          <w:lang w:val="es-PE"/>
        </w:rPr>
        <w:t xml:space="preserve">    y 00/100 Dólares Americanos) a favor del Ministerio de Transportes y Comunicaciones para garantizar el correcto y oportuno cumplimiento de todas y cada una de las obligaciones a cargo del CONCESIONARIO, incluyendo el pago de penalidades, derivadas de la celebración del Contrato de Concesión de la Carretera Longitudinal de la Sierra Tramo 4: Huancayo-Izcuchaca-Mayocc-Ayacucho/Ayacucho-Andahuaylas-Pte Sahuinto/Dv. Pisco – Huaytará – Ayacucho suscrito entre el Estado de la República del Perú y nuestros clientes (en adelante “el Contrato”).</w:t>
      </w:r>
    </w:p>
    <w:p w14:paraId="4802AB56" w14:textId="77777777" w:rsidR="004412F1" w:rsidRDefault="004412F1">
      <w:pPr>
        <w:jc w:val="both"/>
        <w:rPr>
          <w:color w:val="000000"/>
          <w:sz w:val="18"/>
          <w:lang w:val="es-PE"/>
        </w:rPr>
      </w:pPr>
    </w:p>
    <w:p w14:paraId="2973E60C" w14:textId="77777777" w:rsidR="004412F1" w:rsidRDefault="005A12A3">
      <w:pPr>
        <w:jc w:val="both"/>
        <w:rPr>
          <w:color w:val="000000"/>
          <w:lang w:val="es-PE"/>
        </w:rPr>
      </w:pPr>
      <w:r>
        <w:rPr>
          <w:color w:val="000000"/>
          <w:lang w:val="es-PE"/>
        </w:rPr>
        <w:t xml:space="preserve">La presente fianza también garantizará el correcto y oportuno cumplimiento de las obligaciones a cargo del CONCESIONARIO establecidas en virtud de las disposiciones contenidas en el Decreto Legislativo No. 1362 y su Reglamento, o normas que los complementen o sustituyan. </w:t>
      </w:r>
    </w:p>
    <w:p w14:paraId="5E4D3219" w14:textId="77777777" w:rsidR="004412F1" w:rsidRDefault="004412F1">
      <w:pPr>
        <w:jc w:val="both"/>
        <w:rPr>
          <w:color w:val="000000"/>
          <w:sz w:val="18"/>
          <w:lang w:val="es-PE"/>
        </w:rPr>
      </w:pPr>
    </w:p>
    <w:p w14:paraId="5287DDD2" w14:textId="77777777" w:rsidR="004412F1" w:rsidRDefault="005A12A3">
      <w:pPr>
        <w:jc w:val="both"/>
        <w:rPr>
          <w:color w:val="000000"/>
          <w:lang w:val="es-PE"/>
        </w:rPr>
      </w:pPr>
      <w:r>
        <w:rPr>
          <w:color w:val="000000"/>
          <w:lang w:val="es-PE"/>
        </w:rPr>
        <w:t xml:space="preserve">Para honrar la presente fianza a favor de ustedes bastará un requerimiento escrito por conducto notarial del Ministerio de Transportes y Comunicaciones, el cual deberá estar firmado por alguna persona debidamente autorizada por este organismo. El pago se hará efectivo dentro de las </w:t>
      </w:r>
      <w:r>
        <w:rPr>
          <w:color w:val="000000"/>
          <w:lang w:val="es-ES"/>
        </w:rPr>
        <w:t>24</w:t>
      </w:r>
      <w:r>
        <w:rPr>
          <w:color w:val="000000"/>
          <w:lang w:val="es-PE"/>
        </w:rPr>
        <w:t xml:space="preserve"> horas siguientes a su requerimiento en nuestras oficinas ubicadas en ...................................................</w:t>
      </w:r>
    </w:p>
    <w:p w14:paraId="41559AFA" w14:textId="77777777" w:rsidR="004412F1" w:rsidRDefault="004412F1">
      <w:pPr>
        <w:jc w:val="both"/>
        <w:rPr>
          <w:color w:val="000000"/>
          <w:sz w:val="18"/>
          <w:lang w:val="es-PE"/>
        </w:rPr>
      </w:pPr>
    </w:p>
    <w:p w14:paraId="0C2752EC" w14:textId="77777777" w:rsidR="004412F1" w:rsidRDefault="005A12A3">
      <w:pPr>
        <w:jc w:val="both"/>
        <w:rPr>
          <w:color w:val="000000"/>
          <w:lang w:val="es-PE"/>
        </w:rPr>
      </w:pPr>
      <w:r>
        <w:rPr>
          <w:color w:val="000000"/>
          <w:lang w:val="es-PE"/>
        </w:rPr>
        <w:t>Toda demora de nuestra parte para honrar la fianza antes referida devengará un interés equivalente a la tasa de interés legal fijada por el Banco Central de la Reserva del Perú conforme al artículo 1244 del Código Civil, más un margen (spread) de 3% anual. La tasa de interés legal será la publicada diariamente por la Superintendencia de Banca, Seguros y AFP, debiendo devengarse los intereses a partir de la fecha en que se ha exigido su cumplimiento y hasta la fecha efectiva de pago.</w:t>
      </w:r>
    </w:p>
    <w:p w14:paraId="5BA4E300" w14:textId="77777777" w:rsidR="004412F1" w:rsidRDefault="004412F1">
      <w:pPr>
        <w:jc w:val="both"/>
        <w:rPr>
          <w:sz w:val="18"/>
          <w:lang w:val="es-PE"/>
        </w:rPr>
      </w:pPr>
    </w:p>
    <w:p w14:paraId="5FA56AD6" w14:textId="77777777" w:rsidR="004412F1" w:rsidRDefault="005A12A3">
      <w:pPr>
        <w:jc w:val="both"/>
        <w:rPr>
          <w:color w:val="000000"/>
          <w:lang w:val="es-PE"/>
        </w:rPr>
      </w:pPr>
      <w:r>
        <w:rPr>
          <w:color w:val="000000"/>
          <w:lang w:val="es-PE"/>
        </w:rPr>
        <w:t xml:space="preserve">Nuestras obligaciones bajo la presente fianza, no se verán afectadas por cualquier disputa el Ministerio de Transportes y Comunicaciones, o cualquier entidad del Gobierno del Perú, y nuestros clientes. </w:t>
      </w:r>
    </w:p>
    <w:p w14:paraId="68008CE6" w14:textId="77777777" w:rsidR="004412F1" w:rsidRDefault="004412F1">
      <w:pPr>
        <w:jc w:val="both"/>
        <w:rPr>
          <w:color w:val="000000"/>
          <w:lang w:val="es-PE"/>
        </w:rPr>
      </w:pPr>
    </w:p>
    <w:p w14:paraId="782A48BD" w14:textId="77777777" w:rsidR="004412F1" w:rsidRDefault="005A12A3">
      <w:pPr>
        <w:jc w:val="both"/>
        <w:rPr>
          <w:color w:val="000000"/>
          <w:lang w:val="es-PE"/>
        </w:rPr>
      </w:pPr>
      <w:r>
        <w:rPr>
          <w:color w:val="000000"/>
          <w:lang w:val="es-PE"/>
        </w:rPr>
        <w:t>Esta fianza estará vigente desde el</w:t>
      </w:r>
      <w:proofErr w:type="gramStart"/>
      <w:r>
        <w:rPr>
          <w:color w:val="000000"/>
          <w:lang w:val="es-PE"/>
        </w:rPr>
        <w:t xml:space="preserve"> ....</w:t>
      </w:r>
      <w:proofErr w:type="gramEnd"/>
      <w:r>
        <w:rPr>
          <w:color w:val="000000"/>
          <w:lang w:val="es-PE"/>
        </w:rPr>
        <w:t xml:space="preserve">.de .................. de 20..., hasta el ..... de .................... de 20..., inclusive. </w:t>
      </w:r>
    </w:p>
    <w:p w14:paraId="09357E2A" w14:textId="77777777" w:rsidR="004412F1" w:rsidRDefault="005A12A3">
      <w:pPr>
        <w:jc w:val="both"/>
        <w:rPr>
          <w:color w:val="000000"/>
          <w:lang w:val="es-PE"/>
        </w:rPr>
      </w:pPr>
      <w:r>
        <w:rPr>
          <w:color w:val="000000"/>
          <w:lang w:val="es-PE"/>
        </w:rPr>
        <w:t xml:space="preserve">Atentamente, </w:t>
      </w:r>
    </w:p>
    <w:p w14:paraId="6435BC57" w14:textId="77777777" w:rsidR="004412F1" w:rsidRDefault="005A12A3">
      <w:pPr>
        <w:jc w:val="both"/>
        <w:rPr>
          <w:color w:val="000000"/>
          <w:lang w:val="es-PE"/>
        </w:rPr>
      </w:pPr>
      <w:r>
        <w:rPr>
          <w:color w:val="000000"/>
          <w:lang w:val="es-PE"/>
        </w:rPr>
        <w:t>Firma …………………</w:t>
      </w:r>
      <w:proofErr w:type="gramStart"/>
      <w:r>
        <w:rPr>
          <w:color w:val="000000"/>
          <w:lang w:val="es-PE"/>
        </w:rPr>
        <w:t>…….</w:t>
      </w:r>
      <w:proofErr w:type="gramEnd"/>
      <w:r>
        <w:rPr>
          <w:color w:val="000000"/>
          <w:lang w:val="es-PE"/>
        </w:rPr>
        <w:t xml:space="preserve">. </w:t>
      </w:r>
    </w:p>
    <w:p w14:paraId="7C874073" w14:textId="77777777" w:rsidR="004412F1" w:rsidRDefault="005A12A3">
      <w:pPr>
        <w:jc w:val="both"/>
        <w:rPr>
          <w:color w:val="000000"/>
          <w:lang w:val="es-PE"/>
        </w:rPr>
      </w:pPr>
      <w:r>
        <w:rPr>
          <w:color w:val="000000"/>
          <w:lang w:val="es-PE"/>
        </w:rPr>
        <w:t xml:space="preserve">Nombre ………………………. </w:t>
      </w:r>
    </w:p>
    <w:p w14:paraId="6BC07CBA" w14:textId="77777777" w:rsidR="004412F1" w:rsidRDefault="005A12A3">
      <w:pPr>
        <w:pStyle w:val="Ttulo1"/>
        <w:jc w:val="center"/>
        <w:rPr>
          <w:b w:val="0"/>
          <w:color w:val="000000"/>
          <w:lang w:val="es-MX"/>
        </w:rPr>
      </w:pPr>
      <w:r>
        <w:rPr>
          <w:lang w:val="es-PE"/>
        </w:rPr>
        <w:br w:type="page"/>
      </w:r>
      <w:bookmarkStart w:id="2821" w:name="_Toc468837753"/>
      <w:bookmarkStart w:id="2822" w:name="_Toc139294846"/>
      <w:bookmarkStart w:id="2823" w:name="_Ref362345554"/>
      <w:bookmarkStart w:id="2824" w:name="_Ref272766979"/>
      <w:bookmarkStart w:id="2825" w:name="_Toc140089464"/>
      <w:r>
        <w:rPr>
          <w:color w:val="000000"/>
          <w:lang w:val="es-MX"/>
        </w:rPr>
        <w:t>ANEXO IV</w:t>
      </w:r>
      <w:bookmarkEnd w:id="2821"/>
      <w:bookmarkEnd w:id="2822"/>
      <w:bookmarkEnd w:id="2823"/>
      <w:bookmarkEnd w:id="2824"/>
      <w:bookmarkEnd w:id="2825"/>
    </w:p>
    <w:p w14:paraId="527DDCA3" w14:textId="77777777" w:rsidR="004412F1" w:rsidRPr="00E02B22" w:rsidRDefault="005A12A3" w:rsidP="00E02B22">
      <w:pPr>
        <w:ind w:left="567"/>
        <w:jc w:val="center"/>
        <w:outlineLvl w:val="1"/>
        <w:rPr>
          <w:b/>
          <w:lang w:val="es-PE"/>
        </w:rPr>
      </w:pPr>
      <w:bookmarkStart w:id="2826" w:name="_Toc468837754"/>
      <w:bookmarkStart w:id="2827" w:name="_Toc140089465"/>
      <w:r w:rsidRPr="00E02B22">
        <w:rPr>
          <w:b/>
          <w:lang w:val="es-PE"/>
        </w:rPr>
        <w:t>GARANTÍA DE FIEL CUMPLIMIENTO DE EJECUCIÓN DE______ [REHABILITACIÓN Y MEJORAMIENTO</w:t>
      </w:r>
      <w:bookmarkEnd w:id="2826"/>
      <w:r w:rsidRPr="00E02B22">
        <w:rPr>
          <w:rFonts w:hint="eastAsia"/>
          <w:b/>
          <w:lang w:val="es-PE"/>
        </w:rPr>
        <w:t xml:space="preserve"> </w:t>
      </w:r>
      <w:r w:rsidRPr="00E02B22">
        <w:rPr>
          <w:b/>
          <w:lang w:val="es-PE"/>
        </w:rPr>
        <w:t>O CONSTRUCCIÓN DEL EVITAMIENTO SAN CLEMENTE O MANTENIMIENTO PERIÓDICO INICIAL]</w:t>
      </w:r>
      <w:bookmarkEnd w:id="2827"/>
    </w:p>
    <w:p w14:paraId="418636CD" w14:textId="77777777" w:rsidR="004412F1" w:rsidRDefault="004412F1">
      <w:pPr>
        <w:rPr>
          <w:b/>
          <w:color w:val="000000"/>
          <w:lang w:val="es-MX"/>
        </w:rPr>
      </w:pPr>
    </w:p>
    <w:p w14:paraId="54F12B4A" w14:textId="77777777" w:rsidR="004412F1" w:rsidRDefault="005A12A3">
      <w:pPr>
        <w:jc w:val="right"/>
        <w:rPr>
          <w:color w:val="000000"/>
          <w:lang w:val="es-PE"/>
        </w:rPr>
      </w:pPr>
      <w:r>
        <w:rPr>
          <w:color w:val="000000"/>
          <w:lang w:val="es-PE"/>
        </w:rPr>
        <w:t xml:space="preserve">Lima, …… de ................... de 202.... </w:t>
      </w:r>
    </w:p>
    <w:p w14:paraId="4316A766" w14:textId="77777777" w:rsidR="004412F1" w:rsidRDefault="004412F1">
      <w:pPr>
        <w:jc w:val="both"/>
        <w:rPr>
          <w:color w:val="000000"/>
          <w:lang w:val="es-PE"/>
        </w:rPr>
      </w:pPr>
    </w:p>
    <w:p w14:paraId="5720D503" w14:textId="77777777" w:rsidR="004412F1" w:rsidRDefault="005A12A3">
      <w:pPr>
        <w:jc w:val="both"/>
        <w:rPr>
          <w:color w:val="000000"/>
          <w:lang w:val="es-PE"/>
        </w:rPr>
      </w:pPr>
      <w:r>
        <w:rPr>
          <w:color w:val="000000"/>
          <w:lang w:val="es-PE"/>
        </w:rPr>
        <w:t xml:space="preserve">Señores </w:t>
      </w:r>
    </w:p>
    <w:p w14:paraId="2198AF94" w14:textId="77777777" w:rsidR="004412F1" w:rsidRDefault="005A12A3">
      <w:pPr>
        <w:rPr>
          <w:b/>
          <w:lang w:val="es-PE"/>
        </w:rPr>
      </w:pPr>
      <w:r>
        <w:rPr>
          <w:b/>
          <w:lang w:val="es-PE"/>
        </w:rPr>
        <w:t>Ministerio de Transportes y Comunicaciones</w:t>
      </w:r>
    </w:p>
    <w:p w14:paraId="79949249" w14:textId="77777777" w:rsidR="004412F1" w:rsidRDefault="005A12A3">
      <w:pPr>
        <w:jc w:val="both"/>
        <w:rPr>
          <w:color w:val="000000"/>
          <w:lang w:val="es-PE"/>
        </w:rPr>
      </w:pPr>
      <w:proofErr w:type="gramStart"/>
      <w:r>
        <w:rPr>
          <w:color w:val="000000"/>
          <w:lang w:val="es-PE"/>
        </w:rPr>
        <w:t>Presente.-</w:t>
      </w:r>
      <w:proofErr w:type="gramEnd"/>
      <w:r>
        <w:rPr>
          <w:color w:val="000000"/>
          <w:lang w:val="es-PE"/>
        </w:rPr>
        <w:t xml:space="preserve"> </w:t>
      </w:r>
    </w:p>
    <w:p w14:paraId="53BCEC56" w14:textId="77777777" w:rsidR="004412F1" w:rsidRDefault="004412F1">
      <w:pPr>
        <w:jc w:val="both"/>
        <w:rPr>
          <w:color w:val="000000"/>
          <w:lang w:val="es-PE"/>
        </w:rPr>
      </w:pPr>
    </w:p>
    <w:p w14:paraId="11C375CA" w14:textId="77777777" w:rsidR="004412F1" w:rsidRDefault="005A12A3">
      <w:pPr>
        <w:jc w:val="both"/>
        <w:rPr>
          <w:color w:val="000000"/>
          <w:lang w:val="es-PE"/>
        </w:rPr>
      </w:pPr>
      <w:r>
        <w:rPr>
          <w:color w:val="000000"/>
          <w:lang w:val="es-PE"/>
        </w:rPr>
        <w:t>Ref.: Carta Fianza No……</w:t>
      </w:r>
      <w:proofErr w:type="gramStart"/>
      <w:r>
        <w:rPr>
          <w:color w:val="000000"/>
          <w:lang w:val="es-PE"/>
        </w:rPr>
        <w:t>…….</w:t>
      </w:r>
      <w:proofErr w:type="gramEnd"/>
      <w:r>
        <w:rPr>
          <w:color w:val="000000"/>
          <w:lang w:val="es-PE"/>
        </w:rPr>
        <w:t xml:space="preserve">. </w:t>
      </w:r>
    </w:p>
    <w:p w14:paraId="128A71FF" w14:textId="77777777" w:rsidR="004412F1" w:rsidRDefault="005A12A3">
      <w:pPr>
        <w:jc w:val="both"/>
        <w:rPr>
          <w:color w:val="000000"/>
          <w:lang w:val="es-PE"/>
        </w:rPr>
      </w:pPr>
      <w:proofErr w:type="gramStart"/>
      <w:r>
        <w:rPr>
          <w:color w:val="000000"/>
          <w:lang w:val="es-PE"/>
        </w:rPr>
        <w:t>Vencimiento:......................</w:t>
      </w:r>
      <w:proofErr w:type="gramEnd"/>
      <w:r>
        <w:rPr>
          <w:color w:val="000000"/>
          <w:lang w:val="es-PE"/>
        </w:rPr>
        <w:t xml:space="preserve"> </w:t>
      </w:r>
    </w:p>
    <w:p w14:paraId="6443EC2C" w14:textId="77777777" w:rsidR="004412F1" w:rsidRDefault="004412F1">
      <w:pPr>
        <w:jc w:val="both"/>
        <w:rPr>
          <w:color w:val="000000"/>
          <w:lang w:val="es-PE"/>
        </w:rPr>
      </w:pPr>
    </w:p>
    <w:p w14:paraId="1CC83817" w14:textId="77777777" w:rsidR="004412F1" w:rsidRDefault="004412F1">
      <w:pPr>
        <w:jc w:val="both"/>
        <w:rPr>
          <w:color w:val="000000"/>
          <w:lang w:val="es-PE"/>
        </w:rPr>
      </w:pPr>
    </w:p>
    <w:p w14:paraId="481C979B" w14:textId="77777777" w:rsidR="004412F1" w:rsidRDefault="005A12A3">
      <w:pPr>
        <w:jc w:val="both"/>
        <w:rPr>
          <w:color w:val="000000"/>
          <w:lang w:val="es-PE"/>
        </w:rPr>
      </w:pPr>
      <w:r>
        <w:rPr>
          <w:color w:val="000000"/>
          <w:lang w:val="es-PE"/>
        </w:rPr>
        <w:t xml:space="preserve">De nuestra consideración: </w:t>
      </w:r>
    </w:p>
    <w:p w14:paraId="0BF0F991" w14:textId="77777777" w:rsidR="004412F1" w:rsidRDefault="005A12A3">
      <w:pPr>
        <w:jc w:val="both"/>
        <w:rPr>
          <w:color w:val="000000"/>
          <w:lang w:val="es-PE"/>
        </w:rPr>
      </w:pPr>
      <w:r>
        <w:rPr>
          <w:color w:val="000000"/>
          <w:lang w:val="es-PE"/>
        </w:rPr>
        <w:t xml:space="preserve">Por la presente y a la solicitud de nuestros clientes, </w:t>
      </w:r>
      <w:proofErr w:type="gramStart"/>
      <w:r>
        <w:rPr>
          <w:color w:val="000000"/>
          <w:lang w:val="es-PE"/>
        </w:rPr>
        <w:t>señores  .................................................</w:t>
      </w:r>
      <w:proofErr w:type="gramEnd"/>
      <w:r>
        <w:rPr>
          <w:color w:val="000000"/>
          <w:lang w:val="es-PE"/>
        </w:rPr>
        <w:t xml:space="preserve"> (</w:t>
      </w:r>
      <w:r>
        <w:rPr>
          <w:i/>
          <w:color w:val="000000"/>
          <w:lang w:val="es-PE"/>
        </w:rPr>
        <w:t>nombre de la persona jurídica</w:t>
      </w:r>
      <w:r>
        <w:rPr>
          <w:color w:val="000000"/>
          <w:lang w:val="es-PE"/>
        </w:rPr>
        <w:t>) (en adelante “el Concesionario”) constituimos esta fianza solidaria, irrevocable, incondicional y de realización automática, sin beneficio de excusión, ni división, hasta por la suma de ........................................... a favor del Ministerio de Transportes y Comunicaciones para garantizar el correcto y oportuno cumplimiento de la ejecución de la Intervención de</w:t>
      </w:r>
      <w:r>
        <w:rPr>
          <w:color w:val="000000"/>
          <w:lang w:val="es-ES"/>
        </w:rPr>
        <w:t xml:space="preserve"> ___</w:t>
      </w:r>
      <w:r>
        <w:rPr>
          <w:color w:val="000000"/>
          <w:lang w:val="es-PE"/>
        </w:rPr>
        <w:t xml:space="preserve"> [Rehabilitación y Mejoramiento</w:t>
      </w:r>
      <w:r>
        <w:rPr>
          <w:rFonts w:eastAsia="SimSun" w:hint="eastAsia"/>
          <w:color w:val="000000"/>
          <w:lang w:val="es-PE"/>
        </w:rPr>
        <w:t xml:space="preserve"> </w:t>
      </w:r>
      <w:r>
        <w:rPr>
          <w:rFonts w:eastAsia="SimSun"/>
          <w:color w:val="000000"/>
          <w:lang w:val="es-ES" w:eastAsia="zh-CN"/>
        </w:rPr>
        <w:t>o</w:t>
      </w:r>
      <w:r>
        <w:rPr>
          <w:color w:val="000000"/>
          <w:lang w:val="es-PE"/>
        </w:rPr>
        <w:t xml:space="preserve"> Construcción de Evitamiento San Clemente o Mantenimiento Periódico Inicial], incluyendo el pago de penalidades, derivadas de la celebración del Contrato de Concesión de la Carretera Longitudinal de la Sierra Tramo 4: Huancayo-Izcuchaca-Mayocc-Ayacucho/Ayacucho-Andahuaylas-Pte Sahuinto/Dv. Pisco – Huaytará – Ayacucho suscrito entre el Estado de la República del Perú y nuestros clientes. </w:t>
      </w:r>
    </w:p>
    <w:p w14:paraId="36A2E480" w14:textId="77777777" w:rsidR="004412F1" w:rsidRDefault="004412F1">
      <w:pPr>
        <w:jc w:val="both"/>
        <w:rPr>
          <w:color w:val="000000"/>
          <w:lang w:val="es-PE"/>
        </w:rPr>
      </w:pPr>
    </w:p>
    <w:p w14:paraId="2224DE84" w14:textId="77777777" w:rsidR="004412F1" w:rsidRDefault="005A12A3">
      <w:pPr>
        <w:jc w:val="both"/>
        <w:rPr>
          <w:color w:val="000000"/>
          <w:lang w:val="es-PE"/>
        </w:rPr>
      </w:pPr>
      <w:r>
        <w:rPr>
          <w:color w:val="000000"/>
          <w:lang w:val="es-PE"/>
        </w:rPr>
        <w:t xml:space="preserve">Para honrar la presente fianza a favor de ustedes bastará un requerimiento escrito por conducto notarial del Ministerio de Transportes y Comunicaciones, el cual deberá estar firmado por alguna persona debidamente autorizada por este organismo. El pago se hará efectivo dentro de las </w:t>
      </w:r>
      <w:r>
        <w:rPr>
          <w:color w:val="000000"/>
          <w:lang w:val="es-ES"/>
        </w:rPr>
        <w:t>24</w:t>
      </w:r>
      <w:r>
        <w:rPr>
          <w:color w:val="000000"/>
          <w:lang w:val="es-PE"/>
        </w:rPr>
        <w:t xml:space="preserve"> horas siguientes a su requerimiento en nuestras oficinas ubicadas en ...................................................</w:t>
      </w:r>
    </w:p>
    <w:p w14:paraId="7B792386" w14:textId="77777777" w:rsidR="004412F1" w:rsidRDefault="004412F1">
      <w:pPr>
        <w:jc w:val="both"/>
        <w:rPr>
          <w:color w:val="000000"/>
          <w:lang w:val="es-PE"/>
        </w:rPr>
      </w:pPr>
    </w:p>
    <w:p w14:paraId="7154C702" w14:textId="77777777" w:rsidR="004412F1" w:rsidRDefault="005A12A3">
      <w:pPr>
        <w:jc w:val="both"/>
        <w:rPr>
          <w:color w:val="000000"/>
          <w:lang w:val="es-PE"/>
        </w:rPr>
      </w:pPr>
      <w:r>
        <w:rPr>
          <w:color w:val="000000"/>
          <w:lang w:val="es-PE"/>
        </w:rPr>
        <w:t xml:space="preserve">Toda demora de nuestra parte para honrar la fianza antes referida devengará un interés equivalente a la tasa de interés legal fijada por el Banco Central de la Reserva del Perú conforme al artículo 1244 del Código Civil, más un margen (spread) de </w:t>
      </w:r>
      <w:r>
        <w:rPr>
          <w:color w:val="000000"/>
          <w:lang w:val="es-ES"/>
        </w:rPr>
        <w:t>3</w:t>
      </w:r>
      <w:r>
        <w:rPr>
          <w:color w:val="000000"/>
          <w:lang w:val="es-PE"/>
        </w:rPr>
        <w:t>% anual. La tasa de interés legal será la publicada diariamente por la Superintendencia de Banca, Seguros y AFP, debiendo devengarse los intereses a partir de la fecha en que se ha exigido su cumplimiento y hasta la fecha efectiva de pago.</w:t>
      </w:r>
    </w:p>
    <w:p w14:paraId="5C639754" w14:textId="77777777" w:rsidR="004412F1" w:rsidRDefault="004412F1">
      <w:pPr>
        <w:jc w:val="both"/>
        <w:rPr>
          <w:color w:val="000000"/>
          <w:lang w:val="es-PE"/>
        </w:rPr>
      </w:pPr>
    </w:p>
    <w:p w14:paraId="73B1583D" w14:textId="77777777" w:rsidR="004412F1" w:rsidRDefault="005A12A3">
      <w:pPr>
        <w:jc w:val="both"/>
        <w:rPr>
          <w:color w:val="000000"/>
          <w:lang w:val="es-PE"/>
        </w:rPr>
      </w:pPr>
      <w:r>
        <w:rPr>
          <w:color w:val="000000"/>
          <w:lang w:val="es-PE"/>
        </w:rPr>
        <w:t xml:space="preserve">Nuestras obligaciones bajo la presente fianza, no se verán afectadas por cualquier disputa el Ministerio de Transportes y Comunicaciones, o cualquier entidad del Gobierno del Perú, y nuestros clientes. </w:t>
      </w:r>
    </w:p>
    <w:p w14:paraId="75931D7C" w14:textId="77777777" w:rsidR="004412F1" w:rsidRDefault="004412F1">
      <w:pPr>
        <w:jc w:val="both"/>
        <w:rPr>
          <w:color w:val="000000"/>
          <w:lang w:val="es-PE"/>
        </w:rPr>
      </w:pPr>
    </w:p>
    <w:p w14:paraId="27DF0BAB" w14:textId="77777777" w:rsidR="004412F1" w:rsidRDefault="005A12A3">
      <w:pPr>
        <w:jc w:val="both"/>
        <w:rPr>
          <w:color w:val="000000"/>
          <w:lang w:val="es-PE"/>
        </w:rPr>
      </w:pPr>
      <w:r>
        <w:rPr>
          <w:color w:val="000000"/>
          <w:lang w:val="es-PE"/>
        </w:rPr>
        <w:t>Esta fianza estará vigente desde el</w:t>
      </w:r>
      <w:proofErr w:type="gramStart"/>
      <w:r>
        <w:rPr>
          <w:color w:val="000000"/>
          <w:lang w:val="es-PE"/>
        </w:rPr>
        <w:t xml:space="preserve"> ....</w:t>
      </w:r>
      <w:proofErr w:type="gramEnd"/>
      <w:r>
        <w:rPr>
          <w:color w:val="000000"/>
          <w:lang w:val="es-PE"/>
        </w:rPr>
        <w:t xml:space="preserve">.de .................. de 202..., hasta el ..... de .................... de 202..., inclusive. </w:t>
      </w:r>
    </w:p>
    <w:p w14:paraId="32CF6F12" w14:textId="77777777" w:rsidR="004412F1" w:rsidRDefault="004412F1">
      <w:pPr>
        <w:jc w:val="both"/>
        <w:rPr>
          <w:rFonts w:ascii="Courier New" w:eastAsia="Courier New" w:hAnsi="Courier New"/>
          <w:color w:val="000000"/>
          <w:lang w:val="es-PE"/>
        </w:rPr>
      </w:pPr>
    </w:p>
    <w:p w14:paraId="5AE4D81C" w14:textId="77777777" w:rsidR="004412F1" w:rsidRDefault="005A12A3">
      <w:pPr>
        <w:jc w:val="both"/>
        <w:rPr>
          <w:color w:val="000000"/>
          <w:lang w:val="es-PE"/>
        </w:rPr>
      </w:pPr>
      <w:r>
        <w:rPr>
          <w:color w:val="000000"/>
          <w:lang w:val="es-PE"/>
        </w:rPr>
        <w:t xml:space="preserve">Atentamente, </w:t>
      </w:r>
    </w:p>
    <w:p w14:paraId="18438A75" w14:textId="77777777" w:rsidR="004412F1" w:rsidRDefault="005A12A3">
      <w:pPr>
        <w:jc w:val="both"/>
        <w:rPr>
          <w:color w:val="000000"/>
          <w:lang w:val="es-PE"/>
        </w:rPr>
      </w:pPr>
      <w:r>
        <w:rPr>
          <w:color w:val="000000"/>
          <w:lang w:val="es-PE"/>
        </w:rPr>
        <w:t>Firma …………………</w:t>
      </w:r>
      <w:proofErr w:type="gramStart"/>
      <w:r>
        <w:rPr>
          <w:color w:val="000000"/>
          <w:lang w:val="es-PE"/>
        </w:rPr>
        <w:t>…….</w:t>
      </w:r>
      <w:proofErr w:type="gramEnd"/>
      <w:r>
        <w:rPr>
          <w:color w:val="000000"/>
          <w:lang w:val="es-PE"/>
        </w:rPr>
        <w:t xml:space="preserve">. </w:t>
      </w:r>
    </w:p>
    <w:p w14:paraId="72236DA3" w14:textId="77777777" w:rsidR="004412F1" w:rsidRDefault="005A12A3">
      <w:pPr>
        <w:jc w:val="both"/>
        <w:rPr>
          <w:b/>
          <w:lang w:val="es-PE"/>
        </w:rPr>
      </w:pPr>
      <w:r>
        <w:rPr>
          <w:color w:val="000000"/>
          <w:lang w:val="es-PE"/>
        </w:rPr>
        <w:t xml:space="preserve">Nombre ………………………. </w:t>
      </w:r>
    </w:p>
    <w:p w14:paraId="5431FCD3" w14:textId="77777777" w:rsidR="004412F1" w:rsidRDefault="005A12A3">
      <w:pPr>
        <w:pStyle w:val="Ttulo1"/>
        <w:jc w:val="center"/>
        <w:rPr>
          <w:b w:val="0"/>
          <w:color w:val="000000"/>
          <w:lang w:val="es-MX"/>
        </w:rPr>
      </w:pPr>
      <w:r>
        <w:rPr>
          <w:lang w:val="es-PE"/>
        </w:rPr>
        <w:br w:type="page"/>
      </w:r>
      <w:bookmarkStart w:id="2828" w:name="_Toc139294847"/>
      <w:bookmarkStart w:id="2829" w:name="_Toc468837757"/>
      <w:bookmarkStart w:id="2830" w:name="_Toc140089466"/>
      <w:r>
        <w:rPr>
          <w:color w:val="000000"/>
          <w:lang w:val="es-MX"/>
        </w:rPr>
        <w:t>ANEXO V</w:t>
      </w:r>
      <w:bookmarkEnd w:id="2828"/>
      <w:bookmarkEnd w:id="2829"/>
      <w:bookmarkEnd w:id="2830"/>
    </w:p>
    <w:p w14:paraId="1CBD192D" w14:textId="77777777" w:rsidR="004412F1" w:rsidRPr="00E02B22" w:rsidRDefault="005A12A3" w:rsidP="00E02B22">
      <w:pPr>
        <w:ind w:left="567"/>
        <w:jc w:val="center"/>
        <w:outlineLvl w:val="1"/>
        <w:rPr>
          <w:b/>
          <w:lang w:val="es-PE"/>
        </w:rPr>
      </w:pPr>
      <w:bookmarkStart w:id="2831" w:name="_3cqmetx" w:colFirst="0" w:colLast="0"/>
      <w:bookmarkStart w:id="2832" w:name="_Toc468837758"/>
      <w:bookmarkStart w:id="2833" w:name="_Toc140089467"/>
      <w:bookmarkEnd w:id="2831"/>
      <w:r w:rsidRPr="00E02B22">
        <w:rPr>
          <w:b/>
          <w:lang w:val="es-PE"/>
        </w:rPr>
        <w:t>TESTIMONIO DE LA ESCRITURA PÚBLICA DE CONSTITUCIÓN SOCIAL Y ESTATUTO DEL CONCESIONARIO</w:t>
      </w:r>
      <w:bookmarkEnd w:id="2832"/>
      <w:bookmarkEnd w:id="2833"/>
    </w:p>
    <w:p w14:paraId="1D7B83C1" w14:textId="77777777" w:rsidR="004412F1" w:rsidRDefault="004412F1">
      <w:pPr>
        <w:jc w:val="center"/>
        <w:rPr>
          <w:b/>
          <w:lang w:val="es-PE"/>
        </w:rPr>
      </w:pPr>
    </w:p>
    <w:p w14:paraId="267A43A1" w14:textId="77777777" w:rsidR="004412F1" w:rsidRDefault="004412F1">
      <w:pPr>
        <w:jc w:val="center"/>
        <w:rPr>
          <w:b/>
          <w:lang w:val="es-PE"/>
        </w:rPr>
      </w:pPr>
    </w:p>
    <w:p w14:paraId="3B813A06" w14:textId="77777777" w:rsidR="004412F1" w:rsidRDefault="005A12A3">
      <w:pPr>
        <w:pStyle w:val="Ttulo1"/>
        <w:jc w:val="center"/>
        <w:rPr>
          <w:b w:val="0"/>
          <w:color w:val="000000"/>
          <w:lang w:val="es-PE"/>
        </w:rPr>
      </w:pPr>
      <w:r>
        <w:rPr>
          <w:color w:val="000000"/>
          <w:lang w:val="es-MX"/>
        </w:rPr>
        <w:br w:type="page"/>
      </w:r>
      <w:bookmarkStart w:id="2834" w:name="_Toc468837759"/>
      <w:bookmarkStart w:id="2835" w:name="_Toc139294848"/>
      <w:bookmarkStart w:id="2836" w:name="_Toc140089468"/>
      <w:r>
        <w:rPr>
          <w:color w:val="000000"/>
          <w:lang w:val="es-PE"/>
        </w:rPr>
        <w:t>ANEXO VI</w:t>
      </w:r>
      <w:bookmarkEnd w:id="2834"/>
      <w:bookmarkEnd w:id="2835"/>
      <w:bookmarkEnd w:id="2836"/>
    </w:p>
    <w:p w14:paraId="679BDD68" w14:textId="77777777" w:rsidR="004412F1" w:rsidRDefault="005A12A3" w:rsidP="00E02B22">
      <w:pPr>
        <w:ind w:left="567"/>
        <w:jc w:val="center"/>
        <w:outlineLvl w:val="1"/>
        <w:rPr>
          <w:b/>
          <w:color w:val="000000"/>
          <w:lang w:val="es-PE"/>
        </w:rPr>
      </w:pPr>
      <w:bookmarkStart w:id="2837" w:name="_Toc468837760"/>
      <w:bookmarkStart w:id="2838" w:name="_Toc140089469"/>
      <w:r>
        <w:rPr>
          <w:b/>
          <w:lang w:val="es-PE"/>
        </w:rPr>
        <w:t>PODER DEL REPRESENTANTE LEGAL DEL CONCESIONARIO</w:t>
      </w:r>
      <w:bookmarkEnd w:id="2837"/>
      <w:bookmarkEnd w:id="2838"/>
    </w:p>
    <w:p w14:paraId="6189C7D4" w14:textId="77777777" w:rsidR="004412F1" w:rsidRDefault="005A12A3">
      <w:pPr>
        <w:jc w:val="center"/>
        <w:rPr>
          <w:b/>
          <w:lang w:val="es-PE"/>
        </w:rPr>
      </w:pPr>
      <w:r>
        <w:rPr>
          <w:lang w:val="es-PE"/>
        </w:rPr>
        <w:br w:type="page"/>
      </w:r>
    </w:p>
    <w:p w14:paraId="7DC4032D" w14:textId="77777777" w:rsidR="004412F1" w:rsidRDefault="005A12A3">
      <w:pPr>
        <w:pStyle w:val="Ttulo1"/>
        <w:jc w:val="center"/>
        <w:rPr>
          <w:color w:val="000000"/>
          <w:lang w:val="es-PE"/>
        </w:rPr>
      </w:pPr>
      <w:bookmarkStart w:id="2839" w:name="_Toc468837761"/>
      <w:bookmarkStart w:id="2840" w:name="_Toc139294849"/>
      <w:bookmarkStart w:id="2841" w:name="_Toc140089470"/>
      <w:r>
        <w:rPr>
          <w:color w:val="000000"/>
          <w:lang w:val="es-PE"/>
        </w:rPr>
        <w:t>ANEXO VII</w:t>
      </w:r>
      <w:bookmarkEnd w:id="2839"/>
      <w:bookmarkEnd w:id="2840"/>
      <w:bookmarkEnd w:id="2841"/>
    </w:p>
    <w:p w14:paraId="63BADC84" w14:textId="77777777" w:rsidR="004412F1" w:rsidRPr="00E02B22" w:rsidRDefault="005A12A3" w:rsidP="00E02B22">
      <w:pPr>
        <w:ind w:left="567"/>
        <w:jc w:val="center"/>
        <w:outlineLvl w:val="1"/>
        <w:rPr>
          <w:b/>
          <w:lang w:val="es-PE"/>
        </w:rPr>
      </w:pPr>
      <w:bookmarkStart w:id="2842" w:name="_Toc468837762"/>
      <w:bookmarkStart w:id="2843" w:name="_Toc140089471"/>
      <w:r w:rsidRPr="00E02B22">
        <w:rPr>
          <w:b/>
          <w:lang w:val="es-PE"/>
        </w:rPr>
        <w:t>PROPUESTA ECONÓMICA</w:t>
      </w:r>
      <w:bookmarkEnd w:id="2842"/>
      <w:bookmarkEnd w:id="2843"/>
    </w:p>
    <w:p w14:paraId="12AAA7DF" w14:textId="77777777" w:rsidR="004412F1" w:rsidRDefault="004412F1">
      <w:pPr>
        <w:jc w:val="center"/>
        <w:rPr>
          <w:color w:val="000000"/>
          <w:lang w:val="es-MX"/>
        </w:rPr>
      </w:pPr>
    </w:p>
    <w:p w14:paraId="37F6C96A" w14:textId="77777777" w:rsidR="004412F1" w:rsidRDefault="005A12A3">
      <w:pPr>
        <w:pStyle w:val="Ttulo1"/>
        <w:jc w:val="center"/>
        <w:rPr>
          <w:b w:val="0"/>
          <w:lang w:val="es-PE"/>
        </w:rPr>
      </w:pPr>
      <w:r>
        <w:rPr>
          <w:lang w:val="es-MX"/>
        </w:rPr>
        <w:br w:type="page"/>
      </w:r>
      <w:bookmarkStart w:id="2844" w:name="_Ref272156974"/>
      <w:bookmarkStart w:id="2845" w:name="_Ref272156984"/>
      <w:bookmarkStart w:id="2846" w:name="_Toc139294850"/>
      <w:bookmarkStart w:id="2847" w:name="_Toc468837763"/>
      <w:bookmarkStart w:id="2848" w:name="_Toc140089472"/>
      <w:r>
        <w:rPr>
          <w:color w:val="000000"/>
          <w:lang w:val="es-PE"/>
        </w:rPr>
        <w:t>ANEXO VIII</w:t>
      </w:r>
      <w:bookmarkEnd w:id="2844"/>
      <w:bookmarkEnd w:id="2845"/>
      <w:bookmarkEnd w:id="2846"/>
      <w:bookmarkEnd w:id="2847"/>
      <w:bookmarkEnd w:id="2848"/>
    </w:p>
    <w:p w14:paraId="1199B237" w14:textId="77777777" w:rsidR="004412F1" w:rsidRPr="00E02B22" w:rsidRDefault="005A12A3" w:rsidP="00E02B22">
      <w:pPr>
        <w:ind w:left="567"/>
        <w:jc w:val="center"/>
        <w:outlineLvl w:val="1"/>
        <w:rPr>
          <w:b/>
          <w:lang w:val="es-PE"/>
        </w:rPr>
      </w:pPr>
      <w:bookmarkStart w:id="2849" w:name="_Toc468837764"/>
      <w:bookmarkStart w:id="2850" w:name="_Toc140089473"/>
      <w:r w:rsidRPr="00E02B22">
        <w:rPr>
          <w:b/>
          <w:lang w:val="es-PE"/>
        </w:rPr>
        <w:t>MEDICIÓN DE FLUJOS VEHICULARES</w:t>
      </w:r>
      <w:bookmarkEnd w:id="2849"/>
      <w:bookmarkEnd w:id="2850"/>
    </w:p>
    <w:p w14:paraId="50569F21" w14:textId="77777777" w:rsidR="004412F1" w:rsidRDefault="004412F1">
      <w:pPr>
        <w:ind w:left="567"/>
        <w:jc w:val="both"/>
        <w:rPr>
          <w:rFonts w:ascii="Courier New" w:hAnsi="Courier New"/>
          <w:color w:val="000000"/>
        </w:rPr>
      </w:pPr>
    </w:p>
    <w:p w14:paraId="262382D7" w14:textId="77777777" w:rsidR="004412F1" w:rsidRDefault="005A12A3">
      <w:pPr>
        <w:numPr>
          <w:ilvl w:val="6"/>
          <w:numId w:val="186"/>
        </w:numPr>
        <w:tabs>
          <w:tab w:val="left" w:pos="567"/>
        </w:tabs>
        <w:ind w:left="567" w:hanging="567"/>
        <w:jc w:val="both"/>
        <w:rPr>
          <w:color w:val="000000"/>
          <w:lang w:val="es-PE"/>
        </w:rPr>
      </w:pPr>
      <w:r>
        <w:rPr>
          <w:color w:val="000000"/>
          <w:lang w:val="es-PE"/>
        </w:rPr>
        <w:t>Corresponde al CONCESIONARIO proporcionar al REGULADOR, con copia al CONCEDENTE, informes de las mediciones de flujo vehicular, respecto de las unidades de peaje previstas en el presente contrato, cuya información y periodicidad se deberá ceñir al Reglamento General de Supervisión, aprobado mediante Resolución de Consejo Directivo Nº 024-2011-CD-OSITRAN, o norma que lo sustituya.</w:t>
      </w:r>
    </w:p>
    <w:p w14:paraId="3B5F4161" w14:textId="77777777" w:rsidR="004412F1" w:rsidRDefault="004412F1">
      <w:pPr>
        <w:ind w:left="567"/>
        <w:jc w:val="both"/>
        <w:rPr>
          <w:color w:val="000000"/>
          <w:lang w:val="es-PE"/>
        </w:rPr>
      </w:pPr>
    </w:p>
    <w:p w14:paraId="505C06D2" w14:textId="77777777" w:rsidR="004412F1" w:rsidRDefault="005A12A3">
      <w:pPr>
        <w:numPr>
          <w:ilvl w:val="6"/>
          <w:numId w:val="186"/>
        </w:numPr>
        <w:tabs>
          <w:tab w:val="left" w:pos="567"/>
        </w:tabs>
        <w:ind w:left="567" w:hanging="567"/>
        <w:jc w:val="both"/>
        <w:rPr>
          <w:color w:val="000000"/>
          <w:lang w:val="es-PE"/>
        </w:rPr>
      </w:pPr>
      <w:r>
        <w:rPr>
          <w:color w:val="000000"/>
          <w:lang w:val="es-PE"/>
        </w:rPr>
        <w:t xml:space="preserve">Corresponde al CONCESIONARIO proporcionar al REGULADOR, con copia al CONCEDENTE, un informe de los flujos vehiculares auditados, cuya información y periodicidad se deberá ceñir al Reglamento General de Supervisión, aprobado mediante Resolución de Consejo Directivo Nº 036-2004-CD-OSITRAN, o norma que lo sustituya. </w:t>
      </w:r>
    </w:p>
    <w:p w14:paraId="757E854C" w14:textId="77777777" w:rsidR="004412F1" w:rsidRDefault="004412F1">
      <w:pPr>
        <w:ind w:left="708"/>
        <w:rPr>
          <w:color w:val="000000"/>
          <w:lang w:val="es-PE"/>
        </w:rPr>
      </w:pPr>
    </w:p>
    <w:p w14:paraId="11CC9ABD" w14:textId="77777777" w:rsidR="004412F1" w:rsidRDefault="005A12A3">
      <w:pPr>
        <w:ind w:left="567"/>
        <w:jc w:val="both"/>
        <w:rPr>
          <w:color w:val="000000"/>
          <w:lang w:val="es-PE"/>
        </w:rPr>
      </w:pPr>
      <w:r>
        <w:rPr>
          <w:color w:val="000000"/>
          <w:lang w:val="es-PE"/>
        </w:rPr>
        <w:t>A tal efecto, corresponderá al REGULADOR establecer los términos de referencia para la selección de la empresa auditora a ser contratada, siendo su responsabilidad y a costo del CONCESIONARIO llevar a cabo el procedimiento de selección, que se realizará cada año, dentro de los dos (2) primeros meses del año a ser auditado.</w:t>
      </w:r>
    </w:p>
    <w:p w14:paraId="71590E50" w14:textId="77777777" w:rsidR="004412F1" w:rsidRDefault="004412F1">
      <w:pPr>
        <w:ind w:left="429"/>
        <w:jc w:val="both"/>
        <w:rPr>
          <w:color w:val="000000"/>
          <w:lang w:val="es-PE"/>
        </w:rPr>
      </w:pPr>
    </w:p>
    <w:p w14:paraId="0087021C" w14:textId="77777777" w:rsidR="004412F1" w:rsidRDefault="005A12A3">
      <w:pPr>
        <w:ind w:left="567"/>
        <w:jc w:val="both"/>
        <w:rPr>
          <w:color w:val="000000"/>
          <w:lang w:val="es-PE"/>
        </w:rPr>
      </w:pPr>
      <w:r>
        <w:rPr>
          <w:color w:val="000000"/>
          <w:lang w:val="es-PE"/>
        </w:rPr>
        <w:t>La auditoría del flujo vehicular se realizará con el objeto, entre otros, de verificar el ingreso efectivo recaudado por el CONCESIONARIO.</w:t>
      </w:r>
    </w:p>
    <w:p w14:paraId="5668A724" w14:textId="77777777" w:rsidR="004412F1" w:rsidRDefault="004412F1">
      <w:pPr>
        <w:jc w:val="both"/>
        <w:rPr>
          <w:color w:val="000000"/>
          <w:lang w:val="es-PE"/>
        </w:rPr>
      </w:pPr>
    </w:p>
    <w:p w14:paraId="07E0E80D" w14:textId="77777777" w:rsidR="004412F1" w:rsidRDefault="005A12A3">
      <w:pPr>
        <w:numPr>
          <w:ilvl w:val="6"/>
          <w:numId w:val="186"/>
        </w:numPr>
        <w:tabs>
          <w:tab w:val="left" w:pos="567"/>
        </w:tabs>
        <w:ind w:left="567" w:hanging="567"/>
        <w:jc w:val="both"/>
        <w:rPr>
          <w:color w:val="000000"/>
          <w:lang w:val="es-PE"/>
        </w:rPr>
      </w:pPr>
      <w:r>
        <w:rPr>
          <w:color w:val="000000"/>
          <w:lang w:val="es-PE"/>
        </w:rPr>
        <w:t>Adicionalmente, el REGULADOR podrá optar, bajo su responsabilidad, por la instalación en las estaciones de control y pago de Peaje, de sus propias máquinas y equipos de conteo de vehículos, durante el período de tiempo que estime conveniente, a su propio costo. Para lo anterior el CONCESIONARIO deberá proporcionar el espacio mínimo para cubrir las necesidades de su operación y funcionamiento.</w:t>
      </w:r>
    </w:p>
    <w:p w14:paraId="5A32DCBD" w14:textId="77777777" w:rsidR="004412F1" w:rsidRDefault="004412F1">
      <w:pPr>
        <w:jc w:val="both"/>
        <w:rPr>
          <w:color w:val="000000"/>
          <w:lang w:val="es-PE"/>
        </w:rPr>
      </w:pPr>
    </w:p>
    <w:p w14:paraId="6C4B2A54" w14:textId="77777777" w:rsidR="004412F1" w:rsidRDefault="005A12A3">
      <w:pPr>
        <w:ind w:left="567"/>
        <w:jc w:val="both"/>
        <w:rPr>
          <w:color w:val="000000"/>
          <w:lang w:val="es-PE"/>
        </w:rPr>
      </w:pPr>
      <w:r>
        <w:rPr>
          <w:color w:val="000000"/>
          <w:lang w:val="es-PE"/>
        </w:rPr>
        <w:t xml:space="preserve">El CONCESIONARIO realizará sus mejores esfuerzos para la vigilancia de dichos </w:t>
      </w:r>
      <w:proofErr w:type="gramStart"/>
      <w:r>
        <w:rPr>
          <w:color w:val="000000"/>
          <w:lang w:val="es-PE"/>
        </w:rPr>
        <w:t>equipos</w:t>
      </w:r>
      <w:proofErr w:type="gramEnd"/>
      <w:r>
        <w:rPr>
          <w:color w:val="000000"/>
          <w:lang w:val="es-PE"/>
        </w:rPr>
        <w:t xml:space="preserve"> pero en ningún caso será responsable por la custodia, conservación, pérdida o deterioro de los mismos, salvo que se demuestre que los daños ocasionados son responsabilidad de su personal.</w:t>
      </w:r>
    </w:p>
    <w:p w14:paraId="1AA3D965" w14:textId="77777777" w:rsidR="004412F1" w:rsidRDefault="004412F1">
      <w:pPr>
        <w:jc w:val="both"/>
        <w:rPr>
          <w:color w:val="000000"/>
          <w:lang w:val="es-PE"/>
        </w:rPr>
      </w:pPr>
    </w:p>
    <w:p w14:paraId="1AD7BB5B" w14:textId="77777777" w:rsidR="004412F1" w:rsidRDefault="005A12A3">
      <w:pPr>
        <w:jc w:val="both"/>
        <w:rPr>
          <w:b/>
          <w:color w:val="000000"/>
          <w:lang w:val="es-PE"/>
        </w:rPr>
      </w:pPr>
      <w:r>
        <w:rPr>
          <w:b/>
          <w:color w:val="000000"/>
          <w:lang w:val="es-PE"/>
        </w:rPr>
        <w:t>CONTROL DE PESOS Y DIMENSIONES VEHICULARES</w:t>
      </w:r>
    </w:p>
    <w:p w14:paraId="613B465B" w14:textId="77777777" w:rsidR="004412F1" w:rsidRDefault="004412F1">
      <w:pPr>
        <w:jc w:val="both"/>
        <w:rPr>
          <w:color w:val="000000"/>
          <w:lang w:val="es-PE"/>
        </w:rPr>
      </w:pPr>
    </w:p>
    <w:p w14:paraId="3A070905" w14:textId="77777777" w:rsidR="004412F1" w:rsidRDefault="005A12A3">
      <w:pPr>
        <w:numPr>
          <w:ilvl w:val="6"/>
          <w:numId w:val="186"/>
        </w:numPr>
        <w:tabs>
          <w:tab w:val="left" w:pos="567"/>
        </w:tabs>
        <w:ind w:left="567" w:hanging="567"/>
        <w:jc w:val="both"/>
        <w:rPr>
          <w:color w:val="000000"/>
          <w:lang w:val="es-PE"/>
        </w:rPr>
      </w:pPr>
      <w:r>
        <w:rPr>
          <w:color w:val="000000"/>
          <w:lang w:val="es-PE"/>
        </w:rPr>
        <w:t>Durante el plazo de la Concesión y en el Área de la Concesión, el CONCESIONARIO es el responsable de hacer respetar íntegramente el Reglamento de Pesos y Dimensiones Vehiculares vigente. A tales efectos se establecen las siguientes condiciones:</w:t>
      </w:r>
    </w:p>
    <w:p w14:paraId="3AF1D73D" w14:textId="77777777" w:rsidR="004412F1" w:rsidRDefault="004412F1">
      <w:pPr>
        <w:jc w:val="both"/>
        <w:rPr>
          <w:color w:val="000000"/>
          <w:lang w:val="es-PE"/>
        </w:rPr>
      </w:pPr>
    </w:p>
    <w:p w14:paraId="6ADB1181" w14:textId="77777777" w:rsidR="004412F1" w:rsidRDefault="005A12A3">
      <w:pPr>
        <w:numPr>
          <w:ilvl w:val="0"/>
          <w:numId w:val="187"/>
        </w:numPr>
        <w:ind w:left="993" w:hanging="426"/>
        <w:jc w:val="both"/>
        <w:rPr>
          <w:color w:val="000000"/>
          <w:lang w:val="es-PE"/>
        </w:rPr>
      </w:pPr>
      <w:r>
        <w:rPr>
          <w:color w:val="000000"/>
          <w:lang w:val="es-PE"/>
        </w:rPr>
        <w:t>El CONCESIONARIO es responsable durante todo el tiempo de la Concesión del correcto funcionamiento de la infraestructura, equipos de pesaje, calibración de las balanzas dinámica instaladas o por instalarse, tomando como referencia la Norma ASTM E 1318-02, Normas y Protocolos de Calibración de Balanzas Dinámicas del INDECOPI y el Reglamento Nacional de Vehículos vigente.</w:t>
      </w:r>
    </w:p>
    <w:p w14:paraId="713B739A" w14:textId="77777777" w:rsidR="004412F1" w:rsidRDefault="004412F1">
      <w:pPr>
        <w:jc w:val="both"/>
        <w:rPr>
          <w:color w:val="000000"/>
          <w:lang w:val="es-PE"/>
        </w:rPr>
      </w:pPr>
    </w:p>
    <w:p w14:paraId="10CED0F6" w14:textId="77777777" w:rsidR="004412F1" w:rsidRDefault="005A12A3">
      <w:pPr>
        <w:numPr>
          <w:ilvl w:val="0"/>
          <w:numId w:val="187"/>
        </w:numPr>
        <w:ind w:left="993" w:hanging="426"/>
        <w:jc w:val="both"/>
        <w:rPr>
          <w:color w:val="000000"/>
          <w:lang w:val="es-PE"/>
        </w:rPr>
      </w:pPr>
      <w:r>
        <w:rPr>
          <w:color w:val="000000"/>
          <w:lang w:val="es-PE"/>
        </w:rPr>
        <w:t xml:space="preserve">El </w:t>
      </w:r>
      <w:r>
        <w:rPr>
          <w:color w:val="000000"/>
          <w:lang w:val="es-ES"/>
        </w:rPr>
        <w:t>CONCESIONARIO</w:t>
      </w:r>
      <w:r>
        <w:rPr>
          <w:color w:val="000000"/>
          <w:lang w:val="es-PE"/>
        </w:rPr>
        <w:t xml:space="preserve"> deberá efectuar las verificaciones necesarias de peso y dimensiones vehiculares, evitando en la medida de lo posible retrasos e inconvenientes a los Usuarios y de conformidad con las Leyes y Disposiciones Aplicables. A tales efectos, el CONCESIONARIO, podrá complementar el Sistema de Pesaje con unidades de pesaje móviles, efectuando los controles aleatorios en ruta que entienda necesarios. </w:t>
      </w:r>
    </w:p>
    <w:p w14:paraId="69332423" w14:textId="77777777" w:rsidR="004412F1" w:rsidRDefault="004412F1">
      <w:pPr>
        <w:ind w:left="1134"/>
        <w:jc w:val="both"/>
        <w:rPr>
          <w:color w:val="000000"/>
          <w:lang w:val="es-PE"/>
        </w:rPr>
      </w:pPr>
    </w:p>
    <w:p w14:paraId="69FE4A73" w14:textId="77777777" w:rsidR="004412F1" w:rsidRDefault="005A12A3">
      <w:pPr>
        <w:numPr>
          <w:ilvl w:val="0"/>
          <w:numId w:val="187"/>
        </w:numPr>
        <w:ind w:left="993" w:hanging="426"/>
        <w:jc w:val="both"/>
        <w:rPr>
          <w:color w:val="000000"/>
          <w:lang w:val="es-PE"/>
        </w:rPr>
      </w:pPr>
      <w:r>
        <w:rPr>
          <w:color w:val="000000"/>
          <w:lang w:val="es-PE"/>
        </w:rPr>
        <w:t xml:space="preserve">El CONCESIONARIO podrá requerir directamente el auxilio de la fuerza pública, a fin de facilitar el cumplimiento de sus obligaciones contractuales con relación a la gestión de las estaciones de pesaje. </w:t>
      </w:r>
      <w:proofErr w:type="gramStart"/>
      <w:r>
        <w:rPr>
          <w:color w:val="000000"/>
          <w:lang w:val="es-PE"/>
        </w:rPr>
        <w:t>En caso que</w:t>
      </w:r>
      <w:proofErr w:type="gramEnd"/>
      <w:r>
        <w:rPr>
          <w:color w:val="000000"/>
          <w:lang w:val="es-PE"/>
        </w:rPr>
        <w:t xml:space="preserve"> el CONCESIONARIO detectara algún posible incumplimiento, deberá notificar a la Superintendencia de Transporte Terrestre de Personas Carga y Mercancías (SUTRAN) y al CONCEDENTE. La notificación deberá, en lo posible, indicar la identificación del Usuario y los datos básicos de vehículos </w:t>
      </w:r>
      <w:proofErr w:type="gramStart"/>
      <w:r>
        <w:rPr>
          <w:color w:val="000000"/>
          <w:lang w:val="es-PE"/>
        </w:rPr>
        <w:t>a fin que</w:t>
      </w:r>
      <w:proofErr w:type="gramEnd"/>
      <w:r>
        <w:rPr>
          <w:color w:val="000000"/>
          <w:lang w:val="es-PE"/>
        </w:rPr>
        <w:t xml:space="preserve"> SUTRAN adopte las medidas para hacer cumplir los reglamentos y normas vigentes. SUTRAN, en el ejercicio de sus funciones, determinará los incumplimientos o infracciones de la normatividad vigente.</w:t>
      </w:r>
    </w:p>
    <w:p w14:paraId="5B7B01A8" w14:textId="77777777" w:rsidR="004412F1" w:rsidRDefault="004412F1">
      <w:pPr>
        <w:ind w:left="993" w:hanging="426"/>
        <w:jc w:val="both"/>
        <w:rPr>
          <w:color w:val="000000"/>
          <w:lang w:val="es-PE"/>
        </w:rPr>
      </w:pPr>
    </w:p>
    <w:p w14:paraId="18FB68BE" w14:textId="77777777" w:rsidR="004412F1" w:rsidRDefault="005A12A3">
      <w:pPr>
        <w:numPr>
          <w:ilvl w:val="0"/>
          <w:numId w:val="187"/>
        </w:numPr>
        <w:ind w:left="993" w:hanging="426"/>
        <w:jc w:val="both"/>
        <w:rPr>
          <w:color w:val="000000"/>
          <w:lang w:val="es-PE"/>
        </w:rPr>
      </w:pPr>
      <w:r>
        <w:rPr>
          <w:color w:val="000000"/>
          <w:lang w:val="es-PE"/>
        </w:rPr>
        <w:t>Corresponde al CONCESIONARIO entregar semanalmente al REGULADOR y al CONCEDENTE, la base de datos generada por el sistema de pesaje, sobre las ocurrencias relacionadas a su funcionamiento. SUTRAN en el ejercicio de sus funciones, determinará los incumplimientos o infracciones de la normatividad vigente por parte de los Usuarios con relación a las estaciones de pesaje.</w:t>
      </w:r>
    </w:p>
    <w:p w14:paraId="7FEE0B46" w14:textId="77777777" w:rsidR="004412F1" w:rsidRDefault="004412F1">
      <w:pPr>
        <w:jc w:val="both"/>
        <w:rPr>
          <w:color w:val="000000"/>
          <w:lang w:val="es-PE"/>
        </w:rPr>
      </w:pPr>
    </w:p>
    <w:p w14:paraId="6A337CDB" w14:textId="77777777" w:rsidR="004412F1" w:rsidRDefault="005A12A3">
      <w:pPr>
        <w:numPr>
          <w:ilvl w:val="0"/>
          <w:numId w:val="187"/>
        </w:numPr>
        <w:ind w:left="993" w:hanging="426"/>
        <w:jc w:val="both"/>
        <w:rPr>
          <w:color w:val="000000"/>
          <w:lang w:val="es-PE"/>
        </w:rPr>
      </w:pPr>
      <w:r>
        <w:rPr>
          <w:color w:val="000000"/>
          <w:lang w:val="es-PE"/>
        </w:rPr>
        <w:t>La imposición y cobro de las multas y sanciones correspondientes a los infractores de pesos y dimensiones corresponde únicamente al CONCEDENTE y a SUTRAN, en cumplimiento de las disposiciones aplicables vigentes.</w:t>
      </w:r>
    </w:p>
    <w:p w14:paraId="5449C449" w14:textId="77777777" w:rsidR="004412F1" w:rsidRDefault="004412F1">
      <w:pPr>
        <w:ind w:left="993" w:hanging="426"/>
        <w:jc w:val="both"/>
        <w:rPr>
          <w:color w:val="000000"/>
          <w:lang w:val="es-PE"/>
        </w:rPr>
      </w:pPr>
    </w:p>
    <w:p w14:paraId="2CFBFF7C" w14:textId="77777777" w:rsidR="004412F1" w:rsidRDefault="005A12A3">
      <w:pPr>
        <w:ind w:left="993"/>
        <w:jc w:val="both"/>
        <w:rPr>
          <w:color w:val="000000"/>
          <w:lang w:val="es-PE"/>
        </w:rPr>
      </w:pPr>
      <w:r>
        <w:rPr>
          <w:color w:val="000000"/>
          <w:lang w:val="es-PE"/>
        </w:rPr>
        <w:t xml:space="preserve">Se efectuará el registro de las características del tráfico que circula por el </w:t>
      </w:r>
      <w:proofErr w:type="gramStart"/>
      <w:r>
        <w:rPr>
          <w:color w:val="000000"/>
          <w:lang w:val="es-PE"/>
        </w:rPr>
        <w:t>Sub Tramo</w:t>
      </w:r>
      <w:proofErr w:type="gramEnd"/>
      <w:r>
        <w:rPr>
          <w:color w:val="000000"/>
          <w:lang w:val="es-PE"/>
        </w:rPr>
        <w:t xml:space="preserve">. </w:t>
      </w:r>
    </w:p>
    <w:p w14:paraId="5A84FF27" w14:textId="77777777" w:rsidR="004412F1" w:rsidRDefault="004412F1">
      <w:pPr>
        <w:ind w:left="993" w:hanging="426"/>
        <w:jc w:val="both"/>
        <w:rPr>
          <w:color w:val="000000"/>
          <w:lang w:val="es-PE"/>
        </w:rPr>
      </w:pPr>
    </w:p>
    <w:p w14:paraId="3B3D6378" w14:textId="77777777" w:rsidR="004412F1" w:rsidRDefault="005A12A3">
      <w:pPr>
        <w:ind w:left="993"/>
        <w:jc w:val="both"/>
        <w:rPr>
          <w:color w:val="000000"/>
          <w:lang w:val="es-PE"/>
        </w:rPr>
      </w:pPr>
      <w:r>
        <w:rPr>
          <w:color w:val="000000"/>
          <w:lang w:val="es-PE"/>
        </w:rPr>
        <w:t>Sin perjuicio de las condiciones anteriores, el REGULADOR se reserva el derecho de efectuar, en forma independiente, cualquier evaluación, medición o calibración que estime conveniente, a efectos de verificar el cumplimiento de la obligación del CONCESIONARIO de hacer cumplir el Reglamento de Pesos y Dimensiones Vehiculares o norma que lo sustituya. A tales efectos, podrá utilizar los equipos operados por el CONCESIONARIO, en la medida que no interfiera con las labores de control de éste, ni con la prestación del Servicio.</w:t>
      </w:r>
    </w:p>
    <w:p w14:paraId="3D1DC670" w14:textId="77777777" w:rsidR="004412F1" w:rsidRDefault="004412F1">
      <w:pPr>
        <w:ind w:left="993" w:hanging="426"/>
        <w:jc w:val="both"/>
        <w:rPr>
          <w:color w:val="000000"/>
          <w:lang w:val="es-PE"/>
        </w:rPr>
      </w:pPr>
    </w:p>
    <w:p w14:paraId="3A529A58" w14:textId="77777777" w:rsidR="004412F1" w:rsidRDefault="005A12A3">
      <w:pPr>
        <w:ind w:left="993"/>
        <w:jc w:val="both"/>
        <w:rPr>
          <w:color w:val="000000"/>
          <w:lang w:val="es-PE"/>
        </w:rPr>
      </w:pPr>
      <w:r>
        <w:rPr>
          <w:color w:val="000000"/>
          <w:lang w:val="es-PE"/>
        </w:rPr>
        <w:t>El mantenimiento de los equipos de control de pesos y dimensiones vehiculares y de los sistemas de recolección de los datos de tráfico, así como el costo del personal necesario para su operación correrá por cuenta del CONCESIONARIO durante todo el plazo de la Concesión.</w:t>
      </w:r>
    </w:p>
    <w:p w14:paraId="0DF7EBC7" w14:textId="77777777" w:rsidR="004412F1" w:rsidRDefault="004412F1">
      <w:pPr>
        <w:jc w:val="both"/>
        <w:rPr>
          <w:b/>
          <w:color w:val="000000"/>
          <w:lang w:val="es-PE"/>
        </w:rPr>
      </w:pPr>
    </w:p>
    <w:p w14:paraId="7B1CE18B" w14:textId="77777777" w:rsidR="004412F1" w:rsidRDefault="005A12A3">
      <w:pPr>
        <w:jc w:val="both"/>
        <w:rPr>
          <w:b/>
          <w:color w:val="000000"/>
          <w:lang w:val="es-PE"/>
        </w:rPr>
      </w:pPr>
      <w:r>
        <w:rPr>
          <w:b/>
          <w:color w:val="000000"/>
          <w:lang w:val="es-PE"/>
        </w:rPr>
        <w:t>AUTORIZACIONES ESPECIALES</w:t>
      </w:r>
    </w:p>
    <w:p w14:paraId="1E0590CD" w14:textId="77777777" w:rsidR="004412F1" w:rsidRDefault="004412F1">
      <w:pPr>
        <w:jc w:val="both"/>
        <w:rPr>
          <w:color w:val="000000"/>
          <w:lang w:val="es-PE"/>
        </w:rPr>
      </w:pPr>
    </w:p>
    <w:p w14:paraId="5690D353" w14:textId="77777777" w:rsidR="004412F1" w:rsidRDefault="005A12A3">
      <w:pPr>
        <w:numPr>
          <w:ilvl w:val="6"/>
          <w:numId w:val="186"/>
        </w:numPr>
        <w:tabs>
          <w:tab w:val="left" w:pos="567"/>
        </w:tabs>
        <w:ind w:left="567" w:hanging="567"/>
        <w:jc w:val="both"/>
        <w:rPr>
          <w:color w:val="000000"/>
          <w:lang w:val="es-PE"/>
        </w:rPr>
      </w:pPr>
      <w:r>
        <w:rPr>
          <w:color w:val="000000"/>
          <w:lang w:val="es-PE"/>
        </w:rPr>
        <w:t>Las autorizaciones especiales para el tránsito de cargas cuyo peso, altura o ancho exceda al máximo permitido por el Reglamento de Pesos y Dimensiones Vehiculares vigente o norma que la sustituya, son otorgadas por el CONCEDENTE o la entidad que éste designe.</w:t>
      </w:r>
    </w:p>
    <w:p w14:paraId="0D08029A" w14:textId="77777777" w:rsidR="004412F1" w:rsidRDefault="004412F1">
      <w:pPr>
        <w:jc w:val="both"/>
        <w:rPr>
          <w:color w:val="000000"/>
          <w:lang w:val="es-PE"/>
        </w:rPr>
      </w:pPr>
    </w:p>
    <w:p w14:paraId="0758938F" w14:textId="77777777" w:rsidR="004412F1" w:rsidRDefault="005A12A3">
      <w:pPr>
        <w:ind w:left="567"/>
        <w:jc w:val="both"/>
        <w:rPr>
          <w:color w:val="000000"/>
          <w:lang w:val="es-PE"/>
        </w:rPr>
      </w:pPr>
      <w:r>
        <w:rPr>
          <w:color w:val="000000"/>
          <w:lang w:val="es-PE"/>
        </w:rPr>
        <w:t>Dicha entidad emitirá las autorizaciones tomando previamente conocimiento del estado de la infraestructura, del Programa de Ejecución y del estado del tránsito, estableciendo las condiciones para permitir el tránsito de la carga especial.</w:t>
      </w:r>
    </w:p>
    <w:p w14:paraId="6C217E9B" w14:textId="77777777" w:rsidR="004412F1" w:rsidRDefault="004412F1">
      <w:pPr>
        <w:ind w:left="567"/>
        <w:jc w:val="both"/>
        <w:rPr>
          <w:color w:val="000000"/>
          <w:lang w:val="es-PE"/>
        </w:rPr>
      </w:pPr>
    </w:p>
    <w:p w14:paraId="5C030036" w14:textId="77777777" w:rsidR="004412F1" w:rsidRDefault="005A12A3">
      <w:pPr>
        <w:ind w:left="567"/>
        <w:jc w:val="both"/>
        <w:rPr>
          <w:color w:val="000000"/>
          <w:lang w:val="es-PE"/>
        </w:rPr>
      </w:pPr>
      <w:r>
        <w:rPr>
          <w:color w:val="000000"/>
          <w:lang w:val="es-PE"/>
        </w:rPr>
        <w:t xml:space="preserve">Se informará al CONCESIONARIO de la autorización concedida, de manera que éste efectúe el control de peso de los vehículos, verificando el cumplimiento de lo establecido en la autorización especial y las condiciones en que ésta se otorgue, de manera que el transportista tome las medidas necesarias para evitar daños o deterioro de la infraestructura vial y de los Bienes de la Concesión y tomar las medidas de seguridad que sean necesarias. El costo de la verificación del cumplimiento de lo establecido en la autorización será </w:t>
      </w:r>
      <w:proofErr w:type="gramStart"/>
      <w:r>
        <w:rPr>
          <w:color w:val="000000"/>
          <w:lang w:val="es-PE"/>
        </w:rPr>
        <w:t>fijada</w:t>
      </w:r>
      <w:proofErr w:type="gramEnd"/>
      <w:r>
        <w:rPr>
          <w:color w:val="000000"/>
          <w:lang w:val="es-PE"/>
        </w:rPr>
        <w:t xml:space="preserve"> por el CONCEDENTE de acuerdo a sus competencias.</w:t>
      </w:r>
    </w:p>
    <w:p w14:paraId="7A2BF3DA" w14:textId="77777777" w:rsidR="004412F1" w:rsidRDefault="004412F1">
      <w:pPr>
        <w:ind w:left="567"/>
        <w:jc w:val="both"/>
        <w:rPr>
          <w:color w:val="000000"/>
          <w:lang w:val="es-PE"/>
        </w:rPr>
      </w:pPr>
    </w:p>
    <w:p w14:paraId="0336E30B" w14:textId="77777777" w:rsidR="004412F1" w:rsidRDefault="005A12A3">
      <w:pPr>
        <w:ind w:left="567"/>
        <w:jc w:val="both"/>
        <w:rPr>
          <w:color w:val="000000"/>
          <w:lang w:val="es-PE"/>
        </w:rPr>
      </w:pPr>
      <w:r>
        <w:rPr>
          <w:color w:val="000000"/>
          <w:lang w:val="es-PE"/>
        </w:rPr>
        <w:t>En caso de incumplimientos, el CONCESIONARIO informará a la entidad competente para la aplicación de las sanciones que correspondan, teniendo el derecho a reclamar la reparación de los daños y realizar las acciones legales que correspondan.</w:t>
      </w:r>
    </w:p>
    <w:p w14:paraId="6BB0BF63" w14:textId="77777777" w:rsidR="004412F1" w:rsidRDefault="004412F1">
      <w:pPr>
        <w:ind w:left="567"/>
        <w:jc w:val="both"/>
        <w:rPr>
          <w:color w:val="000000"/>
          <w:lang w:val="es-PE"/>
        </w:rPr>
      </w:pPr>
    </w:p>
    <w:p w14:paraId="76AB211D" w14:textId="77777777" w:rsidR="004412F1" w:rsidRDefault="005A12A3">
      <w:pPr>
        <w:ind w:left="567"/>
        <w:jc w:val="both"/>
        <w:rPr>
          <w:b/>
          <w:color w:val="000000"/>
          <w:lang w:val="es-PE"/>
        </w:rPr>
      </w:pPr>
      <w:r>
        <w:rPr>
          <w:b/>
          <w:color w:val="000000"/>
          <w:lang w:val="es-PE"/>
        </w:rPr>
        <w:t>ESTACIONES DE PESAJE</w:t>
      </w:r>
    </w:p>
    <w:p w14:paraId="1E2258E3" w14:textId="77777777" w:rsidR="004412F1" w:rsidRDefault="004412F1">
      <w:pPr>
        <w:ind w:left="567"/>
        <w:jc w:val="both"/>
        <w:rPr>
          <w:color w:val="000000"/>
          <w:lang w:val="es-PE"/>
        </w:rPr>
      </w:pPr>
    </w:p>
    <w:p w14:paraId="26B8BFFA" w14:textId="77777777" w:rsidR="004412F1" w:rsidRDefault="005A12A3">
      <w:pPr>
        <w:numPr>
          <w:ilvl w:val="6"/>
          <w:numId w:val="186"/>
        </w:numPr>
        <w:tabs>
          <w:tab w:val="left" w:pos="567"/>
        </w:tabs>
        <w:ind w:left="567" w:hanging="567"/>
        <w:jc w:val="both"/>
        <w:rPr>
          <w:color w:val="000000"/>
          <w:lang w:val="es-PE"/>
        </w:rPr>
      </w:pPr>
      <w:r>
        <w:rPr>
          <w:color w:val="000000"/>
          <w:lang w:val="es-PE"/>
        </w:rPr>
        <w:t xml:space="preserve">Para el caso de las estaciones de pesaje, el CONCESIONARIO se obliga a construir y/o implementar, según corresponda, las nuevas estaciones de pesaje siendo: dos (2) de tipo fija doble, tres (3) de tipo semifija y dos (2) de tipo itinerante (móvil). El CONCESIONARIO deberá tomar las previsiones del caso para la construcción y/o implementación de las estaciones de pesaje, de manera que a la puesta en servicio de cualquier </w:t>
      </w:r>
      <w:proofErr w:type="gramStart"/>
      <w:r>
        <w:rPr>
          <w:color w:val="000000"/>
          <w:lang w:val="es-PE"/>
        </w:rPr>
        <w:t>Sub Tramo</w:t>
      </w:r>
      <w:proofErr w:type="gramEnd"/>
      <w:r>
        <w:rPr>
          <w:color w:val="000000"/>
          <w:lang w:val="es-PE"/>
        </w:rPr>
        <w:t xml:space="preserve"> esté construida la estación de pesaje asociada. Sin perjuicio de ello, a la finalización del Mantenimiento Periódico Inicial todas las Unidades de Pesaje deberán estar implementadas, con excepción de la asociada al </w:t>
      </w:r>
      <w:proofErr w:type="gramStart"/>
      <w:r>
        <w:rPr>
          <w:color w:val="000000"/>
          <w:lang w:val="es-PE"/>
        </w:rPr>
        <w:t>sub tramo</w:t>
      </w:r>
      <w:proofErr w:type="gramEnd"/>
      <w:r>
        <w:rPr>
          <w:color w:val="000000"/>
          <w:lang w:val="es-PE"/>
        </w:rPr>
        <w:t xml:space="preserve"> donde se ejecutará Rehabilitación y Mejoramiento.</w:t>
      </w:r>
    </w:p>
    <w:p w14:paraId="18A9A68D" w14:textId="77777777" w:rsidR="004412F1" w:rsidRDefault="004412F1">
      <w:pPr>
        <w:ind w:left="567"/>
        <w:jc w:val="both"/>
        <w:rPr>
          <w:color w:val="000000"/>
          <w:lang w:val="es-PE"/>
        </w:rPr>
      </w:pPr>
    </w:p>
    <w:p w14:paraId="3F6722B3" w14:textId="77777777" w:rsidR="004412F1" w:rsidRDefault="005A12A3">
      <w:pPr>
        <w:ind w:left="567"/>
        <w:jc w:val="both"/>
        <w:rPr>
          <w:color w:val="000000"/>
          <w:lang w:val="es-PE"/>
        </w:rPr>
      </w:pPr>
      <w:r>
        <w:rPr>
          <w:color w:val="000000"/>
          <w:lang w:val="es-PE"/>
        </w:rPr>
        <w:t xml:space="preserve">Estas nuevas estaciones de pesaje servirán para una adecuada supervisión de la carga transportada para reducir el deterioro de la carretera. </w:t>
      </w:r>
    </w:p>
    <w:p w14:paraId="72AAFEB2" w14:textId="77777777" w:rsidR="004412F1" w:rsidRDefault="004412F1">
      <w:pPr>
        <w:ind w:left="567"/>
        <w:jc w:val="both"/>
        <w:rPr>
          <w:color w:val="000000"/>
          <w:lang w:val="es-PE"/>
        </w:rPr>
      </w:pPr>
    </w:p>
    <w:tbl>
      <w:tblPr>
        <w:tblpPr w:leftFromText="141" w:rightFromText="141" w:vertAnchor="text" w:horzAnchor="margin" w:tblpXSpec="right" w:tblpY="29"/>
        <w:tblW w:w="8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
        <w:gridCol w:w="1157"/>
        <w:gridCol w:w="1316"/>
        <w:gridCol w:w="646"/>
        <w:gridCol w:w="1632"/>
        <w:gridCol w:w="1559"/>
        <w:gridCol w:w="1843"/>
      </w:tblGrid>
      <w:tr w:rsidR="004412F1" w14:paraId="3A1A4E3C" w14:textId="77777777">
        <w:trPr>
          <w:tblHeader/>
        </w:trPr>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9F26B" w14:textId="77777777" w:rsidR="004412F1" w:rsidRDefault="005A12A3">
            <w:pPr>
              <w:rPr>
                <w:vertAlign w:val="subscript"/>
              </w:rPr>
            </w:pPr>
            <w:r>
              <w:rPr>
                <w:vertAlign w:val="subscript"/>
              </w:rPr>
              <w:t>N°</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C12C" w14:textId="77777777" w:rsidR="004412F1" w:rsidRDefault="005A12A3">
            <w:pPr>
              <w:rPr>
                <w:vertAlign w:val="subscript"/>
              </w:rPr>
            </w:pPr>
            <w:r>
              <w:rPr>
                <w:vertAlign w:val="subscript"/>
              </w:rPr>
              <w:t>Tipo de pesaje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087B4" w14:textId="77777777" w:rsidR="004412F1" w:rsidRDefault="005A12A3">
            <w:pPr>
              <w:rPr>
                <w:vertAlign w:val="subscript"/>
              </w:rPr>
            </w:pPr>
            <w:r>
              <w:rPr>
                <w:vertAlign w:val="subscript"/>
              </w:rPr>
              <w:t>Denominación</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2F29C" w14:textId="77777777" w:rsidR="004412F1" w:rsidRDefault="005A12A3">
            <w:pPr>
              <w:rPr>
                <w:vertAlign w:val="subscript"/>
              </w:rPr>
            </w:pPr>
            <w:r>
              <w:rPr>
                <w:vertAlign w:val="subscript"/>
              </w:rPr>
              <w:t>Ruta</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22BED" w14:textId="77777777" w:rsidR="004412F1" w:rsidRDefault="005A12A3">
            <w:pPr>
              <w:rPr>
                <w:vertAlign w:val="subscript"/>
              </w:rPr>
            </w:pPr>
            <w:r>
              <w:rPr>
                <w:vertAlign w:val="subscript"/>
              </w:rPr>
              <w:t>Carretera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C1A75" w14:textId="77777777" w:rsidR="004412F1" w:rsidRDefault="005A12A3">
            <w:pPr>
              <w:rPr>
                <w:vertAlign w:val="subscript"/>
              </w:rPr>
            </w:pPr>
            <w:r>
              <w:rPr>
                <w:vertAlign w:val="subscript"/>
              </w:rPr>
              <w:t>Progresiva/Carretera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FE1E7" w14:textId="77777777" w:rsidR="004412F1" w:rsidRDefault="005A12A3">
            <w:pPr>
              <w:rPr>
                <w:vertAlign w:val="subscript"/>
              </w:rPr>
            </w:pPr>
            <w:r>
              <w:rPr>
                <w:vertAlign w:val="subscript"/>
              </w:rPr>
              <w:t>Sentido de control</w:t>
            </w:r>
          </w:p>
        </w:tc>
      </w:tr>
      <w:tr w:rsidR="004412F1" w14:paraId="45DCD5B2"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81C2E" w14:textId="77777777" w:rsidR="004412F1" w:rsidRDefault="005A12A3">
            <w:pPr>
              <w:rPr>
                <w:vertAlign w:val="subscript"/>
              </w:rPr>
            </w:pPr>
            <w:r>
              <w:rPr>
                <w:vertAlign w:val="subscript"/>
              </w:rPr>
              <w:t>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DD604" w14:textId="77777777" w:rsidR="004412F1" w:rsidRDefault="005A12A3">
            <w:pPr>
              <w:rPr>
                <w:vertAlign w:val="subscript"/>
              </w:rPr>
            </w:pPr>
            <w:r>
              <w:rPr>
                <w:vertAlign w:val="subscript"/>
              </w:rPr>
              <w:t>Estación de pesaje doble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85854" w14:textId="77777777" w:rsidR="004412F1" w:rsidRDefault="005A12A3">
            <w:pPr>
              <w:rPr>
                <w:vertAlign w:val="subscript"/>
              </w:rPr>
            </w:pPr>
            <w:r>
              <w:rPr>
                <w:vertAlign w:val="subscript"/>
              </w:rPr>
              <w:t>Huacrapuquio</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1788B" w14:textId="77777777" w:rsidR="004412F1" w:rsidRDefault="005A12A3">
            <w:pPr>
              <w:rPr>
                <w:vertAlign w:val="subscript"/>
              </w:rPr>
            </w:pPr>
            <w:r>
              <w:rPr>
                <w:vertAlign w:val="subscript"/>
              </w:rPr>
              <w:t>PE-3S</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20CC" w14:textId="77777777" w:rsidR="004412F1" w:rsidRDefault="005A12A3">
            <w:pPr>
              <w:rPr>
                <w:vertAlign w:val="subscript"/>
              </w:rPr>
            </w:pPr>
            <w:r>
              <w:rPr>
                <w:vertAlign w:val="subscript"/>
              </w:rPr>
              <w:t>Huancayo - Imperial-Izcuchaca-Ayacucho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903B5" w14:textId="77777777" w:rsidR="004412F1" w:rsidRDefault="005A12A3">
            <w:pPr>
              <w:rPr>
                <w:vertAlign w:val="subscript"/>
                <w:lang w:val="es-PE"/>
              </w:rPr>
            </w:pPr>
            <w:r>
              <w:rPr>
                <w:vertAlign w:val="subscript"/>
                <w:lang w:val="es-PE"/>
              </w:rPr>
              <w:t>Km 136+52 y 137+100/La Oroya – Huancayo - Ayacucho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0092D" w14:textId="77777777" w:rsidR="004412F1" w:rsidRDefault="005A12A3">
            <w:pPr>
              <w:rPr>
                <w:vertAlign w:val="subscript"/>
                <w:lang w:val="es-PE"/>
              </w:rPr>
            </w:pPr>
            <w:r>
              <w:rPr>
                <w:vertAlign w:val="subscript"/>
                <w:lang w:val="es-PE"/>
              </w:rPr>
              <w:t xml:space="preserve">Ambos sentidos (km 136+52 sentido Ayacucho-Huancayo y km 137+100 sentido de Huancayo-Ayacucho </w:t>
            </w:r>
          </w:p>
        </w:tc>
      </w:tr>
      <w:tr w:rsidR="004412F1" w14:paraId="69FB7BB3"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D90B" w14:textId="77777777" w:rsidR="004412F1" w:rsidRDefault="005A12A3">
            <w:pPr>
              <w:rPr>
                <w:vertAlign w:val="subscript"/>
              </w:rPr>
            </w:pPr>
            <w:r>
              <w:rPr>
                <w:vertAlign w:val="subscript"/>
              </w:rPr>
              <w:t>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4A7F" w14:textId="77777777" w:rsidR="004412F1" w:rsidRDefault="005A12A3">
            <w:pPr>
              <w:rPr>
                <w:vertAlign w:val="subscript"/>
                <w:lang w:val="es-PE"/>
              </w:rPr>
            </w:pPr>
            <w:r>
              <w:rPr>
                <w:vertAlign w:val="subscript"/>
                <w:lang w:val="es-PE"/>
              </w:rPr>
              <w:t>Estación de pesaje semi fija</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B944" w14:textId="77777777" w:rsidR="004412F1" w:rsidRDefault="005A12A3">
            <w:pPr>
              <w:rPr>
                <w:vertAlign w:val="subscript"/>
              </w:rPr>
            </w:pPr>
            <w:r>
              <w:rPr>
                <w:vertAlign w:val="subscript"/>
              </w:rPr>
              <w:t>La Mejorada</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F11FD" w14:textId="77777777" w:rsidR="004412F1" w:rsidRDefault="005A12A3">
            <w:pPr>
              <w:rPr>
                <w:vertAlign w:val="subscript"/>
              </w:rPr>
            </w:pPr>
            <w:r>
              <w:rPr>
                <w:vertAlign w:val="subscript"/>
              </w:rPr>
              <w:t>PE-3S</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1D7CB" w14:textId="77777777" w:rsidR="004412F1" w:rsidRDefault="005A12A3">
            <w:pPr>
              <w:rPr>
                <w:vertAlign w:val="subscript"/>
              </w:rPr>
            </w:pPr>
            <w:r>
              <w:rPr>
                <w:vertAlign w:val="subscript"/>
              </w:rPr>
              <w:t>Huancayo - Imperial-Izcuchaca-Ayacucho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927E" w14:textId="77777777" w:rsidR="004412F1" w:rsidRDefault="005A12A3">
            <w:pPr>
              <w:rPr>
                <w:vertAlign w:val="subscript"/>
              </w:rPr>
            </w:pPr>
            <w:r>
              <w:rPr>
                <w:vertAlign w:val="subscript"/>
              </w:rPr>
              <w:t>Km 205+100/Huancayo - Ayacucho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0961C" w14:textId="77777777" w:rsidR="004412F1" w:rsidRDefault="005A12A3">
            <w:pPr>
              <w:rPr>
                <w:vertAlign w:val="subscript"/>
              </w:rPr>
            </w:pPr>
            <w:r>
              <w:rPr>
                <w:vertAlign w:val="subscript"/>
              </w:rPr>
              <w:t>De Huancayo hacia Ayacucho</w:t>
            </w:r>
          </w:p>
        </w:tc>
      </w:tr>
      <w:tr w:rsidR="004412F1" w14:paraId="01BB58FE"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55F76" w14:textId="77777777" w:rsidR="004412F1" w:rsidRDefault="005A12A3">
            <w:pPr>
              <w:rPr>
                <w:vertAlign w:val="subscript"/>
              </w:rPr>
            </w:pPr>
            <w:r>
              <w:rPr>
                <w:vertAlign w:val="subscript"/>
              </w:rPr>
              <w:t>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C1F1E" w14:textId="77777777" w:rsidR="004412F1" w:rsidRDefault="005A12A3">
            <w:pPr>
              <w:rPr>
                <w:vertAlign w:val="subscript"/>
              </w:rPr>
            </w:pPr>
            <w:r>
              <w:rPr>
                <w:vertAlign w:val="subscript"/>
              </w:rPr>
              <w:t>Estación de pesaje itinerante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26F14" w14:textId="77777777" w:rsidR="004412F1" w:rsidRDefault="005A12A3">
            <w:pPr>
              <w:rPr>
                <w:vertAlign w:val="subscript"/>
              </w:rPr>
            </w:pPr>
            <w:r>
              <w:rPr>
                <w:vertAlign w:val="subscript"/>
              </w:rPr>
              <w:t>Ayacucho I</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4069" w14:textId="77777777" w:rsidR="004412F1" w:rsidRDefault="005A12A3">
            <w:pPr>
              <w:rPr>
                <w:vertAlign w:val="subscript"/>
              </w:rPr>
            </w:pPr>
            <w:r>
              <w:rPr>
                <w:vertAlign w:val="subscript"/>
              </w:rPr>
              <w:t>PE-3S</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FED70" w14:textId="77777777" w:rsidR="004412F1" w:rsidRDefault="005A12A3">
            <w:pPr>
              <w:rPr>
                <w:vertAlign w:val="subscript"/>
              </w:rPr>
            </w:pPr>
            <w:r>
              <w:rPr>
                <w:vertAlign w:val="subscript"/>
              </w:rPr>
              <w:t>Ayacucho – Huanta – Huancavelica - Huancayo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4ADBE" w14:textId="77777777" w:rsidR="004412F1" w:rsidRDefault="005A12A3">
            <w:pPr>
              <w:rPr>
                <w:vertAlign w:val="subscript"/>
                <w:lang w:val="es-PE"/>
              </w:rPr>
            </w:pPr>
            <w:r>
              <w:rPr>
                <w:vertAlign w:val="subscript"/>
                <w:lang w:val="es-PE"/>
              </w:rPr>
              <w:t>Km 14+100/Ayacucho – Huanta -Dv. Ayacucho – La Quinua - Huancavelica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A1382" w14:textId="77777777" w:rsidR="004412F1" w:rsidRDefault="005A12A3">
            <w:pPr>
              <w:rPr>
                <w:vertAlign w:val="subscript"/>
              </w:rPr>
            </w:pPr>
            <w:r>
              <w:rPr>
                <w:vertAlign w:val="subscript"/>
              </w:rPr>
              <w:t>De Huanta hacia Ayacucho</w:t>
            </w:r>
          </w:p>
        </w:tc>
      </w:tr>
      <w:tr w:rsidR="004412F1" w14:paraId="7EA11105"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1B802" w14:textId="77777777" w:rsidR="004412F1" w:rsidRDefault="005A12A3">
            <w:pPr>
              <w:rPr>
                <w:vertAlign w:val="subscript"/>
              </w:rPr>
            </w:pPr>
            <w:r>
              <w:rPr>
                <w:vertAlign w:val="subscript"/>
              </w:rPr>
              <w:t>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CCCE4" w14:textId="77777777" w:rsidR="004412F1" w:rsidRDefault="005A12A3">
            <w:pPr>
              <w:rPr>
                <w:vertAlign w:val="subscript"/>
                <w:lang w:val="es-PE"/>
              </w:rPr>
            </w:pPr>
            <w:r>
              <w:rPr>
                <w:vertAlign w:val="subscript"/>
                <w:lang w:val="es-PE"/>
              </w:rPr>
              <w:t>Estación de pesaje semi fija</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1F15" w14:textId="77777777" w:rsidR="004412F1" w:rsidRDefault="005A12A3">
            <w:pPr>
              <w:rPr>
                <w:vertAlign w:val="subscript"/>
              </w:rPr>
            </w:pPr>
            <w:r>
              <w:rPr>
                <w:vertAlign w:val="subscript"/>
              </w:rPr>
              <w:t>Ayacucho II</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E5880" w14:textId="77777777" w:rsidR="004412F1" w:rsidRDefault="005A12A3">
            <w:pPr>
              <w:rPr>
                <w:vertAlign w:val="subscript"/>
              </w:rPr>
            </w:pPr>
            <w:r>
              <w:rPr>
                <w:vertAlign w:val="subscript"/>
              </w:rPr>
              <w:t>PE-3S</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5E13E" w14:textId="77777777" w:rsidR="004412F1" w:rsidRDefault="005A12A3">
            <w:pPr>
              <w:rPr>
                <w:vertAlign w:val="subscript"/>
              </w:rPr>
            </w:pPr>
            <w:r>
              <w:rPr>
                <w:vertAlign w:val="subscript"/>
              </w:rPr>
              <w:t>Ayacucho – Andahuaylas - Abancay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EF0F3" w14:textId="77777777" w:rsidR="004412F1" w:rsidRDefault="005A12A3">
            <w:pPr>
              <w:rPr>
                <w:vertAlign w:val="subscript"/>
              </w:rPr>
            </w:pPr>
            <w:r>
              <w:rPr>
                <w:vertAlign w:val="subscript"/>
              </w:rPr>
              <w:t>Km 20+200 – Ayacucho – Dv. Vilcashuaman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63A2" w14:textId="77777777" w:rsidR="004412F1" w:rsidRDefault="005A12A3">
            <w:pPr>
              <w:rPr>
                <w:vertAlign w:val="subscript"/>
              </w:rPr>
            </w:pPr>
            <w:r>
              <w:rPr>
                <w:vertAlign w:val="subscript"/>
              </w:rPr>
              <w:t>De Andahuaylas hacia Ayacucho</w:t>
            </w:r>
          </w:p>
        </w:tc>
      </w:tr>
      <w:tr w:rsidR="004412F1" w14:paraId="2BA9DEE4"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6DE7D" w14:textId="77777777" w:rsidR="004412F1" w:rsidRDefault="005A12A3">
            <w:pPr>
              <w:rPr>
                <w:vertAlign w:val="subscript"/>
              </w:rPr>
            </w:pPr>
            <w:r>
              <w:rPr>
                <w:vertAlign w:val="subscript"/>
              </w:rPr>
              <w:t>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203A6" w14:textId="77777777" w:rsidR="004412F1" w:rsidRDefault="005A12A3">
            <w:pPr>
              <w:rPr>
                <w:vertAlign w:val="subscript"/>
                <w:lang w:val="es-PE"/>
              </w:rPr>
            </w:pPr>
            <w:r>
              <w:rPr>
                <w:vertAlign w:val="subscript"/>
                <w:lang w:val="es-PE"/>
              </w:rPr>
              <w:t>Estación de pesaje semi fija</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2F7E1" w14:textId="77777777" w:rsidR="004412F1" w:rsidRDefault="005A12A3">
            <w:pPr>
              <w:rPr>
                <w:vertAlign w:val="subscript"/>
              </w:rPr>
            </w:pPr>
            <w:r>
              <w:rPr>
                <w:vertAlign w:val="subscript"/>
              </w:rPr>
              <w:t>Chincheros</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C6740" w14:textId="77777777" w:rsidR="004412F1" w:rsidRDefault="005A12A3">
            <w:pPr>
              <w:rPr>
                <w:vertAlign w:val="subscript"/>
              </w:rPr>
            </w:pPr>
            <w:r>
              <w:rPr>
                <w:vertAlign w:val="subscript"/>
              </w:rPr>
              <w:t>PE-3S</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ED66" w14:textId="77777777" w:rsidR="004412F1" w:rsidRDefault="005A12A3">
            <w:pPr>
              <w:rPr>
                <w:vertAlign w:val="subscript"/>
              </w:rPr>
            </w:pPr>
            <w:r>
              <w:rPr>
                <w:vertAlign w:val="subscript"/>
              </w:rPr>
              <w:t>Ayacucho – Andahuaylas - Abancay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3228" w14:textId="77777777" w:rsidR="004412F1" w:rsidRDefault="005A12A3">
            <w:pPr>
              <w:rPr>
                <w:vertAlign w:val="subscript"/>
              </w:rPr>
            </w:pPr>
            <w:r>
              <w:rPr>
                <w:vertAlign w:val="subscript"/>
              </w:rPr>
              <w:t>Km 197+100/Ayacucho - Abancay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9E2AD" w14:textId="77777777" w:rsidR="004412F1" w:rsidRDefault="005A12A3">
            <w:pPr>
              <w:rPr>
                <w:vertAlign w:val="subscript"/>
              </w:rPr>
            </w:pPr>
            <w:r>
              <w:rPr>
                <w:vertAlign w:val="subscript"/>
              </w:rPr>
              <w:t>De Andahuaylas hacia Ayacucho</w:t>
            </w:r>
          </w:p>
        </w:tc>
      </w:tr>
      <w:tr w:rsidR="004412F1" w14:paraId="3A7CDBBF"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894B7" w14:textId="77777777" w:rsidR="004412F1" w:rsidRDefault="005A12A3">
            <w:pPr>
              <w:rPr>
                <w:vertAlign w:val="subscript"/>
              </w:rPr>
            </w:pPr>
            <w:r>
              <w:rPr>
                <w:vertAlign w:val="subscript"/>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F9AF" w14:textId="77777777" w:rsidR="004412F1" w:rsidRDefault="005A12A3">
            <w:pPr>
              <w:rPr>
                <w:vertAlign w:val="subscript"/>
              </w:rPr>
            </w:pPr>
            <w:r>
              <w:rPr>
                <w:vertAlign w:val="subscript"/>
              </w:rPr>
              <w:t>Estación de pesaje itinerante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9A2D" w14:textId="77777777" w:rsidR="004412F1" w:rsidRDefault="005A12A3">
            <w:pPr>
              <w:rPr>
                <w:vertAlign w:val="subscript"/>
              </w:rPr>
            </w:pPr>
            <w:r>
              <w:rPr>
                <w:vertAlign w:val="subscript"/>
              </w:rPr>
              <w:t>Socos</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75D87" w14:textId="77777777" w:rsidR="004412F1" w:rsidRDefault="005A12A3">
            <w:pPr>
              <w:rPr>
                <w:vertAlign w:val="subscript"/>
              </w:rPr>
            </w:pPr>
            <w:r>
              <w:rPr>
                <w:vertAlign w:val="subscript"/>
              </w:rPr>
              <w:t>PE-28A</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BF230" w14:textId="77777777" w:rsidR="004412F1" w:rsidRDefault="005A12A3">
            <w:pPr>
              <w:rPr>
                <w:vertAlign w:val="subscript"/>
                <w:lang w:val="es-PE"/>
              </w:rPr>
            </w:pPr>
            <w:r>
              <w:rPr>
                <w:vertAlign w:val="subscript"/>
                <w:lang w:val="es-PE"/>
              </w:rPr>
              <w:t>Punta Pejerrey – San Clemente - Ayacucho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6F5E0" w14:textId="77777777" w:rsidR="004412F1" w:rsidRDefault="005A12A3">
            <w:pPr>
              <w:rPr>
                <w:vertAlign w:val="subscript"/>
                <w:lang w:val="es-PE"/>
              </w:rPr>
            </w:pPr>
            <w:r>
              <w:rPr>
                <w:vertAlign w:val="subscript"/>
                <w:lang w:val="es-PE"/>
              </w:rPr>
              <w:t>Km 316+700/Vía Los Libertadores – Localidad de Socos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3756E" w14:textId="77777777" w:rsidR="004412F1" w:rsidRDefault="005A12A3">
            <w:pPr>
              <w:rPr>
                <w:vertAlign w:val="subscript"/>
                <w:lang w:val="es-PE"/>
              </w:rPr>
            </w:pPr>
            <w:r>
              <w:rPr>
                <w:vertAlign w:val="subscript"/>
                <w:lang w:val="es-PE"/>
              </w:rPr>
              <w:t>De Ayacucho hacia Punta Pejerrey</w:t>
            </w:r>
          </w:p>
        </w:tc>
      </w:tr>
      <w:tr w:rsidR="004412F1" w14:paraId="12740E72" w14:textId="77777777">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FF9B" w14:textId="77777777" w:rsidR="004412F1" w:rsidRDefault="005A12A3">
            <w:pPr>
              <w:rPr>
                <w:vertAlign w:val="subscript"/>
              </w:rPr>
            </w:pPr>
            <w:r>
              <w:rPr>
                <w:vertAlign w:val="subscript"/>
              </w:rPr>
              <w:t>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D99E" w14:textId="77777777" w:rsidR="004412F1" w:rsidRDefault="005A12A3">
            <w:pPr>
              <w:rPr>
                <w:vertAlign w:val="subscript"/>
              </w:rPr>
            </w:pPr>
            <w:r>
              <w:rPr>
                <w:vertAlign w:val="subscript"/>
              </w:rPr>
              <w:t>Estación de pesaje doble</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142FE" w14:textId="77777777" w:rsidR="004412F1" w:rsidRDefault="005A12A3">
            <w:pPr>
              <w:rPr>
                <w:vertAlign w:val="subscript"/>
              </w:rPr>
            </w:pPr>
            <w:r>
              <w:rPr>
                <w:vertAlign w:val="subscript"/>
              </w:rPr>
              <w:t>Designación de Nuevo Nombre</w:t>
            </w:r>
          </w:p>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3AD6A" w14:textId="77777777" w:rsidR="004412F1" w:rsidRDefault="005A12A3">
            <w:pPr>
              <w:rPr>
                <w:vertAlign w:val="subscript"/>
              </w:rPr>
            </w:pPr>
            <w:r>
              <w:rPr>
                <w:vertAlign w:val="subscript"/>
              </w:rPr>
              <w:t>PE-28A</w:t>
            </w:r>
          </w:p>
        </w:tc>
        <w:tc>
          <w:tcPr>
            <w:tcW w:w="1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09C9D" w14:textId="77777777" w:rsidR="004412F1" w:rsidRDefault="005A12A3">
            <w:pPr>
              <w:rPr>
                <w:vertAlign w:val="subscript"/>
              </w:rPr>
            </w:pPr>
            <w:r>
              <w:rPr>
                <w:vertAlign w:val="subscript"/>
              </w:rPr>
              <w:t>San Clemente - Ayacucho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53377" w14:textId="77777777" w:rsidR="004412F1" w:rsidRDefault="005A12A3">
            <w:pPr>
              <w:rPr>
                <w:vertAlign w:val="subscript"/>
              </w:rPr>
            </w:pPr>
            <w:r>
              <w:rPr>
                <w:vertAlign w:val="subscript"/>
              </w:rPr>
              <w:t>Km 31+300/San Clemente - Ayacucho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41C72" w14:textId="77777777" w:rsidR="004412F1" w:rsidRDefault="005A12A3">
            <w:pPr>
              <w:rPr>
                <w:vertAlign w:val="subscript"/>
              </w:rPr>
            </w:pPr>
            <w:r>
              <w:rPr>
                <w:vertAlign w:val="subscript"/>
              </w:rPr>
              <w:t>Ambos sentidos</w:t>
            </w:r>
          </w:p>
        </w:tc>
      </w:tr>
    </w:tbl>
    <w:p w14:paraId="095AE2CA" w14:textId="77777777" w:rsidR="004412F1" w:rsidRDefault="005A12A3">
      <w:pPr>
        <w:rPr>
          <w:u w:val="single"/>
          <w:vertAlign w:val="subscript"/>
        </w:rPr>
      </w:pPr>
      <w:r>
        <w:br w:type="page"/>
      </w:r>
    </w:p>
    <w:p w14:paraId="7EBB1BC6" w14:textId="77777777" w:rsidR="004412F1" w:rsidRDefault="005A12A3">
      <w:pPr>
        <w:pStyle w:val="Ttulo1"/>
        <w:jc w:val="center"/>
        <w:rPr>
          <w:lang w:val="es-PE"/>
        </w:rPr>
      </w:pPr>
      <w:bookmarkStart w:id="2851" w:name="_ANEXO_IX"/>
      <w:bookmarkStart w:id="2852" w:name="_Ref272503985"/>
      <w:bookmarkStart w:id="2853" w:name="_Toc468837765"/>
      <w:bookmarkStart w:id="2854" w:name="_Ref272156503"/>
      <w:bookmarkStart w:id="2855" w:name="_Toc140089474"/>
      <w:bookmarkStart w:id="2856" w:name="_Hlk140065038"/>
      <w:bookmarkStart w:id="2857" w:name="_Toc139294851"/>
      <w:bookmarkEnd w:id="2851"/>
      <w:r>
        <w:rPr>
          <w:lang w:val="es-PE"/>
        </w:rPr>
        <w:t>ANEXO IX</w:t>
      </w:r>
      <w:bookmarkEnd w:id="2852"/>
      <w:bookmarkEnd w:id="2853"/>
      <w:bookmarkEnd w:id="2854"/>
      <w:bookmarkEnd w:id="2855"/>
    </w:p>
    <w:p w14:paraId="6B256434" w14:textId="77777777" w:rsidR="004412F1" w:rsidRDefault="005A12A3" w:rsidP="00CE150B">
      <w:pPr>
        <w:ind w:left="567"/>
        <w:jc w:val="center"/>
        <w:outlineLvl w:val="1"/>
        <w:rPr>
          <w:b/>
          <w:lang w:val="es-PE"/>
        </w:rPr>
      </w:pPr>
      <w:bookmarkStart w:id="2858" w:name="_PENALIDADES_APLICABLES_AL"/>
      <w:bookmarkStart w:id="2859" w:name="_Toc468837766"/>
      <w:bookmarkStart w:id="2860" w:name="_Toc140089475"/>
      <w:bookmarkEnd w:id="2858"/>
      <w:r>
        <w:rPr>
          <w:b/>
          <w:lang w:val="es-PE"/>
        </w:rPr>
        <w:t>PENALIDADES APLICABLES AL CONTRATO</w:t>
      </w:r>
      <w:bookmarkEnd w:id="2859"/>
      <w:bookmarkEnd w:id="2860"/>
    </w:p>
    <w:p w14:paraId="36F6BCE0" w14:textId="77777777" w:rsidR="00CE150B" w:rsidRDefault="00CE150B">
      <w:pPr>
        <w:rPr>
          <w:rStyle w:val="TOC12"/>
          <w:b/>
          <w:lang w:val="es-PE"/>
        </w:rPr>
      </w:pPr>
      <w:bookmarkStart w:id="2861" w:name="_Ref273982837"/>
    </w:p>
    <w:p w14:paraId="148200AD" w14:textId="4845C080" w:rsidR="004412F1" w:rsidRPr="00763640" w:rsidRDefault="005A12A3">
      <w:pPr>
        <w:rPr>
          <w:rStyle w:val="TOC12"/>
          <w:b/>
          <w:bCs/>
          <w:lang w:val="es-PE"/>
        </w:rPr>
      </w:pPr>
      <w:r w:rsidRPr="00763640">
        <w:rPr>
          <w:rStyle w:val="TOC12"/>
          <w:b/>
          <w:lang w:val="es-PE"/>
        </w:rPr>
        <w:t>Tabla Nº 1</w:t>
      </w:r>
      <w:bookmarkEnd w:id="2861"/>
    </w:p>
    <w:p w14:paraId="5A60A1F8" w14:textId="77777777" w:rsidR="004412F1" w:rsidRPr="00763640" w:rsidRDefault="005A12A3">
      <w:pPr>
        <w:pStyle w:val="Textonotapie"/>
        <w:jc w:val="both"/>
        <w:rPr>
          <w:sz w:val="22"/>
          <w:lang w:val="es-PE"/>
        </w:rPr>
      </w:pPr>
      <w:r w:rsidRPr="00763640">
        <w:rPr>
          <w:sz w:val="22"/>
          <w:lang w:val="es-PE"/>
        </w:rPr>
        <w:t xml:space="preserve">Penalidades referidas al CAPÍTULO III del Contrato: Eventos a la fecha de suscripción del Contrato </w:t>
      </w:r>
    </w:p>
    <w:p w14:paraId="48329EFB" w14:textId="77777777" w:rsidR="004412F1" w:rsidRPr="00763640" w:rsidRDefault="004412F1">
      <w:pPr>
        <w:rPr>
          <w:b/>
          <w:sz w:val="16"/>
          <w:lang w:val="es-PE"/>
        </w:rPr>
      </w:pP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987"/>
        <w:gridCol w:w="4781"/>
        <w:gridCol w:w="2183"/>
      </w:tblGrid>
      <w:tr w:rsidR="004412F1" w:rsidRPr="00763640" w14:paraId="046DA3C1" w14:textId="77777777">
        <w:trPr>
          <w:jc w:val="center"/>
        </w:trPr>
        <w:tc>
          <w:tcPr>
            <w:tcW w:w="955" w:type="dxa"/>
          </w:tcPr>
          <w:p w14:paraId="5909CEA3" w14:textId="77777777" w:rsidR="004412F1" w:rsidRPr="00763640" w:rsidRDefault="005A12A3">
            <w:pPr>
              <w:rPr>
                <w:b/>
              </w:rPr>
            </w:pPr>
            <w:r w:rsidRPr="00763640">
              <w:rPr>
                <w:b/>
              </w:rPr>
              <w:t>Cláusula Contrato</w:t>
            </w:r>
          </w:p>
        </w:tc>
        <w:tc>
          <w:tcPr>
            <w:tcW w:w="992" w:type="dxa"/>
            <w:vAlign w:val="center"/>
          </w:tcPr>
          <w:p w14:paraId="684919AE" w14:textId="77777777" w:rsidR="004412F1" w:rsidRPr="00763640" w:rsidRDefault="005A12A3">
            <w:pPr>
              <w:jc w:val="center"/>
              <w:rPr>
                <w:b/>
                <w:lang w:val="es-MX"/>
              </w:rPr>
            </w:pPr>
            <w:r w:rsidRPr="00763640">
              <w:rPr>
                <w:b/>
                <w:lang w:val="es-MX"/>
              </w:rPr>
              <w:t xml:space="preserve">Monto (en </w:t>
            </w:r>
            <w:r w:rsidRPr="00763640">
              <w:rPr>
                <w:b/>
              </w:rPr>
              <w:t>UIT</w:t>
            </w:r>
            <w:r w:rsidRPr="00763640">
              <w:rPr>
                <w:b/>
                <w:lang w:val="es-MX"/>
              </w:rPr>
              <w:t>)</w:t>
            </w:r>
          </w:p>
        </w:tc>
        <w:tc>
          <w:tcPr>
            <w:tcW w:w="4855" w:type="dxa"/>
            <w:vAlign w:val="center"/>
          </w:tcPr>
          <w:p w14:paraId="576B1994" w14:textId="77777777" w:rsidR="004412F1" w:rsidRPr="00763640" w:rsidRDefault="005A12A3">
            <w:pPr>
              <w:jc w:val="center"/>
              <w:rPr>
                <w:b/>
              </w:rPr>
            </w:pPr>
            <w:r w:rsidRPr="00763640">
              <w:rPr>
                <w:b/>
              </w:rPr>
              <w:t>Descripción de penalidad</w:t>
            </w:r>
          </w:p>
        </w:tc>
        <w:tc>
          <w:tcPr>
            <w:tcW w:w="2207" w:type="dxa"/>
          </w:tcPr>
          <w:p w14:paraId="42C115C9" w14:textId="77777777" w:rsidR="004412F1" w:rsidRPr="00763640" w:rsidRDefault="005A12A3">
            <w:pPr>
              <w:jc w:val="center"/>
              <w:rPr>
                <w:b/>
              </w:rPr>
            </w:pPr>
            <w:r w:rsidRPr="00763640">
              <w:rPr>
                <w:b/>
              </w:rPr>
              <w:t>Criterio de Aplicación</w:t>
            </w:r>
          </w:p>
        </w:tc>
      </w:tr>
      <w:tr w:rsidR="004412F1" w:rsidRPr="00763640" w14:paraId="60D53352" w14:textId="77777777">
        <w:trPr>
          <w:jc w:val="center"/>
        </w:trPr>
        <w:tc>
          <w:tcPr>
            <w:tcW w:w="955" w:type="dxa"/>
            <w:vAlign w:val="center"/>
          </w:tcPr>
          <w:p w14:paraId="7D2FCD85" w14:textId="7E65A209" w:rsidR="004412F1" w:rsidRPr="00763640" w:rsidRDefault="005A12A3">
            <w:pPr>
              <w:jc w:val="center"/>
              <w:rPr>
                <w:bCs/>
              </w:rPr>
            </w:pPr>
            <w:r w:rsidRPr="00763640">
              <w:rPr>
                <w:bCs/>
                <w:lang w:val="es-ES"/>
              </w:rPr>
              <w:t>3.3</w:t>
            </w:r>
            <w:r w:rsidRPr="00763640">
              <w:t xml:space="preserve"> </w:t>
            </w:r>
            <w:r w:rsidRPr="00763640">
              <w:rPr>
                <w:bCs/>
              </w:rPr>
              <w:fldChar w:fldCharType="begin"/>
            </w:r>
            <w:r w:rsidRPr="00763640">
              <w:instrText xml:space="preserve"> REF _Ref275932735 \r \h  \* MERGEFORMAT </w:instrText>
            </w:r>
            <w:r w:rsidRPr="00763640">
              <w:rPr>
                <w:bCs/>
              </w:rPr>
            </w:r>
            <w:r w:rsidRPr="00763640">
              <w:rPr>
                <w:bCs/>
              </w:rPr>
              <w:fldChar w:fldCharType="separate"/>
            </w:r>
            <w:r w:rsidR="0077125D" w:rsidRPr="0077125D">
              <w:rPr>
                <w:lang w:val="es-ES"/>
              </w:rPr>
              <w:t>h</w:t>
            </w:r>
            <w:r w:rsidR="0077125D">
              <w:t>)</w:t>
            </w:r>
            <w:r w:rsidRPr="00763640">
              <w:rPr>
                <w:bCs/>
              </w:rPr>
              <w:fldChar w:fldCharType="end"/>
            </w:r>
            <w:r w:rsidRPr="00763640">
              <w:t xml:space="preserve">  </w:t>
            </w:r>
          </w:p>
        </w:tc>
        <w:tc>
          <w:tcPr>
            <w:tcW w:w="992" w:type="dxa"/>
          </w:tcPr>
          <w:p w14:paraId="2DEC602D" w14:textId="77777777" w:rsidR="004412F1" w:rsidRPr="00763640" w:rsidRDefault="004412F1">
            <w:pPr>
              <w:jc w:val="center"/>
              <w:rPr>
                <w:bCs/>
              </w:rPr>
            </w:pPr>
          </w:p>
          <w:p w14:paraId="603277BC" w14:textId="77777777" w:rsidR="004412F1" w:rsidRPr="00763640" w:rsidRDefault="005A12A3">
            <w:pPr>
              <w:jc w:val="center"/>
              <w:rPr>
                <w:bCs/>
              </w:rPr>
            </w:pPr>
            <w:r w:rsidRPr="00763640">
              <w:t>0.80</w:t>
            </w:r>
          </w:p>
        </w:tc>
        <w:tc>
          <w:tcPr>
            <w:tcW w:w="4855" w:type="dxa"/>
          </w:tcPr>
          <w:p w14:paraId="0B285BE4" w14:textId="77777777" w:rsidR="004412F1" w:rsidRPr="00763640" w:rsidRDefault="005A12A3">
            <w:pPr>
              <w:jc w:val="both"/>
              <w:rPr>
                <w:lang w:val="es-PE"/>
              </w:rPr>
            </w:pPr>
            <w:r w:rsidRPr="00763640">
              <w:rPr>
                <w:lang w:val="es-PE"/>
              </w:rPr>
              <w:t>Atraso en el pago del monto a favor de PROINVERSION, por concepto de gastos del proceso para la entrega de la Concesión.</w:t>
            </w:r>
          </w:p>
        </w:tc>
        <w:tc>
          <w:tcPr>
            <w:tcW w:w="2207" w:type="dxa"/>
            <w:vAlign w:val="center"/>
          </w:tcPr>
          <w:p w14:paraId="2659DF38" w14:textId="77777777" w:rsidR="004412F1" w:rsidRPr="00763640" w:rsidRDefault="005A12A3">
            <w:pPr>
              <w:rPr>
                <w:bCs/>
              </w:rPr>
            </w:pPr>
            <w:r w:rsidRPr="00763640">
              <w:t>Cada Día de atraso</w:t>
            </w:r>
          </w:p>
        </w:tc>
      </w:tr>
    </w:tbl>
    <w:p w14:paraId="6E1EB1AB" w14:textId="77777777" w:rsidR="004412F1" w:rsidRPr="00763640" w:rsidRDefault="004412F1"/>
    <w:p w14:paraId="2A92E801" w14:textId="77777777" w:rsidR="004412F1" w:rsidRPr="00763640" w:rsidRDefault="005A12A3">
      <w:pPr>
        <w:rPr>
          <w:rStyle w:val="TOC12"/>
          <w:b/>
          <w:bCs/>
        </w:rPr>
      </w:pPr>
      <w:r w:rsidRPr="00763640">
        <w:rPr>
          <w:rStyle w:val="TOC12"/>
          <w:b/>
        </w:rPr>
        <w:t>Tabla Nº 2</w:t>
      </w:r>
    </w:p>
    <w:p w14:paraId="60DB4401" w14:textId="77777777" w:rsidR="004412F1" w:rsidRPr="00763640" w:rsidRDefault="005A12A3">
      <w:pPr>
        <w:pStyle w:val="Textosinformato"/>
        <w:jc w:val="both"/>
        <w:rPr>
          <w:rFonts w:ascii="Arial" w:hAnsi="Arial"/>
          <w:lang w:val="es-MX"/>
        </w:rPr>
      </w:pPr>
      <w:r w:rsidRPr="00763640">
        <w:rPr>
          <w:rFonts w:ascii="Arial" w:hAnsi="Arial"/>
          <w:lang w:val="es-MX"/>
        </w:rPr>
        <w:t xml:space="preserve">Penalidades referidas al CAPÍTULO V del Contrato: Régimen de Bienes </w:t>
      </w:r>
    </w:p>
    <w:p w14:paraId="56CCCBCE" w14:textId="77777777" w:rsidR="004412F1" w:rsidRPr="00763640" w:rsidRDefault="004412F1">
      <w:pPr>
        <w:rPr>
          <w:b/>
          <w:sz w:val="16"/>
          <w:lang w:val="es-MX"/>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992"/>
        <w:gridCol w:w="4819"/>
        <w:gridCol w:w="2268"/>
      </w:tblGrid>
      <w:tr w:rsidR="004412F1" w:rsidRPr="00763640" w14:paraId="52614CD3" w14:textId="77777777">
        <w:tc>
          <w:tcPr>
            <w:tcW w:w="1135" w:type="dxa"/>
          </w:tcPr>
          <w:p w14:paraId="09B377D4" w14:textId="77777777" w:rsidR="004412F1" w:rsidRPr="00763640" w:rsidRDefault="005A12A3">
            <w:pPr>
              <w:rPr>
                <w:b/>
              </w:rPr>
            </w:pPr>
            <w:r w:rsidRPr="00763640">
              <w:rPr>
                <w:b/>
              </w:rPr>
              <w:t>Cláusula Contrato</w:t>
            </w:r>
          </w:p>
        </w:tc>
        <w:tc>
          <w:tcPr>
            <w:tcW w:w="992" w:type="dxa"/>
            <w:vAlign w:val="center"/>
          </w:tcPr>
          <w:p w14:paraId="4508B943" w14:textId="77777777" w:rsidR="004412F1" w:rsidRPr="00763640" w:rsidRDefault="005A12A3">
            <w:pPr>
              <w:jc w:val="center"/>
              <w:rPr>
                <w:b/>
                <w:lang w:val="es-MX"/>
              </w:rPr>
            </w:pPr>
            <w:r w:rsidRPr="00763640">
              <w:rPr>
                <w:b/>
                <w:lang w:val="es-MX"/>
              </w:rPr>
              <w:t xml:space="preserve">Monto (en </w:t>
            </w:r>
            <w:r w:rsidRPr="00763640">
              <w:rPr>
                <w:b/>
              </w:rPr>
              <w:t>UIT</w:t>
            </w:r>
            <w:r w:rsidRPr="00763640">
              <w:rPr>
                <w:b/>
                <w:lang w:val="es-MX"/>
              </w:rPr>
              <w:t>)</w:t>
            </w:r>
          </w:p>
        </w:tc>
        <w:tc>
          <w:tcPr>
            <w:tcW w:w="4819" w:type="dxa"/>
            <w:vAlign w:val="center"/>
          </w:tcPr>
          <w:p w14:paraId="7AB8107C" w14:textId="77777777" w:rsidR="004412F1" w:rsidRPr="00763640" w:rsidRDefault="005A12A3">
            <w:pPr>
              <w:jc w:val="center"/>
              <w:rPr>
                <w:b/>
              </w:rPr>
            </w:pPr>
            <w:r w:rsidRPr="00763640">
              <w:rPr>
                <w:b/>
              </w:rPr>
              <w:t>Descripción de penalidad</w:t>
            </w:r>
          </w:p>
        </w:tc>
        <w:tc>
          <w:tcPr>
            <w:tcW w:w="2268" w:type="dxa"/>
          </w:tcPr>
          <w:p w14:paraId="025D5A64" w14:textId="77777777" w:rsidR="004412F1" w:rsidRPr="00763640" w:rsidRDefault="005A12A3">
            <w:pPr>
              <w:jc w:val="center"/>
              <w:rPr>
                <w:b/>
              </w:rPr>
            </w:pPr>
            <w:r w:rsidRPr="00763640">
              <w:rPr>
                <w:b/>
              </w:rPr>
              <w:t>Criterio de Aplicación</w:t>
            </w:r>
          </w:p>
        </w:tc>
      </w:tr>
      <w:tr w:rsidR="004412F1" w:rsidRPr="00763640" w14:paraId="3205C92A" w14:textId="77777777">
        <w:tc>
          <w:tcPr>
            <w:tcW w:w="1135" w:type="dxa"/>
            <w:vAlign w:val="center"/>
          </w:tcPr>
          <w:p w14:paraId="79CD11B8" w14:textId="77777777" w:rsidR="004412F1" w:rsidRPr="00763640" w:rsidRDefault="005A12A3">
            <w:pPr>
              <w:jc w:val="center"/>
              <w:rPr>
                <w:lang w:val="es-PE"/>
              </w:rPr>
            </w:pPr>
            <w:r w:rsidRPr="00763640">
              <w:rPr>
                <w:bCs/>
                <w:lang w:val="es-ES"/>
              </w:rPr>
              <w:t>5.</w:t>
            </w:r>
            <w:r w:rsidRPr="00763640">
              <w:rPr>
                <w:bCs/>
                <w:lang w:val="es-PE"/>
              </w:rPr>
              <w:t>18</w:t>
            </w:r>
          </w:p>
        </w:tc>
        <w:tc>
          <w:tcPr>
            <w:tcW w:w="992" w:type="dxa"/>
          </w:tcPr>
          <w:p w14:paraId="4B2DB33C" w14:textId="6397559E" w:rsidR="004412F1" w:rsidRPr="00763640" w:rsidRDefault="003C58F7">
            <w:pPr>
              <w:jc w:val="center"/>
              <w:rPr>
                <w:bCs/>
                <w:i/>
                <w:iCs/>
                <w:lang w:val="es-PE"/>
              </w:rPr>
            </w:pPr>
            <w:r w:rsidRPr="00763640">
              <w:rPr>
                <w:sz w:val="18"/>
                <w:lang w:val="es-PE"/>
              </w:rPr>
              <w:t>[-----]</w:t>
            </w:r>
          </w:p>
        </w:tc>
        <w:tc>
          <w:tcPr>
            <w:tcW w:w="4819" w:type="dxa"/>
          </w:tcPr>
          <w:p w14:paraId="3341D426" w14:textId="77777777" w:rsidR="004412F1" w:rsidRPr="00763640" w:rsidRDefault="005A12A3">
            <w:pPr>
              <w:jc w:val="both"/>
              <w:rPr>
                <w:bCs/>
                <w:lang w:val="es-PE"/>
              </w:rPr>
            </w:pPr>
            <w:r w:rsidRPr="00763640">
              <w:rPr>
                <w:lang w:val="es-PE"/>
              </w:rPr>
              <w:t>Inasistencia o negativa de recepción de Áreas de la Concesión</w:t>
            </w:r>
          </w:p>
        </w:tc>
        <w:tc>
          <w:tcPr>
            <w:tcW w:w="2268" w:type="dxa"/>
          </w:tcPr>
          <w:p w14:paraId="7F7476FD" w14:textId="77777777" w:rsidR="004412F1" w:rsidRPr="00763640" w:rsidRDefault="005A12A3">
            <w:pPr>
              <w:jc w:val="center"/>
              <w:rPr>
                <w:bCs/>
                <w:lang w:val="es-PE"/>
              </w:rPr>
            </w:pPr>
            <w:r w:rsidRPr="00763640">
              <w:t>Cada vez</w:t>
            </w:r>
          </w:p>
        </w:tc>
      </w:tr>
      <w:tr w:rsidR="004412F1" w:rsidRPr="00763640" w14:paraId="489A03E9" w14:textId="77777777">
        <w:tc>
          <w:tcPr>
            <w:tcW w:w="1135" w:type="dxa"/>
            <w:vAlign w:val="center"/>
          </w:tcPr>
          <w:p w14:paraId="23031079" w14:textId="77777777" w:rsidR="004412F1" w:rsidRPr="00763640" w:rsidRDefault="005A12A3">
            <w:pPr>
              <w:jc w:val="center"/>
              <w:rPr>
                <w:lang w:val="es-ES"/>
              </w:rPr>
            </w:pPr>
            <w:r w:rsidRPr="00763640">
              <w:rPr>
                <w:bCs/>
                <w:lang w:val="es-ES"/>
              </w:rPr>
              <w:t>5.28</w:t>
            </w:r>
          </w:p>
        </w:tc>
        <w:tc>
          <w:tcPr>
            <w:tcW w:w="992" w:type="dxa"/>
          </w:tcPr>
          <w:p w14:paraId="479BBEFC" w14:textId="77777777" w:rsidR="004412F1" w:rsidRPr="00763640" w:rsidRDefault="005A12A3">
            <w:pPr>
              <w:jc w:val="center"/>
              <w:rPr>
                <w:bCs/>
              </w:rPr>
            </w:pPr>
            <w:r w:rsidRPr="00763640">
              <w:t>0.80</w:t>
            </w:r>
          </w:p>
        </w:tc>
        <w:tc>
          <w:tcPr>
            <w:tcW w:w="4819" w:type="dxa"/>
          </w:tcPr>
          <w:p w14:paraId="3CFA98E5" w14:textId="77777777" w:rsidR="004412F1" w:rsidRPr="00763640" w:rsidRDefault="005A12A3">
            <w:pPr>
              <w:jc w:val="both"/>
              <w:rPr>
                <w:bCs/>
                <w:lang w:val="es-ES"/>
              </w:rPr>
            </w:pPr>
            <w:r w:rsidRPr="00763640">
              <w:rPr>
                <w:lang w:val="es-PE"/>
              </w:rPr>
              <w:t>Atraso en la reposición de los Bienes de la Concesión sobre el plazo máximo indicado.</w:t>
            </w:r>
          </w:p>
        </w:tc>
        <w:tc>
          <w:tcPr>
            <w:tcW w:w="2268" w:type="dxa"/>
          </w:tcPr>
          <w:p w14:paraId="74C870BD" w14:textId="77777777" w:rsidR="004412F1" w:rsidRPr="00763640" w:rsidRDefault="005A12A3">
            <w:pPr>
              <w:jc w:val="both"/>
              <w:rPr>
                <w:bCs/>
              </w:rPr>
            </w:pPr>
            <w:r w:rsidRPr="00763640">
              <w:t>Cada Día de atraso</w:t>
            </w:r>
          </w:p>
        </w:tc>
      </w:tr>
      <w:tr w:rsidR="004412F1" w:rsidRPr="00763640" w14:paraId="397967AA" w14:textId="77777777">
        <w:tc>
          <w:tcPr>
            <w:tcW w:w="1135" w:type="dxa"/>
            <w:vAlign w:val="center"/>
          </w:tcPr>
          <w:p w14:paraId="5794E838" w14:textId="77777777" w:rsidR="004412F1" w:rsidRPr="00763640" w:rsidRDefault="005A12A3">
            <w:pPr>
              <w:jc w:val="center"/>
              <w:rPr>
                <w:bCs/>
                <w:lang w:val="es-ES"/>
              </w:rPr>
            </w:pPr>
            <w:r w:rsidRPr="00763640">
              <w:rPr>
                <w:bCs/>
                <w:lang w:val="es-ES"/>
              </w:rPr>
              <w:t>5.51</w:t>
            </w:r>
          </w:p>
        </w:tc>
        <w:tc>
          <w:tcPr>
            <w:tcW w:w="992" w:type="dxa"/>
          </w:tcPr>
          <w:p w14:paraId="069D9FBD" w14:textId="77777777" w:rsidR="004412F1" w:rsidRPr="00763640" w:rsidRDefault="005A12A3">
            <w:pPr>
              <w:jc w:val="center"/>
            </w:pPr>
            <w:r w:rsidRPr="00763640">
              <w:t>3.20</w:t>
            </w:r>
          </w:p>
        </w:tc>
        <w:tc>
          <w:tcPr>
            <w:tcW w:w="4819" w:type="dxa"/>
          </w:tcPr>
          <w:p w14:paraId="6805BEA5" w14:textId="77777777" w:rsidR="004412F1" w:rsidRPr="00763640" w:rsidRDefault="005A12A3">
            <w:pPr>
              <w:pStyle w:val="BodyText31"/>
              <w:autoSpaceDE/>
              <w:autoSpaceDN/>
              <w:adjustRightInd/>
              <w:rPr>
                <w:rFonts w:ascii="Arial" w:hAnsi="Arial"/>
                <w:sz w:val="22"/>
                <w:lang w:val="es-ES"/>
              </w:rPr>
            </w:pPr>
            <w:r w:rsidRPr="00763640">
              <w:rPr>
                <w:rFonts w:ascii="Arial" w:hAnsi="Arial"/>
                <w:sz w:val="22"/>
                <w:lang w:val="es-ES"/>
              </w:rPr>
              <w:t xml:space="preserve">No ejercer la defensa posesoria  </w:t>
            </w:r>
          </w:p>
        </w:tc>
        <w:tc>
          <w:tcPr>
            <w:tcW w:w="2268" w:type="dxa"/>
          </w:tcPr>
          <w:p w14:paraId="3F6FA77E" w14:textId="77777777" w:rsidR="004412F1" w:rsidRPr="00763640" w:rsidRDefault="005A12A3">
            <w:pPr>
              <w:jc w:val="both"/>
            </w:pPr>
            <w:r w:rsidRPr="00763640">
              <w:t>Cada vez</w:t>
            </w:r>
          </w:p>
        </w:tc>
      </w:tr>
    </w:tbl>
    <w:p w14:paraId="018AA4E7" w14:textId="77777777" w:rsidR="004412F1" w:rsidRPr="00763640" w:rsidRDefault="004412F1">
      <w:pPr>
        <w:pStyle w:val="Textosinformato"/>
        <w:jc w:val="both"/>
        <w:rPr>
          <w:rFonts w:ascii="Arial" w:hAnsi="Arial"/>
          <w:sz w:val="16"/>
          <w:szCs w:val="16"/>
          <w:lang w:val="es-MX"/>
        </w:rPr>
      </w:pPr>
    </w:p>
    <w:p w14:paraId="3EE4D19D" w14:textId="77777777" w:rsidR="004412F1" w:rsidRPr="00763640" w:rsidRDefault="005A12A3">
      <w:pPr>
        <w:rPr>
          <w:rStyle w:val="TOC12"/>
          <w:b/>
          <w:bCs/>
          <w:lang w:val="es-PE"/>
        </w:rPr>
      </w:pPr>
      <w:bookmarkStart w:id="2862" w:name="_Ref295466197"/>
      <w:r w:rsidRPr="00763640">
        <w:rPr>
          <w:rStyle w:val="TOC12"/>
          <w:b/>
          <w:lang w:val="es-PE"/>
        </w:rPr>
        <w:t>Tabla Nº 3</w:t>
      </w:r>
      <w:bookmarkEnd w:id="2862"/>
    </w:p>
    <w:p w14:paraId="6B4A4781" w14:textId="77777777" w:rsidR="004412F1" w:rsidRPr="00763640" w:rsidRDefault="005A12A3">
      <w:pPr>
        <w:pStyle w:val="Textosinformato"/>
        <w:jc w:val="both"/>
        <w:rPr>
          <w:rFonts w:ascii="Arial" w:hAnsi="Arial"/>
          <w:lang w:val="es-MX"/>
        </w:rPr>
      </w:pPr>
      <w:r w:rsidRPr="00763640">
        <w:rPr>
          <w:rFonts w:ascii="Arial" w:hAnsi="Arial"/>
          <w:lang w:val="es-MX"/>
        </w:rPr>
        <w:t>Penalidades referidas al CAPÍTULO VI del Contrato: Ejecución de las Intervenciones</w:t>
      </w:r>
    </w:p>
    <w:p w14:paraId="1BA61282" w14:textId="77777777" w:rsidR="004412F1" w:rsidRPr="00763640" w:rsidRDefault="004412F1">
      <w:pPr>
        <w:pStyle w:val="Textosinformato"/>
        <w:jc w:val="both"/>
        <w:rPr>
          <w:rFonts w:ascii="Arial" w:hAnsi="Arial"/>
          <w:sz w:val="16"/>
          <w:lang w:val="es-MX"/>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1716"/>
        <w:gridCol w:w="4602"/>
        <w:gridCol w:w="1761"/>
      </w:tblGrid>
      <w:tr w:rsidR="004412F1" w:rsidRPr="00763640" w14:paraId="0758ED87" w14:textId="77777777">
        <w:tc>
          <w:tcPr>
            <w:tcW w:w="1135" w:type="dxa"/>
          </w:tcPr>
          <w:p w14:paraId="4D20B568" w14:textId="77777777" w:rsidR="004412F1" w:rsidRPr="00763640" w:rsidRDefault="005A12A3">
            <w:pPr>
              <w:rPr>
                <w:b/>
              </w:rPr>
            </w:pPr>
            <w:r w:rsidRPr="00763640">
              <w:rPr>
                <w:b/>
              </w:rPr>
              <w:t>Cláusula Contrato</w:t>
            </w:r>
          </w:p>
        </w:tc>
        <w:tc>
          <w:tcPr>
            <w:tcW w:w="1716" w:type="dxa"/>
            <w:vAlign w:val="center"/>
          </w:tcPr>
          <w:p w14:paraId="7ADC28C0" w14:textId="77777777" w:rsidR="004412F1" w:rsidRPr="00763640" w:rsidRDefault="005A12A3">
            <w:pPr>
              <w:jc w:val="center"/>
              <w:rPr>
                <w:rFonts w:eastAsiaTheme="minorEastAsia"/>
                <w:b/>
                <w:lang w:eastAsia="zh-CN"/>
              </w:rPr>
            </w:pPr>
            <w:r w:rsidRPr="00763640">
              <w:rPr>
                <w:b/>
              </w:rPr>
              <w:t>Monto</w:t>
            </w:r>
          </w:p>
          <w:p w14:paraId="6B144303" w14:textId="77777777" w:rsidR="004412F1" w:rsidRPr="00763640" w:rsidRDefault="005A12A3">
            <w:pPr>
              <w:jc w:val="center"/>
              <w:rPr>
                <w:rFonts w:eastAsiaTheme="minorEastAsia"/>
                <w:b/>
                <w:lang w:val="es-MX" w:eastAsia="zh-CN"/>
              </w:rPr>
            </w:pPr>
            <w:r w:rsidRPr="00763640">
              <w:rPr>
                <w:rFonts w:eastAsiaTheme="minorEastAsia"/>
                <w:b/>
                <w:lang w:val="es-MX" w:eastAsia="zh-CN"/>
              </w:rPr>
              <w:t>(en UIT)</w:t>
            </w:r>
          </w:p>
        </w:tc>
        <w:tc>
          <w:tcPr>
            <w:tcW w:w="4602" w:type="dxa"/>
            <w:vAlign w:val="center"/>
          </w:tcPr>
          <w:p w14:paraId="035BAE46" w14:textId="77777777" w:rsidR="004412F1" w:rsidRPr="00763640" w:rsidRDefault="005A12A3">
            <w:pPr>
              <w:jc w:val="center"/>
              <w:rPr>
                <w:b/>
              </w:rPr>
            </w:pPr>
            <w:r w:rsidRPr="00763640">
              <w:rPr>
                <w:b/>
              </w:rPr>
              <w:t>Descripción de penalidad</w:t>
            </w:r>
          </w:p>
        </w:tc>
        <w:tc>
          <w:tcPr>
            <w:tcW w:w="1761" w:type="dxa"/>
          </w:tcPr>
          <w:p w14:paraId="6F39615C" w14:textId="77777777" w:rsidR="004412F1" w:rsidRPr="00763640" w:rsidRDefault="005A12A3">
            <w:pPr>
              <w:jc w:val="center"/>
              <w:rPr>
                <w:b/>
              </w:rPr>
            </w:pPr>
            <w:r w:rsidRPr="00763640">
              <w:rPr>
                <w:b/>
              </w:rPr>
              <w:t>Criterio de Aplicación</w:t>
            </w:r>
          </w:p>
        </w:tc>
      </w:tr>
      <w:tr w:rsidR="004412F1" w:rsidRPr="00763640" w14:paraId="2077DA89" w14:textId="77777777">
        <w:tc>
          <w:tcPr>
            <w:tcW w:w="1135" w:type="dxa"/>
            <w:vAlign w:val="center"/>
          </w:tcPr>
          <w:p w14:paraId="799D051E" w14:textId="77777777" w:rsidR="004412F1" w:rsidRPr="00763640" w:rsidRDefault="005A12A3">
            <w:pPr>
              <w:jc w:val="center"/>
              <w:rPr>
                <w:lang w:val="es-ES"/>
              </w:rPr>
            </w:pPr>
            <w:r w:rsidRPr="00763640">
              <w:rPr>
                <w:lang w:val="es-ES"/>
              </w:rPr>
              <w:t>6.8</w:t>
            </w:r>
          </w:p>
        </w:tc>
        <w:tc>
          <w:tcPr>
            <w:tcW w:w="1716" w:type="dxa"/>
            <w:vAlign w:val="center"/>
          </w:tcPr>
          <w:p w14:paraId="17DA4F21" w14:textId="77777777" w:rsidR="004412F1" w:rsidRPr="00763640" w:rsidRDefault="005A12A3">
            <w:pPr>
              <w:jc w:val="center"/>
              <w:rPr>
                <w:bCs/>
              </w:rPr>
            </w:pPr>
            <w:r w:rsidRPr="00763640">
              <w:t>2.00</w:t>
            </w:r>
          </w:p>
        </w:tc>
        <w:tc>
          <w:tcPr>
            <w:tcW w:w="4602" w:type="dxa"/>
          </w:tcPr>
          <w:p w14:paraId="2D1A68F3" w14:textId="77777777" w:rsidR="004412F1" w:rsidRPr="00763640" w:rsidRDefault="005A12A3">
            <w:pPr>
              <w:rPr>
                <w:bCs/>
                <w:lang w:val="es-PE"/>
              </w:rPr>
            </w:pPr>
            <w:r w:rsidRPr="00763640">
              <w:rPr>
                <w:lang w:val="es-PE"/>
              </w:rPr>
              <w:t xml:space="preserve">No dar al REGULADOR, al supervisor de las Intervenciones y/o al equipo que éste disponga, de ser el caso, libre acceso a las áreas de trabajo para realizar su labor. </w:t>
            </w:r>
          </w:p>
        </w:tc>
        <w:tc>
          <w:tcPr>
            <w:tcW w:w="1761" w:type="dxa"/>
          </w:tcPr>
          <w:p w14:paraId="69390273" w14:textId="77777777" w:rsidR="004412F1" w:rsidRPr="00763640" w:rsidRDefault="004412F1">
            <w:pPr>
              <w:jc w:val="both"/>
              <w:rPr>
                <w:bCs/>
                <w:lang w:val="es-PE"/>
              </w:rPr>
            </w:pPr>
          </w:p>
          <w:p w14:paraId="4B1FDD41" w14:textId="77777777" w:rsidR="004412F1" w:rsidRPr="00763640" w:rsidRDefault="005A12A3">
            <w:pPr>
              <w:jc w:val="both"/>
              <w:rPr>
                <w:bCs/>
              </w:rPr>
            </w:pPr>
            <w:r w:rsidRPr="00763640">
              <w:t>Cada vez</w:t>
            </w:r>
          </w:p>
        </w:tc>
      </w:tr>
      <w:tr w:rsidR="004412F1" w:rsidRPr="00763640" w14:paraId="20754ACA" w14:textId="77777777">
        <w:tc>
          <w:tcPr>
            <w:tcW w:w="1135" w:type="dxa"/>
            <w:vAlign w:val="center"/>
          </w:tcPr>
          <w:p w14:paraId="31077E08" w14:textId="77777777" w:rsidR="004412F1" w:rsidRPr="00763640" w:rsidRDefault="005A12A3">
            <w:pPr>
              <w:jc w:val="center"/>
              <w:rPr>
                <w:lang w:val="es-PE"/>
              </w:rPr>
            </w:pPr>
            <w:r w:rsidRPr="00763640">
              <w:rPr>
                <w:lang w:val="es-ES"/>
              </w:rPr>
              <w:t>6.</w:t>
            </w:r>
            <w:r w:rsidRPr="00763640">
              <w:rPr>
                <w:lang w:val="es-PE"/>
              </w:rPr>
              <w:t>09</w:t>
            </w:r>
          </w:p>
        </w:tc>
        <w:tc>
          <w:tcPr>
            <w:tcW w:w="1716" w:type="dxa"/>
            <w:vAlign w:val="center"/>
          </w:tcPr>
          <w:p w14:paraId="077ABE98" w14:textId="77777777" w:rsidR="004412F1" w:rsidRPr="00763640" w:rsidRDefault="005A12A3">
            <w:pPr>
              <w:jc w:val="center"/>
              <w:rPr>
                <w:bCs/>
              </w:rPr>
            </w:pPr>
            <w:r w:rsidRPr="00763640">
              <w:t>3.00</w:t>
            </w:r>
          </w:p>
        </w:tc>
        <w:tc>
          <w:tcPr>
            <w:tcW w:w="4602" w:type="dxa"/>
          </w:tcPr>
          <w:p w14:paraId="0AEE7DDA" w14:textId="77777777" w:rsidR="004412F1" w:rsidRPr="00763640" w:rsidRDefault="005A12A3">
            <w:pPr>
              <w:rPr>
                <w:bCs/>
                <w:lang w:val="es-PE"/>
              </w:rPr>
            </w:pPr>
            <w:r w:rsidRPr="00763640">
              <w:rPr>
                <w:lang w:val="es-PE"/>
              </w:rPr>
              <w:t>Atraso en la presentación y/o en el levantamiento de observaciones del Expediente Técnico de Mantenimiento Periódico Inicial por parte del Concesionario</w:t>
            </w:r>
          </w:p>
        </w:tc>
        <w:tc>
          <w:tcPr>
            <w:tcW w:w="1761" w:type="dxa"/>
          </w:tcPr>
          <w:p w14:paraId="7A5EC33F" w14:textId="77777777" w:rsidR="004412F1" w:rsidRPr="00763640" w:rsidRDefault="005A12A3">
            <w:pPr>
              <w:jc w:val="both"/>
              <w:rPr>
                <w:bCs/>
              </w:rPr>
            </w:pPr>
            <w:r w:rsidRPr="00763640">
              <w:t>Cada Día de atraso</w:t>
            </w:r>
          </w:p>
        </w:tc>
      </w:tr>
      <w:tr w:rsidR="004412F1" w:rsidRPr="00763640" w14:paraId="1684D64D" w14:textId="77777777">
        <w:tc>
          <w:tcPr>
            <w:tcW w:w="1135" w:type="dxa"/>
            <w:vAlign w:val="center"/>
          </w:tcPr>
          <w:p w14:paraId="4EC2E772" w14:textId="77777777" w:rsidR="004412F1" w:rsidRPr="00763640" w:rsidRDefault="005A12A3">
            <w:pPr>
              <w:jc w:val="center"/>
              <w:rPr>
                <w:lang w:val="es-PE"/>
              </w:rPr>
            </w:pPr>
            <w:r w:rsidRPr="00763640">
              <w:rPr>
                <w:lang w:val="es-MX"/>
              </w:rPr>
              <w:t>6.1</w:t>
            </w:r>
            <w:r w:rsidRPr="00763640">
              <w:rPr>
                <w:lang w:val="es-PE"/>
              </w:rPr>
              <w:t>0</w:t>
            </w:r>
            <w:r w:rsidRPr="00763640">
              <w:rPr>
                <w:lang w:val="es-MX"/>
              </w:rPr>
              <w:t>,</w:t>
            </w:r>
            <w:r w:rsidRPr="00763640">
              <w:rPr>
                <w:lang w:val="es-ES"/>
              </w:rPr>
              <w:t xml:space="preserve"> 6.1</w:t>
            </w:r>
            <w:r w:rsidRPr="00763640">
              <w:rPr>
                <w:lang w:val="es-PE"/>
              </w:rPr>
              <w:t>1</w:t>
            </w:r>
          </w:p>
        </w:tc>
        <w:tc>
          <w:tcPr>
            <w:tcW w:w="1716" w:type="dxa"/>
            <w:vAlign w:val="center"/>
          </w:tcPr>
          <w:p w14:paraId="2635E5DE" w14:textId="77777777" w:rsidR="004412F1" w:rsidRPr="00763640" w:rsidRDefault="005A12A3">
            <w:pPr>
              <w:jc w:val="center"/>
              <w:rPr>
                <w:bCs/>
              </w:rPr>
            </w:pPr>
            <w:r w:rsidRPr="00763640">
              <w:t>3.00</w:t>
            </w:r>
          </w:p>
        </w:tc>
        <w:tc>
          <w:tcPr>
            <w:tcW w:w="4602" w:type="dxa"/>
          </w:tcPr>
          <w:p w14:paraId="7CC04D3C" w14:textId="77777777" w:rsidR="004412F1" w:rsidRPr="00763640" w:rsidRDefault="005A12A3">
            <w:pPr>
              <w:rPr>
                <w:bCs/>
                <w:lang w:val="es-PE"/>
              </w:rPr>
            </w:pPr>
            <w:r w:rsidRPr="00763640">
              <w:rPr>
                <w:lang w:val="es-PE"/>
              </w:rPr>
              <w:t>Atraso en la presentación y/o en el levantamiento de observaciones del Estudio Definitivo de Ingeniería e Instrumento de Gestión Ambiental de la Rehabilitación y Mejoramiento por parte del Concesionario</w:t>
            </w:r>
          </w:p>
        </w:tc>
        <w:tc>
          <w:tcPr>
            <w:tcW w:w="1761" w:type="dxa"/>
          </w:tcPr>
          <w:p w14:paraId="786003F5" w14:textId="77777777" w:rsidR="004412F1" w:rsidRPr="00763640" w:rsidRDefault="005A12A3">
            <w:pPr>
              <w:rPr>
                <w:bCs/>
              </w:rPr>
            </w:pPr>
            <w:r w:rsidRPr="00763640">
              <w:t>Cada Día de atraso</w:t>
            </w:r>
          </w:p>
        </w:tc>
      </w:tr>
      <w:tr w:rsidR="004412F1" w:rsidRPr="00763640" w14:paraId="6E46654A" w14:textId="77777777">
        <w:tc>
          <w:tcPr>
            <w:tcW w:w="1135" w:type="dxa"/>
            <w:vAlign w:val="center"/>
          </w:tcPr>
          <w:p w14:paraId="011E0B0A" w14:textId="77777777" w:rsidR="004412F1" w:rsidRPr="00763640" w:rsidRDefault="005A12A3">
            <w:pPr>
              <w:jc w:val="center"/>
              <w:rPr>
                <w:lang w:val="es-PE"/>
              </w:rPr>
            </w:pPr>
            <w:r w:rsidRPr="00763640">
              <w:t>6.1</w:t>
            </w:r>
            <w:r w:rsidRPr="00763640">
              <w:rPr>
                <w:lang w:val="es-PE"/>
              </w:rPr>
              <w:t>2</w:t>
            </w:r>
          </w:p>
        </w:tc>
        <w:tc>
          <w:tcPr>
            <w:tcW w:w="1716" w:type="dxa"/>
            <w:vAlign w:val="center"/>
          </w:tcPr>
          <w:p w14:paraId="789A218C" w14:textId="77777777" w:rsidR="004412F1" w:rsidRPr="00763640" w:rsidRDefault="005A12A3">
            <w:pPr>
              <w:jc w:val="center"/>
            </w:pPr>
            <w:r w:rsidRPr="00763640">
              <w:t>3.00</w:t>
            </w:r>
          </w:p>
        </w:tc>
        <w:tc>
          <w:tcPr>
            <w:tcW w:w="4602" w:type="dxa"/>
          </w:tcPr>
          <w:p w14:paraId="4C05EA6D" w14:textId="77777777" w:rsidR="004412F1" w:rsidRPr="00763640" w:rsidRDefault="005A12A3">
            <w:pPr>
              <w:rPr>
                <w:lang w:val="es-PE"/>
              </w:rPr>
            </w:pPr>
            <w:r w:rsidRPr="00763640">
              <w:rPr>
                <w:lang w:val="es-PE"/>
              </w:rPr>
              <w:t>Atraso en la presentación y/o en el levantamiento de observaciones del Estudio Definitivo de Ingeniería e Instrumento de Gestión Ambiental de la Construcción de la Evitamiento San Clemente por parte del Concesionario</w:t>
            </w:r>
          </w:p>
        </w:tc>
        <w:tc>
          <w:tcPr>
            <w:tcW w:w="1761" w:type="dxa"/>
          </w:tcPr>
          <w:p w14:paraId="19FF32A3" w14:textId="77777777" w:rsidR="004412F1" w:rsidRPr="00763640" w:rsidRDefault="005A12A3">
            <w:r w:rsidRPr="00763640">
              <w:t>Cada Día de atraso</w:t>
            </w:r>
          </w:p>
        </w:tc>
      </w:tr>
      <w:tr w:rsidR="004412F1" w:rsidRPr="00763640" w14:paraId="1BBC71BC" w14:textId="77777777">
        <w:tc>
          <w:tcPr>
            <w:tcW w:w="1135" w:type="dxa"/>
            <w:vAlign w:val="center"/>
          </w:tcPr>
          <w:p w14:paraId="1DA8AC10" w14:textId="77777777" w:rsidR="004412F1" w:rsidRPr="00763640" w:rsidRDefault="005A12A3">
            <w:pPr>
              <w:jc w:val="center"/>
              <w:rPr>
                <w:rFonts w:eastAsiaTheme="minorEastAsia"/>
                <w:bCs/>
                <w:lang w:val="es-PE" w:eastAsia="zh-CN"/>
              </w:rPr>
            </w:pPr>
            <w:r w:rsidRPr="00763640">
              <w:rPr>
                <w:bCs/>
                <w:lang w:val="es-MX"/>
              </w:rPr>
              <w:t>6.1</w:t>
            </w:r>
            <w:r w:rsidRPr="00763640">
              <w:rPr>
                <w:bCs/>
                <w:lang w:val="es-PE"/>
              </w:rPr>
              <w:t>7</w:t>
            </w:r>
          </w:p>
        </w:tc>
        <w:tc>
          <w:tcPr>
            <w:tcW w:w="1716" w:type="dxa"/>
            <w:vAlign w:val="center"/>
          </w:tcPr>
          <w:p w14:paraId="6ADDB61B" w14:textId="77777777" w:rsidR="004412F1" w:rsidRPr="00763640" w:rsidRDefault="005A12A3">
            <w:pPr>
              <w:jc w:val="center"/>
              <w:rPr>
                <w:bCs/>
              </w:rPr>
            </w:pPr>
            <w:r w:rsidRPr="00763640">
              <w:t>1.20</w:t>
            </w:r>
          </w:p>
        </w:tc>
        <w:tc>
          <w:tcPr>
            <w:tcW w:w="4602" w:type="dxa"/>
          </w:tcPr>
          <w:p w14:paraId="56A010E9" w14:textId="77777777" w:rsidR="004412F1" w:rsidRPr="00763640" w:rsidRDefault="005A12A3">
            <w:pPr>
              <w:pStyle w:val="BodyText31"/>
              <w:autoSpaceDE/>
              <w:autoSpaceDN/>
              <w:adjustRightInd/>
              <w:rPr>
                <w:rFonts w:ascii="Arial" w:hAnsi="Arial"/>
                <w:bCs/>
                <w:sz w:val="22"/>
                <w:lang w:val="es-ES"/>
              </w:rPr>
            </w:pPr>
            <w:r w:rsidRPr="00763640">
              <w:rPr>
                <w:rFonts w:ascii="Arial" w:hAnsi="Arial"/>
                <w:sz w:val="22"/>
                <w:lang w:val="es-ES"/>
              </w:rPr>
              <w:t>No permitir tanto al CONCEDENTE como al REGULADOR el libre acceso al Libro de Obra durante la ejecución de la Rehabilitación y Mejoramiento y Mantenimiento Periódico Inicial.</w:t>
            </w:r>
          </w:p>
        </w:tc>
        <w:tc>
          <w:tcPr>
            <w:tcW w:w="1761" w:type="dxa"/>
          </w:tcPr>
          <w:p w14:paraId="55B59216" w14:textId="77777777" w:rsidR="004412F1" w:rsidRPr="00763640" w:rsidRDefault="004412F1">
            <w:pPr>
              <w:jc w:val="both"/>
              <w:rPr>
                <w:bCs/>
                <w:lang w:val="es-PE"/>
              </w:rPr>
            </w:pPr>
          </w:p>
          <w:p w14:paraId="31B22EDC" w14:textId="77777777" w:rsidR="004412F1" w:rsidRPr="00763640" w:rsidRDefault="005A12A3">
            <w:pPr>
              <w:jc w:val="both"/>
              <w:rPr>
                <w:bCs/>
              </w:rPr>
            </w:pPr>
            <w:r w:rsidRPr="00763640">
              <w:t>Cada vez</w:t>
            </w:r>
          </w:p>
        </w:tc>
      </w:tr>
      <w:tr w:rsidR="004412F1" w:rsidRPr="00763640" w14:paraId="22B2021E" w14:textId="77777777">
        <w:tc>
          <w:tcPr>
            <w:tcW w:w="1135" w:type="dxa"/>
            <w:vAlign w:val="center"/>
          </w:tcPr>
          <w:p w14:paraId="2763FB89" w14:textId="77777777" w:rsidR="004412F1" w:rsidRPr="00763640" w:rsidRDefault="005A12A3">
            <w:pPr>
              <w:jc w:val="center"/>
              <w:rPr>
                <w:rFonts w:eastAsiaTheme="minorEastAsia"/>
                <w:bCs/>
                <w:lang w:val="es-PE" w:eastAsia="zh-CN"/>
              </w:rPr>
            </w:pPr>
            <w:r w:rsidRPr="00763640">
              <w:rPr>
                <w:bCs/>
                <w:lang w:val="es-MX"/>
              </w:rPr>
              <w:t>6.1</w:t>
            </w:r>
            <w:r w:rsidRPr="00763640">
              <w:rPr>
                <w:bCs/>
                <w:lang w:val="es-PE"/>
              </w:rPr>
              <w:t>8</w:t>
            </w:r>
          </w:p>
        </w:tc>
        <w:tc>
          <w:tcPr>
            <w:tcW w:w="1716" w:type="dxa"/>
            <w:vAlign w:val="center"/>
          </w:tcPr>
          <w:p w14:paraId="41B58020" w14:textId="77777777" w:rsidR="004412F1" w:rsidRPr="00763640" w:rsidRDefault="005A12A3">
            <w:pPr>
              <w:jc w:val="center"/>
              <w:rPr>
                <w:bCs/>
              </w:rPr>
            </w:pPr>
            <w:r w:rsidRPr="00763640">
              <w:t>1.20</w:t>
            </w:r>
          </w:p>
        </w:tc>
        <w:tc>
          <w:tcPr>
            <w:tcW w:w="4602" w:type="dxa"/>
          </w:tcPr>
          <w:p w14:paraId="6B011ECB" w14:textId="77777777" w:rsidR="004412F1" w:rsidRPr="00763640" w:rsidRDefault="005A12A3">
            <w:pPr>
              <w:pStyle w:val="BodyText31"/>
              <w:autoSpaceDE/>
              <w:autoSpaceDN/>
              <w:adjustRightInd/>
              <w:rPr>
                <w:rFonts w:ascii="Arial" w:hAnsi="Arial"/>
                <w:sz w:val="22"/>
                <w:lang w:val="es-ES"/>
              </w:rPr>
            </w:pPr>
            <w:r w:rsidRPr="00763640">
              <w:rPr>
                <w:rFonts w:ascii="Arial" w:hAnsi="Arial"/>
                <w:sz w:val="22"/>
                <w:lang w:val="es-ES"/>
              </w:rPr>
              <w:t>No mantener un Libro de Sugerencias y Reclamos durante todo el plazo de la Explotación.</w:t>
            </w:r>
          </w:p>
        </w:tc>
        <w:tc>
          <w:tcPr>
            <w:tcW w:w="1761" w:type="dxa"/>
          </w:tcPr>
          <w:p w14:paraId="2507436A" w14:textId="77777777" w:rsidR="004412F1" w:rsidRPr="00763640" w:rsidRDefault="005A12A3">
            <w:pPr>
              <w:jc w:val="both"/>
              <w:rPr>
                <w:bCs/>
              </w:rPr>
            </w:pPr>
            <w:r w:rsidRPr="00763640">
              <w:t>Cada Día de atraso</w:t>
            </w:r>
          </w:p>
        </w:tc>
      </w:tr>
      <w:tr w:rsidR="004412F1" w:rsidRPr="00763640" w14:paraId="760B1DEA" w14:textId="77777777">
        <w:tc>
          <w:tcPr>
            <w:tcW w:w="1135" w:type="dxa"/>
            <w:vAlign w:val="center"/>
          </w:tcPr>
          <w:p w14:paraId="2207ECC0" w14:textId="77777777" w:rsidR="004412F1" w:rsidRPr="00763640" w:rsidRDefault="005A12A3">
            <w:pPr>
              <w:jc w:val="center"/>
              <w:rPr>
                <w:rFonts w:eastAsiaTheme="minorEastAsia"/>
                <w:bCs/>
                <w:lang w:val="es-PE" w:eastAsia="zh-CN"/>
              </w:rPr>
            </w:pPr>
            <w:r w:rsidRPr="00763640">
              <w:rPr>
                <w:bCs/>
                <w:lang w:val="es-MX"/>
              </w:rPr>
              <w:t>6.</w:t>
            </w:r>
            <w:r w:rsidRPr="00763640">
              <w:rPr>
                <w:bCs/>
                <w:lang w:val="es-PE"/>
              </w:rPr>
              <w:t>19</w:t>
            </w:r>
          </w:p>
        </w:tc>
        <w:tc>
          <w:tcPr>
            <w:tcW w:w="1716" w:type="dxa"/>
            <w:vAlign w:val="center"/>
          </w:tcPr>
          <w:p w14:paraId="25124FE7" w14:textId="77777777" w:rsidR="004412F1" w:rsidRPr="00763640" w:rsidRDefault="005A12A3">
            <w:pPr>
              <w:jc w:val="center"/>
              <w:rPr>
                <w:bCs/>
              </w:rPr>
            </w:pPr>
            <w:r w:rsidRPr="00763640">
              <w:t>2.40</w:t>
            </w:r>
          </w:p>
        </w:tc>
        <w:tc>
          <w:tcPr>
            <w:tcW w:w="4602" w:type="dxa"/>
          </w:tcPr>
          <w:p w14:paraId="4A9015B4" w14:textId="77777777" w:rsidR="004412F1" w:rsidRPr="00763640" w:rsidRDefault="005A12A3">
            <w:pPr>
              <w:rPr>
                <w:bCs/>
                <w:lang w:val="es-PE"/>
              </w:rPr>
            </w:pPr>
            <w:r w:rsidRPr="00763640">
              <w:rPr>
                <w:lang w:val="es-PE"/>
              </w:rPr>
              <w:t xml:space="preserve">Atraso en la presentación al REGULADOR del Programa de Ejecución de las Intervenciones. </w:t>
            </w:r>
          </w:p>
        </w:tc>
        <w:tc>
          <w:tcPr>
            <w:tcW w:w="1761" w:type="dxa"/>
            <w:vAlign w:val="center"/>
          </w:tcPr>
          <w:p w14:paraId="149D6A7E" w14:textId="77777777" w:rsidR="004412F1" w:rsidRPr="00763640" w:rsidRDefault="005A12A3">
            <w:pPr>
              <w:rPr>
                <w:bCs/>
              </w:rPr>
            </w:pPr>
            <w:r w:rsidRPr="00763640">
              <w:t>Cada Día</w:t>
            </w:r>
          </w:p>
        </w:tc>
      </w:tr>
      <w:tr w:rsidR="004412F1" w:rsidRPr="00763640" w14:paraId="070D0E22" w14:textId="77777777" w:rsidTr="003C58F7">
        <w:trPr>
          <w:trHeight w:val="58"/>
        </w:trPr>
        <w:tc>
          <w:tcPr>
            <w:tcW w:w="1135" w:type="dxa"/>
            <w:vAlign w:val="center"/>
          </w:tcPr>
          <w:p w14:paraId="2387986A" w14:textId="77777777" w:rsidR="004412F1" w:rsidRPr="00763640" w:rsidRDefault="005A12A3">
            <w:pPr>
              <w:jc w:val="center"/>
              <w:rPr>
                <w:rFonts w:eastAsiaTheme="minorEastAsia"/>
                <w:bCs/>
                <w:lang w:val="es-PE" w:eastAsia="zh-CN"/>
              </w:rPr>
            </w:pPr>
            <w:r w:rsidRPr="00763640">
              <w:rPr>
                <w:lang w:val="es-MX"/>
              </w:rPr>
              <w:t>6.</w:t>
            </w:r>
            <w:r w:rsidRPr="00763640">
              <w:rPr>
                <w:lang w:val="es-PE"/>
              </w:rPr>
              <w:t>19</w:t>
            </w:r>
          </w:p>
        </w:tc>
        <w:tc>
          <w:tcPr>
            <w:tcW w:w="1716" w:type="dxa"/>
            <w:vAlign w:val="center"/>
          </w:tcPr>
          <w:p w14:paraId="23EEDE78" w14:textId="77777777" w:rsidR="004412F1" w:rsidRPr="00763640" w:rsidRDefault="005A12A3">
            <w:pPr>
              <w:jc w:val="center"/>
              <w:rPr>
                <w:sz w:val="18"/>
                <w:lang w:val="es-PE"/>
              </w:rPr>
            </w:pPr>
            <w:r w:rsidRPr="00763640">
              <w:rPr>
                <w:sz w:val="18"/>
                <w:lang w:val="es-PE"/>
              </w:rPr>
              <w:t xml:space="preserve">0.03 </w:t>
            </w:r>
            <w:r w:rsidRPr="00763640">
              <w:rPr>
                <w:sz w:val="18"/>
                <w:vertAlign w:val="superscript"/>
                <w:lang w:val="es-PE"/>
              </w:rPr>
              <w:t>0</w:t>
            </w:r>
            <w:r w:rsidRPr="00763640">
              <w:rPr>
                <w:sz w:val="18"/>
                <w:lang w:val="es-PE"/>
              </w:rPr>
              <w:t>/</w:t>
            </w:r>
            <w:r w:rsidRPr="00763640">
              <w:rPr>
                <w:sz w:val="18"/>
                <w:vertAlign w:val="subscript"/>
                <w:lang w:val="es-PE"/>
              </w:rPr>
              <w:t xml:space="preserve">0 </w:t>
            </w:r>
            <w:r w:rsidRPr="00763640">
              <w:rPr>
                <w:sz w:val="18"/>
                <w:lang w:val="es-PE"/>
              </w:rPr>
              <w:t>de la suma de los presupuestos contenidos en el Estudio Definitivo de Ingeniería e Instrumento de Gestión Ambiental para la Rehabilitación y Mejoramiento.</w:t>
            </w:r>
          </w:p>
        </w:tc>
        <w:tc>
          <w:tcPr>
            <w:tcW w:w="4602" w:type="dxa"/>
          </w:tcPr>
          <w:p w14:paraId="1DD971C5" w14:textId="77777777" w:rsidR="004412F1" w:rsidRPr="00763640" w:rsidRDefault="005A12A3">
            <w:pPr>
              <w:jc w:val="both"/>
              <w:rPr>
                <w:lang w:val="es-PE"/>
              </w:rPr>
            </w:pPr>
            <w:r w:rsidRPr="00763640">
              <w:rPr>
                <w:lang w:val="es-PE"/>
              </w:rPr>
              <w:t>Atraso en el inicio y/o en el término de ejecución de la Rehabilitación y Mejoramiento.</w:t>
            </w:r>
          </w:p>
        </w:tc>
        <w:tc>
          <w:tcPr>
            <w:tcW w:w="1761" w:type="dxa"/>
            <w:vAlign w:val="center"/>
          </w:tcPr>
          <w:p w14:paraId="39EE53AE" w14:textId="77777777" w:rsidR="004412F1" w:rsidRPr="00763640" w:rsidRDefault="005A12A3">
            <w:pPr>
              <w:jc w:val="both"/>
              <w:rPr>
                <w:lang w:val="es-PE"/>
              </w:rPr>
            </w:pPr>
            <w:r w:rsidRPr="00763640">
              <w:t>Cada Día</w:t>
            </w:r>
          </w:p>
        </w:tc>
      </w:tr>
      <w:tr w:rsidR="004412F1" w:rsidRPr="00763640" w14:paraId="15786B6F" w14:textId="77777777">
        <w:tc>
          <w:tcPr>
            <w:tcW w:w="1135" w:type="dxa"/>
            <w:vAlign w:val="center"/>
          </w:tcPr>
          <w:p w14:paraId="1AE3F29D" w14:textId="77777777" w:rsidR="004412F1" w:rsidRPr="00763640" w:rsidRDefault="005A12A3">
            <w:pPr>
              <w:jc w:val="center"/>
              <w:rPr>
                <w:rFonts w:eastAsiaTheme="minorEastAsia"/>
                <w:bCs/>
                <w:lang w:val="es-PE" w:eastAsia="zh-CN"/>
              </w:rPr>
            </w:pPr>
            <w:r w:rsidRPr="00763640">
              <w:rPr>
                <w:rFonts w:eastAsiaTheme="minorEastAsia"/>
                <w:bCs/>
                <w:lang w:val="es-MX" w:eastAsia="zh-CN"/>
              </w:rPr>
              <w:t>6.</w:t>
            </w:r>
            <w:r w:rsidRPr="00763640">
              <w:rPr>
                <w:rFonts w:eastAsiaTheme="minorEastAsia"/>
                <w:bCs/>
                <w:lang w:val="es-PE" w:eastAsia="zh-CN"/>
              </w:rPr>
              <w:t>19</w:t>
            </w:r>
          </w:p>
        </w:tc>
        <w:tc>
          <w:tcPr>
            <w:tcW w:w="1716" w:type="dxa"/>
            <w:vAlign w:val="center"/>
          </w:tcPr>
          <w:p w14:paraId="35DF36B8" w14:textId="77777777" w:rsidR="004412F1" w:rsidRPr="00763640" w:rsidRDefault="005A12A3">
            <w:pPr>
              <w:jc w:val="center"/>
              <w:rPr>
                <w:lang w:val="es-PE"/>
              </w:rPr>
            </w:pPr>
            <w:r w:rsidRPr="00763640">
              <w:rPr>
                <w:sz w:val="18"/>
                <w:lang w:val="es-PE"/>
              </w:rPr>
              <w:t xml:space="preserve">0.03 </w:t>
            </w:r>
            <w:r w:rsidRPr="00763640">
              <w:rPr>
                <w:sz w:val="18"/>
                <w:vertAlign w:val="superscript"/>
                <w:lang w:val="es-PE"/>
              </w:rPr>
              <w:t>0</w:t>
            </w:r>
            <w:r w:rsidRPr="00763640">
              <w:rPr>
                <w:sz w:val="18"/>
                <w:lang w:val="es-PE"/>
              </w:rPr>
              <w:t>/</w:t>
            </w:r>
            <w:r w:rsidRPr="00763640">
              <w:rPr>
                <w:sz w:val="18"/>
                <w:vertAlign w:val="subscript"/>
                <w:lang w:val="es-PE"/>
              </w:rPr>
              <w:t xml:space="preserve">0 </w:t>
            </w:r>
            <w:r w:rsidRPr="00763640">
              <w:rPr>
                <w:sz w:val="18"/>
                <w:lang w:val="es-PE"/>
              </w:rPr>
              <w:t>de la suma de los presupuestos contenidos en los Expedientes Técnicos para el Mantenimiento Periódico Inicial.</w:t>
            </w:r>
          </w:p>
        </w:tc>
        <w:tc>
          <w:tcPr>
            <w:tcW w:w="4602" w:type="dxa"/>
          </w:tcPr>
          <w:p w14:paraId="4F4307D6" w14:textId="77777777" w:rsidR="004412F1" w:rsidRPr="00763640" w:rsidRDefault="005A12A3">
            <w:pPr>
              <w:jc w:val="both"/>
              <w:rPr>
                <w:lang w:val="es-PE"/>
              </w:rPr>
            </w:pPr>
            <w:r w:rsidRPr="00763640">
              <w:rPr>
                <w:lang w:val="es-PE"/>
              </w:rPr>
              <w:t>Atraso en el inicio y/o en el término de ejecución del Mantenimiento Periódico Inicial.</w:t>
            </w:r>
          </w:p>
        </w:tc>
        <w:tc>
          <w:tcPr>
            <w:tcW w:w="1761" w:type="dxa"/>
            <w:vAlign w:val="center"/>
          </w:tcPr>
          <w:p w14:paraId="59907229" w14:textId="77777777" w:rsidR="004412F1" w:rsidRPr="00763640" w:rsidRDefault="005A12A3">
            <w:pPr>
              <w:jc w:val="both"/>
              <w:rPr>
                <w:lang w:val="es-PE"/>
              </w:rPr>
            </w:pPr>
            <w:r w:rsidRPr="00763640">
              <w:t>Cada Día</w:t>
            </w:r>
          </w:p>
        </w:tc>
      </w:tr>
      <w:tr w:rsidR="004412F1" w:rsidRPr="00763640" w14:paraId="44E863C2" w14:textId="77777777">
        <w:tc>
          <w:tcPr>
            <w:tcW w:w="1135" w:type="dxa"/>
            <w:vAlign w:val="center"/>
          </w:tcPr>
          <w:p w14:paraId="47BE4150" w14:textId="77777777" w:rsidR="004412F1" w:rsidRPr="00763640" w:rsidRDefault="005A12A3">
            <w:pPr>
              <w:jc w:val="center"/>
              <w:rPr>
                <w:rFonts w:eastAsiaTheme="minorEastAsia"/>
                <w:bCs/>
                <w:lang w:val="es-MX" w:eastAsia="zh-CN"/>
              </w:rPr>
            </w:pPr>
            <w:r w:rsidRPr="00763640">
              <w:rPr>
                <w:rFonts w:eastAsiaTheme="minorEastAsia"/>
                <w:bCs/>
                <w:lang w:val="es-MX" w:eastAsia="zh-CN"/>
              </w:rPr>
              <w:t>6.20</w:t>
            </w:r>
          </w:p>
        </w:tc>
        <w:tc>
          <w:tcPr>
            <w:tcW w:w="1716" w:type="dxa"/>
            <w:vAlign w:val="center"/>
          </w:tcPr>
          <w:p w14:paraId="68DC788B" w14:textId="28B446A7" w:rsidR="004412F1" w:rsidRPr="00763640" w:rsidRDefault="003C58F7">
            <w:pPr>
              <w:jc w:val="center"/>
              <w:rPr>
                <w:sz w:val="18"/>
                <w:lang w:val="es-PE"/>
              </w:rPr>
            </w:pPr>
            <w:r w:rsidRPr="00763640">
              <w:rPr>
                <w:sz w:val="18"/>
                <w:lang w:val="es-PE"/>
              </w:rPr>
              <w:t>[-----]</w:t>
            </w:r>
          </w:p>
        </w:tc>
        <w:tc>
          <w:tcPr>
            <w:tcW w:w="4602" w:type="dxa"/>
          </w:tcPr>
          <w:p w14:paraId="6D096E92" w14:textId="77777777" w:rsidR="004412F1" w:rsidRPr="00763640" w:rsidRDefault="005A12A3">
            <w:pPr>
              <w:jc w:val="both"/>
              <w:rPr>
                <w:lang w:val="es-PE"/>
              </w:rPr>
            </w:pPr>
            <w:r w:rsidRPr="00763640">
              <w:rPr>
                <w:lang w:val="es-PE"/>
              </w:rPr>
              <w:t>Atraso en el inicio y/o en el término de ejecución de la Construcción del evitamiento San Clemente.</w:t>
            </w:r>
          </w:p>
        </w:tc>
        <w:tc>
          <w:tcPr>
            <w:tcW w:w="1761" w:type="dxa"/>
            <w:vAlign w:val="center"/>
          </w:tcPr>
          <w:p w14:paraId="1DE3BD78" w14:textId="77777777" w:rsidR="004412F1" w:rsidRPr="00763640" w:rsidRDefault="005A12A3">
            <w:pPr>
              <w:jc w:val="both"/>
            </w:pPr>
            <w:r w:rsidRPr="00763640">
              <w:t>Cada Día</w:t>
            </w:r>
          </w:p>
        </w:tc>
      </w:tr>
      <w:tr w:rsidR="004412F1" w:rsidRPr="00763640" w14:paraId="55AF7B13" w14:textId="77777777">
        <w:tc>
          <w:tcPr>
            <w:tcW w:w="1135" w:type="dxa"/>
            <w:vAlign w:val="center"/>
          </w:tcPr>
          <w:p w14:paraId="2247E80A" w14:textId="77777777" w:rsidR="004412F1" w:rsidRPr="00763640" w:rsidRDefault="005A12A3">
            <w:pPr>
              <w:jc w:val="center"/>
              <w:rPr>
                <w:rFonts w:eastAsiaTheme="minorEastAsia"/>
                <w:bCs/>
                <w:lang w:val="es-MX" w:eastAsia="zh-CN"/>
              </w:rPr>
            </w:pPr>
            <w:r w:rsidRPr="00763640">
              <w:rPr>
                <w:bCs/>
              </w:rPr>
              <w:t>6.2</w:t>
            </w:r>
            <w:r w:rsidRPr="00763640">
              <w:rPr>
                <w:bCs/>
                <w:lang w:val="es-PE"/>
              </w:rPr>
              <w:t>1</w:t>
            </w:r>
            <w:r w:rsidRPr="00763640">
              <w:rPr>
                <w:bCs/>
              </w:rPr>
              <w:t xml:space="preserve"> h) y 11.</w:t>
            </w:r>
            <w:r w:rsidRPr="00763640">
              <w:rPr>
                <w:bCs/>
                <w:lang w:val="es-MX"/>
              </w:rPr>
              <w:t>5</w:t>
            </w:r>
          </w:p>
        </w:tc>
        <w:tc>
          <w:tcPr>
            <w:tcW w:w="1716" w:type="dxa"/>
            <w:vAlign w:val="center"/>
          </w:tcPr>
          <w:p w14:paraId="3B9D83F3" w14:textId="77777777" w:rsidR="004412F1" w:rsidRPr="00763640" w:rsidRDefault="005A12A3">
            <w:pPr>
              <w:jc w:val="center"/>
              <w:rPr>
                <w:bCs/>
              </w:rPr>
            </w:pPr>
            <w:r w:rsidRPr="00763640">
              <w:t>1.20</w:t>
            </w:r>
          </w:p>
        </w:tc>
        <w:tc>
          <w:tcPr>
            <w:tcW w:w="4602" w:type="dxa"/>
          </w:tcPr>
          <w:p w14:paraId="24DBE396" w14:textId="77777777" w:rsidR="004412F1" w:rsidRPr="00763640" w:rsidRDefault="005A12A3">
            <w:pPr>
              <w:jc w:val="both"/>
              <w:rPr>
                <w:lang w:val="es-PE"/>
              </w:rPr>
            </w:pPr>
            <w:r w:rsidRPr="00763640">
              <w:rPr>
                <w:lang w:val="es-PE"/>
              </w:rPr>
              <w:t>Atraso en la presentación o renovación de Garantía de Fiel Cumplimiento de Mantenimiento Periódico Inicial.</w:t>
            </w:r>
          </w:p>
        </w:tc>
        <w:tc>
          <w:tcPr>
            <w:tcW w:w="1761" w:type="dxa"/>
          </w:tcPr>
          <w:p w14:paraId="22B6B0F5" w14:textId="77777777" w:rsidR="004412F1" w:rsidRPr="00763640" w:rsidRDefault="005A12A3">
            <w:pPr>
              <w:jc w:val="both"/>
              <w:rPr>
                <w:bCs/>
                <w:lang w:val="es-PE"/>
              </w:rPr>
            </w:pPr>
            <w:r w:rsidRPr="00763640">
              <w:rPr>
                <w:lang w:val="es-PE"/>
              </w:rPr>
              <w:t>Cada Día hasta un máximo de 30 Días.</w:t>
            </w:r>
          </w:p>
        </w:tc>
      </w:tr>
      <w:tr w:rsidR="004412F1" w:rsidRPr="00763640" w14:paraId="3782BD54" w14:textId="77777777">
        <w:tc>
          <w:tcPr>
            <w:tcW w:w="1135" w:type="dxa"/>
            <w:vAlign w:val="center"/>
          </w:tcPr>
          <w:p w14:paraId="48115A19" w14:textId="77777777" w:rsidR="004412F1" w:rsidRPr="00763640" w:rsidRDefault="005A12A3">
            <w:pPr>
              <w:jc w:val="center"/>
              <w:rPr>
                <w:rFonts w:eastAsiaTheme="minorEastAsia"/>
                <w:bCs/>
                <w:lang w:val="es-MX" w:eastAsia="zh-CN"/>
              </w:rPr>
            </w:pPr>
            <w:r w:rsidRPr="00763640">
              <w:rPr>
                <w:bCs/>
              </w:rPr>
              <w:t>6.2</w:t>
            </w:r>
            <w:r w:rsidRPr="00763640">
              <w:rPr>
                <w:bCs/>
                <w:lang w:val="es-PE"/>
              </w:rPr>
              <w:t>1</w:t>
            </w:r>
            <w:r w:rsidRPr="00763640">
              <w:rPr>
                <w:bCs/>
              </w:rPr>
              <w:t xml:space="preserve"> h) y 11.</w:t>
            </w:r>
            <w:r w:rsidRPr="00763640">
              <w:rPr>
                <w:bCs/>
                <w:lang w:val="es-MX"/>
              </w:rPr>
              <w:t>5</w:t>
            </w:r>
          </w:p>
        </w:tc>
        <w:tc>
          <w:tcPr>
            <w:tcW w:w="1716" w:type="dxa"/>
            <w:vAlign w:val="center"/>
          </w:tcPr>
          <w:p w14:paraId="5CBA54E3" w14:textId="77777777" w:rsidR="004412F1" w:rsidRPr="00763640" w:rsidRDefault="005A12A3">
            <w:pPr>
              <w:jc w:val="center"/>
              <w:rPr>
                <w:bCs/>
              </w:rPr>
            </w:pPr>
            <w:r w:rsidRPr="00763640">
              <w:t>1.20</w:t>
            </w:r>
          </w:p>
        </w:tc>
        <w:tc>
          <w:tcPr>
            <w:tcW w:w="4602" w:type="dxa"/>
          </w:tcPr>
          <w:p w14:paraId="73576034" w14:textId="77777777" w:rsidR="004412F1" w:rsidRPr="00763640" w:rsidRDefault="005A12A3">
            <w:pPr>
              <w:pStyle w:val="BodyText31"/>
              <w:autoSpaceDE/>
              <w:autoSpaceDN/>
              <w:adjustRightInd/>
              <w:rPr>
                <w:rFonts w:ascii="Arial" w:hAnsi="Arial"/>
                <w:bCs/>
                <w:sz w:val="22"/>
                <w:lang w:val="es-ES"/>
              </w:rPr>
            </w:pPr>
            <w:r w:rsidRPr="00763640">
              <w:rPr>
                <w:rFonts w:ascii="Arial" w:hAnsi="Arial"/>
                <w:sz w:val="22"/>
                <w:lang w:val="es-ES"/>
              </w:rPr>
              <w:t>Atraso en la presentación o renovación de Garantía de Fiel Cumplimiento de Ejecución de Rehabilitación y Mejoramiento</w:t>
            </w:r>
            <w:r w:rsidRPr="00763640">
              <w:t xml:space="preserve"> </w:t>
            </w:r>
          </w:p>
        </w:tc>
        <w:tc>
          <w:tcPr>
            <w:tcW w:w="1761" w:type="dxa"/>
          </w:tcPr>
          <w:p w14:paraId="7A129FA0" w14:textId="77777777" w:rsidR="004412F1" w:rsidRPr="00763640" w:rsidRDefault="005A12A3">
            <w:pPr>
              <w:jc w:val="both"/>
              <w:rPr>
                <w:bCs/>
                <w:lang w:val="es-PE"/>
              </w:rPr>
            </w:pPr>
            <w:r w:rsidRPr="00763640">
              <w:rPr>
                <w:lang w:val="es-PE"/>
              </w:rPr>
              <w:t>Cada Día hasta un máximo de 30 Días.</w:t>
            </w:r>
          </w:p>
        </w:tc>
      </w:tr>
      <w:tr w:rsidR="004412F1" w:rsidRPr="00763640" w14:paraId="4E27C324" w14:textId="77777777">
        <w:tc>
          <w:tcPr>
            <w:tcW w:w="1135" w:type="dxa"/>
            <w:vAlign w:val="center"/>
          </w:tcPr>
          <w:p w14:paraId="2DA61144" w14:textId="77777777" w:rsidR="004412F1" w:rsidRPr="00763640" w:rsidRDefault="005A12A3">
            <w:pPr>
              <w:jc w:val="center"/>
              <w:rPr>
                <w:rFonts w:eastAsiaTheme="minorEastAsia"/>
                <w:bCs/>
                <w:lang w:val="es-MX" w:eastAsia="zh-CN"/>
              </w:rPr>
            </w:pPr>
            <w:r w:rsidRPr="00763640">
              <w:rPr>
                <w:bCs/>
              </w:rPr>
              <w:t>6.2</w:t>
            </w:r>
            <w:r w:rsidRPr="00763640">
              <w:rPr>
                <w:bCs/>
                <w:lang w:val="es-PE"/>
              </w:rPr>
              <w:t>1</w:t>
            </w:r>
            <w:r w:rsidRPr="00763640">
              <w:rPr>
                <w:bCs/>
              </w:rPr>
              <w:t xml:space="preserve"> h) y 11.</w:t>
            </w:r>
            <w:r w:rsidRPr="00763640">
              <w:rPr>
                <w:bCs/>
                <w:lang w:val="es-MX"/>
              </w:rPr>
              <w:t>5</w:t>
            </w:r>
          </w:p>
        </w:tc>
        <w:tc>
          <w:tcPr>
            <w:tcW w:w="1716" w:type="dxa"/>
            <w:vAlign w:val="center"/>
          </w:tcPr>
          <w:p w14:paraId="56F117B2" w14:textId="77777777" w:rsidR="004412F1" w:rsidRPr="00763640" w:rsidRDefault="005A12A3">
            <w:pPr>
              <w:jc w:val="center"/>
            </w:pPr>
            <w:r w:rsidRPr="00763640">
              <w:t>1.20</w:t>
            </w:r>
          </w:p>
        </w:tc>
        <w:tc>
          <w:tcPr>
            <w:tcW w:w="4602" w:type="dxa"/>
          </w:tcPr>
          <w:p w14:paraId="7A26F821" w14:textId="77777777" w:rsidR="004412F1" w:rsidRPr="00763640" w:rsidRDefault="005A12A3">
            <w:pPr>
              <w:pStyle w:val="BodyText31"/>
              <w:autoSpaceDE/>
              <w:autoSpaceDN/>
              <w:adjustRightInd/>
              <w:rPr>
                <w:rFonts w:ascii="Arial" w:hAnsi="Arial"/>
                <w:sz w:val="22"/>
                <w:lang w:val="es-ES"/>
              </w:rPr>
            </w:pPr>
            <w:r w:rsidRPr="00763640">
              <w:rPr>
                <w:rFonts w:ascii="Arial" w:hAnsi="Arial"/>
                <w:sz w:val="22"/>
                <w:lang w:val="es-ES"/>
              </w:rPr>
              <w:t>Atraso en la presentación o renovación de Garantía de Fiel Cumplimiento de Ejecución de la Construcción del Evitamiento San Clemente</w:t>
            </w:r>
          </w:p>
        </w:tc>
        <w:tc>
          <w:tcPr>
            <w:tcW w:w="1761" w:type="dxa"/>
          </w:tcPr>
          <w:p w14:paraId="4409FC7B" w14:textId="77777777" w:rsidR="004412F1" w:rsidRPr="00763640" w:rsidRDefault="005A12A3">
            <w:pPr>
              <w:jc w:val="both"/>
              <w:rPr>
                <w:lang w:val="es-PE"/>
              </w:rPr>
            </w:pPr>
            <w:r w:rsidRPr="00763640">
              <w:rPr>
                <w:lang w:val="es-PE"/>
              </w:rPr>
              <w:t>Cada Día hasta un máximo de 30 Días.</w:t>
            </w:r>
          </w:p>
        </w:tc>
      </w:tr>
      <w:tr w:rsidR="004412F1" w:rsidRPr="00763640" w14:paraId="3C1A8BCE" w14:textId="77777777">
        <w:tc>
          <w:tcPr>
            <w:tcW w:w="1135" w:type="dxa"/>
            <w:vAlign w:val="center"/>
          </w:tcPr>
          <w:p w14:paraId="6676085A" w14:textId="77777777" w:rsidR="004412F1" w:rsidRPr="00763640" w:rsidRDefault="005A12A3">
            <w:pPr>
              <w:jc w:val="center"/>
              <w:rPr>
                <w:rFonts w:eastAsiaTheme="minorEastAsia"/>
                <w:bCs/>
                <w:lang w:val="es-PE" w:eastAsia="zh-CN"/>
              </w:rPr>
            </w:pPr>
            <w:r w:rsidRPr="00763640">
              <w:rPr>
                <w:bCs/>
                <w:lang w:val="es-MX"/>
              </w:rPr>
              <w:t>6.2</w:t>
            </w:r>
            <w:r w:rsidRPr="00763640">
              <w:rPr>
                <w:bCs/>
                <w:lang w:val="es-PE"/>
              </w:rPr>
              <w:t>8</w:t>
            </w:r>
          </w:p>
        </w:tc>
        <w:tc>
          <w:tcPr>
            <w:tcW w:w="1716" w:type="dxa"/>
            <w:vAlign w:val="center"/>
          </w:tcPr>
          <w:p w14:paraId="592B6173" w14:textId="77777777" w:rsidR="004412F1" w:rsidRPr="00763640" w:rsidRDefault="005A12A3">
            <w:pPr>
              <w:jc w:val="center"/>
              <w:rPr>
                <w:bCs/>
              </w:rPr>
            </w:pPr>
            <w:r w:rsidRPr="00763640">
              <w:t>12.00</w:t>
            </w:r>
          </w:p>
        </w:tc>
        <w:tc>
          <w:tcPr>
            <w:tcW w:w="4602" w:type="dxa"/>
          </w:tcPr>
          <w:p w14:paraId="7046632C" w14:textId="77777777" w:rsidR="004412F1" w:rsidRPr="00763640" w:rsidRDefault="005A12A3">
            <w:pPr>
              <w:jc w:val="both"/>
              <w:rPr>
                <w:bCs/>
                <w:lang w:val="es-PE"/>
              </w:rPr>
            </w:pPr>
            <w:r w:rsidRPr="00763640">
              <w:rPr>
                <w:lang w:val="es-PE"/>
              </w:rPr>
              <w:t>Incumplimiento de las Leyes y Disposiciones aplicables en materia de gestión de tráfico, durante la</w:t>
            </w:r>
            <w:r w:rsidRPr="00763640">
              <w:rPr>
                <w:lang w:val="es-ES"/>
              </w:rPr>
              <w:t>s</w:t>
            </w:r>
            <w:r w:rsidRPr="00763640">
              <w:rPr>
                <w:lang w:val="es-PE"/>
              </w:rPr>
              <w:t xml:space="preserve"> </w:t>
            </w:r>
            <w:r w:rsidRPr="00763640">
              <w:rPr>
                <w:lang w:val="es-ES"/>
              </w:rPr>
              <w:t>Intervenciones</w:t>
            </w:r>
            <w:r w:rsidRPr="00763640">
              <w:rPr>
                <w:lang w:val="es-PE"/>
              </w:rPr>
              <w:t xml:space="preserve"> e incumplimiento de las indicaciones que al respecto determine el REGULADOR. </w:t>
            </w:r>
          </w:p>
        </w:tc>
        <w:tc>
          <w:tcPr>
            <w:tcW w:w="1761" w:type="dxa"/>
          </w:tcPr>
          <w:p w14:paraId="57578C7D" w14:textId="77777777" w:rsidR="004412F1" w:rsidRPr="00763640" w:rsidRDefault="004412F1">
            <w:pPr>
              <w:jc w:val="both"/>
              <w:rPr>
                <w:bCs/>
                <w:lang w:val="es-PE"/>
              </w:rPr>
            </w:pPr>
          </w:p>
          <w:p w14:paraId="54B57AD7" w14:textId="77777777" w:rsidR="004412F1" w:rsidRPr="00763640" w:rsidRDefault="004412F1">
            <w:pPr>
              <w:jc w:val="both"/>
              <w:rPr>
                <w:bCs/>
                <w:lang w:val="es-PE"/>
              </w:rPr>
            </w:pPr>
          </w:p>
          <w:p w14:paraId="5136655E" w14:textId="77777777" w:rsidR="004412F1" w:rsidRPr="00763640" w:rsidRDefault="004412F1">
            <w:pPr>
              <w:jc w:val="both"/>
              <w:rPr>
                <w:bCs/>
                <w:lang w:val="es-PE"/>
              </w:rPr>
            </w:pPr>
          </w:p>
          <w:p w14:paraId="2EDBAA21" w14:textId="77777777" w:rsidR="004412F1" w:rsidRPr="00763640" w:rsidRDefault="005A12A3">
            <w:pPr>
              <w:jc w:val="both"/>
              <w:rPr>
                <w:bCs/>
              </w:rPr>
            </w:pPr>
            <w:r w:rsidRPr="00763640">
              <w:t>Cada vez</w:t>
            </w:r>
          </w:p>
        </w:tc>
      </w:tr>
      <w:tr w:rsidR="004412F1" w:rsidRPr="00763640" w14:paraId="2FE147AC" w14:textId="77777777">
        <w:tc>
          <w:tcPr>
            <w:tcW w:w="1135" w:type="dxa"/>
            <w:vAlign w:val="center"/>
          </w:tcPr>
          <w:p w14:paraId="6172332D" w14:textId="77777777" w:rsidR="004412F1" w:rsidRPr="00763640" w:rsidRDefault="005A12A3">
            <w:pPr>
              <w:jc w:val="center"/>
              <w:rPr>
                <w:rFonts w:eastAsiaTheme="minorEastAsia"/>
                <w:bCs/>
                <w:lang w:val="es-PE" w:eastAsia="zh-CN"/>
              </w:rPr>
            </w:pPr>
            <w:r w:rsidRPr="00763640">
              <w:rPr>
                <w:bCs/>
                <w:lang w:val="es-MX"/>
              </w:rPr>
              <w:t>6.</w:t>
            </w:r>
            <w:r w:rsidRPr="00763640">
              <w:rPr>
                <w:bCs/>
                <w:lang w:val="es-PE"/>
              </w:rPr>
              <w:t>30</w:t>
            </w:r>
          </w:p>
        </w:tc>
        <w:tc>
          <w:tcPr>
            <w:tcW w:w="1716" w:type="dxa"/>
            <w:vAlign w:val="center"/>
          </w:tcPr>
          <w:p w14:paraId="75224147" w14:textId="77777777" w:rsidR="004412F1" w:rsidRPr="00763640" w:rsidRDefault="005A12A3">
            <w:pPr>
              <w:jc w:val="center"/>
              <w:rPr>
                <w:bCs/>
              </w:rPr>
            </w:pPr>
            <w:r w:rsidRPr="00763640">
              <w:t>3.20</w:t>
            </w:r>
          </w:p>
        </w:tc>
        <w:tc>
          <w:tcPr>
            <w:tcW w:w="4602" w:type="dxa"/>
          </w:tcPr>
          <w:p w14:paraId="3E2F2B44" w14:textId="77777777" w:rsidR="004412F1" w:rsidRPr="00763640" w:rsidRDefault="005A12A3">
            <w:pPr>
              <w:jc w:val="both"/>
              <w:rPr>
                <w:bCs/>
                <w:lang w:val="es-PE"/>
              </w:rPr>
            </w:pPr>
            <w:r w:rsidRPr="00763640">
              <w:rPr>
                <w:lang w:val="es-PE"/>
              </w:rPr>
              <w:t>Atraso en la presentación al REGULADOR de un plan de tránsito provisorio que asegure el tránsito fluido en todo el sector afectado por la</w:t>
            </w:r>
            <w:r w:rsidRPr="00763640">
              <w:rPr>
                <w:lang w:val="es-ES"/>
              </w:rPr>
              <w:t>s</w:t>
            </w:r>
            <w:r w:rsidRPr="00763640">
              <w:rPr>
                <w:lang w:val="es-PE"/>
              </w:rPr>
              <w:t xml:space="preserve"> </w:t>
            </w:r>
            <w:r w:rsidRPr="00763640">
              <w:rPr>
                <w:lang w:val="es-ES"/>
              </w:rPr>
              <w:t>Intervenciones</w:t>
            </w:r>
            <w:r w:rsidRPr="00763640">
              <w:rPr>
                <w:lang w:val="es-PE"/>
              </w:rPr>
              <w:t>.</w:t>
            </w:r>
          </w:p>
        </w:tc>
        <w:tc>
          <w:tcPr>
            <w:tcW w:w="1761" w:type="dxa"/>
          </w:tcPr>
          <w:p w14:paraId="329BADE4" w14:textId="77777777" w:rsidR="004412F1" w:rsidRPr="00763640" w:rsidRDefault="004412F1">
            <w:pPr>
              <w:jc w:val="both"/>
              <w:rPr>
                <w:bCs/>
                <w:lang w:val="es-PE"/>
              </w:rPr>
            </w:pPr>
          </w:p>
          <w:p w14:paraId="196AC3AB" w14:textId="77777777" w:rsidR="004412F1" w:rsidRPr="00763640" w:rsidRDefault="005A12A3">
            <w:pPr>
              <w:jc w:val="both"/>
              <w:rPr>
                <w:bCs/>
              </w:rPr>
            </w:pPr>
            <w:r w:rsidRPr="00763640">
              <w:t>Cada Día</w:t>
            </w:r>
          </w:p>
        </w:tc>
      </w:tr>
      <w:tr w:rsidR="004412F1" w:rsidRPr="00763640" w14:paraId="67A90D51" w14:textId="77777777">
        <w:tc>
          <w:tcPr>
            <w:tcW w:w="1135" w:type="dxa"/>
            <w:vAlign w:val="center"/>
          </w:tcPr>
          <w:p w14:paraId="70874F13" w14:textId="77777777" w:rsidR="004412F1" w:rsidRPr="00763640" w:rsidRDefault="005A12A3">
            <w:pPr>
              <w:jc w:val="center"/>
              <w:rPr>
                <w:rFonts w:eastAsiaTheme="minorEastAsia"/>
                <w:bCs/>
                <w:lang w:val="es-PE" w:eastAsia="zh-CN"/>
              </w:rPr>
            </w:pPr>
            <w:r w:rsidRPr="00763640">
              <w:rPr>
                <w:bCs/>
                <w:lang w:val="es-MX"/>
              </w:rPr>
              <w:t>6.3</w:t>
            </w:r>
            <w:r w:rsidRPr="00763640">
              <w:rPr>
                <w:bCs/>
                <w:lang w:val="es-PE"/>
              </w:rPr>
              <w:t>5</w:t>
            </w:r>
            <w:r w:rsidRPr="00763640">
              <w:rPr>
                <w:bCs/>
                <w:lang w:val="es-MX"/>
              </w:rPr>
              <w:t>, 6.4</w:t>
            </w:r>
            <w:r w:rsidRPr="00763640">
              <w:rPr>
                <w:bCs/>
                <w:lang w:val="es-PE"/>
              </w:rPr>
              <w:t>0</w:t>
            </w:r>
          </w:p>
        </w:tc>
        <w:tc>
          <w:tcPr>
            <w:tcW w:w="1716" w:type="dxa"/>
            <w:vAlign w:val="center"/>
          </w:tcPr>
          <w:p w14:paraId="11F17195" w14:textId="77777777" w:rsidR="004412F1" w:rsidRPr="00763640" w:rsidRDefault="005A12A3">
            <w:pPr>
              <w:jc w:val="center"/>
              <w:rPr>
                <w:bCs/>
              </w:rPr>
            </w:pPr>
            <w:r w:rsidRPr="00763640">
              <w:t>1.60</w:t>
            </w:r>
          </w:p>
        </w:tc>
        <w:tc>
          <w:tcPr>
            <w:tcW w:w="4602" w:type="dxa"/>
          </w:tcPr>
          <w:p w14:paraId="769F2755" w14:textId="47C1F7A5" w:rsidR="004412F1" w:rsidRPr="00763640" w:rsidRDefault="005A12A3">
            <w:pPr>
              <w:pStyle w:val="BodyText31"/>
              <w:autoSpaceDE/>
              <w:autoSpaceDN/>
              <w:adjustRightInd/>
              <w:rPr>
                <w:rFonts w:ascii="Arial" w:hAnsi="Arial"/>
                <w:bCs/>
                <w:sz w:val="22"/>
                <w:lang w:val="es-ES"/>
              </w:rPr>
            </w:pPr>
            <w:r w:rsidRPr="00763640">
              <w:rPr>
                <w:rFonts w:ascii="Arial" w:hAnsi="Arial"/>
                <w:sz w:val="22"/>
                <w:lang w:val="es-ES"/>
              </w:rPr>
              <w:t xml:space="preserve">Atraso en el plazo estipulado para subsanar las observaciones para defectos menores de la puesta en servicio de </w:t>
            </w:r>
            <w:r w:rsidR="009F07A9" w:rsidRPr="00763640">
              <w:rPr>
                <w:rFonts w:ascii="Arial" w:hAnsi="Arial"/>
                <w:sz w:val="22"/>
                <w:lang w:val="es-ES"/>
              </w:rPr>
              <w:t>las Intervenciones</w:t>
            </w:r>
          </w:p>
        </w:tc>
        <w:tc>
          <w:tcPr>
            <w:tcW w:w="1761" w:type="dxa"/>
          </w:tcPr>
          <w:p w14:paraId="52B4EFA6" w14:textId="77777777" w:rsidR="004412F1" w:rsidRPr="00763640" w:rsidRDefault="004412F1">
            <w:pPr>
              <w:jc w:val="both"/>
              <w:rPr>
                <w:bCs/>
                <w:lang w:val="es-PE"/>
              </w:rPr>
            </w:pPr>
          </w:p>
          <w:p w14:paraId="025A923E" w14:textId="77777777" w:rsidR="004412F1" w:rsidRPr="00763640" w:rsidRDefault="005A12A3">
            <w:pPr>
              <w:jc w:val="both"/>
              <w:rPr>
                <w:bCs/>
              </w:rPr>
            </w:pPr>
            <w:r w:rsidRPr="00763640">
              <w:t>Cada Día</w:t>
            </w:r>
          </w:p>
        </w:tc>
      </w:tr>
    </w:tbl>
    <w:p w14:paraId="5B70D07E" w14:textId="77777777" w:rsidR="004412F1" w:rsidRPr="00763640" w:rsidRDefault="004412F1">
      <w:pPr>
        <w:pStyle w:val="Textosinformato"/>
        <w:jc w:val="both"/>
        <w:rPr>
          <w:rFonts w:ascii="Arial" w:hAnsi="Arial"/>
          <w:b/>
          <w:bCs w:val="0"/>
          <w:szCs w:val="22"/>
          <w:lang w:val="es-CL"/>
        </w:rPr>
      </w:pPr>
    </w:p>
    <w:p w14:paraId="11FB4A1E" w14:textId="77777777" w:rsidR="004412F1" w:rsidRPr="00763640" w:rsidRDefault="004412F1">
      <w:pPr>
        <w:rPr>
          <w:b/>
          <w:bCs/>
        </w:rPr>
      </w:pPr>
      <w:bookmarkStart w:id="2863" w:name="_Ref274058175"/>
      <w:bookmarkStart w:id="2864" w:name="_Ref274054225"/>
    </w:p>
    <w:p w14:paraId="70571A4A" w14:textId="77777777" w:rsidR="004412F1" w:rsidRPr="00763640" w:rsidRDefault="005A12A3">
      <w:pPr>
        <w:rPr>
          <w:b/>
          <w:bCs/>
        </w:rPr>
      </w:pPr>
      <w:r w:rsidRPr="00763640">
        <w:rPr>
          <w:b/>
        </w:rPr>
        <w:t>Tabla Nº 4</w:t>
      </w:r>
      <w:bookmarkEnd w:id="2863"/>
      <w:bookmarkEnd w:id="2864"/>
    </w:p>
    <w:p w14:paraId="58988E54" w14:textId="77777777" w:rsidR="004412F1" w:rsidRPr="00763640" w:rsidRDefault="005A12A3">
      <w:pPr>
        <w:pStyle w:val="Pelota"/>
        <w:rPr>
          <w:rFonts w:ascii="Arial" w:hAnsi="Arial"/>
          <w:lang w:val="es-ES"/>
        </w:rPr>
      </w:pPr>
      <w:r w:rsidRPr="00763640">
        <w:rPr>
          <w:rFonts w:ascii="Arial" w:hAnsi="Arial"/>
          <w:lang w:val="es-ES"/>
        </w:rPr>
        <w:t xml:space="preserve">Penalidades referidas al CAPÍTULO VII del Contrato: De la Conservación  </w:t>
      </w:r>
    </w:p>
    <w:p w14:paraId="6F9919AF" w14:textId="77777777" w:rsidR="004412F1" w:rsidRPr="00763640" w:rsidRDefault="004412F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850"/>
        <w:gridCol w:w="4536"/>
        <w:gridCol w:w="2126"/>
      </w:tblGrid>
      <w:tr w:rsidR="004412F1" w:rsidRPr="00763640" w14:paraId="729B191C" w14:textId="77777777">
        <w:trPr>
          <w:trHeight w:val="413"/>
        </w:trPr>
        <w:tc>
          <w:tcPr>
            <w:tcW w:w="1418" w:type="dxa"/>
          </w:tcPr>
          <w:p w14:paraId="5F7B415D" w14:textId="77777777" w:rsidR="004412F1" w:rsidRPr="00763640" w:rsidRDefault="005A12A3">
            <w:pPr>
              <w:rPr>
                <w:b/>
              </w:rPr>
            </w:pPr>
            <w:r w:rsidRPr="00763640">
              <w:rPr>
                <w:b/>
              </w:rPr>
              <w:t>Cláusula Contrato</w:t>
            </w:r>
          </w:p>
        </w:tc>
        <w:tc>
          <w:tcPr>
            <w:tcW w:w="850" w:type="dxa"/>
          </w:tcPr>
          <w:p w14:paraId="1687711E" w14:textId="77777777" w:rsidR="004412F1" w:rsidRPr="00763640" w:rsidRDefault="005A12A3">
            <w:pPr>
              <w:jc w:val="center"/>
              <w:rPr>
                <w:b/>
              </w:rPr>
            </w:pPr>
            <w:r w:rsidRPr="00763640">
              <w:rPr>
                <w:b/>
              </w:rPr>
              <w:t>UIT</w:t>
            </w:r>
          </w:p>
        </w:tc>
        <w:tc>
          <w:tcPr>
            <w:tcW w:w="4536" w:type="dxa"/>
            <w:vAlign w:val="center"/>
          </w:tcPr>
          <w:p w14:paraId="650B47B0" w14:textId="77777777" w:rsidR="004412F1" w:rsidRPr="00763640" w:rsidRDefault="005A12A3">
            <w:pPr>
              <w:jc w:val="center"/>
              <w:rPr>
                <w:b/>
              </w:rPr>
            </w:pPr>
            <w:r w:rsidRPr="00763640">
              <w:rPr>
                <w:b/>
              </w:rPr>
              <w:t>Descripción de penalidad</w:t>
            </w:r>
          </w:p>
        </w:tc>
        <w:tc>
          <w:tcPr>
            <w:tcW w:w="2126" w:type="dxa"/>
            <w:vAlign w:val="center"/>
          </w:tcPr>
          <w:p w14:paraId="7CCA2930" w14:textId="77777777" w:rsidR="004412F1" w:rsidRPr="00763640" w:rsidRDefault="005A12A3">
            <w:pPr>
              <w:jc w:val="center"/>
              <w:rPr>
                <w:b/>
              </w:rPr>
            </w:pPr>
            <w:r w:rsidRPr="00763640">
              <w:rPr>
                <w:b/>
              </w:rPr>
              <w:t>Criterio de Aplicación</w:t>
            </w:r>
          </w:p>
        </w:tc>
      </w:tr>
      <w:tr w:rsidR="004412F1" w:rsidRPr="00763640" w14:paraId="3B834AF3" w14:textId="77777777">
        <w:trPr>
          <w:trHeight w:val="450"/>
        </w:trPr>
        <w:tc>
          <w:tcPr>
            <w:tcW w:w="1418" w:type="dxa"/>
            <w:vAlign w:val="center"/>
          </w:tcPr>
          <w:p w14:paraId="431F3EFB" w14:textId="77777777" w:rsidR="004412F1" w:rsidRPr="00763640" w:rsidRDefault="005A12A3">
            <w:pPr>
              <w:jc w:val="center"/>
              <w:rPr>
                <w:rFonts w:eastAsiaTheme="minorEastAsia"/>
                <w:lang w:val="es-MX" w:eastAsia="zh-CN"/>
              </w:rPr>
            </w:pPr>
            <w:r w:rsidRPr="00763640">
              <w:rPr>
                <w:lang w:val="es-MX"/>
              </w:rPr>
              <w:t>7.7</w:t>
            </w:r>
          </w:p>
        </w:tc>
        <w:tc>
          <w:tcPr>
            <w:tcW w:w="850" w:type="dxa"/>
            <w:vAlign w:val="center"/>
          </w:tcPr>
          <w:p w14:paraId="20C00E1C" w14:textId="77777777" w:rsidR="004412F1" w:rsidRPr="00763640" w:rsidRDefault="005A12A3">
            <w:pPr>
              <w:jc w:val="center"/>
            </w:pPr>
            <w:r w:rsidRPr="00763640">
              <w:t>0.3</w:t>
            </w:r>
          </w:p>
        </w:tc>
        <w:tc>
          <w:tcPr>
            <w:tcW w:w="4536" w:type="dxa"/>
          </w:tcPr>
          <w:p w14:paraId="02EA035F" w14:textId="77777777" w:rsidR="004412F1" w:rsidRPr="00763640" w:rsidRDefault="005A12A3">
            <w:pPr>
              <w:jc w:val="both"/>
              <w:rPr>
                <w:lang w:val="es-PE"/>
              </w:rPr>
            </w:pPr>
            <w:r w:rsidRPr="00763640">
              <w:rPr>
                <w:lang w:val="es-PE"/>
              </w:rPr>
              <w:t xml:space="preserve">Atraso en la presentación del Programa Referencial de Conservación de la Concesión. </w:t>
            </w:r>
          </w:p>
        </w:tc>
        <w:tc>
          <w:tcPr>
            <w:tcW w:w="2126" w:type="dxa"/>
            <w:vAlign w:val="center"/>
          </w:tcPr>
          <w:p w14:paraId="668FF3A7" w14:textId="77777777" w:rsidR="004412F1" w:rsidRPr="00763640" w:rsidRDefault="005A12A3">
            <w:r w:rsidRPr="00763640">
              <w:t>Cada Día de atraso</w:t>
            </w:r>
          </w:p>
        </w:tc>
      </w:tr>
      <w:tr w:rsidR="004412F1" w:rsidRPr="00763640" w14:paraId="5AFAE575" w14:textId="77777777">
        <w:trPr>
          <w:trHeight w:val="450"/>
        </w:trPr>
        <w:tc>
          <w:tcPr>
            <w:tcW w:w="1418" w:type="dxa"/>
            <w:vAlign w:val="center"/>
          </w:tcPr>
          <w:p w14:paraId="36DF31BB" w14:textId="77777777" w:rsidR="004412F1" w:rsidRPr="00763640" w:rsidRDefault="005A12A3">
            <w:pPr>
              <w:jc w:val="center"/>
              <w:rPr>
                <w:rFonts w:eastAsiaTheme="minorEastAsia"/>
                <w:lang w:val="es-MX" w:eastAsia="zh-CN"/>
              </w:rPr>
            </w:pPr>
            <w:r w:rsidRPr="00763640">
              <w:rPr>
                <w:rFonts w:eastAsiaTheme="minorEastAsia"/>
                <w:lang w:val="es-MX" w:eastAsia="zh-CN"/>
              </w:rPr>
              <w:t>7.10</w:t>
            </w:r>
          </w:p>
        </w:tc>
        <w:tc>
          <w:tcPr>
            <w:tcW w:w="850" w:type="dxa"/>
            <w:vAlign w:val="center"/>
          </w:tcPr>
          <w:p w14:paraId="2B83AA87" w14:textId="77777777" w:rsidR="004412F1" w:rsidRPr="00763640" w:rsidRDefault="005A12A3">
            <w:pPr>
              <w:jc w:val="center"/>
            </w:pPr>
            <w:r w:rsidRPr="00763640">
              <w:t>0.20</w:t>
            </w:r>
          </w:p>
        </w:tc>
        <w:tc>
          <w:tcPr>
            <w:tcW w:w="4536" w:type="dxa"/>
          </w:tcPr>
          <w:p w14:paraId="7531BD7A" w14:textId="77777777" w:rsidR="004412F1" w:rsidRPr="00763640" w:rsidRDefault="005A12A3">
            <w:pPr>
              <w:jc w:val="both"/>
              <w:rPr>
                <w:bCs/>
                <w:lang w:val="es-PE"/>
              </w:rPr>
            </w:pPr>
            <w:r w:rsidRPr="00763640">
              <w:rPr>
                <w:lang w:val="es-PE"/>
              </w:rPr>
              <w:t>Atraso en la presentación de los Informes relativos al desarrollo de la Conservación   de la Concesión.</w:t>
            </w:r>
          </w:p>
        </w:tc>
        <w:tc>
          <w:tcPr>
            <w:tcW w:w="2126" w:type="dxa"/>
            <w:vAlign w:val="center"/>
          </w:tcPr>
          <w:p w14:paraId="103EF99E" w14:textId="77777777" w:rsidR="004412F1" w:rsidRPr="00763640" w:rsidRDefault="005A12A3">
            <w:r w:rsidRPr="00763640">
              <w:t>Cada Día de atraso</w:t>
            </w:r>
          </w:p>
        </w:tc>
      </w:tr>
      <w:tr w:rsidR="004412F1" w:rsidRPr="00763640" w14:paraId="5DFADFC0" w14:textId="77777777">
        <w:trPr>
          <w:trHeight w:val="450"/>
        </w:trPr>
        <w:tc>
          <w:tcPr>
            <w:tcW w:w="1418" w:type="dxa"/>
            <w:vAlign w:val="center"/>
          </w:tcPr>
          <w:p w14:paraId="6641A925" w14:textId="77777777" w:rsidR="004412F1" w:rsidRPr="00763640" w:rsidRDefault="005A12A3">
            <w:pPr>
              <w:jc w:val="center"/>
              <w:rPr>
                <w:rFonts w:eastAsiaTheme="minorEastAsia"/>
                <w:lang w:val="es-PE" w:eastAsia="zh-CN"/>
              </w:rPr>
            </w:pPr>
            <w:r w:rsidRPr="00763640">
              <w:rPr>
                <w:lang w:val="es-MX"/>
              </w:rPr>
              <w:t xml:space="preserve">4.11 </w:t>
            </w:r>
            <w:r w:rsidRPr="00763640">
              <w:rPr>
                <w:lang w:val="es-PE"/>
              </w:rPr>
              <w:t xml:space="preserve">de la Sección </w:t>
            </w:r>
            <w:proofErr w:type="gramStart"/>
            <w:r w:rsidRPr="00763640">
              <w:rPr>
                <w:lang w:val="es-PE"/>
              </w:rPr>
              <w:t>1  del</w:t>
            </w:r>
            <w:proofErr w:type="gramEnd"/>
            <w:r w:rsidRPr="00763640">
              <w:rPr>
                <w:lang w:val="es-PE"/>
              </w:rPr>
              <w:t xml:space="preserve"> ANEXO I</w:t>
            </w:r>
          </w:p>
        </w:tc>
        <w:tc>
          <w:tcPr>
            <w:tcW w:w="850" w:type="dxa"/>
            <w:vAlign w:val="center"/>
          </w:tcPr>
          <w:p w14:paraId="0002E303" w14:textId="77777777" w:rsidR="004412F1" w:rsidRPr="00763640" w:rsidRDefault="005A12A3">
            <w:pPr>
              <w:jc w:val="center"/>
            </w:pPr>
            <w:r w:rsidRPr="00763640">
              <w:t>1.60</w:t>
            </w:r>
          </w:p>
        </w:tc>
        <w:tc>
          <w:tcPr>
            <w:tcW w:w="4536" w:type="dxa"/>
          </w:tcPr>
          <w:p w14:paraId="09CB9327" w14:textId="77777777" w:rsidR="004412F1" w:rsidRPr="00763640" w:rsidRDefault="005A12A3">
            <w:pPr>
              <w:rPr>
                <w:lang w:val="es-PE"/>
              </w:rPr>
            </w:pPr>
            <w:r w:rsidRPr="00763640">
              <w:rPr>
                <w:lang w:val="es-PE"/>
              </w:rPr>
              <w:t>Detección de Parámetros de Condición Insuficiente</w:t>
            </w:r>
          </w:p>
        </w:tc>
        <w:tc>
          <w:tcPr>
            <w:tcW w:w="2126" w:type="dxa"/>
            <w:vAlign w:val="center"/>
          </w:tcPr>
          <w:p w14:paraId="61D90753" w14:textId="77777777" w:rsidR="004412F1" w:rsidRPr="00763640" w:rsidRDefault="005A12A3">
            <w:pPr>
              <w:jc w:val="center"/>
              <w:rPr>
                <w:lang w:val="es-PE"/>
              </w:rPr>
            </w:pPr>
            <w:r w:rsidRPr="00763640">
              <w:rPr>
                <w:lang w:val="es-PE"/>
              </w:rPr>
              <w:t>Por cada Notificación de incumplimiento detección de parámetro de condición insuficiente emitida por el Regulador</w:t>
            </w:r>
          </w:p>
        </w:tc>
      </w:tr>
      <w:tr w:rsidR="004412F1" w:rsidRPr="00763640" w14:paraId="0FB9AE9B" w14:textId="77777777">
        <w:trPr>
          <w:trHeight w:val="450"/>
        </w:trPr>
        <w:tc>
          <w:tcPr>
            <w:tcW w:w="1418" w:type="dxa"/>
            <w:vAlign w:val="center"/>
          </w:tcPr>
          <w:p w14:paraId="7C66BF5C" w14:textId="33310EE1" w:rsidR="004412F1" w:rsidRPr="00763640" w:rsidRDefault="005A12A3">
            <w:pPr>
              <w:rPr>
                <w:lang w:val="es-PE"/>
              </w:rPr>
            </w:pPr>
            <w:r w:rsidRPr="00763640">
              <w:fldChar w:fldCharType="begin"/>
            </w:r>
            <w:r w:rsidRPr="00763640">
              <w:rPr>
                <w:lang w:val="es-PE"/>
              </w:rPr>
              <w:instrText xml:space="preserve"> REF _Ref273551494 \r \h  \* MERGEFORMAT </w:instrText>
            </w:r>
            <w:r w:rsidRPr="00763640">
              <w:fldChar w:fldCharType="separate"/>
            </w:r>
            <w:r w:rsidR="0077125D">
              <w:rPr>
                <w:lang w:val="es-PE"/>
              </w:rPr>
              <w:t>4.11</w:t>
            </w:r>
            <w:r w:rsidRPr="00763640">
              <w:fldChar w:fldCharType="end"/>
            </w:r>
            <w:r w:rsidRPr="00763640">
              <w:rPr>
                <w:lang w:val="es-PE"/>
              </w:rPr>
              <w:t xml:space="preserve"> de la Sección 1 del ANEXO I</w:t>
            </w:r>
          </w:p>
        </w:tc>
        <w:tc>
          <w:tcPr>
            <w:tcW w:w="850" w:type="dxa"/>
            <w:vAlign w:val="center"/>
          </w:tcPr>
          <w:p w14:paraId="0CC81ADF" w14:textId="77777777" w:rsidR="004412F1" w:rsidRPr="00763640" w:rsidRDefault="005A12A3">
            <w:pPr>
              <w:jc w:val="center"/>
              <w:rPr>
                <w:u w:val="single"/>
              </w:rPr>
            </w:pPr>
            <w:r w:rsidRPr="00763640">
              <w:t>2.40</w:t>
            </w:r>
          </w:p>
        </w:tc>
        <w:tc>
          <w:tcPr>
            <w:tcW w:w="4536" w:type="dxa"/>
            <w:vAlign w:val="center"/>
          </w:tcPr>
          <w:p w14:paraId="73BB8698" w14:textId="77777777" w:rsidR="004412F1" w:rsidRPr="00763640" w:rsidRDefault="005A12A3">
            <w:pPr>
              <w:rPr>
                <w:lang w:val="es-PE"/>
              </w:rPr>
            </w:pPr>
            <w:r w:rsidRPr="00763640">
              <w:rPr>
                <w:lang w:val="es-PE"/>
              </w:rPr>
              <w:t>Por exceder el plazo establecido para la corrección de defectos.</w:t>
            </w:r>
          </w:p>
        </w:tc>
        <w:tc>
          <w:tcPr>
            <w:tcW w:w="2126" w:type="dxa"/>
            <w:vAlign w:val="center"/>
          </w:tcPr>
          <w:p w14:paraId="7C276E26" w14:textId="77777777" w:rsidR="004412F1" w:rsidRPr="00763640" w:rsidRDefault="005A12A3">
            <w:r w:rsidRPr="00763640">
              <w:t>Por día de atraso</w:t>
            </w:r>
          </w:p>
        </w:tc>
      </w:tr>
      <w:tr w:rsidR="004412F1" w:rsidRPr="00763640" w14:paraId="60C1CDFE" w14:textId="77777777">
        <w:trPr>
          <w:trHeight w:val="450"/>
        </w:trPr>
        <w:tc>
          <w:tcPr>
            <w:tcW w:w="1418" w:type="dxa"/>
            <w:vAlign w:val="center"/>
          </w:tcPr>
          <w:p w14:paraId="616C1B17" w14:textId="77777777" w:rsidR="004412F1" w:rsidRPr="00763640" w:rsidRDefault="005A12A3">
            <w:pPr>
              <w:jc w:val="center"/>
            </w:pPr>
            <w:r w:rsidRPr="00763640">
              <w:rPr>
                <w:lang w:val="es-MX"/>
              </w:rPr>
              <w:t xml:space="preserve">4.19 </w:t>
            </w:r>
            <w:r w:rsidRPr="00763640">
              <w:t>del ANEXO I</w:t>
            </w:r>
          </w:p>
        </w:tc>
        <w:tc>
          <w:tcPr>
            <w:tcW w:w="850" w:type="dxa"/>
            <w:vAlign w:val="center"/>
          </w:tcPr>
          <w:p w14:paraId="0B5836B2" w14:textId="77777777" w:rsidR="004412F1" w:rsidRPr="00763640" w:rsidRDefault="005A12A3">
            <w:pPr>
              <w:jc w:val="center"/>
            </w:pPr>
            <w:r w:rsidRPr="00763640">
              <w:t>2.40</w:t>
            </w:r>
          </w:p>
        </w:tc>
        <w:tc>
          <w:tcPr>
            <w:tcW w:w="4536" w:type="dxa"/>
          </w:tcPr>
          <w:p w14:paraId="52370F5F" w14:textId="77777777" w:rsidR="004412F1" w:rsidRPr="00763640" w:rsidRDefault="005A12A3">
            <w:pPr>
              <w:jc w:val="both"/>
              <w:rPr>
                <w:bCs/>
                <w:lang w:val="es-PE"/>
              </w:rPr>
            </w:pPr>
            <w:r w:rsidRPr="00763640">
              <w:rPr>
                <w:lang w:val="es-PE"/>
              </w:rPr>
              <w:t xml:space="preserve">Incumplimiento en mantener el nivel de servicio global de un </w:t>
            </w:r>
            <w:proofErr w:type="gramStart"/>
            <w:r w:rsidRPr="00763640">
              <w:rPr>
                <w:lang w:val="es-PE"/>
              </w:rPr>
              <w:t>Sub Tramo</w:t>
            </w:r>
            <w:proofErr w:type="gramEnd"/>
          </w:p>
        </w:tc>
        <w:tc>
          <w:tcPr>
            <w:tcW w:w="2126" w:type="dxa"/>
            <w:vAlign w:val="center"/>
          </w:tcPr>
          <w:p w14:paraId="25559F02" w14:textId="77777777" w:rsidR="004412F1" w:rsidRPr="00763640" w:rsidRDefault="005A12A3">
            <w:r w:rsidRPr="00763640">
              <w:t>Por vez</w:t>
            </w:r>
          </w:p>
        </w:tc>
      </w:tr>
      <w:tr w:rsidR="004412F1" w:rsidRPr="00763640" w14:paraId="56F57EAC" w14:textId="77777777">
        <w:trPr>
          <w:trHeight w:val="450"/>
        </w:trPr>
        <w:tc>
          <w:tcPr>
            <w:tcW w:w="1418" w:type="dxa"/>
            <w:vAlign w:val="center"/>
          </w:tcPr>
          <w:p w14:paraId="060860F2" w14:textId="77777777" w:rsidR="004412F1" w:rsidRPr="00763640" w:rsidRDefault="005A12A3">
            <w:pPr>
              <w:jc w:val="center"/>
            </w:pPr>
            <w:r w:rsidRPr="00763640">
              <w:rPr>
                <w:lang w:val="es-MX"/>
              </w:rPr>
              <w:t xml:space="preserve">4.19 </w:t>
            </w:r>
            <w:r w:rsidRPr="00763640">
              <w:t>del ANEXO I</w:t>
            </w:r>
          </w:p>
        </w:tc>
        <w:tc>
          <w:tcPr>
            <w:tcW w:w="850" w:type="dxa"/>
            <w:vAlign w:val="center"/>
          </w:tcPr>
          <w:p w14:paraId="0A7BC4F6" w14:textId="77777777" w:rsidR="004412F1" w:rsidRPr="00763640" w:rsidRDefault="005A12A3">
            <w:pPr>
              <w:jc w:val="center"/>
            </w:pPr>
            <w:r w:rsidRPr="00763640">
              <w:t>6.40</w:t>
            </w:r>
          </w:p>
        </w:tc>
        <w:tc>
          <w:tcPr>
            <w:tcW w:w="4536" w:type="dxa"/>
          </w:tcPr>
          <w:p w14:paraId="493FC8D0" w14:textId="77777777" w:rsidR="004412F1" w:rsidRPr="00763640" w:rsidRDefault="005A12A3">
            <w:pPr>
              <w:jc w:val="both"/>
              <w:rPr>
                <w:lang w:val="es-PE"/>
              </w:rPr>
            </w:pPr>
            <w:r w:rsidRPr="00763640">
              <w:rPr>
                <w:lang w:val="es-PE"/>
              </w:rPr>
              <w:t xml:space="preserve">Incumplimiento en el nivel de servicio global de la Concesión </w:t>
            </w:r>
          </w:p>
        </w:tc>
        <w:tc>
          <w:tcPr>
            <w:tcW w:w="2126" w:type="dxa"/>
            <w:vAlign w:val="center"/>
          </w:tcPr>
          <w:p w14:paraId="2F07BD4A" w14:textId="77777777" w:rsidR="004412F1" w:rsidRPr="00763640" w:rsidRDefault="005A12A3">
            <w:r w:rsidRPr="00763640">
              <w:t>Por vez</w:t>
            </w:r>
          </w:p>
        </w:tc>
      </w:tr>
    </w:tbl>
    <w:p w14:paraId="23096E91" w14:textId="77777777" w:rsidR="004412F1" w:rsidRPr="00763640" w:rsidRDefault="004412F1">
      <w:pPr>
        <w:rPr>
          <w:b/>
          <w:bCs/>
          <w:sz w:val="12"/>
        </w:rPr>
      </w:pPr>
      <w:bookmarkStart w:id="2865" w:name="_Ref274058464"/>
      <w:bookmarkStart w:id="2866" w:name="_Ref274058393"/>
      <w:bookmarkStart w:id="2867" w:name="_Ref274058338"/>
      <w:bookmarkStart w:id="2868" w:name="_Ref306304240"/>
      <w:bookmarkStart w:id="2869" w:name="_Ref274031435"/>
      <w:bookmarkStart w:id="2870" w:name="_Ref306304334"/>
      <w:bookmarkStart w:id="2871" w:name="_Ref306304390"/>
    </w:p>
    <w:p w14:paraId="3BE38199" w14:textId="77777777" w:rsidR="004412F1" w:rsidRPr="00763640" w:rsidRDefault="004412F1">
      <w:pPr>
        <w:rPr>
          <w:b/>
          <w:bCs/>
        </w:rPr>
      </w:pPr>
    </w:p>
    <w:p w14:paraId="21EFAB04" w14:textId="77777777" w:rsidR="004412F1" w:rsidRPr="00763640" w:rsidRDefault="005A12A3">
      <w:pPr>
        <w:rPr>
          <w:b/>
          <w:bCs/>
        </w:rPr>
      </w:pPr>
      <w:r w:rsidRPr="00763640">
        <w:rPr>
          <w:b/>
        </w:rPr>
        <w:t>Tabla Nº 5</w:t>
      </w:r>
      <w:bookmarkEnd w:id="2865"/>
      <w:bookmarkEnd w:id="2866"/>
      <w:bookmarkEnd w:id="2867"/>
      <w:bookmarkEnd w:id="2868"/>
      <w:bookmarkEnd w:id="2869"/>
      <w:bookmarkEnd w:id="2870"/>
      <w:bookmarkEnd w:id="2871"/>
    </w:p>
    <w:p w14:paraId="02808988" w14:textId="77777777" w:rsidR="004412F1" w:rsidRPr="00763640" w:rsidRDefault="005A12A3">
      <w:pPr>
        <w:pStyle w:val="Pelota"/>
        <w:rPr>
          <w:rFonts w:ascii="Arial" w:hAnsi="Arial"/>
          <w:lang w:val="es-ES"/>
        </w:rPr>
      </w:pPr>
      <w:r w:rsidRPr="00763640">
        <w:rPr>
          <w:rFonts w:ascii="Arial" w:hAnsi="Arial"/>
          <w:lang w:val="es-ES"/>
        </w:rPr>
        <w:t xml:space="preserve">Penalidades referidas al CAPÍTULO VIII del Contrato: Explotación de la Concesión </w:t>
      </w:r>
    </w:p>
    <w:p w14:paraId="1828C80D" w14:textId="77777777" w:rsidR="004412F1" w:rsidRPr="00763640" w:rsidRDefault="004412F1">
      <w:pPr>
        <w:pStyle w:val="Pelota"/>
        <w:rPr>
          <w:szCs w:val="22"/>
          <w:lang w:val="es-ES"/>
        </w:rPr>
      </w:pPr>
    </w:p>
    <w:tbl>
      <w:tblPr>
        <w:tblW w:w="893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926"/>
        <w:gridCol w:w="4111"/>
        <w:gridCol w:w="2409"/>
      </w:tblGrid>
      <w:tr w:rsidR="004412F1" w:rsidRPr="00763640" w14:paraId="36CD5167" w14:textId="77777777">
        <w:trPr>
          <w:trHeight w:val="413"/>
        </w:trPr>
        <w:tc>
          <w:tcPr>
            <w:tcW w:w="1484" w:type="dxa"/>
          </w:tcPr>
          <w:p w14:paraId="6F8F638D" w14:textId="77777777" w:rsidR="004412F1" w:rsidRPr="00763640" w:rsidRDefault="005A12A3">
            <w:pPr>
              <w:rPr>
                <w:b/>
              </w:rPr>
            </w:pPr>
            <w:r w:rsidRPr="00763640">
              <w:rPr>
                <w:b/>
              </w:rPr>
              <w:t>Cláusula Contrato</w:t>
            </w:r>
          </w:p>
        </w:tc>
        <w:tc>
          <w:tcPr>
            <w:tcW w:w="926" w:type="dxa"/>
          </w:tcPr>
          <w:p w14:paraId="6AEB1E58" w14:textId="77777777" w:rsidR="004412F1" w:rsidRPr="00763640" w:rsidRDefault="005A12A3">
            <w:pPr>
              <w:jc w:val="center"/>
              <w:rPr>
                <w:b/>
              </w:rPr>
            </w:pPr>
            <w:r w:rsidRPr="00763640">
              <w:rPr>
                <w:b/>
              </w:rPr>
              <w:t>UIT</w:t>
            </w:r>
          </w:p>
        </w:tc>
        <w:tc>
          <w:tcPr>
            <w:tcW w:w="4111" w:type="dxa"/>
            <w:vAlign w:val="center"/>
          </w:tcPr>
          <w:p w14:paraId="58F7F534" w14:textId="77777777" w:rsidR="004412F1" w:rsidRPr="00763640" w:rsidRDefault="005A12A3">
            <w:pPr>
              <w:jc w:val="center"/>
              <w:rPr>
                <w:b/>
              </w:rPr>
            </w:pPr>
            <w:r w:rsidRPr="00763640">
              <w:rPr>
                <w:b/>
              </w:rPr>
              <w:t>Descripción de penalidad</w:t>
            </w:r>
          </w:p>
        </w:tc>
        <w:tc>
          <w:tcPr>
            <w:tcW w:w="2409" w:type="dxa"/>
            <w:vAlign w:val="center"/>
          </w:tcPr>
          <w:p w14:paraId="3B86A0A3" w14:textId="77777777" w:rsidR="004412F1" w:rsidRPr="00763640" w:rsidRDefault="005A12A3">
            <w:pPr>
              <w:jc w:val="center"/>
              <w:rPr>
                <w:b/>
              </w:rPr>
            </w:pPr>
            <w:r w:rsidRPr="00763640">
              <w:rPr>
                <w:b/>
              </w:rPr>
              <w:t>Criterio de Aplicación</w:t>
            </w:r>
          </w:p>
        </w:tc>
      </w:tr>
      <w:tr w:rsidR="004412F1" w:rsidRPr="00763640" w14:paraId="4F451D01" w14:textId="77777777">
        <w:trPr>
          <w:trHeight w:val="618"/>
        </w:trPr>
        <w:tc>
          <w:tcPr>
            <w:tcW w:w="1484" w:type="dxa"/>
            <w:vAlign w:val="center"/>
          </w:tcPr>
          <w:p w14:paraId="7DB89B21" w14:textId="77777777" w:rsidR="004412F1" w:rsidRPr="00763640" w:rsidRDefault="005A12A3">
            <w:pPr>
              <w:jc w:val="center"/>
            </w:pPr>
            <w:r w:rsidRPr="00763640">
              <w:rPr>
                <w:lang w:val="es-MX"/>
              </w:rPr>
              <w:t>8.5 a), b), c)</w:t>
            </w:r>
            <w:r w:rsidRPr="00763640">
              <w:t xml:space="preserve"> </w:t>
            </w:r>
          </w:p>
        </w:tc>
        <w:tc>
          <w:tcPr>
            <w:tcW w:w="926" w:type="dxa"/>
            <w:vAlign w:val="center"/>
          </w:tcPr>
          <w:p w14:paraId="2E244277" w14:textId="77777777" w:rsidR="004412F1" w:rsidRPr="00763640" w:rsidRDefault="005A12A3">
            <w:pPr>
              <w:jc w:val="center"/>
            </w:pPr>
            <w:r w:rsidRPr="00763640">
              <w:t>0.16</w:t>
            </w:r>
          </w:p>
        </w:tc>
        <w:tc>
          <w:tcPr>
            <w:tcW w:w="4111" w:type="dxa"/>
          </w:tcPr>
          <w:p w14:paraId="4016A446" w14:textId="77777777" w:rsidR="004412F1" w:rsidRPr="00763640" w:rsidRDefault="005A12A3">
            <w:pPr>
              <w:rPr>
                <w:lang w:val="es-PE"/>
              </w:rPr>
            </w:pPr>
            <w:r w:rsidRPr="00763640">
              <w:rPr>
                <w:lang w:val="es-PE"/>
              </w:rPr>
              <w:t xml:space="preserve">Atraso en la presentación de Informes y/o subsanación de Informes, relativos al desarrollo de la Explotación de la Concesión. </w:t>
            </w:r>
          </w:p>
        </w:tc>
        <w:tc>
          <w:tcPr>
            <w:tcW w:w="2409" w:type="dxa"/>
            <w:vAlign w:val="center"/>
          </w:tcPr>
          <w:p w14:paraId="3FA8F17D" w14:textId="77777777" w:rsidR="004412F1" w:rsidRPr="00763640" w:rsidRDefault="005A12A3">
            <w:r w:rsidRPr="00763640">
              <w:t>Cada Día de atraso</w:t>
            </w:r>
          </w:p>
        </w:tc>
      </w:tr>
      <w:tr w:rsidR="004412F1" w:rsidRPr="00763640" w14:paraId="410D5ECE" w14:textId="77777777">
        <w:trPr>
          <w:trHeight w:val="542"/>
        </w:trPr>
        <w:tc>
          <w:tcPr>
            <w:tcW w:w="1484" w:type="dxa"/>
            <w:vAlign w:val="center"/>
          </w:tcPr>
          <w:p w14:paraId="29768BFA" w14:textId="77777777" w:rsidR="004412F1" w:rsidRPr="00763640" w:rsidRDefault="005A12A3">
            <w:pPr>
              <w:jc w:val="center"/>
              <w:rPr>
                <w:lang w:val="es-ES"/>
              </w:rPr>
            </w:pPr>
            <w:r w:rsidRPr="00763640">
              <w:rPr>
                <w:lang w:val="es-MX"/>
              </w:rPr>
              <w:t>8.5 a), b), c)</w:t>
            </w:r>
            <w:r w:rsidRPr="00763640">
              <w:t xml:space="preserve"> </w:t>
            </w:r>
          </w:p>
        </w:tc>
        <w:tc>
          <w:tcPr>
            <w:tcW w:w="926" w:type="dxa"/>
            <w:vAlign w:val="center"/>
          </w:tcPr>
          <w:p w14:paraId="43E4BCC7" w14:textId="70E6FF47" w:rsidR="004412F1" w:rsidRPr="00763640" w:rsidRDefault="00CB598C">
            <w:pPr>
              <w:jc w:val="center"/>
              <w:rPr>
                <w:rFonts w:eastAsiaTheme="minorEastAsia"/>
                <w:lang w:val="es-MX" w:eastAsia="zh-CN"/>
              </w:rPr>
            </w:pPr>
            <w:r w:rsidRPr="00763640">
              <w:rPr>
                <w:sz w:val="18"/>
                <w:lang w:val="es-PE"/>
              </w:rPr>
              <w:t>[-----]</w:t>
            </w:r>
          </w:p>
        </w:tc>
        <w:tc>
          <w:tcPr>
            <w:tcW w:w="4111" w:type="dxa"/>
          </w:tcPr>
          <w:p w14:paraId="392AF8A8" w14:textId="77777777" w:rsidR="004412F1" w:rsidRPr="00763640" w:rsidRDefault="005A12A3">
            <w:pPr>
              <w:jc w:val="both"/>
              <w:rPr>
                <w:lang w:val="es-PE"/>
              </w:rPr>
            </w:pPr>
            <w:r w:rsidRPr="00763640">
              <w:rPr>
                <w:lang w:val="es-PE"/>
              </w:rPr>
              <w:t xml:space="preserve">Incumplimiento en la subsanación de observaciones a los Informes relativos al desarrollo de la Explotación de la Concesión. </w:t>
            </w:r>
          </w:p>
        </w:tc>
        <w:tc>
          <w:tcPr>
            <w:tcW w:w="2409" w:type="dxa"/>
            <w:vAlign w:val="center"/>
          </w:tcPr>
          <w:p w14:paraId="4092211E" w14:textId="77777777" w:rsidR="004412F1" w:rsidRPr="00763640" w:rsidRDefault="005A12A3">
            <w:pPr>
              <w:rPr>
                <w:lang w:val="es-MX"/>
              </w:rPr>
            </w:pPr>
            <w:r w:rsidRPr="00763640">
              <w:t xml:space="preserve">Cada </w:t>
            </w:r>
            <w:r w:rsidRPr="00763640">
              <w:rPr>
                <w:lang w:val="es-MX"/>
              </w:rPr>
              <w:t>vez</w:t>
            </w:r>
          </w:p>
        </w:tc>
      </w:tr>
      <w:tr w:rsidR="004412F1" w:rsidRPr="00763640" w14:paraId="5D76C0A8" w14:textId="77777777">
        <w:trPr>
          <w:trHeight w:val="542"/>
        </w:trPr>
        <w:tc>
          <w:tcPr>
            <w:tcW w:w="1484" w:type="dxa"/>
            <w:vAlign w:val="center"/>
          </w:tcPr>
          <w:p w14:paraId="38FAD5AF" w14:textId="77777777" w:rsidR="004412F1" w:rsidRPr="00763640" w:rsidRDefault="005A12A3">
            <w:pPr>
              <w:jc w:val="center"/>
              <w:rPr>
                <w:lang w:val="es-ES"/>
              </w:rPr>
            </w:pPr>
            <w:r w:rsidRPr="00763640">
              <w:rPr>
                <w:lang w:val="es-ES"/>
              </w:rPr>
              <w:t>8.10</w:t>
            </w:r>
          </w:p>
        </w:tc>
        <w:tc>
          <w:tcPr>
            <w:tcW w:w="926" w:type="dxa"/>
            <w:vAlign w:val="center"/>
          </w:tcPr>
          <w:p w14:paraId="09E4740B" w14:textId="77777777" w:rsidR="004412F1" w:rsidRPr="00763640" w:rsidRDefault="005A12A3">
            <w:pPr>
              <w:jc w:val="center"/>
            </w:pPr>
            <w:r w:rsidRPr="00763640">
              <w:t>0.16</w:t>
            </w:r>
          </w:p>
        </w:tc>
        <w:tc>
          <w:tcPr>
            <w:tcW w:w="4111" w:type="dxa"/>
          </w:tcPr>
          <w:p w14:paraId="1C4478D4" w14:textId="77777777" w:rsidR="004412F1" w:rsidRPr="00763640" w:rsidRDefault="005A12A3">
            <w:pPr>
              <w:jc w:val="both"/>
              <w:rPr>
                <w:lang w:val="es-PE"/>
              </w:rPr>
            </w:pPr>
            <w:r w:rsidRPr="00763640">
              <w:rPr>
                <w:lang w:val="es-PE"/>
              </w:rPr>
              <w:t>Atraso en la presentación al REGULADOR de los reglamentos internos.</w:t>
            </w:r>
          </w:p>
        </w:tc>
        <w:tc>
          <w:tcPr>
            <w:tcW w:w="2409" w:type="dxa"/>
            <w:vAlign w:val="center"/>
          </w:tcPr>
          <w:p w14:paraId="09DC24A7" w14:textId="77777777" w:rsidR="004412F1" w:rsidRPr="00763640" w:rsidRDefault="005A12A3">
            <w:r w:rsidRPr="00763640">
              <w:t>Cada Día de atraso</w:t>
            </w:r>
          </w:p>
        </w:tc>
      </w:tr>
      <w:tr w:rsidR="004412F1" w:rsidRPr="00763640" w14:paraId="3DFAEE1A" w14:textId="77777777">
        <w:trPr>
          <w:trHeight w:val="542"/>
        </w:trPr>
        <w:tc>
          <w:tcPr>
            <w:tcW w:w="1484" w:type="dxa"/>
            <w:vAlign w:val="center"/>
          </w:tcPr>
          <w:p w14:paraId="2FC9CA65" w14:textId="77777777" w:rsidR="004412F1" w:rsidRPr="00763640" w:rsidRDefault="005A12A3">
            <w:pPr>
              <w:jc w:val="center"/>
              <w:rPr>
                <w:lang w:val="es-ES"/>
              </w:rPr>
            </w:pPr>
            <w:r w:rsidRPr="00763640">
              <w:rPr>
                <w:lang w:val="es-ES"/>
              </w:rPr>
              <w:t>8.12</w:t>
            </w:r>
          </w:p>
        </w:tc>
        <w:tc>
          <w:tcPr>
            <w:tcW w:w="926" w:type="dxa"/>
            <w:vAlign w:val="center"/>
          </w:tcPr>
          <w:p w14:paraId="6B66449A" w14:textId="77777777" w:rsidR="004412F1" w:rsidRPr="00763640" w:rsidRDefault="005A12A3">
            <w:pPr>
              <w:jc w:val="center"/>
            </w:pPr>
            <w:r w:rsidRPr="00763640">
              <w:t>0.40</w:t>
            </w:r>
          </w:p>
        </w:tc>
        <w:tc>
          <w:tcPr>
            <w:tcW w:w="4111" w:type="dxa"/>
          </w:tcPr>
          <w:p w14:paraId="4D62C5D3" w14:textId="77777777" w:rsidR="004412F1" w:rsidRPr="00763640" w:rsidRDefault="005A12A3">
            <w:pPr>
              <w:jc w:val="both"/>
              <w:rPr>
                <w:lang w:val="es-PE"/>
              </w:rPr>
            </w:pPr>
            <w:r w:rsidRPr="00763640">
              <w:rPr>
                <w:lang w:val="es-PE"/>
              </w:rPr>
              <w:t>Incumplimiento en el Inicio de Explotación en el plazo previsto</w:t>
            </w:r>
          </w:p>
        </w:tc>
        <w:tc>
          <w:tcPr>
            <w:tcW w:w="2409" w:type="dxa"/>
            <w:vAlign w:val="center"/>
          </w:tcPr>
          <w:p w14:paraId="614C0F7C" w14:textId="77777777" w:rsidR="004412F1" w:rsidRPr="00763640" w:rsidRDefault="005A12A3">
            <w:r w:rsidRPr="00763640">
              <w:t>Cada Día de atraso</w:t>
            </w:r>
          </w:p>
        </w:tc>
      </w:tr>
      <w:tr w:rsidR="004412F1" w:rsidRPr="00763640" w14:paraId="40E8620F" w14:textId="77777777">
        <w:trPr>
          <w:trHeight w:val="522"/>
        </w:trPr>
        <w:tc>
          <w:tcPr>
            <w:tcW w:w="1484" w:type="dxa"/>
            <w:vAlign w:val="center"/>
          </w:tcPr>
          <w:p w14:paraId="5E8D1E0E" w14:textId="3F034F39" w:rsidR="004412F1" w:rsidRPr="00763640" w:rsidRDefault="005A12A3">
            <w:pPr>
              <w:jc w:val="center"/>
              <w:rPr>
                <w:lang w:val="es-ES"/>
              </w:rPr>
            </w:pPr>
            <w:r w:rsidRPr="00763640">
              <w:fldChar w:fldCharType="begin"/>
            </w:r>
            <w:r w:rsidRPr="00763640">
              <w:instrText xml:space="preserve"> REF _Ref271728323 \r \h </w:instrText>
            </w:r>
            <w:r w:rsidR="00763640">
              <w:instrText xml:space="preserve"> \* MERGEFORMAT </w:instrText>
            </w:r>
            <w:r w:rsidRPr="00763640">
              <w:fldChar w:fldCharType="separate"/>
            </w:r>
            <w:r w:rsidR="0077125D">
              <w:t>8.13</w:t>
            </w:r>
            <w:r w:rsidRPr="00763640">
              <w:fldChar w:fldCharType="end"/>
            </w:r>
            <w:r w:rsidRPr="00763640">
              <w:rPr>
                <w:lang w:val="es-ES"/>
              </w:rPr>
              <w:t>3</w:t>
            </w:r>
          </w:p>
        </w:tc>
        <w:tc>
          <w:tcPr>
            <w:tcW w:w="926" w:type="dxa"/>
            <w:vAlign w:val="center"/>
          </w:tcPr>
          <w:p w14:paraId="66C6EB48" w14:textId="77777777" w:rsidR="004412F1" w:rsidRPr="00763640" w:rsidRDefault="005A12A3">
            <w:pPr>
              <w:jc w:val="center"/>
            </w:pPr>
            <w:r w:rsidRPr="00763640">
              <w:t>0.40</w:t>
            </w:r>
          </w:p>
        </w:tc>
        <w:tc>
          <w:tcPr>
            <w:tcW w:w="4111" w:type="dxa"/>
          </w:tcPr>
          <w:p w14:paraId="783D0E15" w14:textId="77777777" w:rsidR="004412F1" w:rsidRPr="00763640" w:rsidRDefault="005A12A3">
            <w:pPr>
              <w:jc w:val="both"/>
              <w:rPr>
                <w:lang w:val="es-PE"/>
              </w:rPr>
            </w:pPr>
            <w:r w:rsidRPr="00763640">
              <w:rPr>
                <w:lang w:val="es-PE"/>
              </w:rPr>
              <w:t xml:space="preserve">Incumplimiento de la implementación de los servicios obligatorios. </w:t>
            </w:r>
          </w:p>
        </w:tc>
        <w:tc>
          <w:tcPr>
            <w:tcW w:w="2409" w:type="dxa"/>
            <w:vAlign w:val="center"/>
          </w:tcPr>
          <w:p w14:paraId="59522F2B" w14:textId="77777777" w:rsidR="004412F1" w:rsidRPr="00763640" w:rsidRDefault="005A12A3">
            <w:r w:rsidRPr="00763640">
              <w:t>Cada Día de atraso</w:t>
            </w:r>
          </w:p>
        </w:tc>
      </w:tr>
      <w:tr w:rsidR="004412F1" w:rsidRPr="00763640" w14:paraId="573A9BC1" w14:textId="77777777">
        <w:trPr>
          <w:trHeight w:val="522"/>
        </w:trPr>
        <w:tc>
          <w:tcPr>
            <w:tcW w:w="1484" w:type="dxa"/>
            <w:vAlign w:val="center"/>
          </w:tcPr>
          <w:p w14:paraId="2E06A055" w14:textId="77777777" w:rsidR="004412F1" w:rsidRPr="00763640" w:rsidRDefault="005A12A3">
            <w:pPr>
              <w:jc w:val="center"/>
              <w:rPr>
                <w:lang w:val="es-ES"/>
              </w:rPr>
            </w:pPr>
            <w:r w:rsidRPr="00763640">
              <w:rPr>
                <w:lang w:val="es-ES"/>
              </w:rPr>
              <w:t>8.13</w:t>
            </w:r>
          </w:p>
        </w:tc>
        <w:tc>
          <w:tcPr>
            <w:tcW w:w="926" w:type="dxa"/>
            <w:vAlign w:val="center"/>
          </w:tcPr>
          <w:p w14:paraId="4F41B046" w14:textId="77777777" w:rsidR="004412F1" w:rsidRPr="00763640" w:rsidRDefault="005A12A3">
            <w:pPr>
              <w:jc w:val="center"/>
            </w:pPr>
            <w:r w:rsidRPr="00763640">
              <w:t>0.20</w:t>
            </w:r>
          </w:p>
        </w:tc>
        <w:tc>
          <w:tcPr>
            <w:tcW w:w="4111" w:type="dxa"/>
          </w:tcPr>
          <w:p w14:paraId="26144DA4" w14:textId="77777777" w:rsidR="004412F1" w:rsidRPr="00763640" w:rsidRDefault="005A12A3">
            <w:pPr>
              <w:jc w:val="both"/>
              <w:rPr>
                <w:lang w:val="es-PE"/>
              </w:rPr>
            </w:pPr>
            <w:r w:rsidRPr="00763640">
              <w:rPr>
                <w:lang w:val="es-PE"/>
              </w:rPr>
              <w:t>Deficiencia en el funcionamiento de los servicios obligatorios.</w:t>
            </w:r>
          </w:p>
        </w:tc>
        <w:tc>
          <w:tcPr>
            <w:tcW w:w="2409" w:type="dxa"/>
            <w:vAlign w:val="center"/>
          </w:tcPr>
          <w:p w14:paraId="73F348BE" w14:textId="77777777" w:rsidR="004412F1" w:rsidRPr="00763640" w:rsidRDefault="005A12A3">
            <w:r w:rsidRPr="00763640">
              <w:t>Cada vez</w:t>
            </w:r>
          </w:p>
        </w:tc>
      </w:tr>
      <w:tr w:rsidR="004412F1" w:rsidRPr="00763640" w14:paraId="4D2841DA" w14:textId="77777777">
        <w:trPr>
          <w:trHeight w:val="522"/>
        </w:trPr>
        <w:tc>
          <w:tcPr>
            <w:tcW w:w="1484" w:type="dxa"/>
            <w:vAlign w:val="center"/>
          </w:tcPr>
          <w:p w14:paraId="7E762954" w14:textId="77777777" w:rsidR="004412F1" w:rsidRPr="00763640" w:rsidRDefault="005A12A3">
            <w:pPr>
              <w:jc w:val="center"/>
            </w:pPr>
            <w:r w:rsidRPr="00763640">
              <w:rPr>
                <w:lang w:val="es-MX"/>
              </w:rPr>
              <w:t xml:space="preserve">17.4 o), </w:t>
            </w:r>
          </w:p>
          <w:p w14:paraId="161C8324" w14:textId="77777777" w:rsidR="004412F1" w:rsidRPr="00763640" w:rsidRDefault="005A12A3">
            <w:pPr>
              <w:jc w:val="center"/>
            </w:pPr>
            <w:r w:rsidRPr="00763640">
              <w:t>9.1</w:t>
            </w:r>
          </w:p>
        </w:tc>
        <w:tc>
          <w:tcPr>
            <w:tcW w:w="926" w:type="dxa"/>
            <w:vAlign w:val="center"/>
          </w:tcPr>
          <w:p w14:paraId="5EDFA6DC" w14:textId="77777777" w:rsidR="004412F1" w:rsidRPr="00763640" w:rsidRDefault="005A12A3">
            <w:pPr>
              <w:jc w:val="center"/>
            </w:pPr>
            <w:r w:rsidRPr="00763640">
              <w:t>5.0</w:t>
            </w:r>
          </w:p>
        </w:tc>
        <w:tc>
          <w:tcPr>
            <w:tcW w:w="4111" w:type="dxa"/>
          </w:tcPr>
          <w:p w14:paraId="45113B42" w14:textId="77777777" w:rsidR="004412F1" w:rsidRPr="00763640" w:rsidRDefault="005A12A3">
            <w:pPr>
              <w:jc w:val="both"/>
              <w:rPr>
                <w:lang w:val="es-PE"/>
              </w:rPr>
            </w:pPr>
            <w:r w:rsidRPr="00763640">
              <w:rPr>
                <w:lang w:val="es-PE"/>
              </w:rPr>
              <w:t>Cobranza de Tarifa por montos superiores a los autorizados.</w:t>
            </w:r>
          </w:p>
        </w:tc>
        <w:tc>
          <w:tcPr>
            <w:tcW w:w="2409" w:type="dxa"/>
            <w:vAlign w:val="center"/>
          </w:tcPr>
          <w:p w14:paraId="411B3E0D" w14:textId="77777777" w:rsidR="004412F1" w:rsidRPr="00763640" w:rsidRDefault="005A12A3">
            <w:pPr>
              <w:rPr>
                <w:lang w:val="es-PE"/>
              </w:rPr>
            </w:pPr>
            <w:r w:rsidRPr="00763640">
              <w:rPr>
                <w:lang w:val="es-PE"/>
              </w:rPr>
              <w:t>Primera verificación durante el plazo de la Concesión</w:t>
            </w:r>
          </w:p>
        </w:tc>
      </w:tr>
      <w:tr w:rsidR="004412F1" w:rsidRPr="00763640" w14:paraId="1511C15F" w14:textId="77777777">
        <w:trPr>
          <w:trHeight w:val="522"/>
        </w:trPr>
        <w:tc>
          <w:tcPr>
            <w:tcW w:w="1484" w:type="dxa"/>
            <w:vAlign w:val="center"/>
          </w:tcPr>
          <w:p w14:paraId="1C732CD4" w14:textId="77777777" w:rsidR="004412F1" w:rsidRPr="00763640" w:rsidRDefault="005A12A3">
            <w:pPr>
              <w:jc w:val="center"/>
            </w:pPr>
            <w:r w:rsidRPr="00763640">
              <w:rPr>
                <w:lang w:val="es-MX"/>
              </w:rPr>
              <w:t xml:space="preserve">17.4 o), </w:t>
            </w:r>
          </w:p>
          <w:p w14:paraId="098B7252" w14:textId="77777777" w:rsidR="004412F1" w:rsidRPr="00763640" w:rsidRDefault="005A12A3">
            <w:pPr>
              <w:jc w:val="center"/>
            </w:pPr>
            <w:r w:rsidRPr="00763640">
              <w:t>9.1</w:t>
            </w:r>
          </w:p>
        </w:tc>
        <w:tc>
          <w:tcPr>
            <w:tcW w:w="926" w:type="dxa"/>
            <w:vAlign w:val="center"/>
          </w:tcPr>
          <w:p w14:paraId="45AD7B32" w14:textId="77777777" w:rsidR="004412F1" w:rsidRPr="00763640" w:rsidRDefault="005A12A3">
            <w:pPr>
              <w:jc w:val="center"/>
            </w:pPr>
            <w:r w:rsidRPr="00763640">
              <w:t>10.0</w:t>
            </w:r>
          </w:p>
        </w:tc>
        <w:tc>
          <w:tcPr>
            <w:tcW w:w="4111" w:type="dxa"/>
            <w:vAlign w:val="center"/>
          </w:tcPr>
          <w:p w14:paraId="2B5C0AFA" w14:textId="77777777" w:rsidR="004412F1" w:rsidRPr="00763640" w:rsidRDefault="005A12A3">
            <w:pPr>
              <w:jc w:val="both"/>
              <w:rPr>
                <w:lang w:val="es-PE"/>
              </w:rPr>
            </w:pPr>
            <w:r w:rsidRPr="00763640">
              <w:rPr>
                <w:lang w:val="es-PE"/>
              </w:rPr>
              <w:t>Cobranza de Tarifa por montos superiores a los autorizados.</w:t>
            </w:r>
          </w:p>
        </w:tc>
        <w:tc>
          <w:tcPr>
            <w:tcW w:w="2409" w:type="dxa"/>
            <w:vAlign w:val="center"/>
          </w:tcPr>
          <w:p w14:paraId="051DDC2F" w14:textId="77777777" w:rsidR="004412F1" w:rsidRPr="00763640" w:rsidRDefault="005A12A3">
            <w:pPr>
              <w:jc w:val="both"/>
              <w:rPr>
                <w:lang w:val="es-PE"/>
              </w:rPr>
            </w:pPr>
            <w:r w:rsidRPr="00763640">
              <w:rPr>
                <w:lang w:val="es-PE"/>
              </w:rPr>
              <w:t>Segunda verificación durante el plazo de la Concesión.</w:t>
            </w:r>
          </w:p>
          <w:p w14:paraId="6594B5DD" w14:textId="77777777" w:rsidR="004412F1" w:rsidRPr="00763640" w:rsidRDefault="005A12A3">
            <w:pPr>
              <w:jc w:val="both"/>
              <w:rPr>
                <w:lang w:val="es-PE"/>
              </w:rPr>
            </w:pPr>
            <w:r w:rsidRPr="00763640">
              <w:rPr>
                <w:lang w:val="es-PE"/>
              </w:rPr>
              <w:t>A partir de la tercera verificación en adelante, la penalidad tendrá un incremento de 3% sobre la última penalidad aplicada</w:t>
            </w:r>
          </w:p>
        </w:tc>
      </w:tr>
      <w:tr w:rsidR="004412F1" w:rsidRPr="00763640" w14:paraId="72689756" w14:textId="77777777">
        <w:trPr>
          <w:trHeight w:val="522"/>
        </w:trPr>
        <w:tc>
          <w:tcPr>
            <w:tcW w:w="1484" w:type="dxa"/>
            <w:vAlign w:val="center"/>
          </w:tcPr>
          <w:p w14:paraId="65340412" w14:textId="77777777" w:rsidR="004412F1" w:rsidRPr="00763640" w:rsidRDefault="005A12A3">
            <w:pPr>
              <w:jc w:val="center"/>
            </w:pPr>
            <w:r w:rsidRPr="00763640">
              <w:t>9.1 b)</w:t>
            </w:r>
          </w:p>
        </w:tc>
        <w:tc>
          <w:tcPr>
            <w:tcW w:w="926" w:type="dxa"/>
            <w:vAlign w:val="center"/>
          </w:tcPr>
          <w:p w14:paraId="178D06F9" w14:textId="77777777" w:rsidR="004412F1" w:rsidRPr="00763640" w:rsidRDefault="005A12A3">
            <w:pPr>
              <w:jc w:val="center"/>
            </w:pPr>
            <w:r w:rsidRPr="00763640">
              <w:t>1.0</w:t>
            </w:r>
          </w:p>
        </w:tc>
        <w:tc>
          <w:tcPr>
            <w:tcW w:w="4111" w:type="dxa"/>
            <w:vAlign w:val="center"/>
          </w:tcPr>
          <w:p w14:paraId="18514F88" w14:textId="77777777" w:rsidR="004412F1" w:rsidRPr="00763640" w:rsidRDefault="005A12A3">
            <w:pPr>
              <w:jc w:val="both"/>
              <w:rPr>
                <w:lang w:val="es-PE"/>
              </w:rPr>
            </w:pPr>
            <w:r w:rsidRPr="00763640">
              <w:rPr>
                <w:lang w:val="es-PE"/>
              </w:rPr>
              <w:t>Atraso en la puesta en servicio de las unidades de peaje nuevas</w:t>
            </w:r>
          </w:p>
        </w:tc>
        <w:tc>
          <w:tcPr>
            <w:tcW w:w="2409" w:type="dxa"/>
            <w:vAlign w:val="center"/>
          </w:tcPr>
          <w:p w14:paraId="0264DC6B" w14:textId="77777777" w:rsidR="004412F1" w:rsidRPr="00763640" w:rsidRDefault="005A12A3">
            <w:pPr>
              <w:jc w:val="both"/>
              <w:rPr>
                <w:lang w:val="es-PE"/>
              </w:rPr>
            </w:pPr>
            <w:r w:rsidRPr="00763640">
              <w:rPr>
                <w:lang w:val="es-PE"/>
              </w:rPr>
              <w:t>Cada Día de atraso (por cada unidad de peaje nueva)</w:t>
            </w:r>
          </w:p>
        </w:tc>
      </w:tr>
      <w:tr w:rsidR="004412F1" w:rsidRPr="00763640" w14:paraId="6B3605E2" w14:textId="77777777">
        <w:trPr>
          <w:trHeight w:val="522"/>
        </w:trPr>
        <w:tc>
          <w:tcPr>
            <w:tcW w:w="1484" w:type="dxa"/>
            <w:vAlign w:val="center"/>
          </w:tcPr>
          <w:p w14:paraId="3182AD5D" w14:textId="77777777" w:rsidR="004412F1" w:rsidRPr="00763640" w:rsidRDefault="005A12A3">
            <w:pPr>
              <w:jc w:val="center"/>
              <w:rPr>
                <w:lang w:val="es-PE"/>
              </w:rPr>
            </w:pPr>
            <w:r w:rsidRPr="00763640">
              <w:rPr>
                <w:lang w:val="es-MX"/>
              </w:rPr>
              <w:t xml:space="preserve">7.11 de la Sección 3 </w:t>
            </w:r>
            <w:r w:rsidRPr="00763640">
              <w:rPr>
                <w:lang w:val="es-PE"/>
              </w:rPr>
              <w:t>del ANEXO I</w:t>
            </w:r>
          </w:p>
        </w:tc>
        <w:tc>
          <w:tcPr>
            <w:tcW w:w="926" w:type="dxa"/>
            <w:vAlign w:val="center"/>
          </w:tcPr>
          <w:p w14:paraId="7D41A192" w14:textId="77777777" w:rsidR="004412F1" w:rsidRPr="00763640" w:rsidRDefault="005A12A3">
            <w:pPr>
              <w:jc w:val="center"/>
            </w:pPr>
            <w:r w:rsidRPr="00763640">
              <w:t>1.60</w:t>
            </w:r>
          </w:p>
        </w:tc>
        <w:tc>
          <w:tcPr>
            <w:tcW w:w="4111" w:type="dxa"/>
            <w:vAlign w:val="center"/>
          </w:tcPr>
          <w:p w14:paraId="59E0679B" w14:textId="77777777" w:rsidR="004412F1" w:rsidRPr="00763640" w:rsidRDefault="005A12A3">
            <w:pPr>
              <w:rPr>
                <w:lang w:val="es-PE"/>
              </w:rPr>
            </w:pPr>
            <w:r w:rsidRPr="00763640">
              <w:rPr>
                <w:lang w:val="es-PE"/>
              </w:rPr>
              <w:t>Medición de congestión aislada de un TEC superior a 5 (cinco) minutos.</w:t>
            </w:r>
          </w:p>
        </w:tc>
        <w:tc>
          <w:tcPr>
            <w:tcW w:w="2409" w:type="dxa"/>
            <w:vAlign w:val="center"/>
          </w:tcPr>
          <w:p w14:paraId="10F39208" w14:textId="77777777" w:rsidR="004412F1" w:rsidRPr="00763640" w:rsidRDefault="005A12A3">
            <w:pPr>
              <w:jc w:val="both"/>
              <w:rPr>
                <w:lang w:val="es-PE"/>
              </w:rPr>
            </w:pPr>
            <w:r w:rsidRPr="00763640">
              <w:rPr>
                <w:lang w:val="es-PE"/>
              </w:rPr>
              <w:t>Por Notificación de detección de parámetro de condición insuficiente, emitida por el Regulador</w:t>
            </w:r>
          </w:p>
        </w:tc>
      </w:tr>
      <w:tr w:rsidR="004412F1" w:rsidRPr="00763640" w14:paraId="2D60CA29" w14:textId="77777777">
        <w:trPr>
          <w:trHeight w:val="522"/>
        </w:trPr>
        <w:tc>
          <w:tcPr>
            <w:tcW w:w="1484" w:type="dxa"/>
            <w:vAlign w:val="center"/>
          </w:tcPr>
          <w:p w14:paraId="128CAC29" w14:textId="77777777" w:rsidR="004412F1" w:rsidRPr="00763640" w:rsidRDefault="005A12A3">
            <w:pPr>
              <w:jc w:val="center"/>
              <w:rPr>
                <w:lang w:val="es-PE"/>
              </w:rPr>
            </w:pPr>
            <w:r w:rsidRPr="00763640">
              <w:rPr>
                <w:lang w:val="es-MX"/>
              </w:rPr>
              <w:t xml:space="preserve">7.13 de la Sección 3 </w:t>
            </w:r>
            <w:r w:rsidRPr="00763640">
              <w:rPr>
                <w:lang w:val="es-PE"/>
              </w:rPr>
              <w:t>del ANEXO I</w:t>
            </w:r>
          </w:p>
        </w:tc>
        <w:tc>
          <w:tcPr>
            <w:tcW w:w="926" w:type="dxa"/>
            <w:vAlign w:val="center"/>
          </w:tcPr>
          <w:p w14:paraId="39B55A84" w14:textId="77777777" w:rsidR="004412F1" w:rsidRPr="00763640" w:rsidRDefault="005A12A3">
            <w:pPr>
              <w:jc w:val="center"/>
            </w:pPr>
            <w:r w:rsidRPr="00763640">
              <w:t>3.20</w:t>
            </w:r>
          </w:p>
        </w:tc>
        <w:tc>
          <w:tcPr>
            <w:tcW w:w="4111" w:type="dxa"/>
          </w:tcPr>
          <w:p w14:paraId="7D5E4793" w14:textId="77777777" w:rsidR="004412F1" w:rsidRPr="00763640" w:rsidRDefault="005A12A3">
            <w:pPr>
              <w:jc w:val="both"/>
              <w:rPr>
                <w:lang w:val="es-PE"/>
              </w:rPr>
            </w:pPr>
            <w:r w:rsidRPr="00763640">
              <w:rPr>
                <w:lang w:val="es-PE"/>
              </w:rPr>
              <w:t>Por incumplimiento en la modificación del Sistema de Atención o de la Construcción o instalación de nuevos carriles en los plazos otorgados</w:t>
            </w:r>
          </w:p>
        </w:tc>
        <w:tc>
          <w:tcPr>
            <w:tcW w:w="2409" w:type="dxa"/>
            <w:vAlign w:val="center"/>
          </w:tcPr>
          <w:p w14:paraId="24ECD980" w14:textId="77777777" w:rsidR="004412F1" w:rsidRPr="00763640" w:rsidRDefault="005A12A3">
            <w:pPr>
              <w:rPr>
                <w:lang w:val="es-PE"/>
              </w:rPr>
            </w:pPr>
            <w:r w:rsidRPr="00763640">
              <w:rPr>
                <w:lang w:val="es-PE"/>
              </w:rPr>
              <w:t>Por cada Notificación de incumplimiento</w:t>
            </w:r>
          </w:p>
        </w:tc>
      </w:tr>
    </w:tbl>
    <w:p w14:paraId="75384562" w14:textId="77777777" w:rsidR="004412F1" w:rsidRPr="00763640" w:rsidRDefault="004412F1">
      <w:pPr>
        <w:pStyle w:val="Textosinformato"/>
        <w:jc w:val="both"/>
        <w:rPr>
          <w:rFonts w:ascii="Arial" w:hAnsi="Arial"/>
          <w:b/>
          <w:bCs w:val="0"/>
          <w:sz w:val="12"/>
          <w:szCs w:val="22"/>
          <w:lang w:val="es-CL"/>
        </w:rPr>
      </w:pPr>
    </w:p>
    <w:p w14:paraId="0ACAAD2D" w14:textId="77777777" w:rsidR="004412F1" w:rsidRPr="00763640" w:rsidRDefault="005A12A3">
      <w:pPr>
        <w:rPr>
          <w:b/>
          <w:bCs/>
          <w:lang w:val="es-PE"/>
        </w:rPr>
      </w:pPr>
      <w:r w:rsidRPr="00763640">
        <w:rPr>
          <w:b/>
          <w:lang w:val="es-PE"/>
        </w:rPr>
        <w:t>Tabla Nº 6</w:t>
      </w:r>
    </w:p>
    <w:p w14:paraId="1C625278" w14:textId="77777777" w:rsidR="004412F1" w:rsidRPr="00763640" w:rsidRDefault="005A12A3">
      <w:pPr>
        <w:pStyle w:val="Pelota"/>
        <w:rPr>
          <w:rFonts w:ascii="Arial" w:hAnsi="Arial"/>
          <w:lang w:val="es-ES"/>
        </w:rPr>
      </w:pPr>
      <w:r w:rsidRPr="00763640">
        <w:rPr>
          <w:rFonts w:ascii="Arial" w:hAnsi="Arial"/>
          <w:lang w:val="es-ES"/>
        </w:rPr>
        <w:t>Penalidades referidas al CAPÍTULO XII del Contrato: Régimen de Seguros y Responsabilidad del Concesionario</w:t>
      </w:r>
    </w:p>
    <w:p w14:paraId="03028523" w14:textId="77777777" w:rsidR="004412F1" w:rsidRPr="00763640" w:rsidRDefault="004412F1">
      <w:pPr>
        <w:pStyle w:val="Pelota"/>
        <w:rPr>
          <w:szCs w:val="22"/>
          <w:lang w:val="es-ES"/>
        </w:rPr>
      </w:pPr>
    </w:p>
    <w:tbl>
      <w:tblPr>
        <w:tblW w:w="90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993"/>
        <w:gridCol w:w="4394"/>
        <w:gridCol w:w="2059"/>
      </w:tblGrid>
      <w:tr w:rsidR="004412F1" w:rsidRPr="00763640" w14:paraId="1A8C530B" w14:textId="77777777">
        <w:trPr>
          <w:trHeight w:val="413"/>
        </w:trPr>
        <w:tc>
          <w:tcPr>
            <w:tcW w:w="1559" w:type="dxa"/>
          </w:tcPr>
          <w:p w14:paraId="12BA4464" w14:textId="77777777" w:rsidR="004412F1" w:rsidRPr="00763640" w:rsidRDefault="005A12A3">
            <w:pPr>
              <w:rPr>
                <w:b/>
              </w:rPr>
            </w:pPr>
            <w:r w:rsidRPr="00763640">
              <w:rPr>
                <w:b/>
              </w:rPr>
              <w:t>Cláusula Contrato</w:t>
            </w:r>
          </w:p>
        </w:tc>
        <w:tc>
          <w:tcPr>
            <w:tcW w:w="993" w:type="dxa"/>
          </w:tcPr>
          <w:p w14:paraId="0EDE7E69" w14:textId="77777777" w:rsidR="004412F1" w:rsidRPr="00763640" w:rsidRDefault="005A12A3">
            <w:pPr>
              <w:jc w:val="center"/>
              <w:rPr>
                <w:b/>
              </w:rPr>
            </w:pPr>
            <w:r w:rsidRPr="00763640">
              <w:rPr>
                <w:b/>
              </w:rPr>
              <w:t>UIT</w:t>
            </w:r>
          </w:p>
        </w:tc>
        <w:tc>
          <w:tcPr>
            <w:tcW w:w="4394" w:type="dxa"/>
            <w:vAlign w:val="center"/>
          </w:tcPr>
          <w:p w14:paraId="08A4309B" w14:textId="77777777" w:rsidR="004412F1" w:rsidRPr="00763640" w:rsidRDefault="005A12A3">
            <w:pPr>
              <w:jc w:val="center"/>
              <w:rPr>
                <w:b/>
              </w:rPr>
            </w:pPr>
            <w:r w:rsidRPr="00763640">
              <w:rPr>
                <w:b/>
              </w:rPr>
              <w:t>Descripción de penalidad</w:t>
            </w:r>
          </w:p>
        </w:tc>
        <w:tc>
          <w:tcPr>
            <w:tcW w:w="2059" w:type="dxa"/>
            <w:vAlign w:val="center"/>
          </w:tcPr>
          <w:p w14:paraId="1DE94F1A" w14:textId="77777777" w:rsidR="004412F1" w:rsidRPr="00763640" w:rsidRDefault="005A12A3">
            <w:pPr>
              <w:jc w:val="center"/>
              <w:rPr>
                <w:b/>
              </w:rPr>
            </w:pPr>
            <w:r w:rsidRPr="00763640">
              <w:rPr>
                <w:b/>
              </w:rPr>
              <w:t>Criterio de Aplicación</w:t>
            </w:r>
          </w:p>
        </w:tc>
      </w:tr>
      <w:tr w:rsidR="004412F1" w:rsidRPr="00763640" w14:paraId="5D5D4278" w14:textId="77777777">
        <w:trPr>
          <w:trHeight w:val="841"/>
        </w:trPr>
        <w:tc>
          <w:tcPr>
            <w:tcW w:w="1559" w:type="dxa"/>
            <w:vAlign w:val="center"/>
          </w:tcPr>
          <w:p w14:paraId="145A8220" w14:textId="68E237DF" w:rsidR="004412F1" w:rsidRPr="00763640" w:rsidRDefault="005A12A3">
            <w:pPr>
              <w:jc w:val="center"/>
              <w:rPr>
                <w:rFonts w:eastAsia="SimSun"/>
                <w:lang w:val="es-ES" w:eastAsia="zh-CN"/>
              </w:rPr>
            </w:pPr>
            <w:r w:rsidRPr="00763640">
              <w:t>12.</w:t>
            </w:r>
            <w:r w:rsidR="009334FE" w:rsidRPr="00763640">
              <w:rPr>
                <w:lang w:val="es-ES"/>
              </w:rPr>
              <w:t>4</w:t>
            </w:r>
          </w:p>
        </w:tc>
        <w:tc>
          <w:tcPr>
            <w:tcW w:w="993" w:type="dxa"/>
            <w:vAlign w:val="center"/>
          </w:tcPr>
          <w:p w14:paraId="6F3EB0C8" w14:textId="77777777" w:rsidR="004412F1" w:rsidRPr="00763640" w:rsidRDefault="005A12A3">
            <w:pPr>
              <w:jc w:val="center"/>
            </w:pPr>
            <w:r w:rsidRPr="00763640">
              <w:t>3.20</w:t>
            </w:r>
          </w:p>
        </w:tc>
        <w:tc>
          <w:tcPr>
            <w:tcW w:w="4394" w:type="dxa"/>
          </w:tcPr>
          <w:p w14:paraId="5310DA79" w14:textId="77777777" w:rsidR="004412F1" w:rsidRPr="00763640" w:rsidRDefault="005A12A3">
            <w:pPr>
              <w:jc w:val="both"/>
              <w:rPr>
                <w:lang w:val="es-PE"/>
              </w:rPr>
            </w:pPr>
            <w:r w:rsidRPr="00763640">
              <w:rPr>
                <w:lang w:val="es-PE"/>
              </w:rPr>
              <w:t>Incumplimiento de la obligación de presentar las pólizas de seguro referidas en el CAPÍTULO XII del Contrato.</w:t>
            </w:r>
          </w:p>
        </w:tc>
        <w:tc>
          <w:tcPr>
            <w:tcW w:w="2059" w:type="dxa"/>
            <w:vAlign w:val="center"/>
          </w:tcPr>
          <w:p w14:paraId="489A2A80" w14:textId="77777777" w:rsidR="004412F1" w:rsidRPr="00763640" w:rsidRDefault="005A12A3">
            <w:r w:rsidRPr="00763640">
              <w:t>Cada Día de atraso</w:t>
            </w:r>
          </w:p>
        </w:tc>
      </w:tr>
      <w:tr w:rsidR="004412F1" w:rsidRPr="00763640" w14:paraId="3B851A3E" w14:textId="77777777">
        <w:trPr>
          <w:trHeight w:val="841"/>
        </w:trPr>
        <w:tc>
          <w:tcPr>
            <w:tcW w:w="1559" w:type="dxa"/>
            <w:vAlign w:val="center"/>
          </w:tcPr>
          <w:p w14:paraId="5DCBEADB" w14:textId="77777777" w:rsidR="004412F1" w:rsidRPr="00763640" w:rsidRDefault="005A12A3">
            <w:pPr>
              <w:jc w:val="center"/>
            </w:pPr>
            <w:r w:rsidRPr="00763640">
              <w:t>12.</w:t>
            </w:r>
            <w:r w:rsidRPr="00763640">
              <w:rPr>
                <w:lang w:val="es-ES"/>
              </w:rPr>
              <w:t>12</w:t>
            </w:r>
          </w:p>
        </w:tc>
        <w:tc>
          <w:tcPr>
            <w:tcW w:w="993" w:type="dxa"/>
            <w:vAlign w:val="center"/>
          </w:tcPr>
          <w:p w14:paraId="72FDB7A9" w14:textId="77777777" w:rsidR="004412F1" w:rsidRPr="00763640" w:rsidRDefault="005A12A3">
            <w:pPr>
              <w:jc w:val="center"/>
            </w:pPr>
            <w:r w:rsidRPr="00763640">
              <w:t>0.80</w:t>
            </w:r>
          </w:p>
        </w:tc>
        <w:tc>
          <w:tcPr>
            <w:tcW w:w="4394" w:type="dxa"/>
          </w:tcPr>
          <w:p w14:paraId="0A7BC203" w14:textId="77777777" w:rsidR="004412F1" w:rsidRPr="00763640" w:rsidRDefault="005A12A3">
            <w:pPr>
              <w:jc w:val="both"/>
              <w:rPr>
                <w:bCs/>
                <w:lang w:val="es-PE"/>
              </w:rPr>
            </w:pPr>
            <w:r w:rsidRPr="00763640">
              <w:rPr>
                <w:lang w:val="es-PE"/>
              </w:rPr>
              <w:t xml:space="preserve">Incumplimiento de la obligación de contratar y/o renovar las pólizas de seguro referidas a la responsabilidad civil, a los bienes en Construcción, a los bienes en operación y de riesgos laborales </w:t>
            </w:r>
            <w:proofErr w:type="gramStart"/>
            <w:r w:rsidRPr="00763640">
              <w:rPr>
                <w:lang w:val="es-PE"/>
              </w:rPr>
              <w:t>de acuerdo a</w:t>
            </w:r>
            <w:proofErr w:type="gramEnd"/>
            <w:r w:rsidRPr="00763640">
              <w:rPr>
                <w:lang w:val="es-PE"/>
              </w:rPr>
              <w:t xml:space="preserve"> lo indicado en el CAPÍTULO XII del Contrato.</w:t>
            </w:r>
          </w:p>
        </w:tc>
        <w:tc>
          <w:tcPr>
            <w:tcW w:w="2059" w:type="dxa"/>
            <w:vAlign w:val="center"/>
          </w:tcPr>
          <w:p w14:paraId="48CEAB0E" w14:textId="77777777" w:rsidR="004412F1" w:rsidRPr="00763640" w:rsidRDefault="005A12A3">
            <w:r w:rsidRPr="00763640">
              <w:t>Cada vez</w:t>
            </w:r>
          </w:p>
        </w:tc>
      </w:tr>
    </w:tbl>
    <w:p w14:paraId="7C4C9469" w14:textId="77777777" w:rsidR="004412F1" w:rsidRPr="00763640" w:rsidRDefault="004412F1">
      <w:pPr>
        <w:rPr>
          <w:b/>
          <w:bCs/>
        </w:rPr>
      </w:pPr>
      <w:bookmarkStart w:id="2872" w:name="_Ref274045326"/>
      <w:bookmarkStart w:id="2873" w:name="_Ref274045255"/>
      <w:bookmarkStart w:id="2874" w:name="_Ref274045294"/>
      <w:bookmarkStart w:id="2875" w:name="_Ref274045372"/>
    </w:p>
    <w:p w14:paraId="20E682D2" w14:textId="77777777" w:rsidR="004412F1" w:rsidRPr="00763640" w:rsidRDefault="005A12A3">
      <w:pPr>
        <w:rPr>
          <w:b/>
          <w:bCs/>
        </w:rPr>
      </w:pPr>
      <w:r w:rsidRPr="00763640">
        <w:rPr>
          <w:b/>
        </w:rPr>
        <w:t>Tabla Nº 7</w:t>
      </w:r>
      <w:bookmarkEnd w:id="2872"/>
      <w:bookmarkEnd w:id="2873"/>
      <w:bookmarkEnd w:id="2874"/>
      <w:bookmarkEnd w:id="2875"/>
    </w:p>
    <w:p w14:paraId="463583BC" w14:textId="77777777" w:rsidR="004412F1" w:rsidRPr="00763640" w:rsidRDefault="005A12A3">
      <w:pPr>
        <w:pStyle w:val="Textosinformato"/>
        <w:jc w:val="both"/>
        <w:rPr>
          <w:rFonts w:ascii="Arial" w:hAnsi="Arial"/>
          <w:szCs w:val="22"/>
          <w:lang w:val="es-MX"/>
        </w:rPr>
      </w:pPr>
      <w:r w:rsidRPr="00763640">
        <w:rPr>
          <w:rFonts w:ascii="Arial" w:hAnsi="Arial"/>
          <w:szCs w:val="22"/>
          <w:lang w:val="es-MX"/>
        </w:rPr>
        <w:t>Penalidades referidas al CAPÍTULO XIII del Contrato: Consideraciones Socio Ambientales; durante la ejecución de las Intervenciones y Explotación de la Concesión</w:t>
      </w:r>
    </w:p>
    <w:p w14:paraId="0E0BAE26" w14:textId="77777777" w:rsidR="004412F1" w:rsidRPr="00763640" w:rsidRDefault="004412F1">
      <w:pPr>
        <w:rPr>
          <w:lang w:val="es-CL"/>
        </w:rPr>
      </w:pPr>
    </w:p>
    <w:tbl>
      <w:tblPr>
        <w:tblW w:w="8710" w:type="dxa"/>
        <w:tblInd w:w="-5" w:type="dxa"/>
        <w:tblLayout w:type="fixed"/>
        <w:tblCellMar>
          <w:left w:w="70" w:type="dxa"/>
          <w:right w:w="70" w:type="dxa"/>
        </w:tblCellMar>
        <w:tblLook w:val="04A0" w:firstRow="1" w:lastRow="0" w:firstColumn="1" w:lastColumn="0" w:noHBand="0" w:noVBand="1"/>
      </w:tblPr>
      <w:tblGrid>
        <w:gridCol w:w="1134"/>
        <w:gridCol w:w="936"/>
        <w:gridCol w:w="5244"/>
        <w:gridCol w:w="1396"/>
      </w:tblGrid>
      <w:tr w:rsidR="004412F1" w:rsidRPr="00763640" w14:paraId="253733BA" w14:textId="77777777" w:rsidTr="0001465B">
        <w:trPr>
          <w:tblHeader/>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71249C07" w14:textId="77777777" w:rsidR="004412F1" w:rsidRPr="00763640" w:rsidRDefault="005A12A3">
            <w:pPr>
              <w:tabs>
                <w:tab w:val="left" w:pos="-720"/>
              </w:tabs>
              <w:suppressAutoHyphens/>
              <w:jc w:val="center"/>
              <w:rPr>
                <w:b/>
                <w:spacing w:val="-2"/>
                <w:lang w:val="es-CL"/>
              </w:rPr>
            </w:pPr>
            <w:r w:rsidRPr="00763640">
              <w:rPr>
                <w:b/>
                <w:spacing w:val="-2"/>
                <w:lang w:val="es-CL"/>
              </w:rPr>
              <w:t>Cláusula Contrato</w:t>
            </w: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482A989" w14:textId="77777777" w:rsidR="004412F1" w:rsidRPr="00763640" w:rsidRDefault="005A12A3">
            <w:pPr>
              <w:tabs>
                <w:tab w:val="left" w:pos="-720"/>
              </w:tabs>
              <w:suppressAutoHyphens/>
              <w:jc w:val="center"/>
              <w:rPr>
                <w:b/>
                <w:spacing w:val="-2"/>
                <w:lang w:val="es-CL"/>
              </w:rPr>
            </w:pPr>
            <w:r w:rsidRPr="00763640">
              <w:rPr>
                <w:b/>
                <w:spacing w:val="-2"/>
                <w:lang w:val="es-CL"/>
              </w:rPr>
              <w:t>UIT</w:t>
            </w:r>
          </w:p>
        </w:tc>
        <w:tc>
          <w:tcPr>
            <w:tcW w:w="5244" w:type="dxa"/>
            <w:tcBorders>
              <w:top w:val="single" w:sz="4" w:space="0" w:color="auto"/>
              <w:left w:val="single" w:sz="4" w:space="0" w:color="auto"/>
              <w:bottom w:val="single" w:sz="4" w:space="0" w:color="auto"/>
              <w:right w:val="single" w:sz="4" w:space="0" w:color="auto"/>
            </w:tcBorders>
            <w:shd w:val="clear" w:color="auto" w:fill="FFFFFF"/>
          </w:tcPr>
          <w:p w14:paraId="43AEC350" w14:textId="77777777" w:rsidR="004412F1" w:rsidRPr="00763640" w:rsidRDefault="005A12A3">
            <w:pPr>
              <w:tabs>
                <w:tab w:val="left" w:pos="-720"/>
              </w:tabs>
              <w:suppressAutoHyphens/>
              <w:jc w:val="center"/>
              <w:rPr>
                <w:b/>
                <w:spacing w:val="-2"/>
                <w:lang w:val="es-CL"/>
              </w:rPr>
            </w:pPr>
            <w:r w:rsidRPr="00763640">
              <w:rPr>
                <w:b/>
                <w:spacing w:val="-2"/>
                <w:lang w:val="es-CL"/>
              </w:rPr>
              <w:t>Descripción de Penalidad</w:t>
            </w:r>
          </w:p>
        </w:tc>
        <w:tc>
          <w:tcPr>
            <w:tcW w:w="1396" w:type="dxa"/>
            <w:tcBorders>
              <w:top w:val="single" w:sz="4" w:space="0" w:color="auto"/>
              <w:left w:val="single" w:sz="4" w:space="0" w:color="auto"/>
              <w:bottom w:val="single" w:sz="4" w:space="0" w:color="auto"/>
              <w:right w:val="single" w:sz="4" w:space="0" w:color="auto"/>
            </w:tcBorders>
            <w:shd w:val="clear" w:color="auto" w:fill="FFFFFF"/>
          </w:tcPr>
          <w:p w14:paraId="2287A609" w14:textId="77777777" w:rsidR="004412F1" w:rsidRPr="00763640" w:rsidRDefault="005A12A3">
            <w:pPr>
              <w:tabs>
                <w:tab w:val="left" w:pos="-720"/>
              </w:tabs>
              <w:suppressAutoHyphens/>
              <w:jc w:val="center"/>
              <w:rPr>
                <w:b/>
                <w:spacing w:val="-2"/>
                <w:lang w:val="es-CL"/>
              </w:rPr>
            </w:pPr>
            <w:r w:rsidRPr="00763640">
              <w:rPr>
                <w:b/>
                <w:spacing w:val="-2"/>
                <w:lang w:val="es-CL"/>
              </w:rPr>
              <w:t>Criterio de</w:t>
            </w:r>
          </w:p>
          <w:p w14:paraId="48F9762B" w14:textId="77777777" w:rsidR="004412F1" w:rsidRPr="00763640" w:rsidRDefault="005A12A3">
            <w:pPr>
              <w:tabs>
                <w:tab w:val="left" w:pos="-720"/>
              </w:tabs>
              <w:suppressAutoHyphens/>
              <w:jc w:val="center"/>
              <w:rPr>
                <w:b/>
                <w:spacing w:val="-2"/>
                <w:lang w:val="es-CL"/>
              </w:rPr>
            </w:pPr>
            <w:r w:rsidRPr="00763640">
              <w:rPr>
                <w:b/>
                <w:spacing w:val="-2"/>
                <w:lang w:val="es-CL"/>
              </w:rPr>
              <w:t>Aplicación</w:t>
            </w:r>
          </w:p>
        </w:tc>
      </w:tr>
      <w:tr w:rsidR="004412F1" w:rsidRPr="00763640" w14:paraId="36CDCD6E"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51C833D2" w14:textId="77777777" w:rsidR="004412F1" w:rsidRPr="00763640" w:rsidRDefault="005A12A3">
            <w:pPr>
              <w:shd w:val="solid" w:color="FFFFFF" w:fill="auto"/>
              <w:jc w:val="center"/>
              <w:rPr>
                <w:lang w:val="es-ES"/>
              </w:rPr>
            </w:pPr>
            <w:r w:rsidRPr="00763640">
              <w:rPr>
                <w:lang w:val="es-ES"/>
              </w:rPr>
              <w:t>13.8, 13.</w:t>
            </w:r>
            <w:r w:rsidRPr="00763640">
              <w:t>9</w:t>
            </w:r>
          </w:p>
        </w:tc>
        <w:tc>
          <w:tcPr>
            <w:tcW w:w="936" w:type="dxa"/>
            <w:tcBorders>
              <w:top w:val="single" w:sz="4" w:space="0" w:color="auto"/>
              <w:left w:val="single" w:sz="4" w:space="0" w:color="auto"/>
              <w:bottom w:val="single" w:sz="4" w:space="0" w:color="auto"/>
              <w:right w:val="single" w:sz="4" w:space="0" w:color="auto"/>
            </w:tcBorders>
            <w:vAlign w:val="center"/>
          </w:tcPr>
          <w:p w14:paraId="0878E38C" w14:textId="77777777" w:rsidR="004412F1" w:rsidRPr="00763640" w:rsidRDefault="005A12A3">
            <w:pPr>
              <w:tabs>
                <w:tab w:val="left" w:pos="-720"/>
              </w:tabs>
              <w:suppressAutoHyphens/>
              <w:jc w:val="center"/>
              <w:rPr>
                <w:spacing w:val="-2"/>
                <w:lang w:val="es-CL"/>
              </w:rPr>
            </w:pPr>
            <w:r w:rsidRPr="00763640">
              <w:rPr>
                <w:lang w:val="es-CL"/>
              </w:rPr>
              <w:t>4.00</w:t>
            </w:r>
          </w:p>
        </w:tc>
        <w:tc>
          <w:tcPr>
            <w:tcW w:w="5244" w:type="dxa"/>
            <w:tcBorders>
              <w:top w:val="single" w:sz="4" w:space="0" w:color="auto"/>
              <w:left w:val="single" w:sz="4" w:space="0" w:color="auto"/>
              <w:bottom w:val="single" w:sz="4" w:space="0" w:color="auto"/>
              <w:right w:val="single" w:sz="4" w:space="0" w:color="auto"/>
            </w:tcBorders>
          </w:tcPr>
          <w:p w14:paraId="20BE26B0" w14:textId="77777777" w:rsidR="004412F1" w:rsidRPr="00763640" w:rsidRDefault="005A12A3">
            <w:pPr>
              <w:tabs>
                <w:tab w:val="left" w:pos="-720"/>
              </w:tabs>
              <w:suppressAutoHyphens/>
              <w:jc w:val="both"/>
              <w:rPr>
                <w:spacing w:val="-2"/>
                <w:lang w:val="es-CL"/>
              </w:rPr>
            </w:pPr>
            <w:r w:rsidRPr="00763640">
              <w:rPr>
                <w:spacing w:val="-2"/>
                <w:lang w:val="es-CL"/>
              </w:rPr>
              <w:t>Incumplimiento de los procedimientos y acciones contenidas en el Instrumento de Gestión Ambiental.</w:t>
            </w:r>
          </w:p>
        </w:tc>
        <w:tc>
          <w:tcPr>
            <w:tcW w:w="1396" w:type="dxa"/>
            <w:tcBorders>
              <w:top w:val="single" w:sz="4" w:space="0" w:color="auto"/>
              <w:left w:val="single" w:sz="4" w:space="0" w:color="auto"/>
              <w:bottom w:val="single" w:sz="4" w:space="0" w:color="auto"/>
              <w:right w:val="single" w:sz="4" w:space="0" w:color="auto"/>
            </w:tcBorders>
            <w:vAlign w:val="center"/>
          </w:tcPr>
          <w:p w14:paraId="39DEE396" w14:textId="77777777" w:rsidR="004412F1" w:rsidRPr="00763640" w:rsidRDefault="005A12A3">
            <w:pPr>
              <w:shd w:val="solid" w:color="FFFFFF" w:fill="auto"/>
              <w:spacing w:after="120"/>
              <w:rPr>
                <w:lang w:val="es-CL"/>
              </w:rPr>
            </w:pPr>
            <w:r w:rsidRPr="00763640">
              <w:rPr>
                <w:lang w:val="es-CL"/>
              </w:rPr>
              <w:t>Cada vez</w:t>
            </w:r>
          </w:p>
        </w:tc>
      </w:tr>
      <w:tr w:rsidR="004412F1" w:rsidRPr="00763640" w14:paraId="0B4D32E0"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104EC9EF" w14:textId="77777777" w:rsidR="004412F1" w:rsidRPr="00763640" w:rsidRDefault="005A12A3">
            <w:pPr>
              <w:tabs>
                <w:tab w:val="left" w:pos="-720"/>
              </w:tabs>
              <w:suppressAutoHyphens/>
              <w:jc w:val="center"/>
              <w:rPr>
                <w:spacing w:val="-2"/>
                <w:lang w:val="es-ES"/>
              </w:rPr>
            </w:pPr>
            <w:r w:rsidRPr="00763640">
              <w:t>13.1</w:t>
            </w:r>
            <w:r w:rsidRPr="00763640">
              <w:rPr>
                <w:lang w:val="es-ES"/>
              </w:rPr>
              <w:t>4</w:t>
            </w:r>
          </w:p>
        </w:tc>
        <w:tc>
          <w:tcPr>
            <w:tcW w:w="936" w:type="dxa"/>
            <w:tcBorders>
              <w:top w:val="single" w:sz="4" w:space="0" w:color="auto"/>
              <w:left w:val="single" w:sz="4" w:space="0" w:color="auto"/>
              <w:bottom w:val="single" w:sz="4" w:space="0" w:color="auto"/>
              <w:right w:val="single" w:sz="4" w:space="0" w:color="auto"/>
            </w:tcBorders>
          </w:tcPr>
          <w:p w14:paraId="39A5888D" w14:textId="77777777" w:rsidR="004412F1" w:rsidRPr="00763640" w:rsidRDefault="004412F1">
            <w:pPr>
              <w:tabs>
                <w:tab w:val="left" w:pos="-720"/>
              </w:tabs>
              <w:suppressAutoHyphens/>
              <w:jc w:val="center"/>
              <w:rPr>
                <w:lang w:val="es-CL"/>
              </w:rPr>
            </w:pPr>
          </w:p>
          <w:p w14:paraId="1E7461F1" w14:textId="77777777" w:rsidR="004412F1" w:rsidRPr="00763640" w:rsidRDefault="004412F1">
            <w:pPr>
              <w:tabs>
                <w:tab w:val="left" w:pos="-720"/>
              </w:tabs>
              <w:suppressAutoHyphens/>
              <w:jc w:val="center"/>
              <w:rPr>
                <w:lang w:val="es-CL"/>
              </w:rPr>
            </w:pPr>
          </w:p>
          <w:p w14:paraId="71DE106C" w14:textId="77777777" w:rsidR="004412F1" w:rsidRPr="00763640" w:rsidRDefault="005A12A3">
            <w:pPr>
              <w:tabs>
                <w:tab w:val="left" w:pos="-720"/>
              </w:tabs>
              <w:suppressAutoHyphens/>
              <w:jc w:val="center"/>
              <w:rPr>
                <w:spacing w:val="-2"/>
                <w:lang w:val="es-CL"/>
              </w:rPr>
            </w:pPr>
            <w:r w:rsidRPr="00763640">
              <w:rPr>
                <w:lang w:val="es-CL"/>
              </w:rPr>
              <w:t>0.80</w:t>
            </w:r>
          </w:p>
        </w:tc>
        <w:tc>
          <w:tcPr>
            <w:tcW w:w="5244" w:type="dxa"/>
            <w:tcBorders>
              <w:top w:val="single" w:sz="4" w:space="0" w:color="auto"/>
              <w:left w:val="single" w:sz="4" w:space="0" w:color="auto"/>
              <w:bottom w:val="single" w:sz="4" w:space="0" w:color="auto"/>
              <w:right w:val="single" w:sz="4" w:space="0" w:color="auto"/>
            </w:tcBorders>
          </w:tcPr>
          <w:p w14:paraId="6F28F013" w14:textId="77777777" w:rsidR="004412F1" w:rsidRPr="00763640" w:rsidRDefault="005A12A3">
            <w:pPr>
              <w:tabs>
                <w:tab w:val="left" w:pos="-720"/>
              </w:tabs>
              <w:suppressAutoHyphens/>
              <w:jc w:val="both"/>
              <w:rPr>
                <w:bCs/>
                <w:spacing w:val="-2"/>
                <w:lang w:val="es-CL"/>
              </w:rPr>
            </w:pPr>
            <w:r w:rsidRPr="00763640">
              <w:rPr>
                <w:spacing w:val="-2"/>
                <w:lang w:val="es-CL"/>
              </w:rPr>
              <w:t>Atraso en el cumplimiento de las medidas de mitigación, compensación y seguimiento, señaladas en las Especificaciones Socio Ambientales durante la ejecución de la Rehabilitación y Mejoramiento, Mantenimiento Periódico Inicial y/o Explotación de la Concesión, según corresponda.</w:t>
            </w:r>
          </w:p>
        </w:tc>
        <w:tc>
          <w:tcPr>
            <w:tcW w:w="1396" w:type="dxa"/>
            <w:tcBorders>
              <w:top w:val="single" w:sz="4" w:space="0" w:color="auto"/>
              <w:left w:val="single" w:sz="4" w:space="0" w:color="auto"/>
              <w:bottom w:val="single" w:sz="4" w:space="0" w:color="auto"/>
              <w:right w:val="single" w:sz="4" w:space="0" w:color="auto"/>
            </w:tcBorders>
          </w:tcPr>
          <w:p w14:paraId="108EF806" w14:textId="77777777" w:rsidR="004412F1" w:rsidRPr="00763640" w:rsidRDefault="004412F1">
            <w:pPr>
              <w:shd w:val="solid" w:color="FFFFFF" w:fill="auto"/>
              <w:spacing w:after="120"/>
              <w:rPr>
                <w:lang w:val="es-CL"/>
              </w:rPr>
            </w:pPr>
          </w:p>
          <w:p w14:paraId="57CDC00A" w14:textId="77777777" w:rsidR="004412F1" w:rsidRPr="00763640" w:rsidRDefault="005A12A3">
            <w:pPr>
              <w:shd w:val="solid" w:color="FFFFFF" w:fill="auto"/>
              <w:spacing w:after="120"/>
              <w:rPr>
                <w:lang w:val="es-CL"/>
              </w:rPr>
            </w:pPr>
            <w:r w:rsidRPr="00763640">
              <w:rPr>
                <w:lang w:val="es-CL"/>
              </w:rPr>
              <w:t>Cada Día</w:t>
            </w:r>
          </w:p>
        </w:tc>
      </w:tr>
      <w:tr w:rsidR="004412F1" w:rsidRPr="00763640" w14:paraId="5B19FF4E"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2BA57CCA" w14:textId="77777777" w:rsidR="004412F1" w:rsidRPr="00763640" w:rsidRDefault="005A12A3">
            <w:pPr>
              <w:tabs>
                <w:tab w:val="left" w:pos="-720"/>
              </w:tabs>
              <w:suppressAutoHyphens/>
              <w:jc w:val="center"/>
              <w:rPr>
                <w:spacing w:val="-2"/>
                <w:lang w:val="es-ES"/>
              </w:rPr>
            </w:pPr>
            <w:r w:rsidRPr="00763640">
              <w:t>13.</w:t>
            </w:r>
            <w:r w:rsidRPr="00763640">
              <w:rPr>
                <w:lang w:val="es-ES"/>
              </w:rPr>
              <w:t>15</w:t>
            </w:r>
          </w:p>
        </w:tc>
        <w:tc>
          <w:tcPr>
            <w:tcW w:w="936" w:type="dxa"/>
            <w:tcBorders>
              <w:top w:val="single" w:sz="4" w:space="0" w:color="auto"/>
              <w:left w:val="single" w:sz="4" w:space="0" w:color="auto"/>
              <w:bottom w:val="single" w:sz="4" w:space="0" w:color="auto"/>
              <w:right w:val="single" w:sz="4" w:space="0" w:color="auto"/>
            </w:tcBorders>
            <w:vAlign w:val="center"/>
          </w:tcPr>
          <w:p w14:paraId="06B11AD1" w14:textId="77777777" w:rsidR="004412F1" w:rsidRPr="00763640" w:rsidRDefault="005A12A3">
            <w:pPr>
              <w:tabs>
                <w:tab w:val="left" w:pos="-720"/>
              </w:tabs>
              <w:suppressAutoHyphens/>
              <w:jc w:val="center"/>
              <w:rPr>
                <w:spacing w:val="-2"/>
                <w:lang w:val="es-CL"/>
              </w:rPr>
            </w:pPr>
            <w:r w:rsidRPr="00763640">
              <w:rPr>
                <w:lang w:val="es-CL"/>
              </w:rPr>
              <w:t>0.40</w:t>
            </w:r>
          </w:p>
        </w:tc>
        <w:tc>
          <w:tcPr>
            <w:tcW w:w="5244" w:type="dxa"/>
            <w:tcBorders>
              <w:top w:val="single" w:sz="4" w:space="0" w:color="auto"/>
              <w:left w:val="single" w:sz="4" w:space="0" w:color="auto"/>
              <w:bottom w:val="single" w:sz="4" w:space="0" w:color="auto"/>
              <w:right w:val="single" w:sz="4" w:space="0" w:color="auto"/>
            </w:tcBorders>
          </w:tcPr>
          <w:p w14:paraId="535E77B3" w14:textId="77777777" w:rsidR="004412F1" w:rsidRPr="00763640" w:rsidRDefault="005A12A3">
            <w:pPr>
              <w:shd w:val="solid" w:color="FFFFFF" w:fill="auto"/>
              <w:jc w:val="both"/>
              <w:rPr>
                <w:lang w:val="es-CL"/>
              </w:rPr>
            </w:pPr>
            <w:r w:rsidRPr="00763640">
              <w:rPr>
                <w:lang w:val="es-CL"/>
              </w:rPr>
              <w:t>Incumplimiento del plazo de entrega del Plan de Prevención de Riesgos para estas etapas.</w:t>
            </w:r>
          </w:p>
        </w:tc>
        <w:tc>
          <w:tcPr>
            <w:tcW w:w="1396" w:type="dxa"/>
            <w:tcBorders>
              <w:top w:val="single" w:sz="4" w:space="0" w:color="auto"/>
              <w:left w:val="single" w:sz="4" w:space="0" w:color="auto"/>
              <w:bottom w:val="single" w:sz="4" w:space="0" w:color="auto"/>
              <w:right w:val="single" w:sz="4" w:space="0" w:color="auto"/>
            </w:tcBorders>
            <w:vAlign w:val="center"/>
          </w:tcPr>
          <w:p w14:paraId="6A22FB92" w14:textId="77777777" w:rsidR="004412F1" w:rsidRPr="00763640" w:rsidRDefault="005A12A3">
            <w:pPr>
              <w:shd w:val="solid" w:color="FFFFFF" w:fill="auto"/>
              <w:rPr>
                <w:lang w:val="es-CL"/>
              </w:rPr>
            </w:pPr>
            <w:r w:rsidRPr="00763640">
              <w:rPr>
                <w:lang w:val="es-CL"/>
              </w:rPr>
              <w:t>Cada Día</w:t>
            </w:r>
          </w:p>
        </w:tc>
      </w:tr>
      <w:tr w:rsidR="004412F1" w:rsidRPr="00763640" w14:paraId="2AA24F40"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0F64496D" w14:textId="77777777" w:rsidR="004412F1" w:rsidRPr="00763640" w:rsidRDefault="005A12A3">
            <w:pPr>
              <w:tabs>
                <w:tab w:val="left" w:pos="-720"/>
              </w:tabs>
              <w:suppressAutoHyphens/>
              <w:jc w:val="center"/>
              <w:rPr>
                <w:spacing w:val="-2"/>
                <w:lang w:val="es-ES"/>
              </w:rPr>
            </w:pPr>
            <w:r w:rsidRPr="00763640">
              <w:t>13.1</w:t>
            </w:r>
            <w:r w:rsidRPr="00763640">
              <w:rPr>
                <w:lang w:val="es-ES"/>
              </w:rPr>
              <w:t>7</w:t>
            </w:r>
          </w:p>
        </w:tc>
        <w:tc>
          <w:tcPr>
            <w:tcW w:w="936" w:type="dxa"/>
            <w:tcBorders>
              <w:top w:val="single" w:sz="4" w:space="0" w:color="auto"/>
              <w:left w:val="single" w:sz="4" w:space="0" w:color="auto"/>
              <w:bottom w:val="single" w:sz="4" w:space="0" w:color="auto"/>
              <w:right w:val="single" w:sz="4" w:space="0" w:color="auto"/>
            </w:tcBorders>
          </w:tcPr>
          <w:p w14:paraId="15619844" w14:textId="77777777" w:rsidR="004412F1" w:rsidRPr="00763640" w:rsidRDefault="004412F1">
            <w:pPr>
              <w:tabs>
                <w:tab w:val="left" w:pos="-720"/>
              </w:tabs>
              <w:suppressAutoHyphens/>
              <w:jc w:val="center"/>
              <w:rPr>
                <w:lang w:val="es-CL"/>
              </w:rPr>
            </w:pPr>
          </w:p>
          <w:p w14:paraId="5C1B2EFC" w14:textId="77777777" w:rsidR="004412F1" w:rsidRPr="00763640" w:rsidRDefault="004412F1">
            <w:pPr>
              <w:tabs>
                <w:tab w:val="left" w:pos="-720"/>
              </w:tabs>
              <w:suppressAutoHyphens/>
              <w:jc w:val="center"/>
              <w:rPr>
                <w:lang w:val="es-CL"/>
              </w:rPr>
            </w:pPr>
          </w:p>
          <w:p w14:paraId="19E661ED" w14:textId="77777777" w:rsidR="004412F1" w:rsidRPr="00763640" w:rsidRDefault="005A12A3">
            <w:pPr>
              <w:shd w:val="solid" w:color="FFFFFF" w:fill="auto"/>
              <w:jc w:val="center"/>
              <w:rPr>
                <w:lang w:val="es-CL"/>
              </w:rPr>
            </w:pPr>
            <w:r w:rsidRPr="00763640">
              <w:rPr>
                <w:lang w:val="es-CL"/>
              </w:rPr>
              <w:t>0.80</w:t>
            </w:r>
          </w:p>
        </w:tc>
        <w:tc>
          <w:tcPr>
            <w:tcW w:w="5244" w:type="dxa"/>
            <w:tcBorders>
              <w:top w:val="single" w:sz="4" w:space="0" w:color="auto"/>
              <w:left w:val="single" w:sz="4" w:space="0" w:color="auto"/>
              <w:bottom w:val="single" w:sz="4" w:space="0" w:color="auto"/>
              <w:right w:val="single" w:sz="4" w:space="0" w:color="auto"/>
            </w:tcBorders>
          </w:tcPr>
          <w:p w14:paraId="3647758C" w14:textId="77777777" w:rsidR="004412F1" w:rsidRPr="00763640" w:rsidRDefault="005A12A3">
            <w:pPr>
              <w:shd w:val="solid" w:color="FFFFFF" w:fill="auto"/>
              <w:jc w:val="both"/>
              <w:rPr>
                <w:lang w:val="es-CL"/>
              </w:rPr>
            </w:pPr>
            <w:r w:rsidRPr="00763640">
              <w:rPr>
                <w:lang w:val="es-CL"/>
              </w:rPr>
              <w:t>Atraso en el cumplimiento de las instrucciones impartidas por el REGULADOR, según corresponda, sobre normas y consideraciones ambientales, establecidas en las Especificaciones Socio Ambientales asociadas a estas etapas.</w:t>
            </w:r>
          </w:p>
        </w:tc>
        <w:tc>
          <w:tcPr>
            <w:tcW w:w="1396" w:type="dxa"/>
            <w:tcBorders>
              <w:top w:val="single" w:sz="4" w:space="0" w:color="auto"/>
              <w:left w:val="single" w:sz="4" w:space="0" w:color="auto"/>
              <w:bottom w:val="single" w:sz="4" w:space="0" w:color="auto"/>
              <w:right w:val="single" w:sz="4" w:space="0" w:color="auto"/>
            </w:tcBorders>
          </w:tcPr>
          <w:p w14:paraId="6E755B64" w14:textId="77777777" w:rsidR="004412F1" w:rsidRPr="00763640" w:rsidRDefault="004412F1">
            <w:pPr>
              <w:shd w:val="solid" w:color="FFFFFF" w:fill="auto"/>
              <w:rPr>
                <w:lang w:val="es-CL"/>
              </w:rPr>
            </w:pPr>
          </w:p>
          <w:p w14:paraId="273FFBDF" w14:textId="77777777" w:rsidR="004412F1" w:rsidRPr="00763640" w:rsidRDefault="004412F1">
            <w:pPr>
              <w:shd w:val="solid" w:color="FFFFFF" w:fill="auto"/>
              <w:rPr>
                <w:lang w:val="es-CL"/>
              </w:rPr>
            </w:pPr>
          </w:p>
          <w:p w14:paraId="5CAE6D41" w14:textId="77777777" w:rsidR="004412F1" w:rsidRPr="00763640" w:rsidRDefault="005A12A3">
            <w:pPr>
              <w:shd w:val="solid" w:color="FFFFFF" w:fill="auto"/>
              <w:rPr>
                <w:lang w:val="es-CL"/>
              </w:rPr>
            </w:pPr>
            <w:r w:rsidRPr="00763640">
              <w:rPr>
                <w:lang w:val="es-CL"/>
              </w:rPr>
              <w:t>Cada Día</w:t>
            </w:r>
          </w:p>
        </w:tc>
      </w:tr>
      <w:tr w:rsidR="004412F1" w:rsidRPr="00763640" w14:paraId="67096D4D"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2FC70EA9" w14:textId="77777777" w:rsidR="004412F1" w:rsidRPr="00763640" w:rsidRDefault="005A12A3">
            <w:pPr>
              <w:tabs>
                <w:tab w:val="left" w:pos="-720"/>
              </w:tabs>
              <w:suppressAutoHyphens/>
              <w:jc w:val="center"/>
              <w:rPr>
                <w:spacing w:val="-2"/>
                <w:lang w:val="es-ES"/>
              </w:rPr>
            </w:pPr>
            <w:r w:rsidRPr="00763640">
              <w:rPr>
                <w:spacing w:val="-2"/>
                <w:lang w:val="es-ES"/>
              </w:rPr>
              <w:t>13.20</w:t>
            </w:r>
          </w:p>
        </w:tc>
        <w:tc>
          <w:tcPr>
            <w:tcW w:w="936" w:type="dxa"/>
            <w:tcBorders>
              <w:top w:val="single" w:sz="4" w:space="0" w:color="auto"/>
              <w:left w:val="single" w:sz="4" w:space="0" w:color="auto"/>
              <w:bottom w:val="single" w:sz="4" w:space="0" w:color="auto"/>
              <w:right w:val="single" w:sz="4" w:space="0" w:color="auto"/>
            </w:tcBorders>
            <w:vAlign w:val="center"/>
          </w:tcPr>
          <w:p w14:paraId="028A3D05" w14:textId="77777777" w:rsidR="004412F1" w:rsidRPr="00763640" w:rsidRDefault="005A12A3">
            <w:pPr>
              <w:shd w:val="solid" w:color="FFFFFF" w:fill="auto"/>
              <w:jc w:val="center"/>
              <w:rPr>
                <w:lang w:val="es-CL"/>
              </w:rPr>
            </w:pPr>
            <w:r w:rsidRPr="00763640">
              <w:rPr>
                <w:lang w:val="es-CL"/>
              </w:rPr>
              <w:t>0.40</w:t>
            </w:r>
          </w:p>
        </w:tc>
        <w:tc>
          <w:tcPr>
            <w:tcW w:w="5244" w:type="dxa"/>
            <w:tcBorders>
              <w:top w:val="single" w:sz="4" w:space="0" w:color="auto"/>
              <w:left w:val="single" w:sz="4" w:space="0" w:color="auto"/>
              <w:bottom w:val="single" w:sz="4" w:space="0" w:color="auto"/>
              <w:right w:val="single" w:sz="4" w:space="0" w:color="auto"/>
            </w:tcBorders>
          </w:tcPr>
          <w:p w14:paraId="0C539135" w14:textId="5188716F" w:rsidR="004412F1" w:rsidRPr="00763640" w:rsidRDefault="005A12A3">
            <w:pPr>
              <w:shd w:val="solid" w:color="FFFFFF" w:fill="auto"/>
              <w:jc w:val="both"/>
              <w:rPr>
                <w:lang w:val="es-CL"/>
              </w:rPr>
            </w:pPr>
            <w:r w:rsidRPr="00763640">
              <w:rPr>
                <w:lang w:val="es-CL"/>
              </w:rPr>
              <w:t>Atr</w:t>
            </w:r>
            <w:r w:rsidR="001644BA" w:rsidRPr="00763640">
              <w:rPr>
                <w:lang w:val="es-CL"/>
              </w:rPr>
              <w:t>a</w:t>
            </w:r>
            <w:r w:rsidRPr="00763640">
              <w:rPr>
                <w:lang w:val="es-CL"/>
              </w:rPr>
              <w:t>s</w:t>
            </w:r>
            <w:r w:rsidR="001644BA" w:rsidRPr="00763640">
              <w:rPr>
                <w:lang w:val="es-CL"/>
              </w:rPr>
              <w:t>o</w:t>
            </w:r>
            <w:r w:rsidRPr="00763640">
              <w:rPr>
                <w:lang w:val="es-CL"/>
              </w:rPr>
              <w:t xml:space="preserve"> en el cumplimiento </w:t>
            </w:r>
            <w:r w:rsidRPr="00763640">
              <w:rPr>
                <w:lang w:val="es-PE"/>
              </w:rPr>
              <w:t xml:space="preserve">de las obligaciones de carácter ambiental previstas en </w:t>
            </w:r>
            <w:r w:rsidRPr="00763640">
              <w:rPr>
                <w:lang w:val="es-ES"/>
              </w:rPr>
              <w:t xml:space="preserve">el Capitulo XIII </w:t>
            </w:r>
            <w:r w:rsidRPr="00763640">
              <w:rPr>
                <w:lang w:val="es-PE"/>
              </w:rPr>
              <w:t>de este Contrato, distintas de aquellas que emanan de la legislación ambiental</w:t>
            </w:r>
          </w:p>
        </w:tc>
        <w:tc>
          <w:tcPr>
            <w:tcW w:w="1396" w:type="dxa"/>
            <w:tcBorders>
              <w:top w:val="single" w:sz="4" w:space="0" w:color="auto"/>
              <w:left w:val="single" w:sz="4" w:space="0" w:color="auto"/>
              <w:bottom w:val="single" w:sz="4" w:space="0" w:color="auto"/>
              <w:right w:val="single" w:sz="4" w:space="0" w:color="auto"/>
            </w:tcBorders>
          </w:tcPr>
          <w:p w14:paraId="7CF64E0F" w14:textId="77777777" w:rsidR="004412F1" w:rsidRPr="00763640" w:rsidRDefault="004412F1">
            <w:pPr>
              <w:shd w:val="solid" w:color="FFFFFF" w:fill="auto"/>
              <w:rPr>
                <w:lang w:val="es-CL"/>
              </w:rPr>
            </w:pPr>
          </w:p>
          <w:p w14:paraId="101D81F0" w14:textId="77777777" w:rsidR="004412F1" w:rsidRPr="00763640" w:rsidRDefault="004412F1">
            <w:pPr>
              <w:shd w:val="solid" w:color="FFFFFF" w:fill="auto"/>
              <w:rPr>
                <w:lang w:val="es-CL"/>
              </w:rPr>
            </w:pPr>
          </w:p>
          <w:p w14:paraId="570E9F7D" w14:textId="77777777" w:rsidR="004412F1" w:rsidRPr="00763640" w:rsidRDefault="005A12A3">
            <w:pPr>
              <w:shd w:val="solid" w:color="FFFFFF" w:fill="auto"/>
              <w:rPr>
                <w:lang w:val="es-CL"/>
              </w:rPr>
            </w:pPr>
            <w:r w:rsidRPr="00763640">
              <w:rPr>
                <w:lang w:val="es-CL"/>
              </w:rPr>
              <w:t>Cada Día</w:t>
            </w:r>
          </w:p>
        </w:tc>
      </w:tr>
      <w:tr w:rsidR="004412F1" w:rsidRPr="00763640" w14:paraId="2E1DECC0" w14:textId="77777777" w:rsidTr="0001465B">
        <w:tc>
          <w:tcPr>
            <w:tcW w:w="1134" w:type="dxa"/>
            <w:tcBorders>
              <w:top w:val="single" w:sz="4" w:space="0" w:color="auto"/>
              <w:left w:val="single" w:sz="4" w:space="0" w:color="auto"/>
              <w:bottom w:val="single" w:sz="4" w:space="0" w:color="auto"/>
              <w:right w:val="single" w:sz="4" w:space="0" w:color="auto"/>
            </w:tcBorders>
            <w:vAlign w:val="center"/>
          </w:tcPr>
          <w:p w14:paraId="6FB31C94" w14:textId="77777777" w:rsidR="004412F1" w:rsidRPr="00763640" w:rsidRDefault="005A12A3">
            <w:pPr>
              <w:tabs>
                <w:tab w:val="left" w:pos="-720"/>
              </w:tabs>
              <w:suppressAutoHyphens/>
              <w:jc w:val="center"/>
              <w:rPr>
                <w:bCs/>
              </w:rPr>
            </w:pPr>
            <w:r w:rsidRPr="00763640">
              <w:t>13.</w:t>
            </w:r>
            <w:r w:rsidRPr="00763640">
              <w:rPr>
                <w:lang w:val="es-ES"/>
              </w:rPr>
              <w:t>22</w:t>
            </w:r>
            <w:r w:rsidRPr="00763640">
              <w:t xml:space="preserve"> al  13.2</w:t>
            </w:r>
            <w:r w:rsidRPr="00763640">
              <w:rPr>
                <w:lang w:val="es-ES"/>
              </w:rPr>
              <w:t>6</w:t>
            </w:r>
            <w:r w:rsidRPr="00763640">
              <w:t xml:space="preserve"> </w:t>
            </w:r>
          </w:p>
        </w:tc>
        <w:tc>
          <w:tcPr>
            <w:tcW w:w="936" w:type="dxa"/>
            <w:tcBorders>
              <w:top w:val="single" w:sz="4" w:space="0" w:color="auto"/>
              <w:left w:val="single" w:sz="4" w:space="0" w:color="auto"/>
              <w:bottom w:val="single" w:sz="4" w:space="0" w:color="auto"/>
              <w:right w:val="single" w:sz="4" w:space="0" w:color="auto"/>
            </w:tcBorders>
            <w:vAlign w:val="center"/>
          </w:tcPr>
          <w:p w14:paraId="455C5266" w14:textId="77777777" w:rsidR="004412F1" w:rsidRPr="00763640" w:rsidRDefault="005A12A3">
            <w:pPr>
              <w:shd w:val="solid" w:color="FFFFFF" w:fill="auto"/>
              <w:jc w:val="center"/>
              <w:rPr>
                <w:lang w:val="es-CL"/>
              </w:rPr>
            </w:pPr>
            <w:r w:rsidRPr="00763640">
              <w:rPr>
                <w:lang w:val="es-CL"/>
              </w:rPr>
              <w:t>0.40</w:t>
            </w:r>
          </w:p>
        </w:tc>
        <w:tc>
          <w:tcPr>
            <w:tcW w:w="5244" w:type="dxa"/>
            <w:tcBorders>
              <w:top w:val="single" w:sz="4" w:space="0" w:color="auto"/>
              <w:left w:val="single" w:sz="4" w:space="0" w:color="auto"/>
              <w:bottom w:val="single" w:sz="4" w:space="0" w:color="auto"/>
              <w:right w:val="single" w:sz="4" w:space="0" w:color="auto"/>
            </w:tcBorders>
          </w:tcPr>
          <w:p w14:paraId="01D1FDFB" w14:textId="77777777" w:rsidR="004412F1" w:rsidRPr="00763640" w:rsidRDefault="005A12A3">
            <w:pPr>
              <w:tabs>
                <w:tab w:val="left" w:pos="-720"/>
              </w:tabs>
              <w:suppressAutoHyphens/>
              <w:rPr>
                <w:bCs/>
                <w:lang w:val="es-CL"/>
              </w:rPr>
            </w:pPr>
            <w:r w:rsidRPr="00763640">
              <w:rPr>
                <w:lang w:val="es-MX"/>
              </w:rPr>
              <w:t>Incumplimiento</w:t>
            </w:r>
            <w:r w:rsidRPr="00763640">
              <w:rPr>
                <w:lang w:val="es-CL"/>
              </w:rPr>
              <w:t xml:space="preserve"> de plazos de entrega de informes</w:t>
            </w:r>
          </w:p>
        </w:tc>
        <w:tc>
          <w:tcPr>
            <w:tcW w:w="1396" w:type="dxa"/>
            <w:tcBorders>
              <w:top w:val="single" w:sz="4" w:space="0" w:color="auto"/>
              <w:left w:val="single" w:sz="4" w:space="0" w:color="auto"/>
              <w:bottom w:val="single" w:sz="4" w:space="0" w:color="auto"/>
              <w:right w:val="single" w:sz="4" w:space="0" w:color="auto"/>
            </w:tcBorders>
            <w:vAlign w:val="center"/>
          </w:tcPr>
          <w:p w14:paraId="70094160" w14:textId="77777777" w:rsidR="004412F1" w:rsidRPr="00763640" w:rsidRDefault="005A12A3">
            <w:pPr>
              <w:shd w:val="solid" w:color="FFFFFF" w:fill="auto"/>
              <w:rPr>
                <w:lang w:val="es-CL"/>
              </w:rPr>
            </w:pPr>
            <w:r w:rsidRPr="00763640">
              <w:rPr>
                <w:lang w:val="es-CL"/>
              </w:rPr>
              <w:t>Cada Día</w:t>
            </w:r>
          </w:p>
        </w:tc>
      </w:tr>
    </w:tbl>
    <w:p w14:paraId="4D10494E" w14:textId="77777777" w:rsidR="004412F1" w:rsidRPr="00763640" w:rsidRDefault="004412F1">
      <w:pPr>
        <w:pStyle w:val="Textosinformato"/>
        <w:jc w:val="both"/>
        <w:rPr>
          <w:rFonts w:ascii="Arial" w:hAnsi="Arial"/>
          <w:b/>
          <w:bCs w:val="0"/>
          <w:szCs w:val="22"/>
          <w:lang w:val="es-MX"/>
        </w:rPr>
      </w:pPr>
    </w:p>
    <w:p w14:paraId="04D92116" w14:textId="77777777" w:rsidR="004412F1" w:rsidRPr="00763640" w:rsidRDefault="005A12A3">
      <w:pPr>
        <w:rPr>
          <w:b/>
          <w:bCs/>
        </w:rPr>
      </w:pPr>
      <w:r w:rsidRPr="00763640">
        <w:rPr>
          <w:b/>
        </w:rPr>
        <w:t>Tabla Nº 8</w:t>
      </w:r>
    </w:p>
    <w:p w14:paraId="18D7041D" w14:textId="77777777" w:rsidR="004412F1" w:rsidRPr="00763640" w:rsidRDefault="005A12A3">
      <w:pPr>
        <w:pStyle w:val="Textosinformato"/>
        <w:jc w:val="both"/>
        <w:rPr>
          <w:rFonts w:ascii="Arial" w:hAnsi="Arial"/>
          <w:szCs w:val="22"/>
          <w:lang w:val="es-MX"/>
        </w:rPr>
      </w:pPr>
      <w:r w:rsidRPr="00763640">
        <w:rPr>
          <w:rFonts w:ascii="Arial" w:hAnsi="Arial"/>
          <w:szCs w:val="22"/>
          <w:lang w:val="es-MX"/>
        </w:rPr>
        <w:t>Penalidades referidas al ANEXO XI: Fideicomiso de Administración</w:t>
      </w:r>
    </w:p>
    <w:p w14:paraId="0BC58C14" w14:textId="77777777" w:rsidR="004412F1" w:rsidRPr="00763640" w:rsidRDefault="004412F1">
      <w:pPr>
        <w:pStyle w:val="Textosinformato"/>
        <w:jc w:val="both"/>
        <w:rPr>
          <w:rFonts w:ascii="Arial" w:hAnsi="Arial"/>
          <w:szCs w:val="22"/>
          <w:lang w:val="es-MX"/>
        </w:rPr>
      </w:pPr>
    </w:p>
    <w:tbl>
      <w:tblPr>
        <w:tblW w:w="9177" w:type="dxa"/>
        <w:tblInd w:w="-147" w:type="dxa"/>
        <w:tblLayout w:type="fixed"/>
        <w:tblCellMar>
          <w:left w:w="70" w:type="dxa"/>
          <w:right w:w="70" w:type="dxa"/>
        </w:tblCellMar>
        <w:tblLook w:val="04A0" w:firstRow="1" w:lastRow="0" w:firstColumn="1" w:lastColumn="0" w:noHBand="0" w:noVBand="1"/>
      </w:tblPr>
      <w:tblGrid>
        <w:gridCol w:w="1560"/>
        <w:gridCol w:w="1351"/>
        <w:gridCol w:w="4961"/>
        <w:gridCol w:w="1305"/>
      </w:tblGrid>
      <w:tr w:rsidR="004412F1" w:rsidRPr="00763640" w14:paraId="17BAD169" w14:textId="77777777">
        <w:trPr>
          <w:tblHeader/>
        </w:trPr>
        <w:tc>
          <w:tcPr>
            <w:tcW w:w="1560" w:type="dxa"/>
            <w:tcBorders>
              <w:top w:val="single" w:sz="4" w:space="0" w:color="auto"/>
              <w:left w:val="single" w:sz="4" w:space="0" w:color="auto"/>
              <w:bottom w:val="single" w:sz="4" w:space="0" w:color="auto"/>
              <w:right w:val="single" w:sz="4" w:space="0" w:color="auto"/>
            </w:tcBorders>
            <w:shd w:val="clear" w:color="auto" w:fill="FFFFFF"/>
          </w:tcPr>
          <w:p w14:paraId="349B8FF1" w14:textId="77777777" w:rsidR="004412F1" w:rsidRPr="00763640" w:rsidRDefault="005A12A3">
            <w:pPr>
              <w:tabs>
                <w:tab w:val="left" w:pos="0"/>
              </w:tabs>
              <w:suppressAutoHyphens/>
              <w:jc w:val="center"/>
              <w:rPr>
                <w:b/>
                <w:spacing w:val="-2"/>
                <w:lang w:val="es-CL"/>
              </w:rPr>
            </w:pPr>
            <w:r w:rsidRPr="00763640">
              <w:rPr>
                <w:b/>
                <w:spacing w:val="-2"/>
                <w:lang w:val="es-CL"/>
              </w:rPr>
              <w:t>Cláusula Contrato</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14:paraId="4EEDDEA0" w14:textId="77777777" w:rsidR="004412F1" w:rsidRPr="00763640" w:rsidRDefault="005A12A3">
            <w:pPr>
              <w:tabs>
                <w:tab w:val="left" w:pos="-720"/>
              </w:tabs>
              <w:suppressAutoHyphens/>
              <w:ind w:left="-720" w:firstLine="720"/>
              <w:jc w:val="center"/>
              <w:rPr>
                <w:b/>
                <w:spacing w:val="-2"/>
                <w:lang w:val="es-CL"/>
              </w:rPr>
            </w:pPr>
            <w:r w:rsidRPr="00763640">
              <w:rPr>
                <w:b/>
                <w:spacing w:val="-2"/>
                <w:lang w:val="es-CL"/>
              </w:rPr>
              <w:t>UIT</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1682844F" w14:textId="77777777" w:rsidR="004412F1" w:rsidRPr="00763640" w:rsidRDefault="005A12A3">
            <w:pPr>
              <w:tabs>
                <w:tab w:val="left" w:pos="-720"/>
              </w:tabs>
              <w:suppressAutoHyphens/>
              <w:jc w:val="center"/>
              <w:rPr>
                <w:b/>
                <w:spacing w:val="-2"/>
                <w:lang w:val="es-CL"/>
              </w:rPr>
            </w:pPr>
            <w:r w:rsidRPr="00763640">
              <w:rPr>
                <w:b/>
                <w:spacing w:val="-2"/>
                <w:lang w:val="es-CL"/>
              </w:rPr>
              <w:t>Descripción de Penalidad</w:t>
            </w:r>
          </w:p>
        </w:tc>
        <w:tc>
          <w:tcPr>
            <w:tcW w:w="1305" w:type="dxa"/>
            <w:tcBorders>
              <w:top w:val="single" w:sz="4" w:space="0" w:color="auto"/>
              <w:left w:val="single" w:sz="4" w:space="0" w:color="auto"/>
              <w:bottom w:val="single" w:sz="4" w:space="0" w:color="auto"/>
              <w:right w:val="single" w:sz="4" w:space="0" w:color="auto"/>
            </w:tcBorders>
            <w:shd w:val="clear" w:color="auto" w:fill="FFFFFF"/>
          </w:tcPr>
          <w:p w14:paraId="281A788F" w14:textId="77777777" w:rsidR="004412F1" w:rsidRPr="00763640" w:rsidRDefault="005A12A3">
            <w:pPr>
              <w:tabs>
                <w:tab w:val="left" w:pos="-720"/>
              </w:tabs>
              <w:suppressAutoHyphens/>
              <w:jc w:val="center"/>
              <w:rPr>
                <w:b/>
                <w:spacing w:val="-2"/>
                <w:lang w:val="es-CL"/>
              </w:rPr>
            </w:pPr>
            <w:r w:rsidRPr="00763640">
              <w:rPr>
                <w:b/>
                <w:spacing w:val="-2"/>
                <w:lang w:val="es-CL"/>
              </w:rPr>
              <w:t>Criterio de</w:t>
            </w:r>
          </w:p>
          <w:p w14:paraId="1A8FBFB9" w14:textId="77777777" w:rsidR="004412F1" w:rsidRPr="00763640" w:rsidRDefault="005A12A3">
            <w:pPr>
              <w:tabs>
                <w:tab w:val="left" w:pos="-720"/>
              </w:tabs>
              <w:suppressAutoHyphens/>
              <w:jc w:val="center"/>
              <w:rPr>
                <w:b/>
                <w:spacing w:val="-2"/>
                <w:lang w:val="es-CL"/>
              </w:rPr>
            </w:pPr>
            <w:r w:rsidRPr="00763640">
              <w:rPr>
                <w:b/>
                <w:spacing w:val="-2"/>
                <w:lang w:val="es-CL"/>
              </w:rPr>
              <w:t>Aplicación</w:t>
            </w:r>
          </w:p>
        </w:tc>
      </w:tr>
      <w:tr w:rsidR="004412F1" w:rsidRPr="00763640" w14:paraId="1EF4C104" w14:textId="77777777">
        <w:trPr>
          <w:trHeight w:val="607"/>
        </w:trPr>
        <w:tc>
          <w:tcPr>
            <w:tcW w:w="1560" w:type="dxa"/>
            <w:tcBorders>
              <w:top w:val="single" w:sz="4" w:space="0" w:color="auto"/>
              <w:left w:val="single" w:sz="4" w:space="0" w:color="auto"/>
              <w:bottom w:val="single" w:sz="4" w:space="0" w:color="auto"/>
              <w:right w:val="single" w:sz="4" w:space="0" w:color="auto"/>
            </w:tcBorders>
            <w:vAlign w:val="center"/>
          </w:tcPr>
          <w:p w14:paraId="75005B45" w14:textId="77777777" w:rsidR="004412F1" w:rsidRPr="00763640" w:rsidRDefault="005A12A3">
            <w:pPr>
              <w:tabs>
                <w:tab w:val="left" w:pos="-720"/>
              </w:tabs>
              <w:suppressAutoHyphens/>
              <w:jc w:val="center"/>
              <w:rPr>
                <w:spacing w:val="-2"/>
                <w:lang w:val="es-CL"/>
              </w:rPr>
            </w:pPr>
            <w:r w:rsidRPr="00763640">
              <w:rPr>
                <w:spacing w:val="-2"/>
                <w:lang w:val="es-CL"/>
              </w:rPr>
              <w:t>Apéndice 1 del Anexo XI</w:t>
            </w:r>
          </w:p>
        </w:tc>
        <w:tc>
          <w:tcPr>
            <w:tcW w:w="1351" w:type="dxa"/>
            <w:tcBorders>
              <w:top w:val="single" w:sz="4" w:space="0" w:color="auto"/>
              <w:left w:val="single" w:sz="4" w:space="0" w:color="auto"/>
              <w:bottom w:val="single" w:sz="4" w:space="0" w:color="auto"/>
              <w:right w:val="single" w:sz="4" w:space="0" w:color="auto"/>
            </w:tcBorders>
            <w:vAlign w:val="center"/>
          </w:tcPr>
          <w:p w14:paraId="29BA53C3" w14:textId="77777777" w:rsidR="004412F1" w:rsidRPr="00763640" w:rsidRDefault="005A12A3">
            <w:pPr>
              <w:tabs>
                <w:tab w:val="left" w:pos="-720"/>
              </w:tabs>
              <w:suppressAutoHyphens/>
              <w:jc w:val="center"/>
              <w:rPr>
                <w:spacing w:val="-2"/>
                <w:lang w:val="es-CL"/>
              </w:rPr>
            </w:pPr>
            <w:r w:rsidRPr="00763640">
              <w:rPr>
                <w:lang w:val="es-CL"/>
              </w:rPr>
              <w:t>4.00</w:t>
            </w:r>
          </w:p>
        </w:tc>
        <w:tc>
          <w:tcPr>
            <w:tcW w:w="4961" w:type="dxa"/>
            <w:tcBorders>
              <w:top w:val="single" w:sz="4" w:space="0" w:color="auto"/>
              <w:left w:val="single" w:sz="4" w:space="0" w:color="auto"/>
              <w:bottom w:val="single" w:sz="4" w:space="0" w:color="auto"/>
              <w:right w:val="single" w:sz="4" w:space="0" w:color="auto"/>
            </w:tcBorders>
            <w:vAlign w:val="center"/>
          </w:tcPr>
          <w:p w14:paraId="6C2C36AE" w14:textId="77777777" w:rsidR="004412F1" w:rsidRPr="00763640" w:rsidRDefault="005A12A3">
            <w:pPr>
              <w:tabs>
                <w:tab w:val="left" w:pos="-720"/>
              </w:tabs>
              <w:suppressAutoHyphens/>
              <w:rPr>
                <w:spacing w:val="-2"/>
                <w:lang w:val="es-CL"/>
              </w:rPr>
            </w:pPr>
            <w:r w:rsidRPr="00763640">
              <w:rPr>
                <w:spacing w:val="-2"/>
                <w:lang w:val="es-CL"/>
              </w:rPr>
              <w:t xml:space="preserve">Incumplimiento del CONCESIONARIO en la constitución del Fideicomiso de </w:t>
            </w:r>
            <w:r w:rsidRPr="00763640">
              <w:rPr>
                <w:lang w:val="es-MX"/>
              </w:rPr>
              <w:t>Administración</w:t>
            </w:r>
            <w:r w:rsidRPr="00763640">
              <w:rPr>
                <w:spacing w:val="-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14:paraId="773A9F0E" w14:textId="77777777" w:rsidR="004412F1" w:rsidRPr="00763640" w:rsidRDefault="005A12A3">
            <w:pPr>
              <w:shd w:val="solid" w:color="FFFFFF" w:fill="auto"/>
              <w:spacing w:after="120"/>
              <w:rPr>
                <w:lang w:val="es-CL"/>
              </w:rPr>
            </w:pPr>
            <w:r w:rsidRPr="00763640">
              <w:rPr>
                <w:lang w:val="es-CL"/>
              </w:rPr>
              <w:t>Cada D</w:t>
            </w:r>
            <w:r w:rsidRPr="00763640">
              <w:t>ía</w:t>
            </w:r>
          </w:p>
        </w:tc>
      </w:tr>
      <w:tr w:rsidR="004412F1" w:rsidRPr="00763640" w14:paraId="715AD2CE" w14:textId="77777777">
        <w:trPr>
          <w:trHeight w:val="559"/>
        </w:trPr>
        <w:tc>
          <w:tcPr>
            <w:tcW w:w="1560" w:type="dxa"/>
            <w:tcBorders>
              <w:top w:val="single" w:sz="4" w:space="0" w:color="auto"/>
              <w:left w:val="single" w:sz="4" w:space="0" w:color="auto"/>
              <w:bottom w:val="single" w:sz="4" w:space="0" w:color="auto"/>
              <w:right w:val="single" w:sz="4" w:space="0" w:color="auto"/>
            </w:tcBorders>
            <w:vAlign w:val="center"/>
          </w:tcPr>
          <w:p w14:paraId="2E9D83B5" w14:textId="77777777" w:rsidR="004412F1" w:rsidRPr="00763640" w:rsidRDefault="005A12A3">
            <w:pPr>
              <w:tabs>
                <w:tab w:val="left" w:pos="-720"/>
              </w:tabs>
              <w:suppressAutoHyphens/>
              <w:jc w:val="center"/>
              <w:rPr>
                <w:spacing w:val="-2"/>
                <w:lang w:val="es-CL"/>
              </w:rPr>
            </w:pPr>
            <w:r w:rsidRPr="00763640">
              <w:rPr>
                <w:spacing w:val="-2"/>
                <w:lang w:val="es-CL"/>
              </w:rPr>
              <w:t>Apéndice 1 del Anexo XI</w:t>
            </w:r>
          </w:p>
        </w:tc>
        <w:tc>
          <w:tcPr>
            <w:tcW w:w="1351" w:type="dxa"/>
            <w:tcBorders>
              <w:top w:val="single" w:sz="4" w:space="0" w:color="auto"/>
              <w:left w:val="single" w:sz="4" w:space="0" w:color="auto"/>
              <w:bottom w:val="single" w:sz="4" w:space="0" w:color="auto"/>
              <w:right w:val="single" w:sz="4" w:space="0" w:color="auto"/>
            </w:tcBorders>
            <w:vAlign w:val="center"/>
          </w:tcPr>
          <w:p w14:paraId="6BD274A4" w14:textId="77777777" w:rsidR="004412F1" w:rsidRPr="00763640" w:rsidRDefault="005A12A3">
            <w:pPr>
              <w:tabs>
                <w:tab w:val="left" w:pos="-720"/>
              </w:tabs>
              <w:suppressAutoHyphens/>
              <w:jc w:val="center"/>
              <w:rPr>
                <w:lang w:val="es-CL"/>
              </w:rPr>
            </w:pPr>
            <w:r w:rsidRPr="00763640">
              <w:rPr>
                <w:lang w:val="es-CL"/>
              </w:rPr>
              <w:t>2.00</w:t>
            </w:r>
          </w:p>
        </w:tc>
        <w:tc>
          <w:tcPr>
            <w:tcW w:w="4961" w:type="dxa"/>
            <w:tcBorders>
              <w:top w:val="single" w:sz="4" w:space="0" w:color="auto"/>
              <w:left w:val="single" w:sz="4" w:space="0" w:color="auto"/>
              <w:bottom w:val="single" w:sz="4" w:space="0" w:color="auto"/>
              <w:right w:val="single" w:sz="4" w:space="0" w:color="auto"/>
            </w:tcBorders>
          </w:tcPr>
          <w:p w14:paraId="03D1B922" w14:textId="77777777" w:rsidR="004412F1" w:rsidRPr="00763640" w:rsidRDefault="005A12A3">
            <w:pPr>
              <w:tabs>
                <w:tab w:val="left" w:pos="-720"/>
              </w:tabs>
              <w:suppressAutoHyphens/>
              <w:rPr>
                <w:spacing w:val="-2"/>
                <w:lang w:val="es-CL"/>
              </w:rPr>
            </w:pPr>
            <w:r w:rsidRPr="00763640">
              <w:rPr>
                <w:spacing w:val="-2"/>
                <w:lang w:val="es-CL"/>
              </w:rPr>
              <w:t xml:space="preserve">Incumplimiento del CONCESIONARIO en la no transferencia de recursos al Fideicomiso de </w:t>
            </w:r>
            <w:r w:rsidRPr="00763640">
              <w:rPr>
                <w:lang w:val="es-MX"/>
              </w:rPr>
              <w:t>Administración</w:t>
            </w:r>
            <w:r w:rsidRPr="00763640">
              <w:rPr>
                <w:spacing w:val="-2"/>
                <w:lang w:val="es-CL"/>
              </w:rPr>
              <w:t>.</w:t>
            </w:r>
          </w:p>
        </w:tc>
        <w:tc>
          <w:tcPr>
            <w:tcW w:w="1305" w:type="dxa"/>
            <w:tcBorders>
              <w:top w:val="single" w:sz="4" w:space="0" w:color="auto"/>
              <w:left w:val="single" w:sz="4" w:space="0" w:color="auto"/>
              <w:bottom w:val="single" w:sz="4" w:space="0" w:color="auto"/>
              <w:right w:val="single" w:sz="4" w:space="0" w:color="auto"/>
            </w:tcBorders>
            <w:vAlign w:val="center"/>
          </w:tcPr>
          <w:p w14:paraId="1FB80314" w14:textId="77777777" w:rsidR="004412F1" w:rsidRPr="00763640" w:rsidRDefault="005A12A3">
            <w:pPr>
              <w:shd w:val="solid" w:color="FFFFFF" w:fill="auto"/>
              <w:spacing w:after="120"/>
              <w:rPr>
                <w:lang w:val="es-CL"/>
              </w:rPr>
            </w:pPr>
            <w:r w:rsidRPr="00763640">
              <w:rPr>
                <w:lang w:val="es-CL"/>
              </w:rPr>
              <w:t>Cada D</w:t>
            </w:r>
            <w:r w:rsidRPr="00763640">
              <w:t>ía</w:t>
            </w:r>
          </w:p>
        </w:tc>
      </w:tr>
    </w:tbl>
    <w:p w14:paraId="4456200C" w14:textId="77777777" w:rsidR="004412F1" w:rsidRPr="00763640" w:rsidRDefault="004412F1">
      <w:pPr>
        <w:jc w:val="both"/>
      </w:pPr>
      <w:bookmarkStart w:id="2876" w:name="_Toc230142940"/>
    </w:p>
    <w:p w14:paraId="371845E6" w14:textId="77777777" w:rsidR="004412F1" w:rsidRPr="00763640" w:rsidRDefault="004412F1">
      <w:pPr>
        <w:jc w:val="both"/>
      </w:pPr>
    </w:p>
    <w:p w14:paraId="393E64B8" w14:textId="77777777" w:rsidR="004412F1" w:rsidRPr="00763640" w:rsidRDefault="005A12A3">
      <w:pPr>
        <w:jc w:val="both"/>
        <w:rPr>
          <w:lang w:val="es-MX"/>
        </w:rPr>
      </w:pPr>
      <w:r w:rsidRPr="00763640">
        <w:rPr>
          <w:lang w:val="es-PE"/>
        </w:rPr>
        <w:t xml:space="preserve">Nota: En los casos de incumplimientos no previstos en el presente ANEXO, resultarán de aplicación las sanciones establecidas por el REGULADOR, </w:t>
      </w:r>
      <w:proofErr w:type="gramStart"/>
      <w:r w:rsidRPr="00763640">
        <w:rPr>
          <w:lang w:val="es-PE"/>
        </w:rPr>
        <w:t>de acuerdo a</w:t>
      </w:r>
      <w:proofErr w:type="gramEnd"/>
      <w:r w:rsidRPr="00763640">
        <w:rPr>
          <w:lang w:val="es-PE"/>
        </w:rPr>
        <w:t xml:space="preserve"> sus Normas Regulatorias.</w:t>
      </w:r>
      <w:bookmarkEnd w:id="2876"/>
      <w:r w:rsidRPr="00763640">
        <w:rPr>
          <w:lang w:val="es-MX"/>
        </w:rPr>
        <w:t xml:space="preserve"> </w:t>
      </w:r>
    </w:p>
    <w:bookmarkEnd w:id="2856"/>
    <w:bookmarkEnd w:id="2857"/>
    <w:p w14:paraId="3A735A98" w14:textId="04C5887B" w:rsidR="004412F1" w:rsidRPr="00763640" w:rsidRDefault="005A12A3">
      <w:pPr>
        <w:jc w:val="both"/>
        <w:rPr>
          <w:rFonts w:eastAsia="SimSun"/>
          <w:lang w:val="es-PE" w:eastAsia="zh-CN"/>
        </w:rPr>
      </w:pPr>
      <w:r w:rsidRPr="00763640">
        <w:rPr>
          <w:lang w:val="es-PE"/>
        </w:rPr>
        <w:tab/>
      </w:r>
      <w:r w:rsidRPr="00763640">
        <w:rPr>
          <w:lang w:val="es-PE"/>
        </w:rPr>
        <w:tab/>
      </w:r>
      <w:r w:rsidRPr="00763640">
        <w:rPr>
          <w:lang w:val="es-PE"/>
        </w:rPr>
        <w:br w:type="page"/>
      </w:r>
    </w:p>
    <w:p w14:paraId="766752C1" w14:textId="77777777" w:rsidR="004412F1" w:rsidRPr="00763640" w:rsidRDefault="005A12A3">
      <w:pPr>
        <w:pStyle w:val="Ttulo1"/>
        <w:jc w:val="center"/>
        <w:rPr>
          <w:rFonts w:eastAsia="SimSun"/>
          <w:color w:val="000000"/>
          <w:lang w:eastAsia="zh-CN"/>
        </w:rPr>
      </w:pPr>
      <w:bookmarkStart w:id="2877" w:name="_ANEXO_X"/>
      <w:bookmarkStart w:id="2878" w:name="_Toc468837767"/>
      <w:bookmarkStart w:id="2879" w:name="_Toc140089476"/>
      <w:bookmarkEnd w:id="2877"/>
      <w:r w:rsidRPr="00763640">
        <w:rPr>
          <w:color w:val="000000"/>
        </w:rPr>
        <w:t>ANEXO X</w:t>
      </w:r>
      <w:bookmarkEnd w:id="2878"/>
      <w:bookmarkEnd w:id="2879"/>
    </w:p>
    <w:p w14:paraId="13398EAA" w14:textId="77777777" w:rsidR="00C240A1" w:rsidRPr="00763640" w:rsidRDefault="00C240A1" w:rsidP="00C240A1">
      <w:pPr>
        <w:rPr>
          <w:rFonts w:eastAsia="SimSun"/>
          <w:lang w:eastAsia="zh-CN"/>
        </w:rPr>
      </w:pPr>
    </w:p>
    <w:p w14:paraId="1F5E2F3E" w14:textId="77777777" w:rsidR="004412F1" w:rsidRPr="00763640" w:rsidRDefault="005A12A3" w:rsidP="00844195">
      <w:pPr>
        <w:ind w:left="567"/>
        <w:jc w:val="center"/>
        <w:outlineLvl w:val="1"/>
        <w:rPr>
          <w:b/>
          <w:lang w:val="es-PE"/>
        </w:rPr>
      </w:pPr>
      <w:bookmarkStart w:id="2880" w:name="_Toc468837768"/>
      <w:bookmarkStart w:id="2881" w:name="_Toc140089477"/>
      <w:r w:rsidRPr="00763640">
        <w:rPr>
          <w:b/>
          <w:lang w:val="es-PE"/>
        </w:rPr>
        <w:t>DE LOS ESTUDIOS</w:t>
      </w:r>
      <w:bookmarkEnd w:id="2880"/>
      <w:bookmarkEnd w:id="2881"/>
    </w:p>
    <w:p w14:paraId="150FF0C3" w14:textId="77777777" w:rsidR="00CE150B" w:rsidRPr="00763640" w:rsidRDefault="00CE150B">
      <w:pPr>
        <w:pStyle w:val="Textosinformato"/>
        <w:ind w:firstLine="360"/>
        <w:jc w:val="both"/>
        <w:rPr>
          <w:rFonts w:ascii="Arial" w:eastAsia="SimSun" w:hAnsi="Arial"/>
          <w:lang w:eastAsia="zh-CN"/>
        </w:rPr>
      </w:pPr>
    </w:p>
    <w:p w14:paraId="70867D1E" w14:textId="0E6A0A0B" w:rsidR="004412F1" w:rsidRPr="00763640" w:rsidRDefault="005A12A3">
      <w:pPr>
        <w:pStyle w:val="Textosinformato"/>
        <w:ind w:firstLine="360"/>
        <w:jc w:val="both"/>
        <w:rPr>
          <w:rFonts w:ascii="Arial" w:hAnsi="Arial"/>
          <w:i/>
          <w:iCs/>
        </w:rPr>
      </w:pPr>
      <w:r w:rsidRPr="00763640">
        <w:rPr>
          <w:rFonts w:ascii="Arial" w:hAnsi="Arial"/>
        </w:rPr>
        <w:tab/>
      </w:r>
      <w:r w:rsidRPr="00763640">
        <w:rPr>
          <w:rFonts w:ascii="Arial" w:hAnsi="Arial"/>
        </w:rPr>
        <w:tab/>
      </w:r>
      <w:r w:rsidRPr="00763640">
        <w:rPr>
          <w:rFonts w:ascii="Arial" w:hAnsi="Arial"/>
        </w:rPr>
        <w:tab/>
      </w:r>
    </w:p>
    <w:p w14:paraId="727ADCB5" w14:textId="77777777" w:rsidR="004412F1" w:rsidRPr="00763640" w:rsidRDefault="005A12A3">
      <w:pPr>
        <w:pStyle w:val="Textosinformato"/>
        <w:numPr>
          <w:ilvl w:val="0"/>
          <w:numId w:val="188"/>
        </w:numPr>
        <w:ind w:left="426" w:hanging="426"/>
        <w:jc w:val="both"/>
        <w:rPr>
          <w:rFonts w:ascii="Arial" w:hAnsi="Arial"/>
        </w:rPr>
      </w:pPr>
      <w:r w:rsidRPr="00763640">
        <w:rPr>
          <w:rFonts w:ascii="Arial" w:hAnsi="Arial"/>
          <w:b/>
          <w:bCs w:val="0"/>
          <w:u w:val="single"/>
          <w:lang w:val="es-MX"/>
        </w:rPr>
        <w:t>MANTENIMIENTO PERIÓDICO INICIAL</w:t>
      </w:r>
    </w:p>
    <w:p w14:paraId="6E7212D9" w14:textId="77777777" w:rsidR="004412F1" w:rsidRPr="00763640" w:rsidRDefault="004412F1">
      <w:pPr>
        <w:pStyle w:val="Textosinformato"/>
        <w:jc w:val="both"/>
        <w:rPr>
          <w:rFonts w:ascii="Arial" w:hAnsi="Arial"/>
        </w:rPr>
      </w:pPr>
    </w:p>
    <w:p w14:paraId="2949FBDB" w14:textId="59E77812" w:rsidR="004412F1" w:rsidRPr="00763640" w:rsidRDefault="005A12A3">
      <w:pPr>
        <w:pStyle w:val="Textosinformato"/>
        <w:ind w:left="426"/>
        <w:jc w:val="both"/>
        <w:rPr>
          <w:rFonts w:ascii="Arial" w:hAnsi="Arial"/>
          <w:lang w:val="es-PE"/>
        </w:rPr>
      </w:pPr>
      <w:bookmarkStart w:id="2882" w:name="_Acreedor_Permitido."/>
      <w:bookmarkEnd w:id="2665"/>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882"/>
      <w:r w:rsidRPr="00763640">
        <w:rPr>
          <w:rFonts w:ascii="Arial" w:hAnsi="Arial"/>
          <w:lang w:val="es-PE"/>
        </w:rPr>
        <w:t xml:space="preserve">El Mantenimiento Periódico Inicial será ejecutado </w:t>
      </w:r>
      <w:proofErr w:type="gramStart"/>
      <w:r w:rsidRPr="00763640">
        <w:rPr>
          <w:rFonts w:ascii="Arial" w:hAnsi="Arial"/>
          <w:lang w:val="es-PE"/>
        </w:rPr>
        <w:t>de acuerdo a</w:t>
      </w:r>
      <w:proofErr w:type="gramEnd"/>
      <w:r w:rsidRPr="00763640">
        <w:rPr>
          <w:rFonts w:ascii="Arial" w:hAnsi="Arial"/>
          <w:lang w:val="es-PE"/>
        </w:rPr>
        <w:t xml:space="preserve"> los Expedientes Técnicos </w:t>
      </w:r>
      <w:bookmarkStart w:id="2883" w:name="_ANEXO_XI"/>
      <w:bookmarkEnd w:id="2883"/>
      <w:r w:rsidRPr="00763640">
        <w:rPr>
          <w:rFonts w:ascii="Arial" w:hAnsi="Arial"/>
          <w:lang w:val="es-PE"/>
        </w:rPr>
        <w:t>que deberá formular el CONCESIONARIO y en base a los Términos de referencia contenidos en las Bases del concurso.</w:t>
      </w:r>
    </w:p>
    <w:p w14:paraId="164FBF20" w14:textId="77777777" w:rsidR="004412F1" w:rsidRPr="00763640" w:rsidRDefault="005A12A3">
      <w:pPr>
        <w:pStyle w:val="Textosinformato"/>
        <w:ind w:left="426"/>
        <w:jc w:val="both"/>
        <w:rPr>
          <w:rFonts w:ascii="Arial" w:hAnsi="Arial"/>
          <w:lang w:val="es-PE"/>
        </w:rPr>
      </w:pPr>
      <w:r w:rsidRPr="00763640">
        <w:rPr>
          <w:rFonts w:ascii="Arial" w:hAnsi="Arial"/>
          <w:lang w:val="es-PE"/>
        </w:rPr>
        <w:t xml:space="preserve">Los </w:t>
      </w:r>
      <w:proofErr w:type="gramStart"/>
      <w:r w:rsidRPr="00763640">
        <w:rPr>
          <w:rFonts w:ascii="Arial" w:hAnsi="Arial"/>
          <w:lang w:val="es-PE"/>
        </w:rPr>
        <w:t>Sub Tramos</w:t>
      </w:r>
      <w:proofErr w:type="gramEnd"/>
      <w:r w:rsidRPr="00763640">
        <w:rPr>
          <w:rFonts w:ascii="Arial" w:hAnsi="Arial"/>
          <w:lang w:val="es-PE"/>
        </w:rPr>
        <w:t xml:space="preserve"> son los siguientes:</w:t>
      </w:r>
    </w:p>
    <w:p w14:paraId="0C63FBCE" w14:textId="77777777" w:rsidR="004412F1" w:rsidRPr="00763640" w:rsidRDefault="004412F1">
      <w:pPr>
        <w:pStyle w:val="Textosinformato"/>
        <w:ind w:left="426"/>
        <w:jc w:val="both"/>
        <w:rPr>
          <w:rFonts w:ascii="Arial" w:hAnsi="Arial"/>
          <w:lang w:val="es-PE"/>
        </w:rPr>
      </w:pPr>
    </w:p>
    <w:p w14:paraId="72BFC4C1" w14:textId="77777777" w:rsidR="004412F1" w:rsidRPr="00763640" w:rsidRDefault="005A12A3">
      <w:pPr>
        <w:pStyle w:val="Prrafodelista"/>
        <w:numPr>
          <w:ilvl w:val="0"/>
          <w:numId w:val="189"/>
        </w:numPr>
        <w:ind w:left="993" w:hanging="567"/>
        <w:contextualSpacing w:val="0"/>
        <w:jc w:val="both"/>
      </w:pPr>
      <w:r w:rsidRPr="00763640">
        <w:t xml:space="preserve">Huanta – Ayacucho </w:t>
      </w:r>
    </w:p>
    <w:p w14:paraId="41EC25C9" w14:textId="77777777" w:rsidR="004412F1" w:rsidRPr="00763640" w:rsidRDefault="005A12A3">
      <w:pPr>
        <w:pStyle w:val="Prrafodelista"/>
        <w:numPr>
          <w:ilvl w:val="0"/>
          <w:numId w:val="189"/>
        </w:numPr>
        <w:ind w:left="993" w:hanging="567"/>
        <w:contextualSpacing w:val="0"/>
        <w:jc w:val="both"/>
      </w:pPr>
      <w:r w:rsidRPr="00763640">
        <w:t>Km. O+000 (Ayacucho) - Abra Tocto</w:t>
      </w:r>
    </w:p>
    <w:p w14:paraId="1B726BA9" w14:textId="77777777" w:rsidR="004412F1" w:rsidRPr="00763640" w:rsidRDefault="005A12A3">
      <w:pPr>
        <w:pStyle w:val="Prrafodelista"/>
        <w:numPr>
          <w:ilvl w:val="0"/>
          <w:numId w:val="189"/>
        </w:numPr>
        <w:ind w:left="993" w:hanging="567"/>
        <w:contextualSpacing w:val="0"/>
        <w:jc w:val="both"/>
      </w:pPr>
      <w:r w:rsidRPr="00763640">
        <w:t xml:space="preserve">Abra Tocto - Ocros </w:t>
      </w:r>
    </w:p>
    <w:p w14:paraId="0F98EB7E" w14:textId="77777777" w:rsidR="004412F1" w:rsidRDefault="005A12A3">
      <w:pPr>
        <w:pStyle w:val="Prrafodelista"/>
        <w:numPr>
          <w:ilvl w:val="0"/>
          <w:numId w:val="189"/>
        </w:numPr>
        <w:ind w:left="993" w:hanging="567"/>
        <w:contextualSpacing w:val="0"/>
        <w:jc w:val="both"/>
      </w:pPr>
      <w:r>
        <w:t>Ocros – Chincheros</w:t>
      </w:r>
    </w:p>
    <w:p w14:paraId="788F03FB" w14:textId="77777777" w:rsidR="004412F1" w:rsidRDefault="005A12A3">
      <w:pPr>
        <w:pStyle w:val="Prrafodelista"/>
        <w:numPr>
          <w:ilvl w:val="0"/>
          <w:numId w:val="189"/>
        </w:numPr>
        <w:ind w:left="993" w:hanging="567"/>
        <w:contextualSpacing w:val="0"/>
        <w:jc w:val="both"/>
      </w:pPr>
      <w:r>
        <w:t>Chincheros - Abra 1</w:t>
      </w:r>
    </w:p>
    <w:p w14:paraId="2198B1C4" w14:textId="77777777" w:rsidR="004412F1" w:rsidRDefault="005A12A3">
      <w:pPr>
        <w:pStyle w:val="Prrafodelista"/>
        <w:numPr>
          <w:ilvl w:val="0"/>
          <w:numId w:val="189"/>
        </w:numPr>
        <w:ind w:left="993" w:hanging="567"/>
        <w:contextualSpacing w:val="0"/>
        <w:jc w:val="both"/>
      </w:pPr>
      <w:r>
        <w:t>Abra 1 – Andahuaylas</w:t>
      </w:r>
    </w:p>
    <w:p w14:paraId="79E87029" w14:textId="77777777" w:rsidR="004412F1" w:rsidRDefault="005A12A3">
      <w:pPr>
        <w:pStyle w:val="Prrafodelista"/>
        <w:numPr>
          <w:ilvl w:val="0"/>
          <w:numId w:val="189"/>
        </w:numPr>
        <w:ind w:left="993" w:hanging="567"/>
        <w:contextualSpacing w:val="0"/>
        <w:jc w:val="both"/>
      </w:pPr>
      <w:r>
        <w:t>Andahuaylas  - Dv. Kishuara</w:t>
      </w:r>
    </w:p>
    <w:p w14:paraId="6523CB6E" w14:textId="77777777" w:rsidR="004412F1" w:rsidRDefault="005A12A3">
      <w:pPr>
        <w:pStyle w:val="Prrafodelista"/>
        <w:numPr>
          <w:ilvl w:val="0"/>
          <w:numId w:val="189"/>
        </w:numPr>
        <w:ind w:left="993" w:hanging="567"/>
        <w:contextualSpacing w:val="0"/>
        <w:jc w:val="both"/>
      </w:pPr>
      <w:r>
        <w:t>Dv. Kishuara - Puente Sahuinto</w:t>
      </w:r>
    </w:p>
    <w:p w14:paraId="29402297" w14:textId="77777777" w:rsidR="004412F1" w:rsidRDefault="005A12A3">
      <w:pPr>
        <w:pStyle w:val="Prrafodelista"/>
        <w:numPr>
          <w:ilvl w:val="0"/>
          <w:numId w:val="189"/>
        </w:numPr>
        <w:ind w:left="993" w:hanging="567"/>
        <w:contextualSpacing w:val="0"/>
        <w:jc w:val="both"/>
      </w:pPr>
      <w:r>
        <w:t>San Clemente– Puente Choclococha</w:t>
      </w:r>
    </w:p>
    <w:p w14:paraId="1C7BB65A" w14:textId="77777777" w:rsidR="004412F1" w:rsidRDefault="005A12A3">
      <w:pPr>
        <w:pStyle w:val="Prrafodelista"/>
        <w:numPr>
          <w:ilvl w:val="0"/>
          <w:numId w:val="189"/>
        </w:numPr>
        <w:ind w:left="993" w:hanging="567"/>
        <w:contextualSpacing w:val="0"/>
        <w:jc w:val="both"/>
      </w:pPr>
      <w:r>
        <w:t xml:space="preserve">Puente Choclococha - Ayacucho </w:t>
      </w:r>
    </w:p>
    <w:p w14:paraId="510F56B6" w14:textId="77777777" w:rsidR="004412F1" w:rsidRDefault="004412F1">
      <w:pPr>
        <w:pStyle w:val="Textosinformato"/>
        <w:tabs>
          <w:tab w:val="left" w:pos="993"/>
        </w:tabs>
        <w:ind w:firstLine="426"/>
        <w:jc w:val="both"/>
        <w:rPr>
          <w:rFonts w:ascii="Arial" w:hAnsi="Arial"/>
          <w:lang w:val="es-ES"/>
        </w:rPr>
      </w:pPr>
    </w:p>
    <w:p w14:paraId="547E70EA" w14:textId="6DF4DBF6" w:rsidR="004412F1" w:rsidRDefault="005A12A3">
      <w:pPr>
        <w:pStyle w:val="Textosinformato"/>
        <w:tabs>
          <w:tab w:val="left" w:pos="993"/>
        </w:tabs>
        <w:ind w:left="426"/>
        <w:jc w:val="both"/>
        <w:rPr>
          <w:rFonts w:ascii="Arial" w:hAnsi="Arial"/>
          <w:lang w:val="es-PE"/>
        </w:rPr>
      </w:pPr>
      <w:r>
        <w:rPr>
          <w:rFonts w:ascii="Arial" w:hAnsi="Arial"/>
          <w:lang w:val="es-PE"/>
        </w:rPr>
        <w:t xml:space="preserve">El plazo de presentación de los Expedientes Técnicos es el considerado en la Cláusula </w:t>
      </w:r>
      <w:r w:rsidR="000464B5">
        <w:rPr>
          <w:rFonts w:ascii="Arial" w:hAnsi="Arial"/>
          <w:lang w:val="es-ES"/>
        </w:rPr>
        <w:t xml:space="preserve">6.9 </w:t>
      </w:r>
      <w:r>
        <w:rPr>
          <w:rFonts w:ascii="Arial" w:hAnsi="Arial"/>
          <w:lang w:val="es-PE"/>
        </w:rPr>
        <w:t>del Contrato.</w:t>
      </w:r>
    </w:p>
    <w:p w14:paraId="2172A66F" w14:textId="77777777" w:rsidR="00CE150B" w:rsidRDefault="00CE150B">
      <w:pPr>
        <w:pStyle w:val="Textosinformato"/>
        <w:tabs>
          <w:tab w:val="left" w:pos="993"/>
        </w:tabs>
        <w:ind w:left="426"/>
        <w:jc w:val="both"/>
        <w:rPr>
          <w:rFonts w:ascii="Arial" w:hAnsi="Arial"/>
          <w:lang w:val="es-PE"/>
        </w:rPr>
      </w:pPr>
    </w:p>
    <w:p w14:paraId="56CBD993" w14:textId="77777777" w:rsidR="004412F1" w:rsidRDefault="005A12A3">
      <w:pPr>
        <w:pStyle w:val="Textosinformato"/>
        <w:numPr>
          <w:ilvl w:val="0"/>
          <w:numId w:val="188"/>
        </w:numPr>
        <w:jc w:val="both"/>
        <w:rPr>
          <w:rFonts w:ascii="Arial" w:hAnsi="Arial"/>
        </w:rPr>
      </w:pPr>
      <w:r>
        <w:rPr>
          <w:rFonts w:ascii="Arial" w:hAnsi="Arial"/>
          <w:b/>
          <w:bCs w:val="0"/>
          <w:u w:val="single"/>
          <w:lang w:val="es-MX"/>
        </w:rPr>
        <w:t xml:space="preserve">REHABILITACIÓN Y MEJORAMIENTO </w:t>
      </w:r>
    </w:p>
    <w:p w14:paraId="6566BCAF" w14:textId="77777777" w:rsidR="004412F1" w:rsidRDefault="004412F1">
      <w:pPr>
        <w:pStyle w:val="Textosinformato"/>
        <w:ind w:firstLine="426"/>
        <w:jc w:val="both"/>
        <w:rPr>
          <w:rFonts w:ascii="Arial" w:hAnsi="Arial"/>
        </w:rPr>
      </w:pPr>
    </w:p>
    <w:p w14:paraId="31616F13" w14:textId="77777777" w:rsidR="004412F1" w:rsidRDefault="005A12A3">
      <w:pPr>
        <w:pStyle w:val="Textosinformato"/>
        <w:ind w:left="426"/>
        <w:jc w:val="both"/>
        <w:rPr>
          <w:rFonts w:ascii="Arial" w:hAnsi="Arial"/>
          <w:lang w:val="es-PE"/>
        </w:rPr>
      </w:pPr>
      <w:r>
        <w:rPr>
          <w:rFonts w:ascii="Arial" w:hAnsi="Arial"/>
          <w:lang w:val="es-PE"/>
        </w:rPr>
        <w:t xml:space="preserve">La Rehabilitación y Mejoramiento será ejecutada </w:t>
      </w:r>
      <w:proofErr w:type="gramStart"/>
      <w:r>
        <w:rPr>
          <w:rFonts w:ascii="Arial" w:hAnsi="Arial"/>
          <w:lang w:val="es-PE"/>
        </w:rPr>
        <w:t>de acuerdo a</w:t>
      </w:r>
      <w:proofErr w:type="gramEnd"/>
      <w:r>
        <w:rPr>
          <w:rFonts w:ascii="Arial" w:hAnsi="Arial"/>
          <w:lang w:val="es-PE"/>
        </w:rPr>
        <w:t xml:space="preserve"> los Estudios Definitivos de Ingeniería e Instrumento de Gestión Ambiental que deberá formular el CONCESIONARIO y en base a los Términos de referencia contenidos en las Bases del concurso.</w:t>
      </w:r>
    </w:p>
    <w:p w14:paraId="01EEFC28" w14:textId="77777777" w:rsidR="004412F1" w:rsidRDefault="004412F1">
      <w:pPr>
        <w:pStyle w:val="Textosinformato"/>
        <w:ind w:left="426"/>
        <w:jc w:val="both"/>
        <w:rPr>
          <w:rFonts w:ascii="Arial" w:hAnsi="Arial"/>
          <w:lang w:val="es-PE"/>
        </w:rPr>
      </w:pPr>
    </w:p>
    <w:p w14:paraId="484C2C40" w14:textId="77777777" w:rsidR="004412F1" w:rsidRDefault="005A12A3">
      <w:pPr>
        <w:pStyle w:val="Textosinformato"/>
        <w:ind w:left="426"/>
        <w:jc w:val="both"/>
        <w:rPr>
          <w:rFonts w:ascii="Arial" w:hAnsi="Arial"/>
          <w:lang w:val="es-PE"/>
        </w:rPr>
      </w:pPr>
      <w:r>
        <w:rPr>
          <w:rFonts w:ascii="Arial" w:hAnsi="Arial"/>
          <w:lang w:val="es-PE"/>
        </w:rPr>
        <w:t xml:space="preserve">Los </w:t>
      </w:r>
      <w:proofErr w:type="gramStart"/>
      <w:r>
        <w:rPr>
          <w:rFonts w:ascii="Arial" w:hAnsi="Arial"/>
          <w:lang w:val="es-PE"/>
        </w:rPr>
        <w:t>Sub Tramos</w:t>
      </w:r>
      <w:proofErr w:type="gramEnd"/>
      <w:r>
        <w:rPr>
          <w:rFonts w:ascii="Arial" w:hAnsi="Arial"/>
          <w:lang w:val="es-PE"/>
        </w:rPr>
        <w:t xml:space="preserve"> que serán intervenidos son</w:t>
      </w:r>
    </w:p>
    <w:p w14:paraId="2D4A630D" w14:textId="77777777" w:rsidR="004412F1" w:rsidRDefault="005A12A3">
      <w:pPr>
        <w:pStyle w:val="Textosinformato"/>
        <w:ind w:left="426"/>
        <w:jc w:val="both"/>
        <w:rPr>
          <w:rFonts w:ascii="Arial" w:hAnsi="Arial"/>
          <w:lang w:val="es-PE"/>
        </w:rPr>
      </w:pPr>
      <w:r>
        <w:rPr>
          <w:rFonts w:ascii="Arial" w:hAnsi="Arial"/>
          <w:lang w:val="es-PE"/>
        </w:rPr>
        <w:t>Huancayo - Izcuchaca</w:t>
      </w:r>
    </w:p>
    <w:p w14:paraId="19C6C55D" w14:textId="77777777" w:rsidR="004412F1" w:rsidRDefault="005A12A3">
      <w:pPr>
        <w:pStyle w:val="Textosinformato"/>
        <w:ind w:left="426"/>
        <w:jc w:val="both"/>
        <w:rPr>
          <w:rFonts w:ascii="Arial" w:hAnsi="Arial"/>
          <w:lang w:val="es-PE"/>
        </w:rPr>
      </w:pPr>
      <w:r>
        <w:rPr>
          <w:rFonts w:ascii="Arial" w:hAnsi="Arial"/>
          <w:lang w:val="es-PE"/>
        </w:rPr>
        <w:t>Izcuchaca – Mayoc</w:t>
      </w:r>
    </w:p>
    <w:p w14:paraId="798E39E1" w14:textId="77777777" w:rsidR="004412F1" w:rsidRDefault="004412F1">
      <w:pPr>
        <w:pStyle w:val="Textosinformato"/>
        <w:ind w:firstLine="426"/>
        <w:jc w:val="both"/>
        <w:rPr>
          <w:rFonts w:ascii="Arial" w:hAnsi="Arial"/>
          <w:lang w:val="es-PE"/>
        </w:rPr>
      </w:pPr>
    </w:p>
    <w:p w14:paraId="604F5650" w14:textId="74833130" w:rsidR="004412F1" w:rsidRDefault="005A12A3">
      <w:pPr>
        <w:pStyle w:val="Textosinformato"/>
        <w:ind w:left="426"/>
        <w:jc w:val="both"/>
        <w:rPr>
          <w:rFonts w:ascii="Arial" w:hAnsi="Arial"/>
          <w:lang w:val="es-PE"/>
        </w:rPr>
      </w:pPr>
      <w:r>
        <w:rPr>
          <w:rFonts w:ascii="Arial" w:hAnsi="Arial"/>
          <w:lang w:val="es-PE"/>
        </w:rPr>
        <w:t xml:space="preserve">El plazo de presentación del Estudio Definitivo de Ingeniería e Instrumento de Gestión Ambiental es el considerado </w:t>
      </w:r>
      <w:r w:rsidRPr="0001465B">
        <w:rPr>
          <w:rFonts w:ascii="Arial" w:hAnsi="Arial"/>
          <w:lang w:val="es-PE"/>
        </w:rPr>
        <w:t>en la</w:t>
      </w:r>
      <w:r w:rsidR="000464B5" w:rsidRPr="0001465B">
        <w:rPr>
          <w:rFonts w:ascii="Arial" w:hAnsi="Arial"/>
          <w:lang w:val="es-PE"/>
        </w:rPr>
        <w:t>s</w:t>
      </w:r>
      <w:r w:rsidRPr="0001465B">
        <w:rPr>
          <w:rFonts w:ascii="Arial" w:hAnsi="Arial"/>
          <w:lang w:val="es-PE"/>
        </w:rPr>
        <w:t xml:space="preserve"> Cláusula</w:t>
      </w:r>
      <w:r w:rsidR="000464B5" w:rsidRPr="0001465B">
        <w:rPr>
          <w:rFonts w:ascii="Arial" w:hAnsi="Arial"/>
          <w:lang w:val="es-PE"/>
        </w:rPr>
        <w:t>s</w:t>
      </w:r>
      <w:r w:rsidRPr="0001465B">
        <w:rPr>
          <w:rFonts w:ascii="Arial" w:hAnsi="Arial"/>
          <w:lang w:val="es-PE"/>
        </w:rPr>
        <w:t xml:space="preserve"> </w:t>
      </w:r>
      <w:r w:rsidR="000464B5" w:rsidRPr="0001465B">
        <w:rPr>
          <w:rFonts w:ascii="Arial" w:hAnsi="Arial"/>
          <w:lang w:val="es-ES"/>
        </w:rPr>
        <w:t xml:space="preserve">6.10 y 6.11 </w:t>
      </w:r>
      <w:r w:rsidRPr="0001465B">
        <w:rPr>
          <w:rFonts w:ascii="Arial" w:hAnsi="Arial"/>
          <w:lang w:val="es-PE"/>
        </w:rPr>
        <w:t>del Contrato.</w:t>
      </w:r>
    </w:p>
    <w:p w14:paraId="5EAF125A" w14:textId="77777777" w:rsidR="004412F1" w:rsidRDefault="004412F1">
      <w:pPr>
        <w:jc w:val="both"/>
        <w:rPr>
          <w:rFonts w:eastAsia="SimSun"/>
          <w:lang w:val="es-PE" w:eastAsia="zh-CN"/>
        </w:rPr>
      </w:pPr>
    </w:p>
    <w:p w14:paraId="7D5FF7FC" w14:textId="77777777" w:rsidR="004412F1" w:rsidRDefault="005A12A3">
      <w:pPr>
        <w:pStyle w:val="Textosinformato"/>
        <w:numPr>
          <w:ilvl w:val="0"/>
          <w:numId w:val="188"/>
        </w:numPr>
        <w:jc w:val="both"/>
        <w:rPr>
          <w:b/>
          <w:u w:val="single"/>
          <w:lang w:val="es-MX"/>
        </w:rPr>
      </w:pPr>
      <w:r>
        <w:rPr>
          <w:rFonts w:ascii="Arial" w:hAnsi="Arial"/>
          <w:b/>
          <w:bCs w:val="0"/>
          <w:u w:val="single"/>
          <w:lang w:val="es-MX"/>
        </w:rPr>
        <w:t>CONSTRUCCIÓN DEL EVITAMIENTO SAN CLEMENTE</w:t>
      </w:r>
    </w:p>
    <w:p w14:paraId="65B970F6" w14:textId="77777777" w:rsidR="004412F1" w:rsidRDefault="004412F1">
      <w:pPr>
        <w:rPr>
          <w:rFonts w:eastAsia="SimSun"/>
          <w:b/>
          <w:color w:val="000000"/>
          <w:lang w:eastAsia="zh-CN"/>
        </w:rPr>
      </w:pPr>
    </w:p>
    <w:p w14:paraId="162F754C" w14:textId="63FA1C83" w:rsidR="004412F1" w:rsidRDefault="005A12A3">
      <w:pPr>
        <w:pStyle w:val="Textosinformato"/>
        <w:ind w:left="426"/>
        <w:jc w:val="both"/>
        <w:rPr>
          <w:lang w:val="es-PE"/>
        </w:rPr>
      </w:pPr>
      <w:r>
        <w:rPr>
          <w:rFonts w:ascii="Arial" w:hAnsi="Arial"/>
          <w:lang w:val="es-PE"/>
        </w:rPr>
        <w:t xml:space="preserve">La Construcción del Evitamiento San Clemente será ejecutada </w:t>
      </w:r>
      <w:proofErr w:type="gramStart"/>
      <w:r>
        <w:rPr>
          <w:rFonts w:ascii="Arial" w:hAnsi="Arial"/>
          <w:lang w:val="es-PE"/>
        </w:rPr>
        <w:t>de acuerdo a</w:t>
      </w:r>
      <w:proofErr w:type="gramEnd"/>
      <w:r>
        <w:rPr>
          <w:rFonts w:ascii="Arial" w:hAnsi="Arial"/>
          <w:lang w:val="es-PE"/>
        </w:rPr>
        <w:t xml:space="preserve"> los Estudios Definitivos de Ingeniería e Instrumento de Gestión Ambiental que deberá formular el CONCESIONARIO y en base a los Términos de referencia contenidos en las Bases del concurso</w:t>
      </w:r>
      <w:r w:rsidR="00C240A1">
        <w:rPr>
          <w:rFonts w:ascii="Arial" w:hAnsi="Arial"/>
          <w:lang w:val="es-PE"/>
        </w:rPr>
        <w:t>.</w:t>
      </w:r>
    </w:p>
    <w:p w14:paraId="35B3959D" w14:textId="77777777" w:rsidR="004412F1" w:rsidRDefault="004412F1">
      <w:pPr>
        <w:ind w:left="426"/>
        <w:jc w:val="both"/>
        <w:rPr>
          <w:rFonts w:eastAsia="SimSun"/>
          <w:b/>
          <w:color w:val="000000"/>
          <w:lang w:val="es-PE"/>
        </w:rPr>
      </w:pPr>
    </w:p>
    <w:p w14:paraId="7360CF35" w14:textId="77777777" w:rsidR="00C240A1" w:rsidRDefault="00C240A1">
      <w:pPr>
        <w:rPr>
          <w:rFonts w:eastAsia="SimSun"/>
          <w:b/>
          <w:color w:val="000000"/>
          <w:lang w:val="es-PE" w:eastAsia="zh-CN"/>
        </w:rPr>
      </w:pPr>
    </w:p>
    <w:p w14:paraId="7D288F7A" w14:textId="77777777" w:rsidR="004412F1" w:rsidRDefault="004412F1">
      <w:pPr>
        <w:rPr>
          <w:rFonts w:eastAsia="SimSun"/>
          <w:b/>
          <w:color w:val="000000"/>
          <w:lang w:val="es-PE" w:eastAsia="zh-CN"/>
        </w:rPr>
      </w:pPr>
    </w:p>
    <w:p w14:paraId="18154976" w14:textId="77777777" w:rsidR="004412F1" w:rsidRDefault="004412F1">
      <w:pPr>
        <w:rPr>
          <w:rFonts w:eastAsia="SimSun"/>
          <w:b/>
          <w:color w:val="000000"/>
          <w:lang w:val="es-PE" w:eastAsia="zh-CN"/>
        </w:rPr>
      </w:pPr>
    </w:p>
    <w:p w14:paraId="03AFFD60" w14:textId="77777777" w:rsidR="004412F1" w:rsidRDefault="004412F1">
      <w:pPr>
        <w:rPr>
          <w:rFonts w:eastAsia="SimSun"/>
          <w:b/>
          <w:color w:val="000000"/>
          <w:lang w:val="es-PE" w:eastAsia="zh-CN"/>
        </w:rPr>
      </w:pPr>
    </w:p>
    <w:p w14:paraId="1198069F" w14:textId="77777777" w:rsidR="004412F1" w:rsidRDefault="004412F1">
      <w:pPr>
        <w:ind w:hanging="964"/>
        <w:jc w:val="center"/>
        <w:rPr>
          <w:rFonts w:eastAsia="SimSun"/>
          <w:b/>
          <w:color w:val="000000"/>
          <w:vertAlign w:val="subscript"/>
          <w:lang w:val="es-MX"/>
        </w:rPr>
      </w:pPr>
      <w:bookmarkStart w:id="2884" w:name="_Ref272156437"/>
      <w:bookmarkStart w:id="2885" w:name="_Ref272157090"/>
      <w:bookmarkStart w:id="2886" w:name="_Ref272156468"/>
    </w:p>
    <w:p w14:paraId="0EFB2D84" w14:textId="77777777" w:rsidR="00CE150B" w:rsidRDefault="00CE150B">
      <w:pPr>
        <w:ind w:hanging="964"/>
        <w:jc w:val="center"/>
        <w:rPr>
          <w:rFonts w:eastAsia="SimSun"/>
          <w:b/>
          <w:color w:val="000000"/>
          <w:vertAlign w:val="subscript"/>
          <w:lang w:val="es-MX"/>
        </w:rPr>
      </w:pPr>
    </w:p>
    <w:p w14:paraId="1042C4D3" w14:textId="77777777" w:rsidR="004412F1" w:rsidRDefault="004412F1">
      <w:pPr>
        <w:ind w:hanging="964"/>
        <w:jc w:val="center"/>
        <w:rPr>
          <w:rFonts w:eastAsia="SimSun"/>
          <w:b/>
          <w:color w:val="000000"/>
          <w:lang w:val="es-PE"/>
        </w:rPr>
      </w:pPr>
      <w:bookmarkStart w:id="2887" w:name="_Ref349835128"/>
    </w:p>
    <w:p w14:paraId="6C859BEE" w14:textId="77777777" w:rsidR="004412F1" w:rsidRDefault="005A12A3">
      <w:pPr>
        <w:pStyle w:val="Ttulo1"/>
        <w:jc w:val="center"/>
        <w:rPr>
          <w:color w:val="000000"/>
          <w:lang w:val="es-ES"/>
        </w:rPr>
      </w:pPr>
      <w:bookmarkStart w:id="2888" w:name="_Toc139294853"/>
      <w:bookmarkStart w:id="2889" w:name="_Toc468837769"/>
      <w:bookmarkStart w:id="2890" w:name="_Toc140089478"/>
      <w:r>
        <w:rPr>
          <w:color w:val="000000"/>
          <w:lang w:val="es-PE"/>
        </w:rPr>
        <w:t>ANEXO X</w:t>
      </w:r>
      <w:bookmarkEnd w:id="2888"/>
      <w:r>
        <w:rPr>
          <w:color w:val="000000"/>
          <w:lang w:val="es-ES"/>
        </w:rPr>
        <w:t>I</w:t>
      </w:r>
      <w:bookmarkEnd w:id="2884"/>
      <w:bookmarkEnd w:id="2885"/>
      <w:bookmarkEnd w:id="2886"/>
      <w:bookmarkEnd w:id="2887"/>
      <w:bookmarkEnd w:id="2889"/>
      <w:bookmarkEnd w:id="2890"/>
    </w:p>
    <w:p w14:paraId="5CBBEC06" w14:textId="77777777" w:rsidR="004412F1" w:rsidRDefault="004412F1">
      <w:pPr>
        <w:rPr>
          <w:lang w:val="es-ES"/>
        </w:rPr>
      </w:pPr>
    </w:p>
    <w:p w14:paraId="305A980B" w14:textId="77777777" w:rsidR="004412F1" w:rsidRDefault="005A12A3">
      <w:pPr>
        <w:pStyle w:val="Ttulo2"/>
        <w:ind w:left="0"/>
        <w:jc w:val="center"/>
        <w:rPr>
          <w:rFonts w:ascii="Arial" w:hAnsi="Arial"/>
          <w:b/>
          <w:color w:val="000000"/>
          <w:sz w:val="24"/>
          <w:u w:val="none"/>
          <w:lang w:val="es-PE"/>
        </w:rPr>
      </w:pPr>
      <w:bookmarkStart w:id="2891" w:name="_Toc468837771"/>
      <w:bookmarkStart w:id="2892" w:name="_Ref351535501"/>
      <w:bookmarkStart w:id="2893" w:name="_Toc370737480"/>
      <w:bookmarkStart w:id="2894" w:name="_Toc139294854"/>
      <w:bookmarkStart w:id="2895" w:name="_Toc140089479"/>
      <w:r>
        <w:rPr>
          <w:rFonts w:ascii="Arial" w:eastAsia="Arial" w:hAnsi="Arial"/>
          <w:b/>
          <w:color w:val="000000"/>
          <w:sz w:val="24"/>
          <w:u w:val="none"/>
          <w:lang w:val="es-PE"/>
        </w:rPr>
        <w:t>Apéndice 1</w:t>
      </w:r>
      <w:bookmarkEnd w:id="2891"/>
      <w:bookmarkEnd w:id="2892"/>
      <w:bookmarkEnd w:id="2893"/>
      <w:bookmarkEnd w:id="2894"/>
      <w:bookmarkEnd w:id="2895"/>
    </w:p>
    <w:p w14:paraId="1E87AD1F" w14:textId="77777777" w:rsidR="004412F1" w:rsidRDefault="004412F1">
      <w:pPr>
        <w:jc w:val="center"/>
        <w:rPr>
          <w:lang w:val="es-PE"/>
        </w:rPr>
      </w:pPr>
    </w:p>
    <w:p w14:paraId="560950E8" w14:textId="77777777" w:rsidR="004412F1" w:rsidRDefault="005A12A3" w:rsidP="00AC61E2">
      <w:pPr>
        <w:ind w:left="567"/>
        <w:jc w:val="center"/>
        <w:outlineLvl w:val="1"/>
        <w:rPr>
          <w:b/>
          <w:lang w:val="es-PE"/>
        </w:rPr>
      </w:pPr>
      <w:r>
        <w:rPr>
          <w:b/>
          <w:lang w:val="es-PE"/>
        </w:rPr>
        <w:t xml:space="preserve"> </w:t>
      </w:r>
      <w:bookmarkStart w:id="2896" w:name="_Toc140089480"/>
      <w:r>
        <w:rPr>
          <w:b/>
          <w:lang w:val="es-PE"/>
        </w:rPr>
        <w:t>Lineamientos aplicables al contrato de Fideicomiso de Administración</w:t>
      </w:r>
      <w:bookmarkEnd w:id="2896"/>
    </w:p>
    <w:p w14:paraId="3E71BB88" w14:textId="77777777" w:rsidR="004412F1" w:rsidRDefault="004412F1">
      <w:pPr>
        <w:ind w:left="567"/>
        <w:jc w:val="both"/>
        <w:rPr>
          <w:lang w:val="es-PE"/>
        </w:rPr>
      </w:pPr>
    </w:p>
    <w:p w14:paraId="2C3435C9" w14:textId="77777777" w:rsidR="004412F1" w:rsidRDefault="005A12A3">
      <w:pPr>
        <w:ind w:left="567"/>
        <w:jc w:val="both"/>
        <w:rPr>
          <w:lang w:val="es-PE"/>
        </w:rPr>
      </w:pPr>
      <w:r>
        <w:rPr>
          <w:lang w:val="es-PE"/>
        </w:rPr>
        <w:t>El Fideicomiso de Administración se celebrará de acuerdo con los siguientes términos y condiciones básicas</w:t>
      </w:r>
    </w:p>
    <w:p w14:paraId="6A0030A4" w14:textId="77777777" w:rsidR="004412F1" w:rsidRDefault="004412F1">
      <w:pPr>
        <w:ind w:left="567"/>
        <w:jc w:val="both"/>
        <w:rPr>
          <w:lang w:val="es-PE"/>
        </w:rPr>
      </w:pPr>
    </w:p>
    <w:p w14:paraId="2456EE81" w14:textId="77777777" w:rsidR="004412F1" w:rsidRDefault="005A12A3">
      <w:pPr>
        <w:widowControl w:val="0"/>
        <w:numPr>
          <w:ilvl w:val="0"/>
          <w:numId w:val="190"/>
        </w:numPr>
        <w:ind w:left="567" w:hanging="425"/>
        <w:jc w:val="both"/>
        <w:rPr>
          <w:b/>
          <w:color w:val="000000"/>
        </w:rPr>
      </w:pPr>
      <w:r>
        <w:rPr>
          <w:b/>
          <w:color w:val="000000"/>
        </w:rPr>
        <w:t>Finalidad del Fideicomiso de Administración</w:t>
      </w:r>
    </w:p>
    <w:p w14:paraId="3608860F" w14:textId="77777777" w:rsidR="004412F1" w:rsidRDefault="004412F1">
      <w:pPr>
        <w:tabs>
          <w:tab w:val="left" w:pos="426"/>
        </w:tabs>
        <w:jc w:val="both"/>
        <w:rPr>
          <w:b/>
        </w:rPr>
      </w:pPr>
    </w:p>
    <w:p w14:paraId="000BB3F6" w14:textId="77777777" w:rsidR="004412F1" w:rsidRDefault="005A12A3">
      <w:pPr>
        <w:ind w:left="567"/>
        <w:jc w:val="both"/>
        <w:rPr>
          <w:lang w:val="es-PE"/>
        </w:rPr>
      </w:pPr>
      <w:r>
        <w:rPr>
          <w:lang w:val="es-PE"/>
        </w:rPr>
        <w:t>El CONCESIONARIO se obliga a constituir y mantener a su costo, el Fideicomiso de Administración con el objeto de facilitar y garantizar el adecuado cumplimiento de las obligaciones financieras derivadas del presente Contrato mediante la administración de los recursos derivados del Contrato.</w:t>
      </w:r>
    </w:p>
    <w:p w14:paraId="5C0394EB" w14:textId="77777777" w:rsidR="004412F1" w:rsidRDefault="004412F1">
      <w:pPr>
        <w:ind w:left="567"/>
        <w:jc w:val="both"/>
        <w:rPr>
          <w:lang w:val="es-PE"/>
        </w:rPr>
      </w:pPr>
    </w:p>
    <w:p w14:paraId="1074F030" w14:textId="77777777" w:rsidR="004412F1" w:rsidRDefault="005A12A3">
      <w:pPr>
        <w:ind w:left="567"/>
        <w:jc w:val="both"/>
        <w:rPr>
          <w:lang w:val="es-PE"/>
        </w:rPr>
      </w:pPr>
      <w:r>
        <w:rPr>
          <w:lang w:val="es-PE"/>
        </w:rPr>
        <w:t xml:space="preserve">La principal fuente de recursos que serán administrados por el Fideicomiso de Administración son los provenientes del recaudo de Tarifas, el Cofinanciamiento, entre otros que pudieran corresponder al CONCESIONARIO en virtud del Contrato, así como los flujos que por concepto de penalidades o ejecución de las fianzas pudieran corresponder al CONCEDENTE. </w:t>
      </w:r>
    </w:p>
    <w:p w14:paraId="712F295E" w14:textId="77777777" w:rsidR="004412F1" w:rsidRDefault="004412F1">
      <w:pPr>
        <w:ind w:left="567"/>
        <w:jc w:val="both"/>
        <w:rPr>
          <w:lang w:val="es-PE"/>
        </w:rPr>
      </w:pPr>
    </w:p>
    <w:p w14:paraId="3952E360" w14:textId="77777777" w:rsidR="004412F1" w:rsidRDefault="005A12A3">
      <w:pPr>
        <w:widowControl w:val="0"/>
        <w:numPr>
          <w:ilvl w:val="0"/>
          <w:numId w:val="190"/>
        </w:numPr>
        <w:ind w:left="567" w:hanging="425"/>
        <w:jc w:val="both"/>
        <w:rPr>
          <w:b/>
          <w:color w:val="000000"/>
        </w:rPr>
      </w:pPr>
      <w:r>
        <w:rPr>
          <w:b/>
          <w:color w:val="000000"/>
        </w:rPr>
        <w:t>Fideicomitentes</w:t>
      </w:r>
    </w:p>
    <w:p w14:paraId="3BE9A6D4" w14:textId="77777777" w:rsidR="004412F1" w:rsidRDefault="004412F1">
      <w:pPr>
        <w:ind w:left="708"/>
        <w:jc w:val="both"/>
      </w:pPr>
    </w:p>
    <w:p w14:paraId="0DB1DB66" w14:textId="77777777" w:rsidR="004412F1" w:rsidRDefault="005A12A3">
      <w:pPr>
        <w:ind w:left="567"/>
        <w:jc w:val="both"/>
        <w:rPr>
          <w:lang w:val="es-PE"/>
        </w:rPr>
      </w:pPr>
      <w:r>
        <w:rPr>
          <w:lang w:val="es-PE"/>
        </w:rPr>
        <w:t xml:space="preserve">El CONCESIONARIO depositará al Fideicomiso, a partir de la Toma de Posesión los recursos provenientes del íntegro del cobro de los Peajes, así como de la instalación de las nuevas casetas de Peaje, así como las penalidades, según corresponda. </w:t>
      </w:r>
    </w:p>
    <w:p w14:paraId="7B3A9D5C" w14:textId="77777777" w:rsidR="004412F1" w:rsidRDefault="005A12A3">
      <w:pPr>
        <w:ind w:left="567"/>
        <w:jc w:val="both"/>
        <w:rPr>
          <w:lang w:val="es-PE"/>
        </w:rPr>
      </w:pPr>
      <w:r>
        <w:rPr>
          <w:lang w:val="es-PE"/>
        </w:rPr>
        <w:t xml:space="preserve"> </w:t>
      </w:r>
    </w:p>
    <w:p w14:paraId="12B3D34D" w14:textId="77777777" w:rsidR="004412F1" w:rsidRDefault="005A12A3">
      <w:pPr>
        <w:ind w:left="567"/>
        <w:jc w:val="both"/>
        <w:rPr>
          <w:lang w:val="es-PE"/>
        </w:rPr>
      </w:pPr>
      <w:r>
        <w:rPr>
          <w:lang w:val="es-PE"/>
        </w:rPr>
        <w:t xml:space="preserve">Por su parte el CONCEDENTE, depositará los importes correspondientes al Cofinanciamiento. </w:t>
      </w:r>
    </w:p>
    <w:p w14:paraId="17BDF4A3" w14:textId="77777777" w:rsidR="004412F1" w:rsidRDefault="004412F1">
      <w:pPr>
        <w:ind w:left="567"/>
        <w:jc w:val="both"/>
        <w:rPr>
          <w:lang w:val="es-PE"/>
        </w:rPr>
      </w:pPr>
    </w:p>
    <w:p w14:paraId="6D5EC583" w14:textId="77777777" w:rsidR="004412F1" w:rsidRDefault="005A12A3">
      <w:pPr>
        <w:widowControl w:val="0"/>
        <w:numPr>
          <w:ilvl w:val="0"/>
          <w:numId w:val="190"/>
        </w:numPr>
        <w:ind w:left="567" w:hanging="425"/>
        <w:jc w:val="both"/>
        <w:rPr>
          <w:b/>
          <w:color w:val="000000"/>
        </w:rPr>
      </w:pPr>
      <w:r>
        <w:rPr>
          <w:b/>
          <w:color w:val="000000"/>
        </w:rPr>
        <w:t>Fiduciario</w:t>
      </w:r>
    </w:p>
    <w:p w14:paraId="67CC2A8C" w14:textId="77777777" w:rsidR="004412F1" w:rsidRDefault="004412F1">
      <w:pPr>
        <w:pStyle w:val="Ttulo"/>
        <w:rPr>
          <w:b w:val="0"/>
        </w:rPr>
      </w:pPr>
    </w:p>
    <w:p w14:paraId="1E8935B9" w14:textId="77777777" w:rsidR="004412F1" w:rsidRDefault="005A12A3" w:rsidP="006B3D56">
      <w:pPr>
        <w:ind w:left="567"/>
        <w:jc w:val="both"/>
        <w:rPr>
          <w:lang w:val="es-CL"/>
        </w:rPr>
      </w:pPr>
      <w:r>
        <w:rPr>
          <w:lang w:val="es-PE"/>
        </w:rPr>
        <w:t>Será una empresa bancaria</w:t>
      </w:r>
      <w:r>
        <w:rPr>
          <w:lang w:val="es-CL"/>
        </w:rPr>
        <w:t xml:space="preserve"> u otra entidad financiera nacional </w:t>
      </w:r>
      <w:r>
        <w:rPr>
          <w:lang w:val="es-PE"/>
        </w:rPr>
        <w:t>calificada y debidamente autorizada por la Superintendencia de Banca, Seguros y AFP</w:t>
      </w:r>
      <w:r>
        <w:rPr>
          <w:lang w:val="es-CL"/>
        </w:rPr>
        <w:t xml:space="preserve">, quien actuará en calidad de entidad fiduciaria de conformidad con las Leyes y Disposiciones Aplicables, </w:t>
      </w:r>
      <w:r>
        <w:rPr>
          <w:lang w:val="es-PE"/>
        </w:rPr>
        <w:t>la cual será aprobada</w:t>
      </w:r>
      <w:r>
        <w:rPr>
          <w:lang w:val="es-CL"/>
        </w:rPr>
        <w:t xml:space="preserve"> por el CONCEDENTE a </w:t>
      </w:r>
      <w:r>
        <w:rPr>
          <w:lang w:val="es-PE"/>
        </w:rPr>
        <w:t>solicitud</w:t>
      </w:r>
      <w:r>
        <w:rPr>
          <w:lang w:val="es-CL"/>
        </w:rPr>
        <w:t xml:space="preserve"> del CONCESIONARIO.</w:t>
      </w:r>
    </w:p>
    <w:p w14:paraId="10DEAD29" w14:textId="77777777" w:rsidR="004412F1" w:rsidRDefault="004412F1">
      <w:pPr>
        <w:ind w:left="708"/>
        <w:jc w:val="both"/>
        <w:rPr>
          <w:lang w:val="es-PE"/>
        </w:rPr>
      </w:pPr>
    </w:p>
    <w:p w14:paraId="49A5C527" w14:textId="77777777" w:rsidR="004412F1" w:rsidRDefault="005A12A3">
      <w:pPr>
        <w:widowControl w:val="0"/>
        <w:numPr>
          <w:ilvl w:val="0"/>
          <w:numId w:val="190"/>
        </w:numPr>
        <w:ind w:left="567" w:hanging="425"/>
        <w:jc w:val="both"/>
        <w:rPr>
          <w:b/>
          <w:color w:val="000000"/>
        </w:rPr>
      </w:pPr>
      <w:r>
        <w:rPr>
          <w:b/>
          <w:color w:val="000000"/>
        </w:rPr>
        <w:t>Fideicomisarios</w:t>
      </w:r>
    </w:p>
    <w:p w14:paraId="7789390A" w14:textId="77777777" w:rsidR="004412F1" w:rsidRDefault="004412F1">
      <w:pPr>
        <w:ind w:left="708"/>
        <w:jc w:val="both"/>
      </w:pPr>
    </w:p>
    <w:p w14:paraId="665E2699" w14:textId="77777777" w:rsidR="004412F1" w:rsidRDefault="005A12A3">
      <w:pPr>
        <w:ind w:left="567"/>
        <w:jc w:val="both"/>
        <w:rPr>
          <w:lang w:val="es-PE"/>
        </w:rPr>
      </w:pPr>
      <w:r>
        <w:rPr>
          <w:lang w:val="es-PE"/>
        </w:rPr>
        <w:t>Serán el CONCESIONARIO o el CONCEDENTE, según corresponda</w:t>
      </w:r>
    </w:p>
    <w:p w14:paraId="44FBA010" w14:textId="77777777" w:rsidR="004412F1" w:rsidRDefault="004412F1">
      <w:pPr>
        <w:jc w:val="both"/>
        <w:rPr>
          <w:b/>
          <w:lang w:val="es-PE"/>
        </w:rPr>
      </w:pPr>
    </w:p>
    <w:p w14:paraId="04384F8C" w14:textId="77777777" w:rsidR="004412F1" w:rsidRDefault="005A12A3">
      <w:pPr>
        <w:widowControl w:val="0"/>
        <w:numPr>
          <w:ilvl w:val="0"/>
          <w:numId w:val="190"/>
        </w:numPr>
        <w:ind w:left="567" w:hanging="425"/>
        <w:jc w:val="both"/>
        <w:rPr>
          <w:b/>
          <w:color w:val="000000"/>
        </w:rPr>
      </w:pPr>
      <w:r>
        <w:rPr>
          <w:b/>
          <w:color w:val="000000"/>
        </w:rPr>
        <w:t>Patrimonio Fideicometido</w:t>
      </w:r>
    </w:p>
    <w:p w14:paraId="7F505724" w14:textId="77777777" w:rsidR="004412F1" w:rsidRDefault="004412F1">
      <w:pPr>
        <w:ind w:left="709"/>
        <w:jc w:val="both"/>
      </w:pPr>
    </w:p>
    <w:p w14:paraId="482C0381" w14:textId="77777777" w:rsidR="004412F1" w:rsidRDefault="005A12A3">
      <w:pPr>
        <w:ind w:left="567"/>
        <w:jc w:val="both"/>
        <w:rPr>
          <w:lang w:val="es-PE"/>
        </w:rPr>
      </w:pPr>
      <w:r>
        <w:rPr>
          <w:lang w:val="es-PE"/>
        </w:rPr>
        <w:t xml:space="preserve">Estará constituido por los flujos derivados del cobro de la tarifa, el cofinanciamiento y todos los flujos dinerarios que le correspondan recibir al Concesionario en virtud del Contrato, los flujos que por concepto de penalidades pudieran corresponder al CONCEDENTE, así como también la provisión para mantenimiento periódico y los aportes a la cuenta de emergencia vial, y todos los flujos dinerarios que se encuentren acreditados en las cuentas del fideicomiso en todo momento. </w:t>
      </w:r>
    </w:p>
    <w:p w14:paraId="5B8F366A" w14:textId="77777777" w:rsidR="004412F1" w:rsidRDefault="004412F1">
      <w:pPr>
        <w:ind w:left="567"/>
        <w:jc w:val="both"/>
        <w:rPr>
          <w:lang w:val="es-PE"/>
        </w:rPr>
      </w:pPr>
    </w:p>
    <w:p w14:paraId="20277672" w14:textId="77777777" w:rsidR="004412F1" w:rsidRDefault="005A12A3">
      <w:pPr>
        <w:ind w:left="567"/>
        <w:jc w:val="both"/>
        <w:rPr>
          <w:lang w:val="es-PE"/>
        </w:rPr>
      </w:pPr>
      <w:r>
        <w:rPr>
          <w:lang w:val="es-PE"/>
        </w:rPr>
        <w:t>El Fiduciario abrirá cuentas diferentes para recibir y administrar dichos aportes, de manera que en todo momento sea posible distinguir el origen de los recursos transferidos que conforman parte del Patrimonio Fideicometido.</w:t>
      </w:r>
    </w:p>
    <w:p w14:paraId="24F7C982" w14:textId="77777777" w:rsidR="004412F1" w:rsidRDefault="004412F1">
      <w:pPr>
        <w:ind w:left="567"/>
        <w:jc w:val="both"/>
        <w:rPr>
          <w:lang w:val="es-PE"/>
        </w:rPr>
      </w:pPr>
    </w:p>
    <w:p w14:paraId="50FA4EC0" w14:textId="77777777" w:rsidR="004412F1" w:rsidRDefault="005A12A3">
      <w:pPr>
        <w:widowControl w:val="0"/>
        <w:numPr>
          <w:ilvl w:val="0"/>
          <w:numId w:val="190"/>
        </w:numPr>
        <w:ind w:left="567" w:hanging="425"/>
        <w:jc w:val="both"/>
        <w:rPr>
          <w:b/>
          <w:color w:val="000000"/>
          <w:lang w:val="es-PE"/>
        </w:rPr>
      </w:pPr>
      <w:r>
        <w:rPr>
          <w:b/>
          <w:color w:val="000000"/>
          <w:lang w:val="es-PE"/>
        </w:rPr>
        <w:t>Del Contrato de Fideicomiso de Administración</w:t>
      </w:r>
    </w:p>
    <w:p w14:paraId="2DAC0361" w14:textId="77777777" w:rsidR="004412F1" w:rsidRDefault="004412F1">
      <w:pPr>
        <w:jc w:val="both"/>
        <w:rPr>
          <w:lang w:val="es-PE"/>
        </w:rPr>
      </w:pPr>
    </w:p>
    <w:p w14:paraId="3B0A5BBB" w14:textId="77777777" w:rsidR="004412F1" w:rsidRDefault="005A12A3" w:rsidP="006B3D56">
      <w:pPr>
        <w:ind w:left="567"/>
        <w:jc w:val="both"/>
        <w:rPr>
          <w:lang w:val="es-PE"/>
        </w:rPr>
      </w:pPr>
      <w:r>
        <w:rPr>
          <w:lang w:val="es-PE"/>
        </w:rPr>
        <w:t>El CONCESIONARIO podrá proponer al CONCEDENTE en el proyecto del contrato de Fideicomiso otras disposiciones que considere adecuadas para alcanzar el Cierre Financiero y para la correcta ejecución del Contrato de Concesión, siempre y cuando éstas no alteren las condiciones establecidas en el Contrato y se encuentren debidamente sustentadas.</w:t>
      </w:r>
    </w:p>
    <w:p w14:paraId="176DF751" w14:textId="77777777" w:rsidR="004412F1" w:rsidRDefault="004412F1">
      <w:pPr>
        <w:jc w:val="both"/>
        <w:rPr>
          <w:lang w:val="es-PE"/>
        </w:rPr>
      </w:pPr>
    </w:p>
    <w:p w14:paraId="70B5A4DB" w14:textId="77777777" w:rsidR="004412F1" w:rsidRDefault="005A12A3" w:rsidP="006B3D56">
      <w:pPr>
        <w:ind w:left="567"/>
        <w:jc w:val="both"/>
        <w:rPr>
          <w:lang w:val="es-CL"/>
        </w:rPr>
      </w:pPr>
      <w:r>
        <w:rPr>
          <w:lang w:val="es-PE"/>
        </w:rPr>
        <w:t>A los 15 Días Calendarios contados desde</w:t>
      </w:r>
      <w:r>
        <w:rPr>
          <w:lang w:val="es-CL"/>
        </w:rPr>
        <w:t xml:space="preserve"> la Fecha de Suscripción del Contrato, el CONCESIONARIO deberá presentar al CONCEDENTE, un proyecto de contrato de Fideicomiso de Administración, </w:t>
      </w:r>
      <w:r>
        <w:rPr>
          <w:lang w:val="es-PE"/>
        </w:rPr>
        <w:t>el cual seguirá el siguiente procedimiento de</w:t>
      </w:r>
      <w:r>
        <w:rPr>
          <w:lang w:val="es-CL"/>
        </w:rPr>
        <w:t xml:space="preserve"> aprobación</w:t>
      </w:r>
      <w:r>
        <w:rPr>
          <w:lang w:val="es-PE"/>
        </w:rPr>
        <w:t>:</w:t>
      </w:r>
      <w:r>
        <w:rPr>
          <w:lang w:val="es-CL"/>
        </w:rPr>
        <w:t xml:space="preserve"> </w:t>
      </w:r>
    </w:p>
    <w:p w14:paraId="03825BE0" w14:textId="77777777" w:rsidR="004412F1" w:rsidRDefault="004412F1">
      <w:pPr>
        <w:jc w:val="both"/>
        <w:rPr>
          <w:lang w:val="es-PE"/>
        </w:rPr>
      </w:pPr>
    </w:p>
    <w:p w14:paraId="3B0B4CA9" w14:textId="77777777" w:rsidR="004412F1" w:rsidRDefault="005A12A3">
      <w:pPr>
        <w:widowControl w:val="0"/>
        <w:numPr>
          <w:ilvl w:val="0"/>
          <w:numId w:val="192"/>
        </w:numPr>
        <w:ind w:left="1134" w:hanging="567"/>
        <w:jc w:val="both"/>
        <w:rPr>
          <w:rFonts w:ascii="Calibri" w:eastAsia="Calibri" w:hAnsi="Calibri"/>
          <w:color w:val="000000"/>
          <w:lang w:val="es-CL"/>
        </w:rPr>
      </w:pPr>
      <w:r>
        <w:rPr>
          <w:color w:val="000000"/>
          <w:lang w:val="es-PE"/>
        </w:rPr>
        <w:t xml:space="preserve">El CONCEDENTE deberá emitir su opinión y comentarios, en caso corresponda, sobre el contrato de Fideicomiso de Administración en </w:t>
      </w:r>
      <w:r>
        <w:rPr>
          <w:color w:val="000000"/>
          <w:lang w:val="es-CL"/>
        </w:rPr>
        <w:t xml:space="preserve">un plazo máximo de </w:t>
      </w:r>
      <w:r>
        <w:rPr>
          <w:lang w:val="es-PE"/>
        </w:rPr>
        <w:t xml:space="preserve">quince </w:t>
      </w:r>
      <w:r>
        <w:rPr>
          <w:color w:val="000000"/>
          <w:lang w:val="es-PE"/>
        </w:rPr>
        <w:t>(15</w:t>
      </w:r>
      <w:r>
        <w:rPr>
          <w:color w:val="000000"/>
          <w:lang w:val="es-CL"/>
        </w:rPr>
        <w:t>) Días</w:t>
      </w:r>
      <w:r>
        <w:rPr>
          <w:color w:val="000000"/>
          <w:lang w:val="es-PE"/>
        </w:rPr>
        <w:t>,</w:t>
      </w:r>
      <w:r>
        <w:rPr>
          <w:color w:val="000000"/>
          <w:lang w:val="es-CL"/>
        </w:rPr>
        <w:t xml:space="preserve"> luego de recibid</w:t>
      </w:r>
      <w:r>
        <w:rPr>
          <w:lang w:val="es-CL"/>
        </w:rPr>
        <w:t xml:space="preserve">o el proyecto de </w:t>
      </w:r>
      <w:r>
        <w:rPr>
          <w:lang w:val="es-PE"/>
        </w:rPr>
        <w:t>documento</w:t>
      </w:r>
      <w:r>
        <w:rPr>
          <w:color w:val="000000"/>
          <w:lang w:val="es-CL"/>
        </w:rPr>
        <w:t>.</w:t>
      </w:r>
    </w:p>
    <w:p w14:paraId="3B88B048" w14:textId="77777777" w:rsidR="004412F1" w:rsidRDefault="004412F1">
      <w:pPr>
        <w:pStyle w:val="Ttulo"/>
        <w:ind w:left="851"/>
        <w:jc w:val="both"/>
        <w:rPr>
          <w:lang w:val="es-CL"/>
        </w:rPr>
      </w:pPr>
    </w:p>
    <w:p w14:paraId="05DF9F8A" w14:textId="77777777" w:rsidR="004412F1" w:rsidRDefault="005A12A3">
      <w:pPr>
        <w:widowControl w:val="0"/>
        <w:numPr>
          <w:ilvl w:val="0"/>
          <w:numId w:val="192"/>
        </w:numPr>
        <w:ind w:left="1134" w:hanging="567"/>
        <w:jc w:val="both"/>
        <w:rPr>
          <w:rFonts w:ascii="Calibri" w:eastAsia="Calibri" w:hAnsi="Calibri"/>
          <w:color w:val="000000"/>
          <w:lang w:val="es-CL"/>
        </w:rPr>
      </w:pPr>
      <w:r>
        <w:rPr>
          <w:color w:val="000000"/>
          <w:lang w:val="es-CL"/>
        </w:rPr>
        <w:t xml:space="preserve">En caso </w:t>
      </w:r>
      <w:r>
        <w:rPr>
          <w:color w:val="000000"/>
          <w:lang w:val="es-PE"/>
        </w:rPr>
        <w:t xml:space="preserve">de </w:t>
      </w:r>
      <w:r>
        <w:rPr>
          <w:color w:val="000000"/>
          <w:lang w:val="es-CL"/>
        </w:rPr>
        <w:t xml:space="preserve">que en </w:t>
      </w:r>
      <w:r>
        <w:rPr>
          <w:color w:val="000000"/>
          <w:lang w:val="es-PE"/>
        </w:rPr>
        <w:t>el</w:t>
      </w:r>
      <w:r>
        <w:rPr>
          <w:color w:val="000000"/>
          <w:lang w:val="es-CL"/>
        </w:rPr>
        <w:t xml:space="preserve"> plazo</w:t>
      </w:r>
      <w:r>
        <w:rPr>
          <w:color w:val="000000"/>
          <w:lang w:val="es-PE"/>
        </w:rPr>
        <w:t xml:space="preserve"> referido en el Literal anterior</w:t>
      </w:r>
      <w:r>
        <w:rPr>
          <w:color w:val="000000"/>
          <w:lang w:val="es-CL"/>
        </w:rPr>
        <w:t xml:space="preserve"> el CONCEDENTE formule observaciones al proyecto de contrato de Fideicomiso de Administración, el CONCESIONARIO deberá subsanarlas en un plazo no mayor de </w:t>
      </w:r>
      <w:r>
        <w:rPr>
          <w:color w:val="000000"/>
          <w:lang w:val="es-PE"/>
        </w:rPr>
        <w:t>cinco (5</w:t>
      </w:r>
      <w:r>
        <w:rPr>
          <w:color w:val="000000"/>
          <w:lang w:val="es-CL"/>
        </w:rPr>
        <w:t xml:space="preserve">) Días desde que es notificado, debiendo remitir las subsanaciones </w:t>
      </w:r>
      <w:r>
        <w:rPr>
          <w:color w:val="000000"/>
          <w:lang w:val="es-PE"/>
        </w:rPr>
        <w:t xml:space="preserve">correspondientes </w:t>
      </w:r>
      <w:r>
        <w:rPr>
          <w:color w:val="000000"/>
          <w:lang w:val="es-CL"/>
        </w:rPr>
        <w:t>al CONCEDENTE</w:t>
      </w:r>
      <w:r>
        <w:rPr>
          <w:color w:val="000000"/>
          <w:lang w:val="es-PE"/>
        </w:rPr>
        <w:t>.</w:t>
      </w:r>
      <w:r>
        <w:rPr>
          <w:color w:val="000000"/>
          <w:lang w:val="es-CL"/>
        </w:rPr>
        <w:t xml:space="preserve"> En este caso</w:t>
      </w:r>
      <w:r>
        <w:rPr>
          <w:color w:val="000000"/>
          <w:lang w:val="es-PE"/>
        </w:rPr>
        <w:t>,</w:t>
      </w:r>
      <w:r>
        <w:rPr>
          <w:color w:val="000000"/>
          <w:lang w:val="es-CL"/>
        </w:rPr>
        <w:t xml:space="preserve"> el CONCEDENTE dispondrá de un plazo de cinco (</w:t>
      </w:r>
      <w:r>
        <w:rPr>
          <w:color w:val="000000"/>
          <w:lang w:val="es-PE"/>
        </w:rPr>
        <w:t>5</w:t>
      </w:r>
      <w:r>
        <w:rPr>
          <w:color w:val="000000"/>
          <w:lang w:val="es-CL"/>
        </w:rPr>
        <w:t>) Días para su pronunciamiento.</w:t>
      </w:r>
    </w:p>
    <w:p w14:paraId="6EF81B64" w14:textId="77777777" w:rsidR="004412F1" w:rsidRDefault="004412F1">
      <w:pPr>
        <w:pStyle w:val="Ttulo"/>
        <w:ind w:left="993"/>
        <w:jc w:val="both"/>
        <w:rPr>
          <w:lang w:val="es-CL"/>
        </w:rPr>
      </w:pPr>
    </w:p>
    <w:p w14:paraId="3F3FB640" w14:textId="77777777" w:rsidR="004412F1" w:rsidRDefault="005A12A3">
      <w:pPr>
        <w:widowControl w:val="0"/>
        <w:numPr>
          <w:ilvl w:val="0"/>
          <w:numId w:val="192"/>
        </w:numPr>
        <w:ind w:left="1134" w:hanging="567"/>
        <w:jc w:val="both"/>
        <w:rPr>
          <w:rFonts w:ascii="Calibri" w:eastAsia="Calibri" w:hAnsi="Calibri"/>
          <w:color w:val="000000"/>
          <w:lang w:val="es-CL"/>
        </w:rPr>
      </w:pPr>
      <w:r>
        <w:rPr>
          <w:color w:val="000000"/>
          <w:lang w:val="es-CL"/>
        </w:rPr>
        <w:t xml:space="preserve">Transcurridos los plazos a que se refieren los párrafos anteriores, según sea el caso, y </w:t>
      </w:r>
      <w:r>
        <w:rPr>
          <w:color w:val="000000"/>
          <w:lang w:val="es-PE"/>
        </w:rPr>
        <w:t xml:space="preserve">aun cuando </w:t>
      </w:r>
      <w:r>
        <w:rPr>
          <w:color w:val="000000"/>
          <w:lang w:val="es-CL"/>
        </w:rPr>
        <w:t>el CONCEDENTE no se hubiere pronunciado, éste obligatoriamente deberá remitir dicho proyecto de contrato de Fideicomiso al Ministerio de Economía y Finanzas conforme al siguiente acápite.</w:t>
      </w:r>
    </w:p>
    <w:p w14:paraId="0A3F96E3" w14:textId="77777777" w:rsidR="004412F1" w:rsidRDefault="004412F1">
      <w:pPr>
        <w:pStyle w:val="Ttulo"/>
        <w:ind w:left="993"/>
        <w:jc w:val="both"/>
        <w:rPr>
          <w:lang w:val="es-CL"/>
        </w:rPr>
      </w:pPr>
    </w:p>
    <w:p w14:paraId="448C2994" w14:textId="77777777" w:rsidR="004412F1" w:rsidRDefault="005A12A3">
      <w:pPr>
        <w:widowControl w:val="0"/>
        <w:numPr>
          <w:ilvl w:val="0"/>
          <w:numId w:val="192"/>
        </w:numPr>
        <w:ind w:left="1134" w:hanging="567"/>
        <w:jc w:val="both"/>
        <w:rPr>
          <w:rFonts w:ascii="Calibri" w:eastAsia="Calibri" w:hAnsi="Calibri"/>
          <w:color w:val="000000"/>
          <w:lang w:val="es-CL"/>
        </w:rPr>
      </w:pPr>
      <w:r>
        <w:rPr>
          <w:color w:val="000000"/>
          <w:lang w:val="es-PE"/>
        </w:rPr>
        <w:t xml:space="preserve">Para la </w:t>
      </w:r>
      <w:r>
        <w:rPr>
          <w:lang w:val="es-PE"/>
        </w:rPr>
        <w:t xml:space="preserve">conformidad </w:t>
      </w:r>
      <w:r>
        <w:rPr>
          <w:color w:val="000000"/>
          <w:lang w:val="es-PE"/>
        </w:rPr>
        <w:t>del contrato de Fideicomiso de Administración, el</w:t>
      </w:r>
      <w:r>
        <w:rPr>
          <w:color w:val="000000"/>
          <w:lang w:val="es-CL"/>
        </w:rPr>
        <w:t xml:space="preserve"> CONCEDENTE </w:t>
      </w:r>
      <w:r>
        <w:rPr>
          <w:color w:val="000000"/>
          <w:lang w:val="es-PE"/>
        </w:rPr>
        <w:t xml:space="preserve">deberá solicitar opinión favorable del proyecto de contrato de Fideicomiso de Administración al Ministerio de Economía y Finanzas, siguiendo el procedimiento establecido en el artículo 116° del Reglamento del Decreto Legislativo </w:t>
      </w:r>
      <w:r>
        <w:rPr>
          <w:lang w:val="es-PE"/>
        </w:rPr>
        <w:t>N°</w:t>
      </w:r>
      <w:r>
        <w:rPr>
          <w:color w:val="000000"/>
          <w:lang w:val="es-PE"/>
        </w:rPr>
        <w:t xml:space="preserve"> 1362.</w:t>
      </w:r>
    </w:p>
    <w:p w14:paraId="5023E590" w14:textId="77777777" w:rsidR="004412F1" w:rsidRDefault="004412F1">
      <w:pPr>
        <w:pStyle w:val="Ttulo"/>
        <w:ind w:left="993"/>
        <w:jc w:val="both"/>
        <w:rPr>
          <w:lang w:val="es-CL"/>
        </w:rPr>
      </w:pPr>
    </w:p>
    <w:p w14:paraId="0C2A9424" w14:textId="77777777" w:rsidR="004412F1" w:rsidRDefault="005A12A3">
      <w:pPr>
        <w:widowControl w:val="0"/>
        <w:numPr>
          <w:ilvl w:val="0"/>
          <w:numId w:val="192"/>
        </w:numPr>
        <w:ind w:left="1134" w:hanging="567"/>
        <w:jc w:val="both"/>
        <w:rPr>
          <w:rFonts w:eastAsia="Times New Roman"/>
          <w:bCs/>
          <w:color w:val="000000"/>
          <w:szCs w:val="18"/>
          <w:lang w:val="es-ES" w:eastAsia="es-ES"/>
        </w:rPr>
      </w:pPr>
      <w:r>
        <w:rPr>
          <w:color w:val="000000"/>
          <w:lang w:val="es-PE"/>
        </w:rPr>
        <w:t xml:space="preserve">Luego de obtener la opinión favorable del Ministerio de Economía y Finanzas, las Partes suscribirán el contrato de Fideicomiso de Administración.  El CONCESIONARIO posteriormente procederá a legalizar notarial e inscripción ante los Registros Públicos del contrato de Fideicomiso de Administración, luego de lo cual el CONCESIONARIO enviará un ejemplar al CONCEDENTE y una copia al REGULADOR. </w:t>
      </w:r>
    </w:p>
    <w:p w14:paraId="5881DFD9" w14:textId="77777777" w:rsidR="004412F1" w:rsidRDefault="004412F1">
      <w:pPr>
        <w:jc w:val="both"/>
        <w:rPr>
          <w:lang w:val="es-PE"/>
        </w:rPr>
      </w:pPr>
    </w:p>
    <w:p w14:paraId="09757F92" w14:textId="77777777" w:rsidR="004412F1" w:rsidRDefault="005A12A3">
      <w:pPr>
        <w:ind w:left="567"/>
        <w:jc w:val="both"/>
        <w:rPr>
          <w:lang w:val="es-PE"/>
        </w:rPr>
      </w:pPr>
      <w:r>
        <w:rPr>
          <w:lang w:val="es-PE"/>
        </w:rPr>
        <w:t>El contrato de Fideicomiso de Administración deberá respetar las obligaciones y normas establecidas en el Contrato de Concesión, con expresa indicación de la obligación a cargo del CONCEDENTE de emitir instrucciones.</w:t>
      </w:r>
    </w:p>
    <w:p w14:paraId="7BABC18D" w14:textId="77777777" w:rsidR="004412F1" w:rsidRDefault="004412F1">
      <w:pPr>
        <w:jc w:val="both"/>
        <w:rPr>
          <w:lang w:val="es-PE"/>
        </w:rPr>
      </w:pPr>
    </w:p>
    <w:p w14:paraId="072D434D" w14:textId="77777777" w:rsidR="004412F1" w:rsidRDefault="005A12A3">
      <w:pPr>
        <w:ind w:left="567"/>
        <w:jc w:val="both"/>
        <w:rPr>
          <w:lang w:val="es-PE"/>
        </w:rPr>
      </w:pPr>
      <w:r>
        <w:rPr>
          <w:lang w:val="es-PE"/>
        </w:rPr>
        <w:t>En caso de que el CONCESIONARIO no cumpliera con su obligación de constituir Fideicomiso de Administración en los términos y plazos señalados, se aplicará al CONCESIONARIO una penalidad a que se refiere la Tabla N° 8 del ANEXO IX.</w:t>
      </w:r>
    </w:p>
    <w:p w14:paraId="6E7B84DC" w14:textId="77777777" w:rsidR="004412F1" w:rsidRDefault="004412F1">
      <w:pPr>
        <w:jc w:val="both"/>
        <w:rPr>
          <w:lang w:val="es-PE"/>
        </w:rPr>
      </w:pPr>
    </w:p>
    <w:p w14:paraId="13A4EC5A" w14:textId="77777777" w:rsidR="004412F1" w:rsidRDefault="005A12A3">
      <w:pPr>
        <w:ind w:left="567"/>
        <w:jc w:val="both"/>
        <w:rPr>
          <w:lang w:val="es-PE"/>
        </w:rPr>
      </w:pPr>
      <w:r>
        <w:rPr>
          <w:lang w:val="es-PE"/>
        </w:rPr>
        <w:t>En caso no se hubiere constituido el Fideicomiso de Administración dentro de un plazo máximo de treinta (30) Días Calendario contados desde la obtención de la opinión favorable del Ministerio de Economía y Finanzas, el CONCEDENTE procederá la ejecución de la Garantía de Fiel Cumplimiento del Contrato de Concesión.</w:t>
      </w:r>
    </w:p>
    <w:p w14:paraId="390BF90F" w14:textId="77777777" w:rsidR="004412F1" w:rsidRDefault="004412F1">
      <w:pPr>
        <w:jc w:val="both"/>
        <w:rPr>
          <w:lang w:val="es-PE"/>
        </w:rPr>
      </w:pPr>
    </w:p>
    <w:p w14:paraId="1B5E8F6A" w14:textId="77777777" w:rsidR="004412F1" w:rsidRDefault="005A12A3" w:rsidP="00105A1A">
      <w:pPr>
        <w:ind w:left="567"/>
        <w:jc w:val="both"/>
        <w:rPr>
          <w:lang w:val="es-CL"/>
        </w:rPr>
      </w:pPr>
      <w:r>
        <w:rPr>
          <w:lang w:val="es-PE"/>
        </w:rPr>
        <w:t>En ningún caso se podrá modificar el contrato de Fideicomiso sin la intervención del CONCEDENTE.</w:t>
      </w:r>
    </w:p>
    <w:p w14:paraId="15B09C9E" w14:textId="77777777" w:rsidR="004412F1" w:rsidRDefault="004412F1">
      <w:pPr>
        <w:tabs>
          <w:tab w:val="left" w:pos="1418"/>
        </w:tabs>
        <w:ind w:left="851"/>
        <w:jc w:val="both"/>
        <w:rPr>
          <w:lang w:val="es-PE"/>
        </w:rPr>
      </w:pPr>
    </w:p>
    <w:p w14:paraId="33751B56" w14:textId="77777777" w:rsidR="004412F1" w:rsidRDefault="005A12A3">
      <w:pPr>
        <w:widowControl w:val="0"/>
        <w:numPr>
          <w:ilvl w:val="0"/>
          <w:numId w:val="190"/>
        </w:numPr>
        <w:ind w:left="567" w:hanging="425"/>
        <w:jc w:val="both"/>
        <w:rPr>
          <w:b/>
          <w:color w:val="000000"/>
          <w:lang w:val="es-CL"/>
        </w:rPr>
      </w:pPr>
      <w:r>
        <w:rPr>
          <w:b/>
          <w:color w:val="000000"/>
          <w:lang w:val="es-CL"/>
        </w:rPr>
        <w:t>Cuentas del Fideicomiso de Administración</w:t>
      </w:r>
    </w:p>
    <w:p w14:paraId="2EA68617" w14:textId="77777777" w:rsidR="004412F1" w:rsidRDefault="004412F1">
      <w:pPr>
        <w:ind w:left="567"/>
        <w:jc w:val="both"/>
      </w:pPr>
    </w:p>
    <w:p w14:paraId="4572DDA6" w14:textId="77777777" w:rsidR="004412F1" w:rsidRDefault="005A12A3">
      <w:pPr>
        <w:ind w:left="567"/>
        <w:jc w:val="both"/>
        <w:rPr>
          <w:lang w:val="es-PE"/>
        </w:rPr>
      </w:pPr>
      <w:r>
        <w:rPr>
          <w:lang w:val="es-PE"/>
        </w:rPr>
        <w:t>El Fideicomiso de Administración tendrá por lo menos las siguientes cuentas separadas:</w:t>
      </w:r>
    </w:p>
    <w:p w14:paraId="62ADF31B" w14:textId="77777777" w:rsidR="004412F1" w:rsidRDefault="004412F1">
      <w:pPr>
        <w:jc w:val="both"/>
        <w:rPr>
          <w:lang w:val="es-PE"/>
        </w:rPr>
      </w:pPr>
    </w:p>
    <w:p w14:paraId="46544FCA" w14:textId="77777777" w:rsidR="004412F1" w:rsidRDefault="005A12A3">
      <w:pPr>
        <w:pStyle w:val="Prrafodelista"/>
        <w:numPr>
          <w:ilvl w:val="1"/>
          <w:numId w:val="194"/>
        </w:numPr>
        <w:ind w:left="1418" w:hanging="567"/>
        <w:jc w:val="both"/>
      </w:pPr>
      <w:r>
        <w:t>Cuenta Recaudadora</w:t>
      </w:r>
    </w:p>
    <w:p w14:paraId="2B85D153" w14:textId="77777777" w:rsidR="004412F1" w:rsidRDefault="005A12A3">
      <w:pPr>
        <w:pStyle w:val="Prrafodelista"/>
        <w:numPr>
          <w:ilvl w:val="1"/>
          <w:numId w:val="194"/>
        </w:numPr>
        <w:ind w:left="1418" w:hanging="567"/>
        <w:jc w:val="both"/>
      </w:pPr>
      <w:r>
        <w:t>Cuenta de Emergencias Viales</w:t>
      </w:r>
    </w:p>
    <w:p w14:paraId="47BC27EE" w14:textId="77777777" w:rsidR="004412F1" w:rsidRDefault="005A12A3">
      <w:pPr>
        <w:pStyle w:val="Prrafodelista"/>
        <w:numPr>
          <w:ilvl w:val="1"/>
          <w:numId w:val="194"/>
        </w:numPr>
        <w:ind w:left="1418" w:hanging="567"/>
        <w:jc w:val="both"/>
      </w:pPr>
      <w:r>
        <w:t>Cuenta de Seguros</w:t>
      </w:r>
    </w:p>
    <w:p w14:paraId="1854B9F1" w14:textId="77777777" w:rsidR="004412F1" w:rsidRDefault="005A12A3">
      <w:pPr>
        <w:pStyle w:val="Prrafodelista"/>
        <w:numPr>
          <w:ilvl w:val="1"/>
          <w:numId w:val="194"/>
        </w:numPr>
        <w:ind w:left="1418" w:hanging="567"/>
        <w:jc w:val="both"/>
      </w:pPr>
      <w:r>
        <w:t>Cuenta RPI</w:t>
      </w:r>
    </w:p>
    <w:p w14:paraId="056E1C49" w14:textId="77777777" w:rsidR="004412F1" w:rsidRDefault="005A12A3">
      <w:pPr>
        <w:pStyle w:val="Prrafodelista"/>
        <w:numPr>
          <w:ilvl w:val="1"/>
          <w:numId w:val="194"/>
        </w:numPr>
        <w:ind w:left="1418" w:hanging="567"/>
        <w:jc w:val="both"/>
      </w:pPr>
      <w:r>
        <w:t>Cuenta PAMPI</w:t>
      </w:r>
    </w:p>
    <w:p w14:paraId="6C3FC5CD" w14:textId="77777777" w:rsidR="004412F1" w:rsidRDefault="005A12A3">
      <w:pPr>
        <w:pStyle w:val="Prrafodelista"/>
        <w:numPr>
          <w:ilvl w:val="1"/>
          <w:numId w:val="194"/>
        </w:numPr>
        <w:ind w:left="1418" w:hanging="567"/>
        <w:jc w:val="both"/>
      </w:pPr>
      <w:r>
        <w:t>Cuenta PPO</w:t>
      </w:r>
    </w:p>
    <w:p w14:paraId="65944CE5" w14:textId="77777777" w:rsidR="004412F1" w:rsidRDefault="005A12A3">
      <w:pPr>
        <w:pStyle w:val="Prrafodelista"/>
        <w:numPr>
          <w:ilvl w:val="1"/>
          <w:numId w:val="194"/>
        </w:numPr>
        <w:ind w:left="1418" w:hanging="567"/>
        <w:jc w:val="both"/>
      </w:pPr>
      <w:r>
        <w:t>Cuenta RPMO</w:t>
      </w:r>
    </w:p>
    <w:p w14:paraId="0556DE1D" w14:textId="77777777" w:rsidR="004412F1" w:rsidRDefault="005A12A3">
      <w:pPr>
        <w:pStyle w:val="Prrafodelista"/>
        <w:numPr>
          <w:ilvl w:val="1"/>
          <w:numId w:val="194"/>
        </w:numPr>
        <w:ind w:left="1418" w:hanging="567"/>
        <w:jc w:val="both"/>
      </w:pPr>
      <w:r>
        <w:t>Cuenta de Mantenimiento Periódico</w:t>
      </w:r>
    </w:p>
    <w:p w14:paraId="7093A7BE" w14:textId="77777777" w:rsidR="004412F1" w:rsidRDefault="005A12A3">
      <w:pPr>
        <w:pStyle w:val="Prrafodelista"/>
        <w:numPr>
          <w:ilvl w:val="1"/>
          <w:numId w:val="194"/>
        </w:numPr>
        <w:ind w:left="1418" w:hanging="567"/>
        <w:jc w:val="both"/>
      </w:pPr>
      <w:r>
        <w:t>Cuenta Penalidades</w:t>
      </w:r>
    </w:p>
    <w:p w14:paraId="6B97207A" w14:textId="77777777" w:rsidR="004412F1" w:rsidRDefault="005A12A3">
      <w:pPr>
        <w:pStyle w:val="Prrafodelista"/>
        <w:numPr>
          <w:ilvl w:val="1"/>
          <w:numId w:val="194"/>
        </w:numPr>
        <w:ind w:left="1418" w:hanging="567"/>
        <w:jc w:val="both"/>
      </w:pPr>
      <w:r>
        <w:t>Cuenta de Honorarios</w:t>
      </w:r>
    </w:p>
    <w:p w14:paraId="1FC5DD49" w14:textId="77777777" w:rsidR="004412F1" w:rsidRDefault="004412F1">
      <w:pPr>
        <w:tabs>
          <w:tab w:val="left" w:pos="1418"/>
        </w:tabs>
        <w:ind w:left="709"/>
        <w:jc w:val="both"/>
      </w:pPr>
    </w:p>
    <w:p w14:paraId="04C701D4" w14:textId="77777777" w:rsidR="004412F1" w:rsidRDefault="005A12A3">
      <w:pPr>
        <w:numPr>
          <w:ilvl w:val="0"/>
          <w:numId w:val="195"/>
        </w:numPr>
        <w:ind w:left="851" w:hanging="284"/>
        <w:jc w:val="both"/>
        <w:rPr>
          <w:b/>
          <w:lang w:val="es-CL"/>
        </w:rPr>
      </w:pPr>
      <w:r>
        <w:rPr>
          <w:b/>
          <w:lang w:val="es-CL"/>
        </w:rPr>
        <w:t>Cuenta</w:t>
      </w:r>
      <w:r>
        <w:rPr>
          <w:b/>
          <w:color w:val="000000"/>
          <w:lang w:val="es-CL"/>
        </w:rPr>
        <w:t xml:space="preserve"> Recaudadora</w:t>
      </w:r>
      <w:r>
        <w:rPr>
          <w:b/>
          <w:color w:val="000000"/>
        </w:rPr>
        <w:t xml:space="preserve"> </w:t>
      </w:r>
    </w:p>
    <w:p w14:paraId="619DE05B" w14:textId="77777777" w:rsidR="004412F1" w:rsidRDefault="005A12A3">
      <w:pPr>
        <w:ind w:left="851"/>
        <w:jc w:val="both"/>
        <w:rPr>
          <w:color w:val="000000"/>
        </w:rPr>
      </w:pPr>
      <w:r>
        <w:rPr>
          <w:color w:val="000000"/>
          <w:lang w:val="es-PE"/>
        </w:rPr>
        <w:t xml:space="preserve">Esta cuenta tendrá vigencia desde la constitución del Fideicomiso de Administración hasta finalizar la Concesión. </w:t>
      </w:r>
      <w:r>
        <w:rPr>
          <w:color w:val="000000"/>
        </w:rPr>
        <w:t>En esta cuenta el CONCESIONARIO depositará en moneda nacional:</w:t>
      </w:r>
    </w:p>
    <w:p w14:paraId="00B4E1B2" w14:textId="77777777" w:rsidR="004412F1" w:rsidRDefault="004412F1">
      <w:pPr>
        <w:ind w:left="851"/>
        <w:jc w:val="both"/>
      </w:pPr>
    </w:p>
    <w:p w14:paraId="36432CF3" w14:textId="77777777" w:rsidR="004412F1" w:rsidRDefault="005A12A3" w:rsidP="00105A1A">
      <w:pPr>
        <w:numPr>
          <w:ilvl w:val="0"/>
          <w:numId w:val="196"/>
        </w:numPr>
        <w:ind w:left="1276" w:hanging="425"/>
        <w:jc w:val="both"/>
        <w:rPr>
          <w:lang w:val="es-PE"/>
        </w:rPr>
      </w:pPr>
      <w:r>
        <w:rPr>
          <w:lang w:val="es-PE"/>
        </w:rPr>
        <w:t>El íntegro de la recaudación semanal por concepto de Peaje, en el primer Día de la semana siguiente de realizada la recaudación.</w:t>
      </w:r>
    </w:p>
    <w:p w14:paraId="4A204477" w14:textId="77777777" w:rsidR="004412F1" w:rsidRDefault="005A12A3">
      <w:pPr>
        <w:numPr>
          <w:ilvl w:val="0"/>
          <w:numId w:val="196"/>
        </w:numPr>
        <w:ind w:left="1276" w:hanging="425"/>
        <w:jc w:val="both"/>
        <w:rPr>
          <w:lang w:val="es-CL"/>
        </w:rPr>
      </w:pPr>
      <w:r>
        <w:rPr>
          <w:lang w:val="es-PE"/>
        </w:rPr>
        <w:t xml:space="preserve">Los montos correspondientes al </w:t>
      </w:r>
      <w:r>
        <w:rPr>
          <w:lang w:val="es-CL"/>
        </w:rPr>
        <w:t xml:space="preserve">Cofinanciamiento, a </w:t>
      </w:r>
      <w:r>
        <w:rPr>
          <w:lang w:val="es-PE"/>
        </w:rPr>
        <w:t xml:space="preserve">fin de destinar dichos montos al pago de la RPI, PAMPI, RPMO y PPO. </w:t>
      </w:r>
      <w:r>
        <w:rPr>
          <w:lang w:val="es-CL"/>
        </w:rPr>
        <w:t xml:space="preserve"> </w:t>
      </w:r>
    </w:p>
    <w:p w14:paraId="52EF5488" w14:textId="77777777" w:rsidR="004412F1" w:rsidRDefault="004412F1">
      <w:pPr>
        <w:ind w:left="851"/>
        <w:jc w:val="both"/>
        <w:rPr>
          <w:lang w:val="es-PE"/>
        </w:rPr>
      </w:pPr>
    </w:p>
    <w:p w14:paraId="428AD44D" w14:textId="77777777" w:rsidR="004412F1" w:rsidRDefault="005A12A3" w:rsidP="00105A1A">
      <w:pPr>
        <w:ind w:left="851"/>
        <w:jc w:val="both"/>
        <w:rPr>
          <w:color w:val="000000"/>
          <w:lang w:val="es-CL"/>
        </w:rPr>
      </w:pPr>
      <w:r>
        <w:rPr>
          <w:lang w:val="es-PE"/>
        </w:rPr>
        <w:t xml:space="preserve">De esta Cuenta Recaudadora se desembolsarán los pagos según las instrucciones establecidas en el numeral 8 del presente Apéndice. </w:t>
      </w:r>
      <w:r>
        <w:rPr>
          <w:lang w:val="es-CL"/>
        </w:rPr>
        <w:t>En caso de culminar la vigencia del Fideicomiso de Administración, de existir saldo remanente en la cuenta recaudadora, los recursos serán liberados</w:t>
      </w:r>
      <w:r>
        <w:rPr>
          <w:color w:val="000000"/>
          <w:lang w:val="es-CL"/>
        </w:rPr>
        <w:t xml:space="preserve"> a favor del CONCEDENTE.</w:t>
      </w:r>
    </w:p>
    <w:p w14:paraId="62FF6137" w14:textId="77777777" w:rsidR="004412F1" w:rsidRDefault="004412F1">
      <w:pPr>
        <w:ind w:left="851"/>
        <w:jc w:val="both"/>
        <w:rPr>
          <w:rFonts w:eastAsia="SimSun"/>
          <w:lang w:val="es-PE" w:eastAsia="zh-CN"/>
        </w:rPr>
      </w:pPr>
    </w:p>
    <w:p w14:paraId="7A41739D" w14:textId="77777777" w:rsidR="004412F1" w:rsidRDefault="005A12A3">
      <w:pPr>
        <w:numPr>
          <w:ilvl w:val="0"/>
          <w:numId w:val="195"/>
        </w:numPr>
        <w:ind w:left="851" w:hanging="284"/>
        <w:jc w:val="both"/>
        <w:rPr>
          <w:b/>
          <w:lang w:val="es-CL"/>
        </w:rPr>
      </w:pPr>
      <w:r>
        <w:rPr>
          <w:b/>
          <w:color w:val="000000" w:themeColor="text1"/>
          <w:lang w:val="es-CL"/>
        </w:rPr>
        <w:t>Cuenta</w:t>
      </w:r>
      <w:r>
        <w:rPr>
          <w:b/>
          <w:color w:val="000000"/>
          <w:lang w:val="es-CL"/>
        </w:rPr>
        <w:t xml:space="preserve"> de Emergencias Viales</w:t>
      </w:r>
    </w:p>
    <w:p w14:paraId="3BFD38CF" w14:textId="77777777" w:rsidR="004412F1" w:rsidRDefault="005A12A3" w:rsidP="00105A1A">
      <w:pPr>
        <w:ind w:left="851"/>
        <w:jc w:val="both"/>
        <w:rPr>
          <w:lang w:val="es-CL"/>
        </w:rPr>
      </w:pPr>
      <w:r>
        <w:rPr>
          <w:color w:val="000000"/>
          <w:lang w:val="es-CL"/>
        </w:rPr>
        <w:t>Esta cuenta tendrá por finalidad garantizar de manera oportuna la disponi</w:t>
      </w:r>
      <w:r>
        <w:rPr>
          <w:lang w:val="es-CL"/>
        </w:rPr>
        <w:t xml:space="preserve">bilidad de fondos necesarios para que se realicen los pagos que correspondan a este tipo de eventualidades. </w:t>
      </w:r>
    </w:p>
    <w:p w14:paraId="7C7930E4" w14:textId="77777777" w:rsidR="004412F1" w:rsidRDefault="004412F1">
      <w:pPr>
        <w:ind w:left="851"/>
        <w:jc w:val="both"/>
        <w:rPr>
          <w:lang w:val="es-PE"/>
        </w:rPr>
      </w:pPr>
    </w:p>
    <w:p w14:paraId="505596E9" w14:textId="77777777" w:rsidR="004412F1" w:rsidRDefault="005A12A3">
      <w:pPr>
        <w:ind w:left="851"/>
        <w:jc w:val="both"/>
        <w:rPr>
          <w:color w:val="000000"/>
          <w:lang w:val="es-PE"/>
        </w:rPr>
      </w:pPr>
      <w:r>
        <w:rPr>
          <w:color w:val="000000"/>
          <w:lang w:val="es-PE"/>
        </w:rPr>
        <w:t xml:space="preserve">En dicha cuenta se abonará una cantidad equivalente al: i) desde la firma del Contrato de Concesión hasta la culminación del primer año de la concesión: el íntegro de la recaudación de Peaje hasta alcanzar el límite máximo de 2,500,000.00 de Dólares Americanos (US$ 2,500,000.00), así como los fondos necesarios para cubrir los costos por emergencias viales incurridos en ese año;; y ii) desde el inicio del segundo año hasta la caducidad del Contrato de Concesión: se provisionarán los fondos faltantes para completar el límite máximo del fondo de emergencia vial señalado en este párrafo. La Cuenta de Emergencias Viales no deberá superar en ninguna circunstancia el monto de US$ 2’500,000.00. </w:t>
      </w:r>
    </w:p>
    <w:p w14:paraId="7E8B3AB0" w14:textId="77777777" w:rsidR="004412F1" w:rsidRDefault="004412F1">
      <w:pPr>
        <w:ind w:left="851"/>
        <w:jc w:val="both"/>
        <w:rPr>
          <w:lang w:val="es-PE"/>
        </w:rPr>
      </w:pPr>
    </w:p>
    <w:p w14:paraId="3E576E2B" w14:textId="77777777" w:rsidR="004412F1" w:rsidRDefault="005A12A3">
      <w:pPr>
        <w:ind w:left="851"/>
        <w:jc w:val="both"/>
        <w:rPr>
          <w:lang w:val="es-PE"/>
        </w:rPr>
      </w:pPr>
      <w:r>
        <w:rPr>
          <w:lang w:val="es-PE"/>
        </w:rPr>
        <w:t>En caso se utilice parte o la totalidad de los fondos de esta cuenta, se procederá nuevamente a efectuar la provisión establecida hasta completar el monto indicado en el párrafo anterior.</w:t>
      </w:r>
    </w:p>
    <w:p w14:paraId="3B2A47C1" w14:textId="77777777" w:rsidR="004412F1" w:rsidRDefault="004412F1">
      <w:pPr>
        <w:ind w:left="851"/>
        <w:jc w:val="both"/>
        <w:rPr>
          <w:lang w:val="es-PE"/>
        </w:rPr>
      </w:pPr>
    </w:p>
    <w:p w14:paraId="600F92AD" w14:textId="77777777" w:rsidR="004412F1" w:rsidRDefault="005A12A3" w:rsidP="00105A1A">
      <w:pPr>
        <w:ind w:left="851"/>
        <w:jc w:val="both"/>
        <w:rPr>
          <w:color w:val="000000"/>
          <w:lang w:val="es-CL"/>
        </w:rPr>
      </w:pPr>
      <w:r>
        <w:rPr>
          <w:lang w:val="es-CL"/>
        </w:rPr>
        <w:t>De culminar la v</w:t>
      </w:r>
      <w:r>
        <w:rPr>
          <w:color w:val="000000"/>
          <w:lang w:val="es-CL"/>
        </w:rPr>
        <w:t>igencia del Fideicomiso de Administración los remanentes de la Cuenta Emergencias Viales corresponderán al CONCEDENTE.</w:t>
      </w:r>
    </w:p>
    <w:p w14:paraId="507ACF56" w14:textId="77777777" w:rsidR="004412F1" w:rsidRDefault="004412F1">
      <w:pPr>
        <w:ind w:left="851"/>
        <w:jc w:val="both"/>
        <w:rPr>
          <w:lang w:val="es-PE"/>
        </w:rPr>
      </w:pPr>
    </w:p>
    <w:p w14:paraId="127103F1" w14:textId="77777777" w:rsidR="004412F1" w:rsidRDefault="005A12A3">
      <w:pPr>
        <w:numPr>
          <w:ilvl w:val="0"/>
          <w:numId w:val="195"/>
        </w:numPr>
        <w:ind w:left="851" w:hanging="284"/>
        <w:jc w:val="both"/>
        <w:rPr>
          <w:b/>
        </w:rPr>
      </w:pPr>
      <w:r>
        <w:rPr>
          <w:b/>
        </w:rPr>
        <w:t>Cuenta de Seguros</w:t>
      </w:r>
    </w:p>
    <w:p w14:paraId="14B0E508" w14:textId="77777777" w:rsidR="004412F1" w:rsidRDefault="005A12A3">
      <w:pPr>
        <w:ind w:left="851"/>
        <w:jc w:val="both"/>
        <w:rPr>
          <w:lang w:val="es-PE"/>
        </w:rPr>
      </w:pPr>
      <w:r>
        <w:rPr>
          <w:lang w:val="es-PE"/>
        </w:rPr>
        <w:t xml:space="preserve">Cuenta del Fideicomiso de Administración en la que el CONCESIONARIO depositará los recursos provenientes de indemnizaciones por las pólizas de seguros contratados por el CONCESIONARIO. </w:t>
      </w:r>
    </w:p>
    <w:p w14:paraId="614F2B63" w14:textId="77777777" w:rsidR="004412F1" w:rsidRDefault="004412F1">
      <w:pPr>
        <w:ind w:left="851"/>
        <w:jc w:val="both"/>
        <w:rPr>
          <w:sz w:val="20"/>
          <w:szCs w:val="20"/>
          <w:lang w:val="es-CO"/>
        </w:rPr>
      </w:pPr>
    </w:p>
    <w:p w14:paraId="354059BF" w14:textId="2ABDBA47" w:rsidR="004412F1" w:rsidRDefault="005A12A3">
      <w:pPr>
        <w:ind w:left="851"/>
        <w:jc w:val="both"/>
        <w:rPr>
          <w:lang w:val="es-PE"/>
        </w:rPr>
      </w:pPr>
      <w:r>
        <w:rPr>
          <w:lang w:val="es-PE"/>
        </w:rPr>
        <w:t>En caso de culminar la vigencia del Contrato en el Plazo indicado en la Cláusula 4.1, de existir un saldo remanente, en la cuenta Seguros, los recursos serán liberados a favor del CONCEDENTE.</w:t>
      </w:r>
    </w:p>
    <w:p w14:paraId="00BFB3A1" w14:textId="77777777" w:rsidR="004412F1" w:rsidRDefault="005A12A3">
      <w:pPr>
        <w:ind w:left="851"/>
        <w:jc w:val="both"/>
        <w:rPr>
          <w:lang w:val="es-PE"/>
        </w:rPr>
      </w:pPr>
      <w:r>
        <w:rPr>
          <w:lang w:val="es-PE"/>
        </w:rPr>
        <w:t xml:space="preserve"> </w:t>
      </w:r>
    </w:p>
    <w:p w14:paraId="555AE6A7" w14:textId="77777777" w:rsidR="004412F1" w:rsidRDefault="005A12A3">
      <w:pPr>
        <w:numPr>
          <w:ilvl w:val="0"/>
          <w:numId w:val="195"/>
        </w:numPr>
        <w:ind w:left="851" w:hanging="284"/>
        <w:jc w:val="both"/>
        <w:rPr>
          <w:b/>
        </w:rPr>
      </w:pPr>
      <w:r>
        <w:rPr>
          <w:b/>
        </w:rPr>
        <w:t>Cuenta RPI</w:t>
      </w:r>
    </w:p>
    <w:p w14:paraId="1B4F733B" w14:textId="77777777" w:rsidR="004412F1" w:rsidRDefault="005A12A3">
      <w:pPr>
        <w:ind w:left="851"/>
        <w:jc w:val="both"/>
        <w:rPr>
          <w:lang w:val="es-PE"/>
        </w:rPr>
      </w:pPr>
      <w:r>
        <w:rPr>
          <w:lang w:val="es-PE"/>
        </w:rPr>
        <w:t>Cuenta del Fideicomiso de Administración en la que el Fiduciario depositará el pago de las obligaciones del RPI, tomando en consideración la liquidación trimestral aprobada por el CONCEDENTE de acuerdo con lo establecido en el ANEXO X</w:t>
      </w:r>
      <w:r>
        <w:rPr>
          <w:lang w:val="es-ES"/>
        </w:rPr>
        <w:t>I</w:t>
      </w:r>
      <w:r>
        <w:rPr>
          <w:lang w:val="es-PE"/>
        </w:rPr>
        <w:t>.</w:t>
      </w:r>
    </w:p>
    <w:p w14:paraId="52046637" w14:textId="77777777" w:rsidR="004412F1" w:rsidRDefault="004412F1">
      <w:pPr>
        <w:ind w:left="851"/>
        <w:jc w:val="both"/>
        <w:rPr>
          <w:rFonts w:eastAsiaTheme="minorEastAsia"/>
          <w:sz w:val="20"/>
          <w:szCs w:val="20"/>
          <w:lang w:val="es-CO"/>
        </w:rPr>
      </w:pPr>
    </w:p>
    <w:p w14:paraId="0DD22646" w14:textId="77777777" w:rsidR="004412F1" w:rsidRDefault="005A12A3">
      <w:pPr>
        <w:ind w:left="851"/>
        <w:jc w:val="both"/>
        <w:rPr>
          <w:lang w:val="es-PE"/>
        </w:rPr>
      </w:pPr>
      <w:r>
        <w:rPr>
          <w:lang w:val="es-PE"/>
        </w:rPr>
        <w:t>Esta cuenta tendrá vigencia desde un (1) mes anterior al primer CAO emitido, hasta el cumplimiento del pago total por concepto de RPI del último Hito Constructivo a que tenga derecho el CONCESIONARIO.</w:t>
      </w:r>
    </w:p>
    <w:p w14:paraId="5212FA2F" w14:textId="77777777" w:rsidR="004412F1" w:rsidRDefault="005A12A3">
      <w:pPr>
        <w:ind w:left="851"/>
        <w:jc w:val="both"/>
        <w:rPr>
          <w:lang w:val="es-PE"/>
        </w:rPr>
      </w:pPr>
      <w:r>
        <w:rPr>
          <w:lang w:val="es-PE"/>
        </w:rPr>
        <w:t xml:space="preserve"> </w:t>
      </w:r>
    </w:p>
    <w:p w14:paraId="3D14C41A" w14:textId="77777777" w:rsidR="004412F1" w:rsidRDefault="005A12A3">
      <w:pPr>
        <w:numPr>
          <w:ilvl w:val="0"/>
          <w:numId w:val="195"/>
        </w:numPr>
        <w:ind w:left="851" w:hanging="284"/>
        <w:jc w:val="both"/>
        <w:rPr>
          <w:b/>
        </w:rPr>
      </w:pPr>
      <w:r>
        <w:rPr>
          <w:b/>
        </w:rPr>
        <w:t>Cuenta PAMPI</w:t>
      </w:r>
    </w:p>
    <w:p w14:paraId="60B3E9EB" w14:textId="77777777" w:rsidR="004412F1" w:rsidRDefault="005A12A3">
      <w:pPr>
        <w:ind w:left="851"/>
        <w:jc w:val="both"/>
        <w:rPr>
          <w:lang w:val="es-PE"/>
        </w:rPr>
      </w:pPr>
      <w:r>
        <w:rPr>
          <w:lang w:val="es-PE"/>
        </w:rPr>
        <w:t>Cuenta del Fideicomiso de Administración en la que el Fiduciario depositará el pago de las obligaciones del PAMPI, tomando en consideración la liquidación trimestral aprobada por el CONCEDENTE de acuerdo con la aceptación de los Hitos Funcionales a los que correspondan.</w:t>
      </w:r>
    </w:p>
    <w:p w14:paraId="7121B95B" w14:textId="77777777" w:rsidR="004412F1" w:rsidRDefault="004412F1">
      <w:pPr>
        <w:ind w:left="851"/>
        <w:jc w:val="both"/>
        <w:rPr>
          <w:lang w:val="es-PE"/>
        </w:rPr>
      </w:pPr>
    </w:p>
    <w:p w14:paraId="35D0C1DC" w14:textId="77777777" w:rsidR="004412F1" w:rsidRDefault="005A12A3">
      <w:pPr>
        <w:ind w:left="851"/>
        <w:jc w:val="both"/>
        <w:rPr>
          <w:lang w:val="es-PE"/>
        </w:rPr>
      </w:pPr>
      <w:r>
        <w:rPr>
          <w:lang w:val="es-PE"/>
        </w:rPr>
        <w:t>Esta cuenta tendrá vigencia desde un (1) mes anterior a la emisión de la valorización del primer Hito Funcional, hasta el cumplimiento del pago total por concepto de PAMPI del último Hito Funcional a que tenga derecho el CONCESIONARIO.</w:t>
      </w:r>
    </w:p>
    <w:p w14:paraId="24A9DAAF" w14:textId="77777777" w:rsidR="004412F1" w:rsidRDefault="004412F1">
      <w:pPr>
        <w:ind w:left="851"/>
        <w:jc w:val="both"/>
        <w:rPr>
          <w:rFonts w:eastAsia="SimSun"/>
          <w:lang w:val="es-PE" w:eastAsia="zh-CN"/>
        </w:rPr>
      </w:pPr>
    </w:p>
    <w:p w14:paraId="2337232C" w14:textId="77777777" w:rsidR="004412F1" w:rsidRDefault="005A12A3">
      <w:pPr>
        <w:numPr>
          <w:ilvl w:val="0"/>
          <w:numId w:val="195"/>
        </w:numPr>
        <w:ind w:left="851" w:hanging="284"/>
        <w:jc w:val="both"/>
        <w:rPr>
          <w:b/>
        </w:rPr>
      </w:pPr>
      <w:r>
        <w:rPr>
          <w:b/>
        </w:rPr>
        <w:t>Cuenta PPO</w:t>
      </w:r>
    </w:p>
    <w:p w14:paraId="154D2049" w14:textId="77777777" w:rsidR="004412F1" w:rsidRDefault="005A12A3">
      <w:pPr>
        <w:ind w:left="851"/>
        <w:jc w:val="both"/>
        <w:rPr>
          <w:lang w:val="es-PE"/>
        </w:rPr>
      </w:pPr>
      <w:r>
        <w:rPr>
          <w:lang w:val="es-PE"/>
        </w:rPr>
        <w:t>Cuenta del Fideicomiso de Administración en la que el Fiduciario depositará el pago de las obligaciones del PPO, tomando en consideración las instrucciones aprobadas por el CONCEDENTE.</w:t>
      </w:r>
    </w:p>
    <w:p w14:paraId="4ADC4711" w14:textId="77777777" w:rsidR="004412F1" w:rsidRDefault="005A12A3">
      <w:pPr>
        <w:ind w:left="851"/>
        <w:jc w:val="both"/>
        <w:rPr>
          <w:lang w:val="es-PE"/>
        </w:rPr>
      </w:pPr>
      <w:r>
        <w:rPr>
          <w:lang w:val="es-PE"/>
        </w:rPr>
        <w:t xml:space="preserve"> </w:t>
      </w:r>
    </w:p>
    <w:p w14:paraId="7F9F3A01" w14:textId="77777777" w:rsidR="004412F1" w:rsidRDefault="005A12A3">
      <w:pPr>
        <w:ind w:left="851"/>
        <w:jc w:val="both"/>
        <w:rPr>
          <w:rFonts w:eastAsia="SimSun"/>
          <w:lang w:val="es-PE" w:eastAsia="zh-CN"/>
        </w:rPr>
      </w:pPr>
      <w:r>
        <w:rPr>
          <w:lang w:val="es-PE"/>
        </w:rPr>
        <w:t>Esta cuenta tendrá vigencia desde la fecha de inicio de la Construcción del Evitamiento San Clemente, hasta la recepción y liquidación de la obra.</w:t>
      </w:r>
    </w:p>
    <w:p w14:paraId="1A81289C" w14:textId="77777777" w:rsidR="004412F1" w:rsidRDefault="004412F1">
      <w:pPr>
        <w:ind w:left="851"/>
        <w:jc w:val="both"/>
        <w:rPr>
          <w:rFonts w:eastAsia="SimSun"/>
          <w:lang w:val="es-PE" w:eastAsia="zh-CN"/>
        </w:rPr>
      </w:pPr>
    </w:p>
    <w:p w14:paraId="67FFA00B" w14:textId="77777777" w:rsidR="004412F1" w:rsidRDefault="005A12A3">
      <w:pPr>
        <w:numPr>
          <w:ilvl w:val="0"/>
          <w:numId w:val="195"/>
        </w:numPr>
        <w:ind w:left="851" w:hanging="284"/>
        <w:jc w:val="both"/>
        <w:rPr>
          <w:b/>
        </w:rPr>
      </w:pPr>
      <w:r>
        <w:rPr>
          <w:b/>
        </w:rPr>
        <w:t>Cuenta RPMO</w:t>
      </w:r>
    </w:p>
    <w:p w14:paraId="54ABA8C0" w14:textId="77777777" w:rsidR="004412F1" w:rsidRDefault="005A12A3">
      <w:pPr>
        <w:ind w:left="851"/>
        <w:jc w:val="both"/>
        <w:rPr>
          <w:lang w:val="es-PE"/>
        </w:rPr>
      </w:pPr>
      <w:r>
        <w:rPr>
          <w:lang w:val="es-PE"/>
        </w:rPr>
        <w:t>Cuenta del Fideicomiso de Administración en la que el Fiduciario depositará el pago de las obligaciones de la RPMO, tomando en consideración la RPMO vigente.</w:t>
      </w:r>
    </w:p>
    <w:p w14:paraId="5875B706" w14:textId="77777777" w:rsidR="004412F1" w:rsidRDefault="004412F1">
      <w:pPr>
        <w:ind w:left="851"/>
        <w:jc w:val="both"/>
        <w:rPr>
          <w:lang w:val="es-PE"/>
        </w:rPr>
      </w:pPr>
    </w:p>
    <w:p w14:paraId="36FB42E3" w14:textId="77777777" w:rsidR="004412F1" w:rsidRDefault="005A12A3">
      <w:pPr>
        <w:ind w:left="851"/>
        <w:jc w:val="both"/>
        <w:rPr>
          <w:lang w:val="es-PE"/>
        </w:rPr>
      </w:pPr>
      <w:r>
        <w:rPr>
          <w:lang w:val="es-PE"/>
        </w:rPr>
        <w:t xml:space="preserve">Esta cuenta tendrá vigencia desde la firma del Contrato de Concesión hasta la finalización </w:t>
      </w:r>
      <w:proofErr w:type="gramStart"/>
      <w:r>
        <w:rPr>
          <w:lang w:val="es-PE"/>
        </w:rPr>
        <w:t>del mismo</w:t>
      </w:r>
      <w:proofErr w:type="gramEnd"/>
      <w:r>
        <w:rPr>
          <w:lang w:val="es-PE"/>
        </w:rPr>
        <w:t>.</w:t>
      </w:r>
    </w:p>
    <w:p w14:paraId="6041D2E8" w14:textId="77777777" w:rsidR="004412F1" w:rsidRDefault="005A12A3">
      <w:pPr>
        <w:ind w:left="851"/>
        <w:jc w:val="both"/>
        <w:rPr>
          <w:lang w:val="es-PE"/>
        </w:rPr>
      </w:pPr>
      <w:r>
        <w:rPr>
          <w:lang w:val="es-PE"/>
        </w:rPr>
        <w:t xml:space="preserve"> </w:t>
      </w:r>
    </w:p>
    <w:p w14:paraId="58450351" w14:textId="77777777" w:rsidR="004412F1" w:rsidRDefault="005A12A3">
      <w:pPr>
        <w:ind w:left="851"/>
        <w:jc w:val="both"/>
        <w:rPr>
          <w:b/>
          <w:lang w:val="es-PE"/>
        </w:rPr>
      </w:pPr>
      <w:r>
        <w:rPr>
          <w:lang w:val="es-PE"/>
        </w:rPr>
        <w:t xml:space="preserve"> </w:t>
      </w:r>
    </w:p>
    <w:p w14:paraId="6A9D2FFC" w14:textId="77777777" w:rsidR="004412F1" w:rsidRDefault="005A12A3">
      <w:pPr>
        <w:numPr>
          <w:ilvl w:val="0"/>
          <w:numId w:val="195"/>
        </w:numPr>
        <w:ind w:left="851" w:hanging="284"/>
        <w:jc w:val="both"/>
        <w:rPr>
          <w:b/>
          <w:lang w:val="es-CL"/>
        </w:rPr>
      </w:pPr>
      <w:bookmarkStart w:id="2897" w:name="_Ref351386341"/>
      <w:r>
        <w:rPr>
          <w:b/>
          <w:color w:val="000000" w:themeColor="text1"/>
          <w:lang w:val="es-CL"/>
        </w:rPr>
        <w:t>Cuenta</w:t>
      </w:r>
      <w:r>
        <w:rPr>
          <w:b/>
          <w:color w:val="000000"/>
          <w:lang w:val="es-CL"/>
        </w:rPr>
        <w:t xml:space="preserve"> de Mantenimiento Periódico</w:t>
      </w:r>
      <w:bookmarkEnd w:id="2897"/>
    </w:p>
    <w:p w14:paraId="2B46D687" w14:textId="77777777" w:rsidR="004412F1" w:rsidRDefault="005A12A3" w:rsidP="00105A1A">
      <w:pPr>
        <w:ind w:left="851"/>
        <w:jc w:val="both"/>
        <w:rPr>
          <w:lang w:val="es-CL"/>
        </w:rPr>
      </w:pPr>
      <w:r>
        <w:rPr>
          <w:lang w:val="es-CL"/>
        </w:rPr>
        <w:t>Esta cuenta tendrá por finalidad garantizar que parte de los recursos de la Cuenta Recaudadora sean destinados a la ejecución del Mantenimiento Periódico por parte del CONCESIONARIO.</w:t>
      </w:r>
    </w:p>
    <w:p w14:paraId="57A0B5CF" w14:textId="77777777" w:rsidR="004412F1" w:rsidRDefault="004412F1">
      <w:pPr>
        <w:ind w:left="851"/>
        <w:jc w:val="both"/>
        <w:rPr>
          <w:lang w:val="es-PE"/>
        </w:rPr>
      </w:pPr>
    </w:p>
    <w:p w14:paraId="4B6BABF4" w14:textId="77777777" w:rsidR="004412F1" w:rsidRDefault="005A12A3" w:rsidP="00105A1A">
      <w:pPr>
        <w:ind w:left="851"/>
        <w:jc w:val="both"/>
        <w:rPr>
          <w:lang w:val="es-CL"/>
        </w:rPr>
      </w:pPr>
      <w:r>
        <w:rPr>
          <w:lang w:val="es-CL"/>
        </w:rPr>
        <w:t xml:space="preserve">En esta cuenta se abonará </w:t>
      </w:r>
      <w:r>
        <w:rPr>
          <w:lang w:val="es-PE"/>
        </w:rPr>
        <w:t>los montos respectivos,</w:t>
      </w:r>
      <w:r>
        <w:rPr>
          <w:lang w:val="es-CL"/>
        </w:rPr>
        <w:t xml:space="preserve"> según las instrucciones establecidas en el </w:t>
      </w:r>
      <w:r>
        <w:rPr>
          <w:lang w:val="es-PE"/>
        </w:rPr>
        <w:t xml:space="preserve">Apéndice </w:t>
      </w:r>
      <w:r>
        <w:rPr>
          <w:lang w:val="es-ES"/>
        </w:rPr>
        <w:t xml:space="preserve">3 </w:t>
      </w:r>
      <w:r>
        <w:rPr>
          <w:lang w:val="es-CL"/>
        </w:rPr>
        <w:t>del presente ANEXO</w:t>
      </w:r>
      <w:r>
        <w:rPr>
          <w:lang w:val="es-PE"/>
        </w:rPr>
        <w:t>, provenientes de la Cuenta RPMO</w:t>
      </w:r>
      <w:r>
        <w:rPr>
          <w:lang w:val="es-CL"/>
        </w:rPr>
        <w:t>.</w:t>
      </w:r>
    </w:p>
    <w:p w14:paraId="7CB07CBD" w14:textId="77777777" w:rsidR="004412F1" w:rsidRDefault="004412F1">
      <w:pPr>
        <w:ind w:left="851"/>
        <w:jc w:val="both"/>
        <w:rPr>
          <w:lang w:val="es-PE"/>
        </w:rPr>
      </w:pPr>
    </w:p>
    <w:p w14:paraId="19AE5B58" w14:textId="5799D218" w:rsidR="004412F1" w:rsidRDefault="005A12A3">
      <w:pPr>
        <w:ind w:left="851"/>
        <w:jc w:val="both"/>
        <w:rPr>
          <w:lang w:val="es-PE"/>
        </w:rPr>
      </w:pPr>
      <w:r>
        <w:rPr>
          <w:lang w:val="es-PE"/>
        </w:rPr>
        <w:t>En caso de culminar la vigencia del Contrato en el Plazo indicado en la Cláusula 4.1, de existir un saldo remanente, en la cuenta de Mantenimiento Periódico, los recursos serán liberados a favor del CONCESIONARIO.</w:t>
      </w:r>
    </w:p>
    <w:p w14:paraId="50F2FC09" w14:textId="77777777" w:rsidR="004412F1" w:rsidRDefault="004412F1">
      <w:pPr>
        <w:ind w:left="851"/>
        <w:jc w:val="both"/>
        <w:rPr>
          <w:lang w:val="es-PE"/>
        </w:rPr>
      </w:pPr>
    </w:p>
    <w:p w14:paraId="14BBC089" w14:textId="5DE25E1B" w:rsidR="004412F1" w:rsidRDefault="005A12A3">
      <w:pPr>
        <w:ind w:left="851"/>
        <w:jc w:val="both"/>
        <w:rPr>
          <w:lang w:val="es-PE"/>
        </w:rPr>
      </w:pPr>
      <w:r>
        <w:rPr>
          <w:lang w:val="es-PE"/>
        </w:rPr>
        <w:t>En caso se produzca la caducidad de la Concesión, antes del Plazo señalado en la Cláusula 4.1, el monto acumulado en la cuenta de Mantenimiento Periódico será liberado a favor del CONCEDENTE.</w:t>
      </w:r>
    </w:p>
    <w:p w14:paraId="01D60464" w14:textId="77777777" w:rsidR="004412F1" w:rsidRDefault="004412F1">
      <w:pPr>
        <w:tabs>
          <w:tab w:val="left" w:pos="1418"/>
        </w:tabs>
        <w:jc w:val="both"/>
        <w:rPr>
          <w:lang w:val="es-PE"/>
        </w:rPr>
      </w:pPr>
    </w:p>
    <w:p w14:paraId="0A7321C9" w14:textId="77777777" w:rsidR="004412F1" w:rsidRDefault="004412F1">
      <w:pPr>
        <w:ind w:left="708"/>
        <w:rPr>
          <w:color w:val="000000"/>
          <w:lang w:val="es-PE"/>
        </w:rPr>
      </w:pPr>
    </w:p>
    <w:p w14:paraId="7DE3CB00" w14:textId="77777777" w:rsidR="004412F1" w:rsidRDefault="005A12A3">
      <w:pPr>
        <w:numPr>
          <w:ilvl w:val="0"/>
          <w:numId w:val="195"/>
        </w:numPr>
        <w:ind w:left="851" w:hanging="284"/>
        <w:jc w:val="both"/>
      </w:pPr>
      <w:r>
        <w:rPr>
          <w:b/>
          <w:bCs/>
          <w:color w:val="000000" w:themeColor="text1"/>
        </w:rPr>
        <w:t>Cuenta</w:t>
      </w:r>
      <w:r>
        <w:rPr>
          <w:b/>
          <w:color w:val="000000"/>
        </w:rPr>
        <w:t xml:space="preserve"> Penalidades:</w:t>
      </w:r>
    </w:p>
    <w:p w14:paraId="53958582" w14:textId="77777777" w:rsidR="004412F1" w:rsidRDefault="005A12A3">
      <w:pPr>
        <w:ind w:left="851"/>
        <w:jc w:val="both"/>
        <w:rPr>
          <w:color w:val="000000"/>
          <w:lang w:val="es-PE"/>
        </w:rPr>
      </w:pPr>
      <w:r>
        <w:rPr>
          <w:lang w:val="es-PE"/>
        </w:rPr>
        <w:t xml:space="preserve">En esta cuenta el CONCESIONARIO transferirá los recursos necesarios para el pago de las penalidades correspondientes.  Los fondos acreditados en esta cuenta corresponden al CONCEDENTE y se utilizarán para cubrir los pagos que tenga que hacer en el marco del Contrato de Concesión, </w:t>
      </w:r>
      <w:proofErr w:type="gramStart"/>
      <w:r>
        <w:rPr>
          <w:lang w:val="es-PE"/>
        </w:rPr>
        <w:t>de acuerdo a</w:t>
      </w:r>
      <w:proofErr w:type="gramEnd"/>
      <w:r>
        <w:rPr>
          <w:lang w:val="es-PE"/>
        </w:rPr>
        <w:t xml:space="preserve"> sus instrucciones. Una vez culminado el Fideicomiso de Administración, los flujos dinerarios remanentes acreditados en esta cuenta serán transferidos al CONCEDENTE.</w:t>
      </w:r>
    </w:p>
    <w:p w14:paraId="2A2FB008" w14:textId="77777777" w:rsidR="004412F1" w:rsidRDefault="004412F1">
      <w:pPr>
        <w:pStyle w:val="Prrafodelista"/>
        <w:rPr>
          <w:color w:val="000000"/>
          <w:lang w:val="es-PE"/>
        </w:rPr>
      </w:pPr>
    </w:p>
    <w:p w14:paraId="0280FAA7" w14:textId="77777777" w:rsidR="004412F1" w:rsidRDefault="005A12A3">
      <w:pPr>
        <w:numPr>
          <w:ilvl w:val="0"/>
          <w:numId w:val="195"/>
        </w:numPr>
        <w:ind w:left="851" w:hanging="284"/>
        <w:jc w:val="both"/>
      </w:pPr>
      <w:r>
        <w:rPr>
          <w:b/>
          <w:bCs/>
          <w:color w:val="000000" w:themeColor="text1"/>
        </w:rPr>
        <w:t xml:space="preserve">Cuenta de Honorarios: </w:t>
      </w:r>
    </w:p>
    <w:p w14:paraId="291C80AE" w14:textId="77777777" w:rsidR="004412F1" w:rsidRDefault="005A12A3" w:rsidP="00105A1A">
      <w:pPr>
        <w:ind w:left="851"/>
        <w:jc w:val="both"/>
        <w:rPr>
          <w:color w:val="000000"/>
          <w:lang w:val="es-PE"/>
        </w:rPr>
      </w:pPr>
      <w:r>
        <w:rPr>
          <w:color w:val="000000"/>
          <w:lang w:val="es-PE"/>
        </w:rPr>
        <w:t>Esta cuenta tendrá vigencia desde la constitución del Fideicomiso de Administración hasta finalizar la Concesión. En esta cuenta el CONCESIONARIO depositará los recursos para el pago de honorarios del Fiduciario.</w:t>
      </w:r>
    </w:p>
    <w:p w14:paraId="45816CE7" w14:textId="77777777" w:rsidR="004412F1" w:rsidRDefault="004412F1">
      <w:pPr>
        <w:jc w:val="both"/>
        <w:rPr>
          <w:lang w:val="es-PE"/>
        </w:rPr>
      </w:pPr>
    </w:p>
    <w:p w14:paraId="113BB4A9" w14:textId="77777777" w:rsidR="004412F1" w:rsidRDefault="005A12A3">
      <w:pPr>
        <w:ind w:left="567"/>
        <w:jc w:val="both"/>
        <w:rPr>
          <w:color w:val="000000"/>
          <w:lang w:val="es-PE"/>
        </w:rPr>
      </w:pPr>
      <w:r>
        <w:rPr>
          <w:color w:val="000000"/>
          <w:lang w:val="es-PE"/>
        </w:rPr>
        <w:t xml:space="preserve">En caso no se hubiere constituido el Fideicomiso de Administración a más tardar diez (10) Días Calendario previos a la Toma de Posesión de los peajes, el CONCESIONARIO deberá aperturar las cuentas bancarias necesarias para derivar los ingresos por concepto de peajes, cofinanciamiento e indemnizaciones de pólizas de seguros. El CONCESIONARIO deberá comunicar al CONCEDENTE y al REGULADOR de la apertura de dichas cuentas al siguiente día hábil de haberlas aperturado. En cuanto el Fideicomiso de Administración se constituya, el CONCESIONARIO deberá transferir los ingresos recaudados hasta la fecha. El mecanismo de administración de fondos deberá seguir lo señalado en el numeral siguiente. </w:t>
      </w:r>
    </w:p>
    <w:p w14:paraId="3A8E6999" w14:textId="77777777" w:rsidR="004412F1" w:rsidRDefault="004412F1">
      <w:pPr>
        <w:tabs>
          <w:tab w:val="left" w:pos="1418"/>
        </w:tabs>
        <w:ind w:left="709"/>
        <w:jc w:val="both"/>
        <w:rPr>
          <w:lang w:val="es-PE"/>
        </w:rPr>
      </w:pPr>
    </w:p>
    <w:p w14:paraId="0475E0E3" w14:textId="77777777" w:rsidR="004412F1" w:rsidRDefault="005A12A3">
      <w:pPr>
        <w:widowControl w:val="0"/>
        <w:numPr>
          <w:ilvl w:val="0"/>
          <w:numId w:val="190"/>
        </w:numPr>
        <w:ind w:left="567" w:hanging="425"/>
        <w:jc w:val="both"/>
        <w:rPr>
          <w:b/>
          <w:color w:val="000000"/>
          <w:lang w:val="es-CL"/>
        </w:rPr>
      </w:pPr>
      <w:bookmarkStart w:id="2898" w:name="_Ref351536046"/>
      <w:r>
        <w:rPr>
          <w:b/>
          <w:color w:val="000000"/>
          <w:lang w:val="es-CL"/>
        </w:rPr>
        <w:t>Mecanismo de administración de fondos</w:t>
      </w:r>
      <w:bookmarkEnd w:id="2898"/>
    </w:p>
    <w:p w14:paraId="394110D3" w14:textId="77777777" w:rsidR="004412F1" w:rsidRDefault="004412F1">
      <w:pPr>
        <w:ind w:left="426"/>
        <w:jc w:val="both"/>
      </w:pPr>
    </w:p>
    <w:p w14:paraId="102F3683" w14:textId="77777777" w:rsidR="004412F1" w:rsidRDefault="005A12A3">
      <w:pPr>
        <w:ind w:left="567"/>
        <w:jc w:val="both"/>
        <w:rPr>
          <w:lang w:val="es-PE"/>
        </w:rPr>
      </w:pPr>
      <w:r>
        <w:rPr>
          <w:lang w:val="es-PE"/>
        </w:rPr>
        <w:t>El Fiduciario recibirá los montos depositados por concepto de recaudación de peaje en la Cuenta Recaudadora.</w:t>
      </w:r>
    </w:p>
    <w:p w14:paraId="7E4AFA7B" w14:textId="77777777" w:rsidR="004412F1" w:rsidRDefault="005A12A3">
      <w:pPr>
        <w:ind w:left="426"/>
        <w:jc w:val="both"/>
        <w:rPr>
          <w:lang w:val="es-PE"/>
        </w:rPr>
      </w:pPr>
      <w:r>
        <w:rPr>
          <w:lang w:val="es-PE"/>
        </w:rPr>
        <w:t xml:space="preserve"> </w:t>
      </w:r>
    </w:p>
    <w:p w14:paraId="1D78380C" w14:textId="77777777" w:rsidR="004412F1" w:rsidRPr="002F58B8" w:rsidRDefault="005A12A3" w:rsidP="002F58B8">
      <w:pPr>
        <w:ind w:left="567"/>
        <w:jc w:val="both"/>
        <w:rPr>
          <w:lang w:val="es-PE"/>
        </w:rPr>
      </w:pPr>
      <w:r>
        <w:rPr>
          <w:lang w:val="es-PE"/>
        </w:rPr>
        <w:t xml:space="preserve">El Fiduciario, recibirá los montos depositados por concepto de cofinanciamiento que el CONCEDENTE deposite en </w:t>
      </w:r>
      <w:r w:rsidRPr="002F58B8">
        <w:rPr>
          <w:lang w:val="es-PE"/>
        </w:rPr>
        <w:t xml:space="preserve">la Cuenta Recaudadora </w:t>
      </w:r>
      <w:proofErr w:type="gramStart"/>
      <w:r>
        <w:rPr>
          <w:lang w:val="es-PE"/>
        </w:rPr>
        <w:t>de acuerdo al</w:t>
      </w:r>
      <w:proofErr w:type="gramEnd"/>
      <w:r>
        <w:rPr>
          <w:lang w:val="es-PE"/>
        </w:rPr>
        <w:t xml:space="preserve"> siguiente procedimiento: </w:t>
      </w:r>
    </w:p>
    <w:p w14:paraId="280AE579" w14:textId="77777777" w:rsidR="004412F1" w:rsidRDefault="004412F1">
      <w:pPr>
        <w:ind w:left="426"/>
        <w:jc w:val="both"/>
        <w:rPr>
          <w:lang w:val="es-PE"/>
        </w:rPr>
      </w:pPr>
    </w:p>
    <w:p w14:paraId="451226E0" w14:textId="77777777" w:rsidR="004412F1" w:rsidRDefault="005A12A3">
      <w:pPr>
        <w:pStyle w:val="Prrafodelista"/>
        <w:numPr>
          <w:ilvl w:val="0"/>
          <w:numId w:val="202"/>
        </w:numPr>
        <w:jc w:val="both"/>
        <w:rPr>
          <w:lang w:val="es-PE"/>
        </w:rPr>
      </w:pPr>
      <w:r>
        <w:rPr>
          <w:lang w:val="es-PE"/>
        </w:rPr>
        <w:t xml:space="preserve">Cuarenta y cinco (45) Días Calendario previos a la fecha de pago del RPI_CAO, FPAMPI, PPO y RPMO correspondiente, el Fiduciario deberá comunicar al CONCEDENTE y al CONCESIONARIO de manera simultánea cuál es el total de los fondos de la Cuenta Recaudadora, descontado la provisión Emergencia Vial que corresponda, y el monto que deberá transferirse a la Cuenta Recaudadora para el pago de los RPI_CAO, FPAMPI, PPO y RPMO correspondiente. </w:t>
      </w:r>
    </w:p>
    <w:p w14:paraId="646A49FF" w14:textId="77777777" w:rsidR="004412F1" w:rsidRDefault="005A12A3">
      <w:pPr>
        <w:pStyle w:val="Prrafodelista"/>
        <w:numPr>
          <w:ilvl w:val="0"/>
          <w:numId w:val="202"/>
        </w:numPr>
        <w:jc w:val="both"/>
        <w:rPr>
          <w:lang w:val="es-PE"/>
        </w:rPr>
      </w:pPr>
      <w:r>
        <w:rPr>
          <w:lang w:val="es-PE"/>
        </w:rPr>
        <w:t xml:space="preserve">Cuarenta (40) Días Calendario previos a la fecha de pago de los RPI_CAO, FPAMPI, PPO y RPMO correspondiente, el CONCESIONARIO deberá emitir la factura por los fondos que serán transferidos desde la Cuenta Recaudadora, hacia la Cuenta RPI, PAMPI, PPO y RPMO. </w:t>
      </w:r>
    </w:p>
    <w:p w14:paraId="5CA5A7AF" w14:textId="77777777" w:rsidR="004412F1" w:rsidRDefault="005A12A3">
      <w:pPr>
        <w:pStyle w:val="Prrafodelista"/>
        <w:numPr>
          <w:ilvl w:val="0"/>
          <w:numId w:val="202"/>
        </w:numPr>
        <w:jc w:val="both"/>
        <w:rPr>
          <w:lang w:val="es-PE"/>
        </w:rPr>
      </w:pPr>
      <w:r>
        <w:rPr>
          <w:lang w:val="es-PE"/>
        </w:rPr>
        <w:t>Cinco (05) Días calendario previos a la fecha de pago del RPI_CAO, FPAMPI, PPO y RPMO correspondiente, el CONCEDENTE deberá instruir al Fiduciario para que realice la transferencia de los fondos necesarios para cumplir la obligación de pago de los RPI_CAO, FPAMPI, PPO y RPMO correspondiente.</w:t>
      </w:r>
    </w:p>
    <w:p w14:paraId="5A1EBB91" w14:textId="77777777" w:rsidR="004412F1" w:rsidRDefault="005A12A3">
      <w:pPr>
        <w:pStyle w:val="Prrafodelista"/>
        <w:numPr>
          <w:ilvl w:val="0"/>
          <w:numId w:val="202"/>
        </w:numPr>
        <w:jc w:val="both"/>
        <w:rPr>
          <w:lang w:val="es-PE"/>
        </w:rPr>
      </w:pPr>
      <w:r>
        <w:rPr>
          <w:lang w:val="es-PE"/>
        </w:rPr>
        <w:t>Dos (02) Días calendario posteriores a la instrucción recibida, el Fiduciario deberá transferir a la cuenta RPI, PAMPI, PPO, el monto correspondiente al RPI_CAO, FPAMPI, PPO correspondiente.</w:t>
      </w:r>
    </w:p>
    <w:p w14:paraId="680E7F18" w14:textId="77777777" w:rsidR="004412F1" w:rsidRDefault="005A12A3">
      <w:pPr>
        <w:pStyle w:val="Prrafodelista"/>
        <w:numPr>
          <w:ilvl w:val="0"/>
          <w:numId w:val="202"/>
        </w:numPr>
        <w:jc w:val="both"/>
        <w:rPr>
          <w:lang w:val="es-PE"/>
        </w:rPr>
      </w:pPr>
      <w:r>
        <w:rPr>
          <w:lang w:val="es-PE"/>
        </w:rPr>
        <w:t>Dos (02) Días calendario posteriores a la instrucción recibida, el Fiduciario deberá transferir a la cuenta RPMO, el monto correspondiente al RPMO descontado la provisión de Mantenimiento periódico indicado en el Apéndice 3 del Anexo X</w:t>
      </w:r>
      <w:r>
        <w:rPr>
          <w:lang w:val="es-ES"/>
        </w:rPr>
        <w:t>I</w:t>
      </w:r>
      <w:r>
        <w:rPr>
          <w:lang w:val="es-PE"/>
        </w:rPr>
        <w:t>.</w:t>
      </w:r>
    </w:p>
    <w:p w14:paraId="0F2E9842" w14:textId="77777777" w:rsidR="004412F1" w:rsidRDefault="004412F1">
      <w:pPr>
        <w:ind w:left="426"/>
        <w:jc w:val="both"/>
        <w:rPr>
          <w:lang w:val="es-PE"/>
        </w:rPr>
      </w:pPr>
    </w:p>
    <w:p w14:paraId="0993DBF8" w14:textId="77777777" w:rsidR="004412F1" w:rsidRDefault="005A12A3" w:rsidP="002F58B8">
      <w:pPr>
        <w:ind w:left="567"/>
        <w:jc w:val="both"/>
        <w:rPr>
          <w:lang w:val="es-CL"/>
        </w:rPr>
      </w:pPr>
      <w:r w:rsidRPr="002F58B8">
        <w:rPr>
          <w:lang w:val="es-PE"/>
        </w:rPr>
        <w:t>Para</w:t>
      </w:r>
      <w:r>
        <w:rPr>
          <w:lang w:val="es-CL"/>
        </w:rPr>
        <w:t xml:space="preserve"> la liberación de recursos del Fideicomiso de Administración en </w:t>
      </w:r>
      <w:proofErr w:type="gramStart"/>
      <w:r>
        <w:rPr>
          <w:lang w:val="es-CL"/>
        </w:rPr>
        <w:t>Dólares</w:t>
      </w:r>
      <w:proofErr w:type="gramEnd"/>
      <w:r>
        <w:rPr>
          <w:lang w:val="es-CL"/>
        </w:rPr>
        <w:t xml:space="preserve">, para el pago </w:t>
      </w:r>
      <w:r>
        <w:rPr>
          <w:lang w:val="es-PE"/>
        </w:rPr>
        <w:t>de la RPI</w:t>
      </w:r>
      <w:r>
        <w:rPr>
          <w:lang w:val="es-CL"/>
        </w:rPr>
        <w:t>, PAMPI</w:t>
      </w:r>
      <w:r>
        <w:rPr>
          <w:lang w:val="es-PE"/>
        </w:rPr>
        <w:t>, PPO</w:t>
      </w:r>
      <w:r>
        <w:rPr>
          <w:lang w:val="es-CL"/>
        </w:rPr>
        <w:t xml:space="preserve"> y </w:t>
      </w:r>
      <w:r>
        <w:rPr>
          <w:lang w:val="es-PE"/>
        </w:rPr>
        <w:t>RPMO del Trimestre Calendario</w:t>
      </w:r>
      <w:r>
        <w:rPr>
          <w:lang w:val="es-CL"/>
        </w:rPr>
        <w:t xml:space="preserve">, el </w:t>
      </w:r>
      <w:r>
        <w:rPr>
          <w:lang w:val="es-PE"/>
        </w:rPr>
        <w:t>Fiduciario realizará la conversión de fondos al</w:t>
      </w:r>
      <w:r>
        <w:rPr>
          <w:lang w:val="es-CL"/>
        </w:rPr>
        <w:t xml:space="preserve"> tipo de cambio </w:t>
      </w:r>
      <w:r>
        <w:rPr>
          <w:lang w:val="es-PE"/>
        </w:rPr>
        <w:t>más ventajoso</w:t>
      </w:r>
      <w:r>
        <w:rPr>
          <w:lang w:val="es-CL"/>
        </w:rPr>
        <w:t xml:space="preserve">.  </w:t>
      </w:r>
    </w:p>
    <w:p w14:paraId="086A7138" w14:textId="77777777" w:rsidR="004412F1" w:rsidRDefault="004412F1">
      <w:pPr>
        <w:jc w:val="both"/>
        <w:rPr>
          <w:color w:val="000000"/>
          <w:lang w:val="es-PE"/>
        </w:rPr>
      </w:pPr>
    </w:p>
    <w:p w14:paraId="768626B1" w14:textId="77777777" w:rsidR="004412F1" w:rsidRDefault="005A12A3">
      <w:pPr>
        <w:widowControl w:val="0"/>
        <w:numPr>
          <w:ilvl w:val="0"/>
          <w:numId w:val="190"/>
        </w:numPr>
        <w:ind w:left="567" w:hanging="425"/>
        <w:jc w:val="both"/>
        <w:rPr>
          <w:b/>
          <w:color w:val="000000"/>
        </w:rPr>
      </w:pPr>
      <w:r>
        <w:rPr>
          <w:b/>
          <w:color w:val="000000"/>
        </w:rPr>
        <w:t>Liberación de responsabilidad del Fiduciario</w:t>
      </w:r>
    </w:p>
    <w:p w14:paraId="13873ABB" w14:textId="77777777" w:rsidR="004412F1" w:rsidRDefault="004412F1">
      <w:pPr>
        <w:ind w:left="708"/>
        <w:jc w:val="both"/>
        <w:rPr>
          <w:b/>
          <w:color w:val="000000"/>
        </w:rPr>
      </w:pPr>
    </w:p>
    <w:p w14:paraId="45E4D719" w14:textId="77777777" w:rsidR="004412F1" w:rsidRDefault="005A12A3">
      <w:pPr>
        <w:ind w:left="567"/>
        <w:jc w:val="both"/>
        <w:rPr>
          <w:lang w:val="es-PE"/>
        </w:rPr>
      </w:pPr>
      <w:r>
        <w:rPr>
          <w:lang w:val="es-PE"/>
        </w:rPr>
        <w:t xml:space="preserve">En ningún caso el Fiduciario será responsable frente a los fideicomitentes y a los fideicomisarios por la falta de pago causada por falta de recursos disponibles en cada una de las cuentas del Fideicomiso de Administración. </w:t>
      </w:r>
    </w:p>
    <w:p w14:paraId="771CB8A3" w14:textId="77777777" w:rsidR="004412F1" w:rsidRDefault="004412F1">
      <w:pPr>
        <w:rPr>
          <w:lang w:val="es-PE"/>
        </w:rPr>
      </w:pPr>
    </w:p>
    <w:p w14:paraId="23E44E43" w14:textId="77777777" w:rsidR="004412F1" w:rsidRDefault="005A12A3">
      <w:pPr>
        <w:widowControl w:val="0"/>
        <w:numPr>
          <w:ilvl w:val="0"/>
          <w:numId w:val="190"/>
        </w:numPr>
        <w:ind w:left="567" w:hanging="425"/>
        <w:jc w:val="both"/>
        <w:rPr>
          <w:b/>
          <w:color w:val="000000"/>
        </w:rPr>
      </w:pPr>
      <w:r>
        <w:rPr>
          <w:b/>
          <w:color w:val="000000"/>
        </w:rPr>
        <w:t>Terminación del Fideicomiso de Administración</w:t>
      </w:r>
    </w:p>
    <w:p w14:paraId="089B1C5C" w14:textId="77777777" w:rsidR="004412F1" w:rsidRDefault="004412F1">
      <w:pPr>
        <w:ind w:left="567"/>
        <w:jc w:val="both"/>
      </w:pPr>
    </w:p>
    <w:p w14:paraId="419BBBDB" w14:textId="77777777" w:rsidR="004412F1" w:rsidRDefault="005A12A3">
      <w:pPr>
        <w:ind w:left="567"/>
        <w:jc w:val="both"/>
        <w:rPr>
          <w:lang w:val="es-PE"/>
        </w:rPr>
      </w:pPr>
      <w:r>
        <w:rPr>
          <w:lang w:val="es-PE"/>
        </w:rPr>
        <w:t xml:space="preserve">El Fideicomiso de Administración terminará un (1) año posterior a la Fecha de Fin de la Concesión, conforme a lo establecido en la Cláusula 4.1 del Contrato de Concesión; así como, por aquellas otras causas usualmente previstas en contratos de fideicomisos similares en el Perú y en la Ley de Bancos del Perú o norma que la modifique o sustituya. </w:t>
      </w:r>
    </w:p>
    <w:p w14:paraId="0E829083" w14:textId="77777777" w:rsidR="004412F1" w:rsidRDefault="004412F1">
      <w:pPr>
        <w:ind w:left="567"/>
        <w:jc w:val="both"/>
        <w:rPr>
          <w:lang w:val="es-PE"/>
        </w:rPr>
      </w:pPr>
    </w:p>
    <w:p w14:paraId="41EE9DCC" w14:textId="77777777" w:rsidR="004412F1" w:rsidRDefault="005A12A3">
      <w:pPr>
        <w:ind w:left="567"/>
        <w:jc w:val="both"/>
        <w:rPr>
          <w:lang w:val="es-PE"/>
        </w:rPr>
      </w:pPr>
      <w:r>
        <w:rPr>
          <w:lang w:val="es-PE"/>
        </w:rPr>
        <w:t>En caso se produzca la Terminación anticipada del Contrato de Concesión, el Fideicomiso de Administración se mantendrá vigente hasta por el plazo de seis (6) meses posteriores al último pago de la liquidación.</w:t>
      </w:r>
    </w:p>
    <w:p w14:paraId="7A287B64" w14:textId="77777777" w:rsidR="004412F1" w:rsidRDefault="004412F1">
      <w:pPr>
        <w:rPr>
          <w:lang w:val="es-PE"/>
        </w:rPr>
      </w:pPr>
    </w:p>
    <w:p w14:paraId="7E1294D3" w14:textId="77777777" w:rsidR="004412F1" w:rsidRDefault="005A12A3">
      <w:pPr>
        <w:widowControl w:val="0"/>
        <w:numPr>
          <w:ilvl w:val="0"/>
          <w:numId w:val="190"/>
        </w:numPr>
        <w:ind w:left="567" w:hanging="425"/>
        <w:jc w:val="both"/>
        <w:rPr>
          <w:b/>
          <w:color w:val="000000"/>
        </w:rPr>
      </w:pPr>
      <w:r>
        <w:rPr>
          <w:b/>
          <w:color w:val="000000"/>
        </w:rPr>
        <w:t>Renuncia del Fiduciario</w:t>
      </w:r>
    </w:p>
    <w:p w14:paraId="29E45944" w14:textId="77777777" w:rsidR="004412F1" w:rsidRDefault="004412F1">
      <w:pPr>
        <w:ind w:left="708"/>
        <w:jc w:val="both"/>
      </w:pPr>
    </w:p>
    <w:p w14:paraId="38414DDC" w14:textId="77777777" w:rsidR="004412F1" w:rsidRDefault="005A12A3">
      <w:pPr>
        <w:ind w:left="567"/>
        <w:jc w:val="both"/>
        <w:rPr>
          <w:lang w:val="es-PE"/>
        </w:rPr>
      </w:pPr>
      <w:r>
        <w:rPr>
          <w:lang w:val="es-PE"/>
        </w:rPr>
        <w:t>En caso de renuncia del Fiduciario se aplicarán las reglas de la Ley No. 26702, Ley General del Sistema Financiero y del Sistema de Seguros y Orgánica de la Superintendencia de Banca y Seguros o la norma que la modifique o sustituya.</w:t>
      </w:r>
    </w:p>
    <w:p w14:paraId="3C54C7B0" w14:textId="77777777" w:rsidR="004412F1" w:rsidRDefault="004412F1">
      <w:pPr>
        <w:rPr>
          <w:lang w:val="es-PE"/>
        </w:rPr>
      </w:pPr>
    </w:p>
    <w:p w14:paraId="424613AE" w14:textId="77777777" w:rsidR="002F58B8" w:rsidRDefault="002F58B8">
      <w:pPr>
        <w:rPr>
          <w:lang w:val="es-PE"/>
        </w:rPr>
      </w:pPr>
    </w:p>
    <w:p w14:paraId="3349F2ED" w14:textId="77777777" w:rsidR="002F58B8" w:rsidRDefault="002F58B8">
      <w:pPr>
        <w:rPr>
          <w:lang w:val="es-PE"/>
        </w:rPr>
      </w:pPr>
    </w:p>
    <w:p w14:paraId="152F8984" w14:textId="77777777" w:rsidR="002F58B8" w:rsidRDefault="002F58B8">
      <w:pPr>
        <w:rPr>
          <w:lang w:val="es-PE"/>
        </w:rPr>
      </w:pPr>
    </w:p>
    <w:p w14:paraId="1B7D91D1" w14:textId="77777777" w:rsidR="004412F1" w:rsidRDefault="005A12A3">
      <w:pPr>
        <w:widowControl w:val="0"/>
        <w:numPr>
          <w:ilvl w:val="0"/>
          <w:numId w:val="190"/>
        </w:numPr>
        <w:ind w:left="567" w:hanging="425"/>
        <w:jc w:val="both"/>
        <w:rPr>
          <w:b/>
          <w:color w:val="000000"/>
        </w:rPr>
      </w:pPr>
      <w:bookmarkStart w:id="2899" w:name="_haapch" w:colFirst="0" w:colLast="0"/>
      <w:bookmarkEnd w:id="2899"/>
      <w:r>
        <w:rPr>
          <w:b/>
          <w:color w:val="000000"/>
        </w:rPr>
        <w:t>Honorarios del Fiduciario</w:t>
      </w:r>
    </w:p>
    <w:p w14:paraId="3B4FC176" w14:textId="77777777" w:rsidR="004412F1" w:rsidRDefault="004412F1">
      <w:pPr>
        <w:ind w:left="708"/>
        <w:jc w:val="both"/>
        <w:rPr>
          <w:sz w:val="18"/>
          <w:lang w:val="es-ES"/>
        </w:rPr>
      </w:pPr>
    </w:p>
    <w:p w14:paraId="7DBDB118" w14:textId="77777777" w:rsidR="004412F1" w:rsidRDefault="005A12A3">
      <w:pPr>
        <w:ind w:left="567"/>
        <w:jc w:val="both"/>
        <w:rPr>
          <w:lang w:val="es-PE"/>
        </w:rPr>
      </w:pPr>
      <w:r>
        <w:rPr>
          <w:lang w:val="es-PE"/>
        </w:rPr>
        <w:t>Los honorarios del Fiduciario serán de cuenta y cargo del CONCESIONARIO y deberán ser cobrados con cargo a la Cuenta Honorarios.</w:t>
      </w:r>
    </w:p>
    <w:p w14:paraId="713FCEC4" w14:textId="77777777" w:rsidR="004412F1" w:rsidRDefault="004412F1">
      <w:pPr>
        <w:ind w:left="708"/>
        <w:jc w:val="both"/>
        <w:rPr>
          <w:lang w:val="es-PE"/>
        </w:rPr>
      </w:pPr>
    </w:p>
    <w:p w14:paraId="37EC2885" w14:textId="77777777" w:rsidR="004412F1" w:rsidRDefault="005A12A3">
      <w:pPr>
        <w:widowControl w:val="0"/>
        <w:numPr>
          <w:ilvl w:val="0"/>
          <w:numId w:val="190"/>
        </w:numPr>
        <w:ind w:left="567" w:hanging="425"/>
        <w:jc w:val="both"/>
        <w:rPr>
          <w:b/>
          <w:color w:val="000000"/>
        </w:rPr>
      </w:pPr>
      <w:bookmarkStart w:id="2900" w:name="_319y80a" w:colFirst="0" w:colLast="0"/>
      <w:bookmarkEnd w:id="2900"/>
      <w:r>
        <w:rPr>
          <w:b/>
          <w:color w:val="000000"/>
        </w:rPr>
        <w:t>Leyes y Disposiciones Aplicables</w:t>
      </w:r>
    </w:p>
    <w:p w14:paraId="79DB3EC5" w14:textId="77777777" w:rsidR="004412F1" w:rsidRDefault="004412F1">
      <w:pPr>
        <w:ind w:left="708"/>
        <w:jc w:val="both"/>
      </w:pPr>
    </w:p>
    <w:p w14:paraId="6B03FE34" w14:textId="77777777" w:rsidR="004412F1" w:rsidRDefault="005A12A3">
      <w:pPr>
        <w:ind w:left="567"/>
        <w:jc w:val="both"/>
        <w:rPr>
          <w:lang w:val="es-PE"/>
        </w:rPr>
      </w:pPr>
      <w:r>
        <w:rPr>
          <w:lang w:val="es-PE"/>
        </w:rPr>
        <w:t>El marco normativo aplicable al Fideicomiso de Administración serán las Leyes y Disposiciones Aplicables.</w:t>
      </w:r>
    </w:p>
    <w:p w14:paraId="133C0DCD" w14:textId="77777777" w:rsidR="004412F1" w:rsidRDefault="004412F1">
      <w:pPr>
        <w:ind w:left="567"/>
        <w:jc w:val="both"/>
        <w:rPr>
          <w:lang w:val="es-PE"/>
        </w:rPr>
      </w:pPr>
    </w:p>
    <w:p w14:paraId="01EA1D29" w14:textId="77777777" w:rsidR="004412F1" w:rsidRDefault="005A12A3">
      <w:pPr>
        <w:widowControl w:val="0"/>
        <w:numPr>
          <w:ilvl w:val="0"/>
          <w:numId w:val="190"/>
        </w:numPr>
        <w:ind w:left="567" w:hanging="425"/>
        <w:jc w:val="both"/>
        <w:rPr>
          <w:b/>
          <w:color w:val="000000"/>
          <w:lang w:val="es-PE"/>
        </w:rPr>
      </w:pPr>
      <w:r>
        <w:rPr>
          <w:b/>
          <w:color w:val="000000"/>
          <w:lang w:val="es-PE"/>
        </w:rPr>
        <w:t>Plazo de constitución del Fideicomiso de Administración</w:t>
      </w:r>
    </w:p>
    <w:p w14:paraId="0D6D5D67" w14:textId="77777777" w:rsidR="004412F1" w:rsidRDefault="004412F1">
      <w:pPr>
        <w:ind w:left="567"/>
        <w:jc w:val="both"/>
        <w:rPr>
          <w:lang w:val="es-PE"/>
        </w:rPr>
      </w:pPr>
    </w:p>
    <w:p w14:paraId="37A4F20A" w14:textId="77777777" w:rsidR="004412F1" w:rsidRDefault="005A12A3">
      <w:pPr>
        <w:ind w:left="567"/>
        <w:jc w:val="both"/>
        <w:rPr>
          <w:lang w:val="es-PE"/>
        </w:rPr>
      </w:pPr>
      <w:r>
        <w:rPr>
          <w:lang w:val="es-PE"/>
        </w:rPr>
        <w:t>El Fideicomiso de Administración será constituido como máximo a la fecha de acreditación del primer Cierre Financiero.</w:t>
      </w:r>
    </w:p>
    <w:p w14:paraId="4DE64E43" w14:textId="77777777" w:rsidR="004412F1" w:rsidRDefault="004412F1">
      <w:pPr>
        <w:ind w:left="567"/>
        <w:jc w:val="both"/>
        <w:rPr>
          <w:lang w:val="es-PE"/>
        </w:rPr>
      </w:pPr>
    </w:p>
    <w:p w14:paraId="17553802" w14:textId="77777777" w:rsidR="004412F1" w:rsidRDefault="005A12A3">
      <w:pPr>
        <w:ind w:left="567"/>
        <w:jc w:val="both"/>
        <w:rPr>
          <w:lang w:val="es-PE"/>
        </w:rPr>
      </w:pPr>
      <w:r>
        <w:rPr>
          <w:lang w:val="es-PE"/>
        </w:rPr>
        <w:t>El contrato de Fideicomiso de Administración podrá permitir la inclusión de aquellas disposiciones que requieran los financiadores siempre que no se contrapongan a los lineamientos señalados en el presente anexo y en el Contrato de Concesión.</w:t>
      </w:r>
    </w:p>
    <w:p w14:paraId="3B526C22" w14:textId="77777777" w:rsidR="004412F1" w:rsidRDefault="004412F1">
      <w:pPr>
        <w:ind w:left="567"/>
        <w:jc w:val="both"/>
        <w:rPr>
          <w:lang w:val="es-PE"/>
        </w:rPr>
      </w:pPr>
    </w:p>
    <w:p w14:paraId="640B3229" w14:textId="77777777" w:rsidR="004412F1" w:rsidRDefault="005A12A3">
      <w:pPr>
        <w:widowControl w:val="0"/>
        <w:numPr>
          <w:ilvl w:val="0"/>
          <w:numId w:val="190"/>
        </w:numPr>
        <w:ind w:left="567" w:hanging="425"/>
        <w:jc w:val="both"/>
        <w:rPr>
          <w:b/>
          <w:color w:val="000000"/>
        </w:rPr>
      </w:pPr>
      <w:r>
        <w:rPr>
          <w:b/>
          <w:color w:val="000000"/>
        </w:rPr>
        <w:t>Registro y Comunicaciones</w:t>
      </w:r>
    </w:p>
    <w:p w14:paraId="1C90389F" w14:textId="77777777" w:rsidR="004412F1" w:rsidRDefault="004412F1">
      <w:pPr>
        <w:ind w:left="567"/>
        <w:jc w:val="both"/>
      </w:pPr>
    </w:p>
    <w:p w14:paraId="63D8EA8D" w14:textId="77777777" w:rsidR="004412F1" w:rsidRDefault="005A12A3">
      <w:pPr>
        <w:ind w:left="567"/>
        <w:jc w:val="both"/>
        <w:rPr>
          <w:lang w:val="es-PE"/>
        </w:rPr>
      </w:pPr>
      <w:r>
        <w:rPr>
          <w:lang w:val="es-PE"/>
        </w:rPr>
        <w:t>El contrato de Fideicomiso de Administración podrá contener un registro de los titulares de derecho de cobro conforme al procedimiento y forma que se establecerán en el contrato de Fideicomiso de Administración.</w:t>
      </w:r>
    </w:p>
    <w:p w14:paraId="13AB054F" w14:textId="77777777" w:rsidR="004412F1" w:rsidRDefault="004412F1">
      <w:pPr>
        <w:ind w:left="567"/>
        <w:jc w:val="both"/>
        <w:rPr>
          <w:lang w:val="es-PE"/>
        </w:rPr>
      </w:pPr>
    </w:p>
    <w:p w14:paraId="22F75243" w14:textId="77777777" w:rsidR="004412F1" w:rsidRDefault="005A12A3">
      <w:pPr>
        <w:ind w:left="567"/>
        <w:jc w:val="both"/>
        <w:rPr>
          <w:lang w:val="es-PE"/>
        </w:rPr>
      </w:pPr>
      <w:r>
        <w:rPr>
          <w:lang w:val="es-PE"/>
        </w:rPr>
        <w:t>El contrato de Fideicomiso de Administración establecerá un régimen de notificaciones a cargo de las partes a ser realizadas al Fiduciario, sobre aquellos hechos relevantes que puedan afectar a los titulares del derecho de cobro. Dichos actos serán determinados en el respectivo contrato de Fideicomiso de Administración.</w:t>
      </w:r>
    </w:p>
    <w:p w14:paraId="051B8E6A" w14:textId="77777777" w:rsidR="004412F1" w:rsidRDefault="004412F1">
      <w:pPr>
        <w:rPr>
          <w:b/>
          <w:lang w:val="es-PE"/>
        </w:rPr>
      </w:pPr>
    </w:p>
    <w:p w14:paraId="0D332338" w14:textId="77777777" w:rsidR="004412F1" w:rsidRDefault="005A12A3">
      <w:pPr>
        <w:widowControl w:val="0"/>
        <w:numPr>
          <w:ilvl w:val="0"/>
          <w:numId w:val="190"/>
        </w:numPr>
        <w:ind w:left="567" w:hanging="425"/>
        <w:jc w:val="both"/>
        <w:rPr>
          <w:b/>
          <w:color w:val="000000"/>
          <w:lang w:val="es-PE"/>
        </w:rPr>
      </w:pPr>
      <w:r>
        <w:rPr>
          <w:b/>
          <w:color w:val="000000"/>
          <w:lang w:val="es-PE"/>
        </w:rPr>
        <w:t>Disposiciones adicionales del Contrato de Concesión</w:t>
      </w:r>
    </w:p>
    <w:p w14:paraId="7DDAE359" w14:textId="77777777" w:rsidR="004412F1" w:rsidRDefault="004412F1">
      <w:pPr>
        <w:pStyle w:val="Ttulo"/>
        <w:rPr>
          <w:lang w:val="es-PE"/>
        </w:rPr>
      </w:pPr>
    </w:p>
    <w:p w14:paraId="5150BC86" w14:textId="77777777" w:rsidR="004412F1" w:rsidRDefault="005A12A3">
      <w:pPr>
        <w:ind w:left="567"/>
        <w:jc w:val="both"/>
        <w:rPr>
          <w:color w:val="000000"/>
          <w:lang w:val="es-PE"/>
        </w:rPr>
      </w:pPr>
      <w:r>
        <w:rPr>
          <w:color w:val="000000"/>
          <w:lang w:val="es-PE"/>
        </w:rPr>
        <w:t>Queda establecido que los términos y condiciones del Fideicomiso de Administración previstos en el presente Apéndice no son limitativos ni excluyentes de las disposiciones del Contrato de Concesión. En ese sentido, los términos y condiciones del Contrato de Concesión deberán ser tomados en cuenta en la redacción y celebración del contrato para constituir el Fideicomiso de Administración.</w:t>
      </w:r>
    </w:p>
    <w:p w14:paraId="215D4FCD" w14:textId="77777777" w:rsidR="004412F1" w:rsidRDefault="004412F1">
      <w:pPr>
        <w:tabs>
          <w:tab w:val="left" w:pos="1418"/>
        </w:tabs>
        <w:ind w:left="709"/>
        <w:jc w:val="both"/>
        <w:rPr>
          <w:lang w:val="es-PE"/>
        </w:rPr>
      </w:pPr>
    </w:p>
    <w:p w14:paraId="13CB2D43" w14:textId="77777777" w:rsidR="004412F1" w:rsidRDefault="004412F1">
      <w:pPr>
        <w:tabs>
          <w:tab w:val="left" w:pos="1418"/>
        </w:tabs>
        <w:ind w:left="709"/>
        <w:jc w:val="both"/>
        <w:rPr>
          <w:lang w:val="es-PE"/>
        </w:rPr>
      </w:pPr>
    </w:p>
    <w:p w14:paraId="7494293F" w14:textId="77777777" w:rsidR="004412F1" w:rsidRDefault="005A12A3">
      <w:pPr>
        <w:pStyle w:val="Ttulo2"/>
        <w:ind w:left="0"/>
        <w:jc w:val="center"/>
        <w:rPr>
          <w:rFonts w:ascii="Arial" w:eastAsia="Arial" w:hAnsi="Arial" w:cs="Arial"/>
          <w:b/>
          <w:u w:val="none"/>
        </w:rPr>
      </w:pPr>
      <w:r>
        <w:rPr>
          <w:lang w:val="es-PE"/>
        </w:rPr>
        <w:br w:type="page"/>
      </w:r>
      <w:bookmarkStart w:id="2901" w:name="_Toc139294855"/>
      <w:bookmarkStart w:id="2902" w:name="_Toc140089481"/>
      <w:r>
        <w:rPr>
          <w:b/>
        </w:rPr>
        <w:t>Apéndice 2</w:t>
      </w:r>
      <w:bookmarkEnd w:id="2901"/>
      <w:bookmarkEnd w:id="2902"/>
    </w:p>
    <w:p w14:paraId="72FF41C8" w14:textId="0054EE5E" w:rsidR="004412F1" w:rsidRDefault="005A12A3" w:rsidP="009279B0">
      <w:pPr>
        <w:jc w:val="center"/>
        <w:outlineLvl w:val="1"/>
        <w:rPr>
          <w:b/>
        </w:rPr>
      </w:pPr>
      <w:bookmarkStart w:id="2903" w:name="_Toc468837775"/>
      <w:bookmarkStart w:id="2904" w:name="_Toc370737485"/>
      <w:bookmarkStart w:id="2905" w:name="_Toc140089482"/>
      <w:r>
        <w:rPr>
          <w:b/>
        </w:rPr>
        <w:t>Cofinanciamiento</w:t>
      </w:r>
      <w:bookmarkEnd w:id="2903"/>
      <w:bookmarkEnd w:id="2904"/>
      <w:bookmarkEnd w:id="2905"/>
    </w:p>
    <w:p w14:paraId="458B8513" w14:textId="77777777" w:rsidR="004412F1" w:rsidRDefault="004412F1">
      <w:pPr>
        <w:jc w:val="center"/>
        <w:rPr>
          <w:b/>
        </w:rPr>
      </w:pPr>
    </w:p>
    <w:p w14:paraId="147D07A4" w14:textId="77777777" w:rsidR="004412F1" w:rsidRDefault="005A12A3">
      <w:pPr>
        <w:numPr>
          <w:ilvl w:val="0"/>
          <w:numId w:val="204"/>
        </w:numPr>
        <w:ind w:left="426" w:hanging="426"/>
        <w:jc w:val="both"/>
        <w:rPr>
          <w:lang w:val="es-PE"/>
        </w:rPr>
      </w:pPr>
      <w:r>
        <w:rPr>
          <w:lang w:val="es-PE"/>
        </w:rPr>
        <w:t xml:space="preserve">Queda establecido que la obligación del CONCEDENTE hacia el CONCESIONARIO durante todo el periodo contractual es el pago del Cofinanciamiento hasta el límite equivalente a la suma de la RPI, PAMPI, PPO y RPMO. </w:t>
      </w:r>
    </w:p>
    <w:p w14:paraId="1B9ADAF9" w14:textId="77777777" w:rsidR="004412F1" w:rsidRDefault="004412F1">
      <w:pPr>
        <w:ind w:left="720"/>
        <w:jc w:val="both"/>
        <w:rPr>
          <w:lang w:val="es-PE"/>
        </w:rPr>
      </w:pPr>
    </w:p>
    <w:p w14:paraId="1ECF455F" w14:textId="77777777" w:rsidR="004412F1" w:rsidRDefault="005A12A3">
      <w:pPr>
        <w:numPr>
          <w:ilvl w:val="0"/>
          <w:numId w:val="204"/>
        </w:numPr>
        <w:ind w:left="426" w:hanging="426"/>
        <w:jc w:val="both"/>
        <w:rPr>
          <w:color w:val="000000"/>
        </w:rPr>
      </w:pPr>
      <w:r>
        <w:rPr>
          <w:color w:val="000000"/>
          <w:lang w:val="es-PE"/>
        </w:rPr>
        <w:t xml:space="preserve">Los recursos necesarios para el Cofinanciamiento se harán efectivos con cargo al presupuesto del CONCEDENTE, los mismos que se realizarán a través del Fideicomiso de Administración conforme lo establecido en el Apéndice 1 del presente Anexo. </w:t>
      </w:r>
      <w:r>
        <w:rPr>
          <w:color w:val="000000"/>
        </w:rPr>
        <w:t>La</w:t>
      </w:r>
      <w:r>
        <w:t xml:space="preserve"> relación básica es la siguiente:</w:t>
      </w:r>
    </w:p>
    <w:p w14:paraId="10A508DC" w14:textId="77777777" w:rsidR="004412F1" w:rsidRDefault="004412F1">
      <w:pPr>
        <w:ind w:left="720"/>
        <w:jc w:val="both"/>
      </w:pPr>
    </w:p>
    <w:p w14:paraId="26518E01" w14:textId="77777777" w:rsidR="004412F1" w:rsidRDefault="005A12A3">
      <w:pPr>
        <w:ind w:left="-284"/>
        <w:jc w:val="both"/>
        <w:rPr>
          <w:color w:val="000000"/>
        </w:rPr>
      </w:pPr>
      <m:oMath>
        <m:r>
          <m:rPr>
            <m:sty m:val="bi"/>
          </m:rPr>
          <w:rPr>
            <w:rFonts w:ascii="Cambria Math" w:hAnsi="Cambria Math" w:cstheme="minorHAnsi"/>
            <w:sz w:val="20"/>
            <w:szCs w:val="20"/>
          </w:rPr>
          <m:t xml:space="preserve">Cofinanciamiento </m:t>
        </m:r>
      </m:oMath>
      <w:r>
        <w:rPr>
          <w:rFonts w:asciiTheme="minorHAnsi" w:hAnsiTheme="minorHAnsi" w:cstheme="minorBidi"/>
          <w:b/>
          <w:bCs/>
          <w:sz w:val="20"/>
          <w:szCs w:val="20"/>
        </w:rPr>
        <w:t>=</w:t>
      </w:r>
      <m:oMath>
        <m:r>
          <m:rPr>
            <m:sty m:val="bi"/>
          </m:rPr>
          <w:rPr>
            <w:rFonts w:ascii="Cambria Math" w:hAnsi="Cambria Math" w:cstheme="minorHAnsi"/>
            <w:sz w:val="20"/>
            <w:szCs w:val="20"/>
          </w:rPr>
          <m:t>Pagos al Concesionario-(Recaudación de Peaje-Provisión de EV)</m:t>
        </m:r>
      </m:oMath>
      <w:r>
        <w:rPr>
          <w:rFonts w:ascii="Cambria Math" w:hAnsi="Cambria Math" w:cstheme="minorHAnsi"/>
          <w:b/>
          <w:i/>
          <w:sz w:val="20"/>
          <w:szCs w:val="20"/>
        </w:rPr>
        <w:t xml:space="preserve"> </w:t>
      </w:r>
    </w:p>
    <w:p w14:paraId="21C18B0A" w14:textId="77777777" w:rsidR="004412F1" w:rsidRDefault="004412F1">
      <w:pPr>
        <w:ind w:left="426"/>
        <w:jc w:val="both"/>
      </w:pPr>
    </w:p>
    <w:p w14:paraId="18FFCDD6" w14:textId="77777777" w:rsidR="004412F1" w:rsidRDefault="005A12A3">
      <w:pPr>
        <w:numPr>
          <w:ilvl w:val="0"/>
          <w:numId w:val="204"/>
        </w:numPr>
        <w:ind w:left="426" w:hanging="426"/>
        <w:jc w:val="both"/>
        <w:rPr>
          <w:lang w:val="es-PE"/>
        </w:rPr>
      </w:pPr>
      <w:r>
        <w:rPr>
          <w:lang w:val="es-PE"/>
        </w:rPr>
        <w:t>El CONCEDENTE abonará a la Cuenta Recaudadora del Fideicomiso de Administración, la diferencia entre: i) el monto total de obligaciones por cancelar, según corresponda a la obligación, ii) el monto recaudado por peajes descontando la provisión por Emergencias Viales.</w:t>
      </w:r>
    </w:p>
    <w:p w14:paraId="28883DFF" w14:textId="77777777" w:rsidR="004412F1" w:rsidRDefault="004412F1">
      <w:pPr>
        <w:ind w:left="426"/>
        <w:jc w:val="both"/>
        <w:rPr>
          <w:color w:val="000000"/>
          <w:lang w:val="es-PE"/>
        </w:rPr>
      </w:pPr>
    </w:p>
    <w:p w14:paraId="0DBF1C68" w14:textId="77777777" w:rsidR="004412F1" w:rsidRDefault="005A12A3">
      <w:pPr>
        <w:numPr>
          <w:ilvl w:val="0"/>
          <w:numId w:val="204"/>
        </w:numPr>
        <w:ind w:left="426" w:hanging="426"/>
        <w:jc w:val="both"/>
        <w:rPr>
          <w:lang w:val="es-PE"/>
        </w:rPr>
      </w:pPr>
      <w:bookmarkStart w:id="2906" w:name="_Toc468837777"/>
      <w:bookmarkStart w:id="2907" w:name="_Toc370737487"/>
      <w:r>
        <w:rPr>
          <w:lang w:val="es-PE"/>
        </w:rPr>
        <w:t>Para efectos del pago de las obligaciones, el CONCESIONARIO deberá emitir el(los) comprobante(s) de pago respectivo(s) al CONCEDENTE conforme al procedimiento de liquidación y pago respectivo previsto en el presente Anexo y a las Leyes y Disposiciones Aplicables. Asimismo, cabe señalar que el Cofinanciamiento será transferido más el IGV correspondiente.</w:t>
      </w:r>
    </w:p>
    <w:p w14:paraId="77B1812B" w14:textId="77777777" w:rsidR="004412F1" w:rsidRDefault="005A12A3">
      <w:pPr>
        <w:ind w:left="720"/>
        <w:jc w:val="both"/>
        <w:rPr>
          <w:lang w:val="es-PE"/>
        </w:rPr>
      </w:pPr>
      <w:r>
        <w:rPr>
          <w:lang w:val="es-PE"/>
        </w:rPr>
        <w:t xml:space="preserve"> </w:t>
      </w:r>
    </w:p>
    <w:p w14:paraId="6FB54215" w14:textId="77777777" w:rsidR="004412F1" w:rsidRDefault="005A12A3">
      <w:pPr>
        <w:numPr>
          <w:ilvl w:val="0"/>
          <w:numId w:val="204"/>
        </w:numPr>
        <w:ind w:left="426" w:hanging="426"/>
        <w:jc w:val="both"/>
        <w:rPr>
          <w:lang w:val="es-PE"/>
        </w:rPr>
      </w:pPr>
      <w:r>
        <w:rPr>
          <w:lang w:val="es-PE"/>
        </w:rPr>
        <w:t xml:space="preserve">En caso la recaudación de peaje sea superior al monto destinado para los Pagos al Concesionario, el saldo permanecerá en la Cuenta Recaudadora. Los saldos finales de la cuenta al término del contrato del Fideicomiso de Administración revertirán al CONCEDENTE. </w:t>
      </w:r>
    </w:p>
    <w:p w14:paraId="17B51C63" w14:textId="77777777" w:rsidR="004412F1" w:rsidRDefault="004412F1">
      <w:pPr>
        <w:jc w:val="both"/>
        <w:rPr>
          <w:lang w:val="es-PE"/>
        </w:rPr>
      </w:pPr>
    </w:p>
    <w:p w14:paraId="1A0EC614" w14:textId="77777777" w:rsidR="004412F1" w:rsidRDefault="004412F1">
      <w:pPr>
        <w:jc w:val="both"/>
        <w:rPr>
          <w:lang w:val="es-PE"/>
        </w:rPr>
      </w:pPr>
    </w:p>
    <w:p w14:paraId="43D1A503" w14:textId="77777777" w:rsidR="004412F1" w:rsidRDefault="004412F1">
      <w:pPr>
        <w:ind w:left="426"/>
        <w:jc w:val="both"/>
        <w:rPr>
          <w:lang w:val="es-PE"/>
        </w:rPr>
      </w:pPr>
    </w:p>
    <w:p w14:paraId="5CB44353" w14:textId="77777777" w:rsidR="004412F1" w:rsidRDefault="004412F1">
      <w:pPr>
        <w:jc w:val="both"/>
        <w:rPr>
          <w:lang w:val="es-PE"/>
        </w:rPr>
      </w:pPr>
    </w:p>
    <w:p w14:paraId="0A879BD3" w14:textId="77777777" w:rsidR="004412F1" w:rsidRDefault="004412F1">
      <w:pPr>
        <w:ind w:left="426"/>
        <w:jc w:val="both"/>
        <w:rPr>
          <w:lang w:val="es-PE"/>
        </w:rPr>
      </w:pPr>
    </w:p>
    <w:p w14:paraId="0F71AADF" w14:textId="77777777" w:rsidR="004412F1" w:rsidRDefault="004412F1">
      <w:pPr>
        <w:ind w:left="426"/>
        <w:jc w:val="both"/>
        <w:rPr>
          <w:lang w:val="es-PE"/>
        </w:rPr>
      </w:pPr>
    </w:p>
    <w:p w14:paraId="16B4EFDA" w14:textId="77777777" w:rsidR="004412F1" w:rsidRDefault="004412F1">
      <w:pPr>
        <w:ind w:left="426"/>
        <w:jc w:val="both"/>
        <w:rPr>
          <w:lang w:val="es-PE"/>
        </w:rPr>
      </w:pPr>
    </w:p>
    <w:p w14:paraId="36623292" w14:textId="77777777" w:rsidR="004412F1" w:rsidRDefault="004412F1">
      <w:pPr>
        <w:ind w:left="426"/>
        <w:jc w:val="both"/>
        <w:rPr>
          <w:lang w:val="es-PE"/>
        </w:rPr>
      </w:pPr>
    </w:p>
    <w:p w14:paraId="703AE39A" w14:textId="77777777" w:rsidR="004412F1" w:rsidRDefault="004412F1">
      <w:pPr>
        <w:ind w:left="426"/>
        <w:jc w:val="both"/>
        <w:rPr>
          <w:lang w:val="es-PE"/>
        </w:rPr>
      </w:pPr>
    </w:p>
    <w:p w14:paraId="1E3A7F9C" w14:textId="77777777" w:rsidR="004412F1" w:rsidRDefault="004412F1">
      <w:pPr>
        <w:ind w:left="426"/>
        <w:jc w:val="both"/>
        <w:rPr>
          <w:lang w:val="es-PE"/>
        </w:rPr>
      </w:pPr>
    </w:p>
    <w:p w14:paraId="453E5678" w14:textId="77777777" w:rsidR="004412F1" w:rsidRDefault="004412F1">
      <w:pPr>
        <w:ind w:left="426"/>
        <w:jc w:val="both"/>
        <w:rPr>
          <w:lang w:val="es-PE"/>
        </w:rPr>
      </w:pPr>
    </w:p>
    <w:p w14:paraId="0388086C" w14:textId="77777777" w:rsidR="004412F1" w:rsidRDefault="004412F1">
      <w:pPr>
        <w:ind w:left="426"/>
        <w:jc w:val="both"/>
        <w:rPr>
          <w:lang w:val="es-PE"/>
        </w:rPr>
      </w:pPr>
    </w:p>
    <w:p w14:paraId="14B7CE03" w14:textId="77777777" w:rsidR="004412F1" w:rsidRDefault="004412F1">
      <w:pPr>
        <w:ind w:left="426"/>
        <w:jc w:val="both"/>
        <w:rPr>
          <w:lang w:val="es-PE"/>
        </w:rPr>
      </w:pPr>
    </w:p>
    <w:p w14:paraId="6A66F419" w14:textId="77777777" w:rsidR="004412F1" w:rsidRDefault="004412F1">
      <w:pPr>
        <w:ind w:left="426"/>
        <w:jc w:val="both"/>
        <w:rPr>
          <w:lang w:val="es-PE"/>
        </w:rPr>
      </w:pPr>
    </w:p>
    <w:p w14:paraId="0AAF46F7" w14:textId="77777777" w:rsidR="004412F1" w:rsidRDefault="004412F1">
      <w:pPr>
        <w:ind w:left="426"/>
        <w:jc w:val="both"/>
        <w:rPr>
          <w:lang w:val="es-PE"/>
        </w:rPr>
      </w:pPr>
    </w:p>
    <w:p w14:paraId="01422A15" w14:textId="77777777" w:rsidR="004412F1" w:rsidRDefault="004412F1">
      <w:pPr>
        <w:ind w:left="426"/>
        <w:jc w:val="both"/>
        <w:rPr>
          <w:lang w:val="es-PE"/>
        </w:rPr>
      </w:pPr>
    </w:p>
    <w:p w14:paraId="62550B85" w14:textId="77777777" w:rsidR="004412F1" w:rsidRDefault="004412F1">
      <w:pPr>
        <w:ind w:left="426"/>
        <w:jc w:val="both"/>
        <w:rPr>
          <w:lang w:val="es-PE"/>
        </w:rPr>
      </w:pPr>
    </w:p>
    <w:p w14:paraId="73A7C761" w14:textId="77777777" w:rsidR="004412F1" w:rsidRDefault="004412F1">
      <w:pPr>
        <w:ind w:left="426"/>
        <w:jc w:val="both"/>
        <w:rPr>
          <w:lang w:val="es-PE"/>
        </w:rPr>
      </w:pPr>
    </w:p>
    <w:p w14:paraId="0698C648" w14:textId="77777777" w:rsidR="004412F1" w:rsidRDefault="004412F1">
      <w:pPr>
        <w:ind w:left="426"/>
        <w:jc w:val="both"/>
        <w:rPr>
          <w:lang w:val="es-PE"/>
        </w:rPr>
      </w:pPr>
    </w:p>
    <w:p w14:paraId="2DFB7D51" w14:textId="77777777" w:rsidR="004412F1" w:rsidRDefault="004412F1">
      <w:pPr>
        <w:ind w:left="426"/>
        <w:jc w:val="both"/>
        <w:rPr>
          <w:lang w:val="es-PE"/>
        </w:rPr>
      </w:pPr>
    </w:p>
    <w:p w14:paraId="24035901" w14:textId="77777777" w:rsidR="004412F1" w:rsidRDefault="005A12A3">
      <w:pPr>
        <w:rPr>
          <w:b/>
          <w:lang w:val="es-PE"/>
        </w:rPr>
      </w:pPr>
      <w:r>
        <w:rPr>
          <w:lang w:val="es-PE"/>
        </w:rPr>
        <w:br w:type="page"/>
      </w:r>
    </w:p>
    <w:p w14:paraId="2F7A4744" w14:textId="77777777" w:rsidR="004412F1" w:rsidRDefault="005A12A3">
      <w:pPr>
        <w:pStyle w:val="Ttulo2"/>
        <w:ind w:left="0"/>
        <w:jc w:val="center"/>
        <w:rPr>
          <w:rFonts w:ascii="Arial" w:eastAsia="Arial" w:hAnsi="Arial" w:cs="Arial"/>
          <w:b/>
          <w:u w:val="none"/>
          <w:lang w:val="es-PE"/>
        </w:rPr>
      </w:pPr>
      <w:bookmarkStart w:id="2908" w:name="_yzhdlgceykx9" w:colFirst="0" w:colLast="0"/>
      <w:bookmarkStart w:id="2909" w:name="_Toc139294856"/>
      <w:bookmarkStart w:id="2910" w:name="_Toc140089483"/>
      <w:bookmarkEnd w:id="2908"/>
      <w:r>
        <w:rPr>
          <w:rFonts w:ascii="Arial" w:eastAsia="Arial" w:hAnsi="Arial" w:cs="Arial"/>
          <w:b/>
          <w:u w:val="none"/>
          <w:lang w:val="es-PE"/>
        </w:rPr>
        <w:t>Apéndice 3</w:t>
      </w:r>
      <w:bookmarkEnd w:id="2909"/>
      <w:bookmarkEnd w:id="2910"/>
    </w:p>
    <w:p w14:paraId="010CD59F" w14:textId="77777777" w:rsidR="004412F1" w:rsidRDefault="005A12A3" w:rsidP="00AC61E2">
      <w:pPr>
        <w:ind w:left="567"/>
        <w:jc w:val="center"/>
        <w:outlineLvl w:val="1"/>
        <w:rPr>
          <w:b/>
          <w:lang w:val="es-PE"/>
        </w:rPr>
      </w:pPr>
      <w:bookmarkStart w:id="2911" w:name="_50w3jva2rb9h" w:colFirst="0" w:colLast="0"/>
      <w:bookmarkStart w:id="2912" w:name="_Toc140089484"/>
      <w:bookmarkEnd w:id="2911"/>
      <w:r>
        <w:rPr>
          <w:b/>
          <w:lang w:val="es-PE"/>
        </w:rPr>
        <w:t>Sobre el Mantenimiento Periódico</w:t>
      </w:r>
      <w:bookmarkEnd w:id="2906"/>
      <w:bookmarkEnd w:id="2907"/>
      <w:bookmarkEnd w:id="2912"/>
    </w:p>
    <w:p w14:paraId="646BE709" w14:textId="77777777" w:rsidR="004412F1" w:rsidRDefault="004412F1">
      <w:pPr>
        <w:jc w:val="center"/>
        <w:rPr>
          <w:b/>
          <w:lang w:val="es-PE"/>
        </w:rPr>
      </w:pPr>
    </w:p>
    <w:p w14:paraId="1A8B3FE8" w14:textId="77777777" w:rsidR="004412F1" w:rsidRDefault="004412F1">
      <w:pPr>
        <w:ind w:left="426"/>
        <w:jc w:val="both"/>
        <w:rPr>
          <w:lang w:val="es-PE"/>
        </w:rPr>
      </w:pPr>
    </w:p>
    <w:p w14:paraId="6B1F5AFB" w14:textId="77777777" w:rsidR="004412F1" w:rsidRDefault="005A12A3">
      <w:pPr>
        <w:jc w:val="both"/>
        <w:rPr>
          <w:lang w:val="es-PE"/>
        </w:rPr>
      </w:pPr>
      <w:r>
        <w:rPr>
          <w:lang w:val="es-PE"/>
        </w:rPr>
        <w:t xml:space="preserve">Para la provisión de fondos por actividades de Mantenimiento Periódico, se deberá observar el siguiente procedimiento: </w:t>
      </w:r>
    </w:p>
    <w:p w14:paraId="2CF235C3" w14:textId="77777777" w:rsidR="004412F1" w:rsidRDefault="004412F1">
      <w:pPr>
        <w:jc w:val="both"/>
        <w:rPr>
          <w:lang w:val="es-PE"/>
        </w:rPr>
      </w:pPr>
    </w:p>
    <w:p w14:paraId="630546F0" w14:textId="77777777" w:rsidR="004412F1" w:rsidRDefault="005A12A3">
      <w:pPr>
        <w:numPr>
          <w:ilvl w:val="0"/>
          <w:numId w:val="205"/>
        </w:numPr>
        <w:ind w:left="426" w:hanging="426"/>
        <w:jc w:val="both"/>
        <w:rPr>
          <w:rFonts w:eastAsia="Times New Roman"/>
          <w:bCs/>
          <w:color w:val="000000"/>
          <w:szCs w:val="18"/>
          <w:lang w:val="es-ES" w:eastAsia="es-ES"/>
        </w:rPr>
      </w:pPr>
      <w:r>
        <w:rPr>
          <w:color w:val="000000"/>
          <w:lang w:val="es-PE"/>
        </w:rPr>
        <w:t xml:space="preserve">A partir del pago de la primera cuota del RPMO vigente, el fiduciario del Fideicomiso de Administración deberá transferir de la Cuenta Recaudadora a la Cuenta de Mantenimiento Periódico del Fideicomiso, como provisión para Mantenimiento Periódico, con el fin de acumular los recursos necesarios para atender oportunamente los pagos por concepto de esta obligación a cargo del CONCESIONARIO, </w:t>
      </w:r>
      <w:proofErr w:type="gramStart"/>
      <w:r>
        <w:rPr>
          <w:color w:val="000000"/>
          <w:lang w:val="es-PE"/>
        </w:rPr>
        <w:t>de acuerdo a</w:t>
      </w:r>
      <w:proofErr w:type="gramEnd"/>
      <w:r>
        <w:rPr>
          <w:color w:val="000000"/>
          <w:lang w:val="es-PE"/>
        </w:rPr>
        <w:t xml:space="preserve"> la siguiente tabla:  </w:t>
      </w:r>
    </w:p>
    <w:p w14:paraId="5C7F61DE" w14:textId="77777777" w:rsidR="004412F1" w:rsidRDefault="004412F1">
      <w:pPr>
        <w:ind w:left="708"/>
        <w:rPr>
          <w:color w:val="000000"/>
          <w:lang w:val="es-PE"/>
        </w:rPr>
      </w:pPr>
    </w:p>
    <w:p w14:paraId="1DDA6515" w14:textId="77777777" w:rsidR="004412F1" w:rsidRDefault="005A12A3">
      <w:pPr>
        <w:ind w:left="720"/>
        <w:jc w:val="center"/>
      </w:pPr>
      <w:r>
        <w:t>[T</w:t>
      </w:r>
      <w:r>
        <w:rPr>
          <w:lang w:val="es-ES"/>
        </w:rPr>
        <w:t>abla______</w:t>
      </w:r>
      <w:r>
        <w:t>]</w:t>
      </w:r>
    </w:p>
    <w:p w14:paraId="5E648B87" w14:textId="77777777" w:rsidR="004412F1" w:rsidRDefault="004412F1">
      <w:pPr>
        <w:ind w:left="720"/>
        <w:jc w:val="both"/>
      </w:pPr>
    </w:p>
    <w:p w14:paraId="52499D06" w14:textId="77777777" w:rsidR="004412F1" w:rsidRDefault="005A12A3" w:rsidP="00F16ECC">
      <w:pPr>
        <w:numPr>
          <w:ilvl w:val="0"/>
          <w:numId w:val="205"/>
        </w:numPr>
        <w:ind w:left="426" w:hanging="426"/>
        <w:jc w:val="both"/>
        <w:rPr>
          <w:color w:val="000000"/>
          <w:lang w:val="es-PE"/>
        </w:rPr>
      </w:pPr>
      <w:r>
        <w:rPr>
          <w:color w:val="000000"/>
          <w:lang w:val="es-PE"/>
        </w:rPr>
        <w:t>El monto acumulado de dichos depósitos, incluyendo los intereses que pudieran generarse, serán utilizados para financiar las actividades de Mantenimiento Periódico en el momento que se requieran. La ejecución de las actividades de Mantenimiento Periódico es a cuenta y riesgo del CONCESIONARIO.</w:t>
      </w:r>
    </w:p>
    <w:p w14:paraId="6D19C6FE" w14:textId="77777777" w:rsidR="004412F1" w:rsidRDefault="004412F1">
      <w:pPr>
        <w:ind w:left="426"/>
        <w:jc w:val="both"/>
        <w:rPr>
          <w:lang w:val="es-PE"/>
        </w:rPr>
      </w:pPr>
    </w:p>
    <w:p w14:paraId="10F3F9FC" w14:textId="77777777" w:rsidR="004412F1" w:rsidRDefault="005A12A3">
      <w:pPr>
        <w:numPr>
          <w:ilvl w:val="0"/>
          <w:numId w:val="205"/>
        </w:numPr>
        <w:ind w:left="426" w:hanging="426"/>
        <w:jc w:val="both"/>
        <w:rPr>
          <w:lang w:val="es-PE"/>
        </w:rPr>
      </w:pPr>
      <w:r>
        <w:rPr>
          <w:color w:val="000000"/>
          <w:lang w:val="es-PE"/>
        </w:rPr>
        <w:t xml:space="preserve">Para efectos de programación, ejecución y liquidación del Mantenimiento Periódico, se establece el siguiente procedimiento: </w:t>
      </w:r>
    </w:p>
    <w:p w14:paraId="7AC9E7D3" w14:textId="77777777" w:rsidR="004412F1" w:rsidRDefault="004412F1">
      <w:pPr>
        <w:ind w:left="426"/>
        <w:jc w:val="both"/>
        <w:rPr>
          <w:lang w:val="es-PE"/>
        </w:rPr>
      </w:pPr>
    </w:p>
    <w:p w14:paraId="2ECF7B18" w14:textId="77777777" w:rsidR="004412F1" w:rsidRDefault="005A12A3">
      <w:pPr>
        <w:numPr>
          <w:ilvl w:val="0"/>
          <w:numId w:val="207"/>
        </w:numPr>
        <w:ind w:left="851" w:hanging="425"/>
        <w:jc w:val="both"/>
        <w:rPr>
          <w:lang w:val="es-PE"/>
        </w:rPr>
      </w:pPr>
      <w:r>
        <w:rPr>
          <w:color w:val="000000"/>
          <w:lang w:val="es-PE"/>
        </w:rPr>
        <w:t xml:space="preserve">El CONCESIONARIO solicitará autorización al CONCEDENTE, con copia al REGULADOR, para realizar las actividades correspondientes al Mantenimiento Periódico, adjuntando un expediente técnico de Mantenimiento a más tardar con tres (03) meses de anticipación a la fecha propuesta para la ejecución de esta actividad. Dicha solicitud deberá incluir un presupuesto detallado del Mantenimiento Periódico. </w:t>
      </w:r>
    </w:p>
    <w:p w14:paraId="68B221DB" w14:textId="77777777" w:rsidR="004412F1" w:rsidRDefault="004412F1">
      <w:pPr>
        <w:ind w:left="851" w:hanging="425"/>
        <w:jc w:val="both"/>
        <w:rPr>
          <w:lang w:val="es-PE"/>
        </w:rPr>
      </w:pPr>
    </w:p>
    <w:p w14:paraId="14C9BC1B" w14:textId="77777777" w:rsidR="004412F1" w:rsidRDefault="005A12A3">
      <w:pPr>
        <w:numPr>
          <w:ilvl w:val="0"/>
          <w:numId w:val="207"/>
        </w:numPr>
        <w:ind w:left="851" w:hanging="425"/>
        <w:jc w:val="both"/>
        <w:rPr>
          <w:lang w:val="es-PE"/>
        </w:rPr>
      </w:pPr>
      <w:r>
        <w:rPr>
          <w:color w:val="000000"/>
          <w:lang w:val="es-PE"/>
        </w:rPr>
        <w:t>Si el CONCEDENTE, previa opinión del REGULADOR, quien deberá emitir su opinión en un plazo de quince (15) Días, está de acuerdo con el presupuesto presentado por el CONCESIONARIO, en un plazo de diez (10) Días luego de recibida la opinión del REGULADOR, autorizará por escrito al CONCESIONARIO a realizar las actividades de Mantenimiento Periódico, conforme al expediente técnico y a los costos estimados por el CONCESIONARIO.</w:t>
      </w:r>
    </w:p>
    <w:p w14:paraId="1A4220B7" w14:textId="77777777" w:rsidR="004412F1" w:rsidRDefault="004412F1">
      <w:pPr>
        <w:ind w:left="851" w:hanging="425"/>
        <w:jc w:val="both"/>
        <w:rPr>
          <w:lang w:val="es-PE"/>
        </w:rPr>
      </w:pPr>
    </w:p>
    <w:p w14:paraId="75EDDC34" w14:textId="77777777" w:rsidR="004412F1" w:rsidRDefault="005A12A3">
      <w:pPr>
        <w:numPr>
          <w:ilvl w:val="0"/>
          <w:numId w:val="207"/>
        </w:numPr>
        <w:ind w:left="851" w:hanging="425"/>
        <w:jc w:val="both"/>
        <w:rPr>
          <w:lang w:val="es-PE"/>
        </w:rPr>
      </w:pPr>
      <w:r>
        <w:rPr>
          <w:color w:val="000000"/>
          <w:lang w:val="es-PE"/>
        </w:rPr>
        <w:t xml:space="preserve">La comunicación del CONCEDENTE autorizará al CONCESIONARIO a utilizar los recursos del monto acumulado en la Cuenta de Mantenimiento Periódico del Fideicomiso de Administración (saldo de la cuenta, incluyendo intereses devengados), hasta el monto previsto en su presupuesto o hasta agotar el saldo de la cuenta mencionada. El REGULADOR efectuará la supervisión correspondiente a las actividades de Mantenimiento Periódico autorizado. </w:t>
      </w:r>
    </w:p>
    <w:p w14:paraId="41259AEC" w14:textId="77777777" w:rsidR="004412F1" w:rsidRDefault="004412F1">
      <w:pPr>
        <w:ind w:left="426"/>
        <w:jc w:val="both"/>
        <w:rPr>
          <w:lang w:val="es-PE"/>
        </w:rPr>
      </w:pPr>
    </w:p>
    <w:p w14:paraId="5AB51617" w14:textId="77777777" w:rsidR="004412F1" w:rsidRDefault="005A12A3">
      <w:pPr>
        <w:numPr>
          <w:ilvl w:val="0"/>
          <w:numId w:val="207"/>
        </w:numPr>
        <w:ind w:left="851" w:hanging="425"/>
        <w:jc w:val="both"/>
        <w:rPr>
          <w:lang w:val="es-PE"/>
        </w:rPr>
      </w:pPr>
      <w:r>
        <w:rPr>
          <w:color w:val="000000"/>
          <w:lang w:val="es-PE"/>
        </w:rPr>
        <w:t xml:space="preserve">En caso el presupuesto aprobado por el CONCEDENTE sea superior al monto acumulado en la cuenta antes indicada, el CONCESIONARIO asumirá la diferencia con cargo a sus recursos. </w:t>
      </w:r>
    </w:p>
    <w:p w14:paraId="701D5FB2" w14:textId="77777777" w:rsidR="004412F1" w:rsidRDefault="004412F1">
      <w:pPr>
        <w:ind w:left="851"/>
        <w:jc w:val="both"/>
        <w:rPr>
          <w:lang w:val="es-PE"/>
        </w:rPr>
      </w:pPr>
    </w:p>
    <w:p w14:paraId="31ED2CB8" w14:textId="77777777" w:rsidR="004412F1" w:rsidRDefault="005A12A3">
      <w:pPr>
        <w:numPr>
          <w:ilvl w:val="0"/>
          <w:numId w:val="207"/>
        </w:numPr>
        <w:ind w:left="851" w:hanging="425"/>
        <w:jc w:val="both"/>
        <w:rPr>
          <w:lang w:val="es-PE"/>
        </w:rPr>
      </w:pPr>
      <w:r>
        <w:rPr>
          <w:color w:val="000000"/>
          <w:lang w:val="es-PE"/>
        </w:rPr>
        <w:t>Para modificar las fechas consideradas en el expediente técnico de Mantenimiento aprobado por el CONCEDENTE, se seguirá el mismo procedimiento que para la aprobación.</w:t>
      </w:r>
    </w:p>
    <w:p w14:paraId="72D96ED3" w14:textId="77777777" w:rsidR="004412F1" w:rsidRDefault="004412F1">
      <w:pPr>
        <w:ind w:left="708"/>
        <w:rPr>
          <w:color w:val="000000"/>
          <w:sz w:val="16"/>
          <w:lang w:val="es-PE"/>
        </w:rPr>
      </w:pPr>
    </w:p>
    <w:p w14:paraId="1A7D88A5" w14:textId="77777777" w:rsidR="004412F1" w:rsidRDefault="005A12A3">
      <w:pPr>
        <w:numPr>
          <w:ilvl w:val="0"/>
          <w:numId w:val="207"/>
        </w:numPr>
        <w:ind w:left="851" w:hanging="425"/>
        <w:jc w:val="both"/>
        <w:rPr>
          <w:lang w:val="es-PE"/>
        </w:rPr>
      </w:pPr>
      <w:r>
        <w:rPr>
          <w:color w:val="000000"/>
          <w:lang w:val="es-PE"/>
        </w:rPr>
        <w:t xml:space="preserve">La oportunidad de la solicitud indicada deberá estar considerada en lo indicado en el numeral 3, Programas de Conservación de la Sección 1 del Anexo I. </w:t>
      </w:r>
    </w:p>
    <w:p w14:paraId="5CEFDC4F" w14:textId="77777777" w:rsidR="004412F1" w:rsidRDefault="004412F1">
      <w:pPr>
        <w:jc w:val="both"/>
        <w:rPr>
          <w:lang w:val="es-PE"/>
        </w:rPr>
      </w:pPr>
    </w:p>
    <w:p w14:paraId="78E3AFA4" w14:textId="77777777" w:rsidR="004412F1" w:rsidRDefault="005A12A3">
      <w:pPr>
        <w:numPr>
          <w:ilvl w:val="0"/>
          <w:numId w:val="207"/>
        </w:numPr>
        <w:ind w:left="851" w:hanging="425"/>
        <w:jc w:val="both"/>
        <w:rPr>
          <w:lang w:val="es-PE"/>
        </w:rPr>
      </w:pPr>
      <w:r>
        <w:rPr>
          <w:color w:val="000000"/>
          <w:lang w:val="es-PE"/>
        </w:rPr>
        <w:t>En caso sea en otra oportunidad, y si la solicitud ha sido aprobada se actualizar</w:t>
      </w:r>
      <w:r>
        <w:rPr>
          <w:color w:val="000000"/>
          <w:lang w:val="es-MX"/>
        </w:rPr>
        <w:t>á</w:t>
      </w:r>
      <w:r>
        <w:rPr>
          <w:color w:val="000000"/>
          <w:lang w:val="es-PE"/>
        </w:rPr>
        <w:t xml:space="preserve"> el programa de Conservación de acuerdo con lo indicado en el numeral 3.7 de la Sección 1 del ANEXO I. </w:t>
      </w:r>
    </w:p>
    <w:p w14:paraId="51D62AD3" w14:textId="77777777" w:rsidR="004412F1" w:rsidRDefault="004412F1">
      <w:pPr>
        <w:ind w:left="1276" w:hanging="425"/>
        <w:jc w:val="both"/>
        <w:rPr>
          <w:lang w:val="es-PE"/>
        </w:rPr>
      </w:pPr>
    </w:p>
    <w:p w14:paraId="2035D16C" w14:textId="77777777" w:rsidR="004412F1" w:rsidRDefault="005A12A3">
      <w:pPr>
        <w:numPr>
          <w:ilvl w:val="0"/>
          <w:numId w:val="205"/>
        </w:numPr>
        <w:ind w:left="426" w:hanging="426"/>
        <w:jc w:val="both"/>
        <w:rPr>
          <w:lang w:val="es-PE"/>
        </w:rPr>
      </w:pPr>
      <w:r>
        <w:rPr>
          <w:color w:val="000000"/>
          <w:lang w:val="es-PE"/>
        </w:rPr>
        <w:t xml:space="preserve">Asimismo, aprobado el Expediente Técnico del Mantenimiento Periódico, el REGULADOR solicitará al CONCESIONARIO el pago por concepto de supervisión por el </w:t>
      </w:r>
      <w:r>
        <w:rPr>
          <w:lang w:val="es-PE"/>
        </w:rPr>
        <w:t>6</w:t>
      </w:r>
      <w:r>
        <w:rPr>
          <w:color w:val="000000"/>
          <w:lang w:val="es-PE"/>
        </w:rPr>
        <w:t xml:space="preserve">% del presupuesto aprobado </w:t>
      </w:r>
      <w:r>
        <w:rPr>
          <w:lang w:val="es-PE"/>
        </w:rPr>
        <w:t xml:space="preserve">sin incluir </w:t>
      </w:r>
      <w:r>
        <w:rPr>
          <w:color w:val="000000"/>
          <w:lang w:val="es-PE"/>
        </w:rPr>
        <w:t>el IGV.  Para ello, el CONCESIONARIO deberá solicitar al CONCEDENTE que instruya al Fiduciario la transferencia de recursos de la Cuenta de Mantenimiento Periódico del Fideicomiso a la cuenta que el REGULADOR disponga.</w:t>
      </w:r>
    </w:p>
    <w:p w14:paraId="4BAFDDDF" w14:textId="77777777" w:rsidR="004412F1" w:rsidRDefault="004412F1">
      <w:pPr>
        <w:ind w:left="426"/>
        <w:jc w:val="both"/>
        <w:rPr>
          <w:lang w:val="es-PE"/>
        </w:rPr>
      </w:pPr>
    </w:p>
    <w:p w14:paraId="34DF9259" w14:textId="77777777" w:rsidR="004412F1" w:rsidRDefault="004412F1">
      <w:pPr>
        <w:ind w:left="426"/>
        <w:jc w:val="both"/>
        <w:rPr>
          <w:lang w:val="es-PE"/>
        </w:rPr>
      </w:pPr>
    </w:p>
    <w:p w14:paraId="7FFE2E1B" w14:textId="77777777" w:rsidR="004412F1" w:rsidRDefault="005A12A3">
      <w:pPr>
        <w:ind w:left="426"/>
        <w:jc w:val="both"/>
        <w:rPr>
          <w:lang w:val="es-PE"/>
        </w:rPr>
      </w:pPr>
      <w:r>
        <w:rPr>
          <w:lang w:val="es-PE"/>
        </w:rPr>
        <w:br w:type="page"/>
      </w:r>
    </w:p>
    <w:p w14:paraId="553BB07A" w14:textId="77777777" w:rsidR="004412F1" w:rsidRDefault="004412F1">
      <w:pPr>
        <w:ind w:left="426"/>
        <w:jc w:val="both"/>
        <w:rPr>
          <w:lang w:val="es-PE"/>
        </w:rPr>
      </w:pPr>
    </w:p>
    <w:p w14:paraId="6DEE1D19" w14:textId="77777777" w:rsidR="004412F1" w:rsidRDefault="005A12A3">
      <w:pPr>
        <w:pStyle w:val="Ttulo2"/>
        <w:ind w:left="0"/>
        <w:jc w:val="center"/>
        <w:rPr>
          <w:rFonts w:ascii="Arial" w:hAnsi="Arial" w:cs="Arial"/>
          <w:b/>
          <w:lang w:val="es-PE"/>
        </w:rPr>
      </w:pPr>
      <w:bookmarkStart w:id="2913" w:name="_Toc139294857"/>
      <w:bookmarkStart w:id="2914" w:name="_Toc140089485"/>
      <w:r>
        <w:rPr>
          <w:rFonts w:ascii="Arial" w:hAnsi="Arial" w:cs="Arial"/>
          <w:b/>
          <w:lang w:val="es-PE"/>
        </w:rPr>
        <w:t>APÉNDICE 4: SOBRE LA REMUNERACIÓN POR INVERSIONES (RPI)</w:t>
      </w:r>
      <w:bookmarkEnd w:id="2913"/>
      <w:bookmarkEnd w:id="2914"/>
      <w:r>
        <w:rPr>
          <w:rFonts w:ascii="Arial" w:hAnsi="Arial" w:cs="Arial"/>
          <w:b/>
          <w:lang w:val="es-PE"/>
        </w:rPr>
        <w:t xml:space="preserve"> </w:t>
      </w:r>
    </w:p>
    <w:p w14:paraId="62DF2DAF" w14:textId="77777777" w:rsidR="004412F1" w:rsidRDefault="004412F1">
      <w:pPr>
        <w:ind w:left="426"/>
        <w:jc w:val="both"/>
        <w:rPr>
          <w:lang w:val="es-PE"/>
        </w:rPr>
      </w:pPr>
    </w:p>
    <w:p w14:paraId="69F93FC1" w14:textId="77777777" w:rsidR="00F16ECC" w:rsidRDefault="00F16ECC" w:rsidP="00F16ECC">
      <w:pPr>
        <w:ind w:left="426"/>
        <w:jc w:val="both"/>
        <w:rPr>
          <w:color w:val="000000"/>
          <w:lang w:val="es-PE"/>
        </w:rPr>
      </w:pPr>
    </w:p>
    <w:p w14:paraId="26E8781B" w14:textId="1ACDF33E" w:rsidR="004412F1" w:rsidRDefault="005A12A3">
      <w:pPr>
        <w:numPr>
          <w:ilvl w:val="0"/>
          <w:numId w:val="208"/>
        </w:numPr>
        <w:ind w:left="426" w:hanging="426"/>
        <w:jc w:val="both"/>
        <w:rPr>
          <w:color w:val="000000"/>
          <w:lang w:val="es-PE"/>
        </w:rPr>
      </w:pPr>
      <w:r>
        <w:rPr>
          <w:color w:val="000000"/>
          <w:lang w:val="es-PE"/>
        </w:rPr>
        <w:t xml:space="preserve">El CONCEDENTE tendrá la obligación, incondicional e irrevocable, de pagar al CONCESIONARIO los importes por concepto de los RPI-CAO, a través del Fideicomiso de Administración.  </w:t>
      </w:r>
    </w:p>
    <w:p w14:paraId="3F545C01" w14:textId="77777777" w:rsidR="004412F1" w:rsidRDefault="004412F1">
      <w:pPr>
        <w:ind w:left="426"/>
        <w:jc w:val="both"/>
        <w:rPr>
          <w:lang w:val="es-PE"/>
        </w:rPr>
      </w:pPr>
    </w:p>
    <w:p w14:paraId="225A750C" w14:textId="77777777" w:rsidR="004412F1" w:rsidRDefault="005A12A3">
      <w:pPr>
        <w:numPr>
          <w:ilvl w:val="0"/>
          <w:numId w:val="208"/>
        </w:numPr>
        <w:ind w:left="426" w:hanging="426"/>
        <w:jc w:val="both"/>
        <w:rPr>
          <w:color w:val="000000"/>
          <w:lang w:val="es-PE"/>
        </w:rPr>
      </w:pPr>
      <w:r>
        <w:rPr>
          <w:color w:val="000000"/>
          <w:lang w:val="es-PE"/>
        </w:rPr>
        <w:t xml:space="preserve">El RPI indicado en la Propuesta Económica del Adjudicatario se considerará equivalente a precios de la fecha de la firma del Contrato de Concesión y será el importe máximo que el CONCESIONARIO tendrá derecho a recibir por la ejecución de las intervenciones pagadas con RPI, por lo que cualquier gasto adicional durante la ejecución de las intervenciones será asumido por el CONCESIONARIO, sin derecho a reconocimiento o rembolso alguno.  </w:t>
      </w:r>
    </w:p>
    <w:p w14:paraId="0349094E" w14:textId="77777777" w:rsidR="004412F1" w:rsidRDefault="004412F1">
      <w:pPr>
        <w:ind w:left="426"/>
        <w:jc w:val="both"/>
        <w:rPr>
          <w:lang w:val="es-PE"/>
        </w:rPr>
      </w:pPr>
    </w:p>
    <w:p w14:paraId="23F6B4CD" w14:textId="77777777" w:rsidR="004412F1" w:rsidRDefault="005A12A3">
      <w:pPr>
        <w:numPr>
          <w:ilvl w:val="0"/>
          <w:numId w:val="208"/>
        </w:numPr>
        <w:ind w:left="426" w:hanging="426"/>
        <w:jc w:val="both"/>
        <w:rPr>
          <w:color w:val="000000"/>
          <w:lang w:val="es-PE"/>
        </w:rPr>
      </w:pPr>
      <w:r>
        <w:rPr>
          <w:color w:val="000000"/>
          <w:lang w:val="es-PE"/>
        </w:rPr>
        <w:t xml:space="preserve">El CONCESIONARIO adquiere el derecho de cobro de los RPI-CAO como consecuencia de la obtención de cada CAO, según lo establecido en el Apéndice 4.1 del presente Anexo. Este derecho de cobro es libremente transferible, y su transferencia o cesión no requiere autorización del CONCEDENTE. Asimismo, el CONCESIONARIO podrá otorgar o constituir garantías sobre dichos derechos de cobro, sin autorización previa del CONCEDENTE. </w:t>
      </w:r>
    </w:p>
    <w:p w14:paraId="4A82F08B" w14:textId="77777777" w:rsidR="004412F1" w:rsidRDefault="004412F1">
      <w:pPr>
        <w:ind w:left="426"/>
        <w:jc w:val="both"/>
        <w:rPr>
          <w:lang w:val="es-PE"/>
        </w:rPr>
      </w:pPr>
    </w:p>
    <w:p w14:paraId="1C52EDB3" w14:textId="77777777" w:rsidR="004412F1" w:rsidRDefault="005A12A3">
      <w:pPr>
        <w:numPr>
          <w:ilvl w:val="0"/>
          <w:numId w:val="208"/>
        </w:numPr>
        <w:ind w:left="426" w:hanging="426"/>
        <w:jc w:val="both"/>
        <w:rPr>
          <w:color w:val="000000"/>
          <w:lang w:val="es-PE"/>
        </w:rPr>
      </w:pPr>
      <w:r>
        <w:rPr>
          <w:color w:val="000000"/>
          <w:lang w:val="es-PE"/>
        </w:rPr>
        <w:t xml:space="preserve">El inicio de los pagos trimestrales de la RPI (Fecha de Inicio - RPI) se llevará a cabo en el mes cuarenta (40), contado desde la conformidad del Cierre Financiero correspondiente. El pago de los RPI-CAO y del monto que como IGV deba adicionarse, se realizará de forma trimestral vencida, durante sesenta (60) Trimestres Calendario consecutivos. La fecha de pago de cada RPI_CAO será el último día hábil del Trimestre Calendario en curso.  </w:t>
      </w:r>
    </w:p>
    <w:p w14:paraId="3475A067" w14:textId="77777777" w:rsidR="004412F1" w:rsidRDefault="004412F1">
      <w:pPr>
        <w:ind w:left="426"/>
        <w:jc w:val="both"/>
        <w:rPr>
          <w:lang w:val="es-PE"/>
        </w:rPr>
      </w:pPr>
    </w:p>
    <w:p w14:paraId="1F9767FC" w14:textId="77777777" w:rsidR="004412F1" w:rsidRDefault="005A12A3">
      <w:pPr>
        <w:numPr>
          <w:ilvl w:val="0"/>
          <w:numId w:val="208"/>
        </w:numPr>
        <w:ind w:left="426" w:hanging="426"/>
        <w:jc w:val="both"/>
        <w:rPr>
          <w:color w:val="000000"/>
          <w:lang w:val="es-PE"/>
        </w:rPr>
      </w:pPr>
      <w:r>
        <w:rPr>
          <w:color w:val="000000"/>
          <w:lang w:val="es-PE"/>
        </w:rPr>
        <w:t>Para el presente Anexo, entiéndase Trimestre Calendario al periodo de tres (3) meses en los que se divide un Año Calendario, siendo los periodos:</w:t>
      </w:r>
    </w:p>
    <w:p w14:paraId="0E7CFCDA" w14:textId="77777777" w:rsidR="004412F1" w:rsidRDefault="004412F1">
      <w:pPr>
        <w:ind w:left="426"/>
        <w:jc w:val="both"/>
        <w:rPr>
          <w:lang w:val="es-PE"/>
        </w:rPr>
      </w:pPr>
    </w:p>
    <w:p w14:paraId="6BFCE38D" w14:textId="77777777" w:rsidR="004412F1" w:rsidRDefault="005A12A3">
      <w:pPr>
        <w:pStyle w:val="Prrafodelista"/>
        <w:numPr>
          <w:ilvl w:val="0"/>
          <w:numId w:val="209"/>
        </w:numPr>
        <w:jc w:val="both"/>
        <w:rPr>
          <w:lang w:val="es-PE"/>
        </w:rPr>
      </w:pPr>
      <w:r>
        <w:rPr>
          <w:lang w:val="es-PE"/>
        </w:rPr>
        <w:t xml:space="preserve">Del 1 de enero hasta el 31 de marzo. </w:t>
      </w:r>
    </w:p>
    <w:p w14:paraId="5FB28671" w14:textId="77777777" w:rsidR="004412F1" w:rsidRDefault="005A12A3">
      <w:pPr>
        <w:pStyle w:val="Prrafodelista"/>
        <w:numPr>
          <w:ilvl w:val="0"/>
          <w:numId w:val="209"/>
        </w:numPr>
        <w:jc w:val="both"/>
        <w:rPr>
          <w:lang w:val="es-PE"/>
        </w:rPr>
      </w:pPr>
      <w:r>
        <w:rPr>
          <w:lang w:val="es-PE"/>
        </w:rPr>
        <w:t xml:space="preserve">Del 1 de abril hasta el 30 de junio. </w:t>
      </w:r>
    </w:p>
    <w:p w14:paraId="5EDC7E62" w14:textId="77777777" w:rsidR="004412F1" w:rsidRDefault="005A12A3">
      <w:pPr>
        <w:pStyle w:val="Prrafodelista"/>
        <w:numPr>
          <w:ilvl w:val="0"/>
          <w:numId w:val="209"/>
        </w:numPr>
        <w:jc w:val="both"/>
        <w:rPr>
          <w:lang w:val="es-PE"/>
        </w:rPr>
      </w:pPr>
      <w:r>
        <w:rPr>
          <w:lang w:val="es-PE"/>
        </w:rPr>
        <w:t xml:space="preserve">Del 1 de julio hasta el 30 de </w:t>
      </w:r>
      <w:proofErr w:type="gramStart"/>
      <w:r>
        <w:rPr>
          <w:lang w:val="es-PE"/>
        </w:rPr>
        <w:t>Septiembre</w:t>
      </w:r>
      <w:proofErr w:type="gramEnd"/>
      <w:r>
        <w:rPr>
          <w:lang w:val="es-PE"/>
        </w:rPr>
        <w:t xml:space="preserve">. </w:t>
      </w:r>
    </w:p>
    <w:p w14:paraId="4BE94D91" w14:textId="77777777" w:rsidR="004412F1" w:rsidRDefault="005A12A3">
      <w:pPr>
        <w:pStyle w:val="Prrafodelista"/>
        <w:numPr>
          <w:ilvl w:val="0"/>
          <w:numId w:val="209"/>
        </w:numPr>
        <w:jc w:val="both"/>
        <w:rPr>
          <w:lang w:val="es-PE"/>
        </w:rPr>
      </w:pPr>
      <w:r>
        <w:rPr>
          <w:lang w:val="es-PE"/>
        </w:rPr>
        <w:t xml:space="preserve">Del 1 de </w:t>
      </w:r>
      <w:proofErr w:type="gramStart"/>
      <w:r>
        <w:rPr>
          <w:lang w:val="es-PE"/>
        </w:rPr>
        <w:t>Octubre</w:t>
      </w:r>
      <w:proofErr w:type="gramEnd"/>
      <w:r>
        <w:rPr>
          <w:lang w:val="es-PE"/>
        </w:rPr>
        <w:t xml:space="preserve"> hasta el 31 de diciembre </w:t>
      </w:r>
    </w:p>
    <w:p w14:paraId="505196F5" w14:textId="77777777" w:rsidR="004412F1" w:rsidRDefault="004412F1">
      <w:pPr>
        <w:ind w:left="426"/>
        <w:jc w:val="both"/>
        <w:rPr>
          <w:lang w:val="es-PE"/>
        </w:rPr>
      </w:pPr>
    </w:p>
    <w:p w14:paraId="65190254" w14:textId="77777777" w:rsidR="004412F1" w:rsidRDefault="005A12A3">
      <w:pPr>
        <w:numPr>
          <w:ilvl w:val="0"/>
          <w:numId w:val="208"/>
        </w:numPr>
        <w:ind w:left="426" w:hanging="426"/>
        <w:jc w:val="both"/>
        <w:rPr>
          <w:color w:val="000000"/>
          <w:lang w:val="es-PE"/>
        </w:rPr>
      </w:pPr>
      <w:r>
        <w:rPr>
          <w:color w:val="000000"/>
          <w:lang w:val="es-PE"/>
        </w:rPr>
        <w:t>Si el mes cuarenta (40), contado desde la obtención de la conformidad del Cierre Financiero correspondiente, coincide en un mes distinto a marzo, junio, septiembre y diciembre, entonces el primer pago deberá realizarse al término del Trimestre Calendario en curso en el que se encuentra el referido mes cuarenta (40).</w:t>
      </w:r>
    </w:p>
    <w:p w14:paraId="0B7B3BBE" w14:textId="77777777" w:rsidR="004412F1" w:rsidRDefault="005A12A3">
      <w:pPr>
        <w:jc w:val="both"/>
        <w:rPr>
          <w:lang w:val="es-PE"/>
        </w:rPr>
      </w:pPr>
      <w:r>
        <w:rPr>
          <w:lang w:val="es-PE"/>
        </w:rPr>
        <w:tab/>
      </w:r>
    </w:p>
    <w:p w14:paraId="11AF98BB" w14:textId="77777777" w:rsidR="004412F1" w:rsidRDefault="005A12A3">
      <w:pPr>
        <w:ind w:left="426"/>
        <w:jc w:val="both"/>
        <w:rPr>
          <w:lang w:val="es-PE"/>
        </w:rPr>
      </w:pPr>
      <w:r>
        <w:rPr>
          <w:lang w:val="es-PE"/>
        </w:rPr>
        <w:t>En caso se emita un CAO en una fecha posterior a la fecha de inicio del pago de los RPI-CAO correspondientes, el primer pago de estos se efectuará de forma trimestral a partir del último Día Hábil del Trimestre Calendario inmediatamente posterior a la fecha de emisión de dicho CAO y según lo establecido en el presente Apéndice.</w:t>
      </w:r>
    </w:p>
    <w:p w14:paraId="1882F3F6" w14:textId="77777777" w:rsidR="004412F1" w:rsidRDefault="004412F1">
      <w:pPr>
        <w:ind w:left="426"/>
        <w:jc w:val="both"/>
        <w:rPr>
          <w:lang w:val="es-PE"/>
        </w:rPr>
      </w:pPr>
    </w:p>
    <w:p w14:paraId="72D5D66B" w14:textId="77777777" w:rsidR="004412F1" w:rsidRDefault="005A12A3">
      <w:pPr>
        <w:numPr>
          <w:ilvl w:val="0"/>
          <w:numId w:val="208"/>
        </w:numPr>
        <w:ind w:left="426" w:hanging="426"/>
        <w:jc w:val="both"/>
        <w:rPr>
          <w:color w:val="000000"/>
          <w:lang w:val="es-PE"/>
        </w:rPr>
      </w:pPr>
      <w:r>
        <w:rPr>
          <w:color w:val="000000"/>
          <w:lang w:val="es-PE"/>
        </w:rPr>
        <w:t xml:space="preserve">Sin perjuicio de cualquier otra disposición contenida en el Contrato, el CONCEDENTE declara que una vez emitido el RPI-CAO, los pagos correspondientes serán efectuados de manera ininterrumpida. </w:t>
      </w:r>
    </w:p>
    <w:p w14:paraId="108FAD9A" w14:textId="77777777" w:rsidR="004412F1" w:rsidRDefault="004412F1">
      <w:pPr>
        <w:ind w:left="426"/>
        <w:jc w:val="both"/>
        <w:rPr>
          <w:color w:val="000000"/>
          <w:lang w:val="es-PE"/>
        </w:rPr>
      </w:pPr>
    </w:p>
    <w:p w14:paraId="7303A19E" w14:textId="77777777" w:rsidR="004412F1" w:rsidRDefault="005A12A3">
      <w:pPr>
        <w:numPr>
          <w:ilvl w:val="0"/>
          <w:numId w:val="208"/>
        </w:numPr>
        <w:ind w:left="426" w:hanging="426"/>
        <w:jc w:val="both"/>
        <w:rPr>
          <w:color w:val="000000"/>
          <w:lang w:val="es-PE"/>
        </w:rPr>
      </w:pPr>
      <w:r>
        <w:rPr>
          <w:color w:val="000000"/>
          <w:lang w:val="es-PE"/>
        </w:rPr>
        <w:t xml:space="preserve">El procedimiento para el reconocimiento de los RPI-CAO se realizará en función a lo establecido en el Apéndice 4.1 del presente Anexo y se tendrá en consideración lo siguiente:  </w:t>
      </w:r>
    </w:p>
    <w:p w14:paraId="6D5C1ED6" w14:textId="77777777" w:rsidR="004412F1" w:rsidRDefault="004412F1">
      <w:pPr>
        <w:ind w:left="426"/>
        <w:jc w:val="both"/>
        <w:rPr>
          <w:color w:val="000000"/>
          <w:lang w:val="es-PE"/>
        </w:rPr>
      </w:pPr>
    </w:p>
    <w:p w14:paraId="0217DC13" w14:textId="77777777" w:rsidR="004412F1" w:rsidRDefault="005A12A3">
      <w:pPr>
        <w:numPr>
          <w:ilvl w:val="0"/>
          <w:numId w:val="210"/>
        </w:numPr>
        <w:jc w:val="both"/>
        <w:rPr>
          <w:color w:val="000000"/>
          <w:lang w:val="es-PE"/>
        </w:rPr>
      </w:pPr>
      <w:r>
        <w:rPr>
          <w:color w:val="000000"/>
          <w:lang w:val="es-PE"/>
        </w:rPr>
        <w:t xml:space="preserve">El RPI correspondiente indicado en la Propuesta Económica del Adjudicatario, que formará parte integrante del presente Contrato y que el CONCEDENTE pagará al CONCESIONARIO, será ajustado única y exclusivamente según lo establecido en el Apéndice 4.1 del presente Anexo. </w:t>
      </w:r>
    </w:p>
    <w:p w14:paraId="686280C5" w14:textId="77777777" w:rsidR="004412F1" w:rsidRDefault="004412F1">
      <w:pPr>
        <w:ind w:left="426"/>
        <w:jc w:val="both"/>
        <w:rPr>
          <w:color w:val="000000"/>
          <w:lang w:val="es-PE"/>
        </w:rPr>
      </w:pPr>
    </w:p>
    <w:p w14:paraId="25F2E46E" w14:textId="77777777" w:rsidR="004412F1" w:rsidRDefault="005A12A3">
      <w:pPr>
        <w:numPr>
          <w:ilvl w:val="0"/>
          <w:numId w:val="210"/>
        </w:numPr>
        <w:jc w:val="both"/>
        <w:rPr>
          <w:color w:val="000000"/>
          <w:lang w:val="es-PE"/>
        </w:rPr>
      </w:pPr>
      <w:r>
        <w:rPr>
          <w:color w:val="000000"/>
          <w:lang w:val="es-PE"/>
        </w:rPr>
        <w:t xml:space="preserve">El RPI se pagará en </w:t>
      </w:r>
      <w:proofErr w:type="gramStart"/>
      <w:r>
        <w:rPr>
          <w:color w:val="000000"/>
          <w:lang w:val="es-PE"/>
        </w:rPr>
        <w:t>Dólares</w:t>
      </w:r>
      <w:proofErr w:type="gramEnd"/>
      <w:r>
        <w:rPr>
          <w:color w:val="000000"/>
          <w:lang w:val="es-PE"/>
        </w:rPr>
        <w:t xml:space="preserve">, en sesenta (60) cuotas trimestrales a partir de la Fecha de Inicio de Pago de RPI, de acuerdo con los términos y condiciones establecidos en el Contrato de Concesión. Cada pago trimestral ascenderá al veinticinco (25%) del monto anual de los RPI-CAO correspondientes a los CAO emitidos, conforme al Apéndice 4.1 del presente Anexo. </w:t>
      </w:r>
    </w:p>
    <w:p w14:paraId="723218CA" w14:textId="77777777" w:rsidR="004412F1" w:rsidRDefault="004412F1">
      <w:pPr>
        <w:ind w:left="426"/>
        <w:jc w:val="both"/>
        <w:rPr>
          <w:color w:val="000000"/>
          <w:lang w:val="es-PE"/>
        </w:rPr>
      </w:pPr>
    </w:p>
    <w:p w14:paraId="06EDEC81" w14:textId="77777777" w:rsidR="004412F1" w:rsidRDefault="005A12A3">
      <w:pPr>
        <w:numPr>
          <w:ilvl w:val="0"/>
          <w:numId w:val="210"/>
        </w:numPr>
        <w:jc w:val="both"/>
        <w:rPr>
          <w:color w:val="000000"/>
          <w:lang w:val="es-PE"/>
        </w:rPr>
      </w:pPr>
      <w:r>
        <w:rPr>
          <w:color w:val="000000"/>
          <w:lang w:val="es-PE"/>
        </w:rPr>
        <w:t xml:space="preserve">La suspensión de obligaciones o de la Concesión, así como la terminación del Contrato, por las causas establecidos en el Contrato de Concesión o por cualquier otra causa no limitará o afectará bajo concepto alguno la obligación incondicional e irrevocable del CONCEDENTE al pago al CONCESIONARIO de los RPI-CAO generados por los CAO emitidos. Por ello, se mantendrán vigentes durante el plazo que fuere necesario, tanto el Fideicomiso de Administración como las disposiciones del Contrato y de sus Anexos, que resulten aplicables a efectos de garantizar dicho pago. </w:t>
      </w:r>
    </w:p>
    <w:p w14:paraId="7096D2B9" w14:textId="77777777" w:rsidR="004412F1" w:rsidRDefault="004412F1">
      <w:pPr>
        <w:ind w:left="426" w:firstLine="60"/>
        <w:jc w:val="both"/>
        <w:rPr>
          <w:lang w:val="es-PE"/>
        </w:rPr>
      </w:pPr>
    </w:p>
    <w:p w14:paraId="651EF672" w14:textId="77777777" w:rsidR="004412F1" w:rsidRDefault="005A12A3">
      <w:pPr>
        <w:numPr>
          <w:ilvl w:val="0"/>
          <w:numId w:val="210"/>
        </w:numPr>
        <w:jc w:val="both"/>
        <w:rPr>
          <w:color w:val="000000"/>
          <w:lang w:val="es-PE"/>
        </w:rPr>
      </w:pPr>
      <w:r>
        <w:rPr>
          <w:color w:val="000000"/>
          <w:lang w:val="es-PE"/>
        </w:rPr>
        <w:t xml:space="preserve">El derecho de cobro de cada RPI-CAO no estará condicionado a la ejecución o conformidad de las obras realizadas posteriormente a la emisión del certificado que originó el RPI-CAO. Asimismo, el CONCEDENTE no podrá oponer excepciones, compensaciones, obligaciones, reconvenciones, excepción de incumplimiento o cualquier otra defensa o derecho, derivada o no del Contrato, que tienda o tengan por objeto retrasar, retener, reducir o impedir los pagos de los RPI-CAO. Igualmente, el CONCEDENTE no podrá tomar estos pagos como compensación por cualquier obligación que pueda tener el CONCESIONARIO. </w:t>
      </w:r>
    </w:p>
    <w:p w14:paraId="6FE15B56" w14:textId="77777777" w:rsidR="004412F1" w:rsidRDefault="004412F1">
      <w:pPr>
        <w:ind w:left="720"/>
        <w:jc w:val="both"/>
        <w:rPr>
          <w:color w:val="000000"/>
          <w:lang w:val="es-PE"/>
        </w:rPr>
      </w:pPr>
    </w:p>
    <w:p w14:paraId="3379EFF9" w14:textId="77777777" w:rsidR="004412F1" w:rsidRDefault="005A12A3">
      <w:pPr>
        <w:numPr>
          <w:ilvl w:val="0"/>
          <w:numId w:val="210"/>
        </w:numPr>
        <w:jc w:val="both"/>
        <w:rPr>
          <w:color w:val="000000"/>
          <w:lang w:val="es-PE"/>
        </w:rPr>
      </w:pPr>
      <w:r>
        <w:rPr>
          <w:color w:val="000000"/>
          <w:lang w:val="es-PE"/>
        </w:rPr>
        <w:t xml:space="preserve">Por la falta oportuna de pago de los RPI-CAO, el CONCEDENTE, a través del Fideicomiso de Administración, pagará al CONCESIONARIO una tasa equivalente diaria de la Tasa Referencial más dos por ciento (2 %) anual sobre el saldo no pagado desde el inicio del período de retraso hasta que finalice el mismo. Dichos intereses constituyen el único medio de resarcimiento por la demora, no reconociéndose ningún otro tipo de interés o pago adicional al CONCESIONARIO. </w:t>
      </w:r>
    </w:p>
    <w:p w14:paraId="67F7F580" w14:textId="77777777" w:rsidR="004412F1" w:rsidRDefault="004412F1">
      <w:pPr>
        <w:ind w:left="720"/>
        <w:jc w:val="both"/>
        <w:rPr>
          <w:color w:val="000000"/>
          <w:lang w:val="es-PE"/>
        </w:rPr>
      </w:pPr>
    </w:p>
    <w:p w14:paraId="2E922BBC" w14:textId="77777777" w:rsidR="004412F1" w:rsidRDefault="005A12A3">
      <w:pPr>
        <w:numPr>
          <w:ilvl w:val="0"/>
          <w:numId w:val="210"/>
        </w:numPr>
        <w:jc w:val="both"/>
        <w:rPr>
          <w:color w:val="000000"/>
          <w:lang w:val="es-PE"/>
        </w:rPr>
      </w:pPr>
      <w:r>
        <w:rPr>
          <w:color w:val="000000"/>
          <w:lang w:val="es-PE"/>
        </w:rPr>
        <w:t xml:space="preserve">Los recursos necesarios para el pago de los RPI-CAO estarán contemplados en el Presupuesto del sector público para el año fiscal correspondiente. Para ello el CONCEDENTE se compromete a programar cada año las partidas presupuestarias necesarias para el pago del monto anual de los RPI-CAO, tomando en cuenta las disposiciones de las leyes anuales de presupuesto, así como del Decreto Legislativo No. 1440, Decreto Legislativo del Sistema Nacional de Presupuesto Público y/o sus normas modificatorias y/o sustitutorias. </w:t>
      </w:r>
    </w:p>
    <w:p w14:paraId="38A484EB" w14:textId="77777777" w:rsidR="004412F1" w:rsidRDefault="005A12A3">
      <w:pPr>
        <w:jc w:val="both"/>
        <w:rPr>
          <w:lang w:val="es-PE"/>
        </w:rPr>
      </w:pPr>
      <w:r>
        <w:rPr>
          <w:lang w:val="es-PE"/>
        </w:rPr>
        <w:br w:type="page"/>
      </w:r>
    </w:p>
    <w:p w14:paraId="06DC2F5F" w14:textId="77777777" w:rsidR="004412F1" w:rsidRDefault="005A12A3">
      <w:pPr>
        <w:pStyle w:val="Ttulo2"/>
        <w:ind w:left="0"/>
        <w:jc w:val="center"/>
        <w:rPr>
          <w:rFonts w:ascii="Arial" w:hAnsi="Arial" w:cs="Arial"/>
          <w:b/>
          <w:lang w:val="es-PE"/>
        </w:rPr>
      </w:pPr>
      <w:bookmarkStart w:id="2915" w:name="_3gdjk17ec57i" w:colFirst="0" w:colLast="0"/>
      <w:bookmarkStart w:id="2916" w:name="_Toc139294858"/>
      <w:bookmarkStart w:id="2917" w:name="_Toc140089486"/>
      <w:bookmarkEnd w:id="2915"/>
      <w:r>
        <w:rPr>
          <w:rFonts w:ascii="Arial" w:hAnsi="Arial" w:cs="Arial"/>
          <w:b/>
          <w:lang w:val="es-PE"/>
        </w:rPr>
        <w:t>APÉNDICE 4.1: MECANISMO DE CERTIFICACIÓN DE AVANCE DE OBRA</w:t>
      </w:r>
      <w:bookmarkEnd w:id="2916"/>
      <w:bookmarkEnd w:id="2917"/>
    </w:p>
    <w:p w14:paraId="48121618" w14:textId="77777777" w:rsidR="004412F1" w:rsidRDefault="004412F1">
      <w:pPr>
        <w:ind w:left="426"/>
        <w:jc w:val="both"/>
        <w:rPr>
          <w:lang w:val="es-PE"/>
        </w:rPr>
      </w:pPr>
    </w:p>
    <w:p w14:paraId="78E6749A" w14:textId="77777777" w:rsidR="004412F1" w:rsidRDefault="005A12A3">
      <w:pPr>
        <w:jc w:val="both"/>
        <w:rPr>
          <w:b/>
        </w:rPr>
      </w:pPr>
      <w:r>
        <w:rPr>
          <w:b/>
        </w:rPr>
        <w:t>Generalidades</w:t>
      </w:r>
      <w:r>
        <w:rPr>
          <w:b/>
          <w:bCs/>
        </w:rPr>
        <w:t xml:space="preserve"> </w:t>
      </w:r>
    </w:p>
    <w:p w14:paraId="3C1428A3" w14:textId="77777777" w:rsidR="004412F1" w:rsidRDefault="004412F1">
      <w:pPr>
        <w:jc w:val="both"/>
        <w:rPr>
          <w:b/>
        </w:rPr>
      </w:pPr>
    </w:p>
    <w:p w14:paraId="6C67D63F" w14:textId="77777777" w:rsidR="004412F1" w:rsidRDefault="005A12A3">
      <w:pPr>
        <w:numPr>
          <w:ilvl w:val="0"/>
          <w:numId w:val="211"/>
        </w:numPr>
        <w:jc w:val="both"/>
        <w:rPr>
          <w:color w:val="000000"/>
          <w:lang w:val="es-PE"/>
        </w:rPr>
      </w:pPr>
      <w:r>
        <w:rPr>
          <w:color w:val="000000"/>
          <w:lang w:val="es-PE"/>
        </w:rPr>
        <w:t xml:space="preserve">“Hito Constructivo” son avances de Obra expresados en porcentajes que serán verificados por el REGULADOR en función de la ejecución del presupuesto contemplado en el EDI aprobado por el CONCEDENTE utilizando los precios unitarios y metrados de dicho EDI. </w:t>
      </w:r>
    </w:p>
    <w:p w14:paraId="66931157" w14:textId="77777777" w:rsidR="004412F1" w:rsidRDefault="004412F1">
      <w:pPr>
        <w:ind w:left="426"/>
        <w:jc w:val="both"/>
        <w:rPr>
          <w:lang w:val="es-PE"/>
        </w:rPr>
      </w:pPr>
    </w:p>
    <w:p w14:paraId="330D2A85" w14:textId="77777777" w:rsidR="004412F1" w:rsidRDefault="005A12A3">
      <w:pPr>
        <w:numPr>
          <w:ilvl w:val="0"/>
          <w:numId w:val="211"/>
        </w:numPr>
        <w:ind w:left="426" w:hanging="426"/>
        <w:jc w:val="both"/>
        <w:rPr>
          <w:color w:val="000000"/>
          <w:lang w:val="es-PE"/>
        </w:rPr>
      </w:pPr>
      <w:r>
        <w:rPr>
          <w:color w:val="000000"/>
          <w:lang w:val="es-PE"/>
        </w:rPr>
        <w:t>El CONCESIONARIO elaborará el EDI de acuerdo con lo indicado en el Capítulo VII del Contrato de Concesión.</w:t>
      </w:r>
    </w:p>
    <w:p w14:paraId="1B250A15" w14:textId="77777777" w:rsidR="004412F1" w:rsidRDefault="004412F1">
      <w:pPr>
        <w:ind w:left="426"/>
        <w:jc w:val="both"/>
        <w:rPr>
          <w:color w:val="000000"/>
          <w:lang w:val="es-PE"/>
        </w:rPr>
      </w:pPr>
    </w:p>
    <w:p w14:paraId="77009254" w14:textId="77777777" w:rsidR="004412F1" w:rsidRDefault="005A12A3">
      <w:pPr>
        <w:numPr>
          <w:ilvl w:val="0"/>
          <w:numId w:val="211"/>
        </w:numPr>
        <w:ind w:left="426" w:hanging="426"/>
        <w:jc w:val="both"/>
        <w:rPr>
          <w:color w:val="000000"/>
          <w:lang w:val="es-PE"/>
        </w:rPr>
      </w:pPr>
      <w:r>
        <w:rPr>
          <w:color w:val="000000"/>
          <w:lang w:val="es-PE"/>
        </w:rPr>
        <w:t>El presupuesto contenido en el EDI aprobado conforme al Contrato es únicamente referencial y, por lo tanto, no genera derecho de compensación alguno o similar al CONCESIONARIO.</w:t>
      </w:r>
    </w:p>
    <w:p w14:paraId="6BFAA463" w14:textId="77777777" w:rsidR="004412F1" w:rsidRDefault="004412F1">
      <w:pPr>
        <w:ind w:left="426"/>
        <w:jc w:val="both"/>
        <w:rPr>
          <w:color w:val="000000"/>
          <w:lang w:val="es-PE"/>
        </w:rPr>
      </w:pPr>
    </w:p>
    <w:p w14:paraId="09815E2F" w14:textId="77777777" w:rsidR="004412F1" w:rsidRDefault="005A12A3">
      <w:pPr>
        <w:numPr>
          <w:ilvl w:val="0"/>
          <w:numId w:val="211"/>
        </w:numPr>
        <w:ind w:left="426" w:hanging="426"/>
        <w:jc w:val="both"/>
        <w:rPr>
          <w:color w:val="000000"/>
          <w:lang w:val="es-PE"/>
        </w:rPr>
      </w:pPr>
      <w:r>
        <w:rPr>
          <w:color w:val="000000"/>
          <w:lang w:val="es-PE"/>
        </w:rPr>
        <w:t>No se aplicarán reajustes al RPI o a los CAO, salvo los expresamente previstos en el presente Apéndice. Esta disposición prevalece sobre cualquier otra que pudiera establecer o permitir una interpretación en contrario.</w:t>
      </w:r>
    </w:p>
    <w:p w14:paraId="4306DA0F" w14:textId="77777777" w:rsidR="004412F1" w:rsidRDefault="004412F1">
      <w:pPr>
        <w:ind w:left="426"/>
        <w:jc w:val="both"/>
        <w:rPr>
          <w:lang w:val="es-PE"/>
        </w:rPr>
      </w:pPr>
    </w:p>
    <w:p w14:paraId="78E858FF" w14:textId="77777777" w:rsidR="004412F1" w:rsidRDefault="005A12A3">
      <w:pPr>
        <w:jc w:val="both"/>
        <w:rPr>
          <w:b/>
          <w:bCs/>
        </w:rPr>
      </w:pPr>
      <w:r>
        <w:rPr>
          <w:b/>
        </w:rPr>
        <w:t xml:space="preserve">De </w:t>
      </w:r>
      <w:r>
        <w:rPr>
          <w:b/>
          <w:bCs/>
        </w:rPr>
        <w:t>los Hitos Constructivos</w:t>
      </w:r>
    </w:p>
    <w:p w14:paraId="04AB2FE4" w14:textId="77777777" w:rsidR="004412F1" w:rsidRDefault="004412F1">
      <w:pPr>
        <w:ind w:left="426"/>
        <w:jc w:val="both"/>
      </w:pPr>
    </w:p>
    <w:p w14:paraId="3658FE0B" w14:textId="77777777" w:rsidR="004412F1" w:rsidRDefault="005A12A3">
      <w:pPr>
        <w:numPr>
          <w:ilvl w:val="0"/>
          <w:numId w:val="211"/>
        </w:numPr>
        <w:jc w:val="both"/>
        <w:rPr>
          <w:color w:val="000000"/>
          <w:lang w:val="es-PE"/>
        </w:rPr>
      </w:pPr>
      <w:r>
        <w:rPr>
          <w:color w:val="000000"/>
          <w:lang w:val="es-PE"/>
        </w:rPr>
        <w:t>Los Hitos Constructivos tendrán un valor mínimo que deberá oscilar entre el 9.5% y 10.5% del presupuesto del EDI.</w:t>
      </w:r>
    </w:p>
    <w:p w14:paraId="0F16B907" w14:textId="77777777" w:rsidR="004412F1" w:rsidRDefault="004412F1">
      <w:pPr>
        <w:ind w:left="426"/>
        <w:jc w:val="both"/>
        <w:rPr>
          <w:rFonts w:eastAsia="SimSun"/>
          <w:lang w:val="es-PE" w:eastAsia="zh-CN"/>
        </w:rPr>
      </w:pPr>
    </w:p>
    <w:p w14:paraId="75C4EA87" w14:textId="77777777" w:rsidR="004412F1" w:rsidRDefault="005A12A3">
      <w:pPr>
        <w:ind w:left="360"/>
        <w:jc w:val="both"/>
        <w:rPr>
          <w:rFonts w:eastAsia="SimSun"/>
          <w:color w:val="000000"/>
          <w:lang w:val="es-PE" w:eastAsia="zh-CN"/>
        </w:rPr>
      </w:pPr>
      <w:r>
        <w:rPr>
          <w:color w:val="000000"/>
          <w:lang w:val="es-PE"/>
        </w:rPr>
        <w:t>AsÍ mismo, la configuración de cualquier Hito Constructivo deberá incluir (i) gastos efectivamente desembolsados, y (ii) contener partidas físicamente completas (partidas de obra); es decir, que deberán incluir, necesariamente, la ejecución de obra física (construcción, instalación, montaje, excavación, entre otros), no permitiéndose Hitos Constructivos con partidas que incluyan únicamente suministro de equipos o materiales, o movilización de maquinaria.</w:t>
      </w:r>
    </w:p>
    <w:p w14:paraId="1E662499" w14:textId="77777777" w:rsidR="004412F1" w:rsidRDefault="004412F1">
      <w:pPr>
        <w:ind w:left="360"/>
        <w:jc w:val="both"/>
        <w:rPr>
          <w:rFonts w:eastAsia="SimSun"/>
          <w:color w:val="000000"/>
          <w:lang w:val="es-PE" w:eastAsia="zh-CN"/>
        </w:rPr>
      </w:pPr>
    </w:p>
    <w:p w14:paraId="4F96B642" w14:textId="77777777" w:rsidR="004412F1" w:rsidRDefault="005A12A3">
      <w:pPr>
        <w:ind w:left="360"/>
        <w:jc w:val="both"/>
        <w:rPr>
          <w:color w:val="000000"/>
          <w:lang w:val="es-PE"/>
        </w:rPr>
      </w:pPr>
      <w:r>
        <w:rPr>
          <w:color w:val="000000"/>
          <w:lang w:val="es-PE"/>
        </w:rPr>
        <w:t>Partidas de obra son cada una de las actividades para la ejecución de las obras civiles, instalaciones electromecánicas, hidráulicas, eléctricas, instrumentación, entre otras. Cada partida de obra se encuentra conformada por una o más subpartidas.</w:t>
      </w:r>
    </w:p>
    <w:p w14:paraId="63DAD00D" w14:textId="77777777" w:rsidR="004412F1" w:rsidRDefault="004412F1">
      <w:pPr>
        <w:ind w:left="426"/>
        <w:jc w:val="both"/>
        <w:rPr>
          <w:rFonts w:eastAsia="SimSun"/>
          <w:lang w:val="es-PE" w:eastAsia="zh-CN"/>
        </w:rPr>
      </w:pPr>
    </w:p>
    <w:p w14:paraId="5C6C66E6" w14:textId="77777777" w:rsidR="004412F1" w:rsidRDefault="005A12A3">
      <w:pPr>
        <w:numPr>
          <w:ilvl w:val="0"/>
          <w:numId w:val="211"/>
        </w:numPr>
        <w:jc w:val="both"/>
        <w:rPr>
          <w:color w:val="000000"/>
          <w:lang w:val="es-PE"/>
        </w:rPr>
      </w:pPr>
      <w:r>
        <w:rPr>
          <w:color w:val="000000"/>
          <w:lang w:val="es-PE"/>
        </w:rPr>
        <w:t>El valor total de los Hitos Constructivos deberá sumar el cien por ciento (100%) del presupuesto del EDI. El valor mínimo establecido no aplica para el último Hito Constructivo.</w:t>
      </w:r>
    </w:p>
    <w:p w14:paraId="45B48023" w14:textId="77777777" w:rsidR="004412F1" w:rsidRDefault="004412F1">
      <w:pPr>
        <w:ind w:left="426"/>
        <w:jc w:val="both"/>
        <w:rPr>
          <w:lang w:val="es-PE"/>
        </w:rPr>
      </w:pPr>
    </w:p>
    <w:p w14:paraId="38A49ED9" w14:textId="77777777" w:rsidR="004412F1" w:rsidRDefault="005A12A3">
      <w:pPr>
        <w:numPr>
          <w:ilvl w:val="0"/>
          <w:numId w:val="211"/>
        </w:numPr>
        <w:jc w:val="both"/>
        <w:rPr>
          <w:color w:val="000000"/>
          <w:lang w:val="es-PE"/>
        </w:rPr>
      </w:pPr>
      <w:r>
        <w:rPr>
          <w:color w:val="000000"/>
          <w:lang w:val="es-PE"/>
        </w:rPr>
        <w:t>La configuración de cada Hito Constructivo deberá considerar como mínimo lo siguiente:</w:t>
      </w:r>
    </w:p>
    <w:p w14:paraId="1E6EC666" w14:textId="77777777" w:rsidR="004412F1" w:rsidRDefault="004412F1">
      <w:pPr>
        <w:ind w:left="360"/>
        <w:jc w:val="both"/>
        <w:rPr>
          <w:color w:val="000000"/>
          <w:lang w:val="es-PE"/>
        </w:rPr>
      </w:pPr>
    </w:p>
    <w:p w14:paraId="1ABDE92F" w14:textId="77777777" w:rsidR="004412F1" w:rsidRDefault="005A12A3">
      <w:pPr>
        <w:pStyle w:val="Prrafodelista"/>
        <w:numPr>
          <w:ilvl w:val="0"/>
          <w:numId w:val="212"/>
        </w:numPr>
        <w:jc w:val="both"/>
        <w:rPr>
          <w:lang w:val="es-PE"/>
        </w:rPr>
      </w:pPr>
      <w:r>
        <w:rPr>
          <w:lang w:val="es-PE"/>
        </w:rPr>
        <w:t>Porcentaje que representa el Hito Constructivo respecto del total del presupuesto del EDI.</w:t>
      </w:r>
    </w:p>
    <w:p w14:paraId="02A77769" w14:textId="77777777" w:rsidR="004412F1" w:rsidRDefault="005A12A3">
      <w:pPr>
        <w:pStyle w:val="Prrafodelista"/>
        <w:numPr>
          <w:ilvl w:val="0"/>
          <w:numId w:val="212"/>
        </w:numPr>
        <w:jc w:val="both"/>
        <w:rPr>
          <w:lang w:val="es-PE"/>
        </w:rPr>
      </w:pPr>
      <w:r>
        <w:rPr>
          <w:lang w:val="es-PE"/>
        </w:rPr>
        <w:t xml:space="preserve">No se permiten Hitos Constructivos con partidas que incluyan únicamente suministro de materiales o equipos o movilización de maquinaria. Los Hitos Constructivos deberán incluir </w:t>
      </w:r>
      <w:proofErr w:type="gramStart"/>
      <w:r>
        <w:rPr>
          <w:lang w:val="es-PE"/>
        </w:rPr>
        <w:t>el  avance</w:t>
      </w:r>
      <w:proofErr w:type="gramEnd"/>
      <w:r>
        <w:rPr>
          <w:lang w:val="es-PE"/>
        </w:rPr>
        <w:t xml:space="preserve"> de Obra efectivamente ejecutado.</w:t>
      </w:r>
    </w:p>
    <w:p w14:paraId="6D9CA79F" w14:textId="77777777" w:rsidR="004412F1" w:rsidRDefault="004412F1">
      <w:pPr>
        <w:ind w:left="426"/>
        <w:jc w:val="both"/>
        <w:rPr>
          <w:lang w:val="es-PE"/>
        </w:rPr>
      </w:pPr>
    </w:p>
    <w:p w14:paraId="2DD76C9C" w14:textId="77777777" w:rsidR="004412F1" w:rsidRDefault="005A12A3">
      <w:pPr>
        <w:jc w:val="both"/>
        <w:rPr>
          <w:rFonts w:eastAsia="SimSun"/>
          <w:b/>
          <w:bCs/>
          <w:lang w:eastAsia="zh-CN"/>
        </w:rPr>
      </w:pPr>
      <w:r>
        <w:rPr>
          <w:b/>
          <w:bCs/>
        </w:rPr>
        <w:t>Informes de Avance</w:t>
      </w:r>
    </w:p>
    <w:p w14:paraId="3C6E722A" w14:textId="77777777" w:rsidR="004412F1" w:rsidRDefault="004412F1">
      <w:pPr>
        <w:jc w:val="both"/>
        <w:rPr>
          <w:b/>
          <w:bCs/>
        </w:rPr>
      </w:pPr>
    </w:p>
    <w:p w14:paraId="741E98C2" w14:textId="77777777" w:rsidR="004412F1" w:rsidRDefault="005A12A3">
      <w:pPr>
        <w:numPr>
          <w:ilvl w:val="0"/>
          <w:numId w:val="211"/>
        </w:numPr>
        <w:jc w:val="both"/>
        <w:rPr>
          <w:color w:val="000000"/>
          <w:lang w:val="es-PE"/>
        </w:rPr>
      </w:pPr>
      <w:r>
        <w:rPr>
          <w:color w:val="000000"/>
          <w:lang w:val="es-PE"/>
        </w:rPr>
        <w:t>A partir de la fecha de suscripción del Acta de Inicio de Obra, el CONCESIONARIO presentará al REGULADOR, con copia al CONCEDENTE, un Informe de Avance a la culminación de cada Hito Constructivo, el cual deberá indicar como mínimo lo siguiente:</w:t>
      </w:r>
    </w:p>
    <w:p w14:paraId="54D75312" w14:textId="77777777" w:rsidR="004412F1" w:rsidRDefault="004412F1">
      <w:pPr>
        <w:ind w:left="360"/>
        <w:jc w:val="both"/>
        <w:rPr>
          <w:color w:val="000000"/>
          <w:lang w:val="es-PE"/>
        </w:rPr>
      </w:pPr>
    </w:p>
    <w:p w14:paraId="639AB879" w14:textId="77777777" w:rsidR="004412F1" w:rsidRDefault="005A12A3">
      <w:pPr>
        <w:pStyle w:val="Prrafodelista"/>
        <w:numPr>
          <w:ilvl w:val="0"/>
          <w:numId w:val="213"/>
        </w:numPr>
        <w:jc w:val="both"/>
        <w:rPr>
          <w:lang w:val="es-PE"/>
        </w:rPr>
      </w:pPr>
      <w:r>
        <w:rPr>
          <w:lang w:val="es-PE"/>
        </w:rPr>
        <w:t>El cumplimiento del Hito Constructivo correspondiente.</w:t>
      </w:r>
    </w:p>
    <w:p w14:paraId="41A3D91E" w14:textId="77777777" w:rsidR="004412F1" w:rsidRDefault="005A12A3">
      <w:pPr>
        <w:pStyle w:val="Prrafodelista"/>
        <w:numPr>
          <w:ilvl w:val="0"/>
          <w:numId w:val="213"/>
        </w:numPr>
        <w:jc w:val="both"/>
        <w:rPr>
          <w:lang w:val="es-PE"/>
        </w:rPr>
      </w:pPr>
      <w:r>
        <w:rPr>
          <w:lang w:val="es-PE"/>
        </w:rPr>
        <w:t>La valorización del avance de Obra del Hito Constructivo, determinada como la sumatoria de los montos (precios unitarios por metrados ejecutados) de las partidas y subpartidas ejecutadas del presupuesto aprobado en el EDI.</w:t>
      </w:r>
    </w:p>
    <w:p w14:paraId="45CD2199" w14:textId="77777777" w:rsidR="004412F1" w:rsidRDefault="005A12A3">
      <w:pPr>
        <w:pStyle w:val="Prrafodelista"/>
        <w:numPr>
          <w:ilvl w:val="0"/>
          <w:numId w:val="213"/>
        </w:numPr>
        <w:jc w:val="both"/>
        <w:rPr>
          <w:lang w:val="es-PE"/>
        </w:rPr>
      </w:pPr>
      <w:r>
        <w:rPr>
          <w:lang w:val="es-PE"/>
        </w:rPr>
        <w:t>La relación de partidas y subpartidas, con sus respectivas cantidades y unidades de medida ejecutadas durante el periodo correspondiente al Hito Constructivo correspondiente y acumuladas desde el inicio de la ejecución de las Obras. Entiéndase como subpartida cada una de las actividades que permiten la culminación o ejecución de una partida.</w:t>
      </w:r>
    </w:p>
    <w:p w14:paraId="698ED248" w14:textId="77777777" w:rsidR="004412F1" w:rsidRDefault="004412F1">
      <w:pPr>
        <w:ind w:left="426"/>
        <w:jc w:val="both"/>
        <w:rPr>
          <w:lang w:val="es-PE"/>
        </w:rPr>
      </w:pPr>
    </w:p>
    <w:p w14:paraId="2725FCFC" w14:textId="77777777" w:rsidR="004412F1" w:rsidRDefault="005A12A3">
      <w:pPr>
        <w:numPr>
          <w:ilvl w:val="0"/>
          <w:numId w:val="211"/>
        </w:numPr>
        <w:jc w:val="both"/>
        <w:rPr>
          <w:color w:val="000000"/>
          <w:lang w:val="es-PE"/>
        </w:rPr>
      </w:pPr>
      <w:r>
        <w:rPr>
          <w:color w:val="000000"/>
          <w:lang w:val="es-PE"/>
        </w:rPr>
        <w:t>Los Informes de Avance deberán ser presentados por el CONCESIONARIO al REGULADOR, con copia al CONCEDENTE, dentro de los tres (3) Días Hábiles de cumplido cada Hito Constructivo.</w:t>
      </w:r>
    </w:p>
    <w:p w14:paraId="77670771" w14:textId="77777777" w:rsidR="004412F1" w:rsidRDefault="004412F1">
      <w:pPr>
        <w:ind w:left="360"/>
        <w:jc w:val="both"/>
        <w:rPr>
          <w:color w:val="000000"/>
          <w:lang w:val="es-PE"/>
        </w:rPr>
      </w:pPr>
    </w:p>
    <w:p w14:paraId="46956739" w14:textId="77777777" w:rsidR="004412F1" w:rsidRDefault="005A12A3">
      <w:pPr>
        <w:numPr>
          <w:ilvl w:val="0"/>
          <w:numId w:val="211"/>
        </w:numPr>
        <w:jc w:val="both"/>
        <w:rPr>
          <w:color w:val="000000"/>
          <w:lang w:val="es-PE"/>
        </w:rPr>
      </w:pPr>
      <w:r>
        <w:rPr>
          <w:color w:val="000000"/>
          <w:lang w:val="es-PE"/>
        </w:rPr>
        <w:t>La elaboración del formato de los Informes de Avance corresponderá al CONCESIONARIO. Para ello, el CONCESIONARIO, con una anticipación de cincuenta (50) Días Calendario a la emisión del primer Informe de Avance, deberá enviar al REGULADOR el formato a utilizar para la preparación de dichos informes. En un plazo de diez (10) Días Calendario, el REGULADOR enviará al CONCESIONARIO sus observaciones u conformidad. En caso el REGULADOR tenga observaciones, el CONCESIONARIO deberá subsanarlas en un plazo de cinco (5) Días Calendario de recibidas y deberá enviar el formato de Informe de Avance revisado al REGULADOR en dicho plazo. En este caso, el REGULADOR contará con un plazo de cinco (5) Días Calendario para enviar al CONCESIONARIO su conformidad.</w:t>
      </w:r>
    </w:p>
    <w:p w14:paraId="6CA5C235" w14:textId="77777777" w:rsidR="004412F1" w:rsidRDefault="004412F1">
      <w:pPr>
        <w:pStyle w:val="Prrafodelista"/>
        <w:rPr>
          <w:color w:val="000000"/>
          <w:lang w:val="es-PE"/>
        </w:rPr>
      </w:pPr>
    </w:p>
    <w:p w14:paraId="2E18568D" w14:textId="77777777" w:rsidR="004412F1" w:rsidRDefault="005A12A3">
      <w:pPr>
        <w:numPr>
          <w:ilvl w:val="0"/>
          <w:numId w:val="211"/>
        </w:numPr>
        <w:jc w:val="both"/>
        <w:rPr>
          <w:color w:val="000000"/>
          <w:lang w:val="es-PE"/>
        </w:rPr>
      </w:pPr>
      <w:r>
        <w:rPr>
          <w:color w:val="000000"/>
          <w:lang w:val="es-PE"/>
        </w:rPr>
        <w:t>El REGULADOR tendrá un plazo no mayor de quince (15) Días Hábiles para revisar el Informe de Avance desde su presentación por el CONCESIONARIO y verificar que las partidas se hayan ejecutado conforme al EDI.</w:t>
      </w:r>
    </w:p>
    <w:p w14:paraId="76BD3D41" w14:textId="77777777" w:rsidR="004412F1" w:rsidRDefault="004412F1">
      <w:pPr>
        <w:ind w:left="360"/>
        <w:jc w:val="both"/>
        <w:rPr>
          <w:color w:val="000000"/>
          <w:lang w:val="es-PE"/>
        </w:rPr>
      </w:pPr>
    </w:p>
    <w:p w14:paraId="54E3E53E" w14:textId="77777777" w:rsidR="004412F1" w:rsidRDefault="005A12A3">
      <w:pPr>
        <w:numPr>
          <w:ilvl w:val="0"/>
          <w:numId w:val="211"/>
        </w:numPr>
        <w:jc w:val="both"/>
        <w:rPr>
          <w:color w:val="000000"/>
          <w:lang w:val="es-PE"/>
        </w:rPr>
      </w:pPr>
      <w:r>
        <w:rPr>
          <w:color w:val="000000"/>
          <w:lang w:val="es-PE"/>
        </w:rPr>
        <w:t xml:space="preserve">Dentro de dicho plazo, el REGULADOR deberá proceder conforme a lo siguiente: </w:t>
      </w:r>
    </w:p>
    <w:p w14:paraId="45DE5477" w14:textId="77777777" w:rsidR="004412F1" w:rsidRDefault="004412F1">
      <w:pPr>
        <w:ind w:left="426"/>
        <w:jc w:val="both"/>
        <w:rPr>
          <w:lang w:val="es-PE"/>
        </w:rPr>
      </w:pPr>
    </w:p>
    <w:p w14:paraId="7D5B2401" w14:textId="77777777" w:rsidR="004412F1" w:rsidRDefault="005A12A3">
      <w:pPr>
        <w:pStyle w:val="Prrafodelista"/>
        <w:numPr>
          <w:ilvl w:val="0"/>
          <w:numId w:val="214"/>
        </w:numPr>
        <w:jc w:val="both"/>
        <w:rPr>
          <w:lang w:val="es-PE"/>
        </w:rPr>
      </w:pPr>
      <w:r>
        <w:rPr>
          <w:lang w:val="es-PE"/>
        </w:rPr>
        <w:t xml:space="preserve">En caso se encuentre conforme, aprobar el Informe de Avance; o, </w:t>
      </w:r>
    </w:p>
    <w:p w14:paraId="2C814535" w14:textId="77777777" w:rsidR="004412F1" w:rsidRDefault="005A12A3">
      <w:pPr>
        <w:pStyle w:val="Prrafodelista"/>
        <w:numPr>
          <w:ilvl w:val="0"/>
          <w:numId w:val="214"/>
        </w:numPr>
        <w:jc w:val="both"/>
        <w:rPr>
          <w:lang w:val="es-PE"/>
        </w:rPr>
      </w:pPr>
      <w:r>
        <w:rPr>
          <w:lang w:val="es-PE"/>
        </w:rPr>
        <w:t xml:space="preserve">Solicitar al CONCESIONARIO la subsanación de observaciones. En este caso, el CONCESIONARIO tendrá un plazo de diez (10) Días Hábiles para presentar al REGULADOR la subsanación de observaciones. </w:t>
      </w:r>
    </w:p>
    <w:p w14:paraId="7648CC0E" w14:textId="77777777" w:rsidR="004412F1" w:rsidRDefault="005A12A3">
      <w:pPr>
        <w:pStyle w:val="Prrafodelista"/>
        <w:numPr>
          <w:ilvl w:val="0"/>
          <w:numId w:val="214"/>
        </w:numPr>
        <w:jc w:val="both"/>
        <w:rPr>
          <w:lang w:val="es-PE"/>
        </w:rPr>
      </w:pPr>
      <w:r>
        <w:rPr>
          <w:lang w:val="es-PE"/>
        </w:rPr>
        <w:t>El REGULADOR tendrá un plazo de cinco (5) Días Hábiles para aprobar las subsanaciones a las observaciones efectuadas. No se podrán hacer nuevas observaciones a las efectuadas inicialmente.</w:t>
      </w:r>
    </w:p>
    <w:p w14:paraId="61C93211" w14:textId="77777777" w:rsidR="004412F1" w:rsidRDefault="004412F1" w:rsidP="00313D4E">
      <w:pPr>
        <w:ind w:left="426"/>
        <w:jc w:val="both"/>
        <w:rPr>
          <w:lang w:val="es-CL"/>
        </w:rPr>
      </w:pPr>
    </w:p>
    <w:p w14:paraId="7E928F1D" w14:textId="77777777" w:rsidR="004412F1" w:rsidRDefault="005A12A3">
      <w:pPr>
        <w:numPr>
          <w:ilvl w:val="0"/>
          <w:numId w:val="211"/>
        </w:numPr>
        <w:jc w:val="both"/>
        <w:rPr>
          <w:color w:val="000000"/>
          <w:lang w:val="es-PE"/>
        </w:rPr>
      </w:pPr>
      <w:r>
        <w:rPr>
          <w:color w:val="000000"/>
          <w:lang w:val="es-PE"/>
        </w:rPr>
        <w:t>En caso el REGULADOR no emita un pronunciamiento respecto a la conformidad del Informe de Avance en los plazos señalado en el numeral anterior, podrá comunicar al CONCESIONARIO la ampliación del plazo para la conformidad hasta en cinco (05) días hábiles posteriores a la fecha de cumplimiento del plazo original.</w:t>
      </w:r>
    </w:p>
    <w:p w14:paraId="57893CAD" w14:textId="77777777" w:rsidR="004412F1" w:rsidRDefault="004412F1">
      <w:pPr>
        <w:ind w:left="426"/>
        <w:jc w:val="both"/>
        <w:rPr>
          <w:lang w:val="es-PE"/>
        </w:rPr>
      </w:pPr>
    </w:p>
    <w:p w14:paraId="46E99D7A" w14:textId="77777777" w:rsidR="004412F1" w:rsidRDefault="005A12A3">
      <w:pPr>
        <w:numPr>
          <w:ilvl w:val="0"/>
          <w:numId w:val="211"/>
        </w:numPr>
        <w:jc w:val="both"/>
        <w:rPr>
          <w:lang w:val="es-PE"/>
        </w:rPr>
      </w:pPr>
      <w:r>
        <w:rPr>
          <w:color w:val="000000"/>
          <w:lang w:val="es-PE"/>
        </w:rPr>
        <w:t>Cumplido el plazo otorgado en la cláusula precedente, y en caso el REGULADOR no emita su pronunciamiento, se entenderá que su opinión es favorable.</w:t>
      </w:r>
    </w:p>
    <w:p w14:paraId="0B4B28FD" w14:textId="77777777" w:rsidR="004412F1" w:rsidRDefault="004412F1">
      <w:pPr>
        <w:pStyle w:val="Prrafodelista"/>
        <w:rPr>
          <w:lang w:val="es-PE"/>
        </w:rPr>
      </w:pPr>
    </w:p>
    <w:p w14:paraId="5D703951" w14:textId="77777777" w:rsidR="004412F1" w:rsidRDefault="005A12A3">
      <w:pPr>
        <w:numPr>
          <w:ilvl w:val="0"/>
          <w:numId w:val="211"/>
        </w:numPr>
        <w:jc w:val="both"/>
        <w:rPr>
          <w:lang w:val="es-PE"/>
        </w:rPr>
      </w:pPr>
      <w:r>
        <w:rPr>
          <w:lang w:val="es-PE"/>
        </w:rPr>
        <w:t xml:space="preserve">En caso el CONCESIONARIO no subsane las observaciones en el plazo señalado en el literal b) del numeral 12 del presente Apéndice, podrá solicitar al REGULADOR una ampliación del plazo de hasta cinco (05) Días Calendario. Si culminado el nuevo plazo, el CONCESIONARIO no subsana las observaciones brindadas por el REGULADOR, se considerará al Informe de Avance de dicho Hito Constructivo como no presentado. El CONCESIONARIO deberá volver a presentar el Informe de Avance cuando concluya las actividades del Hito Constructivo correspondiente. </w:t>
      </w:r>
    </w:p>
    <w:p w14:paraId="3553B63D" w14:textId="77777777" w:rsidR="004412F1" w:rsidRDefault="004412F1" w:rsidP="00313D4E">
      <w:pPr>
        <w:ind w:left="426"/>
        <w:jc w:val="both"/>
        <w:rPr>
          <w:lang w:val="es-PE"/>
        </w:rPr>
      </w:pPr>
    </w:p>
    <w:p w14:paraId="67830585" w14:textId="77777777" w:rsidR="004412F1" w:rsidRDefault="005A12A3">
      <w:pPr>
        <w:numPr>
          <w:ilvl w:val="0"/>
          <w:numId w:val="211"/>
        </w:numPr>
        <w:jc w:val="both"/>
        <w:rPr>
          <w:lang w:val="es-PE"/>
        </w:rPr>
      </w:pPr>
      <w:r>
        <w:rPr>
          <w:lang w:val="es-PE"/>
        </w:rPr>
        <w:t>Los errores de diseño y construcción no serán reconocidos en la valorización del avance de Obra.</w:t>
      </w:r>
    </w:p>
    <w:p w14:paraId="2877A479" w14:textId="77777777" w:rsidR="004412F1" w:rsidRDefault="004412F1">
      <w:pPr>
        <w:ind w:left="426"/>
        <w:jc w:val="both"/>
        <w:rPr>
          <w:lang w:val="es-PE"/>
        </w:rPr>
      </w:pPr>
    </w:p>
    <w:p w14:paraId="10ED71AE" w14:textId="77777777" w:rsidR="004412F1" w:rsidRDefault="005A12A3">
      <w:pPr>
        <w:numPr>
          <w:ilvl w:val="0"/>
          <w:numId w:val="211"/>
        </w:numPr>
        <w:jc w:val="both"/>
        <w:rPr>
          <w:lang w:val="es-PE"/>
        </w:rPr>
      </w:pPr>
      <w:r>
        <w:rPr>
          <w:lang w:val="es-PE"/>
        </w:rPr>
        <w:t xml:space="preserve">Una vez aprobado el Informe de Avance correspondiente, el REGULADOR tendrá un plazo de cinco (5) Días Hábiles para emitir el Reporte de Revisión, el cual deberá ser entregado al CONCEDENTE y al CONCESIONARIO. </w:t>
      </w:r>
    </w:p>
    <w:p w14:paraId="002ECAC6" w14:textId="77777777" w:rsidR="004412F1" w:rsidRDefault="004412F1">
      <w:pPr>
        <w:ind w:hanging="964"/>
        <w:jc w:val="both"/>
        <w:rPr>
          <w:b/>
          <w:sz w:val="30"/>
          <w:lang w:val="es-PE"/>
        </w:rPr>
      </w:pPr>
    </w:p>
    <w:p w14:paraId="1E25C800" w14:textId="77777777" w:rsidR="004412F1" w:rsidRDefault="005A12A3">
      <w:pPr>
        <w:jc w:val="both"/>
        <w:rPr>
          <w:b/>
          <w:bCs/>
          <w:lang w:val="es-PE"/>
        </w:rPr>
      </w:pPr>
      <w:r>
        <w:rPr>
          <w:b/>
          <w:bCs/>
          <w:lang w:val="es-PE"/>
        </w:rPr>
        <w:t xml:space="preserve">Procedimiento para el reconocimiento y emisión de CAOs </w:t>
      </w:r>
    </w:p>
    <w:p w14:paraId="2A767913" w14:textId="77777777" w:rsidR="004412F1" w:rsidRDefault="004412F1">
      <w:pPr>
        <w:ind w:left="426"/>
        <w:jc w:val="both"/>
        <w:rPr>
          <w:lang w:val="es-PE"/>
        </w:rPr>
      </w:pPr>
    </w:p>
    <w:p w14:paraId="1E0FA44C" w14:textId="77777777" w:rsidR="004412F1" w:rsidRDefault="005A12A3">
      <w:pPr>
        <w:numPr>
          <w:ilvl w:val="0"/>
          <w:numId w:val="211"/>
        </w:numPr>
        <w:jc w:val="both"/>
        <w:rPr>
          <w:lang w:val="es-PE"/>
        </w:rPr>
      </w:pPr>
      <w:r>
        <w:rPr>
          <w:lang w:val="es-PE"/>
        </w:rPr>
        <w:t>Culminado un Hito Constructivo, así como aprobado el Informe de Avance y emitido el Reporte de Revisión correspondiente, donde se verifique la culminación de un Hito Constructivo, el REGULADOR deberá emitir el Certificado de Avance de Obras (CAO) correspondiente a más tardar cinco (05) Días posteriores a la emisión de dicho reporte, de acuerdo con el formato incluido en el Apéndice 4.2 del presente Anexo.</w:t>
      </w:r>
    </w:p>
    <w:p w14:paraId="591EBBA5" w14:textId="77777777" w:rsidR="004412F1" w:rsidRDefault="004412F1">
      <w:pPr>
        <w:ind w:left="426"/>
        <w:jc w:val="both"/>
        <w:rPr>
          <w:lang w:val="es-PE"/>
        </w:rPr>
      </w:pPr>
    </w:p>
    <w:p w14:paraId="0B118016" w14:textId="77777777" w:rsidR="004412F1" w:rsidRDefault="005A12A3">
      <w:pPr>
        <w:ind w:left="426"/>
        <w:jc w:val="both"/>
        <w:rPr>
          <w:lang w:val="es-PE"/>
        </w:rPr>
      </w:pPr>
      <w:r>
        <w:rPr>
          <w:lang w:val="es-PE"/>
        </w:rPr>
        <w:t>La emisión del último CAO estará condicionada a la aceptación, por parte del CONCEDENTE, de la totalidad de la Intervención de Rehabilitación y Mejoramiento.</w:t>
      </w:r>
    </w:p>
    <w:p w14:paraId="396B88FC" w14:textId="77777777" w:rsidR="004412F1" w:rsidRDefault="004412F1">
      <w:pPr>
        <w:ind w:left="426"/>
        <w:jc w:val="both"/>
        <w:rPr>
          <w:lang w:val="es-PE"/>
        </w:rPr>
      </w:pPr>
    </w:p>
    <w:p w14:paraId="6D72FFD7" w14:textId="77777777" w:rsidR="004412F1" w:rsidRDefault="005A12A3">
      <w:pPr>
        <w:numPr>
          <w:ilvl w:val="0"/>
          <w:numId w:val="211"/>
        </w:numPr>
        <w:jc w:val="both"/>
        <w:rPr>
          <w:lang w:val="es-PE"/>
        </w:rPr>
      </w:pPr>
      <w:r>
        <w:rPr>
          <w:lang w:val="es-PE"/>
        </w:rPr>
        <w:t xml:space="preserve">Cada CAO emitido por el REGULADOR generará derechos de cobro a favor del CONCESIONARIO, proporcionales a la RPI, denominados RPI-CAO, siendo que la obtención de todos los CAO significará la obtención del derecho a cobrar el 100% del RPI. Por consiguiente, una vez expedido cada CAO, el CONCEDENTE tendrá la obligación irrevocable e incondicional de pagar al CONCESIONARIO los correspondientes RPI-CAO, a través del Fideicomiso de Administración, conforme a lo previsto en el Contrato. </w:t>
      </w:r>
    </w:p>
    <w:p w14:paraId="6FCDC234" w14:textId="77777777" w:rsidR="004412F1" w:rsidRDefault="004412F1">
      <w:pPr>
        <w:ind w:left="426"/>
        <w:jc w:val="both"/>
        <w:rPr>
          <w:lang w:val="es-PE"/>
        </w:rPr>
      </w:pPr>
    </w:p>
    <w:p w14:paraId="43A042B2" w14:textId="77777777" w:rsidR="004412F1" w:rsidRDefault="005A12A3">
      <w:pPr>
        <w:ind w:left="426"/>
        <w:jc w:val="both"/>
        <w:rPr>
          <w:lang w:val="es-PE"/>
        </w:rPr>
      </w:pPr>
      <w:r>
        <w:rPr>
          <w:lang w:val="es-PE"/>
        </w:rPr>
        <w:t xml:space="preserve">A dicho efecto, una vez emitido cada CAO por parte del REGULADOR conforme a lo previsto en el numeral anterior y presentada la factura correspondiente por parte del CONCESIONARIO, o por quién lo represente, conforme a las Leyes y Disposiciones Aplicables, el CONCEDENTE deberá depositar en la cuenta del Fideicomiso de Administración que corresponda los montos dinerarios necesarios para pagar al CONCESIONARIO los correspondientes RPI-CAO y, además, de ser aplicable conforme al Fideicomiso de Administración, deberá instruir al fiduciario del Fideicomiso de Administración a fin de que realice el pago de los correspondientes RPI-CAO conforme a lo previsto en el Contrato. </w:t>
      </w:r>
    </w:p>
    <w:p w14:paraId="762B7F9A" w14:textId="77777777" w:rsidR="004412F1" w:rsidRDefault="004412F1">
      <w:pPr>
        <w:ind w:left="426"/>
        <w:jc w:val="both"/>
        <w:rPr>
          <w:lang w:val="es-PE"/>
        </w:rPr>
      </w:pPr>
    </w:p>
    <w:p w14:paraId="7DCB2815" w14:textId="77777777" w:rsidR="004412F1" w:rsidRDefault="005A12A3">
      <w:pPr>
        <w:numPr>
          <w:ilvl w:val="0"/>
          <w:numId w:val="211"/>
        </w:numPr>
        <w:jc w:val="both"/>
        <w:rPr>
          <w:lang w:val="es-PE"/>
        </w:rPr>
      </w:pPr>
      <w:r>
        <w:rPr>
          <w:lang w:val="es-PE"/>
        </w:rPr>
        <w:t xml:space="preserve">Cada CAO dará origen a sesenta (60) RPI-CAO. </w:t>
      </w:r>
    </w:p>
    <w:p w14:paraId="75CDB89E" w14:textId="77777777" w:rsidR="004412F1" w:rsidRDefault="004412F1">
      <w:pPr>
        <w:ind w:left="426"/>
        <w:jc w:val="both"/>
        <w:rPr>
          <w:lang w:val="es-PE"/>
        </w:rPr>
      </w:pPr>
    </w:p>
    <w:p w14:paraId="70308380" w14:textId="77777777" w:rsidR="004412F1" w:rsidRDefault="005A12A3">
      <w:pPr>
        <w:numPr>
          <w:ilvl w:val="0"/>
          <w:numId w:val="211"/>
        </w:numPr>
        <w:jc w:val="both"/>
        <w:rPr>
          <w:lang w:val="es-PE"/>
        </w:rPr>
      </w:pPr>
      <w:r>
        <w:rPr>
          <w:lang w:val="es-PE"/>
        </w:rPr>
        <w:t xml:space="preserve">El REGULADOR afectará cada CAO por el índice de ajuste de precios de construcción (IAP), establecido en el EDI aprobado, desde la fecha de la Suscripción del Contrato de Concesión hasta la fecha de culminación del Hito Constructivo del CAO correspondiente. La fórmula polinómica que se utiliza para determinar el IAP y que estará establecida en cada EDI deberá ser redactada de conformidad con el Decreto Supremo No. 011-79-VC, decreto supremo que implementa y adecúa el decreto supremo sobre contratación de obras públicas, o el decreto que lo modifique o sustituya Esta fórmula reflejará la composición de costos de la obra que se determine en el EDI aprobado.  </w:t>
      </w:r>
    </w:p>
    <w:p w14:paraId="1031BA51" w14:textId="77777777" w:rsidR="004412F1" w:rsidRDefault="004412F1">
      <w:pPr>
        <w:ind w:left="426"/>
        <w:jc w:val="both"/>
        <w:rPr>
          <w:lang w:val="es-PE"/>
        </w:rPr>
      </w:pPr>
    </w:p>
    <w:p w14:paraId="5EC56FCB" w14:textId="77777777" w:rsidR="004412F1" w:rsidRDefault="005A12A3">
      <w:pPr>
        <w:ind w:left="426"/>
        <w:jc w:val="both"/>
        <w:rPr>
          <w:lang w:val="es-PE"/>
        </w:rPr>
      </w:pPr>
      <w:r>
        <w:rPr>
          <w:lang w:val="es-PE"/>
        </w:rPr>
        <w:t xml:space="preserve">Cada CAOi ajustado dará origen a un </w:t>
      </w:r>
      <w:r>
        <w:t>Δ</w:t>
      </w:r>
      <w:r>
        <w:rPr>
          <w:lang w:val="es-PE"/>
        </w:rPr>
        <w:t>CAOi, medido como porcentaje del CAOi, y se calculará de la siguiente manera:</w:t>
      </w:r>
    </w:p>
    <w:p w14:paraId="575EABB1" w14:textId="77777777" w:rsidR="004412F1" w:rsidRDefault="004412F1">
      <w:pPr>
        <w:ind w:left="426"/>
        <w:jc w:val="both"/>
        <w:rPr>
          <w:lang w:val="es-PE"/>
        </w:rPr>
      </w:pPr>
    </w:p>
    <w:p w14:paraId="65ED832F" w14:textId="77777777" w:rsidR="004412F1" w:rsidRDefault="00000000">
      <w:pPr>
        <w:ind w:left="426"/>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CAO</m:t>
              </m:r>
            </m:e>
            <m:sub>
              <m:r>
                <m:rPr>
                  <m:sty m:val="p"/>
                </m:rPr>
                <w:rPr>
                  <w:rFonts w:ascii="Cambria Math" w:eastAsia="MS Mincho"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CAO</m:t>
              </m:r>
            </m:e>
            <m:sub>
              <m:r>
                <m:rPr>
                  <m:sty m:val="p"/>
                </m:rPr>
                <w:rPr>
                  <w:rFonts w:ascii="Cambria Math" w:eastAsia="Arial Unicode MS" w:hAnsi="Cambria Math" w:cstheme="minorHAnsi"/>
                  <w:sz w:val="20"/>
                  <w:szCs w:val="20"/>
                </w:rPr>
                <m:t>i</m:t>
              </m:r>
            </m:sub>
          </m:sSub>
          <m:r>
            <w:rPr>
              <w:rFonts w:ascii="Cambria Math" w:eastAsia="Arial Unicode MS" w:hAnsi="Cambria Math" w:cstheme="minorHAnsi"/>
              <w:sz w:val="20"/>
              <w:szCs w:val="20"/>
            </w:rPr>
            <m:t xml:space="preserve">   </m:t>
          </m:r>
          <m:r>
            <m:rPr>
              <m:sty m:val="p"/>
            </m:rPr>
            <w:rPr>
              <w:rFonts w:ascii="Cambria Math" w:eastAsia="Arial Unicode MS" w:hAnsi="Cambria Math" w:cstheme="minorHAnsi"/>
              <w:sz w:val="20"/>
              <w:szCs w:val="20"/>
            </w:rPr>
            <m:t xml:space="preserve">x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IAP</m:t>
              </m:r>
            </m:e>
            <m:sub>
              <m:r>
                <m:rPr>
                  <m:sty m:val="p"/>
                </m:rPr>
                <w:rPr>
                  <w:rFonts w:ascii="Cambria Math" w:eastAsia="Arial Unicode MS" w:hAnsi="Cambria Math" w:cstheme="minorHAnsi"/>
                  <w:sz w:val="20"/>
                  <w:szCs w:val="20"/>
                </w:rPr>
                <m:t xml:space="preserve">i </m:t>
              </m:r>
            </m:sub>
          </m:sSub>
          <m:r>
            <w:rPr>
              <w:rFonts w:ascii="Cambria Math" w:eastAsia="MS Mincho" w:hAnsi="Cambria Math" w:cstheme="minorHAnsi"/>
              <w:sz w:val="20"/>
              <w:szCs w:val="20"/>
            </w:rPr>
            <m:t xml:space="preserve">                             ∆</m:t>
          </m:r>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 xml:space="preserve"> CAO</m:t>
              </m:r>
            </m:e>
            <m:sub>
              <m:r>
                <m:rPr>
                  <m:sty m:val="p"/>
                </m:rPr>
                <w:rPr>
                  <w:rFonts w:ascii="Cambria Math" w:eastAsia="MS Mincho" w:hAnsi="Cambria Math" w:cstheme="minorHAnsi"/>
                  <w:sz w:val="20"/>
                  <w:szCs w:val="20"/>
                </w:rPr>
                <m:t xml:space="preserve">i </m:t>
              </m:r>
            </m:sub>
          </m:sSub>
          <m:r>
            <w:rPr>
              <w:rFonts w:ascii="Cambria Math" w:eastAsia="Arial Unicode MS" w:hAnsi="Cambria Math" w:cstheme="minorHAnsi"/>
              <w:sz w:val="20"/>
              <w:szCs w:val="20"/>
            </w:rPr>
            <m:t>=</m:t>
          </m:r>
          <m:f>
            <m:fPr>
              <m:ctrlPr>
                <w:rPr>
                  <w:rFonts w:ascii="Cambria Math" w:eastAsia="Arial Unicode MS" w:hAnsi="Cambria Math" w:cstheme="minorHAnsi"/>
                  <w:i/>
                  <w:iCs/>
                  <w:sz w:val="20"/>
                  <w:szCs w:val="20"/>
                </w:rPr>
              </m:ctrlPr>
            </m:fPr>
            <m:num>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CAO</m:t>
                  </m:r>
                </m:e>
                <m:sub>
                  <m:r>
                    <m:rPr>
                      <m:sty m:val="p"/>
                    </m:rPr>
                    <w:rPr>
                      <w:rFonts w:ascii="Cambria Math" w:eastAsia="Arial Unicode MS"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CAO</m:t>
                  </m:r>
                </m:e>
                <m:sub>
                  <m:r>
                    <m:rPr>
                      <m:sty m:val="p"/>
                    </m:rPr>
                    <w:rPr>
                      <w:rFonts w:ascii="Cambria Math" w:eastAsia="Arial Unicode MS" w:hAnsi="Cambria Math" w:cstheme="minorHAnsi"/>
                      <w:sz w:val="20"/>
                      <w:szCs w:val="20"/>
                    </w:rPr>
                    <m:t xml:space="preserve">i </m:t>
                  </m:r>
                </m:sub>
              </m:sSub>
              <m:r>
                <w:rPr>
                  <w:rFonts w:ascii="Cambria Math" w:eastAsia="Arial Unicode MS" w:hAnsi="Cambria Math" w:cstheme="minorHAnsi"/>
                  <w:sz w:val="20"/>
                  <w:szCs w:val="20"/>
                </w:rPr>
                <m:t>)</m:t>
              </m:r>
            </m:num>
            <m:den>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CAO</m:t>
                  </m:r>
                </m:e>
                <m:sub>
                  <m:r>
                    <m:rPr>
                      <m:sty m:val="p"/>
                    </m:rPr>
                    <w:rPr>
                      <w:rFonts w:ascii="Cambria Math" w:eastAsia="Arial Unicode MS" w:hAnsi="Cambria Math" w:cstheme="minorHAnsi"/>
                      <w:sz w:val="20"/>
                      <w:szCs w:val="20"/>
                    </w:rPr>
                    <m:t xml:space="preserve">i </m:t>
                  </m:r>
                </m:sub>
              </m:sSub>
            </m:den>
          </m:f>
        </m:oMath>
      </m:oMathPara>
    </w:p>
    <w:p w14:paraId="63CE92C4" w14:textId="77777777" w:rsidR="004412F1" w:rsidRDefault="005A12A3">
      <w:pPr>
        <w:ind w:left="426"/>
        <w:jc w:val="both"/>
      </w:pPr>
      <w:r>
        <w:t>Donde:</w:t>
      </w:r>
    </w:p>
    <w:tbl>
      <w:tblPr>
        <w:tblStyle w:val="Tablaconcuadrcula"/>
        <w:tblW w:w="7371"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84"/>
        <w:gridCol w:w="5533"/>
      </w:tblGrid>
      <w:tr w:rsidR="004412F1" w14:paraId="4B663B1A" w14:textId="77777777">
        <w:tc>
          <w:tcPr>
            <w:tcW w:w="1554" w:type="dxa"/>
          </w:tcPr>
          <w:p w14:paraId="06E14A3D" w14:textId="77777777" w:rsidR="004412F1" w:rsidRDefault="005A12A3">
            <w:pPr>
              <w:rPr>
                <w:vertAlign w:val="subscript"/>
                <w:lang w:val="es-PE"/>
              </w:rPr>
            </w:pPr>
            <w:r>
              <w:rPr>
                <w:rFonts w:eastAsia="Arial Unicode MS"/>
                <w:lang w:val="es-PE"/>
              </w:rPr>
              <w:t>CAO</w:t>
            </w:r>
            <w:r>
              <w:rPr>
                <w:rFonts w:eastAsia="Arial Unicode MS"/>
                <w:vertAlign w:val="subscript"/>
                <w:lang w:val="es-PE"/>
              </w:rPr>
              <w:t>i ajustado</w:t>
            </w:r>
          </w:p>
        </w:tc>
        <w:tc>
          <w:tcPr>
            <w:tcW w:w="284" w:type="dxa"/>
          </w:tcPr>
          <w:p w14:paraId="0BE9C242" w14:textId="77777777" w:rsidR="004412F1" w:rsidRDefault="005A12A3">
            <w:pPr>
              <w:rPr>
                <w:lang w:val="es-PE"/>
              </w:rPr>
            </w:pPr>
            <w:r>
              <w:rPr>
                <w:rFonts w:eastAsia="Arial Unicode MS"/>
                <w:lang w:val="es-PE"/>
              </w:rPr>
              <w:t>:</w:t>
            </w:r>
          </w:p>
        </w:tc>
        <w:tc>
          <w:tcPr>
            <w:tcW w:w="5533" w:type="dxa"/>
          </w:tcPr>
          <w:p w14:paraId="21CE0504" w14:textId="77777777" w:rsidR="004412F1" w:rsidRDefault="005A12A3">
            <w:pPr>
              <w:tabs>
                <w:tab w:val="left" w:pos="1317"/>
              </w:tabs>
              <w:jc w:val="both"/>
              <w:rPr>
                <w:lang w:val="es-PE"/>
              </w:rPr>
            </w:pPr>
            <w:r>
              <w:rPr>
                <w:rFonts w:eastAsia="Arial Unicode MS"/>
                <w:lang w:val="es-PE"/>
              </w:rPr>
              <w:t>Porcentaje de avance de obra certificado en el “i” ésimo CAO ajustado con base en el índice de ajuste de precios de construcción.</w:t>
            </w:r>
          </w:p>
          <w:p w14:paraId="77A33647" w14:textId="77777777" w:rsidR="004412F1" w:rsidRDefault="004412F1">
            <w:pPr>
              <w:tabs>
                <w:tab w:val="left" w:pos="1317"/>
              </w:tabs>
              <w:jc w:val="both"/>
              <w:rPr>
                <w:lang w:val="es-PE"/>
              </w:rPr>
            </w:pPr>
          </w:p>
        </w:tc>
      </w:tr>
      <w:tr w:rsidR="004412F1" w14:paraId="28DADED9" w14:textId="77777777">
        <w:tc>
          <w:tcPr>
            <w:tcW w:w="1554" w:type="dxa"/>
          </w:tcPr>
          <w:p w14:paraId="2BF63148" w14:textId="77777777" w:rsidR="004412F1" w:rsidRDefault="005A12A3">
            <w:pPr>
              <w:rPr>
                <w:vertAlign w:val="subscript"/>
                <w:lang w:val="es-PE"/>
              </w:rPr>
            </w:pPr>
            <w:r>
              <w:rPr>
                <w:rFonts w:eastAsia="Arial Unicode MS"/>
                <w:lang w:val="es-PE"/>
              </w:rPr>
              <w:t>IAP</w:t>
            </w:r>
            <w:r>
              <w:rPr>
                <w:rFonts w:eastAsia="Arial Unicode MS"/>
                <w:vertAlign w:val="subscript"/>
                <w:lang w:val="es-PE"/>
              </w:rPr>
              <w:t xml:space="preserve">i </w:t>
            </w:r>
          </w:p>
        </w:tc>
        <w:tc>
          <w:tcPr>
            <w:tcW w:w="284" w:type="dxa"/>
          </w:tcPr>
          <w:p w14:paraId="1ECD7305" w14:textId="77777777" w:rsidR="004412F1" w:rsidRDefault="005A12A3">
            <w:pPr>
              <w:rPr>
                <w:lang w:val="es-PE"/>
              </w:rPr>
            </w:pPr>
            <w:r>
              <w:rPr>
                <w:rFonts w:eastAsia="Arial Unicode MS"/>
                <w:lang w:val="es-PE"/>
              </w:rPr>
              <w:t>:</w:t>
            </w:r>
          </w:p>
        </w:tc>
        <w:tc>
          <w:tcPr>
            <w:tcW w:w="5533" w:type="dxa"/>
          </w:tcPr>
          <w:p w14:paraId="4AC254D1" w14:textId="77777777" w:rsidR="004412F1" w:rsidRDefault="005A12A3">
            <w:pPr>
              <w:jc w:val="both"/>
              <w:rPr>
                <w:lang w:val="es-PE"/>
              </w:rPr>
            </w:pPr>
            <w:r>
              <w:rPr>
                <w:rFonts w:eastAsia="Arial Unicode MS"/>
                <w:lang w:val="es-PE"/>
              </w:rPr>
              <w:t>Índice de ajuste de precios de construcción, cuyo valor (mayor o menor que 1) resulta de la aplicación de la fórmula polinómica de precios desde la fecha de suscripción del Contrato de Concesión</w:t>
            </w:r>
            <w:r>
              <w:rPr>
                <w:rFonts w:eastAsia="MS Mincho"/>
                <w:lang w:val="es-PE"/>
              </w:rPr>
              <w:t xml:space="preserve"> </w:t>
            </w:r>
            <w:r>
              <w:rPr>
                <w:rFonts w:eastAsia="Arial Unicode MS"/>
                <w:lang w:val="es-PE"/>
              </w:rPr>
              <w:t xml:space="preserve">hasta la fecha de culminación del Hito Constructivo del CAO correspondiente. </w:t>
            </w:r>
            <w:r>
              <w:rPr>
                <w:lang w:val="es-PE"/>
              </w:rPr>
              <w:t>Este Índice toma como base los Índices Unificados de Precios de la Construcción publicados por el Instituto Nacional de Estadística e Informática – INEI, para el Área Geográfica 3, el cual corresponde la ubicación del Proyecto.</w:t>
            </w:r>
            <w:r>
              <w:rPr>
                <w:rFonts w:eastAsia="Arial Unicode MS"/>
                <w:lang w:val="es-PE"/>
              </w:rPr>
              <w:t xml:space="preserve"> </w:t>
            </w:r>
          </w:p>
          <w:p w14:paraId="1C3CB324" w14:textId="77777777" w:rsidR="004412F1" w:rsidRDefault="004412F1">
            <w:pPr>
              <w:jc w:val="both"/>
              <w:rPr>
                <w:lang w:val="es-PE"/>
              </w:rPr>
            </w:pPr>
          </w:p>
          <w:p w14:paraId="5FB11E0E" w14:textId="77777777" w:rsidR="004412F1" w:rsidRDefault="005A12A3">
            <w:pPr>
              <w:jc w:val="both"/>
              <w:rPr>
                <w:lang w:val="es-PE"/>
              </w:rPr>
            </w:pPr>
            <w:r>
              <w:rPr>
                <w:rFonts w:eastAsia="Arial Unicode MS"/>
                <w:lang w:val="es-PE"/>
              </w:rPr>
              <w:t xml:space="preserve">En caso los precios contenidos no sufran variación alguna, el IAP será equivalente a 1. Si la variación de precios es positiva, el IAP será mayor a 1, y si la variación de precios es negativa, el IAP será menor a 1. </w:t>
            </w:r>
          </w:p>
        </w:tc>
      </w:tr>
    </w:tbl>
    <w:p w14:paraId="6FA3E38D" w14:textId="77777777" w:rsidR="004412F1" w:rsidRDefault="004412F1">
      <w:pPr>
        <w:jc w:val="both"/>
        <w:rPr>
          <w:lang w:val="es-PE"/>
        </w:rPr>
      </w:pPr>
    </w:p>
    <w:p w14:paraId="7D5D8551" w14:textId="77777777" w:rsidR="004412F1" w:rsidRDefault="005A12A3">
      <w:pPr>
        <w:ind w:left="426"/>
        <w:jc w:val="both"/>
        <w:rPr>
          <w:lang w:val="es-PE"/>
        </w:rPr>
      </w:pPr>
      <w:r>
        <w:rPr>
          <w:lang w:val="es-PE"/>
        </w:rPr>
        <w:t xml:space="preserve">El </w:t>
      </w:r>
      <w:r>
        <w:t>Δ</w:t>
      </w:r>
      <w:r>
        <w:rPr>
          <w:lang w:val="es-PE"/>
        </w:rPr>
        <w:t>CAOi se consignará en cada CAO emitido por REGULADOR de conformidad con el modelo incluido en el Apéndice 4.2 del presente Anexo.</w:t>
      </w:r>
    </w:p>
    <w:p w14:paraId="07D06040" w14:textId="77777777" w:rsidR="004412F1" w:rsidRDefault="004412F1">
      <w:pPr>
        <w:ind w:left="426"/>
        <w:jc w:val="both"/>
        <w:rPr>
          <w:lang w:val="es-PE"/>
        </w:rPr>
      </w:pPr>
    </w:p>
    <w:p w14:paraId="60093969" w14:textId="77777777" w:rsidR="004412F1" w:rsidRDefault="005A12A3">
      <w:pPr>
        <w:ind w:left="426"/>
        <w:jc w:val="both"/>
        <w:rPr>
          <w:lang w:val="es-PE"/>
        </w:rPr>
      </w:pPr>
      <w:r>
        <w:rPr>
          <w:lang w:val="es-PE"/>
        </w:rPr>
        <w:t xml:space="preserve">Los RPI-CAOi serán ajustados proporcionalmente a la variación del CAO correspondiente, dando origen a una variación del RPI-CAOi denominado un </w:t>
      </w:r>
      <w:r>
        <w:t>Δ</w:t>
      </w:r>
      <w:r>
        <w:rPr>
          <w:lang w:val="es-PE"/>
        </w:rPr>
        <w:t xml:space="preserve"> RPI-CAOi, con la siguiente expresión:</w:t>
      </w:r>
    </w:p>
    <w:p w14:paraId="5CEC59E5" w14:textId="77777777" w:rsidR="004412F1" w:rsidRDefault="004412F1">
      <w:pPr>
        <w:ind w:left="426"/>
        <w:jc w:val="both"/>
        <w:rPr>
          <w:lang w:val="es-PE"/>
        </w:rPr>
      </w:pPr>
    </w:p>
    <w:p w14:paraId="72417D7B" w14:textId="77777777" w:rsidR="004412F1" w:rsidRDefault="00000000">
      <w:pPr>
        <w:ind w:left="426"/>
        <w:jc w:val="center"/>
        <w:rPr>
          <w:rFonts w:ascii="Arial Unicode MS" w:eastAsia="Arial Unicode MS" w:hAnsi="Arial Unicode MS" w:cs="Arial Unicode MS"/>
        </w:rPr>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 RPI_CAO</m:t>
              </m:r>
            </m:e>
            <m:sub>
              <m:r>
                <m:rPr>
                  <m:sty m:val="p"/>
                </m:rPr>
                <w:rPr>
                  <w:rFonts w:ascii="Cambria Math" w:eastAsia="MS Mincho" w:hAnsi="Cambria Math" w:cstheme="minorHAnsi"/>
                  <w:sz w:val="20"/>
                  <w:szCs w:val="20"/>
                </w:rPr>
                <m:t xml:space="preserve">i </m:t>
              </m:r>
            </m:sub>
          </m:sSub>
          <m:r>
            <w:rPr>
              <w:rFonts w:ascii="Cambria Math" w:eastAsia="Arial Unicode MS" w:hAnsi="Cambria Math" w:cstheme="minorHAnsi"/>
              <w:sz w:val="20"/>
              <w:szCs w:val="20"/>
            </w:rPr>
            <m:t xml:space="preserve">  =  </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 CAO</m:t>
              </m:r>
            </m:e>
            <m:sub>
              <m:r>
                <m:rPr>
                  <m:sty m:val="p"/>
                </m:rPr>
                <w:rPr>
                  <w:rFonts w:ascii="Cambria Math" w:eastAsia="Arial Unicode MS" w:hAnsi="Cambria Math" w:cstheme="minorHAnsi"/>
                  <w:sz w:val="20"/>
                  <w:szCs w:val="20"/>
                </w:rPr>
                <m:t xml:space="preserve">i </m:t>
              </m:r>
            </m:sub>
          </m:sSub>
          <m:r>
            <w:rPr>
              <w:rFonts w:ascii="Cambria Math" w:eastAsia="Arial Unicode MS" w:hAnsi="Cambria Math" w:cstheme="minorHAnsi"/>
              <w:sz w:val="20"/>
              <w:szCs w:val="20"/>
            </w:rPr>
            <m:t xml:space="preserve">  </m:t>
          </m:r>
          <m:r>
            <m:rPr>
              <m:sty m:val="p"/>
            </m:rPr>
            <w:rPr>
              <w:rFonts w:ascii="Cambria Math" w:eastAsia="Arial Unicode MS" w:hAnsi="Cambria Math" w:cstheme="minorHAnsi"/>
              <w:sz w:val="20"/>
              <w:szCs w:val="20"/>
            </w:rPr>
            <m:t xml:space="preserve">x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RPI_CAO</m:t>
              </m:r>
            </m:e>
            <m:sub>
              <m:r>
                <m:rPr>
                  <m:sty m:val="p"/>
                </m:rPr>
                <w:rPr>
                  <w:rFonts w:ascii="Cambria Math" w:eastAsia="Arial Unicode MS" w:hAnsi="Cambria Math" w:cstheme="minorHAnsi"/>
                  <w:sz w:val="20"/>
                  <w:szCs w:val="20"/>
                </w:rPr>
                <m:t>i</m:t>
              </m:r>
            </m:sub>
          </m:sSub>
        </m:oMath>
      </m:oMathPara>
    </w:p>
    <w:p w14:paraId="5577C8F9" w14:textId="77777777" w:rsidR="004412F1" w:rsidRDefault="004412F1">
      <w:pPr>
        <w:ind w:left="426"/>
        <w:jc w:val="both"/>
      </w:pPr>
    </w:p>
    <w:p w14:paraId="6F65EADF" w14:textId="77777777" w:rsidR="004412F1" w:rsidRDefault="005A12A3">
      <w:pPr>
        <w:ind w:left="426"/>
        <w:jc w:val="both"/>
      </w:pPr>
      <w:r>
        <w:t>Por tanto:</w:t>
      </w:r>
    </w:p>
    <w:p w14:paraId="33F054DD" w14:textId="77777777" w:rsidR="004412F1" w:rsidRDefault="004412F1">
      <w:pPr>
        <w:ind w:left="426"/>
        <w:jc w:val="both"/>
        <w:rPr>
          <w:rFonts w:ascii="Arial Unicode MS" w:eastAsia="Arial Unicode MS" w:hAnsi="Arial Unicode MS" w:cs="Arial Unicode MS"/>
        </w:rPr>
      </w:pPr>
    </w:p>
    <w:p w14:paraId="25F472D6" w14:textId="77777777" w:rsidR="004412F1" w:rsidRDefault="00000000">
      <w:pPr>
        <w:ind w:left="426"/>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RPI_CAO</m:t>
              </m:r>
            </m:e>
            <m:sub>
              <m:r>
                <m:rPr>
                  <m:sty m:val="p"/>
                </m:rPr>
                <w:rPr>
                  <w:rFonts w:ascii="Cambria Math" w:eastAsia="MS Mincho"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RPI_CAO</m:t>
              </m:r>
            </m:e>
            <m:sub>
              <m:r>
                <m:rPr>
                  <m:sty m:val="p"/>
                </m:rPr>
                <w:rPr>
                  <w:rFonts w:ascii="Cambria Math" w:eastAsia="Arial Unicode MS" w:hAnsi="Cambria Math" w:cstheme="minorHAnsi"/>
                  <w:sz w:val="20"/>
                  <w:szCs w:val="20"/>
                </w:rPr>
                <m:t xml:space="preserve">i </m:t>
              </m:r>
            </m:sub>
          </m:sSub>
          <m:r>
            <m:rPr>
              <m:sty m:val="p"/>
            </m:rPr>
            <w:rPr>
              <w:rFonts w:ascii="Cambria Math" w:eastAsia="Arial Unicode MS" w:hAnsi="Cambria Math" w:cstheme="minorHAnsi"/>
              <w:sz w:val="20"/>
              <w:szCs w:val="20"/>
            </w:rPr>
            <m:t xml:space="preserve">+ ∆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RPI_CAO</m:t>
              </m:r>
            </m:e>
            <m:sub>
              <m:r>
                <m:rPr>
                  <m:sty m:val="p"/>
                </m:rPr>
                <w:rPr>
                  <w:rFonts w:ascii="Cambria Math" w:eastAsia="Arial Unicode MS" w:hAnsi="Cambria Math" w:cstheme="minorHAnsi"/>
                  <w:sz w:val="20"/>
                  <w:szCs w:val="20"/>
                </w:rPr>
                <m:t>i</m:t>
              </m:r>
            </m:sub>
          </m:sSub>
        </m:oMath>
      </m:oMathPara>
    </w:p>
    <w:p w14:paraId="2DE63956" w14:textId="77777777" w:rsidR="004412F1" w:rsidRDefault="004412F1">
      <w:pPr>
        <w:ind w:left="426"/>
        <w:jc w:val="both"/>
      </w:pPr>
    </w:p>
    <w:tbl>
      <w:tblPr>
        <w:tblStyle w:val="Tablaconcuadrcula"/>
        <w:tblW w:w="722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4"/>
        <w:gridCol w:w="5528"/>
      </w:tblGrid>
      <w:tr w:rsidR="004412F1" w14:paraId="7811F63A" w14:textId="77777777">
        <w:trPr>
          <w:trHeight w:val="253"/>
        </w:trPr>
        <w:tc>
          <w:tcPr>
            <w:tcW w:w="1417" w:type="dxa"/>
          </w:tcPr>
          <w:p w14:paraId="7432578E" w14:textId="77777777" w:rsidR="004412F1" w:rsidRDefault="005A12A3">
            <w:pPr>
              <w:spacing w:line="276" w:lineRule="auto"/>
              <w:jc w:val="both"/>
              <w:rPr>
                <w:vertAlign w:val="subscript"/>
                <w:lang w:val="es-PE"/>
              </w:rPr>
            </w:pPr>
            <w:r>
              <w:rPr>
                <w:rFonts w:eastAsia="Arial Unicode MS"/>
                <w:lang w:val="es-PE"/>
              </w:rPr>
              <w:t>RPI-CAO</w:t>
            </w:r>
            <w:r>
              <w:rPr>
                <w:rFonts w:eastAsia="Arial Unicode MS"/>
                <w:vertAlign w:val="subscript"/>
                <w:lang w:val="es-PE"/>
              </w:rPr>
              <w:t>i ajustado</w:t>
            </w:r>
          </w:p>
        </w:tc>
        <w:tc>
          <w:tcPr>
            <w:tcW w:w="284" w:type="dxa"/>
          </w:tcPr>
          <w:p w14:paraId="4A55CF15" w14:textId="77777777" w:rsidR="004412F1" w:rsidRDefault="005A12A3">
            <w:pPr>
              <w:spacing w:line="276" w:lineRule="auto"/>
              <w:jc w:val="both"/>
              <w:rPr>
                <w:lang w:val="es-PE"/>
              </w:rPr>
            </w:pPr>
            <w:r>
              <w:rPr>
                <w:rFonts w:eastAsia="Arial Unicode MS"/>
                <w:lang w:val="es-PE"/>
              </w:rPr>
              <w:t>:</w:t>
            </w:r>
          </w:p>
        </w:tc>
        <w:tc>
          <w:tcPr>
            <w:tcW w:w="5528" w:type="dxa"/>
          </w:tcPr>
          <w:p w14:paraId="58F63311" w14:textId="77777777" w:rsidR="004412F1" w:rsidRDefault="005A12A3">
            <w:pPr>
              <w:spacing w:line="276" w:lineRule="auto"/>
              <w:jc w:val="both"/>
              <w:rPr>
                <w:lang w:val="es-PE"/>
              </w:rPr>
            </w:pPr>
            <w:r>
              <w:rPr>
                <w:rFonts w:eastAsia="Arial Unicode MS"/>
                <w:lang w:val="es-PE"/>
              </w:rPr>
              <w:t>Alícuota del RPI correspondiente al “i” ésimo CAO ajustado con base en el índice de ajuste de precios de construcción.</w:t>
            </w:r>
          </w:p>
        </w:tc>
      </w:tr>
    </w:tbl>
    <w:p w14:paraId="64201437" w14:textId="77777777" w:rsidR="004412F1" w:rsidRDefault="004412F1">
      <w:pPr>
        <w:ind w:left="426"/>
        <w:jc w:val="both"/>
        <w:rPr>
          <w:lang w:val="es-PE"/>
        </w:rPr>
      </w:pPr>
    </w:p>
    <w:p w14:paraId="3DB479A4" w14:textId="77777777" w:rsidR="004412F1" w:rsidRDefault="005A12A3" w:rsidP="00313D4E">
      <w:pPr>
        <w:numPr>
          <w:ilvl w:val="0"/>
          <w:numId w:val="211"/>
        </w:numPr>
        <w:jc w:val="both"/>
        <w:rPr>
          <w:lang w:val="es-PE"/>
        </w:rPr>
      </w:pPr>
      <w:r>
        <w:rPr>
          <w:lang w:val="es-CL"/>
        </w:rPr>
        <w:t xml:space="preserve">Para </w:t>
      </w:r>
      <w:r>
        <w:rPr>
          <w:lang w:val="es-PE"/>
        </w:rPr>
        <w:t xml:space="preserve">efectos del control de avance de las Obras se utilizará el CAOi. Las Obras se darán por concluidas cuando la sumatoria de los CAOi sea equivalente al 100%. </w:t>
      </w:r>
    </w:p>
    <w:p w14:paraId="4FAB657D" w14:textId="77777777" w:rsidR="004412F1" w:rsidRDefault="004412F1">
      <w:pPr>
        <w:ind w:left="426"/>
        <w:jc w:val="both"/>
        <w:rPr>
          <w:lang w:val="es-PE"/>
        </w:rPr>
      </w:pPr>
    </w:p>
    <w:p w14:paraId="7D614F3D" w14:textId="77777777" w:rsidR="004412F1" w:rsidRDefault="005A12A3">
      <w:pPr>
        <w:numPr>
          <w:ilvl w:val="0"/>
          <w:numId w:val="211"/>
        </w:numPr>
        <w:jc w:val="both"/>
        <w:rPr>
          <w:lang w:val="es-PE"/>
        </w:rPr>
      </w:pPr>
      <w:r>
        <w:rPr>
          <w:lang w:val="es-PE"/>
        </w:rPr>
        <w:t>Los CAOi ajustado podrán sumar más, o menos, del 100% dependiendo del comportamiento del índice de los precios a lo largo del período de ejecución de las Obras. El efecto de los CAOi ajustado es únicamente para la determinación de los RPI-CAOi ajustado.</w:t>
      </w:r>
    </w:p>
    <w:p w14:paraId="1929C768" w14:textId="77777777" w:rsidR="004412F1" w:rsidRDefault="005A12A3">
      <w:pPr>
        <w:ind w:left="426"/>
        <w:jc w:val="both"/>
        <w:rPr>
          <w:lang w:val="es-PE"/>
        </w:rPr>
      </w:pPr>
      <w:r>
        <w:rPr>
          <w:lang w:val="es-PE"/>
        </w:rPr>
        <w:br w:type="page"/>
      </w:r>
    </w:p>
    <w:p w14:paraId="72D39827" w14:textId="77777777" w:rsidR="004412F1" w:rsidRDefault="005A12A3">
      <w:pPr>
        <w:pStyle w:val="Ttulo2"/>
        <w:ind w:left="0"/>
        <w:jc w:val="center"/>
        <w:rPr>
          <w:rFonts w:ascii="Arial" w:hAnsi="Arial" w:cs="Arial"/>
          <w:b/>
          <w:lang w:val="es-PE"/>
        </w:rPr>
      </w:pPr>
      <w:bookmarkStart w:id="2918" w:name="_jroygvig57je" w:colFirst="0" w:colLast="0"/>
      <w:bookmarkStart w:id="2919" w:name="_Toc139294859"/>
      <w:bookmarkStart w:id="2920" w:name="_Toc140089487"/>
      <w:bookmarkEnd w:id="2918"/>
      <w:r>
        <w:rPr>
          <w:rFonts w:ascii="Arial" w:hAnsi="Arial" w:cs="Arial"/>
          <w:b/>
          <w:lang w:val="es-PE"/>
        </w:rPr>
        <w:t xml:space="preserve">APÉNDICE </w:t>
      </w:r>
      <w:proofErr w:type="gramStart"/>
      <w:r>
        <w:rPr>
          <w:rFonts w:ascii="Arial" w:hAnsi="Arial" w:cs="Arial"/>
          <w:b/>
          <w:lang w:val="es-PE"/>
        </w:rPr>
        <w:t>4.2 :</w:t>
      </w:r>
      <w:proofErr w:type="gramEnd"/>
      <w:r>
        <w:rPr>
          <w:rFonts w:ascii="Arial" w:hAnsi="Arial" w:cs="Arial"/>
          <w:b/>
          <w:lang w:val="es-PE"/>
        </w:rPr>
        <w:t xml:space="preserve"> MODELO DE CERTIFICADO DE AVANCE DE OBRA (CAO)</w:t>
      </w:r>
      <w:bookmarkEnd w:id="2919"/>
      <w:bookmarkEnd w:id="2920"/>
      <w:r>
        <w:rPr>
          <w:rFonts w:ascii="Arial" w:hAnsi="Arial" w:cs="Arial"/>
          <w:b/>
          <w:lang w:val="es-PE"/>
        </w:rPr>
        <w:t xml:space="preserve"> </w:t>
      </w:r>
    </w:p>
    <w:p w14:paraId="3A80F2ED" w14:textId="77777777" w:rsidR="004412F1" w:rsidRDefault="004412F1">
      <w:pPr>
        <w:ind w:left="426"/>
        <w:jc w:val="both"/>
        <w:rPr>
          <w:lang w:val="es-PE"/>
        </w:rPr>
      </w:pPr>
    </w:p>
    <w:p w14:paraId="7FF43128" w14:textId="77777777" w:rsidR="004412F1" w:rsidRDefault="005A12A3">
      <w:pPr>
        <w:ind w:left="426"/>
        <w:jc w:val="both"/>
        <w:rPr>
          <w:lang w:val="es-PE"/>
        </w:rPr>
      </w:pPr>
      <w:r>
        <w:rPr>
          <w:lang w:val="es-PE"/>
        </w:rPr>
        <w:t>CAO No. __________ - Contrato de Concesión para el Proyecto: “Carretera Longitudinal de la Sierra Tramo 4”</w:t>
      </w:r>
    </w:p>
    <w:p w14:paraId="560EBB2C" w14:textId="77777777" w:rsidR="004412F1" w:rsidRDefault="004412F1">
      <w:pPr>
        <w:ind w:left="426"/>
        <w:jc w:val="both"/>
        <w:rPr>
          <w:lang w:val="es-PE"/>
        </w:rPr>
      </w:pPr>
    </w:p>
    <w:p w14:paraId="0E2F79B4" w14:textId="77777777" w:rsidR="004412F1" w:rsidRDefault="005A12A3">
      <w:pPr>
        <w:ind w:left="426"/>
        <w:jc w:val="both"/>
        <w:rPr>
          <w:lang w:val="es-PE"/>
        </w:rPr>
      </w:pPr>
      <w:r>
        <w:rPr>
          <w:lang w:val="es-PE"/>
        </w:rPr>
        <w:t>El presente Certificado de Avance de Obra (CAO) se emite de conformidad con lo establecido en el Contrato de Concesión para el Proyecto “Carretera Longitudinal de la Sierra Tramo 4” (en adelante, el “Contrato”), suscrito con fecha ___ de ________ del ____, entre el Ministerio de Transportes y Comunicaciones (en adelante, el “CONCEDENTE”) y _______________ (en adelante, el “CONCESIONARIO”).</w:t>
      </w:r>
    </w:p>
    <w:p w14:paraId="4E5CA563" w14:textId="77777777" w:rsidR="004412F1" w:rsidRDefault="004412F1">
      <w:pPr>
        <w:ind w:left="426"/>
        <w:jc w:val="both"/>
        <w:rPr>
          <w:lang w:val="es-PE"/>
        </w:rPr>
      </w:pPr>
    </w:p>
    <w:p w14:paraId="5341AD3E" w14:textId="77777777" w:rsidR="004412F1" w:rsidRDefault="005A12A3">
      <w:pPr>
        <w:ind w:left="426"/>
        <w:jc w:val="both"/>
        <w:rPr>
          <w:lang w:val="es-PE"/>
        </w:rPr>
      </w:pPr>
      <w:r>
        <w:rPr>
          <w:lang w:val="es-PE"/>
        </w:rPr>
        <w:t>Certificación de Avance de Obras</w:t>
      </w:r>
    </w:p>
    <w:p w14:paraId="199FFB0B" w14:textId="77777777" w:rsidR="004412F1" w:rsidRDefault="005A12A3">
      <w:pPr>
        <w:ind w:left="426"/>
        <w:jc w:val="both"/>
        <w:rPr>
          <w:lang w:val="es-PE"/>
        </w:rPr>
      </w:pPr>
      <w:r>
        <w:rPr>
          <w:lang w:val="es-PE"/>
        </w:rPr>
        <w:t>De acuerdo con lo establecido en el Contrato, el REGULADOR otorga su conformidad respecto al Avance de Obra No. __________ del Tramo ___, ejecutado por el CONCESIONARIO.</w:t>
      </w:r>
    </w:p>
    <w:p w14:paraId="296E8E78" w14:textId="77777777" w:rsidR="004412F1" w:rsidRDefault="005A12A3">
      <w:pPr>
        <w:ind w:left="426"/>
        <w:jc w:val="both"/>
        <w:rPr>
          <w:lang w:val="es-PE"/>
        </w:rPr>
      </w:pPr>
      <w:r>
        <w:rPr>
          <w:lang w:val="es-PE"/>
        </w:rPr>
        <w:t>El REGULADOR acredita que las Obras materia del presente CAO han sido ejecutadas de acuerdo con los estándares, exigencias técnicas y socio ambientales establecidas en el Contrato, en el EDI y de acuerdo con las Leyes y Disposiciones Aplicables, según estos términos se definen en el Contrato.</w:t>
      </w:r>
    </w:p>
    <w:p w14:paraId="115C5149" w14:textId="77777777" w:rsidR="004412F1" w:rsidRDefault="004412F1">
      <w:pPr>
        <w:ind w:left="426"/>
        <w:jc w:val="both"/>
        <w:rPr>
          <w:lang w:val="es-PE"/>
        </w:rPr>
      </w:pPr>
    </w:p>
    <w:tbl>
      <w:tblPr>
        <w:tblpPr w:leftFromText="141" w:rightFromText="141" w:vertAnchor="text" w:horzAnchor="margin" w:tblpX="108" w:tblpY="4"/>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118"/>
      </w:tblGrid>
      <w:tr w:rsidR="004412F1" w14:paraId="225DB601" w14:textId="77777777">
        <w:trPr>
          <w:trHeight w:val="537"/>
        </w:trPr>
        <w:tc>
          <w:tcPr>
            <w:tcW w:w="5382" w:type="dxa"/>
            <w:tcBorders>
              <w:right w:val="single" w:sz="4" w:space="0" w:color="auto"/>
            </w:tcBorders>
            <w:vAlign w:val="center"/>
          </w:tcPr>
          <w:p w14:paraId="1DA72022" w14:textId="77777777" w:rsidR="004412F1" w:rsidRDefault="005A12A3">
            <w:pPr>
              <w:spacing w:line="276" w:lineRule="auto"/>
              <w:rPr>
                <w:rFonts w:cstheme="minorHAnsi"/>
                <w:sz w:val="20"/>
                <w:szCs w:val="20"/>
              </w:rPr>
            </w:pPr>
            <w:r>
              <w:rPr>
                <w:rFonts w:cstheme="minorHAnsi"/>
                <w:sz w:val="20"/>
                <w:szCs w:val="20"/>
              </w:rPr>
              <w:t>CAO No. _________</w:t>
            </w:r>
          </w:p>
        </w:tc>
        <w:tc>
          <w:tcPr>
            <w:tcW w:w="3118" w:type="dxa"/>
            <w:tcBorders>
              <w:top w:val="nil"/>
              <w:left w:val="single" w:sz="4" w:space="0" w:color="auto"/>
              <w:bottom w:val="single" w:sz="4" w:space="0" w:color="auto"/>
              <w:right w:val="nil"/>
            </w:tcBorders>
            <w:vAlign w:val="center"/>
          </w:tcPr>
          <w:p w14:paraId="2F887E30" w14:textId="77777777" w:rsidR="004412F1" w:rsidRDefault="004412F1">
            <w:pPr>
              <w:spacing w:line="276" w:lineRule="auto"/>
              <w:jc w:val="center"/>
              <w:rPr>
                <w:rFonts w:cstheme="minorHAnsi"/>
                <w:sz w:val="20"/>
                <w:szCs w:val="20"/>
              </w:rPr>
            </w:pPr>
          </w:p>
        </w:tc>
      </w:tr>
      <w:tr w:rsidR="004412F1" w14:paraId="6E84C02E" w14:textId="77777777">
        <w:trPr>
          <w:trHeight w:val="537"/>
        </w:trPr>
        <w:tc>
          <w:tcPr>
            <w:tcW w:w="5382" w:type="dxa"/>
            <w:vAlign w:val="center"/>
          </w:tcPr>
          <w:p w14:paraId="001C118B" w14:textId="77777777" w:rsidR="004412F1" w:rsidRDefault="005A12A3">
            <w:pPr>
              <w:spacing w:line="276" w:lineRule="auto"/>
              <w:rPr>
                <w:rFonts w:cstheme="minorHAnsi"/>
                <w:sz w:val="20"/>
                <w:szCs w:val="20"/>
                <w:lang w:val="es-PE"/>
              </w:rPr>
            </w:pPr>
            <w:r>
              <w:rPr>
                <w:rFonts w:cstheme="minorHAnsi"/>
                <w:sz w:val="20"/>
                <w:szCs w:val="20"/>
                <w:lang w:val="es-PE"/>
              </w:rPr>
              <w:t>Porcentaje (%) de Avance de Obra _____</w:t>
            </w:r>
          </w:p>
        </w:tc>
        <w:tc>
          <w:tcPr>
            <w:tcW w:w="3118" w:type="dxa"/>
            <w:tcBorders>
              <w:top w:val="single" w:sz="4" w:space="0" w:color="auto"/>
              <w:bottom w:val="single" w:sz="4" w:space="0" w:color="auto"/>
            </w:tcBorders>
            <w:vAlign w:val="center"/>
          </w:tcPr>
          <w:p w14:paraId="4FD9B86B" w14:textId="77777777" w:rsidR="004412F1" w:rsidRDefault="005A12A3">
            <w:pPr>
              <w:spacing w:line="276" w:lineRule="auto"/>
              <w:jc w:val="center"/>
              <w:rPr>
                <w:rFonts w:cstheme="minorHAnsi"/>
                <w:sz w:val="20"/>
                <w:szCs w:val="20"/>
              </w:rPr>
            </w:pPr>
            <w:r>
              <w:rPr>
                <w:rFonts w:cstheme="minorHAnsi"/>
                <w:sz w:val="20"/>
                <w:szCs w:val="20"/>
              </w:rPr>
              <w:t>________ %</w:t>
            </w:r>
          </w:p>
        </w:tc>
      </w:tr>
      <w:tr w:rsidR="004412F1" w14:paraId="423A3AE9" w14:textId="77777777">
        <w:trPr>
          <w:trHeight w:val="537"/>
        </w:trPr>
        <w:tc>
          <w:tcPr>
            <w:tcW w:w="5382" w:type="dxa"/>
            <w:vAlign w:val="center"/>
          </w:tcPr>
          <w:p w14:paraId="75CD8EBB" w14:textId="77777777" w:rsidR="004412F1" w:rsidRDefault="005A12A3">
            <w:pPr>
              <w:spacing w:line="276" w:lineRule="auto"/>
              <w:rPr>
                <w:rFonts w:eastAsia="SimSun" w:cstheme="minorHAnsi"/>
                <w:sz w:val="20"/>
                <w:szCs w:val="20"/>
                <w:lang w:eastAsia="zh-CN"/>
              </w:rPr>
            </w:pPr>
            <w:r>
              <w:rPr>
                <w:rFonts w:cstheme="minorHAnsi"/>
                <w:sz w:val="20"/>
                <w:szCs w:val="20"/>
              </w:rPr>
              <w:t>Ajuste del CAO (</w:t>
            </w:r>
            <m:oMath>
              <m:r>
                <w:rPr>
                  <w:rFonts w:ascii="Cambria Math" w:eastAsia="MS Mincho" w:hAnsi="Cambria Math" w:cstheme="minorHAnsi"/>
                  <w:sz w:val="20"/>
                  <w:szCs w:val="20"/>
                </w:rPr>
                <m:t>∆</m:t>
              </m:r>
            </m:oMath>
            <w:r>
              <w:rPr>
                <w:rFonts w:eastAsia="MS Mincho" w:cstheme="minorHAnsi"/>
                <w:sz w:val="20"/>
                <w:szCs w:val="20"/>
              </w:rPr>
              <w:t>CAO)</w:t>
            </w:r>
          </w:p>
        </w:tc>
        <w:tc>
          <w:tcPr>
            <w:tcW w:w="3118" w:type="dxa"/>
            <w:tcBorders>
              <w:top w:val="single" w:sz="4" w:space="0" w:color="auto"/>
              <w:bottom w:val="single" w:sz="4" w:space="0" w:color="auto"/>
            </w:tcBorders>
            <w:vAlign w:val="center"/>
          </w:tcPr>
          <w:p w14:paraId="69E99D08" w14:textId="77777777" w:rsidR="004412F1" w:rsidRDefault="005A12A3">
            <w:pPr>
              <w:spacing w:line="276" w:lineRule="auto"/>
              <w:jc w:val="center"/>
              <w:rPr>
                <w:rFonts w:cstheme="minorHAnsi"/>
                <w:sz w:val="20"/>
                <w:szCs w:val="20"/>
              </w:rPr>
            </w:pPr>
            <w:r>
              <w:rPr>
                <w:rFonts w:cstheme="minorHAnsi"/>
                <w:sz w:val="20"/>
                <w:szCs w:val="20"/>
              </w:rPr>
              <w:t>________ %</w:t>
            </w:r>
          </w:p>
        </w:tc>
      </w:tr>
      <w:tr w:rsidR="004412F1" w14:paraId="469544E7" w14:textId="77777777">
        <w:trPr>
          <w:trHeight w:val="537"/>
        </w:trPr>
        <w:tc>
          <w:tcPr>
            <w:tcW w:w="5382" w:type="dxa"/>
            <w:vAlign w:val="center"/>
          </w:tcPr>
          <w:p w14:paraId="4EF2D1EA" w14:textId="77777777" w:rsidR="004412F1" w:rsidRDefault="005A12A3">
            <w:pPr>
              <w:spacing w:line="276" w:lineRule="auto"/>
              <w:rPr>
                <w:rFonts w:cstheme="minorHAnsi"/>
                <w:sz w:val="20"/>
                <w:szCs w:val="20"/>
              </w:rPr>
            </w:pPr>
            <w:r>
              <w:rPr>
                <w:rFonts w:cstheme="minorHAnsi"/>
                <w:sz w:val="20"/>
                <w:szCs w:val="20"/>
              </w:rPr>
              <w:t>CAO ajustado</w:t>
            </w:r>
          </w:p>
        </w:tc>
        <w:tc>
          <w:tcPr>
            <w:tcW w:w="3118" w:type="dxa"/>
            <w:tcBorders>
              <w:top w:val="single" w:sz="4" w:space="0" w:color="auto"/>
            </w:tcBorders>
            <w:vAlign w:val="center"/>
          </w:tcPr>
          <w:p w14:paraId="546BCC9B" w14:textId="77777777" w:rsidR="004412F1" w:rsidRDefault="005A12A3">
            <w:pPr>
              <w:spacing w:line="276" w:lineRule="auto"/>
              <w:jc w:val="center"/>
              <w:rPr>
                <w:rFonts w:cstheme="minorHAnsi"/>
                <w:sz w:val="20"/>
                <w:szCs w:val="20"/>
              </w:rPr>
            </w:pPr>
            <w:r>
              <w:rPr>
                <w:rFonts w:cstheme="minorHAnsi"/>
                <w:sz w:val="20"/>
                <w:szCs w:val="20"/>
              </w:rPr>
              <w:t>________ %</w:t>
            </w:r>
          </w:p>
        </w:tc>
      </w:tr>
    </w:tbl>
    <w:p w14:paraId="67812FA7" w14:textId="77777777" w:rsidR="004412F1" w:rsidRDefault="004412F1">
      <w:pPr>
        <w:ind w:left="426"/>
        <w:jc w:val="both"/>
      </w:pPr>
    </w:p>
    <w:p w14:paraId="620DFC6C" w14:textId="77777777" w:rsidR="004412F1" w:rsidRDefault="004412F1">
      <w:pPr>
        <w:ind w:left="426"/>
        <w:jc w:val="both"/>
      </w:pPr>
    </w:p>
    <w:p w14:paraId="4D99A482" w14:textId="77777777" w:rsidR="004412F1" w:rsidRDefault="005A12A3">
      <w:pPr>
        <w:ind w:left="426"/>
        <w:jc w:val="both"/>
      </w:pPr>
      <w:r>
        <w:t>Emitido en Lima, ________________________________</w:t>
      </w:r>
    </w:p>
    <w:p w14:paraId="1A48F0F0" w14:textId="77777777" w:rsidR="004412F1" w:rsidRDefault="004412F1">
      <w:pPr>
        <w:ind w:left="426"/>
        <w:jc w:val="both"/>
      </w:pPr>
    </w:p>
    <w:p w14:paraId="7B4FD544" w14:textId="77777777" w:rsidR="004412F1" w:rsidRDefault="005A12A3">
      <w:pPr>
        <w:ind w:left="426"/>
        <w:jc w:val="both"/>
      </w:pPr>
      <w:r>
        <w:t>___________________________</w:t>
      </w:r>
    </w:p>
    <w:p w14:paraId="40B586BE" w14:textId="77777777" w:rsidR="004412F1" w:rsidRDefault="005A12A3">
      <w:pPr>
        <w:ind w:left="426"/>
        <w:jc w:val="both"/>
      </w:pPr>
      <w:r>
        <w:t xml:space="preserve">         EL REGULADOR</w:t>
      </w:r>
    </w:p>
    <w:p w14:paraId="0EFEF660" w14:textId="77777777" w:rsidR="004412F1" w:rsidRDefault="004412F1">
      <w:pPr>
        <w:ind w:left="426"/>
        <w:jc w:val="both"/>
      </w:pPr>
    </w:p>
    <w:p w14:paraId="663E8210" w14:textId="77777777" w:rsidR="004412F1" w:rsidRDefault="005A12A3">
      <w:pPr>
        <w:ind w:left="426"/>
        <w:jc w:val="both"/>
      </w:pPr>
      <w:r>
        <w:br w:type="page"/>
      </w:r>
    </w:p>
    <w:p w14:paraId="07107AB4" w14:textId="77777777" w:rsidR="004412F1" w:rsidRDefault="004412F1">
      <w:pPr>
        <w:ind w:left="426"/>
        <w:jc w:val="both"/>
      </w:pPr>
    </w:p>
    <w:p w14:paraId="1E400B88" w14:textId="77777777" w:rsidR="004412F1" w:rsidRDefault="005A12A3">
      <w:pPr>
        <w:pStyle w:val="Ttulo2"/>
        <w:ind w:left="0"/>
        <w:jc w:val="center"/>
        <w:rPr>
          <w:rFonts w:ascii="Arial" w:hAnsi="Arial" w:cs="Arial"/>
          <w:b/>
          <w:lang w:val="es-PE"/>
        </w:rPr>
      </w:pPr>
      <w:bookmarkStart w:id="2921" w:name="_igl4bjppyv7m" w:colFirst="0" w:colLast="0"/>
      <w:bookmarkStart w:id="2922" w:name="_Toc139294860"/>
      <w:bookmarkStart w:id="2923" w:name="_Toc140089488"/>
      <w:bookmarkEnd w:id="2921"/>
      <w:r>
        <w:rPr>
          <w:rFonts w:ascii="Arial" w:hAnsi="Arial" w:cs="Arial"/>
          <w:b/>
          <w:lang w:val="es-PE"/>
        </w:rPr>
        <w:t>APÉNDICE 5: SOBRE LA REMUNERACIÓN POR MANTENIMIENTO PERIÓDICO INICIAL – PAMPI</w:t>
      </w:r>
      <w:bookmarkEnd w:id="2922"/>
      <w:bookmarkEnd w:id="2923"/>
    </w:p>
    <w:p w14:paraId="1A072678" w14:textId="77777777" w:rsidR="004412F1" w:rsidRDefault="004412F1">
      <w:pPr>
        <w:ind w:left="426"/>
        <w:jc w:val="both"/>
        <w:rPr>
          <w:lang w:val="es-PE"/>
        </w:rPr>
      </w:pPr>
    </w:p>
    <w:p w14:paraId="1F5B76B4" w14:textId="77777777" w:rsidR="004412F1" w:rsidRDefault="005A12A3">
      <w:pPr>
        <w:numPr>
          <w:ilvl w:val="0"/>
          <w:numId w:val="216"/>
        </w:numPr>
        <w:jc w:val="both"/>
        <w:rPr>
          <w:lang w:val="es-PE"/>
        </w:rPr>
      </w:pPr>
      <w:r>
        <w:rPr>
          <w:lang w:val="es-PE"/>
        </w:rPr>
        <w:t xml:space="preserve">El CONCEDENTE tendrá la obligación, incondicional e irrevocable, de pagar al CONCESIONARIO los importes por concepto de los FPAMPI, a través del Fideicomiso de Administración.  </w:t>
      </w:r>
    </w:p>
    <w:p w14:paraId="12E59835" w14:textId="77777777" w:rsidR="004412F1" w:rsidRDefault="004412F1">
      <w:pPr>
        <w:ind w:left="426"/>
        <w:jc w:val="both"/>
        <w:rPr>
          <w:lang w:val="es-PE"/>
        </w:rPr>
      </w:pPr>
    </w:p>
    <w:p w14:paraId="0D0CE14E" w14:textId="77777777" w:rsidR="004412F1" w:rsidRDefault="005A12A3">
      <w:pPr>
        <w:numPr>
          <w:ilvl w:val="0"/>
          <w:numId w:val="216"/>
        </w:numPr>
        <w:jc w:val="both"/>
        <w:rPr>
          <w:lang w:val="es-PE"/>
        </w:rPr>
      </w:pPr>
      <w:r>
        <w:rPr>
          <w:lang w:val="es-PE"/>
        </w:rPr>
        <w:t xml:space="preserve">El PAMPI indicado en la Propuesta Económica del Adjudicatario se considerará equivalente a precios de la fecha de la firma del Contrato de Concesión. Este PAMPI es el importe máximo que el CONCESIONARIO tendrá derecho a recibir (sin tomar en cuenta los ajustes a los CAMPIs emitidos por cada Hito Funcional terminado y aprobado) por la ejecución de las intervenciones pagadas con PAMPI, por lo que cualquier gasto adicional durante la ejecución de las intervenciones será asumido por el CONCESIONARIO, sin derecho a reconocimiento o rembolso alguno.  </w:t>
      </w:r>
    </w:p>
    <w:p w14:paraId="422C1BB7" w14:textId="77777777" w:rsidR="004412F1" w:rsidRDefault="004412F1">
      <w:pPr>
        <w:ind w:left="426"/>
        <w:jc w:val="both"/>
        <w:rPr>
          <w:lang w:val="es-PE"/>
        </w:rPr>
      </w:pPr>
    </w:p>
    <w:p w14:paraId="31302608" w14:textId="77777777" w:rsidR="004412F1" w:rsidRDefault="005A12A3">
      <w:pPr>
        <w:numPr>
          <w:ilvl w:val="0"/>
          <w:numId w:val="216"/>
        </w:numPr>
        <w:jc w:val="both"/>
        <w:rPr>
          <w:lang w:val="es-PE"/>
        </w:rPr>
      </w:pPr>
      <w:r>
        <w:rPr>
          <w:lang w:val="es-PE"/>
        </w:rPr>
        <w:t xml:space="preserve">El CONCESIONARIO adquiere el derecho de cobro de los FPAMPI como consecuencia de la obtención de cada CAMPI, según lo establecido en el Apéndice 5.1 del presente Anexo. Este derecho de cobro es libremente transferible, y su transferencia o cesión no requiere autorización del CONCEDENTE. Asimismo, el CONCESIONARIO podrá otorgar o constituir garantías sobre dichos derechos de cobro, sin autorización previa del CONCEDENTE. </w:t>
      </w:r>
    </w:p>
    <w:p w14:paraId="1F2FBFA0" w14:textId="77777777" w:rsidR="004412F1" w:rsidRDefault="004412F1">
      <w:pPr>
        <w:ind w:left="426"/>
        <w:jc w:val="both"/>
        <w:rPr>
          <w:lang w:val="es-PE"/>
        </w:rPr>
      </w:pPr>
    </w:p>
    <w:p w14:paraId="05D711E1" w14:textId="77777777" w:rsidR="004412F1" w:rsidRDefault="005A12A3" w:rsidP="0001465B">
      <w:pPr>
        <w:numPr>
          <w:ilvl w:val="0"/>
          <w:numId w:val="216"/>
        </w:numPr>
        <w:jc w:val="both"/>
        <w:rPr>
          <w:lang w:val="es-PE"/>
        </w:rPr>
      </w:pPr>
      <w:r>
        <w:rPr>
          <w:lang w:val="es-PE"/>
        </w:rPr>
        <w:t xml:space="preserve">El inicio de los pagos trimestrales del PAMPI (Fecha de Inicio - PAMPI) se llevará a cabo en el mes cuarenta (40), contado desde la obtención de la conformidad del Cierre Financiero correspondiente. El pago de los FPAMPI y del monto que como IGV deba adicionarse, se realizará de forma trimestral vencida, durante sesenta (60) Trimestres Calendario consecutivos. La fecha de pago de cada FPAMPI será el último día hábil del Trimestre Calendario en curso.  </w:t>
      </w:r>
    </w:p>
    <w:p w14:paraId="26D5936C" w14:textId="77777777" w:rsidR="004412F1" w:rsidRDefault="004412F1">
      <w:pPr>
        <w:ind w:left="426"/>
        <w:jc w:val="both"/>
        <w:rPr>
          <w:lang w:val="es-PE"/>
        </w:rPr>
      </w:pPr>
    </w:p>
    <w:p w14:paraId="6A854FED" w14:textId="77777777" w:rsidR="004412F1" w:rsidRDefault="005A12A3">
      <w:pPr>
        <w:numPr>
          <w:ilvl w:val="0"/>
          <w:numId w:val="216"/>
        </w:numPr>
        <w:jc w:val="both"/>
        <w:rPr>
          <w:lang w:val="es-PE"/>
        </w:rPr>
      </w:pPr>
      <w:r>
        <w:rPr>
          <w:lang w:val="es-PE"/>
        </w:rPr>
        <w:t>Para el presente Apéndice, entiéndase Trimestre Calendario al periodo de tres (3) meses en los que se divide un Año Calendario, siendo los periodos:</w:t>
      </w:r>
    </w:p>
    <w:p w14:paraId="1758320F" w14:textId="77777777" w:rsidR="004412F1" w:rsidRDefault="004412F1">
      <w:pPr>
        <w:ind w:left="360"/>
        <w:jc w:val="both"/>
        <w:rPr>
          <w:lang w:val="es-PE"/>
        </w:rPr>
      </w:pPr>
    </w:p>
    <w:p w14:paraId="2D851FB3" w14:textId="77777777" w:rsidR="004412F1" w:rsidRDefault="005A12A3">
      <w:pPr>
        <w:pStyle w:val="Prrafodelista"/>
        <w:numPr>
          <w:ilvl w:val="0"/>
          <w:numId w:val="217"/>
        </w:numPr>
        <w:jc w:val="both"/>
        <w:rPr>
          <w:lang w:val="es-PE"/>
        </w:rPr>
      </w:pPr>
      <w:r>
        <w:rPr>
          <w:lang w:val="es-PE"/>
        </w:rPr>
        <w:t xml:space="preserve">Del 1 de enero hasta el 31 de marzo. </w:t>
      </w:r>
    </w:p>
    <w:p w14:paraId="671DDCFB" w14:textId="77777777" w:rsidR="004412F1" w:rsidRDefault="005A12A3">
      <w:pPr>
        <w:pStyle w:val="Prrafodelista"/>
        <w:numPr>
          <w:ilvl w:val="0"/>
          <w:numId w:val="217"/>
        </w:numPr>
        <w:jc w:val="both"/>
        <w:rPr>
          <w:lang w:val="es-PE"/>
        </w:rPr>
      </w:pPr>
      <w:r>
        <w:rPr>
          <w:lang w:val="es-PE"/>
        </w:rPr>
        <w:t xml:space="preserve">Del 1 de abril hasta el 30 de junio. </w:t>
      </w:r>
    </w:p>
    <w:p w14:paraId="7FB389E8" w14:textId="77777777" w:rsidR="004412F1" w:rsidRDefault="005A12A3">
      <w:pPr>
        <w:pStyle w:val="Prrafodelista"/>
        <w:numPr>
          <w:ilvl w:val="0"/>
          <w:numId w:val="217"/>
        </w:numPr>
        <w:jc w:val="both"/>
        <w:rPr>
          <w:lang w:val="es-PE"/>
        </w:rPr>
      </w:pPr>
      <w:r>
        <w:rPr>
          <w:lang w:val="es-PE"/>
        </w:rPr>
        <w:t xml:space="preserve">Del 1 de julio hasta el 30 de </w:t>
      </w:r>
      <w:proofErr w:type="gramStart"/>
      <w:r>
        <w:rPr>
          <w:lang w:val="es-PE"/>
        </w:rPr>
        <w:t>Septiembre</w:t>
      </w:r>
      <w:proofErr w:type="gramEnd"/>
      <w:r>
        <w:rPr>
          <w:lang w:val="es-PE"/>
        </w:rPr>
        <w:t xml:space="preserve">. </w:t>
      </w:r>
    </w:p>
    <w:p w14:paraId="25BE8BBC" w14:textId="77777777" w:rsidR="004412F1" w:rsidRDefault="005A12A3">
      <w:pPr>
        <w:pStyle w:val="Prrafodelista"/>
        <w:numPr>
          <w:ilvl w:val="0"/>
          <w:numId w:val="217"/>
        </w:numPr>
        <w:jc w:val="both"/>
        <w:rPr>
          <w:lang w:val="es-PE"/>
        </w:rPr>
      </w:pPr>
      <w:r>
        <w:rPr>
          <w:lang w:val="es-PE"/>
        </w:rPr>
        <w:t xml:space="preserve">Del 1 de </w:t>
      </w:r>
      <w:proofErr w:type="gramStart"/>
      <w:r>
        <w:rPr>
          <w:lang w:val="es-PE"/>
        </w:rPr>
        <w:t>Octubre</w:t>
      </w:r>
      <w:proofErr w:type="gramEnd"/>
      <w:r>
        <w:rPr>
          <w:lang w:val="es-PE"/>
        </w:rPr>
        <w:t xml:space="preserve"> hasta el 31 de diciembre </w:t>
      </w:r>
    </w:p>
    <w:p w14:paraId="1A0367EB" w14:textId="77777777" w:rsidR="004412F1" w:rsidRDefault="004412F1">
      <w:pPr>
        <w:ind w:left="426"/>
        <w:jc w:val="both"/>
        <w:rPr>
          <w:lang w:val="es-PE"/>
        </w:rPr>
      </w:pPr>
    </w:p>
    <w:p w14:paraId="0FB653D4" w14:textId="77777777" w:rsidR="004412F1" w:rsidRDefault="005A12A3">
      <w:pPr>
        <w:numPr>
          <w:ilvl w:val="0"/>
          <w:numId w:val="216"/>
        </w:numPr>
        <w:jc w:val="both"/>
        <w:rPr>
          <w:lang w:val="es-PE"/>
        </w:rPr>
      </w:pPr>
      <w:r>
        <w:rPr>
          <w:lang w:val="es-PE"/>
        </w:rPr>
        <w:t>Si el mes cuarenta (40), contado desde la obtención de la conformidad del Cierre Financiero correspondiente, coincide en un mes distinto a marzo, junio, septiembre y diciembre, entonces el primer pago deberá realizarse al término del Trimestre Calendario en curso en el que se encuentra el referido mes cuarenta (40).</w:t>
      </w:r>
    </w:p>
    <w:p w14:paraId="60BA9AFE" w14:textId="77777777" w:rsidR="004412F1" w:rsidRDefault="004412F1">
      <w:pPr>
        <w:jc w:val="both"/>
        <w:rPr>
          <w:lang w:val="es-PE"/>
        </w:rPr>
      </w:pPr>
    </w:p>
    <w:p w14:paraId="71D8FE34" w14:textId="77777777" w:rsidR="004412F1" w:rsidRDefault="005A12A3">
      <w:pPr>
        <w:numPr>
          <w:ilvl w:val="0"/>
          <w:numId w:val="216"/>
        </w:numPr>
        <w:jc w:val="both"/>
        <w:rPr>
          <w:lang w:val="es-PE"/>
        </w:rPr>
      </w:pPr>
      <w:r>
        <w:rPr>
          <w:lang w:val="es-PE"/>
        </w:rPr>
        <w:t xml:space="preserve">En caso se emita un CAMPI en una fecha posterior a la fecha de inicio del pago de los FPAMPI correspondientes, el primer pago de estos se efectuará de forma trimestral a partir del último Día Hábil del Trimestre Calendario inmediatamente posterior a la fecha de emisión de dicho CAMPI y según lo establecido en el presente Apéndice. </w:t>
      </w:r>
    </w:p>
    <w:p w14:paraId="2C9CFB5E" w14:textId="77777777" w:rsidR="004412F1" w:rsidRDefault="004412F1">
      <w:pPr>
        <w:ind w:left="426"/>
        <w:jc w:val="both"/>
        <w:rPr>
          <w:lang w:val="es-PE"/>
        </w:rPr>
      </w:pPr>
    </w:p>
    <w:p w14:paraId="1D63FCF9" w14:textId="77777777" w:rsidR="004412F1" w:rsidRDefault="005A12A3">
      <w:pPr>
        <w:numPr>
          <w:ilvl w:val="0"/>
          <w:numId w:val="216"/>
        </w:numPr>
        <w:jc w:val="both"/>
        <w:rPr>
          <w:lang w:val="es-PE"/>
        </w:rPr>
      </w:pPr>
      <w:r>
        <w:rPr>
          <w:lang w:val="es-PE"/>
        </w:rPr>
        <w:t xml:space="preserve">Sin perjuicio de cualquier otra disposición contenida en el Contrato, el CONCEDENTE declara que una vez emitido el CAMPI, los pagos correspondientes serán efectuados de manera ininterrumpida. </w:t>
      </w:r>
    </w:p>
    <w:p w14:paraId="1FEC9C4C" w14:textId="77777777" w:rsidR="004412F1" w:rsidRDefault="004412F1">
      <w:pPr>
        <w:ind w:left="426"/>
        <w:jc w:val="both"/>
        <w:rPr>
          <w:lang w:val="es-PE"/>
        </w:rPr>
      </w:pPr>
    </w:p>
    <w:p w14:paraId="5334E028" w14:textId="77777777" w:rsidR="004412F1" w:rsidRDefault="005A12A3">
      <w:pPr>
        <w:numPr>
          <w:ilvl w:val="0"/>
          <w:numId w:val="216"/>
        </w:numPr>
        <w:jc w:val="both"/>
        <w:rPr>
          <w:lang w:val="es-PE"/>
        </w:rPr>
      </w:pPr>
      <w:r>
        <w:rPr>
          <w:lang w:val="es-PE"/>
        </w:rPr>
        <w:t xml:space="preserve">El procedimiento para el reconocimiento de los FPAMPI se realizará en función a lo establecido en el Apéndice 5.1 del presente Anexo y se tendrá en consideración lo siguiente:  </w:t>
      </w:r>
    </w:p>
    <w:p w14:paraId="2E88427D" w14:textId="77777777" w:rsidR="004412F1" w:rsidRDefault="004412F1">
      <w:pPr>
        <w:pStyle w:val="Prrafodelista"/>
        <w:rPr>
          <w:lang w:val="es-PE"/>
        </w:rPr>
      </w:pPr>
    </w:p>
    <w:p w14:paraId="3C6B74BA" w14:textId="77777777" w:rsidR="004412F1" w:rsidRDefault="004412F1">
      <w:pPr>
        <w:ind w:left="426"/>
        <w:jc w:val="both"/>
        <w:rPr>
          <w:lang w:val="es-PE"/>
        </w:rPr>
      </w:pPr>
    </w:p>
    <w:p w14:paraId="0169C9B5" w14:textId="77777777" w:rsidR="004412F1" w:rsidRDefault="005A12A3">
      <w:pPr>
        <w:pStyle w:val="Prrafodelista"/>
        <w:numPr>
          <w:ilvl w:val="0"/>
          <w:numId w:val="218"/>
        </w:numPr>
        <w:jc w:val="both"/>
        <w:rPr>
          <w:lang w:val="es-PE"/>
        </w:rPr>
      </w:pPr>
      <w:r>
        <w:rPr>
          <w:lang w:val="es-PE"/>
        </w:rPr>
        <w:t xml:space="preserve">El PAMPI correspondiente indicado en la Propuesta Económica del Adjudicatario, que formará parte integrante del presente Contrato y que el CONCEDENTE pagará al CONCESIONARIO, será ajustado única y exclusivamente según lo establecido en el Apéndice 5.1 del presente Anexo. </w:t>
      </w:r>
    </w:p>
    <w:p w14:paraId="526BD8D4" w14:textId="77777777" w:rsidR="004412F1" w:rsidRDefault="004412F1">
      <w:pPr>
        <w:ind w:left="426"/>
        <w:jc w:val="both"/>
        <w:rPr>
          <w:lang w:val="es-PE"/>
        </w:rPr>
      </w:pPr>
    </w:p>
    <w:p w14:paraId="0E6A2013" w14:textId="77777777" w:rsidR="004412F1" w:rsidRDefault="005A12A3">
      <w:pPr>
        <w:pStyle w:val="Prrafodelista"/>
        <w:numPr>
          <w:ilvl w:val="0"/>
          <w:numId w:val="218"/>
        </w:numPr>
        <w:jc w:val="both"/>
        <w:rPr>
          <w:lang w:val="es-PE"/>
        </w:rPr>
      </w:pPr>
      <w:r>
        <w:rPr>
          <w:lang w:val="es-PE"/>
        </w:rPr>
        <w:t xml:space="preserve">El PAMPI se pagará en </w:t>
      </w:r>
      <w:proofErr w:type="gramStart"/>
      <w:r>
        <w:rPr>
          <w:lang w:val="es-PE"/>
        </w:rPr>
        <w:t>Dólares</w:t>
      </w:r>
      <w:proofErr w:type="gramEnd"/>
      <w:r>
        <w:rPr>
          <w:lang w:val="es-PE"/>
        </w:rPr>
        <w:t xml:space="preserve">, en sesenta (60) cuotas trimestrales a partir de la Fecha de Inicio de Pago de PAMPI, de acuerdo con los términos y condiciones establecidos en el Contrato de Concesión. Cada pago trimestral ascenderá al veinticinco (25%) del monto anual de los FPAMPI correspondientes a los CAMPI emitidos, conforme al Apéndice 5.1 del presente Anexo. </w:t>
      </w:r>
    </w:p>
    <w:p w14:paraId="185D3CCA" w14:textId="77777777" w:rsidR="004412F1" w:rsidRDefault="004412F1">
      <w:pPr>
        <w:ind w:left="426"/>
        <w:jc w:val="both"/>
        <w:rPr>
          <w:lang w:val="es-PE"/>
        </w:rPr>
      </w:pPr>
    </w:p>
    <w:p w14:paraId="4BF1DA96" w14:textId="77777777" w:rsidR="004412F1" w:rsidRDefault="005A12A3">
      <w:pPr>
        <w:pStyle w:val="Prrafodelista"/>
        <w:numPr>
          <w:ilvl w:val="0"/>
          <w:numId w:val="218"/>
        </w:numPr>
        <w:jc w:val="both"/>
        <w:rPr>
          <w:lang w:val="es-PE"/>
        </w:rPr>
      </w:pPr>
      <w:r>
        <w:rPr>
          <w:lang w:val="es-PE"/>
        </w:rPr>
        <w:t xml:space="preserve">La suspensión de obligaciones o de la Concesión, así como la terminación del Contrato, por las causas establecidos en el Contrato de Concesión o por cualquier otra causa no limitará o afectará bajo concepto alguno la obligación incondicional e irrevocable del CONCEDENTE al pago al CONCESIONARIO de los FPAMPI generados por los CAMPI emitidos. Por ello, se mantendrán vigentes durante el plazo que fuere necesario, tanto el Fideicomiso de Administración como las disposiciones del Contrato y de sus Anexos, que resulten aplicables a efectos de garantizar dicho pago. </w:t>
      </w:r>
    </w:p>
    <w:p w14:paraId="185B9818" w14:textId="77777777" w:rsidR="004412F1" w:rsidRDefault="004412F1">
      <w:pPr>
        <w:ind w:left="426" w:firstLine="60"/>
        <w:jc w:val="both"/>
        <w:rPr>
          <w:lang w:val="es-PE"/>
        </w:rPr>
      </w:pPr>
    </w:p>
    <w:p w14:paraId="0CE67DE7" w14:textId="77777777" w:rsidR="004412F1" w:rsidRDefault="005A12A3">
      <w:pPr>
        <w:pStyle w:val="Prrafodelista"/>
        <w:numPr>
          <w:ilvl w:val="0"/>
          <w:numId w:val="218"/>
        </w:numPr>
        <w:jc w:val="both"/>
        <w:rPr>
          <w:lang w:val="es-PE"/>
        </w:rPr>
      </w:pPr>
      <w:r>
        <w:rPr>
          <w:lang w:val="es-PE"/>
        </w:rPr>
        <w:t xml:space="preserve">El derecho de cobro de cada FPAMPI no estará condicionado a la ejecución o conformidad de las obras realizadas posteriormente a la emisión del certificado que originó el FPAMPI. Asimismo, el CONCEDENTE no podrá oponer excepciones, compensaciones, obligaciones, reconvenciones, excepción de incumplimiento o cualquier otra defensa o derecho, derivada o no del Contrato, que tienda o tengan por objeto retrasar, retener, reducir o impedir los pagos de los FPAMPI. Igualmente, el CONCEDENTE no podrá tomar estos pagos como compensación por cualquier obligación que pueda tener el CONCESIONARIO. </w:t>
      </w:r>
    </w:p>
    <w:p w14:paraId="0178CEB4" w14:textId="77777777" w:rsidR="004412F1" w:rsidRDefault="004412F1">
      <w:pPr>
        <w:ind w:left="426"/>
        <w:jc w:val="both"/>
        <w:rPr>
          <w:lang w:val="es-PE"/>
        </w:rPr>
      </w:pPr>
    </w:p>
    <w:p w14:paraId="129E8352" w14:textId="77777777" w:rsidR="004412F1" w:rsidRDefault="005A12A3">
      <w:pPr>
        <w:pStyle w:val="Prrafodelista"/>
        <w:numPr>
          <w:ilvl w:val="0"/>
          <w:numId w:val="218"/>
        </w:numPr>
        <w:jc w:val="both"/>
        <w:rPr>
          <w:lang w:val="es-PE"/>
        </w:rPr>
      </w:pPr>
      <w:r>
        <w:rPr>
          <w:lang w:val="es-PE"/>
        </w:rPr>
        <w:t xml:space="preserve">Por la falta oportuna de pago de los FPAMPI, el CONCEDENTE, a través del Fideicomiso de Administración, pagará al CONCESIONARIO una tasa equivalente diaria de la Tasa Referencial más dos por ciento (2%) anual sobre el saldo no pagado desde el inicio del período de retraso hasta que finalice el mismo. Dichos intereses constituyen el único medio de resarcimiento por la demora, no reconociéndose ningún otro tipo de interés o pago adicional al CONCESIONARIO. </w:t>
      </w:r>
    </w:p>
    <w:p w14:paraId="66208F8B" w14:textId="77777777" w:rsidR="004412F1" w:rsidRDefault="004412F1">
      <w:pPr>
        <w:ind w:left="426"/>
        <w:jc w:val="both"/>
        <w:rPr>
          <w:lang w:val="es-PE"/>
        </w:rPr>
      </w:pPr>
    </w:p>
    <w:p w14:paraId="0A2FBA07" w14:textId="77777777" w:rsidR="004412F1" w:rsidRDefault="005A12A3">
      <w:pPr>
        <w:pStyle w:val="Prrafodelista"/>
        <w:numPr>
          <w:ilvl w:val="0"/>
          <w:numId w:val="218"/>
        </w:numPr>
        <w:jc w:val="both"/>
        <w:rPr>
          <w:lang w:val="es-PE"/>
        </w:rPr>
      </w:pPr>
      <w:r>
        <w:rPr>
          <w:lang w:val="es-PE"/>
        </w:rPr>
        <w:t xml:space="preserve">Los recursos necesarios para el pago de los FPAMPI estarán contemplados en el Presupuesto del sector público para el año fiscal correspondiente. Para ello el CONCEDENTE se compromete a programar cada año las partidas presupuestarias necesarias para el pago del monto anual de los FPAMPI, tomando en cuenta las disposiciones de las leyes anuales de presupuesto, así como del Decreto Legislativo No. 1440, Decreto Legislativo del Sistema Nacional de Presupuesto Público y/o sus normas modificatorias y/o sustitutorias. </w:t>
      </w:r>
    </w:p>
    <w:p w14:paraId="64005756" w14:textId="77777777" w:rsidR="004412F1" w:rsidRDefault="004412F1">
      <w:pPr>
        <w:ind w:left="426"/>
        <w:jc w:val="both"/>
        <w:rPr>
          <w:lang w:val="es-PE"/>
        </w:rPr>
      </w:pPr>
    </w:p>
    <w:p w14:paraId="7C23724E" w14:textId="77777777" w:rsidR="004412F1" w:rsidRDefault="005A12A3">
      <w:pPr>
        <w:pStyle w:val="Ttulo2"/>
        <w:ind w:left="0"/>
        <w:jc w:val="center"/>
        <w:rPr>
          <w:rFonts w:ascii="Arial" w:hAnsi="Arial" w:cs="Arial"/>
          <w:b/>
          <w:lang w:val="es-PE"/>
        </w:rPr>
      </w:pPr>
      <w:bookmarkStart w:id="2924" w:name="_Toc139294861"/>
      <w:bookmarkStart w:id="2925" w:name="_Toc140089489"/>
      <w:r>
        <w:rPr>
          <w:rFonts w:ascii="Arial" w:hAnsi="Arial" w:cs="Arial"/>
          <w:b/>
          <w:lang w:val="es-PE"/>
        </w:rPr>
        <w:t>APÉNDICE 5.1: MECANISMO DE CERTIFICACIÓN DE AVANCE DEL MANTENIMIENTO PERIÓDICO INICIAL – CAMPI</w:t>
      </w:r>
      <w:bookmarkEnd w:id="2924"/>
      <w:bookmarkEnd w:id="2925"/>
      <w:r>
        <w:rPr>
          <w:rFonts w:ascii="Arial" w:hAnsi="Arial" w:cs="Arial"/>
          <w:b/>
          <w:lang w:val="es-PE"/>
        </w:rPr>
        <w:t xml:space="preserve"> </w:t>
      </w:r>
    </w:p>
    <w:p w14:paraId="76E50209" w14:textId="77777777" w:rsidR="004412F1" w:rsidRDefault="004412F1">
      <w:pPr>
        <w:ind w:left="426"/>
        <w:jc w:val="both"/>
        <w:rPr>
          <w:lang w:val="es-PE"/>
        </w:rPr>
      </w:pPr>
    </w:p>
    <w:p w14:paraId="4A8BFC18" w14:textId="77777777" w:rsidR="004412F1" w:rsidRDefault="005A12A3">
      <w:pPr>
        <w:jc w:val="both"/>
        <w:rPr>
          <w:rFonts w:eastAsia="SimSun"/>
          <w:b/>
          <w:bCs/>
          <w:lang w:eastAsia="zh-CN"/>
        </w:rPr>
      </w:pPr>
      <w:r>
        <w:rPr>
          <w:b/>
        </w:rPr>
        <w:t>Generalidades</w:t>
      </w:r>
      <w:r>
        <w:rPr>
          <w:b/>
          <w:bCs/>
        </w:rPr>
        <w:t xml:space="preserve"> </w:t>
      </w:r>
    </w:p>
    <w:p w14:paraId="6DA94B00" w14:textId="77777777" w:rsidR="00FD023D" w:rsidRPr="00FD023D" w:rsidRDefault="00FD023D">
      <w:pPr>
        <w:jc w:val="both"/>
        <w:rPr>
          <w:rFonts w:eastAsia="SimSun"/>
          <w:b/>
          <w:bCs/>
          <w:lang w:eastAsia="zh-CN"/>
        </w:rPr>
      </w:pPr>
    </w:p>
    <w:p w14:paraId="7753030D" w14:textId="77777777" w:rsidR="004412F1" w:rsidRDefault="005A12A3">
      <w:pPr>
        <w:numPr>
          <w:ilvl w:val="0"/>
          <w:numId w:val="219"/>
        </w:numPr>
        <w:jc w:val="both"/>
        <w:rPr>
          <w:color w:val="000000"/>
          <w:lang w:val="es-PE"/>
        </w:rPr>
      </w:pPr>
      <w:r>
        <w:rPr>
          <w:color w:val="000000"/>
          <w:lang w:val="es-PE"/>
        </w:rPr>
        <w:t xml:space="preserve">“Hito Funcional” son Avances del Mantenimiento Periódico Inicial expresados en porcentajes que serán verificados por el REGULADOR en función de la ejecución del presupuesto contemplado en el Expediente Técnico (ET) aprobado por el CONCEDENTE utilizando los precios unitarios y metrados de dicho ET. </w:t>
      </w:r>
      <w:proofErr w:type="gramStart"/>
      <w:r>
        <w:rPr>
          <w:color w:val="000000"/>
          <w:lang w:val="es-PE"/>
        </w:rPr>
        <w:t>Los Hitos Funcionales a considerar</w:t>
      </w:r>
      <w:proofErr w:type="gramEnd"/>
      <w:r>
        <w:rPr>
          <w:color w:val="000000"/>
          <w:lang w:val="es-PE"/>
        </w:rPr>
        <w:t xml:space="preserve"> corresponderán a los subtramos que se detallan a continuación: </w:t>
      </w:r>
    </w:p>
    <w:p w14:paraId="46A8FDDD" w14:textId="77777777" w:rsidR="004412F1" w:rsidRDefault="004412F1">
      <w:pPr>
        <w:ind w:left="426"/>
        <w:jc w:val="both"/>
        <w:rPr>
          <w:lang w:val="es-PE"/>
        </w:rPr>
      </w:pPr>
    </w:p>
    <w:p w14:paraId="5C1FCFBD" w14:textId="77777777" w:rsidR="004412F1" w:rsidRDefault="005A12A3">
      <w:pPr>
        <w:ind w:left="426"/>
        <w:jc w:val="both"/>
        <w:rPr>
          <w:lang w:val="es-PE"/>
        </w:rPr>
      </w:pPr>
      <w:r>
        <w:rPr>
          <w:lang w:val="es-PE"/>
        </w:rPr>
        <w:t>Tabla N° []: Hitos Funcionales correspondientes a la intervención de Mantenimiento Periódico Inicial</w:t>
      </w:r>
    </w:p>
    <w:p w14:paraId="4B71784D" w14:textId="77777777" w:rsidR="004412F1" w:rsidRDefault="004412F1">
      <w:pPr>
        <w:ind w:left="426"/>
        <w:jc w:val="both"/>
        <w:rPr>
          <w:lang w:val="es-PE"/>
        </w:rPr>
      </w:pPr>
    </w:p>
    <w:tbl>
      <w:tblPr>
        <w:tblStyle w:val="Tablaconcuadrcula"/>
        <w:tblW w:w="102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0"/>
        <w:gridCol w:w="1701"/>
        <w:gridCol w:w="2552"/>
        <w:gridCol w:w="2409"/>
        <w:gridCol w:w="1701"/>
      </w:tblGrid>
      <w:tr w:rsidR="004412F1" w14:paraId="68D1CEDE" w14:textId="77777777">
        <w:trPr>
          <w:trHeight w:val="337"/>
          <w:jc w:val="center"/>
        </w:trPr>
        <w:tc>
          <w:tcPr>
            <w:tcW w:w="1840" w:type="dxa"/>
            <w:shd w:val="clear" w:color="auto" w:fill="auto"/>
            <w:tcMar>
              <w:top w:w="15" w:type="dxa"/>
              <w:left w:w="15" w:type="dxa"/>
              <w:right w:w="15" w:type="dxa"/>
            </w:tcMar>
            <w:vAlign w:val="center"/>
          </w:tcPr>
          <w:p w14:paraId="5B20F85D" w14:textId="77777777" w:rsidR="004412F1" w:rsidRPr="005331D2" w:rsidRDefault="005A12A3">
            <w:pPr>
              <w:jc w:val="center"/>
              <w:rPr>
                <w:b/>
                <w:sz w:val="20"/>
                <w:szCs w:val="20"/>
                <w:lang w:val="es-PE"/>
              </w:rPr>
            </w:pPr>
            <w:r w:rsidRPr="005331D2">
              <w:rPr>
                <w:b/>
                <w:sz w:val="20"/>
                <w:szCs w:val="20"/>
                <w:lang w:val="es-PE"/>
              </w:rPr>
              <w:t>Hito Funcional Nro</w:t>
            </w:r>
          </w:p>
        </w:tc>
        <w:tc>
          <w:tcPr>
            <w:tcW w:w="1701" w:type="dxa"/>
            <w:vAlign w:val="center"/>
          </w:tcPr>
          <w:p w14:paraId="1AE4F230" w14:textId="77777777" w:rsidR="004412F1" w:rsidRPr="005331D2" w:rsidRDefault="005A12A3">
            <w:pPr>
              <w:jc w:val="center"/>
              <w:rPr>
                <w:b/>
                <w:sz w:val="20"/>
                <w:szCs w:val="20"/>
                <w:lang w:val="es-PE"/>
              </w:rPr>
            </w:pPr>
            <w:r w:rsidRPr="005331D2">
              <w:rPr>
                <w:b/>
                <w:sz w:val="20"/>
                <w:szCs w:val="20"/>
                <w:lang w:val="es-PE"/>
              </w:rPr>
              <w:t>Subtramo Nro.</w:t>
            </w:r>
          </w:p>
        </w:tc>
        <w:tc>
          <w:tcPr>
            <w:tcW w:w="2552" w:type="dxa"/>
            <w:shd w:val="clear" w:color="auto" w:fill="auto"/>
            <w:tcMar>
              <w:top w:w="15" w:type="dxa"/>
              <w:left w:w="15" w:type="dxa"/>
              <w:right w:w="15" w:type="dxa"/>
            </w:tcMar>
            <w:vAlign w:val="center"/>
          </w:tcPr>
          <w:p w14:paraId="5C2BCC37" w14:textId="77777777" w:rsidR="004412F1" w:rsidRPr="005331D2" w:rsidRDefault="005A12A3">
            <w:pPr>
              <w:jc w:val="center"/>
              <w:rPr>
                <w:sz w:val="20"/>
                <w:szCs w:val="20"/>
                <w:lang w:val="es-PE"/>
              </w:rPr>
            </w:pPr>
            <w:r w:rsidRPr="005331D2">
              <w:rPr>
                <w:b/>
                <w:sz w:val="20"/>
                <w:szCs w:val="20"/>
                <w:lang w:val="es-PE"/>
              </w:rPr>
              <w:t>Inicio</w:t>
            </w:r>
          </w:p>
        </w:tc>
        <w:tc>
          <w:tcPr>
            <w:tcW w:w="2409" w:type="dxa"/>
            <w:shd w:val="clear" w:color="auto" w:fill="auto"/>
            <w:tcMar>
              <w:top w:w="15" w:type="dxa"/>
              <w:left w:w="15" w:type="dxa"/>
              <w:right w:w="15" w:type="dxa"/>
            </w:tcMar>
            <w:vAlign w:val="center"/>
          </w:tcPr>
          <w:p w14:paraId="17463D57" w14:textId="77777777" w:rsidR="004412F1" w:rsidRPr="005331D2" w:rsidRDefault="005A12A3">
            <w:pPr>
              <w:jc w:val="center"/>
              <w:rPr>
                <w:sz w:val="20"/>
                <w:szCs w:val="20"/>
                <w:lang w:val="es-PE"/>
              </w:rPr>
            </w:pPr>
            <w:r w:rsidRPr="005331D2">
              <w:rPr>
                <w:b/>
                <w:sz w:val="20"/>
                <w:szCs w:val="20"/>
                <w:lang w:val="es-PE"/>
              </w:rPr>
              <w:t>Fin</w:t>
            </w:r>
          </w:p>
        </w:tc>
        <w:tc>
          <w:tcPr>
            <w:tcW w:w="1701" w:type="dxa"/>
            <w:shd w:val="clear" w:color="auto" w:fill="auto"/>
            <w:tcMar>
              <w:top w:w="15" w:type="dxa"/>
              <w:left w:w="15" w:type="dxa"/>
              <w:right w:w="15" w:type="dxa"/>
            </w:tcMar>
            <w:vAlign w:val="center"/>
          </w:tcPr>
          <w:p w14:paraId="7CABE088" w14:textId="77777777" w:rsidR="004412F1" w:rsidRPr="005331D2" w:rsidRDefault="005A12A3">
            <w:pPr>
              <w:jc w:val="center"/>
              <w:rPr>
                <w:sz w:val="20"/>
                <w:szCs w:val="20"/>
                <w:lang w:val="es-PE"/>
              </w:rPr>
            </w:pPr>
            <w:r w:rsidRPr="005331D2">
              <w:rPr>
                <w:b/>
                <w:sz w:val="20"/>
                <w:szCs w:val="20"/>
                <w:lang w:val="es-PE"/>
              </w:rPr>
              <w:t>Long. Aprox. (km)</w:t>
            </w:r>
          </w:p>
        </w:tc>
      </w:tr>
      <w:tr w:rsidR="004412F1" w14:paraId="55028BD1" w14:textId="77777777">
        <w:trPr>
          <w:trHeight w:val="300"/>
          <w:jc w:val="center"/>
        </w:trPr>
        <w:tc>
          <w:tcPr>
            <w:tcW w:w="1840" w:type="dxa"/>
            <w:shd w:val="clear" w:color="auto" w:fill="auto"/>
            <w:tcMar>
              <w:top w:w="15" w:type="dxa"/>
              <w:left w:w="15" w:type="dxa"/>
              <w:right w:w="15" w:type="dxa"/>
            </w:tcMar>
            <w:vAlign w:val="center"/>
          </w:tcPr>
          <w:p w14:paraId="53FA1874" w14:textId="77777777" w:rsidR="004412F1" w:rsidRPr="005331D2" w:rsidRDefault="004412F1">
            <w:pPr>
              <w:jc w:val="center"/>
              <w:rPr>
                <w:sz w:val="20"/>
                <w:szCs w:val="20"/>
                <w:lang w:val="es-PE"/>
              </w:rPr>
            </w:pPr>
          </w:p>
        </w:tc>
        <w:tc>
          <w:tcPr>
            <w:tcW w:w="1701" w:type="dxa"/>
            <w:vAlign w:val="center"/>
          </w:tcPr>
          <w:p w14:paraId="3C88F302" w14:textId="77777777" w:rsidR="004412F1" w:rsidRPr="005331D2" w:rsidRDefault="005A12A3">
            <w:pPr>
              <w:jc w:val="center"/>
              <w:rPr>
                <w:sz w:val="20"/>
                <w:szCs w:val="20"/>
                <w:lang w:val="es-PE"/>
              </w:rPr>
            </w:pPr>
            <w:r w:rsidRPr="005331D2">
              <w:rPr>
                <w:sz w:val="20"/>
                <w:szCs w:val="20"/>
                <w:lang w:val="es-PE"/>
              </w:rPr>
              <w:t>S6</w:t>
            </w:r>
          </w:p>
        </w:tc>
        <w:tc>
          <w:tcPr>
            <w:tcW w:w="2552" w:type="dxa"/>
            <w:shd w:val="clear" w:color="auto" w:fill="auto"/>
            <w:tcMar>
              <w:top w:w="15" w:type="dxa"/>
              <w:left w:w="15" w:type="dxa"/>
              <w:right w:w="15" w:type="dxa"/>
            </w:tcMar>
            <w:vAlign w:val="center"/>
          </w:tcPr>
          <w:p w14:paraId="6CDF5789" w14:textId="77777777" w:rsidR="004412F1" w:rsidRPr="005331D2" w:rsidRDefault="005A12A3">
            <w:pPr>
              <w:rPr>
                <w:sz w:val="20"/>
                <w:szCs w:val="20"/>
                <w:lang w:val="es-PE"/>
              </w:rPr>
            </w:pPr>
            <w:r w:rsidRPr="005331D2">
              <w:rPr>
                <w:sz w:val="20"/>
                <w:szCs w:val="20"/>
                <w:lang w:val="es-PE"/>
              </w:rPr>
              <w:t>Mayocc</w:t>
            </w:r>
          </w:p>
        </w:tc>
        <w:tc>
          <w:tcPr>
            <w:tcW w:w="2409" w:type="dxa"/>
            <w:shd w:val="clear" w:color="auto" w:fill="auto"/>
            <w:tcMar>
              <w:top w:w="15" w:type="dxa"/>
              <w:left w:w="15" w:type="dxa"/>
              <w:right w:w="15" w:type="dxa"/>
            </w:tcMar>
            <w:vAlign w:val="center"/>
          </w:tcPr>
          <w:p w14:paraId="4F2E0B5E" w14:textId="77777777" w:rsidR="004412F1" w:rsidRPr="005331D2" w:rsidRDefault="005A12A3">
            <w:pPr>
              <w:rPr>
                <w:sz w:val="20"/>
                <w:szCs w:val="20"/>
                <w:lang w:val="es-PE"/>
              </w:rPr>
            </w:pPr>
            <w:r w:rsidRPr="005331D2">
              <w:rPr>
                <w:sz w:val="20"/>
                <w:szCs w:val="20"/>
                <w:lang w:val="es-PE"/>
              </w:rPr>
              <w:t>Huanta</w:t>
            </w:r>
          </w:p>
        </w:tc>
        <w:tc>
          <w:tcPr>
            <w:tcW w:w="1701" w:type="dxa"/>
            <w:shd w:val="clear" w:color="auto" w:fill="auto"/>
            <w:tcMar>
              <w:top w:w="15" w:type="dxa"/>
              <w:left w:w="15" w:type="dxa"/>
              <w:right w:w="15" w:type="dxa"/>
            </w:tcMar>
            <w:vAlign w:val="center"/>
          </w:tcPr>
          <w:p w14:paraId="347704DE" w14:textId="77777777" w:rsidR="004412F1" w:rsidRPr="005331D2" w:rsidRDefault="005A12A3">
            <w:pPr>
              <w:jc w:val="center"/>
              <w:rPr>
                <w:sz w:val="20"/>
                <w:szCs w:val="20"/>
                <w:lang w:val="es-PE"/>
              </w:rPr>
            </w:pPr>
            <w:r w:rsidRPr="005331D2">
              <w:rPr>
                <w:sz w:val="20"/>
                <w:szCs w:val="20"/>
                <w:lang w:val="es-PE"/>
              </w:rPr>
              <w:t>32.76</w:t>
            </w:r>
          </w:p>
        </w:tc>
      </w:tr>
      <w:tr w:rsidR="004412F1" w14:paraId="7CD8D872" w14:textId="77777777">
        <w:trPr>
          <w:trHeight w:val="300"/>
          <w:jc w:val="center"/>
        </w:trPr>
        <w:tc>
          <w:tcPr>
            <w:tcW w:w="1840" w:type="dxa"/>
            <w:shd w:val="clear" w:color="auto" w:fill="auto"/>
            <w:tcMar>
              <w:top w:w="15" w:type="dxa"/>
              <w:left w:w="15" w:type="dxa"/>
              <w:right w:w="15" w:type="dxa"/>
            </w:tcMar>
            <w:vAlign w:val="center"/>
          </w:tcPr>
          <w:p w14:paraId="5DBAC297" w14:textId="77777777" w:rsidR="004412F1" w:rsidRPr="005331D2" w:rsidRDefault="004412F1">
            <w:pPr>
              <w:jc w:val="center"/>
              <w:rPr>
                <w:sz w:val="20"/>
                <w:szCs w:val="20"/>
                <w:lang w:val="es-PE"/>
              </w:rPr>
            </w:pPr>
          </w:p>
        </w:tc>
        <w:tc>
          <w:tcPr>
            <w:tcW w:w="1701" w:type="dxa"/>
            <w:vAlign w:val="center"/>
          </w:tcPr>
          <w:p w14:paraId="60C809BF" w14:textId="77777777" w:rsidR="004412F1" w:rsidRPr="005331D2" w:rsidRDefault="005A12A3">
            <w:pPr>
              <w:jc w:val="center"/>
              <w:rPr>
                <w:sz w:val="20"/>
                <w:szCs w:val="20"/>
                <w:lang w:val="es-PE"/>
              </w:rPr>
            </w:pPr>
            <w:r w:rsidRPr="005331D2">
              <w:rPr>
                <w:sz w:val="20"/>
                <w:szCs w:val="20"/>
                <w:lang w:val="es-PE"/>
              </w:rPr>
              <w:t>S7</w:t>
            </w:r>
          </w:p>
        </w:tc>
        <w:tc>
          <w:tcPr>
            <w:tcW w:w="2552" w:type="dxa"/>
            <w:shd w:val="clear" w:color="auto" w:fill="auto"/>
            <w:tcMar>
              <w:top w:w="15" w:type="dxa"/>
              <w:left w:w="15" w:type="dxa"/>
              <w:right w:w="15" w:type="dxa"/>
            </w:tcMar>
            <w:vAlign w:val="center"/>
          </w:tcPr>
          <w:p w14:paraId="752ADDFE" w14:textId="77777777" w:rsidR="004412F1" w:rsidRPr="005331D2" w:rsidRDefault="005A12A3">
            <w:pPr>
              <w:rPr>
                <w:sz w:val="20"/>
                <w:szCs w:val="20"/>
                <w:lang w:val="es-PE"/>
              </w:rPr>
            </w:pPr>
            <w:r w:rsidRPr="005331D2">
              <w:rPr>
                <w:sz w:val="20"/>
                <w:szCs w:val="20"/>
                <w:lang w:val="es-PE"/>
              </w:rPr>
              <w:t xml:space="preserve">Huanta </w:t>
            </w:r>
          </w:p>
        </w:tc>
        <w:tc>
          <w:tcPr>
            <w:tcW w:w="2409" w:type="dxa"/>
            <w:shd w:val="clear" w:color="auto" w:fill="auto"/>
            <w:tcMar>
              <w:top w:w="15" w:type="dxa"/>
              <w:left w:w="15" w:type="dxa"/>
              <w:right w:w="15" w:type="dxa"/>
            </w:tcMar>
            <w:vAlign w:val="center"/>
          </w:tcPr>
          <w:p w14:paraId="089351E9" w14:textId="77777777" w:rsidR="004412F1" w:rsidRPr="005331D2" w:rsidRDefault="005A12A3">
            <w:pPr>
              <w:rPr>
                <w:sz w:val="20"/>
                <w:szCs w:val="20"/>
                <w:lang w:val="es-PE"/>
              </w:rPr>
            </w:pPr>
            <w:r w:rsidRPr="005331D2">
              <w:rPr>
                <w:sz w:val="20"/>
                <w:szCs w:val="20"/>
                <w:lang w:val="es-PE"/>
              </w:rPr>
              <w:t>Ayacucho (Emp PE-28ª)</w:t>
            </w:r>
          </w:p>
        </w:tc>
        <w:tc>
          <w:tcPr>
            <w:tcW w:w="1701" w:type="dxa"/>
            <w:shd w:val="clear" w:color="auto" w:fill="auto"/>
            <w:tcMar>
              <w:top w:w="15" w:type="dxa"/>
              <w:left w:w="15" w:type="dxa"/>
              <w:right w:w="15" w:type="dxa"/>
            </w:tcMar>
            <w:vAlign w:val="center"/>
          </w:tcPr>
          <w:p w14:paraId="16BA1C35" w14:textId="77777777" w:rsidR="004412F1" w:rsidRPr="005331D2" w:rsidRDefault="005A12A3">
            <w:pPr>
              <w:jc w:val="center"/>
              <w:rPr>
                <w:sz w:val="20"/>
                <w:szCs w:val="20"/>
                <w:lang w:val="es-PE"/>
              </w:rPr>
            </w:pPr>
            <w:r w:rsidRPr="005331D2">
              <w:rPr>
                <w:sz w:val="20"/>
                <w:szCs w:val="20"/>
                <w:lang w:val="es-PE"/>
              </w:rPr>
              <w:t>42.25</w:t>
            </w:r>
          </w:p>
        </w:tc>
      </w:tr>
      <w:tr w:rsidR="004412F1" w14:paraId="07B881CA" w14:textId="77777777">
        <w:trPr>
          <w:trHeight w:val="300"/>
          <w:jc w:val="center"/>
        </w:trPr>
        <w:tc>
          <w:tcPr>
            <w:tcW w:w="1840" w:type="dxa"/>
            <w:shd w:val="clear" w:color="auto" w:fill="auto"/>
            <w:tcMar>
              <w:top w:w="15" w:type="dxa"/>
              <w:left w:w="15" w:type="dxa"/>
              <w:right w:w="15" w:type="dxa"/>
            </w:tcMar>
            <w:vAlign w:val="center"/>
          </w:tcPr>
          <w:p w14:paraId="25F47A49" w14:textId="77777777" w:rsidR="004412F1" w:rsidRPr="005331D2" w:rsidRDefault="004412F1">
            <w:pPr>
              <w:jc w:val="center"/>
              <w:rPr>
                <w:sz w:val="20"/>
                <w:szCs w:val="20"/>
                <w:lang w:val="es-PE"/>
              </w:rPr>
            </w:pPr>
          </w:p>
        </w:tc>
        <w:tc>
          <w:tcPr>
            <w:tcW w:w="1701" w:type="dxa"/>
            <w:vAlign w:val="center"/>
          </w:tcPr>
          <w:p w14:paraId="2F041983" w14:textId="77777777" w:rsidR="004412F1" w:rsidRPr="005331D2" w:rsidRDefault="005A12A3">
            <w:pPr>
              <w:jc w:val="center"/>
              <w:rPr>
                <w:sz w:val="20"/>
                <w:szCs w:val="20"/>
                <w:lang w:val="es-PE"/>
              </w:rPr>
            </w:pPr>
            <w:r w:rsidRPr="005331D2">
              <w:rPr>
                <w:sz w:val="20"/>
                <w:szCs w:val="20"/>
                <w:lang w:val="es-PE"/>
              </w:rPr>
              <w:t>S9</w:t>
            </w:r>
          </w:p>
        </w:tc>
        <w:tc>
          <w:tcPr>
            <w:tcW w:w="2552" w:type="dxa"/>
            <w:shd w:val="clear" w:color="auto" w:fill="auto"/>
            <w:tcMar>
              <w:top w:w="15" w:type="dxa"/>
              <w:left w:w="15" w:type="dxa"/>
              <w:right w:w="15" w:type="dxa"/>
            </w:tcMar>
            <w:vAlign w:val="center"/>
          </w:tcPr>
          <w:p w14:paraId="4B538C02" w14:textId="77777777" w:rsidR="004412F1" w:rsidRPr="005331D2" w:rsidRDefault="005A12A3">
            <w:pPr>
              <w:rPr>
                <w:sz w:val="20"/>
                <w:szCs w:val="20"/>
                <w:lang w:val="es-PE"/>
              </w:rPr>
            </w:pPr>
            <w:r w:rsidRPr="005331D2">
              <w:rPr>
                <w:sz w:val="20"/>
                <w:szCs w:val="20"/>
                <w:lang w:val="es-PE"/>
              </w:rPr>
              <w:t>Km. O+000 (Ayacucho)</w:t>
            </w:r>
          </w:p>
        </w:tc>
        <w:tc>
          <w:tcPr>
            <w:tcW w:w="2409" w:type="dxa"/>
            <w:shd w:val="clear" w:color="auto" w:fill="auto"/>
            <w:tcMar>
              <w:top w:w="15" w:type="dxa"/>
              <w:left w:w="15" w:type="dxa"/>
              <w:right w:w="15" w:type="dxa"/>
            </w:tcMar>
            <w:vAlign w:val="center"/>
          </w:tcPr>
          <w:p w14:paraId="5F2F0543" w14:textId="77777777" w:rsidR="004412F1" w:rsidRPr="005331D2" w:rsidRDefault="005A12A3">
            <w:pPr>
              <w:rPr>
                <w:sz w:val="20"/>
                <w:szCs w:val="20"/>
                <w:lang w:val="es-PE"/>
              </w:rPr>
            </w:pPr>
            <w:r w:rsidRPr="005331D2">
              <w:rPr>
                <w:sz w:val="20"/>
                <w:szCs w:val="20"/>
                <w:lang w:val="es-PE"/>
              </w:rPr>
              <w:t>Abra Tocto</w:t>
            </w:r>
          </w:p>
        </w:tc>
        <w:tc>
          <w:tcPr>
            <w:tcW w:w="1701" w:type="dxa"/>
            <w:shd w:val="clear" w:color="auto" w:fill="auto"/>
            <w:tcMar>
              <w:top w:w="15" w:type="dxa"/>
              <w:left w:w="15" w:type="dxa"/>
              <w:right w:w="15" w:type="dxa"/>
            </w:tcMar>
            <w:vAlign w:val="center"/>
          </w:tcPr>
          <w:p w14:paraId="29E9C1B2" w14:textId="77777777" w:rsidR="004412F1" w:rsidRPr="005331D2" w:rsidRDefault="005A12A3">
            <w:pPr>
              <w:jc w:val="center"/>
              <w:rPr>
                <w:sz w:val="20"/>
                <w:szCs w:val="20"/>
                <w:lang w:val="es-PE"/>
              </w:rPr>
            </w:pPr>
            <w:r w:rsidRPr="005331D2">
              <w:rPr>
                <w:sz w:val="20"/>
                <w:szCs w:val="20"/>
                <w:lang w:val="es-PE"/>
              </w:rPr>
              <w:t>50.00</w:t>
            </w:r>
          </w:p>
        </w:tc>
      </w:tr>
      <w:tr w:rsidR="004412F1" w14:paraId="553F0A56" w14:textId="77777777">
        <w:trPr>
          <w:trHeight w:val="300"/>
          <w:jc w:val="center"/>
        </w:trPr>
        <w:tc>
          <w:tcPr>
            <w:tcW w:w="1840" w:type="dxa"/>
            <w:shd w:val="clear" w:color="auto" w:fill="auto"/>
            <w:tcMar>
              <w:top w:w="15" w:type="dxa"/>
              <w:left w:w="15" w:type="dxa"/>
              <w:right w:w="15" w:type="dxa"/>
            </w:tcMar>
            <w:vAlign w:val="center"/>
          </w:tcPr>
          <w:p w14:paraId="4C57D7BB" w14:textId="77777777" w:rsidR="004412F1" w:rsidRPr="005331D2" w:rsidRDefault="004412F1">
            <w:pPr>
              <w:jc w:val="center"/>
              <w:rPr>
                <w:sz w:val="20"/>
                <w:szCs w:val="20"/>
                <w:lang w:val="es-PE"/>
              </w:rPr>
            </w:pPr>
          </w:p>
        </w:tc>
        <w:tc>
          <w:tcPr>
            <w:tcW w:w="1701" w:type="dxa"/>
            <w:vAlign w:val="center"/>
          </w:tcPr>
          <w:p w14:paraId="60FC075C" w14:textId="77777777" w:rsidR="004412F1" w:rsidRPr="005331D2" w:rsidRDefault="005A12A3">
            <w:pPr>
              <w:jc w:val="center"/>
              <w:rPr>
                <w:sz w:val="20"/>
                <w:szCs w:val="20"/>
                <w:lang w:val="es-PE"/>
              </w:rPr>
            </w:pPr>
            <w:r w:rsidRPr="005331D2">
              <w:rPr>
                <w:sz w:val="20"/>
                <w:szCs w:val="20"/>
                <w:lang w:val="es-PE"/>
              </w:rPr>
              <w:t>S10</w:t>
            </w:r>
          </w:p>
        </w:tc>
        <w:tc>
          <w:tcPr>
            <w:tcW w:w="2552" w:type="dxa"/>
            <w:shd w:val="clear" w:color="auto" w:fill="auto"/>
            <w:tcMar>
              <w:top w:w="15" w:type="dxa"/>
              <w:left w:w="15" w:type="dxa"/>
              <w:right w:w="15" w:type="dxa"/>
            </w:tcMar>
            <w:vAlign w:val="center"/>
          </w:tcPr>
          <w:p w14:paraId="3FB339E0" w14:textId="77777777" w:rsidR="004412F1" w:rsidRPr="005331D2" w:rsidRDefault="005A12A3">
            <w:pPr>
              <w:rPr>
                <w:sz w:val="20"/>
                <w:szCs w:val="20"/>
                <w:lang w:val="es-PE"/>
              </w:rPr>
            </w:pPr>
            <w:r w:rsidRPr="005331D2">
              <w:rPr>
                <w:sz w:val="20"/>
                <w:szCs w:val="20"/>
                <w:lang w:val="es-PE"/>
              </w:rPr>
              <w:t>Abra Tocto</w:t>
            </w:r>
          </w:p>
        </w:tc>
        <w:tc>
          <w:tcPr>
            <w:tcW w:w="2409" w:type="dxa"/>
            <w:shd w:val="clear" w:color="auto" w:fill="auto"/>
            <w:tcMar>
              <w:top w:w="15" w:type="dxa"/>
              <w:left w:w="15" w:type="dxa"/>
              <w:right w:w="15" w:type="dxa"/>
            </w:tcMar>
            <w:vAlign w:val="center"/>
          </w:tcPr>
          <w:p w14:paraId="59C01DF7" w14:textId="77777777" w:rsidR="004412F1" w:rsidRPr="005331D2" w:rsidRDefault="005A12A3">
            <w:pPr>
              <w:rPr>
                <w:sz w:val="20"/>
                <w:szCs w:val="20"/>
                <w:lang w:val="es-PE"/>
              </w:rPr>
            </w:pPr>
            <w:r w:rsidRPr="005331D2">
              <w:rPr>
                <w:sz w:val="20"/>
                <w:szCs w:val="20"/>
                <w:lang w:val="es-PE"/>
              </w:rPr>
              <w:t>Ocros</w:t>
            </w:r>
          </w:p>
        </w:tc>
        <w:tc>
          <w:tcPr>
            <w:tcW w:w="1701" w:type="dxa"/>
            <w:shd w:val="clear" w:color="auto" w:fill="auto"/>
            <w:tcMar>
              <w:top w:w="15" w:type="dxa"/>
              <w:left w:w="15" w:type="dxa"/>
              <w:right w:w="15" w:type="dxa"/>
            </w:tcMar>
            <w:vAlign w:val="center"/>
          </w:tcPr>
          <w:p w14:paraId="3A4A7388" w14:textId="77777777" w:rsidR="004412F1" w:rsidRPr="005331D2" w:rsidRDefault="005A12A3">
            <w:pPr>
              <w:jc w:val="center"/>
              <w:rPr>
                <w:sz w:val="20"/>
                <w:szCs w:val="20"/>
                <w:lang w:val="es-PE"/>
              </w:rPr>
            </w:pPr>
            <w:r w:rsidRPr="005331D2">
              <w:rPr>
                <w:sz w:val="20"/>
                <w:szCs w:val="20"/>
                <w:lang w:val="es-PE"/>
              </w:rPr>
              <w:t>48.80</w:t>
            </w:r>
          </w:p>
        </w:tc>
      </w:tr>
      <w:tr w:rsidR="004412F1" w14:paraId="7F95D147" w14:textId="77777777">
        <w:trPr>
          <w:trHeight w:val="300"/>
          <w:jc w:val="center"/>
        </w:trPr>
        <w:tc>
          <w:tcPr>
            <w:tcW w:w="1840" w:type="dxa"/>
            <w:shd w:val="clear" w:color="auto" w:fill="auto"/>
            <w:tcMar>
              <w:top w:w="15" w:type="dxa"/>
              <w:left w:w="15" w:type="dxa"/>
              <w:right w:w="15" w:type="dxa"/>
            </w:tcMar>
            <w:vAlign w:val="center"/>
          </w:tcPr>
          <w:p w14:paraId="6E7C6E97" w14:textId="77777777" w:rsidR="004412F1" w:rsidRPr="005331D2" w:rsidRDefault="004412F1">
            <w:pPr>
              <w:jc w:val="center"/>
              <w:rPr>
                <w:sz w:val="20"/>
                <w:szCs w:val="20"/>
                <w:lang w:val="es-PE"/>
              </w:rPr>
            </w:pPr>
          </w:p>
        </w:tc>
        <w:tc>
          <w:tcPr>
            <w:tcW w:w="1701" w:type="dxa"/>
            <w:vAlign w:val="center"/>
          </w:tcPr>
          <w:p w14:paraId="36AB7F88" w14:textId="77777777" w:rsidR="004412F1" w:rsidRPr="005331D2" w:rsidRDefault="005A12A3">
            <w:pPr>
              <w:jc w:val="center"/>
              <w:rPr>
                <w:sz w:val="20"/>
                <w:szCs w:val="20"/>
                <w:lang w:val="es-PE"/>
              </w:rPr>
            </w:pPr>
            <w:r w:rsidRPr="005331D2">
              <w:rPr>
                <w:sz w:val="20"/>
                <w:szCs w:val="20"/>
                <w:lang w:val="es-PE"/>
              </w:rPr>
              <w:t>S11</w:t>
            </w:r>
          </w:p>
        </w:tc>
        <w:tc>
          <w:tcPr>
            <w:tcW w:w="2552" w:type="dxa"/>
            <w:shd w:val="clear" w:color="auto" w:fill="auto"/>
            <w:tcMar>
              <w:top w:w="15" w:type="dxa"/>
              <w:left w:w="15" w:type="dxa"/>
              <w:right w:w="15" w:type="dxa"/>
            </w:tcMar>
            <w:vAlign w:val="center"/>
          </w:tcPr>
          <w:p w14:paraId="6C4854CD" w14:textId="77777777" w:rsidR="004412F1" w:rsidRPr="005331D2" w:rsidRDefault="005A12A3">
            <w:pPr>
              <w:rPr>
                <w:sz w:val="20"/>
                <w:szCs w:val="20"/>
                <w:lang w:val="es-PE"/>
              </w:rPr>
            </w:pPr>
            <w:r w:rsidRPr="005331D2">
              <w:rPr>
                <w:sz w:val="20"/>
                <w:szCs w:val="20"/>
                <w:lang w:val="es-PE"/>
              </w:rPr>
              <w:t>Ocros</w:t>
            </w:r>
          </w:p>
        </w:tc>
        <w:tc>
          <w:tcPr>
            <w:tcW w:w="2409" w:type="dxa"/>
            <w:shd w:val="clear" w:color="auto" w:fill="auto"/>
            <w:tcMar>
              <w:top w:w="15" w:type="dxa"/>
              <w:left w:w="15" w:type="dxa"/>
              <w:right w:w="15" w:type="dxa"/>
            </w:tcMar>
            <w:vAlign w:val="center"/>
          </w:tcPr>
          <w:p w14:paraId="2DEA38DB" w14:textId="77777777" w:rsidR="004412F1" w:rsidRPr="005331D2" w:rsidRDefault="005A12A3">
            <w:pPr>
              <w:rPr>
                <w:sz w:val="20"/>
                <w:szCs w:val="20"/>
                <w:lang w:val="es-PE"/>
              </w:rPr>
            </w:pPr>
            <w:r w:rsidRPr="005331D2">
              <w:rPr>
                <w:sz w:val="20"/>
                <w:szCs w:val="20"/>
                <w:lang w:val="es-PE"/>
              </w:rPr>
              <w:t>Chincheros</w:t>
            </w:r>
          </w:p>
        </w:tc>
        <w:tc>
          <w:tcPr>
            <w:tcW w:w="1701" w:type="dxa"/>
            <w:shd w:val="clear" w:color="auto" w:fill="auto"/>
            <w:tcMar>
              <w:top w:w="15" w:type="dxa"/>
              <w:left w:w="15" w:type="dxa"/>
              <w:right w:w="15" w:type="dxa"/>
            </w:tcMar>
            <w:vAlign w:val="center"/>
          </w:tcPr>
          <w:p w14:paraId="0D93F11E" w14:textId="77777777" w:rsidR="004412F1" w:rsidRPr="005331D2" w:rsidRDefault="005A12A3">
            <w:pPr>
              <w:jc w:val="center"/>
              <w:rPr>
                <w:sz w:val="20"/>
                <w:szCs w:val="20"/>
                <w:lang w:val="es-PE"/>
              </w:rPr>
            </w:pPr>
            <w:r w:rsidRPr="005331D2">
              <w:rPr>
                <w:sz w:val="20"/>
                <w:szCs w:val="20"/>
                <w:lang w:val="es-PE"/>
              </w:rPr>
              <w:t>55.20</w:t>
            </w:r>
          </w:p>
        </w:tc>
      </w:tr>
      <w:tr w:rsidR="004412F1" w14:paraId="28D0F4E8" w14:textId="77777777">
        <w:trPr>
          <w:trHeight w:val="300"/>
          <w:jc w:val="center"/>
        </w:trPr>
        <w:tc>
          <w:tcPr>
            <w:tcW w:w="1840" w:type="dxa"/>
            <w:shd w:val="clear" w:color="auto" w:fill="auto"/>
            <w:tcMar>
              <w:top w:w="15" w:type="dxa"/>
              <w:left w:w="15" w:type="dxa"/>
              <w:right w:w="15" w:type="dxa"/>
            </w:tcMar>
          </w:tcPr>
          <w:p w14:paraId="318A98A4" w14:textId="77777777" w:rsidR="004412F1" w:rsidRPr="005331D2" w:rsidRDefault="004412F1">
            <w:pPr>
              <w:jc w:val="center"/>
              <w:rPr>
                <w:sz w:val="20"/>
                <w:szCs w:val="20"/>
                <w:lang w:val="es-PE"/>
              </w:rPr>
            </w:pPr>
          </w:p>
        </w:tc>
        <w:tc>
          <w:tcPr>
            <w:tcW w:w="1701" w:type="dxa"/>
            <w:vAlign w:val="center"/>
          </w:tcPr>
          <w:p w14:paraId="2D0E8B32" w14:textId="77777777" w:rsidR="004412F1" w:rsidRPr="005331D2" w:rsidRDefault="005A12A3">
            <w:pPr>
              <w:jc w:val="center"/>
              <w:rPr>
                <w:sz w:val="20"/>
                <w:szCs w:val="20"/>
                <w:lang w:val="es-PE"/>
              </w:rPr>
            </w:pPr>
            <w:r w:rsidRPr="005331D2">
              <w:rPr>
                <w:sz w:val="20"/>
                <w:szCs w:val="20"/>
                <w:lang w:val="es-PE"/>
              </w:rPr>
              <w:t>S12</w:t>
            </w:r>
          </w:p>
        </w:tc>
        <w:tc>
          <w:tcPr>
            <w:tcW w:w="2552" w:type="dxa"/>
            <w:shd w:val="clear" w:color="auto" w:fill="auto"/>
            <w:tcMar>
              <w:top w:w="15" w:type="dxa"/>
              <w:left w:w="15" w:type="dxa"/>
              <w:right w:w="15" w:type="dxa"/>
            </w:tcMar>
            <w:vAlign w:val="center"/>
          </w:tcPr>
          <w:p w14:paraId="21FEB8CF" w14:textId="77777777" w:rsidR="004412F1" w:rsidRPr="005331D2" w:rsidRDefault="005A12A3">
            <w:pPr>
              <w:rPr>
                <w:sz w:val="20"/>
                <w:szCs w:val="20"/>
                <w:lang w:val="es-PE"/>
              </w:rPr>
            </w:pPr>
            <w:r w:rsidRPr="005331D2">
              <w:rPr>
                <w:sz w:val="20"/>
                <w:szCs w:val="20"/>
                <w:lang w:val="es-PE"/>
              </w:rPr>
              <w:t>Chincheros</w:t>
            </w:r>
          </w:p>
        </w:tc>
        <w:tc>
          <w:tcPr>
            <w:tcW w:w="2409" w:type="dxa"/>
            <w:shd w:val="clear" w:color="auto" w:fill="auto"/>
            <w:tcMar>
              <w:top w:w="15" w:type="dxa"/>
              <w:left w:w="15" w:type="dxa"/>
              <w:right w:w="15" w:type="dxa"/>
            </w:tcMar>
            <w:vAlign w:val="center"/>
          </w:tcPr>
          <w:p w14:paraId="4404A727" w14:textId="77777777" w:rsidR="004412F1" w:rsidRPr="005331D2" w:rsidRDefault="005A12A3">
            <w:pPr>
              <w:rPr>
                <w:sz w:val="20"/>
                <w:szCs w:val="20"/>
                <w:lang w:val="es-PE"/>
              </w:rPr>
            </w:pPr>
            <w:r w:rsidRPr="005331D2">
              <w:rPr>
                <w:sz w:val="20"/>
                <w:szCs w:val="20"/>
                <w:lang w:val="es-PE"/>
              </w:rPr>
              <w:t>Santa María de Chicmo</w:t>
            </w:r>
          </w:p>
        </w:tc>
        <w:tc>
          <w:tcPr>
            <w:tcW w:w="1701" w:type="dxa"/>
            <w:shd w:val="clear" w:color="auto" w:fill="auto"/>
            <w:tcMar>
              <w:top w:w="15" w:type="dxa"/>
              <w:left w:w="15" w:type="dxa"/>
              <w:right w:w="15" w:type="dxa"/>
            </w:tcMar>
            <w:vAlign w:val="center"/>
          </w:tcPr>
          <w:p w14:paraId="018D67BA" w14:textId="77777777" w:rsidR="004412F1" w:rsidRPr="005331D2" w:rsidRDefault="005A12A3">
            <w:pPr>
              <w:jc w:val="center"/>
              <w:rPr>
                <w:sz w:val="20"/>
                <w:szCs w:val="20"/>
                <w:lang w:val="es-PE"/>
              </w:rPr>
            </w:pPr>
            <w:r w:rsidRPr="005331D2">
              <w:rPr>
                <w:sz w:val="20"/>
                <w:szCs w:val="20"/>
                <w:lang w:val="es-PE"/>
              </w:rPr>
              <w:t>66.02</w:t>
            </w:r>
          </w:p>
        </w:tc>
      </w:tr>
      <w:tr w:rsidR="004412F1" w14:paraId="1961A005" w14:textId="77777777">
        <w:trPr>
          <w:trHeight w:val="300"/>
          <w:jc w:val="center"/>
        </w:trPr>
        <w:tc>
          <w:tcPr>
            <w:tcW w:w="1840" w:type="dxa"/>
            <w:shd w:val="clear" w:color="auto" w:fill="auto"/>
            <w:tcMar>
              <w:top w:w="15" w:type="dxa"/>
              <w:left w:w="15" w:type="dxa"/>
              <w:right w:w="15" w:type="dxa"/>
            </w:tcMar>
          </w:tcPr>
          <w:p w14:paraId="735033CF" w14:textId="77777777" w:rsidR="004412F1" w:rsidRPr="005331D2" w:rsidRDefault="004412F1">
            <w:pPr>
              <w:jc w:val="center"/>
              <w:rPr>
                <w:sz w:val="20"/>
                <w:szCs w:val="20"/>
                <w:lang w:val="es-PE"/>
              </w:rPr>
            </w:pPr>
          </w:p>
        </w:tc>
        <w:tc>
          <w:tcPr>
            <w:tcW w:w="1701" w:type="dxa"/>
            <w:vAlign w:val="center"/>
          </w:tcPr>
          <w:p w14:paraId="66E07522" w14:textId="77777777" w:rsidR="004412F1" w:rsidRPr="005331D2" w:rsidRDefault="005A12A3">
            <w:pPr>
              <w:jc w:val="center"/>
              <w:rPr>
                <w:sz w:val="20"/>
                <w:szCs w:val="20"/>
                <w:lang w:val="es-PE"/>
              </w:rPr>
            </w:pPr>
            <w:r w:rsidRPr="005331D2">
              <w:rPr>
                <w:sz w:val="20"/>
                <w:szCs w:val="20"/>
                <w:lang w:val="es-PE"/>
              </w:rPr>
              <w:t>S13</w:t>
            </w:r>
          </w:p>
        </w:tc>
        <w:tc>
          <w:tcPr>
            <w:tcW w:w="2552" w:type="dxa"/>
            <w:shd w:val="clear" w:color="auto" w:fill="auto"/>
            <w:tcMar>
              <w:top w:w="15" w:type="dxa"/>
              <w:left w:w="15" w:type="dxa"/>
              <w:right w:w="15" w:type="dxa"/>
            </w:tcMar>
            <w:vAlign w:val="center"/>
          </w:tcPr>
          <w:p w14:paraId="4BFA955C" w14:textId="77777777" w:rsidR="004412F1" w:rsidRPr="005331D2" w:rsidRDefault="005A12A3">
            <w:pPr>
              <w:rPr>
                <w:sz w:val="20"/>
                <w:szCs w:val="20"/>
                <w:lang w:val="es-PE"/>
              </w:rPr>
            </w:pPr>
            <w:r w:rsidRPr="005331D2">
              <w:rPr>
                <w:sz w:val="20"/>
                <w:szCs w:val="20"/>
                <w:lang w:val="es-PE"/>
              </w:rPr>
              <w:t>Santa María de Chicmo</w:t>
            </w:r>
          </w:p>
        </w:tc>
        <w:tc>
          <w:tcPr>
            <w:tcW w:w="2409" w:type="dxa"/>
            <w:shd w:val="clear" w:color="auto" w:fill="auto"/>
            <w:tcMar>
              <w:top w:w="15" w:type="dxa"/>
              <w:left w:w="15" w:type="dxa"/>
              <w:right w:w="15" w:type="dxa"/>
            </w:tcMar>
            <w:vAlign w:val="center"/>
          </w:tcPr>
          <w:p w14:paraId="6740B57F" w14:textId="77777777" w:rsidR="004412F1" w:rsidRPr="005331D2" w:rsidRDefault="005A12A3">
            <w:pPr>
              <w:rPr>
                <w:sz w:val="20"/>
                <w:szCs w:val="20"/>
                <w:lang w:val="es-PE"/>
              </w:rPr>
            </w:pPr>
            <w:r w:rsidRPr="005331D2">
              <w:rPr>
                <w:sz w:val="20"/>
                <w:szCs w:val="20"/>
                <w:lang w:val="es-PE"/>
              </w:rPr>
              <w:t>Andahuaylas (Emp PE-30B)</w:t>
            </w:r>
          </w:p>
        </w:tc>
        <w:tc>
          <w:tcPr>
            <w:tcW w:w="1701" w:type="dxa"/>
            <w:shd w:val="clear" w:color="auto" w:fill="auto"/>
            <w:tcMar>
              <w:top w:w="15" w:type="dxa"/>
              <w:left w:w="15" w:type="dxa"/>
              <w:right w:w="15" w:type="dxa"/>
            </w:tcMar>
            <w:vAlign w:val="center"/>
          </w:tcPr>
          <w:p w14:paraId="387FC97D" w14:textId="77777777" w:rsidR="004412F1" w:rsidRPr="005331D2" w:rsidRDefault="005A12A3">
            <w:pPr>
              <w:jc w:val="center"/>
              <w:rPr>
                <w:sz w:val="20"/>
                <w:szCs w:val="20"/>
                <w:lang w:val="es-PE"/>
              </w:rPr>
            </w:pPr>
            <w:r w:rsidRPr="005331D2">
              <w:rPr>
                <w:sz w:val="20"/>
                <w:szCs w:val="20"/>
                <w:lang w:val="es-PE"/>
              </w:rPr>
              <w:t>20.34</w:t>
            </w:r>
          </w:p>
        </w:tc>
      </w:tr>
      <w:tr w:rsidR="004412F1" w14:paraId="1C2CE464" w14:textId="77777777">
        <w:trPr>
          <w:trHeight w:val="300"/>
          <w:jc w:val="center"/>
        </w:trPr>
        <w:tc>
          <w:tcPr>
            <w:tcW w:w="1840" w:type="dxa"/>
            <w:shd w:val="clear" w:color="auto" w:fill="auto"/>
            <w:tcMar>
              <w:top w:w="15" w:type="dxa"/>
              <w:left w:w="15" w:type="dxa"/>
              <w:right w:w="15" w:type="dxa"/>
            </w:tcMar>
          </w:tcPr>
          <w:p w14:paraId="5144B0F7" w14:textId="77777777" w:rsidR="004412F1" w:rsidRPr="005331D2" w:rsidRDefault="004412F1">
            <w:pPr>
              <w:jc w:val="center"/>
              <w:rPr>
                <w:sz w:val="20"/>
                <w:szCs w:val="20"/>
                <w:lang w:val="es-PE"/>
              </w:rPr>
            </w:pPr>
          </w:p>
        </w:tc>
        <w:tc>
          <w:tcPr>
            <w:tcW w:w="1701" w:type="dxa"/>
            <w:vAlign w:val="center"/>
          </w:tcPr>
          <w:p w14:paraId="5345C2B4" w14:textId="77777777" w:rsidR="004412F1" w:rsidRPr="005331D2" w:rsidRDefault="005A12A3">
            <w:pPr>
              <w:jc w:val="center"/>
              <w:rPr>
                <w:sz w:val="20"/>
                <w:szCs w:val="20"/>
                <w:lang w:val="es-PE"/>
              </w:rPr>
            </w:pPr>
            <w:r w:rsidRPr="005331D2">
              <w:rPr>
                <w:sz w:val="20"/>
                <w:szCs w:val="20"/>
                <w:lang w:val="es-PE"/>
              </w:rPr>
              <w:t>S14</w:t>
            </w:r>
          </w:p>
        </w:tc>
        <w:tc>
          <w:tcPr>
            <w:tcW w:w="2552" w:type="dxa"/>
            <w:shd w:val="clear" w:color="auto" w:fill="auto"/>
            <w:tcMar>
              <w:top w:w="15" w:type="dxa"/>
              <w:left w:w="15" w:type="dxa"/>
              <w:right w:w="15" w:type="dxa"/>
            </w:tcMar>
            <w:vAlign w:val="center"/>
          </w:tcPr>
          <w:p w14:paraId="364B5E77" w14:textId="77777777" w:rsidR="004412F1" w:rsidRPr="005331D2" w:rsidRDefault="005A12A3">
            <w:pPr>
              <w:rPr>
                <w:sz w:val="20"/>
                <w:szCs w:val="20"/>
                <w:lang w:val="es-PE"/>
              </w:rPr>
            </w:pPr>
            <w:r w:rsidRPr="005331D2">
              <w:rPr>
                <w:sz w:val="20"/>
                <w:szCs w:val="20"/>
                <w:lang w:val="es-PE"/>
              </w:rPr>
              <w:t>Andahuaylas (Emp PE-30B)</w:t>
            </w:r>
          </w:p>
        </w:tc>
        <w:tc>
          <w:tcPr>
            <w:tcW w:w="2409" w:type="dxa"/>
            <w:shd w:val="clear" w:color="auto" w:fill="auto"/>
            <w:tcMar>
              <w:top w:w="15" w:type="dxa"/>
              <w:left w:w="15" w:type="dxa"/>
              <w:right w:w="15" w:type="dxa"/>
            </w:tcMar>
            <w:vAlign w:val="center"/>
          </w:tcPr>
          <w:p w14:paraId="0473C45D" w14:textId="77777777" w:rsidR="004412F1" w:rsidRPr="005331D2" w:rsidRDefault="005A12A3">
            <w:pPr>
              <w:rPr>
                <w:sz w:val="20"/>
                <w:szCs w:val="20"/>
                <w:lang w:val="es-PE"/>
              </w:rPr>
            </w:pPr>
            <w:r w:rsidRPr="005331D2">
              <w:rPr>
                <w:sz w:val="20"/>
                <w:szCs w:val="20"/>
                <w:lang w:val="es-PE"/>
              </w:rPr>
              <w:t>Dv. Kishuara (Emp PE-3SE)</w:t>
            </w:r>
          </w:p>
        </w:tc>
        <w:tc>
          <w:tcPr>
            <w:tcW w:w="1701" w:type="dxa"/>
            <w:shd w:val="clear" w:color="auto" w:fill="auto"/>
            <w:tcMar>
              <w:top w:w="15" w:type="dxa"/>
              <w:left w:w="15" w:type="dxa"/>
              <w:right w:w="15" w:type="dxa"/>
            </w:tcMar>
            <w:vAlign w:val="center"/>
          </w:tcPr>
          <w:p w14:paraId="6840E20C" w14:textId="77777777" w:rsidR="004412F1" w:rsidRPr="005331D2" w:rsidRDefault="005A12A3">
            <w:pPr>
              <w:jc w:val="center"/>
              <w:rPr>
                <w:sz w:val="20"/>
                <w:szCs w:val="20"/>
                <w:lang w:val="es-PE"/>
              </w:rPr>
            </w:pPr>
            <w:r w:rsidRPr="005331D2">
              <w:rPr>
                <w:sz w:val="20"/>
                <w:szCs w:val="20"/>
                <w:lang w:val="es-PE"/>
              </w:rPr>
              <w:t>54.31</w:t>
            </w:r>
          </w:p>
        </w:tc>
      </w:tr>
      <w:tr w:rsidR="004412F1" w14:paraId="43A2E4E2" w14:textId="77777777">
        <w:trPr>
          <w:trHeight w:val="300"/>
          <w:jc w:val="center"/>
        </w:trPr>
        <w:tc>
          <w:tcPr>
            <w:tcW w:w="1840" w:type="dxa"/>
            <w:shd w:val="clear" w:color="auto" w:fill="auto"/>
            <w:tcMar>
              <w:top w:w="15" w:type="dxa"/>
              <w:left w:w="15" w:type="dxa"/>
              <w:right w:w="15" w:type="dxa"/>
            </w:tcMar>
          </w:tcPr>
          <w:p w14:paraId="014297BD" w14:textId="77777777" w:rsidR="004412F1" w:rsidRPr="005331D2" w:rsidRDefault="004412F1">
            <w:pPr>
              <w:jc w:val="center"/>
              <w:rPr>
                <w:sz w:val="20"/>
                <w:szCs w:val="20"/>
                <w:lang w:val="es-PE"/>
              </w:rPr>
            </w:pPr>
          </w:p>
        </w:tc>
        <w:tc>
          <w:tcPr>
            <w:tcW w:w="1701" w:type="dxa"/>
            <w:vAlign w:val="center"/>
          </w:tcPr>
          <w:p w14:paraId="72C3E51B" w14:textId="77777777" w:rsidR="004412F1" w:rsidRPr="005331D2" w:rsidRDefault="005A12A3">
            <w:pPr>
              <w:jc w:val="center"/>
              <w:rPr>
                <w:sz w:val="20"/>
                <w:szCs w:val="20"/>
                <w:lang w:val="es-PE"/>
              </w:rPr>
            </w:pPr>
            <w:r w:rsidRPr="005331D2">
              <w:rPr>
                <w:sz w:val="20"/>
                <w:szCs w:val="20"/>
                <w:lang w:val="es-PE"/>
              </w:rPr>
              <w:t>S15</w:t>
            </w:r>
          </w:p>
        </w:tc>
        <w:tc>
          <w:tcPr>
            <w:tcW w:w="2552" w:type="dxa"/>
            <w:shd w:val="clear" w:color="auto" w:fill="auto"/>
            <w:tcMar>
              <w:top w:w="15" w:type="dxa"/>
              <w:left w:w="15" w:type="dxa"/>
              <w:right w:w="15" w:type="dxa"/>
            </w:tcMar>
            <w:vAlign w:val="center"/>
          </w:tcPr>
          <w:p w14:paraId="60392688" w14:textId="77777777" w:rsidR="004412F1" w:rsidRPr="005331D2" w:rsidRDefault="005A12A3">
            <w:pPr>
              <w:rPr>
                <w:sz w:val="20"/>
                <w:szCs w:val="20"/>
                <w:lang w:val="es-PE"/>
              </w:rPr>
            </w:pPr>
            <w:r w:rsidRPr="005331D2">
              <w:rPr>
                <w:sz w:val="20"/>
                <w:szCs w:val="20"/>
                <w:lang w:val="es-PE"/>
              </w:rPr>
              <w:t>Dv. Kishuara (Emp PE-3SE)</w:t>
            </w:r>
          </w:p>
        </w:tc>
        <w:tc>
          <w:tcPr>
            <w:tcW w:w="2409" w:type="dxa"/>
            <w:shd w:val="clear" w:color="auto" w:fill="auto"/>
            <w:tcMar>
              <w:top w:w="15" w:type="dxa"/>
              <w:left w:w="15" w:type="dxa"/>
              <w:right w:w="15" w:type="dxa"/>
            </w:tcMar>
            <w:vAlign w:val="center"/>
          </w:tcPr>
          <w:p w14:paraId="0B88202D" w14:textId="77777777" w:rsidR="004412F1" w:rsidRPr="005331D2" w:rsidRDefault="005A12A3">
            <w:pPr>
              <w:rPr>
                <w:sz w:val="20"/>
                <w:szCs w:val="20"/>
                <w:lang w:val="en-US"/>
              </w:rPr>
            </w:pPr>
            <w:r w:rsidRPr="005331D2">
              <w:rPr>
                <w:sz w:val="20"/>
                <w:szCs w:val="20"/>
                <w:lang w:val="en-US"/>
              </w:rPr>
              <w:t>Dv. Sahuinto (Emp PE-3S)</w:t>
            </w:r>
          </w:p>
        </w:tc>
        <w:tc>
          <w:tcPr>
            <w:tcW w:w="1701" w:type="dxa"/>
            <w:shd w:val="clear" w:color="auto" w:fill="auto"/>
            <w:tcMar>
              <w:top w:w="15" w:type="dxa"/>
              <w:left w:w="15" w:type="dxa"/>
              <w:right w:w="15" w:type="dxa"/>
            </w:tcMar>
            <w:vAlign w:val="center"/>
          </w:tcPr>
          <w:p w14:paraId="00471FFD" w14:textId="77777777" w:rsidR="004412F1" w:rsidRPr="005331D2" w:rsidRDefault="005A12A3">
            <w:pPr>
              <w:jc w:val="center"/>
              <w:rPr>
                <w:sz w:val="20"/>
                <w:szCs w:val="20"/>
                <w:lang w:val="es-PE"/>
              </w:rPr>
            </w:pPr>
            <w:r w:rsidRPr="005331D2">
              <w:rPr>
                <w:sz w:val="20"/>
                <w:szCs w:val="20"/>
                <w:lang w:val="es-PE"/>
              </w:rPr>
              <w:t>62.71</w:t>
            </w:r>
          </w:p>
        </w:tc>
      </w:tr>
      <w:tr w:rsidR="004412F1" w14:paraId="65F8F207" w14:textId="77777777">
        <w:trPr>
          <w:trHeight w:val="300"/>
          <w:jc w:val="center"/>
        </w:trPr>
        <w:tc>
          <w:tcPr>
            <w:tcW w:w="1840" w:type="dxa"/>
            <w:shd w:val="clear" w:color="auto" w:fill="auto"/>
            <w:tcMar>
              <w:top w:w="15" w:type="dxa"/>
              <w:left w:w="15" w:type="dxa"/>
              <w:right w:w="15" w:type="dxa"/>
            </w:tcMar>
          </w:tcPr>
          <w:p w14:paraId="5B337FE1" w14:textId="77777777" w:rsidR="004412F1" w:rsidRPr="005331D2" w:rsidRDefault="004412F1">
            <w:pPr>
              <w:jc w:val="center"/>
              <w:rPr>
                <w:sz w:val="20"/>
                <w:szCs w:val="20"/>
                <w:lang w:val="es-PE"/>
              </w:rPr>
            </w:pPr>
          </w:p>
        </w:tc>
        <w:tc>
          <w:tcPr>
            <w:tcW w:w="1701" w:type="dxa"/>
            <w:vAlign w:val="center"/>
          </w:tcPr>
          <w:p w14:paraId="61BDB16E" w14:textId="77777777" w:rsidR="004412F1" w:rsidRPr="005331D2" w:rsidRDefault="005A12A3">
            <w:pPr>
              <w:jc w:val="center"/>
              <w:rPr>
                <w:sz w:val="20"/>
                <w:szCs w:val="20"/>
                <w:lang w:val="en-US"/>
              </w:rPr>
            </w:pPr>
            <w:r w:rsidRPr="005331D2">
              <w:rPr>
                <w:sz w:val="20"/>
                <w:szCs w:val="20"/>
                <w:lang w:val="es-PE"/>
              </w:rPr>
              <w:t>S16</w:t>
            </w:r>
          </w:p>
        </w:tc>
        <w:tc>
          <w:tcPr>
            <w:tcW w:w="2552" w:type="dxa"/>
            <w:shd w:val="clear" w:color="auto" w:fill="auto"/>
            <w:tcMar>
              <w:top w:w="15" w:type="dxa"/>
              <w:left w:w="15" w:type="dxa"/>
              <w:right w:w="15" w:type="dxa"/>
            </w:tcMar>
            <w:vAlign w:val="center"/>
          </w:tcPr>
          <w:p w14:paraId="454CA8DF" w14:textId="77777777" w:rsidR="004412F1" w:rsidRPr="005331D2" w:rsidRDefault="005A12A3">
            <w:pPr>
              <w:rPr>
                <w:sz w:val="20"/>
                <w:szCs w:val="20"/>
                <w:lang w:val="en-US"/>
              </w:rPr>
            </w:pPr>
            <w:r w:rsidRPr="005331D2">
              <w:rPr>
                <w:sz w:val="20"/>
                <w:szCs w:val="20"/>
                <w:lang w:val="en-US"/>
              </w:rPr>
              <w:t>Dv. Sahuinto (Emp PE-3S)</w:t>
            </w:r>
          </w:p>
        </w:tc>
        <w:tc>
          <w:tcPr>
            <w:tcW w:w="2409" w:type="dxa"/>
            <w:shd w:val="clear" w:color="auto" w:fill="auto"/>
            <w:tcMar>
              <w:top w:w="15" w:type="dxa"/>
              <w:left w:w="15" w:type="dxa"/>
              <w:right w:w="15" w:type="dxa"/>
            </w:tcMar>
            <w:vAlign w:val="center"/>
          </w:tcPr>
          <w:p w14:paraId="28F739AC" w14:textId="77777777" w:rsidR="004412F1" w:rsidRPr="005331D2" w:rsidRDefault="005A12A3">
            <w:pPr>
              <w:rPr>
                <w:sz w:val="20"/>
                <w:szCs w:val="20"/>
                <w:lang w:val="es-PE"/>
              </w:rPr>
            </w:pPr>
            <w:r w:rsidRPr="005331D2">
              <w:rPr>
                <w:sz w:val="20"/>
                <w:szCs w:val="20"/>
                <w:lang w:val="es-PE"/>
              </w:rPr>
              <w:t>Puente Sahuinto</w:t>
            </w:r>
          </w:p>
        </w:tc>
        <w:tc>
          <w:tcPr>
            <w:tcW w:w="1701" w:type="dxa"/>
            <w:shd w:val="clear" w:color="auto" w:fill="auto"/>
            <w:tcMar>
              <w:top w:w="15" w:type="dxa"/>
              <w:left w:w="15" w:type="dxa"/>
              <w:right w:w="15" w:type="dxa"/>
            </w:tcMar>
            <w:vAlign w:val="center"/>
          </w:tcPr>
          <w:p w14:paraId="2F6C39FA" w14:textId="77777777" w:rsidR="004412F1" w:rsidRPr="005331D2" w:rsidRDefault="005A12A3">
            <w:pPr>
              <w:jc w:val="center"/>
              <w:rPr>
                <w:sz w:val="20"/>
                <w:szCs w:val="20"/>
                <w:lang w:val="es-PE"/>
              </w:rPr>
            </w:pPr>
            <w:r w:rsidRPr="005331D2">
              <w:rPr>
                <w:sz w:val="20"/>
                <w:szCs w:val="20"/>
                <w:lang w:val="es-PE"/>
              </w:rPr>
              <w:t>13.74</w:t>
            </w:r>
          </w:p>
        </w:tc>
      </w:tr>
      <w:tr w:rsidR="004412F1" w14:paraId="1B4E3D49" w14:textId="77777777">
        <w:trPr>
          <w:trHeight w:val="315"/>
          <w:jc w:val="center"/>
        </w:trPr>
        <w:tc>
          <w:tcPr>
            <w:tcW w:w="1840" w:type="dxa"/>
            <w:shd w:val="clear" w:color="auto" w:fill="auto"/>
            <w:tcMar>
              <w:top w:w="15" w:type="dxa"/>
              <w:left w:w="15" w:type="dxa"/>
              <w:right w:w="15" w:type="dxa"/>
            </w:tcMar>
          </w:tcPr>
          <w:p w14:paraId="1A69D7F4" w14:textId="77777777" w:rsidR="004412F1" w:rsidRPr="005331D2" w:rsidRDefault="004412F1">
            <w:pPr>
              <w:jc w:val="center"/>
              <w:rPr>
                <w:sz w:val="20"/>
                <w:szCs w:val="20"/>
                <w:lang w:val="es-PE"/>
              </w:rPr>
            </w:pPr>
          </w:p>
        </w:tc>
        <w:tc>
          <w:tcPr>
            <w:tcW w:w="1701" w:type="dxa"/>
            <w:vAlign w:val="center"/>
          </w:tcPr>
          <w:p w14:paraId="698E6436" w14:textId="77777777" w:rsidR="004412F1" w:rsidRPr="005331D2" w:rsidRDefault="005A12A3">
            <w:pPr>
              <w:jc w:val="center"/>
              <w:rPr>
                <w:sz w:val="20"/>
                <w:szCs w:val="20"/>
                <w:lang w:val="en-US"/>
              </w:rPr>
            </w:pPr>
            <w:r w:rsidRPr="005331D2">
              <w:rPr>
                <w:sz w:val="20"/>
                <w:szCs w:val="20"/>
                <w:lang w:val="es-PE"/>
              </w:rPr>
              <w:t>S17</w:t>
            </w:r>
          </w:p>
        </w:tc>
        <w:tc>
          <w:tcPr>
            <w:tcW w:w="2552" w:type="dxa"/>
            <w:shd w:val="clear" w:color="auto" w:fill="auto"/>
            <w:tcMar>
              <w:top w:w="15" w:type="dxa"/>
              <w:left w:w="15" w:type="dxa"/>
              <w:right w:w="15" w:type="dxa"/>
            </w:tcMar>
            <w:vAlign w:val="center"/>
          </w:tcPr>
          <w:p w14:paraId="16A74AC7" w14:textId="77777777" w:rsidR="004412F1" w:rsidRPr="005331D2" w:rsidRDefault="005A12A3">
            <w:pPr>
              <w:rPr>
                <w:sz w:val="20"/>
                <w:szCs w:val="20"/>
                <w:lang w:val="en-US"/>
              </w:rPr>
            </w:pPr>
            <w:r w:rsidRPr="005331D2">
              <w:rPr>
                <w:sz w:val="20"/>
                <w:szCs w:val="20"/>
                <w:lang w:val="en-US"/>
              </w:rPr>
              <w:t>San Clemente (Emp. PE-1S)</w:t>
            </w:r>
          </w:p>
        </w:tc>
        <w:tc>
          <w:tcPr>
            <w:tcW w:w="2409" w:type="dxa"/>
            <w:shd w:val="clear" w:color="auto" w:fill="auto"/>
            <w:tcMar>
              <w:top w:w="15" w:type="dxa"/>
              <w:left w:w="15" w:type="dxa"/>
              <w:right w:w="15" w:type="dxa"/>
            </w:tcMar>
            <w:vAlign w:val="center"/>
          </w:tcPr>
          <w:p w14:paraId="2AEC81FF" w14:textId="77777777" w:rsidR="004412F1" w:rsidRPr="005331D2" w:rsidRDefault="005A12A3">
            <w:pPr>
              <w:rPr>
                <w:sz w:val="20"/>
                <w:szCs w:val="20"/>
                <w:lang w:val="es-PE"/>
              </w:rPr>
            </w:pPr>
            <w:r w:rsidRPr="005331D2">
              <w:rPr>
                <w:sz w:val="20"/>
                <w:szCs w:val="20"/>
                <w:lang w:val="es-PE"/>
              </w:rPr>
              <w:t>Puente Choclococha</w:t>
            </w:r>
          </w:p>
        </w:tc>
        <w:tc>
          <w:tcPr>
            <w:tcW w:w="1701" w:type="dxa"/>
            <w:shd w:val="clear" w:color="auto" w:fill="auto"/>
            <w:tcMar>
              <w:top w:w="15" w:type="dxa"/>
              <w:left w:w="15" w:type="dxa"/>
              <w:right w:w="15" w:type="dxa"/>
            </w:tcMar>
            <w:vAlign w:val="center"/>
          </w:tcPr>
          <w:p w14:paraId="4E43D4F9" w14:textId="77777777" w:rsidR="004412F1" w:rsidRPr="005331D2" w:rsidRDefault="005A12A3">
            <w:pPr>
              <w:jc w:val="center"/>
              <w:rPr>
                <w:sz w:val="20"/>
                <w:szCs w:val="20"/>
                <w:lang w:val="es-PE"/>
              </w:rPr>
            </w:pPr>
            <w:r w:rsidRPr="005331D2">
              <w:rPr>
                <w:sz w:val="20"/>
                <w:szCs w:val="20"/>
                <w:lang w:val="es-PE"/>
              </w:rPr>
              <w:t>163.81</w:t>
            </w:r>
          </w:p>
        </w:tc>
      </w:tr>
      <w:tr w:rsidR="004412F1" w14:paraId="21C56C90" w14:textId="77777777">
        <w:trPr>
          <w:trHeight w:val="315"/>
          <w:jc w:val="center"/>
        </w:trPr>
        <w:tc>
          <w:tcPr>
            <w:tcW w:w="1840" w:type="dxa"/>
            <w:shd w:val="clear" w:color="auto" w:fill="auto"/>
            <w:tcMar>
              <w:top w:w="15" w:type="dxa"/>
              <w:left w:w="15" w:type="dxa"/>
              <w:right w:w="15" w:type="dxa"/>
            </w:tcMar>
          </w:tcPr>
          <w:p w14:paraId="2391D16B" w14:textId="77777777" w:rsidR="004412F1" w:rsidRPr="005331D2" w:rsidRDefault="004412F1">
            <w:pPr>
              <w:jc w:val="center"/>
              <w:rPr>
                <w:sz w:val="20"/>
                <w:szCs w:val="20"/>
                <w:lang w:val="es-PE"/>
              </w:rPr>
            </w:pPr>
          </w:p>
        </w:tc>
        <w:tc>
          <w:tcPr>
            <w:tcW w:w="1701" w:type="dxa"/>
            <w:vAlign w:val="center"/>
          </w:tcPr>
          <w:p w14:paraId="2C1BBCAE" w14:textId="77777777" w:rsidR="004412F1" w:rsidRPr="005331D2" w:rsidRDefault="005A12A3">
            <w:pPr>
              <w:jc w:val="center"/>
              <w:rPr>
                <w:sz w:val="20"/>
                <w:szCs w:val="20"/>
                <w:lang w:val="es-PE"/>
              </w:rPr>
            </w:pPr>
            <w:r w:rsidRPr="005331D2">
              <w:rPr>
                <w:sz w:val="20"/>
                <w:szCs w:val="20"/>
                <w:lang w:val="es-PE"/>
              </w:rPr>
              <w:t>S18</w:t>
            </w:r>
          </w:p>
        </w:tc>
        <w:tc>
          <w:tcPr>
            <w:tcW w:w="2552" w:type="dxa"/>
            <w:shd w:val="clear" w:color="auto" w:fill="auto"/>
            <w:tcMar>
              <w:top w:w="15" w:type="dxa"/>
              <w:left w:w="15" w:type="dxa"/>
              <w:right w:w="15" w:type="dxa"/>
            </w:tcMar>
            <w:vAlign w:val="center"/>
          </w:tcPr>
          <w:p w14:paraId="3F222BA3" w14:textId="77777777" w:rsidR="004412F1" w:rsidRPr="005331D2" w:rsidRDefault="005A12A3">
            <w:pPr>
              <w:rPr>
                <w:sz w:val="20"/>
                <w:szCs w:val="20"/>
                <w:lang w:val="es-PE"/>
              </w:rPr>
            </w:pPr>
            <w:r w:rsidRPr="005331D2">
              <w:rPr>
                <w:sz w:val="20"/>
                <w:szCs w:val="20"/>
                <w:lang w:val="es-PE"/>
              </w:rPr>
              <w:t>Puente Choclococha</w:t>
            </w:r>
          </w:p>
        </w:tc>
        <w:tc>
          <w:tcPr>
            <w:tcW w:w="2409" w:type="dxa"/>
            <w:shd w:val="clear" w:color="auto" w:fill="auto"/>
            <w:tcMar>
              <w:top w:w="15" w:type="dxa"/>
              <w:left w:w="15" w:type="dxa"/>
              <w:right w:w="15" w:type="dxa"/>
            </w:tcMar>
            <w:vAlign w:val="center"/>
          </w:tcPr>
          <w:p w14:paraId="1CF0F08C" w14:textId="77777777" w:rsidR="004412F1" w:rsidRPr="005331D2" w:rsidRDefault="005A12A3">
            <w:pPr>
              <w:rPr>
                <w:sz w:val="20"/>
                <w:szCs w:val="20"/>
                <w:lang w:val="es-PE"/>
              </w:rPr>
            </w:pPr>
            <w:r w:rsidRPr="005331D2">
              <w:rPr>
                <w:sz w:val="20"/>
                <w:szCs w:val="20"/>
                <w:lang w:val="es-PE"/>
              </w:rPr>
              <w:t>Ayacucho (Emp. PE-28ª)</w:t>
            </w:r>
          </w:p>
        </w:tc>
        <w:tc>
          <w:tcPr>
            <w:tcW w:w="1701" w:type="dxa"/>
            <w:shd w:val="clear" w:color="auto" w:fill="auto"/>
            <w:tcMar>
              <w:top w:w="15" w:type="dxa"/>
              <w:left w:w="15" w:type="dxa"/>
              <w:right w:w="15" w:type="dxa"/>
            </w:tcMar>
            <w:vAlign w:val="center"/>
          </w:tcPr>
          <w:p w14:paraId="6248E6A6" w14:textId="77777777" w:rsidR="004412F1" w:rsidRPr="005331D2" w:rsidRDefault="005A12A3">
            <w:pPr>
              <w:jc w:val="center"/>
              <w:rPr>
                <w:sz w:val="20"/>
                <w:szCs w:val="20"/>
                <w:lang w:val="es-PE"/>
              </w:rPr>
            </w:pPr>
            <w:r w:rsidRPr="005331D2">
              <w:rPr>
                <w:sz w:val="20"/>
                <w:szCs w:val="20"/>
                <w:lang w:val="es-PE"/>
              </w:rPr>
              <w:t>172.07</w:t>
            </w:r>
          </w:p>
        </w:tc>
      </w:tr>
      <w:tr w:rsidR="004412F1" w14:paraId="6352EEEC" w14:textId="77777777">
        <w:trPr>
          <w:trHeight w:val="315"/>
          <w:jc w:val="center"/>
        </w:trPr>
        <w:tc>
          <w:tcPr>
            <w:tcW w:w="1840" w:type="dxa"/>
            <w:shd w:val="clear" w:color="auto" w:fill="auto"/>
            <w:tcMar>
              <w:top w:w="15" w:type="dxa"/>
              <w:left w:w="15" w:type="dxa"/>
              <w:right w:w="15" w:type="dxa"/>
            </w:tcMar>
          </w:tcPr>
          <w:p w14:paraId="2DE28643" w14:textId="77777777" w:rsidR="004412F1" w:rsidRPr="005331D2" w:rsidRDefault="004412F1">
            <w:pPr>
              <w:rPr>
                <w:rFonts w:cstheme="minorHAnsi"/>
                <w:sz w:val="20"/>
                <w:szCs w:val="20"/>
                <w:lang w:val="es-PE"/>
              </w:rPr>
            </w:pPr>
          </w:p>
        </w:tc>
        <w:tc>
          <w:tcPr>
            <w:tcW w:w="1701" w:type="dxa"/>
          </w:tcPr>
          <w:p w14:paraId="664589C9" w14:textId="77777777" w:rsidR="004412F1" w:rsidRPr="005331D2" w:rsidRDefault="004412F1">
            <w:pPr>
              <w:rPr>
                <w:rFonts w:cstheme="minorHAnsi"/>
                <w:sz w:val="20"/>
                <w:szCs w:val="20"/>
                <w:lang w:val="es-PE"/>
              </w:rPr>
            </w:pPr>
          </w:p>
        </w:tc>
        <w:tc>
          <w:tcPr>
            <w:tcW w:w="2552" w:type="dxa"/>
            <w:shd w:val="clear" w:color="auto" w:fill="auto"/>
            <w:tcMar>
              <w:top w:w="15" w:type="dxa"/>
              <w:left w:w="15" w:type="dxa"/>
              <w:right w:w="15" w:type="dxa"/>
            </w:tcMar>
            <w:vAlign w:val="bottom"/>
          </w:tcPr>
          <w:p w14:paraId="14C3CEDF" w14:textId="77777777" w:rsidR="004412F1" w:rsidRPr="005331D2" w:rsidRDefault="004412F1">
            <w:pPr>
              <w:rPr>
                <w:rFonts w:cstheme="minorHAnsi"/>
                <w:sz w:val="20"/>
                <w:szCs w:val="20"/>
                <w:lang w:val="es-PE"/>
              </w:rPr>
            </w:pPr>
          </w:p>
        </w:tc>
        <w:tc>
          <w:tcPr>
            <w:tcW w:w="2409" w:type="dxa"/>
            <w:shd w:val="clear" w:color="auto" w:fill="auto"/>
            <w:tcMar>
              <w:top w:w="15" w:type="dxa"/>
              <w:left w:w="15" w:type="dxa"/>
              <w:right w:w="15" w:type="dxa"/>
            </w:tcMar>
            <w:vAlign w:val="center"/>
          </w:tcPr>
          <w:p w14:paraId="36E3F53D" w14:textId="77777777" w:rsidR="004412F1" w:rsidRPr="005331D2" w:rsidRDefault="005A12A3">
            <w:pPr>
              <w:jc w:val="center"/>
              <w:rPr>
                <w:sz w:val="20"/>
                <w:szCs w:val="20"/>
                <w:lang w:val="es-PE"/>
              </w:rPr>
            </w:pPr>
            <w:r w:rsidRPr="005331D2">
              <w:rPr>
                <w:b/>
                <w:sz w:val="20"/>
                <w:szCs w:val="20"/>
                <w:lang w:val="es-PE"/>
              </w:rPr>
              <w:t>Total</w:t>
            </w:r>
          </w:p>
        </w:tc>
        <w:tc>
          <w:tcPr>
            <w:tcW w:w="1701" w:type="dxa"/>
            <w:shd w:val="clear" w:color="auto" w:fill="auto"/>
            <w:tcMar>
              <w:top w:w="15" w:type="dxa"/>
              <w:left w:w="15" w:type="dxa"/>
              <w:right w:w="15" w:type="dxa"/>
            </w:tcMar>
            <w:vAlign w:val="center"/>
          </w:tcPr>
          <w:p w14:paraId="6243EFC9" w14:textId="77777777" w:rsidR="004412F1" w:rsidRPr="005331D2" w:rsidRDefault="005A12A3">
            <w:pPr>
              <w:jc w:val="center"/>
              <w:rPr>
                <w:rFonts w:eastAsia="Calibri"/>
                <w:b/>
                <w:sz w:val="20"/>
                <w:szCs w:val="20"/>
                <w:lang w:val="es-PE"/>
              </w:rPr>
            </w:pPr>
            <w:r w:rsidRPr="005331D2">
              <w:rPr>
                <w:rFonts w:eastAsia="Calibri"/>
                <w:b/>
                <w:sz w:val="20"/>
                <w:szCs w:val="20"/>
                <w:lang w:val="es-PE"/>
              </w:rPr>
              <w:t>782.00</w:t>
            </w:r>
          </w:p>
        </w:tc>
      </w:tr>
    </w:tbl>
    <w:p w14:paraId="7FA4CC11" w14:textId="77777777" w:rsidR="004412F1" w:rsidRDefault="004412F1">
      <w:pPr>
        <w:ind w:left="426"/>
        <w:jc w:val="both"/>
      </w:pPr>
    </w:p>
    <w:p w14:paraId="70359D70" w14:textId="77777777" w:rsidR="004412F1" w:rsidRDefault="004412F1">
      <w:pPr>
        <w:ind w:left="426"/>
        <w:jc w:val="both"/>
      </w:pPr>
    </w:p>
    <w:p w14:paraId="53E5B5DE" w14:textId="77777777" w:rsidR="004412F1" w:rsidRDefault="005A12A3">
      <w:pPr>
        <w:numPr>
          <w:ilvl w:val="0"/>
          <w:numId w:val="219"/>
        </w:numPr>
        <w:jc w:val="both"/>
        <w:rPr>
          <w:lang w:val="es-PE"/>
        </w:rPr>
      </w:pPr>
      <w:r>
        <w:rPr>
          <w:color w:val="000000"/>
          <w:lang w:val="es-PE"/>
        </w:rPr>
        <w:t>El CONCESIONARIO elaborará el ET de acuerdo con lo indicado en el Capítulo VIII del Contrato de Concesión.</w:t>
      </w:r>
    </w:p>
    <w:p w14:paraId="2E7ED9F2" w14:textId="77777777" w:rsidR="004412F1" w:rsidRDefault="004412F1">
      <w:pPr>
        <w:ind w:left="426"/>
        <w:jc w:val="both"/>
        <w:rPr>
          <w:lang w:val="es-PE"/>
        </w:rPr>
      </w:pPr>
    </w:p>
    <w:p w14:paraId="537BD9A7" w14:textId="77777777" w:rsidR="004412F1" w:rsidRDefault="005A12A3">
      <w:pPr>
        <w:numPr>
          <w:ilvl w:val="0"/>
          <w:numId w:val="219"/>
        </w:numPr>
        <w:jc w:val="both"/>
        <w:rPr>
          <w:color w:val="000000"/>
          <w:lang w:val="es-PE"/>
        </w:rPr>
      </w:pPr>
      <w:r>
        <w:rPr>
          <w:color w:val="000000"/>
          <w:lang w:val="es-PE"/>
        </w:rPr>
        <w:t>El presupuesto contenido en el ET aprobado conforme al Contrato es únicamente referencial y, por lo tanto, no genera derecho de compensación alguno o similar al CONCESIONARIO.</w:t>
      </w:r>
    </w:p>
    <w:p w14:paraId="5159B31C" w14:textId="77777777" w:rsidR="004412F1" w:rsidRDefault="004412F1">
      <w:pPr>
        <w:ind w:left="426"/>
        <w:jc w:val="both"/>
        <w:rPr>
          <w:lang w:val="es-PE"/>
        </w:rPr>
      </w:pPr>
    </w:p>
    <w:p w14:paraId="79391209" w14:textId="77777777" w:rsidR="004412F1" w:rsidRDefault="005A12A3">
      <w:pPr>
        <w:numPr>
          <w:ilvl w:val="0"/>
          <w:numId w:val="219"/>
        </w:numPr>
        <w:jc w:val="both"/>
        <w:rPr>
          <w:color w:val="000000"/>
          <w:lang w:val="es-PE"/>
        </w:rPr>
      </w:pPr>
      <w:r>
        <w:rPr>
          <w:color w:val="000000"/>
          <w:lang w:val="es-PE"/>
        </w:rPr>
        <w:t>No se aplicarán reajustes al PAMPI o a los CAMPI salvo los expresamente previstos en el presente Apéndice. Esta disposición prevalece sobre cualquier otra que pudiera establecer o permitir una interpretación en contrario.</w:t>
      </w:r>
    </w:p>
    <w:p w14:paraId="1D75CD72" w14:textId="77777777" w:rsidR="004412F1" w:rsidRDefault="004412F1">
      <w:pPr>
        <w:ind w:left="426"/>
        <w:jc w:val="both"/>
        <w:rPr>
          <w:lang w:val="es-PE"/>
        </w:rPr>
      </w:pPr>
    </w:p>
    <w:p w14:paraId="4B5750BA" w14:textId="77777777" w:rsidR="004412F1" w:rsidRDefault="005A12A3">
      <w:pPr>
        <w:jc w:val="both"/>
        <w:rPr>
          <w:b/>
          <w:bCs/>
        </w:rPr>
      </w:pPr>
      <w:r>
        <w:rPr>
          <w:b/>
          <w:bCs/>
        </w:rPr>
        <w:t>De los Hitos Funcionales</w:t>
      </w:r>
    </w:p>
    <w:p w14:paraId="6FC0BFE4" w14:textId="77777777" w:rsidR="004412F1" w:rsidRDefault="004412F1">
      <w:pPr>
        <w:ind w:left="426"/>
        <w:jc w:val="both"/>
      </w:pPr>
    </w:p>
    <w:p w14:paraId="508E833D" w14:textId="77777777" w:rsidR="004412F1" w:rsidRDefault="005A12A3">
      <w:pPr>
        <w:numPr>
          <w:ilvl w:val="0"/>
          <w:numId w:val="219"/>
        </w:numPr>
        <w:jc w:val="both"/>
        <w:rPr>
          <w:color w:val="000000"/>
          <w:lang w:val="es-PE"/>
        </w:rPr>
      </w:pPr>
      <w:r>
        <w:rPr>
          <w:color w:val="000000"/>
          <w:lang w:val="es-PE"/>
        </w:rPr>
        <w:t xml:space="preserve">Los Hitos Funcionales tendrán una periodicidad no menor a un Trimestre Calendario y un valor mínimo que corresponda a la ejecución total del MPI del Hito Funcional respecto del presupuesto del ET. </w:t>
      </w:r>
    </w:p>
    <w:p w14:paraId="064DAD48" w14:textId="77777777" w:rsidR="004412F1" w:rsidRDefault="004412F1">
      <w:pPr>
        <w:ind w:left="426"/>
        <w:jc w:val="both"/>
        <w:rPr>
          <w:lang w:val="es-PE"/>
        </w:rPr>
      </w:pPr>
    </w:p>
    <w:p w14:paraId="6CFD48C5" w14:textId="77777777" w:rsidR="004412F1" w:rsidRDefault="005A12A3">
      <w:pPr>
        <w:ind w:left="426"/>
        <w:jc w:val="both"/>
        <w:rPr>
          <w:lang w:val="es-PE"/>
        </w:rPr>
      </w:pPr>
      <w:r>
        <w:rPr>
          <w:lang w:val="es-PE"/>
        </w:rPr>
        <w:t>El valor total de los Hitos Funcionales deberá sumar el cien por ciento (100%) del presupuesto ET. El valor mínimo establecido no aplica para el último Hito Funcional.</w:t>
      </w:r>
    </w:p>
    <w:p w14:paraId="4BDD8E73" w14:textId="77777777" w:rsidR="004412F1" w:rsidRDefault="004412F1">
      <w:pPr>
        <w:ind w:left="426"/>
        <w:jc w:val="both"/>
        <w:rPr>
          <w:lang w:val="es-PE"/>
        </w:rPr>
      </w:pPr>
    </w:p>
    <w:p w14:paraId="0DAEA660" w14:textId="77777777" w:rsidR="004412F1" w:rsidRDefault="005A12A3">
      <w:pPr>
        <w:numPr>
          <w:ilvl w:val="0"/>
          <w:numId w:val="219"/>
        </w:numPr>
        <w:jc w:val="both"/>
        <w:rPr>
          <w:color w:val="000000"/>
          <w:lang w:val="es-PE"/>
        </w:rPr>
      </w:pPr>
      <w:r>
        <w:rPr>
          <w:color w:val="000000"/>
          <w:lang w:val="es-PE"/>
        </w:rPr>
        <w:t>La configuración de cada Hito Funcional deberá considerar como mínimo lo siguiente:</w:t>
      </w:r>
    </w:p>
    <w:p w14:paraId="00316721" w14:textId="77777777" w:rsidR="004412F1" w:rsidRDefault="004412F1">
      <w:pPr>
        <w:ind w:left="360"/>
        <w:jc w:val="both"/>
        <w:rPr>
          <w:color w:val="000000"/>
          <w:lang w:val="es-PE"/>
        </w:rPr>
      </w:pPr>
    </w:p>
    <w:p w14:paraId="024DFD96" w14:textId="77777777" w:rsidR="004412F1" w:rsidRDefault="005A12A3">
      <w:pPr>
        <w:pStyle w:val="Prrafodelista"/>
        <w:numPr>
          <w:ilvl w:val="0"/>
          <w:numId w:val="220"/>
        </w:numPr>
        <w:jc w:val="both"/>
        <w:rPr>
          <w:lang w:val="es-PE"/>
        </w:rPr>
      </w:pPr>
      <w:r>
        <w:rPr>
          <w:lang w:val="es-PE"/>
        </w:rPr>
        <w:t>Porcentaje que representa el presupuesto del Hito Funcional respecto del total del presupuesto del ET aprobado.</w:t>
      </w:r>
    </w:p>
    <w:p w14:paraId="0506177F" w14:textId="77777777" w:rsidR="004412F1" w:rsidRDefault="005A12A3">
      <w:pPr>
        <w:pStyle w:val="Prrafodelista"/>
        <w:numPr>
          <w:ilvl w:val="0"/>
          <w:numId w:val="220"/>
        </w:numPr>
        <w:jc w:val="both"/>
        <w:rPr>
          <w:lang w:val="es-PE"/>
        </w:rPr>
      </w:pPr>
      <w:r>
        <w:rPr>
          <w:lang w:val="es-PE"/>
        </w:rPr>
        <w:t xml:space="preserve">Los Hitos Funcionales representan un subtramo de carretera con MPI concluido, </w:t>
      </w:r>
      <w:proofErr w:type="gramStart"/>
      <w:r>
        <w:rPr>
          <w:lang w:val="es-PE"/>
        </w:rPr>
        <w:t>de acuerdo a</w:t>
      </w:r>
      <w:proofErr w:type="gramEnd"/>
      <w:r>
        <w:rPr>
          <w:lang w:val="es-PE"/>
        </w:rPr>
        <w:t xml:space="preserve"> la Tabla N_ mostrada en el acápite 5.1 del presente Apéndice, y a las exigencias técnicas indicadas en XXX. No se permiten Hitos Funcionales con partidas que incluyan únicamente suministro de materiales o equipos o movilización de maquinaria, o subtramos sin concluir. Los Hitos Funcionales deberán incluir el Avance de Mantenimiento Periódico Inicial efectivamente ejecutado.</w:t>
      </w:r>
    </w:p>
    <w:p w14:paraId="55C0273C" w14:textId="77777777" w:rsidR="004412F1" w:rsidRDefault="004412F1">
      <w:pPr>
        <w:ind w:left="426"/>
        <w:jc w:val="both"/>
        <w:rPr>
          <w:lang w:val="es-PE"/>
        </w:rPr>
      </w:pPr>
    </w:p>
    <w:p w14:paraId="47AE0705" w14:textId="77777777" w:rsidR="004412F1" w:rsidRDefault="005A12A3">
      <w:pPr>
        <w:jc w:val="both"/>
        <w:rPr>
          <w:b/>
          <w:bCs/>
          <w:lang w:val="es-PE"/>
        </w:rPr>
      </w:pPr>
      <w:r>
        <w:rPr>
          <w:b/>
          <w:bCs/>
          <w:lang w:val="es-PE"/>
        </w:rPr>
        <w:t xml:space="preserve">Informes de Avance de Mantenimiento Periódico Inicial </w:t>
      </w:r>
    </w:p>
    <w:p w14:paraId="7A502148" w14:textId="77777777" w:rsidR="004412F1" w:rsidRDefault="004412F1">
      <w:pPr>
        <w:ind w:left="426"/>
        <w:jc w:val="both"/>
        <w:rPr>
          <w:lang w:val="es-PE"/>
        </w:rPr>
      </w:pPr>
    </w:p>
    <w:p w14:paraId="6F19B885" w14:textId="77777777" w:rsidR="004412F1" w:rsidRDefault="005A12A3">
      <w:pPr>
        <w:numPr>
          <w:ilvl w:val="0"/>
          <w:numId w:val="219"/>
        </w:numPr>
        <w:jc w:val="both"/>
        <w:rPr>
          <w:color w:val="000000"/>
          <w:lang w:val="es-PE"/>
        </w:rPr>
      </w:pPr>
      <w:r>
        <w:rPr>
          <w:color w:val="000000"/>
          <w:lang w:val="es-PE"/>
        </w:rPr>
        <w:t>A partir de la fecha de suscripción del Acta de Inicio del Mantenimiento Periódico Inicial, el CONCESIONARIO presentará al REGULADOR, con copia al CONCEDENTE, un Informe de Avance de Mantenimiento Periódico Inicial a la culminación de cada Hito Funcional, el cual deberá indicar como mínimo lo siguiente:</w:t>
      </w:r>
    </w:p>
    <w:p w14:paraId="48C8BFC6" w14:textId="77777777" w:rsidR="004412F1" w:rsidRDefault="004412F1">
      <w:pPr>
        <w:ind w:left="360"/>
        <w:jc w:val="both"/>
        <w:rPr>
          <w:color w:val="000000"/>
          <w:lang w:val="es-PE"/>
        </w:rPr>
      </w:pPr>
    </w:p>
    <w:p w14:paraId="5871F9B4" w14:textId="77777777" w:rsidR="004412F1" w:rsidRDefault="005A12A3">
      <w:pPr>
        <w:pStyle w:val="Prrafodelista"/>
        <w:numPr>
          <w:ilvl w:val="0"/>
          <w:numId w:val="221"/>
        </w:numPr>
        <w:jc w:val="both"/>
        <w:rPr>
          <w:lang w:val="es-PE"/>
        </w:rPr>
      </w:pPr>
      <w:r>
        <w:rPr>
          <w:lang w:val="es-PE"/>
        </w:rPr>
        <w:t>El cumplimiento del Hito Funcional correspondiente.</w:t>
      </w:r>
    </w:p>
    <w:p w14:paraId="27854203" w14:textId="77777777" w:rsidR="004412F1" w:rsidRDefault="005A12A3">
      <w:pPr>
        <w:pStyle w:val="Prrafodelista"/>
        <w:numPr>
          <w:ilvl w:val="0"/>
          <w:numId w:val="221"/>
        </w:numPr>
        <w:jc w:val="both"/>
        <w:rPr>
          <w:lang w:val="es-PE"/>
        </w:rPr>
      </w:pPr>
      <w:r>
        <w:rPr>
          <w:lang w:val="es-PE"/>
        </w:rPr>
        <w:t>La valorización del Avance de Mantenimiento Periódico Inicial del correspondiente Hito Funcional, determinada como la sumatoria de los montos (precios unitarios por metrados ejecutados) de las partidas y subpartidas ejecutadas del presupuesto aprobado en el ET para el subtramo que corresponda al Hito Funcional.</w:t>
      </w:r>
    </w:p>
    <w:p w14:paraId="3E423BD7" w14:textId="77777777" w:rsidR="004412F1" w:rsidRDefault="005A12A3">
      <w:pPr>
        <w:pStyle w:val="Prrafodelista"/>
        <w:numPr>
          <w:ilvl w:val="0"/>
          <w:numId w:val="221"/>
        </w:numPr>
        <w:jc w:val="both"/>
        <w:rPr>
          <w:lang w:val="es-PE"/>
        </w:rPr>
      </w:pPr>
      <w:r>
        <w:rPr>
          <w:lang w:val="es-PE"/>
        </w:rPr>
        <w:t>La relación de partidas y subpartidas, con sus respectivas cantidades y unidades de medida ejecutadas durante el periodo correspondiente al respectivo Hito Funcional y acumuladas desde el inicio de la ejecución del Mantenimiento Periódico Inicial. Entiéndase como subpartida cada una de las actividades que permiten la culminación o ejecución de una partida relacionada al Hito Funcional.</w:t>
      </w:r>
    </w:p>
    <w:p w14:paraId="0DFE7D47" w14:textId="77777777" w:rsidR="004412F1" w:rsidRDefault="004412F1">
      <w:pPr>
        <w:ind w:left="426"/>
        <w:jc w:val="both"/>
        <w:rPr>
          <w:lang w:val="es-PE"/>
        </w:rPr>
      </w:pPr>
    </w:p>
    <w:p w14:paraId="7718BBEB" w14:textId="77777777" w:rsidR="004412F1" w:rsidRDefault="005A12A3">
      <w:pPr>
        <w:numPr>
          <w:ilvl w:val="0"/>
          <w:numId w:val="219"/>
        </w:numPr>
        <w:jc w:val="both"/>
        <w:rPr>
          <w:color w:val="000000"/>
          <w:lang w:val="es-PE"/>
        </w:rPr>
      </w:pPr>
      <w:r>
        <w:rPr>
          <w:color w:val="000000"/>
          <w:lang w:val="es-PE"/>
        </w:rPr>
        <w:t xml:space="preserve">Los Informes de Avance de Mantenimiento Periódico Inicial que acrediten el Hito Funcional deberán ser presentados por el CONCESIONARIO al REGULADOR, con copia al CONCEDENTE, dentro de los tres (3) Días Hábiles de cumplido cada Hito Funcional. </w:t>
      </w:r>
    </w:p>
    <w:p w14:paraId="0AEE303E" w14:textId="77777777" w:rsidR="004412F1" w:rsidRDefault="004412F1">
      <w:pPr>
        <w:ind w:left="426"/>
        <w:jc w:val="both"/>
        <w:rPr>
          <w:lang w:val="es-PE"/>
        </w:rPr>
      </w:pPr>
    </w:p>
    <w:p w14:paraId="6EBD7663" w14:textId="77777777" w:rsidR="004412F1" w:rsidRDefault="005A12A3">
      <w:pPr>
        <w:numPr>
          <w:ilvl w:val="0"/>
          <w:numId w:val="219"/>
        </w:numPr>
        <w:jc w:val="both"/>
        <w:rPr>
          <w:color w:val="000000"/>
          <w:lang w:val="es-PE"/>
        </w:rPr>
      </w:pPr>
      <w:r>
        <w:rPr>
          <w:color w:val="000000"/>
          <w:lang w:val="es-PE"/>
        </w:rPr>
        <w:t>La elaboración del formato de los Informes de Avance de Mantenimiento Periódico Inicial corresponderá al CONCESIONARIO. Para ello, el CONCESIONARIO, con una anticipación de cincuenta (50) Días Calendario a la emisión del primer Informe de Avance de Mantenimiento Periódico Inicial, deberá enviar al REGULADOR el formato a utilizar para la preparación de dichos informes. En un plazo de diez (10) Días Calendario, el REGULADOR enviará al CONCESIONARIO sus observaciones u conformidad. En caso el REGULADOR tenga observaciones, el CONCESIONARIO deberá subsanarlas en un plazo de cinco (5) Días Calendario de recibidas y deberá enviar el formato de Informe de Avance de Mantenimiento Periódico Inicial revisado al REGULADOR en dicho plazo. En este caso, el REGULADOR contará con un plazo de cinco (5) Días Calendario para enviar al CONCESIONARIO su conformidad.</w:t>
      </w:r>
    </w:p>
    <w:p w14:paraId="7573B92F" w14:textId="77777777" w:rsidR="004412F1" w:rsidRDefault="004412F1">
      <w:pPr>
        <w:ind w:left="426"/>
        <w:jc w:val="both"/>
        <w:rPr>
          <w:lang w:val="es-PE"/>
        </w:rPr>
      </w:pPr>
    </w:p>
    <w:p w14:paraId="73943EC6" w14:textId="77777777" w:rsidR="004412F1" w:rsidRDefault="005A12A3">
      <w:pPr>
        <w:numPr>
          <w:ilvl w:val="0"/>
          <w:numId w:val="219"/>
        </w:numPr>
        <w:jc w:val="both"/>
        <w:rPr>
          <w:color w:val="000000"/>
          <w:lang w:val="es-PE"/>
        </w:rPr>
      </w:pPr>
      <w:r>
        <w:rPr>
          <w:color w:val="000000"/>
          <w:lang w:val="es-PE"/>
        </w:rPr>
        <w:t>El REGULADOR tendrá un plazo no mayor de quince (15) Días Hábiles para revisar el Informe de Avance de Mantenimiento Periódico Inicial que acredite la culminación del respectivo Hito Funcional desde su presentación por el CONCESIONARIO y verificar que las partidas se hayan ejecutado conforme al ET.</w:t>
      </w:r>
    </w:p>
    <w:p w14:paraId="19393821" w14:textId="77777777" w:rsidR="004412F1" w:rsidRDefault="004412F1">
      <w:pPr>
        <w:ind w:left="360"/>
        <w:jc w:val="both"/>
        <w:rPr>
          <w:color w:val="000000"/>
          <w:lang w:val="es-PE"/>
        </w:rPr>
      </w:pPr>
    </w:p>
    <w:p w14:paraId="432B09C1" w14:textId="77777777" w:rsidR="004412F1" w:rsidRDefault="005A12A3">
      <w:pPr>
        <w:numPr>
          <w:ilvl w:val="0"/>
          <w:numId w:val="219"/>
        </w:numPr>
        <w:jc w:val="both"/>
        <w:rPr>
          <w:color w:val="000000"/>
          <w:lang w:val="es-PE"/>
        </w:rPr>
      </w:pPr>
      <w:r>
        <w:rPr>
          <w:color w:val="000000"/>
          <w:lang w:val="es-PE"/>
        </w:rPr>
        <w:t xml:space="preserve">Dentro de dicho plazo, el REGULADOR deberá proceder conforme a lo siguiente: </w:t>
      </w:r>
    </w:p>
    <w:p w14:paraId="6521FAB1" w14:textId="77777777" w:rsidR="004412F1" w:rsidRDefault="004412F1">
      <w:pPr>
        <w:ind w:left="426"/>
        <w:jc w:val="both"/>
        <w:rPr>
          <w:lang w:val="es-PE"/>
        </w:rPr>
      </w:pPr>
    </w:p>
    <w:p w14:paraId="639B4060" w14:textId="77777777" w:rsidR="004412F1" w:rsidRDefault="005A12A3">
      <w:pPr>
        <w:pStyle w:val="Prrafodelista"/>
        <w:numPr>
          <w:ilvl w:val="0"/>
          <w:numId w:val="222"/>
        </w:numPr>
        <w:jc w:val="both"/>
        <w:rPr>
          <w:lang w:val="es-PE"/>
        </w:rPr>
      </w:pPr>
      <w:r>
        <w:rPr>
          <w:lang w:val="es-PE"/>
        </w:rPr>
        <w:t xml:space="preserve">En caso se encuentre conforme, aprobar el Informe de Avance de Mantenimiento Periódico Inicial que acredite la culminación del Hito Funcional; o, </w:t>
      </w:r>
    </w:p>
    <w:p w14:paraId="5601882D" w14:textId="77777777" w:rsidR="004412F1" w:rsidRDefault="005A12A3">
      <w:pPr>
        <w:pStyle w:val="Prrafodelista"/>
        <w:numPr>
          <w:ilvl w:val="0"/>
          <w:numId w:val="222"/>
        </w:numPr>
        <w:jc w:val="both"/>
        <w:rPr>
          <w:lang w:val="es-PE"/>
        </w:rPr>
      </w:pPr>
      <w:r>
        <w:rPr>
          <w:lang w:val="es-PE"/>
        </w:rPr>
        <w:t xml:space="preserve">Solicitar al CONCESIONARIO la subsanación de observaciones. En este caso, el CONCESIONARIO tendrá un plazo de diez (10) Días Hábiles para presentar al REGULADOR la subsanación de observaciones. </w:t>
      </w:r>
    </w:p>
    <w:p w14:paraId="13D2165E" w14:textId="77777777" w:rsidR="004412F1" w:rsidRDefault="005A12A3">
      <w:pPr>
        <w:pStyle w:val="Prrafodelista"/>
        <w:numPr>
          <w:ilvl w:val="0"/>
          <w:numId w:val="222"/>
        </w:numPr>
        <w:jc w:val="both"/>
        <w:rPr>
          <w:lang w:val="es-PE"/>
        </w:rPr>
      </w:pPr>
      <w:r>
        <w:rPr>
          <w:lang w:val="es-PE"/>
        </w:rPr>
        <w:t>El REGULADOR tendrá un plazo de cinco (5) Días Hábiles para aprobar las subsanaciones a las observaciones efectuadas. No se podrán hacer nuevas observaciones a las efectuadas inicialmente.</w:t>
      </w:r>
    </w:p>
    <w:p w14:paraId="7DB0DCD3" w14:textId="77777777" w:rsidR="004412F1" w:rsidRDefault="004412F1">
      <w:pPr>
        <w:ind w:left="426"/>
        <w:jc w:val="both"/>
        <w:rPr>
          <w:lang w:val="es-PE"/>
        </w:rPr>
      </w:pPr>
    </w:p>
    <w:p w14:paraId="05149234" w14:textId="77777777" w:rsidR="004412F1" w:rsidRDefault="005A12A3">
      <w:pPr>
        <w:numPr>
          <w:ilvl w:val="0"/>
          <w:numId w:val="219"/>
        </w:numPr>
        <w:jc w:val="both"/>
        <w:rPr>
          <w:color w:val="000000"/>
          <w:lang w:val="es-PE"/>
        </w:rPr>
      </w:pPr>
      <w:r>
        <w:rPr>
          <w:color w:val="000000"/>
          <w:lang w:val="es-PE"/>
        </w:rPr>
        <w:t xml:space="preserve">En caso el REGULADOR no emita un pronunciamiento respecto a la conformidad del Informe de Avance de Mantenimiento Periódico Inicial que acredite la culminación del respectivo Hito Funcional en los plazos señalado en el numeral anterior, podrá comunicar al CONCESIONARIO la ampliación del plazo para la conformidad hasta en cinco (05) días hábiles posteriores a la fecha de cumplimiento del plazo original. </w:t>
      </w:r>
    </w:p>
    <w:p w14:paraId="013978A3" w14:textId="77777777" w:rsidR="004412F1" w:rsidRDefault="004412F1">
      <w:pPr>
        <w:ind w:left="426"/>
        <w:jc w:val="both"/>
        <w:rPr>
          <w:lang w:val="es-PE"/>
        </w:rPr>
      </w:pPr>
    </w:p>
    <w:p w14:paraId="14D5AAFB" w14:textId="77777777" w:rsidR="004412F1" w:rsidRDefault="005A12A3">
      <w:pPr>
        <w:numPr>
          <w:ilvl w:val="0"/>
          <w:numId w:val="219"/>
        </w:numPr>
        <w:jc w:val="both"/>
        <w:rPr>
          <w:lang w:val="es-PE"/>
        </w:rPr>
      </w:pPr>
      <w:r>
        <w:rPr>
          <w:color w:val="000000"/>
          <w:lang w:val="es-PE"/>
        </w:rPr>
        <w:t>Cumplido el plazo otorgado en la cláusula precedente, y en caso el REGULADOR no emita su pronunciamiento, se entenderá que su opinión es favorable.</w:t>
      </w:r>
    </w:p>
    <w:p w14:paraId="640D27A3" w14:textId="77777777" w:rsidR="004412F1" w:rsidRDefault="004412F1">
      <w:pPr>
        <w:ind w:left="426"/>
        <w:jc w:val="both"/>
        <w:rPr>
          <w:lang w:val="es-PE"/>
        </w:rPr>
      </w:pPr>
    </w:p>
    <w:p w14:paraId="67B6965B" w14:textId="77777777" w:rsidR="004412F1" w:rsidRDefault="005A12A3">
      <w:pPr>
        <w:numPr>
          <w:ilvl w:val="0"/>
          <w:numId w:val="219"/>
        </w:numPr>
        <w:jc w:val="both"/>
        <w:rPr>
          <w:color w:val="000000"/>
          <w:lang w:val="es-PE"/>
        </w:rPr>
      </w:pPr>
      <w:r>
        <w:rPr>
          <w:color w:val="000000"/>
          <w:lang w:val="es-PE"/>
        </w:rPr>
        <w:t>En caso el CONCESIONARIO no subsane las observaciones en el plazo señalado en el literal b) del numeral 20 del presente Apéndice, podrá solicitar al REGULADOR una ampliación del plazo de hasta cinco (05) Días Calendario. Si culminado el nuevo plazo, el CONCESIONARIO no subsana las observaciones brindadas por el REGULADOR, se considerará al Informe de Avance del Mantenimiento Periódico Inicial de dicho Hito Funcional como no presentado. El CONCESIONARIO deberá volver a presentar el Informe de Avance cuando concluya las actividades del Hito Funcional correspondiente.</w:t>
      </w:r>
    </w:p>
    <w:p w14:paraId="62B3060F" w14:textId="77777777" w:rsidR="004412F1" w:rsidRDefault="004412F1">
      <w:pPr>
        <w:ind w:left="360"/>
        <w:jc w:val="both"/>
        <w:rPr>
          <w:color w:val="000000"/>
          <w:lang w:val="es-PE"/>
        </w:rPr>
      </w:pPr>
    </w:p>
    <w:p w14:paraId="08FC67F6" w14:textId="77777777" w:rsidR="004412F1" w:rsidRDefault="005A12A3">
      <w:pPr>
        <w:numPr>
          <w:ilvl w:val="0"/>
          <w:numId w:val="219"/>
        </w:numPr>
        <w:jc w:val="both"/>
        <w:rPr>
          <w:lang w:val="es-PE"/>
        </w:rPr>
      </w:pPr>
      <w:r>
        <w:rPr>
          <w:color w:val="000000"/>
          <w:lang w:val="es-PE"/>
        </w:rPr>
        <w:t>Los errores de diseño y</w:t>
      </w:r>
      <w:r>
        <w:rPr>
          <w:lang w:val="es-PE"/>
        </w:rPr>
        <w:t xml:space="preserve"> construcción no serán reconocidos en la valorización del Avance de Mantenimiento Periódico Inicial.</w:t>
      </w:r>
    </w:p>
    <w:p w14:paraId="562CFB2B" w14:textId="77777777" w:rsidR="004412F1" w:rsidRDefault="004412F1">
      <w:pPr>
        <w:ind w:left="426"/>
        <w:jc w:val="both"/>
        <w:rPr>
          <w:lang w:val="es-PE"/>
        </w:rPr>
      </w:pPr>
    </w:p>
    <w:p w14:paraId="16AC804F" w14:textId="77777777" w:rsidR="004412F1" w:rsidRDefault="005A12A3">
      <w:pPr>
        <w:numPr>
          <w:ilvl w:val="0"/>
          <w:numId w:val="219"/>
        </w:numPr>
        <w:jc w:val="both"/>
        <w:rPr>
          <w:rFonts w:eastAsia="Times New Roman"/>
          <w:bCs/>
          <w:color w:val="000000"/>
          <w:szCs w:val="18"/>
          <w:lang w:val="es-ES" w:eastAsia="es-ES"/>
        </w:rPr>
      </w:pPr>
      <w:r>
        <w:rPr>
          <w:color w:val="000000"/>
          <w:lang w:val="es-PE"/>
        </w:rPr>
        <w:t xml:space="preserve">Una vez aprobado el Informe de Avance de Mantenimiento Periódico Inicial correspondiente, el REGULADOR tendrá un plazo de cinco (5) Días Hábiles para emitir el Reporte de Revisión de Mantenimiento Periódico Inicial, el cual deberá ser entregado al CONCEDENTE y al CONCESIONARIO. </w:t>
      </w:r>
    </w:p>
    <w:p w14:paraId="72C30873" w14:textId="77777777" w:rsidR="004412F1" w:rsidRDefault="004412F1">
      <w:pPr>
        <w:jc w:val="both"/>
        <w:rPr>
          <w:lang w:val="es-PE"/>
        </w:rPr>
      </w:pPr>
    </w:p>
    <w:p w14:paraId="3F2814FF" w14:textId="77777777" w:rsidR="004412F1" w:rsidRDefault="005A12A3">
      <w:pPr>
        <w:jc w:val="both"/>
        <w:rPr>
          <w:lang w:val="es-PE"/>
        </w:rPr>
      </w:pPr>
      <w:r>
        <w:rPr>
          <w:b/>
          <w:bCs/>
          <w:lang w:val="es-PE"/>
        </w:rPr>
        <w:t>Procedimiento para el reconocimiento y emisión de CAMPIs</w:t>
      </w:r>
      <w:r>
        <w:rPr>
          <w:lang w:val="es-PE"/>
        </w:rPr>
        <w:t xml:space="preserve"> </w:t>
      </w:r>
    </w:p>
    <w:p w14:paraId="7FBA3FCB" w14:textId="77777777" w:rsidR="004412F1" w:rsidRDefault="004412F1">
      <w:pPr>
        <w:ind w:left="426"/>
        <w:jc w:val="both"/>
        <w:rPr>
          <w:lang w:val="es-PE"/>
        </w:rPr>
      </w:pPr>
    </w:p>
    <w:p w14:paraId="272E41B0" w14:textId="77777777" w:rsidR="004412F1" w:rsidRDefault="005A12A3">
      <w:pPr>
        <w:numPr>
          <w:ilvl w:val="0"/>
          <w:numId w:val="219"/>
        </w:numPr>
        <w:jc w:val="both"/>
        <w:rPr>
          <w:color w:val="000000"/>
          <w:lang w:val="es-PE"/>
        </w:rPr>
      </w:pPr>
      <w:r>
        <w:rPr>
          <w:color w:val="000000"/>
          <w:lang w:val="es-PE"/>
        </w:rPr>
        <w:t xml:space="preserve">Culminado un Hito Funcional, así como aprobado el Informe de Avance de Mantenimiento Periódico Inicial y emitido el Reporte de Revisión de Mantenimiento Periódico Inicial correspondiente, </w:t>
      </w:r>
      <w:r>
        <w:rPr>
          <w:color w:val="000000" w:themeColor="text1"/>
          <w:lang w:val="es-PE"/>
        </w:rPr>
        <w:t xml:space="preserve">donde se verifique la culminación de un Hito Funcional, el REGULADOR deberá emitir el Certificado de Avance de Mantenimiento Periódico Inicial (CAMPI) correspondiente a más tardar cinco (05) Días desde la emisión de dicho reporte, de acuerdo </w:t>
      </w:r>
      <w:r>
        <w:rPr>
          <w:color w:val="000000"/>
          <w:lang w:val="es-PE"/>
        </w:rPr>
        <w:t xml:space="preserve">con el formato incluido en el Apéndice 5.2 del presente Anexo. </w:t>
      </w:r>
    </w:p>
    <w:p w14:paraId="349AC8FE" w14:textId="77777777" w:rsidR="004412F1" w:rsidRDefault="004412F1">
      <w:pPr>
        <w:ind w:left="426"/>
        <w:jc w:val="both"/>
        <w:rPr>
          <w:lang w:val="es-PE"/>
        </w:rPr>
      </w:pPr>
    </w:p>
    <w:p w14:paraId="311D79C3" w14:textId="77777777" w:rsidR="004412F1" w:rsidRDefault="005A12A3">
      <w:pPr>
        <w:ind w:left="426"/>
        <w:jc w:val="both"/>
        <w:rPr>
          <w:lang w:val="es-PE"/>
        </w:rPr>
      </w:pPr>
      <w:r>
        <w:rPr>
          <w:lang w:val="es-PE"/>
        </w:rPr>
        <w:t>La emisión del último CAMPI estará condicionada a la aceptación, por parte del CONCEDENTE, de la totalidad de las intervenciones del Mantenimiento Periódico Inicial que acrediten la culminación del 100% de los Hitos Funcionales.</w:t>
      </w:r>
    </w:p>
    <w:p w14:paraId="52D4FE3D" w14:textId="77777777" w:rsidR="004412F1" w:rsidRDefault="004412F1">
      <w:pPr>
        <w:ind w:left="426"/>
        <w:jc w:val="both"/>
        <w:rPr>
          <w:lang w:val="es-PE"/>
        </w:rPr>
      </w:pPr>
    </w:p>
    <w:p w14:paraId="502A402D" w14:textId="77777777" w:rsidR="004412F1" w:rsidRDefault="005A12A3">
      <w:pPr>
        <w:numPr>
          <w:ilvl w:val="0"/>
          <w:numId w:val="219"/>
        </w:numPr>
        <w:jc w:val="both"/>
        <w:rPr>
          <w:color w:val="000000"/>
          <w:lang w:val="es-PE"/>
        </w:rPr>
      </w:pPr>
      <w:r>
        <w:rPr>
          <w:color w:val="000000"/>
          <w:lang w:val="es-PE"/>
        </w:rPr>
        <w:t xml:space="preserve">Cada CAMPI emitido por el REGULADOR generará derechos de cobro a favor del CONCESIONARIO, proporcionales al PAMPI, denominados FPAMPI, siendo que la obtención de todos los CAMPI significará la obtención del derecho a cobrar el 100% del PAMPI. Por consiguiente, una vez expedido cada CAMPI, el CONCEDENTE tendrá la obligación irrevocable e incondicional de pagar al CONCESIONARIO los correspondientes FPAMPI, a través del Fideicomiso de Administración, conforme a lo previsto en el Contrato. </w:t>
      </w:r>
    </w:p>
    <w:p w14:paraId="7FECEC44" w14:textId="77777777" w:rsidR="004412F1" w:rsidRDefault="004412F1">
      <w:pPr>
        <w:ind w:left="426"/>
        <w:jc w:val="both"/>
        <w:rPr>
          <w:lang w:val="es-PE"/>
        </w:rPr>
      </w:pPr>
    </w:p>
    <w:p w14:paraId="3F30D873" w14:textId="77777777" w:rsidR="004412F1" w:rsidRDefault="005A12A3">
      <w:pPr>
        <w:ind w:left="426"/>
        <w:jc w:val="both"/>
        <w:rPr>
          <w:lang w:val="es-PE"/>
        </w:rPr>
      </w:pPr>
      <w:r>
        <w:rPr>
          <w:lang w:val="es-PE"/>
        </w:rPr>
        <w:t>A dicho efecto, una vez emitido cada CAMPI por parte del REGULADOR conforme a lo previsto en el numeral anterior y presentada la factura correspondiente por parte del CONCESIONARIO, o por quién lo represente, conforme a las Leyes y Disposiciones Aplicables, el CONCEDENTE deberá depositar en la cuenta del Fideicomiso de Administración que corresponda los montos dinerarios necesarios para pagar al CONCESIONARIO los correspondientes FPAMPI y, además, de ser aplicable conforme al Fideicomiso de Administración, deberá instruir al fiduciario del Fideicomiso de Administración a fin de que realice el pago de los correspondientes FPAMPI conforme a lo previsto en el Contrato.</w:t>
      </w:r>
    </w:p>
    <w:p w14:paraId="4FEC9569" w14:textId="77777777" w:rsidR="004412F1" w:rsidRDefault="004412F1">
      <w:pPr>
        <w:ind w:left="426"/>
        <w:jc w:val="both"/>
        <w:rPr>
          <w:lang w:val="es-PE"/>
        </w:rPr>
      </w:pPr>
    </w:p>
    <w:p w14:paraId="422CAA9F" w14:textId="77777777" w:rsidR="004412F1" w:rsidRDefault="005A12A3">
      <w:pPr>
        <w:numPr>
          <w:ilvl w:val="0"/>
          <w:numId w:val="219"/>
        </w:numPr>
        <w:jc w:val="both"/>
        <w:rPr>
          <w:color w:val="000000"/>
          <w:lang w:val="es-PE"/>
        </w:rPr>
      </w:pPr>
      <w:r>
        <w:rPr>
          <w:color w:val="000000"/>
          <w:lang w:val="es-PE"/>
        </w:rPr>
        <w:t xml:space="preserve">Cada CAMPI dará origen a sesenta (60) FPAMPI. </w:t>
      </w:r>
    </w:p>
    <w:p w14:paraId="469A688F" w14:textId="77777777" w:rsidR="004412F1" w:rsidRDefault="004412F1">
      <w:pPr>
        <w:ind w:left="426"/>
        <w:jc w:val="both"/>
        <w:rPr>
          <w:lang w:val="es-PE"/>
        </w:rPr>
      </w:pPr>
    </w:p>
    <w:p w14:paraId="2CAA04C6" w14:textId="77777777" w:rsidR="004412F1" w:rsidRDefault="005A12A3">
      <w:pPr>
        <w:numPr>
          <w:ilvl w:val="0"/>
          <w:numId w:val="219"/>
        </w:numPr>
        <w:jc w:val="both"/>
        <w:rPr>
          <w:color w:val="000000"/>
          <w:lang w:val="es-PE"/>
        </w:rPr>
      </w:pPr>
      <w:r>
        <w:rPr>
          <w:color w:val="000000" w:themeColor="text1"/>
          <w:lang w:val="es-PE"/>
        </w:rPr>
        <w:t xml:space="preserve">El REGULADOR afectará cada CAMPI por el índice de ajuste de precios de construcción (IAP), establecido en el ET aprobado, desde la fecha de la Suscripción del Contrato de Concesión hasta la fecha de culminación del Hito Funcional del CAMPI correspondiente. La fórmula polinómica que se utiliza para determinar el IAP y que estará establecida en cada ET deberá ser redactada de conformidad con el Decreto Supremo No. 011-79-VC, decreto supremo que implementa y adecúa el decreto supremo sobre contratación de obras públicas, o el decreto que lo modifique o sustituya. Esta fórmula reflejará la composición de costos de la obra que se determine en el ET aprobado.  </w:t>
      </w:r>
    </w:p>
    <w:p w14:paraId="1185FD12" w14:textId="77777777" w:rsidR="004412F1" w:rsidRDefault="004412F1">
      <w:pPr>
        <w:ind w:left="426"/>
        <w:jc w:val="both"/>
        <w:rPr>
          <w:lang w:val="es-PE"/>
        </w:rPr>
      </w:pPr>
    </w:p>
    <w:p w14:paraId="5C4A468C" w14:textId="77777777" w:rsidR="004412F1" w:rsidRDefault="005A12A3">
      <w:pPr>
        <w:ind w:left="426"/>
        <w:jc w:val="both"/>
        <w:rPr>
          <w:lang w:val="es-PE"/>
        </w:rPr>
      </w:pPr>
      <w:r>
        <w:rPr>
          <w:lang w:val="es-PE"/>
        </w:rPr>
        <w:t xml:space="preserve">Cada CAMPIi ajustado dará origen a un </w:t>
      </w:r>
      <w:r>
        <w:t>Δ</w:t>
      </w:r>
      <w:r>
        <w:rPr>
          <w:lang w:val="es-PE"/>
        </w:rPr>
        <w:t>CAMPIi, medido como porcentaje del CAMPIi, y se calculará de la siguiente manera:</w:t>
      </w:r>
    </w:p>
    <w:p w14:paraId="28814CBE" w14:textId="77777777" w:rsidR="004412F1" w:rsidRDefault="004412F1">
      <w:pPr>
        <w:ind w:left="426"/>
        <w:jc w:val="both"/>
        <w:rPr>
          <w:lang w:val="es-PE"/>
        </w:rPr>
      </w:pPr>
    </w:p>
    <w:p w14:paraId="0369CD60" w14:textId="77777777" w:rsidR="004412F1" w:rsidRDefault="00000000">
      <w:pPr>
        <w:ind w:left="426"/>
        <w:jc w:val="center"/>
        <w:rPr>
          <w:sz w:val="20"/>
          <w:szCs w:val="20"/>
        </w:rPr>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CAMPI</m:t>
              </m:r>
            </m:e>
            <m:sub>
              <m:r>
                <m:rPr>
                  <m:sty m:val="p"/>
                </m:rPr>
                <w:rPr>
                  <w:rFonts w:ascii="Cambria Math" w:eastAsia="MS Mincho"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CAMPI</m:t>
              </m:r>
            </m:e>
            <m:sub>
              <m:r>
                <m:rPr>
                  <m:sty m:val="p"/>
                </m:rPr>
                <w:rPr>
                  <w:rFonts w:ascii="Cambria Math" w:eastAsia="Arial Unicode MS" w:hAnsi="Cambria Math" w:cstheme="minorHAnsi"/>
                  <w:sz w:val="20"/>
                  <w:szCs w:val="20"/>
                </w:rPr>
                <m:t>i</m:t>
              </m:r>
            </m:sub>
          </m:sSub>
          <m:r>
            <w:rPr>
              <w:rFonts w:ascii="Cambria Math" w:eastAsia="Arial Unicode MS" w:hAnsi="Cambria Math" w:cstheme="minorHAnsi"/>
              <w:sz w:val="20"/>
              <w:szCs w:val="20"/>
            </w:rPr>
            <m:t xml:space="preserve">   </m:t>
          </m:r>
          <m:r>
            <m:rPr>
              <m:sty m:val="p"/>
            </m:rPr>
            <w:rPr>
              <w:rFonts w:ascii="Cambria Math" w:eastAsia="Arial Unicode MS" w:hAnsi="Cambria Math" w:cstheme="minorHAnsi"/>
              <w:sz w:val="20"/>
              <w:szCs w:val="20"/>
            </w:rPr>
            <m:t xml:space="preserve">x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IAP</m:t>
              </m:r>
            </m:e>
            <m:sub>
              <m:r>
                <m:rPr>
                  <m:sty m:val="p"/>
                </m:rPr>
                <w:rPr>
                  <w:rFonts w:ascii="Cambria Math" w:eastAsia="Arial Unicode MS" w:hAnsi="Cambria Math" w:cstheme="minorHAnsi"/>
                  <w:sz w:val="20"/>
                  <w:szCs w:val="20"/>
                </w:rPr>
                <m:t xml:space="preserve">i </m:t>
              </m:r>
            </m:sub>
          </m:sSub>
        </m:oMath>
      </m:oMathPara>
    </w:p>
    <w:p w14:paraId="0CF87FC5" w14:textId="77777777" w:rsidR="004412F1" w:rsidRDefault="004412F1">
      <w:pPr>
        <w:ind w:left="426"/>
        <w:jc w:val="center"/>
      </w:pPr>
    </w:p>
    <w:p w14:paraId="344A5C45" w14:textId="77777777" w:rsidR="004412F1" w:rsidRDefault="005A12A3">
      <w:pPr>
        <w:ind w:left="426"/>
        <w:jc w:val="center"/>
      </w:pPr>
      <m:oMathPara>
        <m:oMath>
          <m:r>
            <w:rPr>
              <w:rFonts w:ascii="Cambria Math" w:eastAsia="MS Mincho" w:hAnsi="Cambria Math" w:cstheme="minorHAnsi"/>
              <w:sz w:val="20"/>
              <w:szCs w:val="20"/>
            </w:rPr>
            <m:t>∆</m:t>
          </m:r>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 xml:space="preserve"> CAMPI</m:t>
              </m:r>
            </m:e>
            <m:sub>
              <m:r>
                <m:rPr>
                  <m:sty m:val="p"/>
                </m:rPr>
                <w:rPr>
                  <w:rFonts w:ascii="Cambria Math" w:eastAsia="MS Mincho" w:hAnsi="Cambria Math" w:cstheme="minorHAnsi"/>
                  <w:sz w:val="20"/>
                  <w:szCs w:val="20"/>
                </w:rPr>
                <m:t xml:space="preserve">i </m:t>
              </m:r>
            </m:sub>
          </m:sSub>
          <m:r>
            <w:rPr>
              <w:rFonts w:ascii="Cambria Math" w:eastAsia="Arial Unicode MS" w:hAnsi="Cambria Math" w:cstheme="minorHAnsi"/>
              <w:sz w:val="20"/>
              <w:szCs w:val="20"/>
            </w:rPr>
            <m:t>=</m:t>
          </m:r>
          <m:f>
            <m:fPr>
              <m:ctrlPr>
                <w:rPr>
                  <w:rFonts w:ascii="Cambria Math" w:eastAsia="Arial Unicode MS" w:hAnsi="Cambria Math" w:cstheme="minorHAnsi"/>
                  <w:i/>
                  <w:iCs/>
                  <w:sz w:val="20"/>
                  <w:szCs w:val="20"/>
                </w:rPr>
              </m:ctrlPr>
            </m:fPr>
            <m:num>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CAMPI</m:t>
                  </m:r>
                </m:e>
                <m:sub>
                  <m:r>
                    <m:rPr>
                      <m:sty m:val="p"/>
                    </m:rPr>
                    <w:rPr>
                      <w:rFonts w:ascii="Cambria Math" w:eastAsia="Arial Unicode MS"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CAMPI</m:t>
                  </m:r>
                </m:e>
                <m:sub>
                  <m:r>
                    <m:rPr>
                      <m:sty m:val="p"/>
                    </m:rPr>
                    <w:rPr>
                      <w:rFonts w:ascii="Cambria Math" w:eastAsia="Arial Unicode MS" w:hAnsi="Cambria Math" w:cstheme="minorHAnsi"/>
                      <w:sz w:val="20"/>
                      <w:szCs w:val="20"/>
                    </w:rPr>
                    <m:t xml:space="preserve">i </m:t>
                  </m:r>
                </m:sub>
              </m:sSub>
              <m:r>
                <w:rPr>
                  <w:rFonts w:ascii="Cambria Math" w:eastAsia="Arial Unicode MS" w:hAnsi="Cambria Math" w:cstheme="minorHAnsi"/>
                  <w:sz w:val="20"/>
                  <w:szCs w:val="20"/>
                </w:rPr>
                <m:t>)</m:t>
              </m:r>
            </m:num>
            <m:den>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CAMPI</m:t>
                  </m:r>
                </m:e>
                <m:sub>
                  <m:r>
                    <m:rPr>
                      <m:sty m:val="p"/>
                    </m:rPr>
                    <w:rPr>
                      <w:rFonts w:ascii="Cambria Math" w:eastAsia="Arial Unicode MS" w:hAnsi="Cambria Math" w:cstheme="minorHAnsi"/>
                      <w:sz w:val="20"/>
                      <w:szCs w:val="20"/>
                    </w:rPr>
                    <m:t xml:space="preserve">i </m:t>
                  </m:r>
                </m:sub>
              </m:sSub>
              <m:ctrlPr>
                <w:rPr>
                  <w:rFonts w:ascii="Cambria Math" w:eastAsia="Arial Unicode MS" w:hAnsi="Cambria Math" w:cstheme="minorHAnsi"/>
                  <w:i/>
                  <w:sz w:val="20"/>
                  <w:szCs w:val="20"/>
                </w:rPr>
              </m:ctrlPr>
            </m:den>
          </m:f>
        </m:oMath>
      </m:oMathPara>
    </w:p>
    <w:p w14:paraId="23C28348" w14:textId="77777777" w:rsidR="004412F1" w:rsidRDefault="004412F1">
      <w:pPr>
        <w:ind w:left="426"/>
        <w:jc w:val="both"/>
      </w:pPr>
    </w:p>
    <w:p w14:paraId="78332E2E" w14:textId="77777777" w:rsidR="004412F1" w:rsidRDefault="005A12A3">
      <w:pPr>
        <w:spacing w:line="276" w:lineRule="auto"/>
        <w:ind w:left="1276"/>
        <w:rPr>
          <w:rFonts w:eastAsia="Arial Unicode MS"/>
          <w:sz w:val="20"/>
          <w:szCs w:val="20"/>
        </w:rPr>
      </w:pPr>
      <w:r>
        <w:rPr>
          <w:sz w:val="20"/>
        </w:rPr>
        <w:t>Donde:</w:t>
      </w:r>
    </w:p>
    <w:p w14:paraId="5E7F906C" w14:textId="77777777" w:rsidR="004412F1" w:rsidRDefault="004412F1">
      <w:pPr>
        <w:rPr>
          <w:sz w:val="20"/>
          <w:szCs w:val="20"/>
        </w:rPr>
      </w:pPr>
    </w:p>
    <w:tbl>
      <w:tblPr>
        <w:tblStyle w:val="Tablaconcuadrcula"/>
        <w:tblW w:w="7371"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84"/>
        <w:gridCol w:w="5533"/>
      </w:tblGrid>
      <w:tr w:rsidR="004412F1" w14:paraId="3302781B" w14:textId="77777777">
        <w:tc>
          <w:tcPr>
            <w:tcW w:w="1554" w:type="dxa"/>
          </w:tcPr>
          <w:p w14:paraId="5ED466DC" w14:textId="77777777" w:rsidR="004412F1" w:rsidRDefault="005A12A3">
            <w:pPr>
              <w:rPr>
                <w:vertAlign w:val="subscript"/>
                <w:lang w:val="es-PE"/>
              </w:rPr>
            </w:pPr>
            <w:r>
              <w:rPr>
                <w:rFonts w:eastAsia="Arial Unicode MS"/>
                <w:lang w:val="es-PE"/>
              </w:rPr>
              <w:t>CAMPI</w:t>
            </w:r>
            <w:r>
              <w:rPr>
                <w:rFonts w:eastAsia="Arial Unicode MS"/>
                <w:vertAlign w:val="subscript"/>
                <w:lang w:val="es-PE"/>
              </w:rPr>
              <w:t>i ajustado</w:t>
            </w:r>
          </w:p>
        </w:tc>
        <w:tc>
          <w:tcPr>
            <w:tcW w:w="284" w:type="dxa"/>
          </w:tcPr>
          <w:p w14:paraId="157AE7C8" w14:textId="77777777" w:rsidR="004412F1" w:rsidRDefault="005A12A3">
            <w:pPr>
              <w:rPr>
                <w:lang w:val="es-PE"/>
              </w:rPr>
            </w:pPr>
            <w:r>
              <w:rPr>
                <w:rFonts w:eastAsia="Arial Unicode MS"/>
                <w:lang w:val="es-PE"/>
              </w:rPr>
              <w:t>:</w:t>
            </w:r>
          </w:p>
        </w:tc>
        <w:tc>
          <w:tcPr>
            <w:tcW w:w="5533" w:type="dxa"/>
          </w:tcPr>
          <w:p w14:paraId="271A9FAD" w14:textId="77777777" w:rsidR="004412F1" w:rsidRDefault="005A12A3">
            <w:pPr>
              <w:tabs>
                <w:tab w:val="left" w:pos="1317"/>
              </w:tabs>
              <w:jc w:val="both"/>
              <w:rPr>
                <w:lang w:val="es-PE"/>
              </w:rPr>
            </w:pPr>
            <w:r>
              <w:rPr>
                <w:rFonts w:eastAsia="Arial Unicode MS"/>
                <w:lang w:val="es-PE"/>
              </w:rPr>
              <w:t>Porcentaje de avance de MPI certificado en el “i” ésimo CAMPI ajustado con base en el índice de ajuste de precios de construcción.</w:t>
            </w:r>
          </w:p>
          <w:p w14:paraId="436C7648" w14:textId="77777777" w:rsidR="004412F1" w:rsidRDefault="004412F1">
            <w:pPr>
              <w:tabs>
                <w:tab w:val="left" w:pos="1317"/>
              </w:tabs>
              <w:jc w:val="both"/>
              <w:rPr>
                <w:lang w:val="es-PE"/>
              </w:rPr>
            </w:pPr>
          </w:p>
        </w:tc>
      </w:tr>
      <w:tr w:rsidR="004412F1" w14:paraId="041F07A4" w14:textId="77777777">
        <w:tc>
          <w:tcPr>
            <w:tcW w:w="1554" w:type="dxa"/>
          </w:tcPr>
          <w:p w14:paraId="00C67662" w14:textId="77777777" w:rsidR="004412F1" w:rsidRDefault="005A12A3">
            <w:pPr>
              <w:rPr>
                <w:vertAlign w:val="subscript"/>
                <w:lang w:val="es-PE"/>
              </w:rPr>
            </w:pPr>
            <w:r>
              <w:rPr>
                <w:rFonts w:eastAsia="Arial Unicode MS"/>
                <w:lang w:val="es-PE"/>
              </w:rPr>
              <w:t>IAP</w:t>
            </w:r>
            <w:r>
              <w:rPr>
                <w:rFonts w:eastAsia="Arial Unicode MS"/>
                <w:vertAlign w:val="subscript"/>
                <w:lang w:val="es-PE"/>
              </w:rPr>
              <w:t xml:space="preserve">i </w:t>
            </w:r>
          </w:p>
        </w:tc>
        <w:tc>
          <w:tcPr>
            <w:tcW w:w="284" w:type="dxa"/>
          </w:tcPr>
          <w:p w14:paraId="58B84785" w14:textId="77777777" w:rsidR="004412F1" w:rsidRDefault="005A12A3">
            <w:pPr>
              <w:rPr>
                <w:lang w:val="es-PE"/>
              </w:rPr>
            </w:pPr>
            <w:r>
              <w:rPr>
                <w:rFonts w:eastAsia="Arial Unicode MS"/>
                <w:lang w:val="es-PE"/>
              </w:rPr>
              <w:t>:</w:t>
            </w:r>
          </w:p>
        </w:tc>
        <w:tc>
          <w:tcPr>
            <w:tcW w:w="5533" w:type="dxa"/>
          </w:tcPr>
          <w:p w14:paraId="309CA2D1" w14:textId="77777777" w:rsidR="004412F1" w:rsidRDefault="005A12A3">
            <w:pPr>
              <w:jc w:val="both"/>
              <w:rPr>
                <w:lang w:val="es-PE"/>
              </w:rPr>
            </w:pPr>
            <w:r>
              <w:rPr>
                <w:rFonts w:eastAsia="Arial Unicode MS"/>
                <w:lang w:val="es-PE"/>
              </w:rPr>
              <w:t>Índice de ajuste de precios de construcción, cuyo valor (mayor o menor que 1) resulta de la aplicación de la fórmula polinómica de precios la fecha de suscripción del Contrato de Concesión</w:t>
            </w:r>
            <w:r>
              <w:rPr>
                <w:rFonts w:eastAsia="MS Mincho"/>
                <w:lang w:val="es-PE"/>
              </w:rPr>
              <w:t xml:space="preserve"> </w:t>
            </w:r>
            <w:r>
              <w:rPr>
                <w:rFonts w:eastAsia="Arial Unicode MS"/>
                <w:lang w:val="es-PE"/>
              </w:rPr>
              <w:t>hasta la fecha de culminación del Hito Funcional del CAMPI correspondiente. En caso los precios contenidos no sufran variación alguna, el IAP será equivalente a 1. Si la variación de precios es positiva, el IAP será mayor a 1, y si la variación de precios es negativa, el IAP será menor a 1.</w:t>
            </w:r>
          </w:p>
        </w:tc>
      </w:tr>
    </w:tbl>
    <w:p w14:paraId="3574DEA5" w14:textId="77777777" w:rsidR="004412F1" w:rsidRDefault="004412F1">
      <w:pPr>
        <w:ind w:left="426"/>
        <w:jc w:val="both"/>
        <w:rPr>
          <w:lang w:val="es-PE"/>
        </w:rPr>
      </w:pPr>
    </w:p>
    <w:p w14:paraId="5F8E1F08" w14:textId="77777777" w:rsidR="004412F1" w:rsidRDefault="005A12A3">
      <w:pPr>
        <w:ind w:left="426"/>
        <w:jc w:val="both"/>
        <w:rPr>
          <w:lang w:val="es-PE"/>
        </w:rPr>
      </w:pPr>
      <w:r>
        <w:rPr>
          <w:lang w:val="es-PE"/>
        </w:rPr>
        <w:t xml:space="preserve">El </w:t>
      </w:r>
      <w:r>
        <w:t>Δ</w:t>
      </w:r>
      <w:r>
        <w:rPr>
          <w:lang w:val="es-PE"/>
        </w:rPr>
        <w:t>CAMPIi se consignará en cada CAMPI emitido por REGULADOR de conformidad con el modelo incluido en el Apéndice 5.2 del presente Anexo.</w:t>
      </w:r>
    </w:p>
    <w:p w14:paraId="6A494D7F" w14:textId="77777777" w:rsidR="004412F1" w:rsidRDefault="005A12A3">
      <w:pPr>
        <w:ind w:left="426"/>
        <w:jc w:val="both"/>
        <w:rPr>
          <w:lang w:val="es-PE"/>
        </w:rPr>
      </w:pPr>
      <w:r>
        <w:rPr>
          <w:lang w:val="es-PE"/>
        </w:rPr>
        <w:t xml:space="preserve">Los FPAMPI serán ajustados proporcionalmente a la variación del CAMPI correspondiente, dando origen a una variación del FPAMPI denominado un </w:t>
      </w:r>
      <w:r>
        <w:t>Δ</w:t>
      </w:r>
      <w:r>
        <w:rPr>
          <w:lang w:val="es-PE"/>
        </w:rPr>
        <w:t xml:space="preserve"> FPAMPI, con la siguiente expresión:</w:t>
      </w:r>
    </w:p>
    <w:p w14:paraId="192EE7F1" w14:textId="77777777" w:rsidR="004412F1" w:rsidRDefault="004412F1">
      <w:pPr>
        <w:ind w:left="426"/>
        <w:jc w:val="both"/>
        <w:rPr>
          <w:lang w:val="es-PE"/>
        </w:rPr>
      </w:pPr>
    </w:p>
    <w:p w14:paraId="3784C41F" w14:textId="77777777" w:rsidR="004412F1" w:rsidRDefault="00000000">
      <w:pPr>
        <w:ind w:left="426"/>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 FPAMPI</m:t>
              </m:r>
            </m:e>
            <m:sub>
              <m:r>
                <m:rPr>
                  <m:sty m:val="p"/>
                </m:rPr>
                <w:rPr>
                  <w:rFonts w:ascii="Cambria Math" w:eastAsia="MS Mincho" w:hAnsi="Cambria Math" w:cstheme="minorHAnsi"/>
                  <w:sz w:val="20"/>
                  <w:szCs w:val="20"/>
                </w:rPr>
                <m:t xml:space="preserve">i </m:t>
              </m:r>
            </m:sub>
          </m:sSub>
          <m:r>
            <w:rPr>
              <w:rFonts w:ascii="Cambria Math" w:eastAsia="Arial Unicode MS" w:hAnsi="Cambria Math" w:cstheme="minorHAnsi"/>
              <w:sz w:val="20"/>
              <w:szCs w:val="20"/>
            </w:rPr>
            <m:t xml:space="preserve">  =  </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 CAMPI</m:t>
              </m:r>
            </m:e>
            <m:sub>
              <m:r>
                <m:rPr>
                  <m:sty m:val="p"/>
                </m:rPr>
                <w:rPr>
                  <w:rFonts w:ascii="Cambria Math" w:eastAsia="Arial Unicode MS" w:hAnsi="Cambria Math" w:cstheme="minorHAnsi"/>
                  <w:sz w:val="20"/>
                  <w:szCs w:val="20"/>
                </w:rPr>
                <m:t xml:space="preserve">i </m:t>
              </m:r>
            </m:sub>
          </m:sSub>
          <m:r>
            <w:rPr>
              <w:rFonts w:ascii="Cambria Math" w:eastAsia="Arial Unicode MS" w:hAnsi="Cambria Math" w:cstheme="minorHAnsi"/>
              <w:sz w:val="20"/>
              <w:szCs w:val="20"/>
            </w:rPr>
            <m:t xml:space="preserve">  </m:t>
          </m:r>
          <m:r>
            <m:rPr>
              <m:sty m:val="p"/>
            </m:rPr>
            <w:rPr>
              <w:rFonts w:ascii="Cambria Math" w:eastAsia="Arial Unicode MS" w:hAnsi="Cambria Math" w:cstheme="minorHAnsi"/>
              <w:sz w:val="20"/>
              <w:szCs w:val="20"/>
            </w:rPr>
            <m:t xml:space="preserve">x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FPAMPI</m:t>
              </m:r>
            </m:e>
            <m:sub>
              <m:r>
                <m:rPr>
                  <m:sty m:val="p"/>
                </m:rPr>
                <w:rPr>
                  <w:rFonts w:ascii="Cambria Math" w:eastAsia="Arial Unicode MS" w:hAnsi="Cambria Math" w:cstheme="minorHAnsi"/>
                  <w:sz w:val="20"/>
                  <w:szCs w:val="20"/>
                </w:rPr>
                <m:t>i</m:t>
              </m:r>
            </m:sub>
          </m:sSub>
        </m:oMath>
      </m:oMathPara>
    </w:p>
    <w:p w14:paraId="7B649C3F" w14:textId="77777777" w:rsidR="004412F1" w:rsidRDefault="005A12A3">
      <w:pPr>
        <w:ind w:left="426"/>
        <w:jc w:val="both"/>
        <w:rPr>
          <w:rFonts w:eastAsia="Arial Unicode MS"/>
        </w:rPr>
      </w:pPr>
      <w:r>
        <w:rPr>
          <w:rFonts w:eastAsia="Arial Unicode MS"/>
        </w:rPr>
        <w:t>Por tanto:</w:t>
      </w:r>
    </w:p>
    <w:p w14:paraId="5DCB058F" w14:textId="77777777" w:rsidR="004412F1" w:rsidRDefault="004412F1">
      <w:pPr>
        <w:ind w:left="426"/>
        <w:jc w:val="both"/>
        <w:rPr>
          <w:rFonts w:ascii="Arial Unicode MS" w:eastAsia="Arial Unicode MS" w:hAnsi="Arial Unicode MS" w:cs="Arial Unicode MS"/>
        </w:rPr>
      </w:pPr>
    </w:p>
    <w:p w14:paraId="50A135B6" w14:textId="77777777" w:rsidR="004412F1" w:rsidRDefault="00000000">
      <w:pPr>
        <w:ind w:left="426"/>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FPAMPI</m:t>
              </m:r>
            </m:e>
            <m:sub>
              <m:r>
                <m:rPr>
                  <m:sty m:val="p"/>
                </m:rPr>
                <w:rPr>
                  <w:rFonts w:ascii="Cambria Math" w:eastAsia="MS Mincho"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Arial Unicode MS" w:hAnsi="Cambria Math" w:cstheme="minorHAnsi"/>
                  <w:i/>
                  <w:iCs/>
                  <w:sz w:val="20"/>
                  <w:szCs w:val="20"/>
                </w:rPr>
              </m:ctrlPr>
            </m:sSubPr>
            <m:e>
              <m:r>
                <m:rPr>
                  <m:sty m:val="p"/>
                </m:rPr>
                <w:rPr>
                  <w:rFonts w:ascii="Cambria Math" w:eastAsia="Arial Unicode MS" w:hAnsi="Cambria Math" w:cstheme="minorHAnsi"/>
                  <w:sz w:val="20"/>
                  <w:szCs w:val="20"/>
                </w:rPr>
                <m:t>FPAMPI</m:t>
              </m:r>
            </m:e>
            <m:sub>
              <m:r>
                <m:rPr>
                  <m:sty m:val="p"/>
                </m:rPr>
                <w:rPr>
                  <w:rFonts w:ascii="Cambria Math" w:eastAsia="Arial Unicode MS" w:hAnsi="Cambria Math" w:cstheme="minorHAnsi"/>
                  <w:sz w:val="20"/>
                  <w:szCs w:val="20"/>
                </w:rPr>
                <m:t xml:space="preserve">i </m:t>
              </m:r>
            </m:sub>
          </m:sSub>
          <m:r>
            <m:rPr>
              <m:sty m:val="p"/>
            </m:rPr>
            <w:rPr>
              <w:rFonts w:ascii="Cambria Math" w:eastAsia="Arial Unicode MS" w:hAnsi="Cambria Math" w:cstheme="minorHAnsi"/>
              <w:sz w:val="20"/>
              <w:szCs w:val="20"/>
            </w:rPr>
            <m:t xml:space="preserve">+ ∆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FPAMPI</m:t>
              </m:r>
            </m:e>
            <m:sub>
              <m:r>
                <m:rPr>
                  <m:sty m:val="p"/>
                </m:rPr>
                <w:rPr>
                  <w:rFonts w:ascii="Cambria Math" w:eastAsia="Arial Unicode MS" w:hAnsi="Cambria Math" w:cstheme="minorHAnsi"/>
                  <w:sz w:val="20"/>
                  <w:szCs w:val="20"/>
                </w:rPr>
                <m:t>i</m:t>
              </m:r>
            </m:sub>
          </m:sSub>
        </m:oMath>
      </m:oMathPara>
    </w:p>
    <w:p w14:paraId="53965D22" w14:textId="77777777" w:rsidR="004412F1" w:rsidRDefault="004412F1">
      <w:pPr>
        <w:ind w:left="426"/>
        <w:jc w:val="both"/>
      </w:pPr>
    </w:p>
    <w:tbl>
      <w:tblPr>
        <w:tblStyle w:val="Tablaconcuadrcula"/>
        <w:tblW w:w="7229"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4"/>
        <w:gridCol w:w="5528"/>
      </w:tblGrid>
      <w:tr w:rsidR="004412F1" w14:paraId="1E3121E7" w14:textId="77777777">
        <w:tc>
          <w:tcPr>
            <w:tcW w:w="1417" w:type="dxa"/>
          </w:tcPr>
          <w:p w14:paraId="4A7FCF45" w14:textId="77777777" w:rsidR="004412F1" w:rsidRDefault="005A12A3">
            <w:pPr>
              <w:spacing w:line="276" w:lineRule="auto"/>
              <w:jc w:val="both"/>
              <w:rPr>
                <w:vertAlign w:val="subscript"/>
                <w:lang w:val="es-PE"/>
              </w:rPr>
            </w:pPr>
            <w:r>
              <w:rPr>
                <w:rFonts w:eastAsia="Arial Unicode MS"/>
                <w:lang w:val="es-PE"/>
              </w:rPr>
              <w:t>FPAMPI</w:t>
            </w:r>
            <w:r>
              <w:rPr>
                <w:rFonts w:eastAsia="Arial Unicode MS"/>
                <w:vertAlign w:val="subscript"/>
                <w:lang w:val="es-PE"/>
              </w:rPr>
              <w:t>i ajustado</w:t>
            </w:r>
          </w:p>
        </w:tc>
        <w:tc>
          <w:tcPr>
            <w:tcW w:w="284" w:type="dxa"/>
          </w:tcPr>
          <w:p w14:paraId="243F75D1" w14:textId="77777777" w:rsidR="004412F1" w:rsidRDefault="005A12A3">
            <w:pPr>
              <w:spacing w:line="276" w:lineRule="auto"/>
              <w:jc w:val="both"/>
              <w:rPr>
                <w:lang w:val="es-PE"/>
              </w:rPr>
            </w:pPr>
            <w:r>
              <w:rPr>
                <w:rFonts w:eastAsia="Arial Unicode MS"/>
                <w:lang w:val="es-PE"/>
              </w:rPr>
              <w:t>:</w:t>
            </w:r>
          </w:p>
        </w:tc>
        <w:tc>
          <w:tcPr>
            <w:tcW w:w="5528" w:type="dxa"/>
          </w:tcPr>
          <w:p w14:paraId="31978E0C" w14:textId="77777777" w:rsidR="004412F1" w:rsidRDefault="005A12A3">
            <w:pPr>
              <w:spacing w:line="276" w:lineRule="auto"/>
              <w:jc w:val="both"/>
              <w:rPr>
                <w:lang w:val="es-PE"/>
              </w:rPr>
            </w:pPr>
            <w:r>
              <w:rPr>
                <w:rFonts w:eastAsia="Arial Unicode MS"/>
                <w:lang w:val="es-PE"/>
              </w:rPr>
              <w:t>Alícuota del PAMPI correspondiente al “i” ésimo CAMPI ajustado con base en el índice de ajuste de precios de construcción.</w:t>
            </w:r>
          </w:p>
        </w:tc>
      </w:tr>
    </w:tbl>
    <w:p w14:paraId="5DEE4F97" w14:textId="77777777" w:rsidR="004412F1" w:rsidRDefault="004412F1">
      <w:pPr>
        <w:jc w:val="both"/>
        <w:rPr>
          <w:lang w:val="es-PE"/>
        </w:rPr>
      </w:pPr>
    </w:p>
    <w:p w14:paraId="1A70484C" w14:textId="77777777" w:rsidR="004412F1" w:rsidRDefault="005A12A3" w:rsidP="00FD023D">
      <w:pPr>
        <w:numPr>
          <w:ilvl w:val="0"/>
          <w:numId w:val="219"/>
        </w:numPr>
        <w:jc w:val="both"/>
        <w:rPr>
          <w:color w:val="000000"/>
          <w:lang w:val="es-PE"/>
        </w:rPr>
      </w:pPr>
      <w:r>
        <w:rPr>
          <w:color w:val="000000"/>
          <w:lang w:val="es-PE"/>
        </w:rPr>
        <w:t xml:space="preserve">Para efectos del control de avance del MPI se utilizará el CAMPI. Las intervenciones del MPI que acreditan la totalidad de los Hitos Funcionales se darán por concluidas cuando la sumatoria de los CAMPIi sea equivalente al 100%. </w:t>
      </w:r>
    </w:p>
    <w:p w14:paraId="6092496C" w14:textId="77777777" w:rsidR="004412F1" w:rsidRDefault="004412F1">
      <w:pPr>
        <w:ind w:left="426"/>
        <w:jc w:val="both"/>
        <w:rPr>
          <w:lang w:val="es-PE"/>
        </w:rPr>
      </w:pPr>
    </w:p>
    <w:p w14:paraId="6717AED1" w14:textId="77777777" w:rsidR="004412F1" w:rsidRDefault="005A12A3">
      <w:pPr>
        <w:numPr>
          <w:ilvl w:val="0"/>
          <w:numId w:val="219"/>
        </w:numPr>
        <w:jc w:val="both"/>
        <w:rPr>
          <w:color w:val="000000"/>
          <w:lang w:val="es-PE"/>
        </w:rPr>
      </w:pPr>
      <w:r>
        <w:rPr>
          <w:color w:val="000000"/>
          <w:lang w:val="es-PE"/>
        </w:rPr>
        <w:t>Los CAMPIi ajustado podrán sumar más, o menos, del 100% dependiendo del comportamiento del índice de los precios a lo largo del período de ejecución de las intervenciones de MPI. El efecto de los CAMPIi ajustado es únicamente para la determinación de los FPAMPI ajustado.</w:t>
      </w:r>
    </w:p>
    <w:p w14:paraId="129A6810" w14:textId="77777777" w:rsidR="004412F1" w:rsidRDefault="005A12A3">
      <w:pPr>
        <w:ind w:left="426"/>
        <w:jc w:val="both"/>
        <w:rPr>
          <w:lang w:val="es-PE"/>
        </w:rPr>
      </w:pPr>
      <w:r>
        <w:rPr>
          <w:lang w:val="es-PE"/>
        </w:rPr>
        <w:br w:type="page"/>
      </w:r>
    </w:p>
    <w:p w14:paraId="5F8FC294" w14:textId="77777777" w:rsidR="004412F1" w:rsidRDefault="005A12A3">
      <w:pPr>
        <w:pStyle w:val="Ttulo2"/>
        <w:ind w:left="0"/>
        <w:jc w:val="center"/>
        <w:rPr>
          <w:rFonts w:ascii="Arial" w:hAnsi="Arial" w:cs="Arial"/>
          <w:b/>
          <w:lang w:val="es-PE"/>
        </w:rPr>
      </w:pPr>
      <w:bookmarkStart w:id="2926" w:name="_9dqt8urkqb00" w:colFirst="0" w:colLast="0"/>
      <w:bookmarkStart w:id="2927" w:name="_Toc139294862"/>
      <w:bookmarkStart w:id="2928" w:name="_Toc140089490"/>
      <w:bookmarkEnd w:id="2926"/>
      <w:r>
        <w:rPr>
          <w:rFonts w:ascii="Arial" w:hAnsi="Arial" w:cs="Arial"/>
          <w:b/>
          <w:lang w:val="es-PE"/>
        </w:rPr>
        <w:t xml:space="preserve">APÉNDICE </w:t>
      </w:r>
      <w:proofErr w:type="gramStart"/>
      <w:r>
        <w:rPr>
          <w:rFonts w:ascii="Arial" w:hAnsi="Arial" w:cs="Arial"/>
          <w:b/>
          <w:lang w:val="es-PE"/>
        </w:rPr>
        <w:t>5.2 :</w:t>
      </w:r>
      <w:proofErr w:type="gramEnd"/>
      <w:r>
        <w:rPr>
          <w:rFonts w:ascii="Arial" w:hAnsi="Arial" w:cs="Arial"/>
          <w:b/>
          <w:lang w:val="es-PE"/>
        </w:rPr>
        <w:t xml:space="preserve"> MODELO DE CERTIFICADO DE AVANCE DE MANTENIMIENTO PERIÓDICO INICIAL (CAMPI)</w:t>
      </w:r>
      <w:bookmarkEnd w:id="2927"/>
      <w:bookmarkEnd w:id="2928"/>
      <w:r>
        <w:rPr>
          <w:rFonts w:ascii="Arial" w:hAnsi="Arial" w:cs="Arial"/>
          <w:b/>
          <w:lang w:val="es-PE"/>
        </w:rPr>
        <w:t xml:space="preserve"> </w:t>
      </w:r>
    </w:p>
    <w:p w14:paraId="29289576" w14:textId="77777777" w:rsidR="004412F1" w:rsidRDefault="004412F1">
      <w:pPr>
        <w:ind w:left="426"/>
        <w:jc w:val="both"/>
        <w:rPr>
          <w:lang w:val="es-PE"/>
        </w:rPr>
      </w:pPr>
    </w:p>
    <w:p w14:paraId="32B575EE" w14:textId="77777777" w:rsidR="00FD023D" w:rsidRDefault="00FD023D">
      <w:pPr>
        <w:ind w:left="426"/>
        <w:jc w:val="both"/>
        <w:rPr>
          <w:lang w:val="es-PE"/>
        </w:rPr>
      </w:pPr>
    </w:p>
    <w:p w14:paraId="14FAA6B6" w14:textId="33FE0292" w:rsidR="004412F1" w:rsidRDefault="005A12A3">
      <w:pPr>
        <w:ind w:left="426"/>
        <w:jc w:val="both"/>
        <w:rPr>
          <w:lang w:val="es-PE"/>
        </w:rPr>
      </w:pPr>
      <w:r>
        <w:rPr>
          <w:lang w:val="es-PE"/>
        </w:rPr>
        <w:t>CAMPI No. __________ - Contrato de Concesión para el Proyecto: “Carretera Longitudinal de la Sierra Tramo 4</w:t>
      </w:r>
      <w:r>
        <w:rPr>
          <w:rFonts w:ascii="Arial Narrow" w:hAnsi="Arial Narrow"/>
          <w:color w:val="000000" w:themeColor="text1"/>
          <w:sz w:val="18"/>
          <w:szCs w:val="18"/>
          <w:lang w:val="es-PE"/>
        </w:rPr>
        <w:t xml:space="preserve">: </w:t>
      </w:r>
      <w:r>
        <w:rPr>
          <w:lang w:val="es-PE"/>
        </w:rPr>
        <w:t>Huancayo – Izcuchaca – Mayocc – Ayacucho/Ayacucho – Andahuaylas – Puente Sahuinto/Dv. Pisco – Hauytará - Ayacucho”</w:t>
      </w:r>
    </w:p>
    <w:p w14:paraId="6EDA5B99" w14:textId="77777777" w:rsidR="004412F1" w:rsidRDefault="005A12A3">
      <w:pPr>
        <w:ind w:left="426"/>
        <w:jc w:val="both"/>
        <w:rPr>
          <w:lang w:val="es-PE"/>
        </w:rPr>
      </w:pPr>
      <w:r>
        <w:rPr>
          <w:lang w:val="es-PE"/>
        </w:rPr>
        <w:t>”</w:t>
      </w:r>
    </w:p>
    <w:p w14:paraId="49F8E15C" w14:textId="77777777" w:rsidR="004412F1" w:rsidRDefault="004412F1">
      <w:pPr>
        <w:ind w:left="426"/>
        <w:jc w:val="both"/>
        <w:rPr>
          <w:lang w:val="es-PE"/>
        </w:rPr>
      </w:pPr>
    </w:p>
    <w:p w14:paraId="6BEA6C19" w14:textId="77777777" w:rsidR="004412F1" w:rsidRDefault="005A12A3">
      <w:pPr>
        <w:ind w:left="426"/>
        <w:jc w:val="both"/>
        <w:rPr>
          <w:rFonts w:ascii="Arial Narrow" w:hAnsi="Arial Narrow"/>
          <w:color w:val="000000" w:themeColor="text1"/>
          <w:sz w:val="18"/>
          <w:szCs w:val="18"/>
          <w:lang w:val="es-PE"/>
        </w:rPr>
      </w:pPr>
      <w:r>
        <w:rPr>
          <w:lang w:val="es-PE"/>
        </w:rPr>
        <w:t>El presente Certificado de Avance de Mantenimiento Periódico Inicial (CAMPI) se emite de conformidad con lo establecido en el Contrato de Concesión para el Proyecto “Carretera Longitudinal de la Sierra Tramo 4: Huancayo – Izcuchaca – Mayocc – Ayacucho/Ayacucho – Andahuaylas – Puente Sahuinto/Dv. Pisco – Hauytará - Ayacucho” (en adelante, el “Contrato”), suscrito con fecha ___ de ________ del ____, entre el Ministerio de Transportes y Comunicaciones (en adelante, el “CONCEDENTE”) y _______________ (en adelante, el “CONCESIONARIO”).</w:t>
      </w:r>
    </w:p>
    <w:p w14:paraId="1B41E795" w14:textId="77777777" w:rsidR="004412F1" w:rsidRDefault="004412F1">
      <w:pPr>
        <w:ind w:left="426"/>
        <w:jc w:val="both"/>
        <w:rPr>
          <w:lang w:val="es-PE"/>
        </w:rPr>
      </w:pPr>
    </w:p>
    <w:p w14:paraId="4A5DF334" w14:textId="77777777" w:rsidR="004412F1" w:rsidRDefault="005A12A3">
      <w:pPr>
        <w:ind w:left="426"/>
        <w:jc w:val="both"/>
        <w:rPr>
          <w:u w:val="single"/>
          <w:lang w:val="es-PE"/>
        </w:rPr>
      </w:pPr>
      <w:r>
        <w:rPr>
          <w:u w:val="single"/>
          <w:lang w:val="es-PE"/>
        </w:rPr>
        <w:t>Certificación de Avance de Mantenimiento Periódico Inicial</w:t>
      </w:r>
    </w:p>
    <w:p w14:paraId="1147F4F3" w14:textId="77777777" w:rsidR="004412F1" w:rsidRDefault="004412F1">
      <w:pPr>
        <w:ind w:left="426"/>
        <w:jc w:val="both"/>
        <w:rPr>
          <w:lang w:val="es-PE"/>
        </w:rPr>
      </w:pPr>
    </w:p>
    <w:p w14:paraId="108CC6B4" w14:textId="77777777" w:rsidR="004412F1" w:rsidRDefault="005A12A3">
      <w:pPr>
        <w:ind w:left="426"/>
        <w:jc w:val="both"/>
        <w:rPr>
          <w:lang w:val="es-PE"/>
        </w:rPr>
      </w:pPr>
      <w:r>
        <w:rPr>
          <w:lang w:val="es-PE"/>
        </w:rPr>
        <w:t>De acuerdo con lo establecido en el Contrato, el REGULADOR otorga su conformidad respecto al Avance de Mantenimiento Periódico Inicial No. __________ del Tramo ___, ejecutado por el CONCESIONARIO.</w:t>
      </w:r>
    </w:p>
    <w:p w14:paraId="03AF9241" w14:textId="77777777" w:rsidR="004412F1" w:rsidRDefault="004412F1">
      <w:pPr>
        <w:ind w:left="426"/>
        <w:jc w:val="both"/>
        <w:rPr>
          <w:lang w:val="es-PE"/>
        </w:rPr>
      </w:pPr>
    </w:p>
    <w:p w14:paraId="018A7732" w14:textId="77777777" w:rsidR="004412F1" w:rsidRDefault="005A12A3">
      <w:pPr>
        <w:ind w:left="426"/>
        <w:jc w:val="both"/>
        <w:rPr>
          <w:lang w:val="es-PE"/>
        </w:rPr>
      </w:pPr>
      <w:r>
        <w:rPr>
          <w:lang w:val="es-PE"/>
        </w:rPr>
        <w:t>El REGULADOR acredita que las intervenciones de MPI materia del presente CAMPI han sido ejecutadas de acuerdo con los estándares, exigencias técnicas y socio ambientales establecidas en el Contrato, en el ET y de acuerdo con las Leyes y Disposiciones Aplicables, según estos términos se definen en el Contrato.</w:t>
      </w:r>
    </w:p>
    <w:p w14:paraId="380B79C1" w14:textId="77777777" w:rsidR="004412F1" w:rsidRDefault="004412F1">
      <w:pPr>
        <w:ind w:left="426"/>
        <w:jc w:val="both"/>
        <w:rPr>
          <w:lang w:val="es-PE"/>
        </w:rPr>
      </w:pPr>
    </w:p>
    <w:tbl>
      <w:tblPr>
        <w:tblpPr w:leftFromText="141" w:rightFromText="141" w:vertAnchor="text" w:horzAnchor="margin" w:tblpX="108" w:tblpY="4"/>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3118"/>
      </w:tblGrid>
      <w:tr w:rsidR="004412F1" w14:paraId="59551A80" w14:textId="77777777">
        <w:trPr>
          <w:trHeight w:val="537"/>
        </w:trPr>
        <w:tc>
          <w:tcPr>
            <w:tcW w:w="5382" w:type="dxa"/>
            <w:tcBorders>
              <w:right w:val="single" w:sz="4" w:space="0" w:color="auto"/>
            </w:tcBorders>
            <w:vAlign w:val="center"/>
          </w:tcPr>
          <w:p w14:paraId="2B4AAA9F" w14:textId="77777777" w:rsidR="004412F1" w:rsidRDefault="005A12A3">
            <w:pPr>
              <w:spacing w:line="276" w:lineRule="auto"/>
              <w:rPr>
                <w:rFonts w:cstheme="minorHAnsi"/>
                <w:sz w:val="20"/>
                <w:szCs w:val="20"/>
              </w:rPr>
            </w:pPr>
            <w:r>
              <w:rPr>
                <w:rFonts w:cstheme="minorHAnsi"/>
                <w:sz w:val="20"/>
                <w:szCs w:val="20"/>
              </w:rPr>
              <w:t>CAMPI No. _________</w:t>
            </w:r>
          </w:p>
        </w:tc>
        <w:tc>
          <w:tcPr>
            <w:tcW w:w="3118" w:type="dxa"/>
            <w:tcBorders>
              <w:top w:val="nil"/>
              <w:left w:val="single" w:sz="4" w:space="0" w:color="auto"/>
              <w:bottom w:val="single" w:sz="4" w:space="0" w:color="auto"/>
              <w:right w:val="nil"/>
            </w:tcBorders>
            <w:vAlign w:val="center"/>
          </w:tcPr>
          <w:p w14:paraId="6A805BF8" w14:textId="77777777" w:rsidR="004412F1" w:rsidRDefault="004412F1">
            <w:pPr>
              <w:spacing w:line="276" w:lineRule="auto"/>
              <w:jc w:val="center"/>
              <w:rPr>
                <w:rFonts w:cstheme="minorHAnsi"/>
                <w:sz w:val="20"/>
                <w:szCs w:val="20"/>
              </w:rPr>
            </w:pPr>
          </w:p>
        </w:tc>
      </w:tr>
      <w:tr w:rsidR="004412F1" w14:paraId="27B9F6C0" w14:textId="77777777">
        <w:trPr>
          <w:trHeight w:val="537"/>
        </w:trPr>
        <w:tc>
          <w:tcPr>
            <w:tcW w:w="5382" w:type="dxa"/>
            <w:vAlign w:val="center"/>
          </w:tcPr>
          <w:p w14:paraId="30E67F6F" w14:textId="77777777" w:rsidR="004412F1" w:rsidRDefault="005A12A3">
            <w:pPr>
              <w:spacing w:line="276" w:lineRule="auto"/>
              <w:rPr>
                <w:rFonts w:cstheme="minorHAnsi"/>
                <w:sz w:val="20"/>
                <w:szCs w:val="20"/>
                <w:lang w:val="es-PE"/>
              </w:rPr>
            </w:pPr>
            <w:r>
              <w:rPr>
                <w:rFonts w:cstheme="minorHAnsi"/>
                <w:sz w:val="20"/>
                <w:szCs w:val="20"/>
                <w:lang w:val="es-PE"/>
              </w:rPr>
              <w:t xml:space="preserve">Porcentaje (%) de Avance de Mantenimiento Periódico </w:t>
            </w:r>
            <w:proofErr w:type="gramStart"/>
            <w:r>
              <w:rPr>
                <w:rFonts w:cstheme="minorHAnsi"/>
                <w:sz w:val="20"/>
                <w:szCs w:val="20"/>
                <w:lang w:val="es-PE"/>
              </w:rPr>
              <w:t>Inicial  _</w:t>
            </w:r>
            <w:proofErr w:type="gramEnd"/>
            <w:r>
              <w:rPr>
                <w:rFonts w:cstheme="minorHAnsi"/>
                <w:sz w:val="20"/>
                <w:szCs w:val="20"/>
                <w:lang w:val="es-PE"/>
              </w:rPr>
              <w:t>____</w:t>
            </w:r>
          </w:p>
        </w:tc>
        <w:tc>
          <w:tcPr>
            <w:tcW w:w="3118" w:type="dxa"/>
            <w:tcBorders>
              <w:top w:val="single" w:sz="4" w:space="0" w:color="auto"/>
              <w:bottom w:val="single" w:sz="4" w:space="0" w:color="auto"/>
            </w:tcBorders>
            <w:vAlign w:val="center"/>
          </w:tcPr>
          <w:p w14:paraId="15B3A47C" w14:textId="77777777" w:rsidR="004412F1" w:rsidRDefault="005A12A3">
            <w:pPr>
              <w:spacing w:line="276" w:lineRule="auto"/>
              <w:jc w:val="center"/>
              <w:rPr>
                <w:rFonts w:cstheme="minorHAnsi"/>
                <w:sz w:val="20"/>
                <w:szCs w:val="20"/>
              </w:rPr>
            </w:pPr>
            <w:r>
              <w:rPr>
                <w:rFonts w:cstheme="minorHAnsi"/>
                <w:sz w:val="20"/>
                <w:szCs w:val="20"/>
              </w:rPr>
              <w:t>________ %</w:t>
            </w:r>
          </w:p>
        </w:tc>
      </w:tr>
      <w:tr w:rsidR="004412F1" w14:paraId="5DDEE12F" w14:textId="77777777">
        <w:trPr>
          <w:trHeight w:val="537"/>
        </w:trPr>
        <w:tc>
          <w:tcPr>
            <w:tcW w:w="5382" w:type="dxa"/>
            <w:vAlign w:val="center"/>
          </w:tcPr>
          <w:p w14:paraId="243BE517" w14:textId="77777777" w:rsidR="004412F1" w:rsidRDefault="005A12A3">
            <w:pPr>
              <w:spacing w:line="276" w:lineRule="auto"/>
              <w:rPr>
                <w:rFonts w:eastAsia="SimSun"/>
                <w:sz w:val="20"/>
                <w:szCs w:val="20"/>
                <w:lang w:eastAsia="zh-CN"/>
              </w:rPr>
            </w:pPr>
            <w:r>
              <w:rPr>
                <w:sz w:val="20"/>
                <w:szCs w:val="20"/>
              </w:rPr>
              <w:t>Ajuste del CAMPI (</w:t>
            </w:r>
            <m:oMath>
              <m:r>
                <w:rPr>
                  <w:rFonts w:ascii="Cambria Math" w:eastAsia="MS Mincho" w:hAnsi="Cambria Math" w:cstheme="minorHAnsi"/>
                  <w:sz w:val="20"/>
                  <w:szCs w:val="20"/>
                </w:rPr>
                <m:t>∆</m:t>
              </m:r>
            </m:oMath>
            <w:r>
              <w:rPr>
                <w:rFonts w:eastAsia="MS Mincho"/>
                <w:sz w:val="20"/>
                <w:szCs w:val="20"/>
              </w:rPr>
              <w:t>CAMPI)</w:t>
            </w:r>
          </w:p>
        </w:tc>
        <w:tc>
          <w:tcPr>
            <w:tcW w:w="3118" w:type="dxa"/>
            <w:tcBorders>
              <w:top w:val="single" w:sz="4" w:space="0" w:color="auto"/>
              <w:bottom w:val="single" w:sz="4" w:space="0" w:color="auto"/>
            </w:tcBorders>
            <w:vAlign w:val="center"/>
          </w:tcPr>
          <w:p w14:paraId="28D065D2" w14:textId="77777777" w:rsidR="004412F1" w:rsidRDefault="005A12A3">
            <w:pPr>
              <w:spacing w:line="276" w:lineRule="auto"/>
              <w:jc w:val="center"/>
              <w:rPr>
                <w:rFonts w:cstheme="minorHAnsi"/>
                <w:sz w:val="20"/>
                <w:szCs w:val="20"/>
              </w:rPr>
            </w:pPr>
            <w:r>
              <w:rPr>
                <w:rFonts w:cstheme="minorHAnsi"/>
                <w:sz w:val="20"/>
                <w:szCs w:val="20"/>
              </w:rPr>
              <w:t>________ %</w:t>
            </w:r>
          </w:p>
        </w:tc>
      </w:tr>
      <w:tr w:rsidR="004412F1" w14:paraId="30232765" w14:textId="77777777">
        <w:trPr>
          <w:trHeight w:val="537"/>
        </w:trPr>
        <w:tc>
          <w:tcPr>
            <w:tcW w:w="5382" w:type="dxa"/>
            <w:vAlign w:val="center"/>
          </w:tcPr>
          <w:p w14:paraId="4A71B53F" w14:textId="77777777" w:rsidR="004412F1" w:rsidRDefault="005A12A3">
            <w:pPr>
              <w:spacing w:line="276" w:lineRule="auto"/>
              <w:rPr>
                <w:sz w:val="20"/>
                <w:szCs w:val="20"/>
              </w:rPr>
            </w:pPr>
            <w:r>
              <w:rPr>
                <w:sz w:val="20"/>
                <w:szCs w:val="20"/>
              </w:rPr>
              <w:t>CAMPI justado</w:t>
            </w:r>
          </w:p>
        </w:tc>
        <w:tc>
          <w:tcPr>
            <w:tcW w:w="3118" w:type="dxa"/>
            <w:tcBorders>
              <w:top w:val="single" w:sz="4" w:space="0" w:color="auto"/>
            </w:tcBorders>
            <w:vAlign w:val="center"/>
          </w:tcPr>
          <w:p w14:paraId="0742FE51" w14:textId="77777777" w:rsidR="004412F1" w:rsidRDefault="005A12A3">
            <w:pPr>
              <w:spacing w:line="276" w:lineRule="auto"/>
              <w:jc w:val="center"/>
              <w:rPr>
                <w:rFonts w:cstheme="minorHAnsi"/>
                <w:sz w:val="20"/>
                <w:szCs w:val="20"/>
              </w:rPr>
            </w:pPr>
            <w:r>
              <w:rPr>
                <w:rFonts w:cstheme="minorHAnsi"/>
                <w:sz w:val="20"/>
                <w:szCs w:val="20"/>
              </w:rPr>
              <w:t>________ %</w:t>
            </w:r>
          </w:p>
        </w:tc>
      </w:tr>
    </w:tbl>
    <w:p w14:paraId="4FAB097C" w14:textId="77777777" w:rsidR="004412F1" w:rsidRDefault="004412F1">
      <w:pPr>
        <w:jc w:val="both"/>
      </w:pPr>
    </w:p>
    <w:p w14:paraId="6F97B1EF" w14:textId="77777777" w:rsidR="004412F1" w:rsidRDefault="005A12A3">
      <w:pPr>
        <w:ind w:left="426"/>
        <w:jc w:val="both"/>
      </w:pPr>
      <w:r>
        <w:t>Emitido en Lima, ________________________________</w:t>
      </w:r>
    </w:p>
    <w:p w14:paraId="29922080" w14:textId="77777777" w:rsidR="004412F1" w:rsidRDefault="004412F1">
      <w:pPr>
        <w:ind w:left="426"/>
        <w:jc w:val="both"/>
      </w:pPr>
    </w:p>
    <w:p w14:paraId="65F59FF2" w14:textId="77777777" w:rsidR="004412F1" w:rsidRDefault="004412F1">
      <w:pPr>
        <w:ind w:left="426"/>
        <w:jc w:val="both"/>
      </w:pPr>
    </w:p>
    <w:p w14:paraId="1B05F1C4" w14:textId="77777777" w:rsidR="004412F1" w:rsidRDefault="004412F1">
      <w:pPr>
        <w:ind w:left="426"/>
        <w:jc w:val="both"/>
      </w:pPr>
    </w:p>
    <w:p w14:paraId="4E18A06D" w14:textId="77777777" w:rsidR="004412F1" w:rsidRDefault="005A12A3">
      <w:pPr>
        <w:ind w:left="426"/>
        <w:jc w:val="both"/>
      </w:pPr>
      <w:r>
        <w:t>___________________________</w:t>
      </w:r>
    </w:p>
    <w:p w14:paraId="21CF6697" w14:textId="77777777" w:rsidR="004412F1" w:rsidRDefault="005A12A3">
      <w:pPr>
        <w:ind w:left="426"/>
        <w:jc w:val="both"/>
      </w:pPr>
      <w:r>
        <w:t xml:space="preserve">         EL REGULADOR</w:t>
      </w:r>
    </w:p>
    <w:p w14:paraId="2C9F8566" w14:textId="77777777" w:rsidR="004412F1" w:rsidRDefault="004412F1">
      <w:pPr>
        <w:ind w:left="426"/>
        <w:jc w:val="both"/>
      </w:pPr>
    </w:p>
    <w:p w14:paraId="7ECD6C06" w14:textId="77777777" w:rsidR="004412F1" w:rsidRDefault="005A12A3">
      <w:pPr>
        <w:ind w:left="426"/>
        <w:jc w:val="both"/>
      </w:pPr>
      <w:r>
        <w:br w:type="page"/>
      </w:r>
    </w:p>
    <w:p w14:paraId="29B61772" w14:textId="77777777" w:rsidR="004412F1" w:rsidRDefault="004412F1">
      <w:pPr>
        <w:ind w:left="426"/>
        <w:jc w:val="both"/>
      </w:pPr>
    </w:p>
    <w:p w14:paraId="49AE2E3B" w14:textId="77777777" w:rsidR="004412F1" w:rsidRDefault="005A12A3">
      <w:pPr>
        <w:pStyle w:val="Ttulo2"/>
        <w:ind w:left="0"/>
        <w:jc w:val="center"/>
        <w:rPr>
          <w:rFonts w:ascii="Arial" w:hAnsi="Arial" w:cs="Arial"/>
          <w:b/>
          <w:lang w:val="es-PE"/>
        </w:rPr>
      </w:pPr>
      <w:bookmarkStart w:id="2929" w:name="_3rrb5ay672e" w:colFirst="0" w:colLast="0"/>
      <w:bookmarkStart w:id="2930" w:name="_Toc139294863"/>
      <w:bookmarkStart w:id="2931" w:name="_Toc140089491"/>
      <w:bookmarkEnd w:id="2929"/>
      <w:r>
        <w:rPr>
          <w:rFonts w:ascii="Arial" w:hAnsi="Arial" w:cs="Arial"/>
          <w:b/>
          <w:lang w:val="es-PE"/>
        </w:rPr>
        <w:t>APÉNDICE 6: SOBRE LA REMUNERACIÓN POR MANTENIMIENTO Y OPERACIÓN - RPMO</w:t>
      </w:r>
      <w:bookmarkEnd w:id="2930"/>
      <w:bookmarkEnd w:id="2931"/>
    </w:p>
    <w:p w14:paraId="3A3061A7" w14:textId="77777777" w:rsidR="004412F1" w:rsidRDefault="005A12A3">
      <w:pPr>
        <w:ind w:left="426"/>
        <w:jc w:val="both"/>
        <w:rPr>
          <w:lang w:val="es-PE"/>
        </w:rPr>
      </w:pPr>
      <w:r>
        <w:rPr>
          <w:lang w:val="es-PE"/>
        </w:rPr>
        <w:t xml:space="preserve"> </w:t>
      </w:r>
    </w:p>
    <w:p w14:paraId="6D1F23CC" w14:textId="77777777" w:rsidR="004412F1" w:rsidRDefault="005A12A3">
      <w:pPr>
        <w:numPr>
          <w:ilvl w:val="0"/>
          <w:numId w:val="223"/>
        </w:numPr>
        <w:jc w:val="both"/>
        <w:rPr>
          <w:color w:val="000000"/>
          <w:lang w:val="es-PE"/>
        </w:rPr>
      </w:pPr>
      <w:r>
        <w:rPr>
          <w:color w:val="000000"/>
          <w:lang w:val="es-PE"/>
        </w:rPr>
        <w:t>La RPMO es el pago del CONCEDENTE a favor del CONCESIONARIO a través del cual se reconocerá todos los costos de operación, reposición, conservación y mantenimiento de los Bienes de la Concesión, relacionados a la prestación de los Servicios Obligatorios durante la Explotación.</w:t>
      </w:r>
    </w:p>
    <w:p w14:paraId="5EAD4B09" w14:textId="77777777" w:rsidR="004412F1" w:rsidRDefault="004412F1">
      <w:pPr>
        <w:ind w:left="426"/>
        <w:jc w:val="both"/>
        <w:rPr>
          <w:lang w:val="es-PE"/>
        </w:rPr>
      </w:pPr>
    </w:p>
    <w:p w14:paraId="392470E9" w14:textId="77777777" w:rsidR="004412F1" w:rsidRDefault="005A12A3">
      <w:pPr>
        <w:numPr>
          <w:ilvl w:val="0"/>
          <w:numId w:val="223"/>
        </w:numPr>
        <w:jc w:val="both"/>
        <w:rPr>
          <w:color w:val="000000"/>
          <w:lang w:val="es-PE"/>
        </w:rPr>
      </w:pPr>
      <w:r>
        <w:rPr>
          <w:color w:val="000000"/>
          <w:lang w:val="es-PE"/>
        </w:rPr>
        <w:t>El importe máximo de la RPMO asciende a US$ _______ (__</w:t>
      </w:r>
      <w:proofErr w:type="gramStart"/>
      <w:r>
        <w:rPr>
          <w:color w:val="000000"/>
          <w:lang w:val="es-PE"/>
        </w:rPr>
        <w:t>_._</w:t>
      </w:r>
      <w:proofErr w:type="gramEnd"/>
      <w:r>
        <w:rPr>
          <w:color w:val="000000"/>
          <w:lang w:val="es-PE"/>
        </w:rPr>
        <w:t xml:space="preserve">__y 00/100 Dólares) anuales más el IGV, que equivale a la propuesta económica presentada por el CONCESIONARIO. El 100% de la RPMO ajustado será pagado trimestralmente, el último día hábil de cada Trimestre Calendario </w:t>
      </w:r>
      <w:proofErr w:type="gramStart"/>
      <w:r>
        <w:rPr>
          <w:color w:val="000000"/>
          <w:lang w:val="es-PE"/>
        </w:rPr>
        <w:t>de acuerdo a</w:t>
      </w:r>
      <w:proofErr w:type="gramEnd"/>
      <w:r>
        <w:rPr>
          <w:color w:val="000000"/>
          <w:lang w:val="es-PE"/>
        </w:rPr>
        <w:t xml:space="preserve"> lo definido en el numeral </w:t>
      </w:r>
      <w:r>
        <w:rPr>
          <w:rFonts w:eastAsia="SimSun" w:hint="eastAsia"/>
          <w:color w:val="000000"/>
          <w:lang w:val="es-PE" w:eastAsia="zh-CN"/>
        </w:rPr>
        <w:t>6</w:t>
      </w:r>
      <w:r>
        <w:rPr>
          <w:color w:val="000000"/>
          <w:lang w:val="es-PE"/>
        </w:rPr>
        <w:t xml:space="preserve"> del </w:t>
      </w:r>
      <w:r>
        <w:rPr>
          <w:color w:val="000000"/>
          <w:lang w:val="es-ES"/>
        </w:rPr>
        <w:t xml:space="preserve">presente </w:t>
      </w:r>
      <w:r>
        <w:rPr>
          <w:color w:val="000000"/>
          <w:lang w:val="es-PE"/>
        </w:rPr>
        <w:t>Apéndice, en valores equivalentes al 25%, a partir de la culminación del 100% de las ejecuciones de la Rehabilitación y Mejoramiento y del Mantenimiento Periódico Inicial hasta la fecha en la que se declara el fin de la Concesión.   En los períodos previos a la culminación de dichas intervenciones, el pago al CONCESIONARIO por concepto de Operación y Mantenimiento (RPMO vigente) corresponderá a una fracción de la RPMO, tal como se describe en las cláusulas siguientes.</w:t>
      </w:r>
    </w:p>
    <w:p w14:paraId="460C6FEA" w14:textId="77777777" w:rsidR="004412F1" w:rsidRDefault="004412F1">
      <w:pPr>
        <w:ind w:left="426"/>
        <w:jc w:val="both"/>
        <w:rPr>
          <w:lang w:val="es-PE"/>
        </w:rPr>
      </w:pPr>
    </w:p>
    <w:p w14:paraId="662E329B" w14:textId="77777777" w:rsidR="004412F1" w:rsidRDefault="005A12A3" w:rsidP="005331D2">
      <w:pPr>
        <w:numPr>
          <w:ilvl w:val="0"/>
          <w:numId w:val="223"/>
        </w:numPr>
        <w:jc w:val="both"/>
        <w:rPr>
          <w:color w:val="000000"/>
          <w:lang w:val="es-PE"/>
        </w:rPr>
      </w:pPr>
      <w:r>
        <w:rPr>
          <w:color w:val="000000"/>
          <w:lang w:val="es-PE"/>
        </w:rPr>
        <w:t>Durante el periodo comprendido entre la fecha de suscripción del Contrato de Concesión y la fecha de culminación del primer Hito Funcional de la Intervención del Mantenimiento Periódico Inicial, el CONCEDENTE pagará al CONCESIONARIO por concepto de RPMO vigente el []% de la RPMO, a través del cual se reconocerá los costos de conservación y mantenimiento de los niveles de servicio en condiciones similares a los que le fueron entregados a la fecha de la Firma de Contrato de Concesión.</w:t>
      </w:r>
    </w:p>
    <w:p w14:paraId="155852E8" w14:textId="77777777" w:rsidR="004412F1" w:rsidRDefault="004412F1">
      <w:pPr>
        <w:ind w:left="360"/>
        <w:jc w:val="both"/>
        <w:rPr>
          <w:color w:val="000000"/>
          <w:lang w:val="es-PE"/>
        </w:rPr>
      </w:pPr>
    </w:p>
    <w:p w14:paraId="787145A6" w14:textId="77777777" w:rsidR="004412F1" w:rsidRDefault="005A12A3">
      <w:pPr>
        <w:numPr>
          <w:ilvl w:val="0"/>
          <w:numId w:val="223"/>
        </w:numPr>
        <w:jc w:val="both"/>
        <w:rPr>
          <w:color w:val="000000"/>
          <w:lang w:val="es-PE"/>
        </w:rPr>
      </w:pPr>
      <w:r>
        <w:rPr>
          <w:color w:val="000000"/>
          <w:lang w:val="es-PE"/>
        </w:rPr>
        <w:t>Durante el período comprendido entre la culminación del primer Hito Funcional correspondiente a la Intervención del Mantenimiento Periódico Inicial y la culminación del 100% del Mantenimiento Periódico Inicial de todos los subtramos, el pago al CONCESIONARIO por concepto de RPMO vigente irá incrementándose con respecto al []% inicial, conforme el CONCESIONARIO vaya culminando los Hitos Funcionales relacionados con cada uno de los subtramos definidos en la Tabla N° [] del numeral 1 del Apéndice 5.1 del Anexo X</w:t>
      </w:r>
      <w:r>
        <w:rPr>
          <w:color w:val="000000"/>
          <w:lang w:val="es-ES"/>
        </w:rPr>
        <w:t>I</w:t>
      </w:r>
      <w:r>
        <w:rPr>
          <w:color w:val="000000"/>
          <w:lang w:val="es-PE"/>
        </w:rPr>
        <w:t>, y será gatillado con la emisión del CAMPI respectivo al Hito Funcional terminado y aprobado.  El incremento de la RPMO vigente será proporcional al porcentaje que representa la cantidad de kilómetros del Hito Funcional concluido, respecto al total de kilómetros de la Concesión.</w:t>
      </w:r>
    </w:p>
    <w:p w14:paraId="2C89FA6D" w14:textId="77777777" w:rsidR="004412F1" w:rsidRDefault="004412F1">
      <w:pPr>
        <w:ind w:left="360"/>
        <w:jc w:val="both"/>
        <w:rPr>
          <w:color w:val="000000"/>
          <w:lang w:val="es-PE"/>
        </w:rPr>
      </w:pPr>
    </w:p>
    <w:p w14:paraId="4458EAA9" w14:textId="77777777" w:rsidR="004412F1" w:rsidRDefault="005A12A3">
      <w:pPr>
        <w:numPr>
          <w:ilvl w:val="0"/>
          <w:numId w:val="223"/>
        </w:numPr>
        <w:jc w:val="both"/>
        <w:rPr>
          <w:color w:val="000000"/>
          <w:lang w:val="es-PE"/>
        </w:rPr>
      </w:pPr>
      <w:r>
        <w:rPr>
          <w:color w:val="000000"/>
          <w:lang w:val="es-PE"/>
        </w:rPr>
        <w:t>Para el periodo comprendido a partir de la culminación de la Intervención de Rehabilitación y Mejoramiento, incluida la Construcción del Evitamiento San Clemente, la RPMO vigente se incrementará en []% de la RPMO, de manera adicional al porcentaje del pago mencionado en los numerales dos (2) y tres (3) del presente Apéndice.</w:t>
      </w:r>
    </w:p>
    <w:p w14:paraId="222F1EAD" w14:textId="77777777" w:rsidR="004412F1" w:rsidRDefault="004412F1">
      <w:pPr>
        <w:ind w:left="360"/>
        <w:jc w:val="both"/>
        <w:rPr>
          <w:rFonts w:asciiTheme="minorHAnsi" w:hAnsiTheme="minorHAnsi"/>
          <w:color w:val="000000"/>
          <w:sz w:val="20"/>
          <w:lang w:val="es-PE"/>
        </w:rPr>
      </w:pPr>
    </w:p>
    <w:p w14:paraId="04B89F0E" w14:textId="77777777" w:rsidR="004412F1" w:rsidRDefault="005A12A3">
      <w:pPr>
        <w:numPr>
          <w:ilvl w:val="0"/>
          <w:numId w:val="223"/>
        </w:numPr>
        <w:jc w:val="both"/>
        <w:rPr>
          <w:color w:val="000000"/>
          <w:lang w:val="es-PE"/>
        </w:rPr>
      </w:pPr>
      <w:r>
        <w:rPr>
          <w:color w:val="000000"/>
          <w:lang w:val="es-PE"/>
        </w:rPr>
        <w:t>Para el presente Apéndice, entiéndase como Trimestre Calendario al periodo de tres (3) meses en los que se divide un Año Calendario, siendo los periodos: </w:t>
      </w:r>
    </w:p>
    <w:p w14:paraId="39BA8526" w14:textId="77777777" w:rsidR="004412F1" w:rsidRDefault="004412F1">
      <w:pPr>
        <w:ind w:left="426"/>
        <w:jc w:val="both"/>
        <w:rPr>
          <w:lang w:val="es-PE"/>
        </w:rPr>
      </w:pPr>
    </w:p>
    <w:p w14:paraId="4392CAF6" w14:textId="77777777" w:rsidR="004412F1" w:rsidRDefault="005A12A3">
      <w:pPr>
        <w:pStyle w:val="Prrafodelista"/>
        <w:numPr>
          <w:ilvl w:val="0"/>
          <w:numId w:val="224"/>
        </w:numPr>
        <w:jc w:val="both"/>
        <w:rPr>
          <w:lang w:val="es-PE"/>
        </w:rPr>
      </w:pPr>
      <w:r>
        <w:rPr>
          <w:lang w:val="es-PE"/>
        </w:rPr>
        <w:t xml:space="preserve">Del 1 de enero hasta el 31 de marzo. </w:t>
      </w:r>
    </w:p>
    <w:p w14:paraId="71811622" w14:textId="77777777" w:rsidR="004412F1" w:rsidRDefault="005A12A3">
      <w:pPr>
        <w:pStyle w:val="Prrafodelista"/>
        <w:numPr>
          <w:ilvl w:val="0"/>
          <w:numId w:val="224"/>
        </w:numPr>
        <w:jc w:val="both"/>
        <w:rPr>
          <w:lang w:val="es-PE"/>
        </w:rPr>
      </w:pPr>
      <w:r>
        <w:rPr>
          <w:lang w:val="es-PE"/>
        </w:rPr>
        <w:t xml:space="preserve">Del 1 de abril hasta el 30 de junio. </w:t>
      </w:r>
    </w:p>
    <w:p w14:paraId="003AFD3B" w14:textId="77777777" w:rsidR="004412F1" w:rsidRDefault="005A12A3">
      <w:pPr>
        <w:pStyle w:val="Prrafodelista"/>
        <w:numPr>
          <w:ilvl w:val="0"/>
          <w:numId w:val="224"/>
        </w:numPr>
        <w:jc w:val="both"/>
        <w:rPr>
          <w:lang w:val="es-PE"/>
        </w:rPr>
      </w:pPr>
      <w:r>
        <w:rPr>
          <w:lang w:val="es-PE"/>
        </w:rPr>
        <w:t xml:space="preserve">Del 1 de julio hasta el 30 de </w:t>
      </w:r>
      <w:proofErr w:type="gramStart"/>
      <w:r>
        <w:rPr>
          <w:lang w:val="es-PE"/>
        </w:rPr>
        <w:t>Septiembre</w:t>
      </w:r>
      <w:proofErr w:type="gramEnd"/>
      <w:r>
        <w:rPr>
          <w:lang w:val="es-PE"/>
        </w:rPr>
        <w:t xml:space="preserve">. </w:t>
      </w:r>
    </w:p>
    <w:p w14:paraId="7211830B" w14:textId="77777777" w:rsidR="004412F1" w:rsidRDefault="005A12A3">
      <w:pPr>
        <w:pStyle w:val="Prrafodelista"/>
        <w:numPr>
          <w:ilvl w:val="0"/>
          <w:numId w:val="224"/>
        </w:numPr>
        <w:jc w:val="both"/>
        <w:rPr>
          <w:lang w:val="es-PE"/>
        </w:rPr>
      </w:pPr>
      <w:r>
        <w:rPr>
          <w:lang w:val="es-PE"/>
        </w:rPr>
        <w:t xml:space="preserve">Del 1 de </w:t>
      </w:r>
      <w:proofErr w:type="gramStart"/>
      <w:r>
        <w:rPr>
          <w:lang w:val="es-PE"/>
        </w:rPr>
        <w:t>Octubre</w:t>
      </w:r>
      <w:proofErr w:type="gramEnd"/>
      <w:r>
        <w:rPr>
          <w:lang w:val="es-PE"/>
        </w:rPr>
        <w:t xml:space="preserve"> hasta el 31 de diciembre </w:t>
      </w:r>
    </w:p>
    <w:p w14:paraId="24DD2932" w14:textId="77777777" w:rsidR="004412F1" w:rsidRDefault="004412F1">
      <w:pPr>
        <w:ind w:left="426"/>
        <w:jc w:val="both"/>
        <w:rPr>
          <w:lang w:val="es-PE"/>
        </w:rPr>
      </w:pPr>
    </w:p>
    <w:p w14:paraId="5382301D" w14:textId="77777777" w:rsidR="004412F1" w:rsidRDefault="005A12A3">
      <w:pPr>
        <w:numPr>
          <w:ilvl w:val="0"/>
          <w:numId w:val="223"/>
        </w:numPr>
        <w:jc w:val="both"/>
        <w:rPr>
          <w:color w:val="000000"/>
          <w:lang w:val="es-PE"/>
        </w:rPr>
      </w:pPr>
      <w:r>
        <w:rPr>
          <w:color w:val="000000"/>
          <w:lang w:val="es-PE"/>
        </w:rPr>
        <w:t xml:space="preserve">Si la firma del Contrato de Concesión ocurre durante los últimos quince (15) Días Calendario del Trimestre Calendario en curso, </w:t>
      </w:r>
      <w:proofErr w:type="gramStart"/>
      <w:r>
        <w:rPr>
          <w:color w:val="000000"/>
          <w:lang w:val="es-PE"/>
        </w:rPr>
        <w:t>de acuerdo a</w:t>
      </w:r>
      <w:proofErr w:type="gramEnd"/>
      <w:r>
        <w:rPr>
          <w:color w:val="000000"/>
          <w:lang w:val="es-PE"/>
        </w:rPr>
        <w:t xml:space="preserve"> lo señalado en el numeral 6 del presente Apéndice, el primer pago de la RPMO se llevará a cabo el último día hábil del Trimestre Calendario inmediatamente posterior. El pago de las siguientes cuotas trimestrales se realizará el último día hábil de cada Trimestre Calendario.</w:t>
      </w:r>
    </w:p>
    <w:p w14:paraId="447CB747" w14:textId="77777777" w:rsidR="004412F1" w:rsidRDefault="004412F1">
      <w:pPr>
        <w:ind w:left="360"/>
        <w:jc w:val="both"/>
        <w:rPr>
          <w:color w:val="000000"/>
          <w:lang w:val="es-PE"/>
        </w:rPr>
      </w:pPr>
    </w:p>
    <w:p w14:paraId="7F900A76" w14:textId="77777777" w:rsidR="004412F1" w:rsidRDefault="005A12A3">
      <w:pPr>
        <w:numPr>
          <w:ilvl w:val="0"/>
          <w:numId w:val="223"/>
        </w:numPr>
        <w:jc w:val="both"/>
        <w:rPr>
          <w:color w:val="000000"/>
          <w:lang w:val="es-PE"/>
        </w:rPr>
      </w:pPr>
      <w:r>
        <w:rPr>
          <w:color w:val="000000"/>
          <w:lang w:val="es-PE"/>
        </w:rPr>
        <w:t>El primer pago trimestral de la RPMO, contado desde la firma del Contrato de Concesión, hasta el último día del Trimestre Calendario correspondiente, será proporcional a los días transcurridos entre las fechas antes indicadas. De la misma manera, el último pago trimestral de la RPMO será proporcional a los días transcurridos entre el último pago de la RPMO realizado, y la fecha en la que se declara el Fin de la Concesión del contrato.</w:t>
      </w:r>
    </w:p>
    <w:p w14:paraId="53EE51BE" w14:textId="77777777" w:rsidR="004412F1" w:rsidRDefault="004412F1">
      <w:pPr>
        <w:ind w:left="360"/>
        <w:jc w:val="both"/>
        <w:rPr>
          <w:color w:val="000000"/>
          <w:lang w:val="es-PE"/>
        </w:rPr>
      </w:pPr>
    </w:p>
    <w:p w14:paraId="78C2D00B" w14:textId="77777777" w:rsidR="004412F1" w:rsidRDefault="005A12A3">
      <w:pPr>
        <w:numPr>
          <w:ilvl w:val="0"/>
          <w:numId w:val="223"/>
        </w:numPr>
        <w:jc w:val="both"/>
        <w:rPr>
          <w:color w:val="000000"/>
          <w:lang w:val="es-PE"/>
        </w:rPr>
      </w:pPr>
      <w:r>
        <w:rPr>
          <w:color w:val="000000"/>
          <w:lang w:val="es-PE"/>
        </w:rPr>
        <w:t>Los pagos trimestrales de la RPMO correspondiente al periodo señalado en el numeral 3 del presente Apéndice se llevarán a cabo el último día hábil del Trimestre Calendario en curso, considerando lo señalado en el numeral 8 del presente Apéndice.</w:t>
      </w:r>
    </w:p>
    <w:p w14:paraId="64B43705" w14:textId="77777777" w:rsidR="004412F1" w:rsidRDefault="004412F1">
      <w:pPr>
        <w:jc w:val="both"/>
        <w:rPr>
          <w:lang w:val="es-PE"/>
        </w:rPr>
      </w:pPr>
    </w:p>
    <w:p w14:paraId="70AFB2EC" w14:textId="77777777" w:rsidR="004412F1" w:rsidRDefault="005A12A3">
      <w:pPr>
        <w:numPr>
          <w:ilvl w:val="0"/>
          <w:numId w:val="223"/>
        </w:numPr>
        <w:jc w:val="both"/>
        <w:rPr>
          <w:color w:val="000000"/>
          <w:lang w:val="es-PE"/>
        </w:rPr>
      </w:pPr>
      <w:r>
        <w:rPr>
          <w:color w:val="000000"/>
          <w:lang w:val="es-PE"/>
        </w:rPr>
        <w:t>La solicitud para el primer reajuste anual de la RPMO será presentada por el CONCESIONARIO al REGULADOR dentro de los primeros diez (10) días calendario de iniciado el primer Trimestre Calendario del año del ajuste correspondiente considerando la siguiente fórmula:</w:t>
      </w:r>
    </w:p>
    <w:p w14:paraId="1F700E75" w14:textId="77777777" w:rsidR="004412F1" w:rsidRDefault="004412F1">
      <w:pPr>
        <w:ind w:left="426"/>
        <w:jc w:val="both"/>
        <w:rPr>
          <w:lang w:val="es-PE"/>
        </w:rPr>
      </w:pPr>
    </w:p>
    <w:p w14:paraId="28E768C2" w14:textId="77777777" w:rsidR="004412F1" w:rsidRDefault="00000000">
      <w:pPr>
        <w:ind w:left="426"/>
        <w:jc w:val="both"/>
      </w:pPr>
      <m:oMathPara>
        <m:oMath>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ajustado</m:t>
              </m:r>
            </m:sub>
          </m:sSub>
          <m:r>
            <w:rPr>
              <w:rFonts w:ascii="Cambria Math" w:hAnsi="Cambria Math" w:cstheme="minorHAnsi"/>
              <w:sz w:val="20"/>
              <w:szCs w:val="20"/>
            </w:rPr>
            <m:t>=</m:t>
          </m:r>
          <m:d>
            <m:dPr>
              <m:begChr m:val="["/>
              <m:endChr m:val="]"/>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0</m:t>
                      </m:r>
                    </m:sub>
                  </m:sSub>
                  <m:r>
                    <w:rPr>
                      <w:rFonts w:ascii="Cambria Math" w:hAnsi="Cambria Math" w:cstheme="minorHAnsi"/>
                      <w:sz w:val="20"/>
                      <w:szCs w:val="20"/>
                    </w:rPr>
                    <m:t>×50%</m:t>
                  </m:r>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CPI</m:t>
                          </m:r>
                        </m:e>
                        <m:sub>
                          <m:r>
                            <w:rPr>
                              <w:rFonts w:ascii="Cambria Math" w:hAnsi="Cambria Math" w:cstheme="minorHAnsi"/>
                              <w:sz w:val="20"/>
                              <w:szCs w:val="20"/>
                            </w:rPr>
                            <m:t>i</m:t>
                          </m:r>
                        </m:sub>
                      </m:sSub>
                    </m:num>
                    <m:den>
                      <m:sSub>
                        <m:sSubPr>
                          <m:ctrlPr>
                            <w:rPr>
                              <w:rFonts w:ascii="Cambria Math" w:hAnsi="Cambria Math" w:cstheme="minorHAnsi"/>
                              <w:i/>
                              <w:sz w:val="20"/>
                              <w:szCs w:val="20"/>
                            </w:rPr>
                          </m:ctrlPr>
                        </m:sSubPr>
                        <m:e>
                          <m:r>
                            <w:rPr>
                              <w:rFonts w:ascii="Cambria Math" w:hAnsi="Cambria Math" w:cstheme="minorHAnsi"/>
                              <w:sz w:val="20"/>
                              <w:szCs w:val="20"/>
                            </w:rPr>
                            <m:t>CPI</m:t>
                          </m:r>
                        </m:e>
                        <m:sub>
                          <m:r>
                            <w:rPr>
                              <w:rFonts w:ascii="Cambria Math" w:hAnsi="Cambria Math" w:cstheme="minorHAnsi"/>
                              <w:sz w:val="20"/>
                              <w:szCs w:val="20"/>
                            </w:rPr>
                            <m:t>0</m:t>
                          </m:r>
                        </m:sub>
                      </m:sSub>
                    </m:den>
                  </m:f>
                </m:e>
              </m:d>
            </m:e>
          </m:d>
          <m:r>
            <w:rPr>
              <w:rFonts w:ascii="Cambria Math" w:hAnsi="Cambria Math" w:cstheme="minorHAnsi"/>
              <w:sz w:val="20"/>
              <w:szCs w:val="20"/>
            </w:rPr>
            <m:t>+</m:t>
          </m:r>
          <m:d>
            <m:dPr>
              <m:begChr m:val="["/>
              <m:endChr m:val="]"/>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0</m:t>
                      </m:r>
                    </m:sub>
                  </m:sSub>
                  <m:r>
                    <w:rPr>
                      <w:rFonts w:ascii="Cambria Math" w:hAnsi="Cambria Math" w:cstheme="minorHAnsi"/>
                      <w:sz w:val="20"/>
                      <w:szCs w:val="20"/>
                    </w:rPr>
                    <m:t>×50%</m:t>
                  </m:r>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TC</m:t>
                          </m:r>
                        </m:e>
                        <m:sub>
                          <m:r>
                            <w:rPr>
                              <w:rFonts w:ascii="Cambria Math" w:hAnsi="Cambria Math" w:cstheme="minorHAnsi"/>
                              <w:sz w:val="20"/>
                              <w:szCs w:val="20"/>
                            </w:rPr>
                            <m:t>0</m:t>
                          </m:r>
                        </m:sub>
                      </m:sSub>
                    </m:num>
                    <m:den>
                      <m:sSub>
                        <m:sSubPr>
                          <m:ctrlPr>
                            <w:rPr>
                              <w:rFonts w:ascii="Cambria Math" w:hAnsi="Cambria Math" w:cstheme="minorHAnsi"/>
                              <w:i/>
                              <w:sz w:val="20"/>
                              <w:szCs w:val="20"/>
                            </w:rPr>
                          </m:ctrlPr>
                        </m:sSubPr>
                        <m:e>
                          <m:r>
                            <w:rPr>
                              <w:rFonts w:ascii="Cambria Math" w:hAnsi="Cambria Math" w:cstheme="minorHAnsi"/>
                              <w:sz w:val="20"/>
                              <w:szCs w:val="20"/>
                            </w:rPr>
                            <m:t>TC</m:t>
                          </m:r>
                        </m:e>
                        <m:sub>
                          <m:r>
                            <w:rPr>
                              <w:rFonts w:ascii="Cambria Math" w:hAnsi="Cambria Math" w:cstheme="minorHAnsi"/>
                              <w:sz w:val="20"/>
                              <w:szCs w:val="20"/>
                            </w:rPr>
                            <m:t>i</m:t>
                          </m:r>
                        </m:sub>
                      </m:sSub>
                    </m:den>
                  </m:f>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IPC</m:t>
                          </m:r>
                        </m:e>
                        <m:sub>
                          <m:r>
                            <w:rPr>
                              <w:rFonts w:ascii="Cambria Math" w:hAnsi="Cambria Math" w:cstheme="minorHAnsi"/>
                              <w:sz w:val="20"/>
                              <w:szCs w:val="20"/>
                            </w:rPr>
                            <m:t>i</m:t>
                          </m:r>
                        </m:sub>
                      </m:sSub>
                    </m:num>
                    <m:den>
                      <m:sSub>
                        <m:sSubPr>
                          <m:ctrlPr>
                            <w:rPr>
                              <w:rFonts w:ascii="Cambria Math" w:hAnsi="Cambria Math" w:cstheme="minorHAnsi"/>
                              <w:i/>
                              <w:sz w:val="20"/>
                              <w:szCs w:val="20"/>
                            </w:rPr>
                          </m:ctrlPr>
                        </m:sSubPr>
                        <m:e>
                          <m:r>
                            <w:rPr>
                              <w:rFonts w:ascii="Cambria Math" w:hAnsi="Cambria Math" w:cstheme="minorHAnsi"/>
                              <w:sz w:val="20"/>
                              <w:szCs w:val="20"/>
                            </w:rPr>
                            <m:t>IPC</m:t>
                          </m:r>
                        </m:e>
                        <m:sub>
                          <m:r>
                            <w:rPr>
                              <w:rFonts w:ascii="Cambria Math" w:hAnsi="Cambria Math" w:cstheme="minorHAnsi"/>
                              <w:sz w:val="20"/>
                              <w:szCs w:val="20"/>
                            </w:rPr>
                            <m:t>0</m:t>
                          </m:r>
                        </m:sub>
                      </m:sSub>
                    </m:den>
                  </m:f>
                </m:e>
              </m:d>
            </m:e>
          </m:d>
        </m:oMath>
      </m:oMathPara>
    </w:p>
    <w:p w14:paraId="50AAB48A" w14:textId="77777777" w:rsidR="004412F1" w:rsidRDefault="004412F1">
      <w:pPr>
        <w:ind w:left="426"/>
        <w:jc w:val="both"/>
      </w:pPr>
    </w:p>
    <w:p w14:paraId="3FDCF8B6" w14:textId="77777777" w:rsidR="004412F1" w:rsidRDefault="005A12A3">
      <w:pPr>
        <w:jc w:val="both"/>
      </w:pPr>
      <w:r>
        <w:tab/>
        <w:t xml:space="preserve">Dónde: </w:t>
      </w:r>
    </w:p>
    <w:p w14:paraId="1B3E2B25"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0: Corresponde al mes en que se suscribió el Contrato de Concesión.</w:t>
      </w:r>
    </w:p>
    <w:p w14:paraId="3B09F9CB"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i:  Corresponde al mes anterior al mes en que se hace el reajuste.</w:t>
      </w:r>
    </w:p>
    <w:p w14:paraId="08C0A1F0"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 xml:space="preserve">CPI: Índice de Precios al Consumidor (Consumer Price Index) de los Estados Unidos de América, publicado por el Departamento de Estadísticas Laborles (The Bureau of Labor Statistics). </w:t>
      </w:r>
    </w:p>
    <w:p w14:paraId="611128B6"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IPC: Es el índice de Precios al Consumidor tomando como base los Índices Unificados de Precios de la Construcción publicados por el Instituto Nacional de Estadística e Informática – INEI, para el Área Geográfica 3, el cual corresponde la ubicación del Proyecto.</w:t>
      </w:r>
    </w:p>
    <w:p w14:paraId="6A53B49E"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Tco: Tipo de Cambio Ponderado Compra Venta, publicado por la Superintendencia de Banca y Seguros (SBS), a la fecha de suscripción del Contrato de Concesión.</w:t>
      </w:r>
    </w:p>
    <w:p w14:paraId="2844FDD2"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Tci: Tipo de Cambio Ponderado Compra Venta, publicado por la Superintendencia de Banca y Seguros (SBS), del último Día del mes anterior al mes en que se hace el ajuste.</w:t>
      </w:r>
    </w:p>
    <w:p w14:paraId="79CA34C2" w14:textId="77777777" w:rsidR="004412F1" w:rsidRDefault="004412F1">
      <w:pPr>
        <w:jc w:val="both"/>
        <w:rPr>
          <w:lang w:val="es-PE"/>
        </w:rPr>
      </w:pPr>
    </w:p>
    <w:p w14:paraId="5D56DDA7" w14:textId="77777777" w:rsidR="004412F1" w:rsidRDefault="005A12A3">
      <w:pPr>
        <w:numPr>
          <w:ilvl w:val="0"/>
          <w:numId w:val="223"/>
        </w:numPr>
        <w:jc w:val="both"/>
        <w:rPr>
          <w:color w:val="000000"/>
        </w:rPr>
      </w:pPr>
      <w:r>
        <w:rPr>
          <w:color w:val="000000"/>
          <w:lang w:val="es-PE"/>
        </w:rPr>
        <w:t xml:space="preserve">El REGULADOR deberá emitir su opinión sobre la solicitud del reajuste mencionado a más tardar a los cinco (05) días posteriores a la recepción de la solicitud. </w:t>
      </w:r>
      <w:r>
        <w:rPr>
          <w:color w:val="000000"/>
        </w:rPr>
        <w:t>El REGULADOR podrá</w:t>
      </w:r>
      <w:r>
        <w:rPr>
          <w:color w:val="000000" w:themeColor="text1"/>
        </w:rPr>
        <w:t>:</w:t>
      </w:r>
    </w:p>
    <w:p w14:paraId="68822E27" w14:textId="77777777" w:rsidR="004412F1" w:rsidRDefault="004412F1">
      <w:pPr>
        <w:ind w:left="426"/>
        <w:jc w:val="both"/>
      </w:pPr>
    </w:p>
    <w:p w14:paraId="653169E1" w14:textId="77777777" w:rsidR="004412F1" w:rsidRDefault="005A12A3">
      <w:pPr>
        <w:pStyle w:val="Prrafodelista"/>
        <w:numPr>
          <w:ilvl w:val="0"/>
          <w:numId w:val="226"/>
        </w:numPr>
        <w:jc w:val="both"/>
        <w:rPr>
          <w:lang w:val="es-PE"/>
        </w:rPr>
      </w:pPr>
      <w:r>
        <w:rPr>
          <w:lang w:val="es-PE"/>
        </w:rPr>
        <w:t xml:space="preserve">Aprobar la solicitud de reajuste y comunicarlo al CONCESIONARIO, con copia al CONCEDENTE en el plazo establecido. </w:t>
      </w:r>
    </w:p>
    <w:p w14:paraId="33B7C32B" w14:textId="77777777" w:rsidR="004412F1" w:rsidRDefault="005A12A3">
      <w:pPr>
        <w:pStyle w:val="Prrafodelista"/>
        <w:numPr>
          <w:ilvl w:val="0"/>
          <w:numId w:val="226"/>
        </w:numPr>
        <w:jc w:val="both"/>
        <w:rPr>
          <w:lang w:val="es-PE"/>
        </w:rPr>
      </w:pPr>
      <w:r>
        <w:rPr>
          <w:lang w:val="es-PE"/>
        </w:rPr>
        <w:t xml:space="preserve">Comunicar al CONCESIONARIO, dentro del plazo establecido previamente, las observaciones encontradas para la respectiva subsanación </w:t>
      </w:r>
    </w:p>
    <w:p w14:paraId="2BC707B6" w14:textId="77777777" w:rsidR="004412F1" w:rsidRDefault="004412F1">
      <w:pPr>
        <w:ind w:left="426"/>
        <w:jc w:val="both"/>
        <w:rPr>
          <w:lang w:val="es-PE"/>
        </w:rPr>
      </w:pPr>
    </w:p>
    <w:p w14:paraId="0D7FA8B6" w14:textId="77777777" w:rsidR="004412F1" w:rsidRDefault="005A12A3">
      <w:pPr>
        <w:numPr>
          <w:ilvl w:val="0"/>
          <w:numId w:val="223"/>
        </w:numPr>
        <w:jc w:val="both"/>
        <w:rPr>
          <w:lang w:val="es-PE"/>
        </w:rPr>
      </w:pPr>
      <w:r>
        <w:rPr>
          <w:color w:val="000000"/>
          <w:lang w:val="es-PE"/>
        </w:rPr>
        <w:t>El CONCESIONARIO deberá subsanar las observaciones que le fueron remitidas en un plazo de dos (02) Días Calendario.</w:t>
      </w:r>
      <w:r>
        <w:rPr>
          <w:lang w:val="es-PE"/>
        </w:rPr>
        <w:t xml:space="preserve"> Una vez subsanadas dichas observaciones, el REGULADOR aprobará la solicitud de reajuste </w:t>
      </w:r>
      <w:proofErr w:type="gramStart"/>
      <w:r>
        <w:rPr>
          <w:lang w:val="es-PE"/>
        </w:rPr>
        <w:t>de acuerdo a</w:t>
      </w:r>
      <w:proofErr w:type="gramEnd"/>
      <w:r>
        <w:rPr>
          <w:lang w:val="es-PE"/>
        </w:rPr>
        <w:t xml:space="preserve"> lo señalado en el literal a. del numeral anterior.</w:t>
      </w:r>
    </w:p>
    <w:p w14:paraId="75780E8D" w14:textId="77777777" w:rsidR="004412F1" w:rsidRDefault="004412F1">
      <w:pPr>
        <w:ind w:left="360"/>
        <w:jc w:val="both"/>
        <w:rPr>
          <w:lang w:val="es-PE"/>
        </w:rPr>
      </w:pPr>
    </w:p>
    <w:p w14:paraId="19D33F85" w14:textId="77777777" w:rsidR="004412F1" w:rsidRDefault="005A12A3">
      <w:pPr>
        <w:numPr>
          <w:ilvl w:val="0"/>
          <w:numId w:val="223"/>
        </w:numPr>
        <w:jc w:val="both"/>
        <w:rPr>
          <w:lang w:val="es-PE"/>
        </w:rPr>
      </w:pPr>
      <w:r>
        <w:rPr>
          <w:lang w:val="es-PE"/>
        </w:rPr>
        <w:t xml:space="preserve">Si la suscripción del presente Contrato se realizó en los últimos quince (15) Días Calendario del último Trimestre Calendario del año anterior al año de ajuste, entonces el primer pago de RPMO se calculará de la siguiente manera: </w:t>
      </w:r>
    </w:p>
    <w:p w14:paraId="58389460" w14:textId="77777777" w:rsidR="004412F1" w:rsidRDefault="004412F1">
      <w:pPr>
        <w:ind w:left="426"/>
        <w:jc w:val="both"/>
        <w:rPr>
          <w:lang w:val="es-PE"/>
        </w:rPr>
      </w:pPr>
    </w:p>
    <w:p w14:paraId="0DA11686" w14:textId="77777777" w:rsidR="004412F1" w:rsidRDefault="00000000">
      <w:pPr>
        <w:ind w:left="426"/>
        <w:jc w:val="center"/>
      </w:pPr>
      <m:oMathPara>
        <m:oMath>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1 ajustado</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0 ajustado</m:t>
              </m:r>
            </m:sub>
          </m:sSub>
          <m:r>
            <w:rPr>
              <w:rFonts w:ascii="Cambria Math" w:hAnsi="Cambria Math" w:cstheme="minorHAnsi"/>
              <w:sz w:val="20"/>
              <w:szCs w:val="20"/>
            </w:rPr>
            <m:t xml:space="preserve">+N° de días × </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ofertado</m:t>
                      </m:r>
                    </m:sub>
                  </m:sSub>
                </m:num>
                <m:den>
                  <m:r>
                    <w:rPr>
                      <w:rFonts w:ascii="Cambria Math" w:hAnsi="Cambria Math" w:cstheme="minorHAnsi"/>
                      <w:sz w:val="20"/>
                      <w:szCs w:val="20"/>
                    </w:rPr>
                    <m:t>365</m:t>
                  </m:r>
                </m:den>
              </m:f>
            </m:e>
          </m:d>
        </m:oMath>
      </m:oMathPara>
    </w:p>
    <w:p w14:paraId="77E9B884" w14:textId="77777777" w:rsidR="004412F1" w:rsidRDefault="004412F1">
      <w:pPr>
        <w:ind w:left="426"/>
        <w:jc w:val="both"/>
      </w:pPr>
    </w:p>
    <w:p w14:paraId="5C5895BD" w14:textId="77777777" w:rsidR="004412F1" w:rsidRDefault="005A12A3">
      <w:pPr>
        <w:jc w:val="both"/>
      </w:pPr>
      <w:r>
        <w:t xml:space="preserve">Dónde: </w:t>
      </w:r>
    </w:p>
    <w:p w14:paraId="4D75622E"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RPMO</w:t>
      </w:r>
      <w:r>
        <w:rPr>
          <w:vertAlign w:val="subscript"/>
          <w:lang w:val="es-PE"/>
        </w:rPr>
        <w:t>1 ajustado</w:t>
      </w:r>
      <w:r>
        <w:rPr>
          <w:lang w:val="es-PE"/>
        </w:rPr>
        <w:t>: Corresponde al primer pago del RPMO si es que la suscripción del presente Contrato se realizó en el último Trimestre Calendario del año anterior al año de ajuste.</w:t>
      </w:r>
    </w:p>
    <w:p w14:paraId="2B44557B"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RPMO</w:t>
      </w:r>
      <w:r>
        <w:rPr>
          <w:vertAlign w:val="subscript"/>
          <w:lang w:val="es-PE"/>
        </w:rPr>
        <w:t>0 ajustado</w:t>
      </w:r>
      <w:r>
        <w:rPr>
          <w:lang w:val="es-PE"/>
        </w:rPr>
        <w:t xml:space="preserve">: RPMO ajustado </w:t>
      </w:r>
      <w:proofErr w:type="gramStart"/>
      <w:r>
        <w:rPr>
          <w:lang w:val="es-PE"/>
        </w:rPr>
        <w:t>de acuerdo a</w:t>
      </w:r>
      <w:proofErr w:type="gramEnd"/>
      <w:r>
        <w:rPr>
          <w:lang w:val="es-PE"/>
        </w:rPr>
        <w:t xml:space="preserve"> la fórmula del primer reajuste.</w:t>
      </w:r>
    </w:p>
    <w:p w14:paraId="77901032"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N° de días:  Es la cantidad de Días Calendario entre la fecha de suscripción del presente Contrato y la fecha del último Día Hábil del año en curso.</w:t>
      </w:r>
    </w:p>
    <w:p w14:paraId="6CCA3710"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RPMO</w:t>
      </w:r>
      <w:r>
        <w:rPr>
          <w:vertAlign w:val="subscript"/>
          <w:lang w:val="es-PE"/>
        </w:rPr>
        <w:t>ofertado</w:t>
      </w:r>
      <w:r>
        <w:rPr>
          <w:lang w:val="es-PE"/>
        </w:rPr>
        <w:t xml:space="preserve">: RPMO ofertado por el Adjudicatario en su oferta económica. </w:t>
      </w:r>
    </w:p>
    <w:p w14:paraId="24AF460B" w14:textId="77777777" w:rsidR="004412F1" w:rsidRDefault="005A12A3">
      <w:pPr>
        <w:ind w:left="426"/>
        <w:jc w:val="both"/>
        <w:rPr>
          <w:lang w:val="es-PE"/>
        </w:rPr>
      </w:pPr>
      <w:r>
        <w:rPr>
          <w:lang w:val="es-PE"/>
        </w:rPr>
        <w:tab/>
      </w:r>
    </w:p>
    <w:p w14:paraId="731ED6C1" w14:textId="77777777" w:rsidR="004412F1" w:rsidRDefault="005A12A3">
      <w:pPr>
        <w:numPr>
          <w:ilvl w:val="0"/>
          <w:numId w:val="223"/>
        </w:numPr>
        <w:jc w:val="both"/>
        <w:rPr>
          <w:lang w:val="es-PE"/>
        </w:rPr>
      </w:pPr>
      <w:r>
        <w:rPr>
          <w:lang w:val="es-PE"/>
        </w:rPr>
        <w:t>Para los subsiguientes reajustes anuales de la RPMO, la solicitud de reajuste anual que comprende a los cuatro (04) Trimestres Calendario siguientes a la fecha en el que se aprueba el reajuste, será presentada por el CONCESIONARIO al REGULADOR, dentro de los primeros diez (10) Días Calendario de iniciado el primer Trimestre Calendario del año del ajuste correspondiente considerando la siguiente fórmula:</w:t>
      </w:r>
    </w:p>
    <w:p w14:paraId="0121A440" w14:textId="77777777" w:rsidR="004412F1" w:rsidRDefault="004412F1">
      <w:pPr>
        <w:ind w:left="426"/>
        <w:jc w:val="both"/>
        <w:rPr>
          <w:lang w:val="es-PE"/>
        </w:rPr>
      </w:pPr>
    </w:p>
    <w:p w14:paraId="02A6E1BA" w14:textId="77777777" w:rsidR="004412F1" w:rsidRDefault="00000000">
      <w:pPr>
        <w:ind w:left="426"/>
        <w:jc w:val="both"/>
      </w:pPr>
      <m:oMathPara>
        <m:oMath>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ajustado</m:t>
              </m:r>
            </m:sub>
          </m:sSub>
          <m:r>
            <w:rPr>
              <w:rFonts w:ascii="Cambria Math" w:hAnsi="Cambria Math" w:cstheme="minorHAnsi"/>
              <w:sz w:val="20"/>
              <w:szCs w:val="20"/>
            </w:rPr>
            <m:t>=</m:t>
          </m:r>
          <m:d>
            <m:dPr>
              <m:begChr m:val="["/>
              <m:endChr m:val="]"/>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0</m:t>
                      </m:r>
                    </m:sub>
                  </m:sSub>
                  <m:r>
                    <w:rPr>
                      <w:rFonts w:ascii="Cambria Math" w:hAnsi="Cambria Math" w:cstheme="minorHAnsi"/>
                      <w:sz w:val="20"/>
                      <w:szCs w:val="20"/>
                    </w:rPr>
                    <m:t>×50%</m:t>
                  </m:r>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CPI</m:t>
                          </m:r>
                        </m:e>
                        <m:sub>
                          <m:r>
                            <w:rPr>
                              <w:rFonts w:ascii="Cambria Math" w:hAnsi="Cambria Math" w:cstheme="minorHAnsi"/>
                              <w:sz w:val="20"/>
                              <w:szCs w:val="20"/>
                            </w:rPr>
                            <m:t>i</m:t>
                          </m:r>
                        </m:sub>
                      </m:sSub>
                    </m:num>
                    <m:den>
                      <m:sSub>
                        <m:sSubPr>
                          <m:ctrlPr>
                            <w:rPr>
                              <w:rFonts w:ascii="Cambria Math" w:hAnsi="Cambria Math" w:cstheme="minorHAnsi"/>
                              <w:i/>
                              <w:sz w:val="20"/>
                              <w:szCs w:val="20"/>
                            </w:rPr>
                          </m:ctrlPr>
                        </m:sSubPr>
                        <m:e>
                          <m:r>
                            <w:rPr>
                              <w:rFonts w:ascii="Cambria Math" w:hAnsi="Cambria Math" w:cstheme="minorHAnsi"/>
                              <w:sz w:val="20"/>
                              <w:szCs w:val="20"/>
                            </w:rPr>
                            <m:t>CPI</m:t>
                          </m:r>
                        </m:e>
                        <m:sub>
                          <m:r>
                            <w:rPr>
                              <w:rFonts w:ascii="Cambria Math" w:hAnsi="Cambria Math" w:cstheme="minorHAnsi"/>
                              <w:sz w:val="20"/>
                              <w:szCs w:val="20"/>
                            </w:rPr>
                            <m:t>0</m:t>
                          </m:r>
                        </m:sub>
                      </m:sSub>
                    </m:den>
                  </m:f>
                </m:e>
              </m:d>
            </m:e>
          </m:d>
          <m:r>
            <w:rPr>
              <w:rFonts w:ascii="Cambria Math" w:hAnsi="Cambria Math" w:cstheme="minorHAnsi"/>
              <w:sz w:val="20"/>
              <w:szCs w:val="20"/>
            </w:rPr>
            <m:t>+</m:t>
          </m:r>
          <m:d>
            <m:dPr>
              <m:begChr m:val="["/>
              <m:endChr m:val="]"/>
              <m:ctrlPr>
                <w:rPr>
                  <w:rFonts w:ascii="Cambria Math" w:hAnsi="Cambria Math" w:cstheme="minorHAnsi"/>
                  <w:i/>
                  <w:sz w:val="20"/>
                  <w:szCs w:val="20"/>
                </w:rPr>
              </m:ctrlPr>
            </m:dPr>
            <m:e>
              <m:d>
                <m:dPr>
                  <m:ctrlPr>
                    <w:rPr>
                      <w:rFonts w:ascii="Cambria Math" w:hAnsi="Cambria Math" w:cstheme="minorHAnsi"/>
                      <w:i/>
                      <w:sz w:val="20"/>
                      <w:szCs w:val="20"/>
                    </w:rPr>
                  </m:ctrlPr>
                </m:dPr>
                <m:e>
                  <m:sSub>
                    <m:sSubPr>
                      <m:ctrlPr>
                        <w:rPr>
                          <w:rFonts w:ascii="Cambria Math" w:hAnsi="Cambria Math" w:cstheme="minorHAnsi"/>
                          <w:i/>
                          <w:sz w:val="20"/>
                          <w:szCs w:val="20"/>
                        </w:rPr>
                      </m:ctrlPr>
                    </m:sSubPr>
                    <m:e>
                      <m:r>
                        <w:rPr>
                          <w:rFonts w:ascii="Cambria Math" w:hAnsi="Cambria Math" w:cstheme="minorHAnsi"/>
                          <w:sz w:val="20"/>
                          <w:szCs w:val="20"/>
                        </w:rPr>
                        <m:t>RPMO</m:t>
                      </m:r>
                    </m:e>
                    <m:sub>
                      <m:r>
                        <w:rPr>
                          <w:rFonts w:ascii="Cambria Math" w:hAnsi="Cambria Math" w:cstheme="minorHAnsi"/>
                          <w:sz w:val="20"/>
                          <w:szCs w:val="20"/>
                        </w:rPr>
                        <m:t>0</m:t>
                      </m:r>
                    </m:sub>
                  </m:sSub>
                  <m:r>
                    <w:rPr>
                      <w:rFonts w:ascii="Cambria Math" w:hAnsi="Cambria Math" w:cstheme="minorHAnsi"/>
                      <w:sz w:val="20"/>
                      <w:szCs w:val="20"/>
                    </w:rPr>
                    <m:t>×50%</m:t>
                  </m:r>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TC</m:t>
                          </m:r>
                        </m:e>
                        <m:sub>
                          <m:r>
                            <w:rPr>
                              <w:rFonts w:ascii="Cambria Math" w:hAnsi="Cambria Math" w:cstheme="minorHAnsi"/>
                              <w:sz w:val="20"/>
                              <w:szCs w:val="20"/>
                            </w:rPr>
                            <m:t>0</m:t>
                          </m:r>
                        </m:sub>
                      </m:sSub>
                    </m:num>
                    <m:den>
                      <m:sSub>
                        <m:sSubPr>
                          <m:ctrlPr>
                            <w:rPr>
                              <w:rFonts w:ascii="Cambria Math" w:hAnsi="Cambria Math" w:cstheme="minorHAnsi"/>
                              <w:i/>
                              <w:sz w:val="20"/>
                              <w:szCs w:val="20"/>
                            </w:rPr>
                          </m:ctrlPr>
                        </m:sSubPr>
                        <m:e>
                          <m:r>
                            <w:rPr>
                              <w:rFonts w:ascii="Cambria Math" w:hAnsi="Cambria Math" w:cstheme="minorHAnsi"/>
                              <w:sz w:val="20"/>
                              <w:szCs w:val="20"/>
                            </w:rPr>
                            <m:t>TC</m:t>
                          </m:r>
                        </m:e>
                        <m:sub>
                          <m:r>
                            <w:rPr>
                              <w:rFonts w:ascii="Cambria Math" w:hAnsi="Cambria Math" w:cstheme="minorHAnsi"/>
                              <w:sz w:val="20"/>
                              <w:szCs w:val="20"/>
                            </w:rPr>
                            <m:t>i</m:t>
                          </m:r>
                        </m:sub>
                      </m:sSub>
                    </m:den>
                  </m:f>
                </m:e>
              </m:d>
              <m:r>
                <w:rPr>
                  <w:rFonts w:ascii="Cambria Math" w:hAnsi="Cambria Math" w:cstheme="minorHAnsi"/>
                  <w:sz w:val="20"/>
                  <w:szCs w:val="20"/>
                </w:rPr>
                <m:t>×</m:t>
              </m:r>
              <m:d>
                <m:dPr>
                  <m:ctrlPr>
                    <w:rPr>
                      <w:rFonts w:ascii="Cambria Math" w:hAnsi="Cambria Math" w:cstheme="minorHAnsi"/>
                      <w:i/>
                      <w:sz w:val="20"/>
                      <w:szCs w:val="20"/>
                    </w:rPr>
                  </m:ctrlPr>
                </m:dPr>
                <m:e>
                  <m:f>
                    <m:fPr>
                      <m:ctrlPr>
                        <w:rPr>
                          <w:rFonts w:ascii="Cambria Math" w:hAnsi="Cambria Math" w:cstheme="minorHAnsi"/>
                          <w:i/>
                          <w:sz w:val="20"/>
                          <w:szCs w:val="20"/>
                        </w:rPr>
                      </m:ctrlPr>
                    </m:fPr>
                    <m:num>
                      <m:sSub>
                        <m:sSubPr>
                          <m:ctrlPr>
                            <w:rPr>
                              <w:rFonts w:ascii="Cambria Math" w:hAnsi="Cambria Math" w:cstheme="minorHAnsi"/>
                              <w:i/>
                              <w:sz w:val="20"/>
                              <w:szCs w:val="20"/>
                            </w:rPr>
                          </m:ctrlPr>
                        </m:sSubPr>
                        <m:e>
                          <m:r>
                            <w:rPr>
                              <w:rFonts w:ascii="Cambria Math" w:hAnsi="Cambria Math" w:cstheme="minorHAnsi"/>
                              <w:sz w:val="20"/>
                              <w:szCs w:val="20"/>
                            </w:rPr>
                            <m:t>IPC</m:t>
                          </m:r>
                        </m:e>
                        <m:sub>
                          <m:r>
                            <w:rPr>
                              <w:rFonts w:ascii="Cambria Math" w:hAnsi="Cambria Math" w:cstheme="minorHAnsi"/>
                              <w:sz w:val="20"/>
                              <w:szCs w:val="20"/>
                            </w:rPr>
                            <m:t>i</m:t>
                          </m:r>
                        </m:sub>
                      </m:sSub>
                    </m:num>
                    <m:den>
                      <m:sSub>
                        <m:sSubPr>
                          <m:ctrlPr>
                            <w:rPr>
                              <w:rFonts w:ascii="Cambria Math" w:hAnsi="Cambria Math" w:cstheme="minorHAnsi"/>
                              <w:i/>
                              <w:sz w:val="20"/>
                              <w:szCs w:val="20"/>
                            </w:rPr>
                          </m:ctrlPr>
                        </m:sSubPr>
                        <m:e>
                          <m:r>
                            <w:rPr>
                              <w:rFonts w:ascii="Cambria Math" w:hAnsi="Cambria Math" w:cstheme="minorHAnsi"/>
                              <w:sz w:val="20"/>
                              <w:szCs w:val="20"/>
                            </w:rPr>
                            <m:t>IPC</m:t>
                          </m:r>
                        </m:e>
                        <m:sub>
                          <m:r>
                            <w:rPr>
                              <w:rFonts w:ascii="Cambria Math" w:hAnsi="Cambria Math" w:cstheme="minorHAnsi"/>
                              <w:sz w:val="20"/>
                              <w:szCs w:val="20"/>
                            </w:rPr>
                            <m:t>0</m:t>
                          </m:r>
                        </m:sub>
                      </m:sSub>
                    </m:den>
                  </m:f>
                </m:e>
              </m:d>
            </m:e>
          </m:d>
        </m:oMath>
      </m:oMathPara>
    </w:p>
    <w:p w14:paraId="572E5212" w14:textId="77777777" w:rsidR="004412F1" w:rsidRDefault="004412F1">
      <w:pPr>
        <w:ind w:left="426"/>
        <w:jc w:val="both"/>
      </w:pPr>
    </w:p>
    <w:p w14:paraId="270F560A" w14:textId="77777777" w:rsidR="004412F1" w:rsidRDefault="005A12A3">
      <w:pPr>
        <w:jc w:val="both"/>
      </w:pPr>
      <w:r>
        <w:t xml:space="preserve">Dónde: </w:t>
      </w:r>
    </w:p>
    <w:p w14:paraId="12649288"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0: Corresponde al mes anterior al mes en que se realizó el reajuste anterior.</w:t>
      </w:r>
    </w:p>
    <w:p w14:paraId="3756172A" w14:textId="77777777" w:rsidR="004412F1" w:rsidRDefault="005A12A3">
      <w:pPr>
        <w:pStyle w:val="Prrafodelista"/>
        <w:widowControl w:val="0"/>
        <w:numPr>
          <w:ilvl w:val="0"/>
          <w:numId w:val="225"/>
        </w:numPr>
        <w:autoSpaceDE w:val="0"/>
        <w:autoSpaceDN w:val="0"/>
        <w:adjustRightInd w:val="0"/>
        <w:ind w:left="1134"/>
        <w:jc w:val="both"/>
        <w:rPr>
          <w:lang w:val="es-PE"/>
        </w:rPr>
      </w:pPr>
      <w:r>
        <w:rPr>
          <w:lang w:val="es-PE"/>
        </w:rPr>
        <w:t>i:  Corresponde al mes anterior a la fecha en que se realiza el reajuste.</w:t>
      </w:r>
    </w:p>
    <w:p w14:paraId="7CC38317"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CPI: Índice de Precios al Consumidor (Consumer Price Index) de los Estados Unidos de América, publicado por el Departamento de Estadísticas Laborles (The Bureau of Labor Statistics).</w:t>
      </w:r>
    </w:p>
    <w:p w14:paraId="73890B94"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IPC: Es el índice de Precios al Consumidor tomando como base los Índices Unificados de Precios de la Construcción publicados por el Instituto Nacional de Estadística e Informática – INEI, para el Área Geográfica 3, el cual corresponde la ubicación del Proyecto.</w:t>
      </w:r>
    </w:p>
    <w:p w14:paraId="6B8E2147"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Tco: Tipo de Cambio Ponderado Compra Venta del primer mes de primer Trimestre Calendario del año anterior al año del ajuste. Valor publicado por la Superintendencia de Banca y Seguros (SBS)</w:t>
      </w:r>
    </w:p>
    <w:p w14:paraId="469F8C04"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Tci: Tipo de Cambio Ponderado Compra Venta del último mes del cuarto Trimestre Calendario del año del ajuste</w:t>
      </w:r>
    </w:p>
    <w:p w14:paraId="71CB4C98"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Tco: Tipo de Cambio Ponderado Compra Venta, publicado por la Superintendencia de Banca y Seguros (SBS), del último Día del mes anterior al mes en que se realizó el reajuste anterior.</w:t>
      </w:r>
    </w:p>
    <w:p w14:paraId="1F464693" w14:textId="77777777" w:rsidR="004412F1" w:rsidRDefault="005A12A3">
      <w:pPr>
        <w:pStyle w:val="Prrafodelista"/>
        <w:widowControl w:val="0"/>
        <w:numPr>
          <w:ilvl w:val="0"/>
          <w:numId w:val="225"/>
        </w:numPr>
        <w:autoSpaceDE w:val="0"/>
        <w:autoSpaceDN w:val="0"/>
        <w:adjustRightInd w:val="0"/>
        <w:jc w:val="both"/>
        <w:rPr>
          <w:lang w:val="es-PE"/>
        </w:rPr>
      </w:pPr>
      <w:r>
        <w:rPr>
          <w:lang w:val="es-PE"/>
        </w:rPr>
        <w:t>Tci: Tipo de Cambio Ponderado Compra Venta, publicado por la Superintendencia de Banca y Seguros (SBS), del último Día del mes anterior al mes en que se realiza el reajuste.</w:t>
      </w:r>
    </w:p>
    <w:p w14:paraId="660E49D8" w14:textId="77777777" w:rsidR="004412F1" w:rsidRDefault="004412F1">
      <w:pPr>
        <w:ind w:left="426"/>
        <w:jc w:val="both"/>
        <w:rPr>
          <w:lang w:val="es-PE"/>
        </w:rPr>
      </w:pPr>
    </w:p>
    <w:p w14:paraId="4D33D882" w14:textId="77777777" w:rsidR="004412F1" w:rsidRDefault="005A12A3">
      <w:pPr>
        <w:numPr>
          <w:ilvl w:val="0"/>
          <w:numId w:val="223"/>
        </w:numPr>
        <w:jc w:val="both"/>
        <w:rPr>
          <w:rFonts w:eastAsia="Times New Roman"/>
          <w:bCs/>
          <w:szCs w:val="18"/>
          <w:lang w:val="es-ES" w:eastAsia="es-ES"/>
        </w:rPr>
      </w:pPr>
      <w:r>
        <w:rPr>
          <w:lang w:val="es-PE"/>
        </w:rPr>
        <w:t xml:space="preserve">El REGULADOR deberá emitir su opinión sobre la solicitud del reajuste mencionado a más tardar a los cinco (05) Días Calendario posteriores a la recepción de la solicitud. </w:t>
      </w:r>
      <w:r>
        <w:t>El REGULADOR podrá:</w:t>
      </w:r>
    </w:p>
    <w:p w14:paraId="5905C26D" w14:textId="77777777" w:rsidR="004412F1" w:rsidRDefault="004412F1">
      <w:pPr>
        <w:pStyle w:val="Prrafodelista"/>
        <w:jc w:val="both"/>
        <w:rPr>
          <w:rFonts w:asciiTheme="minorHAnsi" w:hAnsiTheme="minorHAnsi" w:cstheme="minorHAnsi"/>
          <w:sz w:val="20"/>
          <w:szCs w:val="20"/>
        </w:rPr>
      </w:pPr>
    </w:p>
    <w:p w14:paraId="4D00A936" w14:textId="77777777" w:rsidR="004412F1" w:rsidRDefault="005A12A3">
      <w:pPr>
        <w:pStyle w:val="Prrafodelista"/>
        <w:widowControl w:val="0"/>
        <w:numPr>
          <w:ilvl w:val="1"/>
          <w:numId w:val="227"/>
        </w:numPr>
        <w:autoSpaceDE w:val="0"/>
        <w:autoSpaceDN w:val="0"/>
        <w:adjustRightInd w:val="0"/>
        <w:jc w:val="both"/>
        <w:rPr>
          <w:lang w:val="es-PE"/>
        </w:rPr>
      </w:pPr>
      <w:r>
        <w:rPr>
          <w:lang w:val="es-PE"/>
        </w:rPr>
        <w:t xml:space="preserve">Aprobar la solicitud de reajuste y comunicarlo al CONCESIONARIO, con copia al CONCEDENTE en el plazo establecido. </w:t>
      </w:r>
    </w:p>
    <w:p w14:paraId="2D685FC0" w14:textId="77777777" w:rsidR="004412F1" w:rsidRDefault="005A12A3">
      <w:pPr>
        <w:pStyle w:val="Prrafodelista"/>
        <w:widowControl w:val="0"/>
        <w:numPr>
          <w:ilvl w:val="1"/>
          <w:numId w:val="227"/>
        </w:numPr>
        <w:autoSpaceDE w:val="0"/>
        <w:autoSpaceDN w:val="0"/>
        <w:adjustRightInd w:val="0"/>
        <w:jc w:val="both"/>
        <w:rPr>
          <w:lang w:val="es-PE"/>
        </w:rPr>
      </w:pPr>
      <w:r>
        <w:rPr>
          <w:lang w:val="es-PE"/>
        </w:rPr>
        <w:t xml:space="preserve">Comunicar al CONCESIONARIO, dentro del plazo establecido previamente, las observaciones encontradas para la respectiva subsanación </w:t>
      </w:r>
    </w:p>
    <w:p w14:paraId="182E0824" w14:textId="77777777" w:rsidR="004412F1" w:rsidRDefault="004412F1">
      <w:pPr>
        <w:pStyle w:val="Prrafodelista"/>
        <w:ind w:left="1440"/>
        <w:jc w:val="both"/>
        <w:rPr>
          <w:rFonts w:asciiTheme="minorHAnsi" w:hAnsiTheme="minorHAnsi" w:cstheme="minorHAnsi"/>
          <w:sz w:val="20"/>
          <w:szCs w:val="20"/>
          <w:lang w:val="es-PE"/>
        </w:rPr>
      </w:pPr>
    </w:p>
    <w:p w14:paraId="38FB1A2E" w14:textId="77777777" w:rsidR="004412F1" w:rsidRDefault="005A12A3">
      <w:pPr>
        <w:numPr>
          <w:ilvl w:val="0"/>
          <w:numId w:val="223"/>
        </w:numPr>
        <w:jc w:val="both"/>
        <w:rPr>
          <w:lang w:val="es-PE"/>
        </w:rPr>
      </w:pPr>
      <w:r>
        <w:rPr>
          <w:lang w:val="es-PE"/>
        </w:rPr>
        <w:t xml:space="preserve">El CONCESIONARIO deberá subsanar las observaciones que le fueron remitidas en un plazo de dos (02) Días Calendario. Una vez subsanadas dichas observaciones, el REGULADOR aprobará la solicitud de reajuste </w:t>
      </w:r>
      <w:proofErr w:type="gramStart"/>
      <w:r>
        <w:rPr>
          <w:lang w:val="es-PE"/>
        </w:rPr>
        <w:t>de acuerdo a</w:t>
      </w:r>
      <w:proofErr w:type="gramEnd"/>
      <w:r>
        <w:rPr>
          <w:lang w:val="es-PE"/>
        </w:rPr>
        <w:t xml:space="preserve"> lo señalado en el literal a. del numeral anterior.</w:t>
      </w:r>
    </w:p>
    <w:p w14:paraId="14282D08" w14:textId="77777777" w:rsidR="004412F1" w:rsidRDefault="004412F1">
      <w:pPr>
        <w:jc w:val="both"/>
        <w:rPr>
          <w:lang w:val="es-PE"/>
        </w:rPr>
      </w:pPr>
    </w:p>
    <w:p w14:paraId="645448F9" w14:textId="77777777" w:rsidR="004412F1" w:rsidRDefault="004412F1">
      <w:pPr>
        <w:ind w:left="426"/>
        <w:jc w:val="both"/>
        <w:rPr>
          <w:lang w:val="es-PE"/>
        </w:rPr>
      </w:pPr>
    </w:p>
    <w:p w14:paraId="108053B9" w14:textId="77777777" w:rsidR="004412F1" w:rsidRDefault="005A12A3">
      <w:pPr>
        <w:ind w:left="426"/>
        <w:jc w:val="both"/>
        <w:rPr>
          <w:lang w:val="es-PE"/>
        </w:rPr>
      </w:pPr>
      <w:r>
        <w:rPr>
          <w:lang w:val="es-PE"/>
        </w:rPr>
        <w:br w:type="page"/>
      </w:r>
    </w:p>
    <w:p w14:paraId="26189CD3" w14:textId="77777777" w:rsidR="004412F1" w:rsidRDefault="004412F1">
      <w:pPr>
        <w:ind w:left="426"/>
        <w:jc w:val="both"/>
        <w:rPr>
          <w:lang w:val="es-PE"/>
        </w:rPr>
      </w:pPr>
    </w:p>
    <w:p w14:paraId="19452279" w14:textId="77777777" w:rsidR="004412F1" w:rsidRDefault="005A12A3">
      <w:pPr>
        <w:pStyle w:val="Ttulo2"/>
        <w:ind w:left="0"/>
        <w:jc w:val="center"/>
        <w:rPr>
          <w:rFonts w:ascii="Arial" w:hAnsi="Arial" w:cs="Arial"/>
          <w:b/>
          <w:lang w:val="es-PE"/>
        </w:rPr>
      </w:pPr>
      <w:bookmarkStart w:id="2932" w:name="_d38xxgm1516u" w:colFirst="0" w:colLast="0"/>
      <w:bookmarkStart w:id="2933" w:name="_Toc139294864"/>
      <w:bookmarkStart w:id="2934" w:name="_Toc140089492"/>
      <w:bookmarkEnd w:id="2932"/>
      <w:r>
        <w:rPr>
          <w:rFonts w:ascii="Arial" w:hAnsi="Arial" w:cs="Arial"/>
          <w:b/>
          <w:lang w:val="es-PE"/>
        </w:rPr>
        <w:t>APÉNDICE 7: SOBRE LA REMUNERACIÓN POR LA CONSTRUCCIÓN DEL EVITAMIENTO SAN CLEMENTE</w:t>
      </w:r>
      <w:bookmarkEnd w:id="2933"/>
      <w:bookmarkEnd w:id="2934"/>
    </w:p>
    <w:p w14:paraId="0C482AF1" w14:textId="77777777" w:rsidR="004412F1" w:rsidRDefault="004412F1">
      <w:pPr>
        <w:ind w:left="426"/>
        <w:jc w:val="both"/>
        <w:rPr>
          <w:lang w:val="es-PE"/>
        </w:rPr>
      </w:pPr>
    </w:p>
    <w:p w14:paraId="47A40EC1" w14:textId="77777777" w:rsidR="004412F1" w:rsidRDefault="005A12A3">
      <w:pPr>
        <w:numPr>
          <w:ilvl w:val="0"/>
          <w:numId w:val="228"/>
        </w:numPr>
        <w:jc w:val="both"/>
        <w:rPr>
          <w:lang w:val="es-PE"/>
        </w:rPr>
      </w:pPr>
      <w:r>
        <w:rPr>
          <w:lang w:val="es-PE"/>
        </w:rPr>
        <w:t>El Pago por Obra (PPO) es el pago del CONCEDENTE a favor del CONCESIONARIO a través del cual se reconocerá todos los costos de la Construcción del Evitamiento San Clemente.</w:t>
      </w:r>
    </w:p>
    <w:p w14:paraId="7BD6EC95" w14:textId="77777777" w:rsidR="004412F1" w:rsidRDefault="004412F1">
      <w:pPr>
        <w:ind w:left="426"/>
        <w:jc w:val="both"/>
        <w:rPr>
          <w:lang w:val="es-PE"/>
        </w:rPr>
      </w:pPr>
    </w:p>
    <w:p w14:paraId="7F3F1499" w14:textId="77777777" w:rsidR="004412F1" w:rsidRDefault="005A12A3">
      <w:pPr>
        <w:numPr>
          <w:ilvl w:val="0"/>
          <w:numId w:val="228"/>
        </w:numPr>
        <w:jc w:val="both"/>
        <w:rPr>
          <w:lang w:val="es-PE"/>
        </w:rPr>
      </w:pPr>
      <w:r>
        <w:rPr>
          <w:lang w:val="es-PE"/>
        </w:rPr>
        <w:t>La construcción del Evitamiento San Clemente se ejecutará en función del cronograma de obras aprobado en el EDI, a través de la ejecución de avances de Obra.</w:t>
      </w:r>
    </w:p>
    <w:p w14:paraId="3206372E" w14:textId="77777777" w:rsidR="004412F1" w:rsidRDefault="004412F1">
      <w:pPr>
        <w:ind w:left="426"/>
        <w:jc w:val="both"/>
        <w:rPr>
          <w:lang w:val="es-PE"/>
        </w:rPr>
      </w:pPr>
    </w:p>
    <w:p w14:paraId="337FB475" w14:textId="77777777" w:rsidR="004412F1" w:rsidRDefault="005A12A3" w:rsidP="00235877">
      <w:pPr>
        <w:numPr>
          <w:ilvl w:val="0"/>
          <w:numId w:val="228"/>
        </w:numPr>
        <w:jc w:val="both"/>
        <w:rPr>
          <w:lang w:val="es-PE"/>
        </w:rPr>
      </w:pPr>
      <w:r>
        <w:rPr>
          <w:lang w:val="es-PE"/>
        </w:rPr>
        <w:t>En base al presupuesto contenido en el mencionado EDI, el CONCESIONARIO presentará su Programa de Ejecución, el mismo que deberá ser formulado en función de los avances de Obra establecidos en el EDI aprobado.</w:t>
      </w:r>
    </w:p>
    <w:p w14:paraId="453AB0B0" w14:textId="77777777" w:rsidR="004412F1" w:rsidRDefault="004412F1">
      <w:pPr>
        <w:ind w:left="426"/>
        <w:jc w:val="both"/>
        <w:rPr>
          <w:lang w:val="es-PE"/>
        </w:rPr>
      </w:pPr>
    </w:p>
    <w:p w14:paraId="77993503" w14:textId="77777777" w:rsidR="004412F1" w:rsidRDefault="005A12A3" w:rsidP="00235877">
      <w:pPr>
        <w:numPr>
          <w:ilvl w:val="0"/>
          <w:numId w:val="228"/>
        </w:numPr>
        <w:jc w:val="both"/>
        <w:rPr>
          <w:lang w:val="es-PE"/>
        </w:rPr>
      </w:pPr>
      <w:r>
        <w:rPr>
          <w:lang w:val="es-PE"/>
        </w:rPr>
        <w:t>Cada Hito Constructivo, para efectos del presente contrato, se ha establecido en 25% del monto total del presupuesto contenido en el EDI. Se podrá aceptar avances de Obra de cada Hito Constructivo con una diferencia de más o menos 0.5% del valor del avance de Obra establecido, lo que significa que los avances de Obra podrán oscilar entre el 24.5% y 25.5% del valor total de la Construcción del Evitamiento San Clemente establecido en el presupuesto del EDI. El último Hito Constructivo será equivalente a la diferencia para obtener el 100% de avance menos la suma de los porcentajes de los Hitos previamente ejecutados.</w:t>
      </w:r>
    </w:p>
    <w:p w14:paraId="4B93B591" w14:textId="77777777" w:rsidR="004412F1" w:rsidRDefault="004412F1">
      <w:pPr>
        <w:ind w:left="360"/>
        <w:jc w:val="both"/>
        <w:rPr>
          <w:lang w:val="es-PE"/>
        </w:rPr>
      </w:pPr>
    </w:p>
    <w:p w14:paraId="7CA950B7" w14:textId="77777777" w:rsidR="004412F1" w:rsidRDefault="005A12A3">
      <w:pPr>
        <w:ind w:left="360"/>
        <w:jc w:val="both"/>
        <w:rPr>
          <w:rFonts w:eastAsia="SimSun"/>
          <w:lang w:val="es-PE" w:eastAsia="zh-CN"/>
        </w:rPr>
      </w:pPr>
      <w:r>
        <w:rPr>
          <w:lang w:val="es-PE"/>
        </w:rPr>
        <w:t>AsÍ mismo, la configuración de cualquier Hito Constructivo deberá incluir (i) gastos efectivamente desembolsados, y (ii) contener partidas físicamente completas (partidas de obra); es decir, que deberán incluir, necesariamente, la ejecución de obra física (construcción, instalación, montaje, excavación, entre otros), no permitiéndose Hitos Constructivos con partidas que incluyan únicamente suministro de equipos o materiales, o movilización de maquinaria.</w:t>
      </w:r>
    </w:p>
    <w:p w14:paraId="068A82E8" w14:textId="77777777" w:rsidR="004412F1" w:rsidRDefault="004412F1">
      <w:pPr>
        <w:ind w:left="360"/>
        <w:jc w:val="both"/>
        <w:rPr>
          <w:rFonts w:eastAsia="SimSun"/>
          <w:lang w:val="es-PE" w:eastAsia="zh-CN"/>
        </w:rPr>
      </w:pPr>
    </w:p>
    <w:p w14:paraId="0ACCACAA" w14:textId="77777777" w:rsidR="004412F1" w:rsidRDefault="005A12A3">
      <w:pPr>
        <w:ind w:left="360"/>
        <w:jc w:val="both"/>
        <w:rPr>
          <w:lang w:val="es-PE"/>
        </w:rPr>
      </w:pPr>
      <w:r>
        <w:rPr>
          <w:lang w:val="es-PE"/>
        </w:rPr>
        <w:t>Partidas de obra son cada una de las actividades para la ejecución de las obras civiles, instalaciones electromecánicas, hidráulicas, eléctricas, instrumentación, entre otras. Cada partida de obra se encuentra conformada por una o más subpartidas.</w:t>
      </w:r>
    </w:p>
    <w:p w14:paraId="6908B9F1" w14:textId="77777777" w:rsidR="004412F1" w:rsidRDefault="004412F1">
      <w:pPr>
        <w:ind w:left="360"/>
        <w:jc w:val="both"/>
        <w:rPr>
          <w:lang w:val="es-PE"/>
        </w:rPr>
      </w:pPr>
    </w:p>
    <w:p w14:paraId="0ED237A2" w14:textId="77777777" w:rsidR="004412F1" w:rsidRDefault="005A12A3">
      <w:pPr>
        <w:numPr>
          <w:ilvl w:val="0"/>
          <w:numId w:val="228"/>
        </w:numPr>
        <w:jc w:val="both"/>
        <w:rPr>
          <w:lang w:val="es-PE"/>
        </w:rPr>
      </w:pPr>
      <w:r>
        <w:rPr>
          <w:lang w:val="es-PE"/>
        </w:rPr>
        <w:t>A partir de la fecha de suscripción del Acta de Inicio de Obra, el CONCESIONARIO presentará al REGULADOR, con copia al CONCEDENTE, un Informe de Avance a la culminación de cada Trimestre Calendario, el cual deberá indicar como mínimo lo siguiente:</w:t>
      </w:r>
    </w:p>
    <w:p w14:paraId="31ACF69A" w14:textId="77777777" w:rsidR="004412F1" w:rsidRDefault="004412F1">
      <w:pPr>
        <w:ind w:left="426"/>
        <w:jc w:val="both"/>
        <w:rPr>
          <w:lang w:val="es-PE"/>
        </w:rPr>
      </w:pPr>
    </w:p>
    <w:p w14:paraId="537D46FD" w14:textId="77777777" w:rsidR="004412F1" w:rsidRDefault="005A12A3">
      <w:pPr>
        <w:pStyle w:val="Prrafodelista"/>
        <w:numPr>
          <w:ilvl w:val="0"/>
          <w:numId w:val="229"/>
        </w:numPr>
        <w:jc w:val="both"/>
        <w:rPr>
          <w:lang w:val="es-PE"/>
        </w:rPr>
      </w:pPr>
      <w:r>
        <w:rPr>
          <w:lang w:val="es-PE"/>
        </w:rPr>
        <w:t>El cumplimiento del Hito Constructivo correspondiente.</w:t>
      </w:r>
    </w:p>
    <w:p w14:paraId="081937F9" w14:textId="77777777" w:rsidR="004412F1" w:rsidRDefault="005A12A3">
      <w:pPr>
        <w:pStyle w:val="Prrafodelista"/>
        <w:numPr>
          <w:ilvl w:val="0"/>
          <w:numId w:val="229"/>
        </w:numPr>
        <w:jc w:val="both"/>
        <w:rPr>
          <w:lang w:val="es-PE"/>
        </w:rPr>
      </w:pPr>
      <w:r>
        <w:rPr>
          <w:lang w:val="es-PE"/>
        </w:rPr>
        <w:t>La valorización del avance de Obra del Hito Constructivo, determinada como el porcentaje del avance de Obra respectivo, multiplicado por el monto de la oferta económica de la Obra.</w:t>
      </w:r>
    </w:p>
    <w:p w14:paraId="4A84F9B0" w14:textId="77777777" w:rsidR="004412F1" w:rsidRDefault="004412F1">
      <w:pPr>
        <w:ind w:left="426"/>
        <w:jc w:val="both"/>
        <w:rPr>
          <w:lang w:val="es-PE"/>
        </w:rPr>
      </w:pPr>
    </w:p>
    <w:p w14:paraId="6A6BB18C" w14:textId="77777777" w:rsidR="004412F1" w:rsidRDefault="00000000">
      <w:pPr>
        <w:ind w:left="426"/>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PPO</m:t>
              </m:r>
            </m:e>
            <m:sub>
              <m:r>
                <m:rPr>
                  <m:sty m:val="p"/>
                </m:rPr>
                <w:rPr>
                  <w:rFonts w:ascii="Cambria Math" w:eastAsia="MS Mincho" w:hAnsi="Cambria Math" w:cstheme="minorHAnsi"/>
                  <w:sz w:val="20"/>
                  <w:szCs w:val="20"/>
                </w:rPr>
                <m:t>i</m:t>
              </m:r>
            </m:sub>
          </m:sSub>
          <m:r>
            <w:rPr>
              <w:rFonts w:ascii="Cambria Math" w:eastAsia="Arial Unicode MS" w:hAnsi="Cambria Math" w:cstheme="minorHAnsi"/>
              <w:sz w:val="20"/>
              <w:szCs w:val="20"/>
            </w:rPr>
            <m:t>=</m:t>
          </m:r>
          <m:sSub>
            <m:sSubPr>
              <m:ctrlPr>
                <w:rPr>
                  <w:rFonts w:ascii="Cambria Math" w:eastAsia="MS Mincho" w:hAnsi="Cambria Math" w:cstheme="minorHAnsi"/>
                  <w:i/>
                  <w:iCs/>
                  <w:sz w:val="20"/>
                  <w:szCs w:val="20"/>
                </w:rPr>
              </m:ctrlPr>
            </m:sSubPr>
            <m:e>
              <m:r>
                <w:rPr>
                  <w:rFonts w:ascii="Cambria Math" w:eastAsia="Arial Unicode MS" w:hAnsi="Cambria Math" w:cstheme="minorHAnsi"/>
                  <w:sz w:val="20"/>
                  <w:szCs w:val="20"/>
                </w:rPr>
                <m:t>AO</m:t>
              </m:r>
            </m:e>
            <m:sub>
              <m:r>
                <w:rPr>
                  <w:rFonts w:ascii="Cambria Math" w:eastAsia="MS Mincho" w:hAnsi="Cambria Math" w:cstheme="minorHAnsi"/>
                  <w:sz w:val="20"/>
                  <w:szCs w:val="20"/>
                </w:rPr>
                <m:t>i</m:t>
              </m:r>
            </m:sub>
          </m:sSub>
          <m:r>
            <m:rPr>
              <m:sty m:val="p"/>
            </m:rPr>
            <w:rPr>
              <w:rFonts w:ascii="Cambria Math" w:eastAsia="Arial Unicode MS" w:hAnsi="Cambria Math" w:cstheme="minorHAnsi"/>
              <w:sz w:val="20"/>
              <w:szCs w:val="20"/>
            </w:rPr>
            <m:t xml:space="preserve"> x </m:t>
          </m:r>
          <m:r>
            <w:rPr>
              <w:rFonts w:ascii="Cambria Math" w:eastAsia="Arial Unicode MS" w:hAnsi="Cambria Math" w:cstheme="minorHAnsi"/>
              <w:sz w:val="20"/>
              <w:szCs w:val="20"/>
            </w:rPr>
            <m:t>Inversión Ev. San Clemente</m:t>
          </m:r>
        </m:oMath>
      </m:oMathPara>
    </w:p>
    <w:p w14:paraId="4087352E" w14:textId="77777777" w:rsidR="004412F1" w:rsidRDefault="004412F1">
      <w:pPr>
        <w:ind w:left="426"/>
        <w:jc w:val="both"/>
      </w:pPr>
    </w:p>
    <w:p w14:paraId="1E100014" w14:textId="77777777" w:rsidR="004412F1" w:rsidRDefault="005A12A3">
      <w:pPr>
        <w:pStyle w:val="Prrafodelista"/>
        <w:spacing w:line="276" w:lineRule="auto"/>
        <w:rPr>
          <w:rFonts w:eastAsia="Arial Unicode MS"/>
        </w:rPr>
      </w:pPr>
      <w:r>
        <w:tab/>
      </w:r>
      <w:r>
        <w:rPr>
          <w:rFonts w:eastAsia="Arial Unicode MS"/>
        </w:rPr>
        <w:t>Donde:</w:t>
      </w:r>
    </w:p>
    <w:p w14:paraId="66DFB4FD" w14:textId="77777777" w:rsidR="004412F1" w:rsidRDefault="004412F1">
      <w:pPr>
        <w:pStyle w:val="Prrafodelista"/>
      </w:pPr>
    </w:p>
    <w:tbl>
      <w:tblPr>
        <w:tblStyle w:val="Tablaconcuadrcula"/>
        <w:tblW w:w="7371"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84"/>
        <w:gridCol w:w="5533"/>
      </w:tblGrid>
      <w:tr w:rsidR="004412F1" w14:paraId="6B78EAE2" w14:textId="77777777">
        <w:tc>
          <w:tcPr>
            <w:tcW w:w="1554" w:type="dxa"/>
          </w:tcPr>
          <w:p w14:paraId="2F2F30D1" w14:textId="77777777" w:rsidR="004412F1" w:rsidRPr="00354EEC" w:rsidRDefault="005A12A3">
            <w:pPr>
              <w:spacing w:line="276" w:lineRule="auto"/>
              <w:rPr>
                <w:sz w:val="20"/>
                <w:szCs w:val="20"/>
                <w:vertAlign w:val="subscript"/>
                <w:lang w:val="es-PE"/>
              </w:rPr>
            </w:pPr>
            <w:r w:rsidRPr="00354EEC">
              <w:rPr>
                <w:rFonts w:eastAsia="Arial Unicode MS"/>
                <w:sz w:val="20"/>
                <w:szCs w:val="20"/>
                <w:lang w:val="es-PE"/>
              </w:rPr>
              <w:t>PPO</w:t>
            </w:r>
            <w:r w:rsidRPr="00354EEC">
              <w:rPr>
                <w:rFonts w:eastAsia="Arial Unicode MS"/>
                <w:sz w:val="20"/>
                <w:szCs w:val="20"/>
                <w:vertAlign w:val="subscript"/>
                <w:lang w:val="es-PE"/>
              </w:rPr>
              <w:t>i</w:t>
            </w:r>
          </w:p>
        </w:tc>
        <w:tc>
          <w:tcPr>
            <w:tcW w:w="284" w:type="dxa"/>
          </w:tcPr>
          <w:p w14:paraId="407092C6" w14:textId="77777777" w:rsidR="004412F1" w:rsidRPr="00354EEC" w:rsidRDefault="005A12A3">
            <w:pPr>
              <w:spacing w:line="276" w:lineRule="auto"/>
              <w:rPr>
                <w:sz w:val="20"/>
                <w:szCs w:val="20"/>
                <w:lang w:val="es-PE"/>
              </w:rPr>
            </w:pPr>
            <w:r w:rsidRPr="00354EEC">
              <w:rPr>
                <w:rFonts w:eastAsia="Arial Unicode MS"/>
                <w:sz w:val="20"/>
                <w:szCs w:val="20"/>
                <w:lang w:val="es-PE"/>
              </w:rPr>
              <w:t>:</w:t>
            </w:r>
          </w:p>
        </w:tc>
        <w:tc>
          <w:tcPr>
            <w:tcW w:w="5533" w:type="dxa"/>
          </w:tcPr>
          <w:p w14:paraId="39BB8F65" w14:textId="77777777" w:rsidR="004412F1" w:rsidRPr="00354EEC" w:rsidRDefault="005A12A3">
            <w:pPr>
              <w:tabs>
                <w:tab w:val="left" w:pos="1317"/>
              </w:tabs>
              <w:spacing w:line="276" w:lineRule="auto"/>
              <w:jc w:val="both"/>
              <w:rPr>
                <w:sz w:val="20"/>
                <w:szCs w:val="20"/>
                <w:lang w:val="es-PE"/>
              </w:rPr>
            </w:pPr>
            <w:r w:rsidRPr="00354EEC">
              <w:rPr>
                <w:rFonts w:eastAsia="Arial Unicode MS"/>
                <w:sz w:val="20"/>
                <w:szCs w:val="20"/>
                <w:lang w:val="es-PE"/>
              </w:rPr>
              <w:t>PPO</w:t>
            </w:r>
            <w:r w:rsidRPr="00354EEC">
              <w:rPr>
                <w:rFonts w:eastAsia="Arial Unicode MS"/>
                <w:sz w:val="20"/>
                <w:szCs w:val="20"/>
                <w:vertAlign w:val="subscript"/>
                <w:lang w:val="es-PE"/>
              </w:rPr>
              <w:t>i</w:t>
            </w:r>
            <w:r w:rsidRPr="00354EEC">
              <w:rPr>
                <w:rFonts w:eastAsia="Arial Unicode MS"/>
                <w:sz w:val="20"/>
                <w:szCs w:val="20"/>
                <w:lang w:val="es-PE"/>
              </w:rPr>
              <w:t xml:space="preserve"> a ser pagado considerando el avance de Obra correspondiente.</w:t>
            </w:r>
          </w:p>
        </w:tc>
      </w:tr>
      <w:tr w:rsidR="004412F1" w14:paraId="49415438" w14:textId="77777777">
        <w:tc>
          <w:tcPr>
            <w:tcW w:w="1554" w:type="dxa"/>
          </w:tcPr>
          <w:p w14:paraId="18D7CE19" w14:textId="77777777" w:rsidR="004412F1" w:rsidRPr="00354EEC" w:rsidRDefault="005A12A3">
            <w:pPr>
              <w:spacing w:line="276" w:lineRule="auto"/>
              <w:rPr>
                <w:sz w:val="20"/>
                <w:szCs w:val="20"/>
                <w:vertAlign w:val="subscript"/>
                <w:lang w:val="es-PE"/>
              </w:rPr>
            </w:pPr>
            <w:r w:rsidRPr="00354EEC">
              <w:rPr>
                <w:rFonts w:eastAsia="Arial Unicode MS"/>
                <w:sz w:val="20"/>
                <w:szCs w:val="20"/>
                <w:lang w:val="es-PE"/>
              </w:rPr>
              <w:t>AO</w:t>
            </w:r>
            <w:r w:rsidRPr="00354EEC">
              <w:rPr>
                <w:rFonts w:eastAsia="Arial Unicode MS"/>
                <w:sz w:val="20"/>
                <w:szCs w:val="20"/>
                <w:vertAlign w:val="subscript"/>
                <w:lang w:val="es-PE"/>
              </w:rPr>
              <w:t>i</w:t>
            </w:r>
          </w:p>
          <w:p w14:paraId="2A0A6170" w14:textId="77777777" w:rsidR="004412F1" w:rsidRPr="00354EEC" w:rsidRDefault="005A12A3">
            <w:pPr>
              <w:spacing w:line="276" w:lineRule="auto"/>
              <w:rPr>
                <w:sz w:val="20"/>
                <w:szCs w:val="20"/>
                <w:vertAlign w:val="subscript"/>
                <w:lang w:val="es-PE"/>
              </w:rPr>
            </w:pPr>
            <w:r w:rsidRPr="00354EEC">
              <w:rPr>
                <w:rFonts w:eastAsia="Arial Unicode MS"/>
                <w:sz w:val="20"/>
                <w:szCs w:val="20"/>
                <w:lang w:val="es-PE"/>
              </w:rPr>
              <w:t>Inversión Ev. San Clemente</w:t>
            </w:r>
          </w:p>
        </w:tc>
        <w:tc>
          <w:tcPr>
            <w:tcW w:w="284" w:type="dxa"/>
          </w:tcPr>
          <w:p w14:paraId="6B48BCAF" w14:textId="77777777" w:rsidR="004412F1" w:rsidRPr="00354EEC" w:rsidRDefault="005A12A3">
            <w:pPr>
              <w:spacing w:line="276" w:lineRule="auto"/>
              <w:rPr>
                <w:sz w:val="20"/>
                <w:szCs w:val="20"/>
                <w:lang w:val="es-PE"/>
              </w:rPr>
            </w:pPr>
            <w:r w:rsidRPr="00354EEC">
              <w:rPr>
                <w:rFonts w:eastAsia="Arial Unicode MS"/>
                <w:sz w:val="20"/>
                <w:szCs w:val="20"/>
                <w:lang w:val="es-PE"/>
              </w:rPr>
              <w:t>:</w:t>
            </w:r>
          </w:p>
          <w:p w14:paraId="607B6BDA" w14:textId="77777777" w:rsidR="004412F1" w:rsidRPr="00354EEC" w:rsidRDefault="005A12A3">
            <w:pPr>
              <w:spacing w:line="276" w:lineRule="auto"/>
              <w:rPr>
                <w:sz w:val="20"/>
                <w:szCs w:val="20"/>
                <w:lang w:val="es-PE"/>
              </w:rPr>
            </w:pPr>
            <w:r w:rsidRPr="00354EEC">
              <w:rPr>
                <w:rFonts w:eastAsia="Arial Unicode MS"/>
                <w:sz w:val="20"/>
                <w:szCs w:val="20"/>
                <w:lang w:val="es-PE"/>
              </w:rPr>
              <w:t>:</w:t>
            </w:r>
          </w:p>
        </w:tc>
        <w:tc>
          <w:tcPr>
            <w:tcW w:w="5533" w:type="dxa"/>
          </w:tcPr>
          <w:p w14:paraId="79E561C9" w14:textId="77777777" w:rsidR="004412F1" w:rsidRPr="00354EEC" w:rsidRDefault="005A12A3">
            <w:pPr>
              <w:spacing w:line="276" w:lineRule="auto"/>
              <w:jc w:val="both"/>
              <w:rPr>
                <w:sz w:val="20"/>
                <w:szCs w:val="20"/>
                <w:lang w:val="es-PE"/>
              </w:rPr>
            </w:pPr>
            <w:r w:rsidRPr="00354EEC">
              <w:rPr>
                <w:rFonts w:eastAsia="Arial Unicode MS"/>
                <w:sz w:val="20"/>
                <w:szCs w:val="20"/>
                <w:lang w:val="es-PE"/>
              </w:rPr>
              <w:t>Porcentaje del avance de Obra correspondiente.</w:t>
            </w:r>
          </w:p>
          <w:p w14:paraId="6FE542D2" w14:textId="77777777" w:rsidR="004412F1" w:rsidRPr="00354EEC" w:rsidRDefault="005A12A3">
            <w:pPr>
              <w:spacing w:line="276" w:lineRule="auto"/>
              <w:jc w:val="both"/>
              <w:rPr>
                <w:sz w:val="20"/>
                <w:szCs w:val="20"/>
                <w:lang w:val="es-PE"/>
              </w:rPr>
            </w:pPr>
            <w:r w:rsidRPr="00354EEC">
              <w:rPr>
                <w:rFonts w:eastAsia="Arial Unicode MS"/>
                <w:sz w:val="20"/>
                <w:szCs w:val="20"/>
                <w:lang w:val="es-PE"/>
              </w:rPr>
              <w:t>Monto ofertado en la Propuesta Económica de la Inversión del Evitamiento San Clemente.</w:t>
            </w:r>
          </w:p>
        </w:tc>
      </w:tr>
    </w:tbl>
    <w:p w14:paraId="6A48D1C4" w14:textId="77777777" w:rsidR="004412F1" w:rsidRDefault="004412F1">
      <w:pPr>
        <w:jc w:val="both"/>
        <w:rPr>
          <w:lang w:val="es-PE"/>
        </w:rPr>
      </w:pPr>
    </w:p>
    <w:p w14:paraId="06A43BDA" w14:textId="77777777" w:rsidR="004412F1" w:rsidRDefault="005A12A3">
      <w:pPr>
        <w:pStyle w:val="Prrafodelista"/>
        <w:numPr>
          <w:ilvl w:val="0"/>
          <w:numId w:val="229"/>
        </w:numPr>
        <w:jc w:val="both"/>
        <w:rPr>
          <w:lang w:val="es-PE"/>
        </w:rPr>
      </w:pPr>
      <w:r>
        <w:rPr>
          <w:lang w:val="es-PE"/>
        </w:rPr>
        <w:t>La relación de partidas y subpartidas, con sus respectivas cantidades y unidades de medida ejecutadas durante el periodo correspondiente al Hito Constructivo correspondiente y acumuladas desde el inicio de la ejecución de las Obras. Entiéndase como subpartida cada una de las actividades que permiten la culminación o ejecución de una partida.</w:t>
      </w:r>
    </w:p>
    <w:p w14:paraId="6598C008" w14:textId="77777777" w:rsidR="004412F1" w:rsidRDefault="004412F1">
      <w:pPr>
        <w:ind w:left="426"/>
        <w:jc w:val="both"/>
        <w:rPr>
          <w:lang w:val="es-PE"/>
        </w:rPr>
      </w:pPr>
    </w:p>
    <w:p w14:paraId="300BE8B2" w14:textId="77777777" w:rsidR="004412F1" w:rsidRDefault="005A12A3">
      <w:pPr>
        <w:numPr>
          <w:ilvl w:val="0"/>
          <w:numId w:val="228"/>
        </w:numPr>
        <w:jc w:val="both"/>
        <w:rPr>
          <w:lang w:val="es-PE"/>
        </w:rPr>
      </w:pPr>
      <w:r>
        <w:rPr>
          <w:lang w:val="es-PE"/>
        </w:rPr>
        <w:t>Los Informes de Avance</w:t>
      </w:r>
      <w:r>
        <w:rPr>
          <w:lang w:val="es-ES"/>
        </w:rPr>
        <w:t xml:space="preserve"> </w:t>
      </w:r>
      <w:r>
        <w:rPr>
          <w:lang w:val="es-PE"/>
        </w:rPr>
        <w:t>deberán ser presentados por el CONCESIONARIO al REGULADOR, con copia al CONCEDENTE, dentro de los cinco (05) Días Calendario de cumplido cada Hito Constructivo.</w:t>
      </w:r>
    </w:p>
    <w:p w14:paraId="53EABCD2" w14:textId="77777777" w:rsidR="004412F1" w:rsidRDefault="004412F1">
      <w:pPr>
        <w:ind w:left="426"/>
        <w:jc w:val="both"/>
        <w:rPr>
          <w:lang w:val="es-PE"/>
        </w:rPr>
      </w:pPr>
    </w:p>
    <w:p w14:paraId="6F5A9B0E" w14:textId="77777777" w:rsidR="004412F1" w:rsidRDefault="005A12A3">
      <w:pPr>
        <w:numPr>
          <w:ilvl w:val="0"/>
          <w:numId w:val="228"/>
        </w:numPr>
        <w:jc w:val="both"/>
        <w:rPr>
          <w:rFonts w:eastAsia="MS Mincho"/>
          <w:lang w:val="es-PE"/>
        </w:rPr>
      </w:pPr>
      <w:r>
        <w:rPr>
          <w:lang w:val="es-PE"/>
        </w:rPr>
        <w:t>La elaboración del formato de los Informes de Avance corresponderá al CONCESIONARIO. Para ello, el CONCESIONARIO, con una anticipación de cincuenta (50) Días Calendario a la emisión del primer Informe de Avance, deberá enviar al REGULADOR el formato a utilizar para la preparación de dichos informes. En un plazo de diez (10) Días Calendario, el REGULADOR enviará al CONCESIONARIO sus observaciones u conformidad. En caso el REGULADOR tenga observaciones, el CONCESIONARIO deberá subsanarlas en un plazo de cinco (5) Días Calendario de recibidas y deberá enviar el formato de Informe de Avance revisado al REGULADOR en dicho plazo. En este caso, el REGULADOR contará con un plazo de cinco (5) Días Calendario para enviar al CONCESIONARIO su conformidad.</w:t>
      </w:r>
    </w:p>
    <w:p w14:paraId="01FB4EF7" w14:textId="77777777" w:rsidR="004412F1" w:rsidRDefault="004412F1">
      <w:pPr>
        <w:ind w:left="360"/>
        <w:jc w:val="both"/>
        <w:rPr>
          <w:rFonts w:eastAsia="MS Mincho"/>
          <w:lang w:val="es-PE"/>
        </w:rPr>
      </w:pPr>
    </w:p>
    <w:p w14:paraId="21111C58" w14:textId="77777777" w:rsidR="004412F1" w:rsidRDefault="005A12A3" w:rsidP="00235877">
      <w:pPr>
        <w:numPr>
          <w:ilvl w:val="0"/>
          <w:numId w:val="228"/>
        </w:numPr>
        <w:jc w:val="both"/>
        <w:rPr>
          <w:rFonts w:eastAsia="MS Mincho"/>
          <w:lang w:val="es-PE"/>
        </w:rPr>
      </w:pPr>
      <w:r>
        <w:rPr>
          <w:lang w:val="es-PE"/>
        </w:rPr>
        <w:t>El REGULADOR tendrá un plazo no mayor de veinte (20) Días Calendario para revisar el Informe de Avance desde su presentación por el CONCESIONARIO y verificar que las partidas se hayan ejecutado conforme al EDI.</w:t>
      </w:r>
    </w:p>
    <w:p w14:paraId="287921CE" w14:textId="77777777" w:rsidR="004412F1" w:rsidRDefault="004412F1">
      <w:pPr>
        <w:ind w:left="360"/>
        <w:jc w:val="both"/>
        <w:rPr>
          <w:rFonts w:asciiTheme="minorHAnsi" w:hAnsiTheme="minorHAnsi"/>
          <w:sz w:val="20"/>
          <w:lang w:val="es-PE"/>
        </w:rPr>
      </w:pPr>
    </w:p>
    <w:p w14:paraId="4A12B167" w14:textId="77777777" w:rsidR="004412F1" w:rsidRDefault="005A12A3">
      <w:pPr>
        <w:numPr>
          <w:ilvl w:val="0"/>
          <w:numId w:val="228"/>
        </w:numPr>
        <w:jc w:val="both"/>
        <w:rPr>
          <w:lang w:val="es-PE"/>
        </w:rPr>
      </w:pPr>
      <w:r>
        <w:rPr>
          <w:lang w:val="es-PE"/>
        </w:rPr>
        <w:t>Dentro de dicho plazo, el REGULADOR deberá proceder conforme a lo siguiente:</w:t>
      </w:r>
    </w:p>
    <w:p w14:paraId="4A2CA6E4" w14:textId="77777777" w:rsidR="004412F1" w:rsidRDefault="004412F1">
      <w:pPr>
        <w:ind w:left="426"/>
        <w:jc w:val="both"/>
        <w:rPr>
          <w:lang w:val="es-PE"/>
        </w:rPr>
      </w:pPr>
    </w:p>
    <w:p w14:paraId="2E0B56F1" w14:textId="77777777" w:rsidR="004412F1" w:rsidRDefault="005A12A3" w:rsidP="005331D2">
      <w:pPr>
        <w:pStyle w:val="Prrafodelista"/>
        <w:numPr>
          <w:ilvl w:val="0"/>
          <w:numId w:val="230"/>
        </w:numPr>
        <w:ind w:left="851" w:hanging="425"/>
        <w:jc w:val="both"/>
        <w:rPr>
          <w:lang w:val="es-PE"/>
        </w:rPr>
      </w:pPr>
      <w:r>
        <w:rPr>
          <w:lang w:val="es-PE"/>
        </w:rPr>
        <w:t xml:space="preserve">En caso se encuentre conforme, aprobar el Informe de Avance; o, </w:t>
      </w:r>
    </w:p>
    <w:p w14:paraId="0413146D" w14:textId="77777777" w:rsidR="004412F1" w:rsidRDefault="005A12A3" w:rsidP="005331D2">
      <w:pPr>
        <w:pStyle w:val="Prrafodelista"/>
        <w:numPr>
          <w:ilvl w:val="0"/>
          <w:numId w:val="230"/>
        </w:numPr>
        <w:ind w:left="851" w:hanging="425"/>
        <w:jc w:val="both"/>
        <w:rPr>
          <w:lang w:val="es-PE"/>
        </w:rPr>
      </w:pPr>
      <w:r>
        <w:rPr>
          <w:lang w:val="es-PE"/>
        </w:rPr>
        <w:t xml:space="preserve">Solicitar al CONCESIONARIO la subsanación de observaciones. En este caso, el CONCESIONARIO tendrá un plazo de quince (15) Días calendario para presentar al REGULADOR la subsanación de observaciones. </w:t>
      </w:r>
    </w:p>
    <w:p w14:paraId="6B0347E7" w14:textId="77777777" w:rsidR="004412F1" w:rsidRDefault="005A12A3" w:rsidP="005331D2">
      <w:pPr>
        <w:pStyle w:val="Prrafodelista"/>
        <w:numPr>
          <w:ilvl w:val="0"/>
          <w:numId w:val="230"/>
        </w:numPr>
        <w:ind w:left="851" w:hanging="425"/>
        <w:jc w:val="both"/>
        <w:rPr>
          <w:lang w:val="es-PE"/>
        </w:rPr>
      </w:pPr>
      <w:r>
        <w:rPr>
          <w:lang w:val="es-PE"/>
        </w:rPr>
        <w:t>El REGULADOR tendrá un plazo de cinco (5) Días Hábiles para aprobar las subsanaciones a las observaciones efectuadas. No se podrán hacer nuevas observaciones a las efectuadas inicialmente.</w:t>
      </w:r>
    </w:p>
    <w:p w14:paraId="77EA4C7F" w14:textId="77777777" w:rsidR="004412F1" w:rsidRDefault="004412F1">
      <w:pPr>
        <w:ind w:left="426"/>
        <w:jc w:val="both"/>
        <w:rPr>
          <w:lang w:val="es-PE"/>
        </w:rPr>
      </w:pPr>
    </w:p>
    <w:p w14:paraId="72858D69" w14:textId="77777777" w:rsidR="004412F1" w:rsidRDefault="005A12A3">
      <w:pPr>
        <w:numPr>
          <w:ilvl w:val="0"/>
          <w:numId w:val="228"/>
        </w:numPr>
        <w:jc w:val="both"/>
        <w:rPr>
          <w:rFonts w:eastAsia="MS Mincho"/>
          <w:lang w:val="es-PE"/>
        </w:rPr>
      </w:pPr>
      <w:r>
        <w:rPr>
          <w:rFonts w:eastAsia="MS Mincho"/>
          <w:lang w:val="es-PE"/>
        </w:rPr>
        <w:t xml:space="preserve">En caso el REGULADOR no emita un pronunciamiento respecto a la conformidad del Informe de Avance en los plazos señalados en los numerales anteriores, podrá comunicar al CONCESIONARIO la ampliación del plazo para la conformidad hasta en siete (07) Días Calendario posteriores a la fecha de cumplimiento del plazo original. </w:t>
      </w:r>
    </w:p>
    <w:p w14:paraId="088ED6EE" w14:textId="77777777" w:rsidR="004412F1" w:rsidRDefault="004412F1">
      <w:pPr>
        <w:ind w:left="360"/>
        <w:jc w:val="both"/>
        <w:rPr>
          <w:rFonts w:eastAsia="MS Mincho"/>
          <w:lang w:val="es-PE"/>
        </w:rPr>
      </w:pPr>
    </w:p>
    <w:p w14:paraId="6AD81D95" w14:textId="77777777" w:rsidR="004412F1" w:rsidRDefault="005A12A3">
      <w:pPr>
        <w:numPr>
          <w:ilvl w:val="0"/>
          <w:numId w:val="228"/>
        </w:numPr>
        <w:jc w:val="both"/>
        <w:rPr>
          <w:rFonts w:eastAsia="MS Mincho"/>
          <w:lang w:val="es-PE"/>
        </w:rPr>
      </w:pPr>
      <w:r>
        <w:rPr>
          <w:rFonts w:eastAsia="MS Mincho"/>
          <w:lang w:val="es-PE"/>
        </w:rPr>
        <w:t>Cumplido el plazo otorgado en el numeral precedente, y en caso el REGULADOR no emita su pronunciamiento, se entenderá que su opinión es favorable.</w:t>
      </w:r>
    </w:p>
    <w:p w14:paraId="7FF3D503" w14:textId="77777777" w:rsidR="004412F1" w:rsidRDefault="004412F1">
      <w:pPr>
        <w:ind w:left="360"/>
        <w:jc w:val="both"/>
        <w:rPr>
          <w:rFonts w:eastAsia="MS Mincho" w:cstheme="minorHAnsi"/>
          <w:sz w:val="20"/>
          <w:szCs w:val="20"/>
          <w:lang w:val="es-PE"/>
        </w:rPr>
      </w:pPr>
    </w:p>
    <w:p w14:paraId="483FC5E8" w14:textId="77777777" w:rsidR="004412F1" w:rsidRDefault="005A12A3">
      <w:pPr>
        <w:ind w:left="426"/>
        <w:jc w:val="both"/>
        <w:rPr>
          <w:lang w:val="es-PE"/>
        </w:rPr>
      </w:pPr>
      <w:r>
        <w:rPr>
          <w:lang w:val="es-PE"/>
        </w:rPr>
        <w:t>En caso el CONCESIONARIO no subsane las observaciones en el plazo señalado en el literal b) del numeral 9 del presente Anexo, podrá solicitar al REGULADOR una ampliación del plazo de hasta cinco (05) Días Calendario. Si culminado el nuevo plazo, el CONCESIONARIO no subsana las observaciones brindadas por el REGULADOR, se considerará al Informe de Avance de dicho Hito Constructivo como no presentado. El CONCESIONARIO deberá volver a presentar el Informe de Avance cuando concluya las actividades del Hito Constructivo correspondiente.</w:t>
      </w:r>
    </w:p>
    <w:p w14:paraId="51982BD3" w14:textId="77777777" w:rsidR="004412F1" w:rsidRDefault="005A12A3">
      <w:pPr>
        <w:ind w:left="426"/>
        <w:jc w:val="both"/>
        <w:rPr>
          <w:lang w:val="es-PE"/>
        </w:rPr>
      </w:pPr>
      <w:r>
        <w:rPr>
          <w:lang w:val="es-PE"/>
        </w:rPr>
        <w:tab/>
      </w:r>
    </w:p>
    <w:p w14:paraId="55D60F9F" w14:textId="77777777" w:rsidR="004412F1" w:rsidRDefault="005A12A3">
      <w:pPr>
        <w:numPr>
          <w:ilvl w:val="0"/>
          <w:numId w:val="228"/>
        </w:numPr>
        <w:jc w:val="both"/>
        <w:rPr>
          <w:lang w:val="es-PE"/>
        </w:rPr>
      </w:pPr>
      <w:r>
        <w:rPr>
          <w:lang w:val="es-PE"/>
        </w:rPr>
        <w:t>Los errores de diseño y construcción no serán reconocidos en la valorización del Avance.</w:t>
      </w:r>
    </w:p>
    <w:p w14:paraId="10223C07" w14:textId="77777777" w:rsidR="004412F1" w:rsidRDefault="004412F1">
      <w:pPr>
        <w:ind w:left="360"/>
        <w:jc w:val="both"/>
        <w:rPr>
          <w:lang w:val="es-PE"/>
        </w:rPr>
      </w:pPr>
    </w:p>
    <w:p w14:paraId="0C65964A" w14:textId="77777777" w:rsidR="004412F1" w:rsidRDefault="005A12A3" w:rsidP="00235877">
      <w:pPr>
        <w:numPr>
          <w:ilvl w:val="0"/>
          <w:numId w:val="228"/>
        </w:numPr>
        <w:jc w:val="both"/>
        <w:rPr>
          <w:lang w:val="es-PE"/>
        </w:rPr>
      </w:pPr>
      <w:r>
        <w:rPr>
          <w:lang w:val="es-PE"/>
        </w:rPr>
        <w:t xml:space="preserve">Una vez aprobado el Informe de Avance correspondiente, el REGULADOR tendrá un plazo de cinco (5) Días Hábiles para emitir el Reporte de Revisión, el cual deberá ser entregado al CONCEDENTE y al CONCESIONARIO. </w:t>
      </w:r>
    </w:p>
    <w:p w14:paraId="30433BC6" w14:textId="77777777" w:rsidR="004412F1" w:rsidRDefault="004412F1" w:rsidP="00235877">
      <w:pPr>
        <w:ind w:left="360"/>
        <w:jc w:val="both"/>
        <w:rPr>
          <w:lang w:val="es-PE"/>
        </w:rPr>
      </w:pPr>
    </w:p>
    <w:p w14:paraId="1E58D8D3" w14:textId="77777777" w:rsidR="004412F1" w:rsidRDefault="005A12A3" w:rsidP="00235877">
      <w:pPr>
        <w:numPr>
          <w:ilvl w:val="0"/>
          <w:numId w:val="228"/>
        </w:numPr>
        <w:jc w:val="both"/>
        <w:rPr>
          <w:lang w:val="es-PE"/>
        </w:rPr>
      </w:pPr>
      <w:r>
        <w:rPr>
          <w:lang w:val="es-PE"/>
        </w:rPr>
        <w:t>Con la conformidad del Informe de Avance por parte del REGULADOR y la emisión del Reporte de Revisión</w:t>
      </w:r>
      <w:r>
        <w:rPr>
          <w:lang w:val="es-ES"/>
        </w:rPr>
        <w:t xml:space="preserve"> </w:t>
      </w:r>
      <w:r>
        <w:rPr>
          <w:lang w:val="es-PE"/>
        </w:rPr>
        <w:t xml:space="preserve">correspondiente, donde se verifique la culminación de un Hito Constructivo, el CONCESIONARIO tendrá el derecho de cobrar el monto de la PPO correspondiente al Hito Constructivo culminado. </w:t>
      </w:r>
    </w:p>
    <w:p w14:paraId="5182CB7A" w14:textId="77777777" w:rsidR="004412F1" w:rsidRDefault="004412F1" w:rsidP="00235877">
      <w:pPr>
        <w:ind w:left="360"/>
        <w:jc w:val="both"/>
        <w:rPr>
          <w:lang w:val="es-PE"/>
        </w:rPr>
      </w:pPr>
    </w:p>
    <w:p w14:paraId="21C4E356" w14:textId="77777777" w:rsidR="004412F1" w:rsidRDefault="005A12A3" w:rsidP="00235877">
      <w:pPr>
        <w:numPr>
          <w:ilvl w:val="0"/>
          <w:numId w:val="228"/>
        </w:numPr>
        <w:jc w:val="both"/>
        <w:rPr>
          <w:lang w:val="es-PE"/>
        </w:rPr>
      </w:pPr>
      <w:r>
        <w:rPr>
          <w:lang w:val="es-PE"/>
        </w:rPr>
        <w:t>La conformidad del informe del último avance de Obra por parte del REGULADOR significará que el CONCESIONARIO ha dado término a la totalidad de las intervenciones de la construcción del Evitamiento San Clemente.</w:t>
      </w:r>
    </w:p>
    <w:p w14:paraId="19520FD2" w14:textId="77777777" w:rsidR="004412F1" w:rsidRDefault="004412F1" w:rsidP="00235877">
      <w:pPr>
        <w:ind w:left="360"/>
        <w:jc w:val="both"/>
        <w:rPr>
          <w:lang w:val="es-PE"/>
        </w:rPr>
      </w:pPr>
    </w:p>
    <w:p w14:paraId="7C3599E4" w14:textId="77777777" w:rsidR="004412F1" w:rsidRDefault="005A12A3" w:rsidP="00235877">
      <w:pPr>
        <w:numPr>
          <w:ilvl w:val="0"/>
          <w:numId w:val="228"/>
        </w:numPr>
        <w:jc w:val="both"/>
        <w:rPr>
          <w:lang w:val="es-PE"/>
        </w:rPr>
      </w:pPr>
      <w:r>
        <w:rPr>
          <w:lang w:val="es-PE"/>
        </w:rPr>
        <w:t>De darse el caso que el REGULADOR no apruebe 2 (dos) informes sucesivos, por causas no atribuibles al CONCESIONARIO, éste podrá invocar la Caducidad del Contrato.</w:t>
      </w:r>
    </w:p>
    <w:p w14:paraId="2F5DBF48" w14:textId="77777777" w:rsidR="004412F1" w:rsidRDefault="004412F1" w:rsidP="00235877">
      <w:pPr>
        <w:ind w:left="360"/>
        <w:jc w:val="both"/>
        <w:rPr>
          <w:lang w:val="es-PE"/>
        </w:rPr>
      </w:pPr>
    </w:p>
    <w:p w14:paraId="3A8005F2" w14:textId="77777777" w:rsidR="004412F1" w:rsidRDefault="005A12A3" w:rsidP="00235877">
      <w:pPr>
        <w:numPr>
          <w:ilvl w:val="0"/>
          <w:numId w:val="228"/>
        </w:numPr>
        <w:jc w:val="both"/>
        <w:rPr>
          <w:lang w:val="es-MX"/>
        </w:rPr>
      </w:pPr>
      <w:r>
        <w:rPr>
          <w:lang w:val="es-PE"/>
        </w:rPr>
        <w:t xml:space="preserve">El pago del PPO será realizado en </w:t>
      </w:r>
      <w:proofErr w:type="gramStart"/>
      <w:r>
        <w:rPr>
          <w:lang w:val="es-PE"/>
        </w:rPr>
        <w:t>Dólares</w:t>
      </w:r>
      <w:proofErr w:type="gramEnd"/>
      <w:r>
        <w:rPr>
          <w:lang w:val="es-PE"/>
        </w:rPr>
        <w:t xml:space="preserve"> y el último Día Hábil del Trimestre Calendario inmediatamente posterior a la fecha de emisión de del </w:t>
      </w:r>
      <w:r>
        <w:rPr>
          <w:lang w:val="es-MX"/>
        </w:rPr>
        <w:t>correspondiente</w:t>
      </w:r>
      <w:r>
        <w:rPr>
          <w:lang w:val="es-PE"/>
        </w:rPr>
        <w:t xml:space="preserve"> Reporte de Revisión.</w:t>
      </w:r>
    </w:p>
    <w:p w14:paraId="5C70F81E" w14:textId="77777777" w:rsidR="004412F1" w:rsidRDefault="004412F1" w:rsidP="00235877">
      <w:pPr>
        <w:pStyle w:val="Prrafodelista"/>
        <w:ind w:left="567"/>
        <w:jc w:val="both"/>
        <w:rPr>
          <w:b/>
          <w:lang w:val="es-MX"/>
        </w:rPr>
      </w:pPr>
    </w:p>
    <w:p w14:paraId="74EB839E" w14:textId="77777777" w:rsidR="004412F1" w:rsidRDefault="005A12A3" w:rsidP="00235877">
      <w:pPr>
        <w:pStyle w:val="Prrafodelista"/>
        <w:numPr>
          <w:ilvl w:val="0"/>
          <w:numId w:val="228"/>
        </w:numPr>
        <w:jc w:val="both"/>
        <w:rPr>
          <w:lang w:val="es-PE"/>
        </w:rPr>
      </w:pPr>
      <w:r>
        <w:rPr>
          <w:lang w:val="es-PE"/>
        </w:rPr>
        <w:t xml:space="preserve">Para el presente Anexo, entiéndase Trimestre Calendario al periodo de tres (3) meses en los que se divide un Año Calendario, siendo los periodos: </w:t>
      </w:r>
    </w:p>
    <w:p w14:paraId="0A2533BF" w14:textId="77777777" w:rsidR="004412F1" w:rsidRDefault="004412F1">
      <w:pPr>
        <w:ind w:left="360"/>
        <w:jc w:val="both"/>
        <w:rPr>
          <w:lang w:val="es-PE"/>
        </w:rPr>
      </w:pPr>
    </w:p>
    <w:p w14:paraId="503ED6DD" w14:textId="77777777" w:rsidR="004412F1" w:rsidRDefault="005A12A3">
      <w:pPr>
        <w:pStyle w:val="paragraph"/>
        <w:numPr>
          <w:ilvl w:val="0"/>
          <w:numId w:val="231"/>
        </w:numPr>
        <w:spacing w:before="0" w:beforeAutospacing="0" w:after="0" w:afterAutospacing="0"/>
        <w:ind w:left="1920" w:firstLine="0"/>
        <w:jc w:val="both"/>
        <w:textAlignment w:val="baseline"/>
        <w:rPr>
          <w:rStyle w:val="normaltextrun"/>
          <w:rFonts w:ascii="Arial" w:hAnsi="Arial" w:cs="Arial"/>
          <w:sz w:val="22"/>
          <w:szCs w:val="22"/>
        </w:rPr>
      </w:pPr>
      <w:r>
        <w:rPr>
          <w:rStyle w:val="normaltextrun"/>
          <w:rFonts w:ascii="Arial" w:hAnsi="Arial" w:cs="Arial"/>
          <w:sz w:val="22"/>
          <w:szCs w:val="22"/>
        </w:rPr>
        <w:t>Del 1 de enero hasta el 31 de marzo. </w:t>
      </w:r>
    </w:p>
    <w:p w14:paraId="15C5CA22" w14:textId="77777777" w:rsidR="004412F1" w:rsidRDefault="005A12A3">
      <w:pPr>
        <w:pStyle w:val="paragraph"/>
        <w:numPr>
          <w:ilvl w:val="0"/>
          <w:numId w:val="231"/>
        </w:numPr>
        <w:spacing w:before="0" w:beforeAutospacing="0" w:after="0" w:afterAutospacing="0"/>
        <w:ind w:left="1920" w:firstLine="0"/>
        <w:jc w:val="both"/>
        <w:textAlignment w:val="baseline"/>
        <w:rPr>
          <w:rStyle w:val="normaltextrun"/>
          <w:rFonts w:ascii="Arial" w:hAnsi="Arial" w:cs="Arial"/>
          <w:sz w:val="22"/>
          <w:szCs w:val="22"/>
        </w:rPr>
      </w:pPr>
      <w:r>
        <w:rPr>
          <w:rStyle w:val="normaltextrun"/>
          <w:rFonts w:ascii="Arial" w:hAnsi="Arial" w:cs="Arial"/>
          <w:sz w:val="22"/>
          <w:szCs w:val="22"/>
        </w:rPr>
        <w:t>Del 1 de abril hasta el 30 de junio. </w:t>
      </w:r>
    </w:p>
    <w:p w14:paraId="5FE838C4" w14:textId="77777777" w:rsidR="004412F1" w:rsidRDefault="005A12A3">
      <w:pPr>
        <w:pStyle w:val="paragraph"/>
        <w:numPr>
          <w:ilvl w:val="0"/>
          <w:numId w:val="232"/>
        </w:numPr>
        <w:spacing w:before="0" w:beforeAutospacing="0" w:after="0" w:afterAutospacing="0"/>
        <w:ind w:left="1920" w:firstLine="0"/>
        <w:jc w:val="both"/>
        <w:textAlignment w:val="baseline"/>
        <w:rPr>
          <w:rStyle w:val="normaltextrun"/>
          <w:rFonts w:ascii="Arial" w:hAnsi="Arial" w:cs="Arial"/>
          <w:sz w:val="22"/>
          <w:szCs w:val="22"/>
        </w:rPr>
      </w:pPr>
      <w:r>
        <w:rPr>
          <w:rStyle w:val="normaltextrun"/>
          <w:rFonts w:ascii="Arial" w:hAnsi="Arial" w:cs="Arial"/>
          <w:sz w:val="22"/>
          <w:szCs w:val="22"/>
        </w:rPr>
        <w:t xml:space="preserve">Del 1 de julio hasta el 30 de </w:t>
      </w:r>
      <w:proofErr w:type="gramStart"/>
      <w:r>
        <w:rPr>
          <w:rStyle w:val="normaltextrun"/>
          <w:rFonts w:ascii="Arial" w:hAnsi="Arial" w:cs="Arial"/>
          <w:sz w:val="22"/>
          <w:szCs w:val="22"/>
        </w:rPr>
        <w:t>Septiembre</w:t>
      </w:r>
      <w:proofErr w:type="gramEnd"/>
      <w:r>
        <w:rPr>
          <w:rStyle w:val="normaltextrun"/>
          <w:rFonts w:ascii="Arial" w:hAnsi="Arial" w:cs="Arial"/>
          <w:sz w:val="22"/>
          <w:szCs w:val="22"/>
        </w:rPr>
        <w:t>. </w:t>
      </w:r>
    </w:p>
    <w:p w14:paraId="6AD69CCE" w14:textId="77777777" w:rsidR="004412F1" w:rsidRDefault="005A12A3">
      <w:pPr>
        <w:pStyle w:val="paragraph"/>
        <w:numPr>
          <w:ilvl w:val="0"/>
          <w:numId w:val="232"/>
        </w:numPr>
        <w:spacing w:before="0" w:beforeAutospacing="0" w:after="0" w:afterAutospacing="0"/>
        <w:ind w:left="1920" w:firstLine="0"/>
        <w:jc w:val="both"/>
        <w:textAlignment w:val="baseline"/>
      </w:pPr>
      <w:r>
        <w:rPr>
          <w:rStyle w:val="normaltextrun"/>
          <w:rFonts w:ascii="Arial" w:hAnsi="Arial" w:cs="Arial"/>
          <w:sz w:val="22"/>
          <w:szCs w:val="22"/>
        </w:rPr>
        <w:t xml:space="preserve">Del 1 de </w:t>
      </w:r>
      <w:proofErr w:type="gramStart"/>
      <w:r>
        <w:rPr>
          <w:rStyle w:val="normaltextrun"/>
          <w:rFonts w:ascii="Arial" w:hAnsi="Arial" w:cs="Arial"/>
          <w:sz w:val="22"/>
          <w:szCs w:val="22"/>
        </w:rPr>
        <w:t>Octubre</w:t>
      </w:r>
      <w:proofErr w:type="gramEnd"/>
      <w:r>
        <w:rPr>
          <w:rStyle w:val="normaltextrun"/>
          <w:rFonts w:ascii="Arial" w:hAnsi="Arial" w:cs="Arial"/>
          <w:sz w:val="22"/>
          <w:szCs w:val="22"/>
        </w:rPr>
        <w:t xml:space="preserve"> hasta el 31 de diciembre </w:t>
      </w:r>
    </w:p>
    <w:p w14:paraId="464A705D" w14:textId="77777777" w:rsidR="004412F1" w:rsidRDefault="004412F1">
      <w:pPr>
        <w:ind w:left="360"/>
        <w:jc w:val="both"/>
        <w:rPr>
          <w:lang w:val="es-PE"/>
        </w:rPr>
      </w:pPr>
    </w:p>
    <w:p w14:paraId="30C57E6C" w14:textId="77777777" w:rsidR="004412F1" w:rsidRDefault="005A12A3" w:rsidP="00235877">
      <w:pPr>
        <w:pStyle w:val="Prrafodelista"/>
        <w:numPr>
          <w:ilvl w:val="0"/>
          <w:numId w:val="228"/>
        </w:numPr>
        <w:jc w:val="both"/>
        <w:rPr>
          <w:lang w:val="es-MX"/>
        </w:rPr>
      </w:pPr>
      <w:r>
        <w:rPr>
          <w:lang w:val="es-PE"/>
        </w:rPr>
        <w:t>Por cualquier retraso por parte del CONCEDENTE, se devengará un interés moratorio equivalente a una tasa</w:t>
      </w:r>
      <w:r>
        <w:rPr>
          <w:lang w:val="es-MX"/>
        </w:rPr>
        <w:t xml:space="preserve"> equivalente </w:t>
      </w:r>
      <w:r>
        <w:rPr>
          <w:lang w:val="es-PE"/>
        </w:rPr>
        <w:t>diaria de la Tasa Referencial más dos por ciento (2 %) anual, por cada día de retraso sobre el monto no pagado, luego del período máximo de abono pactado</w:t>
      </w:r>
      <w:r>
        <w:rPr>
          <w:lang w:val="es-MX"/>
        </w:rPr>
        <w:t>.</w:t>
      </w:r>
    </w:p>
    <w:p w14:paraId="238FB886" w14:textId="77777777" w:rsidR="004412F1" w:rsidRDefault="004412F1" w:rsidP="00235877">
      <w:pPr>
        <w:ind w:left="426"/>
        <w:jc w:val="both"/>
        <w:rPr>
          <w:lang w:val="es-PE"/>
        </w:rPr>
      </w:pPr>
    </w:p>
    <w:p w14:paraId="5BA6A480" w14:textId="77777777" w:rsidR="004412F1" w:rsidRDefault="005A12A3" w:rsidP="00235877">
      <w:pPr>
        <w:pStyle w:val="Prrafodelista"/>
        <w:numPr>
          <w:ilvl w:val="0"/>
          <w:numId w:val="228"/>
        </w:numPr>
        <w:jc w:val="both"/>
        <w:rPr>
          <w:lang w:val="es-PE"/>
        </w:rPr>
      </w:pPr>
      <w:r>
        <w:rPr>
          <w:lang w:val="es-PE"/>
        </w:rPr>
        <w:t>REGULADOR afectará el valor ofertado de la Obra de la Construcción del Evitamiento San Clemente por el índice de ajuste de precios de construcción (IAP), establecido en el EDI aprobado, desde la fecha de la Suscripción del Contrato de Concesión hasta la fecha de emisión del Reporte de Revisión correspondiente de la Obra de Construcción del Evitamiento San Clemente. La fórmula polinómica que se utiliza para determinar el IAP correspondiente y que estará establecida en el EDI deberá ser redactada de conformidad con el Decreto Supremo No. 011-79-VC, decreto supremo que implementa y adecúa el decreto supremo sobre contratación de obras públicas, o el decreto que lo modifique o sustituya. Esta fórmula reflejará la composición de costos de la obra que se determine en el EDI aprobado.</w:t>
      </w:r>
    </w:p>
    <w:p w14:paraId="2301A8B4" w14:textId="77777777" w:rsidR="004412F1" w:rsidRDefault="004412F1" w:rsidP="00235877">
      <w:pPr>
        <w:pStyle w:val="Prrafodelista"/>
        <w:ind w:left="360"/>
        <w:jc w:val="both"/>
        <w:rPr>
          <w:lang w:val="es-PE"/>
        </w:rPr>
      </w:pPr>
    </w:p>
    <w:p w14:paraId="11B1D1F1" w14:textId="77777777" w:rsidR="004412F1" w:rsidRDefault="005A12A3" w:rsidP="00316493">
      <w:pPr>
        <w:pStyle w:val="Prrafodelista"/>
        <w:numPr>
          <w:ilvl w:val="0"/>
          <w:numId w:val="228"/>
        </w:numPr>
        <w:jc w:val="both"/>
        <w:rPr>
          <w:lang w:val="es-MX"/>
        </w:rPr>
      </w:pPr>
      <w:r>
        <w:rPr>
          <w:lang w:val="es-PE"/>
        </w:rPr>
        <w:t>El PPO</w:t>
      </w:r>
      <w:r>
        <w:rPr>
          <w:lang w:val="es-MX"/>
        </w:rPr>
        <w:t xml:space="preserve"> ajustado dará origen a un </w:t>
      </w:r>
      <w:r>
        <w:t>Δ</w:t>
      </w:r>
      <w:r>
        <w:rPr>
          <w:lang w:val="es-PE"/>
        </w:rPr>
        <w:t>PPO</w:t>
      </w:r>
      <w:r>
        <w:rPr>
          <w:lang w:val="es-MX"/>
        </w:rPr>
        <w:t xml:space="preserve">, medido como porcentaje del </w:t>
      </w:r>
      <w:r>
        <w:rPr>
          <w:lang w:val="es-PE"/>
        </w:rPr>
        <w:t>PPO, y se calculará de la siguiente manera</w:t>
      </w:r>
      <w:r>
        <w:rPr>
          <w:lang w:val="es-MX"/>
        </w:rPr>
        <w:t>:</w:t>
      </w:r>
    </w:p>
    <w:p w14:paraId="6DCFC824" w14:textId="77777777" w:rsidR="004412F1" w:rsidRDefault="004412F1">
      <w:pPr>
        <w:pStyle w:val="Prrafodelista"/>
        <w:ind w:left="360"/>
        <w:jc w:val="both"/>
        <w:rPr>
          <w:sz w:val="16"/>
          <w:lang w:val="es-MX"/>
        </w:rPr>
      </w:pPr>
    </w:p>
    <w:p w14:paraId="573DF2C1" w14:textId="77777777" w:rsidR="004412F1" w:rsidRDefault="00000000">
      <w:pPr>
        <w:pStyle w:val="Prrafodelista"/>
        <w:ind w:left="360"/>
        <w:jc w:val="both"/>
      </w:pPr>
      <m:oMathPara>
        <m:oMath>
          <m:sSub>
            <m:sSubPr>
              <m:ctrlPr>
                <w:rPr>
                  <w:rFonts w:ascii="Cambria Math" w:eastAsia="MS Mincho" w:hAnsi="Cambria Math" w:cstheme="minorHAnsi"/>
                  <w:iCs/>
                  <w:sz w:val="20"/>
                  <w:szCs w:val="20"/>
                </w:rPr>
              </m:ctrlPr>
            </m:sSubPr>
            <m:e>
              <m:r>
                <m:rPr>
                  <m:sty m:val="p"/>
                </m:rPr>
                <w:rPr>
                  <w:rFonts w:ascii="Cambria Math" w:eastAsia="MS Mincho" w:hAnsi="Cambria Math" w:cstheme="minorHAnsi"/>
                  <w:sz w:val="20"/>
                  <w:szCs w:val="20"/>
                </w:rPr>
                <m:t>PPO</m:t>
              </m:r>
            </m:e>
            <m:sub>
              <m:r>
                <m:rPr>
                  <m:sty m:val="p"/>
                </m:rPr>
                <w:rPr>
                  <w:rFonts w:ascii="Cambria Math" w:eastAsia="MS Mincho" w:hAnsi="Cambria Math" w:cstheme="minorHAnsi"/>
                  <w:sz w:val="20"/>
                  <w:szCs w:val="20"/>
                </w:rPr>
                <m:t>i ajustado</m:t>
              </m:r>
            </m:sub>
          </m:sSub>
          <m:r>
            <w:rPr>
              <w:rFonts w:ascii="Cambria Math" w:eastAsia="Arial Unicode MS" w:hAnsi="Cambria Math" w:cstheme="minorHAnsi"/>
              <w:sz w:val="20"/>
              <w:szCs w:val="20"/>
            </w:rPr>
            <m:t>=</m:t>
          </m:r>
          <m:sSub>
            <m:sSubPr>
              <m:ctrlPr>
                <w:rPr>
                  <w:rFonts w:ascii="Cambria Math" w:eastAsia="MS Mincho" w:hAnsi="Cambria Math" w:cstheme="minorHAnsi"/>
                  <w:i/>
                  <w:iCs/>
                  <w:sz w:val="20"/>
                  <w:szCs w:val="20"/>
                </w:rPr>
              </m:ctrlPr>
            </m:sSubPr>
            <m:e>
              <m:r>
                <w:rPr>
                  <w:rFonts w:ascii="Cambria Math" w:eastAsia="Arial Unicode MS" w:hAnsi="Cambria Math" w:cstheme="minorHAnsi"/>
                  <w:sz w:val="20"/>
                  <w:szCs w:val="20"/>
                </w:rPr>
                <m:t>PPO</m:t>
              </m:r>
            </m:e>
            <m:sub>
              <m:r>
                <w:rPr>
                  <w:rFonts w:ascii="Cambria Math" w:eastAsia="MS Mincho" w:hAnsi="Cambria Math" w:cstheme="minorHAnsi"/>
                  <w:sz w:val="20"/>
                  <w:szCs w:val="20"/>
                </w:rPr>
                <m:t>i</m:t>
              </m:r>
            </m:sub>
          </m:sSub>
          <m:r>
            <m:rPr>
              <m:sty m:val="p"/>
            </m:rPr>
            <w:rPr>
              <w:rFonts w:ascii="Cambria Math" w:eastAsia="Arial Unicode MS" w:hAnsi="Cambria Math" w:cstheme="minorHAnsi"/>
              <w:sz w:val="20"/>
              <w:szCs w:val="20"/>
            </w:rPr>
            <m:t xml:space="preserve"> x </m:t>
          </m:r>
          <m:sSub>
            <m:sSubPr>
              <m:ctrlPr>
                <w:rPr>
                  <w:rFonts w:ascii="Cambria Math" w:eastAsia="Arial Unicode MS" w:hAnsi="Cambria Math" w:cstheme="minorHAnsi"/>
                  <w:sz w:val="20"/>
                  <w:szCs w:val="20"/>
                </w:rPr>
              </m:ctrlPr>
            </m:sSubPr>
            <m:e>
              <m:r>
                <m:rPr>
                  <m:sty m:val="p"/>
                </m:rPr>
                <w:rPr>
                  <w:rFonts w:ascii="Cambria Math" w:eastAsia="Arial Unicode MS" w:hAnsi="Cambria Math" w:cstheme="minorHAnsi"/>
                  <w:sz w:val="20"/>
                  <w:szCs w:val="20"/>
                </w:rPr>
                <m:t>IAP</m:t>
              </m:r>
            </m:e>
            <m:sub>
              <m:r>
                <w:rPr>
                  <w:rFonts w:ascii="Cambria Math" w:eastAsia="Arial Unicode MS" w:hAnsi="Cambria Math" w:cstheme="minorHAnsi"/>
                  <w:sz w:val="20"/>
                  <w:szCs w:val="20"/>
                </w:rPr>
                <m:t>i</m:t>
              </m:r>
            </m:sub>
          </m:sSub>
        </m:oMath>
      </m:oMathPara>
    </w:p>
    <w:p w14:paraId="7E96C2AE" w14:textId="77777777" w:rsidR="004412F1" w:rsidRDefault="004412F1">
      <w:pPr>
        <w:ind w:left="426"/>
        <w:jc w:val="both"/>
      </w:pPr>
    </w:p>
    <w:p w14:paraId="78B794FA" w14:textId="77777777" w:rsidR="004412F1" w:rsidRDefault="005A12A3">
      <w:pPr>
        <w:pStyle w:val="Prrafodelista"/>
        <w:spacing w:line="276" w:lineRule="auto"/>
        <w:rPr>
          <w:rFonts w:asciiTheme="minorHAnsi" w:eastAsia="Arial Unicode MS" w:hAnsiTheme="minorHAnsi" w:cstheme="minorHAnsi"/>
          <w:sz w:val="20"/>
          <w:szCs w:val="20"/>
        </w:rPr>
      </w:pPr>
      <w:r>
        <w:rPr>
          <w:rFonts w:asciiTheme="minorHAnsi" w:eastAsia="Arial Unicode MS" w:hAnsiTheme="minorHAnsi" w:cstheme="minorHAnsi"/>
          <w:sz w:val="20"/>
          <w:szCs w:val="20"/>
        </w:rPr>
        <w:t>Donde:</w:t>
      </w:r>
    </w:p>
    <w:p w14:paraId="35DB401E" w14:textId="77777777" w:rsidR="004412F1" w:rsidRDefault="004412F1">
      <w:pPr>
        <w:pStyle w:val="Prrafodelista"/>
        <w:rPr>
          <w:rFonts w:cstheme="minorHAnsi"/>
          <w:sz w:val="20"/>
          <w:szCs w:val="20"/>
        </w:rPr>
      </w:pPr>
    </w:p>
    <w:p w14:paraId="37379E22" w14:textId="77777777" w:rsidR="004412F1" w:rsidRDefault="004412F1">
      <w:pPr>
        <w:pStyle w:val="Prrafodelista"/>
        <w:rPr>
          <w:rFonts w:cstheme="minorHAnsi"/>
          <w:sz w:val="20"/>
          <w:szCs w:val="20"/>
        </w:rPr>
      </w:pPr>
    </w:p>
    <w:tbl>
      <w:tblPr>
        <w:tblStyle w:val="Tablaconcuadrcula"/>
        <w:tblW w:w="7371"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284"/>
        <w:gridCol w:w="5533"/>
      </w:tblGrid>
      <w:tr w:rsidR="004412F1" w14:paraId="687E6321" w14:textId="77777777">
        <w:tc>
          <w:tcPr>
            <w:tcW w:w="1554" w:type="dxa"/>
          </w:tcPr>
          <w:p w14:paraId="6BBA5305" w14:textId="77777777" w:rsidR="004412F1" w:rsidRPr="00316493" w:rsidRDefault="005A12A3">
            <w:pPr>
              <w:rPr>
                <w:vertAlign w:val="subscript"/>
                <w:lang w:val="es-PE"/>
              </w:rPr>
            </w:pPr>
            <w:r w:rsidRPr="00316493">
              <w:rPr>
                <w:rFonts w:eastAsia="Arial Unicode MS"/>
                <w:lang w:val="es-PE"/>
              </w:rPr>
              <w:t xml:space="preserve">PPO </w:t>
            </w:r>
            <w:r w:rsidRPr="00316493">
              <w:rPr>
                <w:rFonts w:eastAsia="Arial Unicode MS"/>
                <w:vertAlign w:val="subscript"/>
                <w:lang w:val="es-PE"/>
              </w:rPr>
              <w:t>i ajustado</w:t>
            </w:r>
          </w:p>
        </w:tc>
        <w:tc>
          <w:tcPr>
            <w:tcW w:w="284" w:type="dxa"/>
          </w:tcPr>
          <w:p w14:paraId="660FCA65" w14:textId="77777777" w:rsidR="004412F1" w:rsidRDefault="005A12A3">
            <w:pPr>
              <w:rPr>
                <w:lang w:val="es-PE"/>
              </w:rPr>
            </w:pPr>
            <w:r>
              <w:rPr>
                <w:rFonts w:eastAsia="Arial Unicode MS"/>
                <w:lang w:val="es-PE"/>
              </w:rPr>
              <w:t>:</w:t>
            </w:r>
          </w:p>
        </w:tc>
        <w:tc>
          <w:tcPr>
            <w:tcW w:w="5533" w:type="dxa"/>
          </w:tcPr>
          <w:p w14:paraId="06D46DF8" w14:textId="77777777" w:rsidR="004412F1" w:rsidRPr="00316493" w:rsidRDefault="005A12A3">
            <w:pPr>
              <w:tabs>
                <w:tab w:val="left" w:pos="1317"/>
              </w:tabs>
              <w:jc w:val="both"/>
              <w:rPr>
                <w:sz w:val="20"/>
                <w:szCs w:val="20"/>
                <w:lang w:val="es-PE"/>
              </w:rPr>
            </w:pPr>
            <w:r w:rsidRPr="00316493">
              <w:rPr>
                <w:rFonts w:eastAsia="Arial Unicode MS"/>
                <w:sz w:val="20"/>
                <w:szCs w:val="20"/>
                <w:lang w:val="es-PE"/>
              </w:rPr>
              <w:t>PPO</w:t>
            </w:r>
            <w:r w:rsidRPr="00316493">
              <w:rPr>
                <w:rFonts w:eastAsia="Arial Unicode MS"/>
                <w:sz w:val="20"/>
                <w:szCs w:val="20"/>
                <w:vertAlign w:val="subscript"/>
                <w:lang w:val="es-PE"/>
              </w:rPr>
              <w:t>i</w:t>
            </w:r>
            <w:r w:rsidRPr="00316493">
              <w:rPr>
                <w:rFonts w:eastAsia="Arial Unicode MS"/>
                <w:sz w:val="20"/>
                <w:szCs w:val="20"/>
                <w:lang w:val="es-PE"/>
              </w:rPr>
              <w:t xml:space="preserve"> ajustado con base en el índice de ajuste de precios de construcción.</w:t>
            </w:r>
          </w:p>
          <w:p w14:paraId="1E8B7E70" w14:textId="77777777" w:rsidR="004412F1" w:rsidRPr="00316493" w:rsidRDefault="004412F1">
            <w:pPr>
              <w:tabs>
                <w:tab w:val="left" w:pos="1317"/>
              </w:tabs>
              <w:jc w:val="both"/>
              <w:rPr>
                <w:sz w:val="20"/>
                <w:szCs w:val="20"/>
                <w:lang w:val="es-PE"/>
              </w:rPr>
            </w:pPr>
          </w:p>
        </w:tc>
      </w:tr>
      <w:tr w:rsidR="004412F1" w14:paraId="6AB96358" w14:textId="77777777">
        <w:tc>
          <w:tcPr>
            <w:tcW w:w="1554" w:type="dxa"/>
          </w:tcPr>
          <w:p w14:paraId="53ADDE07" w14:textId="77777777" w:rsidR="004412F1" w:rsidRPr="00316493" w:rsidRDefault="005A12A3">
            <w:pPr>
              <w:rPr>
                <w:vertAlign w:val="subscript"/>
                <w:lang w:val="es-PE"/>
              </w:rPr>
            </w:pPr>
            <w:r w:rsidRPr="00316493">
              <w:rPr>
                <w:rFonts w:eastAsia="Arial Unicode MS"/>
                <w:lang w:val="es-PE"/>
              </w:rPr>
              <w:t xml:space="preserve">IAP </w:t>
            </w:r>
            <w:r w:rsidRPr="00316493">
              <w:rPr>
                <w:rFonts w:eastAsia="Arial Unicode MS"/>
                <w:vertAlign w:val="subscript"/>
                <w:lang w:val="es-PE"/>
              </w:rPr>
              <w:t>i</w:t>
            </w:r>
          </w:p>
        </w:tc>
        <w:tc>
          <w:tcPr>
            <w:tcW w:w="284" w:type="dxa"/>
          </w:tcPr>
          <w:p w14:paraId="502B81BE" w14:textId="77777777" w:rsidR="004412F1" w:rsidRDefault="005A12A3">
            <w:pPr>
              <w:rPr>
                <w:lang w:val="es-PE"/>
              </w:rPr>
            </w:pPr>
            <w:r>
              <w:rPr>
                <w:rFonts w:eastAsia="Arial Unicode MS"/>
                <w:lang w:val="es-PE"/>
              </w:rPr>
              <w:t>:</w:t>
            </w:r>
          </w:p>
        </w:tc>
        <w:tc>
          <w:tcPr>
            <w:tcW w:w="5533" w:type="dxa"/>
          </w:tcPr>
          <w:p w14:paraId="301D2FA4" w14:textId="77777777" w:rsidR="004412F1" w:rsidRPr="00316493" w:rsidRDefault="005A12A3">
            <w:pPr>
              <w:jc w:val="both"/>
              <w:rPr>
                <w:sz w:val="20"/>
                <w:szCs w:val="20"/>
                <w:lang w:val="es-PE"/>
              </w:rPr>
            </w:pPr>
            <w:r w:rsidRPr="00316493">
              <w:rPr>
                <w:rFonts w:eastAsia="Arial Unicode MS"/>
                <w:sz w:val="20"/>
                <w:szCs w:val="20"/>
                <w:lang w:val="es-PE"/>
              </w:rPr>
              <w:t>Índice de ajuste de precios de construcción, cuyo valor (mayor o menor que 1) resulta de la aplicación de la fórmula polinómica de precios la fecha de suscripción del Contrato de Concesión</w:t>
            </w:r>
            <w:r w:rsidRPr="00316493">
              <w:rPr>
                <w:rFonts w:eastAsia="MS Mincho"/>
                <w:sz w:val="20"/>
                <w:szCs w:val="20"/>
                <w:lang w:val="es-PE"/>
              </w:rPr>
              <w:t xml:space="preserve"> </w:t>
            </w:r>
            <w:r w:rsidRPr="00316493">
              <w:rPr>
                <w:rFonts w:eastAsia="Arial Unicode MS"/>
                <w:sz w:val="20"/>
                <w:szCs w:val="20"/>
                <w:lang w:val="es-PE"/>
              </w:rPr>
              <w:t>hasta la fecha de emisión del Reporte de Revisión correspondiente de la Obra de Construcción del Evitamiento San Clemente. En caso los precios contenidos no sufran variación alguna, el IAP será equivalente a 1. Si la variación de precios es positiva, el IAP será mayor a 1, y si la variación de precios es negativa, el IAP será menor a 1.</w:t>
            </w:r>
          </w:p>
        </w:tc>
      </w:tr>
    </w:tbl>
    <w:p w14:paraId="65250CB8" w14:textId="77777777" w:rsidR="004412F1" w:rsidRDefault="004412F1">
      <w:pPr>
        <w:ind w:left="426"/>
        <w:jc w:val="both"/>
        <w:rPr>
          <w:lang w:val="es-PE"/>
        </w:rPr>
      </w:pPr>
    </w:p>
    <w:p w14:paraId="5965E24F" w14:textId="77777777" w:rsidR="004412F1" w:rsidRDefault="005A12A3">
      <w:pPr>
        <w:pStyle w:val="Prrafodelista"/>
        <w:numPr>
          <w:ilvl w:val="0"/>
          <w:numId w:val="228"/>
        </w:numPr>
        <w:jc w:val="both"/>
        <w:rPr>
          <w:b/>
          <w:color w:val="000000"/>
          <w:lang w:val="es-PE"/>
        </w:rPr>
      </w:pPr>
      <w:r>
        <w:rPr>
          <w:lang w:val="es-PE"/>
        </w:rPr>
        <w:t>Para efectos del control de avance del PPO se utilizará el Reporte de Revisión. Las intervenciones de la Construcción del Evitamiento San Clemente que acreditan la totalidad de esta Obra se darán por concluidas cuando la sumatoria de los avances aprobados mediante los Reportes de Revisión sea equivalente al 100%.</w:t>
      </w:r>
    </w:p>
    <w:p w14:paraId="34A7C705" w14:textId="77777777" w:rsidR="004412F1" w:rsidRDefault="004412F1">
      <w:pPr>
        <w:pStyle w:val="Prrafodelista"/>
        <w:ind w:left="360"/>
        <w:jc w:val="both"/>
        <w:rPr>
          <w:b/>
          <w:color w:val="000000"/>
          <w:lang w:val="es-PE"/>
        </w:rPr>
      </w:pPr>
    </w:p>
    <w:p w14:paraId="238AC7E3" w14:textId="77777777" w:rsidR="004412F1" w:rsidRDefault="005A12A3" w:rsidP="00235877">
      <w:pPr>
        <w:pStyle w:val="Prrafodelista"/>
        <w:numPr>
          <w:ilvl w:val="0"/>
          <w:numId w:val="228"/>
        </w:numPr>
        <w:jc w:val="both"/>
        <w:rPr>
          <w:color w:val="000000"/>
          <w:lang w:val="es-MX"/>
        </w:rPr>
      </w:pPr>
      <w:r>
        <w:rPr>
          <w:bCs/>
          <w:color w:val="000000"/>
          <w:lang w:val="es-ES"/>
        </w:rPr>
        <w:t xml:space="preserve">La </w:t>
      </w:r>
      <w:r>
        <w:rPr>
          <w:bCs/>
          <w:color w:val="000000"/>
          <w:lang w:val="es-PE"/>
        </w:rPr>
        <w:t>sumatoria de los avances de los PPO ajustado</w:t>
      </w:r>
      <w:r>
        <w:rPr>
          <w:color w:val="000000"/>
          <w:lang w:val="es-MX"/>
        </w:rPr>
        <w:t xml:space="preserve"> podrán sumar más, o menos, del 100</w:t>
      </w:r>
      <w:r>
        <w:rPr>
          <w:bCs/>
          <w:color w:val="000000"/>
          <w:lang w:val="es-PE"/>
        </w:rPr>
        <w:t>% de la Oferta Económica de la inversión de esta Intervención</w:t>
      </w:r>
      <w:r>
        <w:rPr>
          <w:color w:val="000000"/>
          <w:lang w:val="es-MX"/>
        </w:rPr>
        <w:t xml:space="preserve"> dependiendo del comportamiento </w:t>
      </w:r>
      <w:r>
        <w:rPr>
          <w:bCs/>
          <w:color w:val="000000"/>
          <w:lang w:val="es-PE"/>
        </w:rPr>
        <w:t xml:space="preserve">del índice </w:t>
      </w:r>
      <w:r>
        <w:rPr>
          <w:color w:val="000000"/>
          <w:lang w:val="es-MX"/>
        </w:rPr>
        <w:t xml:space="preserve">de los precios a lo largo del período de ejecución </w:t>
      </w:r>
      <w:r>
        <w:rPr>
          <w:bCs/>
          <w:color w:val="000000"/>
          <w:lang w:val="es-PE"/>
        </w:rPr>
        <w:t>de la construcción del Evitamiento San Clemente.</w:t>
      </w:r>
    </w:p>
    <w:p w14:paraId="1E23045E" w14:textId="77777777" w:rsidR="004412F1" w:rsidRDefault="005A12A3">
      <w:pPr>
        <w:pStyle w:val="Prrafodelista"/>
        <w:numPr>
          <w:ilvl w:val="0"/>
          <w:numId w:val="228"/>
        </w:numPr>
        <w:rPr>
          <w:b/>
          <w:color w:val="000000"/>
          <w:lang w:val="es-PE"/>
        </w:rPr>
      </w:pPr>
      <w:r>
        <w:rPr>
          <w:bCs/>
          <w:lang w:val="es-PE"/>
        </w:rPr>
        <w:br w:type="page"/>
      </w:r>
    </w:p>
    <w:p w14:paraId="6E86A504" w14:textId="77777777" w:rsidR="004412F1" w:rsidRPr="009C1389" w:rsidRDefault="004412F1" w:rsidP="00032EDE">
      <w:pPr>
        <w:jc w:val="center"/>
        <w:rPr>
          <w:b/>
          <w:color w:val="000000"/>
          <w:sz w:val="2"/>
          <w:szCs w:val="2"/>
          <w:lang w:val="es-PE"/>
        </w:rPr>
      </w:pPr>
    </w:p>
    <w:p w14:paraId="3E758629" w14:textId="77777777" w:rsidR="004412F1" w:rsidRDefault="005A12A3" w:rsidP="00032EDE">
      <w:pPr>
        <w:pStyle w:val="Ttulo1"/>
        <w:ind w:hanging="964"/>
        <w:jc w:val="center"/>
        <w:rPr>
          <w:rFonts w:eastAsia="SimSun"/>
          <w:color w:val="000000"/>
          <w:lang w:val="es-ES"/>
        </w:rPr>
      </w:pPr>
      <w:bookmarkStart w:id="2935" w:name="_Toc139294865"/>
      <w:bookmarkStart w:id="2936" w:name="_Toc468837786"/>
      <w:bookmarkStart w:id="2937" w:name="_Toc140089493"/>
      <w:r>
        <w:rPr>
          <w:color w:val="000000"/>
          <w:lang w:val="es-PE"/>
        </w:rPr>
        <w:t>ANEXO XI</w:t>
      </w:r>
      <w:bookmarkEnd w:id="2935"/>
      <w:r>
        <w:rPr>
          <w:color w:val="000000"/>
          <w:lang w:val="es-ES"/>
        </w:rPr>
        <w:t>I</w:t>
      </w:r>
      <w:bookmarkEnd w:id="2936"/>
      <w:bookmarkEnd w:id="2937"/>
    </w:p>
    <w:p w14:paraId="0A568137" w14:textId="0548D1F4" w:rsidR="004412F1" w:rsidRPr="009C1389" w:rsidRDefault="005A12A3" w:rsidP="009C1389">
      <w:pPr>
        <w:ind w:left="567"/>
        <w:jc w:val="center"/>
        <w:outlineLvl w:val="1"/>
        <w:rPr>
          <w:b/>
          <w:lang w:val="es-PE"/>
        </w:rPr>
      </w:pPr>
      <w:bookmarkStart w:id="2938" w:name="_Toc468837787"/>
      <w:bookmarkStart w:id="2939" w:name="_Toc140089494"/>
      <w:r w:rsidRPr="009C1389">
        <w:rPr>
          <w:b/>
          <w:lang w:val="es-PE"/>
        </w:rPr>
        <w:t>ACTIVACIÓN Y CONDICIONES PARA EL COBRO EN LAS UNIDADES DE PEAJE</w:t>
      </w:r>
      <w:bookmarkEnd w:id="2938"/>
      <w:bookmarkEnd w:id="2939"/>
    </w:p>
    <w:p w14:paraId="33A7CE9B" w14:textId="77777777" w:rsidR="004412F1" w:rsidRPr="009C1389" w:rsidRDefault="004412F1">
      <w:pPr>
        <w:jc w:val="both"/>
        <w:rPr>
          <w:sz w:val="18"/>
          <w:szCs w:val="18"/>
          <w:lang w:val="es-PE"/>
        </w:rPr>
      </w:pPr>
    </w:p>
    <w:tbl>
      <w:tblPr>
        <w:tblW w:w="9285" w:type="dxa"/>
        <w:tblLayout w:type="fixed"/>
        <w:tblCellMar>
          <w:top w:w="100" w:type="dxa"/>
          <w:left w:w="100" w:type="dxa"/>
          <w:bottom w:w="100" w:type="dxa"/>
          <w:right w:w="100" w:type="dxa"/>
        </w:tblCellMar>
        <w:tblLook w:val="04A0" w:firstRow="1" w:lastRow="0" w:firstColumn="1" w:lastColumn="0" w:noHBand="0" w:noVBand="1"/>
      </w:tblPr>
      <w:tblGrid>
        <w:gridCol w:w="1126"/>
        <w:gridCol w:w="2127"/>
        <w:gridCol w:w="1052"/>
        <w:gridCol w:w="932"/>
        <w:gridCol w:w="763"/>
        <w:gridCol w:w="1230"/>
        <w:gridCol w:w="842"/>
        <w:gridCol w:w="1213"/>
      </w:tblGrid>
      <w:tr w:rsidR="004412F1" w:rsidRPr="009C1389" w14:paraId="607495C3" w14:textId="77777777" w:rsidTr="00487C71">
        <w:trPr>
          <w:trHeight w:val="1280"/>
        </w:trPr>
        <w:tc>
          <w:tcPr>
            <w:tcW w:w="1126" w:type="dxa"/>
            <w:vMerge w:val="restart"/>
            <w:tcBorders>
              <w:top w:val="single" w:sz="6" w:space="0" w:color="000000"/>
              <w:left w:val="single" w:sz="6" w:space="0" w:color="000000"/>
              <w:bottom w:val="single" w:sz="12" w:space="0" w:color="000000"/>
              <w:right w:val="single" w:sz="6" w:space="0" w:color="000000"/>
            </w:tcBorders>
            <w:shd w:val="clear" w:color="auto" w:fill="D9D9D9"/>
            <w:tcMar>
              <w:top w:w="100" w:type="dxa"/>
              <w:left w:w="80" w:type="dxa"/>
              <w:bottom w:w="100" w:type="dxa"/>
              <w:right w:w="80" w:type="dxa"/>
            </w:tcMar>
          </w:tcPr>
          <w:p w14:paraId="47ADEFEB" w14:textId="77777777" w:rsidR="004412F1" w:rsidRPr="009C1389" w:rsidRDefault="005A12A3" w:rsidP="009C1389">
            <w:pPr>
              <w:jc w:val="center"/>
              <w:rPr>
                <w:b/>
                <w:sz w:val="14"/>
                <w:szCs w:val="16"/>
              </w:rPr>
            </w:pPr>
            <w:r w:rsidRPr="009C1389">
              <w:rPr>
                <w:b/>
                <w:sz w:val="14"/>
                <w:szCs w:val="16"/>
              </w:rPr>
              <w:t>Unidad de peaje</w:t>
            </w:r>
          </w:p>
        </w:tc>
        <w:tc>
          <w:tcPr>
            <w:tcW w:w="2127" w:type="dxa"/>
            <w:vMerge w:val="restart"/>
            <w:tcBorders>
              <w:top w:val="single" w:sz="6" w:space="0" w:color="000000"/>
              <w:left w:val="nil"/>
              <w:bottom w:val="single" w:sz="12" w:space="0" w:color="000000"/>
              <w:right w:val="single" w:sz="6" w:space="0" w:color="000000"/>
            </w:tcBorders>
            <w:shd w:val="clear" w:color="auto" w:fill="D9D9D9"/>
            <w:tcMar>
              <w:top w:w="100" w:type="dxa"/>
              <w:left w:w="80" w:type="dxa"/>
              <w:bottom w:w="100" w:type="dxa"/>
              <w:right w:w="80" w:type="dxa"/>
            </w:tcMar>
          </w:tcPr>
          <w:p w14:paraId="76D9DB84" w14:textId="77777777" w:rsidR="004412F1" w:rsidRPr="009C1389" w:rsidRDefault="005A12A3" w:rsidP="009C1389">
            <w:pPr>
              <w:jc w:val="center"/>
              <w:rPr>
                <w:b/>
                <w:sz w:val="14"/>
                <w:szCs w:val="16"/>
                <w:lang w:val="es-PE"/>
              </w:rPr>
            </w:pPr>
            <w:proofErr w:type="gramStart"/>
            <w:r w:rsidRPr="009C1389">
              <w:rPr>
                <w:b/>
                <w:sz w:val="14"/>
                <w:szCs w:val="16"/>
                <w:lang w:val="es-PE"/>
              </w:rPr>
              <w:t>Sub Tramos</w:t>
            </w:r>
            <w:proofErr w:type="gramEnd"/>
            <w:r w:rsidRPr="009C1389">
              <w:rPr>
                <w:b/>
                <w:sz w:val="14"/>
                <w:szCs w:val="16"/>
                <w:lang w:val="es-PE"/>
              </w:rPr>
              <w:t xml:space="preserve"> asociados a la Unidad de Peaje</w:t>
            </w:r>
          </w:p>
        </w:tc>
        <w:tc>
          <w:tcPr>
            <w:tcW w:w="1984" w:type="dxa"/>
            <w:gridSpan w:val="2"/>
            <w:tcBorders>
              <w:top w:val="single" w:sz="6" w:space="0" w:color="000000"/>
              <w:left w:val="nil"/>
              <w:bottom w:val="single" w:sz="6" w:space="0" w:color="000000"/>
              <w:right w:val="single" w:sz="6" w:space="0" w:color="000000"/>
            </w:tcBorders>
            <w:shd w:val="clear" w:color="auto" w:fill="D9D9D9"/>
            <w:tcMar>
              <w:top w:w="100" w:type="dxa"/>
              <w:left w:w="80" w:type="dxa"/>
              <w:bottom w:w="100" w:type="dxa"/>
              <w:right w:w="80" w:type="dxa"/>
            </w:tcMar>
          </w:tcPr>
          <w:p w14:paraId="1EC74C4B" w14:textId="77777777" w:rsidR="004412F1" w:rsidRPr="009C1389" w:rsidRDefault="005A12A3" w:rsidP="009C1389">
            <w:pPr>
              <w:jc w:val="center"/>
              <w:rPr>
                <w:b/>
                <w:sz w:val="14"/>
                <w:szCs w:val="16"/>
                <w:lang w:val="es-PE"/>
              </w:rPr>
            </w:pPr>
            <w:r w:rsidRPr="009C1389">
              <w:rPr>
                <w:b/>
                <w:sz w:val="14"/>
                <w:szCs w:val="16"/>
                <w:u w:val="single"/>
                <w:lang w:val="es-PE"/>
              </w:rPr>
              <w:t>Inicio de cobro en UUPP existentes</w:t>
            </w:r>
            <w:r w:rsidRPr="009C1389">
              <w:rPr>
                <w:b/>
                <w:sz w:val="14"/>
                <w:szCs w:val="16"/>
                <w:lang w:val="es-PE"/>
              </w:rPr>
              <w:t>: Máximo a los 30 Días Calendario desde la Fecha de Suscripción del Contrato</w:t>
            </w:r>
          </w:p>
        </w:tc>
        <w:tc>
          <w:tcPr>
            <w:tcW w:w="1993" w:type="dxa"/>
            <w:gridSpan w:val="2"/>
            <w:tcBorders>
              <w:top w:val="single" w:sz="6" w:space="0" w:color="000000"/>
              <w:left w:val="nil"/>
              <w:bottom w:val="single" w:sz="6" w:space="0" w:color="000000"/>
              <w:right w:val="single" w:sz="6" w:space="0" w:color="000000"/>
            </w:tcBorders>
            <w:shd w:val="clear" w:color="auto" w:fill="D9D9D9"/>
            <w:tcMar>
              <w:top w:w="100" w:type="dxa"/>
              <w:left w:w="80" w:type="dxa"/>
              <w:bottom w:w="100" w:type="dxa"/>
              <w:right w:w="80" w:type="dxa"/>
            </w:tcMar>
          </w:tcPr>
          <w:p w14:paraId="5EC69E1B" w14:textId="77777777" w:rsidR="004412F1" w:rsidRPr="009C1389" w:rsidRDefault="005A12A3" w:rsidP="009C1389">
            <w:pPr>
              <w:jc w:val="center"/>
              <w:rPr>
                <w:b/>
                <w:sz w:val="14"/>
                <w:szCs w:val="16"/>
                <w:lang w:val="es-PE"/>
              </w:rPr>
            </w:pPr>
            <w:r w:rsidRPr="009C1389">
              <w:rPr>
                <w:b/>
                <w:sz w:val="14"/>
                <w:szCs w:val="16"/>
                <w:u w:val="single"/>
                <w:lang w:val="es-PE"/>
              </w:rPr>
              <w:t>Incremento de Peaje en UUPP existentes e Inicio de cobro en UUPP nuevas</w:t>
            </w:r>
            <w:r w:rsidRPr="009C1389">
              <w:rPr>
                <w:b/>
                <w:sz w:val="14"/>
                <w:szCs w:val="16"/>
                <w:lang w:val="es-PE"/>
              </w:rPr>
              <w:t>: (Fin de intervenciones a cargo del Concedente)</w:t>
            </w:r>
          </w:p>
        </w:tc>
        <w:tc>
          <w:tcPr>
            <w:tcW w:w="2055" w:type="dxa"/>
            <w:gridSpan w:val="2"/>
            <w:tcBorders>
              <w:top w:val="single" w:sz="6" w:space="0" w:color="000000"/>
              <w:left w:val="nil"/>
              <w:bottom w:val="single" w:sz="6" w:space="0" w:color="000000"/>
              <w:right w:val="single" w:sz="6" w:space="0" w:color="000000"/>
            </w:tcBorders>
            <w:shd w:val="clear" w:color="auto" w:fill="D9D9D9"/>
            <w:tcMar>
              <w:top w:w="100" w:type="dxa"/>
              <w:left w:w="80" w:type="dxa"/>
              <w:bottom w:w="100" w:type="dxa"/>
              <w:right w:w="80" w:type="dxa"/>
            </w:tcMar>
          </w:tcPr>
          <w:p w14:paraId="04AC48E1" w14:textId="77777777" w:rsidR="004412F1" w:rsidRPr="009C1389" w:rsidRDefault="005A12A3" w:rsidP="009C1389">
            <w:pPr>
              <w:jc w:val="center"/>
              <w:rPr>
                <w:b/>
                <w:sz w:val="14"/>
                <w:szCs w:val="16"/>
                <w:u w:val="single"/>
                <w:lang w:val="es-PE"/>
              </w:rPr>
            </w:pPr>
            <w:r w:rsidRPr="009C1389">
              <w:rPr>
                <w:b/>
                <w:sz w:val="14"/>
                <w:szCs w:val="16"/>
                <w:u w:val="single"/>
                <w:lang w:val="es-PE"/>
              </w:rPr>
              <w:t>Incremento de Peaje en UUPP existentes e Inicio de cobro en UUPP nuevas</w:t>
            </w:r>
          </w:p>
        </w:tc>
      </w:tr>
      <w:tr w:rsidR="004412F1" w:rsidRPr="009C1389" w14:paraId="3858A6B9" w14:textId="77777777" w:rsidTr="00487C71">
        <w:trPr>
          <w:trHeight w:val="530"/>
        </w:trPr>
        <w:tc>
          <w:tcPr>
            <w:tcW w:w="1126" w:type="dxa"/>
            <w:vMerge/>
            <w:tcBorders>
              <w:top w:val="single" w:sz="6" w:space="0" w:color="000000"/>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tcPr>
          <w:p w14:paraId="73A23241" w14:textId="77777777" w:rsidR="004412F1" w:rsidRPr="009C1389" w:rsidRDefault="004412F1" w:rsidP="009C1389">
            <w:pPr>
              <w:jc w:val="both"/>
              <w:rPr>
                <w:sz w:val="14"/>
                <w:szCs w:val="16"/>
                <w:lang w:val="es-PE"/>
              </w:rPr>
            </w:pPr>
          </w:p>
        </w:tc>
        <w:tc>
          <w:tcPr>
            <w:tcW w:w="2127" w:type="dxa"/>
            <w:vMerge/>
            <w:tcBorders>
              <w:top w:val="single" w:sz="6" w:space="0" w:color="000000"/>
              <w:left w:val="nil"/>
              <w:bottom w:val="single" w:sz="12" w:space="0" w:color="000000"/>
              <w:right w:val="single" w:sz="6" w:space="0" w:color="000000"/>
            </w:tcBorders>
            <w:shd w:val="clear" w:color="auto" w:fill="auto"/>
            <w:tcMar>
              <w:top w:w="100" w:type="dxa"/>
              <w:left w:w="100" w:type="dxa"/>
              <w:bottom w:w="100" w:type="dxa"/>
              <w:right w:w="100" w:type="dxa"/>
            </w:tcMar>
          </w:tcPr>
          <w:p w14:paraId="306ECE57" w14:textId="77777777" w:rsidR="004412F1" w:rsidRPr="009C1389" w:rsidRDefault="004412F1" w:rsidP="009C1389">
            <w:pPr>
              <w:jc w:val="both"/>
              <w:rPr>
                <w:sz w:val="14"/>
                <w:szCs w:val="16"/>
                <w:lang w:val="es-PE"/>
              </w:rPr>
            </w:pPr>
          </w:p>
        </w:tc>
        <w:tc>
          <w:tcPr>
            <w:tcW w:w="1052"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25EEBAA5" w14:textId="77777777" w:rsidR="004412F1" w:rsidRPr="009C1389" w:rsidRDefault="005A12A3" w:rsidP="009C1389">
            <w:pPr>
              <w:jc w:val="center"/>
              <w:rPr>
                <w:b/>
                <w:sz w:val="14"/>
                <w:szCs w:val="16"/>
              </w:rPr>
            </w:pPr>
            <w:r w:rsidRPr="009C1389">
              <w:rPr>
                <w:b/>
                <w:sz w:val="14"/>
                <w:szCs w:val="16"/>
              </w:rPr>
              <w:t>Peaje</w:t>
            </w:r>
          </w:p>
        </w:tc>
        <w:tc>
          <w:tcPr>
            <w:tcW w:w="932"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527B1A04" w14:textId="77777777" w:rsidR="004412F1" w:rsidRPr="009C1389" w:rsidRDefault="005A12A3" w:rsidP="009C1389">
            <w:pPr>
              <w:jc w:val="center"/>
              <w:rPr>
                <w:b/>
                <w:sz w:val="14"/>
                <w:szCs w:val="16"/>
              </w:rPr>
            </w:pPr>
            <w:r w:rsidRPr="009C1389">
              <w:rPr>
                <w:b/>
                <w:sz w:val="14"/>
                <w:szCs w:val="16"/>
              </w:rPr>
              <w:t>Requisito</w:t>
            </w:r>
          </w:p>
        </w:tc>
        <w:tc>
          <w:tcPr>
            <w:tcW w:w="763"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57A1EFA2" w14:textId="77777777" w:rsidR="004412F1" w:rsidRPr="009C1389" w:rsidRDefault="005A12A3" w:rsidP="009C1389">
            <w:pPr>
              <w:jc w:val="center"/>
              <w:rPr>
                <w:b/>
                <w:sz w:val="14"/>
                <w:szCs w:val="16"/>
              </w:rPr>
            </w:pPr>
            <w:r w:rsidRPr="009C1389">
              <w:rPr>
                <w:b/>
                <w:sz w:val="14"/>
                <w:szCs w:val="16"/>
              </w:rPr>
              <w:t>Peaje</w:t>
            </w:r>
          </w:p>
        </w:tc>
        <w:tc>
          <w:tcPr>
            <w:tcW w:w="1230"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7A72EE11" w14:textId="77777777" w:rsidR="004412F1" w:rsidRPr="009C1389" w:rsidRDefault="005A12A3" w:rsidP="009C1389">
            <w:pPr>
              <w:jc w:val="center"/>
              <w:rPr>
                <w:b/>
                <w:sz w:val="14"/>
                <w:szCs w:val="16"/>
              </w:rPr>
            </w:pPr>
            <w:r w:rsidRPr="009C1389">
              <w:rPr>
                <w:b/>
                <w:sz w:val="14"/>
                <w:szCs w:val="16"/>
              </w:rPr>
              <w:t>Requisito</w:t>
            </w:r>
          </w:p>
        </w:tc>
        <w:tc>
          <w:tcPr>
            <w:tcW w:w="842"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262408AD" w14:textId="77777777" w:rsidR="004412F1" w:rsidRPr="009C1389" w:rsidRDefault="005A12A3" w:rsidP="009C1389">
            <w:pPr>
              <w:jc w:val="center"/>
              <w:rPr>
                <w:b/>
                <w:sz w:val="14"/>
                <w:szCs w:val="16"/>
              </w:rPr>
            </w:pPr>
            <w:r w:rsidRPr="009C1389">
              <w:rPr>
                <w:b/>
                <w:sz w:val="14"/>
                <w:szCs w:val="16"/>
              </w:rPr>
              <w:t>Peaje</w:t>
            </w:r>
          </w:p>
        </w:tc>
        <w:tc>
          <w:tcPr>
            <w:tcW w:w="1213" w:type="dxa"/>
            <w:tcBorders>
              <w:top w:val="nil"/>
              <w:left w:val="nil"/>
              <w:bottom w:val="single" w:sz="12" w:space="0" w:color="000000"/>
              <w:right w:val="single" w:sz="6" w:space="0" w:color="000000"/>
            </w:tcBorders>
            <w:shd w:val="clear" w:color="auto" w:fill="D9D9D9"/>
            <w:tcMar>
              <w:top w:w="100" w:type="dxa"/>
              <w:left w:w="80" w:type="dxa"/>
              <w:bottom w:w="100" w:type="dxa"/>
              <w:right w:w="80" w:type="dxa"/>
            </w:tcMar>
          </w:tcPr>
          <w:p w14:paraId="4F6D8A1F" w14:textId="77777777" w:rsidR="004412F1" w:rsidRPr="009C1389" w:rsidRDefault="005A12A3" w:rsidP="009C1389">
            <w:pPr>
              <w:jc w:val="center"/>
              <w:rPr>
                <w:b/>
                <w:sz w:val="14"/>
                <w:szCs w:val="16"/>
              </w:rPr>
            </w:pPr>
            <w:r w:rsidRPr="009C1389">
              <w:rPr>
                <w:b/>
                <w:sz w:val="14"/>
                <w:szCs w:val="16"/>
              </w:rPr>
              <w:t>Requisito</w:t>
            </w:r>
          </w:p>
        </w:tc>
      </w:tr>
      <w:tr w:rsidR="004412F1" w:rsidRPr="009C1389" w14:paraId="5C0F5607" w14:textId="77777777" w:rsidTr="00487C71">
        <w:trPr>
          <w:trHeight w:val="1201"/>
        </w:trPr>
        <w:tc>
          <w:tcPr>
            <w:tcW w:w="1126" w:type="dxa"/>
            <w:tcBorders>
              <w:top w:val="nil"/>
              <w:left w:val="single" w:sz="6" w:space="0" w:color="000000"/>
              <w:bottom w:val="nil"/>
              <w:right w:val="single" w:sz="6" w:space="0" w:color="000000"/>
            </w:tcBorders>
            <w:shd w:val="clear" w:color="auto" w:fill="FFFFFF"/>
            <w:tcMar>
              <w:top w:w="100" w:type="dxa"/>
              <w:left w:w="80" w:type="dxa"/>
              <w:bottom w:w="100" w:type="dxa"/>
              <w:right w:w="80" w:type="dxa"/>
            </w:tcMar>
          </w:tcPr>
          <w:p w14:paraId="3C00CA6B" w14:textId="77777777" w:rsidR="004412F1" w:rsidRPr="009C1389" w:rsidRDefault="005A12A3" w:rsidP="00487C71">
            <w:pPr>
              <w:jc w:val="both"/>
              <w:rPr>
                <w:sz w:val="14"/>
                <w:szCs w:val="16"/>
              </w:rPr>
            </w:pPr>
            <w:r w:rsidRPr="009C1389">
              <w:rPr>
                <w:b/>
                <w:sz w:val="14"/>
                <w:szCs w:val="16"/>
              </w:rPr>
              <w:t>Chacapampa</w:t>
            </w:r>
            <w:r w:rsidRPr="009C1389">
              <w:rPr>
                <w:b/>
                <w:sz w:val="14"/>
                <w:szCs w:val="16"/>
              </w:rPr>
              <w:br/>
            </w:r>
            <w:r w:rsidRPr="009C1389">
              <w:rPr>
                <w:sz w:val="14"/>
                <w:szCs w:val="16"/>
              </w:rPr>
              <w:t xml:space="preserve"> (Existente)</w:t>
            </w:r>
          </w:p>
        </w:tc>
        <w:tc>
          <w:tcPr>
            <w:tcW w:w="2127" w:type="dxa"/>
            <w:tcBorders>
              <w:top w:val="nil"/>
              <w:left w:val="nil"/>
              <w:bottom w:val="nil"/>
              <w:right w:val="nil"/>
            </w:tcBorders>
            <w:shd w:val="clear" w:color="auto" w:fill="FFFFFF"/>
            <w:tcMar>
              <w:top w:w="100" w:type="dxa"/>
              <w:left w:w="80" w:type="dxa"/>
              <w:bottom w:w="100" w:type="dxa"/>
              <w:right w:w="80" w:type="dxa"/>
            </w:tcMar>
          </w:tcPr>
          <w:p w14:paraId="05624217" w14:textId="77777777" w:rsidR="004412F1" w:rsidRPr="009C1389" w:rsidRDefault="005A12A3" w:rsidP="00487C71">
            <w:pPr>
              <w:jc w:val="both"/>
              <w:rPr>
                <w:sz w:val="14"/>
                <w:szCs w:val="16"/>
                <w:lang w:val="es-PE"/>
              </w:rPr>
            </w:pPr>
            <w:r w:rsidRPr="009C1389">
              <w:rPr>
                <w:sz w:val="14"/>
                <w:szCs w:val="16"/>
                <w:lang w:val="es-PE"/>
              </w:rPr>
              <w:t>Dv. Huancayo - Pte. Chanchas</w:t>
            </w:r>
            <w:r w:rsidRPr="009C1389">
              <w:rPr>
                <w:sz w:val="14"/>
                <w:szCs w:val="16"/>
                <w:lang w:val="es-PE"/>
              </w:rPr>
              <w:br/>
              <w:t xml:space="preserve"> Pte. Chanchas - Huayucachi</w:t>
            </w:r>
            <w:r w:rsidRPr="009C1389">
              <w:rPr>
                <w:sz w:val="14"/>
                <w:szCs w:val="16"/>
                <w:lang w:val="es-PE"/>
              </w:rPr>
              <w:br/>
              <w:t xml:space="preserve"> Huayucachi - Imperial</w:t>
            </w:r>
            <w:r w:rsidRPr="009C1389">
              <w:rPr>
                <w:sz w:val="14"/>
                <w:szCs w:val="16"/>
                <w:lang w:val="es-PE"/>
              </w:rPr>
              <w:br/>
              <w:t xml:space="preserve"> Imperial - Izcuchaca</w:t>
            </w:r>
          </w:p>
        </w:tc>
        <w:tc>
          <w:tcPr>
            <w:tcW w:w="1052" w:type="dxa"/>
            <w:tcBorders>
              <w:top w:val="nil"/>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258E3051" w14:textId="77777777" w:rsidR="004412F1" w:rsidRPr="009C1389" w:rsidRDefault="005A12A3" w:rsidP="00487C71">
            <w:pPr>
              <w:jc w:val="both"/>
              <w:rPr>
                <w:sz w:val="14"/>
                <w:szCs w:val="16"/>
              </w:rPr>
            </w:pPr>
            <w:r w:rsidRPr="009C1389">
              <w:rPr>
                <w:b/>
                <w:sz w:val="14"/>
                <w:szCs w:val="16"/>
              </w:rPr>
              <w:t>Peaje vigente</w:t>
            </w:r>
            <w:r w:rsidRPr="009C1389">
              <w:rPr>
                <w:sz w:val="14"/>
                <w:szCs w:val="16"/>
              </w:rPr>
              <w:t xml:space="preserve"> + IGV</w:t>
            </w:r>
          </w:p>
        </w:tc>
        <w:tc>
          <w:tcPr>
            <w:tcW w:w="932"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5AE06399" w14:textId="4D1837D2" w:rsidR="004412F1" w:rsidRPr="009C1389" w:rsidRDefault="005A12A3" w:rsidP="00487C71">
            <w:pPr>
              <w:ind w:left="-60"/>
              <w:jc w:val="both"/>
              <w:rPr>
                <w:sz w:val="14"/>
                <w:szCs w:val="16"/>
                <w:lang w:val="es-PE"/>
              </w:rPr>
            </w:pPr>
            <w:r w:rsidRPr="009C1389">
              <w:rPr>
                <w:sz w:val="14"/>
                <w:szCs w:val="16"/>
                <w:lang w:val="es-PE"/>
              </w:rPr>
              <w:t>Implementación parcial de cláusula 8.1</w:t>
            </w:r>
            <w:r w:rsidR="006102B6">
              <w:rPr>
                <w:sz w:val="14"/>
                <w:szCs w:val="16"/>
                <w:lang w:val="es-PE"/>
              </w:rPr>
              <w:t>3</w:t>
            </w:r>
            <w:r w:rsidRPr="009C1389">
              <w:rPr>
                <w:sz w:val="14"/>
                <w:szCs w:val="16"/>
                <w:lang w:val="es-PE"/>
              </w:rPr>
              <w:t>:  Serv mecánico/Ambulancia</w:t>
            </w:r>
          </w:p>
        </w:tc>
        <w:tc>
          <w:tcPr>
            <w:tcW w:w="763"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6D59CC0E" w14:textId="77777777" w:rsidR="004412F1" w:rsidRPr="009C1389" w:rsidRDefault="005A12A3" w:rsidP="00487C71">
            <w:pPr>
              <w:jc w:val="both"/>
              <w:rPr>
                <w:b/>
                <w:sz w:val="14"/>
                <w:szCs w:val="16"/>
              </w:rPr>
            </w:pPr>
            <w:r w:rsidRPr="009C1389">
              <w:rPr>
                <w:b/>
                <w:sz w:val="14"/>
                <w:szCs w:val="16"/>
              </w:rPr>
              <w:t>US$ 1.50</w:t>
            </w:r>
          </w:p>
        </w:tc>
        <w:tc>
          <w:tcPr>
            <w:tcW w:w="1230"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28F62F5F" w14:textId="1D5F8507" w:rsidR="004412F1" w:rsidRPr="009C1389" w:rsidRDefault="005A12A3" w:rsidP="00487C71">
            <w:pPr>
              <w:jc w:val="both"/>
              <w:rPr>
                <w:sz w:val="14"/>
                <w:szCs w:val="16"/>
                <w:lang w:val="es-PE"/>
              </w:rPr>
            </w:pPr>
            <w:r w:rsidRPr="009C1389">
              <w:rPr>
                <w:sz w:val="14"/>
                <w:szCs w:val="16"/>
                <w:lang w:val="es-PE"/>
              </w:rPr>
              <w:t xml:space="preserve">a) Entrega de los </w:t>
            </w:r>
            <w:proofErr w:type="gramStart"/>
            <w:r w:rsidRPr="009C1389">
              <w:rPr>
                <w:sz w:val="14"/>
                <w:szCs w:val="16"/>
                <w:lang w:val="es-PE"/>
              </w:rPr>
              <w:t>sub tramos</w:t>
            </w:r>
            <w:proofErr w:type="gramEnd"/>
            <w:r w:rsidRPr="009C1389">
              <w:rPr>
                <w:sz w:val="14"/>
                <w:szCs w:val="16"/>
                <w:lang w:val="es-PE"/>
              </w:rPr>
              <w:t xml:space="preserve"> al Concesionario</w:t>
            </w:r>
            <w:r w:rsidRPr="009C1389">
              <w:rPr>
                <w:sz w:val="14"/>
                <w:szCs w:val="16"/>
                <w:lang w:val="es-PE"/>
              </w:rPr>
              <w:br/>
              <w:t xml:space="preserve"> b) Implementación de toda la cláusula 8.1</w:t>
            </w:r>
            <w:r w:rsidR="006102B6">
              <w:rPr>
                <w:sz w:val="14"/>
                <w:szCs w:val="16"/>
                <w:lang w:val="es-PE"/>
              </w:rPr>
              <w:t>3</w:t>
            </w:r>
          </w:p>
        </w:tc>
        <w:tc>
          <w:tcPr>
            <w:tcW w:w="842" w:type="dxa"/>
            <w:tcBorders>
              <w:top w:val="nil"/>
              <w:left w:val="nil"/>
              <w:bottom w:val="nil"/>
              <w:right w:val="nil"/>
            </w:tcBorders>
            <w:shd w:val="clear" w:color="auto" w:fill="D9D9D9"/>
            <w:tcMar>
              <w:top w:w="100" w:type="dxa"/>
              <w:left w:w="80" w:type="dxa"/>
              <w:bottom w:w="100" w:type="dxa"/>
              <w:right w:w="80" w:type="dxa"/>
            </w:tcMar>
            <w:vAlign w:val="bottom"/>
          </w:tcPr>
          <w:p w14:paraId="078413C6" w14:textId="77777777" w:rsidR="004412F1" w:rsidRPr="009C1389" w:rsidRDefault="005A12A3" w:rsidP="00487C71">
            <w:pPr>
              <w:jc w:val="both"/>
              <w:rPr>
                <w:sz w:val="14"/>
                <w:szCs w:val="16"/>
                <w:lang w:val="es-PE"/>
              </w:rPr>
            </w:pPr>
            <w:r w:rsidRPr="009C1389">
              <w:rPr>
                <w:sz w:val="14"/>
                <w:szCs w:val="16"/>
                <w:lang w:val="es-PE"/>
              </w:rPr>
              <w:t xml:space="preserve"> </w:t>
            </w:r>
          </w:p>
        </w:tc>
        <w:tc>
          <w:tcPr>
            <w:tcW w:w="1213" w:type="dxa"/>
            <w:tcBorders>
              <w:top w:val="nil"/>
              <w:left w:val="nil"/>
              <w:bottom w:val="nil"/>
              <w:right w:val="single" w:sz="6" w:space="0" w:color="000000"/>
            </w:tcBorders>
            <w:shd w:val="clear" w:color="auto" w:fill="D9D9D9"/>
            <w:tcMar>
              <w:top w:w="100" w:type="dxa"/>
              <w:left w:w="80" w:type="dxa"/>
              <w:bottom w:w="100" w:type="dxa"/>
              <w:right w:w="80" w:type="dxa"/>
            </w:tcMar>
            <w:vAlign w:val="bottom"/>
          </w:tcPr>
          <w:p w14:paraId="70F7589C" w14:textId="77777777" w:rsidR="004412F1" w:rsidRPr="009C1389" w:rsidRDefault="005A12A3" w:rsidP="009C1389">
            <w:pPr>
              <w:jc w:val="both"/>
              <w:rPr>
                <w:sz w:val="14"/>
                <w:szCs w:val="16"/>
                <w:lang w:val="es-PE"/>
              </w:rPr>
            </w:pPr>
            <w:r w:rsidRPr="009C1389">
              <w:rPr>
                <w:sz w:val="14"/>
                <w:szCs w:val="16"/>
                <w:lang w:val="es-PE"/>
              </w:rPr>
              <w:t xml:space="preserve"> </w:t>
            </w:r>
          </w:p>
        </w:tc>
      </w:tr>
      <w:tr w:rsidR="004412F1" w:rsidRPr="009C1389" w14:paraId="5DBE45C8" w14:textId="77777777" w:rsidTr="00487C71">
        <w:trPr>
          <w:trHeight w:val="1064"/>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53642009" w14:textId="77777777" w:rsidR="004412F1" w:rsidRPr="009C1389" w:rsidRDefault="005A12A3" w:rsidP="009C1389">
            <w:pPr>
              <w:jc w:val="both"/>
              <w:rPr>
                <w:sz w:val="14"/>
                <w:szCs w:val="16"/>
              </w:rPr>
            </w:pPr>
            <w:r w:rsidRPr="009C1389">
              <w:rPr>
                <w:b/>
                <w:sz w:val="14"/>
                <w:szCs w:val="16"/>
              </w:rPr>
              <w:t>La Esmeralda</w:t>
            </w:r>
            <w:r w:rsidRPr="009C1389">
              <w:rPr>
                <w:b/>
                <w:sz w:val="14"/>
                <w:szCs w:val="16"/>
              </w:rPr>
              <w:br/>
            </w:r>
            <w:r w:rsidRPr="009C1389">
              <w:rPr>
                <w:sz w:val="14"/>
                <w:szCs w:val="16"/>
              </w:rPr>
              <w:t xml:space="preserve"> (Nueva)</w:t>
            </w:r>
          </w:p>
        </w:tc>
        <w:tc>
          <w:tcPr>
            <w:tcW w:w="2127"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432DDCC6" w14:textId="77777777" w:rsidR="004412F1" w:rsidRPr="009C1389" w:rsidRDefault="005A12A3" w:rsidP="009C1389">
            <w:pPr>
              <w:jc w:val="both"/>
              <w:rPr>
                <w:sz w:val="14"/>
                <w:szCs w:val="16"/>
              </w:rPr>
            </w:pPr>
            <w:r w:rsidRPr="009C1389">
              <w:rPr>
                <w:sz w:val="14"/>
                <w:szCs w:val="16"/>
              </w:rPr>
              <w:t>Izcuchaca - Mayocc</w:t>
            </w:r>
          </w:p>
        </w:tc>
        <w:tc>
          <w:tcPr>
            <w:tcW w:w="1052"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517B7A29" w14:textId="77777777" w:rsidR="004412F1" w:rsidRPr="009C1389" w:rsidRDefault="005A12A3" w:rsidP="009C1389">
            <w:pPr>
              <w:jc w:val="both"/>
              <w:rPr>
                <w:sz w:val="14"/>
                <w:szCs w:val="16"/>
              </w:rPr>
            </w:pPr>
            <w:r w:rsidRPr="009C1389">
              <w:rPr>
                <w:sz w:val="14"/>
                <w:szCs w:val="16"/>
              </w:rPr>
              <w:t xml:space="preserve"> </w:t>
            </w:r>
          </w:p>
        </w:tc>
        <w:tc>
          <w:tcPr>
            <w:tcW w:w="932"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090A55C2" w14:textId="77777777" w:rsidR="004412F1" w:rsidRPr="009C1389" w:rsidRDefault="005A12A3" w:rsidP="009C1389">
            <w:pPr>
              <w:jc w:val="both"/>
              <w:rPr>
                <w:sz w:val="14"/>
                <w:szCs w:val="16"/>
              </w:rPr>
            </w:pPr>
            <w:r w:rsidRPr="009C1389">
              <w:rPr>
                <w:sz w:val="14"/>
                <w:szCs w:val="16"/>
              </w:rPr>
              <w:t xml:space="preserve"> </w:t>
            </w:r>
          </w:p>
        </w:tc>
        <w:tc>
          <w:tcPr>
            <w:tcW w:w="763" w:type="dxa"/>
            <w:tcBorders>
              <w:top w:val="nil"/>
              <w:left w:val="single" w:sz="6" w:space="0" w:color="000000"/>
              <w:bottom w:val="single" w:sz="6" w:space="0" w:color="000000"/>
              <w:right w:val="nil"/>
            </w:tcBorders>
            <w:shd w:val="clear" w:color="auto" w:fill="D9D9D9"/>
            <w:tcMar>
              <w:top w:w="100" w:type="dxa"/>
              <w:left w:w="80" w:type="dxa"/>
              <w:bottom w:w="100" w:type="dxa"/>
              <w:right w:w="80" w:type="dxa"/>
            </w:tcMar>
            <w:vAlign w:val="bottom"/>
          </w:tcPr>
          <w:p w14:paraId="6C88A54D" w14:textId="77777777" w:rsidR="004412F1" w:rsidRPr="009C1389" w:rsidRDefault="005A12A3" w:rsidP="009C1389">
            <w:pPr>
              <w:jc w:val="both"/>
              <w:rPr>
                <w:sz w:val="14"/>
                <w:szCs w:val="16"/>
              </w:rPr>
            </w:pPr>
            <w:r w:rsidRPr="009C1389">
              <w:rPr>
                <w:sz w:val="14"/>
                <w:szCs w:val="16"/>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513A7328" w14:textId="77777777" w:rsidR="004412F1" w:rsidRPr="009C1389" w:rsidRDefault="005A12A3" w:rsidP="009C1389">
            <w:pPr>
              <w:jc w:val="both"/>
              <w:rPr>
                <w:sz w:val="14"/>
                <w:szCs w:val="16"/>
              </w:rPr>
            </w:pPr>
            <w:r w:rsidRPr="009C1389">
              <w:rPr>
                <w:sz w:val="14"/>
                <w:szCs w:val="16"/>
              </w:rPr>
              <w:t xml:space="preserve"> </w:t>
            </w:r>
          </w:p>
        </w:tc>
        <w:tc>
          <w:tcPr>
            <w:tcW w:w="84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4A60ACDB" w14:textId="77777777" w:rsidR="004412F1" w:rsidRPr="009C1389" w:rsidRDefault="005A12A3" w:rsidP="009C1389">
            <w:pPr>
              <w:jc w:val="both"/>
              <w:rPr>
                <w:b/>
                <w:sz w:val="14"/>
                <w:szCs w:val="16"/>
              </w:rPr>
            </w:pPr>
            <w:r w:rsidRPr="009C1389">
              <w:rPr>
                <w:b/>
                <w:sz w:val="14"/>
                <w:szCs w:val="16"/>
              </w:rPr>
              <w:t>US$ 1.50</w:t>
            </w:r>
          </w:p>
        </w:tc>
        <w:tc>
          <w:tcPr>
            <w:tcW w:w="1213"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79D439E7" w14:textId="7F380531" w:rsidR="004412F1" w:rsidRPr="009C1389" w:rsidRDefault="005A12A3" w:rsidP="009C1389">
            <w:pPr>
              <w:jc w:val="both"/>
              <w:rPr>
                <w:sz w:val="14"/>
                <w:szCs w:val="16"/>
                <w:lang w:val="es-PE"/>
              </w:rPr>
            </w:pPr>
            <w:r w:rsidRPr="009C1389">
              <w:rPr>
                <w:sz w:val="14"/>
                <w:szCs w:val="16"/>
                <w:lang w:val="es-PE"/>
              </w:rPr>
              <w:t>a) Finalización RyM</w:t>
            </w:r>
            <w:r w:rsidRPr="009C1389">
              <w:rPr>
                <w:sz w:val="14"/>
                <w:szCs w:val="16"/>
                <w:lang w:val="es-PE"/>
              </w:rPr>
              <w:br/>
              <w:t xml:space="preserve"> b) Implementación de toda la cláusula 8.1</w:t>
            </w:r>
            <w:r w:rsidR="006102B6">
              <w:rPr>
                <w:sz w:val="14"/>
                <w:szCs w:val="16"/>
                <w:lang w:val="es-PE"/>
              </w:rPr>
              <w:t>3</w:t>
            </w:r>
          </w:p>
        </w:tc>
      </w:tr>
      <w:tr w:rsidR="004412F1" w:rsidRPr="009C1389" w14:paraId="78E92622" w14:textId="77777777" w:rsidTr="00487C71">
        <w:trPr>
          <w:trHeight w:val="2628"/>
        </w:trPr>
        <w:tc>
          <w:tcPr>
            <w:tcW w:w="1126" w:type="dxa"/>
            <w:tcBorders>
              <w:top w:val="nil"/>
              <w:left w:val="single" w:sz="6" w:space="0" w:color="000000"/>
              <w:bottom w:val="nil"/>
              <w:right w:val="single" w:sz="6" w:space="0" w:color="000000"/>
            </w:tcBorders>
            <w:shd w:val="clear" w:color="auto" w:fill="FFFFFF"/>
            <w:tcMar>
              <w:top w:w="100" w:type="dxa"/>
              <w:left w:w="80" w:type="dxa"/>
              <w:bottom w:w="100" w:type="dxa"/>
              <w:right w:w="80" w:type="dxa"/>
            </w:tcMar>
          </w:tcPr>
          <w:p w14:paraId="6787F507" w14:textId="77777777" w:rsidR="004412F1" w:rsidRPr="009C1389" w:rsidRDefault="005A12A3" w:rsidP="009C1389">
            <w:pPr>
              <w:jc w:val="both"/>
              <w:rPr>
                <w:sz w:val="14"/>
                <w:szCs w:val="16"/>
              </w:rPr>
            </w:pPr>
            <w:r w:rsidRPr="009C1389">
              <w:rPr>
                <w:b/>
                <w:sz w:val="14"/>
                <w:szCs w:val="16"/>
              </w:rPr>
              <w:t>Huanta</w:t>
            </w:r>
            <w:r w:rsidRPr="009C1389">
              <w:rPr>
                <w:b/>
                <w:sz w:val="14"/>
                <w:szCs w:val="16"/>
              </w:rPr>
              <w:br/>
            </w:r>
            <w:r w:rsidRPr="009C1389">
              <w:rPr>
                <w:sz w:val="14"/>
                <w:szCs w:val="16"/>
              </w:rPr>
              <w:t xml:space="preserve"> (Nueva)</w:t>
            </w:r>
          </w:p>
        </w:tc>
        <w:tc>
          <w:tcPr>
            <w:tcW w:w="2127" w:type="dxa"/>
            <w:tcBorders>
              <w:top w:val="nil"/>
              <w:left w:val="nil"/>
              <w:bottom w:val="nil"/>
              <w:right w:val="single" w:sz="6" w:space="0" w:color="000000"/>
            </w:tcBorders>
            <w:shd w:val="clear" w:color="auto" w:fill="FFFFFF"/>
            <w:tcMar>
              <w:top w:w="100" w:type="dxa"/>
              <w:left w:w="80" w:type="dxa"/>
              <w:bottom w:w="100" w:type="dxa"/>
              <w:right w:w="80" w:type="dxa"/>
            </w:tcMar>
          </w:tcPr>
          <w:p w14:paraId="65CFF28B" w14:textId="77777777" w:rsidR="004412F1" w:rsidRPr="009C1389" w:rsidRDefault="005A12A3" w:rsidP="009C1389">
            <w:pPr>
              <w:jc w:val="both"/>
              <w:rPr>
                <w:sz w:val="14"/>
                <w:szCs w:val="16"/>
                <w:lang w:val="es-PE"/>
              </w:rPr>
            </w:pPr>
            <w:r w:rsidRPr="009C1389">
              <w:rPr>
                <w:sz w:val="14"/>
                <w:szCs w:val="16"/>
                <w:lang w:val="es-PE"/>
              </w:rPr>
              <w:t>Mayocc - Huanta</w:t>
            </w:r>
            <w:r w:rsidRPr="009C1389">
              <w:rPr>
                <w:sz w:val="14"/>
                <w:szCs w:val="16"/>
                <w:lang w:val="es-PE"/>
              </w:rPr>
              <w:br/>
              <w:t xml:space="preserve"> Huanta - Ayacucho</w:t>
            </w:r>
            <w:r w:rsidRPr="009C1389">
              <w:rPr>
                <w:sz w:val="14"/>
                <w:szCs w:val="16"/>
                <w:lang w:val="es-PE"/>
              </w:rPr>
              <w:br/>
            </w:r>
            <w:r w:rsidRPr="009C1389">
              <w:rPr>
                <w:sz w:val="14"/>
                <w:szCs w:val="16"/>
                <w:lang w:val="es-PE"/>
              </w:rPr>
              <w:br/>
              <w:t xml:space="preserve"> Km. 0+000 - Abra Tocto</w:t>
            </w:r>
          </w:p>
        </w:tc>
        <w:tc>
          <w:tcPr>
            <w:tcW w:w="1052" w:type="dxa"/>
            <w:tcBorders>
              <w:top w:val="nil"/>
              <w:left w:val="nil"/>
              <w:bottom w:val="nil"/>
              <w:right w:val="nil"/>
            </w:tcBorders>
            <w:shd w:val="clear" w:color="auto" w:fill="D9D9D9"/>
            <w:tcMar>
              <w:top w:w="100" w:type="dxa"/>
              <w:left w:w="80" w:type="dxa"/>
              <w:bottom w:w="100" w:type="dxa"/>
              <w:right w:w="80" w:type="dxa"/>
            </w:tcMar>
            <w:vAlign w:val="bottom"/>
          </w:tcPr>
          <w:p w14:paraId="7598B900" w14:textId="77777777" w:rsidR="004412F1" w:rsidRPr="009C1389" w:rsidRDefault="005A12A3" w:rsidP="009C1389">
            <w:pPr>
              <w:jc w:val="both"/>
              <w:rPr>
                <w:sz w:val="14"/>
                <w:szCs w:val="16"/>
                <w:lang w:val="es-PE"/>
              </w:rPr>
            </w:pPr>
            <w:r w:rsidRPr="009C1389">
              <w:rPr>
                <w:sz w:val="14"/>
                <w:szCs w:val="16"/>
                <w:lang w:val="es-PE"/>
              </w:rPr>
              <w:t xml:space="preserve"> </w:t>
            </w:r>
          </w:p>
        </w:tc>
        <w:tc>
          <w:tcPr>
            <w:tcW w:w="932" w:type="dxa"/>
            <w:tcBorders>
              <w:top w:val="nil"/>
              <w:left w:val="nil"/>
              <w:bottom w:val="nil"/>
              <w:right w:val="nil"/>
            </w:tcBorders>
            <w:shd w:val="clear" w:color="auto" w:fill="D9D9D9"/>
            <w:tcMar>
              <w:top w:w="100" w:type="dxa"/>
              <w:left w:w="80" w:type="dxa"/>
              <w:bottom w:w="100" w:type="dxa"/>
              <w:right w:w="80" w:type="dxa"/>
            </w:tcMar>
            <w:vAlign w:val="bottom"/>
          </w:tcPr>
          <w:p w14:paraId="7EFE3486" w14:textId="77777777" w:rsidR="004412F1" w:rsidRPr="009C1389" w:rsidRDefault="005A12A3" w:rsidP="009C1389">
            <w:pPr>
              <w:jc w:val="both"/>
              <w:rPr>
                <w:sz w:val="14"/>
                <w:szCs w:val="16"/>
                <w:lang w:val="es-PE"/>
              </w:rPr>
            </w:pPr>
            <w:r w:rsidRPr="009C1389">
              <w:rPr>
                <w:sz w:val="14"/>
                <w:szCs w:val="16"/>
                <w:lang w:val="es-PE"/>
              </w:rPr>
              <w:t xml:space="preserve"> </w:t>
            </w:r>
          </w:p>
        </w:tc>
        <w:tc>
          <w:tcPr>
            <w:tcW w:w="763" w:type="dxa"/>
            <w:tcBorders>
              <w:top w:val="nil"/>
              <w:left w:val="single" w:sz="6" w:space="0" w:color="000000"/>
              <w:bottom w:val="single" w:sz="6" w:space="0" w:color="000000"/>
              <w:right w:val="nil"/>
            </w:tcBorders>
            <w:shd w:val="clear" w:color="auto" w:fill="D9D9D9"/>
            <w:tcMar>
              <w:top w:w="100" w:type="dxa"/>
              <w:left w:w="80" w:type="dxa"/>
              <w:bottom w:w="100" w:type="dxa"/>
              <w:right w:w="80" w:type="dxa"/>
            </w:tcMar>
            <w:vAlign w:val="bottom"/>
          </w:tcPr>
          <w:p w14:paraId="7931FEE0" w14:textId="77777777" w:rsidR="004412F1" w:rsidRPr="009C1389" w:rsidRDefault="005A12A3" w:rsidP="009C1389">
            <w:pPr>
              <w:jc w:val="both"/>
              <w:rPr>
                <w:sz w:val="14"/>
                <w:szCs w:val="16"/>
                <w:lang w:val="es-PE"/>
              </w:rPr>
            </w:pPr>
            <w:r w:rsidRPr="009C1389">
              <w:rPr>
                <w:sz w:val="14"/>
                <w:szCs w:val="16"/>
                <w:lang w:val="es-PE"/>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0E0BBD81" w14:textId="77777777" w:rsidR="004412F1" w:rsidRPr="009C1389" w:rsidRDefault="005A12A3" w:rsidP="009C1389">
            <w:pPr>
              <w:jc w:val="both"/>
              <w:rPr>
                <w:color w:val="FF0000"/>
                <w:sz w:val="14"/>
                <w:szCs w:val="16"/>
                <w:lang w:val="es-PE"/>
              </w:rPr>
            </w:pPr>
            <w:r w:rsidRPr="009C1389">
              <w:rPr>
                <w:color w:val="FF0000"/>
                <w:sz w:val="14"/>
                <w:szCs w:val="16"/>
                <w:lang w:val="es-PE"/>
              </w:rPr>
              <w:t xml:space="preserve"> </w:t>
            </w:r>
          </w:p>
        </w:tc>
        <w:tc>
          <w:tcPr>
            <w:tcW w:w="842"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7371C784" w14:textId="77777777" w:rsidR="004412F1" w:rsidRPr="009C1389" w:rsidRDefault="005A12A3" w:rsidP="009C1389">
            <w:pPr>
              <w:jc w:val="both"/>
              <w:rPr>
                <w:b/>
                <w:sz w:val="14"/>
                <w:szCs w:val="16"/>
              </w:rPr>
            </w:pPr>
            <w:r w:rsidRPr="009C1389">
              <w:rPr>
                <w:b/>
                <w:sz w:val="14"/>
                <w:szCs w:val="16"/>
              </w:rPr>
              <w:t>US$ 1.50</w:t>
            </w:r>
          </w:p>
        </w:tc>
        <w:tc>
          <w:tcPr>
            <w:tcW w:w="1213"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6F0001FF" w14:textId="77777777" w:rsidR="004412F1" w:rsidRPr="009C1389" w:rsidRDefault="005A12A3" w:rsidP="009C1389">
            <w:pPr>
              <w:jc w:val="both"/>
              <w:rPr>
                <w:sz w:val="14"/>
                <w:szCs w:val="16"/>
                <w:lang w:val="es-PE"/>
              </w:rPr>
            </w:pPr>
            <w:r w:rsidRPr="009C1389">
              <w:rPr>
                <w:sz w:val="14"/>
                <w:szCs w:val="16"/>
                <w:lang w:val="es-PE"/>
              </w:rPr>
              <w:t xml:space="preserve">a) Entrega al Concesionario </w:t>
            </w:r>
            <w:proofErr w:type="gramStart"/>
            <w:r w:rsidRPr="009C1389">
              <w:rPr>
                <w:sz w:val="14"/>
                <w:szCs w:val="16"/>
                <w:lang w:val="es-PE"/>
              </w:rPr>
              <w:t>del  Subtramo</w:t>
            </w:r>
            <w:proofErr w:type="gramEnd"/>
            <w:r w:rsidRPr="009C1389">
              <w:rPr>
                <w:sz w:val="14"/>
                <w:szCs w:val="16"/>
                <w:lang w:val="es-PE"/>
              </w:rPr>
              <w:t xml:space="preserve"> Mayocc – Huanta</w:t>
            </w:r>
          </w:p>
          <w:p w14:paraId="6E5974F7" w14:textId="70A0D7EF" w:rsidR="004412F1" w:rsidRPr="009C1389" w:rsidRDefault="005A12A3" w:rsidP="009C1389">
            <w:pPr>
              <w:jc w:val="both"/>
              <w:rPr>
                <w:sz w:val="14"/>
                <w:szCs w:val="16"/>
                <w:lang w:val="es-PE"/>
              </w:rPr>
            </w:pPr>
            <w:r w:rsidRPr="009C1389">
              <w:rPr>
                <w:sz w:val="14"/>
                <w:szCs w:val="16"/>
                <w:lang w:val="es-PE"/>
              </w:rPr>
              <w:t>b) Finalización MPI Subtramo Huanta - ayacucho y Subtramo Km. 0+000 - Abra Tocto</w:t>
            </w:r>
            <w:r w:rsidRPr="009C1389">
              <w:rPr>
                <w:sz w:val="14"/>
                <w:szCs w:val="16"/>
                <w:lang w:val="es-PE"/>
              </w:rPr>
              <w:br/>
              <w:t xml:space="preserve"> c) Implementación de toda la cláusula 8.1</w:t>
            </w:r>
            <w:r w:rsidR="006102B6">
              <w:rPr>
                <w:sz w:val="14"/>
                <w:szCs w:val="16"/>
                <w:lang w:val="es-PE"/>
              </w:rPr>
              <w:t>3</w:t>
            </w:r>
          </w:p>
        </w:tc>
      </w:tr>
      <w:tr w:rsidR="004412F1" w:rsidRPr="009C1389" w14:paraId="100323B0" w14:textId="77777777" w:rsidTr="007776A4">
        <w:trPr>
          <w:trHeight w:val="1208"/>
        </w:trPr>
        <w:tc>
          <w:tcPr>
            <w:tcW w:w="1126" w:type="dxa"/>
            <w:tcBorders>
              <w:top w:val="single" w:sz="6" w:space="0" w:color="000000"/>
              <w:left w:val="single" w:sz="6" w:space="0" w:color="000000"/>
              <w:bottom w:val="nil"/>
              <w:right w:val="single" w:sz="6" w:space="0" w:color="000000"/>
            </w:tcBorders>
            <w:shd w:val="clear" w:color="auto" w:fill="FFFFFF"/>
            <w:tcMar>
              <w:top w:w="100" w:type="dxa"/>
              <w:left w:w="80" w:type="dxa"/>
              <w:bottom w:w="100" w:type="dxa"/>
              <w:right w:w="80" w:type="dxa"/>
            </w:tcMar>
          </w:tcPr>
          <w:p w14:paraId="2368D0AD" w14:textId="77777777" w:rsidR="004412F1" w:rsidRPr="009C1389" w:rsidRDefault="005A12A3" w:rsidP="00487C71">
            <w:pPr>
              <w:jc w:val="both"/>
              <w:rPr>
                <w:sz w:val="14"/>
                <w:szCs w:val="16"/>
              </w:rPr>
            </w:pPr>
            <w:r w:rsidRPr="009C1389">
              <w:rPr>
                <w:b/>
                <w:sz w:val="14"/>
                <w:szCs w:val="16"/>
              </w:rPr>
              <w:t>Ocros</w:t>
            </w:r>
            <w:r w:rsidRPr="009C1389">
              <w:rPr>
                <w:b/>
                <w:sz w:val="14"/>
                <w:szCs w:val="16"/>
              </w:rPr>
              <w:br/>
            </w:r>
            <w:r w:rsidRPr="009C1389">
              <w:rPr>
                <w:sz w:val="14"/>
                <w:szCs w:val="16"/>
              </w:rPr>
              <w:t xml:space="preserve"> (Nueva)</w:t>
            </w:r>
          </w:p>
        </w:tc>
        <w:tc>
          <w:tcPr>
            <w:tcW w:w="2127" w:type="dxa"/>
            <w:tcBorders>
              <w:top w:val="single" w:sz="6" w:space="0" w:color="000000"/>
              <w:left w:val="nil"/>
              <w:bottom w:val="nil"/>
              <w:right w:val="single" w:sz="6" w:space="0" w:color="000000"/>
            </w:tcBorders>
            <w:shd w:val="clear" w:color="auto" w:fill="FFFFFF"/>
            <w:tcMar>
              <w:top w:w="100" w:type="dxa"/>
              <w:left w:w="80" w:type="dxa"/>
              <w:bottom w:w="100" w:type="dxa"/>
              <w:right w:w="80" w:type="dxa"/>
            </w:tcMar>
          </w:tcPr>
          <w:p w14:paraId="071A4D1A" w14:textId="77777777" w:rsidR="004412F1" w:rsidRPr="009C1389" w:rsidRDefault="005A12A3" w:rsidP="00487C71">
            <w:pPr>
              <w:jc w:val="both"/>
              <w:rPr>
                <w:sz w:val="14"/>
                <w:szCs w:val="16"/>
                <w:lang w:val="es-PE"/>
              </w:rPr>
            </w:pPr>
            <w:r w:rsidRPr="009C1389">
              <w:rPr>
                <w:sz w:val="14"/>
                <w:szCs w:val="16"/>
                <w:lang w:val="es-PE"/>
              </w:rPr>
              <w:t>Abra Tocto - Ocros</w:t>
            </w:r>
            <w:r w:rsidRPr="009C1389">
              <w:rPr>
                <w:sz w:val="14"/>
                <w:szCs w:val="16"/>
                <w:lang w:val="es-PE"/>
              </w:rPr>
              <w:br/>
              <w:t xml:space="preserve"> Ocros - chincheros</w:t>
            </w:r>
          </w:p>
        </w:tc>
        <w:tc>
          <w:tcPr>
            <w:tcW w:w="1052" w:type="dxa"/>
            <w:tcBorders>
              <w:top w:val="single" w:sz="6" w:space="0" w:color="000000"/>
              <w:left w:val="nil"/>
              <w:bottom w:val="single" w:sz="6" w:space="0" w:color="000000"/>
              <w:right w:val="nil"/>
            </w:tcBorders>
            <w:shd w:val="clear" w:color="auto" w:fill="D9D9D9"/>
            <w:tcMar>
              <w:top w:w="100" w:type="dxa"/>
              <w:left w:w="80" w:type="dxa"/>
              <w:bottom w:w="100" w:type="dxa"/>
              <w:right w:w="80" w:type="dxa"/>
            </w:tcMar>
            <w:vAlign w:val="bottom"/>
          </w:tcPr>
          <w:p w14:paraId="170C802A" w14:textId="77777777" w:rsidR="004412F1" w:rsidRPr="009C1389" w:rsidRDefault="005A12A3" w:rsidP="00487C71">
            <w:pPr>
              <w:jc w:val="both"/>
              <w:rPr>
                <w:sz w:val="14"/>
                <w:szCs w:val="16"/>
                <w:lang w:val="es-PE"/>
              </w:rPr>
            </w:pPr>
            <w:r w:rsidRPr="009C1389">
              <w:rPr>
                <w:sz w:val="14"/>
                <w:szCs w:val="16"/>
                <w:lang w:val="es-PE"/>
              </w:rPr>
              <w:t xml:space="preserve"> </w:t>
            </w:r>
          </w:p>
        </w:tc>
        <w:tc>
          <w:tcPr>
            <w:tcW w:w="932" w:type="dxa"/>
            <w:tcBorders>
              <w:top w:val="single" w:sz="6" w:space="0" w:color="000000"/>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559D9B0E" w14:textId="77777777" w:rsidR="004412F1" w:rsidRPr="009C1389" w:rsidRDefault="005A12A3" w:rsidP="00487C71">
            <w:pPr>
              <w:jc w:val="both"/>
              <w:rPr>
                <w:sz w:val="14"/>
                <w:szCs w:val="16"/>
                <w:lang w:val="es-PE"/>
              </w:rPr>
            </w:pPr>
            <w:r w:rsidRPr="009C1389">
              <w:rPr>
                <w:sz w:val="14"/>
                <w:szCs w:val="16"/>
                <w:lang w:val="es-PE"/>
              </w:rPr>
              <w:t xml:space="preserve"> </w:t>
            </w:r>
          </w:p>
        </w:tc>
        <w:tc>
          <w:tcPr>
            <w:tcW w:w="763"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1A525316" w14:textId="77777777" w:rsidR="004412F1" w:rsidRPr="009C1389" w:rsidRDefault="005A12A3" w:rsidP="00487C71">
            <w:pPr>
              <w:jc w:val="both"/>
              <w:rPr>
                <w:b/>
                <w:sz w:val="14"/>
                <w:szCs w:val="16"/>
              </w:rPr>
            </w:pPr>
            <w:r w:rsidRPr="009C1389">
              <w:rPr>
                <w:b/>
                <w:sz w:val="14"/>
                <w:szCs w:val="16"/>
              </w:rPr>
              <w:t>US$ 1.50</w:t>
            </w:r>
          </w:p>
        </w:tc>
        <w:tc>
          <w:tcPr>
            <w:tcW w:w="1230"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634A3527" w14:textId="5018C2C5" w:rsidR="004412F1" w:rsidRPr="009C1389" w:rsidRDefault="005A12A3" w:rsidP="00487C71">
            <w:pPr>
              <w:jc w:val="both"/>
              <w:rPr>
                <w:sz w:val="14"/>
                <w:szCs w:val="16"/>
                <w:lang w:val="es-PE"/>
              </w:rPr>
            </w:pPr>
            <w:r w:rsidRPr="009C1389">
              <w:rPr>
                <w:sz w:val="14"/>
                <w:szCs w:val="16"/>
                <w:lang w:val="es-PE"/>
              </w:rPr>
              <w:t xml:space="preserve">a) Entrega de los </w:t>
            </w:r>
            <w:proofErr w:type="gramStart"/>
            <w:r w:rsidRPr="009C1389">
              <w:rPr>
                <w:sz w:val="14"/>
                <w:szCs w:val="16"/>
                <w:lang w:val="es-PE"/>
              </w:rPr>
              <w:t>sub tramos</w:t>
            </w:r>
            <w:proofErr w:type="gramEnd"/>
            <w:r w:rsidRPr="009C1389">
              <w:rPr>
                <w:sz w:val="14"/>
                <w:szCs w:val="16"/>
                <w:lang w:val="es-PE"/>
              </w:rPr>
              <w:t xml:space="preserve"> al Concesionario</w:t>
            </w:r>
            <w:r w:rsidRPr="009C1389">
              <w:rPr>
                <w:sz w:val="14"/>
                <w:szCs w:val="16"/>
                <w:lang w:val="es-PE"/>
              </w:rPr>
              <w:br/>
              <w:t xml:space="preserve"> b) Implementación de toda la cláusula 8.1</w:t>
            </w:r>
            <w:r w:rsidR="006102B6">
              <w:rPr>
                <w:sz w:val="14"/>
                <w:szCs w:val="16"/>
                <w:lang w:val="es-PE"/>
              </w:rPr>
              <w:t>3</w:t>
            </w:r>
          </w:p>
        </w:tc>
        <w:tc>
          <w:tcPr>
            <w:tcW w:w="842" w:type="dxa"/>
            <w:tcBorders>
              <w:top w:val="nil"/>
              <w:left w:val="nil"/>
              <w:bottom w:val="nil"/>
              <w:right w:val="nil"/>
            </w:tcBorders>
            <w:shd w:val="clear" w:color="auto" w:fill="D9D9D9"/>
            <w:tcMar>
              <w:top w:w="100" w:type="dxa"/>
              <w:left w:w="80" w:type="dxa"/>
              <w:bottom w:w="100" w:type="dxa"/>
              <w:right w:w="80" w:type="dxa"/>
            </w:tcMar>
            <w:vAlign w:val="bottom"/>
          </w:tcPr>
          <w:p w14:paraId="30E601EB" w14:textId="77777777" w:rsidR="004412F1" w:rsidRPr="009C1389" w:rsidRDefault="005A12A3" w:rsidP="00487C71">
            <w:pPr>
              <w:jc w:val="both"/>
              <w:rPr>
                <w:sz w:val="14"/>
                <w:szCs w:val="16"/>
                <w:lang w:val="es-PE"/>
              </w:rPr>
            </w:pPr>
            <w:r w:rsidRPr="009C1389">
              <w:rPr>
                <w:sz w:val="14"/>
                <w:szCs w:val="16"/>
                <w:lang w:val="es-PE"/>
              </w:rPr>
              <w:t xml:space="preserve"> </w:t>
            </w:r>
          </w:p>
        </w:tc>
        <w:tc>
          <w:tcPr>
            <w:tcW w:w="1213" w:type="dxa"/>
            <w:tcBorders>
              <w:top w:val="nil"/>
              <w:left w:val="nil"/>
              <w:bottom w:val="nil"/>
              <w:right w:val="single" w:sz="6" w:space="0" w:color="000000"/>
            </w:tcBorders>
            <w:shd w:val="clear" w:color="auto" w:fill="D9D9D9"/>
            <w:tcMar>
              <w:top w:w="100" w:type="dxa"/>
              <w:left w:w="80" w:type="dxa"/>
              <w:bottom w:w="100" w:type="dxa"/>
              <w:right w:w="80" w:type="dxa"/>
            </w:tcMar>
            <w:vAlign w:val="bottom"/>
          </w:tcPr>
          <w:p w14:paraId="02E46BAB" w14:textId="77777777" w:rsidR="004412F1" w:rsidRPr="009C1389" w:rsidRDefault="005A12A3" w:rsidP="00487C71">
            <w:pPr>
              <w:jc w:val="both"/>
              <w:rPr>
                <w:sz w:val="14"/>
                <w:szCs w:val="16"/>
                <w:lang w:val="es-PE"/>
              </w:rPr>
            </w:pPr>
            <w:r w:rsidRPr="009C1389">
              <w:rPr>
                <w:sz w:val="14"/>
                <w:szCs w:val="16"/>
                <w:lang w:val="es-PE"/>
              </w:rPr>
              <w:t xml:space="preserve"> </w:t>
            </w:r>
          </w:p>
        </w:tc>
      </w:tr>
      <w:tr w:rsidR="004412F1" w:rsidRPr="009C1389" w14:paraId="1D29F952" w14:textId="77777777" w:rsidTr="00487C71">
        <w:trPr>
          <w:trHeight w:val="2780"/>
        </w:trPr>
        <w:tc>
          <w:tcPr>
            <w:tcW w:w="1126" w:type="dxa"/>
            <w:tcBorders>
              <w:top w:val="single" w:sz="6" w:space="0" w:color="000000"/>
              <w:left w:val="single" w:sz="6" w:space="0" w:color="000000"/>
              <w:bottom w:val="nil"/>
              <w:right w:val="single" w:sz="6" w:space="0" w:color="000000"/>
            </w:tcBorders>
            <w:shd w:val="clear" w:color="auto" w:fill="FFFFFF"/>
            <w:tcMar>
              <w:top w:w="100" w:type="dxa"/>
              <w:left w:w="80" w:type="dxa"/>
              <w:bottom w:w="100" w:type="dxa"/>
              <w:right w:w="80" w:type="dxa"/>
            </w:tcMar>
          </w:tcPr>
          <w:p w14:paraId="637CE2FD" w14:textId="77777777" w:rsidR="004412F1" w:rsidRPr="009C1389" w:rsidRDefault="005A12A3" w:rsidP="00487C71">
            <w:pPr>
              <w:jc w:val="both"/>
              <w:rPr>
                <w:sz w:val="14"/>
                <w:szCs w:val="16"/>
              </w:rPr>
            </w:pPr>
            <w:r w:rsidRPr="009C1389">
              <w:rPr>
                <w:b/>
                <w:sz w:val="14"/>
                <w:szCs w:val="16"/>
              </w:rPr>
              <w:t>Chicmo</w:t>
            </w:r>
            <w:r w:rsidRPr="009C1389">
              <w:rPr>
                <w:b/>
                <w:sz w:val="14"/>
                <w:szCs w:val="16"/>
              </w:rPr>
              <w:br/>
            </w:r>
            <w:r w:rsidRPr="009C1389">
              <w:rPr>
                <w:sz w:val="14"/>
                <w:szCs w:val="16"/>
              </w:rPr>
              <w:t xml:space="preserve"> (Nueva)</w:t>
            </w:r>
          </w:p>
        </w:tc>
        <w:tc>
          <w:tcPr>
            <w:tcW w:w="2127" w:type="dxa"/>
            <w:tcBorders>
              <w:top w:val="single" w:sz="6" w:space="0" w:color="000000"/>
              <w:left w:val="nil"/>
              <w:bottom w:val="nil"/>
              <w:right w:val="single" w:sz="6" w:space="0" w:color="000000"/>
            </w:tcBorders>
            <w:shd w:val="clear" w:color="auto" w:fill="FFFFFF"/>
            <w:tcMar>
              <w:top w:w="100" w:type="dxa"/>
              <w:left w:w="80" w:type="dxa"/>
              <w:bottom w:w="100" w:type="dxa"/>
              <w:right w:w="80" w:type="dxa"/>
            </w:tcMar>
          </w:tcPr>
          <w:p w14:paraId="491D02C3" w14:textId="77777777" w:rsidR="004412F1" w:rsidRPr="009C1389" w:rsidRDefault="005A12A3" w:rsidP="00487C71">
            <w:pPr>
              <w:jc w:val="both"/>
              <w:rPr>
                <w:sz w:val="14"/>
                <w:szCs w:val="16"/>
                <w:lang w:val="es-PE"/>
              </w:rPr>
            </w:pPr>
            <w:r w:rsidRPr="009C1389">
              <w:rPr>
                <w:sz w:val="14"/>
                <w:szCs w:val="16"/>
                <w:lang w:val="es-PE"/>
              </w:rPr>
              <w:t>Chincheros - Santa Maria de Chicmo</w:t>
            </w:r>
            <w:r w:rsidRPr="009C1389">
              <w:rPr>
                <w:sz w:val="14"/>
                <w:szCs w:val="16"/>
                <w:lang w:val="es-PE"/>
              </w:rPr>
              <w:br/>
              <w:t xml:space="preserve"> Santa María de Chicmo - Andahuaylas</w:t>
            </w:r>
          </w:p>
        </w:tc>
        <w:tc>
          <w:tcPr>
            <w:tcW w:w="1052"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78FFE088" w14:textId="77777777" w:rsidR="004412F1" w:rsidRPr="009C1389" w:rsidRDefault="005A12A3" w:rsidP="00487C71">
            <w:pPr>
              <w:jc w:val="both"/>
              <w:rPr>
                <w:sz w:val="14"/>
                <w:szCs w:val="16"/>
                <w:lang w:val="es-PE"/>
              </w:rPr>
            </w:pPr>
            <w:r w:rsidRPr="009C1389">
              <w:rPr>
                <w:sz w:val="14"/>
                <w:szCs w:val="16"/>
                <w:lang w:val="es-PE"/>
              </w:rPr>
              <w:t xml:space="preserve"> </w:t>
            </w:r>
          </w:p>
        </w:tc>
        <w:tc>
          <w:tcPr>
            <w:tcW w:w="932"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0B55BE9D" w14:textId="77777777" w:rsidR="004412F1" w:rsidRPr="009C1389" w:rsidRDefault="005A12A3" w:rsidP="00487C71">
            <w:pPr>
              <w:jc w:val="both"/>
              <w:rPr>
                <w:sz w:val="14"/>
                <w:szCs w:val="16"/>
                <w:lang w:val="es-PE"/>
              </w:rPr>
            </w:pPr>
            <w:r w:rsidRPr="009C1389">
              <w:rPr>
                <w:sz w:val="14"/>
                <w:szCs w:val="16"/>
                <w:lang w:val="es-PE"/>
              </w:rPr>
              <w:t xml:space="preserve"> </w:t>
            </w:r>
          </w:p>
        </w:tc>
        <w:tc>
          <w:tcPr>
            <w:tcW w:w="763" w:type="dxa"/>
            <w:tcBorders>
              <w:top w:val="nil"/>
              <w:left w:val="single" w:sz="6" w:space="0" w:color="000000"/>
              <w:bottom w:val="single" w:sz="6" w:space="0" w:color="000000"/>
              <w:right w:val="nil"/>
            </w:tcBorders>
            <w:shd w:val="clear" w:color="auto" w:fill="D9D9D9"/>
            <w:tcMar>
              <w:top w:w="100" w:type="dxa"/>
              <w:left w:w="80" w:type="dxa"/>
              <w:bottom w:w="100" w:type="dxa"/>
              <w:right w:w="80" w:type="dxa"/>
            </w:tcMar>
            <w:vAlign w:val="bottom"/>
          </w:tcPr>
          <w:p w14:paraId="737E5497" w14:textId="77777777" w:rsidR="004412F1" w:rsidRPr="009C1389" w:rsidRDefault="005A12A3" w:rsidP="00487C71">
            <w:pPr>
              <w:jc w:val="both"/>
              <w:rPr>
                <w:color w:val="FF0000"/>
                <w:sz w:val="14"/>
                <w:szCs w:val="16"/>
                <w:lang w:val="es-PE"/>
              </w:rPr>
            </w:pPr>
            <w:r w:rsidRPr="009C1389">
              <w:rPr>
                <w:color w:val="FF0000"/>
                <w:sz w:val="14"/>
                <w:szCs w:val="16"/>
                <w:lang w:val="es-PE"/>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5080109A" w14:textId="77777777" w:rsidR="004412F1" w:rsidRPr="009C1389" w:rsidRDefault="005A12A3" w:rsidP="00487C71">
            <w:pPr>
              <w:jc w:val="both"/>
              <w:rPr>
                <w:color w:val="FF0000"/>
                <w:sz w:val="14"/>
                <w:szCs w:val="16"/>
                <w:lang w:val="es-PE"/>
              </w:rPr>
            </w:pPr>
            <w:r w:rsidRPr="009C1389">
              <w:rPr>
                <w:color w:val="FF0000"/>
                <w:sz w:val="14"/>
                <w:szCs w:val="16"/>
                <w:lang w:val="es-PE"/>
              </w:rPr>
              <w:t xml:space="preserve"> </w:t>
            </w:r>
          </w:p>
        </w:tc>
        <w:tc>
          <w:tcPr>
            <w:tcW w:w="842" w:type="dxa"/>
            <w:tcBorders>
              <w:top w:val="single" w:sz="6" w:space="0" w:color="000000"/>
              <w:left w:val="nil"/>
              <w:bottom w:val="nil"/>
              <w:right w:val="single" w:sz="6" w:space="0" w:color="000000"/>
            </w:tcBorders>
            <w:shd w:val="clear" w:color="auto" w:fill="FFFFFF"/>
            <w:tcMar>
              <w:top w:w="100" w:type="dxa"/>
              <w:left w:w="80" w:type="dxa"/>
              <w:bottom w:w="100" w:type="dxa"/>
              <w:right w:w="80" w:type="dxa"/>
            </w:tcMar>
          </w:tcPr>
          <w:p w14:paraId="5C09C593" w14:textId="77777777" w:rsidR="004412F1" w:rsidRPr="009C1389" w:rsidRDefault="005A12A3" w:rsidP="00487C71">
            <w:pPr>
              <w:jc w:val="both"/>
              <w:rPr>
                <w:b/>
                <w:sz w:val="14"/>
                <w:szCs w:val="16"/>
              </w:rPr>
            </w:pPr>
            <w:r w:rsidRPr="009C1389">
              <w:rPr>
                <w:b/>
                <w:sz w:val="14"/>
                <w:szCs w:val="16"/>
              </w:rPr>
              <w:t>US$ 1.50</w:t>
            </w:r>
          </w:p>
        </w:tc>
        <w:tc>
          <w:tcPr>
            <w:tcW w:w="1213" w:type="dxa"/>
            <w:tcBorders>
              <w:top w:val="single" w:sz="6" w:space="0" w:color="000000"/>
              <w:left w:val="nil"/>
              <w:bottom w:val="nil"/>
              <w:right w:val="single" w:sz="6" w:space="0" w:color="000000"/>
            </w:tcBorders>
            <w:shd w:val="clear" w:color="auto" w:fill="FFFFFF"/>
            <w:tcMar>
              <w:top w:w="100" w:type="dxa"/>
              <w:left w:w="80" w:type="dxa"/>
              <w:bottom w:w="100" w:type="dxa"/>
              <w:right w:w="80" w:type="dxa"/>
            </w:tcMar>
          </w:tcPr>
          <w:p w14:paraId="7DED8C3D" w14:textId="2E30C657" w:rsidR="004412F1" w:rsidRPr="009C1389" w:rsidRDefault="005A12A3" w:rsidP="00487C71">
            <w:pPr>
              <w:ind w:left="-80"/>
              <w:jc w:val="both"/>
              <w:rPr>
                <w:sz w:val="14"/>
                <w:szCs w:val="16"/>
                <w:lang w:val="es-PE"/>
              </w:rPr>
            </w:pPr>
            <w:r w:rsidRPr="009C1389">
              <w:rPr>
                <w:sz w:val="14"/>
                <w:szCs w:val="16"/>
                <w:lang w:val="es-PE"/>
              </w:rPr>
              <w:t xml:space="preserve">a) Entrega al Concesionario del </w:t>
            </w:r>
            <w:proofErr w:type="gramStart"/>
            <w:r w:rsidRPr="009C1389">
              <w:rPr>
                <w:sz w:val="14"/>
                <w:szCs w:val="16"/>
                <w:lang w:val="es-PE"/>
              </w:rPr>
              <w:t>Sub tramo</w:t>
            </w:r>
            <w:proofErr w:type="gramEnd"/>
            <w:r w:rsidRPr="009C1389">
              <w:rPr>
                <w:sz w:val="14"/>
                <w:szCs w:val="16"/>
                <w:lang w:val="es-PE"/>
              </w:rPr>
              <w:t xml:space="preserve"> Chincheros - Santa María de Chicmo</w:t>
            </w:r>
            <w:r w:rsidRPr="009C1389">
              <w:rPr>
                <w:sz w:val="14"/>
                <w:szCs w:val="16"/>
                <w:lang w:val="es-PE"/>
              </w:rPr>
              <w:br/>
              <w:t xml:space="preserve"> b) Finalización MPI Subtramo Santa María de Chicmo - Andahuaylas</w:t>
            </w:r>
            <w:r w:rsidRPr="009C1389">
              <w:rPr>
                <w:sz w:val="14"/>
                <w:szCs w:val="16"/>
                <w:lang w:val="es-PE"/>
              </w:rPr>
              <w:br/>
              <w:t xml:space="preserve"> c) Implementación de toda la cláusula 8.1</w:t>
            </w:r>
            <w:r w:rsidR="006102B6">
              <w:rPr>
                <w:sz w:val="14"/>
                <w:szCs w:val="16"/>
                <w:lang w:val="es-PE"/>
              </w:rPr>
              <w:t>3</w:t>
            </w:r>
          </w:p>
        </w:tc>
      </w:tr>
      <w:tr w:rsidR="004412F1" w:rsidRPr="009C1389" w14:paraId="4BB0A784" w14:textId="77777777" w:rsidTr="00982EDF">
        <w:trPr>
          <w:trHeight w:val="2729"/>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6E4E8DB0" w14:textId="77777777" w:rsidR="004412F1" w:rsidRPr="009C1389" w:rsidRDefault="005A12A3" w:rsidP="00487C71">
            <w:pPr>
              <w:jc w:val="both"/>
              <w:rPr>
                <w:sz w:val="14"/>
                <w:szCs w:val="16"/>
              </w:rPr>
            </w:pPr>
            <w:r w:rsidRPr="009C1389">
              <w:rPr>
                <w:b/>
                <w:sz w:val="14"/>
                <w:szCs w:val="16"/>
              </w:rPr>
              <w:t>Auquibamba</w:t>
            </w:r>
            <w:r w:rsidRPr="009C1389">
              <w:rPr>
                <w:b/>
                <w:sz w:val="14"/>
                <w:szCs w:val="16"/>
              </w:rPr>
              <w:br/>
              <w:t xml:space="preserve"> </w:t>
            </w:r>
            <w:r w:rsidRPr="009C1389">
              <w:rPr>
                <w:sz w:val="14"/>
                <w:szCs w:val="16"/>
              </w:rPr>
              <w:t>(Nueva)</w:t>
            </w:r>
          </w:p>
        </w:tc>
        <w:tc>
          <w:tcPr>
            <w:tcW w:w="2127"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569E7D0A" w14:textId="77777777" w:rsidR="004412F1" w:rsidRPr="009C1389" w:rsidRDefault="005A12A3" w:rsidP="00487C71">
            <w:pPr>
              <w:ind w:left="3500" w:hanging="360"/>
              <w:jc w:val="both"/>
              <w:rPr>
                <w:rFonts w:ascii="Calibri" w:hAnsi="Calibri"/>
                <w:sz w:val="14"/>
                <w:szCs w:val="16"/>
              </w:rPr>
            </w:pPr>
            <w:r w:rsidRPr="009C1389">
              <w:rPr>
                <w:color w:val="17365D"/>
                <w:sz w:val="14"/>
                <w:szCs w:val="16"/>
              </w:rPr>
              <w:t>·</w:t>
            </w:r>
            <w:r w:rsidRPr="009C1389">
              <w:rPr>
                <w:rFonts w:ascii="Times New Roman" w:eastAsia="Times New Roman" w:hAnsi="Times New Roman" w:cs="Times New Roman"/>
                <w:color w:val="17365D"/>
                <w:sz w:val="14"/>
                <w:szCs w:val="16"/>
              </w:rPr>
              <w:t xml:space="preserve">         </w:t>
            </w:r>
            <w:r w:rsidRPr="009C1389">
              <w:rPr>
                <w:rFonts w:ascii="Calibri" w:hAnsi="Calibri"/>
                <w:sz w:val="14"/>
                <w:szCs w:val="16"/>
              </w:rPr>
              <w:t xml:space="preserve">Andahuaylas - Dv. </w:t>
            </w:r>
            <w:r w:rsidRPr="009C1389">
              <w:rPr>
                <w:rFonts w:ascii="Calibri" w:eastAsia="Calibri" w:hAnsi="Calibri" w:cs="Calibri"/>
                <w:sz w:val="14"/>
                <w:szCs w:val="16"/>
              </w:rPr>
              <w:t>Kto</w:t>
            </w:r>
          </w:p>
        </w:tc>
        <w:tc>
          <w:tcPr>
            <w:tcW w:w="1052" w:type="dxa"/>
            <w:tcBorders>
              <w:top w:val="nil"/>
              <w:left w:val="nil"/>
              <w:bottom w:val="nil"/>
              <w:right w:val="nil"/>
            </w:tcBorders>
            <w:shd w:val="clear" w:color="auto" w:fill="D9D9D9"/>
            <w:tcMar>
              <w:top w:w="100" w:type="dxa"/>
              <w:left w:w="80" w:type="dxa"/>
              <w:bottom w:w="100" w:type="dxa"/>
              <w:right w:w="80" w:type="dxa"/>
            </w:tcMar>
            <w:vAlign w:val="bottom"/>
          </w:tcPr>
          <w:p w14:paraId="192FDC40" w14:textId="77777777" w:rsidR="004412F1" w:rsidRPr="009C1389" w:rsidRDefault="005A12A3" w:rsidP="00487C71">
            <w:pPr>
              <w:jc w:val="both"/>
              <w:rPr>
                <w:sz w:val="14"/>
                <w:szCs w:val="16"/>
              </w:rPr>
            </w:pPr>
            <w:r w:rsidRPr="009C1389">
              <w:rPr>
                <w:sz w:val="14"/>
                <w:szCs w:val="16"/>
              </w:rPr>
              <w:t xml:space="preserve"> </w:t>
            </w:r>
          </w:p>
        </w:tc>
        <w:tc>
          <w:tcPr>
            <w:tcW w:w="932" w:type="dxa"/>
            <w:tcBorders>
              <w:top w:val="nil"/>
              <w:left w:val="nil"/>
              <w:bottom w:val="nil"/>
              <w:right w:val="nil"/>
            </w:tcBorders>
            <w:shd w:val="clear" w:color="auto" w:fill="D9D9D9"/>
            <w:tcMar>
              <w:top w:w="100" w:type="dxa"/>
              <w:left w:w="80" w:type="dxa"/>
              <w:bottom w:w="100" w:type="dxa"/>
              <w:right w:w="80" w:type="dxa"/>
            </w:tcMar>
            <w:vAlign w:val="bottom"/>
          </w:tcPr>
          <w:p w14:paraId="5C214124" w14:textId="77777777" w:rsidR="004412F1" w:rsidRPr="009C1389" w:rsidRDefault="004412F1" w:rsidP="00487C71">
            <w:pPr>
              <w:jc w:val="both"/>
              <w:rPr>
                <w:sz w:val="14"/>
                <w:szCs w:val="16"/>
              </w:rPr>
            </w:pPr>
          </w:p>
        </w:tc>
        <w:tc>
          <w:tcPr>
            <w:tcW w:w="763" w:type="dxa"/>
            <w:tcBorders>
              <w:top w:val="nil"/>
              <w:left w:val="single" w:sz="6" w:space="0" w:color="000000"/>
              <w:bottom w:val="single" w:sz="6" w:space="0" w:color="000000"/>
              <w:right w:val="nil"/>
            </w:tcBorders>
            <w:shd w:val="clear" w:color="auto" w:fill="D9D9D9"/>
            <w:tcMar>
              <w:top w:w="100" w:type="dxa"/>
              <w:left w:w="80" w:type="dxa"/>
              <w:bottom w:w="100" w:type="dxa"/>
              <w:right w:w="80" w:type="dxa"/>
            </w:tcMar>
            <w:vAlign w:val="bottom"/>
          </w:tcPr>
          <w:p w14:paraId="02CCDD45" w14:textId="77777777" w:rsidR="004412F1" w:rsidRPr="009C1389" w:rsidRDefault="005A12A3" w:rsidP="00487C71">
            <w:pPr>
              <w:jc w:val="both"/>
              <w:rPr>
                <w:sz w:val="14"/>
                <w:szCs w:val="16"/>
              </w:rPr>
            </w:pPr>
            <w:r w:rsidRPr="009C1389">
              <w:rPr>
                <w:sz w:val="14"/>
                <w:szCs w:val="16"/>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085155B8" w14:textId="77777777" w:rsidR="004412F1" w:rsidRPr="009C1389" w:rsidRDefault="005A12A3" w:rsidP="00487C71">
            <w:pPr>
              <w:jc w:val="both"/>
              <w:rPr>
                <w:color w:val="FF0000"/>
                <w:sz w:val="14"/>
                <w:szCs w:val="16"/>
              </w:rPr>
            </w:pPr>
            <w:r w:rsidRPr="009C1389">
              <w:rPr>
                <w:color w:val="FF0000"/>
                <w:sz w:val="14"/>
                <w:szCs w:val="16"/>
              </w:rPr>
              <w:t xml:space="preserve"> </w:t>
            </w:r>
          </w:p>
        </w:tc>
        <w:tc>
          <w:tcPr>
            <w:tcW w:w="84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3352296C" w14:textId="77777777" w:rsidR="004412F1" w:rsidRPr="009C1389" w:rsidRDefault="005A12A3" w:rsidP="00487C71">
            <w:pPr>
              <w:jc w:val="both"/>
              <w:rPr>
                <w:b/>
                <w:sz w:val="14"/>
                <w:szCs w:val="16"/>
              </w:rPr>
            </w:pPr>
            <w:r w:rsidRPr="009C1389">
              <w:rPr>
                <w:b/>
                <w:sz w:val="14"/>
                <w:szCs w:val="16"/>
              </w:rPr>
              <w:t>US$ 1.50</w:t>
            </w:r>
          </w:p>
        </w:tc>
        <w:tc>
          <w:tcPr>
            <w:tcW w:w="1213"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720BD9D5" w14:textId="49804D4E" w:rsidR="004412F1" w:rsidRPr="009C1389" w:rsidRDefault="005A12A3" w:rsidP="00487C71">
            <w:pPr>
              <w:jc w:val="both"/>
              <w:rPr>
                <w:sz w:val="14"/>
                <w:szCs w:val="16"/>
                <w:lang w:val="es-PE"/>
              </w:rPr>
            </w:pPr>
            <w:r w:rsidRPr="009C1389">
              <w:rPr>
                <w:sz w:val="14"/>
                <w:szCs w:val="16"/>
                <w:lang w:val="es-PE"/>
              </w:rPr>
              <w:t xml:space="preserve">a) Entrega al Concesionario del </w:t>
            </w:r>
            <w:proofErr w:type="gramStart"/>
            <w:r w:rsidRPr="009C1389">
              <w:rPr>
                <w:sz w:val="14"/>
                <w:szCs w:val="16"/>
                <w:lang w:val="es-PE"/>
              </w:rPr>
              <w:t>Sub tramo</w:t>
            </w:r>
            <w:proofErr w:type="gramEnd"/>
            <w:r w:rsidRPr="009C1389">
              <w:rPr>
                <w:sz w:val="14"/>
                <w:szCs w:val="16"/>
                <w:lang w:val="es-PE"/>
              </w:rPr>
              <w:t xml:space="preserve"> Subtramo Dv. Kishuara – Dv. Sahuinto y Dv. Sahuinto - Puente Sahuinto</w:t>
            </w:r>
            <w:r w:rsidRPr="009C1389">
              <w:rPr>
                <w:sz w:val="14"/>
                <w:szCs w:val="16"/>
                <w:lang w:val="es-PE"/>
              </w:rPr>
              <w:br/>
              <w:t xml:space="preserve"> b) Finalización MPI Subtramo Andahuaylas - Dv. Kishuara</w:t>
            </w:r>
            <w:r w:rsidRPr="009C1389">
              <w:rPr>
                <w:sz w:val="14"/>
                <w:szCs w:val="16"/>
                <w:lang w:val="es-PE"/>
              </w:rPr>
              <w:br/>
              <w:t xml:space="preserve"> c) Implementación de toda la cláusula 8.1</w:t>
            </w:r>
            <w:r w:rsidR="006102B6">
              <w:rPr>
                <w:sz w:val="14"/>
                <w:szCs w:val="16"/>
                <w:lang w:val="es-PE"/>
              </w:rPr>
              <w:t>3</w:t>
            </w:r>
          </w:p>
        </w:tc>
      </w:tr>
      <w:tr w:rsidR="004412F1" w:rsidRPr="009C1389" w14:paraId="0610D14F" w14:textId="77777777" w:rsidTr="00487C71">
        <w:trPr>
          <w:trHeight w:val="1489"/>
        </w:trPr>
        <w:tc>
          <w:tcPr>
            <w:tcW w:w="1126" w:type="dxa"/>
            <w:tcBorders>
              <w:top w:val="nil"/>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5317612C" w14:textId="77777777" w:rsidR="004412F1" w:rsidRPr="009C1389" w:rsidRDefault="005A12A3" w:rsidP="009C1389">
            <w:pPr>
              <w:jc w:val="both"/>
              <w:rPr>
                <w:sz w:val="14"/>
                <w:szCs w:val="16"/>
              </w:rPr>
            </w:pPr>
            <w:r w:rsidRPr="009C1389">
              <w:rPr>
                <w:b/>
                <w:sz w:val="14"/>
                <w:szCs w:val="16"/>
              </w:rPr>
              <w:t>Pacra</w:t>
            </w:r>
            <w:r w:rsidRPr="009C1389">
              <w:rPr>
                <w:b/>
                <w:sz w:val="14"/>
                <w:szCs w:val="16"/>
              </w:rPr>
              <w:br/>
              <w:t xml:space="preserve"> </w:t>
            </w:r>
            <w:r w:rsidRPr="009C1389">
              <w:rPr>
                <w:sz w:val="14"/>
                <w:szCs w:val="16"/>
              </w:rPr>
              <w:t>(Existente)</w:t>
            </w:r>
          </w:p>
        </w:tc>
        <w:tc>
          <w:tcPr>
            <w:tcW w:w="2127"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42F7B63E" w14:textId="77777777" w:rsidR="004412F1" w:rsidRPr="009C1389" w:rsidRDefault="005A12A3" w:rsidP="009C1389">
            <w:pPr>
              <w:jc w:val="both"/>
              <w:rPr>
                <w:sz w:val="14"/>
                <w:szCs w:val="16"/>
              </w:rPr>
            </w:pPr>
            <w:r w:rsidRPr="009C1389">
              <w:rPr>
                <w:sz w:val="14"/>
                <w:szCs w:val="16"/>
              </w:rPr>
              <w:t>San Clemente - Puente Choclococha</w:t>
            </w:r>
          </w:p>
        </w:tc>
        <w:tc>
          <w:tcPr>
            <w:tcW w:w="105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34173986" w14:textId="77777777" w:rsidR="004412F1" w:rsidRPr="009C1389" w:rsidRDefault="005A12A3" w:rsidP="009C1389">
            <w:pPr>
              <w:jc w:val="both"/>
              <w:rPr>
                <w:sz w:val="14"/>
                <w:szCs w:val="16"/>
              </w:rPr>
            </w:pPr>
            <w:r w:rsidRPr="009C1389">
              <w:rPr>
                <w:b/>
                <w:sz w:val="14"/>
                <w:szCs w:val="16"/>
              </w:rPr>
              <w:t xml:space="preserve">Peaje vigente </w:t>
            </w:r>
            <w:r w:rsidRPr="009C1389">
              <w:rPr>
                <w:sz w:val="14"/>
                <w:szCs w:val="16"/>
              </w:rPr>
              <w:t>+ IGV</w:t>
            </w:r>
          </w:p>
        </w:tc>
        <w:tc>
          <w:tcPr>
            <w:tcW w:w="93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7A068AB7" w14:textId="5C959CC9" w:rsidR="004412F1" w:rsidRPr="009C1389" w:rsidRDefault="005A12A3" w:rsidP="009C1389">
            <w:pPr>
              <w:jc w:val="both"/>
              <w:rPr>
                <w:sz w:val="14"/>
                <w:szCs w:val="16"/>
                <w:lang w:val="es-PE"/>
              </w:rPr>
            </w:pPr>
            <w:r w:rsidRPr="009C1389">
              <w:rPr>
                <w:sz w:val="14"/>
                <w:szCs w:val="16"/>
                <w:lang w:val="es-PE"/>
              </w:rPr>
              <w:t>Implementación parcial de cláusula 8.1</w:t>
            </w:r>
            <w:r w:rsidR="006102B6">
              <w:rPr>
                <w:sz w:val="14"/>
                <w:szCs w:val="16"/>
                <w:lang w:val="es-PE"/>
              </w:rPr>
              <w:t>3</w:t>
            </w:r>
            <w:r w:rsidRPr="009C1389">
              <w:rPr>
                <w:sz w:val="14"/>
                <w:szCs w:val="16"/>
                <w:lang w:val="es-PE"/>
              </w:rPr>
              <w:t>: Serv mecánico/Ambulancia</w:t>
            </w:r>
          </w:p>
        </w:tc>
        <w:tc>
          <w:tcPr>
            <w:tcW w:w="763"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680481CB" w14:textId="77777777" w:rsidR="004412F1" w:rsidRPr="009C1389" w:rsidRDefault="005A12A3" w:rsidP="009C1389">
            <w:pPr>
              <w:jc w:val="both"/>
              <w:rPr>
                <w:sz w:val="14"/>
                <w:szCs w:val="16"/>
                <w:lang w:val="es-PE"/>
              </w:rPr>
            </w:pPr>
            <w:r w:rsidRPr="009C1389">
              <w:rPr>
                <w:sz w:val="14"/>
                <w:szCs w:val="16"/>
                <w:lang w:val="es-PE"/>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0FF43791" w14:textId="77777777" w:rsidR="004412F1" w:rsidRPr="009C1389" w:rsidRDefault="005A12A3" w:rsidP="009C1389">
            <w:pPr>
              <w:jc w:val="both"/>
              <w:rPr>
                <w:sz w:val="14"/>
                <w:szCs w:val="16"/>
                <w:lang w:val="es-PE"/>
              </w:rPr>
            </w:pPr>
            <w:r w:rsidRPr="009C1389">
              <w:rPr>
                <w:sz w:val="14"/>
                <w:szCs w:val="16"/>
                <w:lang w:val="es-PE"/>
              </w:rPr>
              <w:t xml:space="preserve"> </w:t>
            </w:r>
          </w:p>
        </w:tc>
        <w:tc>
          <w:tcPr>
            <w:tcW w:w="842"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tcPr>
          <w:p w14:paraId="270481F4" w14:textId="77777777" w:rsidR="004412F1" w:rsidRPr="009C1389" w:rsidRDefault="005A12A3" w:rsidP="009C1389">
            <w:pPr>
              <w:jc w:val="both"/>
              <w:rPr>
                <w:b/>
                <w:sz w:val="14"/>
                <w:szCs w:val="16"/>
              </w:rPr>
            </w:pPr>
            <w:r w:rsidRPr="009C1389">
              <w:rPr>
                <w:b/>
                <w:sz w:val="14"/>
                <w:szCs w:val="16"/>
              </w:rPr>
              <w:t>US$ 1.50</w:t>
            </w:r>
          </w:p>
        </w:tc>
        <w:tc>
          <w:tcPr>
            <w:tcW w:w="1213" w:type="dxa"/>
            <w:tcBorders>
              <w:top w:val="nil"/>
              <w:left w:val="nil"/>
              <w:bottom w:val="single" w:sz="6" w:space="0" w:color="000000"/>
              <w:right w:val="single" w:sz="6" w:space="0" w:color="000000"/>
            </w:tcBorders>
            <w:shd w:val="clear" w:color="auto" w:fill="FFFFFF"/>
            <w:tcMar>
              <w:top w:w="100" w:type="dxa"/>
              <w:left w:w="80" w:type="dxa"/>
              <w:bottom w:w="100" w:type="dxa"/>
              <w:right w:w="80" w:type="dxa"/>
            </w:tcMar>
            <w:vAlign w:val="bottom"/>
          </w:tcPr>
          <w:p w14:paraId="72FA4408" w14:textId="78B04B49" w:rsidR="004412F1" w:rsidRPr="009C1389" w:rsidRDefault="005A12A3" w:rsidP="009C1389">
            <w:pPr>
              <w:jc w:val="both"/>
              <w:rPr>
                <w:sz w:val="14"/>
                <w:szCs w:val="16"/>
                <w:lang w:val="es-PE"/>
              </w:rPr>
            </w:pPr>
            <w:r w:rsidRPr="009C1389">
              <w:rPr>
                <w:sz w:val="14"/>
                <w:szCs w:val="16"/>
                <w:lang w:val="es-PE"/>
              </w:rPr>
              <w:t>a) Finalización MPI Subtramo San Clemente - Puente Choclococha</w:t>
            </w:r>
            <w:r w:rsidRPr="009C1389">
              <w:rPr>
                <w:sz w:val="14"/>
                <w:szCs w:val="16"/>
                <w:lang w:val="es-PE"/>
              </w:rPr>
              <w:br/>
              <w:t xml:space="preserve"> b) Implementación de toda la cláusula 8.1</w:t>
            </w:r>
            <w:r w:rsidR="006102B6">
              <w:rPr>
                <w:sz w:val="14"/>
                <w:szCs w:val="16"/>
                <w:lang w:val="es-PE"/>
              </w:rPr>
              <w:t>3</w:t>
            </w:r>
          </w:p>
        </w:tc>
      </w:tr>
      <w:tr w:rsidR="004412F1" w:rsidRPr="009C1389" w14:paraId="69F53EDF" w14:textId="77777777" w:rsidTr="00982EDF">
        <w:trPr>
          <w:trHeight w:val="1670"/>
        </w:trPr>
        <w:tc>
          <w:tcPr>
            <w:tcW w:w="1126" w:type="dxa"/>
            <w:tcBorders>
              <w:top w:val="nil"/>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4E3A747A" w14:textId="77777777" w:rsidR="004412F1" w:rsidRPr="009C1389" w:rsidRDefault="005A12A3" w:rsidP="009C1389">
            <w:pPr>
              <w:jc w:val="both"/>
              <w:rPr>
                <w:sz w:val="14"/>
                <w:szCs w:val="16"/>
              </w:rPr>
            </w:pPr>
            <w:r w:rsidRPr="009C1389">
              <w:rPr>
                <w:b/>
                <w:sz w:val="14"/>
                <w:szCs w:val="16"/>
              </w:rPr>
              <w:t>Rumichaca</w:t>
            </w:r>
            <w:r w:rsidRPr="009C1389">
              <w:rPr>
                <w:b/>
                <w:sz w:val="14"/>
                <w:szCs w:val="16"/>
              </w:rPr>
              <w:br/>
            </w:r>
            <w:r w:rsidRPr="009C1389">
              <w:rPr>
                <w:sz w:val="14"/>
                <w:szCs w:val="16"/>
              </w:rPr>
              <w:t xml:space="preserve"> (Existente)</w:t>
            </w:r>
          </w:p>
        </w:tc>
        <w:tc>
          <w:tcPr>
            <w:tcW w:w="2127" w:type="dxa"/>
            <w:tcBorders>
              <w:top w:val="nil"/>
              <w:left w:val="nil"/>
              <w:bottom w:val="nil"/>
              <w:right w:val="single" w:sz="6" w:space="0" w:color="000000"/>
            </w:tcBorders>
            <w:shd w:val="clear" w:color="auto" w:fill="FFFFFF"/>
            <w:tcMar>
              <w:top w:w="100" w:type="dxa"/>
              <w:left w:w="80" w:type="dxa"/>
              <w:bottom w:w="100" w:type="dxa"/>
              <w:right w:w="80" w:type="dxa"/>
            </w:tcMar>
          </w:tcPr>
          <w:p w14:paraId="33934FAD" w14:textId="77777777" w:rsidR="004412F1" w:rsidRPr="009C1389" w:rsidRDefault="005A12A3" w:rsidP="009C1389">
            <w:pPr>
              <w:ind w:left="60"/>
              <w:jc w:val="both"/>
              <w:rPr>
                <w:sz w:val="14"/>
                <w:szCs w:val="16"/>
              </w:rPr>
            </w:pPr>
            <w:r w:rsidRPr="009C1389">
              <w:rPr>
                <w:sz w:val="14"/>
                <w:szCs w:val="16"/>
              </w:rPr>
              <w:t>Puente Choclococha-Ayacucho</w:t>
            </w:r>
          </w:p>
        </w:tc>
        <w:tc>
          <w:tcPr>
            <w:tcW w:w="1052" w:type="dxa"/>
            <w:tcBorders>
              <w:top w:val="nil"/>
              <w:left w:val="nil"/>
              <w:bottom w:val="nil"/>
              <w:right w:val="single" w:sz="6" w:space="0" w:color="000000"/>
            </w:tcBorders>
            <w:shd w:val="clear" w:color="auto" w:fill="FFFFFF"/>
            <w:tcMar>
              <w:top w:w="100" w:type="dxa"/>
              <w:left w:w="80" w:type="dxa"/>
              <w:bottom w:w="100" w:type="dxa"/>
              <w:right w:w="80" w:type="dxa"/>
            </w:tcMar>
          </w:tcPr>
          <w:p w14:paraId="35647425" w14:textId="77777777" w:rsidR="004412F1" w:rsidRPr="009C1389" w:rsidRDefault="005A12A3" w:rsidP="009C1389">
            <w:pPr>
              <w:jc w:val="both"/>
              <w:rPr>
                <w:sz w:val="14"/>
                <w:szCs w:val="16"/>
              </w:rPr>
            </w:pPr>
            <w:r w:rsidRPr="009C1389">
              <w:rPr>
                <w:b/>
                <w:sz w:val="14"/>
                <w:szCs w:val="16"/>
              </w:rPr>
              <w:t>Peaje vigente</w:t>
            </w:r>
            <w:r w:rsidRPr="009C1389">
              <w:rPr>
                <w:sz w:val="14"/>
                <w:szCs w:val="16"/>
              </w:rPr>
              <w:t xml:space="preserve"> + IGV</w:t>
            </w:r>
          </w:p>
        </w:tc>
        <w:tc>
          <w:tcPr>
            <w:tcW w:w="932" w:type="dxa"/>
            <w:tcBorders>
              <w:top w:val="nil"/>
              <w:left w:val="nil"/>
              <w:bottom w:val="nil"/>
              <w:right w:val="single" w:sz="6" w:space="0" w:color="000000"/>
            </w:tcBorders>
            <w:shd w:val="clear" w:color="auto" w:fill="FFFFFF"/>
            <w:tcMar>
              <w:top w:w="100" w:type="dxa"/>
              <w:left w:w="80" w:type="dxa"/>
              <w:bottom w:w="100" w:type="dxa"/>
              <w:right w:w="80" w:type="dxa"/>
            </w:tcMar>
          </w:tcPr>
          <w:p w14:paraId="69C8702D" w14:textId="680BD1C0" w:rsidR="004412F1" w:rsidRPr="009C1389" w:rsidRDefault="005A12A3" w:rsidP="009C1389">
            <w:pPr>
              <w:ind w:left="-60"/>
              <w:jc w:val="both"/>
              <w:rPr>
                <w:sz w:val="14"/>
                <w:szCs w:val="16"/>
                <w:lang w:val="es-PE"/>
              </w:rPr>
            </w:pPr>
            <w:r w:rsidRPr="009C1389">
              <w:rPr>
                <w:sz w:val="14"/>
                <w:szCs w:val="16"/>
                <w:lang w:val="es-PE"/>
              </w:rPr>
              <w:t>Implementación parcial de cláusula 8.1</w:t>
            </w:r>
            <w:r w:rsidR="006102B6">
              <w:rPr>
                <w:sz w:val="14"/>
                <w:szCs w:val="16"/>
                <w:lang w:val="es-PE"/>
              </w:rPr>
              <w:t>3</w:t>
            </w:r>
            <w:r w:rsidRPr="009C1389">
              <w:rPr>
                <w:sz w:val="14"/>
                <w:szCs w:val="16"/>
                <w:lang w:val="es-PE"/>
              </w:rPr>
              <w:t>: Serv mecánico/Ambulancia</w:t>
            </w:r>
          </w:p>
        </w:tc>
        <w:tc>
          <w:tcPr>
            <w:tcW w:w="763"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49846C27" w14:textId="77777777" w:rsidR="004412F1" w:rsidRPr="009C1389" w:rsidRDefault="005A12A3" w:rsidP="009C1389">
            <w:pPr>
              <w:jc w:val="both"/>
              <w:rPr>
                <w:sz w:val="14"/>
                <w:szCs w:val="16"/>
                <w:lang w:val="es-PE"/>
              </w:rPr>
            </w:pPr>
            <w:r w:rsidRPr="009C1389">
              <w:rPr>
                <w:sz w:val="14"/>
                <w:szCs w:val="16"/>
                <w:lang w:val="es-PE"/>
              </w:rPr>
              <w:t xml:space="preserve"> </w:t>
            </w:r>
          </w:p>
        </w:tc>
        <w:tc>
          <w:tcPr>
            <w:tcW w:w="1230" w:type="dxa"/>
            <w:tcBorders>
              <w:top w:val="nil"/>
              <w:left w:val="nil"/>
              <w:bottom w:val="single" w:sz="6" w:space="0" w:color="000000"/>
              <w:right w:val="single" w:sz="6" w:space="0" w:color="000000"/>
            </w:tcBorders>
            <w:shd w:val="clear" w:color="auto" w:fill="D9D9D9"/>
            <w:tcMar>
              <w:top w:w="100" w:type="dxa"/>
              <w:left w:w="80" w:type="dxa"/>
              <w:bottom w:w="100" w:type="dxa"/>
              <w:right w:w="80" w:type="dxa"/>
            </w:tcMar>
            <w:vAlign w:val="bottom"/>
          </w:tcPr>
          <w:p w14:paraId="7835ED08" w14:textId="77777777" w:rsidR="004412F1" w:rsidRPr="009C1389" w:rsidRDefault="005A12A3" w:rsidP="009C1389">
            <w:pPr>
              <w:jc w:val="both"/>
              <w:rPr>
                <w:sz w:val="14"/>
                <w:szCs w:val="16"/>
                <w:lang w:val="es-PE"/>
              </w:rPr>
            </w:pPr>
            <w:r w:rsidRPr="009C1389">
              <w:rPr>
                <w:sz w:val="14"/>
                <w:szCs w:val="16"/>
                <w:lang w:val="es-PE"/>
              </w:rPr>
              <w:t xml:space="preserve"> </w:t>
            </w:r>
          </w:p>
        </w:tc>
        <w:tc>
          <w:tcPr>
            <w:tcW w:w="842" w:type="dxa"/>
            <w:tcBorders>
              <w:top w:val="nil"/>
              <w:left w:val="nil"/>
              <w:bottom w:val="nil"/>
              <w:right w:val="single" w:sz="6" w:space="0" w:color="000000"/>
            </w:tcBorders>
            <w:shd w:val="clear" w:color="auto" w:fill="auto"/>
            <w:tcMar>
              <w:top w:w="100" w:type="dxa"/>
              <w:left w:w="80" w:type="dxa"/>
              <w:bottom w:w="100" w:type="dxa"/>
              <w:right w:w="80" w:type="dxa"/>
            </w:tcMar>
          </w:tcPr>
          <w:p w14:paraId="47D33614" w14:textId="77777777" w:rsidR="004412F1" w:rsidRPr="009C1389" w:rsidRDefault="005A12A3" w:rsidP="009C1389">
            <w:pPr>
              <w:jc w:val="both"/>
              <w:rPr>
                <w:b/>
                <w:sz w:val="14"/>
                <w:szCs w:val="16"/>
              </w:rPr>
            </w:pPr>
            <w:r w:rsidRPr="009C1389">
              <w:rPr>
                <w:b/>
                <w:sz w:val="14"/>
                <w:szCs w:val="16"/>
              </w:rPr>
              <w:t>US$ 1.50</w:t>
            </w:r>
          </w:p>
        </w:tc>
        <w:tc>
          <w:tcPr>
            <w:tcW w:w="1213" w:type="dxa"/>
            <w:tcBorders>
              <w:top w:val="nil"/>
              <w:left w:val="nil"/>
              <w:bottom w:val="nil"/>
              <w:right w:val="single" w:sz="6" w:space="0" w:color="000000"/>
            </w:tcBorders>
            <w:shd w:val="clear" w:color="auto" w:fill="FFFFFF"/>
            <w:tcMar>
              <w:top w:w="100" w:type="dxa"/>
              <w:left w:w="80" w:type="dxa"/>
              <w:bottom w:w="100" w:type="dxa"/>
              <w:right w:w="80" w:type="dxa"/>
            </w:tcMar>
          </w:tcPr>
          <w:p w14:paraId="0CCE85F2" w14:textId="03BD6882" w:rsidR="004412F1" w:rsidRPr="009C1389" w:rsidRDefault="005A12A3" w:rsidP="009C1389">
            <w:pPr>
              <w:jc w:val="both"/>
              <w:rPr>
                <w:sz w:val="14"/>
                <w:szCs w:val="16"/>
                <w:lang w:val="es-PE"/>
              </w:rPr>
            </w:pPr>
            <w:r w:rsidRPr="009C1389">
              <w:rPr>
                <w:sz w:val="14"/>
                <w:szCs w:val="16"/>
                <w:lang w:val="es-PE"/>
              </w:rPr>
              <w:t>a) Finalización MPI Subtramo Puente Choclococha - Ayacucho (83.261 Kms)</w:t>
            </w:r>
            <w:r w:rsidRPr="009C1389">
              <w:rPr>
                <w:sz w:val="14"/>
                <w:szCs w:val="16"/>
                <w:lang w:val="es-PE"/>
              </w:rPr>
              <w:br/>
              <w:t xml:space="preserve"> b) Implementación de toda la cláusula 8.1</w:t>
            </w:r>
            <w:r w:rsidR="006102B6">
              <w:rPr>
                <w:sz w:val="14"/>
                <w:szCs w:val="16"/>
                <w:lang w:val="es-PE"/>
              </w:rPr>
              <w:t>3</w:t>
            </w:r>
          </w:p>
        </w:tc>
      </w:tr>
      <w:tr w:rsidR="004412F1" w:rsidRPr="009C1389" w14:paraId="3443598E" w14:textId="77777777" w:rsidTr="00487C71">
        <w:trPr>
          <w:trHeight w:val="1773"/>
        </w:trPr>
        <w:tc>
          <w:tcPr>
            <w:tcW w:w="1126" w:type="dxa"/>
            <w:tcBorders>
              <w:top w:val="nil"/>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0079E66E" w14:textId="77777777" w:rsidR="004412F1" w:rsidRPr="009C1389" w:rsidRDefault="005A12A3" w:rsidP="009C1389">
            <w:pPr>
              <w:jc w:val="both"/>
              <w:rPr>
                <w:sz w:val="14"/>
                <w:szCs w:val="16"/>
              </w:rPr>
            </w:pPr>
            <w:r w:rsidRPr="009C1389">
              <w:rPr>
                <w:b/>
                <w:sz w:val="14"/>
                <w:szCs w:val="16"/>
              </w:rPr>
              <w:t>Socos</w:t>
            </w:r>
            <w:r w:rsidRPr="009C1389">
              <w:rPr>
                <w:b/>
                <w:sz w:val="14"/>
                <w:szCs w:val="16"/>
              </w:rPr>
              <w:br/>
            </w:r>
            <w:r w:rsidRPr="009C1389">
              <w:rPr>
                <w:sz w:val="14"/>
                <w:szCs w:val="16"/>
              </w:rPr>
              <w:t xml:space="preserve"> (Existente)</w:t>
            </w:r>
          </w:p>
        </w:tc>
        <w:tc>
          <w:tcPr>
            <w:tcW w:w="2127"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5F89AF46" w14:textId="77777777" w:rsidR="004412F1" w:rsidRPr="009C1389" w:rsidRDefault="005A12A3" w:rsidP="009C1389">
            <w:pPr>
              <w:jc w:val="both"/>
              <w:rPr>
                <w:sz w:val="14"/>
                <w:szCs w:val="16"/>
              </w:rPr>
            </w:pPr>
            <w:r w:rsidRPr="009C1389">
              <w:rPr>
                <w:sz w:val="14"/>
                <w:szCs w:val="16"/>
              </w:rPr>
              <w:t>Puente Choclococha - Ayacucho</w:t>
            </w:r>
          </w:p>
        </w:tc>
        <w:tc>
          <w:tcPr>
            <w:tcW w:w="105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4015FBCE" w14:textId="77777777" w:rsidR="004412F1" w:rsidRPr="009C1389" w:rsidRDefault="005A12A3" w:rsidP="009C1389">
            <w:pPr>
              <w:jc w:val="both"/>
              <w:rPr>
                <w:sz w:val="14"/>
                <w:szCs w:val="16"/>
              </w:rPr>
            </w:pPr>
            <w:r w:rsidRPr="009C1389">
              <w:rPr>
                <w:b/>
                <w:sz w:val="14"/>
                <w:szCs w:val="16"/>
              </w:rPr>
              <w:t>Peaje vigente</w:t>
            </w:r>
            <w:r w:rsidRPr="009C1389">
              <w:rPr>
                <w:sz w:val="14"/>
                <w:szCs w:val="16"/>
              </w:rPr>
              <w:t xml:space="preserve"> + IGV</w:t>
            </w:r>
          </w:p>
        </w:tc>
        <w:tc>
          <w:tcPr>
            <w:tcW w:w="932"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2669D7F1" w14:textId="1C810E2A" w:rsidR="004412F1" w:rsidRPr="009C1389" w:rsidRDefault="005A12A3" w:rsidP="009C1389">
            <w:pPr>
              <w:jc w:val="both"/>
              <w:rPr>
                <w:sz w:val="14"/>
                <w:szCs w:val="16"/>
                <w:lang w:val="es-PE"/>
              </w:rPr>
            </w:pPr>
            <w:r w:rsidRPr="009C1389">
              <w:rPr>
                <w:sz w:val="14"/>
                <w:szCs w:val="16"/>
                <w:lang w:val="es-PE"/>
              </w:rPr>
              <w:t>Implementación parcial de cláusula 8.1</w:t>
            </w:r>
            <w:r w:rsidR="006102B6">
              <w:rPr>
                <w:sz w:val="14"/>
                <w:szCs w:val="16"/>
                <w:lang w:val="es-PE"/>
              </w:rPr>
              <w:t>3</w:t>
            </w:r>
            <w:r w:rsidRPr="009C1389">
              <w:rPr>
                <w:sz w:val="14"/>
                <w:szCs w:val="16"/>
                <w:lang w:val="es-PE"/>
              </w:rPr>
              <w:t>: Serv mecánico/Ambulancia</w:t>
            </w:r>
          </w:p>
        </w:tc>
        <w:tc>
          <w:tcPr>
            <w:tcW w:w="763"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458E04AE" w14:textId="77777777" w:rsidR="004412F1" w:rsidRPr="009C1389" w:rsidRDefault="005A12A3" w:rsidP="009C1389">
            <w:pPr>
              <w:jc w:val="both"/>
              <w:rPr>
                <w:sz w:val="14"/>
                <w:szCs w:val="16"/>
                <w:lang w:val="es-PE"/>
              </w:rPr>
            </w:pPr>
            <w:r w:rsidRPr="009C1389">
              <w:rPr>
                <w:sz w:val="14"/>
                <w:szCs w:val="16"/>
                <w:lang w:val="es-PE"/>
              </w:rPr>
              <w:t xml:space="preserve"> </w:t>
            </w:r>
          </w:p>
        </w:tc>
        <w:tc>
          <w:tcPr>
            <w:tcW w:w="1230" w:type="dxa"/>
            <w:tcBorders>
              <w:top w:val="nil"/>
              <w:left w:val="nil"/>
              <w:bottom w:val="single" w:sz="6" w:space="0" w:color="000000"/>
              <w:right w:val="nil"/>
            </w:tcBorders>
            <w:shd w:val="clear" w:color="auto" w:fill="D9D9D9"/>
            <w:tcMar>
              <w:top w:w="100" w:type="dxa"/>
              <w:left w:w="80" w:type="dxa"/>
              <w:bottom w:w="100" w:type="dxa"/>
              <w:right w:w="80" w:type="dxa"/>
            </w:tcMar>
            <w:vAlign w:val="bottom"/>
          </w:tcPr>
          <w:p w14:paraId="74564FAA" w14:textId="77777777" w:rsidR="004412F1" w:rsidRPr="009C1389" w:rsidRDefault="005A12A3" w:rsidP="009C1389">
            <w:pPr>
              <w:jc w:val="both"/>
              <w:rPr>
                <w:sz w:val="14"/>
                <w:szCs w:val="16"/>
                <w:lang w:val="es-PE"/>
              </w:rPr>
            </w:pPr>
            <w:r w:rsidRPr="009C1389">
              <w:rPr>
                <w:sz w:val="14"/>
                <w:szCs w:val="16"/>
                <w:lang w:val="es-PE"/>
              </w:rPr>
              <w:t xml:space="preserve"> </w:t>
            </w:r>
          </w:p>
        </w:tc>
        <w:tc>
          <w:tcPr>
            <w:tcW w:w="84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80" w:type="dxa"/>
              <w:bottom w:w="100" w:type="dxa"/>
              <w:right w:w="80" w:type="dxa"/>
            </w:tcMar>
          </w:tcPr>
          <w:p w14:paraId="2E3B1F66" w14:textId="77777777" w:rsidR="004412F1" w:rsidRPr="009C1389" w:rsidRDefault="005A12A3" w:rsidP="009C1389">
            <w:pPr>
              <w:jc w:val="both"/>
              <w:rPr>
                <w:b/>
                <w:sz w:val="14"/>
                <w:szCs w:val="16"/>
              </w:rPr>
            </w:pPr>
            <w:r w:rsidRPr="009C1389">
              <w:rPr>
                <w:b/>
                <w:sz w:val="14"/>
                <w:szCs w:val="16"/>
              </w:rPr>
              <w:t>US$ 1.50</w:t>
            </w:r>
          </w:p>
        </w:tc>
        <w:tc>
          <w:tcPr>
            <w:tcW w:w="1213" w:type="dxa"/>
            <w:tcBorders>
              <w:top w:val="single" w:sz="6" w:space="0" w:color="000000"/>
              <w:left w:val="nil"/>
              <w:bottom w:val="single" w:sz="6" w:space="0" w:color="000000"/>
              <w:right w:val="single" w:sz="6" w:space="0" w:color="000000"/>
            </w:tcBorders>
            <w:shd w:val="clear" w:color="auto" w:fill="FFFFFF"/>
            <w:tcMar>
              <w:top w:w="100" w:type="dxa"/>
              <w:left w:w="80" w:type="dxa"/>
              <w:bottom w:w="100" w:type="dxa"/>
              <w:right w:w="80" w:type="dxa"/>
            </w:tcMar>
          </w:tcPr>
          <w:p w14:paraId="2D306299" w14:textId="6121D74A" w:rsidR="004412F1" w:rsidRPr="009C1389" w:rsidRDefault="005A12A3" w:rsidP="009C1389">
            <w:pPr>
              <w:jc w:val="both"/>
              <w:rPr>
                <w:sz w:val="14"/>
                <w:szCs w:val="16"/>
                <w:lang w:val="es-PE"/>
              </w:rPr>
            </w:pPr>
            <w:r w:rsidRPr="009C1389">
              <w:rPr>
                <w:sz w:val="14"/>
                <w:szCs w:val="16"/>
                <w:lang w:val="es-PE"/>
              </w:rPr>
              <w:t>a) Finalización MPI Subtramo Puente Choclococha - Ayacucho (88.805 kms)</w:t>
            </w:r>
            <w:r w:rsidRPr="009C1389">
              <w:rPr>
                <w:sz w:val="14"/>
                <w:szCs w:val="16"/>
                <w:lang w:val="es-PE"/>
              </w:rPr>
              <w:br/>
              <w:t xml:space="preserve"> b) Implementación de toda la cláusula 8.1</w:t>
            </w:r>
            <w:r w:rsidR="006102B6">
              <w:rPr>
                <w:sz w:val="14"/>
                <w:szCs w:val="16"/>
                <w:lang w:val="es-PE"/>
              </w:rPr>
              <w:t>3</w:t>
            </w:r>
          </w:p>
        </w:tc>
      </w:tr>
    </w:tbl>
    <w:p w14:paraId="16CF6B7D" w14:textId="77777777" w:rsidR="004412F1" w:rsidRPr="009C1389" w:rsidRDefault="004412F1" w:rsidP="009C1389">
      <w:pPr>
        <w:jc w:val="both"/>
        <w:rPr>
          <w:sz w:val="20"/>
          <w:szCs w:val="20"/>
          <w:lang w:val="es-PE"/>
        </w:rPr>
      </w:pPr>
    </w:p>
    <w:p w14:paraId="2E5B5827" w14:textId="77777777" w:rsidR="004412F1" w:rsidRPr="009C1389" w:rsidRDefault="004412F1" w:rsidP="009C1389">
      <w:pPr>
        <w:rPr>
          <w:sz w:val="20"/>
          <w:szCs w:val="20"/>
          <w:lang w:val="es-PE"/>
        </w:rPr>
      </w:pPr>
    </w:p>
    <w:p w14:paraId="01519D6C" w14:textId="77777777" w:rsidR="004412F1" w:rsidRPr="009C1389" w:rsidRDefault="004412F1" w:rsidP="009C1389">
      <w:pPr>
        <w:rPr>
          <w:sz w:val="20"/>
          <w:szCs w:val="20"/>
          <w:lang w:val="es-PE"/>
        </w:rPr>
      </w:pPr>
    </w:p>
    <w:p w14:paraId="3310F620" w14:textId="77777777" w:rsidR="004412F1" w:rsidRPr="009C1389" w:rsidRDefault="004412F1" w:rsidP="009C1389">
      <w:pPr>
        <w:rPr>
          <w:sz w:val="20"/>
          <w:szCs w:val="20"/>
          <w:lang w:val="es-PE"/>
        </w:rPr>
      </w:pPr>
    </w:p>
    <w:p w14:paraId="2CBF04D1" w14:textId="77777777" w:rsidR="004412F1" w:rsidRPr="009C1389" w:rsidRDefault="004412F1" w:rsidP="009C1389">
      <w:pPr>
        <w:rPr>
          <w:sz w:val="20"/>
          <w:szCs w:val="20"/>
          <w:lang w:val="es-PE"/>
        </w:rPr>
      </w:pPr>
    </w:p>
    <w:p w14:paraId="37288714" w14:textId="77777777" w:rsidR="004412F1" w:rsidRPr="009C1389" w:rsidRDefault="004412F1" w:rsidP="009C1389">
      <w:pPr>
        <w:rPr>
          <w:sz w:val="20"/>
          <w:szCs w:val="20"/>
          <w:lang w:val="es-PE"/>
        </w:rPr>
      </w:pPr>
    </w:p>
    <w:p w14:paraId="28D2CE7D" w14:textId="77777777" w:rsidR="004412F1" w:rsidRPr="009C1389" w:rsidRDefault="004412F1" w:rsidP="009C1389">
      <w:pPr>
        <w:rPr>
          <w:sz w:val="20"/>
          <w:szCs w:val="20"/>
          <w:lang w:val="es-PE"/>
        </w:rPr>
      </w:pPr>
    </w:p>
    <w:p w14:paraId="3A4866D4" w14:textId="77777777" w:rsidR="004412F1" w:rsidRPr="009C1389" w:rsidRDefault="004412F1" w:rsidP="009C1389">
      <w:pPr>
        <w:jc w:val="both"/>
        <w:rPr>
          <w:sz w:val="20"/>
          <w:szCs w:val="20"/>
          <w:lang w:val="es-PE"/>
        </w:rPr>
      </w:pPr>
    </w:p>
    <w:sectPr w:rsidR="004412F1" w:rsidRPr="009C1389">
      <w:headerReference w:type="default" r:id="rId38"/>
      <w:footerReference w:type="even" r:id="rId39"/>
      <w:footerReference w:type="default" r:id="rId40"/>
      <w:headerReference w:type="first" r:id="rId41"/>
      <w:footerReference w:type="first" r:id="rId42"/>
      <w:pgSz w:w="11907" w:h="16840"/>
      <w:pgMar w:top="1418" w:right="1701" w:bottom="1418"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5CFC" w14:textId="77777777" w:rsidR="00640CEA" w:rsidRDefault="00640CEA">
      <w:r>
        <w:separator/>
      </w:r>
    </w:p>
  </w:endnote>
  <w:endnote w:type="continuationSeparator" w:id="0">
    <w:p w14:paraId="54BC7EDB" w14:textId="77777777" w:rsidR="00640CEA" w:rsidRDefault="00640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auto"/>
    <w:pitch w:val="default"/>
    <w:sig w:usb0="00000000" w:usb1="00000000" w:usb2="00000012" w:usb3="00000000" w:csb0="0002000D"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umanst521 BT">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AALAJ+TimesNewRoman">
    <w:charset w:val="00"/>
    <w:family w:val="roman"/>
    <w:pitch w:val="default"/>
    <w:sig w:usb0="00000000" w:usb1="00000000" w:usb2="00000000" w:usb3="00000000" w:csb0="00000001" w:csb1="00000000"/>
  </w:font>
  <w:font w:name="Arial Unicode MS">
    <w:altName w:val="Yu Gothic"/>
    <w:panose1 w:val="020B0604020202020204"/>
    <w:charset w:val="80"/>
    <w:family w:val="swiss"/>
    <w:pitch w:val="default"/>
    <w:sig w:usb0="00000000" w:usb1="00000000"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default"/>
    <w:sig w:usb0="00000000" w:usb1="00000000"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vantGarde Bk BT">
    <w:altName w:val="Calibri"/>
    <w:charset w:val="00"/>
    <w:family w:val="swiss"/>
    <w:pitch w:val="default"/>
    <w:sig w:usb0="00000000" w:usb1="00000000" w:usb2="00000000" w:usb3="00000000" w:csb0="00000011" w:csb1="00000000"/>
  </w:font>
  <w:font w:name="MS Sans Serif">
    <w:charset w:val="4D"/>
    <w:family w:val="swiss"/>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egrita">
    <w:altName w:val="Arial"/>
    <w:panose1 w:val="020B0704020202020204"/>
    <w:charset w:val="00"/>
    <w:family w:val="roman"/>
    <w:pitch w:val="default"/>
  </w:font>
  <w:font w:name="Liberation Sans">
    <w:charset w:val="00"/>
    <w:family w:val="swiss"/>
    <w:pitch w:val="default"/>
  </w:font>
  <w:font w:name="Mangal">
    <w:panose1 w:val="00000400000000000000"/>
    <w:charset w:val="00"/>
    <w:family w:val="roman"/>
    <w:pitch w:val="variable"/>
    <w:sig w:usb0="00008003" w:usb1="00000000" w:usb2="00000000" w:usb3="00000000" w:csb0="00000001" w:csb1="00000000"/>
  </w:font>
  <w:font w:name="Adif Fago Co Regular">
    <w:altName w:val="Calibri"/>
    <w:charset w:val="00"/>
    <w:family w:val="auto"/>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sto MT">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ms Rmn">
    <w:panose1 w:val="02020603040505020304"/>
    <w:charset w:val="00"/>
    <w:family w:val="roman"/>
    <w:pitch w:val="default"/>
    <w:sig w:usb0="00000000" w:usb1="00000000" w:usb2="00000000" w:usb3="00000000" w:csb0="00000001" w:csb1="00000000"/>
  </w:font>
  <w:font w:name="Helvetica Neue">
    <w:altName w:val="Sylfaen"/>
    <w:charset w:val="00"/>
    <w:family w:val="roman"/>
    <w:pitch w:val="default"/>
  </w:font>
  <w:font w:name="Cambria Bold">
    <w:panose1 w:val="02040803050406030204"/>
    <w:charset w:val="00"/>
    <w:family w:val="roman"/>
    <w:pitch w:val="default"/>
  </w:font>
  <w:font w:name="Calibri bold">
    <w:panose1 w:val="020F0702030404030204"/>
    <w:charset w:val="00"/>
    <w:family w:val="roman"/>
    <w:pitch w:val="default"/>
  </w:font>
  <w:font w:name="Gill Sans MT">
    <w:charset w:val="00"/>
    <w:family w:val="swiss"/>
    <w:pitch w:val="variable"/>
    <w:sig w:usb0="00000003" w:usb1="00000000" w:usb2="00000000" w:usb3="00000000" w:csb0="00000003" w:csb1="00000000"/>
  </w:font>
  <w:font w:name="AKKOFD+TimesNewRoman">
    <w:altName w:val="Times New Roman"/>
    <w:charset w:val="00"/>
    <w:family w:val="roman"/>
    <w:pitch w:val="default"/>
    <w:sig w:usb0="00000000" w:usb1="00000000" w:usb2="00000000" w:usb3="00000000" w:csb0="00000001" w:csb1="00000000"/>
  </w:font>
  <w:font w:name="FLJXOI+Frutiger-BoldItalic">
    <w:altName w:val="Calibri"/>
    <w:charset w:val="00"/>
    <w:family w:val="swiss"/>
    <w:pitch w:val="default"/>
    <w:sig w:usb0="00000000" w:usb1="00000000" w:usb2="00000000" w:usb3="00000000" w:csb0="00000001" w:csb1="00000000"/>
  </w:font>
  <w:font w:name="Engebrechtre">
    <w:altName w:val="Calibri"/>
    <w:charset w:val="00"/>
    <w:family w:val="swiss"/>
    <w:pitch w:val="default"/>
    <w:sig w:usb0="00000000" w:usb1="00000000" w:usb2="00000000" w:usb3="00000000" w:csb0="00000001" w:csb1="00000000"/>
  </w:font>
  <w:font w:name="VPZFEC+Frutiger-Light">
    <w:altName w:val="Calibri"/>
    <w:charset w:val="00"/>
    <w:family w:val="swiss"/>
    <w:pitch w:val="default"/>
    <w:sig w:usb0="00000000" w:usb1="00000000" w:usb2="00000000" w:usb3="00000000" w:csb0="00000001" w:csb1="00000000"/>
  </w:font>
  <w:font w:name="Times New Roman Negrita">
    <w:altName w:val="Times New Roman"/>
    <w:panose1 w:val="02020803070505020304"/>
    <w:charset w:val="00"/>
    <w:family w:val="roman"/>
    <w:pitch w:val="default"/>
    <w:sig w:usb0="00000000" w:usb1="00000000" w:usb2="00000000" w:usb3="00000000" w:csb0="00000001" w:csb1="00000000"/>
  </w:font>
  <w:font w:name="Liberation Sans Narrow">
    <w:altName w:val="Arial"/>
    <w:charset w:val="00"/>
    <w:family w:val="swiss"/>
    <w:pitch w:val="default"/>
  </w:font>
  <w:font w:name="Eurostar Regular Extended">
    <w:altName w:val="Arial"/>
    <w:charset w:val="00"/>
    <w:family w:val="swiss"/>
    <w:pitch w:val="default"/>
    <w:sig w:usb0="00000000" w:usb1="00000000" w:usb2="00000000" w:usb3="00000000" w:csb0="0000009B" w:csb1="00000000"/>
  </w:font>
  <w:font w:name="Whitney Medium">
    <w:altName w:val="Calibri"/>
    <w:charset w:val="00"/>
    <w:family w:val="swiss"/>
    <w:pitch w:val="default"/>
    <w:sig w:usb0="00000000" w:usb1="00000000" w:usb2="00000000" w:usb3="00000000" w:csb0="00000001" w:csb1="00000000"/>
  </w:font>
  <w:font w:name="Whitney Light">
    <w:altName w:val="Calibri"/>
    <w:charset w:val="00"/>
    <w:family w:val="swiss"/>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Times New Roman Bold">
    <w:altName w:val="Times New Roman"/>
    <w:charset w:val="00"/>
    <w:family w:val="roman"/>
    <w:pitch w:val="default"/>
  </w:font>
  <w:font w:name="Frutiger 45 Light">
    <w:altName w:val="Century Gothic"/>
    <w:charset w:val="00"/>
    <w:family w:val="swiss"/>
    <w:pitch w:val="default"/>
    <w:sig w:usb0="00000000" w:usb1="00000000" w:usb2="00000000" w:usb3="00000000" w:csb0="00000001" w:csb1="00000000"/>
  </w:font>
  <w:font w:name="Courier">
    <w:panose1 w:val="02070409020205020404"/>
    <w:charset w:val="00"/>
    <w:family w:val="modern"/>
    <w:pitch w:val="default"/>
    <w:sig w:usb0="00000000" w:usb1="00000000" w:usb2="00000000" w:usb3="00000000" w:csb0="00000001" w:csb1="00000000"/>
  </w:font>
  <w:font w:name="HiddenHorzOCl">
    <w:altName w:val="Hidden Horz OCR"/>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76DC" w14:textId="77777777" w:rsidR="004412F1" w:rsidRDefault="005A12A3">
    <w:pP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4F2F9310" w14:textId="77777777" w:rsidR="004412F1" w:rsidRDefault="004412F1">
    <w:pP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2352" w14:textId="77777777" w:rsidR="004412F1" w:rsidRDefault="005A12A3">
    <w:pPr>
      <w:tabs>
        <w:tab w:val="center" w:pos="4419"/>
        <w:tab w:val="right" w:pos="8838"/>
      </w:tabs>
      <w:jc w:val="right"/>
      <w:rPr>
        <w:rFonts w:eastAsia="SimSun"/>
        <w:color w:val="000000"/>
        <w:sz w:val="20"/>
        <w:szCs w:val="20"/>
        <w:lang w:val="es-PE" w:eastAsia="zh-CN"/>
      </w:rPr>
    </w:pPr>
    <w:r>
      <w:rPr>
        <w:color w:val="000000"/>
        <w:sz w:val="20"/>
        <w:szCs w:val="20"/>
        <w:lang w:val="es-ES"/>
      </w:rPr>
      <w:t xml:space="preserve">  </w:t>
    </w:r>
  </w:p>
  <w:p w14:paraId="37B0D10A" w14:textId="77777777" w:rsidR="004412F1" w:rsidRDefault="005A12A3">
    <w:pPr>
      <w:pStyle w:val="Piedepgina"/>
      <w:ind w:left="-567" w:right="-142"/>
      <w:jc w:val="right"/>
      <w:rPr>
        <w:rStyle w:val="Nmerodepgina"/>
        <w:sz w:val="16"/>
        <w:szCs w:val="16"/>
        <w:lang w:val="es-PE"/>
      </w:rPr>
    </w:pPr>
    <w:r>
      <w:rPr>
        <w:rStyle w:val="Nmerodepgina"/>
        <w:sz w:val="16"/>
        <w:szCs w:val="16"/>
      </w:rPr>
      <w:fldChar w:fldCharType="begin"/>
    </w:r>
    <w:r>
      <w:rPr>
        <w:rStyle w:val="Nmerodepgina"/>
        <w:sz w:val="16"/>
        <w:szCs w:val="16"/>
        <w:lang w:val="es-PE"/>
      </w:rPr>
      <w:instrText xml:space="preserve">PAGE  </w:instrText>
    </w:r>
    <w:r>
      <w:rPr>
        <w:rStyle w:val="Nmerodepgina"/>
        <w:sz w:val="16"/>
        <w:szCs w:val="16"/>
      </w:rPr>
      <w:fldChar w:fldCharType="separate"/>
    </w:r>
    <w:r>
      <w:rPr>
        <w:rStyle w:val="Nmerodepgina"/>
        <w:sz w:val="16"/>
        <w:szCs w:val="16"/>
        <w:lang w:val="es-PE"/>
      </w:rPr>
      <w:t>175</w:t>
    </w:r>
    <w:r>
      <w:rPr>
        <w:rStyle w:val="Nmerodepgina"/>
        <w:sz w:val="16"/>
        <w:szCs w:val="16"/>
      </w:rPr>
      <w:fldChar w:fldCharType="end"/>
    </w:r>
  </w:p>
  <w:p w14:paraId="155034B7" w14:textId="77777777" w:rsidR="004412F1" w:rsidRDefault="005A12A3">
    <w:pPr>
      <w:ind w:right="-426"/>
      <w:jc w:val="both"/>
      <w:rPr>
        <w:rFonts w:eastAsia="SimSun"/>
        <w:b/>
        <w:sz w:val="14"/>
        <w:szCs w:val="14"/>
        <w:lang w:val="es-ES" w:eastAsia="zh-CN"/>
      </w:rPr>
    </w:pPr>
    <w:r>
      <w:rPr>
        <w:b/>
        <w:sz w:val="14"/>
        <w:szCs w:val="14"/>
        <w:lang w:val="es-PE"/>
      </w:rPr>
      <w:t>Contrato de Concesión de la Carretera Longitudinal de la Sierra Tramo 4</w:t>
    </w:r>
    <w:r>
      <w:rPr>
        <w:b/>
        <w:sz w:val="14"/>
        <w:szCs w:val="14"/>
        <w:lang w:val="es-PE"/>
      </w:rPr>
      <w:tab/>
    </w:r>
    <w:r>
      <w:rPr>
        <w:rFonts w:eastAsia="SimSun"/>
        <w:b/>
        <w:sz w:val="14"/>
        <w:szCs w:val="14"/>
        <w:lang w:val="es-PE" w:eastAsia="zh-CN"/>
      </w:rPr>
      <w:tab/>
    </w:r>
    <w:r>
      <w:rPr>
        <w:rFonts w:eastAsia="SimSun"/>
        <w:b/>
        <w:sz w:val="14"/>
        <w:szCs w:val="14"/>
        <w:lang w:val="es-PE" w:eastAsia="zh-CN"/>
      </w:rPr>
      <w:tab/>
    </w:r>
    <w:r>
      <w:rPr>
        <w:rFonts w:eastAsia="SimSun"/>
        <w:b/>
        <w:sz w:val="14"/>
        <w:szCs w:val="14"/>
        <w:lang w:val="es-ES" w:eastAsia="zh-CN"/>
      </w:rPr>
      <w:t xml:space="preserve">    </w:t>
    </w:r>
    <w:r>
      <w:rPr>
        <w:b/>
        <w:sz w:val="14"/>
        <w:szCs w:val="14"/>
        <w:lang w:val="es-PE"/>
      </w:rPr>
      <w:tab/>
    </w:r>
  </w:p>
  <w:p w14:paraId="41032048" w14:textId="77777777" w:rsidR="004412F1" w:rsidRDefault="004412F1">
    <w:pPr>
      <w:jc w:val="center"/>
      <w:rPr>
        <w:lang w:val="es-P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E3E9" w14:textId="77777777" w:rsidR="004412F1" w:rsidRDefault="005A12A3">
    <w:pPr>
      <w:tabs>
        <w:tab w:val="center" w:pos="4419"/>
        <w:tab w:val="right" w:pos="8838"/>
      </w:tabs>
      <w:rPr>
        <w:color w:val="000000"/>
        <w:lang w:val="es-PE"/>
      </w:rPr>
    </w:pPr>
    <w:r>
      <w:rPr>
        <w:color w:val="000000"/>
        <w:sz w:val="16"/>
        <w:szCs w:val="16"/>
        <w:lang w:val="es-PE"/>
      </w:rPr>
      <w:t>Contrato de Concesión .10) del Tramo 2 de IIRSA Centro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1E33" w14:textId="77777777" w:rsidR="004412F1" w:rsidRDefault="005A12A3">
    <w:pPr>
      <w:framePr w:wrap="around" w:vAnchor="text" w:hAnchor="page" w:x="10702" w:y="108"/>
      <w:tabs>
        <w:tab w:val="center" w:pos="4419"/>
        <w:tab w:val="right" w:pos="8838"/>
      </w:tabs>
      <w:rPr>
        <w:color w:val="000000"/>
        <w:sz w:val="20"/>
        <w:lang w:val="es-PE"/>
      </w:rPr>
    </w:pPr>
    <w:r>
      <w:rPr>
        <w:color w:val="000000"/>
        <w:sz w:val="20"/>
      </w:rPr>
      <w:fldChar w:fldCharType="begin"/>
    </w:r>
    <w:r>
      <w:rPr>
        <w:color w:val="000000"/>
        <w:sz w:val="20"/>
        <w:szCs w:val="20"/>
        <w:lang w:val="es-PE"/>
      </w:rPr>
      <w:instrText>PAGE</w:instrText>
    </w:r>
    <w:r>
      <w:rPr>
        <w:color w:val="000000"/>
        <w:sz w:val="20"/>
      </w:rPr>
      <w:fldChar w:fldCharType="separate"/>
    </w:r>
    <w:r>
      <w:rPr>
        <w:color w:val="000000"/>
        <w:sz w:val="20"/>
        <w:szCs w:val="20"/>
        <w:lang w:val="es-PE"/>
      </w:rPr>
      <w:t>200</w:t>
    </w:r>
    <w:r>
      <w:rPr>
        <w:color w:val="000000"/>
        <w:sz w:val="20"/>
      </w:rPr>
      <w:fldChar w:fldCharType="end"/>
    </w:r>
  </w:p>
  <w:p w14:paraId="10935575" w14:textId="77777777" w:rsidR="004412F1" w:rsidRDefault="005A12A3">
    <w:pPr>
      <w:rPr>
        <w:b/>
        <w:sz w:val="14"/>
        <w:szCs w:val="14"/>
        <w:lang w:val="es-PE"/>
      </w:rPr>
    </w:pPr>
    <w:r>
      <w:rPr>
        <w:b/>
        <w:sz w:val="14"/>
        <w:szCs w:val="14"/>
        <w:lang w:val="es-PE"/>
      </w:rPr>
      <w:t>Contrato de Concesión de la Carretera Longitudinal de la Sierra Tramo 4</w:t>
    </w:r>
    <w:r>
      <w:rPr>
        <w:b/>
        <w:sz w:val="14"/>
        <w:szCs w:val="14"/>
        <w:lang w:val="es-PE"/>
      </w:rPr>
      <w:tab/>
    </w:r>
    <w:r>
      <w:rPr>
        <w:b/>
        <w:sz w:val="14"/>
        <w:szCs w:val="14"/>
        <w:lang w:val="es-PE"/>
      </w:rPr>
      <w:tab/>
    </w:r>
  </w:p>
  <w:p w14:paraId="7F42358D" w14:textId="77777777" w:rsidR="004412F1" w:rsidRDefault="004412F1">
    <w:pPr>
      <w:jc w:val="center"/>
      <w:rPr>
        <w:lang w:val="es-P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B96E" w14:textId="77777777" w:rsidR="004412F1" w:rsidRDefault="005A12A3">
    <w:pPr>
      <w:framePr w:wrap="around" w:vAnchor="text" w:hAnchor="margin" w:xAlign="right" w:y="1"/>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72117717" w14:textId="77777777" w:rsidR="004412F1" w:rsidRDefault="004412F1">
    <w:pPr>
      <w:tabs>
        <w:tab w:val="center" w:pos="4419"/>
        <w:tab w:val="right" w:pos="8838"/>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17AA" w14:textId="77777777" w:rsidR="004412F1" w:rsidRDefault="005A12A3">
    <w:pPr>
      <w:framePr w:wrap="around" w:vAnchor="text" w:hAnchor="page" w:x="10702" w:y="1"/>
      <w:tabs>
        <w:tab w:val="center" w:pos="4419"/>
        <w:tab w:val="right" w:pos="8838"/>
      </w:tabs>
      <w:jc w:val="right"/>
      <w:rPr>
        <w:color w:val="000000"/>
        <w:sz w:val="16"/>
        <w:lang w:val="es-PE"/>
      </w:rPr>
    </w:pPr>
    <w:r>
      <w:rPr>
        <w:color w:val="000000"/>
        <w:sz w:val="16"/>
      </w:rPr>
      <w:fldChar w:fldCharType="begin"/>
    </w:r>
    <w:r>
      <w:rPr>
        <w:color w:val="000000"/>
        <w:sz w:val="16"/>
        <w:szCs w:val="16"/>
        <w:lang w:val="es-PE"/>
      </w:rPr>
      <w:instrText>PAGE</w:instrText>
    </w:r>
    <w:r>
      <w:rPr>
        <w:color w:val="000000"/>
        <w:sz w:val="16"/>
      </w:rPr>
      <w:fldChar w:fldCharType="separate"/>
    </w:r>
    <w:r>
      <w:rPr>
        <w:color w:val="000000"/>
        <w:sz w:val="16"/>
        <w:szCs w:val="16"/>
        <w:lang w:val="es-PE"/>
      </w:rPr>
      <w:t>296</w:t>
    </w:r>
    <w:r>
      <w:rPr>
        <w:color w:val="000000"/>
        <w:sz w:val="16"/>
      </w:rPr>
      <w:fldChar w:fldCharType="end"/>
    </w:r>
  </w:p>
  <w:p w14:paraId="64889425" w14:textId="77777777" w:rsidR="004412F1" w:rsidRDefault="005A12A3">
    <w:pPr>
      <w:tabs>
        <w:tab w:val="left" w:pos="8505"/>
      </w:tabs>
      <w:ind w:right="566"/>
      <w:rPr>
        <w:sz w:val="12"/>
        <w:szCs w:val="12"/>
        <w:lang w:val="es-PE"/>
      </w:rPr>
    </w:pPr>
    <w:r>
      <w:rPr>
        <w:b/>
        <w:bCs/>
        <w:sz w:val="14"/>
        <w:szCs w:val="14"/>
        <w:lang w:val="es-PE"/>
      </w:rPr>
      <w:t>Contrato de Concesión de la Carretera Longitudinal de la Sierra Tramo 4</w:t>
    </w:r>
    <w:r>
      <w:rPr>
        <w:sz w:val="16"/>
        <w:szCs w:val="16"/>
        <w:lang w:val="es-PE"/>
      </w:rPr>
      <w:tab/>
    </w:r>
  </w:p>
  <w:p w14:paraId="66A842E7" w14:textId="77777777" w:rsidR="004412F1" w:rsidRDefault="004412F1">
    <w:pPr>
      <w:ind w:right="360"/>
      <w:rPr>
        <w:sz w:val="16"/>
        <w:szCs w:val="16"/>
        <w:lang w:val="es-P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B2AE" w14:textId="77777777" w:rsidR="004412F1" w:rsidRDefault="005A12A3">
    <w:pPr>
      <w:framePr w:wrap="around" w:vAnchor="text" w:hAnchor="page" w:x="10702" w:y="1"/>
      <w:tabs>
        <w:tab w:val="center" w:pos="4419"/>
        <w:tab w:val="right" w:pos="8838"/>
      </w:tabs>
      <w:rPr>
        <w:color w:val="000000"/>
        <w:sz w:val="20"/>
        <w:lang w:val="es-PE"/>
      </w:rPr>
    </w:pPr>
    <w:r>
      <w:rPr>
        <w:color w:val="000000"/>
        <w:sz w:val="20"/>
      </w:rPr>
      <w:fldChar w:fldCharType="begin"/>
    </w:r>
    <w:r>
      <w:rPr>
        <w:color w:val="000000"/>
        <w:sz w:val="20"/>
        <w:szCs w:val="20"/>
        <w:lang w:val="es-PE"/>
      </w:rPr>
      <w:instrText>PAGE</w:instrText>
    </w:r>
    <w:r>
      <w:rPr>
        <w:color w:val="000000"/>
        <w:sz w:val="20"/>
      </w:rPr>
      <w:fldChar w:fldCharType="separate"/>
    </w:r>
    <w:r>
      <w:rPr>
        <w:color w:val="000000"/>
        <w:sz w:val="20"/>
        <w:szCs w:val="20"/>
        <w:lang w:val="es-PE"/>
      </w:rPr>
      <w:t>201</w:t>
    </w:r>
    <w:r>
      <w:rPr>
        <w:color w:val="000000"/>
        <w:sz w:val="20"/>
      </w:rPr>
      <w:fldChar w:fldCharType="end"/>
    </w:r>
  </w:p>
  <w:p w14:paraId="74E86EA9" w14:textId="77777777" w:rsidR="004412F1" w:rsidRDefault="005A12A3">
    <w:pPr>
      <w:tabs>
        <w:tab w:val="center" w:pos="4419"/>
        <w:tab w:val="right" w:pos="8838"/>
      </w:tabs>
      <w:rPr>
        <w:color w:val="000000"/>
        <w:sz w:val="16"/>
        <w:lang w:val="es-PE"/>
      </w:rPr>
    </w:pPr>
    <w:r>
      <w:rPr>
        <w:b/>
        <w:color w:val="000000"/>
        <w:sz w:val="14"/>
        <w:lang w:val="es-PE"/>
      </w:rPr>
      <w:t>Contrato de Concesión de la Carretera Longitudinal de la Sierra Tramo 4</w:t>
    </w:r>
    <w:r>
      <w:rPr>
        <w:color w:val="000000"/>
        <w:sz w:val="14"/>
        <w:lang w:val="es-PE"/>
      </w:rPr>
      <w:tab/>
    </w:r>
  </w:p>
  <w:p w14:paraId="13EA451B" w14:textId="77777777" w:rsidR="004412F1" w:rsidRDefault="004412F1">
    <w:pPr>
      <w:tabs>
        <w:tab w:val="center" w:pos="4419"/>
        <w:tab w:val="right" w:pos="8838"/>
      </w:tabs>
      <w:jc w:val="right"/>
      <w:rPr>
        <w:color w:val="00000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3068" w14:textId="77777777" w:rsidR="00640CEA" w:rsidRDefault="00640CEA">
      <w:r>
        <w:separator/>
      </w:r>
    </w:p>
  </w:footnote>
  <w:footnote w:type="continuationSeparator" w:id="0">
    <w:p w14:paraId="6AEBF2EC" w14:textId="77777777" w:rsidR="00640CEA" w:rsidRDefault="00640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EACD" w14:textId="77777777" w:rsidR="004412F1" w:rsidRDefault="004412F1">
    <w:pP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493C" w14:textId="77777777" w:rsidR="004412F1" w:rsidRDefault="004412F1">
    <w:pP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9504" w14:textId="77777777" w:rsidR="004412F1" w:rsidRDefault="004412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4A7"/>
    <w:multiLevelType w:val="singleLevel"/>
    <w:tmpl w:val="002404A7"/>
    <w:lvl w:ilvl="0">
      <w:start w:val="1"/>
      <w:numFmt w:val="decimal"/>
      <w:lvlText w:val="%1."/>
      <w:lvlJc w:val="left"/>
      <w:pPr>
        <w:ind w:left="360" w:hanging="360"/>
      </w:pPr>
    </w:lvl>
  </w:abstractNum>
  <w:abstractNum w:abstractNumId="1" w15:restartNumberingAfterBreak="0">
    <w:nsid w:val="008756D7"/>
    <w:multiLevelType w:val="multilevel"/>
    <w:tmpl w:val="008756D7"/>
    <w:lvl w:ilvl="0">
      <w:start w:val="17"/>
      <w:numFmt w:val="decimal"/>
      <w:pStyle w:val="P2"/>
      <w:lvlText w:val="%1"/>
      <w:lvlJc w:val="left"/>
      <w:pPr>
        <w:ind w:left="384" w:hanging="384"/>
      </w:pPr>
    </w:lvl>
    <w:lvl w:ilvl="1">
      <w:start w:val="1"/>
      <w:numFmt w:val="decimal"/>
      <w:lvlText w:val="%1.%2"/>
      <w:lvlJc w:val="left"/>
      <w:pPr>
        <w:ind w:left="1093" w:hanging="384"/>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 w15:restartNumberingAfterBreak="0">
    <w:nsid w:val="026C1643"/>
    <w:multiLevelType w:val="multilevel"/>
    <w:tmpl w:val="026C1643"/>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31850D9"/>
    <w:multiLevelType w:val="multilevel"/>
    <w:tmpl w:val="031850D9"/>
    <w:lvl w:ilvl="0">
      <w:start w:val="1"/>
      <w:numFmt w:val="lowerLetter"/>
      <w:pStyle w:val="Vieta1"/>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34644B0"/>
    <w:multiLevelType w:val="multilevel"/>
    <w:tmpl w:val="034644B0"/>
    <w:lvl w:ilvl="0">
      <w:start w:val="1"/>
      <w:numFmt w:val="lowerRoman"/>
      <w:pStyle w:val="Marcador1"/>
      <w:lvlText w:val="(%1)"/>
      <w:lvlJc w:val="left"/>
      <w:pPr>
        <w:ind w:left="1571" w:hanging="720"/>
      </w:pPr>
      <w:rPr>
        <w:color w:val="000000"/>
        <w:u w:val="none"/>
      </w:rPr>
    </w:lvl>
    <w:lvl w:ilvl="1">
      <w:start w:val="1"/>
      <w:numFmt w:val="lowerLetter"/>
      <w:lvlText w:val="%2."/>
      <w:lvlJc w:val="left"/>
      <w:pPr>
        <w:ind w:left="1789" w:hanging="360"/>
      </w:pPr>
      <w:rPr>
        <w:color w:val="0000FF"/>
        <w:u w:val="single"/>
      </w:rPr>
    </w:lvl>
    <w:lvl w:ilvl="2">
      <w:start w:val="1"/>
      <w:numFmt w:val="lowerRoman"/>
      <w:lvlText w:val="%3."/>
      <w:lvlJc w:val="right"/>
      <w:pPr>
        <w:ind w:left="2509" w:hanging="180"/>
      </w:pPr>
      <w:rPr>
        <w:color w:val="0000FF"/>
        <w:u w:val="single"/>
      </w:rPr>
    </w:lvl>
    <w:lvl w:ilvl="3">
      <w:start w:val="1"/>
      <w:numFmt w:val="decimal"/>
      <w:lvlText w:val="%4."/>
      <w:lvlJc w:val="left"/>
      <w:pPr>
        <w:ind w:left="3229" w:hanging="360"/>
      </w:pPr>
      <w:rPr>
        <w:color w:val="0000FF"/>
        <w:u w:val="single"/>
      </w:rPr>
    </w:lvl>
    <w:lvl w:ilvl="4">
      <w:start w:val="1"/>
      <w:numFmt w:val="lowerLetter"/>
      <w:lvlText w:val="%5."/>
      <w:lvlJc w:val="left"/>
      <w:pPr>
        <w:ind w:left="3949" w:hanging="360"/>
      </w:pPr>
      <w:rPr>
        <w:color w:val="0000FF"/>
        <w:u w:val="single"/>
      </w:rPr>
    </w:lvl>
    <w:lvl w:ilvl="5">
      <w:start w:val="1"/>
      <w:numFmt w:val="lowerRoman"/>
      <w:lvlText w:val="%6."/>
      <w:lvlJc w:val="right"/>
      <w:pPr>
        <w:ind w:left="4669" w:hanging="180"/>
      </w:pPr>
      <w:rPr>
        <w:color w:val="0000FF"/>
        <w:u w:val="single"/>
      </w:rPr>
    </w:lvl>
    <w:lvl w:ilvl="6">
      <w:start w:val="1"/>
      <w:numFmt w:val="decimal"/>
      <w:lvlText w:val="%7."/>
      <w:lvlJc w:val="left"/>
      <w:pPr>
        <w:ind w:left="5389" w:hanging="360"/>
      </w:pPr>
      <w:rPr>
        <w:color w:val="0000FF"/>
        <w:u w:val="single"/>
      </w:rPr>
    </w:lvl>
    <w:lvl w:ilvl="7">
      <w:start w:val="1"/>
      <w:numFmt w:val="lowerLetter"/>
      <w:lvlText w:val="%8."/>
      <w:lvlJc w:val="left"/>
      <w:pPr>
        <w:ind w:left="6109" w:hanging="360"/>
      </w:pPr>
      <w:rPr>
        <w:color w:val="0000FF"/>
        <w:u w:val="single"/>
      </w:rPr>
    </w:lvl>
    <w:lvl w:ilvl="8">
      <w:start w:val="1"/>
      <w:numFmt w:val="lowerRoman"/>
      <w:lvlText w:val="%9."/>
      <w:lvlJc w:val="right"/>
      <w:pPr>
        <w:ind w:left="6829" w:hanging="180"/>
      </w:pPr>
      <w:rPr>
        <w:color w:val="0000FF"/>
        <w:u w:val="single"/>
      </w:rPr>
    </w:lvl>
  </w:abstractNum>
  <w:abstractNum w:abstractNumId="5" w15:restartNumberingAfterBreak="0">
    <w:nsid w:val="03CE6953"/>
    <w:multiLevelType w:val="multilevel"/>
    <w:tmpl w:val="03CE6953"/>
    <w:lvl w:ilvl="0">
      <w:start w:val="1"/>
      <w:numFmt w:val="lowerLetter"/>
      <w:lvlText w:val="%1)"/>
      <w:lvlJc w:val="left"/>
      <w:pPr>
        <w:ind w:left="1287" w:hanging="360"/>
      </w:pPr>
      <w:rPr>
        <w:rFonts w:ascii="Arial" w:eastAsia="Arial" w:hAnsi="Arial" w:cs="Arial"/>
        <w:b w:val="0"/>
        <w:i w:val="0"/>
        <w:smallCaps w:val="0"/>
        <w:strike w:val="0"/>
        <w:color w:val="000000"/>
        <w:sz w:val="22"/>
        <w:szCs w:val="22"/>
        <w:vertAlign w:val="baseline"/>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0502393A"/>
    <w:multiLevelType w:val="multilevel"/>
    <w:tmpl w:val="050239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05AF3DE2"/>
    <w:multiLevelType w:val="multilevel"/>
    <w:tmpl w:val="05AF3DE2"/>
    <w:lvl w:ilvl="0">
      <w:start w:val="1"/>
      <w:numFmt w:val="lowerLetter"/>
      <w:lvlText w:val="%1)"/>
      <w:lvlJc w:val="left"/>
      <w:pPr>
        <w:ind w:left="1070" w:hanging="360"/>
      </w:pPr>
      <w:rPr>
        <w:rFonts w:ascii="Arial" w:eastAsia="Arial" w:hAnsi="Arial" w:cs="Arial"/>
        <w:smallCaps w:val="0"/>
        <w:strike w:val="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3F5184"/>
    <w:multiLevelType w:val="multilevel"/>
    <w:tmpl w:val="063F5184"/>
    <w:lvl w:ilvl="0">
      <w:start w:val="1"/>
      <w:numFmt w:val="lowerLetter"/>
      <w:lvlText w:val="%1)"/>
      <w:lvlJc w:val="left"/>
      <w:pPr>
        <w:ind w:left="70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646A75"/>
    <w:multiLevelType w:val="multilevel"/>
    <w:tmpl w:val="07646A7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7C70A30"/>
    <w:multiLevelType w:val="multilevel"/>
    <w:tmpl w:val="07C70A30"/>
    <w:lvl w:ilvl="0">
      <w:start w:val="1"/>
      <w:numFmt w:val="decimal"/>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1B1B8D"/>
    <w:multiLevelType w:val="multilevel"/>
    <w:tmpl w:val="081B1B8D"/>
    <w:lvl w:ilvl="0">
      <w:start w:val="1"/>
      <w:numFmt w:val="lowerRoman"/>
      <w:lvlText w:val="%1."/>
      <w:lvlJc w:val="left"/>
      <w:pPr>
        <w:tabs>
          <w:tab w:val="left" w:pos="720"/>
        </w:tabs>
        <w:ind w:left="720" w:hanging="720"/>
      </w:pPr>
      <w:rPr>
        <w:rFonts w:hint="default"/>
        <w:b w:val="0"/>
        <w:i w:val="0"/>
      </w:rPr>
    </w:lvl>
    <w:lvl w:ilvl="1">
      <w:start w:val="2"/>
      <w:numFmt w:val="lowerLetter"/>
      <w:lvlText w:val="%2)"/>
      <w:lvlJc w:val="left"/>
      <w:pPr>
        <w:tabs>
          <w:tab w:val="left" w:pos="720"/>
        </w:tabs>
        <w:ind w:left="720" w:hanging="360"/>
      </w:pPr>
      <w:rPr>
        <w:rFonts w:hint="default"/>
      </w:rPr>
    </w:lvl>
    <w:lvl w:ilvl="2">
      <w:start w:val="4"/>
      <w:numFmt w:val="lowerRoman"/>
      <w:lvlText w:val="%3)"/>
      <w:lvlJc w:val="left"/>
      <w:pPr>
        <w:tabs>
          <w:tab w:val="left" w:pos="1440"/>
        </w:tabs>
        <w:ind w:left="1440" w:hanging="72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ascii="Arial" w:hAnsi="Arial" w:cs="Arial"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2" w15:restartNumberingAfterBreak="0">
    <w:nsid w:val="08A52699"/>
    <w:multiLevelType w:val="multilevel"/>
    <w:tmpl w:val="08A52699"/>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08DE50CD"/>
    <w:multiLevelType w:val="multilevel"/>
    <w:tmpl w:val="08DE50CD"/>
    <w:lvl w:ilvl="0">
      <w:start w:val="3"/>
      <w:numFmt w:val="decimal"/>
      <w:pStyle w:val="Listaconnmeros1"/>
      <w:lvlText w:val="%1."/>
      <w:lvlJc w:val="left"/>
      <w:pPr>
        <w:ind w:left="705" w:hanging="705"/>
      </w:pPr>
    </w:lvl>
    <w:lvl w:ilvl="1">
      <w:start w:val="1"/>
      <w:numFmt w:val="decimal"/>
      <w:lvlText w:val="4.%2."/>
      <w:lvlJc w:val="left"/>
      <w:pPr>
        <w:ind w:left="720" w:hanging="720"/>
      </w:pPr>
      <w:rPr>
        <w:b w:val="0"/>
        <w:i w:val="0"/>
        <w:color w:val="00000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097341C2"/>
    <w:multiLevelType w:val="multilevel"/>
    <w:tmpl w:val="097341C2"/>
    <w:lvl w:ilvl="0">
      <w:start w:val="1"/>
      <w:numFmt w:val="lowerLetter"/>
      <w:pStyle w:val="Marcador3"/>
      <w:lvlText w:val="%1)"/>
      <w:lvlJc w:val="left"/>
      <w:pPr>
        <w:ind w:left="731" w:hanging="360"/>
      </w:pPr>
      <w:rPr>
        <w:color w:val="000000"/>
        <w:u w:val="none"/>
      </w:rPr>
    </w:lvl>
    <w:lvl w:ilvl="1">
      <w:start w:val="1"/>
      <w:numFmt w:val="bullet"/>
      <w:lvlText w:val="o"/>
      <w:lvlJc w:val="left"/>
      <w:pPr>
        <w:ind w:left="1451" w:hanging="360"/>
      </w:pPr>
      <w:rPr>
        <w:rFonts w:ascii="Courier New" w:eastAsia="Courier New" w:hAnsi="Courier New" w:cs="Courier New"/>
        <w:color w:val="0000FF"/>
        <w:u w:val="single"/>
      </w:rPr>
    </w:lvl>
    <w:lvl w:ilvl="2">
      <w:start w:val="1"/>
      <w:numFmt w:val="bullet"/>
      <w:lvlText w:val="▪"/>
      <w:lvlJc w:val="left"/>
      <w:pPr>
        <w:ind w:left="2171" w:hanging="360"/>
      </w:pPr>
      <w:rPr>
        <w:rFonts w:ascii="Noto Sans Symbols" w:eastAsia="Noto Sans Symbols" w:hAnsi="Noto Sans Symbols" w:cs="Noto Sans Symbols"/>
        <w:color w:val="0000FF"/>
        <w:u w:val="single"/>
      </w:rPr>
    </w:lvl>
    <w:lvl w:ilvl="3">
      <w:start w:val="1"/>
      <w:numFmt w:val="bullet"/>
      <w:lvlText w:val="●"/>
      <w:lvlJc w:val="left"/>
      <w:pPr>
        <w:ind w:left="2891" w:hanging="360"/>
      </w:pPr>
      <w:rPr>
        <w:rFonts w:ascii="Noto Sans Symbols" w:eastAsia="Noto Sans Symbols" w:hAnsi="Noto Sans Symbols" w:cs="Noto Sans Symbols"/>
        <w:color w:val="0000FF"/>
        <w:u w:val="single"/>
      </w:rPr>
    </w:lvl>
    <w:lvl w:ilvl="4">
      <w:start w:val="1"/>
      <w:numFmt w:val="bullet"/>
      <w:lvlText w:val="o"/>
      <w:lvlJc w:val="left"/>
      <w:pPr>
        <w:ind w:left="3611" w:hanging="360"/>
      </w:pPr>
      <w:rPr>
        <w:rFonts w:ascii="Courier New" w:eastAsia="Courier New" w:hAnsi="Courier New" w:cs="Courier New"/>
        <w:color w:val="0000FF"/>
        <w:u w:val="single"/>
      </w:rPr>
    </w:lvl>
    <w:lvl w:ilvl="5">
      <w:start w:val="1"/>
      <w:numFmt w:val="bullet"/>
      <w:lvlText w:val="▪"/>
      <w:lvlJc w:val="left"/>
      <w:pPr>
        <w:ind w:left="4331" w:hanging="360"/>
      </w:pPr>
      <w:rPr>
        <w:rFonts w:ascii="Noto Sans Symbols" w:eastAsia="Noto Sans Symbols" w:hAnsi="Noto Sans Symbols" w:cs="Noto Sans Symbols"/>
        <w:color w:val="0000FF"/>
        <w:u w:val="single"/>
      </w:rPr>
    </w:lvl>
    <w:lvl w:ilvl="6">
      <w:start w:val="1"/>
      <w:numFmt w:val="bullet"/>
      <w:lvlText w:val="●"/>
      <w:lvlJc w:val="left"/>
      <w:pPr>
        <w:ind w:left="5051" w:hanging="360"/>
      </w:pPr>
      <w:rPr>
        <w:rFonts w:ascii="Noto Sans Symbols" w:eastAsia="Noto Sans Symbols" w:hAnsi="Noto Sans Symbols" w:cs="Noto Sans Symbols"/>
        <w:color w:val="0000FF"/>
        <w:u w:val="single"/>
      </w:rPr>
    </w:lvl>
    <w:lvl w:ilvl="7">
      <w:start w:val="1"/>
      <w:numFmt w:val="bullet"/>
      <w:lvlText w:val="o"/>
      <w:lvlJc w:val="left"/>
      <w:pPr>
        <w:ind w:left="5771" w:hanging="360"/>
      </w:pPr>
      <w:rPr>
        <w:rFonts w:ascii="Courier New" w:eastAsia="Courier New" w:hAnsi="Courier New" w:cs="Courier New"/>
        <w:color w:val="0000FF"/>
        <w:u w:val="single"/>
      </w:rPr>
    </w:lvl>
    <w:lvl w:ilvl="8">
      <w:start w:val="1"/>
      <w:numFmt w:val="bullet"/>
      <w:lvlText w:val="▪"/>
      <w:lvlJc w:val="left"/>
      <w:pPr>
        <w:ind w:left="6491" w:hanging="360"/>
      </w:pPr>
      <w:rPr>
        <w:rFonts w:ascii="Noto Sans Symbols" w:eastAsia="Noto Sans Symbols" w:hAnsi="Noto Sans Symbols" w:cs="Noto Sans Symbols"/>
        <w:color w:val="0000FF"/>
        <w:u w:val="single"/>
      </w:rPr>
    </w:lvl>
  </w:abstractNum>
  <w:abstractNum w:abstractNumId="15" w15:restartNumberingAfterBreak="0">
    <w:nsid w:val="09820EBB"/>
    <w:multiLevelType w:val="multilevel"/>
    <w:tmpl w:val="09820EB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DB5A98"/>
    <w:multiLevelType w:val="multilevel"/>
    <w:tmpl w:val="09DB5A98"/>
    <w:lvl w:ilvl="0">
      <w:start w:val="1"/>
      <w:numFmt w:val="decimal"/>
      <w:lvlText w:val="%1"/>
      <w:lvlJc w:val="left"/>
      <w:pPr>
        <w:ind w:left="480" w:hanging="480"/>
      </w:pPr>
      <w:rPr>
        <w:rFonts w:eastAsia="SimSun" w:hint="default"/>
        <w:b w:val="0"/>
        <w:u w:val="single"/>
      </w:rPr>
    </w:lvl>
    <w:lvl w:ilvl="1">
      <w:start w:val="2"/>
      <w:numFmt w:val="decimal"/>
      <w:lvlText w:val="%1.%2"/>
      <w:lvlJc w:val="left"/>
      <w:pPr>
        <w:ind w:left="1053" w:hanging="480"/>
      </w:pPr>
      <w:rPr>
        <w:rFonts w:eastAsia="SimSun" w:hint="default"/>
        <w:b w:val="0"/>
        <w:u w:val="single"/>
      </w:rPr>
    </w:lvl>
    <w:lvl w:ilvl="2">
      <w:start w:val="1"/>
      <w:numFmt w:val="decimal"/>
      <w:lvlText w:val="%1.%2.%3"/>
      <w:lvlJc w:val="left"/>
      <w:pPr>
        <w:ind w:left="1866" w:hanging="720"/>
      </w:pPr>
      <w:rPr>
        <w:rFonts w:eastAsia="SimSun" w:hint="default"/>
        <w:b w:val="0"/>
        <w:sz w:val="22"/>
        <w:szCs w:val="22"/>
        <w:u w:val="none"/>
      </w:rPr>
    </w:lvl>
    <w:lvl w:ilvl="3">
      <w:start w:val="1"/>
      <w:numFmt w:val="decimal"/>
      <w:lvlText w:val="%1.%2.%3.%4"/>
      <w:lvlJc w:val="left"/>
      <w:pPr>
        <w:ind w:left="2439" w:hanging="720"/>
      </w:pPr>
      <w:rPr>
        <w:rFonts w:eastAsia="SimSun" w:hint="default"/>
        <w:b w:val="0"/>
        <w:u w:val="single"/>
      </w:rPr>
    </w:lvl>
    <w:lvl w:ilvl="4">
      <w:start w:val="1"/>
      <w:numFmt w:val="decimal"/>
      <w:lvlText w:val="%1.%2.%3.%4.%5"/>
      <w:lvlJc w:val="left"/>
      <w:pPr>
        <w:ind w:left="3372" w:hanging="1080"/>
      </w:pPr>
      <w:rPr>
        <w:rFonts w:eastAsia="SimSun" w:hint="default"/>
        <w:b w:val="0"/>
        <w:u w:val="single"/>
      </w:rPr>
    </w:lvl>
    <w:lvl w:ilvl="5">
      <w:start w:val="1"/>
      <w:numFmt w:val="decimal"/>
      <w:lvlText w:val="%1.%2.%3.%4.%5.%6"/>
      <w:lvlJc w:val="left"/>
      <w:pPr>
        <w:ind w:left="3945" w:hanging="1080"/>
      </w:pPr>
      <w:rPr>
        <w:rFonts w:eastAsia="SimSun" w:hint="default"/>
        <w:b w:val="0"/>
        <w:u w:val="single"/>
      </w:rPr>
    </w:lvl>
    <w:lvl w:ilvl="6">
      <w:start w:val="1"/>
      <w:numFmt w:val="decimal"/>
      <w:lvlText w:val="%1.%2.%3.%4.%5.%6.%7"/>
      <w:lvlJc w:val="left"/>
      <w:pPr>
        <w:ind w:left="4878" w:hanging="1440"/>
      </w:pPr>
      <w:rPr>
        <w:rFonts w:eastAsia="SimSun" w:hint="default"/>
        <w:b w:val="0"/>
        <w:u w:val="single"/>
      </w:rPr>
    </w:lvl>
    <w:lvl w:ilvl="7">
      <w:start w:val="1"/>
      <w:numFmt w:val="decimal"/>
      <w:lvlText w:val="%1.%2.%3.%4.%5.%6.%7.%8"/>
      <w:lvlJc w:val="left"/>
      <w:pPr>
        <w:ind w:left="5451" w:hanging="1440"/>
      </w:pPr>
      <w:rPr>
        <w:rFonts w:eastAsia="SimSun" w:hint="default"/>
        <w:b w:val="0"/>
        <w:u w:val="single"/>
      </w:rPr>
    </w:lvl>
    <w:lvl w:ilvl="8">
      <w:start w:val="1"/>
      <w:numFmt w:val="decimal"/>
      <w:lvlText w:val="%1.%2.%3.%4.%5.%6.%7.%8.%9"/>
      <w:lvlJc w:val="left"/>
      <w:pPr>
        <w:ind w:left="6384" w:hanging="1800"/>
      </w:pPr>
      <w:rPr>
        <w:rFonts w:eastAsia="SimSun" w:hint="default"/>
        <w:b w:val="0"/>
        <w:u w:val="single"/>
      </w:rPr>
    </w:lvl>
  </w:abstractNum>
  <w:abstractNum w:abstractNumId="17" w15:restartNumberingAfterBreak="0">
    <w:nsid w:val="0A057646"/>
    <w:multiLevelType w:val="multilevel"/>
    <w:tmpl w:val="0A057646"/>
    <w:lvl w:ilvl="0">
      <w:start w:val="1"/>
      <w:numFmt w:val="lowerRoman"/>
      <w:lvlText w:val="%1."/>
      <w:lvlJc w:val="left"/>
      <w:pPr>
        <w:ind w:left="720" w:hanging="720"/>
      </w:pPr>
      <w:rPr>
        <w:b w:val="0"/>
        <w:i w:val="0"/>
      </w:rPr>
    </w:lvl>
    <w:lvl w:ilvl="1">
      <w:start w:val="2"/>
      <w:numFmt w:val="lowerLetter"/>
      <w:lvlText w:val="%2)"/>
      <w:lvlJc w:val="left"/>
      <w:pPr>
        <w:ind w:left="720" w:hanging="360"/>
      </w:pPr>
    </w:lvl>
    <w:lvl w:ilvl="2">
      <w:start w:val="4"/>
      <w:numFmt w:val="lowerRoman"/>
      <w:lvlText w:val="%3)"/>
      <w:lvlJc w:val="left"/>
      <w:pPr>
        <w:ind w:left="1440" w:hanging="7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rial" w:eastAsia="Arial" w:hAnsi="Arial" w:cs="Arial"/>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2658B0"/>
    <w:multiLevelType w:val="multilevel"/>
    <w:tmpl w:val="0B2658B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0B307B0B"/>
    <w:multiLevelType w:val="multilevel"/>
    <w:tmpl w:val="0B307B0B"/>
    <w:lvl w:ilvl="0">
      <w:start w:val="1"/>
      <w:numFmt w:val="lowerLetter"/>
      <w:lvlText w:val="%1)"/>
      <w:lvlJc w:val="left"/>
      <w:pPr>
        <w:ind w:left="1211"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BBEC6EB"/>
    <w:multiLevelType w:val="multilevel"/>
    <w:tmpl w:val="0BBEC6EB"/>
    <w:lvl w:ilvl="0">
      <w:start w:val="1"/>
      <w:numFmt w:val="bullet"/>
      <w:lvlText w:val="●"/>
      <w:lvlJc w:val="left"/>
      <w:pPr>
        <w:ind w:left="709" w:hanging="709"/>
      </w:pPr>
      <w:rPr>
        <w:rFonts w:ascii="Noto Sans Symbols" w:eastAsia="Noto Sans Symbols" w:hAnsi="Noto Sans Symbols" w:cs="Noto Sans Symbols"/>
        <w:b/>
        <w:i w:val="0"/>
        <w:color w:val="000000"/>
      </w:rPr>
    </w:lvl>
    <w:lvl w:ilvl="1">
      <w:start w:val="1"/>
      <w:numFmt w:val="lowerRoman"/>
      <w:lvlText w:val="%2."/>
      <w:lvlJc w:val="left"/>
      <w:pPr>
        <w:ind w:left="709" w:hanging="709"/>
      </w:pPr>
      <w:rPr>
        <w:color w:val="4F81BD"/>
      </w:rPr>
    </w:lvl>
    <w:lvl w:ilvl="2">
      <w:start w:val="1"/>
      <w:numFmt w:val="lowerLetter"/>
      <w:lvlText w:val="%3."/>
      <w:lvlJc w:val="left"/>
      <w:pPr>
        <w:ind w:left="1134" w:hanging="425"/>
      </w:pPr>
      <w:rPr>
        <w:color w:val="4F81BD"/>
      </w:rPr>
    </w:lvl>
    <w:lvl w:ilvl="3">
      <w:start w:val="1"/>
      <w:numFmt w:val="lowerLetter"/>
      <w:lvlText w:val="%4."/>
      <w:lvlJc w:val="left"/>
      <w:pPr>
        <w:ind w:left="72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5"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C914273"/>
    <w:multiLevelType w:val="multilevel"/>
    <w:tmpl w:val="0C914273"/>
    <w:lvl w:ilvl="0">
      <w:start w:val="1"/>
      <w:numFmt w:val="decimal"/>
      <w:lvlText w:val="%1."/>
      <w:lvlJc w:val="left"/>
      <w:pPr>
        <w:ind w:left="360" w:hanging="36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0DAC2244"/>
    <w:multiLevelType w:val="multilevel"/>
    <w:tmpl w:val="0DAC2244"/>
    <w:lvl w:ilvl="0">
      <w:start w:val="1"/>
      <w:numFmt w:val="bullet"/>
      <w:lvlText w:val="●"/>
      <w:lvlJc w:val="left"/>
      <w:pPr>
        <w:ind w:left="3130" w:hanging="360"/>
      </w:pPr>
      <w:rPr>
        <w:rFonts w:ascii="Noto Sans Symbols" w:eastAsia="Noto Sans Symbols" w:hAnsi="Noto Sans Symbols" w:cs="Noto Sans Symbols"/>
        <w:color w:val="17365D"/>
      </w:rPr>
    </w:lvl>
    <w:lvl w:ilvl="1">
      <w:start w:val="1"/>
      <w:numFmt w:val="bullet"/>
      <w:lvlText w:val="o"/>
      <w:lvlJc w:val="left"/>
      <w:pPr>
        <w:ind w:left="3850" w:hanging="360"/>
      </w:pPr>
      <w:rPr>
        <w:rFonts w:ascii="Courier New" w:eastAsia="Courier New" w:hAnsi="Courier New" w:cs="Courier New"/>
      </w:rPr>
    </w:lvl>
    <w:lvl w:ilvl="2">
      <w:start w:val="1"/>
      <w:numFmt w:val="bullet"/>
      <w:lvlText w:val="▪"/>
      <w:lvlJc w:val="left"/>
      <w:pPr>
        <w:ind w:left="4570" w:hanging="360"/>
      </w:pPr>
      <w:rPr>
        <w:rFonts w:ascii="Noto Sans Symbols" w:eastAsia="Noto Sans Symbols" w:hAnsi="Noto Sans Symbols" w:cs="Noto Sans Symbols"/>
      </w:rPr>
    </w:lvl>
    <w:lvl w:ilvl="3">
      <w:start w:val="1"/>
      <w:numFmt w:val="bullet"/>
      <w:lvlText w:val="●"/>
      <w:lvlJc w:val="left"/>
      <w:pPr>
        <w:ind w:left="5290" w:hanging="360"/>
      </w:pPr>
      <w:rPr>
        <w:rFonts w:ascii="Noto Sans Symbols" w:eastAsia="Noto Sans Symbols" w:hAnsi="Noto Sans Symbols" w:cs="Noto Sans Symbols"/>
      </w:rPr>
    </w:lvl>
    <w:lvl w:ilvl="4">
      <w:start w:val="1"/>
      <w:numFmt w:val="bullet"/>
      <w:lvlText w:val="o"/>
      <w:lvlJc w:val="left"/>
      <w:pPr>
        <w:ind w:left="6010" w:hanging="360"/>
      </w:pPr>
      <w:rPr>
        <w:rFonts w:ascii="Courier New" w:eastAsia="Courier New" w:hAnsi="Courier New" w:cs="Courier New"/>
      </w:rPr>
    </w:lvl>
    <w:lvl w:ilvl="5">
      <w:start w:val="1"/>
      <w:numFmt w:val="bullet"/>
      <w:lvlText w:val="▪"/>
      <w:lvlJc w:val="left"/>
      <w:pPr>
        <w:ind w:left="6730" w:hanging="360"/>
      </w:pPr>
      <w:rPr>
        <w:rFonts w:ascii="Noto Sans Symbols" w:eastAsia="Noto Sans Symbols" w:hAnsi="Noto Sans Symbols" w:cs="Noto Sans Symbols"/>
      </w:rPr>
    </w:lvl>
    <w:lvl w:ilvl="6">
      <w:start w:val="1"/>
      <w:numFmt w:val="bullet"/>
      <w:lvlText w:val="●"/>
      <w:lvlJc w:val="left"/>
      <w:pPr>
        <w:ind w:left="7450" w:hanging="360"/>
      </w:pPr>
      <w:rPr>
        <w:rFonts w:ascii="Noto Sans Symbols" w:eastAsia="Noto Sans Symbols" w:hAnsi="Noto Sans Symbols" w:cs="Noto Sans Symbols"/>
      </w:rPr>
    </w:lvl>
    <w:lvl w:ilvl="7">
      <w:start w:val="1"/>
      <w:numFmt w:val="bullet"/>
      <w:lvlText w:val="o"/>
      <w:lvlJc w:val="left"/>
      <w:pPr>
        <w:ind w:left="8170" w:hanging="360"/>
      </w:pPr>
      <w:rPr>
        <w:rFonts w:ascii="Courier New" w:eastAsia="Courier New" w:hAnsi="Courier New" w:cs="Courier New"/>
      </w:rPr>
    </w:lvl>
    <w:lvl w:ilvl="8">
      <w:start w:val="1"/>
      <w:numFmt w:val="bullet"/>
      <w:lvlText w:val="▪"/>
      <w:lvlJc w:val="left"/>
      <w:pPr>
        <w:ind w:left="8890" w:hanging="360"/>
      </w:pPr>
      <w:rPr>
        <w:rFonts w:ascii="Noto Sans Symbols" w:eastAsia="Noto Sans Symbols" w:hAnsi="Noto Sans Symbols" w:cs="Noto Sans Symbols"/>
      </w:rPr>
    </w:lvl>
  </w:abstractNum>
  <w:abstractNum w:abstractNumId="23" w15:restartNumberingAfterBreak="0">
    <w:nsid w:val="0E6936A8"/>
    <w:multiLevelType w:val="multilevel"/>
    <w:tmpl w:val="0E6936A8"/>
    <w:lvl w:ilvl="0">
      <w:start w:val="1"/>
      <w:numFmt w:val="lowerLetter"/>
      <w:lvlText w:val="%1)"/>
      <w:lvlJc w:val="left"/>
      <w:pPr>
        <w:ind w:left="1211"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F019496"/>
    <w:multiLevelType w:val="multilevel"/>
    <w:tmpl w:val="0F019496"/>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0F6D03B3"/>
    <w:multiLevelType w:val="multilevel"/>
    <w:tmpl w:val="0F6D03B3"/>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0FF4BA95"/>
    <w:multiLevelType w:val="multilevel"/>
    <w:tmpl w:val="0FF4BA95"/>
    <w:lvl w:ilvl="0">
      <w:start w:val="4"/>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0443F43"/>
    <w:multiLevelType w:val="multilevel"/>
    <w:tmpl w:val="10443F43"/>
    <w:lvl w:ilvl="0">
      <w:start w:val="16"/>
      <w:numFmt w:val="decimal"/>
      <w:lvlText w:val="%1.1"/>
      <w:lvlJc w:val="left"/>
      <w:pPr>
        <w:tabs>
          <w:tab w:val="left" w:pos="705"/>
        </w:tabs>
        <w:ind w:left="705" w:hanging="705"/>
      </w:pPr>
      <w:rPr>
        <w:rFonts w:hint="default"/>
        <w:color w:val="auto"/>
      </w:rPr>
    </w:lvl>
    <w:lvl w:ilvl="1">
      <w:start w:val="1"/>
      <w:numFmt w:val="decimal"/>
      <w:lvlText w:val="%1.%2."/>
      <w:lvlJc w:val="left"/>
      <w:pPr>
        <w:tabs>
          <w:tab w:val="left" w:pos="705"/>
        </w:tabs>
        <w:ind w:left="705" w:hanging="705"/>
      </w:pPr>
      <w:rPr>
        <w:rFonts w:ascii="Arial" w:hAnsi="Arial" w:cs="Arial" w:hint="default"/>
        <w:color w:val="000000"/>
        <w:sz w:val="22"/>
      </w:rPr>
    </w:lvl>
    <w:lvl w:ilvl="2">
      <w:start w:val="1"/>
      <w:numFmt w:val="decimal"/>
      <w:lvlText w:val="%1.%2.%3"/>
      <w:lvlJc w:val="left"/>
      <w:pPr>
        <w:tabs>
          <w:tab w:val="left" w:pos="720"/>
        </w:tabs>
        <w:ind w:left="720" w:hanging="720"/>
      </w:pPr>
      <w:rPr>
        <w:rFonts w:ascii="Arial" w:hAnsi="Arial" w:cs="Arial" w:hint="default"/>
        <w:b/>
        <w:i w:val="0"/>
        <w:color w:val="auto"/>
        <w:sz w:val="24"/>
      </w:rPr>
    </w:lvl>
    <w:lvl w:ilvl="3">
      <w:start w:val="1"/>
      <w:numFmt w:val="decimal"/>
      <w:lvlText w:val="%1.%2.%3.%4"/>
      <w:lvlJc w:val="left"/>
      <w:pPr>
        <w:tabs>
          <w:tab w:val="left" w:pos="1080"/>
        </w:tabs>
        <w:ind w:left="1080" w:hanging="1080"/>
      </w:pPr>
      <w:rPr>
        <w:rFonts w:hint="default"/>
        <w:b/>
        <w:i w:val="0"/>
      </w:rPr>
    </w:lvl>
    <w:lvl w:ilvl="4">
      <w:start w:val="1"/>
      <w:numFmt w:val="decimal"/>
      <w:lvlText w:val="%1.%2.%3.%4.%5"/>
      <w:lvlJc w:val="left"/>
      <w:pPr>
        <w:tabs>
          <w:tab w:val="left" w:pos="1080"/>
        </w:tabs>
        <w:ind w:left="1080" w:hanging="1080"/>
      </w:pPr>
      <w:rPr>
        <w:rFonts w:hint="default"/>
        <w:b/>
        <w:i w:val="0"/>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28" w15:restartNumberingAfterBreak="0">
    <w:nsid w:val="10B40898"/>
    <w:multiLevelType w:val="multilevel"/>
    <w:tmpl w:val="10B4089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15:restartNumberingAfterBreak="0">
    <w:nsid w:val="11640093"/>
    <w:multiLevelType w:val="multilevel"/>
    <w:tmpl w:val="11640093"/>
    <w:lvl w:ilvl="0">
      <w:start w:val="15"/>
      <w:numFmt w:val="decimal"/>
      <w:lvlText w:val="%1."/>
      <w:lvlJc w:val="left"/>
      <w:pPr>
        <w:ind w:left="360" w:hanging="360"/>
      </w:pPr>
    </w:lvl>
    <w:lvl w:ilvl="1">
      <w:start w:val="1"/>
      <w:numFmt w:val="decimal"/>
      <w:lvlText w:val="%1.%2."/>
      <w:lvlJc w:val="left"/>
      <w:pPr>
        <w:ind w:left="720" w:hanging="720"/>
      </w:pPr>
      <w:rPr>
        <w:rFonts w:ascii="Arial" w:eastAsia="Arial" w:hAnsi="Arial" w:cs="Arial"/>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119075B1"/>
    <w:multiLevelType w:val="multilevel"/>
    <w:tmpl w:val="119075B1"/>
    <w:lvl w:ilvl="0">
      <w:start w:val="1"/>
      <w:numFmt w:val="lowerRoman"/>
      <w:lvlText w:val="%1."/>
      <w:lvlJc w:val="left"/>
      <w:pPr>
        <w:ind w:left="1996" w:hanging="360"/>
      </w:pPr>
      <w:rPr>
        <w:rFonts w:hint="default"/>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31" w15:restartNumberingAfterBreak="0">
    <w:nsid w:val="11D01E79"/>
    <w:multiLevelType w:val="multilevel"/>
    <w:tmpl w:val="11D01E79"/>
    <w:lvl w:ilvl="0">
      <w:start w:val="1"/>
      <w:numFmt w:val="lowerRoman"/>
      <w:lvlText w:val="%1)"/>
      <w:lvlJc w:val="left"/>
      <w:pPr>
        <w:ind w:left="2847" w:hanging="720"/>
      </w:pPr>
      <w:rPr>
        <w:b/>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32" w15:restartNumberingAfterBreak="0">
    <w:nsid w:val="127A7654"/>
    <w:multiLevelType w:val="multilevel"/>
    <w:tmpl w:val="127A7654"/>
    <w:lvl w:ilvl="0">
      <w:start w:val="1"/>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129F06D5"/>
    <w:multiLevelType w:val="multilevel"/>
    <w:tmpl w:val="129F06D5"/>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4" w15:restartNumberingAfterBreak="0">
    <w:nsid w:val="12B88DFD"/>
    <w:multiLevelType w:val="multilevel"/>
    <w:tmpl w:val="12B88DFD"/>
    <w:lvl w:ilvl="0">
      <w:start w:val="1"/>
      <w:numFmt w:val="lowerLetter"/>
      <w:lvlText w:val="%1)"/>
      <w:lvlJc w:val="left"/>
      <w:pPr>
        <w:ind w:left="705" w:hanging="705"/>
      </w:pPr>
      <w:rPr>
        <w:rFonts w:ascii="Arial" w:eastAsia="Arial" w:hAnsi="Arial" w:cs="Arial"/>
        <w:b w:val="0"/>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2D99D70"/>
    <w:multiLevelType w:val="multilevel"/>
    <w:tmpl w:val="12D99D70"/>
    <w:lvl w:ilvl="0">
      <w:start w:val="1"/>
      <w:numFmt w:val="decimal"/>
      <w:lvlText w:val="%1."/>
      <w:lvlJc w:val="right"/>
      <w:pPr>
        <w:ind w:left="360" w:hanging="72"/>
      </w:pPr>
      <w:rPr>
        <w:b/>
        <w:i w:val="0"/>
        <w:sz w:val="22"/>
        <w:szCs w:val="22"/>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15:restartNumberingAfterBreak="0">
    <w:nsid w:val="12FA6836"/>
    <w:multiLevelType w:val="multilevel"/>
    <w:tmpl w:val="12FA6836"/>
    <w:lvl w:ilvl="0">
      <w:start w:val="1"/>
      <w:numFmt w:val="lowerLetter"/>
      <w:lvlText w:val="%1)"/>
      <w:lvlJc w:val="left"/>
      <w:pPr>
        <w:ind w:left="1065" w:hanging="360"/>
      </w:pPr>
      <w:rPr>
        <w:b w:val="0"/>
      </w:rPr>
    </w:lvl>
    <w:lvl w:ilvl="1">
      <w:start w:val="1"/>
      <w:numFmt w:val="lowerRoman"/>
      <w:lvlText w:val="%2)"/>
      <w:lvlJc w:val="left"/>
      <w:pPr>
        <w:ind w:left="2145" w:hanging="720"/>
      </w:pPr>
      <w:rPr>
        <w:b w:val="0"/>
        <w:i w:val="0"/>
        <w:strike w:val="0"/>
        <w:sz w:val="22"/>
        <w:szCs w:val="22"/>
      </w:r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7" w15:restartNumberingAfterBreak="0">
    <w:nsid w:val="134AF97D"/>
    <w:multiLevelType w:val="multilevel"/>
    <w:tmpl w:val="134AF97D"/>
    <w:lvl w:ilvl="0">
      <w:start w:val="1"/>
      <w:numFmt w:val="lowerLetter"/>
      <w:lvlText w:val="%1)"/>
      <w:lvlJc w:val="left"/>
      <w:pPr>
        <w:ind w:left="706" w:hanging="7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14181FC8"/>
    <w:multiLevelType w:val="multilevel"/>
    <w:tmpl w:val="14181FC8"/>
    <w:lvl w:ilvl="0">
      <w:start w:val="23"/>
      <w:numFmt w:val="decimal"/>
      <w:pStyle w:val="Titulo3"/>
      <w:lvlText w:val="%1"/>
      <w:lvlJc w:val="left"/>
      <w:pPr>
        <w:ind w:left="384" w:hanging="384"/>
      </w:pPr>
    </w:lvl>
    <w:lvl w:ilvl="1">
      <w:start w:val="1"/>
      <w:numFmt w:val="decimal"/>
      <w:lvlText w:val="%1.%2"/>
      <w:lvlJc w:val="left"/>
      <w:pPr>
        <w:ind w:left="1104" w:hanging="384"/>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9" w15:restartNumberingAfterBreak="0">
    <w:nsid w:val="14326C5A"/>
    <w:multiLevelType w:val="multilevel"/>
    <w:tmpl w:val="14326C5A"/>
    <w:lvl w:ilvl="0">
      <w:start w:val="1"/>
      <w:numFmt w:val="lowerLetter"/>
      <w:lvlText w:val="%1)"/>
      <w:lvlJc w:val="left"/>
      <w:pPr>
        <w:ind w:left="1429" w:hanging="360"/>
      </w:pPr>
      <w:rPr>
        <w:color w:val="000000"/>
        <w:u w:val="none"/>
      </w:rPr>
    </w:lvl>
    <w:lvl w:ilvl="1">
      <w:start w:val="1"/>
      <w:numFmt w:val="lowerLetter"/>
      <w:pStyle w:val="Titulo2"/>
      <w:lvlText w:val="%2."/>
      <w:lvlJc w:val="left"/>
      <w:pPr>
        <w:ind w:left="2149" w:hanging="360"/>
      </w:pPr>
      <w:rPr>
        <w:color w:val="0000FF"/>
        <w:u w:val="single"/>
      </w:rPr>
    </w:lvl>
    <w:lvl w:ilvl="2">
      <w:start w:val="1"/>
      <w:numFmt w:val="lowerRoman"/>
      <w:lvlText w:val="%3."/>
      <w:lvlJc w:val="right"/>
      <w:pPr>
        <w:ind w:left="2869" w:hanging="180"/>
      </w:pPr>
      <w:rPr>
        <w:color w:val="0000FF"/>
        <w:u w:val="single"/>
      </w:rPr>
    </w:lvl>
    <w:lvl w:ilvl="3">
      <w:start w:val="1"/>
      <w:numFmt w:val="decimal"/>
      <w:lvlText w:val="%4."/>
      <w:lvlJc w:val="left"/>
      <w:pPr>
        <w:ind w:left="3589" w:hanging="360"/>
      </w:pPr>
      <w:rPr>
        <w:color w:val="0000FF"/>
        <w:u w:val="single"/>
      </w:rPr>
    </w:lvl>
    <w:lvl w:ilvl="4">
      <w:start w:val="1"/>
      <w:numFmt w:val="lowerLetter"/>
      <w:lvlText w:val="%5."/>
      <w:lvlJc w:val="left"/>
      <w:pPr>
        <w:ind w:left="4309" w:hanging="360"/>
      </w:pPr>
      <w:rPr>
        <w:color w:val="0000FF"/>
        <w:u w:val="single"/>
      </w:rPr>
    </w:lvl>
    <w:lvl w:ilvl="5">
      <w:start w:val="1"/>
      <w:numFmt w:val="lowerRoman"/>
      <w:lvlText w:val="%6."/>
      <w:lvlJc w:val="right"/>
      <w:pPr>
        <w:ind w:left="5029" w:hanging="180"/>
      </w:pPr>
      <w:rPr>
        <w:color w:val="0000FF"/>
        <w:u w:val="single"/>
      </w:rPr>
    </w:lvl>
    <w:lvl w:ilvl="6">
      <w:start w:val="1"/>
      <w:numFmt w:val="decimal"/>
      <w:lvlText w:val="%7."/>
      <w:lvlJc w:val="left"/>
      <w:pPr>
        <w:ind w:left="5749" w:hanging="360"/>
      </w:pPr>
      <w:rPr>
        <w:color w:val="0000FF"/>
        <w:u w:val="single"/>
      </w:rPr>
    </w:lvl>
    <w:lvl w:ilvl="7">
      <w:start w:val="1"/>
      <w:numFmt w:val="lowerLetter"/>
      <w:lvlText w:val="%8."/>
      <w:lvlJc w:val="left"/>
      <w:pPr>
        <w:ind w:left="6469" w:hanging="360"/>
      </w:pPr>
      <w:rPr>
        <w:color w:val="0000FF"/>
        <w:u w:val="single"/>
      </w:rPr>
    </w:lvl>
    <w:lvl w:ilvl="8">
      <w:start w:val="1"/>
      <w:numFmt w:val="lowerRoman"/>
      <w:lvlText w:val="%9."/>
      <w:lvlJc w:val="right"/>
      <w:pPr>
        <w:ind w:left="7189" w:hanging="180"/>
      </w:pPr>
      <w:rPr>
        <w:color w:val="0000FF"/>
        <w:u w:val="single"/>
      </w:rPr>
    </w:lvl>
  </w:abstractNum>
  <w:abstractNum w:abstractNumId="40" w15:restartNumberingAfterBreak="0">
    <w:nsid w:val="14DF60C2"/>
    <w:multiLevelType w:val="multilevel"/>
    <w:tmpl w:val="14DF60C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1" w15:restartNumberingAfterBreak="0">
    <w:nsid w:val="152D59A6"/>
    <w:multiLevelType w:val="multilevel"/>
    <w:tmpl w:val="0DCA7534"/>
    <w:lvl w:ilvl="0">
      <w:start w:val="1"/>
      <w:numFmt w:val="lowerLetter"/>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3A744E"/>
    <w:multiLevelType w:val="multilevel"/>
    <w:tmpl w:val="163A744E"/>
    <w:lvl w:ilvl="0">
      <w:start w:val="1"/>
      <w:numFmt w:val="lowerLetter"/>
      <w:lvlText w:val="%1."/>
      <w:lvlJc w:val="left"/>
      <w:pPr>
        <w:ind w:left="1996" w:hanging="360"/>
      </w:pPr>
      <w:rPr>
        <w:b/>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43" w15:restartNumberingAfterBreak="0">
    <w:nsid w:val="16A3F5FE"/>
    <w:multiLevelType w:val="multilevel"/>
    <w:tmpl w:val="16A3F5F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8052359"/>
    <w:multiLevelType w:val="multilevel"/>
    <w:tmpl w:val="18052359"/>
    <w:lvl w:ilvl="0">
      <w:start w:val="1"/>
      <w:numFmt w:val="lowerLetter"/>
      <w:pStyle w:val="Estilo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187616FB"/>
    <w:multiLevelType w:val="multilevel"/>
    <w:tmpl w:val="187616FB"/>
    <w:lvl w:ilvl="0">
      <w:start w:val="1"/>
      <w:numFmt w:val="lowerLetter"/>
      <w:lvlText w:val="%1)"/>
      <w:lvlJc w:val="left"/>
      <w:pPr>
        <w:ind w:left="1424"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8D721B7"/>
    <w:multiLevelType w:val="multilevel"/>
    <w:tmpl w:val="18D721B7"/>
    <w:lvl w:ilvl="0">
      <w:start w:val="25"/>
      <w:numFmt w:val="decimal"/>
      <w:pStyle w:val="ANNEX"/>
      <w:lvlText w:val="%1"/>
      <w:lvlJc w:val="left"/>
      <w:pPr>
        <w:ind w:left="384" w:hanging="384"/>
      </w:pPr>
      <w:rPr>
        <w:rFonts w:ascii="Calibri" w:eastAsia="Calibri" w:hAnsi="Calibri" w:cs="Calibri" w:hint="default"/>
        <w:color w:val="FF0000"/>
      </w:rPr>
    </w:lvl>
    <w:lvl w:ilvl="1">
      <w:start w:val="3"/>
      <w:numFmt w:val="decimal"/>
      <w:lvlText w:val="%1.%2"/>
      <w:lvlJc w:val="left"/>
      <w:pPr>
        <w:ind w:left="1104" w:hanging="384"/>
      </w:pPr>
      <w:rPr>
        <w:rFonts w:ascii="Calibri" w:eastAsia="Calibri" w:hAnsi="Calibri" w:cs="Calibri" w:hint="default"/>
        <w:color w:val="000000"/>
      </w:rPr>
    </w:lvl>
    <w:lvl w:ilvl="2">
      <w:start w:val="1"/>
      <w:numFmt w:val="decimal"/>
      <w:lvlText w:val="%1.%2.%3"/>
      <w:lvlJc w:val="left"/>
      <w:pPr>
        <w:ind w:left="2160" w:hanging="720"/>
      </w:pPr>
      <w:rPr>
        <w:rFonts w:ascii="Calibri" w:eastAsia="Calibri" w:hAnsi="Calibri" w:cs="Calibri" w:hint="default"/>
        <w:color w:val="000000"/>
      </w:rPr>
    </w:lvl>
    <w:lvl w:ilvl="3">
      <w:start w:val="1"/>
      <w:numFmt w:val="decimal"/>
      <w:lvlText w:val="%1.%2.%3.%4"/>
      <w:lvlJc w:val="left"/>
      <w:pPr>
        <w:ind w:left="2880" w:hanging="720"/>
      </w:pPr>
      <w:rPr>
        <w:rFonts w:ascii="Calibri" w:eastAsia="Calibri" w:hAnsi="Calibri" w:cs="Calibri" w:hint="default"/>
        <w:color w:val="FF0000"/>
      </w:rPr>
    </w:lvl>
    <w:lvl w:ilvl="4">
      <w:start w:val="1"/>
      <w:numFmt w:val="decimal"/>
      <w:lvlText w:val="%1.%2.%3.%4.%5"/>
      <w:lvlJc w:val="left"/>
      <w:pPr>
        <w:ind w:left="3960" w:hanging="1080"/>
      </w:pPr>
      <w:rPr>
        <w:rFonts w:ascii="Calibri" w:eastAsia="Calibri" w:hAnsi="Calibri" w:cs="Calibri" w:hint="default"/>
        <w:color w:val="FF0000"/>
      </w:rPr>
    </w:lvl>
    <w:lvl w:ilvl="5">
      <w:start w:val="1"/>
      <w:numFmt w:val="decimal"/>
      <w:lvlText w:val="%1.%2.%3.%4.%5.%6"/>
      <w:lvlJc w:val="left"/>
      <w:pPr>
        <w:ind w:left="4680" w:hanging="1080"/>
      </w:pPr>
      <w:rPr>
        <w:rFonts w:ascii="Calibri" w:eastAsia="Calibri" w:hAnsi="Calibri" w:cs="Calibri" w:hint="default"/>
        <w:color w:val="FF0000"/>
      </w:rPr>
    </w:lvl>
    <w:lvl w:ilvl="6">
      <w:start w:val="1"/>
      <w:numFmt w:val="decimal"/>
      <w:lvlText w:val="%1.%2.%3.%4.%5.%6.%7"/>
      <w:lvlJc w:val="left"/>
      <w:pPr>
        <w:ind w:left="5760" w:hanging="1440"/>
      </w:pPr>
      <w:rPr>
        <w:rFonts w:ascii="Calibri" w:eastAsia="Calibri" w:hAnsi="Calibri" w:cs="Calibri" w:hint="default"/>
        <w:color w:val="FF0000"/>
      </w:rPr>
    </w:lvl>
    <w:lvl w:ilvl="7">
      <w:start w:val="1"/>
      <w:numFmt w:val="decimal"/>
      <w:lvlText w:val="%1.%2.%3.%4.%5.%6.%7.%8"/>
      <w:lvlJc w:val="left"/>
      <w:pPr>
        <w:ind w:left="6480" w:hanging="1440"/>
      </w:pPr>
      <w:rPr>
        <w:rFonts w:ascii="Calibri" w:eastAsia="Calibri" w:hAnsi="Calibri" w:cs="Calibri" w:hint="default"/>
        <w:color w:val="FF0000"/>
      </w:rPr>
    </w:lvl>
    <w:lvl w:ilvl="8">
      <w:start w:val="1"/>
      <w:numFmt w:val="decimal"/>
      <w:lvlText w:val="%1.%2.%3.%4.%5.%6.%7.%8.%9"/>
      <w:lvlJc w:val="left"/>
      <w:pPr>
        <w:ind w:left="7200" w:hanging="1440"/>
      </w:pPr>
      <w:rPr>
        <w:rFonts w:ascii="Calibri" w:eastAsia="Calibri" w:hAnsi="Calibri" w:cs="Calibri" w:hint="default"/>
        <w:color w:val="FF0000"/>
      </w:rPr>
    </w:lvl>
  </w:abstractNum>
  <w:abstractNum w:abstractNumId="47" w15:restartNumberingAfterBreak="0">
    <w:nsid w:val="198E170B"/>
    <w:multiLevelType w:val="multilevel"/>
    <w:tmpl w:val="198E170B"/>
    <w:lvl w:ilvl="0">
      <w:start w:val="1"/>
      <w:numFmt w:val="lowerLetter"/>
      <w:lvlText w:val="%1)"/>
      <w:lvlJc w:val="left"/>
      <w:pPr>
        <w:ind w:left="720" w:hanging="360"/>
      </w:pPr>
      <w:rPr>
        <w:rFonts w:ascii="Arial" w:hAnsi="Arial" w:cs="Arial" w:hint="default"/>
        <w:b w:val="0"/>
        <w:i w:val="0"/>
        <w:caps w:val="0"/>
        <w:strike w:val="0"/>
        <w:dstrike w:val="0"/>
        <w:vanish w:val="0"/>
        <w:color w:val="auto"/>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9AE2A0E"/>
    <w:multiLevelType w:val="multilevel"/>
    <w:tmpl w:val="19AE2A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ABE9F1B"/>
    <w:multiLevelType w:val="multilevel"/>
    <w:tmpl w:val="1ABE9F1B"/>
    <w:lvl w:ilvl="0">
      <w:start w:val="1"/>
      <w:numFmt w:val="decimal"/>
      <w:lvlText w:val="%1."/>
      <w:lvlJc w:val="left"/>
      <w:pPr>
        <w:ind w:left="862" w:hanging="720"/>
      </w:pPr>
      <w:rPr>
        <w:b/>
      </w:rPr>
    </w:lvl>
    <w:lvl w:ilvl="1">
      <w:start w:val="2"/>
      <w:numFmt w:val="decimal"/>
      <w:lvlText w:val="%1.%2"/>
      <w:lvlJc w:val="left"/>
      <w:pPr>
        <w:ind w:left="769" w:hanging="555"/>
      </w:pPr>
    </w:lvl>
    <w:lvl w:ilvl="2">
      <w:start w:val="9"/>
      <w:numFmt w:val="decimal"/>
      <w:lvlText w:val="%1.%2.%3"/>
      <w:lvlJc w:val="left"/>
      <w:pPr>
        <w:ind w:left="1006" w:hanging="720"/>
      </w:pPr>
    </w:lvl>
    <w:lvl w:ilvl="3">
      <w:start w:val="2"/>
      <w:numFmt w:val="decimal"/>
      <w:lvlText w:val="%1.%2.%3.%4"/>
      <w:lvlJc w:val="left"/>
      <w:pPr>
        <w:ind w:left="1078" w:hanging="720"/>
      </w:pPr>
      <w:rPr>
        <w:b/>
      </w:rPr>
    </w:lvl>
    <w:lvl w:ilvl="4">
      <w:start w:val="1"/>
      <w:numFmt w:val="decimal"/>
      <w:lvlText w:val="%1.%2.%3.%4.%5"/>
      <w:lvlJc w:val="left"/>
      <w:pPr>
        <w:ind w:left="1150" w:hanging="720"/>
      </w:pPr>
    </w:lvl>
    <w:lvl w:ilvl="5">
      <w:start w:val="1"/>
      <w:numFmt w:val="decimal"/>
      <w:lvlText w:val="%1.%2.%3.%4.%5.%6"/>
      <w:lvlJc w:val="left"/>
      <w:pPr>
        <w:ind w:left="1582" w:hanging="1080"/>
      </w:pPr>
    </w:lvl>
    <w:lvl w:ilvl="6">
      <w:start w:val="1"/>
      <w:numFmt w:val="decimal"/>
      <w:lvlText w:val="%1.%2.%3.%4.%5.%6.%7"/>
      <w:lvlJc w:val="left"/>
      <w:pPr>
        <w:ind w:left="1654" w:hanging="1080"/>
      </w:pPr>
    </w:lvl>
    <w:lvl w:ilvl="7">
      <w:start w:val="1"/>
      <w:numFmt w:val="decimal"/>
      <w:lvlText w:val="%1.%2.%3.%4.%5.%6.%7.%8"/>
      <w:lvlJc w:val="left"/>
      <w:pPr>
        <w:ind w:left="2086" w:hanging="1440"/>
      </w:pPr>
    </w:lvl>
    <w:lvl w:ilvl="8">
      <w:start w:val="1"/>
      <w:numFmt w:val="decimal"/>
      <w:lvlText w:val="%1.%2.%3.%4.%5.%6.%7.%8.%9"/>
      <w:lvlJc w:val="left"/>
      <w:pPr>
        <w:ind w:left="2158" w:hanging="1440"/>
      </w:pPr>
    </w:lvl>
  </w:abstractNum>
  <w:abstractNum w:abstractNumId="50" w15:restartNumberingAfterBreak="0">
    <w:nsid w:val="1AC81361"/>
    <w:multiLevelType w:val="multilevel"/>
    <w:tmpl w:val="1AC81361"/>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1" w15:restartNumberingAfterBreak="0">
    <w:nsid w:val="1B16280D"/>
    <w:multiLevelType w:val="multilevel"/>
    <w:tmpl w:val="1B16280D"/>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1B7B067C"/>
    <w:multiLevelType w:val="multilevel"/>
    <w:tmpl w:val="1B7B067C"/>
    <w:lvl w:ilvl="0">
      <w:start w:val="1"/>
      <w:numFmt w:val="lowerLetter"/>
      <w:pStyle w:val="tomas1"/>
      <w:lvlText w:val="%1)"/>
      <w:lvlJc w:val="left"/>
      <w:pPr>
        <w:ind w:left="1428" w:hanging="360"/>
      </w:pPr>
    </w:lvl>
    <w:lvl w:ilvl="1">
      <w:start w:val="1"/>
      <w:numFmt w:val="lowerLetter"/>
      <w:pStyle w:val="tomas2"/>
      <w:lvlText w:val="%2."/>
      <w:lvlJc w:val="left"/>
      <w:pPr>
        <w:ind w:left="2148" w:hanging="360"/>
      </w:pPr>
    </w:lvl>
    <w:lvl w:ilvl="2">
      <w:start w:val="1"/>
      <w:numFmt w:val="lowerRoman"/>
      <w:pStyle w:val="tomas3"/>
      <w:lvlText w:val="%3."/>
      <w:lvlJc w:val="right"/>
      <w:pPr>
        <w:ind w:left="2868" w:hanging="180"/>
      </w:pPr>
    </w:lvl>
    <w:lvl w:ilvl="3">
      <w:start w:val="1"/>
      <w:numFmt w:val="decimal"/>
      <w:pStyle w:val="tomas4"/>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3" w15:restartNumberingAfterBreak="0">
    <w:nsid w:val="1C1D3F4C"/>
    <w:multiLevelType w:val="multilevel"/>
    <w:tmpl w:val="1C1D3F4C"/>
    <w:lvl w:ilvl="0">
      <w:start w:val="1"/>
      <w:numFmt w:val="lowerLetter"/>
      <w:pStyle w:val="CAPTULO"/>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CCA2A8F"/>
    <w:multiLevelType w:val="multilevel"/>
    <w:tmpl w:val="1CCA2A8F"/>
    <w:lvl w:ilvl="0">
      <w:start w:val="1"/>
      <w:numFmt w:val="lowerLetter"/>
      <w:pStyle w:val="ResumeBullet"/>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1CF17783"/>
    <w:multiLevelType w:val="multilevel"/>
    <w:tmpl w:val="1CF17783"/>
    <w:lvl w:ilvl="0">
      <w:start w:val="1"/>
      <w:numFmt w:val="lowerLetter"/>
      <w:pStyle w:val="Titulo4numerado"/>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6" w15:restartNumberingAfterBreak="0">
    <w:nsid w:val="1DE47567"/>
    <w:multiLevelType w:val="multilevel"/>
    <w:tmpl w:val="1DE475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E5384B1"/>
    <w:multiLevelType w:val="multilevel"/>
    <w:tmpl w:val="1E5384B1"/>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EDA4B32"/>
    <w:multiLevelType w:val="multilevel"/>
    <w:tmpl w:val="1EDA4B32"/>
    <w:lvl w:ilvl="0">
      <w:start w:val="1"/>
      <w:numFmt w:val="lowerLetter"/>
      <w:pStyle w:val="Numerar"/>
      <w:lvlText w:val="%1)"/>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012157F"/>
    <w:multiLevelType w:val="multilevel"/>
    <w:tmpl w:val="2012157F"/>
    <w:lvl w:ilvl="0">
      <w:start w:val="1"/>
      <w:numFmt w:val="lowerLetter"/>
      <w:pStyle w:val="PABullet1"/>
      <w:lvlText w:val="%1)"/>
      <w:lvlJc w:val="left"/>
      <w:pPr>
        <w:ind w:left="1069" w:hanging="360"/>
      </w:pPr>
    </w:lvl>
    <w:lvl w:ilvl="1">
      <w:start w:val="1"/>
      <w:numFmt w:val="lowerLetter"/>
      <w:lvlText w:val="%2."/>
      <w:lvlJc w:val="left"/>
      <w:pPr>
        <w:ind w:left="1789" w:hanging="360"/>
      </w:pPr>
    </w:lvl>
    <w:lvl w:ilvl="2">
      <w:start w:val="1"/>
      <w:numFmt w:val="lowerLetter"/>
      <w:lvlText w:val="%3)"/>
      <w:lvlJc w:val="left"/>
      <w:pPr>
        <w:ind w:left="1315"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20BDD9A9"/>
    <w:multiLevelType w:val="multilevel"/>
    <w:tmpl w:val="20BDD9A9"/>
    <w:lvl w:ilvl="0">
      <w:start w:val="6"/>
      <w:numFmt w:val="decimal"/>
      <w:lvlText w:val="%1."/>
      <w:lvlJc w:val="left"/>
      <w:pPr>
        <w:ind w:left="360" w:hanging="360"/>
      </w:pPr>
    </w:lvl>
    <w:lvl w:ilvl="1">
      <w:start w:val="1"/>
      <w:numFmt w:val="decimal"/>
      <w:lvlText w:val="%1.%2."/>
      <w:lvlJc w:val="left"/>
      <w:pPr>
        <w:ind w:left="720" w:hanging="720"/>
      </w:pPr>
      <w:rPr>
        <w:strike w:val="0"/>
        <w:color w:val="000000" w:themeColor="text1"/>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15:restartNumberingAfterBreak="0">
    <w:nsid w:val="21015623"/>
    <w:multiLevelType w:val="multilevel"/>
    <w:tmpl w:val="21015623"/>
    <w:lvl w:ilvl="0">
      <w:start w:val="1"/>
      <w:numFmt w:val="lowerLetter"/>
      <w:pStyle w:val="Titulo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20E7DAC"/>
    <w:multiLevelType w:val="multilevel"/>
    <w:tmpl w:val="220E7DAC"/>
    <w:lvl w:ilvl="0">
      <w:start w:val="1"/>
      <w:numFmt w:val="lowerLetter"/>
      <w:lvlText w:val="%1)"/>
      <w:lvlJc w:val="left"/>
      <w:pPr>
        <w:ind w:left="70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23F04C8"/>
    <w:multiLevelType w:val="multilevel"/>
    <w:tmpl w:val="223F04C8"/>
    <w:lvl w:ilvl="0">
      <w:start w:val="1"/>
      <w:numFmt w:val="lowerLetter"/>
      <w:lvlText w:val="%1)"/>
      <w:lvlJc w:val="left"/>
      <w:pPr>
        <w:ind w:left="720" w:hanging="360"/>
      </w:pPr>
    </w:lvl>
    <w:lvl w:ilvl="1">
      <w:start w:val="1"/>
      <w:numFmt w:val="lowerLetter"/>
      <w:pStyle w:val="MyLis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27B871C"/>
    <w:multiLevelType w:val="multilevel"/>
    <w:tmpl w:val="227B871C"/>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22A42911"/>
    <w:multiLevelType w:val="multilevel"/>
    <w:tmpl w:val="22A42911"/>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66" w15:restartNumberingAfterBreak="0">
    <w:nsid w:val="22B04D94"/>
    <w:multiLevelType w:val="multilevel"/>
    <w:tmpl w:val="22B04D94"/>
    <w:lvl w:ilvl="0">
      <w:start w:val="1"/>
      <w:numFmt w:val="lowerLetter"/>
      <w:lvlText w:val="%1)"/>
      <w:lvlJc w:val="left"/>
      <w:pPr>
        <w:ind w:left="1144"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41323D7"/>
    <w:multiLevelType w:val="multilevel"/>
    <w:tmpl w:val="241323D7"/>
    <w:lvl w:ilvl="0">
      <w:start w:val="9"/>
      <w:numFmt w:val="decimal"/>
      <w:lvlText w:val="%1."/>
      <w:lvlJc w:val="left"/>
      <w:pPr>
        <w:ind w:left="360" w:hanging="360"/>
      </w:pPr>
    </w:lvl>
    <w:lvl w:ilvl="1">
      <w:start w:val="1"/>
      <w:numFmt w:val="decimal"/>
      <w:lvlText w:val="%1.%2."/>
      <w:lvlJc w:val="left"/>
      <w:pPr>
        <w:ind w:left="720" w:hanging="720"/>
      </w:pPr>
      <w:rPr>
        <w:rFonts w:ascii="Arial" w:eastAsia="Arial" w:hAnsi="Arial" w:cs="Arial"/>
        <w:b w:val="0"/>
        <w:smallCaps w:val="0"/>
        <w:strike w:val="0"/>
        <w:vertAlign w:val="baseli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15:restartNumberingAfterBreak="0">
    <w:nsid w:val="25100444"/>
    <w:multiLevelType w:val="multilevel"/>
    <w:tmpl w:val="25100444"/>
    <w:lvl w:ilvl="0">
      <w:start w:val="5"/>
      <w:numFmt w:val="decimal"/>
      <w:pStyle w:val="JOSE1"/>
      <w:lvlText w:val="%1"/>
      <w:lvlJc w:val="left"/>
      <w:pPr>
        <w:ind w:left="360" w:hanging="360"/>
      </w:pPr>
      <w:rPr>
        <w:color w:val="0000FF"/>
        <w:u w:val="single"/>
      </w:rPr>
    </w:lvl>
    <w:lvl w:ilvl="1">
      <w:start w:val="1"/>
      <w:numFmt w:val="decimal"/>
      <w:lvlText w:val="%1.%2"/>
      <w:lvlJc w:val="left"/>
      <w:pPr>
        <w:ind w:left="720" w:hanging="360"/>
      </w:pPr>
      <w:rPr>
        <w:rFonts w:ascii="Calibri" w:eastAsia="Calibri" w:hAnsi="Calibri" w:cs="Calibri"/>
        <w:color w:val="000000"/>
        <w:u w:val="none"/>
      </w:rPr>
    </w:lvl>
    <w:lvl w:ilvl="2">
      <w:start w:val="1"/>
      <w:numFmt w:val="decimal"/>
      <w:lvlText w:val="%1.%2.%3"/>
      <w:lvlJc w:val="left"/>
      <w:pPr>
        <w:ind w:left="1440" w:hanging="720"/>
      </w:pPr>
      <w:rPr>
        <w:color w:val="0000FF"/>
        <w:u w:val="single"/>
      </w:rPr>
    </w:lvl>
    <w:lvl w:ilvl="3">
      <w:start w:val="1"/>
      <w:numFmt w:val="decimal"/>
      <w:lvlText w:val="%1.%2.%3.%4"/>
      <w:lvlJc w:val="left"/>
      <w:pPr>
        <w:ind w:left="1800" w:hanging="720"/>
      </w:pPr>
      <w:rPr>
        <w:color w:val="0000FF"/>
        <w:u w:val="single"/>
      </w:rPr>
    </w:lvl>
    <w:lvl w:ilvl="4">
      <w:start w:val="1"/>
      <w:numFmt w:val="decimal"/>
      <w:lvlText w:val="%1.%2.%3.%4.%5"/>
      <w:lvlJc w:val="left"/>
      <w:pPr>
        <w:ind w:left="2520" w:hanging="1080"/>
      </w:pPr>
      <w:rPr>
        <w:color w:val="0000FF"/>
        <w:u w:val="single"/>
      </w:rPr>
    </w:lvl>
    <w:lvl w:ilvl="5">
      <w:start w:val="1"/>
      <w:numFmt w:val="decimal"/>
      <w:lvlText w:val="%1.%2.%3.%4.%5.%6"/>
      <w:lvlJc w:val="left"/>
      <w:pPr>
        <w:ind w:left="2880" w:hanging="1080"/>
      </w:pPr>
      <w:rPr>
        <w:color w:val="0000FF"/>
        <w:u w:val="single"/>
      </w:rPr>
    </w:lvl>
    <w:lvl w:ilvl="6">
      <w:start w:val="1"/>
      <w:numFmt w:val="decimal"/>
      <w:lvlText w:val="%1.%2.%3.%4.%5.%6.%7"/>
      <w:lvlJc w:val="left"/>
      <w:pPr>
        <w:ind w:left="3600" w:hanging="1440"/>
      </w:pPr>
      <w:rPr>
        <w:color w:val="0000FF"/>
        <w:u w:val="single"/>
      </w:rPr>
    </w:lvl>
    <w:lvl w:ilvl="7">
      <w:start w:val="1"/>
      <w:numFmt w:val="decimal"/>
      <w:lvlText w:val="%1.%2.%3.%4.%5.%6.%7.%8"/>
      <w:lvlJc w:val="left"/>
      <w:pPr>
        <w:ind w:left="3960" w:hanging="1440"/>
      </w:pPr>
      <w:rPr>
        <w:color w:val="0000FF"/>
        <w:u w:val="single"/>
      </w:rPr>
    </w:lvl>
    <w:lvl w:ilvl="8">
      <w:start w:val="1"/>
      <w:numFmt w:val="decimal"/>
      <w:lvlText w:val="%1.%2.%3.%4.%5.%6.%7.%8.%9"/>
      <w:lvlJc w:val="left"/>
      <w:pPr>
        <w:ind w:left="4320" w:hanging="1440"/>
      </w:pPr>
      <w:rPr>
        <w:color w:val="0000FF"/>
        <w:u w:val="single"/>
      </w:rPr>
    </w:lvl>
  </w:abstractNum>
  <w:abstractNum w:abstractNumId="69" w15:restartNumberingAfterBreak="0">
    <w:nsid w:val="26442E11"/>
    <w:multiLevelType w:val="multilevel"/>
    <w:tmpl w:val="26442E11"/>
    <w:lvl w:ilvl="0">
      <w:start w:val="18"/>
      <w:numFmt w:val="decimal"/>
      <w:pStyle w:val="Listaconnmeros21"/>
      <w:lvlText w:val="%1"/>
      <w:lvlJc w:val="left"/>
      <w:pPr>
        <w:ind w:left="384" w:hanging="384"/>
      </w:pPr>
      <w:rPr>
        <w:rFonts w:ascii="Calibri" w:eastAsia="Calibri" w:hAnsi="Calibri" w:cs="Calibri"/>
        <w:color w:val="FF0000"/>
        <w:u w:val="none"/>
      </w:rPr>
    </w:lvl>
    <w:lvl w:ilvl="1">
      <w:start w:val="3"/>
      <w:numFmt w:val="decimal"/>
      <w:lvlText w:val="%1.%2"/>
      <w:lvlJc w:val="left"/>
      <w:pPr>
        <w:ind w:left="384" w:hanging="384"/>
      </w:pPr>
      <w:rPr>
        <w:rFonts w:ascii="Calibri" w:eastAsia="Calibri" w:hAnsi="Calibri" w:cs="Calibri"/>
        <w:color w:val="000000"/>
        <w:u w:val="none"/>
      </w:rPr>
    </w:lvl>
    <w:lvl w:ilvl="2">
      <w:start w:val="1"/>
      <w:numFmt w:val="decimal"/>
      <w:lvlText w:val="%1.%2.%3"/>
      <w:lvlJc w:val="left"/>
      <w:pPr>
        <w:ind w:left="720" w:hanging="720"/>
      </w:pPr>
      <w:rPr>
        <w:rFonts w:ascii="Calibri" w:eastAsia="Calibri" w:hAnsi="Calibri" w:cs="Calibri"/>
        <w:color w:val="FF0000"/>
        <w:u w:val="none"/>
      </w:rPr>
    </w:lvl>
    <w:lvl w:ilvl="3">
      <w:start w:val="1"/>
      <w:numFmt w:val="decimal"/>
      <w:lvlText w:val="%1.%2.%3.%4"/>
      <w:lvlJc w:val="left"/>
      <w:pPr>
        <w:ind w:left="720" w:hanging="720"/>
      </w:pPr>
      <w:rPr>
        <w:rFonts w:ascii="Calibri" w:eastAsia="Calibri" w:hAnsi="Calibri" w:cs="Calibri"/>
        <w:color w:val="FF0000"/>
        <w:u w:val="none"/>
      </w:rPr>
    </w:lvl>
    <w:lvl w:ilvl="4">
      <w:start w:val="1"/>
      <w:numFmt w:val="decimal"/>
      <w:lvlText w:val="%1.%2.%3.%4.%5"/>
      <w:lvlJc w:val="left"/>
      <w:pPr>
        <w:ind w:left="1080" w:hanging="1080"/>
      </w:pPr>
      <w:rPr>
        <w:rFonts w:ascii="Calibri" w:eastAsia="Calibri" w:hAnsi="Calibri" w:cs="Calibri"/>
        <w:color w:val="FF0000"/>
        <w:u w:val="none"/>
      </w:rPr>
    </w:lvl>
    <w:lvl w:ilvl="5">
      <w:start w:val="1"/>
      <w:numFmt w:val="decimal"/>
      <w:lvlText w:val="%1.%2.%3.%4.%5.%6"/>
      <w:lvlJc w:val="left"/>
      <w:pPr>
        <w:ind w:left="1080" w:hanging="1080"/>
      </w:pPr>
      <w:rPr>
        <w:rFonts w:ascii="Calibri" w:eastAsia="Calibri" w:hAnsi="Calibri" w:cs="Calibri"/>
        <w:color w:val="FF0000"/>
        <w:u w:val="none"/>
      </w:rPr>
    </w:lvl>
    <w:lvl w:ilvl="6">
      <w:start w:val="1"/>
      <w:numFmt w:val="decimal"/>
      <w:lvlText w:val="%1.%2.%3.%4.%5.%6.%7"/>
      <w:lvlJc w:val="left"/>
      <w:pPr>
        <w:ind w:left="1440" w:hanging="1440"/>
      </w:pPr>
      <w:rPr>
        <w:rFonts w:ascii="Calibri" w:eastAsia="Calibri" w:hAnsi="Calibri" w:cs="Calibri"/>
        <w:color w:val="FF0000"/>
        <w:u w:val="none"/>
      </w:rPr>
    </w:lvl>
    <w:lvl w:ilvl="7">
      <w:start w:val="1"/>
      <w:numFmt w:val="decimal"/>
      <w:lvlText w:val="%1.%2.%3.%4.%5.%6.%7.%8"/>
      <w:lvlJc w:val="left"/>
      <w:pPr>
        <w:ind w:left="1440" w:hanging="1440"/>
      </w:pPr>
      <w:rPr>
        <w:rFonts w:ascii="Calibri" w:eastAsia="Calibri" w:hAnsi="Calibri" w:cs="Calibri"/>
        <w:color w:val="FF0000"/>
        <w:u w:val="none"/>
      </w:rPr>
    </w:lvl>
    <w:lvl w:ilvl="8">
      <w:start w:val="1"/>
      <w:numFmt w:val="decimal"/>
      <w:lvlText w:val="%1.%2.%3.%4.%5.%6.%7.%8.%9"/>
      <w:lvlJc w:val="left"/>
      <w:pPr>
        <w:ind w:left="1440" w:hanging="1440"/>
      </w:pPr>
      <w:rPr>
        <w:rFonts w:ascii="Calibri" w:eastAsia="Calibri" w:hAnsi="Calibri" w:cs="Calibri"/>
        <w:color w:val="FF0000"/>
        <w:u w:val="none"/>
      </w:rPr>
    </w:lvl>
  </w:abstractNum>
  <w:abstractNum w:abstractNumId="70" w15:restartNumberingAfterBreak="0">
    <w:nsid w:val="277A28EA"/>
    <w:multiLevelType w:val="multilevel"/>
    <w:tmpl w:val="277A28EA"/>
    <w:lvl w:ilvl="0">
      <w:start w:val="1"/>
      <w:numFmt w:val="lowerRoman"/>
      <w:lvlText w:val="%1."/>
      <w:lvlJc w:val="left"/>
      <w:pPr>
        <w:ind w:left="1068" w:hanging="360"/>
      </w:pPr>
    </w:lvl>
    <w:lvl w:ilvl="1">
      <w:start w:val="1"/>
      <w:numFmt w:val="lowerLetter"/>
      <w:lvlText w:val="%2)"/>
      <w:lvlJc w:val="left"/>
      <w:pPr>
        <w:ind w:left="1788" w:hanging="360"/>
      </w:pPr>
      <w:rPr>
        <w:color w:val="000000"/>
      </w:rPr>
    </w:lvl>
    <w:lvl w:ilvl="2">
      <w:start w:val="1"/>
      <w:numFmt w:val="lowerRoman"/>
      <w:lvlText w:val="%3."/>
      <w:lvlJc w:val="left"/>
      <w:pPr>
        <w:ind w:left="2688" w:hanging="360"/>
      </w:pPr>
    </w:lvl>
    <w:lvl w:ilvl="3">
      <w:start w:val="5"/>
      <w:numFmt w:val="lowerRoman"/>
      <w:lvlText w:val="(%4)"/>
      <w:lvlJc w:val="left"/>
      <w:pPr>
        <w:ind w:left="3588" w:hanging="720"/>
      </w:pPr>
    </w:lvl>
    <w:lvl w:ilvl="4">
      <w:start w:val="6"/>
      <w:numFmt w:val="upperRoman"/>
      <w:lvlText w:val="(%5)"/>
      <w:lvlJc w:val="left"/>
      <w:pPr>
        <w:ind w:left="4308" w:hanging="72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1" w15:restartNumberingAfterBreak="0">
    <w:nsid w:val="278024D9"/>
    <w:multiLevelType w:val="multilevel"/>
    <w:tmpl w:val="278024D9"/>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281760B6"/>
    <w:multiLevelType w:val="multilevel"/>
    <w:tmpl w:val="281760B6"/>
    <w:lvl w:ilvl="0">
      <w:numFmt w:val="decimal"/>
      <w:lvlText w:val=""/>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88C2B4F"/>
    <w:multiLevelType w:val="multilevel"/>
    <w:tmpl w:val="288C2B4F"/>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28DA71DD"/>
    <w:multiLevelType w:val="multilevel"/>
    <w:tmpl w:val="28DA71DD"/>
    <w:lvl w:ilvl="0">
      <w:start w:val="1"/>
      <w:numFmt w:val="lowerLetter"/>
      <w:pStyle w:val="vieta"/>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5" w15:restartNumberingAfterBreak="0">
    <w:nsid w:val="29310012"/>
    <w:multiLevelType w:val="multilevel"/>
    <w:tmpl w:val="29310012"/>
    <w:lvl w:ilvl="0">
      <w:start w:val="1"/>
      <w:numFmt w:val="bullet"/>
      <w:pStyle w:val="Listaconnmeros4"/>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9F72369"/>
    <w:multiLevelType w:val="multilevel"/>
    <w:tmpl w:val="29F72369"/>
    <w:lvl w:ilvl="0">
      <w:start w:val="1"/>
      <w:numFmt w:val="bullet"/>
      <w:pStyle w:val="Listaconnmeros2"/>
      <w:lvlText w:val="▪"/>
      <w:lvlJc w:val="left"/>
      <w:pPr>
        <w:ind w:left="715" w:hanging="360"/>
      </w:pPr>
      <w:rPr>
        <w:rFonts w:ascii="Noto Sans Symbols" w:eastAsia="Noto Sans Symbols" w:hAnsi="Noto Sans Symbols" w:cs="Noto Sans Symbols"/>
      </w:rPr>
    </w:lvl>
    <w:lvl w:ilvl="1">
      <w:start w:val="1"/>
      <w:numFmt w:val="lowerLetter"/>
      <w:lvlText w:val="%2."/>
      <w:lvlJc w:val="left"/>
      <w:pPr>
        <w:ind w:left="1435" w:hanging="360"/>
      </w:pPr>
    </w:lvl>
    <w:lvl w:ilvl="2">
      <w:start w:val="1"/>
      <w:numFmt w:val="lowerRoman"/>
      <w:lvlText w:val="%3."/>
      <w:lvlJc w:val="right"/>
      <w:pPr>
        <w:ind w:left="2155" w:hanging="180"/>
      </w:pPr>
    </w:lvl>
    <w:lvl w:ilvl="3">
      <w:start w:val="1"/>
      <w:numFmt w:val="decimal"/>
      <w:lvlText w:val="%4."/>
      <w:lvlJc w:val="left"/>
      <w:pPr>
        <w:ind w:left="2875" w:hanging="360"/>
      </w:pPr>
    </w:lvl>
    <w:lvl w:ilvl="4">
      <w:start w:val="1"/>
      <w:numFmt w:val="lowerLetter"/>
      <w:lvlText w:val="%5."/>
      <w:lvlJc w:val="left"/>
      <w:pPr>
        <w:ind w:left="3595" w:hanging="360"/>
      </w:pPr>
    </w:lvl>
    <w:lvl w:ilvl="5">
      <w:start w:val="1"/>
      <w:numFmt w:val="lowerRoman"/>
      <w:lvlText w:val="%6."/>
      <w:lvlJc w:val="right"/>
      <w:pPr>
        <w:ind w:left="4315" w:hanging="180"/>
      </w:pPr>
    </w:lvl>
    <w:lvl w:ilvl="6">
      <w:start w:val="1"/>
      <w:numFmt w:val="decimal"/>
      <w:lvlText w:val="%7."/>
      <w:lvlJc w:val="left"/>
      <w:pPr>
        <w:ind w:left="5035" w:hanging="360"/>
      </w:pPr>
    </w:lvl>
    <w:lvl w:ilvl="7">
      <w:start w:val="1"/>
      <w:numFmt w:val="lowerLetter"/>
      <w:lvlText w:val="%8."/>
      <w:lvlJc w:val="left"/>
      <w:pPr>
        <w:ind w:left="5755" w:hanging="360"/>
      </w:pPr>
    </w:lvl>
    <w:lvl w:ilvl="8">
      <w:start w:val="1"/>
      <w:numFmt w:val="lowerRoman"/>
      <w:lvlText w:val="%9."/>
      <w:lvlJc w:val="right"/>
      <w:pPr>
        <w:ind w:left="6475" w:hanging="180"/>
      </w:pPr>
    </w:lvl>
  </w:abstractNum>
  <w:abstractNum w:abstractNumId="77" w15:restartNumberingAfterBreak="0">
    <w:nsid w:val="2A000AA5"/>
    <w:multiLevelType w:val="multilevel"/>
    <w:tmpl w:val="2A000A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B9C38B8"/>
    <w:multiLevelType w:val="multilevel"/>
    <w:tmpl w:val="2B9C38B8"/>
    <w:lvl w:ilvl="0">
      <w:start w:val="6"/>
      <w:numFmt w:val="decimal"/>
      <w:pStyle w:val="ALG-Vietas1"/>
      <w:lvlText w:val="%1."/>
      <w:lvlJc w:val="left"/>
      <w:pPr>
        <w:ind w:left="360" w:hanging="360"/>
      </w:pPr>
      <w:rPr>
        <w:color w:val="FFFFFF"/>
      </w:r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2BACD018"/>
    <w:multiLevelType w:val="multilevel"/>
    <w:tmpl w:val="2BACD018"/>
    <w:lvl w:ilvl="0">
      <w:start w:val="1"/>
      <w:numFmt w:val="lowerLetter"/>
      <w:lvlText w:val="%1)"/>
      <w:lvlJc w:val="left"/>
      <w:pPr>
        <w:ind w:left="1429" w:hanging="360"/>
      </w:pPr>
      <w:rPr>
        <w:rFonts w:ascii="Arial" w:eastAsia="Arial" w:hAnsi="Arial" w:cs="Arial"/>
        <w:b w:val="0"/>
        <w:i w:val="0"/>
        <w:smallCaps w:val="0"/>
        <w:strike w:val="0"/>
        <w:color w:val="000000"/>
        <w:sz w:val="22"/>
        <w:szCs w:val="22"/>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2BE93276"/>
    <w:multiLevelType w:val="multilevel"/>
    <w:tmpl w:val="2BE93276"/>
    <w:lvl w:ilvl="0">
      <w:start w:val="1"/>
      <w:numFmt w:val="bullet"/>
      <w:pStyle w:val="V-01"/>
      <w:lvlText w:val=""/>
      <w:lvlJc w:val="left"/>
      <w:pPr>
        <w:ind w:left="2618" w:hanging="360"/>
      </w:pPr>
      <w:rPr>
        <w:rFonts w:ascii="Symbol" w:hAnsi="Symbol" w:hint="default"/>
      </w:rPr>
    </w:lvl>
    <w:lvl w:ilvl="1">
      <w:start w:val="1"/>
      <w:numFmt w:val="bullet"/>
      <w:lvlText w:val="o"/>
      <w:lvlJc w:val="left"/>
      <w:pPr>
        <w:ind w:left="2913" w:hanging="360"/>
      </w:pPr>
      <w:rPr>
        <w:rFonts w:ascii="Courier New" w:hAnsi="Courier New" w:cs="Courier New" w:hint="default"/>
      </w:rPr>
    </w:lvl>
    <w:lvl w:ilvl="2">
      <w:start w:val="1"/>
      <w:numFmt w:val="bullet"/>
      <w:lvlText w:val=""/>
      <w:lvlJc w:val="left"/>
      <w:pPr>
        <w:ind w:left="3633" w:hanging="360"/>
      </w:pPr>
      <w:rPr>
        <w:rFonts w:ascii="Wingdings" w:hAnsi="Wingdings" w:hint="default"/>
      </w:rPr>
    </w:lvl>
    <w:lvl w:ilvl="3">
      <w:start w:val="1"/>
      <w:numFmt w:val="bullet"/>
      <w:lvlText w:val=""/>
      <w:lvlJc w:val="left"/>
      <w:pPr>
        <w:ind w:left="4353" w:hanging="360"/>
      </w:pPr>
      <w:rPr>
        <w:rFonts w:ascii="Symbol" w:hAnsi="Symbol" w:hint="default"/>
      </w:rPr>
    </w:lvl>
    <w:lvl w:ilvl="4">
      <w:start w:val="1"/>
      <w:numFmt w:val="bullet"/>
      <w:lvlText w:val="o"/>
      <w:lvlJc w:val="left"/>
      <w:pPr>
        <w:ind w:left="5073" w:hanging="360"/>
      </w:pPr>
      <w:rPr>
        <w:rFonts w:ascii="Courier New" w:hAnsi="Courier New" w:cs="Courier New" w:hint="default"/>
      </w:rPr>
    </w:lvl>
    <w:lvl w:ilvl="5">
      <w:start w:val="1"/>
      <w:numFmt w:val="bullet"/>
      <w:lvlText w:val=""/>
      <w:lvlJc w:val="left"/>
      <w:pPr>
        <w:ind w:left="5793" w:hanging="360"/>
      </w:pPr>
      <w:rPr>
        <w:rFonts w:ascii="Wingdings" w:hAnsi="Wingdings" w:hint="default"/>
      </w:rPr>
    </w:lvl>
    <w:lvl w:ilvl="6">
      <w:start w:val="1"/>
      <w:numFmt w:val="bullet"/>
      <w:lvlText w:val=""/>
      <w:lvlJc w:val="left"/>
      <w:pPr>
        <w:ind w:left="6513" w:hanging="360"/>
      </w:pPr>
      <w:rPr>
        <w:rFonts w:ascii="Symbol" w:hAnsi="Symbol" w:hint="default"/>
      </w:rPr>
    </w:lvl>
    <w:lvl w:ilvl="7">
      <w:start w:val="1"/>
      <w:numFmt w:val="bullet"/>
      <w:lvlText w:val="o"/>
      <w:lvlJc w:val="left"/>
      <w:pPr>
        <w:ind w:left="7233" w:hanging="360"/>
      </w:pPr>
      <w:rPr>
        <w:rFonts w:ascii="Courier New" w:hAnsi="Courier New" w:cs="Courier New" w:hint="default"/>
      </w:rPr>
    </w:lvl>
    <w:lvl w:ilvl="8">
      <w:start w:val="1"/>
      <w:numFmt w:val="bullet"/>
      <w:lvlText w:val=""/>
      <w:lvlJc w:val="left"/>
      <w:pPr>
        <w:ind w:left="7953" w:hanging="360"/>
      </w:pPr>
      <w:rPr>
        <w:rFonts w:ascii="Wingdings" w:hAnsi="Wingdings" w:hint="default"/>
      </w:rPr>
    </w:lvl>
  </w:abstractNum>
  <w:abstractNum w:abstractNumId="81" w15:restartNumberingAfterBreak="0">
    <w:nsid w:val="2C4B0349"/>
    <w:multiLevelType w:val="multilevel"/>
    <w:tmpl w:val="2C4B0349"/>
    <w:lvl w:ilvl="0">
      <w:start w:val="2"/>
      <w:numFmt w:val="bullet"/>
      <w:lvlText w:val="-"/>
      <w:lvlJc w:val="left"/>
      <w:pPr>
        <w:tabs>
          <w:tab w:val="left" w:pos="915"/>
        </w:tabs>
        <w:ind w:left="915" w:hanging="360"/>
      </w:pPr>
      <w:rPr>
        <w:rFonts w:ascii="CG Omega" w:eastAsia="Times New Roman" w:hAnsi="CG Omega" w:cs="Times New Roman" w:hint="default"/>
      </w:rPr>
    </w:lvl>
    <w:lvl w:ilvl="1">
      <w:start w:val="1"/>
      <w:numFmt w:val="bullet"/>
      <w:lvlText w:val="o"/>
      <w:lvlJc w:val="left"/>
      <w:pPr>
        <w:tabs>
          <w:tab w:val="left" w:pos="1635"/>
        </w:tabs>
        <w:ind w:left="1635" w:hanging="360"/>
      </w:pPr>
      <w:rPr>
        <w:rFonts w:ascii="Courier New" w:hAnsi="Courier New" w:hint="default"/>
      </w:rPr>
    </w:lvl>
    <w:lvl w:ilvl="2">
      <w:start w:val="1"/>
      <w:numFmt w:val="bullet"/>
      <w:lvlText w:val=""/>
      <w:lvlJc w:val="left"/>
      <w:pPr>
        <w:tabs>
          <w:tab w:val="left" w:pos="2355"/>
        </w:tabs>
        <w:ind w:left="2355" w:hanging="360"/>
      </w:pPr>
      <w:rPr>
        <w:rFonts w:ascii="Wingdings" w:hAnsi="Wingdings" w:hint="default"/>
      </w:rPr>
    </w:lvl>
    <w:lvl w:ilvl="3">
      <w:start w:val="1"/>
      <w:numFmt w:val="bullet"/>
      <w:lvlText w:val=""/>
      <w:lvlJc w:val="left"/>
      <w:pPr>
        <w:tabs>
          <w:tab w:val="left" w:pos="3075"/>
        </w:tabs>
        <w:ind w:left="3075" w:hanging="360"/>
      </w:pPr>
      <w:rPr>
        <w:rFonts w:ascii="Symbol" w:hAnsi="Symbol" w:hint="default"/>
      </w:rPr>
    </w:lvl>
    <w:lvl w:ilvl="4">
      <w:start w:val="1"/>
      <w:numFmt w:val="bullet"/>
      <w:lvlText w:val="o"/>
      <w:lvlJc w:val="left"/>
      <w:pPr>
        <w:tabs>
          <w:tab w:val="left" w:pos="3795"/>
        </w:tabs>
        <w:ind w:left="3795" w:hanging="360"/>
      </w:pPr>
      <w:rPr>
        <w:rFonts w:ascii="Courier New" w:hAnsi="Courier New" w:hint="default"/>
      </w:rPr>
    </w:lvl>
    <w:lvl w:ilvl="5">
      <w:start w:val="1"/>
      <w:numFmt w:val="bullet"/>
      <w:lvlText w:val=""/>
      <w:lvlJc w:val="left"/>
      <w:pPr>
        <w:tabs>
          <w:tab w:val="left" w:pos="4515"/>
        </w:tabs>
        <w:ind w:left="4515" w:hanging="360"/>
      </w:pPr>
      <w:rPr>
        <w:rFonts w:ascii="Wingdings" w:hAnsi="Wingdings" w:hint="default"/>
      </w:rPr>
    </w:lvl>
    <w:lvl w:ilvl="6">
      <w:start w:val="1"/>
      <w:numFmt w:val="bullet"/>
      <w:lvlText w:val=""/>
      <w:lvlJc w:val="left"/>
      <w:pPr>
        <w:tabs>
          <w:tab w:val="left" w:pos="5235"/>
        </w:tabs>
        <w:ind w:left="5235" w:hanging="360"/>
      </w:pPr>
      <w:rPr>
        <w:rFonts w:ascii="Symbol" w:hAnsi="Symbol" w:hint="default"/>
      </w:rPr>
    </w:lvl>
    <w:lvl w:ilvl="7">
      <w:start w:val="1"/>
      <w:numFmt w:val="bullet"/>
      <w:lvlText w:val="o"/>
      <w:lvlJc w:val="left"/>
      <w:pPr>
        <w:tabs>
          <w:tab w:val="left" w:pos="5955"/>
        </w:tabs>
        <w:ind w:left="5955" w:hanging="360"/>
      </w:pPr>
      <w:rPr>
        <w:rFonts w:ascii="Courier New" w:hAnsi="Courier New" w:hint="default"/>
      </w:rPr>
    </w:lvl>
    <w:lvl w:ilvl="8">
      <w:start w:val="1"/>
      <w:numFmt w:val="bullet"/>
      <w:lvlText w:val=""/>
      <w:lvlJc w:val="left"/>
      <w:pPr>
        <w:tabs>
          <w:tab w:val="left" w:pos="6675"/>
        </w:tabs>
        <w:ind w:left="6675" w:hanging="360"/>
      </w:pPr>
      <w:rPr>
        <w:rFonts w:ascii="Wingdings" w:hAnsi="Wingdings" w:hint="default"/>
      </w:rPr>
    </w:lvl>
  </w:abstractNum>
  <w:abstractNum w:abstractNumId="82" w15:restartNumberingAfterBreak="0">
    <w:nsid w:val="2CC824F7"/>
    <w:multiLevelType w:val="multilevel"/>
    <w:tmpl w:val="2CC824F7"/>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3" w15:restartNumberingAfterBreak="0">
    <w:nsid w:val="2CD10141"/>
    <w:multiLevelType w:val="multilevel"/>
    <w:tmpl w:val="2CD10141"/>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4" w15:restartNumberingAfterBreak="0">
    <w:nsid w:val="2D083B60"/>
    <w:multiLevelType w:val="multilevel"/>
    <w:tmpl w:val="2D083B60"/>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2D152B91"/>
    <w:multiLevelType w:val="multilevel"/>
    <w:tmpl w:val="2D152B91"/>
    <w:lvl w:ilvl="0">
      <w:start w:val="1"/>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sz w:val="22"/>
      </w:rPr>
    </w:lvl>
    <w:lvl w:ilvl="2">
      <w:start w:val="1"/>
      <w:numFmt w:val="decimal"/>
      <w:lvlText w:val="%1.%2.%3"/>
      <w:lvlJc w:val="left"/>
      <w:pPr>
        <w:tabs>
          <w:tab w:val="left" w:pos="1146"/>
        </w:tabs>
        <w:ind w:left="1146" w:hanging="720"/>
      </w:pPr>
      <w:rPr>
        <w:rFonts w:hint="default"/>
        <w:b w:val="0"/>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15:restartNumberingAfterBreak="0">
    <w:nsid w:val="2D70586C"/>
    <w:multiLevelType w:val="multilevel"/>
    <w:tmpl w:val="2D70586C"/>
    <w:lvl w:ilvl="0">
      <w:start w:val="1"/>
      <w:numFmt w:val="lowerLetter"/>
      <w:pStyle w:val="Schedule"/>
      <w:lvlText w:val="%1)"/>
      <w:lvlJc w:val="left"/>
      <w:pPr>
        <w:ind w:left="1069" w:hanging="360"/>
      </w:pPr>
      <w:rPr>
        <w:color w:val="000000"/>
        <w:u w:val="none"/>
      </w:rPr>
    </w:lvl>
    <w:lvl w:ilvl="1">
      <w:start w:val="1"/>
      <w:numFmt w:val="lowerLetter"/>
      <w:lvlText w:val="%2."/>
      <w:lvlJc w:val="left"/>
      <w:pPr>
        <w:ind w:left="1789" w:hanging="360"/>
      </w:pPr>
      <w:rPr>
        <w:color w:val="0000FF"/>
        <w:u w:val="single"/>
      </w:rPr>
    </w:lvl>
    <w:lvl w:ilvl="2">
      <w:start w:val="1"/>
      <w:numFmt w:val="lowerRoman"/>
      <w:lvlText w:val="%3."/>
      <w:lvlJc w:val="right"/>
      <w:pPr>
        <w:ind w:left="2509" w:hanging="180"/>
      </w:pPr>
      <w:rPr>
        <w:color w:val="0000FF"/>
        <w:u w:val="single"/>
      </w:rPr>
    </w:lvl>
    <w:lvl w:ilvl="3">
      <w:start w:val="1"/>
      <w:numFmt w:val="decimal"/>
      <w:lvlText w:val="%4."/>
      <w:lvlJc w:val="left"/>
      <w:pPr>
        <w:ind w:left="3229" w:hanging="360"/>
      </w:pPr>
      <w:rPr>
        <w:color w:val="0000FF"/>
        <w:u w:val="single"/>
      </w:rPr>
    </w:lvl>
    <w:lvl w:ilvl="4">
      <w:start w:val="1"/>
      <w:numFmt w:val="lowerLetter"/>
      <w:lvlText w:val="%5."/>
      <w:lvlJc w:val="left"/>
      <w:pPr>
        <w:ind w:left="3949" w:hanging="360"/>
      </w:pPr>
      <w:rPr>
        <w:color w:val="0000FF"/>
        <w:u w:val="single"/>
      </w:rPr>
    </w:lvl>
    <w:lvl w:ilvl="5">
      <w:start w:val="1"/>
      <w:numFmt w:val="lowerRoman"/>
      <w:lvlText w:val="%6."/>
      <w:lvlJc w:val="right"/>
      <w:pPr>
        <w:ind w:left="4669" w:hanging="180"/>
      </w:pPr>
      <w:rPr>
        <w:color w:val="0000FF"/>
        <w:u w:val="single"/>
      </w:rPr>
    </w:lvl>
    <w:lvl w:ilvl="6">
      <w:start w:val="1"/>
      <w:numFmt w:val="decimal"/>
      <w:lvlText w:val="%7."/>
      <w:lvlJc w:val="left"/>
      <w:pPr>
        <w:ind w:left="5389" w:hanging="360"/>
      </w:pPr>
      <w:rPr>
        <w:color w:val="0000FF"/>
        <w:u w:val="single"/>
      </w:rPr>
    </w:lvl>
    <w:lvl w:ilvl="7">
      <w:start w:val="1"/>
      <w:numFmt w:val="lowerLetter"/>
      <w:lvlText w:val="%8."/>
      <w:lvlJc w:val="left"/>
      <w:pPr>
        <w:ind w:left="6109" w:hanging="360"/>
      </w:pPr>
      <w:rPr>
        <w:color w:val="0000FF"/>
        <w:u w:val="single"/>
      </w:rPr>
    </w:lvl>
    <w:lvl w:ilvl="8">
      <w:start w:val="1"/>
      <w:numFmt w:val="lowerRoman"/>
      <w:lvlText w:val="%9."/>
      <w:lvlJc w:val="right"/>
      <w:pPr>
        <w:ind w:left="6829" w:hanging="180"/>
      </w:pPr>
      <w:rPr>
        <w:color w:val="0000FF"/>
        <w:u w:val="single"/>
      </w:rPr>
    </w:lvl>
  </w:abstractNum>
  <w:abstractNum w:abstractNumId="87" w15:restartNumberingAfterBreak="0">
    <w:nsid w:val="2D857A4E"/>
    <w:multiLevelType w:val="multilevel"/>
    <w:tmpl w:val="2D857A4E"/>
    <w:lvl w:ilvl="0">
      <w:start w:val="1"/>
      <w:numFmt w:val="lowerLetter"/>
      <w:lvlText w:val="%1)"/>
      <w:lvlJc w:val="left"/>
      <w:pPr>
        <w:ind w:left="1429"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2F0D4834"/>
    <w:multiLevelType w:val="multilevel"/>
    <w:tmpl w:val="2F0D483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9" w15:restartNumberingAfterBreak="0">
    <w:nsid w:val="3045E985"/>
    <w:multiLevelType w:val="multilevel"/>
    <w:tmpl w:val="3045E985"/>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15:restartNumberingAfterBreak="0">
    <w:nsid w:val="31101241"/>
    <w:multiLevelType w:val="multilevel"/>
    <w:tmpl w:val="31101241"/>
    <w:lvl w:ilvl="0">
      <w:start w:val="1"/>
      <w:numFmt w:val="lowerRoman"/>
      <w:lvlText w:val="%1)"/>
      <w:lvlJc w:val="left"/>
      <w:pPr>
        <w:ind w:left="1864" w:hanging="720"/>
      </w:pPr>
    </w:lvl>
    <w:lvl w:ilvl="1">
      <w:start w:val="1"/>
      <w:numFmt w:val="lowerLetter"/>
      <w:lvlText w:val="%2."/>
      <w:lvlJc w:val="left"/>
      <w:pPr>
        <w:ind w:left="2224" w:hanging="360"/>
      </w:pPr>
    </w:lvl>
    <w:lvl w:ilvl="2">
      <w:start w:val="1"/>
      <w:numFmt w:val="lowerRoman"/>
      <w:lvlText w:val="%3."/>
      <w:lvlJc w:val="right"/>
      <w:pPr>
        <w:ind w:left="2944" w:hanging="180"/>
      </w:pPr>
    </w:lvl>
    <w:lvl w:ilvl="3">
      <w:start w:val="1"/>
      <w:numFmt w:val="decimal"/>
      <w:lvlText w:val="%4."/>
      <w:lvlJc w:val="left"/>
      <w:pPr>
        <w:ind w:left="3664" w:hanging="360"/>
      </w:pPr>
    </w:lvl>
    <w:lvl w:ilvl="4">
      <w:start w:val="1"/>
      <w:numFmt w:val="lowerLetter"/>
      <w:lvlText w:val="%5."/>
      <w:lvlJc w:val="left"/>
      <w:pPr>
        <w:ind w:left="4384" w:hanging="360"/>
      </w:pPr>
    </w:lvl>
    <w:lvl w:ilvl="5">
      <w:start w:val="1"/>
      <w:numFmt w:val="lowerRoman"/>
      <w:lvlText w:val="%6."/>
      <w:lvlJc w:val="right"/>
      <w:pPr>
        <w:ind w:left="5104" w:hanging="180"/>
      </w:pPr>
    </w:lvl>
    <w:lvl w:ilvl="6">
      <w:start w:val="1"/>
      <w:numFmt w:val="decimal"/>
      <w:lvlText w:val="%7."/>
      <w:lvlJc w:val="left"/>
      <w:pPr>
        <w:ind w:left="5824" w:hanging="360"/>
      </w:pPr>
    </w:lvl>
    <w:lvl w:ilvl="7">
      <w:start w:val="1"/>
      <w:numFmt w:val="lowerLetter"/>
      <w:lvlText w:val="%8."/>
      <w:lvlJc w:val="left"/>
      <w:pPr>
        <w:ind w:left="6544" w:hanging="360"/>
      </w:pPr>
    </w:lvl>
    <w:lvl w:ilvl="8">
      <w:start w:val="1"/>
      <w:numFmt w:val="lowerRoman"/>
      <w:lvlText w:val="%9."/>
      <w:lvlJc w:val="right"/>
      <w:pPr>
        <w:ind w:left="7264" w:hanging="180"/>
      </w:pPr>
    </w:lvl>
  </w:abstractNum>
  <w:abstractNum w:abstractNumId="91" w15:restartNumberingAfterBreak="0">
    <w:nsid w:val="315D782F"/>
    <w:multiLevelType w:val="multilevel"/>
    <w:tmpl w:val="315D782F"/>
    <w:lvl w:ilvl="0">
      <w:start w:val="1"/>
      <w:numFmt w:val="lowerLetter"/>
      <w:lvlText w:val="%1)"/>
      <w:lvlJc w:val="left"/>
      <w:pPr>
        <w:ind w:left="1144" w:hanging="4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2" w15:restartNumberingAfterBreak="0">
    <w:nsid w:val="31DE6DDA"/>
    <w:multiLevelType w:val="multilevel"/>
    <w:tmpl w:val="31DE6DDA"/>
    <w:lvl w:ilvl="0">
      <w:start w:val="1"/>
      <w:numFmt w:val="lowerLetter"/>
      <w:lvlText w:val="%1)"/>
      <w:lvlJc w:val="left"/>
      <w:pPr>
        <w:ind w:left="1272" w:hanging="705"/>
      </w:pPr>
      <w:rPr>
        <w:rFonts w:ascii="Arial" w:eastAsia="Arial" w:hAnsi="Arial" w:cs="Arial"/>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22A4736"/>
    <w:multiLevelType w:val="multilevel"/>
    <w:tmpl w:val="322A4736"/>
    <w:lvl w:ilvl="0">
      <w:start w:val="1"/>
      <w:numFmt w:val="lowerLetter"/>
      <w:lvlText w:val="%1)"/>
      <w:lvlJc w:val="left"/>
      <w:pPr>
        <w:ind w:left="1428" w:hanging="434"/>
      </w:pPr>
    </w:lvl>
    <w:lvl w:ilvl="1">
      <w:start w:val="5"/>
      <w:numFmt w:val="lowerLetter"/>
      <w:lvlText w:val="%2)"/>
      <w:lvlJc w:val="left"/>
      <w:pPr>
        <w:ind w:left="2073" w:hanging="360"/>
      </w:pPr>
      <w:rPr>
        <w:color w:val="00000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4" w15:restartNumberingAfterBreak="0">
    <w:nsid w:val="323C5260"/>
    <w:multiLevelType w:val="multilevel"/>
    <w:tmpl w:val="323C5260"/>
    <w:lvl w:ilvl="0">
      <w:start w:val="1"/>
      <w:numFmt w:val="decimal"/>
      <w:pStyle w:val="i"/>
      <w:lvlText w:val="%1."/>
      <w:lvlJc w:val="left"/>
      <w:pPr>
        <w:tabs>
          <w:tab w:val="left" w:pos="360"/>
        </w:tabs>
        <w:ind w:left="340" w:hanging="34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325ED1A4"/>
    <w:multiLevelType w:val="multilevel"/>
    <w:tmpl w:val="325ED1A4"/>
    <w:lvl w:ilvl="0">
      <w:start w:val="1"/>
      <w:numFmt w:val="lowerLetter"/>
      <w:lvlText w:val="%1)"/>
      <w:lvlJc w:val="left"/>
      <w:pPr>
        <w:ind w:left="1429"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4226EDF"/>
    <w:multiLevelType w:val="multilevel"/>
    <w:tmpl w:val="34226EDF"/>
    <w:lvl w:ilvl="0">
      <w:start w:val="8"/>
      <w:numFmt w:val="decimal"/>
      <w:lvlText w:val="%1."/>
      <w:lvlJc w:val="left"/>
      <w:pPr>
        <w:ind w:left="360" w:hanging="360"/>
      </w:pPr>
    </w:lvl>
    <w:lvl w:ilvl="1">
      <w:start w:val="1"/>
      <w:numFmt w:val="decimal"/>
      <w:lvlText w:val="%1.%2."/>
      <w:lvlJc w:val="left"/>
      <w:pPr>
        <w:ind w:left="720" w:hanging="720"/>
      </w:pPr>
      <w:rPr>
        <w:rFonts w:ascii="Arial" w:eastAsia="Arial" w:hAnsi="Arial" w:cs="Arial"/>
        <w:b w:val="0"/>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15:restartNumberingAfterBreak="0">
    <w:nsid w:val="3455843D"/>
    <w:multiLevelType w:val="multilevel"/>
    <w:tmpl w:val="3455843D"/>
    <w:lvl w:ilvl="0">
      <w:start w:val="1"/>
      <w:numFmt w:val="decimal"/>
      <w:lvlText w:val="%1."/>
      <w:lvlJc w:val="left"/>
      <w:pPr>
        <w:ind w:left="720" w:hanging="360"/>
      </w:pPr>
    </w:lvl>
    <w:lvl w:ilvl="1">
      <w:start w:val="1"/>
      <w:numFmt w:val="bullet"/>
      <w:lvlText w:val="●"/>
      <w:lvlJc w:val="left"/>
      <w:pPr>
        <w:ind w:left="737" w:hanging="282"/>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34AB5D40"/>
    <w:multiLevelType w:val="multilevel"/>
    <w:tmpl w:val="34AB5D40"/>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99" w15:restartNumberingAfterBreak="0">
    <w:nsid w:val="353085AF"/>
    <w:multiLevelType w:val="multilevel"/>
    <w:tmpl w:val="353085AF"/>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0" w15:restartNumberingAfterBreak="0">
    <w:nsid w:val="35941B8A"/>
    <w:multiLevelType w:val="multilevel"/>
    <w:tmpl w:val="35941B8A"/>
    <w:lvl w:ilvl="0">
      <w:start w:val="1"/>
      <w:numFmt w:val="lowerLetter"/>
      <w:lvlText w:val="%1)"/>
      <w:lvlJc w:val="left"/>
      <w:pPr>
        <w:ind w:left="1416" w:hanging="708"/>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35FBE4BE"/>
    <w:multiLevelType w:val="multilevel"/>
    <w:tmpl w:val="35FBE4BE"/>
    <w:lvl w:ilvl="0">
      <w:start w:val="1"/>
      <w:numFmt w:val="decimal"/>
      <w:lvlText w:val="%1"/>
      <w:lvlJc w:val="left"/>
      <w:pPr>
        <w:ind w:left="360" w:hanging="360"/>
      </w:pPr>
    </w:lvl>
    <w:lvl w:ilvl="1">
      <w:start w:val="1"/>
      <w:numFmt w:val="decimal"/>
      <w:lvlText w:val="%1.%2"/>
      <w:lvlJc w:val="left"/>
      <w:pPr>
        <w:ind w:left="360" w:hanging="360"/>
      </w:pPr>
      <w:rPr>
        <w:sz w:val="22"/>
        <w:szCs w:val="22"/>
      </w:rPr>
    </w:lvl>
    <w:lvl w:ilvl="2">
      <w:start w:val="1"/>
      <w:numFmt w:val="decimal"/>
      <w:lvlText w:val="%1.%2.%3"/>
      <w:lvlJc w:val="left"/>
      <w:pPr>
        <w:ind w:left="1146"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35FD43C5"/>
    <w:multiLevelType w:val="multilevel"/>
    <w:tmpl w:val="35FD43C5"/>
    <w:lvl w:ilvl="0">
      <w:start w:val="8"/>
      <w:numFmt w:val="decimal"/>
      <w:lvlText w:val="%1"/>
      <w:lvlJc w:val="left"/>
      <w:pPr>
        <w:ind w:left="360" w:hanging="360"/>
      </w:pPr>
    </w:lvl>
    <w:lvl w:ilvl="1">
      <w:start w:val="12"/>
      <w:numFmt w:val="decimal"/>
      <w:lvlText w:val="%1.%2"/>
      <w:lvlJc w:val="left"/>
      <w:pPr>
        <w:ind w:left="360" w:hanging="360"/>
      </w:pPr>
      <w:rPr>
        <w:b w:val="0"/>
      </w:rPr>
    </w:lvl>
    <w:lvl w:ilvl="2">
      <w:start w:val="3"/>
      <w:numFmt w:val="lowerLetter"/>
      <w:lvlText w:val="%3)"/>
      <w:lvlJc w:val="left"/>
      <w:pPr>
        <w:ind w:left="720" w:hanging="720"/>
      </w:pPr>
      <w:rPr>
        <w:rFonts w:ascii="Arial" w:eastAsia="Arial" w:hAnsi="Arial" w:cs="Arial"/>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3" w15:restartNumberingAfterBreak="0">
    <w:nsid w:val="36BB522E"/>
    <w:multiLevelType w:val="multilevel"/>
    <w:tmpl w:val="36BB522E"/>
    <w:lvl w:ilvl="0">
      <w:start w:val="1"/>
      <w:numFmt w:val="bullet"/>
      <w:pStyle w:val="Listaconvietas4"/>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37AC07F2"/>
    <w:multiLevelType w:val="multilevel"/>
    <w:tmpl w:val="37AC07F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5" w15:restartNumberingAfterBreak="0">
    <w:nsid w:val="383C6221"/>
    <w:multiLevelType w:val="multilevel"/>
    <w:tmpl w:val="383C6221"/>
    <w:lvl w:ilvl="0">
      <w:start w:val="1"/>
      <w:numFmt w:val="lowerLetter"/>
      <w:lvlText w:val="%1)"/>
      <w:lvlJc w:val="left"/>
      <w:pPr>
        <w:ind w:left="1429" w:hanging="360"/>
      </w:pPr>
      <w:rPr>
        <w:rFonts w:ascii="Arial" w:eastAsia="Arial" w:hAnsi="Arial" w:cs="Arial"/>
        <w:b w:val="0"/>
        <w:i w:val="0"/>
        <w:smallCaps w:val="0"/>
        <w:strike w:val="0"/>
        <w:color w:val="000000"/>
        <w:sz w:val="24"/>
        <w:szCs w:val="24"/>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6" w15:restartNumberingAfterBreak="0">
    <w:nsid w:val="383E128B"/>
    <w:multiLevelType w:val="multilevel"/>
    <w:tmpl w:val="383E128B"/>
    <w:lvl w:ilvl="0">
      <w:start w:val="2"/>
      <w:numFmt w:val="decimal"/>
      <w:lvlText w:val="%1"/>
      <w:lvlJc w:val="left"/>
      <w:pPr>
        <w:ind w:left="570" w:hanging="570"/>
      </w:pPr>
    </w:lvl>
    <w:lvl w:ilvl="1">
      <w:start w:val="1"/>
      <w:numFmt w:val="decimal"/>
      <w:lvlText w:val="%1.%2"/>
      <w:lvlJc w:val="left"/>
      <w:pPr>
        <w:ind w:left="570" w:hanging="57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15:restartNumberingAfterBreak="0">
    <w:nsid w:val="387116E7"/>
    <w:multiLevelType w:val="multilevel"/>
    <w:tmpl w:val="387116E7"/>
    <w:lvl w:ilvl="0">
      <w:start w:val="1"/>
      <w:numFmt w:val="lowerLetter"/>
      <w:pStyle w:val="Listaconvietas2"/>
      <w:lvlText w:val="%1)"/>
      <w:lvlJc w:val="left"/>
      <w:pPr>
        <w:ind w:left="715"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88D511F"/>
    <w:multiLevelType w:val="multilevel"/>
    <w:tmpl w:val="388D511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9" w15:restartNumberingAfterBreak="0">
    <w:nsid w:val="38BA601E"/>
    <w:multiLevelType w:val="multilevel"/>
    <w:tmpl w:val="38BA601E"/>
    <w:lvl w:ilvl="0">
      <w:start w:val="1"/>
      <w:numFmt w:val="lowerLetter"/>
      <w:lvlText w:val="%1)"/>
      <w:lvlJc w:val="left"/>
      <w:pPr>
        <w:ind w:left="1416" w:hanging="708"/>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8F4F4EE"/>
    <w:multiLevelType w:val="multilevel"/>
    <w:tmpl w:val="38F4F4E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3A60610E"/>
    <w:multiLevelType w:val="multilevel"/>
    <w:tmpl w:val="3A60610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3AA275FA"/>
    <w:multiLevelType w:val="multilevel"/>
    <w:tmpl w:val="3AA275FA"/>
    <w:lvl w:ilvl="0">
      <w:start w:val="14"/>
      <w:numFmt w:val="decimal"/>
      <w:lvlText w:val="%1.1"/>
      <w:lvlJc w:val="left"/>
      <w:pPr>
        <w:ind w:left="705" w:hanging="705"/>
      </w:pPr>
      <w:rPr>
        <w:color w:val="000000"/>
      </w:rPr>
    </w:lvl>
    <w:lvl w:ilvl="1">
      <w:start w:val="1"/>
      <w:numFmt w:val="decimal"/>
      <w:lvlText w:val="%1.%2."/>
      <w:lvlJc w:val="left"/>
      <w:pPr>
        <w:ind w:left="705" w:hanging="705"/>
      </w:pPr>
      <w:rPr>
        <w:b w:val="0"/>
      </w:rPr>
    </w:lvl>
    <w:lvl w:ilvl="2">
      <w:start w:val="1"/>
      <w:numFmt w:val="decimal"/>
      <w:lvlText w:val="%1.%2.%3"/>
      <w:lvlJc w:val="left"/>
      <w:pPr>
        <w:ind w:left="720" w:hanging="720"/>
      </w:pPr>
      <w:rPr>
        <w:rFonts w:ascii="Arial" w:eastAsia="Arial" w:hAnsi="Arial" w:cs="Arial"/>
        <w:b/>
        <w:i w:val="0"/>
        <w:color w:val="000000"/>
        <w:sz w:val="24"/>
        <w:szCs w:val="24"/>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15:restartNumberingAfterBreak="0">
    <w:nsid w:val="3AEB062F"/>
    <w:multiLevelType w:val="multilevel"/>
    <w:tmpl w:val="3AEB062F"/>
    <w:lvl w:ilvl="0">
      <w:start w:val="6"/>
      <w:numFmt w:val="decimal"/>
      <w:pStyle w:val="SCI-Article"/>
      <w:lvlText w:val="%1."/>
      <w:lvlJc w:val="left"/>
      <w:pPr>
        <w:ind w:left="360" w:hanging="360"/>
      </w:pPr>
      <w:rPr>
        <w:color w:val="0000FF"/>
        <w:u w:val="single"/>
      </w:rPr>
    </w:lvl>
    <w:lvl w:ilvl="1">
      <w:start w:val="1"/>
      <w:numFmt w:val="decimal"/>
      <w:lvlText w:val="%1.%2."/>
      <w:lvlJc w:val="left"/>
      <w:pPr>
        <w:ind w:left="360" w:hanging="360"/>
      </w:pPr>
      <w:rPr>
        <w:b w:val="0"/>
        <w:color w:val="000000"/>
        <w:u w:val="none"/>
      </w:rPr>
    </w:lvl>
    <w:lvl w:ilvl="2">
      <w:start w:val="1"/>
      <w:numFmt w:val="decimal"/>
      <w:lvlText w:val="%1.%2.%3."/>
      <w:lvlJc w:val="left"/>
      <w:pPr>
        <w:ind w:left="720" w:hanging="720"/>
      </w:pPr>
      <w:rPr>
        <w:color w:val="0000FF"/>
        <w:u w:val="single"/>
      </w:rPr>
    </w:lvl>
    <w:lvl w:ilvl="3">
      <w:start w:val="1"/>
      <w:numFmt w:val="decimal"/>
      <w:lvlText w:val="%1.%2.%3.%4."/>
      <w:lvlJc w:val="left"/>
      <w:pPr>
        <w:ind w:left="720" w:hanging="720"/>
      </w:pPr>
      <w:rPr>
        <w:color w:val="0000FF"/>
        <w:u w:val="single"/>
      </w:rPr>
    </w:lvl>
    <w:lvl w:ilvl="4">
      <w:start w:val="1"/>
      <w:numFmt w:val="decimal"/>
      <w:lvlText w:val="%1.%2.%3.%4.%5."/>
      <w:lvlJc w:val="left"/>
      <w:pPr>
        <w:ind w:left="1080" w:hanging="1080"/>
      </w:pPr>
      <w:rPr>
        <w:color w:val="0000FF"/>
        <w:u w:val="single"/>
      </w:rPr>
    </w:lvl>
    <w:lvl w:ilvl="5">
      <w:start w:val="1"/>
      <w:numFmt w:val="decimal"/>
      <w:lvlText w:val="%1.%2.%3.%4.%5.%6."/>
      <w:lvlJc w:val="left"/>
      <w:pPr>
        <w:ind w:left="1080" w:hanging="1080"/>
      </w:pPr>
      <w:rPr>
        <w:color w:val="0000FF"/>
        <w:u w:val="single"/>
      </w:rPr>
    </w:lvl>
    <w:lvl w:ilvl="6">
      <w:start w:val="1"/>
      <w:numFmt w:val="decimal"/>
      <w:lvlText w:val="%1.%2.%3.%4.%5.%6.%7."/>
      <w:lvlJc w:val="left"/>
      <w:pPr>
        <w:ind w:left="1440" w:hanging="1440"/>
      </w:pPr>
      <w:rPr>
        <w:color w:val="0000FF"/>
        <w:u w:val="single"/>
      </w:rPr>
    </w:lvl>
    <w:lvl w:ilvl="7">
      <w:start w:val="1"/>
      <w:numFmt w:val="decimal"/>
      <w:lvlText w:val="%1.%2.%3.%4.%5.%6.%7.%8."/>
      <w:lvlJc w:val="left"/>
      <w:pPr>
        <w:ind w:left="1440" w:hanging="1440"/>
      </w:pPr>
      <w:rPr>
        <w:color w:val="0000FF"/>
        <w:u w:val="single"/>
      </w:rPr>
    </w:lvl>
    <w:lvl w:ilvl="8">
      <w:start w:val="1"/>
      <w:numFmt w:val="decimal"/>
      <w:lvlText w:val="%1.%2.%3.%4.%5.%6.%7.%8.%9."/>
      <w:lvlJc w:val="left"/>
      <w:pPr>
        <w:ind w:left="1800" w:hanging="1800"/>
      </w:pPr>
      <w:rPr>
        <w:color w:val="0000FF"/>
        <w:u w:val="single"/>
      </w:rPr>
    </w:lvl>
  </w:abstractNum>
  <w:abstractNum w:abstractNumId="114" w15:restartNumberingAfterBreak="0">
    <w:nsid w:val="3B70CF90"/>
    <w:multiLevelType w:val="multilevel"/>
    <w:tmpl w:val="3B70CF90"/>
    <w:lvl w:ilvl="0">
      <w:start w:val="21"/>
      <w:numFmt w:val="decimal"/>
      <w:lvlText w:val="%1"/>
      <w:lvlJc w:val="left"/>
      <w:pPr>
        <w:ind w:left="630" w:hanging="630"/>
      </w:pPr>
    </w:lvl>
    <w:lvl w:ilvl="1">
      <w:start w:val="1"/>
      <w:numFmt w:val="decimal"/>
      <w:lvlText w:val="%1.%2"/>
      <w:lvlJc w:val="left"/>
      <w:pPr>
        <w:ind w:left="630" w:hanging="6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5" w15:restartNumberingAfterBreak="0">
    <w:nsid w:val="3C170A5E"/>
    <w:multiLevelType w:val="multilevel"/>
    <w:tmpl w:val="3C170A5E"/>
    <w:lvl w:ilvl="0">
      <w:start w:val="1"/>
      <w:numFmt w:val="lowerRoman"/>
      <w:pStyle w:val="Bullets"/>
      <w:lvlText w:val="%1)"/>
      <w:lvlJc w:val="right"/>
      <w:pPr>
        <w:ind w:left="1266" w:hanging="360"/>
      </w:pPr>
      <w:rPr>
        <w:color w:val="0000FF"/>
        <w:u w:val="single"/>
      </w:rPr>
    </w:lvl>
    <w:lvl w:ilvl="1">
      <w:start w:val="1"/>
      <w:numFmt w:val="lowerLetter"/>
      <w:lvlText w:val="%2)"/>
      <w:lvlJc w:val="left"/>
      <w:pPr>
        <w:ind w:left="1986" w:hanging="360"/>
      </w:pPr>
      <w:rPr>
        <w:color w:val="000000"/>
        <w:u w:val="none"/>
      </w:rPr>
    </w:lvl>
    <w:lvl w:ilvl="2">
      <w:start w:val="1"/>
      <w:numFmt w:val="bullet"/>
      <w:lvlText w:val="▪"/>
      <w:lvlJc w:val="left"/>
      <w:pPr>
        <w:ind w:left="2706" w:hanging="360"/>
      </w:pPr>
      <w:rPr>
        <w:rFonts w:ascii="Noto Sans Symbols" w:eastAsia="Noto Sans Symbols" w:hAnsi="Noto Sans Symbols" w:cs="Noto Sans Symbols"/>
        <w:color w:val="0000FF"/>
        <w:u w:val="single"/>
      </w:rPr>
    </w:lvl>
    <w:lvl w:ilvl="3">
      <w:start w:val="1"/>
      <w:numFmt w:val="bullet"/>
      <w:lvlText w:val="●"/>
      <w:lvlJc w:val="left"/>
      <w:pPr>
        <w:ind w:left="3426" w:hanging="360"/>
      </w:pPr>
      <w:rPr>
        <w:rFonts w:ascii="Noto Sans Symbols" w:eastAsia="Noto Sans Symbols" w:hAnsi="Noto Sans Symbols" w:cs="Noto Sans Symbols"/>
        <w:color w:val="0000FF"/>
        <w:u w:val="single"/>
      </w:rPr>
    </w:lvl>
    <w:lvl w:ilvl="4">
      <w:start w:val="1"/>
      <w:numFmt w:val="bullet"/>
      <w:lvlText w:val="o"/>
      <w:lvlJc w:val="left"/>
      <w:pPr>
        <w:ind w:left="4146" w:hanging="360"/>
      </w:pPr>
      <w:rPr>
        <w:rFonts w:ascii="Courier New" w:eastAsia="Courier New" w:hAnsi="Courier New" w:cs="Courier New"/>
        <w:color w:val="0000FF"/>
        <w:u w:val="single"/>
      </w:rPr>
    </w:lvl>
    <w:lvl w:ilvl="5">
      <w:start w:val="1"/>
      <w:numFmt w:val="bullet"/>
      <w:lvlText w:val="▪"/>
      <w:lvlJc w:val="left"/>
      <w:pPr>
        <w:ind w:left="4866" w:hanging="360"/>
      </w:pPr>
      <w:rPr>
        <w:rFonts w:ascii="Noto Sans Symbols" w:eastAsia="Noto Sans Symbols" w:hAnsi="Noto Sans Symbols" w:cs="Noto Sans Symbols"/>
        <w:color w:val="0000FF"/>
        <w:u w:val="single"/>
      </w:rPr>
    </w:lvl>
    <w:lvl w:ilvl="6">
      <w:start w:val="1"/>
      <w:numFmt w:val="bullet"/>
      <w:lvlText w:val="●"/>
      <w:lvlJc w:val="left"/>
      <w:pPr>
        <w:ind w:left="5586" w:hanging="360"/>
      </w:pPr>
      <w:rPr>
        <w:rFonts w:ascii="Noto Sans Symbols" w:eastAsia="Noto Sans Symbols" w:hAnsi="Noto Sans Symbols" w:cs="Noto Sans Symbols"/>
        <w:color w:val="0000FF"/>
        <w:u w:val="single"/>
      </w:rPr>
    </w:lvl>
    <w:lvl w:ilvl="7">
      <w:start w:val="1"/>
      <w:numFmt w:val="bullet"/>
      <w:lvlText w:val="o"/>
      <w:lvlJc w:val="left"/>
      <w:pPr>
        <w:ind w:left="6306" w:hanging="360"/>
      </w:pPr>
      <w:rPr>
        <w:rFonts w:ascii="Courier New" w:eastAsia="Courier New" w:hAnsi="Courier New" w:cs="Courier New"/>
        <w:color w:val="0000FF"/>
        <w:u w:val="single"/>
      </w:rPr>
    </w:lvl>
    <w:lvl w:ilvl="8">
      <w:start w:val="1"/>
      <w:numFmt w:val="bullet"/>
      <w:lvlText w:val="▪"/>
      <w:lvlJc w:val="left"/>
      <w:pPr>
        <w:ind w:left="7026" w:hanging="360"/>
      </w:pPr>
      <w:rPr>
        <w:rFonts w:ascii="Noto Sans Symbols" w:eastAsia="Noto Sans Symbols" w:hAnsi="Noto Sans Symbols" w:cs="Noto Sans Symbols"/>
        <w:color w:val="0000FF"/>
        <w:u w:val="single"/>
      </w:rPr>
    </w:lvl>
  </w:abstractNum>
  <w:abstractNum w:abstractNumId="116" w15:restartNumberingAfterBreak="0">
    <w:nsid w:val="3D7D60B5"/>
    <w:multiLevelType w:val="multilevel"/>
    <w:tmpl w:val="3D7D60B5"/>
    <w:lvl w:ilvl="0">
      <w:start w:val="1"/>
      <w:numFmt w:val="decimal"/>
      <w:lvlText w:val="%1."/>
      <w:lvlJc w:val="left"/>
      <w:pPr>
        <w:ind w:left="1146" w:hanging="360"/>
      </w:pPr>
      <w:rPr>
        <w:b w:val="0"/>
        <w:i w:val="0"/>
        <w:smallCaps w:val="0"/>
        <w:strike w:val="0"/>
        <w:color w:val="000000"/>
        <w:sz w:val="22"/>
        <w:szCs w:val="22"/>
        <w:vertAlign w:val="baseline"/>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7" w15:restartNumberingAfterBreak="0">
    <w:nsid w:val="3DAAE6C2"/>
    <w:multiLevelType w:val="multilevel"/>
    <w:tmpl w:val="3DAAE6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upperLetter"/>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3DD1ECD3"/>
    <w:multiLevelType w:val="multilevel"/>
    <w:tmpl w:val="3DD1ECD3"/>
    <w:lvl w:ilvl="0">
      <w:start w:val="2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9" w15:restartNumberingAfterBreak="0">
    <w:nsid w:val="3EB0276C"/>
    <w:multiLevelType w:val="multilevel"/>
    <w:tmpl w:val="3EB0276C"/>
    <w:lvl w:ilvl="0">
      <w:start w:val="1"/>
      <w:numFmt w:val="lowerLetter"/>
      <w:pStyle w:val="ANEXOS"/>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0" w15:restartNumberingAfterBreak="0">
    <w:nsid w:val="3EB86441"/>
    <w:multiLevelType w:val="multilevel"/>
    <w:tmpl w:val="3EB86441"/>
    <w:lvl w:ilvl="0">
      <w:start w:val="1"/>
      <w:numFmt w:val="lowerRoman"/>
      <w:lvlText w:val="%1."/>
      <w:lvlJc w:val="left"/>
      <w:pPr>
        <w:ind w:left="1920"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1" w15:restartNumberingAfterBreak="0">
    <w:nsid w:val="3EB90126"/>
    <w:multiLevelType w:val="multilevel"/>
    <w:tmpl w:val="3EB90126"/>
    <w:lvl w:ilvl="0">
      <w:start w:val="4"/>
      <w:numFmt w:val="decimal"/>
      <w:lvlText w:val="%1."/>
      <w:lvlJc w:val="left"/>
      <w:pPr>
        <w:ind w:left="360" w:hanging="360"/>
      </w:pPr>
    </w:lvl>
    <w:lvl w:ilvl="1">
      <w:start w:val="1"/>
      <w:numFmt w:val="decimal"/>
      <w:lvlText w:val="%1.%2."/>
      <w:lvlJc w:val="left"/>
      <w:pPr>
        <w:ind w:left="720" w:hanging="720"/>
      </w:pPr>
      <w:rPr>
        <w:b w:val="0"/>
        <w:color w:val="00000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15:restartNumberingAfterBreak="0">
    <w:nsid w:val="3EBB49AF"/>
    <w:multiLevelType w:val="multilevel"/>
    <w:tmpl w:val="3EBB49AF"/>
    <w:lvl w:ilvl="0">
      <w:start w:val="1"/>
      <w:numFmt w:val="lowerLetter"/>
      <w:lvlText w:val="%1)"/>
      <w:lvlJc w:val="left"/>
      <w:pPr>
        <w:ind w:left="1980" w:hanging="360"/>
      </w:pPr>
      <w:rPr>
        <w:color w:val="000000"/>
        <w:u w:val="none"/>
      </w:rPr>
    </w:lvl>
    <w:lvl w:ilvl="1">
      <w:start w:val="1"/>
      <w:numFmt w:val="bullet"/>
      <w:lvlText w:val="o"/>
      <w:lvlJc w:val="left"/>
      <w:pPr>
        <w:ind w:left="2700" w:hanging="360"/>
      </w:pPr>
      <w:rPr>
        <w:rFonts w:ascii="Courier New" w:eastAsia="Courier New" w:hAnsi="Courier New" w:cs="Courier New"/>
        <w:color w:val="0000FF"/>
        <w:u w:val="single"/>
      </w:rPr>
    </w:lvl>
    <w:lvl w:ilvl="2">
      <w:start w:val="1"/>
      <w:numFmt w:val="bullet"/>
      <w:pStyle w:val="Ttulo3Comprimido015pto"/>
      <w:lvlText w:val="▪"/>
      <w:lvlJc w:val="left"/>
      <w:pPr>
        <w:ind w:left="3420" w:hanging="360"/>
      </w:pPr>
      <w:rPr>
        <w:rFonts w:ascii="Noto Sans Symbols" w:eastAsia="Noto Sans Symbols" w:hAnsi="Noto Sans Symbols" w:cs="Noto Sans Symbols"/>
        <w:color w:val="0000FF"/>
        <w:u w:val="single"/>
      </w:rPr>
    </w:lvl>
    <w:lvl w:ilvl="3">
      <w:start w:val="1"/>
      <w:numFmt w:val="bullet"/>
      <w:lvlText w:val="●"/>
      <w:lvlJc w:val="left"/>
      <w:pPr>
        <w:ind w:left="4140" w:hanging="360"/>
      </w:pPr>
      <w:rPr>
        <w:rFonts w:ascii="Noto Sans Symbols" w:eastAsia="Noto Sans Symbols" w:hAnsi="Noto Sans Symbols" w:cs="Noto Sans Symbols"/>
        <w:color w:val="0000FF"/>
        <w:u w:val="single"/>
      </w:rPr>
    </w:lvl>
    <w:lvl w:ilvl="4">
      <w:start w:val="1"/>
      <w:numFmt w:val="bullet"/>
      <w:lvlText w:val="o"/>
      <w:lvlJc w:val="left"/>
      <w:pPr>
        <w:ind w:left="4860" w:hanging="360"/>
      </w:pPr>
      <w:rPr>
        <w:rFonts w:ascii="Courier New" w:eastAsia="Courier New" w:hAnsi="Courier New" w:cs="Courier New"/>
        <w:color w:val="0000FF"/>
        <w:u w:val="single"/>
      </w:rPr>
    </w:lvl>
    <w:lvl w:ilvl="5">
      <w:start w:val="1"/>
      <w:numFmt w:val="bullet"/>
      <w:lvlText w:val="▪"/>
      <w:lvlJc w:val="left"/>
      <w:pPr>
        <w:ind w:left="5580" w:hanging="360"/>
      </w:pPr>
      <w:rPr>
        <w:rFonts w:ascii="Noto Sans Symbols" w:eastAsia="Noto Sans Symbols" w:hAnsi="Noto Sans Symbols" w:cs="Noto Sans Symbols"/>
        <w:color w:val="0000FF"/>
        <w:u w:val="single"/>
      </w:rPr>
    </w:lvl>
    <w:lvl w:ilvl="6">
      <w:start w:val="1"/>
      <w:numFmt w:val="bullet"/>
      <w:lvlText w:val="●"/>
      <w:lvlJc w:val="left"/>
      <w:pPr>
        <w:ind w:left="6300" w:hanging="360"/>
      </w:pPr>
      <w:rPr>
        <w:rFonts w:ascii="Noto Sans Symbols" w:eastAsia="Noto Sans Symbols" w:hAnsi="Noto Sans Symbols" w:cs="Noto Sans Symbols"/>
        <w:color w:val="0000FF"/>
        <w:u w:val="single"/>
      </w:rPr>
    </w:lvl>
    <w:lvl w:ilvl="7">
      <w:start w:val="1"/>
      <w:numFmt w:val="bullet"/>
      <w:lvlText w:val="o"/>
      <w:lvlJc w:val="left"/>
      <w:pPr>
        <w:ind w:left="7020" w:hanging="360"/>
      </w:pPr>
      <w:rPr>
        <w:rFonts w:ascii="Courier New" w:eastAsia="Courier New" w:hAnsi="Courier New" w:cs="Courier New"/>
        <w:color w:val="0000FF"/>
        <w:u w:val="single"/>
      </w:rPr>
    </w:lvl>
    <w:lvl w:ilvl="8">
      <w:start w:val="1"/>
      <w:numFmt w:val="bullet"/>
      <w:lvlText w:val="▪"/>
      <w:lvlJc w:val="left"/>
      <w:pPr>
        <w:ind w:left="7740" w:hanging="360"/>
      </w:pPr>
      <w:rPr>
        <w:rFonts w:ascii="Noto Sans Symbols" w:eastAsia="Noto Sans Symbols" w:hAnsi="Noto Sans Symbols" w:cs="Noto Sans Symbols"/>
        <w:color w:val="0000FF"/>
        <w:u w:val="single"/>
      </w:rPr>
    </w:lvl>
  </w:abstractNum>
  <w:abstractNum w:abstractNumId="123" w15:restartNumberingAfterBreak="0">
    <w:nsid w:val="40022BC7"/>
    <w:multiLevelType w:val="multilevel"/>
    <w:tmpl w:val="40022BC7"/>
    <w:lvl w:ilvl="0">
      <w:start w:val="16"/>
      <w:numFmt w:val="decimal"/>
      <w:lvlText w:val="%1"/>
      <w:lvlJc w:val="left"/>
      <w:pPr>
        <w:ind w:left="420" w:hanging="420"/>
      </w:pPr>
    </w:lvl>
    <w:lvl w:ilvl="1">
      <w:start w:val="1"/>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24" w15:restartNumberingAfterBreak="0">
    <w:nsid w:val="41981F99"/>
    <w:multiLevelType w:val="multilevel"/>
    <w:tmpl w:val="41981F99"/>
    <w:lvl w:ilvl="0">
      <w:start w:val="1"/>
      <w:numFmt w:val="lowerLetter"/>
      <w:lvlText w:val="%1)"/>
      <w:lvlJc w:val="left"/>
      <w:pPr>
        <w:ind w:left="2291" w:hanging="360"/>
      </w:pPr>
      <w:rPr>
        <w:rFonts w:ascii="Calibri" w:eastAsia="Calibri" w:hAnsi="Calibri" w:cs="Calibri"/>
        <w:b w:val="0"/>
        <w:i w:val="0"/>
        <w:sz w:val="22"/>
        <w:szCs w:val="22"/>
      </w:rPr>
    </w:lvl>
    <w:lvl w:ilvl="1">
      <w:start w:val="1"/>
      <w:numFmt w:val="bullet"/>
      <w:lvlText w:val="●"/>
      <w:lvlJc w:val="left"/>
      <w:pPr>
        <w:ind w:left="2487" w:hanging="360"/>
      </w:pPr>
      <w:rPr>
        <w:rFonts w:ascii="Noto Sans Symbols" w:eastAsia="Noto Sans Symbols" w:hAnsi="Noto Sans Symbols" w:cs="Noto Sans Symbols"/>
        <w:b w:val="0"/>
        <w:i w:val="0"/>
        <w:color w:val="000000"/>
        <w:sz w:val="22"/>
        <w:szCs w:val="22"/>
      </w:rPr>
    </w:lvl>
    <w:lvl w:ilvl="2">
      <w:start w:val="1"/>
      <w:numFmt w:val="lowerRoman"/>
      <w:pStyle w:val="JOSE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1995F2F"/>
    <w:multiLevelType w:val="multilevel"/>
    <w:tmpl w:val="41995F2F"/>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422D6A02"/>
    <w:multiLevelType w:val="multilevel"/>
    <w:tmpl w:val="422D6A0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428B4AE9"/>
    <w:multiLevelType w:val="multilevel"/>
    <w:tmpl w:val="428B4AE9"/>
    <w:lvl w:ilvl="0">
      <w:start w:val="13"/>
      <w:numFmt w:val="decimal"/>
      <w:lvlText w:val="%1.1"/>
      <w:lvlJc w:val="left"/>
      <w:pPr>
        <w:ind w:left="705" w:hanging="705"/>
      </w:pPr>
      <w:rPr>
        <w:color w:val="000000"/>
      </w:rPr>
    </w:lvl>
    <w:lvl w:ilvl="1">
      <w:start w:val="1"/>
      <w:numFmt w:val="decimal"/>
      <w:lvlText w:val="%1.%2."/>
      <w:lvlJc w:val="left"/>
      <w:pPr>
        <w:ind w:left="705" w:hanging="705"/>
      </w:pPr>
      <w:rPr>
        <w:strike w:val="0"/>
        <w:color w:val="000000"/>
        <w:sz w:val="22"/>
        <w:szCs w:val="22"/>
      </w:rPr>
    </w:lvl>
    <w:lvl w:ilvl="2">
      <w:start w:val="1"/>
      <w:numFmt w:val="decimal"/>
      <w:lvlText w:val="%1.%2.%3"/>
      <w:lvlJc w:val="left"/>
      <w:pPr>
        <w:ind w:left="720" w:hanging="720"/>
      </w:pPr>
      <w:rPr>
        <w:rFonts w:ascii="Arial" w:eastAsia="Arial" w:hAnsi="Arial" w:cs="Arial"/>
        <w:b/>
        <w:i w:val="0"/>
        <w:color w:val="000000"/>
        <w:sz w:val="24"/>
        <w:szCs w:val="24"/>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8" w15:restartNumberingAfterBreak="0">
    <w:nsid w:val="432F1B44"/>
    <w:multiLevelType w:val="multilevel"/>
    <w:tmpl w:val="432F1B44"/>
    <w:lvl w:ilvl="0">
      <w:start w:val="1"/>
      <w:numFmt w:val="bullet"/>
      <w:pStyle w:val="TabelLis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29" w15:restartNumberingAfterBreak="0">
    <w:nsid w:val="433038FD"/>
    <w:multiLevelType w:val="multilevel"/>
    <w:tmpl w:val="6628970E"/>
    <w:lvl w:ilvl="0">
      <w:start w:val="1"/>
      <w:numFmt w:val="lowerLetter"/>
      <w:lvlText w:val="%1)"/>
      <w:lvlJc w:val="left"/>
      <w:pPr>
        <w:tabs>
          <w:tab w:val="left" w:pos="2690"/>
        </w:tabs>
        <w:ind w:left="2690" w:hanging="705"/>
      </w:pPr>
      <w:rPr>
        <w:rFonts w:ascii="Arial" w:hAnsi="Arial" w:hint="default"/>
        <w:b w:val="0"/>
        <w:i w:val="0"/>
      </w:rPr>
    </w:lvl>
    <w:lvl w:ilvl="1">
      <w:start w:val="1"/>
      <w:numFmt w:val="lowerLetter"/>
      <w:lvlText w:val="%2."/>
      <w:lvlJc w:val="left"/>
      <w:pPr>
        <w:tabs>
          <w:tab w:val="left" w:pos="1440"/>
        </w:tabs>
        <w:ind w:left="1440" w:hanging="360"/>
      </w:pPr>
    </w:lvl>
    <w:lvl w:ilvl="2">
      <w:start w:val="1"/>
      <w:numFmt w:val="lowerLetter"/>
      <w:lvlText w:val="%3)"/>
      <w:lvlJc w:val="left"/>
      <w:pPr>
        <w:tabs>
          <w:tab w:val="left" w:pos="2685"/>
        </w:tabs>
        <w:ind w:left="2685" w:hanging="705"/>
      </w:pPr>
      <w:rPr>
        <w:rFonts w:ascii="Arial" w:eastAsia="Arial" w:hAnsi="Arial" w:cs="Arial"/>
        <w:b w:val="0"/>
        <w:i w:val="0"/>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0" w15:restartNumberingAfterBreak="0">
    <w:nsid w:val="439B34CD"/>
    <w:multiLevelType w:val="multilevel"/>
    <w:tmpl w:val="439B34CD"/>
    <w:lvl w:ilvl="0">
      <w:start w:val="5"/>
      <w:numFmt w:val="decimal"/>
      <w:lvlText w:val="%1."/>
      <w:lvlJc w:val="left"/>
      <w:pPr>
        <w:ind w:left="360" w:hanging="360"/>
      </w:pPr>
    </w:lvl>
    <w:lvl w:ilvl="1">
      <w:start w:val="1"/>
      <w:numFmt w:val="decimal"/>
      <w:lvlText w:val="%1.%2."/>
      <w:lvlJc w:val="left"/>
      <w:pPr>
        <w:ind w:left="720" w:hanging="720"/>
      </w:pPr>
      <w:rPr>
        <w:rFonts w:ascii="Arial" w:eastAsia="Arial" w:hAnsi="Arial" w:cs="Arial"/>
        <w:b w:val="0"/>
        <w:i w:val="0"/>
        <w:color w:val="000000"/>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1" w15:restartNumberingAfterBreak="0">
    <w:nsid w:val="43FB290C"/>
    <w:multiLevelType w:val="multilevel"/>
    <w:tmpl w:val="43FB290C"/>
    <w:lvl w:ilvl="0">
      <w:start w:val="1"/>
      <w:numFmt w:val="lowerLetter"/>
      <w:lvlText w:val="%1)"/>
      <w:lvlJc w:val="left"/>
      <w:pPr>
        <w:ind w:left="1701" w:hanging="6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44E1CB1F"/>
    <w:multiLevelType w:val="multilevel"/>
    <w:tmpl w:val="44E1CB1F"/>
    <w:lvl w:ilvl="0">
      <w:start w:val="1"/>
      <w:numFmt w:val="lowerRoman"/>
      <w:lvlText w:val="%1)"/>
      <w:lvlJc w:val="left"/>
      <w:pPr>
        <w:ind w:left="1571" w:hanging="720"/>
      </w:pPr>
    </w:lvl>
    <w:lvl w:ilvl="1">
      <w:start w:val="1"/>
      <w:numFmt w:val="lowerRoman"/>
      <w:lvlText w:val="(%2)"/>
      <w:lvlJc w:val="left"/>
      <w:pPr>
        <w:ind w:left="2279" w:hanging="720"/>
      </w:pPr>
    </w:lvl>
    <w:lvl w:ilvl="2">
      <w:start w:val="5"/>
      <w:numFmt w:val="lowerLetter"/>
      <w:lvlText w:val="%3)"/>
      <w:lvlJc w:val="left"/>
      <w:pPr>
        <w:ind w:left="2819" w:hanging="360"/>
      </w:pPr>
    </w:lvl>
    <w:lvl w:ilvl="3">
      <w:start w:val="1"/>
      <w:numFmt w:val="decimal"/>
      <w:lvlText w:val="%4."/>
      <w:lvlJc w:val="left"/>
      <w:pPr>
        <w:ind w:left="3359" w:hanging="360"/>
      </w:pPr>
    </w:lvl>
    <w:lvl w:ilvl="4">
      <w:start w:val="1"/>
      <w:numFmt w:val="lowerLetter"/>
      <w:lvlText w:val="%5."/>
      <w:lvlJc w:val="left"/>
      <w:pPr>
        <w:ind w:left="4079" w:hanging="360"/>
      </w:pPr>
    </w:lvl>
    <w:lvl w:ilvl="5">
      <w:start w:val="1"/>
      <w:numFmt w:val="lowerRoman"/>
      <w:lvlText w:val="%6."/>
      <w:lvlJc w:val="right"/>
      <w:pPr>
        <w:ind w:left="4799" w:hanging="180"/>
      </w:pPr>
    </w:lvl>
    <w:lvl w:ilvl="6">
      <w:start w:val="1"/>
      <w:numFmt w:val="decimal"/>
      <w:lvlText w:val="%7."/>
      <w:lvlJc w:val="left"/>
      <w:pPr>
        <w:ind w:left="5519" w:hanging="360"/>
      </w:pPr>
    </w:lvl>
    <w:lvl w:ilvl="7">
      <w:start w:val="1"/>
      <w:numFmt w:val="lowerLetter"/>
      <w:lvlText w:val="%8."/>
      <w:lvlJc w:val="left"/>
      <w:pPr>
        <w:ind w:left="6239" w:hanging="360"/>
      </w:pPr>
    </w:lvl>
    <w:lvl w:ilvl="8">
      <w:start w:val="1"/>
      <w:numFmt w:val="lowerRoman"/>
      <w:lvlText w:val="%9."/>
      <w:lvlJc w:val="right"/>
      <w:pPr>
        <w:ind w:left="6959" w:hanging="180"/>
      </w:pPr>
    </w:lvl>
  </w:abstractNum>
  <w:abstractNum w:abstractNumId="133" w15:restartNumberingAfterBreak="0">
    <w:nsid w:val="45CF9EE8"/>
    <w:multiLevelType w:val="multilevel"/>
    <w:tmpl w:val="45CF9EE8"/>
    <w:lvl w:ilvl="0">
      <w:start w:val="11"/>
      <w:numFmt w:val="decimal"/>
      <w:lvlText w:val="%1"/>
      <w:lvlJc w:val="left"/>
      <w:pPr>
        <w:ind w:left="420" w:hanging="420"/>
      </w:pPr>
      <w:rPr>
        <w:color w:val="000000"/>
      </w:rPr>
    </w:lvl>
    <w:lvl w:ilvl="1">
      <w:start w:val="1"/>
      <w:numFmt w:val="decimal"/>
      <w:lvlText w:val="%1.%2"/>
      <w:lvlJc w:val="left"/>
      <w:pPr>
        <w:ind w:left="704" w:hanging="419"/>
      </w:pPr>
      <w:rPr>
        <w:b w:val="0"/>
      </w:rPr>
    </w:lvl>
    <w:lvl w:ilvl="2">
      <w:start w:val="1"/>
      <w:numFmt w:val="decimalZero"/>
      <w:lvlText w:val="%1.%2.%3"/>
      <w:lvlJc w:val="left"/>
      <w:pPr>
        <w:ind w:left="1288" w:hanging="719"/>
      </w:pPr>
      <w:rPr>
        <w:b/>
        <w:i w:val="0"/>
        <w:color w:val="000000"/>
        <w:sz w:val="24"/>
        <w:szCs w:val="24"/>
      </w:rPr>
    </w:lvl>
    <w:lvl w:ilvl="3">
      <w:start w:val="1"/>
      <w:numFmt w:val="decimal"/>
      <w:lvlText w:val="%1.%2.%3.%4"/>
      <w:lvlJc w:val="left"/>
      <w:pPr>
        <w:ind w:left="1572" w:hanging="720"/>
      </w:pPr>
      <w:rPr>
        <w:b/>
        <w:i w:val="0"/>
      </w:rPr>
    </w:lvl>
    <w:lvl w:ilvl="4">
      <w:start w:val="1"/>
      <w:numFmt w:val="decimal"/>
      <w:lvlText w:val="%1.%2.%3.%4.%5"/>
      <w:lvlJc w:val="left"/>
      <w:pPr>
        <w:ind w:left="2216" w:hanging="1080"/>
      </w:pPr>
      <w:rPr>
        <w:b/>
        <w:i w:val="0"/>
      </w:r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34" w15:restartNumberingAfterBreak="0">
    <w:nsid w:val="468840D6"/>
    <w:multiLevelType w:val="multilevel"/>
    <w:tmpl w:val="468840D6"/>
    <w:lvl w:ilvl="0">
      <w:start w:val="1"/>
      <w:numFmt w:val="lowerLetter"/>
      <w:lvlText w:val="%1)"/>
      <w:lvlJc w:val="left"/>
      <w:pPr>
        <w:ind w:left="1144" w:hanging="43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5" w15:restartNumberingAfterBreak="0">
    <w:nsid w:val="46B602BD"/>
    <w:multiLevelType w:val="multilevel"/>
    <w:tmpl w:val="46B602BD"/>
    <w:lvl w:ilvl="0">
      <w:start w:val="1"/>
      <w:numFmt w:val="decimal"/>
      <w:lvlText w:val="%1."/>
      <w:lvlJc w:val="left"/>
      <w:pPr>
        <w:ind w:left="1146" w:hanging="360"/>
      </w:pPr>
      <w:rPr>
        <w:rFonts w:hint="default"/>
        <w:b/>
        <w:i w:val="0"/>
        <w:caps w:val="0"/>
        <w:strike w:val="0"/>
        <w:dstrike w:val="0"/>
        <w:vanish w:val="0"/>
        <w:color w:val="auto"/>
        <w:sz w:val="22"/>
        <w:vertAlign w:val="baseline"/>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6" w15:restartNumberingAfterBreak="0">
    <w:nsid w:val="47431372"/>
    <w:multiLevelType w:val="multilevel"/>
    <w:tmpl w:val="47431372"/>
    <w:lvl w:ilvl="0">
      <w:start w:val="1"/>
      <w:numFmt w:val="lowerRoman"/>
      <w:pStyle w:val="APNDICE"/>
      <w:lvlText w:val="%1."/>
      <w:lvlJc w:val="right"/>
      <w:pPr>
        <w:ind w:left="1429" w:hanging="360"/>
      </w:pPr>
      <w:rPr>
        <w:i w:val="0"/>
        <w:iCs w:val="0"/>
        <w:color w:val="000000"/>
        <w:u w:val="none"/>
      </w:rPr>
    </w:lvl>
    <w:lvl w:ilvl="1">
      <w:start w:val="1"/>
      <w:numFmt w:val="lowerLetter"/>
      <w:lvlText w:val="%2."/>
      <w:lvlJc w:val="left"/>
      <w:pPr>
        <w:ind w:left="2149" w:hanging="360"/>
      </w:pPr>
      <w:rPr>
        <w:color w:val="0000FF"/>
        <w:u w:val="single"/>
      </w:rPr>
    </w:lvl>
    <w:lvl w:ilvl="2">
      <w:start w:val="1"/>
      <w:numFmt w:val="lowerRoman"/>
      <w:lvlText w:val="%3."/>
      <w:lvlJc w:val="right"/>
      <w:pPr>
        <w:ind w:left="2869" w:hanging="180"/>
      </w:pPr>
      <w:rPr>
        <w:color w:val="0000FF"/>
        <w:u w:val="single"/>
      </w:rPr>
    </w:lvl>
    <w:lvl w:ilvl="3">
      <w:start w:val="1"/>
      <w:numFmt w:val="decimal"/>
      <w:lvlText w:val="%4."/>
      <w:lvlJc w:val="left"/>
      <w:pPr>
        <w:ind w:left="3589" w:hanging="360"/>
      </w:pPr>
      <w:rPr>
        <w:color w:val="0000FF"/>
        <w:u w:val="single"/>
      </w:rPr>
    </w:lvl>
    <w:lvl w:ilvl="4">
      <w:start w:val="1"/>
      <w:numFmt w:val="lowerLetter"/>
      <w:lvlText w:val="%5."/>
      <w:lvlJc w:val="left"/>
      <w:pPr>
        <w:ind w:left="4309" w:hanging="360"/>
      </w:pPr>
      <w:rPr>
        <w:color w:val="0000FF"/>
        <w:u w:val="single"/>
      </w:rPr>
    </w:lvl>
    <w:lvl w:ilvl="5">
      <w:start w:val="1"/>
      <w:numFmt w:val="lowerRoman"/>
      <w:lvlText w:val="%6."/>
      <w:lvlJc w:val="right"/>
      <w:pPr>
        <w:ind w:left="5029" w:hanging="180"/>
      </w:pPr>
      <w:rPr>
        <w:color w:val="0000FF"/>
        <w:u w:val="single"/>
      </w:rPr>
    </w:lvl>
    <w:lvl w:ilvl="6">
      <w:start w:val="1"/>
      <w:numFmt w:val="decimal"/>
      <w:lvlText w:val="%7."/>
      <w:lvlJc w:val="left"/>
      <w:pPr>
        <w:ind w:left="5749" w:hanging="360"/>
      </w:pPr>
      <w:rPr>
        <w:color w:val="0000FF"/>
        <w:u w:val="single"/>
      </w:rPr>
    </w:lvl>
    <w:lvl w:ilvl="7">
      <w:start w:val="1"/>
      <w:numFmt w:val="lowerLetter"/>
      <w:lvlText w:val="%8."/>
      <w:lvlJc w:val="left"/>
      <w:pPr>
        <w:ind w:left="6469" w:hanging="360"/>
      </w:pPr>
      <w:rPr>
        <w:color w:val="0000FF"/>
        <w:u w:val="single"/>
      </w:rPr>
    </w:lvl>
    <w:lvl w:ilvl="8">
      <w:start w:val="1"/>
      <w:numFmt w:val="lowerRoman"/>
      <w:lvlText w:val="%9."/>
      <w:lvlJc w:val="right"/>
      <w:pPr>
        <w:ind w:left="7189" w:hanging="180"/>
      </w:pPr>
      <w:rPr>
        <w:color w:val="0000FF"/>
        <w:u w:val="single"/>
      </w:rPr>
    </w:lvl>
  </w:abstractNum>
  <w:abstractNum w:abstractNumId="137" w15:restartNumberingAfterBreak="0">
    <w:nsid w:val="47C7131F"/>
    <w:multiLevelType w:val="multilevel"/>
    <w:tmpl w:val="47C7131F"/>
    <w:lvl w:ilvl="0">
      <w:start w:val="3"/>
      <w:numFmt w:val="decimal"/>
      <w:lvlText w:val="%1"/>
      <w:lvlJc w:val="left"/>
      <w:pPr>
        <w:ind w:left="570" w:hanging="570"/>
      </w:pPr>
    </w:lvl>
    <w:lvl w:ilvl="1">
      <w:start w:val="1"/>
      <w:numFmt w:val="decimal"/>
      <w:lvlText w:val="%1.%2"/>
      <w:lvlJc w:val="left"/>
      <w:pPr>
        <w:ind w:left="1138" w:hanging="570"/>
      </w:pPr>
      <w:rPr>
        <w:strike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47F365F9"/>
    <w:multiLevelType w:val="multilevel"/>
    <w:tmpl w:val="47F365F9"/>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7F98D94"/>
    <w:multiLevelType w:val="singleLevel"/>
    <w:tmpl w:val="47F98D94"/>
    <w:lvl w:ilvl="0">
      <w:start w:val="1"/>
      <w:numFmt w:val="lowerRoman"/>
      <w:suff w:val="space"/>
      <w:lvlText w:val="(%1)"/>
      <w:lvlJc w:val="left"/>
    </w:lvl>
  </w:abstractNum>
  <w:abstractNum w:abstractNumId="140" w15:restartNumberingAfterBreak="0">
    <w:nsid w:val="480D610F"/>
    <w:multiLevelType w:val="multilevel"/>
    <w:tmpl w:val="480D610F"/>
    <w:lvl w:ilvl="0">
      <w:start w:val="1"/>
      <w:numFmt w:val="lowerLetter"/>
      <w:pStyle w:val="Tit6"/>
      <w:lvlText w:val="%1)"/>
      <w:lvlJc w:val="left"/>
      <w:pPr>
        <w:ind w:left="2203"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1" w15:restartNumberingAfterBreak="0">
    <w:nsid w:val="48541744"/>
    <w:multiLevelType w:val="multilevel"/>
    <w:tmpl w:val="4854174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9D0C50F"/>
    <w:multiLevelType w:val="multilevel"/>
    <w:tmpl w:val="49D0C50F"/>
    <w:lvl w:ilvl="0">
      <w:start w:val="17"/>
      <w:numFmt w:val="decimal"/>
      <w:lvlText w:val="%1.1"/>
      <w:lvlJc w:val="left"/>
      <w:pPr>
        <w:ind w:left="705" w:hanging="705"/>
      </w:pPr>
      <w:rPr>
        <w:color w:val="000000"/>
      </w:rPr>
    </w:lvl>
    <w:lvl w:ilvl="1">
      <w:start w:val="1"/>
      <w:numFmt w:val="decimal"/>
      <w:lvlText w:val="%1.%2."/>
      <w:lvlJc w:val="left"/>
      <w:pPr>
        <w:ind w:left="705" w:hanging="705"/>
      </w:pPr>
      <w:rPr>
        <w:color w:val="000000"/>
        <w:sz w:val="22"/>
        <w:szCs w:val="22"/>
      </w:rPr>
    </w:lvl>
    <w:lvl w:ilvl="2">
      <w:start w:val="1"/>
      <w:numFmt w:val="decimal"/>
      <w:lvlText w:val="%1.%2.%3"/>
      <w:lvlJc w:val="left"/>
      <w:pPr>
        <w:ind w:left="720" w:hanging="720"/>
      </w:pPr>
      <w:rPr>
        <w:rFonts w:ascii="Arial" w:eastAsia="Arial" w:hAnsi="Arial" w:cs="Arial"/>
        <w:b w:val="0"/>
        <w:i w:val="0"/>
        <w:color w:val="000000"/>
        <w:sz w:val="22"/>
        <w:szCs w:val="22"/>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15:restartNumberingAfterBreak="0">
    <w:nsid w:val="4A0A2F69"/>
    <w:multiLevelType w:val="multilevel"/>
    <w:tmpl w:val="4A0A2F69"/>
    <w:lvl w:ilvl="0">
      <w:start w:val="22"/>
      <w:numFmt w:val="decimal"/>
      <w:pStyle w:val="Marcador2"/>
      <w:lvlText w:val="%1"/>
      <w:lvlJc w:val="left"/>
      <w:pPr>
        <w:ind w:left="384" w:hanging="384"/>
      </w:pPr>
    </w:lvl>
    <w:lvl w:ilvl="1">
      <w:start w:val="1"/>
      <w:numFmt w:val="decimal"/>
      <w:lvlText w:val="%1.%2"/>
      <w:lvlJc w:val="left"/>
      <w:pPr>
        <w:ind w:left="1104" w:hanging="384"/>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4" w15:restartNumberingAfterBreak="0">
    <w:nsid w:val="4A1E3684"/>
    <w:multiLevelType w:val="multilevel"/>
    <w:tmpl w:val="4A1E3684"/>
    <w:lvl w:ilvl="0">
      <w:start w:val="1"/>
      <w:numFmt w:val="lowerRoman"/>
      <w:pStyle w:val="Vietasa"/>
      <w:lvlText w:val="%1."/>
      <w:lvlJc w:val="right"/>
      <w:pPr>
        <w:ind w:left="1483" w:hanging="360"/>
      </w:pPr>
      <w:rPr>
        <w:rFonts w:ascii="Arial Narrow" w:eastAsia="Arial Narrow" w:hAnsi="Arial Narrow" w:cs="Arial Narrow"/>
      </w:rPr>
    </w:lvl>
    <w:lvl w:ilvl="1">
      <w:start w:val="1"/>
      <w:numFmt w:val="lowerLetter"/>
      <w:lvlText w:val="%2."/>
      <w:lvlJc w:val="left"/>
      <w:pPr>
        <w:ind w:left="2203" w:hanging="360"/>
      </w:pPr>
    </w:lvl>
    <w:lvl w:ilvl="2">
      <w:start w:val="1"/>
      <w:numFmt w:val="lowerRoman"/>
      <w:lvlText w:val="%3."/>
      <w:lvlJc w:val="right"/>
      <w:pPr>
        <w:ind w:left="2923" w:hanging="180"/>
      </w:pPr>
    </w:lvl>
    <w:lvl w:ilvl="3">
      <w:start w:val="1"/>
      <w:numFmt w:val="decimal"/>
      <w:lvlText w:val="%4."/>
      <w:lvlJc w:val="left"/>
      <w:pPr>
        <w:ind w:left="3643" w:hanging="360"/>
      </w:pPr>
    </w:lvl>
    <w:lvl w:ilvl="4">
      <w:start w:val="1"/>
      <w:numFmt w:val="lowerLetter"/>
      <w:lvlText w:val="%5."/>
      <w:lvlJc w:val="left"/>
      <w:pPr>
        <w:ind w:left="4363" w:hanging="360"/>
      </w:pPr>
    </w:lvl>
    <w:lvl w:ilvl="5">
      <w:start w:val="1"/>
      <w:numFmt w:val="lowerRoman"/>
      <w:lvlText w:val="%6."/>
      <w:lvlJc w:val="right"/>
      <w:pPr>
        <w:ind w:left="5083" w:hanging="180"/>
      </w:pPr>
    </w:lvl>
    <w:lvl w:ilvl="6">
      <w:start w:val="1"/>
      <w:numFmt w:val="decimal"/>
      <w:lvlText w:val="%7."/>
      <w:lvlJc w:val="left"/>
      <w:pPr>
        <w:ind w:left="5803" w:hanging="360"/>
      </w:pPr>
    </w:lvl>
    <w:lvl w:ilvl="7">
      <w:start w:val="1"/>
      <w:numFmt w:val="lowerLetter"/>
      <w:lvlText w:val="%8."/>
      <w:lvlJc w:val="left"/>
      <w:pPr>
        <w:ind w:left="6523" w:hanging="360"/>
      </w:pPr>
    </w:lvl>
    <w:lvl w:ilvl="8">
      <w:start w:val="1"/>
      <w:numFmt w:val="lowerRoman"/>
      <w:lvlText w:val="%9."/>
      <w:lvlJc w:val="right"/>
      <w:pPr>
        <w:ind w:left="7243" w:hanging="180"/>
      </w:pPr>
    </w:lvl>
  </w:abstractNum>
  <w:abstractNum w:abstractNumId="145" w15:restartNumberingAfterBreak="0">
    <w:nsid w:val="4AAF656C"/>
    <w:multiLevelType w:val="multilevel"/>
    <w:tmpl w:val="4AAF656C"/>
    <w:lvl w:ilvl="0">
      <w:start w:val="1"/>
      <w:numFmt w:val="lowerLetter"/>
      <w:pStyle w:val="roman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4B93FD8E"/>
    <w:multiLevelType w:val="multilevel"/>
    <w:tmpl w:val="4B93FD8E"/>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4CF0C592"/>
    <w:multiLevelType w:val="multilevel"/>
    <w:tmpl w:val="4CF0C59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4D9A5B32"/>
    <w:multiLevelType w:val="multilevel"/>
    <w:tmpl w:val="4D9A5B32"/>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9" w15:restartNumberingAfterBreak="0">
    <w:nsid w:val="4E2B14B3"/>
    <w:multiLevelType w:val="multilevel"/>
    <w:tmpl w:val="4E2B14B3"/>
    <w:lvl w:ilvl="0">
      <w:start w:val="12"/>
      <w:numFmt w:val="decimal"/>
      <w:lvlText w:val="%1.1"/>
      <w:lvlJc w:val="left"/>
      <w:pPr>
        <w:tabs>
          <w:tab w:val="left" w:pos="705"/>
        </w:tabs>
        <w:ind w:left="705" w:hanging="705"/>
      </w:pPr>
      <w:rPr>
        <w:rFonts w:hint="default"/>
        <w:color w:val="auto"/>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ascii="Arial" w:hAnsi="Arial" w:cs="Arial" w:hint="default"/>
        <w:b/>
        <w:i w:val="0"/>
        <w:color w:val="auto"/>
        <w:sz w:val="24"/>
      </w:rPr>
    </w:lvl>
    <w:lvl w:ilvl="3">
      <w:start w:val="1"/>
      <w:numFmt w:val="decimal"/>
      <w:lvlText w:val="%1.%2.%3.%4"/>
      <w:lvlJc w:val="left"/>
      <w:pPr>
        <w:tabs>
          <w:tab w:val="left" w:pos="1080"/>
        </w:tabs>
        <w:ind w:left="1080" w:hanging="1080"/>
      </w:pPr>
      <w:rPr>
        <w:rFonts w:hint="default"/>
        <w:b/>
        <w:i w:val="0"/>
      </w:rPr>
    </w:lvl>
    <w:lvl w:ilvl="4">
      <w:start w:val="1"/>
      <w:numFmt w:val="decimal"/>
      <w:lvlText w:val="%1.%2.%3.%4.%5"/>
      <w:lvlJc w:val="left"/>
      <w:pPr>
        <w:tabs>
          <w:tab w:val="left" w:pos="1080"/>
        </w:tabs>
        <w:ind w:left="1080" w:hanging="1080"/>
      </w:pPr>
      <w:rPr>
        <w:rFonts w:hint="default"/>
        <w:b/>
        <w:i w:val="0"/>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50" w15:restartNumberingAfterBreak="0">
    <w:nsid w:val="50056051"/>
    <w:multiLevelType w:val="multilevel"/>
    <w:tmpl w:val="50056051"/>
    <w:lvl w:ilvl="0">
      <w:start w:val="1"/>
      <w:numFmt w:val="lowerRoman"/>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51" w15:restartNumberingAfterBreak="0">
    <w:nsid w:val="504814DC"/>
    <w:multiLevelType w:val="multilevel"/>
    <w:tmpl w:val="504814DC"/>
    <w:lvl w:ilvl="0">
      <w:start w:val="1"/>
      <w:numFmt w:val="bullet"/>
      <w:pStyle w:val="Apndice1"/>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abstractNum w:abstractNumId="152" w15:restartNumberingAfterBreak="0">
    <w:nsid w:val="515128BF"/>
    <w:multiLevelType w:val="multilevel"/>
    <w:tmpl w:val="515128BF"/>
    <w:lvl w:ilvl="0">
      <w:numFmt w:val="none"/>
      <w:lvlText w:val=""/>
      <w:lvlJc w:val="left"/>
      <w:pPr>
        <w:tabs>
          <w:tab w:val="left"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1AB0524"/>
    <w:multiLevelType w:val="multilevel"/>
    <w:tmpl w:val="51AB0524"/>
    <w:lvl w:ilvl="0">
      <w:start w:val="19"/>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4" w15:restartNumberingAfterBreak="0">
    <w:nsid w:val="51FD1E76"/>
    <w:multiLevelType w:val="multilevel"/>
    <w:tmpl w:val="51FD1E76"/>
    <w:lvl w:ilvl="0">
      <w:start w:val="1"/>
      <w:numFmt w:val="lowerLetter"/>
      <w:lvlText w:val="%1)"/>
      <w:lvlJc w:val="left"/>
      <w:pPr>
        <w:ind w:left="1571"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5" w15:restartNumberingAfterBreak="0">
    <w:nsid w:val="52705000"/>
    <w:multiLevelType w:val="multilevel"/>
    <w:tmpl w:val="52705000"/>
    <w:lvl w:ilvl="0">
      <w:start w:val="1"/>
      <w:numFmt w:val="decimal"/>
      <w:pStyle w:val="subtitulo1"/>
      <w:lvlText w:val="%1."/>
      <w:lvlJc w:val="left"/>
      <w:pPr>
        <w:ind w:left="360" w:hanging="360"/>
      </w:pPr>
    </w:lvl>
    <w:lvl w:ilvl="1">
      <w:start w:val="1"/>
      <w:numFmt w:val="decimal"/>
      <w:pStyle w:val="Subtitulo2"/>
      <w:lvlText w:val="%1.%2."/>
      <w:lvlJc w:val="left"/>
      <w:pPr>
        <w:ind w:left="792" w:hanging="432"/>
      </w:pPr>
      <w:rPr>
        <w:b/>
      </w:rPr>
    </w:lvl>
    <w:lvl w:ilvl="2">
      <w:start w:val="1"/>
      <w:numFmt w:val="decimal"/>
      <w:pStyle w:val="Subtitulo3"/>
      <w:lvlText w:val="%1.%2.%3."/>
      <w:lvlJc w:val="left"/>
      <w:pPr>
        <w:ind w:left="1224" w:hanging="504"/>
      </w:pPr>
    </w:lvl>
    <w:lvl w:ilvl="3">
      <w:start w:val="1"/>
      <w:numFmt w:val="decimal"/>
      <w:pStyle w:val="Subtitulo4"/>
      <w:lvlText w:val="%1.%2.%3.%4."/>
      <w:lvlJc w:val="left"/>
      <w:pPr>
        <w:ind w:left="2775" w:hanging="648"/>
      </w:pPr>
    </w:lvl>
    <w:lvl w:ilvl="4">
      <w:start w:val="1"/>
      <w:numFmt w:val="decimal"/>
      <w:pStyle w:val="Subti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541B5F9A"/>
    <w:multiLevelType w:val="multilevel"/>
    <w:tmpl w:val="541B5F9A"/>
    <w:lvl w:ilvl="0">
      <w:start w:val="1"/>
      <w:numFmt w:val="lowerLetter"/>
      <w:pStyle w:val="Annex1"/>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41D1F89"/>
    <w:multiLevelType w:val="multilevel"/>
    <w:tmpl w:val="541D1F89"/>
    <w:lvl w:ilvl="0">
      <w:start w:val="2"/>
      <w:numFmt w:val="decimal"/>
      <w:pStyle w:val="cuerpo2"/>
      <w:lvlText w:val="%1."/>
      <w:lvlJc w:val="left"/>
      <w:pPr>
        <w:ind w:left="705" w:hanging="705"/>
      </w:pPr>
      <w:rPr>
        <w:color w:val="0000FF"/>
        <w:u w:val="single"/>
      </w:rPr>
    </w:lvl>
    <w:lvl w:ilvl="1">
      <w:start w:val="1"/>
      <w:numFmt w:val="decimal"/>
      <w:lvlText w:val="%1.%2."/>
      <w:lvlJc w:val="left"/>
      <w:pPr>
        <w:ind w:left="720" w:hanging="720"/>
      </w:pPr>
      <w:rPr>
        <w:color w:val="000000"/>
        <w:u w:val="none"/>
      </w:rPr>
    </w:lvl>
    <w:lvl w:ilvl="2">
      <w:start w:val="1"/>
      <w:numFmt w:val="decimal"/>
      <w:lvlText w:val="%1.%2.%3."/>
      <w:lvlJc w:val="left"/>
      <w:pPr>
        <w:ind w:left="720" w:hanging="720"/>
      </w:pPr>
      <w:rPr>
        <w:color w:val="0000FF"/>
        <w:u w:val="single"/>
      </w:rPr>
    </w:lvl>
    <w:lvl w:ilvl="3">
      <w:start w:val="1"/>
      <w:numFmt w:val="decimal"/>
      <w:lvlText w:val="%1.%2.%3.%4."/>
      <w:lvlJc w:val="left"/>
      <w:pPr>
        <w:ind w:left="1080" w:hanging="1080"/>
      </w:pPr>
      <w:rPr>
        <w:color w:val="0000FF"/>
        <w:u w:val="single"/>
      </w:rPr>
    </w:lvl>
    <w:lvl w:ilvl="4">
      <w:start w:val="1"/>
      <w:numFmt w:val="decimal"/>
      <w:lvlText w:val="%1.%2.%3.%4.%5."/>
      <w:lvlJc w:val="left"/>
      <w:pPr>
        <w:ind w:left="1080" w:hanging="1080"/>
      </w:pPr>
      <w:rPr>
        <w:color w:val="0000FF"/>
        <w:u w:val="single"/>
      </w:rPr>
    </w:lvl>
    <w:lvl w:ilvl="5">
      <w:start w:val="1"/>
      <w:numFmt w:val="decimal"/>
      <w:lvlText w:val="%1.%2.%3.%4.%5.%6."/>
      <w:lvlJc w:val="left"/>
      <w:pPr>
        <w:ind w:left="1440" w:hanging="1440"/>
      </w:pPr>
      <w:rPr>
        <w:color w:val="0000FF"/>
        <w:u w:val="single"/>
      </w:rPr>
    </w:lvl>
    <w:lvl w:ilvl="6">
      <w:start w:val="1"/>
      <w:numFmt w:val="decimal"/>
      <w:lvlText w:val="%1.%2.%3.%4.%5.%6.%7."/>
      <w:lvlJc w:val="left"/>
      <w:pPr>
        <w:ind w:left="1440" w:hanging="1440"/>
      </w:pPr>
      <w:rPr>
        <w:color w:val="0000FF"/>
        <w:u w:val="single"/>
      </w:rPr>
    </w:lvl>
    <w:lvl w:ilvl="7">
      <w:start w:val="1"/>
      <w:numFmt w:val="decimal"/>
      <w:lvlText w:val="%1.%2.%3.%4.%5.%6.%7.%8."/>
      <w:lvlJc w:val="left"/>
      <w:pPr>
        <w:ind w:left="1800" w:hanging="1800"/>
      </w:pPr>
      <w:rPr>
        <w:color w:val="0000FF"/>
        <w:u w:val="single"/>
      </w:rPr>
    </w:lvl>
    <w:lvl w:ilvl="8">
      <w:start w:val="1"/>
      <w:numFmt w:val="decimal"/>
      <w:lvlText w:val="%1.%2.%3.%4.%5.%6.%7.%8.%9."/>
      <w:lvlJc w:val="left"/>
      <w:pPr>
        <w:ind w:left="2160" w:hanging="2160"/>
      </w:pPr>
      <w:rPr>
        <w:color w:val="0000FF"/>
        <w:u w:val="single"/>
      </w:rPr>
    </w:lvl>
  </w:abstractNum>
  <w:abstractNum w:abstractNumId="158" w15:restartNumberingAfterBreak="0">
    <w:nsid w:val="54D1AC37"/>
    <w:multiLevelType w:val="multilevel"/>
    <w:tmpl w:val="54D1AC37"/>
    <w:lvl w:ilvl="0">
      <w:start w:val="5"/>
      <w:numFmt w:val="decimal"/>
      <w:lvlText w:val="3.1"/>
      <w:lvlJc w:val="left"/>
      <w:pPr>
        <w:ind w:left="360" w:hanging="360"/>
      </w:pPr>
    </w:lvl>
    <w:lvl w:ilvl="1">
      <w:start w:val="1"/>
      <w:numFmt w:val="decimal"/>
      <w:lvlText w:val="%13.1.%2"/>
      <w:lvlJc w:val="left"/>
      <w:pPr>
        <w:ind w:left="1353" w:hanging="359"/>
      </w:pPr>
    </w:lvl>
    <w:lvl w:ilvl="2">
      <w:start w:val="1"/>
      <w:numFmt w:val="decimal"/>
      <w:lvlText w:val="3.1%1.%2.%3"/>
      <w:lvlJc w:val="left"/>
      <w:pPr>
        <w:ind w:left="2705" w:hanging="720"/>
      </w:pPr>
      <w:rPr>
        <w:strike w:val="0"/>
      </w:rPr>
    </w:lvl>
    <w:lvl w:ilvl="3">
      <w:start w:val="1"/>
      <w:numFmt w:val="decimal"/>
      <w:lvlText w:val="%1.%2.%3.%4"/>
      <w:lvlJc w:val="left"/>
      <w:pPr>
        <w:ind w:left="3699" w:hanging="720"/>
      </w:pPr>
    </w:lvl>
    <w:lvl w:ilvl="4">
      <w:start w:val="1"/>
      <w:numFmt w:val="decimal"/>
      <w:lvlText w:val="%1.%2.%3.%4.%5"/>
      <w:lvlJc w:val="left"/>
      <w:pPr>
        <w:ind w:left="4692" w:hanging="720"/>
      </w:pPr>
    </w:lvl>
    <w:lvl w:ilvl="5">
      <w:start w:val="1"/>
      <w:numFmt w:val="decimal"/>
      <w:lvlText w:val="%1.%2.%3.%4.%5.%6"/>
      <w:lvlJc w:val="left"/>
      <w:pPr>
        <w:ind w:left="6045" w:hanging="1080"/>
      </w:pPr>
    </w:lvl>
    <w:lvl w:ilvl="6">
      <w:start w:val="1"/>
      <w:numFmt w:val="decimal"/>
      <w:lvlText w:val="%1.%2.%3.%4.%5.%6.%7"/>
      <w:lvlJc w:val="left"/>
      <w:pPr>
        <w:ind w:left="7038" w:hanging="1080"/>
      </w:pPr>
    </w:lvl>
    <w:lvl w:ilvl="7">
      <w:start w:val="1"/>
      <w:numFmt w:val="decimal"/>
      <w:lvlText w:val="%1.%2.%3.%4.%5.%6.%7.%8"/>
      <w:lvlJc w:val="left"/>
      <w:pPr>
        <w:ind w:left="8391" w:hanging="1440"/>
      </w:pPr>
    </w:lvl>
    <w:lvl w:ilvl="8">
      <w:start w:val="1"/>
      <w:numFmt w:val="decimal"/>
      <w:lvlText w:val="%1.%2.%3.%4.%5.%6.%7.%8.%9"/>
      <w:lvlJc w:val="left"/>
      <w:pPr>
        <w:ind w:left="9384" w:hanging="1440"/>
      </w:pPr>
    </w:lvl>
  </w:abstractNum>
  <w:abstractNum w:abstractNumId="159" w15:restartNumberingAfterBreak="0">
    <w:nsid w:val="55A902ED"/>
    <w:multiLevelType w:val="multilevel"/>
    <w:tmpl w:val="55A902ED"/>
    <w:lvl w:ilvl="0">
      <w:start w:val="1"/>
      <w:numFmt w:val="lowerLetter"/>
      <w:pStyle w:val="APNDICES"/>
      <w:lvlText w:val="%1)"/>
      <w:lvlJc w:val="left"/>
      <w:pPr>
        <w:ind w:left="1570" w:hanging="360"/>
      </w:pPr>
      <w:rPr>
        <w:color w:val="000000"/>
        <w:u w:val="none"/>
      </w:rPr>
    </w:lvl>
    <w:lvl w:ilvl="1">
      <w:start w:val="1"/>
      <w:numFmt w:val="lowerLetter"/>
      <w:lvlText w:val="%2."/>
      <w:lvlJc w:val="left"/>
      <w:pPr>
        <w:ind w:left="2290" w:hanging="360"/>
      </w:pPr>
      <w:rPr>
        <w:color w:val="0000FF"/>
        <w:u w:val="single"/>
      </w:rPr>
    </w:lvl>
    <w:lvl w:ilvl="2">
      <w:start w:val="1"/>
      <w:numFmt w:val="lowerRoman"/>
      <w:lvlText w:val="%3."/>
      <w:lvlJc w:val="right"/>
      <w:pPr>
        <w:ind w:left="3010" w:hanging="180"/>
      </w:pPr>
      <w:rPr>
        <w:color w:val="0000FF"/>
        <w:u w:val="single"/>
      </w:rPr>
    </w:lvl>
    <w:lvl w:ilvl="3">
      <w:start w:val="1"/>
      <w:numFmt w:val="decimal"/>
      <w:lvlText w:val="%4."/>
      <w:lvlJc w:val="left"/>
      <w:pPr>
        <w:ind w:left="3730" w:hanging="360"/>
      </w:pPr>
      <w:rPr>
        <w:color w:val="0000FF"/>
        <w:u w:val="single"/>
      </w:rPr>
    </w:lvl>
    <w:lvl w:ilvl="4">
      <w:start w:val="1"/>
      <w:numFmt w:val="lowerLetter"/>
      <w:lvlText w:val="%5."/>
      <w:lvlJc w:val="left"/>
      <w:pPr>
        <w:ind w:left="4450" w:hanging="360"/>
      </w:pPr>
      <w:rPr>
        <w:color w:val="0000FF"/>
        <w:u w:val="single"/>
      </w:rPr>
    </w:lvl>
    <w:lvl w:ilvl="5">
      <w:start w:val="1"/>
      <w:numFmt w:val="lowerRoman"/>
      <w:lvlText w:val="%6."/>
      <w:lvlJc w:val="right"/>
      <w:pPr>
        <w:ind w:left="5170" w:hanging="180"/>
      </w:pPr>
      <w:rPr>
        <w:color w:val="0000FF"/>
        <w:u w:val="single"/>
      </w:rPr>
    </w:lvl>
    <w:lvl w:ilvl="6">
      <w:start w:val="1"/>
      <w:numFmt w:val="decimal"/>
      <w:lvlText w:val="%7."/>
      <w:lvlJc w:val="left"/>
      <w:pPr>
        <w:ind w:left="5890" w:hanging="360"/>
      </w:pPr>
      <w:rPr>
        <w:color w:val="0000FF"/>
        <w:u w:val="single"/>
      </w:rPr>
    </w:lvl>
    <w:lvl w:ilvl="7">
      <w:start w:val="1"/>
      <w:numFmt w:val="lowerLetter"/>
      <w:lvlText w:val="%8."/>
      <w:lvlJc w:val="left"/>
      <w:pPr>
        <w:ind w:left="6610" w:hanging="360"/>
      </w:pPr>
      <w:rPr>
        <w:color w:val="0000FF"/>
        <w:u w:val="single"/>
      </w:rPr>
    </w:lvl>
    <w:lvl w:ilvl="8">
      <w:start w:val="1"/>
      <w:numFmt w:val="lowerRoman"/>
      <w:lvlText w:val="%9."/>
      <w:lvlJc w:val="right"/>
      <w:pPr>
        <w:ind w:left="7330" w:hanging="180"/>
      </w:pPr>
      <w:rPr>
        <w:color w:val="0000FF"/>
        <w:u w:val="single"/>
      </w:rPr>
    </w:lvl>
  </w:abstractNum>
  <w:abstractNum w:abstractNumId="160" w15:restartNumberingAfterBreak="0">
    <w:nsid w:val="55F8624C"/>
    <w:multiLevelType w:val="multilevel"/>
    <w:tmpl w:val="55F862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56D915C5"/>
    <w:multiLevelType w:val="multilevel"/>
    <w:tmpl w:val="56D915C5"/>
    <w:lvl w:ilvl="0">
      <w:start w:val="1"/>
      <w:numFmt w:val="lowerLetter"/>
      <w:lvlText w:val="%1)"/>
      <w:lvlJc w:val="left"/>
      <w:pPr>
        <w:ind w:left="720" w:hanging="360"/>
      </w:pPr>
      <w:rPr>
        <w:rFonts w:ascii="Arial" w:hAnsi="Arial" w:cs="Arial" w:hint="default"/>
        <w:b w:val="0"/>
        <w:i w:val="0"/>
        <w:caps w:val="0"/>
        <w:strike w:val="0"/>
        <w:dstrike w:val="0"/>
        <w:vanish w:val="0"/>
        <w:color w:val="auto"/>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57B454BA"/>
    <w:multiLevelType w:val="multilevel"/>
    <w:tmpl w:val="57B454BA"/>
    <w:lvl w:ilvl="0">
      <w:start w:val="1"/>
      <w:numFmt w:val="lowerLetter"/>
      <w:lvlText w:val="%1)"/>
      <w:lvlJc w:val="left"/>
      <w:pPr>
        <w:ind w:left="720" w:hanging="360"/>
      </w:pPr>
    </w:lvl>
    <w:lvl w:ilvl="1">
      <w:start w:val="1"/>
      <w:numFmt w:val="lowerLetter"/>
      <w:pStyle w:val="Ttulo211pt"/>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8DD5399"/>
    <w:multiLevelType w:val="multilevel"/>
    <w:tmpl w:val="58DD5399"/>
    <w:lvl w:ilvl="0">
      <w:start w:val="11"/>
      <w:numFmt w:val="decimal"/>
      <w:lvlText w:val="%1"/>
      <w:lvlJc w:val="left"/>
      <w:pPr>
        <w:tabs>
          <w:tab w:val="left" w:pos="420"/>
        </w:tabs>
        <w:ind w:left="420" w:hanging="420"/>
      </w:pPr>
      <w:rPr>
        <w:rFonts w:hint="default"/>
        <w:color w:val="auto"/>
      </w:rPr>
    </w:lvl>
    <w:lvl w:ilvl="1">
      <w:start w:val="1"/>
      <w:numFmt w:val="decimal"/>
      <w:lvlText w:val="%1.%2"/>
      <w:lvlJc w:val="left"/>
      <w:pPr>
        <w:tabs>
          <w:tab w:val="left" w:pos="704"/>
        </w:tabs>
        <w:ind w:left="704" w:hanging="420"/>
      </w:pPr>
      <w:rPr>
        <w:rFonts w:hint="default"/>
        <w:b w:val="0"/>
      </w:rPr>
    </w:lvl>
    <w:lvl w:ilvl="2">
      <w:start w:val="1"/>
      <w:numFmt w:val="decimalZero"/>
      <w:lvlText w:val="%1.%2.%3"/>
      <w:lvlJc w:val="left"/>
      <w:pPr>
        <w:tabs>
          <w:tab w:val="left" w:pos="1288"/>
        </w:tabs>
        <w:ind w:left="1288" w:hanging="720"/>
      </w:pPr>
      <w:rPr>
        <w:rFonts w:hint="default"/>
        <w:b/>
        <w:i w:val="0"/>
        <w:color w:val="auto"/>
        <w:sz w:val="24"/>
      </w:rPr>
    </w:lvl>
    <w:lvl w:ilvl="3">
      <w:start w:val="1"/>
      <w:numFmt w:val="decimal"/>
      <w:lvlText w:val="%1.%2.%3.%4"/>
      <w:lvlJc w:val="left"/>
      <w:pPr>
        <w:tabs>
          <w:tab w:val="left" w:pos="1572"/>
        </w:tabs>
        <w:ind w:left="1572" w:hanging="720"/>
      </w:pPr>
      <w:rPr>
        <w:rFonts w:hint="default"/>
        <w:b/>
        <w:i w:val="0"/>
      </w:rPr>
    </w:lvl>
    <w:lvl w:ilvl="4">
      <w:start w:val="1"/>
      <w:numFmt w:val="decimal"/>
      <w:lvlText w:val="%1.%2.%3.%4.%5"/>
      <w:lvlJc w:val="left"/>
      <w:pPr>
        <w:tabs>
          <w:tab w:val="left" w:pos="2216"/>
        </w:tabs>
        <w:ind w:left="2216" w:hanging="1080"/>
      </w:pPr>
      <w:rPr>
        <w:rFonts w:hint="default"/>
        <w:b/>
        <w:i w:val="0"/>
      </w:rPr>
    </w:lvl>
    <w:lvl w:ilvl="5">
      <w:start w:val="1"/>
      <w:numFmt w:val="decimal"/>
      <w:lvlText w:val="%1.%2.%3.%4.%5.%6"/>
      <w:lvlJc w:val="left"/>
      <w:pPr>
        <w:tabs>
          <w:tab w:val="left" w:pos="2500"/>
        </w:tabs>
        <w:ind w:left="2500" w:hanging="1080"/>
      </w:pPr>
      <w:rPr>
        <w:rFonts w:hint="default"/>
      </w:rPr>
    </w:lvl>
    <w:lvl w:ilvl="6">
      <w:start w:val="1"/>
      <w:numFmt w:val="decimal"/>
      <w:lvlText w:val="%1.%2.%3.%4.%5.%6.%7"/>
      <w:lvlJc w:val="left"/>
      <w:pPr>
        <w:tabs>
          <w:tab w:val="left" w:pos="3144"/>
        </w:tabs>
        <w:ind w:left="3144" w:hanging="1440"/>
      </w:pPr>
      <w:rPr>
        <w:rFonts w:hint="default"/>
      </w:rPr>
    </w:lvl>
    <w:lvl w:ilvl="7">
      <w:start w:val="1"/>
      <w:numFmt w:val="decimal"/>
      <w:lvlText w:val="%1.%2.%3.%4.%5.%6.%7.%8"/>
      <w:lvlJc w:val="left"/>
      <w:pPr>
        <w:tabs>
          <w:tab w:val="left" w:pos="3428"/>
        </w:tabs>
        <w:ind w:left="3428" w:hanging="1440"/>
      </w:pPr>
      <w:rPr>
        <w:rFonts w:hint="default"/>
      </w:rPr>
    </w:lvl>
    <w:lvl w:ilvl="8">
      <w:start w:val="1"/>
      <w:numFmt w:val="decimal"/>
      <w:lvlText w:val="%1.%2.%3.%4.%5.%6.%7.%8.%9"/>
      <w:lvlJc w:val="left"/>
      <w:pPr>
        <w:tabs>
          <w:tab w:val="left" w:pos="4072"/>
        </w:tabs>
        <w:ind w:left="4072" w:hanging="1800"/>
      </w:pPr>
      <w:rPr>
        <w:rFonts w:hint="default"/>
      </w:rPr>
    </w:lvl>
  </w:abstractNum>
  <w:abstractNum w:abstractNumId="164" w15:restartNumberingAfterBreak="0">
    <w:nsid w:val="593DE12F"/>
    <w:multiLevelType w:val="multilevel"/>
    <w:tmpl w:val="593DE12F"/>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5A5D3F6E"/>
    <w:multiLevelType w:val="multilevel"/>
    <w:tmpl w:val="5A5D3F6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6" w15:restartNumberingAfterBreak="0">
    <w:nsid w:val="5A8B52E6"/>
    <w:multiLevelType w:val="multilevel"/>
    <w:tmpl w:val="5A8B52E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7" w15:restartNumberingAfterBreak="0">
    <w:nsid w:val="5AF8D15C"/>
    <w:multiLevelType w:val="multilevel"/>
    <w:tmpl w:val="5AF8D15C"/>
    <w:lvl w:ilvl="0">
      <w:start w:val="1"/>
      <w:numFmt w:val="lowerLetter"/>
      <w:lvlText w:val="%1)"/>
      <w:lvlJc w:val="left"/>
      <w:pPr>
        <w:ind w:left="34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B4A6EA8"/>
    <w:multiLevelType w:val="multilevel"/>
    <w:tmpl w:val="5B4A6EA8"/>
    <w:lvl w:ilvl="0">
      <w:start w:val="1"/>
      <w:numFmt w:val="decimal"/>
      <w:pStyle w:val="Numberedtext"/>
      <w:lvlText w:val="%1."/>
      <w:lvlJc w:val="left"/>
      <w:pPr>
        <w:tabs>
          <w:tab w:val="left" w:pos="1004"/>
        </w:tabs>
        <w:ind w:left="1004" w:hanging="284"/>
      </w:pPr>
      <w:rPr>
        <w:rFonts w:hint="default"/>
      </w:rPr>
    </w:lvl>
    <w:lvl w:ilvl="1">
      <w:start w:val="1"/>
      <w:numFmt w:val="lowerLetter"/>
      <w:lvlText w:val="%2."/>
      <w:lvlJc w:val="left"/>
      <w:pPr>
        <w:tabs>
          <w:tab w:val="left" w:pos="1287"/>
        </w:tabs>
        <w:ind w:left="1287" w:hanging="283"/>
      </w:pPr>
      <w:rPr>
        <w:rFonts w:hint="default"/>
      </w:rPr>
    </w:lvl>
    <w:lvl w:ilvl="2">
      <w:start w:val="1"/>
      <w:numFmt w:val="lowerRoman"/>
      <w:lvlText w:val="%3."/>
      <w:lvlJc w:val="left"/>
      <w:pPr>
        <w:tabs>
          <w:tab w:val="left" w:pos="1571"/>
        </w:tabs>
        <w:ind w:left="1571" w:hanging="284"/>
      </w:pPr>
      <w:rPr>
        <w:rFonts w:hint="default"/>
      </w:rPr>
    </w:lvl>
    <w:lvl w:ilvl="3">
      <w:start w:val="1"/>
      <w:numFmt w:val="none"/>
      <w:lvlText w:val=""/>
      <w:lvlJc w:val="left"/>
      <w:pPr>
        <w:tabs>
          <w:tab w:val="left" w:pos="1571"/>
        </w:tabs>
        <w:ind w:left="1571" w:firstLine="0"/>
      </w:pPr>
      <w:rPr>
        <w:rFonts w:hint="default"/>
      </w:rPr>
    </w:lvl>
    <w:lvl w:ilvl="4">
      <w:start w:val="1"/>
      <w:numFmt w:val="none"/>
      <w:lvlText w:val=""/>
      <w:lvlJc w:val="left"/>
      <w:pPr>
        <w:tabs>
          <w:tab w:val="left" w:pos="1571"/>
        </w:tabs>
        <w:ind w:left="1571" w:firstLine="0"/>
      </w:pPr>
      <w:rPr>
        <w:rFonts w:hint="default"/>
      </w:rPr>
    </w:lvl>
    <w:lvl w:ilvl="5">
      <w:start w:val="1"/>
      <w:numFmt w:val="none"/>
      <w:lvlText w:val=""/>
      <w:lvlJc w:val="left"/>
      <w:pPr>
        <w:tabs>
          <w:tab w:val="left" w:pos="1571"/>
        </w:tabs>
        <w:ind w:left="1571" w:firstLine="0"/>
      </w:pPr>
      <w:rPr>
        <w:rFonts w:hint="default"/>
      </w:rPr>
    </w:lvl>
    <w:lvl w:ilvl="6">
      <w:start w:val="1"/>
      <w:numFmt w:val="none"/>
      <w:lvlText w:val=""/>
      <w:lvlJc w:val="left"/>
      <w:pPr>
        <w:tabs>
          <w:tab w:val="left" w:pos="1571"/>
        </w:tabs>
        <w:ind w:left="1571" w:firstLine="0"/>
      </w:pPr>
      <w:rPr>
        <w:rFonts w:hint="default"/>
      </w:rPr>
    </w:lvl>
    <w:lvl w:ilvl="7">
      <w:start w:val="1"/>
      <w:numFmt w:val="none"/>
      <w:lvlText w:val=""/>
      <w:lvlJc w:val="left"/>
      <w:pPr>
        <w:tabs>
          <w:tab w:val="left" w:pos="1571"/>
        </w:tabs>
        <w:ind w:left="1571" w:firstLine="0"/>
      </w:pPr>
      <w:rPr>
        <w:rFonts w:hint="default"/>
      </w:rPr>
    </w:lvl>
    <w:lvl w:ilvl="8">
      <w:start w:val="1"/>
      <w:numFmt w:val="none"/>
      <w:lvlRestart w:val="3"/>
      <w:lvlText w:val=""/>
      <w:lvlJc w:val="left"/>
      <w:pPr>
        <w:tabs>
          <w:tab w:val="left" w:pos="1571"/>
        </w:tabs>
        <w:ind w:left="1571" w:firstLine="0"/>
      </w:pPr>
      <w:rPr>
        <w:rFonts w:hint="default"/>
      </w:rPr>
    </w:lvl>
  </w:abstractNum>
  <w:abstractNum w:abstractNumId="169" w15:restartNumberingAfterBreak="0">
    <w:nsid w:val="5BDDAF9C"/>
    <w:multiLevelType w:val="multilevel"/>
    <w:tmpl w:val="5BDDAF9C"/>
    <w:lvl w:ilvl="0">
      <w:start w:val="1"/>
      <w:numFmt w:val="decimal"/>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D76FD6C"/>
    <w:multiLevelType w:val="multilevel"/>
    <w:tmpl w:val="5D76FD6C"/>
    <w:lvl w:ilvl="0">
      <w:start w:val="1"/>
      <w:numFmt w:val="lowerLetter"/>
      <w:lvlText w:val="%1)"/>
      <w:lvlJc w:val="left"/>
      <w:pPr>
        <w:ind w:left="36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E1B09D2"/>
    <w:multiLevelType w:val="multilevel"/>
    <w:tmpl w:val="5E1B09D2"/>
    <w:lvl w:ilvl="0">
      <w:start w:val="1"/>
      <w:numFmt w:val="lowerLetter"/>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5E384242"/>
    <w:multiLevelType w:val="multilevel"/>
    <w:tmpl w:val="5E384242"/>
    <w:lvl w:ilvl="0">
      <w:start w:val="1"/>
      <w:numFmt w:val="lowerLetter"/>
      <w:lvlText w:val="%1)"/>
      <w:lvlJc w:val="left"/>
      <w:pPr>
        <w:ind w:left="1080" w:hanging="360"/>
      </w:pPr>
    </w:lvl>
    <w:lvl w:ilvl="1">
      <w:start w:val="1"/>
      <w:numFmt w:val="lowerLetter"/>
      <w:pStyle w:val="EstiloTtulo2"/>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3" w15:restartNumberingAfterBreak="0">
    <w:nsid w:val="5E959F1C"/>
    <w:multiLevelType w:val="multilevel"/>
    <w:tmpl w:val="5E959F1C"/>
    <w:lvl w:ilvl="0">
      <w:start w:val="1"/>
      <w:numFmt w:val="lowerRoman"/>
      <w:lvlText w:val="%1."/>
      <w:lvlJc w:val="right"/>
      <w:pPr>
        <w:ind w:left="1712" w:hanging="360"/>
      </w:pPr>
      <w:rPr>
        <w:b w:val="0"/>
      </w:r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174" w15:restartNumberingAfterBreak="0">
    <w:nsid w:val="5EAC2EAB"/>
    <w:multiLevelType w:val="multilevel"/>
    <w:tmpl w:val="5EAC2EAB"/>
    <w:lvl w:ilvl="0">
      <w:start w:val="1"/>
      <w:numFmt w:val="lowerLetter"/>
      <w:pStyle w:val="Literal1"/>
      <w:lvlText w:val="%1)"/>
      <w:lvlJc w:val="left"/>
      <w:pPr>
        <w:ind w:left="706" w:hanging="705"/>
      </w:pPr>
      <w:rPr>
        <w:color w:val="000000"/>
        <w:u w:val="none"/>
      </w:rPr>
    </w:lvl>
    <w:lvl w:ilvl="1">
      <w:start w:val="1"/>
      <w:numFmt w:val="decimal"/>
      <w:lvlText w:val="%1.%2."/>
      <w:lvlJc w:val="left"/>
      <w:pPr>
        <w:ind w:left="792" w:hanging="432"/>
      </w:pPr>
      <w:rPr>
        <w:color w:val="000000"/>
      </w:rPr>
    </w:lvl>
    <w:lvl w:ilvl="2">
      <w:start w:val="1"/>
      <w:numFmt w:val="decimal"/>
      <w:lvlText w:val="%1.%2.%3."/>
      <w:lvlJc w:val="left"/>
      <w:pPr>
        <w:ind w:left="1944" w:hanging="504"/>
      </w:pPr>
    </w:lvl>
    <w:lvl w:ilvl="3">
      <w:start w:val="1"/>
      <w:numFmt w:val="decimal"/>
      <w:lvlText w:val="%1.%2.%3.%4."/>
      <w:lvlJc w:val="left"/>
      <w:pPr>
        <w:ind w:left="1728" w:hanging="647"/>
      </w:pPr>
      <w:rPr>
        <w:rFonts w:ascii="Arial" w:eastAsia="Arial" w:hAnsi="Arial" w:cs="Arial"/>
        <w:b/>
        <w:i w:val="0"/>
        <w:sz w:val="22"/>
        <w:szCs w:val="22"/>
      </w:r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5EDA2CD0"/>
    <w:multiLevelType w:val="multilevel"/>
    <w:tmpl w:val="5EDA2CD0"/>
    <w:lvl w:ilvl="0">
      <w:start w:val="12"/>
      <w:numFmt w:val="decimal"/>
      <w:lvlText w:val="%1.1"/>
      <w:lvlJc w:val="left"/>
      <w:pPr>
        <w:ind w:left="705" w:hanging="705"/>
      </w:pPr>
      <w:rPr>
        <w:color w:val="000000"/>
      </w:rPr>
    </w:lvl>
    <w:lvl w:ilvl="1">
      <w:start w:val="1"/>
      <w:numFmt w:val="decimal"/>
      <w:lvlText w:val="%1.%2."/>
      <w:lvlJc w:val="left"/>
      <w:pPr>
        <w:ind w:left="705" w:hanging="705"/>
      </w:pPr>
      <w:rPr>
        <w:sz w:val="22"/>
        <w:szCs w:val="22"/>
      </w:rPr>
    </w:lvl>
    <w:lvl w:ilvl="2">
      <w:start w:val="1"/>
      <w:numFmt w:val="decimal"/>
      <w:lvlText w:val="%1.%2.%3"/>
      <w:lvlJc w:val="left"/>
      <w:pPr>
        <w:ind w:left="720" w:hanging="720"/>
      </w:pPr>
      <w:rPr>
        <w:rFonts w:ascii="Arial" w:eastAsia="Arial" w:hAnsi="Arial" w:cs="Arial"/>
        <w:b/>
        <w:i w:val="0"/>
        <w:color w:val="000000"/>
        <w:sz w:val="24"/>
        <w:szCs w:val="24"/>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6" w15:restartNumberingAfterBreak="0">
    <w:nsid w:val="5F191C56"/>
    <w:multiLevelType w:val="multilevel"/>
    <w:tmpl w:val="5F191C56"/>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pStyle w:val="Elenco03"/>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7" w15:restartNumberingAfterBreak="0">
    <w:nsid w:val="5F1C1808"/>
    <w:multiLevelType w:val="multilevel"/>
    <w:tmpl w:val="5F1C18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5F800949"/>
    <w:multiLevelType w:val="multilevel"/>
    <w:tmpl w:val="5F800949"/>
    <w:lvl w:ilvl="0">
      <w:start w:val="1"/>
      <w:numFmt w:val="lowerRoman"/>
      <w:lvlText w:val="%1."/>
      <w:lvlJc w:val="left"/>
      <w:pPr>
        <w:ind w:left="1429"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9" w15:restartNumberingAfterBreak="0">
    <w:nsid w:val="5FEA70E8"/>
    <w:multiLevelType w:val="multilevel"/>
    <w:tmpl w:val="5FEA70E8"/>
    <w:lvl w:ilvl="0">
      <w:start w:val="1"/>
      <w:numFmt w:val="decimal"/>
      <w:pStyle w:val="Tit1"/>
      <w:lvlText w:val="%1."/>
      <w:lvlJc w:val="left"/>
      <w:pPr>
        <w:ind w:left="644" w:hanging="360"/>
      </w:pPr>
      <w:rPr>
        <w:rFonts w:hint="default"/>
        <w:color w:val="auto"/>
      </w:rPr>
    </w:lvl>
    <w:lvl w:ilvl="1">
      <w:start w:val="1"/>
      <w:numFmt w:val="decimal"/>
      <w:pStyle w:val="Tit2"/>
      <w:isLgl/>
      <w:lvlText w:val="%1.%2"/>
      <w:lvlJc w:val="left"/>
      <w:pPr>
        <w:tabs>
          <w:tab w:val="left" w:pos="-850"/>
        </w:tabs>
        <w:ind w:left="720" w:hanging="720"/>
      </w:pPr>
      <w:rPr>
        <w:rFonts w:cs="Times New Roman" w:hint="default"/>
        <w:b/>
      </w:rPr>
    </w:lvl>
    <w:lvl w:ilvl="2">
      <w:start w:val="1"/>
      <w:numFmt w:val="decimal"/>
      <w:pStyle w:val="Tit3"/>
      <w:isLgl/>
      <w:lvlText w:val="%1.%2.%3"/>
      <w:lvlJc w:val="left"/>
      <w:pPr>
        <w:tabs>
          <w:tab w:val="left" w:pos="-347"/>
        </w:tabs>
        <w:ind w:left="1713" w:hanging="720"/>
      </w:pPr>
      <w:rPr>
        <w:rFonts w:cs="Times New Roman" w:hint="default"/>
      </w:rPr>
    </w:lvl>
    <w:lvl w:ilvl="3">
      <w:start w:val="1"/>
      <w:numFmt w:val="decimal"/>
      <w:pStyle w:val="Tit4"/>
      <w:isLgl/>
      <w:lvlText w:val="%1.%2.%3.%4"/>
      <w:lvlJc w:val="left"/>
      <w:pPr>
        <w:tabs>
          <w:tab w:val="left" w:pos="-553"/>
        </w:tabs>
        <w:ind w:left="2357" w:hanging="1080"/>
      </w:pPr>
      <w:rPr>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Tit5"/>
      <w:isLgl/>
      <w:lvlText w:val="%1.%2.%3.%4.%5"/>
      <w:lvlJc w:val="left"/>
      <w:pPr>
        <w:tabs>
          <w:tab w:val="left" w:pos="0"/>
        </w:tabs>
        <w:ind w:left="3400" w:hanging="1080"/>
      </w:pPr>
      <w:rPr>
        <w:rFonts w:cs="Times New Roman" w:hint="default"/>
      </w:rPr>
    </w:lvl>
    <w:lvl w:ilvl="5">
      <w:start w:val="1"/>
      <w:numFmt w:val="decimal"/>
      <w:isLgl/>
      <w:lvlText w:val="%1.%2.%3.%4.%5.%6"/>
      <w:lvlJc w:val="left"/>
      <w:pPr>
        <w:tabs>
          <w:tab w:val="left" w:pos="0"/>
        </w:tabs>
        <w:ind w:left="4250" w:hanging="1440"/>
      </w:pPr>
      <w:rPr>
        <w:rFonts w:cs="Times New Roman" w:hint="default"/>
      </w:rPr>
    </w:lvl>
    <w:lvl w:ilvl="6">
      <w:start w:val="1"/>
      <w:numFmt w:val="decimal"/>
      <w:isLgl/>
      <w:lvlText w:val="%1.%2.%3.%4.%5.%6.%7"/>
      <w:lvlJc w:val="left"/>
      <w:pPr>
        <w:tabs>
          <w:tab w:val="left" w:pos="0"/>
        </w:tabs>
        <w:ind w:left="5100" w:hanging="1800"/>
      </w:pPr>
      <w:rPr>
        <w:rFonts w:cs="Times New Roman" w:hint="default"/>
      </w:rPr>
    </w:lvl>
    <w:lvl w:ilvl="7">
      <w:start w:val="1"/>
      <w:numFmt w:val="decimal"/>
      <w:isLgl/>
      <w:lvlText w:val="%1.%2.%3.%4.%5.%6.%7.%8"/>
      <w:lvlJc w:val="left"/>
      <w:pPr>
        <w:tabs>
          <w:tab w:val="left" w:pos="0"/>
        </w:tabs>
        <w:ind w:left="5590" w:hanging="1800"/>
      </w:pPr>
      <w:rPr>
        <w:rFonts w:cs="Times New Roman" w:hint="default"/>
      </w:rPr>
    </w:lvl>
    <w:lvl w:ilvl="8">
      <w:start w:val="1"/>
      <w:numFmt w:val="decimal"/>
      <w:isLgl/>
      <w:lvlText w:val="%1.%2.%3.%4.%5.%6.%7.%8.%9"/>
      <w:lvlJc w:val="left"/>
      <w:pPr>
        <w:tabs>
          <w:tab w:val="left" w:pos="0"/>
        </w:tabs>
        <w:ind w:left="6440" w:hanging="2160"/>
      </w:pPr>
      <w:rPr>
        <w:rFonts w:cs="Times New Roman" w:hint="default"/>
      </w:rPr>
    </w:lvl>
  </w:abstractNum>
  <w:abstractNum w:abstractNumId="180" w15:restartNumberingAfterBreak="0">
    <w:nsid w:val="604E377E"/>
    <w:multiLevelType w:val="multilevel"/>
    <w:tmpl w:val="604E377E"/>
    <w:lvl w:ilvl="0">
      <w:start w:val="1"/>
      <w:numFmt w:val="lowerLetter"/>
      <w:lvlText w:val="%1)"/>
      <w:lvlJc w:val="left"/>
      <w:pPr>
        <w:ind w:left="1428" w:hanging="360"/>
      </w:pPr>
      <w:rPr>
        <w:b w:val="0"/>
      </w:rPr>
    </w:lvl>
    <w:lvl w:ilvl="1">
      <w:start w:val="1"/>
      <w:numFmt w:val="upperRoman"/>
      <w:lvlText w:val="%2)"/>
      <w:lvlJc w:val="left"/>
      <w:pPr>
        <w:ind w:left="2508" w:hanging="72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1" w15:restartNumberingAfterBreak="0">
    <w:nsid w:val="609B6EA8"/>
    <w:multiLevelType w:val="multilevel"/>
    <w:tmpl w:val="609B6EA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2" w15:restartNumberingAfterBreak="0">
    <w:nsid w:val="61AA7280"/>
    <w:multiLevelType w:val="multilevel"/>
    <w:tmpl w:val="61AA7280"/>
    <w:lvl w:ilvl="0">
      <w:start w:val="1"/>
      <w:numFmt w:val="upperLetter"/>
      <w:pStyle w:val="Tit4A"/>
      <w:lvlText w:val="%1."/>
      <w:lvlJc w:val="left"/>
      <w:pPr>
        <w:ind w:left="938" w:hanging="360"/>
      </w:p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abstractNum w:abstractNumId="183" w15:restartNumberingAfterBreak="0">
    <w:nsid w:val="62E2501A"/>
    <w:multiLevelType w:val="multilevel"/>
    <w:tmpl w:val="62E2501A"/>
    <w:lvl w:ilvl="0">
      <w:start w:val="1"/>
      <w:numFmt w:val="decimal"/>
      <w:lvlText w:val="%1."/>
      <w:lvlJc w:val="left"/>
      <w:pPr>
        <w:ind w:left="360" w:hanging="360"/>
      </w:pPr>
      <w:rPr>
        <w:b w:val="0"/>
        <w:i w:val="0"/>
        <w:smallCaps w:val="0"/>
        <w:strike w:val="0"/>
        <w:color w:val="000000"/>
        <w:sz w:val="22"/>
        <w:szCs w:val="22"/>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15:restartNumberingAfterBreak="0">
    <w:nsid w:val="633B0DDC"/>
    <w:multiLevelType w:val="multilevel"/>
    <w:tmpl w:val="633B0DDC"/>
    <w:lvl w:ilvl="0">
      <w:start w:val="1"/>
      <w:numFmt w:val="lowerLetter"/>
      <w:lvlText w:val="%1)"/>
      <w:lvlJc w:val="left"/>
      <w:pPr>
        <w:ind w:left="1080" w:hanging="360"/>
      </w:pPr>
    </w:lvl>
    <w:lvl w:ilvl="1">
      <w:start w:val="1"/>
      <w:numFmt w:val="lowerLetter"/>
      <w:lvlText w:val="%2."/>
      <w:lvlJc w:val="left"/>
      <w:pPr>
        <w:ind w:left="1374" w:hanging="360"/>
      </w:pPr>
    </w:lvl>
    <w:lvl w:ilvl="2">
      <w:start w:val="1"/>
      <w:numFmt w:val="lowerRoman"/>
      <w:lvlText w:val="%3."/>
      <w:lvlJc w:val="right"/>
      <w:pPr>
        <w:ind w:left="2094" w:hanging="180"/>
      </w:pPr>
    </w:lvl>
    <w:lvl w:ilvl="3">
      <w:start w:val="1"/>
      <w:numFmt w:val="decimal"/>
      <w:lvlText w:val="%4."/>
      <w:lvlJc w:val="left"/>
      <w:pPr>
        <w:ind w:left="2814" w:hanging="360"/>
      </w:pPr>
    </w:lvl>
    <w:lvl w:ilvl="4">
      <w:start w:val="1"/>
      <w:numFmt w:val="lowerLetter"/>
      <w:lvlText w:val="%5."/>
      <w:lvlJc w:val="left"/>
      <w:pPr>
        <w:ind w:left="3534" w:hanging="360"/>
      </w:pPr>
    </w:lvl>
    <w:lvl w:ilvl="5">
      <w:start w:val="1"/>
      <w:numFmt w:val="lowerRoman"/>
      <w:lvlText w:val="%6."/>
      <w:lvlJc w:val="right"/>
      <w:pPr>
        <w:ind w:left="4254" w:hanging="180"/>
      </w:pPr>
    </w:lvl>
    <w:lvl w:ilvl="6">
      <w:start w:val="1"/>
      <w:numFmt w:val="decimal"/>
      <w:lvlText w:val="%7."/>
      <w:lvlJc w:val="left"/>
      <w:pPr>
        <w:ind w:left="4974" w:hanging="360"/>
      </w:pPr>
    </w:lvl>
    <w:lvl w:ilvl="7">
      <w:start w:val="1"/>
      <w:numFmt w:val="lowerLetter"/>
      <w:lvlText w:val="%8."/>
      <w:lvlJc w:val="left"/>
      <w:pPr>
        <w:ind w:left="5694" w:hanging="360"/>
      </w:pPr>
    </w:lvl>
    <w:lvl w:ilvl="8">
      <w:start w:val="1"/>
      <w:numFmt w:val="lowerRoman"/>
      <w:lvlText w:val="%9."/>
      <w:lvlJc w:val="right"/>
      <w:pPr>
        <w:ind w:left="6414" w:hanging="180"/>
      </w:pPr>
    </w:lvl>
  </w:abstractNum>
  <w:abstractNum w:abstractNumId="185" w15:restartNumberingAfterBreak="0">
    <w:nsid w:val="635E2C0A"/>
    <w:multiLevelType w:val="multilevel"/>
    <w:tmpl w:val="635E2C0A"/>
    <w:lvl w:ilvl="0">
      <w:start w:val="1"/>
      <w:numFmt w:val="lowerLetter"/>
      <w:lvlText w:val="%1."/>
      <w:lvlJc w:val="left"/>
      <w:pPr>
        <w:ind w:left="2705" w:hanging="360"/>
      </w:pPr>
    </w:lvl>
    <w:lvl w:ilvl="1">
      <w:start w:val="1"/>
      <w:numFmt w:val="lowerLetter"/>
      <w:lvlText w:val="%2."/>
      <w:lvlJc w:val="left"/>
      <w:pPr>
        <w:ind w:left="3425" w:hanging="360"/>
      </w:pPr>
    </w:lvl>
    <w:lvl w:ilvl="2">
      <w:start w:val="1"/>
      <w:numFmt w:val="lowerRoman"/>
      <w:lvlText w:val="%3."/>
      <w:lvlJc w:val="right"/>
      <w:pPr>
        <w:ind w:left="4145" w:hanging="180"/>
      </w:pPr>
    </w:lvl>
    <w:lvl w:ilvl="3">
      <w:start w:val="1"/>
      <w:numFmt w:val="decimal"/>
      <w:lvlText w:val="%4."/>
      <w:lvlJc w:val="left"/>
      <w:pPr>
        <w:ind w:left="4865" w:hanging="360"/>
      </w:pPr>
    </w:lvl>
    <w:lvl w:ilvl="4">
      <w:start w:val="1"/>
      <w:numFmt w:val="lowerLetter"/>
      <w:lvlText w:val="%5."/>
      <w:lvlJc w:val="left"/>
      <w:pPr>
        <w:ind w:left="5585" w:hanging="360"/>
      </w:pPr>
    </w:lvl>
    <w:lvl w:ilvl="5">
      <w:start w:val="1"/>
      <w:numFmt w:val="lowerRoman"/>
      <w:lvlText w:val="%6."/>
      <w:lvlJc w:val="right"/>
      <w:pPr>
        <w:ind w:left="6305" w:hanging="180"/>
      </w:pPr>
    </w:lvl>
    <w:lvl w:ilvl="6">
      <w:start w:val="1"/>
      <w:numFmt w:val="decimal"/>
      <w:lvlText w:val="%7."/>
      <w:lvlJc w:val="left"/>
      <w:pPr>
        <w:ind w:left="7025" w:hanging="360"/>
      </w:pPr>
    </w:lvl>
    <w:lvl w:ilvl="7">
      <w:start w:val="1"/>
      <w:numFmt w:val="lowerLetter"/>
      <w:lvlText w:val="%8."/>
      <w:lvlJc w:val="left"/>
      <w:pPr>
        <w:ind w:left="7745" w:hanging="360"/>
      </w:pPr>
    </w:lvl>
    <w:lvl w:ilvl="8">
      <w:start w:val="1"/>
      <w:numFmt w:val="lowerRoman"/>
      <w:lvlText w:val="%9."/>
      <w:lvlJc w:val="right"/>
      <w:pPr>
        <w:ind w:left="8465" w:hanging="180"/>
      </w:pPr>
    </w:lvl>
  </w:abstractNum>
  <w:abstractNum w:abstractNumId="186" w15:restartNumberingAfterBreak="0">
    <w:nsid w:val="6410780F"/>
    <w:multiLevelType w:val="multilevel"/>
    <w:tmpl w:val="6410780F"/>
    <w:lvl w:ilvl="0">
      <w:start w:val="1"/>
      <w:numFmt w:val="lowerLetter"/>
      <w:lvlText w:val="%1)"/>
      <w:lvlJc w:val="left"/>
      <w:pPr>
        <w:ind w:left="624" w:hanging="624"/>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87" w15:restartNumberingAfterBreak="0">
    <w:nsid w:val="645010DB"/>
    <w:multiLevelType w:val="multilevel"/>
    <w:tmpl w:val="645010DB"/>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8" w15:restartNumberingAfterBreak="0">
    <w:nsid w:val="64C11B70"/>
    <w:multiLevelType w:val="multilevel"/>
    <w:tmpl w:val="64C11B70"/>
    <w:lvl w:ilvl="0">
      <w:start w:val="1"/>
      <w:numFmt w:val="bullet"/>
      <w:pStyle w:val="Listaconnmeros5"/>
      <w:lvlText w:val="-"/>
      <w:lvlJc w:val="left"/>
      <w:pPr>
        <w:ind w:left="720" w:hanging="360"/>
      </w:pPr>
      <w:rPr>
        <w:rFonts w:ascii="Bookman Old Style" w:eastAsia="Bookman Old Style" w:hAnsi="Bookman Old Style" w:cs="Bookman Old Style"/>
        <w:color w:val="2A51AE"/>
      </w:rPr>
    </w:lvl>
    <w:lvl w:ilvl="1">
      <w:start w:val="1"/>
      <w:numFmt w:val="lowerRoman"/>
      <w:lvlText w:val="(%2)"/>
      <w:lvlJc w:val="left"/>
      <w:pPr>
        <w:ind w:left="1440" w:hanging="360"/>
      </w:pPr>
      <w:rPr>
        <w:rFonts w:ascii="Calibri" w:eastAsia="Calibri" w:hAnsi="Calibri" w:cs="Calibri"/>
      </w:rPr>
    </w:lvl>
    <w:lvl w:ilvl="2">
      <w:start w:val="1"/>
      <w:numFmt w:val="decimal"/>
      <w:lvlText w:val="%3."/>
      <w:lvlJc w:val="left"/>
      <w:pPr>
        <w:ind w:left="2508" w:hanging="708"/>
      </w:pPr>
    </w:lvl>
    <w:lvl w:ilvl="3">
      <w:start w:val="1"/>
      <w:numFmt w:val="lowerRoman"/>
      <w:lvlText w:val="%4)"/>
      <w:lvlJc w:val="left"/>
      <w:pPr>
        <w:ind w:left="3240" w:hanging="72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65B1F5C1"/>
    <w:multiLevelType w:val="multilevel"/>
    <w:tmpl w:val="65B1F5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65F0E773"/>
    <w:multiLevelType w:val="multilevel"/>
    <w:tmpl w:val="65F0E773"/>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62975FD"/>
    <w:multiLevelType w:val="multilevel"/>
    <w:tmpl w:val="662975F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92" w15:restartNumberingAfterBreak="0">
    <w:nsid w:val="665D5DA9"/>
    <w:multiLevelType w:val="multilevel"/>
    <w:tmpl w:val="665D5DA9"/>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3" w15:restartNumberingAfterBreak="0">
    <w:nsid w:val="66954027"/>
    <w:multiLevelType w:val="multilevel"/>
    <w:tmpl w:val="66954027"/>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pStyle w:val="EstiloTtulo4"/>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4" w15:restartNumberingAfterBreak="0">
    <w:nsid w:val="66A21DB1"/>
    <w:multiLevelType w:val="multilevel"/>
    <w:tmpl w:val="66A21DB1"/>
    <w:lvl w:ilvl="0">
      <w:start w:val="1"/>
      <w:numFmt w:val="lowerRoman"/>
      <w:lvlText w:val="%1."/>
      <w:lvlJc w:val="left"/>
      <w:pPr>
        <w:ind w:left="1571"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95" w15:restartNumberingAfterBreak="0">
    <w:nsid w:val="69093A63"/>
    <w:multiLevelType w:val="multilevel"/>
    <w:tmpl w:val="69093A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69452859"/>
    <w:multiLevelType w:val="multilevel"/>
    <w:tmpl w:val="69452859"/>
    <w:lvl w:ilvl="0">
      <w:start w:val="1"/>
      <w:numFmt w:val="lowerLetter"/>
      <w:lvlText w:val="%1)"/>
      <w:lvlJc w:val="left"/>
      <w:pPr>
        <w:ind w:left="1416" w:hanging="708"/>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994F066"/>
    <w:multiLevelType w:val="multilevel"/>
    <w:tmpl w:val="6994F066"/>
    <w:lvl w:ilvl="0">
      <w:start w:val="1"/>
      <w:numFmt w:val="lowerLetter"/>
      <w:lvlText w:val="%1)"/>
      <w:lvlJc w:val="left"/>
      <w:pPr>
        <w:ind w:left="360" w:hanging="360"/>
      </w:pPr>
    </w:lvl>
    <w:lvl w:ilvl="1">
      <w:start w:val="1"/>
      <w:numFmt w:val="decimal"/>
      <w:lvlText w:val="(%2)"/>
      <w:lvlJc w:val="left"/>
      <w:pPr>
        <w:ind w:left="1080" w:hanging="360"/>
      </w:pPr>
    </w:lvl>
    <w:lvl w:ilvl="2">
      <w:start w:val="2"/>
      <w:numFmt w:val="bullet"/>
      <w:lvlText w:val="-"/>
      <w:lvlJc w:val="left"/>
      <w:pPr>
        <w:ind w:left="2190" w:hanging="570"/>
      </w:pPr>
      <w:rPr>
        <w:rFonts w:ascii="Times New Roman" w:eastAsia="Times New Roman" w:hAnsi="Times New Roman" w:cs="Times New Roman"/>
      </w:rPr>
    </w:lvl>
    <w:lvl w:ilvl="3">
      <w:start w:val="8"/>
      <w:numFmt w:val="decimal"/>
      <w:lvlText w:val="%4."/>
      <w:lvlJc w:val="left"/>
      <w:pPr>
        <w:ind w:left="2520" w:hanging="360"/>
      </w:pPr>
    </w:lvl>
    <w:lvl w:ilvl="4">
      <w:start w:val="1"/>
      <w:numFmt w:val="bullet"/>
      <w:lvlText w:val="●"/>
      <w:lvlJc w:val="left"/>
      <w:pPr>
        <w:ind w:left="3243" w:hanging="363"/>
      </w:pPr>
      <w:rPr>
        <w:rFonts w:ascii="Noto Sans Symbols" w:eastAsia="Noto Sans Symbols" w:hAnsi="Noto Sans Symbols" w:cs="Noto Sans Symbols"/>
        <w:b/>
        <w:i w:val="0"/>
        <w:color w:val="000000"/>
      </w:rPr>
    </w:lvl>
    <w:lvl w:ilvl="5">
      <w:start w:val="1"/>
      <w:numFmt w:val="upperLetter"/>
      <w:lvlText w:val="%6."/>
      <w:lvlJc w:val="left"/>
      <w:pPr>
        <w:ind w:left="4380" w:hanging="60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8" w15:restartNumberingAfterBreak="0">
    <w:nsid w:val="6A13F8DC"/>
    <w:multiLevelType w:val="multilevel"/>
    <w:tmpl w:val="6A13F8DC"/>
    <w:lvl w:ilvl="0">
      <w:start w:val="18"/>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9" w15:restartNumberingAfterBreak="0">
    <w:nsid w:val="6ABAD261"/>
    <w:multiLevelType w:val="multilevel"/>
    <w:tmpl w:val="6ABAD261"/>
    <w:lvl w:ilvl="0">
      <w:start w:val="7"/>
      <w:numFmt w:val="decimal"/>
      <w:lvlText w:val="%1."/>
      <w:lvlJc w:val="left"/>
      <w:pPr>
        <w:ind w:left="360" w:hanging="36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0" w15:restartNumberingAfterBreak="0">
    <w:nsid w:val="6AD71928"/>
    <w:multiLevelType w:val="multilevel"/>
    <w:tmpl w:val="6AD71928"/>
    <w:lvl w:ilvl="0">
      <w:start w:val="1"/>
      <w:numFmt w:val="decimal"/>
      <w:lvlText w:val="%1."/>
      <w:lvlJc w:val="left"/>
      <w:pPr>
        <w:ind w:left="1146" w:hanging="360"/>
      </w:pPr>
      <w:rPr>
        <w:rFonts w:ascii="Arial" w:hAnsi="Arial" w:cs="Arial" w:hint="default"/>
        <w:b w:val="0"/>
        <w:i w:val="0"/>
        <w:smallCaps w:val="0"/>
        <w:strike w:val="0"/>
        <w:color w:val="000000"/>
        <w:sz w:val="22"/>
        <w:szCs w:val="22"/>
        <w:vertAlign w:val="baseline"/>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1" w15:restartNumberingAfterBreak="0">
    <w:nsid w:val="6B51A7B4"/>
    <w:multiLevelType w:val="multilevel"/>
    <w:tmpl w:val="6B51A7B4"/>
    <w:lvl w:ilvl="0">
      <w:start w:val="1"/>
      <w:numFmt w:val="lowerRoman"/>
      <w:lvlText w:val="(%1)"/>
      <w:lvlJc w:val="left"/>
      <w:pPr>
        <w:ind w:left="720" w:hanging="360"/>
      </w:pPr>
      <w:rPr>
        <w:rFonts w:ascii="Arial" w:eastAsia="Arial" w:hAnsi="Arial" w:cs="Arial"/>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6B7611DF"/>
    <w:multiLevelType w:val="multilevel"/>
    <w:tmpl w:val="6B7611DF"/>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Letter"/>
      <w:lvlText w:val="%6)"/>
      <w:lvlJc w:val="lef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03" w15:restartNumberingAfterBreak="0">
    <w:nsid w:val="6E091F92"/>
    <w:multiLevelType w:val="multilevel"/>
    <w:tmpl w:val="6E091F92"/>
    <w:lvl w:ilvl="0">
      <w:start w:val="1"/>
      <w:numFmt w:val="lowerLetter"/>
      <w:pStyle w:val="MarcadorLetraP"/>
      <w:lvlText w:val="%1)"/>
      <w:lvlJc w:val="left"/>
      <w:pPr>
        <w:ind w:left="720" w:hanging="360"/>
      </w:pPr>
      <w:rPr>
        <w:color w:val="000000"/>
        <w:u w:val="none"/>
      </w:rPr>
    </w:lvl>
    <w:lvl w:ilvl="1">
      <w:start w:val="1"/>
      <w:numFmt w:val="lowerLetter"/>
      <w:lvlText w:val="%2."/>
      <w:lvlJc w:val="left"/>
      <w:pPr>
        <w:ind w:left="1440" w:hanging="360"/>
      </w:pPr>
      <w:rPr>
        <w:color w:val="0000FF"/>
        <w:u w:val="single"/>
      </w:rPr>
    </w:lvl>
    <w:lvl w:ilvl="2">
      <w:start w:val="1"/>
      <w:numFmt w:val="lowerRoman"/>
      <w:lvlText w:val="%3."/>
      <w:lvlJc w:val="right"/>
      <w:pPr>
        <w:ind w:left="2160" w:hanging="180"/>
      </w:pPr>
      <w:rPr>
        <w:color w:val="0000FF"/>
        <w:u w:val="single"/>
      </w:rPr>
    </w:lvl>
    <w:lvl w:ilvl="3">
      <w:start w:val="1"/>
      <w:numFmt w:val="decimal"/>
      <w:lvlText w:val="%4."/>
      <w:lvlJc w:val="left"/>
      <w:pPr>
        <w:ind w:left="2880" w:hanging="360"/>
      </w:pPr>
      <w:rPr>
        <w:color w:val="0000FF"/>
        <w:u w:val="single"/>
      </w:rPr>
    </w:lvl>
    <w:lvl w:ilvl="4">
      <w:start w:val="1"/>
      <w:numFmt w:val="lowerLetter"/>
      <w:lvlText w:val="%5."/>
      <w:lvlJc w:val="left"/>
      <w:pPr>
        <w:ind w:left="3600" w:hanging="360"/>
      </w:pPr>
      <w:rPr>
        <w:color w:val="0000FF"/>
        <w:u w:val="single"/>
      </w:rPr>
    </w:lvl>
    <w:lvl w:ilvl="5">
      <w:start w:val="1"/>
      <w:numFmt w:val="lowerRoman"/>
      <w:lvlText w:val="%6."/>
      <w:lvlJc w:val="right"/>
      <w:pPr>
        <w:ind w:left="4320" w:hanging="180"/>
      </w:pPr>
      <w:rPr>
        <w:color w:val="0000FF"/>
        <w:u w:val="single"/>
      </w:rPr>
    </w:lvl>
    <w:lvl w:ilvl="6">
      <w:start w:val="1"/>
      <w:numFmt w:val="decimal"/>
      <w:lvlText w:val="%7."/>
      <w:lvlJc w:val="left"/>
      <w:pPr>
        <w:ind w:left="5040" w:hanging="360"/>
      </w:pPr>
      <w:rPr>
        <w:color w:val="0000FF"/>
        <w:u w:val="single"/>
      </w:rPr>
    </w:lvl>
    <w:lvl w:ilvl="7">
      <w:start w:val="1"/>
      <w:numFmt w:val="lowerLetter"/>
      <w:lvlText w:val="%8."/>
      <w:lvlJc w:val="left"/>
      <w:pPr>
        <w:ind w:left="5760" w:hanging="360"/>
      </w:pPr>
      <w:rPr>
        <w:color w:val="0000FF"/>
        <w:u w:val="single"/>
      </w:rPr>
    </w:lvl>
    <w:lvl w:ilvl="8">
      <w:start w:val="1"/>
      <w:numFmt w:val="lowerRoman"/>
      <w:lvlText w:val="%9."/>
      <w:lvlJc w:val="right"/>
      <w:pPr>
        <w:ind w:left="6480" w:hanging="180"/>
      </w:pPr>
      <w:rPr>
        <w:color w:val="0000FF"/>
        <w:u w:val="single"/>
      </w:rPr>
    </w:lvl>
  </w:abstractNum>
  <w:abstractNum w:abstractNumId="204" w15:restartNumberingAfterBreak="0">
    <w:nsid w:val="6F7323E6"/>
    <w:multiLevelType w:val="multilevel"/>
    <w:tmpl w:val="6F7323E6"/>
    <w:lvl w:ilvl="0">
      <w:start w:val="1"/>
      <w:numFmt w:val="bullet"/>
      <w:lvlText w:val="●"/>
      <w:lvlJc w:val="left"/>
      <w:pPr>
        <w:ind w:left="1854" w:hanging="360"/>
      </w:pPr>
      <w:rPr>
        <w:rFonts w:ascii="Noto Sans Symbols" w:eastAsia="Noto Sans Symbols" w:hAnsi="Noto Sans Symbols" w:cs="Noto Sans Symbols"/>
        <w:color w:val="000000"/>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05" w15:restartNumberingAfterBreak="0">
    <w:nsid w:val="71145188"/>
    <w:multiLevelType w:val="multilevel"/>
    <w:tmpl w:val="71145188"/>
    <w:lvl w:ilvl="0">
      <w:start w:val="1"/>
      <w:numFmt w:val="lowerRoman"/>
      <w:pStyle w:val="EstiloPARTETrebuchetMS"/>
      <w:lvlText w:val="(%1)"/>
      <w:lvlJc w:val="left"/>
      <w:pPr>
        <w:ind w:left="720" w:hanging="360"/>
      </w:pPr>
      <w:rPr>
        <w:rFonts w:ascii="Arial" w:eastAsia="Arial" w:hAnsi="Arial" w:cs="Arial"/>
        <w:b w:val="0"/>
        <w:i w:val="0"/>
        <w:strike w:val="0"/>
        <w:color w:val="000000"/>
        <w:sz w:val="22"/>
        <w:szCs w:val="22"/>
        <w:u w:val="none"/>
      </w:rPr>
    </w:lvl>
    <w:lvl w:ilvl="1">
      <w:start w:val="1"/>
      <w:numFmt w:val="lowerLetter"/>
      <w:lvlText w:val="%2."/>
      <w:lvlJc w:val="left"/>
      <w:pPr>
        <w:ind w:left="1440" w:hanging="360"/>
      </w:pPr>
      <w:rPr>
        <w:color w:val="0000FF"/>
        <w:u w:val="single"/>
      </w:rPr>
    </w:lvl>
    <w:lvl w:ilvl="2">
      <w:start w:val="1"/>
      <w:numFmt w:val="lowerRoman"/>
      <w:lvlText w:val="%3."/>
      <w:lvlJc w:val="right"/>
      <w:pPr>
        <w:ind w:left="2160" w:hanging="180"/>
      </w:pPr>
      <w:rPr>
        <w:color w:val="0000FF"/>
        <w:u w:val="single"/>
      </w:rPr>
    </w:lvl>
    <w:lvl w:ilvl="3">
      <w:start w:val="1"/>
      <w:numFmt w:val="decimal"/>
      <w:lvlText w:val="%4."/>
      <w:lvlJc w:val="left"/>
      <w:pPr>
        <w:ind w:left="2880" w:hanging="360"/>
      </w:pPr>
      <w:rPr>
        <w:color w:val="0000FF"/>
        <w:u w:val="single"/>
      </w:rPr>
    </w:lvl>
    <w:lvl w:ilvl="4">
      <w:start w:val="1"/>
      <w:numFmt w:val="lowerLetter"/>
      <w:lvlText w:val="%5."/>
      <w:lvlJc w:val="left"/>
      <w:pPr>
        <w:ind w:left="3600" w:hanging="360"/>
      </w:pPr>
      <w:rPr>
        <w:color w:val="0000FF"/>
        <w:u w:val="single"/>
      </w:rPr>
    </w:lvl>
    <w:lvl w:ilvl="5">
      <w:start w:val="1"/>
      <w:numFmt w:val="lowerRoman"/>
      <w:lvlText w:val="%6."/>
      <w:lvlJc w:val="right"/>
      <w:pPr>
        <w:ind w:left="4320" w:hanging="180"/>
      </w:pPr>
      <w:rPr>
        <w:color w:val="0000FF"/>
        <w:u w:val="single"/>
      </w:rPr>
    </w:lvl>
    <w:lvl w:ilvl="6">
      <w:start w:val="1"/>
      <w:numFmt w:val="decimal"/>
      <w:lvlText w:val="%7."/>
      <w:lvlJc w:val="left"/>
      <w:pPr>
        <w:ind w:left="5040" w:hanging="360"/>
      </w:pPr>
      <w:rPr>
        <w:color w:val="0000FF"/>
        <w:u w:val="single"/>
      </w:rPr>
    </w:lvl>
    <w:lvl w:ilvl="7">
      <w:start w:val="1"/>
      <w:numFmt w:val="lowerLetter"/>
      <w:lvlText w:val="%8."/>
      <w:lvlJc w:val="left"/>
      <w:pPr>
        <w:ind w:left="5760" w:hanging="360"/>
      </w:pPr>
      <w:rPr>
        <w:color w:val="0000FF"/>
        <w:u w:val="single"/>
      </w:rPr>
    </w:lvl>
    <w:lvl w:ilvl="8">
      <w:start w:val="1"/>
      <w:numFmt w:val="lowerRoman"/>
      <w:lvlText w:val="%9."/>
      <w:lvlJc w:val="right"/>
      <w:pPr>
        <w:ind w:left="6480" w:hanging="180"/>
      </w:pPr>
      <w:rPr>
        <w:color w:val="0000FF"/>
        <w:u w:val="single"/>
      </w:rPr>
    </w:lvl>
  </w:abstractNum>
  <w:abstractNum w:abstractNumId="206" w15:restartNumberingAfterBreak="0">
    <w:nsid w:val="71883704"/>
    <w:multiLevelType w:val="multilevel"/>
    <w:tmpl w:val="7188370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7" w15:restartNumberingAfterBreak="0">
    <w:nsid w:val="71BA403D"/>
    <w:multiLevelType w:val="multilevel"/>
    <w:tmpl w:val="71BA403D"/>
    <w:lvl w:ilvl="0">
      <w:start w:val="1"/>
      <w:numFmt w:val="decimal"/>
      <w:pStyle w:val="TT1"/>
      <w:lvlText w:val="%1."/>
      <w:lvlJc w:val="left"/>
      <w:pPr>
        <w:ind w:left="720" w:hanging="360"/>
      </w:pPr>
      <w:rPr>
        <w:rFonts w:hint="default"/>
      </w:rPr>
    </w:lvl>
    <w:lvl w:ilvl="1">
      <w:start w:val="1"/>
      <w:numFmt w:val="decimal"/>
      <w:pStyle w:val="TT2"/>
      <w:isLgl/>
      <w:lvlText w:val="%1.%2"/>
      <w:lvlJc w:val="left"/>
      <w:pPr>
        <w:ind w:left="1429" w:hanging="360"/>
      </w:pPr>
      <w:rPr>
        <w:rFonts w:hint="default"/>
      </w:rPr>
    </w:lvl>
    <w:lvl w:ilvl="2">
      <w:start w:val="1"/>
      <w:numFmt w:val="decimal"/>
      <w:pStyle w:val="TT3"/>
      <w:isLgl/>
      <w:lvlText w:val="%1.%2.%3"/>
      <w:lvlJc w:val="left"/>
      <w:pPr>
        <w:ind w:left="2498" w:hanging="720"/>
      </w:pPr>
      <w:rPr>
        <w:rFonts w:hint="default"/>
      </w:rPr>
    </w:lvl>
    <w:lvl w:ilvl="3">
      <w:start w:val="1"/>
      <w:numFmt w:val="decimal"/>
      <w:pStyle w:val="TT4"/>
      <w:isLgl/>
      <w:lvlText w:val="%1.%2.%3.%4"/>
      <w:lvlJc w:val="left"/>
      <w:pPr>
        <w:ind w:left="3207" w:hanging="720"/>
      </w:pPr>
      <w:rPr>
        <w:rFonts w:hint="default"/>
      </w:rPr>
    </w:lvl>
    <w:lvl w:ilvl="4">
      <w:start w:val="1"/>
      <w:numFmt w:val="decimal"/>
      <w:isLgl/>
      <w:lvlText w:val="%1.%2.%3.%4.%5"/>
      <w:lvlJc w:val="left"/>
      <w:pPr>
        <w:ind w:left="3916" w:hanging="72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5694" w:hanging="108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472" w:hanging="1440"/>
      </w:pPr>
      <w:rPr>
        <w:rFonts w:hint="default"/>
      </w:rPr>
    </w:lvl>
  </w:abstractNum>
  <w:abstractNum w:abstractNumId="208" w15:restartNumberingAfterBreak="0">
    <w:nsid w:val="71EC4534"/>
    <w:multiLevelType w:val="multilevel"/>
    <w:tmpl w:val="71EC4534"/>
    <w:lvl w:ilvl="0">
      <w:start w:val="20"/>
      <w:numFmt w:val="decimal"/>
      <w:pStyle w:val="ALG-Tablas-Cap4"/>
      <w:lvlText w:val="%1"/>
      <w:lvlJc w:val="left"/>
      <w:pPr>
        <w:ind w:left="384" w:hanging="384"/>
      </w:pPr>
    </w:lvl>
    <w:lvl w:ilvl="1">
      <w:start w:val="1"/>
      <w:numFmt w:val="decimal"/>
      <w:lvlText w:val="%1.%2"/>
      <w:lvlJc w:val="left"/>
      <w:pPr>
        <w:ind w:left="1093" w:hanging="384"/>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09" w15:restartNumberingAfterBreak="0">
    <w:nsid w:val="72337081"/>
    <w:multiLevelType w:val="multilevel"/>
    <w:tmpl w:val="72337081"/>
    <w:lvl w:ilvl="0">
      <w:start w:val="10"/>
      <w:numFmt w:val="decimal"/>
      <w:pStyle w:val="vietas1"/>
      <w:lvlText w:val="%1."/>
      <w:lvlJc w:val="left"/>
      <w:pPr>
        <w:ind w:left="360" w:hanging="360"/>
      </w:pPr>
      <w:rPr>
        <w:color w:val="0000FF"/>
        <w:u w:val="single"/>
      </w:rPr>
    </w:lvl>
    <w:lvl w:ilvl="1">
      <w:start w:val="1"/>
      <w:numFmt w:val="decimal"/>
      <w:lvlText w:val="%1.%2."/>
      <w:lvlJc w:val="left"/>
      <w:pPr>
        <w:ind w:left="3763" w:hanging="360"/>
      </w:pPr>
      <w:rPr>
        <w:color w:val="000000"/>
        <w:u w:val="none"/>
      </w:rPr>
    </w:lvl>
    <w:lvl w:ilvl="2">
      <w:start w:val="1"/>
      <w:numFmt w:val="decimal"/>
      <w:lvlText w:val="%1.%2.%3."/>
      <w:lvlJc w:val="left"/>
      <w:pPr>
        <w:ind w:left="720" w:hanging="720"/>
      </w:pPr>
      <w:rPr>
        <w:color w:val="0000FF"/>
        <w:u w:val="single"/>
      </w:rPr>
    </w:lvl>
    <w:lvl w:ilvl="3">
      <w:start w:val="1"/>
      <w:numFmt w:val="decimal"/>
      <w:lvlText w:val="%1.%2.%3.%4."/>
      <w:lvlJc w:val="left"/>
      <w:pPr>
        <w:ind w:left="720" w:hanging="720"/>
      </w:pPr>
      <w:rPr>
        <w:color w:val="0000FF"/>
        <w:u w:val="single"/>
      </w:rPr>
    </w:lvl>
    <w:lvl w:ilvl="4">
      <w:start w:val="1"/>
      <w:numFmt w:val="decimal"/>
      <w:lvlText w:val="%1.%2.%3.%4.%5."/>
      <w:lvlJc w:val="left"/>
      <w:pPr>
        <w:ind w:left="1080" w:hanging="1080"/>
      </w:pPr>
      <w:rPr>
        <w:color w:val="0000FF"/>
        <w:u w:val="single"/>
      </w:rPr>
    </w:lvl>
    <w:lvl w:ilvl="5">
      <w:start w:val="1"/>
      <w:numFmt w:val="decimal"/>
      <w:lvlText w:val="%1.%2.%3.%4.%5.%6."/>
      <w:lvlJc w:val="left"/>
      <w:pPr>
        <w:ind w:left="1080" w:hanging="1080"/>
      </w:pPr>
      <w:rPr>
        <w:color w:val="0000FF"/>
        <w:u w:val="single"/>
      </w:rPr>
    </w:lvl>
    <w:lvl w:ilvl="6">
      <w:start w:val="1"/>
      <w:numFmt w:val="decimal"/>
      <w:lvlText w:val="%1.%2.%3.%4.%5.%6.%7."/>
      <w:lvlJc w:val="left"/>
      <w:pPr>
        <w:ind w:left="1440" w:hanging="1440"/>
      </w:pPr>
      <w:rPr>
        <w:color w:val="0000FF"/>
        <w:u w:val="single"/>
      </w:rPr>
    </w:lvl>
    <w:lvl w:ilvl="7">
      <w:start w:val="1"/>
      <w:numFmt w:val="decimal"/>
      <w:lvlText w:val="%1.%2.%3.%4.%5.%6.%7.%8."/>
      <w:lvlJc w:val="left"/>
      <w:pPr>
        <w:ind w:left="1440" w:hanging="1440"/>
      </w:pPr>
      <w:rPr>
        <w:color w:val="0000FF"/>
        <w:u w:val="single"/>
      </w:rPr>
    </w:lvl>
    <w:lvl w:ilvl="8">
      <w:start w:val="1"/>
      <w:numFmt w:val="decimal"/>
      <w:lvlText w:val="%1.%2.%3.%4.%5.%6.%7.%8.%9."/>
      <w:lvlJc w:val="left"/>
      <w:pPr>
        <w:ind w:left="1800" w:hanging="1800"/>
      </w:pPr>
      <w:rPr>
        <w:color w:val="0000FF"/>
        <w:u w:val="single"/>
      </w:rPr>
    </w:lvl>
  </w:abstractNum>
  <w:abstractNum w:abstractNumId="210" w15:restartNumberingAfterBreak="0">
    <w:nsid w:val="738B460E"/>
    <w:multiLevelType w:val="multilevel"/>
    <w:tmpl w:val="738B46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74221E58"/>
    <w:multiLevelType w:val="multilevel"/>
    <w:tmpl w:val="74221E58"/>
    <w:lvl w:ilvl="0">
      <w:start w:val="1"/>
      <w:numFmt w:val="lowerLetter"/>
      <w:pStyle w:val="List1"/>
      <w:lvlText w:val="%1)"/>
      <w:lvlJc w:val="left"/>
      <w:pPr>
        <w:ind w:left="2160" w:hanging="360"/>
      </w:pPr>
      <w:rPr>
        <w:color w:val="000000"/>
        <w:u w:val="none"/>
      </w:rPr>
    </w:lvl>
    <w:lvl w:ilvl="1">
      <w:start w:val="1"/>
      <w:numFmt w:val="lowerLetter"/>
      <w:lvlText w:val="%2."/>
      <w:lvlJc w:val="left"/>
      <w:pPr>
        <w:ind w:left="2880" w:hanging="360"/>
      </w:pPr>
      <w:rPr>
        <w:color w:val="0000FF"/>
        <w:u w:val="single"/>
      </w:rPr>
    </w:lvl>
    <w:lvl w:ilvl="2">
      <w:start w:val="1"/>
      <w:numFmt w:val="lowerRoman"/>
      <w:lvlText w:val="%3."/>
      <w:lvlJc w:val="right"/>
      <w:pPr>
        <w:ind w:left="3600" w:hanging="180"/>
      </w:pPr>
      <w:rPr>
        <w:color w:val="0000FF"/>
        <w:u w:val="single"/>
      </w:rPr>
    </w:lvl>
    <w:lvl w:ilvl="3">
      <w:start w:val="1"/>
      <w:numFmt w:val="decimal"/>
      <w:lvlText w:val="%4."/>
      <w:lvlJc w:val="left"/>
      <w:pPr>
        <w:ind w:left="4320" w:hanging="360"/>
      </w:pPr>
      <w:rPr>
        <w:color w:val="0000FF"/>
        <w:u w:val="single"/>
      </w:rPr>
    </w:lvl>
    <w:lvl w:ilvl="4">
      <w:start w:val="1"/>
      <w:numFmt w:val="lowerLetter"/>
      <w:lvlText w:val="%5."/>
      <w:lvlJc w:val="left"/>
      <w:pPr>
        <w:ind w:left="5040" w:hanging="360"/>
      </w:pPr>
      <w:rPr>
        <w:color w:val="0000FF"/>
        <w:u w:val="single"/>
      </w:rPr>
    </w:lvl>
    <w:lvl w:ilvl="5">
      <w:start w:val="1"/>
      <w:numFmt w:val="lowerRoman"/>
      <w:lvlText w:val="%6."/>
      <w:lvlJc w:val="right"/>
      <w:pPr>
        <w:ind w:left="5760" w:hanging="180"/>
      </w:pPr>
      <w:rPr>
        <w:color w:val="0000FF"/>
        <w:u w:val="single"/>
      </w:rPr>
    </w:lvl>
    <w:lvl w:ilvl="6">
      <w:start w:val="1"/>
      <w:numFmt w:val="decimal"/>
      <w:lvlText w:val="%7."/>
      <w:lvlJc w:val="left"/>
      <w:pPr>
        <w:ind w:left="6480" w:hanging="360"/>
      </w:pPr>
      <w:rPr>
        <w:color w:val="0000FF"/>
        <w:u w:val="single"/>
      </w:rPr>
    </w:lvl>
    <w:lvl w:ilvl="7">
      <w:start w:val="1"/>
      <w:numFmt w:val="lowerLetter"/>
      <w:lvlText w:val="%8."/>
      <w:lvlJc w:val="left"/>
      <w:pPr>
        <w:ind w:left="7200" w:hanging="360"/>
      </w:pPr>
      <w:rPr>
        <w:color w:val="0000FF"/>
        <w:u w:val="single"/>
      </w:rPr>
    </w:lvl>
    <w:lvl w:ilvl="8">
      <w:start w:val="1"/>
      <w:numFmt w:val="lowerRoman"/>
      <w:lvlText w:val="%9."/>
      <w:lvlJc w:val="right"/>
      <w:pPr>
        <w:ind w:left="7920" w:hanging="180"/>
      </w:pPr>
      <w:rPr>
        <w:color w:val="0000FF"/>
        <w:u w:val="single"/>
      </w:rPr>
    </w:lvl>
  </w:abstractNum>
  <w:abstractNum w:abstractNumId="212" w15:restartNumberingAfterBreak="0">
    <w:nsid w:val="74814578"/>
    <w:multiLevelType w:val="multilevel"/>
    <w:tmpl w:val="74814578"/>
    <w:lvl w:ilvl="0">
      <w:start w:val="1"/>
      <w:numFmt w:val="lowerLetter"/>
      <w:pStyle w:val="Anex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48B0D2A"/>
    <w:multiLevelType w:val="multilevel"/>
    <w:tmpl w:val="748B0D2A"/>
    <w:lvl w:ilvl="0">
      <w:start w:val="1"/>
      <w:numFmt w:val="lowerLetter"/>
      <w:lvlText w:val="%1)"/>
      <w:lvlJc w:val="left"/>
      <w:pPr>
        <w:ind w:left="1429" w:hanging="360"/>
      </w:pPr>
      <w:rPr>
        <w:rFonts w:ascii="Arial" w:eastAsia="Arial" w:hAnsi="Arial" w:cs="Arial"/>
        <w:b/>
        <w:i w:val="0"/>
        <w:smallCaps w:val="0"/>
        <w:strike w:val="0"/>
        <w:color w:val="000000"/>
        <w:sz w:val="22"/>
        <w:szCs w:val="22"/>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4" w15:restartNumberingAfterBreak="0">
    <w:nsid w:val="77B3A6B9"/>
    <w:multiLevelType w:val="multilevel"/>
    <w:tmpl w:val="77B3A6B9"/>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77B93F5F"/>
    <w:multiLevelType w:val="multilevel"/>
    <w:tmpl w:val="77B93F5F"/>
    <w:lvl w:ilvl="0">
      <w:start w:val="1"/>
      <w:numFmt w:val="lowerLetter"/>
      <w:pStyle w:val="Textoconbullets"/>
      <w:lvlText w:val="%1)"/>
      <w:lvlJc w:val="left"/>
      <w:pPr>
        <w:ind w:left="1065" w:hanging="360"/>
      </w:pPr>
    </w:lvl>
    <w:lvl w:ilvl="1">
      <w:start w:val="1"/>
      <w:numFmt w:val="lowerRoman"/>
      <w:lvlText w:val="(%2)"/>
      <w:lvlJc w:val="left"/>
      <w:pPr>
        <w:ind w:left="2145" w:hanging="720"/>
      </w:pPr>
      <w:rPr>
        <w:rFonts w:ascii="Arial" w:eastAsia="Arial" w:hAnsi="Arial" w:cs="Arial"/>
        <w:b w:val="0"/>
        <w:i w:val="0"/>
        <w:strike w:val="0"/>
        <w:sz w:val="22"/>
        <w:szCs w:val="22"/>
      </w:rPr>
    </w:lvl>
    <w:lvl w:ilvl="2">
      <w:start w:val="1"/>
      <w:numFmt w:val="lowerRoman"/>
      <w:lvlText w:val="%3."/>
      <w:lvlJc w:val="right"/>
      <w:pPr>
        <w:ind w:left="2505" w:hanging="180"/>
      </w:pPr>
    </w:lvl>
    <w:lvl w:ilvl="3">
      <w:start w:val="1"/>
      <w:numFmt w:val="decimal"/>
      <w:lvlText w:val="%4."/>
      <w:lvlJc w:val="left"/>
      <w:pPr>
        <w:ind w:left="3225" w:hanging="360"/>
      </w:pPr>
      <w:rPr>
        <w:b/>
        <w:color w:val="000000"/>
      </w:r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16" w15:restartNumberingAfterBreak="0">
    <w:nsid w:val="77D44C0E"/>
    <w:multiLevelType w:val="multilevel"/>
    <w:tmpl w:val="77D44C0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7" w15:restartNumberingAfterBreak="0">
    <w:nsid w:val="797F78E4"/>
    <w:multiLevelType w:val="multilevel"/>
    <w:tmpl w:val="797F78E4"/>
    <w:lvl w:ilvl="0">
      <w:start w:val="1"/>
      <w:numFmt w:val="lowerLetter"/>
      <w:lvlText w:val="%1)"/>
      <w:lvlJc w:val="left"/>
      <w:pPr>
        <w:ind w:left="1637"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9917C68"/>
    <w:multiLevelType w:val="multilevel"/>
    <w:tmpl w:val="79917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9B86708"/>
    <w:multiLevelType w:val="multilevel"/>
    <w:tmpl w:val="79B86708"/>
    <w:lvl w:ilvl="0">
      <w:start w:val="1"/>
      <w:numFmt w:val="upperLetter"/>
      <w:pStyle w:val="Listaconvietas5"/>
      <w:lvlText w:val="Clase %1: "/>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15:restartNumberingAfterBreak="0">
    <w:nsid w:val="79C01FC5"/>
    <w:multiLevelType w:val="multilevel"/>
    <w:tmpl w:val="79C01FC5"/>
    <w:lvl w:ilvl="0">
      <w:start w:val="1"/>
      <w:numFmt w:val="lowerRoman"/>
      <w:lvlText w:val="%1."/>
      <w:lvlJc w:val="left"/>
      <w:pPr>
        <w:ind w:left="786" w:hanging="360"/>
      </w:pPr>
      <w:rPr>
        <w:rFonts w:ascii="Arial" w:hAnsi="Arial" w:hint="default"/>
        <w:b w:val="0"/>
        <w:i w:val="0"/>
        <w:caps w:val="0"/>
        <w:strike w:val="0"/>
        <w:dstrike w:val="0"/>
        <w:vanish w:val="0"/>
        <w:color w:val="auto"/>
        <w:sz w:val="22"/>
        <w:vertAlign w:val="baselin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1" w15:restartNumberingAfterBreak="0">
    <w:nsid w:val="79CCD27D"/>
    <w:multiLevelType w:val="multilevel"/>
    <w:tmpl w:val="79CCD27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7AAA20C0"/>
    <w:multiLevelType w:val="multilevel"/>
    <w:tmpl w:val="7AAA20C0"/>
    <w:lvl w:ilvl="0">
      <w:start w:val="1"/>
      <w:numFmt w:val="lowerRoman"/>
      <w:lvlText w:val="%1)"/>
      <w:lvlJc w:val="right"/>
      <w:pPr>
        <w:ind w:left="852" w:hanging="360"/>
      </w:pPr>
    </w:lvl>
    <w:lvl w:ilvl="1">
      <w:start w:val="1"/>
      <w:numFmt w:val="bullet"/>
      <w:pStyle w:val="TtuloNivel1"/>
      <w:lvlText w:val="o"/>
      <w:lvlJc w:val="left"/>
      <w:pPr>
        <w:ind w:left="1572" w:hanging="360"/>
      </w:pPr>
      <w:rPr>
        <w:rFonts w:ascii="Courier New" w:eastAsia="Courier New" w:hAnsi="Courier New" w:cs="Courier New"/>
        <w:color w:val="000000"/>
        <w:u w:val="none"/>
      </w:rPr>
    </w:lvl>
    <w:lvl w:ilvl="2">
      <w:start w:val="1"/>
      <w:numFmt w:val="bullet"/>
      <w:pStyle w:val="TtuloNivel2"/>
      <w:lvlText w:val="▪"/>
      <w:lvlJc w:val="left"/>
      <w:pPr>
        <w:ind w:left="2292" w:hanging="360"/>
      </w:pPr>
      <w:rPr>
        <w:rFonts w:ascii="Noto Sans Symbols" w:eastAsia="Noto Sans Symbols" w:hAnsi="Noto Sans Symbols" w:cs="Noto Sans Symbols"/>
      </w:rPr>
    </w:lvl>
    <w:lvl w:ilvl="3">
      <w:start w:val="1"/>
      <w:numFmt w:val="bullet"/>
      <w:pStyle w:val="TtuloNivel3"/>
      <w:lvlText w:val="●"/>
      <w:lvlJc w:val="left"/>
      <w:pPr>
        <w:ind w:left="3012" w:hanging="360"/>
      </w:pPr>
      <w:rPr>
        <w:rFonts w:ascii="Noto Sans Symbols" w:eastAsia="Noto Sans Symbols" w:hAnsi="Noto Sans Symbols" w:cs="Noto Sans Symbols"/>
      </w:rPr>
    </w:lvl>
    <w:lvl w:ilvl="4">
      <w:start w:val="1"/>
      <w:numFmt w:val="bullet"/>
      <w:lvlText w:val="o"/>
      <w:lvlJc w:val="left"/>
      <w:pPr>
        <w:ind w:left="3732" w:hanging="360"/>
      </w:pPr>
      <w:rPr>
        <w:rFonts w:ascii="Courier New" w:eastAsia="Courier New" w:hAnsi="Courier New" w:cs="Courier New"/>
      </w:rPr>
    </w:lvl>
    <w:lvl w:ilvl="5">
      <w:start w:val="1"/>
      <w:numFmt w:val="bullet"/>
      <w:lvlText w:val="▪"/>
      <w:lvlJc w:val="left"/>
      <w:pPr>
        <w:ind w:left="4452" w:hanging="360"/>
      </w:pPr>
      <w:rPr>
        <w:rFonts w:ascii="Noto Sans Symbols" w:eastAsia="Noto Sans Symbols" w:hAnsi="Noto Sans Symbols" w:cs="Noto Sans Symbols"/>
      </w:rPr>
    </w:lvl>
    <w:lvl w:ilvl="6">
      <w:start w:val="1"/>
      <w:numFmt w:val="bullet"/>
      <w:lvlText w:val="●"/>
      <w:lvlJc w:val="left"/>
      <w:pPr>
        <w:ind w:left="5172" w:hanging="360"/>
      </w:pPr>
      <w:rPr>
        <w:rFonts w:ascii="Noto Sans Symbols" w:eastAsia="Noto Sans Symbols" w:hAnsi="Noto Sans Symbols" w:cs="Noto Sans Symbols"/>
      </w:rPr>
    </w:lvl>
    <w:lvl w:ilvl="7">
      <w:start w:val="1"/>
      <w:numFmt w:val="bullet"/>
      <w:lvlText w:val="o"/>
      <w:lvlJc w:val="left"/>
      <w:pPr>
        <w:ind w:left="5892" w:hanging="360"/>
      </w:pPr>
      <w:rPr>
        <w:rFonts w:ascii="Courier New" w:eastAsia="Courier New" w:hAnsi="Courier New" w:cs="Courier New"/>
      </w:rPr>
    </w:lvl>
    <w:lvl w:ilvl="8">
      <w:start w:val="1"/>
      <w:numFmt w:val="bullet"/>
      <w:lvlText w:val="▪"/>
      <w:lvlJc w:val="left"/>
      <w:pPr>
        <w:ind w:left="6612" w:hanging="360"/>
      </w:pPr>
      <w:rPr>
        <w:rFonts w:ascii="Noto Sans Symbols" w:eastAsia="Noto Sans Symbols" w:hAnsi="Noto Sans Symbols" w:cs="Noto Sans Symbols"/>
      </w:rPr>
    </w:lvl>
  </w:abstractNum>
  <w:abstractNum w:abstractNumId="223" w15:restartNumberingAfterBreak="0">
    <w:nsid w:val="7C17B5F6"/>
    <w:multiLevelType w:val="multilevel"/>
    <w:tmpl w:val="7C17B5F6"/>
    <w:lvl w:ilvl="0">
      <w:start w:val="1"/>
      <w:numFmt w:val="bullet"/>
      <w:lvlText w:val="●"/>
      <w:lvlJc w:val="left"/>
      <w:pPr>
        <w:ind w:left="3279" w:hanging="360"/>
      </w:pPr>
      <w:rPr>
        <w:rFonts w:ascii="Noto Sans Symbols" w:eastAsia="Noto Sans Symbols" w:hAnsi="Noto Sans Symbols" w:cs="Noto Sans Symbols"/>
        <w:color w:val="000000"/>
      </w:rPr>
    </w:lvl>
    <w:lvl w:ilvl="1">
      <w:start w:val="1"/>
      <w:numFmt w:val="bullet"/>
      <w:lvlText w:val="▪"/>
      <w:lvlJc w:val="left"/>
      <w:pPr>
        <w:ind w:left="2574" w:hanging="360"/>
      </w:pPr>
      <w:rPr>
        <w:rFonts w:ascii="Noto Sans Symbols" w:eastAsia="Noto Sans Symbols" w:hAnsi="Noto Sans Symbols" w:cs="Noto Sans Symbols"/>
        <w:color w:val="000000"/>
        <w:sz w:val="22"/>
        <w:szCs w:val="22"/>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24" w15:restartNumberingAfterBreak="0">
    <w:nsid w:val="7C3F52CF"/>
    <w:multiLevelType w:val="multilevel"/>
    <w:tmpl w:val="7C3F52CF"/>
    <w:lvl w:ilvl="0">
      <w:start w:val="10"/>
      <w:numFmt w:val="decimal"/>
      <w:pStyle w:val="EstiloTtulo2SinNegritaCursivaIzquierda0cmPrimeral"/>
      <w:lvlText w:val="%1"/>
      <w:lvlJc w:val="left"/>
      <w:pPr>
        <w:ind w:left="628" w:hanging="420"/>
      </w:pPr>
      <w:rPr>
        <w:rFonts w:hint="default"/>
      </w:rPr>
    </w:lvl>
    <w:lvl w:ilvl="1">
      <w:start w:val="1"/>
      <w:numFmt w:val="decimal"/>
      <w:lvlText w:val="%1.%2"/>
      <w:lvlJc w:val="left"/>
      <w:pPr>
        <w:ind w:left="1708" w:hanging="420"/>
      </w:pPr>
      <w:rPr>
        <w:rFonts w:hint="default"/>
        <w:b/>
        <w:bCs w:val="0"/>
      </w:rPr>
    </w:lvl>
    <w:lvl w:ilvl="2">
      <w:start w:val="1"/>
      <w:numFmt w:val="decimal"/>
      <w:lvlText w:val="%1.%2.%3"/>
      <w:lvlJc w:val="left"/>
      <w:pPr>
        <w:ind w:left="3088" w:hanging="720"/>
      </w:pPr>
      <w:rPr>
        <w:rFonts w:hint="default"/>
      </w:rPr>
    </w:lvl>
    <w:lvl w:ilvl="3">
      <w:start w:val="1"/>
      <w:numFmt w:val="decimal"/>
      <w:lvlText w:val="%1.%2.%3.%4"/>
      <w:lvlJc w:val="left"/>
      <w:pPr>
        <w:ind w:left="4168" w:hanging="720"/>
      </w:pPr>
      <w:rPr>
        <w:rFonts w:hint="default"/>
      </w:rPr>
    </w:lvl>
    <w:lvl w:ilvl="4">
      <w:start w:val="1"/>
      <w:numFmt w:val="decimal"/>
      <w:lvlText w:val="%1.%2.%3.%4.%5"/>
      <w:lvlJc w:val="left"/>
      <w:pPr>
        <w:ind w:left="5608" w:hanging="1080"/>
      </w:pPr>
      <w:rPr>
        <w:rFonts w:hint="default"/>
      </w:rPr>
    </w:lvl>
    <w:lvl w:ilvl="5">
      <w:start w:val="1"/>
      <w:numFmt w:val="decimal"/>
      <w:lvlText w:val="%1.%2.%3.%4.%5.%6"/>
      <w:lvlJc w:val="left"/>
      <w:pPr>
        <w:ind w:left="6688" w:hanging="1080"/>
      </w:pPr>
      <w:rPr>
        <w:rFonts w:hint="default"/>
      </w:rPr>
    </w:lvl>
    <w:lvl w:ilvl="6">
      <w:start w:val="1"/>
      <w:numFmt w:val="decimal"/>
      <w:lvlText w:val="%1.%2.%3.%4.%5.%6.%7"/>
      <w:lvlJc w:val="left"/>
      <w:pPr>
        <w:ind w:left="8128" w:hanging="1440"/>
      </w:pPr>
      <w:rPr>
        <w:rFonts w:hint="default"/>
      </w:rPr>
    </w:lvl>
    <w:lvl w:ilvl="7">
      <w:start w:val="1"/>
      <w:numFmt w:val="decimal"/>
      <w:lvlText w:val="%1.%2.%3.%4.%5.%6.%7.%8"/>
      <w:lvlJc w:val="left"/>
      <w:pPr>
        <w:ind w:left="9208" w:hanging="1440"/>
      </w:pPr>
      <w:rPr>
        <w:rFonts w:hint="default"/>
      </w:rPr>
    </w:lvl>
    <w:lvl w:ilvl="8">
      <w:start w:val="1"/>
      <w:numFmt w:val="decimal"/>
      <w:lvlText w:val="%1.%2.%3.%4.%5.%6.%7.%8.%9"/>
      <w:lvlJc w:val="left"/>
      <w:pPr>
        <w:ind w:left="10648" w:hanging="1800"/>
      </w:pPr>
      <w:rPr>
        <w:rFonts w:hint="default"/>
      </w:rPr>
    </w:lvl>
  </w:abstractNum>
  <w:abstractNum w:abstractNumId="225" w15:restartNumberingAfterBreak="0">
    <w:nsid w:val="7D099747"/>
    <w:multiLevelType w:val="multilevel"/>
    <w:tmpl w:val="7D099747"/>
    <w:lvl w:ilvl="0">
      <w:start w:val="1"/>
      <w:numFmt w:val="lowerRoman"/>
      <w:lvlText w:val="%1."/>
      <w:lvlJc w:val="right"/>
      <w:pPr>
        <w:ind w:left="720" w:hanging="360"/>
      </w:pPr>
      <w:rPr>
        <w:color w:val="000000"/>
        <w:sz w:val="20"/>
        <w:szCs w:val="2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6" w15:restartNumberingAfterBreak="0">
    <w:nsid w:val="7D562BFE"/>
    <w:multiLevelType w:val="multilevel"/>
    <w:tmpl w:val="7D562BF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7" w15:restartNumberingAfterBreak="0">
    <w:nsid w:val="7DB53A97"/>
    <w:multiLevelType w:val="multilevel"/>
    <w:tmpl w:val="7DB53A97"/>
    <w:lvl w:ilvl="0">
      <w:start w:val="3"/>
      <w:numFmt w:val="decimal"/>
      <w:lvlText w:val="%1."/>
      <w:lvlJc w:val="left"/>
      <w:pPr>
        <w:ind w:left="360" w:hanging="360"/>
      </w:pPr>
    </w:lvl>
    <w:lvl w:ilvl="1">
      <w:start w:val="1"/>
      <w:numFmt w:val="decimal"/>
      <w:lvlText w:val="%1.%2."/>
      <w:lvlJc w:val="left"/>
      <w:pPr>
        <w:ind w:left="1004" w:hanging="720"/>
      </w:pPr>
      <w:rPr>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8" w15:restartNumberingAfterBreak="0">
    <w:nsid w:val="7EC10B5C"/>
    <w:multiLevelType w:val="multilevel"/>
    <w:tmpl w:val="7EC10B5C"/>
    <w:lvl w:ilvl="0">
      <w:start w:val="1"/>
      <w:numFmt w:val="lowerLetter"/>
      <w:lvlText w:val="%1)"/>
      <w:lvlJc w:val="left"/>
      <w:pPr>
        <w:ind w:left="70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15:restartNumberingAfterBreak="0">
    <w:nsid w:val="7ECF2DF0"/>
    <w:multiLevelType w:val="multilevel"/>
    <w:tmpl w:val="7ECF2DF0"/>
    <w:lvl w:ilvl="0">
      <w:start w:val="1"/>
      <w:numFmt w:val="decimal"/>
      <w:lvlText w:val="6.%1."/>
      <w:lvlJc w:val="left"/>
      <w:pPr>
        <w:ind w:left="720" w:hanging="360"/>
      </w:pPr>
      <w:rPr>
        <w:rFonts w:hint="default"/>
        <w:caps/>
      </w:rPr>
    </w:lvl>
    <w:lvl w:ilvl="1">
      <w:start w:val="1"/>
      <w:numFmt w:val="decimal"/>
      <w:pStyle w:val="T-02"/>
      <w:isLgl/>
      <w:lvlText w:val="%1.%2."/>
      <w:lvlJc w:val="left"/>
      <w:pPr>
        <w:ind w:left="785"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30" w15:restartNumberingAfterBreak="0">
    <w:nsid w:val="7F4832E1"/>
    <w:multiLevelType w:val="multilevel"/>
    <w:tmpl w:val="7F4832E1"/>
    <w:lvl w:ilvl="0">
      <w:start w:val="1"/>
      <w:numFmt w:val="bullet"/>
      <w:pStyle w:val="Chapter"/>
      <w:lvlText w:val="●"/>
      <w:lvlJc w:val="left"/>
      <w:pPr>
        <w:ind w:left="2430" w:hanging="360"/>
      </w:pPr>
      <w:rPr>
        <w:rFonts w:ascii="Noto Sans Symbols" w:eastAsia="Noto Sans Symbols" w:hAnsi="Noto Sans Symbols" w:cs="Noto Sans Symbols"/>
      </w:rPr>
    </w:lvl>
    <w:lvl w:ilvl="1">
      <w:start w:val="1"/>
      <w:numFmt w:val="bullet"/>
      <w:lvlText w:val="o"/>
      <w:lvlJc w:val="left"/>
      <w:pPr>
        <w:ind w:left="3150" w:hanging="360"/>
      </w:pPr>
      <w:rPr>
        <w:rFonts w:ascii="Courier New" w:eastAsia="Courier New" w:hAnsi="Courier New" w:cs="Courier New"/>
      </w:rPr>
    </w:lvl>
    <w:lvl w:ilvl="2">
      <w:start w:val="1"/>
      <w:numFmt w:val="bullet"/>
      <w:lvlText w:val="▪"/>
      <w:lvlJc w:val="left"/>
      <w:pPr>
        <w:ind w:left="3870" w:hanging="360"/>
      </w:pPr>
      <w:rPr>
        <w:rFonts w:ascii="Noto Sans Symbols" w:eastAsia="Noto Sans Symbols" w:hAnsi="Noto Sans Symbols" w:cs="Noto Sans Symbols"/>
      </w:rPr>
    </w:lvl>
    <w:lvl w:ilvl="3">
      <w:start w:val="1"/>
      <w:numFmt w:val="bullet"/>
      <w:lvlText w:val="●"/>
      <w:lvlJc w:val="left"/>
      <w:pPr>
        <w:ind w:left="4590" w:hanging="360"/>
      </w:pPr>
      <w:rPr>
        <w:rFonts w:ascii="Noto Sans Symbols" w:eastAsia="Noto Sans Symbols" w:hAnsi="Noto Sans Symbols" w:cs="Noto Sans Symbols"/>
      </w:rPr>
    </w:lvl>
    <w:lvl w:ilvl="4">
      <w:start w:val="1"/>
      <w:numFmt w:val="bullet"/>
      <w:lvlText w:val="o"/>
      <w:lvlJc w:val="left"/>
      <w:pPr>
        <w:ind w:left="5310" w:hanging="360"/>
      </w:pPr>
      <w:rPr>
        <w:rFonts w:ascii="Courier New" w:eastAsia="Courier New" w:hAnsi="Courier New" w:cs="Courier New"/>
      </w:rPr>
    </w:lvl>
    <w:lvl w:ilvl="5">
      <w:start w:val="1"/>
      <w:numFmt w:val="bullet"/>
      <w:lvlText w:val="▪"/>
      <w:lvlJc w:val="left"/>
      <w:pPr>
        <w:ind w:left="6030" w:hanging="360"/>
      </w:pPr>
      <w:rPr>
        <w:rFonts w:ascii="Noto Sans Symbols" w:eastAsia="Noto Sans Symbols" w:hAnsi="Noto Sans Symbols" w:cs="Noto Sans Symbols"/>
      </w:rPr>
    </w:lvl>
    <w:lvl w:ilvl="6">
      <w:start w:val="1"/>
      <w:numFmt w:val="bullet"/>
      <w:lvlText w:val="●"/>
      <w:lvlJc w:val="left"/>
      <w:pPr>
        <w:ind w:left="6750" w:hanging="360"/>
      </w:pPr>
      <w:rPr>
        <w:rFonts w:ascii="Noto Sans Symbols" w:eastAsia="Noto Sans Symbols" w:hAnsi="Noto Sans Symbols" w:cs="Noto Sans Symbols"/>
      </w:rPr>
    </w:lvl>
    <w:lvl w:ilvl="7">
      <w:start w:val="1"/>
      <w:numFmt w:val="bullet"/>
      <w:lvlText w:val="o"/>
      <w:lvlJc w:val="left"/>
      <w:pPr>
        <w:ind w:left="7470" w:hanging="360"/>
      </w:pPr>
      <w:rPr>
        <w:rFonts w:ascii="Courier New" w:eastAsia="Courier New" w:hAnsi="Courier New" w:cs="Courier New"/>
      </w:rPr>
    </w:lvl>
    <w:lvl w:ilvl="8">
      <w:start w:val="1"/>
      <w:numFmt w:val="bullet"/>
      <w:lvlText w:val="▪"/>
      <w:lvlJc w:val="left"/>
      <w:pPr>
        <w:ind w:left="8190" w:hanging="360"/>
      </w:pPr>
      <w:rPr>
        <w:rFonts w:ascii="Noto Sans Symbols" w:eastAsia="Noto Sans Symbols" w:hAnsi="Noto Sans Symbols" w:cs="Noto Sans Symbols"/>
      </w:rPr>
    </w:lvl>
  </w:abstractNum>
  <w:abstractNum w:abstractNumId="231" w15:restartNumberingAfterBreak="0">
    <w:nsid w:val="7FC04342"/>
    <w:multiLevelType w:val="multilevel"/>
    <w:tmpl w:val="7FC04342"/>
    <w:lvl w:ilvl="0">
      <w:start w:val="1"/>
      <w:numFmt w:val="lowerLetter"/>
      <w:pStyle w:val="P1"/>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463734487">
    <w:abstractNumId w:val="76"/>
  </w:num>
  <w:num w:numId="2" w16cid:durableId="1123112611">
    <w:abstractNumId w:val="75"/>
  </w:num>
  <w:num w:numId="3" w16cid:durableId="701176699">
    <w:abstractNumId w:val="138"/>
  </w:num>
  <w:num w:numId="4" w16cid:durableId="811868353">
    <w:abstractNumId w:val="188"/>
  </w:num>
  <w:num w:numId="5" w16cid:durableId="1757363858">
    <w:abstractNumId w:val="219"/>
  </w:num>
  <w:num w:numId="6" w16cid:durableId="336419744">
    <w:abstractNumId w:val="107"/>
  </w:num>
  <w:num w:numId="7" w16cid:durableId="721441368">
    <w:abstractNumId w:val="103"/>
  </w:num>
  <w:num w:numId="8" w16cid:durableId="930357163">
    <w:abstractNumId w:val="38"/>
  </w:num>
  <w:num w:numId="9" w16cid:durableId="1847329410">
    <w:abstractNumId w:val="78"/>
  </w:num>
  <w:num w:numId="10" w16cid:durableId="2039700359">
    <w:abstractNumId w:val="55"/>
  </w:num>
  <w:num w:numId="11" w16cid:durableId="822620586">
    <w:abstractNumId w:val="44"/>
  </w:num>
  <w:num w:numId="12" w16cid:durableId="760682458">
    <w:abstractNumId w:val="61"/>
  </w:num>
  <w:num w:numId="13" w16cid:durableId="42757331">
    <w:abstractNumId w:val="208"/>
  </w:num>
  <w:num w:numId="14" w16cid:durableId="120541217">
    <w:abstractNumId w:val="122"/>
  </w:num>
  <w:num w:numId="15" w16cid:durableId="1822110926">
    <w:abstractNumId w:val="176"/>
  </w:num>
  <w:num w:numId="16" w16cid:durableId="806321421">
    <w:abstractNumId w:val="209"/>
  </w:num>
  <w:num w:numId="17" w16cid:durableId="836730869">
    <w:abstractNumId w:val="157"/>
  </w:num>
  <w:num w:numId="18" w16cid:durableId="311713616">
    <w:abstractNumId w:val="13"/>
  </w:num>
  <w:num w:numId="19" w16cid:durableId="1030951954">
    <w:abstractNumId w:val="74"/>
  </w:num>
  <w:num w:numId="20" w16cid:durableId="65228305">
    <w:abstractNumId w:val="231"/>
  </w:num>
  <w:num w:numId="21" w16cid:durableId="345374841">
    <w:abstractNumId w:val="1"/>
  </w:num>
  <w:num w:numId="22" w16cid:durableId="1590193708">
    <w:abstractNumId w:val="69"/>
  </w:num>
  <w:num w:numId="23" w16cid:durableId="731081444">
    <w:abstractNumId w:val="3"/>
  </w:num>
  <w:num w:numId="24" w16cid:durableId="1836409508">
    <w:abstractNumId w:val="58"/>
  </w:num>
  <w:num w:numId="25" w16cid:durableId="2126774305">
    <w:abstractNumId w:val="222"/>
  </w:num>
  <w:num w:numId="26" w16cid:durableId="74666888">
    <w:abstractNumId w:val="144"/>
  </w:num>
  <w:num w:numId="27" w16cid:durableId="2052225069">
    <w:abstractNumId w:val="39"/>
  </w:num>
  <w:num w:numId="28" w16cid:durableId="1201286086">
    <w:abstractNumId w:val="174"/>
  </w:num>
  <w:num w:numId="29" w16cid:durableId="2009360957">
    <w:abstractNumId w:val="212"/>
  </w:num>
  <w:num w:numId="30" w16cid:durableId="1238827641">
    <w:abstractNumId w:val="119"/>
  </w:num>
  <w:num w:numId="31" w16cid:durableId="1902518944">
    <w:abstractNumId w:val="46"/>
  </w:num>
  <w:num w:numId="32" w16cid:durableId="1042902564">
    <w:abstractNumId w:val="156"/>
  </w:num>
  <w:num w:numId="33" w16cid:durableId="1274896343">
    <w:abstractNumId w:val="136"/>
  </w:num>
  <w:num w:numId="34" w16cid:durableId="1081677313">
    <w:abstractNumId w:val="151"/>
  </w:num>
  <w:num w:numId="35" w16cid:durableId="412245511">
    <w:abstractNumId w:val="159"/>
  </w:num>
  <w:num w:numId="36" w16cid:durableId="504980870">
    <w:abstractNumId w:val="53"/>
  </w:num>
  <w:num w:numId="37" w16cid:durableId="851996823">
    <w:abstractNumId w:val="143"/>
  </w:num>
  <w:num w:numId="38" w16cid:durableId="1649239382">
    <w:abstractNumId w:val="4"/>
  </w:num>
  <w:num w:numId="39" w16cid:durableId="376319129">
    <w:abstractNumId w:val="205"/>
  </w:num>
  <w:num w:numId="40" w16cid:durableId="1859810110">
    <w:abstractNumId w:val="14"/>
  </w:num>
  <w:num w:numId="41" w16cid:durableId="149374334">
    <w:abstractNumId w:val="203"/>
  </w:num>
  <w:num w:numId="42" w16cid:durableId="1863274219">
    <w:abstractNumId w:val="193"/>
  </w:num>
  <w:num w:numId="43" w16cid:durableId="963199581">
    <w:abstractNumId w:val="172"/>
  </w:num>
  <w:num w:numId="44" w16cid:durableId="2073769014">
    <w:abstractNumId w:val="115"/>
  </w:num>
  <w:num w:numId="45" w16cid:durableId="2137524339">
    <w:abstractNumId w:val="230"/>
  </w:num>
  <w:num w:numId="46" w16cid:durableId="635568199">
    <w:abstractNumId w:val="86"/>
  </w:num>
  <w:num w:numId="47" w16cid:durableId="56248297">
    <w:abstractNumId w:val="59"/>
  </w:num>
  <w:num w:numId="48" w16cid:durableId="444926146">
    <w:abstractNumId w:val="145"/>
  </w:num>
  <w:num w:numId="49" w16cid:durableId="1914923437">
    <w:abstractNumId w:val="211"/>
  </w:num>
  <w:num w:numId="50" w16cid:durableId="2065986731">
    <w:abstractNumId w:val="52"/>
  </w:num>
  <w:num w:numId="51" w16cid:durableId="936331956">
    <w:abstractNumId w:val="128"/>
  </w:num>
  <w:num w:numId="52" w16cid:durableId="1280142766">
    <w:abstractNumId w:val="63"/>
  </w:num>
  <w:num w:numId="53" w16cid:durableId="236287392">
    <w:abstractNumId w:val="54"/>
  </w:num>
  <w:num w:numId="54" w16cid:durableId="556360563">
    <w:abstractNumId w:val="171"/>
  </w:num>
  <w:num w:numId="55" w16cid:durableId="456074038">
    <w:abstractNumId w:val="113"/>
  </w:num>
  <w:num w:numId="56" w16cid:durableId="1113747053">
    <w:abstractNumId w:val="68"/>
  </w:num>
  <w:num w:numId="57" w16cid:durableId="2097969862">
    <w:abstractNumId w:val="124"/>
  </w:num>
  <w:num w:numId="58" w16cid:durableId="1390878510">
    <w:abstractNumId w:val="162"/>
  </w:num>
  <w:num w:numId="59" w16cid:durableId="43451502">
    <w:abstractNumId w:val="215"/>
  </w:num>
  <w:num w:numId="60" w16cid:durableId="1141000704">
    <w:abstractNumId w:val="224"/>
  </w:num>
  <w:num w:numId="61" w16cid:durableId="168639557">
    <w:abstractNumId w:val="229"/>
  </w:num>
  <w:num w:numId="62" w16cid:durableId="274798537">
    <w:abstractNumId w:val="94"/>
  </w:num>
  <w:num w:numId="63" w16cid:durableId="1835797595">
    <w:abstractNumId w:val="80"/>
  </w:num>
  <w:num w:numId="64" w16cid:durableId="759105926">
    <w:abstractNumId w:val="168"/>
  </w:num>
  <w:num w:numId="65" w16cid:durableId="739908430">
    <w:abstractNumId w:val="179"/>
  </w:num>
  <w:num w:numId="66" w16cid:durableId="2029717927">
    <w:abstractNumId w:val="140"/>
  </w:num>
  <w:num w:numId="67" w16cid:durableId="561867016">
    <w:abstractNumId w:val="207"/>
  </w:num>
  <w:num w:numId="68" w16cid:durableId="1995643760">
    <w:abstractNumId w:val="182"/>
  </w:num>
  <w:num w:numId="69" w16cid:durableId="1705059848">
    <w:abstractNumId w:val="155"/>
  </w:num>
  <w:num w:numId="70" w16cid:durableId="1167865132">
    <w:abstractNumId w:val="126"/>
  </w:num>
  <w:num w:numId="71" w16cid:durableId="270630028">
    <w:abstractNumId w:val="101"/>
  </w:num>
  <w:num w:numId="72" w16cid:durableId="1165635444">
    <w:abstractNumId w:val="85"/>
  </w:num>
  <w:num w:numId="73" w16cid:durableId="2075085878">
    <w:abstractNumId w:val="16"/>
  </w:num>
  <w:num w:numId="74" w16cid:durableId="1825928755">
    <w:abstractNumId w:val="20"/>
  </w:num>
  <w:num w:numId="75" w16cid:durableId="703872063">
    <w:abstractNumId w:val="131"/>
  </w:num>
  <w:num w:numId="76" w16cid:durableId="719401926">
    <w:abstractNumId w:val="89"/>
  </w:num>
  <w:num w:numId="77" w16cid:durableId="872229504">
    <w:abstractNumId w:val="227"/>
  </w:num>
  <w:num w:numId="78" w16cid:durableId="1885436920">
    <w:abstractNumId w:val="7"/>
  </w:num>
  <w:num w:numId="79" w16cid:durableId="532883362">
    <w:abstractNumId w:val="90"/>
  </w:num>
  <w:num w:numId="80" w16cid:durableId="863710641">
    <w:abstractNumId w:val="93"/>
  </w:num>
  <w:num w:numId="81" w16cid:durableId="230433322">
    <w:abstractNumId w:val="217"/>
  </w:num>
  <w:num w:numId="82" w16cid:durableId="1514416441">
    <w:abstractNumId w:val="132"/>
  </w:num>
  <w:num w:numId="83" w16cid:durableId="1712458745">
    <w:abstractNumId w:val="70"/>
  </w:num>
  <w:num w:numId="84" w16cid:durableId="683897278">
    <w:abstractNumId w:val="121"/>
  </w:num>
  <w:num w:numId="85" w16cid:durableId="981887123">
    <w:abstractNumId w:val="130"/>
  </w:num>
  <w:num w:numId="86" w16cid:durableId="1405684095">
    <w:abstractNumId w:val="9"/>
  </w:num>
  <w:num w:numId="87" w16cid:durableId="1320037696">
    <w:abstractNumId w:val="37"/>
  </w:num>
  <w:num w:numId="88" w16cid:durableId="1720857297">
    <w:abstractNumId w:val="60"/>
  </w:num>
  <w:num w:numId="89" w16cid:durableId="1740712740">
    <w:abstractNumId w:val="139"/>
  </w:num>
  <w:num w:numId="90" w16cid:durableId="1858959266">
    <w:abstractNumId w:val="91"/>
  </w:num>
  <w:num w:numId="91" w16cid:durableId="1974170257">
    <w:abstractNumId w:val="134"/>
  </w:num>
  <w:num w:numId="92" w16cid:durableId="1751154065">
    <w:abstractNumId w:val="66"/>
  </w:num>
  <w:num w:numId="93" w16cid:durableId="524489022">
    <w:abstractNumId w:val="218"/>
  </w:num>
  <w:num w:numId="94" w16cid:durableId="1546866349">
    <w:abstractNumId w:val="98"/>
  </w:num>
  <w:num w:numId="95" w16cid:durableId="377360647">
    <w:abstractNumId w:val="199"/>
  </w:num>
  <w:num w:numId="96" w16cid:durableId="1332830641">
    <w:abstractNumId w:val="96"/>
  </w:num>
  <w:num w:numId="97" w16cid:durableId="2102993881">
    <w:abstractNumId w:val="165"/>
  </w:num>
  <w:num w:numId="98" w16cid:durableId="1994749462">
    <w:abstractNumId w:val="34"/>
  </w:num>
  <w:num w:numId="99" w16cid:durableId="150025399">
    <w:abstractNumId w:val="150"/>
  </w:num>
  <w:num w:numId="100" w16cid:durableId="2063820033">
    <w:abstractNumId w:val="95"/>
  </w:num>
  <w:num w:numId="101" w16cid:durableId="1733961031">
    <w:abstractNumId w:val="102"/>
  </w:num>
  <w:num w:numId="102" w16cid:durableId="948123155">
    <w:abstractNumId w:val="67"/>
  </w:num>
  <w:num w:numId="103" w16cid:durableId="1466657357">
    <w:abstractNumId w:val="180"/>
  </w:num>
  <w:num w:numId="104" w16cid:durableId="1264726536">
    <w:abstractNumId w:val="19"/>
  </w:num>
  <w:num w:numId="105" w16cid:durableId="339550312">
    <w:abstractNumId w:val="204"/>
  </w:num>
  <w:num w:numId="106" w16cid:durableId="869807149">
    <w:abstractNumId w:val="23"/>
  </w:num>
  <w:num w:numId="107" w16cid:durableId="1172180113">
    <w:abstractNumId w:val="225"/>
  </w:num>
  <w:num w:numId="108" w16cid:durableId="1020819153">
    <w:abstractNumId w:val="190"/>
  </w:num>
  <w:num w:numId="109" w16cid:durableId="912471493">
    <w:abstractNumId w:val="133"/>
  </w:num>
  <w:num w:numId="110" w16cid:durableId="367461498">
    <w:abstractNumId w:val="12"/>
  </w:num>
  <w:num w:numId="111" w16cid:durableId="140776526">
    <w:abstractNumId w:val="163"/>
  </w:num>
  <w:num w:numId="112" w16cid:durableId="829634940">
    <w:abstractNumId w:val="175"/>
  </w:num>
  <w:num w:numId="113" w16cid:durableId="679936121">
    <w:abstractNumId w:val="111"/>
  </w:num>
  <w:num w:numId="114" w16cid:durableId="634995251">
    <w:abstractNumId w:val="177"/>
  </w:num>
  <w:num w:numId="115" w16cid:durableId="1412896022">
    <w:abstractNumId w:val="149"/>
  </w:num>
  <w:num w:numId="116" w16cid:durableId="1584292125">
    <w:abstractNumId w:val="164"/>
  </w:num>
  <w:num w:numId="117" w16cid:durableId="840461643">
    <w:abstractNumId w:val="148"/>
  </w:num>
  <w:num w:numId="118" w16cid:durableId="1841189531">
    <w:abstractNumId w:val="127"/>
  </w:num>
  <w:num w:numId="119" w16cid:durableId="1217470864">
    <w:abstractNumId w:val="105"/>
  </w:num>
  <w:num w:numId="120" w16cid:durableId="733164197">
    <w:abstractNumId w:val="223"/>
  </w:num>
  <w:num w:numId="121" w16cid:durableId="759721389">
    <w:abstractNumId w:val="43"/>
  </w:num>
  <w:num w:numId="122" w16cid:durableId="909972193">
    <w:abstractNumId w:val="112"/>
  </w:num>
  <w:num w:numId="123" w16cid:durableId="1626891030">
    <w:abstractNumId w:val="147"/>
  </w:num>
  <w:num w:numId="124" w16cid:durableId="358236255">
    <w:abstractNumId w:val="129"/>
  </w:num>
  <w:num w:numId="125" w16cid:durableId="495388124">
    <w:abstractNumId w:val="24"/>
  </w:num>
  <w:num w:numId="126" w16cid:durableId="1160074534">
    <w:abstractNumId w:val="29"/>
  </w:num>
  <w:num w:numId="127" w16cid:durableId="1914126090">
    <w:abstractNumId w:val="15"/>
  </w:num>
  <w:num w:numId="128" w16cid:durableId="654181890">
    <w:abstractNumId w:val="123"/>
  </w:num>
  <w:num w:numId="129" w16cid:durableId="1049301861">
    <w:abstractNumId w:val="77"/>
  </w:num>
  <w:num w:numId="130" w16cid:durableId="1519808047">
    <w:abstractNumId w:val="48"/>
  </w:num>
  <w:num w:numId="131" w16cid:durableId="1913462689">
    <w:abstractNumId w:val="11"/>
  </w:num>
  <w:num w:numId="132" w16cid:durableId="144785210">
    <w:abstractNumId w:val="142"/>
  </w:num>
  <w:num w:numId="133" w16cid:durableId="1671567510">
    <w:abstractNumId w:val="221"/>
  </w:num>
  <w:num w:numId="134" w16cid:durableId="983041970">
    <w:abstractNumId w:val="99"/>
  </w:num>
  <w:num w:numId="135" w16cid:durableId="1964539099">
    <w:abstractNumId w:val="18"/>
  </w:num>
  <w:num w:numId="136" w16cid:durableId="1175849481">
    <w:abstractNumId w:val="72"/>
  </w:num>
  <w:num w:numId="137" w16cid:durableId="708800460">
    <w:abstractNumId w:val="92"/>
  </w:num>
  <w:num w:numId="138" w16cid:durableId="2114670699">
    <w:abstractNumId w:val="32"/>
  </w:num>
  <w:num w:numId="139" w16cid:durableId="1283152904">
    <w:abstractNumId w:val="27"/>
  </w:num>
  <w:num w:numId="140" w16cid:durableId="2004620785">
    <w:abstractNumId w:val="166"/>
  </w:num>
  <w:num w:numId="141" w16cid:durableId="451676372">
    <w:abstractNumId w:val="81"/>
  </w:num>
  <w:num w:numId="142" w16cid:durableId="1386762307">
    <w:abstractNumId w:val="228"/>
  </w:num>
  <w:num w:numId="143" w16cid:durableId="1024090511">
    <w:abstractNumId w:val="8"/>
  </w:num>
  <w:num w:numId="144" w16cid:durableId="840122677">
    <w:abstractNumId w:val="161"/>
  </w:num>
  <w:num w:numId="145" w16cid:durableId="489633923">
    <w:abstractNumId w:val="47"/>
  </w:num>
  <w:num w:numId="146" w16cid:durableId="642002245">
    <w:abstractNumId w:val="198"/>
  </w:num>
  <w:num w:numId="147" w16cid:durableId="1062169994">
    <w:abstractNumId w:val="62"/>
  </w:num>
  <w:num w:numId="148" w16cid:durableId="506213807">
    <w:abstractNumId w:val="202"/>
  </w:num>
  <w:num w:numId="149" w16cid:durableId="1922254537">
    <w:abstractNumId w:val="153"/>
  </w:num>
  <w:num w:numId="150" w16cid:durableId="1400708643">
    <w:abstractNumId w:val="186"/>
  </w:num>
  <w:num w:numId="151" w16cid:durableId="1056392376">
    <w:abstractNumId w:val="36"/>
  </w:num>
  <w:num w:numId="152" w16cid:durableId="400568411">
    <w:abstractNumId w:val="173"/>
  </w:num>
  <w:num w:numId="153" w16cid:durableId="1987707516">
    <w:abstractNumId w:val="51"/>
  </w:num>
  <w:num w:numId="154" w16cid:durableId="335158990">
    <w:abstractNumId w:val="118"/>
  </w:num>
  <w:num w:numId="155" w16cid:durableId="940453314">
    <w:abstractNumId w:val="114"/>
  </w:num>
  <w:num w:numId="156" w16cid:durableId="944340810">
    <w:abstractNumId w:val="35"/>
  </w:num>
  <w:num w:numId="157" w16cid:durableId="53242804">
    <w:abstractNumId w:val="21"/>
  </w:num>
  <w:num w:numId="158" w16cid:durableId="73820337">
    <w:abstractNumId w:val="146"/>
  </w:num>
  <w:num w:numId="159" w16cid:durableId="262150504">
    <w:abstractNumId w:val="106"/>
  </w:num>
  <w:num w:numId="160" w16cid:durableId="2006666910">
    <w:abstractNumId w:val="137"/>
  </w:num>
  <w:num w:numId="161" w16cid:durableId="1172448369">
    <w:abstractNumId w:val="152"/>
  </w:num>
  <w:num w:numId="162" w16cid:durableId="310210788">
    <w:abstractNumId w:val="26"/>
  </w:num>
  <w:num w:numId="163" w16cid:durableId="1332488113">
    <w:abstractNumId w:val="192"/>
  </w:num>
  <w:num w:numId="164" w16cid:durableId="1395619789">
    <w:abstractNumId w:val="64"/>
  </w:num>
  <w:num w:numId="165" w16cid:durableId="1603144846">
    <w:abstractNumId w:val="201"/>
  </w:num>
  <w:num w:numId="166" w16cid:durableId="159590878">
    <w:abstractNumId w:val="196"/>
  </w:num>
  <w:num w:numId="167" w16cid:durableId="1225526759">
    <w:abstractNumId w:val="109"/>
  </w:num>
  <w:num w:numId="168" w16cid:durableId="439105983">
    <w:abstractNumId w:val="5"/>
  </w:num>
  <w:num w:numId="169" w16cid:durableId="657655583">
    <w:abstractNumId w:val="100"/>
  </w:num>
  <w:num w:numId="170" w16cid:durableId="1327126856">
    <w:abstractNumId w:val="197"/>
  </w:num>
  <w:num w:numId="171" w16cid:durableId="1031537345">
    <w:abstractNumId w:val="117"/>
  </w:num>
  <w:num w:numId="172" w16cid:durableId="676925836">
    <w:abstractNumId w:val="210"/>
  </w:num>
  <w:num w:numId="173" w16cid:durableId="2010598411">
    <w:abstractNumId w:val="167"/>
  </w:num>
  <w:num w:numId="174" w16cid:durableId="970473798">
    <w:abstractNumId w:val="97"/>
  </w:num>
  <w:num w:numId="175" w16cid:durableId="385033509">
    <w:abstractNumId w:val="49"/>
  </w:num>
  <w:num w:numId="176" w16cid:durableId="847646147">
    <w:abstractNumId w:val="158"/>
  </w:num>
  <w:num w:numId="177" w16cid:durableId="1000233258">
    <w:abstractNumId w:val="42"/>
  </w:num>
  <w:num w:numId="178" w16cid:durableId="448009463">
    <w:abstractNumId w:val="22"/>
  </w:num>
  <w:num w:numId="179" w16cid:durableId="65225678">
    <w:abstractNumId w:val="31"/>
  </w:num>
  <w:num w:numId="180" w16cid:durableId="1793555490">
    <w:abstractNumId w:val="185"/>
  </w:num>
  <w:num w:numId="181" w16cid:durableId="829834393">
    <w:abstractNumId w:val="214"/>
  </w:num>
  <w:num w:numId="182" w16cid:durableId="694814904">
    <w:abstractNumId w:val="141"/>
  </w:num>
  <w:num w:numId="183" w16cid:durableId="994605238">
    <w:abstractNumId w:val="189"/>
  </w:num>
  <w:num w:numId="184" w16cid:durableId="1420177455">
    <w:abstractNumId w:val="110"/>
  </w:num>
  <w:num w:numId="185" w16cid:durableId="1438017224">
    <w:abstractNumId w:val="6"/>
  </w:num>
  <w:num w:numId="186" w16cid:durableId="1175612513">
    <w:abstractNumId w:val="17"/>
  </w:num>
  <w:num w:numId="187" w16cid:durableId="180751514">
    <w:abstractNumId w:val="170"/>
  </w:num>
  <w:num w:numId="188" w16cid:durableId="364789746">
    <w:abstractNumId w:val="0"/>
  </w:num>
  <w:num w:numId="189" w16cid:durableId="326521971">
    <w:abstractNumId w:val="45"/>
  </w:num>
  <w:num w:numId="190" w16cid:durableId="2095541182">
    <w:abstractNumId w:val="57"/>
  </w:num>
  <w:num w:numId="191" w16cid:durableId="1317881317">
    <w:abstractNumId w:val="154"/>
  </w:num>
  <w:num w:numId="192" w16cid:durableId="190848486">
    <w:abstractNumId w:val="41"/>
  </w:num>
  <w:num w:numId="193" w16cid:durableId="1405760056">
    <w:abstractNumId w:val="220"/>
  </w:num>
  <w:num w:numId="194" w16cid:durableId="1151680593">
    <w:abstractNumId w:val="187"/>
  </w:num>
  <w:num w:numId="195" w16cid:durableId="897981984">
    <w:abstractNumId w:val="213"/>
  </w:num>
  <w:num w:numId="196" w16cid:durableId="1931767328">
    <w:abstractNumId w:val="108"/>
  </w:num>
  <w:num w:numId="197" w16cid:durableId="365788088">
    <w:abstractNumId w:val="194"/>
  </w:num>
  <w:num w:numId="198" w16cid:durableId="1614750125">
    <w:abstractNumId w:val="178"/>
  </w:num>
  <w:num w:numId="199" w16cid:durableId="1332684173">
    <w:abstractNumId w:val="120"/>
  </w:num>
  <w:num w:numId="200" w16cid:durableId="270089490">
    <w:abstractNumId w:val="56"/>
  </w:num>
  <w:num w:numId="201" w16cid:durableId="851264420">
    <w:abstractNumId w:val="30"/>
  </w:num>
  <w:num w:numId="202" w16cid:durableId="1384520128">
    <w:abstractNumId w:val="25"/>
  </w:num>
  <w:num w:numId="203" w16cid:durableId="833567253">
    <w:abstractNumId w:val="87"/>
  </w:num>
  <w:num w:numId="204" w16cid:durableId="1044140627">
    <w:abstractNumId w:val="169"/>
  </w:num>
  <w:num w:numId="205" w16cid:durableId="176963550">
    <w:abstractNumId w:val="116"/>
  </w:num>
  <w:num w:numId="206" w16cid:durableId="1776901732">
    <w:abstractNumId w:val="135"/>
  </w:num>
  <w:num w:numId="207" w16cid:durableId="672104145">
    <w:abstractNumId w:val="79"/>
  </w:num>
  <w:num w:numId="208" w16cid:durableId="1636332916">
    <w:abstractNumId w:val="200"/>
  </w:num>
  <w:num w:numId="209" w16cid:durableId="426972286">
    <w:abstractNumId w:val="40"/>
  </w:num>
  <w:num w:numId="210" w16cid:durableId="221792189">
    <w:abstractNumId w:val="195"/>
  </w:num>
  <w:num w:numId="211" w16cid:durableId="1252395911">
    <w:abstractNumId w:val="71"/>
  </w:num>
  <w:num w:numId="212" w16cid:durableId="1579438748">
    <w:abstractNumId w:val="2"/>
  </w:num>
  <w:num w:numId="213" w16cid:durableId="1219518175">
    <w:abstractNumId w:val="226"/>
  </w:num>
  <w:num w:numId="214" w16cid:durableId="386878921">
    <w:abstractNumId w:val="184"/>
  </w:num>
  <w:num w:numId="215" w16cid:durableId="1141120134">
    <w:abstractNumId w:val="82"/>
  </w:num>
  <w:num w:numId="216" w16cid:durableId="1834569277">
    <w:abstractNumId w:val="73"/>
  </w:num>
  <w:num w:numId="217" w16cid:durableId="887493686">
    <w:abstractNumId w:val="33"/>
  </w:num>
  <w:num w:numId="218" w16cid:durableId="289359124">
    <w:abstractNumId w:val="104"/>
  </w:num>
  <w:num w:numId="219" w16cid:durableId="1457989558">
    <w:abstractNumId w:val="125"/>
  </w:num>
  <w:num w:numId="220" w16cid:durableId="519125030">
    <w:abstractNumId w:val="83"/>
  </w:num>
  <w:num w:numId="221" w16cid:durableId="1728070067">
    <w:abstractNumId w:val="216"/>
  </w:num>
  <w:num w:numId="222" w16cid:durableId="1531409937">
    <w:abstractNumId w:val="181"/>
  </w:num>
  <w:num w:numId="223" w16cid:durableId="650401256">
    <w:abstractNumId w:val="183"/>
  </w:num>
  <w:num w:numId="224" w16cid:durableId="545682588">
    <w:abstractNumId w:val="65"/>
  </w:num>
  <w:num w:numId="225" w16cid:durableId="1823886877">
    <w:abstractNumId w:val="160"/>
  </w:num>
  <w:num w:numId="226" w16cid:durableId="1798061897">
    <w:abstractNumId w:val="50"/>
  </w:num>
  <w:num w:numId="227" w16cid:durableId="1237782827">
    <w:abstractNumId w:val="10"/>
  </w:num>
  <w:num w:numId="228" w16cid:durableId="50618010">
    <w:abstractNumId w:val="84"/>
  </w:num>
  <w:num w:numId="229" w16cid:durableId="1988515662">
    <w:abstractNumId w:val="206"/>
  </w:num>
  <w:num w:numId="230" w16cid:durableId="939534480">
    <w:abstractNumId w:val="88"/>
  </w:num>
  <w:num w:numId="231" w16cid:durableId="1599438153">
    <w:abstractNumId w:val="28"/>
  </w:num>
  <w:num w:numId="232" w16cid:durableId="1624116307">
    <w:abstractNumId w:val="191"/>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0338E0"/>
    <w:rsid w:val="00000451"/>
    <w:rsid w:val="0000045D"/>
    <w:rsid w:val="000006AA"/>
    <w:rsid w:val="000006F1"/>
    <w:rsid w:val="0000091D"/>
    <w:rsid w:val="00000ABC"/>
    <w:rsid w:val="00000E01"/>
    <w:rsid w:val="000019E7"/>
    <w:rsid w:val="00001C5B"/>
    <w:rsid w:val="00001F8C"/>
    <w:rsid w:val="000020BA"/>
    <w:rsid w:val="0000224E"/>
    <w:rsid w:val="000022F9"/>
    <w:rsid w:val="000024D5"/>
    <w:rsid w:val="00002765"/>
    <w:rsid w:val="00002909"/>
    <w:rsid w:val="00002BE5"/>
    <w:rsid w:val="00002FB4"/>
    <w:rsid w:val="000030CD"/>
    <w:rsid w:val="00003512"/>
    <w:rsid w:val="000035F0"/>
    <w:rsid w:val="0000366C"/>
    <w:rsid w:val="0000372E"/>
    <w:rsid w:val="00003B6F"/>
    <w:rsid w:val="00003CCD"/>
    <w:rsid w:val="00003E2D"/>
    <w:rsid w:val="00003E7D"/>
    <w:rsid w:val="00003EA7"/>
    <w:rsid w:val="00004015"/>
    <w:rsid w:val="00004124"/>
    <w:rsid w:val="0000438F"/>
    <w:rsid w:val="0000472A"/>
    <w:rsid w:val="000047FA"/>
    <w:rsid w:val="00004A07"/>
    <w:rsid w:val="00004CBA"/>
    <w:rsid w:val="000050F6"/>
    <w:rsid w:val="000051A0"/>
    <w:rsid w:val="00005409"/>
    <w:rsid w:val="000054C2"/>
    <w:rsid w:val="000057C3"/>
    <w:rsid w:val="00005845"/>
    <w:rsid w:val="000058D5"/>
    <w:rsid w:val="00005D54"/>
    <w:rsid w:val="0000651F"/>
    <w:rsid w:val="0000658A"/>
    <w:rsid w:val="00006662"/>
    <w:rsid w:val="0000671A"/>
    <w:rsid w:val="00006776"/>
    <w:rsid w:val="000067E8"/>
    <w:rsid w:val="00006AC6"/>
    <w:rsid w:val="00006F86"/>
    <w:rsid w:val="00007374"/>
    <w:rsid w:val="00007772"/>
    <w:rsid w:val="00007B75"/>
    <w:rsid w:val="00007DC3"/>
    <w:rsid w:val="000102DB"/>
    <w:rsid w:val="0001120E"/>
    <w:rsid w:val="0001141F"/>
    <w:rsid w:val="0001199D"/>
    <w:rsid w:val="000119AE"/>
    <w:rsid w:val="00011CEB"/>
    <w:rsid w:val="00011D27"/>
    <w:rsid w:val="00011D7D"/>
    <w:rsid w:val="00011DB5"/>
    <w:rsid w:val="000120E2"/>
    <w:rsid w:val="00012499"/>
    <w:rsid w:val="0001277E"/>
    <w:rsid w:val="00012C5D"/>
    <w:rsid w:val="00012F69"/>
    <w:rsid w:val="000133DD"/>
    <w:rsid w:val="00013A2F"/>
    <w:rsid w:val="00013B90"/>
    <w:rsid w:val="00013D1D"/>
    <w:rsid w:val="00013D6E"/>
    <w:rsid w:val="00014211"/>
    <w:rsid w:val="0001453D"/>
    <w:rsid w:val="0001465B"/>
    <w:rsid w:val="0001474E"/>
    <w:rsid w:val="00014C61"/>
    <w:rsid w:val="00014FC3"/>
    <w:rsid w:val="00015063"/>
    <w:rsid w:val="000150EF"/>
    <w:rsid w:val="00015234"/>
    <w:rsid w:val="00015378"/>
    <w:rsid w:val="00015705"/>
    <w:rsid w:val="0001582B"/>
    <w:rsid w:val="000158EC"/>
    <w:rsid w:val="00015C45"/>
    <w:rsid w:val="00015C5B"/>
    <w:rsid w:val="00015EDF"/>
    <w:rsid w:val="0001652F"/>
    <w:rsid w:val="00016820"/>
    <w:rsid w:val="0001693F"/>
    <w:rsid w:val="00016C1C"/>
    <w:rsid w:val="00016F03"/>
    <w:rsid w:val="00016FC7"/>
    <w:rsid w:val="00017508"/>
    <w:rsid w:val="000175B7"/>
    <w:rsid w:val="000176BE"/>
    <w:rsid w:val="000177D6"/>
    <w:rsid w:val="000178DA"/>
    <w:rsid w:val="00017956"/>
    <w:rsid w:val="00017ABF"/>
    <w:rsid w:val="00017F70"/>
    <w:rsid w:val="000201F1"/>
    <w:rsid w:val="00020327"/>
    <w:rsid w:val="000207A4"/>
    <w:rsid w:val="00020822"/>
    <w:rsid w:val="00020AEC"/>
    <w:rsid w:val="00020BF8"/>
    <w:rsid w:val="00020E95"/>
    <w:rsid w:val="00020FDA"/>
    <w:rsid w:val="00021164"/>
    <w:rsid w:val="00021431"/>
    <w:rsid w:val="00021520"/>
    <w:rsid w:val="00021598"/>
    <w:rsid w:val="0002168F"/>
    <w:rsid w:val="0002171B"/>
    <w:rsid w:val="00021787"/>
    <w:rsid w:val="000218B9"/>
    <w:rsid w:val="00021A97"/>
    <w:rsid w:val="00021D09"/>
    <w:rsid w:val="00021EF2"/>
    <w:rsid w:val="00021FB4"/>
    <w:rsid w:val="00022200"/>
    <w:rsid w:val="00022394"/>
    <w:rsid w:val="0002290C"/>
    <w:rsid w:val="0002294C"/>
    <w:rsid w:val="00022AF7"/>
    <w:rsid w:val="00022AFA"/>
    <w:rsid w:val="00022C23"/>
    <w:rsid w:val="00022E6B"/>
    <w:rsid w:val="000234FC"/>
    <w:rsid w:val="000236D6"/>
    <w:rsid w:val="000238A5"/>
    <w:rsid w:val="000238EF"/>
    <w:rsid w:val="00023A66"/>
    <w:rsid w:val="00023A71"/>
    <w:rsid w:val="00023C2F"/>
    <w:rsid w:val="00023D9F"/>
    <w:rsid w:val="00024183"/>
    <w:rsid w:val="00024428"/>
    <w:rsid w:val="000247E3"/>
    <w:rsid w:val="0002481E"/>
    <w:rsid w:val="000248FB"/>
    <w:rsid w:val="00024DFC"/>
    <w:rsid w:val="00024F1E"/>
    <w:rsid w:val="00024FDE"/>
    <w:rsid w:val="0002548E"/>
    <w:rsid w:val="000254B8"/>
    <w:rsid w:val="00025682"/>
    <w:rsid w:val="000256D3"/>
    <w:rsid w:val="00025B6D"/>
    <w:rsid w:val="00025CC2"/>
    <w:rsid w:val="0002754B"/>
    <w:rsid w:val="0002771E"/>
    <w:rsid w:val="0002773E"/>
    <w:rsid w:val="00027D95"/>
    <w:rsid w:val="00027DB2"/>
    <w:rsid w:val="00027EDF"/>
    <w:rsid w:val="00030214"/>
    <w:rsid w:val="00030233"/>
    <w:rsid w:val="0003028C"/>
    <w:rsid w:val="000305F1"/>
    <w:rsid w:val="00030833"/>
    <w:rsid w:val="000308E1"/>
    <w:rsid w:val="00030BDB"/>
    <w:rsid w:val="00030D59"/>
    <w:rsid w:val="0003107B"/>
    <w:rsid w:val="000311CD"/>
    <w:rsid w:val="00031359"/>
    <w:rsid w:val="000317BA"/>
    <w:rsid w:val="000323F8"/>
    <w:rsid w:val="000327EF"/>
    <w:rsid w:val="00032D70"/>
    <w:rsid w:val="00032DE0"/>
    <w:rsid w:val="00032EAA"/>
    <w:rsid w:val="00032EDE"/>
    <w:rsid w:val="0003363C"/>
    <w:rsid w:val="00033A18"/>
    <w:rsid w:val="00033B78"/>
    <w:rsid w:val="00033D66"/>
    <w:rsid w:val="000340F2"/>
    <w:rsid w:val="0003429F"/>
    <w:rsid w:val="00034454"/>
    <w:rsid w:val="00034779"/>
    <w:rsid w:val="000347D5"/>
    <w:rsid w:val="0003489C"/>
    <w:rsid w:val="00034931"/>
    <w:rsid w:val="0003496F"/>
    <w:rsid w:val="00034989"/>
    <w:rsid w:val="00034A5A"/>
    <w:rsid w:val="00034B6E"/>
    <w:rsid w:val="00034C5F"/>
    <w:rsid w:val="00034DB6"/>
    <w:rsid w:val="00035374"/>
    <w:rsid w:val="000353DD"/>
    <w:rsid w:val="00035817"/>
    <w:rsid w:val="00035A19"/>
    <w:rsid w:val="000361DA"/>
    <w:rsid w:val="0003655A"/>
    <w:rsid w:val="000367E7"/>
    <w:rsid w:val="000367FF"/>
    <w:rsid w:val="00036C9B"/>
    <w:rsid w:val="00036FF2"/>
    <w:rsid w:val="00037005"/>
    <w:rsid w:val="000371C3"/>
    <w:rsid w:val="000372FB"/>
    <w:rsid w:val="000373BF"/>
    <w:rsid w:val="0003742A"/>
    <w:rsid w:val="00037529"/>
    <w:rsid w:val="000378B7"/>
    <w:rsid w:val="00040204"/>
    <w:rsid w:val="000403E9"/>
    <w:rsid w:val="000406C0"/>
    <w:rsid w:val="000407F2"/>
    <w:rsid w:val="0004089F"/>
    <w:rsid w:val="00040A4D"/>
    <w:rsid w:val="00040FA2"/>
    <w:rsid w:val="00041498"/>
    <w:rsid w:val="00041D4C"/>
    <w:rsid w:val="00042138"/>
    <w:rsid w:val="00042283"/>
    <w:rsid w:val="000422A4"/>
    <w:rsid w:val="00042B59"/>
    <w:rsid w:val="00042B68"/>
    <w:rsid w:val="00042CA9"/>
    <w:rsid w:val="00042EEA"/>
    <w:rsid w:val="000430F0"/>
    <w:rsid w:val="00043489"/>
    <w:rsid w:val="00043559"/>
    <w:rsid w:val="000436F2"/>
    <w:rsid w:val="00043864"/>
    <w:rsid w:val="000441E4"/>
    <w:rsid w:val="00044560"/>
    <w:rsid w:val="000448D7"/>
    <w:rsid w:val="0004496C"/>
    <w:rsid w:val="00044F09"/>
    <w:rsid w:val="00044F18"/>
    <w:rsid w:val="00044F79"/>
    <w:rsid w:val="00045057"/>
    <w:rsid w:val="00045131"/>
    <w:rsid w:val="00045282"/>
    <w:rsid w:val="00045345"/>
    <w:rsid w:val="000454A7"/>
    <w:rsid w:val="000459CF"/>
    <w:rsid w:val="00045EE8"/>
    <w:rsid w:val="00045F9C"/>
    <w:rsid w:val="000464B5"/>
    <w:rsid w:val="0004651F"/>
    <w:rsid w:val="00046737"/>
    <w:rsid w:val="000468CD"/>
    <w:rsid w:val="00046ABE"/>
    <w:rsid w:val="00046CC8"/>
    <w:rsid w:val="00047697"/>
    <w:rsid w:val="000477C5"/>
    <w:rsid w:val="00047810"/>
    <w:rsid w:val="00047D01"/>
    <w:rsid w:val="000502BA"/>
    <w:rsid w:val="00050966"/>
    <w:rsid w:val="000509B7"/>
    <w:rsid w:val="00051187"/>
    <w:rsid w:val="000514B5"/>
    <w:rsid w:val="00051C99"/>
    <w:rsid w:val="00051D5F"/>
    <w:rsid w:val="00052442"/>
    <w:rsid w:val="00052740"/>
    <w:rsid w:val="000527F4"/>
    <w:rsid w:val="00052A59"/>
    <w:rsid w:val="00052C3D"/>
    <w:rsid w:val="00052D09"/>
    <w:rsid w:val="00052D5A"/>
    <w:rsid w:val="00053876"/>
    <w:rsid w:val="00053B61"/>
    <w:rsid w:val="00054000"/>
    <w:rsid w:val="0005405B"/>
    <w:rsid w:val="000540A6"/>
    <w:rsid w:val="000540EE"/>
    <w:rsid w:val="0005413E"/>
    <w:rsid w:val="000541F9"/>
    <w:rsid w:val="000542B8"/>
    <w:rsid w:val="0005440D"/>
    <w:rsid w:val="00054466"/>
    <w:rsid w:val="00054C68"/>
    <w:rsid w:val="00054DC0"/>
    <w:rsid w:val="00054F34"/>
    <w:rsid w:val="00055232"/>
    <w:rsid w:val="0005531F"/>
    <w:rsid w:val="00055B44"/>
    <w:rsid w:val="00055FDA"/>
    <w:rsid w:val="00056267"/>
    <w:rsid w:val="000563AB"/>
    <w:rsid w:val="00056605"/>
    <w:rsid w:val="000566EB"/>
    <w:rsid w:val="0005672F"/>
    <w:rsid w:val="00056827"/>
    <w:rsid w:val="000569E4"/>
    <w:rsid w:val="00056E03"/>
    <w:rsid w:val="00056F27"/>
    <w:rsid w:val="00056F8F"/>
    <w:rsid w:val="00057602"/>
    <w:rsid w:val="00057C37"/>
    <w:rsid w:val="00057FE4"/>
    <w:rsid w:val="000600EF"/>
    <w:rsid w:val="0006023A"/>
    <w:rsid w:val="00060264"/>
    <w:rsid w:val="000602DD"/>
    <w:rsid w:val="000604DF"/>
    <w:rsid w:val="00060524"/>
    <w:rsid w:val="00060598"/>
    <w:rsid w:val="000607C0"/>
    <w:rsid w:val="0006091C"/>
    <w:rsid w:val="00060C11"/>
    <w:rsid w:val="00061206"/>
    <w:rsid w:val="0006141C"/>
    <w:rsid w:val="000616D4"/>
    <w:rsid w:val="0006175D"/>
    <w:rsid w:val="000617C0"/>
    <w:rsid w:val="000618F5"/>
    <w:rsid w:val="00061D54"/>
    <w:rsid w:val="00061DF9"/>
    <w:rsid w:val="00061E23"/>
    <w:rsid w:val="00061F92"/>
    <w:rsid w:val="00062471"/>
    <w:rsid w:val="000624B1"/>
    <w:rsid w:val="000627CF"/>
    <w:rsid w:val="000627D2"/>
    <w:rsid w:val="000627DA"/>
    <w:rsid w:val="00062A1A"/>
    <w:rsid w:val="00062B28"/>
    <w:rsid w:val="00062C4A"/>
    <w:rsid w:val="00063168"/>
    <w:rsid w:val="000636C1"/>
    <w:rsid w:val="0006401E"/>
    <w:rsid w:val="0006420A"/>
    <w:rsid w:val="00064352"/>
    <w:rsid w:val="0006460C"/>
    <w:rsid w:val="000647E9"/>
    <w:rsid w:val="00064964"/>
    <w:rsid w:val="00064F24"/>
    <w:rsid w:val="00064FD2"/>
    <w:rsid w:val="00065361"/>
    <w:rsid w:val="0006552C"/>
    <w:rsid w:val="00065531"/>
    <w:rsid w:val="0006589B"/>
    <w:rsid w:val="00065ED0"/>
    <w:rsid w:val="00066260"/>
    <w:rsid w:val="000662A7"/>
    <w:rsid w:val="0006632A"/>
    <w:rsid w:val="00066475"/>
    <w:rsid w:val="00066567"/>
    <w:rsid w:val="000667D1"/>
    <w:rsid w:val="000668F9"/>
    <w:rsid w:val="00066907"/>
    <w:rsid w:val="00066942"/>
    <w:rsid w:val="00066BD6"/>
    <w:rsid w:val="00066E5A"/>
    <w:rsid w:val="00066F6B"/>
    <w:rsid w:val="00066F89"/>
    <w:rsid w:val="00067315"/>
    <w:rsid w:val="00067454"/>
    <w:rsid w:val="000678CB"/>
    <w:rsid w:val="00067B03"/>
    <w:rsid w:val="00067B7D"/>
    <w:rsid w:val="00070325"/>
    <w:rsid w:val="00070349"/>
    <w:rsid w:val="000706BB"/>
    <w:rsid w:val="00070BFC"/>
    <w:rsid w:val="00070DC6"/>
    <w:rsid w:val="00070FBC"/>
    <w:rsid w:val="000710C1"/>
    <w:rsid w:val="000710CE"/>
    <w:rsid w:val="000711B0"/>
    <w:rsid w:val="000712FD"/>
    <w:rsid w:val="00071315"/>
    <w:rsid w:val="00071581"/>
    <w:rsid w:val="000716DD"/>
    <w:rsid w:val="00071742"/>
    <w:rsid w:val="00071766"/>
    <w:rsid w:val="00072194"/>
    <w:rsid w:val="00072393"/>
    <w:rsid w:val="0007241B"/>
    <w:rsid w:val="00072768"/>
    <w:rsid w:val="0007296A"/>
    <w:rsid w:val="00072A42"/>
    <w:rsid w:val="00072B39"/>
    <w:rsid w:val="00073313"/>
    <w:rsid w:val="0007366E"/>
    <w:rsid w:val="00073692"/>
    <w:rsid w:val="00073AB9"/>
    <w:rsid w:val="00073ABB"/>
    <w:rsid w:val="00073C54"/>
    <w:rsid w:val="00073CAF"/>
    <w:rsid w:val="0007401D"/>
    <w:rsid w:val="000740E9"/>
    <w:rsid w:val="00074102"/>
    <w:rsid w:val="00074518"/>
    <w:rsid w:val="000747B5"/>
    <w:rsid w:val="00074A7D"/>
    <w:rsid w:val="0007505D"/>
    <w:rsid w:val="000752E7"/>
    <w:rsid w:val="000755AE"/>
    <w:rsid w:val="000757A3"/>
    <w:rsid w:val="00075944"/>
    <w:rsid w:val="00075B6C"/>
    <w:rsid w:val="00075B80"/>
    <w:rsid w:val="00075FDE"/>
    <w:rsid w:val="0007629E"/>
    <w:rsid w:val="0007643F"/>
    <w:rsid w:val="0007648E"/>
    <w:rsid w:val="0007666A"/>
    <w:rsid w:val="00076726"/>
    <w:rsid w:val="00076B1F"/>
    <w:rsid w:val="00076CAA"/>
    <w:rsid w:val="00077278"/>
    <w:rsid w:val="000774AE"/>
    <w:rsid w:val="00077876"/>
    <w:rsid w:val="00077946"/>
    <w:rsid w:val="00077C48"/>
    <w:rsid w:val="00077D15"/>
    <w:rsid w:val="00077E77"/>
    <w:rsid w:val="00077E8D"/>
    <w:rsid w:val="00077FA7"/>
    <w:rsid w:val="00080245"/>
    <w:rsid w:val="0008048F"/>
    <w:rsid w:val="0008049B"/>
    <w:rsid w:val="000805BA"/>
    <w:rsid w:val="00080753"/>
    <w:rsid w:val="0008079D"/>
    <w:rsid w:val="00080FB9"/>
    <w:rsid w:val="00081454"/>
    <w:rsid w:val="00081713"/>
    <w:rsid w:val="00081811"/>
    <w:rsid w:val="000819F2"/>
    <w:rsid w:val="00081A41"/>
    <w:rsid w:val="00081E21"/>
    <w:rsid w:val="00082008"/>
    <w:rsid w:val="000821AE"/>
    <w:rsid w:val="000827D9"/>
    <w:rsid w:val="00082F22"/>
    <w:rsid w:val="00083135"/>
    <w:rsid w:val="0008347F"/>
    <w:rsid w:val="00083E98"/>
    <w:rsid w:val="000841A1"/>
    <w:rsid w:val="0008424C"/>
    <w:rsid w:val="0008490C"/>
    <w:rsid w:val="00084C6D"/>
    <w:rsid w:val="00084FAC"/>
    <w:rsid w:val="00084FDC"/>
    <w:rsid w:val="00084FE0"/>
    <w:rsid w:val="000850CA"/>
    <w:rsid w:val="000854F9"/>
    <w:rsid w:val="00085A11"/>
    <w:rsid w:val="00085A79"/>
    <w:rsid w:val="00085AD0"/>
    <w:rsid w:val="00085F85"/>
    <w:rsid w:val="00086451"/>
    <w:rsid w:val="00086590"/>
    <w:rsid w:val="0008678A"/>
    <w:rsid w:val="00086996"/>
    <w:rsid w:val="000869C2"/>
    <w:rsid w:val="00086BE3"/>
    <w:rsid w:val="000871F8"/>
    <w:rsid w:val="00087571"/>
    <w:rsid w:val="00087828"/>
    <w:rsid w:val="00087E43"/>
    <w:rsid w:val="00087F24"/>
    <w:rsid w:val="000905CB"/>
    <w:rsid w:val="000906BC"/>
    <w:rsid w:val="000908FB"/>
    <w:rsid w:val="00090AD7"/>
    <w:rsid w:val="00090C46"/>
    <w:rsid w:val="00090D3B"/>
    <w:rsid w:val="00090DD8"/>
    <w:rsid w:val="00090E98"/>
    <w:rsid w:val="00090F4A"/>
    <w:rsid w:val="00090F80"/>
    <w:rsid w:val="000910E2"/>
    <w:rsid w:val="000911DC"/>
    <w:rsid w:val="0009149A"/>
    <w:rsid w:val="000915F1"/>
    <w:rsid w:val="00091635"/>
    <w:rsid w:val="00091939"/>
    <w:rsid w:val="00092531"/>
    <w:rsid w:val="00092540"/>
    <w:rsid w:val="00092558"/>
    <w:rsid w:val="00093248"/>
    <w:rsid w:val="00093FCE"/>
    <w:rsid w:val="00094166"/>
    <w:rsid w:val="000942BE"/>
    <w:rsid w:val="00094355"/>
    <w:rsid w:val="00094372"/>
    <w:rsid w:val="00094458"/>
    <w:rsid w:val="00094674"/>
    <w:rsid w:val="000949C8"/>
    <w:rsid w:val="00094A9A"/>
    <w:rsid w:val="00094B9A"/>
    <w:rsid w:val="00094D6E"/>
    <w:rsid w:val="00094E22"/>
    <w:rsid w:val="00094FA4"/>
    <w:rsid w:val="00095546"/>
    <w:rsid w:val="000957C2"/>
    <w:rsid w:val="00095D90"/>
    <w:rsid w:val="00096421"/>
    <w:rsid w:val="00096BF7"/>
    <w:rsid w:val="00096E83"/>
    <w:rsid w:val="00097082"/>
    <w:rsid w:val="000978DD"/>
    <w:rsid w:val="000978DF"/>
    <w:rsid w:val="00097A22"/>
    <w:rsid w:val="00097D33"/>
    <w:rsid w:val="000A03CD"/>
    <w:rsid w:val="000A0557"/>
    <w:rsid w:val="000A0686"/>
    <w:rsid w:val="000A0862"/>
    <w:rsid w:val="000A09EB"/>
    <w:rsid w:val="000A0E3F"/>
    <w:rsid w:val="000A11A8"/>
    <w:rsid w:val="000A14D3"/>
    <w:rsid w:val="000A16BC"/>
    <w:rsid w:val="000A17AE"/>
    <w:rsid w:val="000A1A53"/>
    <w:rsid w:val="000A1A90"/>
    <w:rsid w:val="000A231C"/>
    <w:rsid w:val="000A2490"/>
    <w:rsid w:val="000A282E"/>
    <w:rsid w:val="000A2E80"/>
    <w:rsid w:val="000A395D"/>
    <w:rsid w:val="000A39D8"/>
    <w:rsid w:val="000A414B"/>
    <w:rsid w:val="000A47F9"/>
    <w:rsid w:val="000A5374"/>
    <w:rsid w:val="000A572D"/>
    <w:rsid w:val="000A5812"/>
    <w:rsid w:val="000A62B9"/>
    <w:rsid w:val="000A69DC"/>
    <w:rsid w:val="000A6AE5"/>
    <w:rsid w:val="000A6BFE"/>
    <w:rsid w:val="000A6FDD"/>
    <w:rsid w:val="000A7261"/>
    <w:rsid w:val="000A7363"/>
    <w:rsid w:val="000A76E3"/>
    <w:rsid w:val="000A7A22"/>
    <w:rsid w:val="000A7D3D"/>
    <w:rsid w:val="000A7EE2"/>
    <w:rsid w:val="000B0136"/>
    <w:rsid w:val="000B0386"/>
    <w:rsid w:val="000B051F"/>
    <w:rsid w:val="000B08BD"/>
    <w:rsid w:val="000B09F7"/>
    <w:rsid w:val="000B0C40"/>
    <w:rsid w:val="000B0C94"/>
    <w:rsid w:val="000B0D08"/>
    <w:rsid w:val="000B0D45"/>
    <w:rsid w:val="000B0E96"/>
    <w:rsid w:val="000B0FED"/>
    <w:rsid w:val="000B130E"/>
    <w:rsid w:val="000B1340"/>
    <w:rsid w:val="000B1443"/>
    <w:rsid w:val="000B1B9B"/>
    <w:rsid w:val="000B1F30"/>
    <w:rsid w:val="000B1F3F"/>
    <w:rsid w:val="000B205E"/>
    <w:rsid w:val="000B299C"/>
    <w:rsid w:val="000B2A14"/>
    <w:rsid w:val="000B2EF2"/>
    <w:rsid w:val="000B343D"/>
    <w:rsid w:val="000B34F9"/>
    <w:rsid w:val="000B352F"/>
    <w:rsid w:val="000B3647"/>
    <w:rsid w:val="000B3754"/>
    <w:rsid w:val="000B3A1D"/>
    <w:rsid w:val="000B3BB0"/>
    <w:rsid w:val="000B3C6D"/>
    <w:rsid w:val="000B428E"/>
    <w:rsid w:val="000B44C9"/>
    <w:rsid w:val="000B45CE"/>
    <w:rsid w:val="000B466D"/>
    <w:rsid w:val="000B46F3"/>
    <w:rsid w:val="000B484D"/>
    <w:rsid w:val="000B4A1D"/>
    <w:rsid w:val="000B4ED1"/>
    <w:rsid w:val="000B500B"/>
    <w:rsid w:val="000B5055"/>
    <w:rsid w:val="000B53DF"/>
    <w:rsid w:val="000B57D1"/>
    <w:rsid w:val="000B5884"/>
    <w:rsid w:val="000B5974"/>
    <w:rsid w:val="000B6021"/>
    <w:rsid w:val="000B605B"/>
    <w:rsid w:val="000B618C"/>
    <w:rsid w:val="000B61D8"/>
    <w:rsid w:val="000B62E1"/>
    <w:rsid w:val="000B69E5"/>
    <w:rsid w:val="000B6C17"/>
    <w:rsid w:val="000B6E9F"/>
    <w:rsid w:val="000B718A"/>
    <w:rsid w:val="000B71DB"/>
    <w:rsid w:val="000B7467"/>
    <w:rsid w:val="000B75CA"/>
    <w:rsid w:val="000B7660"/>
    <w:rsid w:val="000B7695"/>
    <w:rsid w:val="000B76DE"/>
    <w:rsid w:val="000B7C87"/>
    <w:rsid w:val="000B7DBE"/>
    <w:rsid w:val="000C0269"/>
    <w:rsid w:val="000C0409"/>
    <w:rsid w:val="000C0CF7"/>
    <w:rsid w:val="000C0E62"/>
    <w:rsid w:val="000C10FE"/>
    <w:rsid w:val="000C1216"/>
    <w:rsid w:val="000C1425"/>
    <w:rsid w:val="000C1B0D"/>
    <w:rsid w:val="000C1D6A"/>
    <w:rsid w:val="000C26AA"/>
    <w:rsid w:val="000C2D0B"/>
    <w:rsid w:val="000C2E17"/>
    <w:rsid w:val="000C3685"/>
    <w:rsid w:val="000C38E2"/>
    <w:rsid w:val="000C397F"/>
    <w:rsid w:val="000C3B61"/>
    <w:rsid w:val="000C3DC4"/>
    <w:rsid w:val="000C401A"/>
    <w:rsid w:val="000C4383"/>
    <w:rsid w:val="000C48B5"/>
    <w:rsid w:val="000C4BF1"/>
    <w:rsid w:val="000C4D24"/>
    <w:rsid w:val="000C4FCC"/>
    <w:rsid w:val="000C5027"/>
    <w:rsid w:val="000C5523"/>
    <w:rsid w:val="000C5785"/>
    <w:rsid w:val="000C5C45"/>
    <w:rsid w:val="000C5DE1"/>
    <w:rsid w:val="000C62D5"/>
    <w:rsid w:val="000C62E8"/>
    <w:rsid w:val="000C6996"/>
    <w:rsid w:val="000C6B4D"/>
    <w:rsid w:val="000C6D27"/>
    <w:rsid w:val="000C6F4D"/>
    <w:rsid w:val="000C7499"/>
    <w:rsid w:val="000C7535"/>
    <w:rsid w:val="000C7570"/>
    <w:rsid w:val="000C7630"/>
    <w:rsid w:val="000C7909"/>
    <w:rsid w:val="000C7CB5"/>
    <w:rsid w:val="000C7CD8"/>
    <w:rsid w:val="000C7F13"/>
    <w:rsid w:val="000D00E0"/>
    <w:rsid w:val="000D0302"/>
    <w:rsid w:val="000D036E"/>
    <w:rsid w:val="000D172E"/>
    <w:rsid w:val="000D187C"/>
    <w:rsid w:val="000D1936"/>
    <w:rsid w:val="000D19CF"/>
    <w:rsid w:val="000D1ADF"/>
    <w:rsid w:val="000D1B63"/>
    <w:rsid w:val="000D2064"/>
    <w:rsid w:val="000D20CC"/>
    <w:rsid w:val="000D2436"/>
    <w:rsid w:val="000D24AA"/>
    <w:rsid w:val="000D2735"/>
    <w:rsid w:val="000D297C"/>
    <w:rsid w:val="000D2A30"/>
    <w:rsid w:val="000D2BF9"/>
    <w:rsid w:val="000D2C18"/>
    <w:rsid w:val="000D2F0B"/>
    <w:rsid w:val="000D2F68"/>
    <w:rsid w:val="000D2F7B"/>
    <w:rsid w:val="000D313C"/>
    <w:rsid w:val="000D3266"/>
    <w:rsid w:val="000D335A"/>
    <w:rsid w:val="000D3A7C"/>
    <w:rsid w:val="000D3AF9"/>
    <w:rsid w:val="000D3BCF"/>
    <w:rsid w:val="000D3D5F"/>
    <w:rsid w:val="000D44C7"/>
    <w:rsid w:val="000D4533"/>
    <w:rsid w:val="000D4596"/>
    <w:rsid w:val="000D45F8"/>
    <w:rsid w:val="000D4606"/>
    <w:rsid w:val="000D46C3"/>
    <w:rsid w:val="000D47CA"/>
    <w:rsid w:val="000D48AB"/>
    <w:rsid w:val="000D525F"/>
    <w:rsid w:val="000D53A8"/>
    <w:rsid w:val="000D54E3"/>
    <w:rsid w:val="000D5565"/>
    <w:rsid w:val="000D5B21"/>
    <w:rsid w:val="000D5BCB"/>
    <w:rsid w:val="000D6415"/>
    <w:rsid w:val="000D646C"/>
    <w:rsid w:val="000D65D0"/>
    <w:rsid w:val="000D6C8C"/>
    <w:rsid w:val="000D72DD"/>
    <w:rsid w:val="000D7382"/>
    <w:rsid w:val="000D747A"/>
    <w:rsid w:val="000D78E7"/>
    <w:rsid w:val="000D79A5"/>
    <w:rsid w:val="000D7AF5"/>
    <w:rsid w:val="000D7BD8"/>
    <w:rsid w:val="000D7C54"/>
    <w:rsid w:val="000D7F2D"/>
    <w:rsid w:val="000E005D"/>
    <w:rsid w:val="000E0388"/>
    <w:rsid w:val="000E04A6"/>
    <w:rsid w:val="000E05EC"/>
    <w:rsid w:val="000E0622"/>
    <w:rsid w:val="000E0927"/>
    <w:rsid w:val="000E0ED4"/>
    <w:rsid w:val="000E1365"/>
    <w:rsid w:val="000E166D"/>
    <w:rsid w:val="000E17F1"/>
    <w:rsid w:val="000E1BBD"/>
    <w:rsid w:val="000E1D19"/>
    <w:rsid w:val="000E2020"/>
    <w:rsid w:val="000E20B0"/>
    <w:rsid w:val="000E2116"/>
    <w:rsid w:val="000E297D"/>
    <w:rsid w:val="000E29F8"/>
    <w:rsid w:val="000E2B49"/>
    <w:rsid w:val="000E2CE5"/>
    <w:rsid w:val="000E2FB8"/>
    <w:rsid w:val="000E3BF6"/>
    <w:rsid w:val="000E3DBC"/>
    <w:rsid w:val="000E3E11"/>
    <w:rsid w:val="000E40E7"/>
    <w:rsid w:val="000E419F"/>
    <w:rsid w:val="000E41AB"/>
    <w:rsid w:val="000E4708"/>
    <w:rsid w:val="000E4DFF"/>
    <w:rsid w:val="000E50A8"/>
    <w:rsid w:val="000E517A"/>
    <w:rsid w:val="000E561C"/>
    <w:rsid w:val="000E5B96"/>
    <w:rsid w:val="000E613A"/>
    <w:rsid w:val="000E61C6"/>
    <w:rsid w:val="000E653B"/>
    <w:rsid w:val="000E655F"/>
    <w:rsid w:val="000E66F5"/>
    <w:rsid w:val="000E6B6B"/>
    <w:rsid w:val="000E70D0"/>
    <w:rsid w:val="000F00CF"/>
    <w:rsid w:val="000F0562"/>
    <w:rsid w:val="000F0835"/>
    <w:rsid w:val="000F08B1"/>
    <w:rsid w:val="000F09E6"/>
    <w:rsid w:val="000F0B98"/>
    <w:rsid w:val="000F0E43"/>
    <w:rsid w:val="000F1115"/>
    <w:rsid w:val="000F1141"/>
    <w:rsid w:val="000F1161"/>
    <w:rsid w:val="000F12F2"/>
    <w:rsid w:val="000F1363"/>
    <w:rsid w:val="000F142A"/>
    <w:rsid w:val="000F184D"/>
    <w:rsid w:val="000F1BE0"/>
    <w:rsid w:val="000F1E4B"/>
    <w:rsid w:val="000F1EE0"/>
    <w:rsid w:val="000F21A8"/>
    <w:rsid w:val="000F24A7"/>
    <w:rsid w:val="000F2559"/>
    <w:rsid w:val="000F2AD8"/>
    <w:rsid w:val="000F2E84"/>
    <w:rsid w:val="000F2F73"/>
    <w:rsid w:val="000F2FFF"/>
    <w:rsid w:val="000F3027"/>
    <w:rsid w:val="000F3242"/>
    <w:rsid w:val="000F35EE"/>
    <w:rsid w:val="000F36A0"/>
    <w:rsid w:val="000F3748"/>
    <w:rsid w:val="000F39B5"/>
    <w:rsid w:val="000F3C5A"/>
    <w:rsid w:val="000F4029"/>
    <w:rsid w:val="000F43AF"/>
    <w:rsid w:val="000F43D1"/>
    <w:rsid w:val="000F445B"/>
    <w:rsid w:val="000F46A8"/>
    <w:rsid w:val="000F4A2D"/>
    <w:rsid w:val="000F4F8B"/>
    <w:rsid w:val="000F5200"/>
    <w:rsid w:val="000F554D"/>
    <w:rsid w:val="000F556D"/>
    <w:rsid w:val="000F62C2"/>
    <w:rsid w:val="000F62CF"/>
    <w:rsid w:val="000F6308"/>
    <w:rsid w:val="000F657B"/>
    <w:rsid w:val="000F7554"/>
    <w:rsid w:val="000F7833"/>
    <w:rsid w:val="000F7988"/>
    <w:rsid w:val="000F79C0"/>
    <w:rsid w:val="000F7A14"/>
    <w:rsid w:val="000F7CE4"/>
    <w:rsid w:val="000F7D85"/>
    <w:rsid w:val="000F7EDD"/>
    <w:rsid w:val="0010030E"/>
    <w:rsid w:val="001003FA"/>
    <w:rsid w:val="00100755"/>
    <w:rsid w:val="0010118F"/>
    <w:rsid w:val="0010152E"/>
    <w:rsid w:val="00101674"/>
    <w:rsid w:val="001016E2"/>
    <w:rsid w:val="001018BF"/>
    <w:rsid w:val="0010199E"/>
    <w:rsid w:val="001019FD"/>
    <w:rsid w:val="00101E77"/>
    <w:rsid w:val="00101F0F"/>
    <w:rsid w:val="00101FA7"/>
    <w:rsid w:val="001024F8"/>
    <w:rsid w:val="001027B6"/>
    <w:rsid w:val="0010282F"/>
    <w:rsid w:val="001028A5"/>
    <w:rsid w:val="00102BBB"/>
    <w:rsid w:val="0010302A"/>
    <w:rsid w:val="001031BD"/>
    <w:rsid w:val="00103429"/>
    <w:rsid w:val="0010387D"/>
    <w:rsid w:val="00103BB4"/>
    <w:rsid w:val="00103CC4"/>
    <w:rsid w:val="00103D18"/>
    <w:rsid w:val="00103FB5"/>
    <w:rsid w:val="0010431A"/>
    <w:rsid w:val="0010474B"/>
    <w:rsid w:val="001047C7"/>
    <w:rsid w:val="001048AA"/>
    <w:rsid w:val="001049A9"/>
    <w:rsid w:val="00104BAB"/>
    <w:rsid w:val="00104E43"/>
    <w:rsid w:val="00104EB1"/>
    <w:rsid w:val="00104F37"/>
    <w:rsid w:val="00105187"/>
    <w:rsid w:val="00105198"/>
    <w:rsid w:val="001051E0"/>
    <w:rsid w:val="001056CF"/>
    <w:rsid w:val="001056D5"/>
    <w:rsid w:val="00105766"/>
    <w:rsid w:val="00105A1A"/>
    <w:rsid w:val="00105A4D"/>
    <w:rsid w:val="00105BA7"/>
    <w:rsid w:val="00105C07"/>
    <w:rsid w:val="00105DF9"/>
    <w:rsid w:val="00106270"/>
    <w:rsid w:val="0010632E"/>
    <w:rsid w:val="00106378"/>
    <w:rsid w:val="0010638D"/>
    <w:rsid w:val="001069D6"/>
    <w:rsid w:val="00106B10"/>
    <w:rsid w:val="00106B55"/>
    <w:rsid w:val="00106B65"/>
    <w:rsid w:val="00106BDC"/>
    <w:rsid w:val="00106CC7"/>
    <w:rsid w:val="00106EDA"/>
    <w:rsid w:val="0010703D"/>
    <w:rsid w:val="00107618"/>
    <w:rsid w:val="00107FE8"/>
    <w:rsid w:val="0011009D"/>
    <w:rsid w:val="0011029F"/>
    <w:rsid w:val="0011061E"/>
    <w:rsid w:val="0011094C"/>
    <w:rsid w:val="00110B35"/>
    <w:rsid w:val="00110B85"/>
    <w:rsid w:val="001114F2"/>
    <w:rsid w:val="0011167E"/>
    <w:rsid w:val="0011178D"/>
    <w:rsid w:val="00111AC3"/>
    <w:rsid w:val="00111C66"/>
    <w:rsid w:val="00111DFA"/>
    <w:rsid w:val="00111E8E"/>
    <w:rsid w:val="00112501"/>
    <w:rsid w:val="001125F9"/>
    <w:rsid w:val="00112651"/>
    <w:rsid w:val="0011275F"/>
    <w:rsid w:val="00112A2F"/>
    <w:rsid w:val="00113277"/>
    <w:rsid w:val="00113286"/>
    <w:rsid w:val="0011358E"/>
    <w:rsid w:val="0011364F"/>
    <w:rsid w:val="00113B1B"/>
    <w:rsid w:val="00113C62"/>
    <w:rsid w:val="00113CF0"/>
    <w:rsid w:val="00113D55"/>
    <w:rsid w:val="00113DB0"/>
    <w:rsid w:val="00113FCF"/>
    <w:rsid w:val="001140CE"/>
    <w:rsid w:val="00114353"/>
    <w:rsid w:val="001143D0"/>
    <w:rsid w:val="00114555"/>
    <w:rsid w:val="0011459C"/>
    <w:rsid w:val="00114800"/>
    <w:rsid w:val="00114A1C"/>
    <w:rsid w:val="00114DC6"/>
    <w:rsid w:val="00114E1E"/>
    <w:rsid w:val="00115921"/>
    <w:rsid w:val="00115F19"/>
    <w:rsid w:val="001161BB"/>
    <w:rsid w:val="001162CB"/>
    <w:rsid w:val="0011630C"/>
    <w:rsid w:val="001163A3"/>
    <w:rsid w:val="001164CC"/>
    <w:rsid w:val="001167D9"/>
    <w:rsid w:val="00116C70"/>
    <w:rsid w:val="0011725D"/>
    <w:rsid w:val="00117A70"/>
    <w:rsid w:val="00117B1A"/>
    <w:rsid w:val="00117BCA"/>
    <w:rsid w:val="00117D1A"/>
    <w:rsid w:val="00117DF1"/>
    <w:rsid w:val="00117F2F"/>
    <w:rsid w:val="001200C3"/>
    <w:rsid w:val="0012029B"/>
    <w:rsid w:val="00120DA0"/>
    <w:rsid w:val="00120DA6"/>
    <w:rsid w:val="00120F33"/>
    <w:rsid w:val="00120FC7"/>
    <w:rsid w:val="00121591"/>
    <w:rsid w:val="00121652"/>
    <w:rsid w:val="00121661"/>
    <w:rsid w:val="00121DA5"/>
    <w:rsid w:val="00121E61"/>
    <w:rsid w:val="00121EF4"/>
    <w:rsid w:val="00121F49"/>
    <w:rsid w:val="001221B0"/>
    <w:rsid w:val="001221CC"/>
    <w:rsid w:val="0012238A"/>
    <w:rsid w:val="00122787"/>
    <w:rsid w:val="00122AD9"/>
    <w:rsid w:val="00122D7E"/>
    <w:rsid w:val="0012322D"/>
    <w:rsid w:val="00123241"/>
    <w:rsid w:val="00123269"/>
    <w:rsid w:val="00123621"/>
    <w:rsid w:val="00123A54"/>
    <w:rsid w:val="00123CFC"/>
    <w:rsid w:val="00124117"/>
    <w:rsid w:val="001241F0"/>
    <w:rsid w:val="0012460B"/>
    <w:rsid w:val="00124680"/>
    <w:rsid w:val="001248DD"/>
    <w:rsid w:val="00124FE1"/>
    <w:rsid w:val="00125A02"/>
    <w:rsid w:val="001262A3"/>
    <w:rsid w:val="00126622"/>
    <w:rsid w:val="001268F7"/>
    <w:rsid w:val="00126B0A"/>
    <w:rsid w:val="00126B67"/>
    <w:rsid w:val="00126DA5"/>
    <w:rsid w:val="00126E65"/>
    <w:rsid w:val="0012739F"/>
    <w:rsid w:val="001276F0"/>
    <w:rsid w:val="00127F1D"/>
    <w:rsid w:val="001300C7"/>
    <w:rsid w:val="0013056E"/>
    <w:rsid w:val="001308BB"/>
    <w:rsid w:val="00130A8B"/>
    <w:rsid w:val="00130AED"/>
    <w:rsid w:val="00130B6B"/>
    <w:rsid w:val="0013104B"/>
    <w:rsid w:val="0013131B"/>
    <w:rsid w:val="00131577"/>
    <w:rsid w:val="001315A7"/>
    <w:rsid w:val="0013168D"/>
    <w:rsid w:val="001316CD"/>
    <w:rsid w:val="001317B1"/>
    <w:rsid w:val="00131CB5"/>
    <w:rsid w:val="00131DD7"/>
    <w:rsid w:val="00132538"/>
    <w:rsid w:val="001328F9"/>
    <w:rsid w:val="001330E4"/>
    <w:rsid w:val="001334FA"/>
    <w:rsid w:val="00133532"/>
    <w:rsid w:val="0013370C"/>
    <w:rsid w:val="00133805"/>
    <w:rsid w:val="00133B3B"/>
    <w:rsid w:val="00133B3E"/>
    <w:rsid w:val="00133BF9"/>
    <w:rsid w:val="00133EF6"/>
    <w:rsid w:val="00134349"/>
    <w:rsid w:val="0013451B"/>
    <w:rsid w:val="00134B7E"/>
    <w:rsid w:val="00134C05"/>
    <w:rsid w:val="00135068"/>
    <w:rsid w:val="0013509C"/>
    <w:rsid w:val="001351B8"/>
    <w:rsid w:val="001355CE"/>
    <w:rsid w:val="001361B1"/>
    <w:rsid w:val="00136589"/>
    <w:rsid w:val="001367D7"/>
    <w:rsid w:val="001368C8"/>
    <w:rsid w:val="00136EDA"/>
    <w:rsid w:val="00137152"/>
    <w:rsid w:val="0013744C"/>
    <w:rsid w:val="00137458"/>
    <w:rsid w:val="0013794D"/>
    <w:rsid w:val="00137952"/>
    <w:rsid w:val="00137BEF"/>
    <w:rsid w:val="00137C17"/>
    <w:rsid w:val="00137D97"/>
    <w:rsid w:val="0014024D"/>
    <w:rsid w:val="001403B2"/>
    <w:rsid w:val="001407BA"/>
    <w:rsid w:val="00140EA6"/>
    <w:rsid w:val="00141216"/>
    <w:rsid w:val="001416ED"/>
    <w:rsid w:val="001418C9"/>
    <w:rsid w:val="00141A0A"/>
    <w:rsid w:val="00141A74"/>
    <w:rsid w:val="00141B44"/>
    <w:rsid w:val="00141DFB"/>
    <w:rsid w:val="00141EB4"/>
    <w:rsid w:val="00141EBE"/>
    <w:rsid w:val="00142907"/>
    <w:rsid w:val="00142A2C"/>
    <w:rsid w:val="00142C42"/>
    <w:rsid w:val="00142E78"/>
    <w:rsid w:val="001436C5"/>
    <w:rsid w:val="00143AFC"/>
    <w:rsid w:val="00143B1F"/>
    <w:rsid w:val="00143DB2"/>
    <w:rsid w:val="0014459F"/>
    <w:rsid w:val="00144663"/>
    <w:rsid w:val="00144761"/>
    <w:rsid w:val="00144B3A"/>
    <w:rsid w:val="00144DAB"/>
    <w:rsid w:val="00144E93"/>
    <w:rsid w:val="00144FD4"/>
    <w:rsid w:val="0014508E"/>
    <w:rsid w:val="001452D6"/>
    <w:rsid w:val="0014531A"/>
    <w:rsid w:val="00145633"/>
    <w:rsid w:val="0014598D"/>
    <w:rsid w:val="001462ED"/>
    <w:rsid w:val="001464D8"/>
    <w:rsid w:val="00146736"/>
    <w:rsid w:val="00146758"/>
    <w:rsid w:val="00146791"/>
    <w:rsid w:val="00147282"/>
    <w:rsid w:val="001472A1"/>
    <w:rsid w:val="00147352"/>
    <w:rsid w:val="001475FD"/>
    <w:rsid w:val="001476C2"/>
    <w:rsid w:val="001478D7"/>
    <w:rsid w:val="00147CDA"/>
    <w:rsid w:val="00147D5A"/>
    <w:rsid w:val="0015019B"/>
    <w:rsid w:val="001504A0"/>
    <w:rsid w:val="001507C6"/>
    <w:rsid w:val="00150872"/>
    <w:rsid w:val="00150CED"/>
    <w:rsid w:val="0015104D"/>
    <w:rsid w:val="00151DCD"/>
    <w:rsid w:val="00152194"/>
    <w:rsid w:val="0015224F"/>
    <w:rsid w:val="001523A2"/>
    <w:rsid w:val="001528DE"/>
    <w:rsid w:val="00152A01"/>
    <w:rsid w:val="00152B8E"/>
    <w:rsid w:val="001536AA"/>
    <w:rsid w:val="00153808"/>
    <w:rsid w:val="0015384A"/>
    <w:rsid w:val="00153876"/>
    <w:rsid w:val="001538C7"/>
    <w:rsid w:val="001538F0"/>
    <w:rsid w:val="001539E6"/>
    <w:rsid w:val="00153B6A"/>
    <w:rsid w:val="00153C41"/>
    <w:rsid w:val="00153EA1"/>
    <w:rsid w:val="00153F1F"/>
    <w:rsid w:val="001540AE"/>
    <w:rsid w:val="00154346"/>
    <w:rsid w:val="001544BB"/>
    <w:rsid w:val="001546DC"/>
    <w:rsid w:val="00154974"/>
    <w:rsid w:val="00154A47"/>
    <w:rsid w:val="00154E66"/>
    <w:rsid w:val="00155016"/>
    <w:rsid w:val="00155663"/>
    <w:rsid w:val="001557EA"/>
    <w:rsid w:val="00155BC3"/>
    <w:rsid w:val="00155CCC"/>
    <w:rsid w:val="001564F7"/>
    <w:rsid w:val="001569A0"/>
    <w:rsid w:val="00156AF8"/>
    <w:rsid w:val="00156CE9"/>
    <w:rsid w:val="001571FA"/>
    <w:rsid w:val="00157347"/>
    <w:rsid w:val="00157518"/>
    <w:rsid w:val="00157563"/>
    <w:rsid w:val="0015791A"/>
    <w:rsid w:val="00157C73"/>
    <w:rsid w:val="00157E7D"/>
    <w:rsid w:val="0016001B"/>
    <w:rsid w:val="00160179"/>
    <w:rsid w:val="001606DD"/>
    <w:rsid w:val="00160955"/>
    <w:rsid w:val="00160AFD"/>
    <w:rsid w:val="00160BDE"/>
    <w:rsid w:val="00160F73"/>
    <w:rsid w:val="001610C3"/>
    <w:rsid w:val="001610CC"/>
    <w:rsid w:val="00161134"/>
    <w:rsid w:val="0016113F"/>
    <w:rsid w:val="0016115E"/>
    <w:rsid w:val="001611AD"/>
    <w:rsid w:val="001614C1"/>
    <w:rsid w:val="00161512"/>
    <w:rsid w:val="001615FD"/>
    <w:rsid w:val="0016172B"/>
    <w:rsid w:val="001619C6"/>
    <w:rsid w:val="00161B9F"/>
    <w:rsid w:val="00162251"/>
    <w:rsid w:val="00162283"/>
    <w:rsid w:val="0016252E"/>
    <w:rsid w:val="0016263D"/>
    <w:rsid w:val="00162725"/>
    <w:rsid w:val="00162B01"/>
    <w:rsid w:val="00162B4B"/>
    <w:rsid w:val="0016305F"/>
    <w:rsid w:val="00163063"/>
    <w:rsid w:val="00163662"/>
    <w:rsid w:val="00163673"/>
    <w:rsid w:val="0016368D"/>
    <w:rsid w:val="001638E9"/>
    <w:rsid w:val="0016399A"/>
    <w:rsid w:val="00163D3C"/>
    <w:rsid w:val="00164032"/>
    <w:rsid w:val="00164105"/>
    <w:rsid w:val="00164165"/>
    <w:rsid w:val="001641F0"/>
    <w:rsid w:val="0016426A"/>
    <w:rsid w:val="001644BA"/>
    <w:rsid w:val="00164599"/>
    <w:rsid w:val="0016479C"/>
    <w:rsid w:val="00164854"/>
    <w:rsid w:val="00164D11"/>
    <w:rsid w:val="00164E8A"/>
    <w:rsid w:val="00164FC6"/>
    <w:rsid w:val="001650BF"/>
    <w:rsid w:val="00165162"/>
    <w:rsid w:val="001654E4"/>
    <w:rsid w:val="0016566A"/>
    <w:rsid w:val="00165684"/>
    <w:rsid w:val="00165AC4"/>
    <w:rsid w:val="00165BCA"/>
    <w:rsid w:val="00165C94"/>
    <w:rsid w:val="00165D3C"/>
    <w:rsid w:val="00165E3D"/>
    <w:rsid w:val="00165EF5"/>
    <w:rsid w:val="00166358"/>
    <w:rsid w:val="001668E3"/>
    <w:rsid w:val="001668F8"/>
    <w:rsid w:val="00166A45"/>
    <w:rsid w:val="00166B92"/>
    <w:rsid w:val="00166E6F"/>
    <w:rsid w:val="00166E7F"/>
    <w:rsid w:val="00167658"/>
    <w:rsid w:val="00167677"/>
    <w:rsid w:val="001700CC"/>
    <w:rsid w:val="00170555"/>
    <w:rsid w:val="001707FF"/>
    <w:rsid w:val="00170C3B"/>
    <w:rsid w:val="0017123C"/>
    <w:rsid w:val="00171330"/>
    <w:rsid w:val="00171706"/>
    <w:rsid w:val="0017182C"/>
    <w:rsid w:val="0017196D"/>
    <w:rsid w:val="00171D1A"/>
    <w:rsid w:val="0017251F"/>
    <w:rsid w:val="0017252B"/>
    <w:rsid w:val="001725AB"/>
    <w:rsid w:val="0017287A"/>
    <w:rsid w:val="00172942"/>
    <w:rsid w:val="00172A7A"/>
    <w:rsid w:val="00173092"/>
    <w:rsid w:val="0017336F"/>
    <w:rsid w:val="001737F0"/>
    <w:rsid w:val="00173EF1"/>
    <w:rsid w:val="00174173"/>
    <w:rsid w:val="001741DF"/>
    <w:rsid w:val="001744C1"/>
    <w:rsid w:val="0017490E"/>
    <w:rsid w:val="00174EB9"/>
    <w:rsid w:val="001750A9"/>
    <w:rsid w:val="001750F1"/>
    <w:rsid w:val="00175449"/>
    <w:rsid w:val="001754E7"/>
    <w:rsid w:val="0017552F"/>
    <w:rsid w:val="00175604"/>
    <w:rsid w:val="001756AD"/>
    <w:rsid w:val="001759CA"/>
    <w:rsid w:val="00175C26"/>
    <w:rsid w:val="00175C47"/>
    <w:rsid w:val="00175C4F"/>
    <w:rsid w:val="00175DBB"/>
    <w:rsid w:val="00176BE1"/>
    <w:rsid w:val="00177088"/>
    <w:rsid w:val="001770CC"/>
    <w:rsid w:val="00177180"/>
    <w:rsid w:val="001777AF"/>
    <w:rsid w:val="00177E27"/>
    <w:rsid w:val="00177EE4"/>
    <w:rsid w:val="00180313"/>
    <w:rsid w:val="00180316"/>
    <w:rsid w:val="0018042C"/>
    <w:rsid w:val="001805F6"/>
    <w:rsid w:val="0018060C"/>
    <w:rsid w:val="00180683"/>
    <w:rsid w:val="001807CA"/>
    <w:rsid w:val="00180820"/>
    <w:rsid w:val="00180852"/>
    <w:rsid w:val="00180921"/>
    <w:rsid w:val="001813A5"/>
    <w:rsid w:val="001813B9"/>
    <w:rsid w:val="001813EB"/>
    <w:rsid w:val="00181B4A"/>
    <w:rsid w:val="001821ED"/>
    <w:rsid w:val="00182DD7"/>
    <w:rsid w:val="001834F4"/>
    <w:rsid w:val="00183F69"/>
    <w:rsid w:val="00184161"/>
    <w:rsid w:val="0018426B"/>
    <w:rsid w:val="001843E2"/>
    <w:rsid w:val="001847E2"/>
    <w:rsid w:val="001847EE"/>
    <w:rsid w:val="00184A46"/>
    <w:rsid w:val="00184B47"/>
    <w:rsid w:val="00184B83"/>
    <w:rsid w:val="00185103"/>
    <w:rsid w:val="0018555E"/>
    <w:rsid w:val="001855A8"/>
    <w:rsid w:val="001856E4"/>
    <w:rsid w:val="0018577E"/>
    <w:rsid w:val="00185DA6"/>
    <w:rsid w:val="001862C2"/>
    <w:rsid w:val="001868AC"/>
    <w:rsid w:val="00186C49"/>
    <w:rsid w:val="00186EF6"/>
    <w:rsid w:val="0018710B"/>
    <w:rsid w:val="00187133"/>
    <w:rsid w:val="00187317"/>
    <w:rsid w:val="00187642"/>
    <w:rsid w:val="00187D71"/>
    <w:rsid w:val="0019027E"/>
    <w:rsid w:val="001904DC"/>
    <w:rsid w:val="00190C91"/>
    <w:rsid w:val="00190F2A"/>
    <w:rsid w:val="00191029"/>
    <w:rsid w:val="001910D5"/>
    <w:rsid w:val="001913B0"/>
    <w:rsid w:val="001913E0"/>
    <w:rsid w:val="00191886"/>
    <w:rsid w:val="00191921"/>
    <w:rsid w:val="00191E5C"/>
    <w:rsid w:val="00192123"/>
    <w:rsid w:val="00192269"/>
    <w:rsid w:val="00192409"/>
    <w:rsid w:val="00192461"/>
    <w:rsid w:val="00192487"/>
    <w:rsid w:val="00192557"/>
    <w:rsid w:val="00192AA1"/>
    <w:rsid w:val="00192BB3"/>
    <w:rsid w:val="00192F26"/>
    <w:rsid w:val="001930CF"/>
    <w:rsid w:val="0019320D"/>
    <w:rsid w:val="001933E4"/>
    <w:rsid w:val="00193EC4"/>
    <w:rsid w:val="001940AE"/>
    <w:rsid w:val="00194116"/>
    <w:rsid w:val="001943E3"/>
    <w:rsid w:val="00194B11"/>
    <w:rsid w:val="00194E03"/>
    <w:rsid w:val="00194EEC"/>
    <w:rsid w:val="001953C8"/>
    <w:rsid w:val="00195A0A"/>
    <w:rsid w:val="00195ADD"/>
    <w:rsid w:val="00196032"/>
    <w:rsid w:val="001961D3"/>
    <w:rsid w:val="00196346"/>
    <w:rsid w:val="001964CC"/>
    <w:rsid w:val="001966E1"/>
    <w:rsid w:val="00196706"/>
    <w:rsid w:val="00196761"/>
    <w:rsid w:val="00196861"/>
    <w:rsid w:val="00196875"/>
    <w:rsid w:val="001968C5"/>
    <w:rsid w:val="00196C73"/>
    <w:rsid w:val="00196D36"/>
    <w:rsid w:val="00197002"/>
    <w:rsid w:val="0019749B"/>
    <w:rsid w:val="00197888"/>
    <w:rsid w:val="0019791D"/>
    <w:rsid w:val="00197D0D"/>
    <w:rsid w:val="00197DF9"/>
    <w:rsid w:val="00197E60"/>
    <w:rsid w:val="00197F4D"/>
    <w:rsid w:val="001A0335"/>
    <w:rsid w:val="001A0EA0"/>
    <w:rsid w:val="001A1072"/>
    <w:rsid w:val="001A118E"/>
    <w:rsid w:val="001A1A9D"/>
    <w:rsid w:val="001A1FD3"/>
    <w:rsid w:val="001A2255"/>
    <w:rsid w:val="001A247B"/>
    <w:rsid w:val="001A24FA"/>
    <w:rsid w:val="001A2ABA"/>
    <w:rsid w:val="001A2B87"/>
    <w:rsid w:val="001A30F3"/>
    <w:rsid w:val="001A3586"/>
    <w:rsid w:val="001A35BB"/>
    <w:rsid w:val="001A3705"/>
    <w:rsid w:val="001A3B9D"/>
    <w:rsid w:val="001A3C31"/>
    <w:rsid w:val="001A3ECC"/>
    <w:rsid w:val="001A406F"/>
    <w:rsid w:val="001A4421"/>
    <w:rsid w:val="001A46F2"/>
    <w:rsid w:val="001A4B30"/>
    <w:rsid w:val="001A4EF3"/>
    <w:rsid w:val="001A51B9"/>
    <w:rsid w:val="001A5259"/>
    <w:rsid w:val="001A53D0"/>
    <w:rsid w:val="001A541A"/>
    <w:rsid w:val="001A56FE"/>
    <w:rsid w:val="001A5C0A"/>
    <w:rsid w:val="001A5CA7"/>
    <w:rsid w:val="001A653E"/>
    <w:rsid w:val="001A692C"/>
    <w:rsid w:val="001A6CC4"/>
    <w:rsid w:val="001A73AD"/>
    <w:rsid w:val="001A74C0"/>
    <w:rsid w:val="001A7B99"/>
    <w:rsid w:val="001A7CCD"/>
    <w:rsid w:val="001A7EE2"/>
    <w:rsid w:val="001A7F05"/>
    <w:rsid w:val="001B0084"/>
    <w:rsid w:val="001B00B4"/>
    <w:rsid w:val="001B00DE"/>
    <w:rsid w:val="001B0524"/>
    <w:rsid w:val="001B069C"/>
    <w:rsid w:val="001B0BB3"/>
    <w:rsid w:val="001B0DF0"/>
    <w:rsid w:val="001B0EBC"/>
    <w:rsid w:val="001B0EEF"/>
    <w:rsid w:val="001B107B"/>
    <w:rsid w:val="001B108F"/>
    <w:rsid w:val="001B1533"/>
    <w:rsid w:val="001B1617"/>
    <w:rsid w:val="001B1837"/>
    <w:rsid w:val="001B1968"/>
    <w:rsid w:val="001B1BA9"/>
    <w:rsid w:val="001B205B"/>
    <w:rsid w:val="001B2142"/>
    <w:rsid w:val="001B26E7"/>
    <w:rsid w:val="001B26F1"/>
    <w:rsid w:val="001B2F2D"/>
    <w:rsid w:val="001B335C"/>
    <w:rsid w:val="001B344A"/>
    <w:rsid w:val="001B36C4"/>
    <w:rsid w:val="001B3837"/>
    <w:rsid w:val="001B3964"/>
    <w:rsid w:val="001B3A3E"/>
    <w:rsid w:val="001B3AED"/>
    <w:rsid w:val="001B3AF6"/>
    <w:rsid w:val="001B3B84"/>
    <w:rsid w:val="001B3F17"/>
    <w:rsid w:val="001B4B7A"/>
    <w:rsid w:val="001B4CD7"/>
    <w:rsid w:val="001B4FFD"/>
    <w:rsid w:val="001B508B"/>
    <w:rsid w:val="001B5107"/>
    <w:rsid w:val="001B51A2"/>
    <w:rsid w:val="001B5383"/>
    <w:rsid w:val="001B5645"/>
    <w:rsid w:val="001B5AFD"/>
    <w:rsid w:val="001B5F23"/>
    <w:rsid w:val="001B61AE"/>
    <w:rsid w:val="001B626C"/>
    <w:rsid w:val="001B63D3"/>
    <w:rsid w:val="001B63F7"/>
    <w:rsid w:val="001B68D5"/>
    <w:rsid w:val="001B68DD"/>
    <w:rsid w:val="001B6B59"/>
    <w:rsid w:val="001B6BB5"/>
    <w:rsid w:val="001B6DB5"/>
    <w:rsid w:val="001B6F84"/>
    <w:rsid w:val="001B7205"/>
    <w:rsid w:val="001B7408"/>
    <w:rsid w:val="001B761E"/>
    <w:rsid w:val="001B7D08"/>
    <w:rsid w:val="001B7D20"/>
    <w:rsid w:val="001B7F4A"/>
    <w:rsid w:val="001C0304"/>
    <w:rsid w:val="001C035B"/>
    <w:rsid w:val="001C0679"/>
    <w:rsid w:val="001C0766"/>
    <w:rsid w:val="001C087B"/>
    <w:rsid w:val="001C0881"/>
    <w:rsid w:val="001C0A28"/>
    <w:rsid w:val="001C0FD7"/>
    <w:rsid w:val="001C10CA"/>
    <w:rsid w:val="001C133A"/>
    <w:rsid w:val="001C154E"/>
    <w:rsid w:val="001C15D8"/>
    <w:rsid w:val="001C1BA8"/>
    <w:rsid w:val="001C1F68"/>
    <w:rsid w:val="001C218D"/>
    <w:rsid w:val="001C2285"/>
    <w:rsid w:val="001C2512"/>
    <w:rsid w:val="001C2C4C"/>
    <w:rsid w:val="001C2CD0"/>
    <w:rsid w:val="001C2CF6"/>
    <w:rsid w:val="001C2E17"/>
    <w:rsid w:val="001C2E24"/>
    <w:rsid w:val="001C2EA0"/>
    <w:rsid w:val="001C341F"/>
    <w:rsid w:val="001C37C0"/>
    <w:rsid w:val="001C3891"/>
    <w:rsid w:val="001C38B0"/>
    <w:rsid w:val="001C3A95"/>
    <w:rsid w:val="001C3EDE"/>
    <w:rsid w:val="001C3EE0"/>
    <w:rsid w:val="001C41CD"/>
    <w:rsid w:val="001C4210"/>
    <w:rsid w:val="001C4304"/>
    <w:rsid w:val="001C462E"/>
    <w:rsid w:val="001C48D4"/>
    <w:rsid w:val="001C4911"/>
    <w:rsid w:val="001C4B67"/>
    <w:rsid w:val="001C4D07"/>
    <w:rsid w:val="001C562E"/>
    <w:rsid w:val="001C564F"/>
    <w:rsid w:val="001C582B"/>
    <w:rsid w:val="001C5906"/>
    <w:rsid w:val="001C59F2"/>
    <w:rsid w:val="001C5CF2"/>
    <w:rsid w:val="001C5D21"/>
    <w:rsid w:val="001C5DC6"/>
    <w:rsid w:val="001C619A"/>
    <w:rsid w:val="001C646C"/>
    <w:rsid w:val="001C66D3"/>
    <w:rsid w:val="001C6837"/>
    <w:rsid w:val="001C6857"/>
    <w:rsid w:val="001C7068"/>
    <w:rsid w:val="001C71ED"/>
    <w:rsid w:val="001C7658"/>
    <w:rsid w:val="001C7748"/>
    <w:rsid w:val="001C77A5"/>
    <w:rsid w:val="001C78CE"/>
    <w:rsid w:val="001C793F"/>
    <w:rsid w:val="001C7CC9"/>
    <w:rsid w:val="001C7DA5"/>
    <w:rsid w:val="001C7DCE"/>
    <w:rsid w:val="001D010E"/>
    <w:rsid w:val="001D0234"/>
    <w:rsid w:val="001D0290"/>
    <w:rsid w:val="001D0546"/>
    <w:rsid w:val="001D0687"/>
    <w:rsid w:val="001D06EE"/>
    <w:rsid w:val="001D0ACF"/>
    <w:rsid w:val="001D0B93"/>
    <w:rsid w:val="001D0C2A"/>
    <w:rsid w:val="001D0D51"/>
    <w:rsid w:val="001D145A"/>
    <w:rsid w:val="001D148B"/>
    <w:rsid w:val="001D14E1"/>
    <w:rsid w:val="001D1CA7"/>
    <w:rsid w:val="001D1DC0"/>
    <w:rsid w:val="001D20B4"/>
    <w:rsid w:val="001D20EA"/>
    <w:rsid w:val="001D2989"/>
    <w:rsid w:val="001D2B22"/>
    <w:rsid w:val="001D2CD9"/>
    <w:rsid w:val="001D2F64"/>
    <w:rsid w:val="001D36B7"/>
    <w:rsid w:val="001D3874"/>
    <w:rsid w:val="001D38D9"/>
    <w:rsid w:val="001D399F"/>
    <w:rsid w:val="001D3B91"/>
    <w:rsid w:val="001D405A"/>
    <w:rsid w:val="001D473E"/>
    <w:rsid w:val="001D499A"/>
    <w:rsid w:val="001D49B4"/>
    <w:rsid w:val="001D4A0A"/>
    <w:rsid w:val="001D516D"/>
    <w:rsid w:val="001D5383"/>
    <w:rsid w:val="001D5780"/>
    <w:rsid w:val="001D59C5"/>
    <w:rsid w:val="001D5D8A"/>
    <w:rsid w:val="001D6748"/>
    <w:rsid w:val="001D675C"/>
    <w:rsid w:val="001D6BB0"/>
    <w:rsid w:val="001D6E1D"/>
    <w:rsid w:val="001D6FE9"/>
    <w:rsid w:val="001D7092"/>
    <w:rsid w:val="001D7202"/>
    <w:rsid w:val="001D7567"/>
    <w:rsid w:val="001D765B"/>
    <w:rsid w:val="001D76BF"/>
    <w:rsid w:val="001D7B65"/>
    <w:rsid w:val="001E0481"/>
    <w:rsid w:val="001E060F"/>
    <w:rsid w:val="001E0702"/>
    <w:rsid w:val="001E0802"/>
    <w:rsid w:val="001E084E"/>
    <w:rsid w:val="001E0D50"/>
    <w:rsid w:val="001E0F25"/>
    <w:rsid w:val="001E10EF"/>
    <w:rsid w:val="001E1B85"/>
    <w:rsid w:val="001E1D3E"/>
    <w:rsid w:val="001E1DAE"/>
    <w:rsid w:val="001E20CC"/>
    <w:rsid w:val="001E21FA"/>
    <w:rsid w:val="001E2263"/>
    <w:rsid w:val="001E22AE"/>
    <w:rsid w:val="001E27CC"/>
    <w:rsid w:val="001E2C5A"/>
    <w:rsid w:val="001E2F57"/>
    <w:rsid w:val="001E317C"/>
    <w:rsid w:val="001E3318"/>
    <w:rsid w:val="001E3409"/>
    <w:rsid w:val="001E36DA"/>
    <w:rsid w:val="001E37B2"/>
    <w:rsid w:val="001E3A7A"/>
    <w:rsid w:val="001E3DA8"/>
    <w:rsid w:val="001E3F64"/>
    <w:rsid w:val="001E44AA"/>
    <w:rsid w:val="001E48F9"/>
    <w:rsid w:val="001E4B43"/>
    <w:rsid w:val="001E4B6A"/>
    <w:rsid w:val="001E4CFF"/>
    <w:rsid w:val="001E500A"/>
    <w:rsid w:val="001E5304"/>
    <w:rsid w:val="001E5566"/>
    <w:rsid w:val="001E5710"/>
    <w:rsid w:val="001E588D"/>
    <w:rsid w:val="001E6292"/>
    <w:rsid w:val="001E631D"/>
    <w:rsid w:val="001E633A"/>
    <w:rsid w:val="001E6BA7"/>
    <w:rsid w:val="001E6BD8"/>
    <w:rsid w:val="001E6C7D"/>
    <w:rsid w:val="001E6E6E"/>
    <w:rsid w:val="001E6F32"/>
    <w:rsid w:val="001E719B"/>
    <w:rsid w:val="001E71C8"/>
    <w:rsid w:val="001E7253"/>
    <w:rsid w:val="001E7E7B"/>
    <w:rsid w:val="001F0546"/>
    <w:rsid w:val="001F09A6"/>
    <w:rsid w:val="001F0B58"/>
    <w:rsid w:val="001F0C80"/>
    <w:rsid w:val="001F0FF6"/>
    <w:rsid w:val="001F103F"/>
    <w:rsid w:val="001F10DA"/>
    <w:rsid w:val="001F15E8"/>
    <w:rsid w:val="001F192A"/>
    <w:rsid w:val="001F1D8A"/>
    <w:rsid w:val="001F2177"/>
    <w:rsid w:val="001F2679"/>
    <w:rsid w:val="001F2709"/>
    <w:rsid w:val="001F283A"/>
    <w:rsid w:val="001F292D"/>
    <w:rsid w:val="001F3131"/>
    <w:rsid w:val="001F3A62"/>
    <w:rsid w:val="001F3D8F"/>
    <w:rsid w:val="001F3F8C"/>
    <w:rsid w:val="001F416E"/>
    <w:rsid w:val="001F4292"/>
    <w:rsid w:val="001F4701"/>
    <w:rsid w:val="001F478A"/>
    <w:rsid w:val="001F491C"/>
    <w:rsid w:val="001F4A0A"/>
    <w:rsid w:val="001F4CA2"/>
    <w:rsid w:val="001F515E"/>
    <w:rsid w:val="001F523C"/>
    <w:rsid w:val="001F5332"/>
    <w:rsid w:val="001F57D6"/>
    <w:rsid w:val="001F5A5A"/>
    <w:rsid w:val="001F5BBF"/>
    <w:rsid w:val="001F5C03"/>
    <w:rsid w:val="001F5E08"/>
    <w:rsid w:val="001F6084"/>
    <w:rsid w:val="001F60F2"/>
    <w:rsid w:val="001F611D"/>
    <w:rsid w:val="001F6394"/>
    <w:rsid w:val="001F64C0"/>
    <w:rsid w:val="001F6771"/>
    <w:rsid w:val="001F6ED0"/>
    <w:rsid w:val="001F6F43"/>
    <w:rsid w:val="001F70FF"/>
    <w:rsid w:val="001F7507"/>
    <w:rsid w:val="001F760F"/>
    <w:rsid w:val="001F7DA3"/>
    <w:rsid w:val="002003DB"/>
    <w:rsid w:val="00200635"/>
    <w:rsid w:val="0020097F"/>
    <w:rsid w:val="00201310"/>
    <w:rsid w:val="00201512"/>
    <w:rsid w:val="0020152A"/>
    <w:rsid w:val="002017F9"/>
    <w:rsid w:val="00201930"/>
    <w:rsid w:val="00201B57"/>
    <w:rsid w:val="00201BC0"/>
    <w:rsid w:val="00201BC7"/>
    <w:rsid w:val="00201D6A"/>
    <w:rsid w:val="00201E89"/>
    <w:rsid w:val="002020B3"/>
    <w:rsid w:val="002020F9"/>
    <w:rsid w:val="002021E5"/>
    <w:rsid w:val="002023C1"/>
    <w:rsid w:val="00202B6A"/>
    <w:rsid w:val="00202D9F"/>
    <w:rsid w:val="00203051"/>
    <w:rsid w:val="002036DC"/>
    <w:rsid w:val="002037C3"/>
    <w:rsid w:val="0020490A"/>
    <w:rsid w:val="0020490B"/>
    <w:rsid w:val="00204EDB"/>
    <w:rsid w:val="00204FA1"/>
    <w:rsid w:val="00205070"/>
    <w:rsid w:val="00205112"/>
    <w:rsid w:val="00205160"/>
    <w:rsid w:val="002053B1"/>
    <w:rsid w:val="002053B8"/>
    <w:rsid w:val="002057C5"/>
    <w:rsid w:val="0020597A"/>
    <w:rsid w:val="00205AD2"/>
    <w:rsid w:val="00205DEB"/>
    <w:rsid w:val="00205F50"/>
    <w:rsid w:val="0020604C"/>
    <w:rsid w:val="00206289"/>
    <w:rsid w:val="00206397"/>
    <w:rsid w:val="00206599"/>
    <w:rsid w:val="0020667F"/>
    <w:rsid w:val="002066D2"/>
    <w:rsid w:val="002066DD"/>
    <w:rsid w:val="002067B3"/>
    <w:rsid w:val="00206867"/>
    <w:rsid w:val="00206973"/>
    <w:rsid w:val="00206A03"/>
    <w:rsid w:val="00206BDF"/>
    <w:rsid w:val="00206D26"/>
    <w:rsid w:val="00206DC4"/>
    <w:rsid w:val="00206EE0"/>
    <w:rsid w:val="002070C3"/>
    <w:rsid w:val="002071FA"/>
    <w:rsid w:val="002074DD"/>
    <w:rsid w:val="00207ACD"/>
    <w:rsid w:val="00210010"/>
    <w:rsid w:val="00210566"/>
    <w:rsid w:val="00210AE2"/>
    <w:rsid w:val="00210F0C"/>
    <w:rsid w:val="0021115D"/>
    <w:rsid w:val="00211181"/>
    <w:rsid w:val="002112D2"/>
    <w:rsid w:val="0021141A"/>
    <w:rsid w:val="00211431"/>
    <w:rsid w:val="00211774"/>
    <w:rsid w:val="002119F0"/>
    <w:rsid w:val="00211B21"/>
    <w:rsid w:val="00211E12"/>
    <w:rsid w:val="00211EF7"/>
    <w:rsid w:val="00211F21"/>
    <w:rsid w:val="002122B7"/>
    <w:rsid w:val="00212D7D"/>
    <w:rsid w:val="00212DA4"/>
    <w:rsid w:val="00212DC2"/>
    <w:rsid w:val="002130F5"/>
    <w:rsid w:val="00213174"/>
    <w:rsid w:val="002134EB"/>
    <w:rsid w:val="002135BB"/>
    <w:rsid w:val="002135EA"/>
    <w:rsid w:val="0021374B"/>
    <w:rsid w:val="0021395F"/>
    <w:rsid w:val="00213A1E"/>
    <w:rsid w:val="00213BEF"/>
    <w:rsid w:val="00213C82"/>
    <w:rsid w:val="00213CE9"/>
    <w:rsid w:val="00213F2F"/>
    <w:rsid w:val="0021430E"/>
    <w:rsid w:val="00214531"/>
    <w:rsid w:val="0021499C"/>
    <w:rsid w:val="002149FA"/>
    <w:rsid w:val="00214A4F"/>
    <w:rsid w:val="00214BE7"/>
    <w:rsid w:val="00214D3D"/>
    <w:rsid w:val="00214FF5"/>
    <w:rsid w:val="00215186"/>
    <w:rsid w:val="00215598"/>
    <w:rsid w:val="002157B0"/>
    <w:rsid w:val="002158D8"/>
    <w:rsid w:val="00215BF5"/>
    <w:rsid w:val="00215C77"/>
    <w:rsid w:val="00215E45"/>
    <w:rsid w:val="002160D1"/>
    <w:rsid w:val="00216D60"/>
    <w:rsid w:val="00216E6B"/>
    <w:rsid w:val="00216FAD"/>
    <w:rsid w:val="00217039"/>
    <w:rsid w:val="0021731A"/>
    <w:rsid w:val="00217355"/>
    <w:rsid w:val="0021750F"/>
    <w:rsid w:val="00217546"/>
    <w:rsid w:val="002175ED"/>
    <w:rsid w:val="00217828"/>
    <w:rsid w:val="00217856"/>
    <w:rsid w:val="0021787A"/>
    <w:rsid w:val="002178DA"/>
    <w:rsid w:val="00217F89"/>
    <w:rsid w:val="00220112"/>
    <w:rsid w:val="0022023A"/>
    <w:rsid w:val="002205A6"/>
    <w:rsid w:val="002209B3"/>
    <w:rsid w:val="00220A8E"/>
    <w:rsid w:val="00220AA0"/>
    <w:rsid w:val="00220B02"/>
    <w:rsid w:val="00220FB8"/>
    <w:rsid w:val="00221359"/>
    <w:rsid w:val="00221922"/>
    <w:rsid w:val="00221AF5"/>
    <w:rsid w:val="00221EC9"/>
    <w:rsid w:val="00222054"/>
    <w:rsid w:val="00222121"/>
    <w:rsid w:val="00222320"/>
    <w:rsid w:val="00222446"/>
    <w:rsid w:val="00222571"/>
    <w:rsid w:val="00222AEC"/>
    <w:rsid w:val="00222BB0"/>
    <w:rsid w:val="00222BB7"/>
    <w:rsid w:val="00222C79"/>
    <w:rsid w:val="002231D6"/>
    <w:rsid w:val="002232EA"/>
    <w:rsid w:val="00223DE9"/>
    <w:rsid w:val="00223E3F"/>
    <w:rsid w:val="002242C8"/>
    <w:rsid w:val="00224B9F"/>
    <w:rsid w:val="00224EBE"/>
    <w:rsid w:val="00225226"/>
    <w:rsid w:val="0022526B"/>
    <w:rsid w:val="0022532F"/>
    <w:rsid w:val="00225744"/>
    <w:rsid w:val="00225B2A"/>
    <w:rsid w:val="002260EA"/>
    <w:rsid w:val="0022681C"/>
    <w:rsid w:val="0022693C"/>
    <w:rsid w:val="00226DA5"/>
    <w:rsid w:val="002274F7"/>
    <w:rsid w:val="00227732"/>
    <w:rsid w:val="00227A40"/>
    <w:rsid w:val="00230503"/>
    <w:rsid w:val="002305A0"/>
    <w:rsid w:val="00230663"/>
    <w:rsid w:val="00230697"/>
    <w:rsid w:val="00230775"/>
    <w:rsid w:val="002307AE"/>
    <w:rsid w:val="0023090B"/>
    <w:rsid w:val="00230B4B"/>
    <w:rsid w:val="00230F28"/>
    <w:rsid w:val="00230F7E"/>
    <w:rsid w:val="002311A1"/>
    <w:rsid w:val="002312C2"/>
    <w:rsid w:val="00231333"/>
    <w:rsid w:val="00231361"/>
    <w:rsid w:val="00231488"/>
    <w:rsid w:val="002314FE"/>
    <w:rsid w:val="002318E0"/>
    <w:rsid w:val="00231B8A"/>
    <w:rsid w:val="002322E6"/>
    <w:rsid w:val="002322F1"/>
    <w:rsid w:val="002325DC"/>
    <w:rsid w:val="00232B45"/>
    <w:rsid w:val="00232B80"/>
    <w:rsid w:val="00232BAD"/>
    <w:rsid w:val="00232DD8"/>
    <w:rsid w:val="00232F8C"/>
    <w:rsid w:val="00233071"/>
    <w:rsid w:val="00233244"/>
    <w:rsid w:val="0023375B"/>
    <w:rsid w:val="00233D5B"/>
    <w:rsid w:val="00233F24"/>
    <w:rsid w:val="002340A9"/>
    <w:rsid w:val="0023411F"/>
    <w:rsid w:val="0023412A"/>
    <w:rsid w:val="00234209"/>
    <w:rsid w:val="002343D9"/>
    <w:rsid w:val="002344BE"/>
    <w:rsid w:val="00234754"/>
    <w:rsid w:val="00234C97"/>
    <w:rsid w:val="00234CF4"/>
    <w:rsid w:val="00235099"/>
    <w:rsid w:val="0023543C"/>
    <w:rsid w:val="00235833"/>
    <w:rsid w:val="00235877"/>
    <w:rsid w:val="00235985"/>
    <w:rsid w:val="00235A20"/>
    <w:rsid w:val="00235B16"/>
    <w:rsid w:val="00235FC9"/>
    <w:rsid w:val="00236135"/>
    <w:rsid w:val="00236BA9"/>
    <w:rsid w:val="0023709A"/>
    <w:rsid w:val="002374BF"/>
    <w:rsid w:val="00237A80"/>
    <w:rsid w:val="00237B5A"/>
    <w:rsid w:val="00237CE1"/>
    <w:rsid w:val="00240376"/>
    <w:rsid w:val="002406A2"/>
    <w:rsid w:val="00240BA3"/>
    <w:rsid w:val="00240C21"/>
    <w:rsid w:val="00240D15"/>
    <w:rsid w:val="00240E49"/>
    <w:rsid w:val="0024137C"/>
    <w:rsid w:val="002416A5"/>
    <w:rsid w:val="0024176A"/>
    <w:rsid w:val="0024187B"/>
    <w:rsid w:val="00241C5C"/>
    <w:rsid w:val="00241CE9"/>
    <w:rsid w:val="00241D6B"/>
    <w:rsid w:val="00241EFE"/>
    <w:rsid w:val="00241FFD"/>
    <w:rsid w:val="00242021"/>
    <w:rsid w:val="002423C6"/>
    <w:rsid w:val="0024249F"/>
    <w:rsid w:val="00242564"/>
    <w:rsid w:val="002428E4"/>
    <w:rsid w:val="00242941"/>
    <w:rsid w:val="00242C2D"/>
    <w:rsid w:val="00242D58"/>
    <w:rsid w:val="00242F94"/>
    <w:rsid w:val="002437E2"/>
    <w:rsid w:val="00244080"/>
    <w:rsid w:val="002440AB"/>
    <w:rsid w:val="002440F6"/>
    <w:rsid w:val="00244158"/>
    <w:rsid w:val="002441BB"/>
    <w:rsid w:val="002442A4"/>
    <w:rsid w:val="0024432E"/>
    <w:rsid w:val="002443E3"/>
    <w:rsid w:val="00244679"/>
    <w:rsid w:val="002449DD"/>
    <w:rsid w:val="002450A8"/>
    <w:rsid w:val="0024569D"/>
    <w:rsid w:val="00245817"/>
    <w:rsid w:val="00245DE7"/>
    <w:rsid w:val="00245EE5"/>
    <w:rsid w:val="00245F88"/>
    <w:rsid w:val="002466C7"/>
    <w:rsid w:val="002466EB"/>
    <w:rsid w:val="002468F1"/>
    <w:rsid w:val="00246DF1"/>
    <w:rsid w:val="00246ECD"/>
    <w:rsid w:val="00247678"/>
    <w:rsid w:val="00247741"/>
    <w:rsid w:val="0024775C"/>
    <w:rsid w:val="00247890"/>
    <w:rsid w:val="00247CEA"/>
    <w:rsid w:val="00250098"/>
    <w:rsid w:val="002500C2"/>
    <w:rsid w:val="00250616"/>
    <w:rsid w:val="002506F2"/>
    <w:rsid w:val="00250954"/>
    <w:rsid w:val="00250C3E"/>
    <w:rsid w:val="00250CDF"/>
    <w:rsid w:val="00250D6B"/>
    <w:rsid w:val="00250D84"/>
    <w:rsid w:val="00250DF8"/>
    <w:rsid w:val="00251022"/>
    <w:rsid w:val="00251230"/>
    <w:rsid w:val="002512BD"/>
    <w:rsid w:val="00251470"/>
    <w:rsid w:val="002516A5"/>
    <w:rsid w:val="0025185B"/>
    <w:rsid w:val="002519B2"/>
    <w:rsid w:val="00251C70"/>
    <w:rsid w:val="00251CF4"/>
    <w:rsid w:val="00251F25"/>
    <w:rsid w:val="00252059"/>
    <w:rsid w:val="00252173"/>
    <w:rsid w:val="002521AE"/>
    <w:rsid w:val="002521E3"/>
    <w:rsid w:val="00252263"/>
    <w:rsid w:val="0025238F"/>
    <w:rsid w:val="00252397"/>
    <w:rsid w:val="002525C9"/>
    <w:rsid w:val="00252647"/>
    <w:rsid w:val="002526B4"/>
    <w:rsid w:val="00252BCA"/>
    <w:rsid w:val="00252EA9"/>
    <w:rsid w:val="00252F6B"/>
    <w:rsid w:val="00252FFD"/>
    <w:rsid w:val="0025317E"/>
    <w:rsid w:val="00253188"/>
    <w:rsid w:val="002531F7"/>
    <w:rsid w:val="00253349"/>
    <w:rsid w:val="00253796"/>
    <w:rsid w:val="0025398F"/>
    <w:rsid w:val="00253C27"/>
    <w:rsid w:val="00253C8B"/>
    <w:rsid w:val="00253D13"/>
    <w:rsid w:val="002544F6"/>
    <w:rsid w:val="00254709"/>
    <w:rsid w:val="0025477A"/>
    <w:rsid w:val="0025494D"/>
    <w:rsid w:val="00254AD3"/>
    <w:rsid w:val="00254CBB"/>
    <w:rsid w:val="00254CC9"/>
    <w:rsid w:val="002551DC"/>
    <w:rsid w:val="0025564D"/>
    <w:rsid w:val="002557D0"/>
    <w:rsid w:val="002557E0"/>
    <w:rsid w:val="00255817"/>
    <w:rsid w:val="002560BC"/>
    <w:rsid w:val="002565DB"/>
    <w:rsid w:val="002567D0"/>
    <w:rsid w:val="00256C9F"/>
    <w:rsid w:val="00256DEF"/>
    <w:rsid w:val="002570DC"/>
    <w:rsid w:val="00257186"/>
    <w:rsid w:val="00257442"/>
    <w:rsid w:val="002574AE"/>
    <w:rsid w:val="00257731"/>
    <w:rsid w:val="002579C4"/>
    <w:rsid w:val="00257A51"/>
    <w:rsid w:val="00257CDD"/>
    <w:rsid w:val="00257D5A"/>
    <w:rsid w:val="002602DB"/>
    <w:rsid w:val="002603B7"/>
    <w:rsid w:val="00260514"/>
    <w:rsid w:val="00260AAF"/>
    <w:rsid w:val="00260B83"/>
    <w:rsid w:val="00260E05"/>
    <w:rsid w:val="0026111D"/>
    <w:rsid w:val="00261151"/>
    <w:rsid w:val="0026135C"/>
    <w:rsid w:val="00261520"/>
    <w:rsid w:val="00261AD8"/>
    <w:rsid w:val="00261BE1"/>
    <w:rsid w:val="00261D5F"/>
    <w:rsid w:val="0026212F"/>
    <w:rsid w:val="00262138"/>
    <w:rsid w:val="00262181"/>
    <w:rsid w:val="00262587"/>
    <w:rsid w:val="00262805"/>
    <w:rsid w:val="002629CA"/>
    <w:rsid w:val="00262A85"/>
    <w:rsid w:val="00262A8D"/>
    <w:rsid w:val="00262D04"/>
    <w:rsid w:val="00262D1C"/>
    <w:rsid w:val="00262F19"/>
    <w:rsid w:val="00263116"/>
    <w:rsid w:val="00263205"/>
    <w:rsid w:val="002638B9"/>
    <w:rsid w:val="00263A8C"/>
    <w:rsid w:val="00263F33"/>
    <w:rsid w:val="00263F34"/>
    <w:rsid w:val="00264146"/>
    <w:rsid w:val="002642B6"/>
    <w:rsid w:val="0026440E"/>
    <w:rsid w:val="0026445C"/>
    <w:rsid w:val="00264495"/>
    <w:rsid w:val="002646EF"/>
    <w:rsid w:val="00264B5D"/>
    <w:rsid w:val="00264C02"/>
    <w:rsid w:val="00264DD0"/>
    <w:rsid w:val="00265181"/>
    <w:rsid w:val="0026534E"/>
    <w:rsid w:val="002654BE"/>
    <w:rsid w:val="002655F2"/>
    <w:rsid w:val="0026563A"/>
    <w:rsid w:val="0026577E"/>
    <w:rsid w:val="00265D68"/>
    <w:rsid w:val="00266213"/>
    <w:rsid w:val="0026651D"/>
    <w:rsid w:val="00266A2D"/>
    <w:rsid w:val="00266A8C"/>
    <w:rsid w:val="00266CF0"/>
    <w:rsid w:val="00267096"/>
    <w:rsid w:val="00267137"/>
    <w:rsid w:val="0026743A"/>
    <w:rsid w:val="00267665"/>
    <w:rsid w:val="0026772E"/>
    <w:rsid w:val="0027038E"/>
    <w:rsid w:val="00270451"/>
    <w:rsid w:val="002709D4"/>
    <w:rsid w:val="00270A85"/>
    <w:rsid w:val="00270D62"/>
    <w:rsid w:val="00270E35"/>
    <w:rsid w:val="00271A8F"/>
    <w:rsid w:val="00271EA8"/>
    <w:rsid w:val="0027242A"/>
    <w:rsid w:val="00272A45"/>
    <w:rsid w:val="00272D6E"/>
    <w:rsid w:val="00273153"/>
    <w:rsid w:val="0027350D"/>
    <w:rsid w:val="0027384B"/>
    <w:rsid w:val="00273862"/>
    <w:rsid w:val="002738F8"/>
    <w:rsid w:val="00273CB2"/>
    <w:rsid w:val="00273CFF"/>
    <w:rsid w:val="00273D66"/>
    <w:rsid w:val="00273F42"/>
    <w:rsid w:val="00273FDD"/>
    <w:rsid w:val="00274158"/>
    <w:rsid w:val="002741D0"/>
    <w:rsid w:val="0027421A"/>
    <w:rsid w:val="00274651"/>
    <w:rsid w:val="00274B46"/>
    <w:rsid w:val="00274D43"/>
    <w:rsid w:val="00274DF0"/>
    <w:rsid w:val="002752FB"/>
    <w:rsid w:val="00275955"/>
    <w:rsid w:val="00275DDA"/>
    <w:rsid w:val="00275E94"/>
    <w:rsid w:val="00275FCB"/>
    <w:rsid w:val="0027616B"/>
    <w:rsid w:val="002766D7"/>
    <w:rsid w:val="002768BA"/>
    <w:rsid w:val="00276B96"/>
    <w:rsid w:val="00276C9F"/>
    <w:rsid w:val="00277013"/>
    <w:rsid w:val="0027718E"/>
    <w:rsid w:val="00277212"/>
    <w:rsid w:val="0027726F"/>
    <w:rsid w:val="00277C29"/>
    <w:rsid w:val="00277DC7"/>
    <w:rsid w:val="00277E8E"/>
    <w:rsid w:val="00280030"/>
    <w:rsid w:val="00280A8C"/>
    <w:rsid w:val="00280A98"/>
    <w:rsid w:val="00280BBB"/>
    <w:rsid w:val="00280F6A"/>
    <w:rsid w:val="002810C3"/>
    <w:rsid w:val="0028157A"/>
    <w:rsid w:val="002816CB"/>
    <w:rsid w:val="00281711"/>
    <w:rsid w:val="00281A71"/>
    <w:rsid w:val="00281ABA"/>
    <w:rsid w:val="002825C9"/>
    <w:rsid w:val="002825F2"/>
    <w:rsid w:val="00282882"/>
    <w:rsid w:val="00282893"/>
    <w:rsid w:val="00282977"/>
    <w:rsid w:val="00282AA1"/>
    <w:rsid w:val="00282B0C"/>
    <w:rsid w:val="00282F6A"/>
    <w:rsid w:val="00283495"/>
    <w:rsid w:val="002837A7"/>
    <w:rsid w:val="00283A03"/>
    <w:rsid w:val="00284299"/>
    <w:rsid w:val="00284B37"/>
    <w:rsid w:val="00284BE4"/>
    <w:rsid w:val="00284E67"/>
    <w:rsid w:val="00284F4E"/>
    <w:rsid w:val="00284F56"/>
    <w:rsid w:val="00285132"/>
    <w:rsid w:val="002852AF"/>
    <w:rsid w:val="002853C1"/>
    <w:rsid w:val="002857FC"/>
    <w:rsid w:val="00285C86"/>
    <w:rsid w:val="00285CD9"/>
    <w:rsid w:val="00285CE8"/>
    <w:rsid w:val="00285F8E"/>
    <w:rsid w:val="0028694D"/>
    <w:rsid w:val="00286ADD"/>
    <w:rsid w:val="00286C79"/>
    <w:rsid w:val="00286DB5"/>
    <w:rsid w:val="00286E40"/>
    <w:rsid w:val="00286ED0"/>
    <w:rsid w:val="002872C6"/>
    <w:rsid w:val="0028750C"/>
    <w:rsid w:val="0028760E"/>
    <w:rsid w:val="00287664"/>
    <w:rsid w:val="00287704"/>
    <w:rsid w:val="002877A0"/>
    <w:rsid w:val="00287903"/>
    <w:rsid w:val="00287E2F"/>
    <w:rsid w:val="00287E32"/>
    <w:rsid w:val="00287FA6"/>
    <w:rsid w:val="002901B4"/>
    <w:rsid w:val="002903BD"/>
    <w:rsid w:val="00290918"/>
    <w:rsid w:val="00290976"/>
    <w:rsid w:val="00290B78"/>
    <w:rsid w:val="00290BB4"/>
    <w:rsid w:val="00290D79"/>
    <w:rsid w:val="00290F3B"/>
    <w:rsid w:val="00291769"/>
    <w:rsid w:val="00291799"/>
    <w:rsid w:val="00291ABE"/>
    <w:rsid w:val="00291B04"/>
    <w:rsid w:val="00291D85"/>
    <w:rsid w:val="00292046"/>
    <w:rsid w:val="00292067"/>
    <w:rsid w:val="002920EE"/>
    <w:rsid w:val="002921B6"/>
    <w:rsid w:val="00292287"/>
    <w:rsid w:val="00292521"/>
    <w:rsid w:val="00292582"/>
    <w:rsid w:val="002929C7"/>
    <w:rsid w:val="00292CAE"/>
    <w:rsid w:val="00292D2A"/>
    <w:rsid w:val="00292DB7"/>
    <w:rsid w:val="00293130"/>
    <w:rsid w:val="00293328"/>
    <w:rsid w:val="002934F0"/>
    <w:rsid w:val="00293722"/>
    <w:rsid w:val="002937E8"/>
    <w:rsid w:val="0029396B"/>
    <w:rsid w:val="00293A81"/>
    <w:rsid w:val="00293F31"/>
    <w:rsid w:val="00293FEA"/>
    <w:rsid w:val="00294150"/>
    <w:rsid w:val="002941FB"/>
    <w:rsid w:val="0029432C"/>
    <w:rsid w:val="002945E6"/>
    <w:rsid w:val="002950EB"/>
    <w:rsid w:val="002957CA"/>
    <w:rsid w:val="00295ACE"/>
    <w:rsid w:val="00295C6D"/>
    <w:rsid w:val="00295E51"/>
    <w:rsid w:val="0029634F"/>
    <w:rsid w:val="00296469"/>
    <w:rsid w:val="002964EB"/>
    <w:rsid w:val="00296756"/>
    <w:rsid w:val="00296A55"/>
    <w:rsid w:val="00296B16"/>
    <w:rsid w:val="00296F6F"/>
    <w:rsid w:val="0029705B"/>
    <w:rsid w:val="00297116"/>
    <w:rsid w:val="00297857"/>
    <w:rsid w:val="002978A3"/>
    <w:rsid w:val="002978DE"/>
    <w:rsid w:val="00297C59"/>
    <w:rsid w:val="002A0492"/>
    <w:rsid w:val="002A0533"/>
    <w:rsid w:val="002A083B"/>
    <w:rsid w:val="002A088D"/>
    <w:rsid w:val="002A0F22"/>
    <w:rsid w:val="002A0F49"/>
    <w:rsid w:val="002A0FC3"/>
    <w:rsid w:val="002A1217"/>
    <w:rsid w:val="002A12E2"/>
    <w:rsid w:val="002A163E"/>
    <w:rsid w:val="002A179F"/>
    <w:rsid w:val="002A18FE"/>
    <w:rsid w:val="002A19C6"/>
    <w:rsid w:val="002A3179"/>
    <w:rsid w:val="002A3DB9"/>
    <w:rsid w:val="002A4075"/>
    <w:rsid w:val="002A4439"/>
    <w:rsid w:val="002A4A9F"/>
    <w:rsid w:val="002A4BC1"/>
    <w:rsid w:val="002A4BD5"/>
    <w:rsid w:val="002A4F73"/>
    <w:rsid w:val="002A4FB5"/>
    <w:rsid w:val="002A51CF"/>
    <w:rsid w:val="002A5472"/>
    <w:rsid w:val="002A5747"/>
    <w:rsid w:val="002A5AA9"/>
    <w:rsid w:val="002A5F5E"/>
    <w:rsid w:val="002A5F71"/>
    <w:rsid w:val="002A5FBD"/>
    <w:rsid w:val="002A65BB"/>
    <w:rsid w:val="002A6B51"/>
    <w:rsid w:val="002A7329"/>
    <w:rsid w:val="002A7346"/>
    <w:rsid w:val="002A74C3"/>
    <w:rsid w:val="002A7A15"/>
    <w:rsid w:val="002A7B69"/>
    <w:rsid w:val="002A7CC4"/>
    <w:rsid w:val="002B09E4"/>
    <w:rsid w:val="002B0D65"/>
    <w:rsid w:val="002B1466"/>
    <w:rsid w:val="002B1935"/>
    <w:rsid w:val="002B21D6"/>
    <w:rsid w:val="002B236B"/>
    <w:rsid w:val="002B2462"/>
    <w:rsid w:val="002B26AA"/>
    <w:rsid w:val="002B2742"/>
    <w:rsid w:val="002B2761"/>
    <w:rsid w:val="002B2A7D"/>
    <w:rsid w:val="002B2B6B"/>
    <w:rsid w:val="002B2C6A"/>
    <w:rsid w:val="002B2D17"/>
    <w:rsid w:val="002B2ED5"/>
    <w:rsid w:val="002B31D1"/>
    <w:rsid w:val="002B399A"/>
    <w:rsid w:val="002B41CD"/>
    <w:rsid w:val="002B4373"/>
    <w:rsid w:val="002B49BF"/>
    <w:rsid w:val="002B49C3"/>
    <w:rsid w:val="002B4AB8"/>
    <w:rsid w:val="002B4E82"/>
    <w:rsid w:val="002B52FB"/>
    <w:rsid w:val="002B5A5D"/>
    <w:rsid w:val="002B5A71"/>
    <w:rsid w:val="002B5DEC"/>
    <w:rsid w:val="002B6182"/>
    <w:rsid w:val="002B6235"/>
    <w:rsid w:val="002B6464"/>
    <w:rsid w:val="002B6496"/>
    <w:rsid w:val="002B6594"/>
    <w:rsid w:val="002B6645"/>
    <w:rsid w:val="002B6877"/>
    <w:rsid w:val="002B6A71"/>
    <w:rsid w:val="002B6AE9"/>
    <w:rsid w:val="002B6B37"/>
    <w:rsid w:val="002B7266"/>
    <w:rsid w:val="002B7833"/>
    <w:rsid w:val="002B7CC5"/>
    <w:rsid w:val="002B7EA9"/>
    <w:rsid w:val="002B7F1A"/>
    <w:rsid w:val="002C0046"/>
    <w:rsid w:val="002C0179"/>
    <w:rsid w:val="002C051C"/>
    <w:rsid w:val="002C0678"/>
    <w:rsid w:val="002C0B96"/>
    <w:rsid w:val="002C0BDC"/>
    <w:rsid w:val="002C0C58"/>
    <w:rsid w:val="002C0E88"/>
    <w:rsid w:val="002C10E5"/>
    <w:rsid w:val="002C1232"/>
    <w:rsid w:val="002C1454"/>
    <w:rsid w:val="002C18BC"/>
    <w:rsid w:val="002C1A3F"/>
    <w:rsid w:val="002C1D1D"/>
    <w:rsid w:val="002C1D81"/>
    <w:rsid w:val="002C1EF3"/>
    <w:rsid w:val="002C20C8"/>
    <w:rsid w:val="002C2162"/>
    <w:rsid w:val="002C2375"/>
    <w:rsid w:val="002C272F"/>
    <w:rsid w:val="002C2C7A"/>
    <w:rsid w:val="002C302E"/>
    <w:rsid w:val="002C3D69"/>
    <w:rsid w:val="002C3E03"/>
    <w:rsid w:val="002C44D4"/>
    <w:rsid w:val="002C45E4"/>
    <w:rsid w:val="002C4605"/>
    <w:rsid w:val="002C48C7"/>
    <w:rsid w:val="002C4A29"/>
    <w:rsid w:val="002C4A37"/>
    <w:rsid w:val="002C4AE0"/>
    <w:rsid w:val="002C4C02"/>
    <w:rsid w:val="002C4E7D"/>
    <w:rsid w:val="002C55E9"/>
    <w:rsid w:val="002C5701"/>
    <w:rsid w:val="002C5A06"/>
    <w:rsid w:val="002C5DB7"/>
    <w:rsid w:val="002C60F4"/>
    <w:rsid w:val="002C646E"/>
    <w:rsid w:val="002C6624"/>
    <w:rsid w:val="002C662F"/>
    <w:rsid w:val="002C66F7"/>
    <w:rsid w:val="002C6779"/>
    <w:rsid w:val="002C68A1"/>
    <w:rsid w:val="002C6A51"/>
    <w:rsid w:val="002C6B41"/>
    <w:rsid w:val="002C6D4E"/>
    <w:rsid w:val="002C70A9"/>
    <w:rsid w:val="002C753D"/>
    <w:rsid w:val="002C789F"/>
    <w:rsid w:val="002C7D7F"/>
    <w:rsid w:val="002C7F02"/>
    <w:rsid w:val="002D00DB"/>
    <w:rsid w:val="002D0302"/>
    <w:rsid w:val="002D0634"/>
    <w:rsid w:val="002D0635"/>
    <w:rsid w:val="002D0BFC"/>
    <w:rsid w:val="002D1361"/>
    <w:rsid w:val="002D153E"/>
    <w:rsid w:val="002D158A"/>
    <w:rsid w:val="002D17EA"/>
    <w:rsid w:val="002D1ECF"/>
    <w:rsid w:val="002D2A77"/>
    <w:rsid w:val="002D2B75"/>
    <w:rsid w:val="002D30FB"/>
    <w:rsid w:val="002D33C7"/>
    <w:rsid w:val="002D345C"/>
    <w:rsid w:val="002D3574"/>
    <w:rsid w:val="002D385A"/>
    <w:rsid w:val="002D3FC8"/>
    <w:rsid w:val="002D42E9"/>
    <w:rsid w:val="002D4340"/>
    <w:rsid w:val="002D4AB1"/>
    <w:rsid w:val="002D4E1A"/>
    <w:rsid w:val="002D4E2E"/>
    <w:rsid w:val="002D539C"/>
    <w:rsid w:val="002D57E9"/>
    <w:rsid w:val="002D5D30"/>
    <w:rsid w:val="002D6A2C"/>
    <w:rsid w:val="002D6A74"/>
    <w:rsid w:val="002D6C33"/>
    <w:rsid w:val="002D6CDA"/>
    <w:rsid w:val="002D7074"/>
    <w:rsid w:val="002D724E"/>
    <w:rsid w:val="002D759E"/>
    <w:rsid w:val="002D7C6E"/>
    <w:rsid w:val="002D7D02"/>
    <w:rsid w:val="002D7D84"/>
    <w:rsid w:val="002D7E78"/>
    <w:rsid w:val="002D7F49"/>
    <w:rsid w:val="002E00B0"/>
    <w:rsid w:val="002E026D"/>
    <w:rsid w:val="002E06E4"/>
    <w:rsid w:val="002E0B0D"/>
    <w:rsid w:val="002E1064"/>
    <w:rsid w:val="002E117D"/>
    <w:rsid w:val="002E136D"/>
    <w:rsid w:val="002E15A1"/>
    <w:rsid w:val="002E15D2"/>
    <w:rsid w:val="002E1838"/>
    <w:rsid w:val="002E18E4"/>
    <w:rsid w:val="002E1CB2"/>
    <w:rsid w:val="002E1DE4"/>
    <w:rsid w:val="002E1E39"/>
    <w:rsid w:val="002E2467"/>
    <w:rsid w:val="002E2869"/>
    <w:rsid w:val="002E2B34"/>
    <w:rsid w:val="002E2CD7"/>
    <w:rsid w:val="002E2DF8"/>
    <w:rsid w:val="002E2EAE"/>
    <w:rsid w:val="002E315A"/>
    <w:rsid w:val="002E3778"/>
    <w:rsid w:val="002E3838"/>
    <w:rsid w:val="002E394B"/>
    <w:rsid w:val="002E3B3D"/>
    <w:rsid w:val="002E3E60"/>
    <w:rsid w:val="002E4384"/>
    <w:rsid w:val="002E44F5"/>
    <w:rsid w:val="002E455F"/>
    <w:rsid w:val="002E48B6"/>
    <w:rsid w:val="002E4C97"/>
    <w:rsid w:val="002E4CC2"/>
    <w:rsid w:val="002E512D"/>
    <w:rsid w:val="002E513B"/>
    <w:rsid w:val="002E54F1"/>
    <w:rsid w:val="002E59F1"/>
    <w:rsid w:val="002E5C79"/>
    <w:rsid w:val="002E5DDA"/>
    <w:rsid w:val="002E5FCC"/>
    <w:rsid w:val="002E618B"/>
    <w:rsid w:val="002E66CB"/>
    <w:rsid w:val="002E6E6B"/>
    <w:rsid w:val="002E7878"/>
    <w:rsid w:val="002E7962"/>
    <w:rsid w:val="002E7A62"/>
    <w:rsid w:val="002E7BB3"/>
    <w:rsid w:val="002E7BC3"/>
    <w:rsid w:val="002E7EBD"/>
    <w:rsid w:val="002E7FAA"/>
    <w:rsid w:val="002E7FEE"/>
    <w:rsid w:val="002F0095"/>
    <w:rsid w:val="002F0486"/>
    <w:rsid w:val="002F05E3"/>
    <w:rsid w:val="002F0BA9"/>
    <w:rsid w:val="002F0BBE"/>
    <w:rsid w:val="002F0C34"/>
    <w:rsid w:val="002F0C5E"/>
    <w:rsid w:val="002F0E6A"/>
    <w:rsid w:val="002F0F47"/>
    <w:rsid w:val="002F0F86"/>
    <w:rsid w:val="002F11BA"/>
    <w:rsid w:val="002F1227"/>
    <w:rsid w:val="002F1355"/>
    <w:rsid w:val="002F148A"/>
    <w:rsid w:val="002F159C"/>
    <w:rsid w:val="002F17F3"/>
    <w:rsid w:val="002F1845"/>
    <w:rsid w:val="002F1944"/>
    <w:rsid w:val="002F1C99"/>
    <w:rsid w:val="002F1D0C"/>
    <w:rsid w:val="002F1E50"/>
    <w:rsid w:val="002F217D"/>
    <w:rsid w:val="002F3034"/>
    <w:rsid w:val="002F31DB"/>
    <w:rsid w:val="002F32B7"/>
    <w:rsid w:val="002F36B6"/>
    <w:rsid w:val="002F3B21"/>
    <w:rsid w:val="002F3B88"/>
    <w:rsid w:val="002F3DBA"/>
    <w:rsid w:val="002F3EDE"/>
    <w:rsid w:val="002F425A"/>
    <w:rsid w:val="002F4368"/>
    <w:rsid w:val="002F47F2"/>
    <w:rsid w:val="002F4A88"/>
    <w:rsid w:val="002F4ED8"/>
    <w:rsid w:val="002F55E9"/>
    <w:rsid w:val="002F57C7"/>
    <w:rsid w:val="002F5801"/>
    <w:rsid w:val="002F586C"/>
    <w:rsid w:val="002F58B8"/>
    <w:rsid w:val="002F62A0"/>
    <w:rsid w:val="002F63E9"/>
    <w:rsid w:val="002F6413"/>
    <w:rsid w:val="002F6468"/>
    <w:rsid w:val="002F6BCF"/>
    <w:rsid w:val="002F6CD5"/>
    <w:rsid w:val="002F6E15"/>
    <w:rsid w:val="002F6FA0"/>
    <w:rsid w:val="002F6FC7"/>
    <w:rsid w:val="002F6FCF"/>
    <w:rsid w:val="002F700C"/>
    <w:rsid w:val="002F739A"/>
    <w:rsid w:val="002F74BF"/>
    <w:rsid w:val="002F74D1"/>
    <w:rsid w:val="002F74E7"/>
    <w:rsid w:val="002F763C"/>
    <w:rsid w:val="002F78C0"/>
    <w:rsid w:val="002F7AC1"/>
    <w:rsid w:val="002F7B12"/>
    <w:rsid w:val="002F7B6A"/>
    <w:rsid w:val="002F7B70"/>
    <w:rsid w:val="002F7E65"/>
    <w:rsid w:val="002F7EEB"/>
    <w:rsid w:val="00300056"/>
    <w:rsid w:val="003000FD"/>
    <w:rsid w:val="003005D0"/>
    <w:rsid w:val="003005DC"/>
    <w:rsid w:val="0030070E"/>
    <w:rsid w:val="00300AB9"/>
    <w:rsid w:val="00300B34"/>
    <w:rsid w:val="00300B61"/>
    <w:rsid w:val="003014E6"/>
    <w:rsid w:val="0030162C"/>
    <w:rsid w:val="00301A9D"/>
    <w:rsid w:val="00301B45"/>
    <w:rsid w:val="00301CE1"/>
    <w:rsid w:val="00301E0B"/>
    <w:rsid w:val="003023BB"/>
    <w:rsid w:val="00302690"/>
    <w:rsid w:val="003027B7"/>
    <w:rsid w:val="00302817"/>
    <w:rsid w:val="00302961"/>
    <w:rsid w:val="00302A05"/>
    <w:rsid w:val="00302BA4"/>
    <w:rsid w:val="00302C22"/>
    <w:rsid w:val="00302D88"/>
    <w:rsid w:val="00303070"/>
    <w:rsid w:val="0030338F"/>
    <w:rsid w:val="00303423"/>
    <w:rsid w:val="003036D1"/>
    <w:rsid w:val="003037BB"/>
    <w:rsid w:val="00303E2D"/>
    <w:rsid w:val="00304101"/>
    <w:rsid w:val="0030427D"/>
    <w:rsid w:val="00304E8D"/>
    <w:rsid w:val="00305021"/>
    <w:rsid w:val="0030511D"/>
    <w:rsid w:val="0030513A"/>
    <w:rsid w:val="00305501"/>
    <w:rsid w:val="0030561C"/>
    <w:rsid w:val="003057BD"/>
    <w:rsid w:val="003058F7"/>
    <w:rsid w:val="00306440"/>
    <w:rsid w:val="00306448"/>
    <w:rsid w:val="00306A95"/>
    <w:rsid w:val="00306AC1"/>
    <w:rsid w:val="00306AE7"/>
    <w:rsid w:val="00306FEF"/>
    <w:rsid w:val="00307059"/>
    <w:rsid w:val="00307390"/>
    <w:rsid w:val="00307CED"/>
    <w:rsid w:val="003105B2"/>
    <w:rsid w:val="003109BB"/>
    <w:rsid w:val="00310A24"/>
    <w:rsid w:val="00310A44"/>
    <w:rsid w:val="00310DCF"/>
    <w:rsid w:val="00310EE1"/>
    <w:rsid w:val="00311352"/>
    <w:rsid w:val="00311607"/>
    <w:rsid w:val="00311C05"/>
    <w:rsid w:val="00311E93"/>
    <w:rsid w:val="00312633"/>
    <w:rsid w:val="00312D75"/>
    <w:rsid w:val="00312FC3"/>
    <w:rsid w:val="00313043"/>
    <w:rsid w:val="003136B9"/>
    <w:rsid w:val="003137E4"/>
    <w:rsid w:val="00313B33"/>
    <w:rsid w:val="00313D4E"/>
    <w:rsid w:val="00313DEE"/>
    <w:rsid w:val="00313FE9"/>
    <w:rsid w:val="00314196"/>
    <w:rsid w:val="003142CA"/>
    <w:rsid w:val="00314BE5"/>
    <w:rsid w:val="00314BEA"/>
    <w:rsid w:val="00314E7D"/>
    <w:rsid w:val="00314F3E"/>
    <w:rsid w:val="003155BB"/>
    <w:rsid w:val="00315884"/>
    <w:rsid w:val="00315AFB"/>
    <w:rsid w:val="0031612D"/>
    <w:rsid w:val="003163BE"/>
    <w:rsid w:val="00316489"/>
    <w:rsid w:val="00316493"/>
    <w:rsid w:val="00316770"/>
    <w:rsid w:val="00316A52"/>
    <w:rsid w:val="00317011"/>
    <w:rsid w:val="003170E8"/>
    <w:rsid w:val="003170F7"/>
    <w:rsid w:val="003171AF"/>
    <w:rsid w:val="00317624"/>
    <w:rsid w:val="003177A7"/>
    <w:rsid w:val="00317820"/>
    <w:rsid w:val="00317904"/>
    <w:rsid w:val="00317957"/>
    <w:rsid w:val="003179E8"/>
    <w:rsid w:val="00317B86"/>
    <w:rsid w:val="00317CD9"/>
    <w:rsid w:val="00317EF4"/>
    <w:rsid w:val="003200FB"/>
    <w:rsid w:val="00320103"/>
    <w:rsid w:val="003202C5"/>
    <w:rsid w:val="00320420"/>
    <w:rsid w:val="00320812"/>
    <w:rsid w:val="00320915"/>
    <w:rsid w:val="00320F97"/>
    <w:rsid w:val="003211D3"/>
    <w:rsid w:val="003218EC"/>
    <w:rsid w:val="00321BD8"/>
    <w:rsid w:val="00321D3E"/>
    <w:rsid w:val="00321E45"/>
    <w:rsid w:val="00321E83"/>
    <w:rsid w:val="00321EF1"/>
    <w:rsid w:val="003223B1"/>
    <w:rsid w:val="003224FB"/>
    <w:rsid w:val="00322692"/>
    <w:rsid w:val="003226E9"/>
    <w:rsid w:val="0032297D"/>
    <w:rsid w:val="00322A3A"/>
    <w:rsid w:val="00322C83"/>
    <w:rsid w:val="00322D06"/>
    <w:rsid w:val="003231D5"/>
    <w:rsid w:val="0032378B"/>
    <w:rsid w:val="00323B11"/>
    <w:rsid w:val="00323C12"/>
    <w:rsid w:val="0032412E"/>
    <w:rsid w:val="00324346"/>
    <w:rsid w:val="00324791"/>
    <w:rsid w:val="003247FE"/>
    <w:rsid w:val="00324BB8"/>
    <w:rsid w:val="00324CA0"/>
    <w:rsid w:val="00325078"/>
    <w:rsid w:val="00325099"/>
    <w:rsid w:val="003250FD"/>
    <w:rsid w:val="00325876"/>
    <w:rsid w:val="00325A5B"/>
    <w:rsid w:val="00325E69"/>
    <w:rsid w:val="0032670C"/>
    <w:rsid w:val="003267A3"/>
    <w:rsid w:val="003268C3"/>
    <w:rsid w:val="00326DD1"/>
    <w:rsid w:val="00327019"/>
    <w:rsid w:val="00327176"/>
    <w:rsid w:val="00327252"/>
    <w:rsid w:val="003274DC"/>
    <w:rsid w:val="0032769D"/>
    <w:rsid w:val="003276B4"/>
    <w:rsid w:val="0032776A"/>
    <w:rsid w:val="003300AF"/>
    <w:rsid w:val="00330239"/>
    <w:rsid w:val="00330810"/>
    <w:rsid w:val="003308DC"/>
    <w:rsid w:val="00330CED"/>
    <w:rsid w:val="00330EA9"/>
    <w:rsid w:val="00330EAC"/>
    <w:rsid w:val="00330FFC"/>
    <w:rsid w:val="003313CD"/>
    <w:rsid w:val="00331BA2"/>
    <w:rsid w:val="00331CA0"/>
    <w:rsid w:val="00331E85"/>
    <w:rsid w:val="003323A4"/>
    <w:rsid w:val="003327C9"/>
    <w:rsid w:val="00332827"/>
    <w:rsid w:val="00332989"/>
    <w:rsid w:val="00332A26"/>
    <w:rsid w:val="00332D88"/>
    <w:rsid w:val="00332F04"/>
    <w:rsid w:val="00332F63"/>
    <w:rsid w:val="003331C0"/>
    <w:rsid w:val="003337EA"/>
    <w:rsid w:val="00333887"/>
    <w:rsid w:val="00333B6B"/>
    <w:rsid w:val="00333E94"/>
    <w:rsid w:val="003342C9"/>
    <w:rsid w:val="00334A14"/>
    <w:rsid w:val="00334CCF"/>
    <w:rsid w:val="0033502A"/>
    <w:rsid w:val="003353F5"/>
    <w:rsid w:val="003355E7"/>
    <w:rsid w:val="00335689"/>
    <w:rsid w:val="0033597A"/>
    <w:rsid w:val="003359FE"/>
    <w:rsid w:val="00335AE8"/>
    <w:rsid w:val="00335D5B"/>
    <w:rsid w:val="00336006"/>
    <w:rsid w:val="00336144"/>
    <w:rsid w:val="00336531"/>
    <w:rsid w:val="00336703"/>
    <w:rsid w:val="00336D1E"/>
    <w:rsid w:val="00336D53"/>
    <w:rsid w:val="00337043"/>
    <w:rsid w:val="0033713B"/>
    <w:rsid w:val="0033715D"/>
    <w:rsid w:val="00337B67"/>
    <w:rsid w:val="003407B8"/>
    <w:rsid w:val="00340D0B"/>
    <w:rsid w:val="00340F80"/>
    <w:rsid w:val="00341052"/>
    <w:rsid w:val="0034128E"/>
    <w:rsid w:val="00341586"/>
    <w:rsid w:val="00341760"/>
    <w:rsid w:val="003417A6"/>
    <w:rsid w:val="003419F5"/>
    <w:rsid w:val="00342052"/>
    <w:rsid w:val="00342AC0"/>
    <w:rsid w:val="00342C1D"/>
    <w:rsid w:val="00343089"/>
    <w:rsid w:val="00343674"/>
    <w:rsid w:val="0034383C"/>
    <w:rsid w:val="003438C4"/>
    <w:rsid w:val="00343F17"/>
    <w:rsid w:val="003441A3"/>
    <w:rsid w:val="003448F7"/>
    <w:rsid w:val="00344B85"/>
    <w:rsid w:val="00345032"/>
    <w:rsid w:val="003452C2"/>
    <w:rsid w:val="00345A76"/>
    <w:rsid w:val="003461A9"/>
    <w:rsid w:val="00346294"/>
    <w:rsid w:val="00346699"/>
    <w:rsid w:val="00347403"/>
    <w:rsid w:val="003475B7"/>
    <w:rsid w:val="00347623"/>
    <w:rsid w:val="003476C6"/>
    <w:rsid w:val="00347A1B"/>
    <w:rsid w:val="00347A57"/>
    <w:rsid w:val="00347A76"/>
    <w:rsid w:val="00347DBD"/>
    <w:rsid w:val="00347EDF"/>
    <w:rsid w:val="003501A9"/>
    <w:rsid w:val="00350909"/>
    <w:rsid w:val="00350B06"/>
    <w:rsid w:val="00350DBE"/>
    <w:rsid w:val="00350F82"/>
    <w:rsid w:val="00351023"/>
    <w:rsid w:val="00351180"/>
    <w:rsid w:val="003511DC"/>
    <w:rsid w:val="00351246"/>
    <w:rsid w:val="00351ABD"/>
    <w:rsid w:val="00351BFF"/>
    <w:rsid w:val="00351CA1"/>
    <w:rsid w:val="00351CC9"/>
    <w:rsid w:val="00351DBC"/>
    <w:rsid w:val="00351DD4"/>
    <w:rsid w:val="00351EB5"/>
    <w:rsid w:val="003520A0"/>
    <w:rsid w:val="00352461"/>
    <w:rsid w:val="003529AF"/>
    <w:rsid w:val="00352BDE"/>
    <w:rsid w:val="00352DEC"/>
    <w:rsid w:val="0035301F"/>
    <w:rsid w:val="0035325F"/>
    <w:rsid w:val="003532AD"/>
    <w:rsid w:val="003534F3"/>
    <w:rsid w:val="0035371D"/>
    <w:rsid w:val="00353CB7"/>
    <w:rsid w:val="00353E10"/>
    <w:rsid w:val="00353EA3"/>
    <w:rsid w:val="0035401F"/>
    <w:rsid w:val="00354275"/>
    <w:rsid w:val="0035430C"/>
    <w:rsid w:val="003543A7"/>
    <w:rsid w:val="00354849"/>
    <w:rsid w:val="00354852"/>
    <w:rsid w:val="00354EEC"/>
    <w:rsid w:val="0035536E"/>
    <w:rsid w:val="00355391"/>
    <w:rsid w:val="003553E5"/>
    <w:rsid w:val="003554E6"/>
    <w:rsid w:val="0035556F"/>
    <w:rsid w:val="0035558D"/>
    <w:rsid w:val="00355653"/>
    <w:rsid w:val="0035582F"/>
    <w:rsid w:val="003558EB"/>
    <w:rsid w:val="00355B53"/>
    <w:rsid w:val="00355CAE"/>
    <w:rsid w:val="00355DD0"/>
    <w:rsid w:val="00356190"/>
    <w:rsid w:val="0035642B"/>
    <w:rsid w:val="0035664B"/>
    <w:rsid w:val="00356658"/>
    <w:rsid w:val="00356A71"/>
    <w:rsid w:val="00356C7F"/>
    <w:rsid w:val="00356F6C"/>
    <w:rsid w:val="00356FAA"/>
    <w:rsid w:val="00357018"/>
    <w:rsid w:val="00357081"/>
    <w:rsid w:val="00357407"/>
    <w:rsid w:val="0035742A"/>
    <w:rsid w:val="00357445"/>
    <w:rsid w:val="00357659"/>
    <w:rsid w:val="0035784F"/>
    <w:rsid w:val="00357932"/>
    <w:rsid w:val="00357AEA"/>
    <w:rsid w:val="00357C1B"/>
    <w:rsid w:val="00357E2D"/>
    <w:rsid w:val="00357E53"/>
    <w:rsid w:val="003608DF"/>
    <w:rsid w:val="00360D23"/>
    <w:rsid w:val="00360D57"/>
    <w:rsid w:val="00360DFB"/>
    <w:rsid w:val="00361206"/>
    <w:rsid w:val="00361238"/>
    <w:rsid w:val="003616B0"/>
    <w:rsid w:val="00361956"/>
    <w:rsid w:val="00361D80"/>
    <w:rsid w:val="00361FA6"/>
    <w:rsid w:val="0036223A"/>
    <w:rsid w:val="0036228F"/>
    <w:rsid w:val="003623FE"/>
    <w:rsid w:val="00362738"/>
    <w:rsid w:val="0036273B"/>
    <w:rsid w:val="00362AC4"/>
    <w:rsid w:val="00362FA4"/>
    <w:rsid w:val="00363115"/>
    <w:rsid w:val="00363769"/>
    <w:rsid w:val="00363904"/>
    <w:rsid w:val="00363A78"/>
    <w:rsid w:val="00363B55"/>
    <w:rsid w:val="00363C3B"/>
    <w:rsid w:val="00364108"/>
    <w:rsid w:val="003641A7"/>
    <w:rsid w:val="003644A7"/>
    <w:rsid w:val="00364B4C"/>
    <w:rsid w:val="00364DEE"/>
    <w:rsid w:val="00364F04"/>
    <w:rsid w:val="003651E7"/>
    <w:rsid w:val="00365598"/>
    <w:rsid w:val="00365953"/>
    <w:rsid w:val="00365A80"/>
    <w:rsid w:val="00365D58"/>
    <w:rsid w:val="00365EB9"/>
    <w:rsid w:val="00365F09"/>
    <w:rsid w:val="003665D1"/>
    <w:rsid w:val="00366698"/>
    <w:rsid w:val="00366AAF"/>
    <w:rsid w:val="00366B1C"/>
    <w:rsid w:val="00366D89"/>
    <w:rsid w:val="00367083"/>
    <w:rsid w:val="003672F1"/>
    <w:rsid w:val="003675C8"/>
    <w:rsid w:val="00367601"/>
    <w:rsid w:val="00367985"/>
    <w:rsid w:val="00367A55"/>
    <w:rsid w:val="00367B61"/>
    <w:rsid w:val="00367E61"/>
    <w:rsid w:val="00367F0E"/>
    <w:rsid w:val="003701B0"/>
    <w:rsid w:val="003702CD"/>
    <w:rsid w:val="003707C7"/>
    <w:rsid w:val="003708BF"/>
    <w:rsid w:val="00370A2B"/>
    <w:rsid w:val="00370A69"/>
    <w:rsid w:val="00370E9C"/>
    <w:rsid w:val="0037105D"/>
    <w:rsid w:val="00371379"/>
    <w:rsid w:val="0037168E"/>
    <w:rsid w:val="003717FF"/>
    <w:rsid w:val="0037185C"/>
    <w:rsid w:val="00371864"/>
    <w:rsid w:val="003718F3"/>
    <w:rsid w:val="00371A96"/>
    <w:rsid w:val="00371E68"/>
    <w:rsid w:val="00372856"/>
    <w:rsid w:val="00373168"/>
    <w:rsid w:val="00373B57"/>
    <w:rsid w:val="00373D67"/>
    <w:rsid w:val="00374657"/>
    <w:rsid w:val="00374662"/>
    <w:rsid w:val="0037493E"/>
    <w:rsid w:val="003749C8"/>
    <w:rsid w:val="00374A78"/>
    <w:rsid w:val="00374C2D"/>
    <w:rsid w:val="00374E2F"/>
    <w:rsid w:val="00375153"/>
    <w:rsid w:val="003753F2"/>
    <w:rsid w:val="00375555"/>
    <w:rsid w:val="00375A3C"/>
    <w:rsid w:val="00375A64"/>
    <w:rsid w:val="00376082"/>
    <w:rsid w:val="003762AF"/>
    <w:rsid w:val="0037636D"/>
    <w:rsid w:val="00376553"/>
    <w:rsid w:val="00376735"/>
    <w:rsid w:val="00376866"/>
    <w:rsid w:val="0037699B"/>
    <w:rsid w:val="00376A5E"/>
    <w:rsid w:val="00376EEF"/>
    <w:rsid w:val="00377194"/>
    <w:rsid w:val="00377984"/>
    <w:rsid w:val="00377D0C"/>
    <w:rsid w:val="00380354"/>
    <w:rsid w:val="00380398"/>
    <w:rsid w:val="00380473"/>
    <w:rsid w:val="003806A0"/>
    <w:rsid w:val="0038082B"/>
    <w:rsid w:val="00380A03"/>
    <w:rsid w:val="0038141E"/>
    <w:rsid w:val="003816A7"/>
    <w:rsid w:val="003817E0"/>
    <w:rsid w:val="00381E12"/>
    <w:rsid w:val="00381FA3"/>
    <w:rsid w:val="00382243"/>
    <w:rsid w:val="00382321"/>
    <w:rsid w:val="00382F02"/>
    <w:rsid w:val="00383143"/>
    <w:rsid w:val="003831CA"/>
    <w:rsid w:val="0038334A"/>
    <w:rsid w:val="00383430"/>
    <w:rsid w:val="00383696"/>
    <w:rsid w:val="00383C14"/>
    <w:rsid w:val="00383F66"/>
    <w:rsid w:val="003845E3"/>
    <w:rsid w:val="0038483B"/>
    <w:rsid w:val="00384CAB"/>
    <w:rsid w:val="00384CDE"/>
    <w:rsid w:val="00384D94"/>
    <w:rsid w:val="00384F43"/>
    <w:rsid w:val="0038505D"/>
    <w:rsid w:val="0038517C"/>
    <w:rsid w:val="003852C7"/>
    <w:rsid w:val="00385468"/>
    <w:rsid w:val="003854C4"/>
    <w:rsid w:val="003856B5"/>
    <w:rsid w:val="00385897"/>
    <w:rsid w:val="003858A5"/>
    <w:rsid w:val="00385AD7"/>
    <w:rsid w:val="00385AFD"/>
    <w:rsid w:val="00385ED1"/>
    <w:rsid w:val="00386089"/>
    <w:rsid w:val="003863BC"/>
    <w:rsid w:val="00386532"/>
    <w:rsid w:val="0038668A"/>
    <w:rsid w:val="00386B9A"/>
    <w:rsid w:val="0038700F"/>
    <w:rsid w:val="003873A4"/>
    <w:rsid w:val="003874DF"/>
    <w:rsid w:val="0038769E"/>
    <w:rsid w:val="003876E3"/>
    <w:rsid w:val="003878D6"/>
    <w:rsid w:val="00387A13"/>
    <w:rsid w:val="00387E9C"/>
    <w:rsid w:val="0039001F"/>
    <w:rsid w:val="003900A3"/>
    <w:rsid w:val="0039063B"/>
    <w:rsid w:val="00390740"/>
    <w:rsid w:val="00390A37"/>
    <w:rsid w:val="00390B9D"/>
    <w:rsid w:val="00391077"/>
    <w:rsid w:val="00391172"/>
    <w:rsid w:val="00391414"/>
    <w:rsid w:val="003914D3"/>
    <w:rsid w:val="0039156C"/>
    <w:rsid w:val="00391646"/>
    <w:rsid w:val="00391783"/>
    <w:rsid w:val="0039184F"/>
    <w:rsid w:val="00391DD1"/>
    <w:rsid w:val="00391EC2"/>
    <w:rsid w:val="00391FB4"/>
    <w:rsid w:val="003923D0"/>
    <w:rsid w:val="0039262F"/>
    <w:rsid w:val="00392992"/>
    <w:rsid w:val="003929EC"/>
    <w:rsid w:val="00392BB5"/>
    <w:rsid w:val="00392BF1"/>
    <w:rsid w:val="00392D25"/>
    <w:rsid w:val="00392E60"/>
    <w:rsid w:val="00392F10"/>
    <w:rsid w:val="00392F7E"/>
    <w:rsid w:val="00392FF1"/>
    <w:rsid w:val="0039326C"/>
    <w:rsid w:val="00393756"/>
    <w:rsid w:val="00393862"/>
    <w:rsid w:val="00393B2C"/>
    <w:rsid w:val="00393B89"/>
    <w:rsid w:val="00393C52"/>
    <w:rsid w:val="00393D1A"/>
    <w:rsid w:val="00393F52"/>
    <w:rsid w:val="00394044"/>
    <w:rsid w:val="003941C6"/>
    <w:rsid w:val="00394B56"/>
    <w:rsid w:val="00394D9E"/>
    <w:rsid w:val="00395136"/>
    <w:rsid w:val="00395706"/>
    <w:rsid w:val="003957F7"/>
    <w:rsid w:val="00395947"/>
    <w:rsid w:val="003959FF"/>
    <w:rsid w:val="00395B51"/>
    <w:rsid w:val="00395E06"/>
    <w:rsid w:val="003962B6"/>
    <w:rsid w:val="00396A38"/>
    <w:rsid w:val="00396B78"/>
    <w:rsid w:val="00396DB9"/>
    <w:rsid w:val="00396E23"/>
    <w:rsid w:val="00396E3B"/>
    <w:rsid w:val="00396F40"/>
    <w:rsid w:val="00397DB7"/>
    <w:rsid w:val="003A01E3"/>
    <w:rsid w:val="003A0456"/>
    <w:rsid w:val="003A0460"/>
    <w:rsid w:val="003A0471"/>
    <w:rsid w:val="003A05D9"/>
    <w:rsid w:val="003A07A3"/>
    <w:rsid w:val="003A098D"/>
    <w:rsid w:val="003A0A0E"/>
    <w:rsid w:val="003A0A58"/>
    <w:rsid w:val="003A0B89"/>
    <w:rsid w:val="003A0CC8"/>
    <w:rsid w:val="003A0D8B"/>
    <w:rsid w:val="003A1040"/>
    <w:rsid w:val="003A1185"/>
    <w:rsid w:val="003A1461"/>
    <w:rsid w:val="003A164C"/>
    <w:rsid w:val="003A16FB"/>
    <w:rsid w:val="003A1B42"/>
    <w:rsid w:val="003A1DC2"/>
    <w:rsid w:val="003A2060"/>
    <w:rsid w:val="003A21F9"/>
    <w:rsid w:val="003A23FD"/>
    <w:rsid w:val="003A2905"/>
    <w:rsid w:val="003A2B7E"/>
    <w:rsid w:val="003A2E10"/>
    <w:rsid w:val="003A33B7"/>
    <w:rsid w:val="003A3497"/>
    <w:rsid w:val="003A38E4"/>
    <w:rsid w:val="003A3D3A"/>
    <w:rsid w:val="003A3F05"/>
    <w:rsid w:val="003A3F22"/>
    <w:rsid w:val="003A40FC"/>
    <w:rsid w:val="003A4711"/>
    <w:rsid w:val="003A48BA"/>
    <w:rsid w:val="003A48C3"/>
    <w:rsid w:val="003A4A4C"/>
    <w:rsid w:val="003A4D9A"/>
    <w:rsid w:val="003A4E80"/>
    <w:rsid w:val="003A5702"/>
    <w:rsid w:val="003A5984"/>
    <w:rsid w:val="003A5B54"/>
    <w:rsid w:val="003A5DC5"/>
    <w:rsid w:val="003A60E4"/>
    <w:rsid w:val="003A617D"/>
    <w:rsid w:val="003A61DE"/>
    <w:rsid w:val="003A625F"/>
    <w:rsid w:val="003A63D5"/>
    <w:rsid w:val="003A65BE"/>
    <w:rsid w:val="003A6779"/>
    <w:rsid w:val="003A694A"/>
    <w:rsid w:val="003A694E"/>
    <w:rsid w:val="003A6C2F"/>
    <w:rsid w:val="003A6FAF"/>
    <w:rsid w:val="003A6FF7"/>
    <w:rsid w:val="003A7AC4"/>
    <w:rsid w:val="003A7B0D"/>
    <w:rsid w:val="003A7FF7"/>
    <w:rsid w:val="003B08F4"/>
    <w:rsid w:val="003B0DDC"/>
    <w:rsid w:val="003B1742"/>
    <w:rsid w:val="003B1753"/>
    <w:rsid w:val="003B1795"/>
    <w:rsid w:val="003B1D3F"/>
    <w:rsid w:val="003B1D54"/>
    <w:rsid w:val="003B215D"/>
    <w:rsid w:val="003B21AA"/>
    <w:rsid w:val="003B2840"/>
    <w:rsid w:val="003B2DB4"/>
    <w:rsid w:val="003B2EE3"/>
    <w:rsid w:val="003B303B"/>
    <w:rsid w:val="003B31F8"/>
    <w:rsid w:val="003B32D6"/>
    <w:rsid w:val="003B3865"/>
    <w:rsid w:val="003B3F43"/>
    <w:rsid w:val="003B41EF"/>
    <w:rsid w:val="003B4277"/>
    <w:rsid w:val="003B445D"/>
    <w:rsid w:val="003B448A"/>
    <w:rsid w:val="003B4BE3"/>
    <w:rsid w:val="003B4FAC"/>
    <w:rsid w:val="003B4FB0"/>
    <w:rsid w:val="003B521F"/>
    <w:rsid w:val="003B5652"/>
    <w:rsid w:val="003B56E6"/>
    <w:rsid w:val="003B574B"/>
    <w:rsid w:val="003B5E06"/>
    <w:rsid w:val="003B5E14"/>
    <w:rsid w:val="003B5E6B"/>
    <w:rsid w:val="003B6122"/>
    <w:rsid w:val="003B6737"/>
    <w:rsid w:val="003B6911"/>
    <w:rsid w:val="003B69B5"/>
    <w:rsid w:val="003B6A0C"/>
    <w:rsid w:val="003B6EF3"/>
    <w:rsid w:val="003B70FB"/>
    <w:rsid w:val="003B731E"/>
    <w:rsid w:val="003B7349"/>
    <w:rsid w:val="003B734C"/>
    <w:rsid w:val="003B7697"/>
    <w:rsid w:val="003B7823"/>
    <w:rsid w:val="003B78EB"/>
    <w:rsid w:val="003B7A21"/>
    <w:rsid w:val="003B7A27"/>
    <w:rsid w:val="003B7A3E"/>
    <w:rsid w:val="003B7AB7"/>
    <w:rsid w:val="003B7B39"/>
    <w:rsid w:val="003B7BCA"/>
    <w:rsid w:val="003B7C7F"/>
    <w:rsid w:val="003C035B"/>
    <w:rsid w:val="003C050B"/>
    <w:rsid w:val="003C05B7"/>
    <w:rsid w:val="003C0A8C"/>
    <w:rsid w:val="003C0D16"/>
    <w:rsid w:val="003C12F3"/>
    <w:rsid w:val="003C14BB"/>
    <w:rsid w:val="003C1BBA"/>
    <w:rsid w:val="003C1D24"/>
    <w:rsid w:val="003C1E53"/>
    <w:rsid w:val="003C207C"/>
    <w:rsid w:val="003C28BD"/>
    <w:rsid w:val="003C28D9"/>
    <w:rsid w:val="003C2BA3"/>
    <w:rsid w:val="003C3086"/>
    <w:rsid w:val="003C334A"/>
    <w:rsid w:val="003C36A2"/>
    <w:rsid w:val="003C36A3"/>
    <w:rsid w:val="003C3B97"/>
    <w:rsid w:val="003C3D26"/>
    <w:rsid w:val="003C42CA"/>
    <w:rsid w:val="003C4323"/>
    <w:rsid w:val="003C4375"/>
    <w:rsid w:val="003C4401"/>
    <w:rsid w:val="003C4411"/>
    <w:rsid w:val="003C45DB"/>
    <w:rsid w:val="003C4A0A"/>
    <w:rsid w:val="003C4C3F"/>
    <w:rsid w:val="003C5024"/>
    <w:rsid w:val="003C515F"/>
    <w:rsid w:val="003C5719"/>
    <w:rsid w:val="003C58F7"/>
    <w:rsid w:val="003C5A2C"/>
    <w:rsid w:val="003C5B4E"/>
    <w:rsid w:val="003C5BC6"/>
    <w:rsid w:val="003C6624"/>
    <w:rsid w:val="003C67BE"/>
    <w:rsid w:val="003C6D19"/>
    <w:rsid w:val="003C6E81"/>
    <w:rsid w:val="003C70F8"/>
    <w:rsid w:val="003C7559"/>
    <w:rsid w:val="003C7587"/>
    <w:rsid w:val="003C79A2"/>
    <w:rsid w:val="003C7A3D"/>
    <w:rsid w:val="003C7A88"/>
    <w:rsid w:val="003C7B1B"/>
    <w:rsid w:val="003C7D6F"/>
    <w:rsid w:val="003C7F7A"/>
    <w:rsid w:val="003D001D"/>
    <w:rsid w:val="003D015F"/>
    <w:rsid w:val="003D0A59"/>
    <w:rsid w:val="003D0CBB"/>
    <w:rsid w:val="003D0D19"/>
    <w:rsid w:val="003D0F0A"/>
    <w:rsid w:val="003D1583"/>
    <w:rsid w:val="003D15F7"/>
    <w:rsid w:val="003D2380"/>
    <w:rsid w:val="003D26F8"/>
    <w:rsid w:val="003D2702"/>
    <w:rsid w:val="003D2ADA"/>
    <w:rsid w:val="003D2B64"/>
    <w:rsid w:val="003D2FF6"/>
    <w:rsid w:val="003D33F6"/>
    <w:rsid w:val="003D347C"/>
    <w:rsid w:val="003D3576"/>
    <w:rsid w:val="003D36FD"/>
    <w:rsid w:val="003D3935"/>
    <w:rsid w:val="003D3DA1"/>
    <w:rsid w:val="003D3F83"/>
    <w:rsid w:val="003D42C5"/>
    <w:rsid w:val="003D48B5"/>
    <w:rsid w:val="003D4A31"/>
    <w:rsid w:val="003D4B04"/>
    <w:rsid w:val="003D4EC4"/>
    <w:rsid w:val="003D57CF"/>
    <w:rsid w:val="003D57E0"/>
    <w:rsid w:val="003D5990"/>
    <w:rsid w:val="003D59C3"/>
    <w:rsid w:val="003D5BE4"/>
    <w:rsid w:val="003D5D05"/>
    <w:rsid w:val="003D5D96"/>
    <w:rsid w:val="003D66C8"/>
    <w:rsid w:val="003D674B"/>
    <w:rsid w:val="003D680F"/>
    <w:rsid w:val="003D6861"/>
    <w:rsid w:val="003D691B"/>
    <w:rsid w:val="003D6D5B"/>
    <w:rsid w:val="003D6DB2"/>
    <w:rsid w:val="003D74A0"/>
    <w:rsid w:val="003D76A1"/>
    <w:rsid w:val="003D7791"/>
    <w:rsid w:val="003D7867"/>
    <w:rsid w:val="003D79E0"/>
    <w:rsid w:val="003D7F95"/>
    <w:rsid w:val="003E00B5"/>
    <w:rsid w:val="003E03F3"/>
    <w:rsid w:val="003E0571"/>
    <w:rsid w:val="003E096A"/>
    <w:rsid w:val="003E0C6D"/>
    <w:rsid w:val="003E13FC"/>
    <w:rsid w:val="003E19BE"/>
    <w:rsid w:val="003E1FB0"/>
    <w:rsid w:val="003E2300"/>
    <w:rsid w:val="003E2440"/>
    <w:rsid w:val="003E2594"/>
    <w:rsid w:val="003E2686"/>
    <w:rsid w:val="003E26AE"/>
    <w:rsid w:val="003E2ABE"/>
    <w:rsid w:val="003E2BEA"/>
    <w:rsid w:val="003E2D4D"/>
    <w:rsid w:val="003E2DFC"/>
    <w:rsid w:val="003E3267"/>
    <w:rsid w:val="003E33B7"/>
    <w:rsid w:val="003E3440"/>
    <w:rsid w:val="003E37A0"/>
    <w:rsid w:val="003E38C0"/>
    <w:rsid w:val="003E3C20"/>
    <w:rsid w:val="003E3DF5"/>
    <w:rsid w:val="003E3FD8"/>
    <w:rsid w:val="003E3FE5"/>
    <w:rsid w:val="003E4133"/>
    <w:rsid w:val="003E423D"/>
    <w:rsid w:val="003E45B3"/>
    <w:rsid w:val="003E4BE0"/>
    <w:rsid w:val="003E4FC0"/>
    <w:rsid w:val="003E5132"/>
    <w:rsid w:val="003E514A"/>
    <w:rsid w:val="003E520A"/>
    <w:rsid w:val="003E5636"/>
    <w:rsid w:val="003E564A"/>
    <w:rsid w:val="003E56A0"/>
    <w:rsid w:val="003E56C7"/>
    <w:rsid w:val="003E5EFA"/>
    <w:rsid w:val="003E5F4A"/>
    <w:rsid w:val="003E62D8"/>
    <w:rsid w:val="003E63E2"/>
    <w:rsid w:val="003E6553"/>
    <w:rsid w:val="003E673F"/>
    <w:rsid w:val="003E67B8"/>
    <w:rsid w:val="003E67E3"/>
    <w:rsid w:val="003E6C35"/>
    <w:rsid w:val="003E6C38"/>
    <w:rsid w:val="003E70C9"/>
    <w:rsid w:val="003E70CA"/>
    <w:rsid w:val="003E71D3"/>
    <w:rsid w:val="003E72BD"/>
    <w:rsid w:val="003E738E"/>
    <w:rsid w:val="003E75A4"/>
    <w:rsid w:val="003E76E2"/>
    <w:rsid w:val="003E77A0"/>
    <w:rsid w:val="003E7A50"/>
    <w:rsid w:val="003E7D2F"/>
    <w:rsid w:val="003E7D6C"/>
    <w:rsid w:val="003F02D9"/>
    <w:rsid w:val="003F09BF"/>
    <w:rsid w:val="003F09D6"/>
    <w:rsid w:val="003F0C16"/>
    <w:rsid w:val="003F0CC2"/>
    <w:rsid w:val="003F0DF7"/>
    <w:rsid w:val="003F0F57"/>
    <w:rsid w:val="003F117F"/>
    <w:rsid w:val="003F1420"/>
    <w:rsid w:val="003F1B3B"/>
    <w:rsid w:val="003F1C48"/>
    <w:rsid w:val="003F1CD7"/>
    <w:rsid w:val="003F201F"/>
    <w:rsid w:val="003F2ADE"/>
    <w:rsid w:val="003F2BDF"/>
    <w:rsid w:val="003F2DC6"/>
    <w:rsid w:val="003F2F31"/>
    <w:rsid w:val="003F3511"/>
    <w:rsid w:val="003F37C2"/>
    <w:rsid w:val="003F3BA8"/>
    <w:rsid w:val="003F3F0B"/>
    <w:rsid w:val="003F4093"/>
    <w:rsid w:val="003F43E2"/>
    <w:rsid w:val="003F449A"/>
    <w:rsid w:val="003F4B3B"/>
    <w:rsid w:val="003F4E83"/>
    <w:rsid w:val="003F513F"/>
    <w:rsid w:val="003F5183"/>
    <w:rsid w:val="003F551B"/>
    <w:rsid w:val="003F560C"/>
    <w:rsid w:val="003F5D16"/>
    <w:rsid w:val="003F617C"/>
    <w:rsid w:val="003F634B"/>
    <w:rsid w:val="003F642D"/>
    <w:rsid w:val="003F649F"/>
    <w:rsid w:val="003F654E"/>
    <w:rsid w:val="003F6888"/>
    <w:rsid w:val="003F6E1D"/>
    <w:rsid w:val="003F6FDB"/>
    <w:rsid w:val="003F75B3"/>
    <w:rsid w:val="003F76FC"/>
    <w:rsid w:val="003F7B53"/>
    <w:rsid w:val="003F7F28"/>
    <w:rsid w:val="00400156"/>
    <w:rsid w:val="00400266"/>
    <w:rsid w:val="00400404"/>
    <w:rsid w:val="00400569"/>
    <w:rsid w:val="00400676"/>
    <w:rsid w:val="0040072B"/>
    <w:rsid w:val="00400A4F"/>
    <w:rsid w:val="00400DC7"/>
    <w:rsid w:val="00400F19"/>
    <w:rsid w:val="0040113B"/>
    <w:rsid w:val="00401BA7"/>
    <w:rsid w:val="00402F12"/>
    <w:rsid w:val="00403013"/>
    <w:rsid w:val="00403046"/>
    <w:rsid w:val="004032C9"/>
    <w:rsid w:val="0040348E"/>
    <w:rsid w:val="004035A9"/>
    <w:rsid w:val="00403638"/>
    <w:rsid w:val="00403E27"/>
    <w:rsid w:val="00403FF4"/>
    <w:rsid w:val="00404850"/>
    <w:rsid w:val="004049F5"/>
    <w:rsid w:val="00404AA8"/>
    <w:rsid w:val="00404E54"/>
    <w:rsid w:val="00405026"/>
    <w:rsid w:val="00405260"/>
    <w:rsid w:val="00405493"/>
    <w:rsid w:val="0040564F"/>
    <w:rsid w:val="004056A4"/>
    <w:rsid w:val="00405782"/>
    <w:rsid w:val="00405B0E"/>
    <w:rsid w:val="00405C40"/>
    <w:rsid w:val="00405CDB"/>
    <w:rsid w:val="00405D56"/>
    <w:rsid w:val="00405D84"/>
    <w:rsid w:val="00406037"/>
    <w:rsid w:val="004060CB"/>
    <w:rsid w:val="0040618D"/>
    <w:rsid w:val="004061A4"/>
    <w:rsid w:val="004061E4"/>
    <w:rsid w:val="0040630A"/>
    <w:rsid w:val="00406527"/>
    <w:rsid w:val="004067A5"/>
    <w:rsid w:val="00406BDE"/>
    <w:rsid w:val="00406CF7"/>
    <w:rsid w:val="00406DB6"/>
    <w:rsid w:val="00406ED7"/>
    <w:rsid w:val="00406F59"/>
    <w:rsid w:val="00406FBD"/>
    <w:rsid w:val="004071A4"/>
    <w:rsid w:val="00407FBF"/>
    <w:rsid w:val="00410D79"/>
    <w:rsid w:val="00410DE6"/>
    <w:rsid w:val="00410EDA"/>
    <w:rsid w:val="00411180"/>
    <w:rsid w:val="004112DA"/>
    <w:rsid w:val="0041150A"/>
    <w:rsid w:val="004118C5"/>
    <w:rsid w:val="00411B35"/>
    <w:rsid w:val="00411EAC"/>
    <w:rsid w:val="00411EBF"/>
    <w:rsid w:val="00411EED"/>
    <w:rsid w:val="004122F7"/>
    <w:rsid w:val="004124CD"/>
    <w:rsid w:val="004127BD"/>
    <w:rsid w:val="00412827"/>
    <w:rsid w:val="00412E1F"/>
    <w:rsid w:val="00412F68"/>
    <w:rsid w:val="00413107"/>
    <w:rsid w:val="00413164"/>
    <w:rsid w:val="0041328A"/>
    <w:rsid w:val="0041393C"/>
    <w:rsid w:val="004140A3"/>
    <w:rsid w:val="004143F5"/>
    <w:rsid w:val="004144F2"/>
    <w:rsid w:val="0041450D"/>
    <w:rsid w:val="00414585"/>
    <w:rsid w:val="0041461D"/>
    <w:rsid w:val="004147C0"/>
    <w:rsid w:val="004148A0"/>
    <w:rsid w:val="00415369"/>
    <w:rsid w:val="00415445"/>
    <w:rsid w:val="00415C51"/>
    <w:rsid w:val="00415CD2"/>
    <w:rsid w:val="00415E30"/>
    <w:rsid w:val="004160AE"/>
    <w:rsid w:val="004161A0"/>
    <w:rsid w:val="004161F9"/>
    <w:rsid w:val="00416886"/>
    <w:rsid w:val="00416DB8"/>
    <w:rsid w:val="004170BF"/>
    <w:rsid w:val="004170E9"/>
    <w:rsid w:val="004171B0"/>
    <w:rsid w:val="00417722"/>
    <w:rsid w:val="00417850"/>
    <w:rsid w:val="00417B38"/>
    <w:rsid w:val="00417C54"/>
    <w:rsid w:val="00417F81"/>
    <w:rsid w:val="00417FC3"/>
    <w:rsid w:val="004201CF"/>
    <w:rsid w:val="00420C89"/>
    <w:rsid w:val="004214F4"/>
    <w:rsid w:val="004217EC"/>
    <w:rsid w:val="0042187A"/>
    <w:rsid w:val="00421A8B"/>
    <w:rsid w:val="00421B54"/>
    <w:rsid w:val="00421F85"/>
    <w:rsid w:val="00422403"/>
    <w:rsid w:val="00422556"/>
    <w:rsid w:val="00422846"/>
    <w:rsid w:val="00422D00"/>
    <w:rsid w:val="00422D1D"/>
    <w:rsid w:val="00423237"/>
    <w:rsid w:val="004232A2"/>
    <w:rsid w:val="00423777"/>
    <w:rsid w:val="0042377F"/>
    <w:rsid w:val="00423854"/>
    <w:rsid w:val="004238FA"/>
    <w:rsid w:val="00423BAC"/>
    <w:rsid w:val="00423BB9"/>
    <w:rsid w:val="00423CBC"/>
    <w:rsid w:val="0042416F"/>
    <w:rsid w:val="0042417E"/>
    <w:rsid w:val="004244A3"/>
    <w:rsid w:val="00424D88"/>
    <w:rsid w:val="00424EA4"/>
    <w:rsid w:val="004250AE"/>
    <w:rsid w:val="0042512E"/>
    <w:rsid w:val="00425221"/>
    <w:rsid w:val="004252AC"/>
    <w:rsid w:val="004253B1"/>
    <w:rsid w:val="00425718"/>
    <w:rsid w:val="00425D2C"/>
    <w:rsid w:val="00425DBF"/>
    <w:rsid w:val="00425E04"/>
    <w:rsid w:val="0042618F"/>
    <w:rsid w:val="0042646D"/>
    <w:rsid w:val="004266F7"/>
    <w:rsid w:val="00426756"/>
    <w:rsid w:val="004267A3"/>
    <w:rsid w:val="00426A8D"/>
    <w:rsid w:val="00426CF9"/>
    <w:rsid w:val="00426D7F"/>
    <w:rsid w:val="0042721F"/>
    <w:rsid w:val="004272C8"/>
    <w:rsid w:val="00427412"/>
    <w:rsid w:val="00427584"/>
    <w:rsid w:val="00427657"/>
    <w:rsid w:val="00427706"/>
    <w:rsid w:val="00427944"/>
    <w:rsid w:val="004303F5"/>
    <w:rsid w:val="00430478"/>
    <w:rsid w:val="004306FC"/>
    <w:rsid w:val="004307D2"/>
    <w:rsid w:val="00430CA4"/>
    <w:rsid w:val="0043102B"/>
    <w:rsid w:val="004312A3"/>
    <w:rsid w:val="00431D5F"/>
    <w:rsid w:val="004320FE"/>
    <w:rsid w:val="0043211A"/>
    <w:rsid w:val="004325AC"/>
    <w:rsid w:val="004325EC"/>
    <w:rsid w:val="00432B3C"/>
    <w:rsid w:val="00432EE1"/>
    <w:rsid w:val="004335DA"/>
    <w:rsid w:val="00433C36"/>
    <w:rsid w:val="00433EA2"/>
    <w:rsid w:val="004342EF"/>
    <w:rsid w:val="00434DEF"/>
    <w:rsid w:val="00435127"/>
    <w:rsid w:val="00435339"/>
    <w:rsid w:val="004353A2"/>
    <w:rsid w:val="004354DF"/>
    <w:rsid w:val="0043556A"/>
    <w:rsid w:val="00435705"/>
    <w:rsid w:val="004358AD"/>
    <w:rsid w:val="00435CF6"/>
    <w:rsid w:val="00435D82"/>
    <w:rsid w:val="00435E4F"/>
    <w:rsid w:val="0043619D"/>
    <w:rsid w:val="0043694B"/>
    <w:rsid w:val="00436BEE"/>
    <w:rsid w:val="00436C54"/>
    <w:rsid w:val="00436E80"/>
    <w:rsid w:val="0043724D"/>
    <w:rsid w:val="0043760C"/>
    <w:rsid w:val="00437820"/>
    <w:rsid w:val="00437BD8"/>
    <w:rsid w:val="00437F2E"/>
    <w:rsid w:val="004400A5"/>
    <w:rsid w:val="00440704"/>
    <w:rsid w:val="00440723"/>
    <w:rsid w:val="004407E1"/>
    <w:rsid w:val="00440AD6"/>
    <w:rsid w:val="00440B24"/>
    <w:rsid w:val="00440CD5"/>
    <w:rsid w:val="00440DEA"/>
    <w:rsid w:val="004412F1"/>
    <w:rsid w:val="00441364"/>
    <w:rsid w:val="0044173B"/>
    <w:rsid w:val="00441FB1"/>
    <w:rsid w:val="00441FC6"/>
    <w:rsid w:val="00442A4C"/>
    <w:rsid w:val="00442E2E"/>
    <w:rsid w:val="004432ED"/>
    <w:rsid w:val="0044346F"/>
    <w:rsid w:val="0044448E"/>
    <w:rsid w:val="004447CD"/>
    <w:rsid w:val="0044482F"/>
    <w:rsid w:val="00444F87"/>
    <w:rsid w:val="00445262"/>
    <w:rsid w:val="004452EC"/>
    <w:rsid w:val="0044536A"/>
    <w:rsid w:val="00445528"/>
    <w:rsid w:val="00445D80"/>
    <w:rsid w:val="00446029"/>
    <w:rsid w:val="004460B7"/>
    <w:rsid w:val="00446137"/>
    <w:rsid w:val="00446440"/>
    <w:rsid w:val="00446A6D"/>
    <w:rsid w:val="00446C32"/>
    <w:rsid w:val="00447D4E"/>
    <w:rsid w:val="00447D65"/>
    <w:rsid w:val="00450006"/>
    <w:rsid w:val="00450051"/>
    <w:rsid w:val="004500FB"/>
    <w:rsid w:val="00450170"/>
    <w:rsid w:val="004502D0"/>
    <w:rsid w:val="004504BA"/>
    <w:rsid w:val="004505D3"/>
    <w:rsid w:val="00450A2B"/>
    <w:rsid w:val="004516A8"/>
    <w:rsid w:val="004519B4"/>
    <w:rsid w:val="00451D3A"/>
    <w:rsid w:val="0045215C"/>
    <w:rsid w:val="00452233"/>
    <w:rsid w:val="00452308"/>
    <w:rsid w:val="00452320"/>
    <w:rsid w:val="00452432"/>
    <w:rsid w:val="004528D6"/>
    <w:rsid w:val="00452AE9"/>
    <w:rsid w:val="00452E18"/>
    <w:rsid w:val="00452F83"/>
    <w:rsid w:val="0045306E"/>
    <w:rsid w:val="00453086"/>
    <w:rsid w:val="00453114"/>
    <w:rsid w:val="004536B3"/>
    <w:rsid w:val="004536E0"/>
    <w:rsid w:val="0045376F"/>
    <w:rsid w:val="00453B9F"/>
    <w:rsid w:val="00453CDB"/>
    <w:rsid w:val="004540BB"/>
    <w:rsid w:val="0045461C"/>
    <w:rsid w:val="00454837"/>
    <w:rsid w:val="0045485E"/>
    <w:rsid w:val="00454905"/>
    <w:rsid w:val="00454B38"/>
    <w:rsid w:val="00454B73"/>
    <w:rsid w:val="00454BCF"/>
    <w:rsid w:val="00454E36"/>
    <w:rsid w:val="00454E54"/>
    <w:rsid w:val="00454E60"/>
    <w:rsid w:val="00455039"/>
    <w:rsid w:val="004551F3"/>
    <w:rsid w:val="00455263"/>
    <w:rsid w:val="00455419"/>
    <w:rsid w:val="004554F9"/>
    <w:rsid w:val="004555D0"/>
    <w:rsid w:val="0045575D"/>
    <w:rsid w:val="0045576E"/>
    <w:rsid w:val="0045587A"/>
    <w:rsid w:val="0045589C"/>
    <w:rsid w:val="00455A37"/>
    <w:rsid w:val="004564E6"/>
    <w:rsid w:val="004566EF"/>
    <w:rsid w:val="00456A7B"/>
    <w:rsid w:val="00456CF6"/>
    <w:rsid w:val="00456D6A"/>
    <w:rsid w:val="00456DD9"/>
    <w:rsid w:val="0045743C"/>
    <w:rsid w:val="00457886"/>
    <w:rsid w:val="004579A8"/>
    <w:rsid w:val="00457A51"/>
    <w:rsid w:val="00457A5D"/>
    <w:rsid w:val="00457B8C"/>
    <w:rsid w:val="00457BDD"/>
    <w:rsid w:val="00457E62"/>
    <w:rsid w:val="00457F6A"/>
    <w:rsid w:val="00460329"/>
    <w:rsid w:val="00460583"/>
    <w:rsid w:val="00460EC0"/>
    <w:rsid w:val="00460FF1"/>
    <w:rsid w:val="00461081"/>
    <w:rsid w:val="00461130"/>
    <w:rsid w:val="0046132D"/>
    <w:rsid w:val="004613AD"/>
    <w:rsid w:val="00461450"/>
    <w:rsid w:val="004616DF"/>
    <w:rsid w:val="00462070"/>
    <w:rsid w:val="004620C5"/>
    <w:rsid w:val="00462508"/>
    <w:rsid w:val="004625F7"/>
    <w:rsid w:val="00462CCC"/>
    <w:rsid w:val="004632CB"/>
    <w:rsid w:val="00463420"/>
    <w:rsid w:val="00463711"/>
    <w:rsid w:val="00463C75"/>
    <w:rsid w:val="00463E76"/>
    <w:rsid w:val="00464377"/>
    <w:rsid w:val="004644B3"/>
    <w:rsid w:val="0046457F"/>
    <w:rsid w:val="004646A0"/>
    <w:rsid w:val="0046470F"/>
    <w:rsid w:val="00464819"/>
    <w:rsid w:val="0046487A"/>
    <w:rsid w:val="00464B88"/>
    <w:rsid w:val="00465056"/>
    <w:rsid w:val="00465145"/>
    <w:rsid w:val="0046524D"/>
    <w:rsid w:val="00465404"/>
    <w:rsid w:val="0046563D"/>
    <w:rsid w:val="00465871"/>
    <w:rsid w:val="004659BE"/>
    <w:rsid w:val="00465A0C"/>
    <w:rsid w:val="00465B66"/>
    <w:rsid w:val="00465B76"/>
    <w:rsid w:val="00465C29"/>
    <w:rsid w:val="00465F03"/>
    <w:rsid w:val="004661FA"/>
    <w:rsid w:val="004663C9"/>
    <w:rsid w:val="004666AC"/>
    <w:rsid w:val="0046689C"/>
    <w:rsid w:val="00466A70"/>
    <w:rsid w:val="00466BB3"/>
    <w:rsid w:val="00466D70"/>
    <w:rsid w:val="00466D81"/>
    <w:rsid w:val="00466F38"/>
    <w:rsid w:val="00466FA1"/>
    <w:rsid w:val="00467035"/>
    <w:rsid w:val="0046707A"/>
    <w:rsid w:val="00467288"/>
    <w:rsid w:val="004673AA"/>
    <w:rsid w:val="004673ED"/>
    <w:rsid w:val="004676BA"/>
    <w:rsid w:val="004676F7"/>
    <w:rsid w:val="004677C5"/>
    <w:rsid w:val="0046785F"/>
    <w:rsid w:val="0046786A"/>
    <w:rsid w:val="00467EB9"/>
    <w:rsid w:val="00467F64"/>
    <w:rsid w:val="004701EB"/>
    <w:rsid w:val="0047080A"/>
    <w:rsid w:val="0047089F"/>
    <w:rsid w:val="00470949"/>
    <w:rsid w:val="00470DAC"/>
    <w:rsid w:val="00470E35"/>
    <w:rsid w:val="00470FF0"/>
    <w:rsid w:val="00471087"/>
    <w:rsid w:val="0047154E"/>
    <w:rsid w:val="004717EC"/>
    <w:rsid w:val="0047188A"/>
    <w:rsid w:val="00471C5C"/>
    <w:rsid w:val="0047232A"/>
    <w:rsid w:val="0047234E"/>
    <w:rsid w:val="00472545"/>
    <w:rsid w:val="00472662"/>
    <w:rsid w:val="004726A9"/>
    <w:rsid w:val="00472E70"/>
    <w:rsid w:val="00473688"/>
    <w:rsid w:val="004739EC"/>
    <w:rsid w:val="00473A5E"/>
    <w:rsid w:val="00473EC1"/>
    <w:rsid w:val="004740FB"/>
    <w:rsid w:val="00474162"/>
    <w:rsid w:val="00474A44"/>
    <w:rsid w:val="00474B8D"/>
    <w:rsid w:val="00474ECF"/>
    <w:rsid w:val="00475278"/>
    <w:rsid w:val="004755B6"/>
    <w:rsid w:val="00475735"/>
    <w:rsid w:val="00475741"/>
    <w:rsid w:val="004758CA"/>
    <w:rsid w:val="00475C24"/>
    <w:rsid w:val="00475E24"/>
    <w:rsid w:val="00476B0A"/>
    <w:rsid w:val="00476FB9"/>
    <w:rsid w:val="00477282"/>
    <w:rsid w:val="00477880"/>
    <w:rsid w:val="0047789E"/>
    <w:rsid w:val="004778E8"/>
    <w:rsid w:val="00477A8D"/>
    <w:rsid w:val="004802B1"/>
    <w:rsid w:val="00480406"/>
    <w:rsid w:val="00480414"/>
    <w:rsid w:val="00480999"/>
    <w:rsid w:val="00480E5F"/>
    <w:rsid w:val="00481236"/>
    <w:rsid w:val="00481263"/>
    <w:rsid w:val="0048135C"/>
    <w:rsid w:val="00481461"/>
    <w:rsid w:val="00481500"/>
    <w:rsid w:val="004818A5"/>
    <w:rsid w:val="00481DDD"/>
    <w:rsid w:val="00481DEA"/>
    <w:rsid w:val="00482628"/>
    <w:rsid w:val="00482891"/>
    <w:rsid w:val="00482FBD"/>
    <w:rsid w:val="00483322"/>
    <w:rsid w:val="004833F1"/>
    <w:rsid w:val="0048360A"/>
    <w:rsid w:val="00483B52"/>
    <w:rsid w:val="00483D5A"/>
    <w:rsid w:val="00483F7B"/>
    <w:rsid w:val="00483FF7"/>
    <w:rsid w:val="0048408F"/>
    <w:rsid w:val="004841D7"/>
    <w:rsid w:val="00484311"/>
    <w:rsid w:val="00484444"/>
    <w:rsid w:val="004844EE"/>
    <w:rsid w:val="004845D6"/>
    <w:rsid w:val="004846C0"/>
    <w:rsid w:val="00484A76"/>
    <w:rsid w:val="00484D86"/>
    <w:rsid w:val="0048579F"/>
    <w:rsid w:val="00485943"/>
    <w:rsid w:val="00485AC0"/>
    <w:rsid w:val="00485B89"/>
    <w:rsid w:val="00485C07"/>
    <w:rsid w:val="00485EF0"/>
    <w:rsid w:val="00485FB9"/>
    <w:rsid w:val="00486230"/>
    <w:rsid w:val="004862B6"/>
    <w:rsid w:val="004866DE"/>
    <w:rsid w:val="00486C53"/>
    <w:rsid w:val="004870FF"/>
    <w:rsid w:val="00487126"/>
    <w:rsid w:val="00487463"/>
    <w:rsid w:val="00487A1E"/>
    <w:rsid w:val="00487A5A"/>
    <w:rsid w:val="00487A95"/>
    <w:rsid w:val="00487BE7"/>
    <w:rsid w:val="00487C71"/>
    <w:rsid w:val="00487CE4"/>
    <w:rsid w:val="00487FD1"/>
    <w:rsid w:val="00490350"/>
    <w:rsid w:val="004904E0"/>
    <w:rsid w:val="0049052A"/>
    <w:rsid w:val="0049058F"/>
    <w:rsid w:val="0049066B"/>
    <w:rsid w:val="004909FF"/>
    <w:rsid w:val="00490A19"/>
    <w:rsid w:val="00490BCD"/>
    <w:rsid w:val="00490D10"/>
    <w:rsid w:val="00490F59"/>
    <w:rsid w:val="004916A7"/>
    <w:rsid w:val="004919A8"/>
    <w:rsid w:val="00491C83"/>
    <w:rsid w:val="00492426"/>
    <w:rsid w:val="0049270A"/>
    <w:rsid w:val="00492812"/>
    <w:rsid w:val="00493243"/>
    <w:rsid w:val="0049326B"/>
    <w:rsid w:val="0049386E"/>
    <w:rsid w:val="00493A62"/>
    <w:rsid w:val="00493FE3"/>
    <w:rsid w:val="00494B71"/>
    <w:rsid w:val="00494BE7"/>
    <w:rsid w:val="004952FE"/>
    <w:rsid w:val="004953AA"/>
    <w:rsid w:val="004956B8"/>
    <w:rsid w:val="00495B5C"/>
    <w:rsid w:val="00496192"/>
    <w:rsid w:val="00496724"/>
    <w:rsid w:val="00496B18"/>
    <w:rsid w:val="0049715F"/>
    <w:rsid w:val="00497229"/>
    <w:rsid w:val="004975C7"/>
    <w:rsid w:val="00497854"/>
    <w:rsid w:val="00497E87"/>
    <w:rsid w:val="004A04DF"/>
    <w:rsid w:val="004A078A"/>
    <w:rsid w:val="004A0BD4"/>
    <w:rsid w:val="004A1388"/>
    <w:rsid w:val="004A150C"/>
    <w:rsid w:val="004A16C6"/>
    <w:rsid w:val="004A172D"/>
    <w:rsid w:val="004A21B4"/>
    <w:rsid w:val="004A2416"/>
    <w:rsid w:val="004A24A9"/>
    <w:rsid w:val="004A26AB"/>
    <w:rsid w:val="004A2754"/>
    <w:rsid w:val="004A28C1"/>
    <w:rsid w:val="004A29A9"/>
    <w:rsid w:val="004A2A59"/>
    <w:rsid w:val="004A2AE7"/>
    <w:rsid w:val="004A2E0A"/>
    <w:rsid w:val="004A307F"/>
    <w:rsid w:val="004A34DB"/>
    <w:rsid w:val="004A37D8"/>
    <w:rsid w:val="004A385E"/>
    <w:rsid w:val="004A3B6A"/>
    <w:rsid w:val="004A3E3D"/>
    <w:rsid w:val="004A445E"/>
    <w:rsid w:val="004A461E"/>
    <w:rsid w:val="004A47BF"/>
    <w:rsid w:val="004A4DAD"/>
    <w:rsid w:val="004A4F2D"/>
    <w:rsid w:val="004A4F5D"/>
    <w:rsid w:val="004A4F8B"/>
    <w:rsid w:val="004A51B5"/>
    <w:rsid w:val="004A51CC"/>
    <w:rsid w:val="004A542F"/>
    <w:rsid w:val="004A55EF"/>
    <w:rsid w:val="004A5782"/>
    <w:rsid w:val="004A5806"/>
    <w:rsid w:val="004A5989"/>
    <w:rsid w:val="004A5EB6"/>
    <w:rsid w:val="004A5FDB"/>
    <w:rsid w:val="004A6565"/>
    <w:rsid w:val="004A68C7"/>
    <w:rsid w:val="004A6CF2"/>
    <w:rsid w:val="004A6EBA"/>
    <w:rsid w:val="004A744A"/>
    <w:rsid w:val="004A7A3F"/>
    <w:rsid w:val="004A7D8E"/>
    <w:rsid w:val="004A7EA8"/>
    <w:rsid w:val="004B089C"/>
    <w:rsid w:val="004B0B0E"/>
    <w:rsid w:val="004B0CD6"/>
    <w:rsid w:val="004B0D84"/>
    <w:rsid w:val="004B0E43"/>
    <w:rsid w:val="004B1074"/>
    <w:rsid w:val="004B1347"/>
    <w:rsid w:val="004B18CB"/>
    <w:rsid w:val="004B1A07"/>
    <w:rsid w:val="004B1F7B"/>
    <w:rsid w:val="004B2223"/>
    <w:rsid w:val="004B24A8"/>
    <w:rsid w:val="004B2642"/>
    <w:rsid w:val="004B2666"/>
    <w:rsid w:val="004B2916"/>
    <w:rsid w:val="004B2C39"/>
    <w:rsid w:val="004B2E97"/>
    <w:rsid w:val="004B2F47"/>
    <w:rsid w:val="004B2FD9"/>
    <w:rsid w:val="004B3894"/>
    <w:rsid w:val="004B3A2F"/>
    <w:rsid w:val="004B3F88"/>
    <w:rsid w:val="004B4022"/>
    <w:rsid w:val="004B48F5"/>
    <w:rsid w:val="004B4BC4"/>
    <w:rsid w:val="004B4E9D"/>
    <w:rsid w:val="004B4EC8"/>
    <w:rsid w:val="004B4FDE"/>
    <w:rsid w:val="004B5507"/>
    <w:rsid w:val="004B5632"/>
    <w:rsid w:val="004B5766"/>
    <w:rsid w:val="004B582F"/>
    <w:rsid w:val="004B5B1C"/>
    <w:rsid w:val="004B5FAF"/>
    <w:rsid w:val="004B5FBC"/>
    <w:rsid w:val="004B6026"/>
    <w:rsid w:val="004B602F"/>
    <w:rsid w:val="004B62DB"/>
    <w:rsid w:val="004B65C8"/>
    <w:rsid w:val="004B6A55"/>
    <w:rsid w:val="004B6E95"/>
    <w:rsid w:val="004B6EFE"/>
    <w:rsid w:val="004B7B87"/>
    <w:rsid w:val="004C0363"/>
    <w:rsid w:val="004C072B"/>
    <w:rsid w:val="004C09CB"/>
    <w:rsid w:val="004C0BB9"/>
    <w:rsid w:val="004C0EAB"/>
    <w:rsid w:val="004C11EA"/>
    <w:rsid w:val="004C20CF"/>
    <w:rsid w:val="004C2224"/>
    <w:rsid w:val="004C22AD"/>
    <w:rsid w:val="004C263C"/>
    <w:rsid w:val="004C2790"/>
    <w:rsid w:val="004C2946"/>
    <w:rsid w:val="004C2983"/>
    <w:rsid w:val="004C2A95"/>
    <w:rsid w:val="004C2BD2"/>
    <w:rsid w:val="004C2E9D"/>
    <w:rsid w:val="004C3248"/>
    <w:rsid w:val="004C3548"/>
    <w:rsid w:val="004C3623"/>
    <w:rsid w:val="004C36F2"/>
    <w:rsid w:val="004C37B9"/>
    <w:rsid w:val="004C3824"/>
    <w:rsid w:val="004C3876"/>
    <w:rsid w:val="004C3A53"/>
    <w:rsid w:val="004C3C85"/>
    <w:rsid w:val="004C3ECB"/>
    <w:rsid w:val="004C3F31"/>
    <w:rsid w:val="004C447F"/>
    <w:rsid w:val="004C454B"/>
    <w:rsid w:val="004C4B03"/>
    <w:rsid w:val="004C4F3E"/>
    <w:rsid w:val="004C5179"/>
    <w:rsid w:val="004C52A9"/>
    <w:rsid w:val="004C5871"/>
    <w:rsid w:val="004C59B7"/>
    <w:rsid w:val="004C59E5"/>
    <w:rsid w:val="004C6101"/>
    <w:rsid w:val="004C628F"/>
    <w:rsid w:val="004C651F"/>
    <w:rsid w:val="004C6616"/>
    <w:rsid w:val="004C68BD"/>
    <w:rsid w:val="004C6A69"/>
    <w:rsid w:val="004C74A3"/>
    <w:rsid w:val="004C7578"/>
    <w:rsid w:val="004C75F9"/>
    <w:rsid w:val="004C7B17"/>
    <w:rsid w:val="004C7C80"/>
    <w:rsid w:val="004C7CDE"/>
    <w:rsid w:val="004C7CE8"/>
    <w:rsid w:val="004C7F28"/>
    <w:rsid w:val="004D0090"/>
    <w:rsid w:val="004D0586"/>
    <w:rsid w:val="004D05C3"/>
    <w:rsid w:val="004D0A7F"/>
    <w:rsid w:val="004D0D10"/>
    <w:rsid w:val="004D0EB7"/>
    <w:rsid w:val="004D0F43"/>
    <w:rsid w:val="004D0F50"/>
    <w:rsid w:val="004D1262"/>
    <w:rsid w:val="004D12E1"/>
    <w:rsid w:val="004D16E3"/>
    <w:rsid w:val="004D1761"/>
    <w:rsid w:val="004D224B"/>
    <w:rsid w:val="004D2661"/>
    <w:rsid w:val="004D33C0"/>
    <w:rsid w:val="004D3433"/>
    <w:rsid w:val="004D3632"/>
    <w:rsid w:val="004D36DA"/>
    <w:rsid w:val="004D381D"/>
    <w:rsid w:val="004D3BA3"/>
    <w:rsid w:val="004D3DA8"/>
    <w:rsid w:val="004D3EF1"/>
    <w:rsid w:val="004D43E4"/>
    <w:rsid w:val="004D45B6"/>
    <w:rsid w:val="004D463C"/>
    <w:rsid w:val="004D47D1"/>
    <w:rsid w:val="004D4977"/>
    <w:rsid w:val="004D4E13"/>
    <w:rsid w:val="004D4EC0"/>
    <w:rsid w:val="004D5318"/>
    <w:rsid w:val="004D5333"/>
    <w:rsid w:val="004D54E3"/>
    <w:rsid w:val="004D5534"/>
    <w:rsid w:val="004D5CA3"/>
    <w:rsid w:val="004D5E4B"/>
    <w:rsid w:val="004D6642"/>
    <w:rsid w:val="004D6847"/>
    <w:rsid w:val="004D6ACF"/>
    <w:rsid w:val="004D6C07"/>
    <w:rsid w:val="004D6E83"/>
    <w:rsid w:val="004D6EA2"/>
    <w:rsid w:val="004D75B2"/>
    <w:rsid w:val="004D76F2"/>
    <w:rsid w:val="004D786D"/>
    <w:rsid w:val="004D7877"/>
    <w:rsid w:val="004D7A9F"/>
    <w:rsid w:val="004D7E96"/>
    <w:rsid w:val="004D7ED7"/>
    <w:rsid w:val="004E04E5"/>
    <w:rsid w:val="004E102F"/>
    <w:rsid w:val="004E1219"/>
    <w:rsid w:val="004E1263"/>
    <w:rsid w:val="004E12AF"/>
    <w:rsid w:val="004E17FB"/>
    <w:rsid w:val="004E1CF3"/>
    <w:rsid w:val="004E1D8D"/>
    <w:rsid w:val="004E1E13"/>
    <w:rsid w:val="004E20EF"/>
    <w:rsid w:val="004E244A"/>
    <w:rsid w:val="004E2725"/>
    <w:rsid w:val="004E2CA1"/>
    <w:rsid w:val="004E2E54"/>
    <w:rsid w:val="004E3217"/>
    <w:rsid w:val="004E324A"/>
    <w:rsid w:val="004E331C"/>
    <w:rsid w:val="004E3434"/>
    <w:rsid w:val="004E38D9"/>
    <w:rsid w:val="004E3971"/>
    <w:rsid w:val="004E3B50"/>
    <w:rsid w:val="004E3C83"/>
    <w:rsid w:val="004E4814"/>
    <w:rsid w:val="004E494B"/>
    <w:rsid w:val="004E49EC"/>
    <w:rsid w:val="004E51C4"/>
    <w:rsid w:val="004E559C"/>
    <w:rsid w:val="004E5A9D"/>
    <w:rsid w:val="004E5B71"/>
    <w:rsid w:val="004E5BF6"/>
    <w:rsid w:val="004E5CD1"/>
    <w:rsid w:val="004E63F5"/>
    <w:rsid w:val="004E6769"/>
    <w:rsid w:val="004E6876"/>
    <w:rsid w:val="004E6B46"/>
    <w:rsid w:val="004E6B60"/>
    <w:rsid w:val="004E6C13"/>
    <w:rsid w:val="004E6C2D"/>
    <w:rsid w:val="004E743A"/>
    <w:rsid w:val="004E752F"/>
    <w:rsid w:val="004E7613"/>
    <w:rsid w:val="004E785E"/>
    <w:rsid w:val="004E7AE6"/>
    <w:rsid w:val="004E7AF4"/>
    <w:rsid w:val="004E7FBB"/>
    <w:rsid w:val="004F0115"/>
    <w:rsid w:val="004F03CD"/>
    <w:rsid w:val="004F06EE"/>
    <w:rsid w:val="004F0C21"/>
    <w:rsid w:val="004F0E65"/>
    <w:rsid w:val="004F11A2"/>
    <w:rsid w:val="004F19BB"/>
    <w:rsid w:val="004F1BDE"/>
    <w:rsid w:val="004F1ED9"/>
    <w:rsid w:val="004F1FBB"/>
    <w:rsid w:val="004F2459"/>
    <w:rsid w:val="004F2473"/>
    <w:rsid w:val="004F253B"/>
    <w:rsid w:val="004F2658"/>
    <w:rsid w:val="004F2683"/>
    <w:rsid w:val="004F2A58"/>
    <w:rsid w:val="004F2CAD"/>
    <w:rsid w:val="004F2D69"/>
    <w:rsid w:val="004F2E05"/>
    <w:rsid w:val="004F2F38"/>
    <w:rsid w:val="004F2F9D"/>
    <w:rsid w:val="004F337C"/>
    <w:rsid w:val="004F3391"/>
    <w:rsid w:val="004F33CB"/>
    <w:rsid w:val="004F3523"/>
    <w:rsid w:val="004F3699"/>
    <w:rsid w:val="004F36A5"/>
    <w:rsid w:val="004F36CF"/>
    <w:rsid w:val="004F3E04"/>
    <w:rsid w:val="004F419D"/>
    <w:rsid w:val="004F45C4"/>
    <w:rsid w:val="004F4A5E"/>
    <w:rsid w:val="004F4E38"/>
    <w:rsid w:val="004F515B"/>
    <w:rsid w:val="004F58E0"/>
    <w:rsid w:val="004F5BFA"/>
    <w:rsid w:val="004F5DC3"/>
    <w:rsid w:val="004F5EA5"/>
    <w:rsid w:val="004F6144"/>
    <w:rsid w:val="004F62FE"/>
    <w:rsid w:val="004F637F"/>
    <w:rsid w:val="004F6390"/>
    <w:rsid w:val="004F6440"/>
    <w:rsid w:val="004F66A2"/>
    <w:rsid w:val="004F6785"/>
    <w:rsid w:val="004F67C4"/>
    <w:rsid w:val="004F6883"/>
    <w:rsid w:val="004F6A66"/>
    <w:rsid w:val="004F6B30"/>
    <w:rsid w:val="004F75DE"/>
    <w:rsid w:val="004F78E3"/>
    <w:rsid w:val="004F7AE2"/>
    <w:rsid w:val="004F7F1E"/>
    <w:rsid w:val="00500206"/>
    <w:rsid w:val="00500593"/>
    <w:rsid w:val="00500B49"/>
    <w:rsid w:val="00500B91"/>
    <w:rsid w:val="00500B98"/>
    <w:rsid w:val="00500CBF"/>
    <w:rsid w:val="0050115C"/>
    <w:rsid w:val="005011E3"/>
    <w:rsid w:val="005012EF"/>
    <w:rsid w:val="00501530"/>
    <w:rsid w:val="00501582"/>
    <w:rsid w:val="005016F9"/>
    <w:rsid w:val="005019CF"/>
    <w:rsid w:val="00501A48"/>
    <w:rsid w:val="00501C33"/>
    <w:rsid w:val="00501DA9"/>
    <w:rsid w:val="00502A36"/>
    <w:rsid w:val="00502ECE"/>
    <w:rsid w:val="00502F3D"/>
    <w:rsid w:val="005035E6"/>
    <w:rsid w:val="0050390E"/>
    <w:rsid w:val="00503A08"/>
    <w:rsid w:val="00503B2F"/>
    <w:rsid w:val="00503CD1"/>
    <w:rsid w:val="00503EEC"/>
    <w:rsid w:val="00504024"/>
    <w:rsid w:val="00504162"/>
    <w:rsid w:val="0050422F"/>
    <w:rsid w:val="00504250"/>
    <w:rsid w:val="0050430D"/>
    <w:rsid w:val="0050460A"/>
    <w:rsid w:val="00504754"/>
    <w:rsid w:val="00504D2B"/>
    <w:rsid w:val="00504DD1"/>
    <w:rsid w:val="00505176"/>
    <w:rsid w:val="0050593F"/>
    <w:rsid w:val="00505A9A"/>
    <w:rsid w:val="00505AE0"/>
    <w:rsid w:val="00505C66"/>
    <w:rsid w:val="00505E84"/>
    <w:rsid w:val="00505F06"/>
    <w:rsid w:val="00506041"/>
    <w:rsid w:val="0050607D"/>
    <w:rsid w:val="00506159"/>
    <w:rsid w:val="005061A4"/>
    <w:rsid w:val="00506671"/>
    <w:rsid w:val="00506672"/>
    <w:rsid w:val="005068CE"/>
    <w:rsid w:val="00506CE1"/>
    <w:rsid w:val="0050722A"/>
    <w:rsid w:val="0050762A"/>
    <w:rsid w:val="00507C34"/>
    <w:rsid w:val="00507DE0"/>
    <w:rsid w:val="0051003F"/>
    <w:rsid w:val="005100F7"/>
    <w:rsid w:val="0051024F"/>
    <w:rsid w:val="00510265"/>
    <w:rsid w:val="005102B9"/>
    <w:rsid w:val="00510423"/>
    <w:rsid w:val="00510606"/>
    <w:rsid w:val="00510772"/>
    <w:rsid w:val="005109F9"/>
    <w:rsid w:val="00510AB3"/>
    <w:rsid w:val="00510CEC"/>
    <w:rsid w:val="00510D1F"/>
    <w:rsid w:val="00510FF9"/>
    <w:rsid w:val="005112AC"/>
    <w:rsid w:val="005114EF"/>
    <w:rsid w:val="0051189A"/>
    <w:rsid w:val="00511BDE"/>
    <w:rsid w:val="00511D32"/>
    <w:rsid w:val="00511ED2"/>
    <w:rsid w:val="00511F4F"/>
    <w:rsid w:val="00511F99"/>
    <w:rsid w:val="00511FE1"/>
    <w:rsid w:val="00512191"/>
    <w:rsid w:val="005123D7"/>
    <w:rsid w:val="0051276E"/>
    <w:rsid w:val="005129B2"/>
    <w:rsid w:val="00512A37"/>
    <w:rsid w:val="00512EC1"/>
    <w:rsid w:val="005130C7"/>
    <w:rsid w:val="00513625"/>
    <w:rsid w:val="005137EB"/>
    <w:rsid w:val="005142F5"/>
    <w:rsid w:val="0051436E"/>
    <w:rsid w:val="0051439B"/>
    <w:rsid w:val="00514D9D"/>
    <w:rsid w:val="005151B4"/>
    <w:rsid w:val="00515351"/>
    <w:rsid w:val="005153C4"/>
    <w:rsid w:val="0051542A"/>
    <w:rsid w:val="0051568F"/>
    <w:rsid w:val="00515860"/>
    <w:rsid w:val="00515AC3"/>
    <w:rsid w:val="00515BB9"/>
    <w:rsid w:val="00515C53"/>
    <w:rsid w:val="00515DD2"/>
    <w:rsid w:val="00515E8E"/>
    <w:rsid w:val="005161AF"/>
    <w:rsid w:val="00516EE3"/>
    <w:rsid w:val="00516F4A"/>
    <w:rsid w:val="00517390"/>
    <w:rsid w:val="005177AA"/>
    <w:rsid w:val="005179E3"/>
    <w:rsid w:val="00517A0C"/>
    <w:rsid w:val="00517ED4"/>
    <w:rsid w:val="0052012F"/>
    <w:rsid w:val="00520154"/>
    <w:rsid w:val="00520333"/>
    <w:rsid w:val="005206DD"/>
    <w:rsid w:val="00520911"/>
    <w:rsid w:val="00520E9D"/>
    <w:rsid w:val="005212F4"/>
    <w:rsid w:val="00521326"/>
    <w:rsid w:val="0052135C"/>
    <w:rsid w:val="005213C9"/>
    <w:rsid w:val="00521483"/>
    <w:rsid w:val="00521E51"/>
    <w:rsid w:val="00521F31"/>
    <w:rsid w:val="00521F47"/>
    <w:rsid w:val="00521F8D"/>
    <w:rsid w:val="0052221E"/>
    <w:rsid w:val="005226B3"/>
    <w:rsid w:val="005226F0"/>
    <w:rsid w:val="00522759"/>
    <w:rsid w:val="00522A46"/>
    <w:rsid w:val="00523323"/>
    <w:rsid w:val="005236DC"/>
    <w:rsid w:val="00523A30"/>
    <w:rsid w:val="00523B5C"/>
    <w:rsid w:val="00523E79"/>
    <w:rsid w:val="00524151"/>
    <w:rsid w:val="00524276"/>
    <w:rsid w:val="00524865"/>
    <w:rsid w:val="00524866"/>
    <w:rsid w:val="005248FB"/>
    <w:rsid w:val="00524A4F"/>
    <w:rsid w:val="00524D69"/>
    <w:rsid w:val="00524DC0"/>
    <w:rsid w:val="005250DD"/>
    <w:rsid w:val="005253B9"/>
    <w:rsid w:val="005256EA"/>
    <w:rsid w:val="005258D0"/>
    <w:rsid w:val="00525917"/>
    <w:rsid w:val="00525DF8"/>
    <w:rsid w:val="00525E5A"/>
    <w:rsid w:val="005265D5"/>
    <w:rsid w:val="00526B6B"/>
    <w:rsid w:val="00526ED5"/>
    <w:rsid w:val="00527337"/>
    <w:rsid w:val="005273D3"/>
    <w:rsid w:val="0052746E"/>
    <w:rsid w:val="005301F1"/>
    <w:rsid w:val="00530519"/>
    <w:rsid w:val="00530993"/>
    <w:rsid w:val="00530C5B"/>
    <w:rsid w:val="00530E7A"/>
    <w:rsid w:val="00530F24"/>
    <w:rsid w:val="00530FD5"/>
    <w:rsid w:val="005314EF"/>
    <w:rsid w:val="0053173A"/>
    <w:rsid w:val="00531BC5"/>
    <w:rsid w:val="0053221F"/>
    <w:rsid w:val="005326B1"/>
    <w:rsid w:val="00532789"/>
    <w:rsid w:val="005329D3"/>
    <w:rsid w:val="00532ABC"/>
    <w:rsid w:val="00532F96"/>
    <w:rsid w:val="005331D2"/>
    <w:rsid w:val="0053328C"/>
    <w:rsid w:val="005332AA"/>
    <w:rsid w:val="00533314"/>
    <w:rsid w:val="00533C7B"/>
    <w:rsid w:val="00533F56"/>
    <w:rsid w:val="005341D9"/>
    <w:rsid w:val="00534254"/>
    <w:rsid w:val="005344D2"/>
    <w:rsid w:val="00534646"/>
    <w:rsid w:val="00534667"/>
    <w:rsid w:val="00534C12"/>
    <w:rsid w:val="00534EF0"/>
    <w:rsid w:val="00535130"/>
    <w:rsid w:val="005354F0"/>
    <w:rsid w:val="00535540"/>
    <w:rsid w:val="00535A4C"/>
    <w:rsid w:val="00536450"/>
    <w:rsid w:val="005365A1"/>
    <w:rsid w:val="005366AC"/>
    <w:rsid w:val="00536BFE"/>
    <w:rsid w:val="00536F5B"/>
    <w:rsid w:val="00536FD1"/>
    <w:rsid w:val="00537000"/>
    <w:rsid w:val="00537676"/>
    <w:rsid w:val="005378D9"/>
    <w:rsid w:val="0054012B"/>
    <w:rsid w:val="0054013E"/>
    <w:rsid w:val="005402EA"/>
    <w:rsid w:val="005403C5"/>
    <w:rsid w:val="005405A0"/>
    <w:rsid w:val="00540947"/>
    <w:rsid w:val="00540AE1"/>
    <w:rsid w:val="00540EB5"/>
    <w:rsid w:val="00540EBC"/>
    <w:rsid w:val="00540FB0"/>
    <w:rsid w:val="0054100C"/>
    <w:rsid w:val="00541A05"/>
    <w:rsid w:val="00542414"/>
    <w:rsid w:val="00542504"/>
    <w:rsid w:val="00543279"/>
    <w:rsid w:val="0054367A"/>
    <w:rsid w:val="00543693"/>
    <w:rsid w:val="005436B8"/>
    <w:rsid w:val="005437D4"/>
    <w:rsid w:val="00543AAA"/>
    <w:rsid w:val="00543CE1"/>
    <w:rsid w:val="00543DAF"/>
    <w:rsid w:val="005442DB"/>
    <w:rsid w:val="00544518"/>
    <w:rsid w:val="00544610"/>
    <w:rsid w:val="005447DA"/>
    <w:rsid w:val="00544B9B"/>
    <w:rsid w:val="00544E13"/>
    <w:rsid w:val="00544EBD"/>
    <w:rsid w:val="0054500D"/>
    <w:rsid w:val="00545529"/>
    <w:rsid w:val="00545812"/>
    <w:rsid w:val="00545A13"/>
    <w:rsid w:val="00545AF7"/>
    <w:rsid w:val="00545E78"/>
    <w:rsid w:val="005463CA"/>
    <w:rsid w:val="0054648D"/>
    <w:rsid w:val="00546561"/>
    <w:rsid w:val="0054656E"/>
    <w:rsid w:val="00546576"/>
    <w:rsid w:val="00546597"/>
    <w:rsid w:val="00546636"/>
    <w:rsid w:val="00546A73"/>
    <w:rsid w:val="00546AD2"/>
    <w:rsid w:val="00546B78"/>
    <w:rsid w:val="00546CB3"/>
    <w:rsid w:val="00547203"/>
    <w:rsid w:val="00547618"/>
    <w:rsid w:val="005476E0"/>
    <w:rsid w:val="005479D4"/>
    <w:rsid w:val="00547B79"/>
    <w:rsid w:val="00547DB8"/>
    <w:rsid w:val="00547DF2"/>
    <w:rsid w:val="00547E28"/>
    <w:rsid w:val="00547F91"/>
    <w:rsid w:val="005507CB"/>
    <w:rsid w:val="00550A58"/>
    <w:rsid w:val="00550BD8"/>
    <w:rsid w:val="00550F6A"/>
    <w:rsid w:val="005512A6"/>
    <w:rsid w:val="005514AA"/>
    <w:rsid w:val="00551984"/>
    <w:rsid w:val="00551DFD"/>
    <w:rsid w:val="00552127"/>
    <w:rsid w:val="00552439"/>
    <w:rsid w:val="00552678"/>
    <w:rsid w:val="00552B71"/>
    <w:rsid w:val="00552BCC"/>
    <w:rsid w:val="00552F39"/>
    <w:rsid w:val="00553126"/>
    <w:rsid w:val="00553272"/>
    <w:rsid w:val="0055341C"/>
    <w:rsid w:val="005536C3"/>
    <w:rsid w:val="00553A53"/>
    <w:rsid w:val="00553B1D"/>
    <w:rsid w:val="00553D4F"/>
    <w:rsid w:val="00553E28"/>
    <w:rsid w:val="00553F1D"/>
    <w:rsid w:val="005540E1"/>
    <w:rsid w:val="00554361"/>
    <w:rsid w:val="005543F7"/>
    <w:rsid w:val="00554738"/>
    <w:rsid w:val="00554822"/>
    <w:rsid w:val="00554B40"/>
    <w:rsid w:val="005563C8"/>
    <w:rsid w:val="005566C3"/>
    <w:rsid w:val="00556783"/>
    <w:rsid w:val="005567E3"/>
    <w:rsid w:val="00556A42"/>
    <w:rsid w:val="00556D31"/>
    <w:rsid w:val="00557224"/>
    <w:rsid w:val="005572A8"/>
    <w:rsid w:val="00557C8F"/>
    <w:rsid w:val="0056001A"/>
    <w:rsid w:val="00560644"/>
    <w:rsid w:val="005606CB"/>
    <w:rsid w:val="00560709"/>
    <w:rsid w:val="00560AA4"/>
    <w:rsid w:val="00560B89"/>
    <w:rsid w:val="00560C12"/>
    <w:rsid w:val="00560DC8"/>
    <w:rsid w:val="005611F3"/>
    <w:rsid w:val="00561376"/>
    <w:rsid w:val="00561410"/>
    <w:rsid w:val="0056146F"/>
    <w:rsid w:val="00561794"/>
    <w:rsid w:val="005619A1"/>
    <w:rsid w:val="00561DF1"/>
    <w:rsid w:val="00561E50"/>
    <w:rsid w:val="00561EA3"/>
    <w:rsid w:val="00561EFC"/>
    <w:rsid w:val="00562108"/>
    <w:rsid w:val="00562138"/>
    <w:rsid w:val="00562290"/>
    <w:rsid w:val="00562C6F"/>
    <w:rsid w:val="00563020"/>
    <w:rsid w:val="0056320B"/>
    <w:rsid w:val="005632A8"/>
    <w:rsid w:val="00563341"/>
    <w:rsid w:val="0056358B"/>
    <w:rsid w:val="00563662"/>
    <w:rsid w:val="005636E9"/>
    <w:rsid w:val="00563974"/>
    <w:rsid w:val="00563C8D"/>
    <w:rsid w:val="00563CA8"/>
    <w:rsid w:val="00563ED6"/>
    <w:rsid w:val="005642CB"/>
    <w:rsid w:val="0056482B"/>
    <w:rsid w:val="00564A3A"/>
    <w:rsid w:val="0056545A"/>
    <w:rsid w:val="00565538"/>
    <w:rsid w:val="0056554B"/>
    <w:rsid w:val="00565668"/>
    <w:rsid w:val="00565767"/>
    <w:rsid w:val="005659D2"/>
    <w:rsid w:val="00565A5B"/>
    <w:rsid w:val="00565AF6"/>
    <w:rsid w:val="00565C83"/>
    <w:rsid w:val="005660D6"/>
    <w:rsid w:val="0056616C"/>
    <w:rsid w:val="0056620E"/>
    <w:rsid w:val="0056630B"/>
    <w:rsid w:val="005663E0"/>
    <w:rsid w:val="005669FA"/>
    <w:rsid w:val="00566AE9"/>
    <w:rsid w:val="00566E46"/>
    <w:rsid w:val="00566EFA"/>
    <w:rsid w:val="00566F4B"/>
    <w:rsid w:val="005671DF"/>
    <w:rsid w:val="005672D0"/>
    <w:rsid w:val="00567B6D"/>
    <w:rsid w:val="00567DB2"/>
    <w:rsid w:val="00567EDE"/>
    <w:rsid w:val="00567F21"/>
    <w:rsid w:val="005705E6"/>
    <w:rsid w:val="005706C0"/>
    <w:rsid w:val="005707DD"/>
    <w:rsid w:val="005708F7"/>
    <w:rsid w:val="00570D3D"/>
    <w:rsid w:val="00570F2F"/>
    <w:rsid w:val="00570FDF"/>
    <w:rsid w:val="005710B3"/>
    <w:rsid w:val="005711AC"/>
    <w:rsid w:val="00571334"/>
    <w:rsid w:val="005713E1"/>
    <w:rsid w:val="005717D3"/>
    <w:rsid w:val="00571CEE"/>
    <w:rsid w:val="00571E1B"/>
    <w:rsid w:val="00571E72"/>
    <w:rsid w:val="005721D1"/>
    <w:rsid w:val="00572373"/>
    <w:rsid w:val="005726E1"/>
    <w:rsid w:val="00572870"/>
    <w:rsid w:val="00572935"/>
    <w:rsid w:val="005729E4"/>
    <w:rsid w:val="00573006"/>
    <w:rsid w:val="00573185"/>
    <w:rsid w:val="005736AC"/>
    <w:rsid w:val="005737A1"/>
    <w:rsid w:val="00573B8F"/>
    <w:rsid w:val="005742FC"/>
    <w:rsid w:val="00574399"/>
    <w:rsid w:val="005747D4"/>
    <w:rsid w:val="0057488B"/>
    <w:rsid w:val="00574968"/>
    <w:rsid w:val="005749E6"/>
    <w:rsid w:val="00574B77"/>
    <w:rsid w:val="00574B94"/>
    <w:rsid w:val="00574ECC"/>
    <w:rsid w:val="005751AC"/>
    <w:rsid w:val="00575550"/>
    <w:rsid w:val="005755AE"/>
    <w:rsid w:val="00575773"/>
    <w:rsid w:val="0057579A"/>
    <w:rsid w:val="0057590D"/>
    <w:rsid w:val="00575AD8"/>
    <w:rsid w:val="00575F41"/>
    <w:rsid w:val="00575FD2"/>
    <w:rsid w:val="005761F7"/>
    <w:rsid w:val="00576267"/>
    <w:rsid w:val="005762C4"/>
    <w:rsid w:val="00576360"/>
    <w:rsid w:val="0057636E"/>
    <w:rsid w:val="005763EF"/>
    <w:rsid w:val="00576957"/>
    <w:rsid w:val="005769C7"/>
    <w:rsid w:val="005769CC"/>
    <w:rsid w:val="00576D5B"/>
    <w:rsid w:val="00577280"/>
    <w:rsid w:val="00577323"/>
    <w:rsid w:val="005779FF"/>
    <w:rsid w:val="00577A67"/>
    <w:rsid w:val="00580269"/>
    <w:rsid w:val="00580440"/>
    <w:rsid w:val="00580492"/>
    <w:rsid w:val="0058071E"/>
    <w:rsid w:val="00580768"/>
    <w:rsid w:val="00580856"/>
    <w:rsid w:val="00581057"/>
    <w:rsid w:val="00581414"/>
    <w:rsid w:val="005814E5"/>
    <w:rsid w:val="00581519"/>
    <w:rsid w:val="00581CF0"/>
    <w:rsid w:val="005820CA"/>
    <w:rsid w:val="00582152"/>
    <w:rsid w:val="005821A6"/>
    <w:rsid w:val="005821BA"/>
    <w:rsid w:val="005826CF"/>
    <w:rsid w:val="00582751"/>
    <w:rsid w:val="005828F6"/>
    <w:rsid w:val="0058299B"/>
    <w:rsid w:val="00582B96"/>
    <w:rsid w:val="0058360B"/>
    <w:rsid w:val="0058388B"/>
    <w:rsid w:val="005839FF"/>
    <w:rsid w:val="00583D55"/>
    <w:rsid w:val="005841B8"/>
    <w:rsid w:val="00584300"/>
    <w:rsid w:val="00584673"/>
    <w:rsid w:val="0058486D"/>
    <w:rsid w:val="00584AF7"/>
    <w:rsid w:val="00584DE2"/>
    <w:rsid w:val="00584E89"/>
    <w:rsid w:val="00584F4D"/>
    <w:rsid w:val="00585033"/>
    <w:rsid w:val="00585E6B"/>
    <w:rsid w:val="005860B1"/>
    <w:rsid w:val="005862C0"/>
    <w:rsid w:val="0058659B"/>
    <w:rsid w:val="0058660D"/>
    <w:rsid w:val="0058666B"/>
    <w:rsid w:val="00586795"/>
    <w:rsid w:val="00586D96"/>
    <w:rsid w:val="00586E70"/>
    <w:rsid w:val="00587061"/>
    <w:rsid w:val="005870CD"/>
    <w:rsid w:val="00587610"/>
    <w:rsid w:val="00587967"/>
    <w:rsid w:val="00587A02"/>
    <w:rsid w:val="00587E26"/>
    <w:rsid w:val="00587F94"/>
    <w:rsid w:val="0059002A"/>
    <w:rsid w:val="00590533"/>
    <w:rsid w:val="00590752"/>
    <w:rsid w:val="0059084B"/>
    <w:rsid w:val="00590A79"/>
    <w:rsid w:val="00590B74"/>
    <w:rsid w:val="00590F5D"/>
    <w:rsid w:val="00591259"/>
    <w:rsid w:val="0059150D"/>
    <w:rsid w:val="005915AC"/>
    <w:rsid w:val="00591820"/>
    <w:rsid w:val="00591995"/>
    <w:rsid w:val="00591CC1"/>
    <w:rsid w:val="00591F3A"/>
    <w:rsid w:val="0059271D"/>
    <w:rsid w:val="0059274F"/>
    <w:rsid w:val="0059289D"/>
    <w:rsid w:val="00592951"/>
    <w:rsid w:val="00592970"/>
    <w:rsid w:val="0059321B"/>
    <w:rsid w:val="0059330C"/>
    <w:rsid w:val="0059350F"/>
    <w:rsid w:val="0059397C"/>
    <w:rsid w:val="00594329"/>
    <w:rsid w:val="00594E85"/>
    <w:rsid w:val="0059527B"/>
    <w:rsid w:val="00595432"/>
    <w:rsid w:val="00595DCF"/>
    <w:rsid w:val="00595E5C"/>
    <w:rsid w:val="00595EF0"/>
    <w:rsid w:val="00596283"/>
    <w:rsid w:val="005966B2"/>
    <w:rsid w:val="005968E7"/>
    <w:rsid w:val="00596D83"/>
    <w:rsid w:val="00596F69"/>
    <w:rsid w:val="005978AF"/>
    <w:rsid w:val="00597975"/>
    <w:rsid w:val="00597C1E"/>
    <w:rsid w:val="00597C65"/>
    <w:rsid w:val="00597E8B"/>
    <w:rsid w:val="005A0011"/>
    <w:rsid w:val="005A0071"/>
    <w:rsid w:val="005A0252"/>
    <w:rsid w:val="005A0582"/>
    <w:rsid w:val="005A0664"/>
    <w:rsid w:val="005A095B"/>
    <w:rsid w:val="005A096C"/>
    <w:rsid w:val="005A0A8D"/>
    <w:rsid w:val="005A0CA6"/>
    <w:rsid w:val="005A0D5D"/>
    <w:rsid w:val="005A0D61"/>
    <w:rsid w:val="005A12A3"/>
    <w:rsid w:val="005A1496"/>
    <w:rsid w:val="005A15F8"/>
    <w:rsid w:val="005A160A"/>
    <w:rsid w:val="005A1AC2"/>
    <w:rsid w:val="005A1D2A"/>
    <w:rsid w:val="005A1FBB"/>
    <w:rsid w:val="005A256F"/>
    <w:rsid w:val="005A25E1"/>
    <w:rsid w:val="005A2A3E"/>
    <w:rsid w:val="005A3110"/>
    <w:rsid w:val="005A3712"/>
    <w:rsid w:val="005A3D16"/>
    <w:rsid w:val="005A3DF2"/>
    <w:rsid w:val="005A3F69"/>
    <w:rsid w:val="005A4424"/>
    <w:rsid w:val="005A48F3"/>
    <w:rsid w:val="005A494C"/>
    <w:rsid w:val="005A4A6D"/>
    <w:rsid w:val="005A4B28"/>
    <w:rsid w:val="005A4D4B"/>
    <w:rsid w:val="005A50DA"/>
    <w:rsid w:val="005A52B0"/>
    <w:rsid w:val="005A5711"/>
    <w:rsid w:val="005A5BE0"/>
    <w:rsid w:val="005A5C99"/>
    <w:rsid w:val="005A5CEF"/>
    <w:rsid w:val="005A6073"/>
    <w:rsid w:val="005A6141"/>
    <w:rsid w:val="005A63F8"/>
    <w:rsid w:val="005A6426"/>
    <w:rsid w:val="005A653F"/>
    <w:rsid w:val="005A6F14"/>
    <w:rsid w:val="005A7065"/>
    <w:rsid w:val="005A724E"/>
    <w:rsid w:val="005A7266"/>
    <w:rsid w:val="005A761D"/>
    <w:rsid w:val="005A7DF5"/>
    <w:rsid w:val="005B033E"/>
    <w:rsid w:val="005B069C"/>
    <w:rsid w:val="005B0C1C"/>
    <w:rsid w:val="005B0D20"/>
    <w:rsid w:val="005B156B"/>
    <w:rsid w:val="005B1B2C"/>
    <w:rsid w:val="005B1CC5"/>
    <w:rsid w:val="005B1CEC"/>
    <w:rsid w:val="005B1EA3"/>
    <w:rsid w:val="005B30B7"/>
    <w:rsid w:val="005B3441"/>
    <w:rsid w:val="005B352E"/>
    <w:rsid w:val="005B36F1"/>
    <w:rsid w:val="005B3795"/>
    <w:rsid w:val="005B37E8"/>
    <w:rsid w:val="005B3890"/>
    <w:rsid w:val="005B3B86"/>
    <w:rsid w:val="005B3DD6"/>
    <w:rsid w:val="005B3F1E"/>
    <w:rsid w:val="005B4190"/>
    <w:rsid w:val="005B423A"/>
    <w:rsid w:val="005B4338"/>
    <w:rsid w:val="005B4388"/>
    <w:rsid w:val="005B43DD"/>
    <w:rsid w:val="005B46D7"/>
    <w:rsid w:val="005B4763"/>
    <w:rsid w:val="005B4951"/>
    <w:rsid w:val="005B4B04"/>
    <w:rsid w:val="005B4B8E"/>
    <w:rsid w:val="005B4C14"/>
    <w:rsid w:val="005B4E94"/>
    <w:rsid w:val="005B4F2F"/>
    <w:rsid w:val="005B4F63"/>
    <w:rsid w:val="005B511C"/>
    <w:rsid w:val="005B5204"/>
    <w:rsid w:val="005B55B7"/>
    <w:rsid w:val="005B561F"/>
    <w:rsid w:val="005B56BC"/>
    <w:rsid w:val="005B5F42"/>
    <w:rsid w:val="005B609A"/>
    <w:rsid w:val="005B60D3"/>
    <w:rsid w:val="005B638E"/>
    <w:rsid w:val="005B6A93"/>
    <w:rsid w:val="005B6ECE"/>
    <w:rsid w:val="005B729E"/>
    <w:rsid w:val="005B7335"/>
    <w:rsid w:val="005B7396"/>
    <w:rsid w:val="005B76CF"/>
    <w:rsid w:val="005B77A1"/>
    <w:rsid w:val="005B799D"/>
    <w:rsid w:val="005B7ADD"/>
    <w:rsid w:val="005B7F54"/>
    <w:rsid w:val="005C004A"/>
    <w:rsid w:val="005C034A"/>
    <w:rsid w:val="005C03C5"/>
    <w:rsid w:val="005C13A6"/>
    <w:rsid w:val="005C191C"/>
    <w:rsid w:val="005C1993"/>
    <w:rsid w:val="005C1F7F"/>
    <w:rsid w:val="005C201E"/>
    <w:rsid w:val="005C20A2"/>
    <w:rsid w:val="005C20A6"/>
    <w:rsid w:val="005C2223"/>
    <w:rsid w:val="005C32D6"/>
    <w:rsid w:val="005C356E"/>
    <w:rsid w:val="005C3944"/>
    <w:rsid w:val="005C3956"/>
    <w:rsid w:val="005C39AF"/>
    <w:rsid w:val="005C3D56"/>
    <w:rsid w:val="005C3E5A"/>
    <w:rsid w:val="005C3F2D"/>
    <w:rsid w:val="005C4264"/>
    <w:rsid w:val="005C4358"/>
    <w:rsid w:val="005C449A"/>
    <w:rsid w:val="005C454A"/>
    <w:rsid w:val="005C487A"/>
    <w:rsid w:val="005C48FE"/>
    <w:rsid w:val="005C4AAE"/>
    <w:rsid w:val="005C53BB"/>
    <w:rsid w:val="005C544E"/>
    <w:rsid w:val="005C5880"/>
    <w:rsid w:val="005C5899"/>
    <w:rsid w:val="005C5962"/>
    <w:rsid w:val="005C6307"/>
    <w:rsid w:val="005C64D3"/>
    <w:rsid w:val="005C6546"/>
    <w:rsid w:val="005C67C0"/>
    <w:rsid w:val="005C6C37"/>
    <w:rsid w:val="005C6FD0"/>
    <w:rsid w:val="005C7017"/>
    <w:rsid w:val="005C712C"/>
    <w:rsid w:val="005C7270"/>
    <w:rsid w:val="005C7366"/>
    <w:rsid w:val="005C79A5"/>
    <w:rsid w:val="005C7D24"/>
    <w:rsid w:val="005C7E21"/>
    <w:rsid w:val="005C7E93"/>
    <w:rsid w:val="005D071C"/>
    <w:rsid w:val="005D1295"/>
    <w:rsid w:val="005D133D"/>
    <w:rsid w:val="005D141F"/>
    <w:rsid w:val="005D143F"/>
    <w:rsid w:val="005D1723"/>
    <w:rsid w:val="005D174D"/>
    <w:rsid w:val="005D1871"/>
    <w:rsid w:val="005D1B56"/>
    <w:rsid w:val="005D1BF7"/>
    <w:rsid w:val="005D1D5F"/>
    <w:rsid w:val="005D1E73"/>
    <w:rsid w:val="005D22CC"/>
    <w:rsid w:val="005D25BB"/>
    <w:rsid w:val="005D27DA"/>
    <w:rsid w:val="005D2908"/>
    <w:rsid w:val="005D2DFB"/>
    <w:rsid w:val="005D317E"/>
    <w:rsid w:val="005D35DC"/>
    <w:rsid w:val="005D3A79"/>
    <w:rsid w:val="005D3AC3"/>
    <w:rsid w:val="005D3B95"/>
    <w:rsid w:val="005D3F0E"/>
    <w:rsid w:val="005D40A1"/>
    <w:rsid w:val="005D465B"/>
    <w:rsid w:val="005D47E4"/>
    <w:rsid w:val="005D4B71"/>
    <w:rsid w:val="005D4C2B"/>
    <w:rsid w:val="005D5521"/>
    <w:rsid w:val="005D5734"/>
    <w:rsid w:val="005D5B7C"/>
    <w:rsid w:val="005D5CFD"/>
    <w:rsid w:val="005D6131"/>
    <w:rsid w:val="005D6140"/>
    <w:rsid w:val="005D62DC"/>
    <w:rsid w:val="005D655D"/>
    <w:rsid w:val="005D6C41"/>
    <w:rsid w:val="005D725A"/>
    <w:rsid w:val="005D7506"/>
    <w:rsid w:val="005D7784"/>
    <w:rsid w:val="005D79D9"/>
    <w:rsid w:val="005D7B80"/>
    <w:rsid w:val="005D7C34"/>
    <w:rsid w:val="005D7CD0"/>
    <w:rsid w:val="005D7F0E"/>
    <w:rsid w:val="005D7FD1"/>
    <w:rsid w:val="005E010F"/>
    <w:rsid w:val="005E032F"/>
    <w:rsid w:val="005E04A7"/>
    <w:rsid w:val="005E04FD"/>
    <w:rsid w:val="005E09F0"/>
    <w:rsid w:val="005E0A56"/>
    <w:rsid w:val="005E0BE1"/>
    <w:rsid w:val="005E1288"/>
    <w:rsid w:val="005E1576"/>
    <w:rsid w:val="005E1799"/>
    <w:rsid w:val="005E1ADE"/>
    <w:rsid w:val="005E1BE4"/>
    <w:rsid w:val="005E1FDB"/>
    <w:rsid w:val="005E2195"/>
    <w:rsid w:val="005E2805"/>
    <w:rsid w:val="005E29A6"/>
    <w:rsid w:val="005E2F3E"/>
    <w:rsid w:val="005E318C"/>
    <w:rsid w:val="005E342C"/>
    <w:rsid w:val="005E34A1"/>
    <w:rsid w:val="005E368C"/>
    <w:rsid w:val="005E3A75"/>
    <w:rsid w:val="005E3DA7"/>
    <w:rsid w:val="005E3FB6"/>
    <w:rsid w:val="005E4287"/>
    <w:rsid w:val="005E431E"/>
    <w:rsid w:val="005E47F0"/>
    <w:rsid w:val="005E4FE1"/>
    <w:rsid w:val="005E5199"/>
    <w:rsid w:val="005E52D1"/>
    <w:rsid w:val="005E552B"/>
    <w:rsid w:val="005E5798"/>
    <w:rsid w:val="005E5845"/>
    <w:rsid w:val="005E5898"/>
    <w:rsid w:val="005E5BF0"/>
    <w:rsid w:val="005E5C5F"/>
    <w:rsid w:val="005E5DB6"/>
    <w:rsid w:val="005E5F3D"/>
    <w:rsid w:val="005E5F9C"/>
    <w:rsid w:val="005E6383"/>
    <w:rsid w:val="005E6B38"/>
    <w:rsid w:val="005E6BEE"/>
    <w:rsid w:val="005E6D00"/>
    <w:rsid w:val="005E6D81"/>
    <w:rsid w:val="005E7048"/>
    <w:rsid w:val="005E7132"/>
    <w:rsid w:val="005E73A0"/>
    <w:rsid w:val="005E7B7B"/>
    <w:rsid w:val="005E7DC3"/>
    <w:rsid w:val="005F01A6"/>
    <w:rsid w:val="005F0543"/>
    <w:rsid w:val="005F0A9B"/>
    <w:rsid w:val="005F102E"/>
    <w:rsid w:val="005F13A6"/>
    <w:rsid w:val="005F14CD"/>
    <w:rsid w:val="005F19D9"/>
    <w:rsid w:val="005F1AFD"/>
    <w:rsid w:val="005F1BC8"/>
    <w:rsid w:val="005F1D3D"/>
    <w:rsid w:val="005F2103"/>
    <w:rsid w:val="005F2266"/>
    <w:rsid w:val="005F2A99"/>
    <w:rsid w:val="005F322B"/>
    <w:rsid w:val="005F32FF"/>
    <w:rsid w:val="005F3435"/>
    <w:rsid w:val="005F348F"/>
    <w:rsid w:val="005F3A67"/>
    <w:rsid w:val="005F3FAA"/>
    <w:rsid w:val="005F4796"/>
    <w:rsid w:val="005F4C6C"/>
    <w:rsid w:val="005F4CBA"/>
    <w:rsid w:val="005F5572"/>
    <w:rsid w:val="005F5696"/>
    <w:rsid w:val="005F57F3"/>
    <w:rsid w:val="005F5875"/>
    <w:rsid w:val="005F5A4A"/>
    <w:rsid w:val="005F5C07"/>
    <w:rsid w:val="005F5CEE"/>
    <w:rsid w:val="005F607A"/>
    <w:rsid w:val="005F60EE"/>
    <w:rsid w:val="005F61CE"/>
    <w:rsid w:val="005F64E2"/>
    <w:rsid w:val="005F665B"/>
    <w:rsid w:val="005F6979"/>
    <w:rsid w:val="005F6A53"/>
    <w:rsid w:val="005F6E85"/>
    <w:rsid w:val="005F71F1"/>
    <w:rsid w:val="005F7A74"/>
    <w:rsid w:val="005F7C51"/>
    <w:rsid w:val="005F7CB5"/>
    <w:rsid w:val="005F7CCC"/>
    <w:rsid w:val="005F7CF7"/>
    <w:rsid w:val="005F7DAF"/>
    <w:rsid w:val="0060028C"/>
    <w:rsid w:val="006006B2"/>
    <w:rsid w:val="00600A41"/>
    <w:rsid w:val="00600A77"/>
    <w:rsid w:val="00600C7E"/>
    <w:rsid w:val="00601374"/>
    <w:rsid w:val="00601444"/>
    <w:rsid w:val="006014D4"/>
    <w:rsid w:val="0060157A"/>
    <w:rsid w:val="0060160A"/>
    <w:rsid w:val="006017AC"/>
    <w:rsid w:val="0060184F"/>
    <w:rsid w:val="0060188D"/>
    <w:rsid w:val="00601C1B"/>
    <w:rsid w:val="00601E89"/>
    <w:rsid w:val="00601FEB"/>
    <w:rsid w:val="006029CE"/>
    <w:rsid w:val="00602B3D"/>
    <w:rsid w:val="00603136"/>
    <w:rsid w:val="006035D4"/>
    <w:rsid w:val="00603798"/>
    <w:rsid w:val="00603853"/>
    <w:rsid w:val="006038EC"/>
    <w:rsid w:val="00603DE2"/>
    <w:rsid w:val="00603FC1"/>
    <w:rsid w:val="0060401F"/>
    <w:rsid w:val="0060421C"/>
    <w:rsid w:val="0060440E"/>
    <w:rsid w:val="0060444D"/>
    <w:rsid w:val="006045C0"/>
    <w:rsid w:val="006045DB"/>
    <w:rsid w:val="006048D6"/>
    <w:rsid w:val="00604909"/>
    <w:rsid w:val="00604AE4"/>
    <w:rsid w:val="00604BC2"/>
    <w:rsid w:val="00604BF7"/>
    <w:rsid w:val="00604E12"/>
    <w:rsid w:val="006053B5"/>
    <w:rsid w:val="006056AA"/>
    <w:rsid w:val="00605B77"/>
    <w:rsid w:val="006060F7"/>
    <w:rsid w:val="00606422"/>
    <w:rsid w:val="00606594"/>
    <w:rsid w:val="00606635"/>
    <w:rsid w:val="00606C37"/>
    <w:rsid w:val="00606FE1"/>
    <w:rsid w:val="00606FE7"/>
    <w:rsid w:val="00607495"/>
    <w:rsid w:val="00607A44"/>
    <w:rsid w:val="00607B34"/>
    <w:rsid w:val="006102B6"/>
    <w:rsid w:val="00610444"/>
    <w:rsid w:val="00610AD7"/>
    <w:rsid w:val="00610B7C"/>
    <w:rsid w:val="00610ED4"/>
    <w:rsid w:val="00610EF3"/>
    <w:rsid w:val="006110EB"/>
    <w:rsid w:val="0061120B"/>
    <w:rsid w:val="00611355"/>
    <w:rsid w:val="006114E9"/>
    <w:rsid w:val="006114FC"/>
    <w:rsid w:val="00612688"/>
    <w:rsid w:val="00612B9E"/>
    <w:rsid w:val="00612D8C"/>
    <w:rsid w:val="0061300C"/>
    <w:rsid w:val="00613207"/>
    <w:rsid w:val="00613523"/>
    <w:rsid w:val="00613639"/>
    <w:rsid w:val="006138DC"/>
    <w:rsid w:val="00613B78"/>
    <w:rsid w:val="00613C20"/>
    <w:rsid w:val="00613FBF"/>
    <w:rsid w:val="00613FC6"/>
    <w:rsid w:val="0061463F"/>
    <w:rsid w:val="00614744"/>
    <w:rsid w:val="006147B8"/>
    <w:rsid w:val="0061484E"/>
    <w:rsid w:val="00614934"/>
    <w:rsid w:val="00614C22"/>
    <w:rsid w:val="00614E10"/>
    <w:rsid w:val="0061518D"/>
    <w:rsid w:val="00615356"/>
    <w:rsid w:val="006154D2"/>
    <w:rsid w:val="00615827"/>
    <w:rsid w:val="00615A1F"/>
    <w:rsid w:val="00615E07"/>
    <w:rsid w:val="0061600A"/>
    <w:rsid w:val="00616053"/>
    <w:rsid w:val="0061692A"/>
    <w:rsid w:val="00616ADC"/>
    <w:rsid w:val="00617D8B"/>
    <w:rsid w:val="006200E4"/>
    <w:rsid w:val="00620376"/>
    <w:rsid w:val="006203AE"/>
    <w:rsid w:val="00620419"/>
    <w:rsid w:val="006206C5"/>
    <w:rsid w:val="006207E1"/>
    <w:rsid w:val="00620AC3"/>
    <w:rsid w:val="00620F6C"/>
    <w:rsid w:val="00620F80"/>
    <w:rsid w:val="006211FF"/>
    <w:rsid w:val="006213DD"/>
    <w:rsid w:val="00621621"/>
    <w:rsid w:val="0062168B"/>
    <w:rsid w:val="00621A97"/>
    <w:rsid w:val="00621B40"/>
    <w:rsid w:val="00621C35"/>
    <w:rsid w:val="00621FD6"/>
    <w:rsid w:val="00622049"/>
    <w:rsid w:val="006223E5"/>
    <w:rsid w:val="0062252F"/>
    <w:rsid w:val="00622781"/>
    <w:rsid w:val="006228D9"/>
    <w:rsid w:val="0062291D"/>
    <w:rsid w:val="00622DB5"/>
    <w:rsid w:val="0062386B"/>
    <w:rsid w:val="00623884"/>
    <w:rsid w:val="0062397B"/>
    <w:rsid w:val="00623D59"/>
    <w:rsid w:val="00623FA0"/>
    <w:rsid w:val="006246F0"/>
    <w:rsid w:val="006247CF"/>
    <w:rsid w:val="00624992"/>
    <w:rsid w:val="00624A17"/>
    <w:rsid w:val="00624B3E"/>
    <w:rsid w:val="00624D61"/>
    <w:rsid w:val="006253D6"/>
    <w:rsid w:val="00625495"/>
    <w:rsid w:val="006254CF"/>
    <w:rsid w:val="00625642"/>
    <w:rsid w:val="00625668"/>
    <w:rsid w:val="0062583E"/>
    <w:rsid w:val="00625CF3"/>
    <w:rsid w:val="00625DC2"/>
    <w:rsid w:val="006262C3"/>
    <w:rsid w:val="00626300"/>
    <w:rsid w:val="00626435"/>
    <w:rsid w:val="006269E6"/>
    <w:rsid w:val="00626DF6"/>
    <w:rsid w:val="006270E7"/>
    <w:rsid w:val="00627230"/>
    <w:rsid w:val="006277A6"/>
    <w:rsid w:val="00627E64"/>
    <w:rsid w:val="006301B5"/>
    <w:rsid w:val="0063033D"/>
    <w:rsid w:val="00630344"/>
    <w:rsid w:val="006303FF"/>
    <w:rsid w:val="0063044F"/>
    <w:rsid w:val="0063047B"/>
    <w:rsid w:val="006309EF"/>
    <w:rsid w:val="00630A46"/>
    <w:rsid w:val="00630BE1"/>
    <w:rsid w:val="00630EB6"/>
    <w:rsid w:val="0063102E"/>
    <w:rsid w:val="006311D0"/>
    <w:rsid w:val="00631266"/>
    <w:rsid w:val="0063148E"/>
    <w:rsid w:val="006316B3"/>
    <w:rsid w:val="0063172D"/>
    <w:rsid w:val="00631771"/>
    <w:rsid w:val="00631973"/>
    <w:rsid w:val="00631CC3"/>
    <w:rsid w:val="00631E15"/>
    <w:rsid w:val="006321AD"/>
    <w:rsid w:val="0063236F"/>
    <w:rsid w:val="006326B5"/>
    <w:rsid w:val="006328DA"/>
    <w:rsid w:val="0063293B"/>
    <w:rsid w:val="00632C39"/>
    <w:rsid w:val="00633009"/>
    <w:rsid w:val="006331D2"/>
    <w:rsid w:val="00633558"/>
    <w:rsid w:val="00633B8A"/>
    <w:rsid w:val="00633D6A"/>
    <w:rsid w:val="00633E02"/>
    <w:rsid w:val="00634245"/>
    <w:rsid w:val="0063493E"/>
    <w:rsid w:val="00634A77"/>
    <w:rsid w:val="00634F7D"/>
    <w:rsid w:val="0063505E"/>
    <w:rsid w:val="00635061"/>
    <w:rsid w:val="0063506A"/>
    <w:rsid w:val="00635282"/>
    <w:rsid w:val="006354BD"/>
    <w:rsid w:val="0063561A"/>
    <w:rsid w:val="006356C4"/>
    <w:rsid w:val="00635B66"/>
    <w:rsid w:val="00635C3B"/>
    <w:rsid w:val="00635DD7"/>
    <w:rsid w:val="00635FE6"/>
    <w:rsid w:val="0063638F"/>
    <w:rsid w:val="006364B9"/>
    <w:rsid w:val="0063663A"/>
    <w:rsid w:val="00636FA6"/>
    <w:rsid w:val="00637011"/>
    <w:rsid w:val="00637A75"/>
    <w:rsid w:val="00637C80"/>
    <w:rsid w:val="00637E13"/>
    <w:rsid w:val="00637F8A"/>
    <w:rsid w:val="006400F2"/>
    <w:rsid w:val="006404D7"/>
    <w:rsid w:val="0064079D"/>
    <w:rsid w:val="00640AD4"/>
    <w:rsid w:val="00640CEA"/>
    <w:rsid w:val="00640D84"/>
    <w:rsid w:val="00640E9B"/>
    <w:rsid w:val="0064107D"/>
    <w:rsid w:val="006410D3"/>
    <w:rsid w:val="00641266"/>
    <w:rsid w:val="006412AE"/>
    <w:rsid w:val="00641397"/>
    <w:rsid w:val="00641414"/>
    <w:rsid w:val="006414C6"/>
    <w:rsid w:val="00641933"/>
    <w:rsid w:val="00641DCE"/>
    <w:rsid w:val="00641E72"/>
    <w:rsid w:val="00641E87"/>
    <w:rsid w:val="00642365"/>
    <w:rsid w:val="00642428"/>
    <w:rsid w:val="0064254F"/>
    <w:rsid w:val="00642F16"/>
    <w:rsid w:val="00643217"/>
    <w:rsid w:val="0064321D"/>
    <w:rsid w:val="006435D0"/>
    <w:rsid w:val="00643A42"/>
    <w:rsid w:val="00643AF1"/>
    <w:rsid w:val="00643C1C"/>
    <w:rsid w:val="00643C9E"/>
    <w:rsid w:val="00643CDD"/>
    <w:rsid w:val="006440AC"/>
    <w:rsid w:val="006448C7"/>
    <w:rsid w:val="00644981"/>
    <w:rsid w:val="00644992"/>
    <w:rsid w:val="00644A25"/>
    <w:rsid w:val="00644B5C"/>
    <w:rsid w:val="00645368"/>
    <w:rsid w:val="00645621"/>
    <w:rsid w:val="006459EB"/>
    <w:rsid w:val="00645A31"/>
    <w:rsid w:val="00645A67"/>
    <w:rsid w:val="00645D88"/>
    <w:rsid w:val="00645E41"/>
    <w:rsid w:val="00645F37"/>
    <w:rsid w:val="006460CC"/>
    <w:rsid w:val="0064636F"/>
    <w:rsid w:val="00646764"/>
    <w:rsid w:val="00646B9F"/>
    <w:rsid w:val="00646CF7"/>
    <w:rsid w:val="00646D53"/>
    <w:rsid w:val="00646DE4"/>
    <w:rsid w:val="00646E42"/>
    <w:rsid w:val="00646EE3"/>
    <w:rsid w:val="006472E3"/>
    <w:rsid w:val="0064756C"/>
    <w:rsid w:val="0064780B"/>
    <w:rsid w:val="00647A7B"/>
    <w:rsid w:val="00647CEF"/>
    <w:rsid w:val="00647D16"/>
    <w:rsid w:val="00647D3A"/>
    <w:rsid w:val="00647FD4"/>
    <w:rsid w:val="0065023F"/>
    <w:rsid w:val="00650521"/>
    <w:rsid w:val="006506DC"/>
    <w:rsid w:val="00650986"/>
    <w:rsid w:val="006509D8"/>
    <w:rsid w:val="00650D0A"/>
    <w:rsid w:val="00651284"/>
    <w:rsid w:val="006512F9"/>
    <w:rsid w:val="006512FA"/>
    <w:rsid w:val="0065158A"/>
    <w:rsid w:val="00651652"/>
    <w:rsid w:val="0065165B"/>
    <w:rsid w:val="00651981"/>
    <w:rsid w:val="00651D0F"/>
    <w:rsid w:val="00651DE1"/>
    <w:rsid w:val="0065243D"/>
    <w:rsid w:val="00652662"/>
    <w:rsid w:val="006527E1"/>
    <w:rsid w:val="006530FA"/>
    <w:rsid w:val="006530FE"/>
    <w:rsid w:val="006533B9"/>
    <w:rsid w:val="00653863"/>
    <w:rsid w:val="00653A45"/>
    <w:rsid w:val="00653B22"/>
    <w:rsid w:val="00654441"/>
    <w:rsid w:val="00654993"/>
    <w:rsid w:val="006549D5"/>
    <w:rsid w:val="00654A03"/>
    <w:rsid w:val="00654A48"/>
    <w:rsid w:val="00654A55"/>
    <w:rsid w:val="00654D6D"/>
    <w:rsid w:val="006550EF"/>
    <w:rsid w:val="00655140"/>
    <w:rsid w:val="00655254"/>
    <w:rsid w:val="006554F5"/>
    <w:rsid w:val="006555BF"/>
    <w:rsid w:val="006557B3"/>
    <w:rsid w:val="006558B8"/>
    <w:rsid w:val="00655934"/>
    <w:rsid w:val="00655BDC"/>
    <w:rsid w:val="00655C8F"/>
    <w:rsid w:val="00655FEE"/>
    <w:rsid w:val="006560CB"/>
    <w:rsid w:val="006560EB"/>
    <w:rsid w:val="006561EF"/>
    <w:rsid w:val="00656483"/>
    <w:rsid w:val="0065669F"/>
    <w:rsid w:val="0065675A"/>
    <w:rsid w:val="00656BEB"/>
    <w:rsid w:val="00656E42"/>
    <w:rsid w:val="00657082"/>
    <w:rsid w:val="00657553"/>
    <w:rsid w:val="00657884"/>
    <w:rsid w:val="00657E49"/>
    <w:rsid w:val="00657F6C"/>
    <w:rsid w:val="006605F4"/>
    <w:rsid w:val="0066077A"/>
    <w:rsid w:val="00660AFE"/>
    <w:rsid w:val="00660BF4"/>
    <w:rsid w:val="00660CA7"/>
    <w:rsid w:val="00660D67"/>
    <w:rsid w:val="00660D76"/>
    <w:rsid w:val="00660EAC"/>
    <w:rsid w:val="00660F2A"/>
    <w:rsid w:val="006610B8"/>
    <w:rsid w:val="006611AF"/>
    <w:rsid w:val="00661AEF"/>
    <w:rsid w:val="00661CD4"/>
    <w:rsid w:val="00661D19"/>
    <w:rsid w:val="00662486"/>
    <w:rsid w:val="00662702"/>
    <w:rsid w:val="00662894"/>
    <w:rsid w:val="00662933"/>
    <w:rsid w:val="00662B4B"/>
    <w:rsid w:val="00662E22"/>
    <w:rsid w:val="0066307A"/>
    <w:rsid w:val="00663141"/>
    <w:rsid w:val="0066319E"/>
    <w:rsid w:val="00663350"/>
    <w:rsid w:val="00663620"/>
    <w:rsid w:val="006638BF"/>
    <w:rsid w:val="00663A8C"/>
    <w:rsid w:val="00663D85"/>
    <w:rsid w:val="00663FF6"/>
    <w:rsid w:val="00664106"/>
    <w:rsid w:val="006644BA"/>
    <w:rsid w:val="006644C6"/>
    <w:rsid w:val="006648E2"/>
    <w:rsid w:val="0066492C"/>
    <w:rsid w:val="006649DF"/>
    <w:rsid w:val="00664A81"/>
    <w:rsid w:val="00664C59"/>
    <w:rsid w:val="0066556A"/>
    <w:rsid w:val="00665A05"/>
    <w:rsid w:val="00665FC9"/>
    <w:rsid w:val="0066630E"/>
    <w:rsid w:val="006665AA"/>
    <w:rsid w:val="0066663D"/>
    <w:rsid w:val="00666685"/>
    <w:rsid w:val="0066694C"/>
    <w:rsid w:val="00666E1D"/>
    <w:rsid w:val="00666F27"/>
    <w:rsid w:val="00667151"/>
    <w:rsid w:val="0066724F"/>
    <w:rsid w:val="0066791E"/>
    <w:rsid w:val="00667946"/>
    <w:rsid w:val="00667A5E"/>
    <w:rsid w:val="006702D0"/>
    <w:rsid w:val="00670A00"/>
    <w:rsid w:val="00670C77"/>
    <w:rsid w:val="00670D0E"/>
    <w:rsid w:val="006712BC"/>
    <w:rsid w:val="0067133C"/>
    <w:rsid w:val="006720A8"/>
    <w:rsid w:val="006720E7"/>
    <w:rsid w:val="00672B87"/>
    <w:rsid w:val="00672D30"/>
    <w:rsid w:val="00673042"/>
    <w:rsid w:val="00673301"/>
    <w:rsid w:val="0067330A"/>
    <w:rsid w:val="00673542"/>
    <w:rsid w:val="00673D32"/>
    <w:rsid w:val="00673ED5"/>
    <w:rsid w:val="006740A2"/>
    <w:rsid w:val="006743DF"/>
    <w:rsid w:val="0067453B"/>
    <w:rsid w:val="0067460C"/>
    <w:rsid w:val="00674780"/>
    <w:rsid w:val="00674872"/>
    <w:rsid w:val="006749BD"/>
    <w:rsid w:val="00674A46"/>
    <w:rsid w:val="00674AB7"/>
    <w:rsid w:val="00674B6E"/>
    <w:rsid w:val="00674CEB"/>
    <w:rsid w:val="00674DE9"/>
    <w:rsid w:val="00674FF5"/>
    <w:rsid w:val="006750D0"/>
    <w:rsid w:val="0067521C"/>
    <w:rsid w:val="00675AB3"/>
    <w:rsid w:val="00675C50"/>
    <w:rsid w:val="00675C5F"/>
    <w:rsid w:val="00675EE9"/>
    <w:rsid w:val="0067604E"/>
    <w:rsid w:val="006760E8"/>
    <w:rsid w:val="00676297"/>
    <w:rsid w:val="0067645E"/>
    <w:rsid w:val="0067649A"/>
    <w:rsid w:val="00676B57"/>
    <w:rsid w:val="00676D7C"/>
    <w:rsid w:val="00676E86"/>
    <w:rsid w:val="0067708A"/>
    <w:rsid w:val="006771FE"/>
    <w:rsid w:val="006773F0"/>
    <w:rsid w:val="006774E5"/>
    <w:rsid w:val="006777E0"/>
    <w:rsid w:val="00677B3B"/>
    <w:rsid w:val="00680265"/>
    <w:rsid w:val="006807BF"/>
    <w:rsid w:val="00680952"/>
    <w:rsid w:val="00680C2D"/>
    <w:rsid w:val="00680FE3"/>
    <w:rsid w:val="0068103E"/>
    <w:rsid w:val="0068107C"/>
    <w:rsid w:val="00681657"/>
    <w:rsid w:val="0068165A"/>
    <w:rsid w:val="00681C49"/>
    <w:rsid w:val="00681CFC"/>
    <w:rsid w:val="0068218F"/>
    <w:rsid w:val="006822AD"/>
    <w:rsid w:val="00682E0C"/>
    <w:rsid w:val="00682ED7"/>
    <w:rsid w:val="006832AB"/>
    <w:rsid w:val="006838C5"/>
    <w:rsid w:val="006839C7"/>
    <w:rsid w:val="00683EF3"/>
    <w:rsid w:val="0068403C"/>
    <w:rsid w:val="006847D3"/>
    <w:rsid w:val="0068497E"/>
    <w:rsid w:val="006849BA"/>
    <w:rsid w:val="00684EFE"/>
    <w:rsid w:val="006852E3"/>
    <w:rsid w:val="006855D6"/>
    <w:rsid w:val="006855FB"/>
    <w:rsid w:val="0068576D"/>
    <w:rsid w:val="006857A1"/>
    <w:rsid w:val="006857EB"/>
    <w:rsid w:val="00685984"/>
    <w:rsid w:val="0068599A"/>
    <w:rsid w:val="00685B87"/>
    <w:rsid w:val="00685E8A"/>
    <w:rsid w:val="00685F87"/>
    <w:rsid w:val="00686295"/>
    <w:rsid w:val="006862D9"/>
    <w:rsid w:val="006865DC"/>
    <w:rsid w:val="00686BB9"/>
    <w:rsid w:val="00686C57"/>
    <w:rsid w:val="00686D5D"/>
    <w:rsid w:val="00686EEB"/>
    <w:rsid w:val="006870D2"/>
    <w:rsid w:val="006875EA"/>
    <w:rsid w:val="00687A3C"/>
    <w:rsid w:val="00687A9A"/>
    <w:rsid w:val="00687EBE"/>
    <w:rsid w:val="00687F12"/>
    <w:rsid w:val="006905C3"/>
    <w:rsid w:val="00690960"/>
    <w:rsid w:val="00690A27"/>
    <w:rsid w:val="00690C16"/>
    <w:rsid w:val="00690CFF"/>
    <w:rsid w:val="00690DE0"/>
    <w:rsid w:val="00690F83"/>
    <w:rsid w:val="0069116A"/>
    <w:rsid w:val="006914F4"/>
    <w:rsid w:val="006917A6"/>
    <w:rsid w:val="00691AF2"/>
    <w:rsid w:val="00691F97"/>
    <w:rsid w:val="00692269"/>
    <w:rsid w:val="006927DD"/>
    <w:rsid w:val="00692B45"/>
    <w:rsid w:val="00692F4C"/>
    <w:rsid w:val="006930A1"/>
    <w:rsid w:val="006936A8"/>
    <w:rsid w:val="00693BA1"/>
    <w:rsid w:val="00694389"/>
    <w:rsid w:val="006943D3"/>
    <w:rsid w:val="00694854"/>
    <w:rsid w:val="00694B0B"/>
    <w:rsid w:val="00694B5D"/>
    <w:rsid w:val="0069512B"/>
    <w:rsid w:val="0069520C"/>
    <w:rsid w:val="006954D9"/>
    <w:rsid w:val="00695BA8"/>
    <w:rsid w:val="00695C1F"/>
    <w:rsid w:val="00695E10"/>
    <w:rsid w:val="006961E4"/>
    <w:rsid w:val="006964C1"/>
    <w:rsid w:val="0069689C"/>
    <w:rsid w:val="006972E3"/>
    <w:rsid w:val="006979E8"/>
    <w:rsid w:val="00697A2A"/>
    <w:rsid w:val="006A019D"/>
    <w:rsid w:val="006A032D"/>
    <w:rsid w:val="006A05ED"/>
    <w:rsid w:val="006A0A94"/>
    <w:rsid w:val="006A0D1F"/>
    <w:rsid w:val="006A0D94"/>
    <w:rsid w:val="006A110E"/>
    <w:rsid w:val="006A11AD"/>
    <w:rsid w:val="006A1338"/>
    <w:rsid w:val="006A17F2"/>
    <w:rsid w:val="006A1A03"/>
    <w:rsid w:val="006A248F"/>
    <w:rsid w:val="006A26D4"/>
    <w:rsid w:val="006A2DE2"/>
    <w:rsid w:val="006A2FBE"/>
    <w:rsid w:val="006A310C"/>
    <w:rsid w:val="006A3199"/>
    <w:rsid w:val="006A341D"/>
    <w:rsid w:val="006A34E4"/>
    <w:rsid w:val="006A367B"/>
    <w:rsid w:val="006A3680"/>
    <w:rsid w:val="006A37D7"/>
    <w:rsid w:val="006A3C4A"/>
    <w:rsid w:val="006A3D65"/>
    <w:rsid w:val="006A415B"/>
    <w:rsid w:val="006A4210"/>
    <w:rsid w:val="006A440A"/>
    <w:rsid w:val="006A4D61"/>
    <w:rsid w:val="006A4EDE"/>
    <w:rsid w:val="006A51DC"/>
    <w:rsid w:val="006A52DF"/>
    <w:rsid w:val="006A55E0"/>
    <w:rsid w:val="006A593F"/>
    <w:rsid w:val="006A5DCC"/>
    <w:rsid w:val="006A6068"/>
    <w:rsid w:val="006A612B"/>
    <w:rsid w:val="006A639A"/>
    <w:rsid w:val="006A6867"/>
    <w:rsid w:val="006A6B08"/>
    <w:rsid w:val="006A6C2F"/>
    <w:rsid w:val="006A6C71"/>
    <w:rsid w:val="006A6DAD"/>
    <w:rsid w:val="006A703C"/>
    <w:rsid w:val="006A76C0"/>
    <w:rsid w:val="006A79A2"/>
    <w:rsid w:val="006A7A5A"/>
    <w:rsid w:val="006A7F7A"/>
    <w:rsid w:val="006B0294"/>
    <w:rsid w:val="006B034F"/>
    <w:rsid w:val="006B05A0"/>
    <w:rsid w:val="006B070F"/>
    <w:rsid w:val="006B09C6"/>
    <w:rsid w:val="006B0F6B"/>
    <w:rsid w:val="006B1015"/>
    <w:rsid w:val="006B13C0"/>
    <w:rsid w:val="006B13E9"/>
    <w:rsid w:val="006B1490"/>
    <w:rsid w:val="006B14BF"/>
    <w:rsid w:val="006B16C1"/>
    <w:rsid w:val="006B1E34"/>
    <w:rsid w:val="006B1E40"/>
    <w:rsid w:val="006B1F8E"/>
    <w:rsid w:val="006B2550"/>
    <w:rsid w:val="006B2784"/>
    <w:rsid w:val="006B2C2D"/>
    <w:rsid w:val="006B2CC8"/>
    <w:rsid w:val="006B3320"/>
    <w:rsid w:val="006B3337"/>
    <w:rsid w:val="006B33E8"/>
    <w:rsid w:val="006B342E"/>
    <w:rsid w:val="006B379C"/>
    <w:rsid w:val="006B37AE"/>
    <w:rsid w:val="006B3ACE"/>
    <w:rsid w:val="006B3D56"/>
    <w:rsid w:val="006B416B"/>
    <w:rsid w:val="006B436A"/>
    <w:rsid w:val="006B43E7"/>
    <w:rsid w:val="006B4495"/>
    <w:rsid w:val="006B459C"/>
    <w:rsid w:val="006B4A15"/>
    <w:rsid w:val="006B4F03"/>
    <w:rsid w:val="006B5104"/>
    <w:rsid w:val="006B59F8"/>
    <w:rsid w:val="006B61D8"/>
    <w:rsid w:val="006B64FB"/>
    <w:rsid w:val="006B6934"/>
    <w:rsid w:val="006B6B24"/>
    <w:rsid w:val="006B6BAB"/>
    <w:rsid w:val="006B6C1C"/>
    <w:rsid w:val="006B77F6"/>
    <w:rsid w:val="006B7E04"/>
    <w:rsid w:val="006B7F68"/>
    <w:rsid w:val="006C05BF"/>
    <w:rsid w:val="006C05C6"/>
    <w:rsid w:val="006C0DB2"/>
    <w:rsid w:val="006C0E5E"/>
    <w:rsid w:val="006C0E7D"/>
    <w:rsid w:val="006C1061"/>
    <w:rsid w:val="006C1072"/>
    <w:rsid w:val="006C1233"/>
    <w:rsid w:val="006C132C"/>
    <w:rsid w:val="006C1433"/>
    <w:rsid w:val="006C145F"/>
    <w:rsid w:val="006C14A8"/>
    <w:rsid w:val="006C1581"/>
    <w:rsid w:val="006C15FD"/>
    <w:rsid w:val="006C176C"/>
    <w:rsid w:val="006C17C1"/>
    <w:rsid w:val="006C1A09"/>
    <w:rsid w:val="006C1A25"/>
    <w:rsid w:val="006C1C26"/>
    <w:rsid w:val="006C293B"/>
    <w:rsid w:val="006C2A04"/>
    <w:rsid w:val="006C2A90"/>
    <w:rsid w:val="006C2EEE"/>
    <w:rsid w:val="006C2F12"/>
    <w:rsid w:val="006C39B9"/>
    <w:rsid w:val="006C411F"/>
    <w:rsid w:val="006C421F"/>
    <w:rsid w:val="006C424D"/>
    <w:rsid w:val="006C4381"/>
    <w:rsid w:val="006C43FE"/>
    <w:rsid w:val="006C446B"/>
    <w:rsid w:val="006C4524"/>
    <w:rsid w:val="006C46F1"/>
    <w:rsid w:val="006C489D"/>
    <w:rsid w:val="006C49E5"/>
    <w:rsid w:val="006C50FE"/>
    <w:rsid w:val="006C5D52"/>
    <w:rsid w:val="006C5E26"/>
    <w:rsid w:val="006C63EB"/>
    <w:rsid w:val="006C6512"/>
    <w:rsid w:val="006C65F4"/>
    <w:rsid w:val="006C66E1"/>
    <w:rsid w:val="006C6802"/>
    <w:rsid w:val="006C686D"/>
    <w:rsid w:val="006C6B88"/>
    <w:rsid w:val="006C6E7F"/>
    <w:rsid w:val="006C7182"/>
    <w:rsid w:val="006C71A9"/>
    <w:rsid w:val="006C7534"/>
    <w:rsid w:val="006C772D"/>
    <w:rsid w:val="006D0055"/>
    <w:rsid w:val="006D0109"/>
    <w:rsid w:val="006D023B"/>
    <w:rsid w:val="006D0400"/>
    <w:rsid w:val="006D05F4"/>
    <w:rsid w:val="006D090D"/>
    <w:rsid w:val="006D0A91"/>
    <w:rsid w:val="006D0B1C"/>
    <w:rsid w:val="006D0CB9"/>
    <w:rsid w:val="006D0D39"/>
    <w:rsid w:val="006D0F5E"/>
    <w:rsid w:val="006D12B4"/>
    <w:rsid w:val="006D1B38"/>
    <w:rsid w:val="006D1C30"/>
    <w:rsid w:val="006D1F29"/>
    <w:rsid w:val="006D1FB3"/>
    <w:rsid w:val="006D2525"/>
    <w:rsid w:val="006D26A1"/>
    <w:rsid w:val="006D28C2"/>
    <w:rsid w:val="006D29C8"/>
    <w:rsid w:val="006D2A86"/>
    <w:rsid w:val="006D2B25"/>
    <w:rsid w:val="006D2D64"/>
    <w:rsid w:val="006D2E66"/>
    <w:rsid w:val="006D3492"/>
    <w:rsid w:val="006D34BD"/>
    <w:rsid w:val="006D34E8"/>
    <w:rsid w:val="006D376C"/>
    <w:rsid w:val="006D3B4E"/>
    <w:rsid w:val="006D3C37"/>
    <w:rsid w:val="006D3D29"/>
    <w:rsid w:val="006D3EC5"/>
    <w:rsid w:val="006D4026"/>
    <w:rsid w:val="006D40E2"/>
    <w:rsid w:val="006D41E4"/>
    <w:rsid w:val="006D4244"/>
    <w:rsid w:val="006D44C8"/>
    <w:rsid w:val="006D4B0A"/>
    <w:rsid w:val="006D4DBC"/>
    <w:rsid w:val="006D5016"/>
    <w:rsid w:val="006D55BD"/>
    <w:rsid w:val="006D5652"/>
    <w:rsid w:val="006D57F4"/>
    <w:rsid w:val="006D5AE9"/>
    <w:rsid w:val="006D5F97"/>
    <w:rsid w:val="006D61D0"/>
    <w:rsid w:val="006D6396"/>
    <w:rsid w:val="006D67B0"/>
    <w:rsid w:val="006D68AD"/>
    <w:rsid w:val="006D6C5B"/>
    <w:rsid w:val="006D6C5E"/>
    <w:rsid w:val="006D6DF1"/>
    <w:rsid w:val="006D7400"/>
    <w:rsid w:val="006D7425"/>
    <w:rsid w:val="006D760E"/>
    <w:rsid w:val="006D7EE4"/>
    <w:rsid w:val="006E0032"/>
    <w:rsid w:val="006E0080"/>
    <w:rsid w:val="006E01D9"/>
    <w:rsid w:val="006E07E1"/>
    <w:rsid w:val="006E0F46"/>
    <w:rsid w:val="006E106B"/>
    <w:rsid w:val="006E11C3"/>
    <w:rsid w:val="006E135D"/>
    <w:rsid w:val="006E158E"/>
    <w:rsid w:val="006E170A"/>
    <w:rsid w:val="006E194A"/>
    <w:rsid w:val="006E1ED2"/>
    <w:rsid w:val="006E1FE5"/>
    <w:rsid w:val="006E2006"/>
    <w:rsid w:val="006E22D2"/>
    <w:rsid w:val="006E22FF"/>
    <w:rsid w:val="006E26FE"/>
    <w:rsid w:val="006E2709"/>
    <w:rsid w:val="006E2972"/>
    <w:rsid w:val="006E29FE"/>
    <w:rsid w:val="006E2EA7"/>
    <w:rsid w:val="006E3952"/>
    <w:rsid w:val="006E399C"/>
    <w:rsid w:val="006E3D28"/>
    <w:rsid w:val="006E3E19"/>
    <w:rsid w:val="006E4370"/>
    <w:rsid w:val="006E43C0"/>
    <w:rsid w:val="006E45F2"/>
    <w:rsid w:val="006E481F"/>
    <w:rsid w:val="006E4931"/>
    <w:rsid w:val="006E4A4B"/>
    <w:rsid w:val="006E4E10"/>
    <w:rsid w:val="006E4E2C"/>
    <w:rsid w:val="006E51FB"/>
    <w:rsid w:val="006E54F5"/>
    <w:rsid w:val="006E5551"/>
    <w:rsid w:val="006E5581"/>
    <w:rsid w:val="006E5BF6"/>
    <w:rsid w:val="006E610D"/>
    <w:rsid w:val="006E61B6"/>
    <w:rsid w:val="006E6999"/>
    <w:rsid w:val="006E6B88"/>
    <w:rsid w:val="006E745D"/>
    <w:rsid w:val="006E74FF"/>
    <w:rsid w:val="006E75D7"/>
    <w:rsid w:val="006E7639"/>
    <w:rsid w:val="006E7BA7"/>
    <w:rsid w:val="006F0289"/>
    <w:rsid w:val="006F02C7"/>
    <w:rsid w:val="006F11EF"/>
    <w:rsid w:val="006F1270"/>
    <w:rsid w:val="006F163F"/>
    <w:rsid w:val="006F16FC"/>
    <w:rsid w:val="006F178C"/>
    <w:rsid w:val="006F181B"/>
    <w:rsid w:val="006F1AD3"/>
    <w:rsid w:val="006F1F29"/>
    <w:rsid w:val="006F21EA"/>
    <w:rsid w:val="006F24BA"/>
    <w:rsid w:val="006F279C"/>
    <w:rsid w:val="006F2B31"/>
    <w:rsid w:val="006F2B63"/>
    <w:rsid w:val="006F2CDC"/>
    <w:rsid w:val="006F2D7D"/>
    <w:rsid w:val="006F2E30"/>
    <w:rsid w:val="006F3B9C"/>
    <w:rsid w:val="006F3F2C"/>
    <w:rsid w:val="006F3F48"/>
    <w:rsid w:val="006F4051"/>
    <w:rsid w:val="006F441D"/>
    <w:rsid w:val="006F492F"/>
    <w:rsid w:val="006F4B95"/>
    <w:rsid w:val="006F5132"/>
    <w:rsid w:val="006F5276"/>
    <w:rsid w:val="006F5503"/>
    <w:rsid w:val="006F553C"/>
    <w:rsid w:val="006F57BF"/>
    <w:rsid w:val="006F5852"/>
    <w:rsid w:val="006F5AFC"/>
    <w:rsid w:val="006F5DDD"/>
    <w:rsid w:val="006F5E39"/>
    <w:rsid w:val="006F60CE"/>
    <w:rsid w:val="006F654B"/>
    <w:rsid w:val="006F657B"/>
    <w:rsid w:val="006F65E6"/>
    <w:rsid w:val="006F6B2E"/>
    <w:rsid w:val="006F6B56"/>
    <w:rsid w:val="006F6C7D"/>
    <w:rsid w:val="006F791C"/>
    <w:rsid w:val="006F792D"/>
    <w:rsid w:val="006F79AA"/>
    <w:rsid w:val="006F7A4E"/>
    <w:rsid w:val="006F7C06"/>
    <w:rsid w:val="00700150"/>
    <w:rsid w:val="0070063A"/>
    <w:rsid w:val="0070073D"/>
    <w:rsid w:val="007007C1"/>
    <w:rsid w:val="00700AE9"/>
    <w:rsid w:val="00700E89"/>
    <w:rsid w:val="00701016"/>
    <w:rsid w:val="007012DD"/>
    <w:rsid w:val="00701674"/>
    <w:rsid w:val="00701768"/>
    <w:rsid w:val="00701990"/>
    <w:rsid w:val="00701B10"/>
    <w:rsid w:val="00701DDD"/>
    <w:rsid w:val="00701EBD"/>
    <w:rsid w:val="00701F48"/>
    <w:rsid w:val="00701F8F"/>
    <w:rsid w:val="00702286"/>
    <w:rsid w:val="00702410"/>
    <w:rsid w:val="00702435"/>
    <w:rsid w:val="00702786"/>
    <w:rsid w:val="00702A85"/>
    <w:rsid w:val="007030B6"/>
    <w:rsid w:val="00703105"/>
    <w:rsid w:val="0070327D"/>
    <w:rsid w:val="007032BA"/>
    <w:rsid w:val="007036A2"/>
    <w:rsid w:val="0070395A"/>
    <w:rsid w:val="00704032"/>
    <w:rsid w:val="007044D4"/>
    <w:rsid w:val="007048CF"/>
    <w:rsid w:val="00704BDE"/>
    <w:rsid w:val="00704E31"/>
    <w:rsid w:val="0070524B"/>
    <w:rsid w:val="0070571B"/>
    <w:rsid w:val="007057BA"/>
    <w:rsid w:val="00705A2B"/>
    <w:rsid w:val="00705A9E"/>
    <w:rsid w:val="00705D53"/>
    <w:rsid w:val="007061B5"/>
    <w:rsid w:val="0070626A"/>
    <w:rsid w:val="00706353"/>
    <w:rsid w:val="00706647"/>
    <w:rsid w:val="00706893"/>
    <w:rsid w:val="00706907"/>
    <w:rsid w:val="00706948"/>
    <w:rsid w:val="00706AFE"/>
    <w:rsid w:val="00706CC8"/>
    <w:rsid w:val="00706D8B"/>
    <w:rsid w:val="00706DC4"/>
    <w:rsid w:val="00706EA2"/>
    <w:rsid w:val="00706EB0"/>
    <w:rsid w:val="00706F89"/>
    <w:rsid w:val="0070704D"/>
    <w:rsid w:val="007070BF"/>
    <w:rsid w:val="007075D9"/>
    <w:rsid w:val="007100BA"/>
    <w:rsid w:val="007104C5"/>
    <w:rsid w:val="0071096C"/>
    <w:rsid w:val="00710AA7"/>
    <w:rsid w:val="00710B0D"/>
    <w:rsid w:val="00710B3A"/>
    <w:rsid w:val="00710E5A"/>
    <w:rsid w:val="007110FE"/>
    <w:rsid w:val="00711126"/>
    <w:rsid w:val="00711187"/>
    <w:rsid w:val="007114A0"/>
    <w:rsid w:val="00711883"/>
    <w:rsid w:val="0071195E"/>
    <w:rsid w:val="00711BD5"/>
    <w:rsid w:val="00712135"/>
    <w:rsid w:val="0071255C"/>
    <w:rsid w:val="00712648"/>
    <w:rsid w:val="00712A20"/>
    <w:rsid w:val="00713065"/>
    <w:rsid w:val="00713136"/>
    <w:rsid w:val="00713464"/>
    <w:rsid w:val="00713BBE"/>
    <w:rsid w:val="00713CB4"/>
    <w:rsid w:val="00713CBD"/>
    <w:rsid w:val="00713DEF"/>
    <w:rsid w:val="00714958"/>
    <w:rsid w:val="00714CA2"/>
    <w:rsid w:val="00715022"/>
    <w:rsid w:val="00715515"/>
    <w:rsid w:val="0071553B"/>
    <w:rsid w:val="007157F7"/>
    <w:rsid w:val="00715883"/>
    <w:rsid w:val="0071589A"/>
    <w:rsid w:val="007158B3"/>
    <w:rsid w:val="00715EDE"/>
    <w:rsid w:val="00715F04"/>
    <w:rsid w:val="007160BB"/>
    <w:rsid w:val="00716289"/>
    <w:rsid w:val="0071629E"/>
    <w:rsid w:val="0071637B"/>
    <w:rsid w:val="0071665A"/>
    <w:rsid w:val="00716B46"/>
    <w:rsid w:val="00716DB9"/>
    <w:rsid w:val="00716FB5"/>
    <w:rsid w:val="00717418"/>
    <w:rsid w:val="007175FD"/>
    <w:rsid w:val="0071765D"/>
    <w:rsid w:val="007177C6"/>
    <w:rsid w:val="00717CEA"/>
    <w:rsid w:val="0072004A"/>
    <w:rsid w:val="00720383"/>
    <w:rsid w:val="007205A6"/>
    <w:rsid w:val="007210D1"/>
    <w:rsid w:val="007215C4"/>
    <w:rsid w:val="007215CA"/>
    <w:rsid w:val="0072180C"/>
    <w:rsid w:val="00721AB2"/>
    <w:rsid w:val="00721FAF"/>
    <w:rsid w:val="00722122"/>
    <w:rsid w:val="007229C4"/>
    <w:rsid w:val="00722AB0"/>
    <w:rsid w:val="00722B07"/>
    <w:rsid w:val="00722BCE"/>
    <w:rsid w:val="00722C04"/>
    <w:rsid w:val="00722F6B"/>
    <w:rsid w:val="007230F5"/>
    <w:rsid w:val="00723484"/>
    <w:rsid w:val="007234F3"/>
    <w:rsid w:val="00723C87"/>
    <w:rsid w:val="00723D14"/>
    <w:rsid w:val="00723DD2"/>
    <w:rsid w:val="00723F1E"/>
    <w:rsid w:val="00724839"/>
    <w:rsid w:val="00724C51"/>
    <w:rsid w:val="00724DCE"/>
    <w:rsid w:val="0072505C"/>
    <w:rsid w:val="0072563D"/>
    <w:rsid w:val="0072580C"/>
    <w:rsid w:val="007259BA"/>
    <w:rsid w:val="00725D10"/>
    <w:rsid w:val="00725EF7"/>
    <w:rsid w:val="00725EF8"/>
    <w:rsid w:val="00726151"/>
    <w:rsid w:val="00726159"/>
    <w:rsid w:val="0072644E"/>
    <w:rsid w:val="00726670"/>
    <w:rsid w:val="00726B34"/>
    <w:rsid w:val="00726BB5"/>
    <w:rsid w:val="00726CEF"/>
    <w:rsid w:val="00726DBC"/>
    <w:rsid w:val="00727629"/>
    <w:rsid w:val="00727AE8"/>
    <w:rsid w:val="00730056"/>
    <w:rsid w:val="007300D9"/>
    <w:rsid w:val="007302FB"/>
    <w:rsid w:val="007303D1"/>
    <w:rsid w:val="007306FF"/>
    <w:rsid w:val="00730709"/>
    <w:rsid w:val="00730774"/>
    <w:rsid w:val="00730876"/>
    <w:rsid w:val="007308C1"/>
    <w:rsid w:val="007309D0"/>
    <w:rsid w:val="00731686"/>
    <w:rsid w:val="00731959"/>
    <w:rsid w:val="00731A34"/>
    <w:rsid w:val="00731C5D"/>
    <w:rsid w:val="0073228C"/>
    <w:rsid w:val="00732384"/>
    <w:rsid w:val="007324CB"/>
    <w:rsid w:val="0073273A"/>
    <w:rsid w:val="00732838"/>
    <w:rsid w:val="0073297D"/>
    <w:rsid w:val="00732E04"/>
    <w:rsid w:val="00733003"/>
    <w:rsid w:val="007330E1"/>
    <w:rsid w:val="00733147"/>
    <w:rsid w:val="007338F7"/>
    <w:rsid w:val="00733EB1"/>
    <w:rsid w:val="0073466B"/>
    <w:rsid w:val="00734758"/>
    <w:rsid w:val="007348FA"/>
    <w:rsid w:val="00734B16"/>
    <w:rsid w:val="00734BD6"/>
    <w:rsid w:val="00734D2D"/>
    <w:rsid w:val="00734FFA"/>
    <w:rsid w:val="00735023"/>
    <w:rsid w:val="007351F8"/>
    <w:rsid w:val="00735233"/>
    <w:rsid w:val="007353BC"/>
    <w:rsid w:val="00735BC8"/>
    <w:rsid w:val="00735E50"/>
    <w:rsid w:val="00735F2D"/>
    <w:rsid w:val="007360E4"/>
    <w:rsid w:val="00736285"/>
    <w:rsid w:val="007363C5"/>
    <w:rsid w:val="00736737"/>
    <w:rsid w:val="0073679E"/>
    <w:rsid w:val="007367E2"/>
    <w:rsid w:val="0073686A"/>
    <w:rsid w:val="00736BE6"/>
    <w:rsid w:val="00737695"/>
    <w:rsid w:val="00737FF7"/>
    <w:rsid w:val="007401AB"/>
    <w:rsid w:val="0074057F"/>
    <w:rsid w:val="00740596"/>
    <w:rsid w:val="00740A9D"/>
    <w:rsid w:val="00740D1D"/>
    <w:rsid w:val="00740FB5"/>
    <w:rsid w:val="0074102E"/>
    <w:rsid w:val="007411F0"/>
    <w:rsid w:val="0074123A"/>
    <w:rsid w:val="007414F1"/>
    <w:rsid w:val="00741509"/>
    <w:rsid w:val="0074160C"/>
    <w:rsid w:val="00741854"/>
    <w:rsid w:val="00741ADE"/>
    <w:rsid w:val="00741CB3"/>
    <w:rsid w:val="00741D03"/>
    <w:rsid w:val="00741E95"/>
    <w:rsid w:val="007420AB"/>
    <w:rsid w:val="007422EB"/>
    <w:rsid w:val="0074251A"/>
    <w:rsid w:val="007426CA"/>
    <w:rsid w:val="00742CEF"/>
    <w:rsid w:val="00742F09"/>
    <w:rsid w:val="00743169"/>
    <w:rsid w:val="0074345C"/>
    <w:rsid w:val="0074350E"/>
    <w:rsid w:val="0074379E"/>
    <w:rsid w:val="00743B9C"/>
    <w:rsid w:val="00743C3F"/>
    <w:rsid w:val="00743C40"/>
    <w:rsid w:val="00743EDB"/>
    <w:rsid w:val="00744059"/>
    <w:rsid w:val="0074410C"/>
    <w:rsid w:val="00744617"/>
    <w:rsid w:val="00744836"/>
    <w:rsid w:val="007449B8"/>
    <w:rsid w:val="00744A05"/>
    <w:rsid w:val="00744B95"/>
    <w:rsid w:val="00744C12"/>
    <w:rsid w:val="007450C7"/>
    <w:rsid w:val="007454DB"/>
    <w:rsid w:val="00745592"/>
    <w:rsid w:val="0074559E"/>
    <w:rsid w:val="00745C00"/>
    <w:rsid w:val="00745EDA"/>
    <w:rsid w:val="00745FA2"/>
    <w:rsid w:val="00746260"/>
    <w:rsid w:val="0074633D"/>
    <w:rsid w:val="0074634C"/>
    <w:rsid w:val="007463DE"/>
    <w:rsid w:val="00746423"/>
    <w:rsid w:val="00746626"/>
    <w:rsid w:val="00746C3D"/>
    <w:rsid w:val="00747000"/>
    <w:rsid w:val="007474AB"/>
    <w:rsid w:val="007474EF"/>
    <w:rsid w:val="00747522"/>
    <w:rsid w:val="0074754F"/>
    <w:rsid w:val="00747854"/>
    <w:rsid w:val="00747B21"/>
    <w:rsid w:val="00747EAE"/>
    <w:rsid w:val="00747EF4"/>
    <w:rsid w:val="0075064E"/>
    <w:rsid w:val="00750819"/>
    <w:rsid w:val="00750853"/>
    <w:rsid w:val="00750E6E"/>
    <w:rsid w:val="00751036"/>
    <w:rsid w:val="007511ED"/>
    <w:rsid w:val="007512EF"/>
    <w:rsid w:val="00751392"/>
    <w:rsid w:val="0075140D"/>
    <w:rsid w:val="00751BF4"/>
    <w:rsid w:val="00751C33"/>
    <w:rsid w:val="00751DF6"/>
    <w:rsid w:val="00751EB7"/>
    <w:rsid w:val="00751F85"/>
    <w:rsid w:val="0075229A"/>
    <w:rsid w:val="00752349"/>
    <w:rsid w:val="007529AA"/>
    <w:rsid w:val="00752B22"/>
    <w:rsid w:val="00752B25"/>
    <w:rsid w:val="00752DEA"/>
    <w:rsid w:val="00752FA8"/>
    <w:rsid w:val="00753530"/>
    <w:rsid w:val="007539D4"/>
    <w:rsid w:val="00753BF4"/>
    <w:rsid w:val="00753F16"/>
    <w:rsid w:val="00754454"/>
    <w:rsid w:val="007545A3"/>
    <w:rsid w:val="007549F2"/>
    <w:rsid w:val="00754CAB"/>
    <w:rsid w:val="00754E0D"/>
    <w:rsid w:val="007552F4"/>
    <w:rsid w:val="00755973"/>
    <w:rsid w:val="00755D07"/>
    <w:rsid w:val="00755D84"/>
    <w:rsid w:val="00755E3D"/>
    <w:rsid w:val="00755F7E"/>
    <w:rsid w:val="00756121"/>
    <w:rsid w:val="0075623E"/>
    <w:rsid w:val="0075624A"/>
    <w:rsid w:val="007565CF"/>
    <w:rsid w:val="00756757"/>
    <w:rsid w:val="0075678A"/>
    <w:rsid w:val="00756B0A"/>
    <w:rsid w:val="00756B0D"/>
    <w:rsid w:val="007572E5"/>
    <w:rsid w:val="0075741D"/>
    <w:rsid w:val="007579C7"/>
    <w:rsid w:val="00757E6E"/>
    <w:rsid w:val="00760512"/>
    <w:rsid w:val="00760625"/>
    <w:rsid w:val="00760766"/>
    <w:rsid w:val="00760B4F"/>
    <w:rsid w:val="00760C67"/>
    <w:rsid w:val="0076102D"/>
    <w:rsid w:val="007611AF"/>
    <w:rsid w:val="007621EF"/>
    <w:rsid w:val="00762210"/>
    <w:rsid w:val="007623F4"/>
    <w:rsid w:val="00762BCE"/>
    <w:rsid w:val="00762EB9"/>
    <w:rsid w:val="0076307D"/>
    <w:rsid w:val="00763272"/>
    <w:rsid w:val="0076328D"/>
    <w:rsid w:val="007632EA"/>
    <w:rsid w:val="00763479"/>
    <w:rsid w:val="00763545"/>
    <w:rsid w:val="00763640"/>
    <w:rsid w:val="0076387B"/>
    <w:rsid w:val="00763E07"/>
    <w:rsid w:val="00764016"/>
    <w:rsid w:val="00764263"/>
    <w:rsid w:val="007642A7"/>
    <w:rsid w:val="007646A7"/>
    <w:rsid w:val="007646F8"/>
    <w:rsid w:val="007647CF"/>
    <w:rsid w:val="00764B21"/>
    <w:rsid w:val="00764F79"/>
    <w:rsid w:val="007650FC"/>
    <w:rsid w:val="00765134"/>
    <w:rsid w:val="007651A2"/>
    <w:rsid w:val="0076567A"/>
    <w:rsid w:val="00765F62"/>
    <w:rsid w:val="0076613E"/>
    <w:rsid w:val="00766478"/>
    <w:rsid w:val="00766B20"/>
    <w:rsid w:val="00766F7E"/>
    <w:rsid w:val="00767CA8"/>
    <w:rsid w:val="00767DC9"/>
    <w:rsid w:val="00767F08"/>
    <w:rsid w:val="00767FE4"/>
    <w:rsid w:val="00770079"/>
    <w:rsid w:val="007701BC"/>
    <w:rsid w:val="007702A8"/>
    <w:rsid w:val="0077099E"/>
    <w:rsid w:val="00770A59"/>
    <w:rsid w:val="00770AA3"/>
    <w:rsid w:val="007710BF"/>
    <w:rsid w:val="0077112F"/>
    <w:rsid w:val="00771257"/>
    <w:rsid w:val="0077125D"/>
    <w:rsid w:val="0077128A"/>
    <w:rsid w:val="007712A4"/>
    <w:rsid w:val="007714FA"/>
    <w:rsid w:val="00771919"/>
    <w:rsid w:val="00771948"/>
    <w:rsid w:val="00771B76"/>
    <w:rsid w:val="00771C56"/>
    <w:rsid w:val="00772080"/>
    <w:rsid w:val="007724C8"/>
    <w:rsid w:val="00772603"/>
    <w:rsid w:val="0077278C"/>
    <w:rsid w:val="007727CB"/>
    <w:rsid w:val="00772A01"/>
    <w:rsid w:val="00772A79"/>
    <w:rsid w:val="00772D60"/>
    <w:rsid w:val="00772EF8"/>
    <w:rsid w:val="007730B2"/>
    <w:rsid w:val="007730CC"/>
    <w:rsid w:val="00773164"/>
    <w:rsid w:val="00773388"/>
    <w:rsid w:val="0077442C"/>
    <w:rsid w:val="0077469E"/>
    <w:rsid w:val="00774F46"/>
    <w:rsid w:val="00775102"/>
    <w:rsid w:val="00775BF2"/>
    <w:rsid w:val="00775C3A"/>
    <w:rsid w:val="007761B2"/>
    <w:rsid w:val="007767F7"/>
    <w:rsid w:val="007767F8"/>
    <w:rsid w:val="00776840"/>
    <w:rsid w:val="00776982"/>
    <w:rsid w:val="00776C90"/>
    <w:rsid w:val="007776A4"/>
    <w:rsid w:val="00777EC4"/>
    <w:rsid w:val="007804CF"/>
    <w:rsid w:val="0078067E"/>
    <w:rsid w:val="00780767"/>
    <w:rsid w:val="00780A31"/>
    <w:rsid w:val="00780DBA"/>
    <w:rsid w:val="00780DFE"/>
    <w:rsid w:val="00780E28"/>
    <w:rsid w:val="0078163C"/>
    <w:rsid w:val="00781D1B"/>
    <w:rsid w:val="00781FC5"/>
    <w:rsid w:val="007820DA"/>
    <w:rsid w:val="00782289"/>
    <w:rsid w:val="00782445"/>
    <w:rsid w:val="00782588"/>
    <w:rsid w:val="007828B7"/>
    <w:rsid w:val="007829E5"/>
    <w:rsid w:val="00782A17"/>
    <w:rsid w:val="00783144"/>
    <w:rsid w:val="007838EF"/>
    <w:rsid w:val="00783ABF"/>
    <w:rsid w:val="00783AE7"/>
    <w:rsid w:val="00783D98"/>
    <w:rsid w:val="007848FA"/>
    <w:rsid w:val="00784906"/>
    <w:rsid w:val="00784EFB"/>
    <w:rsid w:val="00785045"/>
    <w:rsid w:val="00785363"/>
    <w:rsid w:val="007855BC"/>
    <w:rsid w:val="007858BB"/>
    <w:rsid w:val="00785996"/>
    <w:rsid w:val="00785B72"/>
    <w:rsid w:val="00785D9C"/>
    <w:rsid w:val="00785E3B"/>
    <w:rsid w:val="007861A3"/>
    <w:rsid w:val="0078624C"/>
    <w:rsid w:val="0078654F"/>
    <w:rsid w:val="00786586"/>
    <w:rsid w:val="007870F4"/>
    <w:rsid w:val="007879CC"/>
    <w:rsid w:val="00787AC0"/>
    <w:rsid w:val="00787CE5"/>
    <w:rsid w:val="00790117"/>
    <w:rsid w:val="0079013C"/>
    <w:rsid w:val="007901E5"/>
    <w:rsid w:val="00790480"/>
    <w:rsid w:val="00790745"/>
    <w:rsid w:val="007909FF"/>
    <w:rsid w:val="00790BAE"/>
    <w:rsid w:val="00790C73"/>
    <w:rsid w:val="00790EC4"/>
    <w:rsid w:val="007911FC"/>
    <w:rsid w:val="007916BC"/>
    <w:rsid w:val="007916E2"/>
    <w:rsid w:val="0079172F"/>
    <w:rsid w:val="007917E8"/>
    <w:rsid w:val="00791B58"/>
    <w:rsid w:val="00791C15"/>
    <w:rsid w:val="00791CC7"/>
    <w:rsid w:val="00792198"/>
    <w:rsid w:val="0079263B"/>
    <w:rsid w:val="00792A7E"/>
    <w:rsid w:val="00792CE9"/>
    <w:rsid w:val="00792F9D"/>
    <w:rsid w:val="0079315A"/>
    <w:rsid w:val="0079317D"/>
    <w:rsid w:val="007931D1"/>
    <w:rsid w:val="007937BF"/>
    <w:rsid w:val="00793B4E"/>
    <w:rsid w:val="00793C41"/>
    <w:rsid w:val="00793D66"/>
    <w:rsid w:val="00793DED"/>
    <w:rsid w:val="0079405B"/>
    <w:rsid w:val="0079421E"/>
    <w:rsid w:val="00794653"/>
    <w:rsid w:val="0079473A"/>
    <w:rsid w:val="0079477C"/>
    <w:rsid w:val="00795218"/>
    <w:rsid w:val="007953EB"/>
    <w:rsid w:val="007954B7"/>
    <w:rsid w:val="00795603"/>
    <w:rsid w:val="007959D4"/>
    <w:rsid w:val="00795B01"/>
    <w:rsid w:val="007961C7"/>
    <w:rsid w:val="0079644B"/>
    <w:rsid w:val="0079668D"/>
    <w:rsid w:val="007966B3"/>
    <w:rsid w:val="0079682E"/>
    <w:rsid w:val="00796CA7"/>
    <w:rsid w:val="00797154"/>
    <w:rsid w:val="00797186"/>
    <w:rsid w:val="0079726A"/>
    <w:rsid w:val="00797679"/>
    <w:rsid w:val="007976EF"/>
    <w:rsid w:val="00797AB9"/>
    <w:rsid w:val="00797E5A"/>
    <w:rsid w:val="00797EA9"/>
    <w:rsid w:val="00797F4C"/>
    <w:rsid w:val="007A01C6"/>
    <w:rsid w:val="007A0252"/>
    <w:rsid w:val="007A11EB"/>
    <w:rsid w:val="007A11F2"/>
    <w:rsid w:val="007A1307"/>
    <w:rsid w:val="007A15A7"/>
    <w:rsid w:val="007A1852"/>
    <w:rsid w:val="007A1922"/>
    <w:rsid w:val="007A1B2C"/>
    <w:rsid w:val="007A1E74"/>
    <w:rsid w:val="007A26D9"/>
    <w:rsid w:val="007A2CE5"/>
    <w:rsid w:val="007A2DCA"/>
    <w:rsid w:val="007A2E4E"/>
    <w:rsid w:val="007A3695"/>
    <w:rsid w:val="007A3AF3"/>
    <w:rsid w:val="007A3B3A"/>
    <w:rsid w:val="007A3B85"/>
    <w:rsid w:val="007A3D11"/>
    <w:rsid w:val="007A4696"/>
    <w:rsid w:val="007A46B3"/>
    <w:rsid w:val="007A4840"/>
    <w:rsid w:val="007A4A6F"/>
    <w:rsid w:val="007A4EC2"/>
    <w:rsid w:val="007A52BF"/>
    <w:rsid w:val="007A59DF"/>
    <w:rsid w:val="007A5B53"/>
    <w:rsid w:val="007A5E14"/>
    <w:rsid w:val="007A5EA9"/>
    <w:rsid w:val="007A5EBD"/>
    <w:rsid w:val="007A61DA"/>
    <w:rsid w:val="007A65B4"/>
    <w:rsid w:val="007A68A9"/>
    <w:rsid w:val="007A6B09"/>
    <w:rsid w:val="007A6C0A"/>
    <w:rsid w:val="007A6D3D"/>
    <w:rsid w:val="007A6D57"/>
    <w:rsid w:val="007A7051"/>
    <w:rsid w:val="007A72A4"/>
    <w:rsid w:val="007B057A"/>
    <w:rsid w:val="007B05CD"/>
    <w:rsid w:val="007B0645"/>
    <w:rsid w:val="007B06F8"/>
    <w:rsid w:val="007B146F"/>
    <w:rsid w:val="007B1889"/>
    <w:rsid w:val="007B1A8F"/>
    <w:rsid w:val="007B1EB5"/>
    <w:rsid w:val="007B1F2A"/>
    <w:rsid w:val="007B22C1"/>
    <w:rsid w:val="007B2339"/>
    <w:rsid w:val="007B2424"/>
    <w:rsid w:val="007B24E1"/>
    <w:rsid w:val="007B24E5"/>
    <w:rsid w:val="007B28B9"/>
    <w:rsid w:val="007B2AAF"/>
    <w:rsid w:val="007B2AC7"/>
    <w:rsid w:val="007B2BA9"/>
    <w:rsid w:val="007B355C"/>
    <w:rsid w:val="007B3633"/>
    <w:rsid w:val="007B3DDC"/>
    <w:rsid w:val="007B3E07"/>
    <w:rsid w:val="007B40AF"/>
    <w:rsid w:val="007B4418"/>
    <w:rsid w:val="007B48CB"/>
    <w:rsid w:val="007B491F"/>
    <w:rsid w:val="007B4A13"/>
    <w:rsid w:val="007B4A84"/>
    <w:rsid w:val="007B4AD5"/>
    <w:rsid w:val="007B4F37"/>
    <w:rsid w:val="007B519B"/>
    <w:rsid w:val="007B54B0"/>
    <w:rsid w:val="007B552D"/>
    <w:rsid w:val="007B59E3"/>
    <w:rsid w:val="007B61EC"/>
    <w:rsid w:val="007B6237"/>
    <w:rsid w:val="007B63D9"/>
    <w:rsid w:val="007B653B"/>
    <w:rsid w:val="007B684E"/>
    <w:rsid w:val="007B6899"/>
    <w:rsid w:val="007B6932"/>
    <w:rsid w:val="007B6A5A"/>
    <w:rsid w:val="007B6B32"/>
    <w:rsid w:val="007B6F5D"/>
    <w:rsid w:val="007B6FF5"/>
    <w:rsid w:val="007B71FD"/>
    <w:rsid w:val="007B7295"/>
    <w:rsid w:val="007B7341"/>
    <w:rsid w:val="007B79F5"/>
    <w:rsid w:val="007B7C5B"/>
    <w:rsid w:val="007B7EB9"/>
    <w:rsid w:val="007B7FD8"/>
    <w:rsid w:val="007C0063"/>
    <w:rsid w:val="007C01A7"/>
    <w:rsid w:val="007C027A"/>
    <w:rsid w:val="007C034E"/>
    <w:rsid w:val="007C07FF"/>
    <w:rsid w:val="007C0B2D"/>
    <w:rsid w:val="007C0B3B"/>
    <w:rsid w:val="007C0E83"/>
    <w:rsid w:val="007C171A"/>
    <w:rsid w:val="007C179C"/>
    <w:rsid w:val="007C1EDD"/>
    <w:rsid w:val="007C2063"/>
    <w:rsid w:val="007C2067"/>
    <w:rsid w:val="007C210E"/>
    <w:rsid w:val="007C21EF"/>
    <w:rsid w:val="007C24DB"/>
    <w:rsid w:val="007C2816"/>
    <w:rsid w:val="007C2902"/>
    <w:rsid w:val="007C290A"/>
    <w:rsid w:val="007C2C18"/>
    <w:rsid w:val="007C3063"/>
    <w:rsid w:val="007C32AB"/>
    <w:rsid w:val="007C34B4"/>
    <w:rsid w:val="007C381E"/>
    <w:rsid w:val="007C3865"/>
    <w:rsid w:val="007C3C4B"/>
    <w:rsid w:val="007C3F8D"/>
    <w:rsid w:val="007C3FD2"/>
    <w:rsid w:val="007C4022"/>
    <w:rsid w:val="007C417B"/>
    <w:rsid w:val="007C4622"/>
    <w:rsid w:val="007C4685"/>
    <w:rsid w:val="007C4ABE"/>
    <w:rsid w:val="007C4B5E"/>
    <w:rsid w:val="007C4EC2"/>
    <w:rsid w:val="007C512B"/>
    <w:rsid w:val="007C5370"/>
    <w:rsid w:val="007C5477"/>
    <w:rsid w:val="007C563C"/>
    <w:rsid w:val="007C56A3"/>
    <w:rsid w:val="007C6058"/>
    <w:rsid w:val="007C6369"/>
    <w:rsid w:val="007C64A4"/>
    <w:rsid w:val="007C6598"/>
    <w:rsid w:val="007C67E0"/>
    <w:rsid w:val="007C6E8C"/>
    <w:rsid w:val="007C7567"/>
    <w:rsid w:val="007C75F1"/>
    <w:rsid w:val="007C7677"/>
    <w:rsid w:val="007C7796"/>
    <w:rsid w:val="007C7828"/>
    <w:rsid w:val="007C7B1C"/>
    <w:rsid w:val="007D03B4"/>
    <w:rsid w:val="007D0445"/>
    <w:rsid w:val="007D0525"/>
    <w:rsid w:val="007D055D"/>
    <w:rsid w:val="007D0780"/>
    <w:rsid w:val="007D093A"/>
    <w:rsid w:val="007D0B81"/>
    <w:rsid w:val="007D0C32"/>
    <w:rsid w:val="007D13B9"/>
    <w:rsid w:val="007D13FF"/>
    <w:rsid w:val="007D18F3"/>
    <w:rsid w:val="007D1965"/>
    <w:rsid w:val="007D1F73"/>
    <w:rsid w:val="007D1FD5"/>
    <w:rsid w:val="007D26AE"/>
    <w:rsid w:val="007D28B2"/>
    <w:rsid w:val="007D296B"/>
    <w:rsid w:val="007D2A06"/>
    <w:rsid w:val="007D2DDB"/>
    <w:rsid w:val="007D2FF2"/>
    <w:rsid w:val="007D3046"/>
    <w:rsid w:val="007D30E4"/>
    <w:rsid w:val="007D318D"/>
    <w:rsid w:val="007D3739"/>
    <w:rsid w:val="007D37B7"/>
    <w:rsid w:val="007D3963"/>
    <w:rsid w:val="007D3AB8"/>
    <w:rsid w:val="007D3FA8"/>
    <w:rsid w:val="007D4004"/>
    <w:rsid w:val="007D4012"/>
    <w:rsid w:val="007D47FB"/>
    <w:rsid w:val="007D4FD9"/>
    <w:rsid w:val="007D505D"/>
    <w:rsid w:val="007D50F2"/>
    <w:rsid w:val="007D5500"/>
    <w:rsid w:val="007D57FD"/>
    <w:rsid w:val="007D5947"/>
    <w:rsid w:val="007D6056"/>
    <w:rsid w:val="007D609C"/>
    <w:rsid w:val="007D6300"/>
    <w:rsid w:val="007D64C7"/>
    <w:rsid w:val="007D662F"/>
    <w:rsid w:val="007D6930"/>
    <w:rsid w:val="007D6B20"/>
    <w:rsid w:val="007D6FFB"/>
    <w:rsid w:val="007D730E"/>
    <w:rsid w:val="007D7565"/>
    <w:rsid w:val="007D76E7"/>
    <w:rsid w:val="007D7875"/>
    <w:rsid w:val="007D788F"/>
    <w:rsid w:val="007D7B05"/>
    <w:rsid w:val="007D7EAD"/>
    <w:rsid w:val="007E001D"/>
    <w:rsid w:val="007E02DC"/>
    <w:rsid w:val="007E0519"/>
    <w:rsid w:val="007E0C64"/>
    <w:rsid w:val="007E1084"/>
    <w:rsid w:val="007E119C"/>
    <w:rsid w:val="007E1826"/>
    <w:rsid w:val="007E1869"/>
    <w:rsid w:val="007E1889"/>
    <w:rsid w:val="007E1C07"/>
    <w:rsid w:val="007E2165"/>
    <w:rsid w:val="007E217E"/>
    <w:rsid w:val="007E21C5"/>
    <w:rsid w:val="007E28E6"/>
    <w:rsid w:val="007E2BA3"/>
    <w:rsid w:val="007E2F19"/>
    <w:rsid w:val="007E34C9"/>
    <w:rsid w:val="007E34CF"/>
    <w:rsid w:val="007E3701"/>
    <w:rsid w:val="007E3892"/>
    <w:rsid w:val="007E395D"/>
    <w:rsid w:val="007E3A89"/>
    <w:rsid w:val="007E3DDC"/>
    <w:rsid w:val="007E3E18"/>
    <w:rsid w:val="007E3F5B"/>
    <w:rsid w:val="007E4170"/>
    <w:rsid w:val="007E42BA"/>
    <w:rsid w:val="007E4660"/>
    <w:rsid w:val="007E49C8"/>
    <w:rsid w:val="007E4B2D"/>
    <w:rsid w:val="007E4CDF"/>
    <w:rsid w:val="007E5262"/>
    <w:rsid w:val="007E555A"/>
    <w:rsid w:val="007E5952"/>
    <w:rsid w:val="007E5ECB"/>
    <w:rsid w:val="007E61AA"/>
    <w:rsid w:val="007E6374"/>
    <w:rsid w:val="007E639B"/>
    <w:rsid w:val="007E63F4"/>
    <w:rsid w:val="007E64AB"/>
    <w:rsid w:val="007E6969"/>
    <w:rsid w:val="007E6A93"/>
    <w:rsid w:val="007E6B3A"/>
    <w:rsid w:val="007E6E71"/>
    <w:rsid w:val="007E7104"/>
    <w:rsid w:val="007E712A"/>
    <w:rsid w:val="007E71C0"/>
    <w:rsid w:val="007E7535"/>
    <w:rsid w:val="007E75EE"/>
    <w:rsid w:val="007E776B"/>
    <w:rsid w:val="007E780C"/>
    <w:rsid w:val="007E7BED"/>
    <w:rsid w:val="007F04B2"/>
    <w:rsid w:val="007F04E7"/>
    <w:rsid w:val="007F0888"/>
    <w:rsid w:val="007F0CC7"/>
    <w:rsid w:val="007F0EEE"/>
    <w:rsid w:val="007F1077"/>
    <w:rsid w:val="007F111B"/>
    <w:rsid w:val="007F1263"/>
    <w:rsid w:val="007F1335"/>
    <w:rsid w:val="007F1368"/>
    <w:rsid w:val="007F1512"/>
    <w:rsid w:val="007F16ED"/>
    <w:rsid w:val="007F1832"/>
    <w:rsid w:val="007F1884"/>
    <w:rsid w:val="007F1957"/>
    <w:rsid w:val="007F1DCE"/>
    <w:rsid w:val="007F1EC6"/>
    <w:rsid w:val="007F2111"/>
    <w:rsid w:val="007F2511"/>
    <w:rsid w:val="007F3204"/>
    <w:rsid w:val="007F3309"/>
    <w:rsid w:val="007F3315"/>
    <w:rsid w:val="007F344D"/>
    <w:rsid w:val="007F3C2C"/>
    <w:rsid w:val="007F3DF6"/>
    <w:rsid w:val="007F4374"/>
    <w:rsid w:val="007F487D"/>
    <w:rsid w:val="007F4927"/>
    <w:rsid w:val="007F4BC5"/>
    <w:rsid w:val="007F4C01"/>
    <w:rsid w:val="007F4C99"/>
    <w:rsid w:val="007F4CD3"/>
    <w:rsid w:val="007F4F2F"/>
    <w:rsid w:val="007F51A5"/>
    <w:rsid w:val="007F56D2"/>
    <w:rsid w:val="007F5DE1"/>
    <w:rsid w:val="007F5EB0"/>
    <w:rsid w:val="007F614B"/>
    <w:rsid w:val="007F6231"/>
    <w:rsid w:val="007F645C"/>
    <w:rsid w:val="007F65B3"/>
    <w:rsid w:val="007F66BC"/>
    <w:rsid w:val="007F69E0"/>
    <w:rsid w:val="007F6B98"/>
    <w:rsid w:val="007F6BAA"/>
    <w:rsid w:val="007F6C55"/>
    <w:rsid w:val="007F74FE"/>
    <w:rsid w:val="007F7573"/>
    <w:rsid w:val="007F765E"/>
    <w:rsid w:val="007F7A20"/>
    <w:rsid w:val="007F7A5F"/>
    <w:rsid w:val="007F7B38"/>
    <w:rsid w:val="007F7BE9"/>
    <w:rsid w:val="007F7C90"/>
    <w:rsid w:val="007F7F7F"/>
    <w:rsid w:val="0080031F"/>
    <w:rsid w:val="0080036E"/>
    <w:rsid w:val="00800566"/>
    <w:rsid w:val="00800631"/>
    <w:rsid w:val="00800A14"/>
    <w:rsid w:val="00800C4A"/>
    <w:rsid w:val="00800FC8"/>
    <w:rsid w:val="00801056"/>
    <w:rsid w:val="008013BB"/>
    <w:rsid w:val="00801736"/>
    <w:rsid w:val="00801801"/>
    <w:rsid w:val="008018CB"/>
    <w:rsid w:val="008018F1"/>
    <w:rsid w:val="008019A9"/>
    <w:rsid w:val="00801F41"/>
    <w:rsid w:val="00801FB6"/>
    <w:rsid w:val="00801FE7"/>
    <w:rsid w:val="008021DF"/>
    <w:rsid w:val="008021FA"/>
    <w:rsid w:val="00802300"/>
    <w:rsid w:val="008025ED"/>
    <w:rsid w:val="0080394D"/>
    <w:rsid w:val="008039BD"/>
    <w:rsid w:val="00803A7B"/>
    <w:rsid w:val="00803C68"/>
    <w:rsid w:val="00803D4F"/>
    <w:rsid w:val="00803E91"/>
    <w:rsid w:val="008043EF"/>
    <w:rsid w:val="008044A4"/>
    <w:rsid w:val="008046E8"/>
    <w:rsid w:val="0080473B"/>
    <w:rsid w:val="00804D44"/>
    <w:rsid w:val="00805497"/>
    <w:rsid w:val="008054D1"/>
    <w:rsid w:val="0080564B"/>
    <w:rsid w:val="00805709"/>
    <w:rsid w:val="00805A78"/>
    <w:rsid w:val="00805B1A"/>
    <w:rsid w:val="0080605D"/>
    <w:rsid w:val="00806240"/>
    <w:rsid w:val="00806309"/>
    <w:rsid w:val="00806340"/>
    <w:rsid w:val="008069CB"/>
    <w:rsid w:val="00806D4F"/>
    <w:rsid w:val="00806D75"/>
    <w:rsid w:val="00806FA6"/>
    <w:rsid w:val="0080733E"/>
    <w:rsid w:val="0080736C"/>
    <w:rsid w:val="00807444"/>
    <w:rsid w:val="008074F2"/>
    <w:rsid w:val="00807BF0"/>
    <w:rsid w:val="00807D41"/>
    <w:rsid w:val="0081012C"/>
    <w:rsid w:val="008101AA"/>
    <w:rsid w:val="0081037A"/>
    <w:rsid w:val="008103F7"/>
    <w:rsid w:val="0081041D"/>
    <w:rsid w:val="0081103E"/>
    <w:rsid w:val="0081164F"/>
    <w:rsid w:val="0081171D"/>
    <w:rsid w:val="008118A9"/>
    <w:rsid w:val="00811C60"/>
    <w:rsid w:val="00811FF2"/>
    <w:rsid w:val="008125B3"/>
    <w:rsid w:val="00812A10"/>
    <w:rsid w:val="00812C8F"/>
    <w:rsid w:val="00812F60"/>
    <w:rsid w:val="00812FEF"/>
    <w:rsid w:val="008134E3"/>
    <w:rsid w:val="0081385F"/>
    <w:rsid w:val="0081388F"/>
    <w:rsid w:val="0081418A"/>
    <w:rsid w:val="008142EC"/>
    <w:rsid w:val="0081441F"/>
    <w:rsid w:val="00814D98"/>
    <w:rsid w:val="00815077"/>
    <w:rsid w:val="0081575E"/>
    <w:rsid w:val="00815BD4"/>
    <w:rsid w:val="00815DCE"/>
    <w:rsid w:val="008169C4"/>
    <w:rsid w:val="008169CF"/>
    <w:rsid w:val="00816A07"/>
    <w:rsid w:val="00816A39"/>
    <w:rsid w:val="00816A84"/>
    <w:rsid w:val="00816B16"/>
    <w:rsid w:val="00816DE7"/>
    <w:rsid w:val="008170AD"/>
    <w:rsid w:val="008171EB"/>
    <w:rsid w:val="008172BD"/>
    <w:rsid w:val="00817325"/>
    <w:rsid w:val="00817495"/>
    <w:rsid w:val="00817515"/>
    <w:rsid w:val="0081798D"/>
    <w:rsid w:val="00817A19"/>
    <w:rsid w:val="00817CA8"/>
    <w:rsid w:val="00817D6B"/>
    <w:rsid w:val="00820045"/>
    <w:rsid w:val="00820351"/>
    <w:rsid w:val="00820661"/>
    <w:rsid w:val="008211B3"/>
    <w:rsid w:val="00821266"/>
    <w:rsid w:val="00821389"/>
    <w:rsid w:val="00821B38"/>
    <w:rsid w:val="008221AE"/>
    <w:rsid w:val="00822780"/>
    <w:rsid w:val="00822798"/>
    <w:rsid w:val="00822801"/>
    <w:rsid w:val="00822A13"/>
    <w:rsid w:val="00822EA3"/>
    <w:rsid w:val="0082324B"/>
    <w:rsid w:val="00823598"/>
    <w:rsid w:val="008235DC"/>
    <w:rsid w:val="00823643"/>
    <w:rsid w:val="008237F5"/>
    <w:rsid w:val="008237FE"/>
    <w:rsid w:val="00823E54"/>
    <w:rsid w:val="0082416A"/>
    <w:rsid w:val="008241E5"/>
    <w:rsid w:val="008245EE"/>
    <w:rsid w:val="008248C5"/>
    <w:rsid w:val="008248E8"/>
    <w:rsid w:val="00824BD5"/>
    <w:rsid w:val="00824FEC"/>
    <w:rsid w:val="00825A4D"/>
    <w:rsid w:val="00825BAB"/>
    <w:rsid w:val="00825D19"/>
    <w:rsid w:val="00825E1F"/>
    <w:rsid w:val="0082606F"/>
    <w:rsid w:val="008261A6"/>
    <w:rsid w:val="0082653F"/>
    <w:rsid w:val="008266D8"/>
    <w:rsid w:val="00826915"/>
    <w:rsid w:val="00826977"/>
    <w:rsid w:val="00826D7B"/>
    <w:rsid w:val="00826DA4"/>
    <w:rsid w:val="00826DE7"/>
    <w:rsid w:val="00826F31"/>
    <w:rsid w:val="0082788E"/>
    <w:rsid w:val="00827BB9"/>
    <w:rsid w:val="00827C62"/>
    <w:rsid w:val="00830220"/>
    <w:rsid w:val="008302AB"/>
    <w:rsid w:val="008306D8"/>
    <w:rsid w:val="00830AAE"/>
    <w:rsid w:val="008311F0"/>
    <w:rsid w:val="00831358"/>
    <w:rsid w:val="00831794"/>
    <w:rsid w:val="00831842"/>
    <w:rsid w:val="00831A3A"/>
    <w:rsid w:val="00831CC7"/>
    <w:rsid w:val="0083217C"/>
    <w:rsid w:val="0083230C"/>
    <w:rsid w:val="0083244D"/>
    <w:rsid w:val="0083278C"/>
    <w:rsid w:val="008328B1"/>
    <w:rsid w:val="0083323F"/>
    <w:rsid w:val="008332CA"/>
    <w:rsid w:val="0083345F"/>
    <w:rsid w:val="00833708"/>
    <w:rsid w:val="0083374D"/>
    <w:rsid w:val="0083376C"/>
    <w:rsid w:val="0083377E"/>
    <w:rsid w:val="00833A40"/>
    <w:rsid w:val="00833CDD"/>
    <w:rsid w:val="00834023"/>
    <w:rsid w:val="00834082"/>
    <w:rsid w:val="00834188"/>
    <w:rsid w:val="008341F0"/>
    <w:rsid w:val="0083450C"/>
    <w:rsid w:val="00834519"/>
    <w:rsid w:val="00834C31"/>
    <w:rsid w:val="00834D8C"/>
    <w:rsid w:val="00834DF7"/>
    <w:rsid w:val="00834EAA"/>
    <w:rsid w:val="008351DD"/>
    <w:rsid w:val="0083520F"/>
    <w:rsid w:val="008353E7"/>
    <w:rsid w:val="0083591F"/>
    <w:rsid w:val="00835958"/>
    <w:rsid w:val="00835BFF"/>
    <w:rsid w:val="00835D7B"/>
    <w:rsid w:val="00836273"/>
    <w:rsid w:val="008368B8"/>
    <w:rsid w:val="00836944"/>
    <w:rsid w:val="00836CF4"/>
    <w:rsid w:val="00836D01"/>
    <w:rsid w:val="00836F8B"/>
    <w:rsid w:val="00837193"/>
    <w:rsid w:val="008372CF"/>
    <w:rsid w:val="008374D1"/>
    <w:rsid w:val="00837888"/>
    <w:rsid w:val="00837B86"/>
    <w:rsid w:val="0084001A"/>
    <w:rsid w:val="008400E0"/>
    <w:rsid w:val="0084042F"/>
    <w:rsid w:val="008406D0"/>
    <w:rsid w:val="00840979"/>
    <w:rsid w:val="008409C9"/>
    <w:rsid w:val="00840DC9"/>
    <w:rsid w:val="00840EF9"/>
    <w:rsid w:val="00841500"/>
    <w:rsid w:val="00841863"/>
    <w:rsid w:val="00841973"/>
    <w:rsid w:val="00841ACE"/>
    <w:rsid w:val="00842229"/>
    <w:rsid w:val="008424F8"/>
    <w:rsid w:val="008425C6"/>
    <w:rsid w:val="00842D2C"/>
    <w:rsid w:val="00842DC3"/>
    <w:rsid w:val="00842E21"/>
    <w:rsid w:val="00842F32"/>
    <w:rsid w:val="00843076"/>
    <w:rsid w:val="0084373D"/>
    <w:rsid w:val="008439BB"/>
    <w:rsid w:val="00843AB3"/>
    <w:rsid w:val="00843D56"/>
    <w:rsid w:val="00843D79"/>
    <w:rsid w:val="00843F8A"/>
    <w:rsid w:val="00844195"/>
    <w:rsid w:val="008444F8"/>
    <w:rsid w:val="00844E42"/>
    <w:rsid w:val="0084539E"/>
    <w:rsid w:val="00845447"/>
    <w:rsid w:val="00845480"/>
    <w:rsid w:val="0084556A"/>
    <w:rsid w:val="00845953"/>
    <w:rsid w:val="00845F03"/>
    <w:rsid w:val="00846390"/>
    <w:rsid w:val="00847366"/>
    <w:rsid w:val="0084757F"/>
    <w:rsid w:val="00847754"/>
    <w:rsid w:val="008477C9"/>
    <w:rsid w:val="008479B9"/>
    <w:rsid w:val="00847D5E"/>
    <w:rsid w:val="00847E80"/>
    <w:rsid w:val="00847F80"/>
    <w:rsid w:val="008502FE"/>
    <w:rsid w:val="0085048C"/>
    <w:rsid w:val="00850CF1"/>
    <w:rsid w:val="00850FFA"/>
    <w:rsid w:val="00851019"/>
    <w:rsid w:val="008510D9"/>
    <w:rsid w:val="0085135A"/>
    <w:rsid w:val="008516AD"/>
    <w:rsid w:val="00851BC7"/>
    <w:rsid w:val="00851DC3"/>
    <w:rsid w:val="008523A1"/>
    <w:rsid w:val="0085259D"/>
    <w:rsid w:val="008525F4"/>
    <w:rsid w:val="00852825"/>
    <w:rsid w:val="00852B3A"/>
    <w:rsid w:val="00852C0C"/>
    <w:rsid w:val="00852CC9"/>
    <w:rsid w:val="00852CD4"/>
    <w:rsid w:val="00852D74"/>
    <w:rsid w:val="00852E53"/>
    <w:rsid w:val="00852E8F"/>
    <w:rsid w:val="00852EA3"/>
    <w:rsid w:val="00852EE9"/>
    <w:rsid w:val="008530EB"/>
    <w:rsid w:val="0085313B"/>
    <w:rsid w:val="008532E9"/>
    <w:rsid w:val="008533CA"/>
    <w:rsid w:val="00853618"/>
    <w:rsid w:val="0085390B"/>
    <w:rsid w:val="00853AFD"/>
    <w:rsid w:val="0085403E"/>
    <w:rsid w:val="0085422E"/>
    <w:rsid w:val="00854523"/>
    <w:rsid w:val="00854817"/>
    <w:rsid w:val="00854FD6"/>
    <w:rsid w:val="00855286"/>
    <w:rsid w:val="008553DA"/>
    <w:rsid w:val="00855400"/>
    <w:rsid w:val="00855405"/>
    <w:rsid w:val="008554A3"/>
    <w:rsid w:val="008557DD"/>
    <w:rsid w:val="00855836"/>
    <w:rsid w:val="00855F5C"/>
    <w:rsid w:val="008561AB"/>
    <w:rsid w:val="0085661B"/>
    <w:rsid w:val="00856864"/>
    <w:rsid w:val="00856944"/>
    <w:rsid w:val="008572CC"/>
    <w:rsid w:val="00857300"/>
    <w:rsid w:val="008577AD"/>
    <w:rsid w:val="00857851"/>
    <w:rsid w:val="0085789E"/>
    <w:rsid w:val="00857F03"/>
    <w:rsid w:val="00860271"/>
    <w:rsid w:val="00860361"/>
    <w:rsid w:val="008606E7"/>
    <w:rsid w:val="008609EF"/>
    <w:rsid w:val="00860C1B"/>
    <w:rsid w:val="00860DC4"/>
    <w:rsid w:val="0086102D"/>
    <w:rsid w:val="008614F9"/>
    <w:rsid w:val="008615D1"/>
    <w:rsid w:val="00861992"/>
    <w:rsid w:val="008619AE"/>
    <w:rsid w:val="00861A23"/>
    <w:rsid w:val="00861A60"/>
    <w:rsid w:val="00861A61"/>
    <w:rsid w:val="00861B7D"/>
    <w:rsid w:val="0086278B"/>
    <w:rsid w:val="008628B5"/>
    <w:rsid w:val="00862D04"/>
    <w:rsid w:val="00862F64"/>
    <w:rsid w:val="008631A5"/>
    <w:rsid w:val="0086336D"/>
    <w:rsid w:val="008636FA"/>
    <w:rsid w:val="00863893"/>
    <w:rsid w:val="00863A58"/>
    <w:rsid w:val="00863AF5"/>
    <w:rsid w:val="00863DB7"/>
    <w:rsid w:val="008641C0"/>
    <w:rsid w:val="0086444E"/>
    <w:rsid w:val="008648C8"/>
    <w:rsid w:val="008649CE"/>
    <w:rsid w:val="00864F82"/>
    <w:rsid w:val="00864FEA"/>
    <w:rsid w:val="00865090"/>
    <w:rsid w:val="00865243"/>
    <w:rsid w:val="00865286"/>
    <w:rsid w:val="008652AF"/>
    <w:rsid w:val="008655D5"/>
    <w:rsid w:val="008656B6"/>
    <w:rsid w:val="008656C1"/>
    <w:rsid w:val="008657BC"/>
    <w:rsid w:val="00865862"/>
    <w:rsid w:val="00865C3F"/>
    <w:rsid w:val="00865D92"/>
    <w:rsid w:val="00866120"/>
    <w:rsid w:val="008661C9"/>
    <w:rsid w:val="008669B5"/>
    <w:rsid w:val="00866B18"/>
    <w:rsid w:val="008671E0"/>
    <w:rsid w:val="00867307"/>
    <w:rsid w:val="0086797F"/>
    <w:rsid w:val="008679DC"/>
    <w:rsid w:val="0087009B"/>
    <w:rsid w:val="008701F8"/>
    <w:rsid w:val="00870285"/>
    <w:rsid w:val="00870711"/>
    <w:rsid w:val="00870AC0"/>
    <w:rsid w:val="00870BF6"/>
    <w:rsid w:val="008711EA"/>
    <w:rsid w:val="008712A1"/>
    <w:rsid w:val="008712A3"/>
    <w:rsid w:val="00871363"/>
    <w:rsid w:val="008713A3"/>
    <w:rsid w:val="00871465"/>
    <w:rsid w:val="008716E9"/>
    <w:rsid w:val="008717F5"/>
    <w:rsid w:val="00871839"/>
    <w:rsid w:val="008719C1"/>
    <w:rsid w:val="00871D5B"/>
    <w:rsid w:val="008722DA"/>
    <w:rsid w:val="008723DE"/>
    <w:rsid w:val="00872BD2"/>
    <w:rsid w:val="00872E1C"/>
    <w:rsid w:val="00872F87"/>
    <w:rsid w:val="00873008"/>
    <w:rsid w:val="0087327A"/>
    <w:rsid w:val="008738F7"/>
    <w:rsid w:val="00873AB6"/>
    <w:rsid w:val="00873D31"/>
    <w:rsid w:val="00873FF2"/>
    <w:rsid w:val="0087422A"/>
    <w:rsid w:val="0087437E"/>
    <w:rsid w:val="008743A1"/>
    <w:rsid w:val="008744ED"/>
    <w:rsid w:val="00874574"/>
    <w:rsid w:val="00874603"/>
    <w:rsid w:val="008746A0"/>
    <w:rsid w:val="008746FD"/>
    <w:rsid w:val="0087478D"/>
    <w:rsid w:val="00874857"/>
    <w:rsid w:val="00874871"/>
    <w:rsid w:val="00874911"/>
    <w:rsid w:val="00874AA0"/>
    <w:rsid w:val="00874F72"/>
    <w:rsid w:val="00875142"/>
    <w:rsid w:val="0087519F"/>
    <w:rsid w:val="008753A7"/>
    <w:rsid w:val="00875F31"/>
    <w:rsid w:val="00875FC4"/>
    <w:rsid w:val="0087604B"/>
    <w:rsid w:val="0087642E"/>
    <w:rsid w:val="0087645F"/>
    <w:rsid w:val="00876605"/>
    <w:rsid w:val="008767CA"/>
    <w:rsid w:val="00876867"/>
    <w:rsid w:val="00876C32"/>
    <w:rsid w:val="00876E89"/>
    <w:rsid w:val="00876EE8"/>
    <w:rsid w:val="00876F11"/>
    <w:rsid w:val="0087700F"/>
    <w:rsid w:val="008771CC"/>
    <w:rsid w:val="00877459"/>
    <w:rsid w:val="00877506"/>
    <w:rsid w:val="00877D5B"/>
    <w:rsid w:val="00877E2A"/>
    <w:rsid w:val="00877F37"/>
    <w:rsid w:val="0088023F"/>
    <w:rsid w:val="00880383"/>
    <w:rsid w:val="008806E2"/>
    <w:rsid w:val="00880F86"/>
    <w:rsid w:val="00881188"/>
    <w:rsid w:val="008814A9"/>
    <w:rsid w:val="00881624"/>
    <w:rsid w:val="00881833"/>
    <w:rsid w:val="00882248"/>
    <w:rsid w:val="008827CC"/>
    <w:rsid w:val="0088280C"/>
    <w:rsid w:val="008828A6"/>
    <w:rsid w:val="00882A12"/>
    <w:rsid w:val="00882C6C"/>
    <w:rsid w:val="00882E65"/>
    <w:rsid w:val="00882F85"/>
    <w:rsid w:val="00883504"/>
    <w:rsid w:val="00883598"/>
    <w:rsid w:val="008835CA"/>
    <w:rsid w:val="00883674"/>
    <w:rsid w:val="0088384C"/>
    <w:rsid w:val="00883BC7"/>
    <w:rsid w:val="00883CCC"/>
    <w:rsid w:val="008840A6"/>
    <w:rsid w:val="008841F0"/>
    <w:rsid w:val="0088434C"/>
    <w:rsid w:val="00884660"/>
    <w:rsid w:val="008846AF"/>
    <w:rsid w:val="00884D11"/>
    <w:rsid w:val="00885287"/>
    <w:rsid w:val="00885889"/>
    <w:rsid w:val="0088597E"/>
    <w:rsid w:val="00885DE6"/>
    <w:rsid w:val="0088616C"/>
    <w:rsid w:val="008861AC"/>
    <w:rsid w:val="00886329"/>
    <w:rsid w:val="00886AE6"/>
    <w:rsid w:val="00886CDC"/>
    <w:rsid w:val="00886E0B"/>
    <w:rsid w:val="008870E0"/>
    <w:rsid w:val="0088731A"/>
    <w:rsid w:val="008875FD"/>
    <w:rsid w:val="008877C2"/>
    <w:rsid w:val="008879AA"/>
    <w:rsid w:val="00887D8E"/>
    <w:rsid w:val="00890B07"/>
    <w:rsid w:val="00890B2D"/>
    <w:rsid w:val="00890D36"/>
    <w:rsid w:val="00891095"/>
    <w:rsid w:val="008910CA"/>
    <w:rsid w:val="008912E5"/>
    <w:rsid w:val="00891447"/>
    <w:rsid w:val="0089187F"/>
    <w:rsid w:val="00892006"/>
    <w:rsid w:val="00892039"/>
    <w:rsid w:val="008920CF"/>
    <w:rsid w:val="008923FD"/>
    <w:rsid w:val="00892702"/>
    <w:rsid w:val="008928FE"/>
    <w:rsid w:val="00892C77"/>
    <w:rsid w:val="00892C8E"/>
    <w:rsid w:val="008930F8"/>
    <w:rsid w:val="00893143"/>
    <w:rsid w:val="0089327A"/>
    <w:rsid w:val="00893539"/>
    <w:rsid w:val="00893554"/>
    <w:rsid w:val="0089359E"/>
    <w:rsid w:val="008935B3"/>
    <w:rsid w:val="008936A7"/>
    <w:rsid w:val="008937E6"/>
    <w:rsid w:val="008937F1"/>
    <w:rsid w:val="00893B2C"/>
    <w:rsid w:val="00893E43"/>
    <w:rsid w:val="00893ED0"/>
    <w:rsid w:val="0089448A"/>
    <w:rsid w:val="00894859"/>
    <w:rsid w:val="00894AF7"/>
    <w:rsid w:val="00894B91"/>
    <w:rsid w:val="00894BFE"/>
    <w:rsid w:val="00894C25"/>
    <w:rsid w:val="0089520C"/>
    <w:rsid w:val="008954FC"/>
    <w:rsid w:val="00895785"/>
    <w:rsid w:val="00895EEA"/>
    <w:rsid w:val="00896068"/>
    <w:rsid w:val="008962B6"/>
    <w:rsid w:val="008965C4"/>
    <w:rsid w:val="0089695F"/>
    <w:rsid w:val="00896FBE"/>
    <w:rsid w:val="00896FD5"/>
    <w:rsid w:val="00897769"/>
    <w:rsid w:val="00897AE0"/>
    <w:rsid w:val="00897BF9"/>
    <w:rsid w:val="00897F71"/>
    <w:rsid w:val="008A01A9"/>
    <w:rsid w:val="008A0341"/>
    <w:rsid w:val="008A0382"/>
    <w:rsid w:val="008A06BD"/>
    <w:rsid w:val="008A1468"/>
    <w:rsid w:val="008A14D1"/>
    <w:rsid w:val="008A16A8"/>
    <w:rsid w:val="008A183E"/>
    <w:rsid w:val="008A1A9F"/>
    <w:rsid w:val="008A1C4A"/>
    <w:rsid w:val="008A1CB1"/>
    <w:rsid w:val="008A1CD7"/>
    <w:rsid w:val="008A22CA"/>
    <w:rsid w:val="008A251E"/>
    <w:rsid w:val="008A2A57"/>
    <w:rsid w:val="008A2CD4"/>
    <w:rsid w:val="008A2D85"/>
    <w:rsid w:val="008A333B"/>
    <w:rsid w:val="008A3352"/>
    <w:rsid w:val="008A33C5"/>
    <w:rsid w:val="008A33F3"/>
    <w:rsid w:val="008A3739"/>
    <w:rsid w:val="008A3762"/>
    <w:rsid w:val="008A4017"/>
    <w:rsid w:val="008A40B1"/>
    <w:rsid w:val="008A410F"/>
    <w:rsid w:val="008A425F"/>
    <w:rsid w:val="008A434E"/>
    <w:rsid w:val="008A44A0"/>
    <w:rsid w:val="008A44A3"/>
    <w:rsid w:val="008A4526"/>
    <w:rsid w:val="008A4751"/>
    <w:rsid w:val="008A4799"/>
    <w:rsid w:val="008A4EF7"/>
    <w:rsid w:val="008A5331"/>
    <w:rsid w:val="008A55E0"/>
    <w:rsid w:val="008A5631"/>
    <w:rsid w:val="008A5B2B"/>
    <w:rsid w:val="008A5B74"/>
    <w:rsid w:val="008A5C43"/>
    <w:rsid w:val="008A5EA9"/>
    <w:rsid w:val="008A6739"/>
    <w:rsid w:val="008A677D"/>
    <w:rsid w:val="008A67A1"/>
    <w:rsid w:val="008A692C"/>
    <w:rsid w:val="008A7048"/>
    <w:rsid w:val="008A722F"/>
    <w:rsid w:val="008A72ED"/>
    <w:rsid w:val="008A74D4"/>
    <w:rsid w:val="008A7630"/>
    <w:rsid w:val="008A7BFD"/>
    <w:rsid w:val="008B00A9"/>
    <w:rsid w:val="008B0101"/>
    <w:rsid w:val="008B0116"/>
    <w:rsid w:val="008B0371"/>
    <w:rsid w:val="008B04C6"/>
    <w:rsid w:val="008B0ABE"/>
    <w:rsid w:val="008B0CA9"/>
    <w:rsid w:val="008B0E36"/>
    <w:rsid w:val="008B0ECF"/>
    <w:rsid w:val="008B112F"/>
    <w:rsid w:val="008B1165"/>
    <w:rsid w:val="008B1206"/>
    <w:rsid w:val="008B129E"/>
    <w:rsid w:val="008B19F0"/>
    <w:rsid w:val="008B1B6B"/>
    <w:rsid w:val="008B1F59"/>
    <w:rsid w:val="008B2174"/>
    <w:rsid w:val="008B29EF"/>
    <w:rsid w:val="008B2CC2"/>
    <w:rsid w:val="008B2D3D"/>
    <w:rsid w:val="008B2F5A"/>
    <w:rsid w:val="008B2F5B"/>
    <w:rsid w:val="008B321E"/>
    <w:rsid w:val="008B32F6"/>
    <w:rsid w:val="008B3630"/>
    <w:rsid w:val="008B395B"/>
    <w:rsid w:val="008B398F"/>
    <w:rsid w:val="008B39EE"/>
    <w:rsid w:val="008B40AE"/>
    <w:rsid w:val="008B4715"/>
    <w:rsid w:val="008B472C"/>
    <w:rsid w:val="008B47C6"/>
    <w:rsid w:val="008B47F4"/>
    <w:rsid w:val="008B4971"/>
    <w:rsid w:val="008B4BF2"/>
    <w:rsid w:val="008B4D9F"/>
    <w:rsid w:val="008B50F8"/>
    <w:rsid w:val="008B53F4"/>
    <w:rsid w:val="008B5C2C"/>
    <w:rsid w:val="008B5E26"/>
    <w:rsid w:val="008B5E76"/>
    <w:rsid w:val="008B5FFF"/>
    <w:rsid w:val="008B63CC"/>
    <w:rsid w:val="008B6715"/>
    <w:rsid w:val="008B681F"/>
    <w:rsid w:val="008B6968"/>
    <w:rsid w:val="008B69E8"/>
    <w:rsid w:val="008B6E75"/>
    <w:rsid w:val="008B723A"/>
    <w:rsid w:val="008B7262"/>
    <w:rsid w:val="008B732D"/>
    <w:rsid w:val="008B750D"/>
    <w:rsid w:val="008B758E"/>
    <w:rsid w:val="008B75A3"/>
    <w:rsid w:val="008B762B"/>
    <w:rsid w:val="008B7A19"/>
    <w:rsid w:val="008B7B64"/>
    <w:rsid w:val="008B7DAF"/>
    <w:rsid w:val="008B7E6E"/>
    <w:rsid w:val="008C051B"/>
    <w:rsid w:val="008C0557"/>
    <w:rsid w:val="008C0705"/>
    <w:rsid w:val="008C08F4"/>
    <w:rsid w:val="008C0CC3"/>
    <w:rsid w:val="008C0DEB"/>
    <w:rsid w:val="008C0E47"/>
    <w:rsid w:val="008C108E"/>
    <w:rsid w:val="008C146B"/>
    <w:rsid w:val="008C16A5"/>
    <w:rsid w:val="008C1A06"/>
    <w:rsid w:val="008C1E8D"/>
    <w:rsid w:val="008C1F53"/>
    <w:rsid w:val="008C2201"/>
    <w:rsid w:val="008C234A"/>
    <w:rsid w:val="008C2578"/>
    <w:rsid w:val="008C2741"/>
    <w:rsid w:val="008C2DFC"/>
    <w:rsid w:val="008C2EBD"/>
    <w:rsid w:val="008C2FD0"/>
    <w:rsid w:val="008C3203"/>
    <w:rsid w:val="008C341B"/>
    <w:rsid w:val="008C35BE"/>
    <w:rsid w:val="008C3AF4"/>
    <w:rsid w:val="008C3BFF"/>
    <w:rsid w:val="008C3C61"/>
    <w:rsid w:val="008C3EEF"/>
    <w:rsid w:val="008C40CD"/>
    <w:rsid w:val="008C4544"/>
    <w:rsid w:val="008C5C2A"/>
    <w:rsid w:val="008C62FD"/>
    <w:rsid w:val="008C671D"/>
    <w:rsid w:val="008C6984"/>
    <w:rsid w:val="008C69A3"/>
    <w:rsid w:val="008C6D18"/>
    <w:rsid w:val="008C6D5C"/>
    <w:rsid w:val="008C6DD9"/>
    <w:rsid w:val="008C6E4A"/>
    <w:rsid w:val="008C6E90"/>
    <w:rsid w:val="008C6FC2"/>
    <w:rsid w:val="008C726C"/>
    <w:rsid w:val="008C75D3"/>
    <w:rsid w:val="008C76D8"/>
    <w:rsid w:val="008C77BA"/>
    <w:rsid w:val="008C789F"/>
    <w:rsid w:val="008C7A71"/>
    <w:rsid w:val="008C7C00"/>
    <w:rsid w:val="008C7F62"/>
    <w:rsid w:val="008D01C7"/>
    <w:rsid w:val="008D0337"/>
    <w:rsid w:val="008D05DA"/>
    <w:rsid w:val="008D0762"/>
    <w:rsid w:val="008D0AA2"/>
    <w:rsid w:val="008D0DB0"/>
    <w:rsid w:val="008D0DF7"/>
    <w:rsid w:val="008D0FBA"/>
    <w:rsid w:val="008D11F6"/>
    <w:rsid w:val="008D1381"/>
    <w:rsid w:val="008D143E"/>
    <w:rsid w:val="008D1455"/>
    <w:rsid w:val="008D17D3"/>
    <w:rsid w:val="008D1A06"/>
    <w:rsid w:val="008D1A2C"/>
    <w:rsid w:val="008D1FD5"/>
    <w:rsid w:val="008D27B8"/>
    <w:rsid w:val="008D299C"/>
    <w:rsid w:val="008D29FA"/>
    <w:rsid w:val="008D2A49"/>
    <w:rsid w:val="008D2E2B"/>
    <w:rsid w:val="008D3097"/>
    <w:rsid w:val="008D311D"/>
    <w:rsid w:val="008D3A94"/>
    <w:rsid w:val="008D3E9E"/>
    <w:rsid w:val="008D400D"/>
    <w:rsid w:val="008D4036"/>
    <w:rsid w:val="008D4219"/>
    <w:rsid w:val="008D4220"/>
    <w:rsid w:val="008D45DF"/>
    <w:rsid w:val="008D482F"/>
    <w:rsid w:val="008D4A68"/>
    <w:rsid w:val="008D4F3A"/>
    <w:rsid w:val="008D502F"/>
    <w:rsid w:val="008D531F"/>
    <w:rsid w:val="008D53A0"/>
    <w:rsid w:val="008D557A"/>
    <w:rsid w:val="008D5663"/>
    <w:rsid w:val="008D588A"/>
    <w:rsid w:val="008D58B2"/>
    <w:rsid w:val="008D5A8D"/>
    <w:rsid w:val="008D5B71"/>
    <w:rsid w:val="008D5C03"/>
    <w:rsid w:val="008D5F1B"/>
    <w:rsid w:val="008D6113"/>
    <w:rsid w:val="008D64BE"/>
    <w:rsid w:val="008D66E4"/>
    <w:rsid w:val="008D6ADE"/>
    <w:rsid w:val="008D6C73"/>
    <w:rsid w:val="008D6E8E"/>
    <w:rsid w:val="008D6F86"/>
    <w:rsid w:val="008D701E"/>
    <w:rsid w:val="008D7418"/>
    <w:rsid w:val="008D77C1"/>
    <w:rsid w:val="008D7D0C"/>
    <w:rsid w:val="008E077E"/>
    <w:rsid w:val="008E0CCF"/>
    <w:rsid w:val="008E120D"/>
    <w:rsid w:val="008E1325"/>
    <w:rsid w:val="008E1650"/>
    <w:rsid w:val="008E1CE4"/>
    <w:rsid w:val="008E1FE0"/>
    <w:rsid w:val="008E232C"/>
    <w:rsid w:val="008E2D08"/>
    <w:rsid w:val="008E2D1A"/>
    <w:rsid w:val="008E2EBC"/>
    <w:rsid w:val="008E2F08"/>
    <w:rsid w:val="008E32C6"/>
    <w:rsid w:val="008E3326"/>
    <w:rsid w:val="008E3605"/>
    <w:rsid w:val="008E3701"/>
    <w:rsid w:val="008E38D6"/>
    <w:rsid w:val="008E398F"/>
    <w:rsid w:val="008E39BC"/>
    <w:rsid w:val="008E3CAC"/>
    <w:rsid w:val="008E3D2A"/>
    <w:rsid w:val="008E3F19"/>
    <w:rsid w:val="008E40B4"/>
    <w:rsid w:val="008E40B8"/>
    <w:rsid w:val="008E416C"/>
    <w:rsid w:val="008E41CD"/>
    <w:rsid w:val="008E479A"/>
    <w:rsid w:val="008E4B80"/>
    <w:rsid w:val="008E5463"/>
    <w:rsid w:val="008E55B6"/>
    <w:rsid w:val="008E588D"/>
    <w:rsid w:val="008E5CF7"/>
    <w:rsid w:val="008E5F5F"/>
    <w:rsid w:val="008E6210"/>
    <w:rsid w:val="008E6C49"/>
    <w:rsid w:val="008E6C6F"/>
    <w:rsid w:val="008E7066"/>
    <w:rsid w:val="008E70C8"/>
    <w:rsid w:val="008E716A"/>
    <w:rsid w:val="008E71EC"/>
    <w:rsid w:val="008E73B9"/>
    <w:rsid w:val="008E769D"/>
    <w:rsid w:val="008E77D3"/>
    <w:rsid w:val="008E78C1"/>
    <w:rsid w:val="008E7BAC"/>
    <w:rsid w:val="008E7D4B"/>
    <w:rsid w:val="008E7E61"/>
    <w:rsid w:val="008F0363"/>
    <w:rsid w:val="008F0981"/>
    <w:rsid w:val="008F1190"/>
    <w:rsid w:val="008F11DD"/>
    <w:rsid w:val="008F1550"/>
    <w:rsid w:val="008F1DAF"/>
    <w:rsid w:val="008F1DF8"/>
    <w:rsid w:val="008F1E4E"/>
    <w:rsid w:val="008F202A"/>
    <w:rsid w:val="008F21BF"/>
    <w:rsid w:val="008F2E3E"/>
    <w:rsid w:val="008F3061"/>
    <w:rsid w:val="008F365D"/>
    <w:rsid w:val="008F36F7"/>
    <w:rsid w:val="008F3705"/>
    <w:rsid w:val="008F3A31"/>
    <w:rsid w:val="008F3A6B"/>
    <w:rsid w:val="008F3A9D"/>
    <w:rsid w:val="008F3D9B"/>
    <w:rsid w:val="008F443B"/>
    <w:rsid w:val="008F47C6"/>
    <w:rsid w:val="008F4F88"/>
    <w:rsid w:val="008F5562"/>
    <w:rsid w:val="008F57CE"/>
    <w:rsid w:val="008F58E7"/>
    <w:rsid w:val="008F5A62"/>
    <w:rsid w:val="008F5B45"/>
    <w:rsid w:val="008F5D5F"/>
    <w:rsid w:val="008F5E4E"/>
    <w:rsid w:val="008F635E"/>
    <w:rsid w:val="008F698F"/>
    <w:rsid w:val="008F6BFC"/>
    <w:rsid w:val="008F6EB3"/>
    <w:rsid w:val="008F7312"/>
    <w:rsid w:val="008F7677"/>
    <w:rsid w:val="008F7847"/>
    <w:rsid w:val="008F7B66"/>
    <w:rsid w:val="008F7E3E"/>
    <w:rsid w:val="008F7EB8"/>
    <w:rsid w:val="00900648"/>
    <w:rsid w:val="00900785"/>
    <w:rsid w:val="00900787"/>
    <w:rsid w:val="009009B3"/>
    <w:rsid w:val="00900B9B"/>
    <w:rsid w:val="00901056"/>
    <w:rsid w:val="00901190"/>
    <w:rsid w:val="00901326"/>
    <w:rsid w:val="009014E0"/>
    <w:rsid w:val="00901683"/>
    <w:rsid w:val="0090198D"/>
    <w:rsid w:val="00901A4D"/>
    <w:rsid w:val="00901CAD"/>
    <w:rsid w:val="00901D18"/>
    <w:rsid w:val="00901DF0"/>
    <w:rsid w:val="009020A0"/>
    <w:rsid w:val="00902336"/>
    <w:rsid w:val="0090264E"/>
    <w:rsid w:val="0090278C"/>
    <w:rsid w:val="009028F5"/>
    <w:rsid w:val="00902F1B"/>
    <w:rsid w:val="0090307C"/>
    <w:rsid w:val="009032E1"/>
    <w:rsid w:val="0090355D"/>
    <w:rsid w:val="0090369D"/>
    <w:rsid w:val="00903C8E"/>
    <w:rsid w:val="0090454C"/>
    <w:rsid w:val="009046A2"/>
    <w:rsid w:val="00904759"/>
    <w:rsid w:val="0090486D"/>
    <w:rsid w:val="00904E8A"/>
    <w:rsid w:val="009050C8"/>
    <w:rsid w:val="00905336"/>
    <w:rsid w:val="00905E9F"/>
    <w:rsid w:val="009064E5"/>
    <w:rsid w:val="00906715"/>
    <w:rsid w:val="00906839"/>
    <w:rsid w:val="00906AAD"/>
    <w:rsid w:val="009073AD"/>
    <w:rsid w:val="00907608"/>
    <w:rsid w:val="00907D93"/>
    <w:rsid w:val="00910147"/>
    <w:rsid w:val="00910551"/>
    <w:rsid w:val="00910901"/>
    <w:rsid w:val="00910E10"/>
    <w:rsid w:val="00911019"/>
    <w:rsid w:val="00911258"/>
    <w:rsid w:val="00911859"/>
    <w:rsid w:val="00911874"/>
    <w:rsid w:val="00911A5C"/>
    <w:rsid w:val="00911ADD"/>
    <w:rsid w:val="00911B91"/>
    <w:rsid w:val="00911BDA"/>
    <w:rsid w:val="00911FCA"/>
    <w:rsid w:val="0091201D"/>
    <w:rsid w:val="00912039"/>
    <w:rsid w:val="0091249A"/>
    <w:rsid w:val="009127C4"/>
    <w:rsid w:val="00912BEE"/>
    <w:rsid w:val="00912C9A"/>
    <w:rsid w:val="00912F32"/>
    <w:rsid w:val="00913126"/>
    <w:rsid w:val="00913690"/>
    <w:rsid w:val="009136FA"/>
    <w:rsid w:val="009138C3"/>
    <w:rsid w:val="00914022"/>
    <w:rsid w:val="00914073"/>
    <w:rsid w:val="009142D1"/>
    <w:rsid w:val="009145D4"/>
    <w:rsid w:val="00914B22"/>
    <w:rsid w:val="00914CEC"/>
    <w:rsid w:val="0091501D"/>
    <w:rsid w:val="009153AB"/>
    <w:rsid w:val="009153F4"/>
    <w:rsid w:val="009154FF"/>
    <w:rsid w:val="00915509"/>
    <w:rsid w:val="00915584"/>
    <w:rsid w:val="009158DD"/>
    <w:rsid w:val="009159E7"/>
    <w:rsid w:val="00915FCF"/>
    <w:rsid w:val="009160D8"/>
    <w:rsid w:val="00916132"/>
    <w:rsid w:val="009163E9"/>
    <w:rsid w:val="0091662A"/>
    <w:rsid w:val="0091669F"/>
    <w:rsid w:val="009167BA"/>
    <w:rsid w:val="00916C46"/>
    <w:rsid w:val="0091739E"/>
    <w:rsid w:val="0091749F"/>
    <w:rsid w:val="00917782"/>
    <w:rsid w:val="00917A81"/>
    <w:rsid w:val="00917BDB"/>
    <w:rsid w:val="00917CAB"/>
    <w:rsid w:val="009201F2"/>
    <w:rsid w:val="009207B4"/>
    <w:rsid w:val="00920DA6"/>
    <w:rsid w:val="00921200"/>
    <w:rsid w:val="00921218"/>
    <w:rsid w:val="0092126F"/>
    <w:rsid w:val="009214E1"/>
    <w:rsid w:val="009217C9"/>
    <w:rsid w:val="00921CB9"/>
    <w:rsid w:val="00921DFF"/>
    <w:rsid w:val="009221D2"/>
    <w:rsid w:val="00922212"/>
    <w:rsid w:val="00922436"/>
    <w:rsid w:val="00922544"/>
    <w:rsid w:val="00922665"/>
    <w:rsid w:val="00922CB5"/>
    <w:rsid w:val="00922E3C"/>
    <w:rsid w:val="00922E62"/>
    <w:rsid w:val="00922EA8"/>
    <w:rsid w:val="00922F1D"/>
    <w:rsid w:val="009230DC"/>
    <w:rsid w:val="00923830"/>
    <w:rsid w:val="00923894"/>
    <w:rsid w:val="009239D1"/>
    <w:rsid w:val="00923EBC"/>
    <w:rsid w:val="00924139"/>
    <w:rsid w:val="009241CC"/>
    <w:rsid w:val="0092423E"/>
    <w:rsid w:val="00924997"/>
    <w:rsid w:val="00924CA2"/>
    <w:rsid w:val="00924E05"/>
    <w:rsid w:val="00924E96"/>
    <w:rsid w:val="00924EB4"/>
    <w:rsid w:val="00925078"/>
    <w:rsid w:val="009259EC"/>
    <w:rsid w:val="0092616A"/>
    <w:rsid w:val="00926266"/>
    <w:rsid w:val="00926582"/>
    <w:rsid w:val="0092663B"/>
    <w:rsid w:val="0092668E"/>
    <w:rsid w:val="00926793"/>
    <w:rsid w:val="0092683B"/>
    <w:rsid w:val="00926C4B"/>
    <w:rsid w:val="00926D6F"/>
    <w:rsid w:val="0092706C"/>
    <w:rsid w:val="009271F0"/>
    <w:rsid w:val="009279B0"/>
    <w:rsid w:val="00927A18"/>
    <w:rsid w:val="00927D88"/>
    <w:rsid w:val="00930244"/>
    <w:rsid w:val="00930292"/>
    <w:rsid w:val="009302C1"/>
    <w:rsid w:val="009305BD"/>
    <w:rsid w:val="009305ED"/>
    <w:rsid w:val="00930C6E"/>
    <w:rsid w:val="00930E45"/>
    <w:rsid w:val="00931821"/>
    <w:rsid w:val="009318BE"/>
    <w:rsid w:val="00931A95"/>
    <w:rsid w:val="00931AC3"/>
    <w:rsid w:val="009321D9"/>
    <w:rsid w:val="0093229F"/>
    <w:rsid w:val="0093261C"/>
    <w:rsid w:val="0093276B"/>
    <w:rsid w:val="0093281A"/>
    <w:rsid w:val="00933126"/>
    <w:rsid w:val="009331F1"/>
    <w:rsid w:val="00933217"/>
    <w:rsid w:val="009334FE"/>
    <w:rsid w:val="00933589"/>
    <w:rsid w:val="0093359B"/>
    <w:rsid w:val="0093360C"/>
    <w:rsid w:val="00933655"/>
    <w:rsid w:val="00933674"/>
    <w:rsid w:val="0093378A"/>
    <w:rsid w:val="00933A12"/>
    <w:rsid w:val="00933CAC"/>
    <w:rsid w:val="00933F31"/>
    <w:rsid w:val="00934070"/>
    <w:rsid w:val="00935275"/>
    <w:rsid w:val="009353A3"/>
    <w:rsid w:val="009357FC"/>
    <w:rsid w:val="009359EF"/>
    <w:rsid w:val="00935C6B"/>
    <w:rsid w:val="0093608E"/>
    <w:rsid w:val="0093649F"/>
    <w:rsid w:val="00936A93"/>
    <w:rsid w:val="00936DC6"/>
    <w:rsid w:val="00937023"/>
    <w:rsid w:val="0093731C"/>
    <w:rsid w:val="009378F4"/>
    <w:rsid w:val="00940203"/>
    <w:rsid w:val="00940751"/>
    <w:rsid w:val="00940ABA"/>
    <w:rsid w:val="00940D80"/>
    <w:rsid w:val="00940FFE"/>
    <w:rsid w:val="009411F8"/>
    <w:rsid w:val="00941314"/>
    <w:rsid w:val="009413B2"/>
    <w:rsid w:val="00941545"/>
    <w:rsid w:val="00941960"/>
    <w:rsid w:val="00941977"/>
    <w:rsid w:val="0094228D"/>
    <w:rsid w:val="009423FA"/>
    <w:rsid w:val="0094249F"/>
    <w:rsid w:val="009427CE"/>
    <w:rsid w:val="009427DB"/>
    <w:rsid w:val="00942996"/>
    <w:rsid w:val="00942ED0"/>
    <w:rsid w:val="009430FF"/>
    <w:rsid w:val="0094311C"/>
    <w:rsid w:val="0094362D"/>
    <w:rsid w:val="0094391B"/>
    <w:rsid w:val="00943D4F"/>
    <w:rsid w:val="00943DBC"/>
    <w:rsid w:val="0094409B"/>
    <w:rsid w:val="009440EA"/>
    <w:rsid w:val="00944337"/>
    <w:rsid w:val="0094450A"/>
    <w:rsid w:val="00944754"/>
    <w:rsid w:val="00945073"/>
    <w:rsid w:val="009452D6"/>
    <w:rsid w:val="009453D5"/>
    <w:rsid w:val="00945B34"/>
    <w:rsid w:val="00945E9E"/>
    <w:rsid w:val="0094622F"/>
    <w:rsid w:val="0094628F"/>
    <w:rsid w:val="0094634E"/>
    <w:rsid w:val="009463FD"/>
    <w:rsid w:val="0094644D"/>
    <w:rsid w:val="00946554"/>
    <w:rsid w:val="009468C5"/>
    <w:rsid w:val="009468E0"/>
    <w:rsid w:val="00946982"/>
    <w:rsid w:val="00946DF6"/>
    <w:rsid w:val="009472AD"/>
    <w:rsid w:val="0094739C"/>
    <w:rsid w:val="00947545"/>
    <w:rsid w:val="00947613"/>
    <w:rsid w:val="0094775B"/>
    <w:rsid w:val="009479AD"/>
    <w:rsid w:val="00947F6A"/>
    <w:rsid w:val="00947FD8"/>
    <w:rsid w:val="00950502"/>
    <w:rsid w:val="00950D81"/>
    <w:rsid w:val="00950F16"/>
    <w:rsid w:val="00950F31"/>
    <w:rsid w:val="00950F47"/>
    <w:rsid w:val="009513E1"/>
    <w:rsid w:val="00951439"/>
    <w:rsid w:val="00951870"/>
    <w:rsid w:val="00951975"/>
    <w:rsid w:val="00951B5F"/>
    <w:rsid w:val="00951CF0"/>
    <w:rsid w:val="00951D25"/>
    <w:rsid w:val="009520F8"/>
    <w:rsid w:val="00952112"/>
    <w:rsid w:val="00952791"/>
    <w:rsid w:val="00952859"/>
    <w:rsid w:val="009528D9"/>
    <w:rsid w:val="00952981"/>
    <w:rsid w:val="00952BBE"/>
    <w:rsid w:val="009531AB"/>
    <w:rsid w:val="00953845"/>
    <w:rsid w:val="00953878"/>
    <w:rsid w:val="0095395B"/>
    <w:rsid w:val="00953A7E"/>
    <w:rsid w:val="009547A9"/>
    <w:rsid w:val="00954A57"/>
    <w:rsid w:val="00954E66"/>
    <w:rsid w:val="00954EB5"/>
    <w:rsid w:val="0095504B"/>
    <w:rsid w:val="009551E8"/>
    <w:rsid w:val="009554B5"/>
    <w:rsid w:val="00955581"/>
    <w:rsid w:val="009558D4"/>
    <w:rsid w:val="00955B10"/>
    <w:rsid w:val="00955F8C"/>
    <w:rsid w:val="009561EB"/>
    <w:rsid w:val="009563C9"/>
    <w:rsid w:val="009567A2"/>
    <w:rsid w:val="0095681E"/>
    <w:rsid w:val="0095744A"/>
    <w:rsid w:val="00957589"/>
    <w:rsid w:val="009576C5"/>
    <w:rsid w:val="00957902"/>
    <w:rsid w:val="00957E0A"/>
    <w:rsid w:val="00960328"/>
    <w:rsid w:val="009603B1"/>
    <w:rsid w:val="00960799"/>
    <w:rsid w:val="00960F1C"/>
    <w:rsid w:val="00961339"/>
    <w:rsid w:val="009614B7"/>
    <w:rsid w:val="00961528"/>
    <w:rsid w:val="0096158C"/>
    <w:rsid w:val="009615C2"/>
    <w:rsid w:val="00961AB6"/>
    <w:rsid w:val="00961B2A"/>
    <w:rsid w:val="0096200C"/>
    <w:rsid w:val="009625FF"/>
    <w:rsid w:val="00962B32"/>
    <w:rsid w:val="00962EB9"/>
    <w:rsid w:val="00963031"/>
    <w:rsid w:val="009633CE"/>
    <w:rsid w:val="0096360D"/>
    <w:rsid w:val="009638D8"/>
    <w:rsid w:val="00963EFE"/>
    <w:rsid w:val="00964157"/>
    <w:rsid w:val="0096443E"/>
    <w:rsid w:val="00964561"/>
    <w:rsid w:val="00964598"/>
    <w:rsid w:val="009647A2"/>
    <w:rsid w:val="0096480D"/>
    <w:rsid w:val="00964A87"/>
    <w:rsid w:val="00964E2E"/>
    <w:rsid w:val="00964FDC"/>
    <w:rsid w:val="00965568"/>
    <w:rsid w:val="00965652"/>
    <w:rsid w:val="00965897"/>
    <w:rsid w:val="0096598D"/>
    <w:rsid w:val="00965B2A"/>
    <w:rsid w:val="00965B71"/>
    <w:rsid w:val="00965CA5"/>
    <w:rsid w:val="00966063"/>
    <w:rsid w:val="009662F0"/>
    <w:rsid w:val="009663ED"/>
    <w:rsid w:val="009664F9"/>
    <w:rsid w:val="00966675"/>
    <w:rsid w:val="0096685E"/>
    <w:rsid w:val="0096697A"/>
    <w:rsid w:val="00966B53"/>
    <w:rsid w:val="00966C2E"/>
    <w:rsid w:val="009672EC"/>
    <w:rsid w:val="00967326"/>
    <w:rsid w:val="00967375"/>
    <w:rsid w:val="009674E9"/>
    <w:rsid w:val="009678EB"/>
    <w:rsid w:val="0096794F"/>
    <w:rsid w:val="00967E2A"/>
    <w:rsid w:val="00967E79"/>
    <w:rsid w:val="0097038C"/>
    <w:rsid w:val="009703E4"/>
    <w:rsid w:val="0097069F"/>
    <w:rsid w:val="00970810"/>
    <w:rsid w:val="0097098D"/>
    <w:rsid w:val="009709A9"/>
    <w:rsid w:val="00970EB0"/>
    <w:rsid w:val="009716C4"/>
    <w:rsid w:val="00971BB5"/>
    <w:rsid w:val="00971C39"/>
    <w:rsid w:val="00971E07"/>
    <w:rsid w:val="00971EB5"/>
    <w:rsid w:val="00971EC1"/>
    <w:rsid w:val="009722C7"/>
    <w:rsid w:val="009723A5"/>
    <w:rsid w:val="00972519"/>
    <w:rsid w:val="0097295D"/>
    <w:rsid w:val="009729B2"/>
    <w:rsid w:val="00972DDF"/>
    <w:rsid w:val="00972E09"/>
    <w:rsid w:val="0097343C"/>
    <w:rsid w:val="00973C8A"/>
    <w:rsid w:val="00973CD6"/>
    <w:rsid w:val="00973CF7"/>
    <w:rsid w:val="0097491A"/>
    <w:rsid w:val="00974951"/>
    <w:rsid w:val="00974BF6"/>
    <w:rsid w:val="00974D34"/>
    <w:rsid w:val="00975099"/>
    <w:rsid w:val="0097514D"/>
    <w:rsid w:val="009757BF"/>
    <w:rsid w:val="00975BC4"/>
    <w:rsid w:val="00975BE0"/>
    <w:rsid w:val="00975D98"/>
    <w:rsid w:val="00976079"/>
    <w:rsid w:val="0097610C"/>
    <w:rsid w:val="0097646F"/>
    <w:rsid w:val="0097648B"/>
    <w:rsid w:val="00976ACA"/>
    <w:rsid w:val="00976B60"/>
    <w:rsid w:val="00976D6A"/>
    <w:rsid w:val="00976D80"/>
    <w:rsid w:val="00976E77"/>
    <w:rsid w:val="0097702A"/>
    <w:rsid w:val="009771E3"/>
    <w:rsid w:val="0097763A"/>
    <w:rsid w:val="0097788D"/>
    <w:rsid w:val="00977ABA"/>
    <w:rsid w:val="00977E6C"/>
    <w:rsid w:val="0098039F"/>
    <w:rsid w:val="0098058E"/>
    <w:rsid w:val="00980DFC"/>
    <w:rsid w:val="009810F0"/>
    <w:rsid w:val="00981342"/>
    <w:rsid w:val="009815B6"/>
    <w:rsid w:val="009817DE"/>
    <w:rsid w:val="00981975"/>
    <w:rsid w:val="00981A67"/>
    <w:rsid w:val="00981AAF"/>
    <w:rsid w:val="00981D14"/>
    <w:rsid w:val="00981D60"/>
    <w:rsid w:val="00981DF6"/>
    <w:rsid w:val="00981FC0"/>
    <w:rsid w:val="00982193"/>
    <w:rsid w:val="009824A7"/>
    <w:rsid w:val="00982995"/>
    <w:rsid w:val="00982B28"/>
    <w:rsid w:val="00982B8B"/>
    <w:rsid w:val="00982D83"/>
    <w:rsid w:val="00982D9D"/>
    <w:rsid w:val="00982EDF"/>
    <w:rsid w:val="00982F8E"/>
    <w:rsid w:val="0098300E"/>
    <w:rsid w:val="0098303F"/>
    <w:rsid w:val="0098311A"/>
    <w:rsid w:val="009832C3"/>
    <w:rsid w:val="009837A2"/>
    <w:rsid w:val="009837A8"/>
    <w:rsid w:val="00983983"/>
    <w:rsid w:val="00983B06"/>
    <w:rsid w:val="00983C03"/>
    <w:rsid w:val="00983C18"/>
    <w:rsid w:val="00983CB1"/>
    <w:rsid w:val="00983D4A"/>
    <w:rsid w:val="00984436"/>
    <w:rsid w:val="009844CB"/>
    <w:rsid w:val="00984B33"/>
    <w:rsid w:val="009852D1"/>
    <w:rsid w:val="00985410"/>
    <w:rsid w:val="009854DA"/>
    <w:rsid w:val="009856ED"/>
    <w:rsid w:val="009857B7"/>
    <w:rsid w:val="00985A03"/>
    <w:rsid w:val="00985B32"/>
    <w:rsid w:val="00985CAF"/>
    <w:rsid w:val="00985CB9"/>
    <w:rsid w:val="00985E1C"/>
    <w:rsid w:val="0098633A"/>
    <w:rsid w:val="00986483"/>
    <w:rsid w:val="009864D2"/>
    <w:rsid w:val="00986552"/>
    <w:rsid w:val="00986603"/>
    <w:rsid w:val="00986A33"/>
    <w:rsid w:val="00986FB6"/>
    <w:rsid w:val="009872BA"/>
    <w:rsid w:val="00987560"/>
    <w:rsid w:val="00987663"/>
    <w:rsid w:val="00987691"/>
    <w:rsid w:val="00987D30"/>
    <w:rsid w:val="00987F50"/>
    <w:rsid w:val="00990099"/>
    <w:rsid w:val="0099011C"/>
    <w:rsid w:val="00990172"/>
    <w:rsid w:val="00990380"/>
    <w:rsid w:val="009904A2"/>
    <w:rsid w:val="009905F6"/>
    <w:rsid w:val="009907D8"/>
    <w:rsid w:val="00990D40"/>
    <w:rsid w:val="00990FF6"/>
    <w:rsid w:val="0099115A"/>
    <w:rsid w:val="009911F0"/>
    <w:rsid w:val="0099129A"/>
    <w:rsid w:val="009914FB"/>
    <w:rsid w:val="00991635"/>
    <w:rsid w:val="0099197D"/>
    <w:rsid w:val="00991A88"/>
    <w:rsid w:val="00991C9D"/>
    <w:rsid w:val="00992169"/>
    <w:rsid w:val="00992442"/>
    <w:rsid w:val="00992558"/>
    <w:rsid w:val="00992A0A"/>
    <w:rsid w:val="00992A60"/>
    <w:rsid w:val="00992A6D"/>
    <w:rsid w:val="00992A94"/>
    <w:rsid w:val="00993014"/>
    <w:rsid w:val="009933DF"/>
    <w:rsid w:val="00993860"/>
    <w:rsid w:val="009939B3"/>
    <w:rsid w:val="009939D4"/>
    <w:rsid w:val="00993D82"/>
    <w:rsid w:val="009947B0"/>
    <w:rsid w:val="00994ABD"/>
    <w:rsid w:val="00994C53"/>
    <w:rsid w:val="00994FFF"/>
    <w:rsid w:val="00995054"/>
    <w:rsid w:val="0099558F"/>
    <w:rsid w:val="00995590"/>
    <w:rsid w:val="0099570A"/>
    <w:rsid w:val="009959A8"/>
    <w:rsid w:val="009959C9"/>
    <w:rsid w:val="00995B12"/>
    <w:rsid w:val="00995D2A"/>
    <w:rsid w:val="009960F7"/>
    <w:rsid w:val="0099621A"/>
    <w:rsid w:val="00996309"/>
    <w:rsid w:val="00996F48"/>
    <w:rsid w:val="00997194"/>
    <w:rsid w:val="00997449"/>
    <w:rsid w:val="009977DA"/>
    <w:rsid w:val="00997B1D"/>
    <w:rsid w:val="00997BD9"/>
    <w:rsid w:val="00997C50"/>
    <w:rsid w:val="00997CA1"/>
    <w:rsid w:val="00997DAD"/>
    <w:rsid w:val="009A0029"/>
    <w:rsid w:val="009A040F"/>
    <w:rsid w:val="009A0492"/>
    <w:rsid w:val="009A078E"/>
    <w:rsid w:val="009A09BA"/>
    <w:rsid w:val="009A0B8F"/>
    <w:rsid w:val="009A0F2F"/>
    <w:rsid w:val="009A0FB6"/>
    <w:rsid w:val="009A12CC"/>
    <w:rsid w:val="009A15A1"/>
    <w:rsid w:val="009A16EC"/>
    <w:rsid w:val="009A1788"/>
    <w:rsid w:val="009A183E"/>
    <w:rsid w:val="009A1EE3"/>
    <w:rsid w:val="009A2199"/>
    <w:rsid w:val="009A288E"/>
    <w:rsid w:val="009A2D75"/>
    <w:rsid w:val="009A2D94"/>
    <w:rsid w:val="009A2E5F"/>
    <w:rsid w:val="009A30B7"/>
    <w:rsid w:val="009A341C"/>
    <w:rsid w:val="009A3654"/>
    <w:rsid w:val="009A39A7"/>
    <w:rsid w:val="009A3C47"/>
    <w:rsid w:val="009A41C5"/>
    <w:rsid w:val="009A4205"/>
    <w:rsid w:val="009A45EF"/>
    <w:rsid w:val="009A4652"/>
    <w:rsid w:val="009A46FF"/>
    <w:rsid w:val="009A47C0"/>
    <w:rsid w:val="009A4AB0"/>
    <w:rsid w:val="009A4CF5"/>
    <w:rsid w:val="009A4DF4"/>
    <w:rsid w:val="009A4F1B"/>
    <w:rsid w:val="009A50C9"/>
    <w:rsid w:val="009A5352"/>
    <w:rsid w:val="009A5485"/>
    <w:rsid w:val="009A54EC"/>
    <w:rsid w:val="009A588D"/>
    <w:rsid w:val="009A5AF8"/>
    <w:rsid w:val="009A606F"/>
    <w:rsid w:val="009A6073"/>
    <w:rsid w:val="009A607B"/>
    <w:rsid w:val="009A634D"/>
    <w:rsid w:val="009A65E9"/>
    <w:rsid w:val="009A7039"/>
    <w:rsid w:val="009A71B5"/>
    <w:rsid w:val="009A73F8"/>
    <w:rsid w:val="009A7463"/>
    <w:rsid w:val="009A75D2"/>
    <w:rsid w:val="009A778C"/>
    <w:rsid w:val="009A798A"/>
    <w:rsid w:val="009A79B9"/>
    <w:rsid w:val="009A7AF2"/>
    <w:rsid w:val="009A7CFA"/>
    <w:rsid w:val="009A7E9A"/>
    <w:rsid w:val="009A7FB2"/>
    <w:rsid w:val="009B013D"/>
    <w:rsid w:val="009B01A4"/>
    <w:rsid w:val="009B057A"/>
    <w:rsid w:val="009B06B3"/>
    <w:rsid w:val="009B1223"/>
    <w:rsid w:val="009B150B"/>
    <w:rsid w:val="009B1723"/>
    <w:rsid w:val="009B17DB"/>
    <w:rsid w:val="009B1D65"/>
    <w:rsid w:val="009B1D68"/>
    <w:rsid w:val="009B1EC9"/>
    <w:rsid w:val="009B1EFE"/>
    <w:rsid w:val="009B226E"/>
    <w:rsid w:val="009B2316"/>
    <w:rsid w:val="009B25BA"/>
    <w:rsid w:val="009B26D0"/>
    <w:rsid w:val="009B29A3"/>
    <w:rsid w:val="009B2DFE"/>
    <w:rsid w:val="009B2EE7"/>
    <w:rsid w:val="009B34E8"/>
    <w:rsid w:val="009B3704"/>
    <w:rsid w:val="009B3936"/>
    <w:rsid w:val="009B3EBB"/>
    <w:rsid w:val="009B417C"/>
    <w:rsid w:val="009B42BE"/>
    <w:rsid w:val="009B4AA2"/>
    <w:rsid w:val="009B504C"/>
    <w:rsid w:val="009B51F5"/>
    <w:rsid w:val="009B5313"/>
    <w:rsid w:val="009B54C6"/>
    <w:rsid w:val="009B57AF"/>
    <w:rsid w:val="009B5CB4"/>
    <w:rsid w:val="009B5EDC"/>
    <w:rsid w:val="009B5F72"/>
    <w:rsid w:val="009B6211"/>
    <w:rsid w:val="009B64FB"/>
    <w:rsid w:val="009B6535"/>
    <w:rsid w:val="009B66FE"/>
    <w:rsid w:val="009B699D"/>
    <w:rsid w:val="009B6D32"/>
    <w:rsid w:val="009B6EDB"/>
    <w:rsid w:val="009B7015"/>
    <w:rsid w:val="009B7557"/>
    <w:rsid w:val="009B791C"/>
    <w:rsid w:val="009B7BF2"/>
    <w:rsid w:val="009B7D26"/>
    <w:rsid w:val="009B7D42"/>
    <w:rsid w:val="009C05B6"/>
    <w:rsid w:val="009C083D"/>
    <w:rsid w:val="009C08A2"/>
    <w:rsid w:val="009C0BBC"/>
    <w:rsid w:val="009C0E40"/>
    <w:rsid w:val="009C10AA"/>
    <w:rsid w:val="009C1237"/>
    <w:rsid w:val="009C12A5"/>
    <w:rsid w:val="009C1389"/>
    <w:rsid w:val="009C1437"/>
    <w:rsid w:val="009C146F"/>
    <w:rsid w:val="009C16F5"/>
    <w:rsid w:val="009C1B14"/>
    <w:rsid w:val="009C1DA6"/>
    <w:rsid w:val="009C1E4C"/>
    <w:rsid w:val="009C1F26"/>
    <w:rsid w:val="009C21AF"/>
    <w:rsid w:val="009C2581"/>
    <w:rsid w:val="009C2A26"/>
    <w:rsid w:val="009C2AC5"/>
    <w:rsid w:val="009C2E8B"/>
    <w:rsid w:val="009C2F69"/>
    <w:rsid w:val="009C2FEA"/>
    <w:rsid w:val="009C314C"/>
    <w:rsid w:val="009C3689"/>
    <w:rsid w:val="009C383B"/>
    <w:rsid w:val="009C38BB"/>
    <w:rsid w:val="009C3D82"/>
    <w:rsid w:val="009C404A"/>
    <w:rsid w:val="009C49AC"/>
    <w:rsid w:val="009C4B43"/>
    <w:rsid w:val="009C4BC8"/>
    <w:rsid w:val="009C4CE5"/>
    <w:rsid w:val="009C51CD"/>
    <w:rsid w:val="009C5276"/>
    <w:rsid w:val="009C5717"/>
    <w:rsid w:val="009C5A63"/>
    <w:rsid w:val="009C5ADD"/>
    <w:rsid w:val="009C622C"/>
    <w:rsid w:val="009C681D"/>
    <w:rsid w:val="009C6AFF"/>
    <w:rsid w:val="009C6CD0"/>
    <w:rsid w:val="009C6EF9"/>
    <w:rsid w:val="009C7351"/>
    <w:rsid w:val="009C75DC"/>
    <w:rsid w:val="009C77F6"/>
    <w:rsid w:val="009C7CA0"/>
    <w:rsid w:val="009C7E04"/>
    <w:rsid w:val="009C7EB7"/>
    <w:rsid w:val="009D0364"/>
    <w:rsid w:val="009D05B0"/>
    <w:rsid w:val="009D08F9"/>
    <w:rsid w:val="009D12F4"/>
    <w:rsid w:val="009D1505"/>
    <w:rsid w:val="009D1583"/>
    <w:rsid w:val="009D17F3"/>
    <w:rsid w:val="009D1905"/>
    <w:rsid w:val="009D1DE8"/>
    <w:rsid w:val="009D203B"/>
    <w:rsid w:val="009D2E38"/>
    <w:rsid w:val="009D3466"/>
    <w:rsid w:val="009D3485"/>
    <w:rsid w:val="009D37A5"/>
    <w:rsid w:val="009D3A50"/>
    <w:rsid w:val="009D3AAD"/>
    <w:rsid w:val="009D3BFE"/>
    <w:rsid w:val="009D419F"/>
    <w:rsid w:val="009D42BB"/>
    <w:rsid w:val="009D4879"/>
    <w:rsid w:val="009D4CDF"/>
    <w:rsid w:val="009D4E4E"/>
    <w:rsid w:val="009D52BB"/>
    <w:rsid w:val="009D5624"/>
    <w:rsid w:val="009D567E"/>
    <w:rsid w:val="009D5829"/>
    <w:rsid w:val="009D5924"/>
    <w:rsid w:val="009D59E7"/>
    <w:rsid w:val="009D5BB8"/>
    <w:rsid w:val="009D5ED7"/>
    <w:rsid w:val="009D5F10"/>
    <w:rsid w:val="009D5FFD"/>
    <w:rsid w:val="009D633B"/>
    <w:rsid w:val="009D6366"/>
    <w:rsid w:val="009D6846"/>
    <w:rsid w:val="009D6A8B"/>
    <w:rsid w:val="009D6AE8"/>
    <w:rsid w:val="009D6C4B"/>
    <w:rsid w:val="009D6F0B"/>
    <w:rsid w:val="009D7259"/>
    <w:rsid w:val="009D7584"/>
    <w:rsid w:val="009D789E"/>
    <w:rsid w:val="009D7BCE"/>
    <w:rsid w:val="009E0012"/>
    <w:rsid w:val="009E01B2"/>
    <w:rsid w:val="009E029F"/>
    <w:rsid w:val="009E02A5"/>
    <w:rsid w:val="009E0723"/>
    <w:rsid w:val="009E07AC"/>
    <w:rsid w:val="009E0BD0"/>
    <w:rsid w:val="009E0C06"/>
    <w:rsid w:val="009E0CE6"/>
    <w:rsid w:val="009E0F60"/>
    <w:rsid w:val="009E11CD"/>
    <w:rsid w:val="009E1235"/>
    <w:rsid w:val="009E155C"/>
    <w:rsid w:val="009E16BB"/>
    <w:rsid w:val="009E1AAC"/>
    <w:rsid w:val="009E1DEB"/>
    <w:rsid w:val="009E1FA9"/>
    <w:rsid w:val="009E21D0"/>
    <w:rsid w:val="009E22B6"/>
    <w:rsid w:val="009E25F2"/>
    <w:rsid w:val="009E26C2"/>
    <w:rsid w:val="009E26C8"/>
    <w:rsid w:val="009E28DE"/>
    <w:rsid w:val="009E2EA1"/>
    <w:rsid w:val="009E2FA8"/>
    <w:rsid w:val="009E35F1"/>
    <w:rsid w:val="009E37CF"/>
    <w:rsid w:val="009E3BFE"/>
    <w:rsid w:val="009E3D76"/>
    <w:rsid w:val="009E3E13"/>
    <w:rsid w:val="009E3EC2"/>
    <w:rsid w:val="009E3F21"/>
    <w:rsid w:val="009E4298"/>
    <w:rsid w:val="009E49B1"/>
    <w:rsid w:val="009E4AC1"/>
    <w:rsid w:val="009E4B58"/>
    <w:rsid w:val="009E4DFA"/>
    <w:rsid w:val="009E4E7B"/>
    <w:rsid w:val="009E5089"/>
    <w:rsid w:val="009E5209"/>
    <w:rsid w:val="009E53FA"/>
    <w:rsid w:val="009E5616"/>
    <w:rsid w:val="009E5805"/>
    <w:rsid w:val="009E5847"/>
    <w:rsid w:val="009E5857"/>
    <w:rsid w:val="009E58D3"/>
    <w:rsid w:val="009E5DF8"/>
    <w:rsid w:val="009E5FFC"/>
    <w:rsid w:val="009E612D"/>
    <w:rsid w:val="009E62F8"/>
    <w:rsid w:val="009E6319"/>
    <w:rsid w:val="009E633B"/>
    <w:rsid w:val="009E650C"/>
    <w:rsid w:val="009E6720"/>
    <w:rsid w:val="009E6A67"/>
    <w:rsid w:val="009E71C3"/>
    <w:rsid w:val="009E71E5"/>
    <w:rsid w:val="009E7354"/>
    <w:rsid w:val="009E76CD"/>
    <w:rsid w:val="009E7B51"/>
    <w:rsid w:val="009E7EFA"/>
    <w:rsid w:val="009F002E"/>
    <w:rsid w:val="009F0212"/>
    <w:rsid w:val="009F025C"/>
    <w:rsid w:val="009F0310"/>
    <w:rsid w:val="009F07A9"/>
    <w:rsid w:val="009F0883"/>
    <w:rsid w:val="009F0922"/>
    <w:rsid w:val="009F0E7E"/>
    <w:rsid w:val="009F0EBD"/>
    <w:rsid w:val="009F12FF"/>
    <w:rsid w:val="009F19F7"/>
    <w:rsid w:val="009F1D45"/>
    <w:rsid w:val="009F1F18"/>
    <w:rsid w:val="009F21F6"/>
    <w:rsid w:val="009F2275"/>
    <w:rsid w:val="009F24F2"/>
    <w:rsid w:val="009F255E"/>
    <w:rsid w:val="009F280C"/>
    <w:rsid w:val="009F2859"/>
    <w:rsid w:val="009F2944"/>
    <w:rsid w:val="009F2A3F"/>
    <w:rsid w:val="009F2A8F"/>
    <w:rsid w:val="009F2CB1"/>
    <w:rsid w:val="009F3077"/>
    <w:rsid w:val="009F317E"/>
    <w:rsid w:val="009F3240"/>
    <w:rsid w:val="009F337A"/>
    <w:rsid w:val="009F351A"/>
    <w:rsid w:val="009F3590"/>
    <w:rsid w:val="009F36C6"/>
    <w:rsid w:val="009F3845"/>
    <w:rsid w:val="009F3964"/>
    <w:rsid w:val="009F3B0E"/>
    <w:rsid w:val="009F3B3B"/>
    <w:rsid w:val="009F3B86"/>
    <w:rsid w:val="009F3BD3"/>
    <w:rsid w:val="009F3BEA"/>
    <w:rsid w:val="009F3D92"/>
    <w:rsid w:val="009F3DED"/>
    <w:rsid w:val="009F3F7C"/>
    <w:rsid w:val="009F412E"/>
    <w:rsid w:val="009F42FC"/>
    <w:rsid w:val="009F4678"/>
    <w:rsid w:val="009F49D6"/>
    <w:rsid w:val="009F4A01"/>
    <w:rsid w:val="009F4B1B"/>
    <w:rsid w:val="009F5055"/>
    <w:rsid w:val="009F5815"/>
    <w:rsid w:val="009F5CE1"/>
    <w:rsid w:val="009F5E24"/>
    <w:rsid w:val="009F5E80"/>
    <w:rsid w:val="009F5ED6"/>
    <w:rsid w:val="009F6277"/>
    <w:rsid w:val="009F660A"/>
    <w:rsid w:val="009F6A69"/>
    <w:rsid w:val="009F6A7D"/>
    <w:rsid w:val="009F6B41"/>
    <w:rsid w:val="009F6BF0"/>
    <w:rsid w:val="009F6C81"/>
    <w:rsid w:val="009F7160"/>
    <w:rsid w:val="009F75A4"/>
    <w:rsid w:val="009F760A"/>
    <w:rsid w:val="009F7778"/>
    <w:rsid w:val="009F7890"/>
    <w:rsid w:val="009F7A32"/>
    <w:rsid w:val="009F7E30"/>
    <w:rsid w:val="00A000AD"/>
    <w:rsid w:val="00A0012D"/>
    <w:rsid w:val="00A00724"/>
    <w:rsid w:val="00A00B6F"/>
    <w:rsid w:val="00A00CFB"/>
    <w:rsid w:val="00A00DBC"/>
    <w:rsid w:val="00A00DC9"/>
    <w:rsid w:val="00A01275"/>
    <w:rsid w:val="00A014C0"/>
    <w:rsid w:val="00A01800"/>
    <w:rsid w:val="00A01C90"/>
    <w:rsid w:val="00A02012"/>
    <w:rsid w:val="00A02B7E"/>
    <w:rsid w:val="00A02BC6"/>
    <w:rsid w:val="00A02F8B"/>
    <w:rsid w:val="00A03905"/>
    <w:rsid w:val="00A03C3B"/>
    <w:rsid w:val="00A03CBE"/>
    <w:rsid w:val="00A04071"/>
    <w:rsid w:val="00A04240"/>
    <w:rsid w:val="00A045B3"/>
    <w:rsid w:val="00A046EF"/>
    <w:rsid w:val="00A047E4"/>
    <w:rsid w:val="00A04876"/>
    <w:rsid w:val="00A04B6B"/>
    <w:rsid w:val="00A050EB"/>
    <w:rsid w:val="00A051BA"/>
    <w:rsid w:val="00A058BB"/>
    <w:rsid w:val="00A059A8"/>
    <w:rsid w:val="00A05AE6"/>
    <w:rsid w:val="00A05EFB"/>
    <w:rsid w:val="00A05F12"/>
    <w:rsid w:val="00A0636C"/>
    <w:rsid w:val="00A06376"/>
    <w:rsid w:val="00A06559"/>
    <w:rsid w:val="00A06875"/>
    <w:rsid w:val="00A06934"/>
    <w:rsid w:val="00A069AA"/>
    <w:rsid w:val="00A06A0A"/>
    <w:rsid w:val="00A06CA5"/>
    <w:rsid w:val="00A07124"/>
    <w:rsid w:val="00A0720F"/>
    <w:rsid w:val="00A07567"/>
    <w:rsid w:val="00A07581"/>
    <w:rsid w:val="00A07642"/>
    <w:rsid w:val="00A07743"/>
    <w:rsid w:val="00A07946"/>
    <w:rsid w:val="00A07CCB"/>
    <w:rsid w:val="00A100C6"/>
    <w:rsid w:val="00A108CF"/>
    <w:rsid w:val="00A10C4E"/>
    <w:rsid w:val="00A10CAB"/>
    <w:rsid w:val="00A10CD7"/>
    <w:rsid w:val="00A10F13"/>
    <w:rsid w:val="00A110A2"/>
    <w:rsid w:val="00A1146C"/>
    <w:rsid w:val="00A11730"/>
    <w:rsid w:val="00A11871"/>
    <w:rsid w:val="00A11A4F"/>
    <w:rsid w:val="00A11AF3"/>
    <w:rsid w:val="00A11BAF"/>
    <w:rsid w:val="00A11D05"/>
    <w:rsid w:val="00A11ED2"/>
    <w:rsid w:val="00A11F12"/>
    <w:rsid w:val="00A12022"/>
    <w:rsid w:val="00A12608"/>
    <w:rsid w:val="00A1269C"/>
    <w:rsid w:val="00A12B19"/>
    <w:rsid w:val="00A1340E"/>
    <w:rsid w:val="00A13912"/>
    <w:rsid w:val="00A13FEC"/>
    <w:rsid w:val="00A1409C"/>
    <w:rsid w:val="00A14456"/>
    <w:rsid w:val="00A146F6"/>
    <w:rsid w:val="00A14795"/>
    <w:rsid w:val="00A148DB"/>
    <w:rsid w:val="00A14B03"/>
    <w:rsid w:val="00A150E8"/>
    <w:rsid w:val="00A15161"/>
    <w:rsid w:val="00A1529A"/>
    <w:rsid w:val="00A15531"/>
    <w:rsid w:val="00A155F4"/>
    <w:rsid w:val="00A1597B"/>
    <w:rsid w:val="00A15CC8"/>
    <w:rsid w:val="00A160F0"/>
    <w:rsid w:val="00A165B8"/>
    <w:rsid w:val="00A16912"/>
    <w:rsid w:val="00A16A03"/>
    <w:rsid w:val="00A16A8E"/>
    <w:rsid w:val="00A16D5B"/>
    <w:rsid w:val="00A16DEE"/>
    <w:rsid w:val="00A170DF"/>
    <w:rsid w:val="00A17161"/>
    <w:rsid w:val="00A17378"/>
    <w:rsid w:val="00A1745B"/>
    <w:rsid w:val="00A1772E"/>
    <w:rsid w:val="00A17EBB"/>
    <w:rsid w:val="00A201AE"/>
    <w:rsid w:val="00A20212"/>
    <w:rsid w:val="00A203C6"/>
    <w:rsid w:val="00A205FD"/>
    <w:rsid w:val="00A20658"/>
    <w:rsid w:val="00A206FD"/>
    <w:rsid w:val="00A209D7"/>
    <w:rsid w:val="00A20B1D"/>
    <w:rsid w:val="00A20CD9"/>
    <w:rsid w:val="00A20D7F"/>
    <w:rsid w:val="00A212BD"/>
    <w:rsid w:val="00A21345"/>
    <w:rsid w:val="00A21532"/>
    <w:rsid w:val="00A215C2"/>
    <w:rsid w:val="00A21622"/>
    <w:rsid w:val="00A21D5A"/>
    <w:rsid w:val="00A220A7"/>
    <w:rsid w:val="00A220B0"/>
    <w:rsid w:val="00A220BB"/>
    <w:rsid w:val="00A2210D"/>
    <w:rsid w:val="00A22336"/>
    <w:rsid w:val="00A2276C"/>
    <w:rsid w:val="00A229AA"/>
    <w:rsid w:val="00A22BC7"/>
    <w:rsid w:val="00A23793"/>
    <w:rsid w:val="00A2393D"/>
    <w:rsid w:val="00A23A6A"/>
    <w:rsid w:val="00A23C65"/>
    <w:rsid w:val="00A24340"/>
    <w:rsid w:val="00A24899"/>
    <w:rsid w:val="00A2492A"/>
    <w:rsid w:val="00A24A89"/>
    <w:rsid w:val="00A24E12"/>
    <w:rsid w:val="00A25209"/>
    <w:rsid w:val="00A252B0"/>
    <w:rsid w:val="00A25368"/>
    <w:rsid w:val="00A2565A"/>
    <w:rsid w:val="00A2583E"/>
    <w:rsid w:val="00A25853"/>
    <w:rsid w:val="00A25B99"/>
    <w:rsid w:val="00A260D9"/>
    <w:rsid w:val="00A2610E"/>
    <w:rsid w:val="00A26A86"/>
    <w:rsid w:val="00A26C12"/>
    <w:rsid w:val="00A26ECF"/>
    <w:rsid w:val="00A27197"/>
    <w:rsid w:val="00A2747D"/>
    <w:rsid w:val="00A274EE"/>
    <w:rsid w:val="00A27608"/>
    <w:rsid w:val="00A27653"/>
    <w:rsid w:val="00A27B2E"/>
    <w:rsid w:val="00A27F43"/>
    <w:rsid w:val="00A30413"/>
    <w:rsid w:val="00A304FD"/>
    <w:rsid w:val="00A305B4"/>
    <w:rsid w:val="00A30D19"/>
    <w:rsid w:val="00A313CF"/>
    <w:rsid w:val="00A316E4"/>
    <w:rsid w:val="00A3171C"/>
    <w:rsid w:val="00A319F7"/>
    <w:rsid w:val="00A31B03"/>
    <w:rsid w:val="00A31B2F"/>
    <w:rsid w:val="00A31B7F"/>
    <w:rsid w:val="00A31FA5"/>
    <w:rsid w:val="00A323F3"/>
    <w:rsid w:val="00A32400"/>
    <w:rsid w:val="00A325B3"/>
    <w:rsid w:val="00A32710"/>
    <w:rsid w:val="00A3292D"/>
    <w:rsid w:val="00A32960"/>
    <w:rsid w:val="00A3332D"/>
    <w:rsid w:val="00A336FD"/>
    <w:rsid w:val="00A33C76"/>
    <w:rsid w:val="00A33CA6"/>
    <w:rsid w:val="00A33FE9"/>
    <w:rsid w:val="00A3410E"/>
    <w:rsid w:val="00A341D0"/>
    <w:rsid w:val="00A341E9"/>
    <w:rsid w:val="00A34464"/>
    <w:rsid w:val="00A34940"/>
    <w:rsid w:val="00A34BDD"/>
    <w:rsid w:val="00A34DDA"/>
    <w:rsid w:val="00A34FF9"/>
    <w:rsid w:val="00A35081"/>
    <w:rsid w:val="00A350C4"/>
    <w:rsid w:val="00A35465"/>
    <w:rsid w:val="00A35732"/>
    <w:rsid w:val="00A36056"/>
    <w:rsid w:val="00A360BC"/>
    <w:rsid w:val="00A368DC"/>
    <w:rsid w:val="00A36DF7"/>
    <w:rsid w:val="00A36F04"/>
    <w:rsid w:val="00A36F87"/>
    <w:rsid w:val="00A37133"/>
    <w:rsid w:val="00A374C3"/>
    <w:rsid w:val="00A37891"/>
    <w:rsid w:val="00A37C3D"/>
    <w:rsid w:val="00A40169"/>
    <w:rsid w:val="00A4043A"/>
    <w:rsid w:val="00A408F8"/>
    <w:rsid w:val="00A40DAD"/>
    <w:rsid w:val="00A4125E"/>
    <w:rsid w:val="00A412FA"/>
    <w:rsid w:val="00A41B9A"/>
    <w:rsid w:val="00A41C1D"/>
    <w:rsid w:val="00A41EAD"/>
    <w:rsid w:val="00A42259"/>
    <w:rsid w:val="00A423FA"/>
    <w:rsid w:val="00A42572"/>
    <w:rsid w:val="00A426A7"/>
    <w:rsid w:val="00A428DE"/>
    <w:rsid w:val="00A42E13"/>
    <w:rsid w:val="00A43148"/>
    <w:rsid w:val="00A43451"/>
    <w:rsid w:val="00A4368E"/>
    <w:rsid w:val="00A43949"/>
    <w:rsid w:val="00A43A5A"/>
    <w:rsid w:val="00A43A90"/>
    <w:rsid w:val="00A43FA6"/>
    <w:rsid w:val="00A44060"/>
    <w:rsid w:val="00A441C5"/>
    <w:rsid w:val="00A44830"/>
    <w:rsid w:val="00A44901"/>
    <w:rsid w:val="00A44BBE"/>
    <w:rsid w:val="00A44D63"/>
    <w:rsid w:val="00A44F8D"/>
    <w:rsid w:val="00A44FAA"/>
    <w:rsid w:val="00A450A0"/>
    <w:rsid w:val="00A45398"/>
    <w:rsid w:val="00A45766"/>
    <w:rsid w:val="00A45B4B"/>
    <w:rsid w:val="00A45D45"/>
    <w:rsid w:val="00A45DE8"/>
    <w:rsid w:val="00A46043"/>
    <w:rsid w:val="00A46557"/>
    <w:rsid w:val="00A465E2"/>
    <w:rsid w:val="00A466FE"/>
    <w:rsid w:val="00A46A9E"/>
    <w:rsid w:val="00A46EF4"/>
    <w:rsid w:val="00A46F04"/>
    <w:rsid w:val="00A46F28"/>
    <w:rsid w:val="00A46F99"/>
    <w:rsid w:val="00A47B94"/>
    <w:rsid w:val="00A47F94"/>
    <w:rsid w:val="00A50015"/>
    <w:rsid w:val="00A50339"/>
    <w:rsid w:val="00A5071C"/>
    <w:rsid w:val="00A507BA"/>
    <w:rsid w:val="00A508B1"/>
    <w:rsid w:val="00A508EB"/>
    <w:rsid w:val="00A50977"/>
    <w:rsid w:val="00A50C65"/>
    <w:rsid w:val="00A50DD3"/>
    <w:rsid w:val="00A516C1"/>
    <w:rsid w:val="00A51758"/>
    <w:rsid w:val="00A51792"/>
    <w:rsid w:val="00A519AA"/>
    <w:rsid w:val="00A519E4"/>
    <w:rsid w:val="00A519FF"/>
    <w:rsid w:val="00A51C0E"/>
    <w:rsid w:val="00A51E85"/>
    <w:rsid w:val="00A51F24"/>
    <w:rsid w:val="00A51F86"/>
    <w:rsid w:val="00A51FD6"/>
    <w:rsid w:val="00A52025"/>
    <w:rsid w:val="00A52705"/>
    <w:rsid w:val="00A52CCD"/>
    <w:rsid w:val="00A533F9"/>
    <w:rsid w:val="00A53C04"/>
    <w:rsid w:val="00A53DE2"/>
    <w:rsid w:val="00A5418B"/>
    <w:rsid w:val="00A54792"/>
    <w:rsid w:val="00A548DA"/>
    <w:rsid w:val="00A54A7D"/>
    <w:rsid w:val="00A54E61"/>
    <w:rsid w:val="00A550E6"/>
    <w:rsid w:val="00A551B6"/>
    <w:rsid w:val="00A55425"/>
    <w:rsid w:val="00A5577B"/>
    <w:rsid w:val="00A55939"/>
    <w:rsid w:val="00A55B75"/>
    <w:rsid w:val="00A55C47"/>
    <w:rsid w:val="00A563FC"/>
    <w:rsid w:val="00A5645C"/>
    <w:rsid w:val="00A56470"/>
    <w:rsid w:val="00A56846"/>
    <w:rsid w:val="00A56A6E"/>
    <w:rsid w:val="00A57444"/>
    <w:rsid w:val="00A5751C"/>
    <w:rsid w:val="00A5793E"/>
    <w:rsid w:val="00A57ADD"/>
    <w:rsid w:val="00A57AF3"/>
    <w:rsid w:val="00A60014"/>
    <w:rsid w:val="00A60495"/>
    <w:rsid w:val="00A6056C"/>
    <w:rsid w:val="00A60644"/>
    <w:rsid w:val="00A6075A"/>
    <w:rsid w:val="00A607C0"/>
    <w:rsid w:val="00A60BC5"/>
    <w:rsid w:val="00A60FC0"/>
    <w:rsid w:val="00A6140B"/>
    <w:rsid w:val="00A6171C"/>
    <w:rsid w:val="00A61895"/>
    <w:rsid w:val="00A619A1"/>
    <w:rsid w:val="00A61AC9"/>
    <w:rsid w:val="00A61B9D"/>
    <w:rsid w:val="00A61CB4"/>
    <w:rsid w:val="00A6234C"/>
    <w:rsid w:val="00A6261E"/>
    <w:rsid w:val="00A626A4"/>
    <w:rsid w:val="00A6281E"/>
    <w:rsid w:val="00A62B2B"/>
    <w:rsid w:val="00A62B49"/>
    <w:rsid w:val="00A62C29"/>
    <w:rsid w:val="00A62DF6"/>
    <w:rsid w:val="00A62EE6"/>
    <w:rsid w:val="00A6379D"/>
    <w:rsid w:val="00A6394D"/>
    <w:rsid w:val="00A63A33"/>
    <w:rsid w:val="00A640A0"/>
    <w:rsid w:val="00A64166"/>
    <w:rsid w:val="00A6446B"/>
    <w:rsid w:val="00A64A2D"/>
    <w:rsid w:val="00A64B6D"/>
    <w:rsid w:val="00A64DEC"/>
    <w:rsid w:val="00A650CB"/>
    <w:rsid w:val="00A651C7"/>
    <w:rsid w:val="00A653D8"/>
    <w:rsid w:val="00A65546"/>
    <w:rsid w:val="00A65692"/>
    <w:rsid w:val="00A65995"/>
    <w:rsid w:val="00A65F78"/>
    <w:rsid w:val="00A662E1"/>
    <w:rsid w:val="00A662F1"/>
    <w:rsid w:val="00A663DA"/>
    <w:rsid w:val="00A66490"/>
    <w:rsid w:val="00A664FA"/>
    <w:rsid w:val="00A6698C"/>
    <w:rsid w:val="00A669E0"/>
    <w:rsid w:val="00A66DAB"/>
    <w:rsid w:val="00A66DC6"/>
    <w:rsid w:val="00A677FF"/>
    <w:rsid w:val="00A6786E"/>
    <w:rsid w:val="00A678E7"/>
    <w:rsid w:val="00A67B3B"/>
    <w:rsid w:val="00A702CE"/>
    <w:rsid w:val="00A70365"/>
    <w:rsid w:val="00A7040B"/>
    <w:rsid w:val="00A7056A"/>
    <w:rsid w:val="00A706A4"/>
    <w:rsid w:val="00A70739"/>
    <w:rsid w:val="00A70818"/>
    <w:rsid w:val="00A70865"/>
    <w:rsid w:val="00A70A7D"/>
    <w:rsid w:val="00A70CEA"/>
    <w:rsid w:val="00A7121D"/>
    <w:rsid w:val="00A71243"/>
    <w:rsid w:val="00A71409"/>
    <w:rsid w:val="00A71DA5"/>
    <w:rsid w:val="00A72116"/>
    <w:rsid w:val="00A7214C"/>
    <w:rsid w:val="00A7215A"/>
    <w:rsid w:val="00A72269"/>
    <w:rsid w:val="00A72A99"/>
    <w:rsid w:val="00A72AD4"/>
    <w:rsid w:val="00A72B9F"/>
    <w:rsid w:val="00A72D64"/>
    <w:rsid w:val="00A735ED"/>
    <w:rsid w:val="00A736B5"/>
    <w:rsid w:val="00A737BC"/>
    <w:rsid w:val="00A73B16"/>
    <w:rsid w:val="00A74123"/>
    <w:rsid w:val="00A742B8"/>
    <w:rsid w:val="00A743AA"/>
    <w:rsid w:val="00A744B3"/>
    <w:rsid w:val="00A744EE"/>
    <w:rsid w:val="00A745AD"/>
    <w:rsid w:val="00A747FC"/>
    <w:rsid w:val="00A74CD6"/>
    <w:rsid w:val="00A74D8C"/>
    <w:rsid w:val="00A752F7"/>
    <w:rsid w:val="00A75467"/>
    <w:rsid w:val="00A754CF"/>
    <w:rsid w:val="00A75DEB"/>
    <w:rsid w:val="00A75F02"/>
    <w:rsid w:val="00A76077"/>
    <w:rsid w:val="00A76162"/>
    <w:rsid w:val="00A76477"/>
    <w:rsid w:val="00A7662E"/>
    <w:rsid w:val="00A767BB"/>
    <w:rsid w:val="00A76AD9"/>
    <w:rsid w:val="00A76BAC"/>
    <w:rsid w:val="00A76C46"/>
    <w:rsid w:val="00A76E6A"/>
    <w:rsid w:val="00A76ECD"/>
    <w:rsid w:val="00A77342"/>
    <w:rsid w:val="00A773EF"/>
    <w:rsid w:val="00A775DA"/>
    <w:rsid w:val="00A7774C"/>
    <w:rsid w:val="00A77824"/>
    <w:rsid w:val="00A77B81"/>
    <w:rsid w:val="00A77EE7"/>
    <w:rsid w:val="00A77F47"/>
    <w:rsid w:val="00A77F65"/>
    <w:rsid w:val="00A8003C"/>
    <w:rsid w:val="00A8014B"/>
    <w:rsid w:val="00A811B0"/>
    <w:rsid w:val="00A819AD"/>
    <w:rsid w:val="00A81AD3"/>
    <w:rsid w:val="00A81B9E"/>
    <w:rsid w:val="00A81C8E"/>
    <w:rsid w:val="00A824B1"/>
    <w:rsid w:val="00A82559"/>
    <w:rsid w:val="00A82625"/>
    <w:rsid w:val="00A82903"/>
    <w:rsid w:val="00A82C67"/>
    <w:rsid w:val="00A82F31"/>
    <w:rsid w:val="00A83259"/>
    <w:rsid w:val="00A83357"/>
    <w:rsid w:val="00A834FA"/>
    <w:rsid w:val="00A834FE"/>
    <w:rsid w:val="00A83534"/>
    <w:rsid w:val="00A838B1"/>
    <w:rsid w:val="00A83EC2"/>
    <w:rsid w:val="00A83F1D"/>
    <w:rsid w:val="00A846D4"/>
    <w:rsid w:val="00A84A62"/>
    <w:rsid w:val="00A84E2B"/>
    <w:rsid w:val="00A85BEF"/>
    <w:rsid w:val="00A85D0F"/>
    <w:rsid w:val="00A86475"/>
    <w:rsid w:val="00A86582"/>
    <w:rsid w:val="00A865D6"/>
    <w:rsid w:val="00A871A8"/>
    <w:rsid w:val="00A87359"/>
    <w:rsid w:val="00A873C4"/>
    <w:rsid w:val="00A87938"/>
    <w:rsid w:val="00A87AE9"/>
    <w:rsid w:val="00A87B41"/>
    <w:rsid w:val="00A87BD9"/>
    <w:rsid w:val="00A87D1D"/>
    <w:rsid w:val="00A87E64"/>
    <w:rsid w:val="00A900EE"/>
    <w:rsid w:val="00A902D6"/>
    <w:rsid w:val="00A903F8"/>
    <w:rsid w:val="00A907DD"/>
    <w:rsid w:val="00A90A85"/>
    <w:rsid w:val="00A90AB3"/>
    <w:rsid w:val="00A90B4A"/>
    <w:rsid w:val="00A90B58"/>
    <w:rsid w:val="00A90B6C"/>
    <w:rsid w:val="00A90D13"/>
    <w:rsid w:val="00A90F4D"/>
    <w:rsid w:val="00A91207"/>
    <w:rsid w:val="00A91795"/>
    <w:rsid w:val="00A91B4F"/>
    <w:rsid w:val="00A91C56"/>
    <w:rsid w:val="00A91D05"/>
    <w:rsid w:val="00A92044"/>
    <w:rsid w:val="00A92209"/>
    <w:rsid w:val="00A9227A"/>
    <w:rsid w:val="00A924E9"/>
    <w:rsid w:val="00A9285F"/>
    <w:rsid w:val="00A92AA0"/>
    <w:rsid w:val="00A92AA9"/>
    <w:rsid w:val="00A92BF7"/>
    <w:rsid w:val="00A933AB"/>
    <w:rsid w:val="00A93585"/>
    <w:rsid w:val="00A935B2"/>
    <w:rsid w:val="00A9364E"/>
    <w:rsid w:val="00A93B9B"/>
    <w:rsid w:val="00A93C30"/>
    <w:rsid w:val="00A93E5F"/>
    <w:rsid w:val="00A93EEE"/>
    <w:rsid w:val="00A9418A"/>
    <w:rsid w:val="00A9454E"/>
    <w:rsid w:val="00A9464F"/>
    <w:rsid w:val="00A9478D"/>
    <w:rsid w:val="00A94EF6"/>
    <w:rsid w:val="00A94F28"/>
    <w:rsid w:val="00A9558D"/>
    <w:rsid w:val="00A956C7"/>
    <w:rsid w:val="00A95C35"/>
    <w:rsid w:val="00A95D22"/>
    <w:rsid w:val="00A96397"/>
    <w:rsid w:val="00A963F6"/>
    <w:rsid w:val="00A96C4E"/>
    <w:rsid w:val="00A96DFE"/>
    <w:rsid w:val="00A970EA"/>
    <w:rsid w:val="00A971B1"/>
    <w:rsid w:val="00A971CF"/>
    <w:rsid w:val="00A972E7"/>
    <w:rsid w:val="00A97858"/>
    <w:rsid w:val="00A97888"/>
    <w:rsid w:val="00A97F16"/>
    <w:rsid w:val="00AA00EF"/>
    <w:rsid w:val="00AA03DE"/>
    <w:rsid w:val="00AA048B"/>
    <w:rsid w:val="00AA0974"/>
    <w:rsid w:val="00AA0C48"/>
    <w:rsid w:val="00AA0EE4"/>
    <w:rsid w:val="00AA124C"/>
    <w:rsid w:val="00AA1313"/>
    <w:rsid w:val="00AA146E"/>
    <w:rsid w:val="00AA1511"/>
    <w:rsid w:val="00AA18DF"/>
    <w:rsid w:val="00AA1986"/>
    <w:rsid w:val="00AA1E32"/>
    <w:rsid w:val="00AA1E6E"/>
    <w:rsid w:val="00AA2518"/>
    <w:rsid w:val="00AA276D"/>
    <w:rsid w:val="00AA27E9"/>
    <w:rsid w:val="00AA2A51"/>
    <w:rsid w:val="00AA2C69"/>
    <w:rsid w:val="00AA3030"/>
    <w:rsid w:val="00AA310C"/>
    <w:rsid w:val="00AA3271"/>
    <w:rsid w:val="00AA34D0"/>
    <w:rsid w:val="00AA3590"/>
    <w:rsid w:val="00AA3941"/>
    <w:rsid w:val="00AA3B34"/>
    <w:rsid w:val="00AA3C10"/>
    <w:rsid w:val="00AA3CE1"/>
    <w:rsid w:val="00AA3DAD"/>
    <w:rsid w:val="00AA3F62"/>
    <w:rsid w:val="00AA413E"/>
    <w:rsid w:val="00AA47FB"/>
    <w:rsid w:val="00AA4952"/>
    <w:rsid w:val="00AA4999"/>
    <w:rsid w:val="00AA4D7D"/>
    <w:rsid w:val="00AA4DA0"/>
    <w:rsid w:val="00AA4DB3"/>
    <w:rsid w:val="00AA5266"/>
    <w:rsid w:val="00AA5A77"/>
    <w:rsid w:val="00AA5CE3"/>
    <w:rsid w:val="00AA5D10"/>
    <w:rsid w:val="00AA5D91"/>
    <w:rsid w:val="00AA5DAF"/>
    <w:rsid w:val="00AA5F06"/>
    <w:rsid w:val="00AA60C6"/>
    <w:rsid w:val="00AA63B9"/>
    <w:rsid w:val="00AA63DE"/>
    <w:rsid w:val="00AA683E"/>
    <w:rsid w:val="00AA6BE5"/>
    <w:rsid w:val="00AA6CCE"/>
    <w:rsid w:val="00AA7608"/>
    <w:rsid w:val="00AA78D3"/>
    <w:rsid w:val="00AA7D97"/>
    <w:rsid w:val="00AB0606"/>
    <w:rsid w:val="00AB0615"/>
    <w:rsid w:val="00AB0779"/>
    <w:rsid w:val="00AB0831"/>
    <w:rsid w:val="00AB09BD"/>
    <w:rsid w:val="00AB09D4"/>
    <w:rsid w:val="00AB0AD2"/>
    <w:rsid w:val="00AB0EA1"/>
    <w:rsid w:val="00AB0F72"/>
    <w:rsid w:val="00AB11A6"/>
    <w:rsid w:val="00AB11D2"/>
    <w:rsid w:val="00AB1228"/>
    <w:rsid w:val="00AB124E"/>
    <w:rsid w:val="00AB15C4"/>
    <w:rsid w:val="00AB19A1"/>
    <w:rsid w:val="00AB1B2D"/>
    <w:rsid w:val="00AB1C2F"/>
    <w:rsid w:val="00AB1DDD"/>
    <w:rsid w:val="00AB24EF"/>
    <w:rsid w:val="00AB2B36"/>
    <w:rsid w:val="00AB35C2"/>
    <w:rsid w:val="00AB3BC2"/>
    <w:rsid w:val="00AB3D3E"/>
    <w:rsid w:val="00AB3E8C"/>
    <w:rsid w:val="00AB40B9"/>
    <w:rsid w:val="00AB42FF"/>
    <w:rsid w:val="00AB5463"/>
    <w:rsid w:val="00AB55DA"/>
    <w:rsid w:val="00AB56F3"/>
    <w:rsid w:val="00AB57D7"/>
    <w:rsid w:val="00AB59E8"/>
    <w:rsid w:val="00AB5DE3"/>
    <w:rsid w:val="00AB5E42"/>
    <w:rsid w:val="00AB5E87"/>
    <w:rsid w:val="00AB601B"/>
    <w:rsid w:val="00AB62F4"/>
    <w:rsid w:val="00AB6383"/>
    <w:rsid w:val="00AB63B1"/>
    <w:rsid w:val="00AB64F4"/>
    <w:rsid w:val="00AB6A14"/>
    <w:rsid w:val="00AB6B7D"/>
    <w:rsid w:val="00AB6C72"/>
    <w:rsid w:val="00AB6DB0"/>
    <w:rsid w:val="00AB6E3B"/>
    <w:rsid w:val="00AB748F"/>
    <w:rsid w:val="00AB772A"/>
    <w:rsid w:val="00AB79C7"/>
    <w:rsid w:val="00AB7C6F"/>
    <w:rsid w:val="00AB7D0F"/>
    <w:rsid w:val="00AB7DF0"/>
    <w:rsid w:val="00AB7E03"/>
    <w:rsid w:val="00AB7E58"/>
    <w:rsid w:val="00AC0029"/>
    <w:rsid w:val="00AC02E9"/>
    <w:rsid w:val="00AC03CA"/>
    <w:rsid w:val="00AC0E33"/>
    <w:rsid w:val="00AC0E5F"/>
    <w:rsid w:val="00AC1125"/>
    <w:rsid w:val="00AC11E6"/>
    <w:rsid w:val="00AC14FE"/>
    <w:rsid w:val="00AC19A4"/>
    <w:rsid w:val="00AC1E9D"/>
    <w:rsid w:val="00AC202E"/>
    <w:rsid w:val="00AC224A"/>
    <w:rsid w:val="00AC265F"/>
    <w:rsid w:val="00AC2960"/>
    <w:rsid w:val="00AC2ADA"/>
    <w:rsid w:val="00AC2B30"/>
    <w:rsid w:val="00AC2CC7"/>
    <w:rsid w:val="00AC2E7F"/>
    <w:rsid w:val="00AC30D4"/>
    <w:rsid w:val="00AC310A"/>
    <w:rsid w:val="00AC39C4"/>
    <w:rsid w:val="00AC3BF7"/>
    <w:rsid w:val="00AC445F"/>
    <w:rsid w:val="00AC44E4"/>
    <w:rsid w:val="00AC4705"/>
    <w:rsid w:val="00AC4735"/>
    <w:rsid w:val="00AC49D7"/>
    <w:rsid w:val="00AC4D2C"/>
    <w:rsid w:val="00AC4D83"/>
    <w:rsid w:val="00AC4E1F"/>
    <w:rsid w:val="00AC5059"/>
    <w:rsid w:val="00AC527C"/>
    <w:rsid w:val="00AC5AD5"/>
    <w:rsid w:val="00AC5F41"/>
    <w:rsid w:val="00AC61E2"/>
    <w:rsid w:val="00AC63FA"/>
    <w:rsid w:val="00AC6657"/>
    <w:rsid w:val="00AC6832"/>
    <w:rsid w:val="00AC6BB7"/>
    <w:rsid w:val="00AC6CB9"/>
    <w:rsid w:val="00AC737C"/>
    <w:rsid w:val="00AC7402"/>
    <w:rsid w:val="00AC7570"/>
    <w:rsid w:val="00AC78F9"/>
    <w:rsid w:val="00AC7976"/>
    <w:rsid w:val="00AC7DF5"/>
    <w:rsid w:val="00AD036B"/>
    <w:rsid w:val="00AD0B6E"/>
    <w:rsid w:val="00AD0F7D"/>
    <w:rsid w:val="00AD10F7"/>
    <w:rsid w:val="00AD14D3"/>
    <w:rsid w:val="00AD17E1"/>
    <w:rsid w:val="00AD1861"/>
    <w:rsid w:val="00AD22F6"/>
    <w:rsid w:val="00AD259A"/>
    <w:rsid w:val="00AD2609"/>
    <w:rsid w:val="00AD2836"/>
    <w:rsid w:val="00AD2CAD"/>
    <w:rsid w:val="00AD2D18"/>
    <w:rsid w:val="00AD3054"/>
    <w:rsid w:val="00AD3238"/>
    <w:rsid w:val="00AD32AC"/>
    <w:rsid w:val="00AD32FB"/>
    <w:rsid w:val="00AD35DE"/>
    <w:rsid w:val="00AD368F"/>
    <w:rsid w:val="00AD42CF"/>
    <w:rsid w:val="00AD439D"/>
    <w:rsid w:val="00AD4493"/>
    <w:rsid w:val="00AD4770"/>
    <w:rsid w:val="00AD4F1F"/>
    <w:rsid w:val="00AD52BB"/>
    <w:rsid w:val="00AD5483"/>
    <w:rsid w:val="00AD582E"/>
    <w:rsid w:val="00AD5A14"/>
    <w:rsid w:val="00AD5A93"/>
    <w:rsid w:val="00AD5CA3"/>
    <w:rsid w:val="00AD62DC"/>
    <w:rsid w:val="00AD6391"/>
    <w:rsid w:val="00AD63D2"/>
    <w:rsid w:val="00AD667F"/>
    <w:rsid w:val="00AD68B4"/>
    <w:rsid w:val="00AD69E7"/>
    <w:rsid w:val="00AD707C"/>
    <w:rsid w:val="00AD7256"/>
    <w:rsid w:val="00AD73EB"/>
    <w:rsid w:val="00AD77D2"/>
    <w:rsid w:val="00AD7C11"/>
    <w:rsid w:val="00AE00E1"/>
    <w:rsid w:val="00AE012A"/>
    <w:rsid w:val="00AE0368"/>
    <w:rsid w:val="00AE036E"/>
    <w:rsid w:val="00AE03CF"/>
    <w:rsid w:val="00AE0A6E"/>
    <w:rsid w:val="00AE0B97"/>
    <w:rsid w:val="00AE0F6B"/>
    <w:rsid w:val="00AE10C1"/>
    <w:rsid w:val="00AE12D3"/>
    <w:rsid w:val="00AE12F7"/>
    <w:rsid w:val="00AE1706"/>
    <w:rsid w:val="00AE1793"/>
    <w:rsid w:val="00AE1A23"/>
    <w:rsid w:val="00AE1ADE"/>
    <w:rsid w:val="00AE1B9F"/>
    <w:rsid w:val="00AE1CB1"/>
    <w:rsid w:val="00AE1E98"/>
    <w:rsid w:val="00AE1FA5"/>
    <w:rsid w:val="00AE2765"/>
    <w:rsid w:val="00AE2EAF"/>
    <w:rsid w:val="00AE370B"/>
    <w:rsid w:val="00AE37FC"/>
    <w:rsid w:val="00AE385A"/>
    <w:rsid w:val="00AE3BA8"/>
    <w:rsid w:val="00AE3EC8"/>
    <w:rsid w:val="00AE4088"/>
    <w:rsid w:val="00AE426D"/>
    <w:rsid w:val="00AE49B3"/>
    <w:rsid w:val="00AE4AD8"/>
    <w:rsid w:val="00AE4DA1"/>
    <w:rsid w:val="00AE4E45"/>
    <w:rsid w:val="00AE4E71"/>
    <w:rsid w:val="00AE5393"/>
    <w:rsid w:val="00AE544A"/>
    <w:rsid w:val="00AE5A00"/>
    <w:rsid w:val="00AE5F7A"/>
    <w:rsid w:val="00AE62E0"/>
    <w:rsid w:val="00AE67C7"/>
    <w:rsid w:val="00AE68A0"/>
    <w:rsid w:val="00AE6931"/>
    <w:rsid w:val="00AE6E66"/>
    <w:rsid w:val="00AE73CF"/>
    <w:rsid w:val="00AE744E"/>
    <w:rsid w:val="00AE7459"/>
    <w:rsid w:val="00AE7576"/>
    <w:rsid w:val="00AF0233"/>
    <w:rsid w:val="00AF05BC"/>
    <w:rsid w:val="00AF0708"/>
    <w:rsid w:val="00AF09D3"/>
    <w:rsid w:val="00AF1009"/>
    <w:rsid w:val="00AF10F5"/>
    <w:rsid w:val="00AF130B"/>
    <w:rsid w:val="00AF1874"/>
    <w:rsid w:val="00AF1878"/>
    <w:rsid w:val="00AF23BF"/>
    <w:rsid w:val="00AF23F5"/>
    <w:rsid w:val="00AF2AC0"/>
    <w:rsid w:val="00AF2D6B"/>
    <w:rsid w:val="00AF313B"/>
    <w:rsid w:val="00AF324E"/>
    <w:rsid w:val="00AF338C"/>
    <w:rsid w:val="00AF38D6"/>
    <w:rsid w:val="00AF3A33"/>
    <w:rsid w:val="00AF3B0A"/>
    <w:rsid w:val="00AF3DF2"/>
    <w:rsid w:val="00AF3DF3"/>
    <w:rsid w:val="00AF41AB"/>
    <w:rsid w:val="00AF449F"/>
    <w:rsid w:val="00AF4632"/>
    <w:rsid w:val="00AF4CFD"/>
    <w:rsid w:val="00AF4D44"/>
    <w:rsid w:val="00AF4FAF"/>
    <w:rsid w:val="00AF5088"/>
    <w:rsid w:val="00AF50A7"/>
    <w:rsid w:val="00AF5769"/>
    <w:rsid w:val="00AF5B19"/>
    <w:rsid w:val="00AF5D6F"/>
    <w:rsid w:val="00AF6113"/>
    <w:rsid w:val="00AF62D3"/>
    <w:rsid w:val="00AF664E"/>
    <w:rsid w:val="00AF67CC"/>
    <w:rsid w:val="00AF73C7"/>
    <w:rsid w:val="00AF744C"/>
    <w:rsid w:val="00AF7460"/>
    <w:rsid w:val="00AF74CA"/>
    <w:rsid w:val="00AF7660"/>
    <w:rsid w:val="00AF7782"/>
    <w:rsid w:val="00AF78B7"/>
    <w:rsid w:val="00AF790E"/>
    <w:rsid w:val="00AF79D7"/>
    <w:rsid w:val="00AF7B12"/>
    <w:rsid w:val="00AF7B65"/>
    <w:rsid w:val="00AF7C04"/>
    <w:rsid w:val="00AF7CC0"/>
    <w:rsid w:val="00AF7CE4"/>
    <w:rsid w:val="00AF7F64"/>
    <w:rsid w:val="00B00336"/>
    <w:rsid w:val="00B00968"/>
    <w:rsid w:val="00B00BB3"/>
    <w:rsid w:val="00B00D34"/>
    <w:rsid w:val="00B011D7"/>
    <w:rsid w:val="00B014D3"/>
    <w:rsid w:val="00B0157B"/>
    <w:rsid w:val="00B01A77"/>
    <w:rsid w:val="00B01AD5"/>
    <w:rsid w:val="00B01D30"/>
    <w:rsid w:val="00B01FBB"/>
    <w:rsid w:val="00B02107"/>
    <w:rsid w:val="00B022AA"/>
    <w:rsid w:val="00B02FD2"/>
    <w:rsid w:val="00B034E4"/>
    <w:rsid w:val="00B03645"/>
    <w:rsid w:val="00B036A3"/>
    <w:rsid w:val="00B03968"/>
    <w:rsid w:val="00B039B8"/>
    <w:rsid w:val="00B03EE1"/>
    <w:rsid w:val="00B040E2"/>
    <w:rsid w:val="00B0421F"/>
    <w:rsid w:val="00B042FC"/>
    <w:rsid w:val="00B0451F"/>
    <w:rsid w:val="00B04610"/>
    <w:rsid w:val="00B04792"/>
    <w:rsid w:val="00B04802"/>
    <w:rsid w:val="00B04AEC"/>
    <w:rsid w:val="00B04BB8"/>
    <w:rsid w:val="00B04BCC"/>
    <w:rsid w:val="00B04EDA"/>
    <w:rsid w:val="00B052D2"/>
    <w:rsid w:val="00B054CC"/>
    <w:rsid w:val="00B05839"/>
    <w:rsid w:val="00B0588F"/>
    <w:rsid w:val="00B05B53"/>
    <w:rsid w:val="00B05B62"/>
    <w:rsid w:val="00B05C2C"/>
    <w:rsid w:val="00B05FCA"/>
    <w:rsid w:val="00B062C5"/>
    <w:rsid w:val="00B06403"/>
    <w:rsid w:val="00B0650B"/>
    <w:rsid w:val="00B0674E"/>
    <w:rsid w:val="00B06983"/>
    <w:rsid w:val="00B06B2A"/>
    <w:rsid w:val="00B06B48"/>
    <w:rsid w:val="00B06B80"/>
    <w:rsid w:val="00B070A1"/>
    <w:rsid w:val="00B0758C"/>
    <w:rsid w:val="00B07FC0"/>
    <w:rsid w:val="00B1094A"/>
    <w:rsid w:val="00B10CC2"/>
    <w:rsid w:val="00B10F2B"/>
    <w:rsid w:val="00B111E0"/>
    <w:rsid w:val="00B117A6"/>
    <w:rsid w:val="00B1190E"/>
    <w:rsid w:val="00B1209A"/>
    <w:rsid w:val="00B12985"/>
    <w:rsid w:val="00B12F4A"/>
    <w:rsid w:val="00B130CD"/>
    <w:rsid w:val="00B131A5"/>
    <w:rsid w:val="00B13631"/>
    <w:rsid w:val="00B13B3B"/>
    <w:rsid w:val="00B13FB6"/>
    <w:rsid w:val="00B1443E"/>
    <w:rsid w:val="00B144FA"/>
    <w:rsid w:val="00B14634"/>
    <w:rsid w:val="00B147B0"/>
    <w:rsid w:val="00B14A33"/>
    <w:rsid w:val="00B14A35"/>
    <w:rsid w:val="00B14AB4"/>
    <w:rsid w:val="00B153A8"/>
    <w:rsid w:val="00B156D9"/>
    <w:rsid w:val="00B1590E"/>
    <w:rsid w:val="00B16329"/>
    <w:rsid w:val="00B16555"/>
    <w:rsid w:val="00B16DB0"/>
    <w:rsid w:val="00B1748B"/>
    <w:rsid w:val="00B174B3"/>
    <w:rsid w:val="00B174F3"/>
    <w:rsid w:val="00B1761A"/>
    <w:rsid w:val="00B17989"/>
    <w:rsid w:val="00B17993"/>
    <w:rsid w:val="00B17AA6"/>
    <w:rsid w:val="00B17C7A"/>
    <w:rsid w:val="00B17F88"/>
    <w:rsid w:val="00B201D8"/>
    <w:rsid w:val="00B206D0"/>
    <w:rsid w:val="00B207D9"/>
    <w:rsid w:val="00B209D8"/>
    <w:rsid w:val="00B20C86"/>
    <w:rsid w:val="00B211BE"/>
    <w:rsid w:val="00B21204"/>
    <w:rsid w:val="00B2120F"/>
    <w:rsid w:val="00B218C5"/>
    <w:rsid w:val="00B21BC5"/>
    <w:rsid w:val="00B21CC6"/>
    <w:rsid w:val="00B21D16"/>
    <w:rsid w:val="00B21D78"/>
    <w:rsid w:val="00B21F0D"/>
    <w:rsid w:val="00B2246F"/>
    <w:rsid w:val="00B224CA"/>
    <w:rsid w:val="00B22924"/>
    <w:rsid w:val="00B22A0E"/>
    <w:rsid w:val="00B22F56"/>
    <w:rsid w:val="00B230AF"/>
    <w:rsid w:val="00B231D3"/>
    <w:rsid w:val="00B239F2"/>
    <w:rsid w:val="00B23BCE"/>
    <w:rsid w:val="00B23E21"/>
    <w:rsid w:val="00B2402F"/>
    <w:rsid w:val="00B242F3"/>
    <w:rsid w:val="00B24652"/>
    <w:rsid w:val="00B246DC"/>
    <w:rsid w:val="00B2474A"/>
    <w:rsid w:val="00B248EC"/>
    <w:rsid w:val="00B249E6"/>
    <w:rsid w:val="00B24A47"/>
    <w:rsid w:val="00B24CFB"/>
    <w:rsid w:val="00B24EDE"/>
    <w:rsid w:val="00B250F7"/>
    <w:rsid w:val="00B25339"/>
    <w:rsid w:val="00B2549F"/>
    <w:rsid w:val="00B2581B"/>
    <w:rsid w:val="00B25E0E"/>
    <w:rsid w:val="00B25F76"/>
    <w:rsid w:val="00B26295"/>
    <w:rsid w:val="00B26379"/>
    <w:rsid w:val="00B266C4"/>
    <w:rsid w:val="00B26AF2"/>
    <w:rsid w:val="00B26ED8"/>
    <w:rsid w:val="00B26F29"/>
    <w:rsid w:val="00B26F57"/>
    <w:rsid w:val="00B271FC"/>
    <w:rsid w:val="00B272DF"/>
    <w:rsid w:val="00B274F3"/>
    <w:rsid w:val="00B27F76"/>
    <w:rsid w:val="00B27FF2"/>
    <w:rsid w:val="00B302A3"/>
    <w:rsid w:val="00B302B4"/>
    <w:rsid w:val="00B306AC"/>
    <w:rsid w:val="00B30841"/>
    <w:rsid w:val="00B30D11"/>
    <w:rsid w:val="00B30F70"/>
    <w:rsid w:val="00B31004"/>
    <w:rsid w:val="00B315B7"/>
    <w:rsid w:val="00B3183C"/>
    <w:rsid w:val="00B31DDC"/>
    <w:rsid w:val="00B3219A"/>
    <w:rsid w:val="00B32633"/>
    <w:rsid w:val="00B326C9"/>
    <w:rsid w:val="00B32903"/>
    <w:rsid w:val="00B32FFE"/>
    <w:rsid w:val="00B33060"/>
    <w:rsid w:val="00B33333"/>
    <w:rsid w:val="00B33A5C"/>
    <w:rsid w:val="00B33B65"/>
    <w:rsid w:val="00B33E4B"/>
    <w:rsid w:val="00B33EB0"/>
    <w:rsid w:val="00B33F3D"/>
    <w:rsid w:val="00B345ED"/>
    <w:rsid w:val="00B34883"/>
    <w:rsid w:val="00B3488B"/>
    <w:rsid w:val="00B34900"/>
    <w:rsid w:val="00B34AA6"/>
    <w:rsid w:val="00B34B3D"/>
    <w:rsid w:val="00B34BAA"/>
    <w:rsid w:val="00B34BCE"/>
    <w:rsid w:val="00B34DD7"/>
    <w:rsid w:val="00B34F73"/>
    <w:rsid w:val="00B3560E"/>
    <w:rsid w:val="00B35B09"/>
    <w:rsid w:val="00B35B1D"/>
    <w:rsid w:val="00B35E2C"/>
    <w:rsid w:val="00B35F83"/>
    <w:rsid w:val="00B3659B"/>
    <w:rsid w:val="00B366B5"/>
    <w:rsid w:val="00B366C5"/>
    <w:rsid w:val="00B36949"/>
    <w:rsid w:val="00B3728C"/>
    <w:rsid w:val="00B37406"/>
    <w:rsid w:val="00B375EA"/>
    <w:rsid w:val="00B37638"/>
    <w:rsid w:val="00B37F69"/>
    <w:rsid w:val="00B37FCB"/>
    <w:rsid w:val="00B4005D"/>
    <w:rsid w:val="00B4012E"/>
    <w:rsid w:val="00B402BC"/>
    <w:rsid w:val="00B402E1"/>
    <w:rsid w:val="00B40416"/>
    <w:rsid w:val="00B40CC4"/>
    <w:rsid w:val="00B40EB0"/>
    <w:rsid w:val="00B41065"/>
    <w:rsid w:val="00B41095"/>
    <w:rsid w:val="00B415D9"/>
    <w:rsid w:val="00B41628"/>
    <w:rsid w:val="00B41635"/>
    <w:rsid w:val="00B417A3"/>
    <w:rsid w:val="00B42008"/>
    <w:rsid w:val="00B42139"/>
    <w:rsid w:val="00B4214D"/>
    <w:rsid w:val="00B427A8"/>
    <w:rsid w:val="00B42960"/>
    <w:rsid w:val="00B429F5"/>
    <w:rsid w:val="00B42CD2"/>
    <w:rsid w:val="00B42E4A"/>
    <w:rsid w:val="00B42E76"/>
    <w:rsid w:val="00B43074"/>
    <w:rsid w:val="00B434E5"/>
    <w:rsid w:val="00B43794"/>
    <w:rsid w:val="00B43BDB"/>
    <w:rsid w:val="00B43D6F"/>
    <w:rsid w:val="00B43E5C"/>
    <w:rsid w:val="00B43E74"/>
    <w:rsid w:val="00B4441B"/>
    <w:rsid w:val="00B44B22"/>
    <w:rsid w:val="00B450F0"/>
    <w:rsid w:val="00B453FA"/>
    <w:rsid w:val="00B45880"/>
    <w:rsid w:val="00B45AEB"/>
    <w:rsid w:val="00B45D47"/>
    <w:rsid w:val="00B45FDE"/>
    <w:rsid w:val="00B46269"/>
    <w:rsid w:val="00B4634F"/>
    <w:rsid w:val="00B4636C"/>
    <w:rsid w:val="00B46720"/>
    <w:rsid w:val="00B46B29"/>
    <w:rsid w:val="00B472AD"/>
    <w:rsid w:val="00B473A6"/>
    <w:rsid w:val="00B474D6"/>
    <w:rsid w:val="00B47767"/>
    <w:rsid w:val="00B47F99"/>
    <w:rsid w:val="00B50441"/>
    <w:rsid w:val="00B504E8"/>
    <w:rsid w:val="00B50B7C"/>
    <w:rsid w:val="00B50F6B"/>
    <w:rsid w:val="00B51039"/>
    <w:rsid w:val="00B514D6"/>
    <w:rsid w:val="00B51635"/>
    <w:rsid w:val="00B51754"/>
    <w:rsid w:val="00B517BC"/>
    <w:rsid w:val="00B5190C"/>
    <w:rsid w:val="00B519AD"/>
    <w:rsid w:val="00B51AB5"/>
    <w:rsid w:val="00B51B59"/>
    <w:rsid w:val="00B51C46"/>
    <w:rsid w:val="00B51DAA"/>
    <w:rsid w:val="00B520AA"/>
    <w:rsid w:val="00B52340"/>
    <w:rsid w:val="00B5236F"/>
    <w:rsid w:val="00B52725"/>
    <w:rsid w:val="00B527EE"/>
    <w:rsid w:val="00B529FF"/>
    <w:rsid w:val="00B52A33"/>
    <w:rsid w:val="00B52AEF"/>
    <w:rsid w:val="00B52BB2"/>
    <w:rsid w:val="00B52BC3"/>
    <w:rsid w:val="00B536CD"/>
    <w:rsid w:val="00B53A0E"/>
    <w:rsid w:val="00B53ABB"/>
    <w:rsid w:val="00B53B5E"/>
    <w:rsid w:val="00B53E7A"/>
    <w:rsid w:val="00B53FC8"/>
    <w:rsid w:val="00B54286"/>
    <w:rsid w:val="00B54480"/>
    <w:rsid w:val="00B54512"/>
    <w:rsid w:val="00B545E2"/>
    <w:rsid w:val="00B54DCB"/>
    <w:rsid w:val="00B55023"/>
    <w:rsid w:val="00B55188"/>
    <w:rsid w:val="00B553E0"/>
    <w:rsid w:val="00B55604"/>
    <w:rsid w:val="00B556D5"/>
    <w:rsid w:val="00B55717"/>
    <w:rsid w:val="00B55A0F"/>
    <w:rsid w:val="00B55A81"/>
    <w:rsid w:val="00B55C4D"/>
    <w:rsid w:val="00B564AF"/>
    <w:rsid w:val="00B5650F"/>
    <w:rsid w:val="00B5652B"/>
    <w:rsid w:val="00B5657A"/>
    <w:rsid w:val="00B5677C"/>
    <w:rsid w:val="00B56BCD"/>
    <w:rsid w:val="00B56E84"/>
    <w:rsid w:val="00B5701C"/>
    <w:rsid w:val="00B577E1"/>
    <w:rsid w:val="00B60293"/>
    <w:rsid w:val="00B60422"/>
    <w:rsid w:val="00B60514"/>
    <w:rsid w:val="00B60F2A"/>
    <w:rsid w:val="00B60F70"/>
    <w:rsid w:val="00B61182"/>
    <w:rsid w:val="00B6121E"/>
    <w:rsid w:val="00B612E6"/>
    <w:rsid w:val="00B61A6A"/>
    <w:rsid w:val="00B61CB7"/>
    <w:rsid w:val="00B61E87"/>
    <w:rsid w:val="00B61E8D"/>
    <w:rsid w:val="00B61FB3"/>
    <w:rsid w:val="00B625F8"/>
    <w:rsid w:val="00B62AD7"/>
    <w:rsid w:val="00B63042"/>
    <w:rsid w:val="00B63B61"/>
    <w:rsid w:val="00B63D33"/>
    <w:rsid w:val="00B63DF8"/>
    <w:rsid w:val="00B63EF3"/>
    <w:rsid w:val="00B644C8"/>
    <w:rsid w:val="00B644D3"/>
    <w:rsid w:val="00B64748"/>
    <w:rsid w:val="00B649AA"/>
    <w:rsid w:val="00B64B91"/>
    <w:rsid w:val="00B64DFD"/>
    <w:rsid w:val="00B64E74"/>
    <w:rsid w:val="00B65476"/>
    <w:rsid w:val="00B65682"/>
    <w:rsid w:val="00B659F5"/>
    <w:rsid w:val="00B65B62"/>
    <w:rsid w:val="00B65E9C"/>
    <w:rsid w:val="00B661A6"/>
    <w:rsid w:val="00B66386"/>
    <w:rsid w:val="00B66595"/>
    <w:rsid w:val="00B66803"/>
    <w:rsid w:val="00B66A0A"/>
    <w:rsid w:val="00B66AEC"/>
    <w:rsid w:val="00B66B2C"/>
    <w:rsid w:val="00B66B7B"/>
    <w:rsid w:val="00B66C69"/>
    <w:rsid w:val="00B66C83"/>
    <w:rsid w:val="00B66D8A"/>
    <w:rsid w:val="00B66EBA"/>
    <w:rsid w:val="00B67019"/>
    <w:rsid w:val="00B673F1"/>
    <w:rsid w:val="00B67455"/>
    <w:rsid w:val="00B67831"/>
    <w:rsid w:val="00B6798D"/>
    <w:rsid w:val="00B67B21"/>
    <w:rsid w:val="00B67D88"/>
    <w:rsid w:val="00B70018"/>
    <w:rsid w:val="00B7016D"/>
    <w:rsid w:val="00B705AE"/>
    <w:rsid w:val="00B705FB"/>
    <w:rsid w:val="00B706E0"/>
    <w:rsid w:val="00B7083B"/>
    <w:rsid w:val="00B7096D"/>
    <w:rsid w:val="00B70DDD"/>
    <w:rsid w:val="00B70E47"/>
    <w:rsid w:val="00B70F40"/>
    <w:rsid w:val="00B71230"/>
    <w:rsid w:val="00B712CC"/>
    <w:rsid w:val="00B71852"/>
    <w:rsid w:val="00B7197E"/>
    <w:rsid w:val="00B71B4D"/>
    <w:rsid w:val="00B71F2C"/>
    <w:rsid w:val="00B72580"/>
    <w:rsid w:val="00B725AB"/>
    <w:rsid w:val="00B72D37"/>
    <w:rsid w:val="00B72D67"/>
    <w:rsid w:val="00B72E01"/>
    <w:rsid w:val="00B73018"/>
    <w:rsid w:val="00B734B8"/>
    <w:rsid w:val="00B73511"/>
    <w:rsid w:val="00B737A1"/>
    <w:rsid w:val="00B73C18"/>
    <w:rsid w:val="00B73D0F"/>
    <w:rsid w:val="00B74045"/>
    <w:rsid w:val="00B743E5"/>
    <w:rsid w:val="00B74401"/>
    <w:rsid w:val="00B74511"/>
    <w:rsid w:val="00B747E9"/>
    <w:rsid w:val="00B74D39"/>
    <w:rsid w:val="00B74D6C"/>
    <w:rsid w:val="00B753E8"/>
    <w:rsid w:val="00B75A82"/>
    <w:rsid w:val="00B75B7A"/>
    <w:rsid w:val="00B75D61"/>
    <w:rsid w:val="00B75F6A"/>
    <w:rsid w:val="00B75FB1"/>
    <w:rsid w:val="00B76D8F"/>
    <w:rsid w:val="00B76DC2"/>
    <w:rsid w:val="00B76F13"/>
    <w:rsid w:val="00B771C8"/>
    <w:rsid w:val="00B77A97"/>
    <w:rsid w:val="00B77BFD"/>
    <w:rsid w:val="00B80094"/>
    <w:rsid w:val="00B80654"/>
    <w:rsid w:val="00B80799"/>
    <w:rsid w:val="00B80898"/>
    <w:rsid w:val="00B80BB4"/>
    <w:rsid w:val="00B80D56"/>
    <w:rsid w:val="00B8122C"/>
    <w:rsid w:val="00B812F5"/>
    <w:rsid w:val="00B817C9"/>
    <w:rsid w:val="00B81AEC"/>
    <w:rsid w:val="00B81BAC"/>
    <w:rsid w:val="00B81E8E"/>
    <w:rsid w:val="00B82CD6"/>
    <w:rsid w:val="00B82FEE"/>
    <w:rsid w:val="00B83045"/>
    <w:rsid w:val="00B833B8"/>
    <w:rsid w:val="00B8344A"/>
    <w:rsid w:val="00B83D1A"/>
    <w:rsid w:val="00B83F0E"/>
    <w:rsid w:val="00B84156"/>
    <w:rsid w:val="00B844FD"/>
    <w:rsid w:val="00B8456C"/>
    <w:rsid w:val="00B846AC"/>
    <w:rsid w:val="00B846E9"/>
    <w:rsid w:val="00B848C3"/>
    <w:rsid w:val="00B84D16"/>
    <w:rsid w:val="00B84E4F"/>
    <w:rsid w:val="00B84E98"/>
    <w:rsid w:val="00B850ED"/>
    <w:rsid w:val="00B852AB"/>
    <w:rsid w:val="00B852ED"/>
    <w:rsid w:val="00B85BED"/>
    <w:rsid w:val="00B862B7"/>
    <w:rsid w:val="00B865A1"/>
    <w:rsid w:val="00B86758"/>
    <w:rsid w:val="00B868FE"/>
    <w:rsid w:val="00B86A78"/>
    <w:rsid w:val="00B86B46"/>
    <w:rsid w:val="00B86F14"/>
    <w:rsid w:val="00B87005"/>
    <w:rsid w:val="00B87062"/>
    <w:rsid w:val="00B87392"/>
    <w:rsid w:val="00B874B9"/>
    <w:rsid w:val="00B876C8"/>
    <w:rsid w:val="00B8781D"/>
    <w:rsid w:val="00B8799A"/>
    <w:rsid w:val="00B87AFD"/>
    <w:rsid w:val="00B87DFD"/>
    <w:rsid w:val="00B90550"/>
    <w:rsid w:val="00B90629"/>
    <w:rsid w:val="00B90669"/>
    <w:rsid w:val="00B90957"/>
    <w:rsid w:val="00B90BD6"/>
    <w:rsid w:val="00B90E07"/>
    <w:rsid w:val="00B90F2C"/>
    <w:rsid w:val="00B90FFA"/>
    <w:rsid w:val="00B9160C"/>
    <w:rsid w:val="00B91E65"/>
    <w:rsid w:val="00B91FE9"/>
    <w:rsid w:val="00B92026"/>
    <w:rsid w:val="00B922A0"/>
    <w:rsid w:val="00B9233C"/>
    <w:rsid w:val="00B92688"/>
    <w:rsid w:val="00B92986"/>
    <w:rsid w:val="00B930D2"/>
    <w:rsid w:val="00B930FD"/>
    <w:rsid w:val="00B93418"/>
    <w:rsid w:val="00B9422C"/>
    <w:rsid w:val="00B94240"/>
    <w:rsid w:val="00B9424E"/>
    <w:rsid w:val="00B9425A"/>
    <w:rsid w:val="00B94571"/>
    <w:rsid w:val="00B9457B"/>
    <w:rsid w:val="00B947C7"/>
    <w:rsid w:val="00B94B29"/>
    <w:rsid w:val="00B94B3D"/>
    <w:rsid w:val="00B94B54"/>
    <w:rsid w:val="00B95611"/>
    <w:rsid w:val="00B95639"/>
    <w:rsid w:val="00B9595D"/>
    <w:rsid w:val="00B96045"/>
    <w:rsid w:val="00B968F4"/>
    <w:rsid w:val="00B96920"/>
    <w:rsid w:val="00B96C69"/>
    <w:rsid w:val="00B97012"/>
    <w:rsid w:val="00B971F4"/>
    <w:rsid w:val="00B97222"/>
    <w:rsid w:val="00B9750E"/>
    <w:rsid w:val="00B975FF"/>
    <w:rsid w:val="00B976A1"/>
    <w:rsid w:val="00B97738"/>
    <w:rsid w:val="00B97830"/>
    <w:rsid w:val="00B9783E"/>
    <w:rsid w:val="00B9785F"/>
    <w:rsid w:val="00B97C08"/>
    <w:rsid w:val="00B97D09"/>
    <w:rsid w:val="00B97FB0"/>
    <w:rsid w:val="00BA00B0"/>
    <w:rsid w:val="00BA0134"/>
    <w:rsid w:val="00BA01E6"/>
    <w:rsid w:val="00BA0803"/>
    <w:rsid w:val="00BA0B19"/>
    <w:rsid w:val="00BA0F64"/>
    <w:rsid w:val="00BA0F8B"/>
    <w:rsid w:val="00BA1383"/>
    <w:rsid w:val="00BA14B4"/>
    <w:rsid w:val="00BA14B6"/>
    <w:rsid w:val="00BA180E"/>
    <w:rsid w:val="00BA1A05"/>
    <w:rsid w:val="00BA1B21"/>
    <w:rsid w:val="00BA1EB1"/>
    <w:rsid w:val="00BA2083"/>
    <w:rsid w:val="00BA239E"/>
    <w:rsid w:val="00BA2AA3"/>
    <w:rsid w:val="00BA2E2D"/>
    <w:rsid w:val="00BA2F7A"/>
    <w:rsid w:val="00BA2F99"/>
    <w:rsid w:val="00BA30C5"/>
    <w:rsid w:val="00BA32A7"/>
    <w:rsid w:val="00BA32DA"/>
    <w:rsid w:val="00BA35BC"/>
    <w:rsid w:val="00BA36F2"/>
    <w:rsid w:val="00BA382A"/>
    <w:rsid w:val="00BA39D8"/>
    <w:rsid w:val="00BA3FE1"/>
    <w:rsid w:val="00BA4308"/>
    <w:rsid w:val="00BA4410"/>
    <w:rsid w:val="00BA4594"/>
    <w:rsid w:val="00BA4A49"/>
    <w:rsid w:val="00BA4D2D"/>
    <w:rsid w:val="00BA551C"/>
    <w:rsid w:val="00BA56A5"/>
    <w:rsid w:val="00BA5790"/>
    <w:rsid w:val="00BA5D0B"/>
    <w:rsid w:val="00BA5E68"/>
    <w:rsid w:val="00BA6766"/>
    <w:rsid w:val="00BA6D19"/>
    <w:rsid w:val="00BA70E4"/>
    <w:rsid w:val="00BA7467"/>
    <w:rsid w:val="00BA769D"/>
    <w:rsid w:val="00BA7810"/>
    <w:rsid w:val="00BA7DED"/>
    <w:rsid w:val="00BB0053"/>
    <w:rsid w:val="00BB016A"/>
    <w:rsid w:val="00BB0438"/>
    <w:rsid w:val="00BB0AA6"/>
    <w:rsid w:val="00BB0B40"/>
    <w:rsid w:val="00BB1205"/>
    <w:rsid w:val="00BB12CC"/>
    <w:rsid w:val="00BB19CF"/>
    <w:rsid w:val="00BB1BBB"/>
    <w:rsid w:val="00BB1E59"/>
    <w:rsid w:val="00BB214C"/>
    <w:rsid w:val="00BB22C6"/>
    <w:rsid w:val="00BB241C"/>
    <w:rsid w:val="00BB285D"/>
    <w:rsid w:val="00BB2D6B"/>
    <w:rsid w:val="00BB332F"/>
    <w:rsid w:val="00BB395A"/>
    <w:rsid w:val="00BB3E1E"/>
    <w:rsid w:val="00BB414D"/>
    <w:rsid w:val="00BB43F9"/>
    <w:rsid w:val="00BB4859"/>
    <w:rsid w:val="00BB4A5F"/>
    <w:rsid w:val="00BB4ADC"/>
    <w:rsid w:val="00BB5082"/>
    <w:rsid w:val="00BB521F"/>
    <w:rsid w:val="00BB544D"/>
    <w:rsid w:val="00BB5844"/>
    <w:rsid w:val="00BB5AFE"/>
    <w:rsid w:val="00BB5D21"/>
    <w:rsid w:val="00BB6100"/>
    <w:rsid w:val="00BB645B"/>
    <w:rsid w:val="00BB6840"/>
    <w:rsid w:val="00BB699C"/>
    <w:rsid w:val="00BB6E3F"/>
    <w:rsid w:val="00BB72B7"/>
    <w:rsid w:val="00BB7556"/>
    <w:rsid w:val="00BB7B40"/>
    <w:rsid w:val="00BB7D02"/>
    <w:rsid w:val="00BB7E0F"/>
    <w:rsid w:val="00BB7F52"/>
    <w:rsid w:val="00BC0150"/>
    <w:rsid w:val="00BC05B2"/>
    <w:rsid w:val="00BC0732"/>
    <w:rsid w:val="00BC08B9"/>
    <w:rsid w:val="00BC09AD"/>
    <w:rsid w:val="00BC0CA4"/>
    <w:rsid w:val="00BC0EFF"/>
    <w:rsid w:val="00BC0F98"/>
    <w:rsid w:val="00BC1145"/>
    <w:rsid w:val="00BC137A"/>
    <w:rsid w:val="00BC14FB"/>
    <w:rsid w:val="00BC1900"/>
    <w:rsid w:val="00BC198F"/>
    <w:rsid w:val="00BC26C8"/>
    <w:rsid w:val="00BC26E7"/>
    <w:rsid w:val="00BC27F9"/>
    <w:rsid w:val="00BC2AB7"/>
    <w:rsid w:val="00BC2AED"/>
    <w:rsid w:val="00BC2FE6"/>
    <w:rsid w:val="00BC30B1"/>
    <w:rsid w:val="00BC3127"/>
    <w:rsid w:val="00BC3145"/>
    <w:rsid w:val="00BC373E"/>
    <w:rsid w:val="00BC38B8"/>
    <w:rsid w:val="00BC38C6"/>
    <w:rsid w:val="00BC416C"/>
    <w:rsid w:val="00BC426A"/>
    <w:rsid w:val="00BC42EF"/>
    <w:rsid w:val="00BC46FA"/>
    <w:rsid w:val="00BC4B3B"/>
    <w:rsid w:val="00BC51DB"/>
    <w:rsid w:val="00BC5570"/>
    <w:rsid w:val="00BC5577"/>
    <w:rsid w:val="00BC5616"/>
    <w:rsid w:val="00BC59BC"/>
    <w:rsid w:val="00BC5AE0"/>
    <w:rsid w:val="00BC5C40"/>
    <w:rsid w:val="00BC60DC"/>
    <w:rsid w:val="00BC6674"/>
    <w:rsid w:val="00BC6950"/>
    <w:rsid w:val="00BC6A54"/>
    <w:rsid w:val="00BC6D4A"/>
    <w:rsid w:val="00BC6E49"/>
    <w:rsid w:val="00BC77E5"/>
    <w:rsid w:val="00BC7917"/>
    <w:rsid w:val="00BC7A29"/>
    <w:rsid w:val="00BC7BCA"/>
    <w:rsid w:val="00BD02E1"/>
    <w:rsid w:val="00BD052F"/>
    <w:rsid w:val="00BD05B6"/>
    <w:rsid w:val="00BD079C"/>
    <w:rsid w:val="00BD08D2"/>
    <w:rsid w:val="00BD0A0F"/>
    <w:rsid w:val="00BD0B60"/>
    <w:rsid w:val="00BD0D6C"/>
    <w:rsid w:val="00BD0D78"/>
    <w:rsid w:val="00BD0FF3"/>
    <w:rsid w:val="00BD115E"/>
    <w:rsid w:val="00BD15AC"/>
    <w:rsid w:val="00BD16C5"/>
    <w:rsid w:val="00BD170A"/>
    <w:rsid w:val="00BD2265"/>
    <w:rsid w:val="00BD27AE"/>
    <w:rsid w:val="00BD2909"/>
    <w:rsid w:val="00BD2C83"/>
    <w:rsid w:val="00BD2D7A"/>
    <w:rsid w:val="00BD2E6C"/>
    <w:rsid w:val="00BD3135"/>
    <w:rsid w:val="00BD35E8"/>
    <w:rsid w:val="00BD391E"/>
    <w:rsid w:val="00BD3D5B"/>
    <w:rsid w:val="00BD404B"/>
    <w:rsid w:val="00BD4253"/>
    <w:rsid w:val="00BD4269"/>
    <w:rsid w:val="00BD45AF"/>
    <w:rsid w:val="00BD46FE"/>
    <w:rsid w:val="00BD4862"/>
    <w:rsid w:val="00BD4997"/>
    <w:rsid w:val="00BD4E38"/>
    <w:rsid w:val="00BD5021"/>
    <w:rsid w:val="00BD51AD"/>
    <w:rsid w:val="00BD52D8"/>
    <w:rsid w:val="00BD5423"/>
    <w:rsid w:val="00BD55AA"/>
    <w:rsid w:val="00BD57EE"/>
    <w:rsid w:val="00BD5940"/>
    <w:rsid w:val="00BD599A"/>
    <w:rsid w:val="00BD5A5D"/>
    <w:rsid w:val="00BD5C3D"/>
    <w:rsid w:val="00BD5CDD"/>
    <w:rsid w:val="00BD6068"/>
    <w:rsid w:val="00BD625E"/>
    <w:rsid w:val="00BD6593"/>
    <w:rsid w:val="00BD66C5"/>
    <w:rsid w:val="00BD690C"/>
    <w:rsid w:val="00BD745D"/>
    <w:rsid w:val="00BD74AA"/>
    <w:rsid w:val="00BD75A8"/>
    <w:rsid w:val="00BD769F"/>
    <w:rsid w:val="00BD7901"/>
    <w:rsid w:val="00BD7E4C"/>
    <w:rsid w:val="00BE00E3"/>
    <w:rsid w:val="00BE018F"/>
    <w:rsid w:val="00BE034C"/>
    <w:rsid w:val="00BE062B"/>
    <w:rsid w:val="00BE0B66"/>
    <w:rsid w:val="00BE0F1C"/>
    <w:rsid w:val="00BE1213"/>
    <w:rsid w:val="00BE1298"/>
    <w:rsid w:val="00BE1771"/>
    <w:rsid w:val="00BE1811"/>
    <w:rsid w:val="00BE1C70"/>
    <w:rsid w:val="00BE21E3"/>
    <w:rsid w:val="00BE238C"/>
    <w:rsid w:val="00BE2754"/>
    <w:rsid w:val="00BE2785"/>
    <w:rsid w:val="00BE2832"/>
    <w:rsid w:val="00BE2BE8"/>
    <w:rsid w:val="00BE2BF2"/>
    <w:rsid w:val="00BE2C24"/>
    <w:rsid w:val="00BE36FD"/>
    <w:rsid w:val="00BE37F6"/>
    <w:rsid w:val="00BE3839"/>
    <w:rsid w:val="00BE3C6E"/>
    <w:rsid w:val="00BE3C72"/>
    <w:rsid w:val="00BE3D8F"/>
    <w:rsid w:val="00BE4038"/>
    <w:rsid w:val="00BE40B8"/>
    <w:rsid w:val="00BE47AB"/>
    <w:rsid w:val="00BE47EB"/>
    <w:rsid w:val="00BE4881"/>
    <w:rsid w:val="00BE4895"/>
    <w:rsid w:val="00BE4B43"/>
    <w:rsid w:val="00BE4D86"/>
    <w:rsid w:val="00BE4F09"/>
    <w:rsid w:val="00BE56B2"/>
    <w:rsid w:val="00BE5A0D"/>
    <w:rsid w:val="00BE5A49"/>
    <w:rsid w:val="00BE5CA6"/>
    <w:rsid w:val="00BE5D0C"/>
    <w:rsid w:val="00BE5F62"/>
    <w:rsid w:val="00BE607A"/>
    <w:rsid w:val="00BE6285"/>
    <w:rsid w:val="00BE62B0"/>
    <w:rsid w:val="00BE6313"/>
    <w:rsid w:val="00BE6474"/>
    <w:rsid w:val="00BE6A8D"/>
    <w:rsid w:val="00BE6DC7"/>
    <w:rsid w:val="00BE6E42"/>
    <w:rsid w:val="00BE6E6D"/>
    <w:rsid w:val="00BE733D"/>
    <w:rsid w:val="00BE7873"/>
    <w:rsid w:val="00BE7888"/>
    <w:rsid w:val="00BE7B1D"/>
    <w:rsid w:val="00BE7B52"/>
    <w:rsid w:val="00BE7D82"/>
    <w:rsid w:val="00BE7E5E"/>
    <w:rsid w:val="00BF00B5"/>
    <w:rsid w:val="00BF0976"/>
    <w:rsid w:val="00BF0D2C"/>
    <w:rsid w:val="00BF0F6C"/>
    <w:rsid w:val="00BF1215"/>
    <w:rsid w:val="00BF1AF4"/>
    <w:rsid w:val="00BF1E78"/>
    <w:rsid w:val="00BF1F73"/>
    <w:rsid w:val="00BF2304"/>
    <w:rsid w:val="00BF26C5"/>
    <w:rsid w:val="00BF27DA"/>
    <w:rsid w:val="00BF27EE"/>
    <w:rsid w:val="00BF2A69"/>
    <w:rsid w:val="00BF2AE6"/>
    <w:rsid w:val="00BF2BAE"/>
    <w:rsid w:val="00BF2C58"/>
    <w:rsid w:val="00BF2F24"/>
    <w:rsid w:val="00BF370A"/>
    <w:rsid w:val="00BF3812"/>
    <w:rsid w:val="00BF3856"/>
    <w:rsid w:val="00BF3872"/>
    <w:rsid w:val="00BF3A2A"/>
    <w:rsid w:val="00BF3FD5"/>
    <w:rsid w:val="00BF45E7"/>
    <w:rsid w:val="00BF49E8"/>
    <w:rsid w:val="00BF4BB2"/>
    <w:rsid w:val="00BF4D55"/>
    <w:rsid w:val="00BF5131"/>
    <w:rsid w:val="00BF520E"/>
    <w:rsid w:val="00BF55C4"/>
    <w:rsid w:val="00BF573B"/>
    <w:rsid w:val="00BF5740"/>
    <w:rsid w:val="00BF57A9"/>
    <w:rsid w:val="00BF5A97"/>
    <w:rsid w:val="00BF64C8"/>
    <w:rsid w:val="00BF66EE"/>
    <w:rsid w:val="00BF66F8"/>
    <w:rsid w:val="00BF6DD0"/>
    <w:rsid w:val="00BF6F07"/>
    <w:rsid w:val="00BF70FA"/>
    <w:rsid w:val="00BF7100"/>
    <w:rsid w:val="00BF73BA"/>
    <w:rsid w:val="00BF768D"/>
    <w:rsid w:val="00BF785C"/>
    <w:rsid w:val="00BF78A6"/>
    <w:rsid w:val="00BF78DC"/>
    <w:rsid w:val="00BF7A14"/>
    <w:rsid w:val="00BF7DA6"/>
    <w:rsid w:val="00BF7FE9"/>
    <w:rsid w:val="00C00040"/>
    <w:rsid w:val="00C00679"/>
    <w:rsid w:val="00C008AA"/>
    <w:rsid w:val="00C00A94"/>
    <w:rsid w:val="00C01306"/>
    <w:rsid w:val="00C02456"/>
    <w:rsid w:val="00C029A8"/>
    <w:rsid w:val="00C02CFB"/>
    <w:rsid w:val="00C02D88"/>
    <w:rsid w:val="00C02E0A"/>
    <w:rsid w:val="00C02E86"/>
    <w:rsid w:val="00C03071"/>
    <w:rsid w:val="00C03497"/>
    <w:rsid w:val="00C03835"/>
    <w:rsid w:val="00C03F1F"/>
    <w:rsid w:val="00C04595"/>
    <w:rsid w:val="00C045CF"/>
    <w:rsid w:val="00C0476F"/>
    <w:rsid w:val="00C04964"/>
    <w:rsid w:val="00C04DFC"/>
    <w:rsid w:val="00C0506F"/>
    <w:rsid w:val="00C052B8"/>
    <w:rsid w:val="00C0558E"/>
    <w:rsid w:val="00C0566E"/>
    <w:rsid w:val="00C058E1"/>
    <w:rsid w:val="00C0597D"/>
    <w:rsid w:val="00C05A96"/>
    <w:rsid w:val="00C05CA5"/>
    <w:rsid w:val="00C05D63"/>
    <w:rsid w:val="00C05FFA"/>
    <w:rsid w:val="00C0615B"/>
    <w:rsid w:val="00C061BF"/>
    <w:rsid w:val="00C0625E"/>
    <w:rsid w:val="00C0628F"/>
    <w:rsid w:val="00C06855"/>
    <w:rsid w:val="00C0688B"/>
    <w:rsid w:val="00C069A8"/>
    <w:rsid w:val="00C06ACA"/>
    <w:rsid w:val="00C06C7F"/>
    <w:rsid w:val="00C06CD4"/>
    <w:rsid w:val="00C06CE6"/>
    <w:rsid w:val="00C06DF6"/>
    <w:rsid w:val="00C0700E"/>
    <w:rsid w:val="00C070C5"/>
    <w:rsid w:val="00C07178"/>
    <w:rsid w:val="00C0724D"/>
    <w:rsid w:val="00C07457"/>
    <w:rsid w:val="00C0776A"/>
    <w:rsid w:val="00C077E2"/>
    <w:rsid w:val="00C07C40"/>
    <w:rsid w:val="00C07F4B"/>
    <w:rsid w:val="00C10260"/>
    <w:rsid w:val="00C10280"/>
    <w:rsid w:val="00C104DE"/>
    <w:rsid w:val="00C1105F"/>
    <w:rsid w:val="00C110E4"/>
    <w:rsid w:val="00C11124"/>
    <w:rsid w:val="00C113A1"/>
    <w:rsid w:val="00C11726"/>
    <w:rsid w:val="00C118C3"/>
    <w:rsid w:val="00C11B02"/>
    <w:rsid w:val="00C11C01"/>
    <w:rsid w:val="00C11D1F"/>
    <w:rsid w:val="00C11FF0"/>
    <w:rsid w:val="00C11FF5"/>
    <w:rsid w:val="00C122CD"/>
    <w:rsid w:val="00C1251A"/>
    <w:rsid w:val="00C12642"/>
    <w:rsid w:val="00C127D7"/>
    <w:rsid w:val="00C128DD"/>
    <w:rsid w:val="00C12949"/>
    <w:rsid w:val="00C129E1"/>
    <w:rsid w:val="00C12AD2"/>
    <w:rsid w:val="00C12C0D"/>
    <w:rsid w:val="00C13218"/>
    <w:rsid w:val="00C13255"/>
    <w:rsid w:val="00C13EE4"/>
    <w:rsid w:val="00C144FF"/>
    <w:rsid w:val="00C14603"/>
    <w:rsid w:val="00C14858"/>
    <w:rsid w:val="00C14930"/>
    <w:rsid w:val="00C14D0B"/>
    <w:rsid w:val="00C1503E"/>
    <w:rsid w:val="00C1524D"/>
    <w:rsid w:val="00C153DE"/>
    <w:rsid w:val="00C1585F"/>
    <w:rsid w:val="00C15972"/>
    <w:rsid w:val="00C15DA0"/>
    <w:rsid w:val="00C15E4B"/>
    <w:rsid w:val="00C161BA"/>
    <w:rsid w:val="00C161D1"/>
    <w:rsid w:val="00C165C4"/>
    <w:rsid w:val="00C16777"/>
    <w:rsid w:val="00C16A55"/>
    <w:rsid w:val="00C16B47"/>
    <w:rsid w:val="00C1719D"/>
    <w:rsid w:val="00C1720D"/>
    <w:rsid w:val="00C172B0"/>
    <w:rsid w:val="00C17352"/>
    <w:rsid w:val="00C17369"/>
    <w:rsid w:val="00C174BD"/>
    <w:rsid w:val="00C175FB"/>
    <w:rsid w:val="00C17CBD"/>
    <w:rsid w:val="00C17E52"/>
    <w:rsid w:val="00C17FCE"/>
    <w:rsid w:val="00C20543"/>
    <w:rsid w:val="00C2073F"/>
    <w:rsid w:val="00C20989"/>
    <w:rsid w:val="00C20B61"/>
    <w:rsid w:val="00C20CF3"/>
    <w:rsid w:val="00C2103C"/>
    <w:rsid w:val="00C210F6"/>
    <w:rsid w:val="00C212BC"/>
    <w:rsid w:val="00C21340"/>
    <w:rsid w:val="00C21927"/>
    <w:rsid w:val="00C21B60"/>
    <w:rsid w:val="00C22073"/>
    <w:rsid w:val="00C223A5"/>
    <w:rsid w:val="00C22578"/>
    <w:rsid w:val="00C22ABA"/>
    <w:rsid w:val="00C22B42"/>
    <w:rsid w:val="00C23034"/>
    <w:rsid w:val="00C230D4"/>
    <w:rsid w:val="00C2374B"/>
    <w:rsid w:val="00C237CB"/>
    <w:rsid w:val="00C2381E"/>
    <w:rsid w:val="00C2386D"/>
    <w:rsid w:val="00C2387E"/>
    <w:rsid w:val="00C23C26"/>
    <w:rsid w:val="00C23E00"/>
    <w:rsid w:val="00C240A1"/>
    <w:rsid w:val="00C240C0"/>
    <w:rsid w:val="00C2456F"/>
    <w:rsid w:val="00C2482E"/>
    <w:rsid w:val="00C24CDC"/>
    <w:rsid w:val="00C24CE5"/>
    <w:rsid w:val="00C24FEA"/>
    <w:rsid w:val="00C25324"/>
    <w:rsid w:val="00C2540B"/>
    <w:rsid w:val="00C25542"/>
    <w:rsid w:val="00C257BE"/>
    <w:rsid w:val="00C25B68"/>
    <w:rsid w:val="00C25EE2"/>
    <w:rsid w:val="00C26100"/>
    <w:rsid w:val="00C2638C"/>
    <w:rsid w:val="00C26441"/>
    <w:rsid w:val="00C26622"/>
    <w:rsid w:val="00C266A2"/>
    <w:rsid w:val="00C26908"/>
    <w:rsid w:val="00C269D7"/>
    <w:rsid w:val="00C26A47"/>
    <w:rsid w:val="00C26B08"/>
    <w:rsid w:val="00C26EA8"/>
    <w:rsid w:val="00C270B4"/>
    <w:rsid w:val="00C27288"/>
    <w:rsid w:val="00C275B2"/>
    <w:rsid w:val="00C27B2D"/>
    <w:rsid w:val="00C27D6B"/>
    <w:rsid w:val="00C301F7"/>
    <w:rsid w:val="00C308C5"/>
    <w:rsid w:val="00C30D60"/>
    <w:rsid w:val="00C30D78"/>
    <w:rsid w:val="00C31159"/>
    <w:rsid w:val="00C31618"/>
    <w:rsid w:val="00C31931"/>
    <w:rsid w:val="00C319F9"/>
    <w:rsid w:val="00C31ED9"/>
    <w:rsid w:val="00C32108"/>
    <w:rsid w:val="00C32398"/>
    <w:rsid w:val="00C329F9"/>
    <w:rsid w:val="00C32F22"/>
    <w:rsid w:val="00C33148"/>
    <w:rsid w:val="00C33179"/>
    <w:rsid w:val="00C331B7"/>
    <w:rsid w:val="00C331D2"/>
    <w:rsid w:val="00C33271"/>
    <w:rsid w:val="00C33481"/>
    <w:rsid w:val="00C335C7"/>
    <w:rsid w:val="00C335CE"/>
    <w:rsid w:val="00C3383A"/>
    <w:rsid w:val="00C33A0A"/>
    <w:rsid w:val="00C33B37"/>
    <w:rsid w:val="00C33EB7"/>
    <w:rsid w:val="00C3400A"/>
    <w:rsid w:val="00C347CE"/>
    <w:rsid w:val="00C34B65"/>
    <w:rsid w:val="00C34E03"/>
    <w:rsid w:val="00C3539D"/>
    <w:rsid w:val="00C357E3"/>
    <w:rsid w:val="00C359EB"/>
    <w:rsid w:val="00C35A24"/>
    <w:rsid w:val="00C35D00"/>
    <w:rsid w:val="00C35D64"/>
    <w:rsid w:val="00C361BA"/>
    <w:rsid w:val="00C3666A"/>
    <w:rsid w:val="00C36A5A"/>
    <w:rsid w:val="00C37270"/>
    <w:rsid w:val="00C37299"/>
    <w:rsid w:val="00C375F3"/>
    <w:rsid w:val="00C37A5F"/>
    <w:rsid w:val="00C37CBE"/>
    <w:rsid w:val="00C404CD"/>
    <w:rsid w:val="00C404E3"/>
    <w:rsid w:val="00C405AD"/>
    <w:rsid w:val="00C409C4"/>
    <w:rsid w:val="00C40B10"/>
    <w:rsid w:val="00C40B58"/>
    <w:rsid w:val="00C40CBD"/>
    <w:rsid w:val="00C40CE1"/>
    <w:rsid w:val="00C40CEF"/>
    <w:rsid w:val="00C40ED4"/>
    <w:rsid w:val="00C40FF8"/>
    <w:rsid w:val="00C4110A"/>
    <w:rsid w:val="00C41249"/>
    <w:rsid w:val="00C41BD6"/>
    <w:rsid w:val="00C41D9A"/>
    <w:rsid w:val="00C41E5A"/>
    <w:rsid w:val="00C421F6"/>
    <w:rsid w:val="00C427B3"/>
    <w:rsid w:val="00C42B0A"/>
    <w:rsid w:val="00C42C87"/>
    <w:rsid w:val="00C438C6"/>
    <w:rsid w:val="00C438CA"/>
    <w:rsid w:val="00C43A24"/>
    <w:rsid w:val="00C43B7B"/>
    <w:rsid w:val="00C43C8B"/>
    <w:rsid w:val="00C43D61"/>
    <w:rsid w:val="00C43F6D"/>
    <w:rsid w:val="00C441CF"/>
    <w:rsid w:val="00C444C1"/>
    <w:rsid w:val="00C4462B"/>
    <w:rsid w:val="00C448B5"/>
    <w:rsid w:val="00C4492D"/>
    <w:rsid w:val="00C44DBC"/>
    <w:rsid w:val="00C4511E"/>
    <w:rsid w:val="00C4534E"/>
    <w:rsid w:val="00C453CA"/>
    <w:rsid w:val="00C45599"/>
    <w:rsid w:val="00C4574B"/>
    <w:rsid w:val="00C4587E"/>
    <w:rsid w:val="00C45DB8"/>
    <w:rsid w:val="00C4608C"/>
    <w:rsid w:val="00C463F8"/>
    <w:rsid w:val="00C46693"/>
    <w:rsid w:val="00C46747"/>
    <w:rsid w:val="00C46BF1"/>
    <w:rsid w:val="00C46C7E"/>
    <w:rsid w:val="00C47041"/>
    <w:rsid w:val="00C478FB"/>
    <w:rsid w:val="00C47FE0"/>
    <w:rsid w:val="00C50180"/>
    <w:rsid w:val="00C502E2"/>
    <w:rsid w:val="00C5045A"/>
    <w:rsid w:val="00C504D3"/>
    <w:rsid w:val="00C504DD"/>
    <w:rsid w:val="00C5073B"/>
    <w:rsid w:val="00C50AE8"/>
    <w:rsid w:val="00C51ACF"/>
    <w:rsid w:val="00C51B76"/>
    <w:rsid w:val="00C521CD"/>
    <w:rsid w:val="00C52470"/>
    <w:rsid w:val="00C52622"/>
    <w:rsid w:val="00C52C15"/>
    <w:rsid w:val="00C52F5D"/>
    <w:rsid w:val="00C533F4"/>
    <w:rsid w:val="00C5342B"/>
    <w:rsid w:val="00C5370F"/>
    <w:rsid w:val="00C53B22"/>
    <w:rsid w:val="00C53E1B"/>
    <w:rsid w:val="00C53E99"/>
    <w:rsid w:val="00C5402A"/>
    <w:rsid w:val="00C547F8"/>
    <w:rsid w:val="00C54F7A"/>
    <w:rsid w:val="00C550B6"/>
    <w:rsid w:val="00C55224"/>
    <w:rsid w:val="00C5551B"/>
    <w:rsid w:val="00C556CB"/>
    <w:rsid w:val="00C5591F"/>
    <w:rsid w:val="00C560A8"/>
    <w:rsid w:val="00C5634F"/>
    <w:rsid w:val="00C56AED"/>
    <w:rsid w:val="00C56BF6"/>
    <w:rsid w:val="00C57252"/>
    <w:rsid w:val="00C57400"/>
    <w:rsid w:val="00C57624"/>
    <w:rsid w:val="00C579B1"/>
    <w:rsid w:val="00C579F7"/>
    <w:rsid w:val="00C57A3B"/>
    <w:rsid w:val="00C57A45"/>
    <w:rsid w:val="00C57B58"/>
    <w:rsid w:val="00C57FAD"/>
    <w:rsid w:val="00C601E1"/>
    <w:rsid w:val="00C602D3"/>
    <w:rsid w:val="00C6031A"/>
    <w:rsid w:val="00C604C8"/>
    <w:rsid w:val="00C605A0"/>
    <w:rsid w:val="00C605B7"/>
    <w:rsid w:val="00C605D7"/>
    <w:rsid w:val="00C60871"/>
    <w:rsid w:val="00C60C42"/>
    <w:rsid w:val="00C60DF3"/>
    <w:rsid w:val="00C6131A"/>
    <w:rsid w:val="00C6167F"/>
    <w:rsid w:val="00C619F8"/>
    <w:rsid w:val="00C61A20"/>
    <w:rsid w:val="00C61C92"/>
    <w:rsid w:val="00C61F06"/>
    <w:rsid w:val="00C62166"/>
    <w:rsid w:val="00C62454"/>
    <w:rsid w:val="00C62552"/>
    <w:rsid w:val="00C625B4"/>
    <w:rsid w:val="00C627C1"/>
    <w:rsid w:val="00C62AD1"/>
    <w:rsid w:val="00C62CDD"/>
    <w:rsid w:val="00C62E43"/>
    <w:rsid w:val="00C62EEC"/>
    <w:rsid w:val="00C63795"/>
    <w:rsid w:val="00C637BA"/>
    <w:rsid w:val="00C638D4"/>
    <w:rsid w:val="00C63E70"/>
    <w:rsid w:val="00C6425F"/>
    <w:rsid w:val="00C644DC"/>
    <w:rsid w:val="00C645BC"/>
    <w:rsid w:val="00C6461B"/>
    <w:rsid w:val="00C6465E"/>
    <w:rsid w:val="00C64870"/>
    <w:rsid w:val="00C64BE0"/>
    <w:rsid w:val="00C652B6"/>
    <w:rsid w:val="00C65313"/>
    <w:rsid w:val="00C65798"/>
    <w:rsid w:val="00C65C1B"/>
    <w:rsid w:val="00C65C3B"/>
    <w:rsid w:val="00C65D7F"/>
    <w:rsid w:val="00C65F5D"/>
    <w:rsid w:val="00C66068"/>
    <w:rsid w:val="00C664CD"/>
    <w:rsid w:val="00C66674"/>
    <w:rsid w:val="00C66733"/>
    <w:rsid w:val="00C66802"/>
    <w:rsid w:val="00C66C61"/>
    <w:rsid w:val="00C66CCC"/>
    <w:rsid w:val="00C67144"/>
    <w:rsid w:val="00C67B79"/>
    <w:rsid w:val="00C67BBE"/>
    <w:rsid w:val="00C67FCB"/>
    <w:rsid w:val="00C7038B"/>
    <w:rsid w:val="00C706A2"/>
    <w:rsid w:val="00C709DC"/>
    <w:rsid w:val="00C71162"/>
    <w:rsid w:val="00C7137F"/>
    <w:rsid w:val="00C71A47"/>
    <w:rsid w:val="00C71A4B"/>
    <w:rsid w:val="00C71C67"/>
    <w:rsid w:val="00C71D32"/>
    <w:rsid w:val="00C72112"/>
    <w:rsid w:val="00C7229E"/>
    <w:rsid w:val="00C722D1"/>
    <w:rsid w:val="00C72ACE"/>
    <w:rsid w:val="00C72B09"/>
    <w:rsid w:val="00C73444"/>
    <w:rsid w:val="00C748D0"/>
    <w:rsid w:val="00C74B6C"/>
    <w:rsid w:val="00C74BB5"/>
    <w:rsid w:val="00C74E43"/>
    <w:rsid w:val="00C74E7F"/>
    <w:rsid w:val="00C750E6"/>
    <w:rsid w:val="00C7555B"/>
    <w:rsid w:val="00C75D6A"/>
    <w:rsid w:val="00C75F95"/>
    <w:rsid w:val="00C75F9F"/>
    <w:rsid w:val="00C76136"/>
    <w:rsid w:val="00C761D3"/>
    <w:rsid w:val="00C762BB"/>
    <w:rsid w:val="00C76876"/>
    <w:rsid w:val="00C76DB6"/>
    <w:rsid w:val="00C76F71"/>
    <w:rsid w:val="00C77126"/>
    <w:rsid w:val="00C77B3E"/>
    <w:rsid w:val="00C77CEB"/>
    <w:rsid w:val="00C77E73"/>
    <w:rsid w:val="00C806BA"/>
    <w:rsid w:val="00C80CB5"/>
    <w:rsid w:val="00C80F74"/>
    <w:rsid w:val="00C80FE0"/>
    <w:rsid w:val="00C812B5"/>
    <w:rsid w:val="00C81CD9"/>
    <w:rsid w:val="00C8235D"/>
    <w:rsid w:val="00C82DBA"/>
    <w:rsid w:val="00C82E10"/>
    <w:rsid w:val="00C82F97"/>
    <w:rsid w:val="00C83088"/>
    <w:rsid w:val="00C8348E"/>
    <w:rsid w:val="00C8355A"/>
    <w:rsid w:val="00C83681"/>
    <w:rsid w:val="00C83777"/>
    <w:rsid w:val="00C839D1"/>
    <w:rsid w:val="00C8422C"/>
    <w:rsid w:val="00C844B5"/>
    <w:rsid w:val="00C84711"/>
    <w:rsid w:val="00C84ABC"/>
    <w:rsid w:val="00C84B8F"/>
    <w:rsid w:val="00C84CD3"/>
    <w:rsid w:val="00C859D7"/>
    <w:rsid w:val="00C859E6"/>
    <w:rsid w:val="00C85A25"/>
    <w:rsid w:val="00C85C68"/>
    <w:rsid w:val="00C85E62"/>
    <w:rsid w:val="00C86486"/>
    <w:rsid w:val="00C867BE"/>
    <w:rsid w:val="00C867DA"/>
    <w:rsid w:val="00C86A24"/>
    <w:rsid w:val="00C86CA5"/>
    <w:rsid w:val="00C86CE8"/>
    <w:rsid w:val="00C86EBC"/>
    <w:rsid w:val="00C87048"/>
    <w:rsid w:val="00C87119"/>
    <w:rsid w:val="00C8716F"/>
    <w:rsid w:val="00C87286"/>
    <w:rsid w:val="00C87584"/>
    <w:rsid w:val="00C87809"/>
    <w:rsid w:val="00C87A99"/>
    <w:rsid w:val="00C9017C"/>
    <w:rsid w:val="00C9026B"/>
    <w:rsid w:val="00C903C0"/>
    <w:rsid w:val="00C90674"/>
    <w:rsid w:val="00C90768"/>
    <w:rsid w:val="00C90A98"/>
    <w:rsid w:val="00C91008"/>
    <w:rsid w:val="00C91188"/>
    <w:rsid w:val="00C91E7D"/>
    <w:rsid w:val="00C92075"/>
    <w:rsid w:val="00C920B1"/>
    <w:rsid w:val="00C92477"/>
    <w:rsid w:val="00C926A4"/>
    <w:rsid w:val="00C926D7"/>
    <w:rsid w:val="00C927BA"/>
    <w:rsid w:val="00C92CAC"/>
    <w:rsid w:val="00C92E91"/>
    <w:rsid w:val="00C93CEC"/>
    <w:rsid w:val="00C9453D"/>
    <w:rsid w:val="00C947AC"/>
    <w:rsid w:val="00C94DDD"/>
    <w:rsid w:val="00C953F1"/>
    <w:rsid w:val="00C95466"/>
    <w:rsid w:val="00C95977"/>
    <w:rsid w:val="00C95AAF"/>
    <w:rsid w:val="00C95D99"/>
    <w:rsid w:val="00C95F34"/>
    <w:rsid w:val="00C9627A"/>
    <w:rsid w:val="00C962BE"/>
    <w:rsid w:val="00C96463"/>
    <w:rsid w:val="00C96545"/>
    <w:rsid w:val="00C966BC"/>
    <w:rsid w:val="00C96BCD"/>
    <w:rsid w:val="00C96E74"/>
    <w:rsid w:val="00C96EDC"/>
    <w:rsid w:val="00C97029"/>
    <w:rsid w:val="00C97124"/>
    <w:rsid w:val="00C97165"/>
    <w:rsid w:val="00C975CE"/>
    <w:rsid w:val="00C97D3B"/>
    <w:rsid w:val="00C97E0D"/>
    <w:rsid w:val="00CA0039"/>
    <w:rsid w:val="00CA06D6"/>
    <w:rsid w:val="00CA093C"/>
    <w:rsid w:val="00CA0953"/>
    <w:rsid w:val="00CA10CA"/>
    <w:rsid w:val="00CA131C"/>
    <w:rsid w:val="00CA145C"/>
    <w:rsid w:val="00CA1503"/>
    <w:rsid w:val="00CA165D"/>
    <w:rsid w:val="00CA1660"/>
    <w:rsid w:val="00CA1900"/>
    <w:rsid w:val="00CA1C1E"/>
    <w:rsid w:val="00CA1CD7"/>
    <w:rsid w:val="00CA202A"/>
    <w:rsid w:val="00CA2A33"/>
    <w:rsid w:val="00CA2E1B"/>
    <w:rsid w:val="00CA2F4D"/>
    <w:rsid w:val="00CA2F82"/>
    <w:rsid w:val="00CA2FCE"/>
    <w:rsid w:val="00CA3083"/>
    <w:rsid w:val="00CA30EE"/>
    <w:rsid w:val="00CA331B"/>
    <w:rsid w:val="00CA35D6"/>
    <w:rsid w:val="00CA3943"/>
    <w:rsid w:val="00CA3A55"/>
    <w:rsid w:val="00CA3B73"/>
    <w:rsid w:val="00CA3D1A"/>
    <w:rsid w:val="00CA3F96"/>
    <w:rsid w:val="00CA405D"/>
    <w:rsid w:val="00CA443C"/>
    <w:rsid w:val="00CA4A39"/>
    <w:rsid w:val="00CA4CD1"/>
    <w:rsid w:val="00CA4F06"/>
    <w:rsid w:val="00CA510C"/>
    <w:rsid w:val="00CA5250"/>
    <w:rsid w:val="00CA5677"/>
    <w:rsid w:val="00CA5FE8"/>
    <w:rsid w:val="00CA629A"/>
    <w:rsid w:val="00CA651E"/>
    <w:rsid w:val="00CA686B"/>
    <w:rsid w:val="00CA6870"/>
    <w:rsid w:val="00CA6A25"/>
    <w:rsid w:val="00CA6C8C"/>
    <w:rsid w:val="00CA6E89"/>
    <w:rsid w:val="00CA6F04"/>
    <w:rsid w:val="00CA76D7"/>
    <w:rsid w:val="00CA7AE0"/>
    <w:rsid w:val="00CA7B28"/>
    <w:rsid w:val="00CA7DB5"/>
    <w:rsid w:val="00CB0103"/>
    <w:rsid w:val="00CB0277"/>
    <w:rsid w:val="00CB03BF"/>
    <w:rsid w:val="00CB04C1"/>
    <w:rsid w:val="00CB04F6"/>
    <w:rsid w:val="00CB069E"/>
    <w:rsid w:val="00CB0860"/>
    <w:rsid w:val="00CB0A19"/>
    <w:rsid w:val="00CB0AB1"/>
    <w:rsid w:val="00CB10A1"/>
    <w:rsid w:val="00CB11BE"/>
    <w:rsid w:val="00CB13D8"/>
    <w:rsid w:val="00CB1446"/>
    <w:rsid w:val="00CB1498"/>
    <w:rsid w:val="00CB21CD"/>
    <w:rsid w:val="00CB2289"/>
    <w:rsid w:val="00CB22C5"/>
    <w:rsid w:val="00CB26F0"/>
    <w:rsid w:val="00CB27AB"/>
    <w:rsid w:val="00CB27EE"/>
    <w:rsid w:val="00CB2967"/>
    <w:rsid w:val="00CB2D2C"/>
    <w:rsid w:val="00CB2F0A"/>
    <w:rsid w:val="00CB30E3"/>
    <w:rsid w:val="00CB312B"/>
    <w:rsid w:val="00CB3149"/>
    <w:rsid w:val="00CB333D"/>
    <w:rsid w:val="00CB3366"/>
    <w:rsid w:val="00CB3686"/>
    <w:rsid w:val="00CB3946"/>
    <w:rsid w:val="00CB3B3E"/>
    <w:rsid w:val="00CB426E"/>
    <w:rsid w:val="00CB442E"/>
    <w:rsid w:val="00CB45B2"/>
    <w:rsid w:val="00CB47F9"/>
    <w:rsid w:val="00CB4A91"/>
    <w:rsid w:val="00CB4E3E"/>
    <w:rsid w:val="00CB4EAB"/>
    <w:rsid w:val="00CB502E"/>
    <w:rsid w:val="00CB535E"/>
    <w:rsid w:val="00CB56FE"/>
    <w:rsid w:val="00CB598C"/>
    <w:rsid w:val="00CB5A3B"/>
    <w:rsid w:val="00CB616C"/>
    <w:rsid w:val="00CB65E6"/>
    <w:rsid w:val="00CB667C"/>
    <w:rsid w:val="00CB6950"/>
    <w:rsid w:val="00CB6A33"/>
    <w:rsid w:val="00CB6B74"/>
    <w:rsid w:val="00CB6BC0"/>
    <w:rsid w:val="00CB6EE4"/>
    <w:rsid w:val="00CB7387"/>
    <w:rsid w:val="00CB7484"/>
    <w:rsid w:val="00CC0684"/>
    <w:rsid w:val="00CC0934"/>
    <w:rsid w:val="00CC0CAD"/>
    <w:rsid w:val="00CC115E"/>
    <w:rsid w:val="00CC13F4"/>
    <w:rsid w:val="00CC19B1"/>
    <w:rsid w:val="00CC19E7"/>
    <w:rsid w:val="00CC1EB0"/>
    <w:rsid w:val="00CC1EF7"/>
    <w:rsid w:val="00CC1FDD"/>
    <w:rsid w:val="00CC2701"/>
    <w:rsid w:val="00CC2BD7"/>
    <w:rsid w:val="00CC2C38"/>
    <w:rsid w:val="00CC2C54"/>
    <w:rsid w:val="00CC2D49"/>
    <w:rsid w:val="00CC3143"/>
    <w:rsid w:val="00CC31E0"/>
    <w:rsid w:val="00CC325F"/>
    <w:rsid w:val="00CC3360"/>
    <w:rsid w:val="00CC3378"/>
    <w:rsid w:val="00CC3A85"/>
    <w:rsid w:val="00CC3B29"/>
    <w:rsid w:val="00CC3C98"/>
    <w:rsid w:val="00CC3CE0"/>
    <w:rsid w:val="00CC3D9C"/>
    <w:rsid w:val="00CC416E"/>
    <w:rsid w:val="00CC42F7"/>
    <w:rsid w:val="00CC443D"/>
    <w:rsid w:val="00CC4946"/>
    <w:rsid w:val="00CC50B0"/>
    <w:rsid w:val="00CC520A"/>
    <w:rsid w:val="00CC5CD4"/>
    <w:rsid w:val="00CC6127"/>
    <w:rsid w:val="00CC61B2"/>
    <w:rsid w:val="00CC63FD"/>
    <w:rsid w:val="00CC64A6"/>
    <w:rsid w:val="00CC6634"/>
    <w:rsid w:val="00CC685B"/>
    <w:rsid w:val="00CC6E2A"/>
    <w:rsid w:val="00CC6EA2"/>
    <w:rsid w:val="00CC73EB"/>
    <w:rsid w:val="00CC747F"/>
    <w:rsid w:val="00CC75DA"/>
    <w:rsid w:val="00CC7BB2"/>
    <w:rsid w:val="00CC7C94"/>
    <w:rsid w:val="00CC7C95"/>
    <w:rsid w:val="00CC7D49"/>
    <w:rsid w:val="00CD01A2"/>
    <w:rsid w:val="00CD01B2"/>
    <w:rsid w:val="00CD03C4"/>
    <w:rsid w:val="00CD067C"/>
    <w:rsid w:val="00CD06C1"/>
    <w:rsid w:val="00CD0777"/>
    <w:rsid w:val="00CD0AA6"/>
    <w:rsid w:val="00CD0C24"/>
    <w:rsid w:val="00CD1365"/>
    <w:rsid w:val="00CD154A"/>
    <w:rsid w:val="00CD163A"/>
    <w:rsid w:val="00CD1640"/>
    <w:rsid w:val="00CD16DA"/>
    <w:rsid w:val="00CD1B70"/>
    <w:rsid w:val="00CD1B75"/>
    <w:rsid w:val="00CD1ED9"/>
    <w:rsid w:val="00CD2011"/>
    <w:rsid w:val="00CD23C4"/>
    <w:rsid w:val="00CD2413"/>
    <w:rsid w:val="00CD2666"/>
    <w:rsid w:val="00CD286D"/>
    <w:rsid w:val="00CD29D3"/>
    <w:rsid w:val="00CD2E71"/>
    <w:rsid w:val="00CD30C6"/>
    <w:rsid w:val="00CD3B56"/>
    <w:rsid w:val="00CD4A9E"/>
    <w:rsid w:val="00CD4BB5"/>
    <w:rsid w:val="00CD4CD8"/>
    <w:rsid w:val="00CD4DE0"/>
    <w:rsid w:val="00CD4FD6"/>
    <w:rsid w:val="00CD5535"/>
    <w:rsid w:val="00CD55BA"/>
    <w:rsid w:val="00CD5D1D"/>
    <w:rsid w:val="00CD5D6E"/>
    <w:rsid w:val="00CD5D7F"/>
    <w:rsid w:val="00CD61F1"/>
    <w:rsid w:val="00CD646F"/>
    <w:rsid w:val="00CD690E"/>
    <w:rsid w:val="00CD736F"/>
    <w:rsid w:val="00CD7447"/>
    <w:rsid w:val="00CD744F"/>
    <w:rsid w:val="00CD7AC8"/>
    <w:rsid w:val="00CD7C48"/>
    <w:rsid w:val="00CE02E6"/>
    <w:rsid w:val="00CE0666"/>
    <w:rsid w:val="00CE08C0"/>
    <w:rsid w:val="00CE0B10"/>
    <w:rsid w:val="00CE0EB6"/>
    <w:rsid w:val="00CE150B"/>
    <w:rsid w:val="00CE1681"/>
    <w:rsid w:val="00CE1EEE"/>
    <w:rsid w:val="00CE27A2"/>
    <w:rsid w:val="00CE2FC6"/>
    <w:rsid w:val="00CE3019"/>
    <w:rsid w:val="00CE3308"/>
    <w:rsid w:val="00CE3454"/>
    <w:rsid w:val="00CE3D92"/>
    <w:rsid w:val="00CE4015"/>
    <w:rsid w:val="00CE4420"/>
    <w:rsid w:val="00CE4BDA"/>
    <w:rsid w:val="00CE4C37"/>
    <w:rsid w:val="00CE50AA"/>
    <w:rsid w:val="00CE5235"/>
    <w:rsid w:val="00CE52BB"/>
    <w:rsid w:val="00CE5513"/>
    <w:rsid w:val="00CE611C"/>
    <w:rsid w:val="00CE6454"/>
    <w:rsid w:val="00CE66CA"/>
    <w:rsid w:val="00CE6FD8"/>
    <w:rsid w:val="00CE71B9"/>
    <w:rsid w:val="00CE7278"/>
    <w:rsid w:val="00CE72C6"/>
    <w:rsid w:val="00CE7462"/>
    <w:rsid w:val="00CE75AB"/>
    <w:rsid w:val="00CE75B0"/>
    <w:rsid w:val="00CE771B"/>
    <w:rsid w:val="00CE79CE"/>
    <w:rsid w:val="00CE7A23"/>
    <w:rsid w:val="00CE7C3B"/>
    <w:rsid w:val="00CE7F21"/>
    <w:rsid w:val="00CE7FFB"/>
    <w:rsid w:val="00CF01EA"/>
    <w:rsid w:val="00CF0261"/>
    <w:rsid w:val="00CF02D5"/>
    <w:rsid w:val="00CF05F8"/>
    <w:rsid w:val="00CF06B2"/>
    <w:rsid w:val="00CF0E1E"/>
    <w:rsid w:val="00CF0E26"/>
    <w:rsid w:val="00CF1191"/>
    <w:rsid w:val="00CF14ED"/>
    <w:rsid w:val="00CF151C"/>
    <w:rsid w:val="00CF1826"/>
    <w:rsid w:val="00CF1B5C"/>
    <w:rsid w:val="00CF1B9A"/>
    <w:rsid w:val="00CF1D7F"/>
    <w:rsid w:val="00CF2238"/>
    <w:rsid w:val="00CF22C0"/>
    <w:rsid w:val="00CF22F9"/>
    <w:rsid w:val="00CF2CA9"/>
    <w:rsid w:val="00CF2CCC"/>
    <w:rsid w:val="00CF2E4F"/>
    <w:rsid w:val="00CF2E65"/>
    <w:rsid w:val="00CF2EDC"/>
    <w:rsid w:val="00CF2F57"/>
    <w:rsid w:val="00CF327E"/>
    <w:rsid w:val="00CF32C8"/>
    <w:rsid w:val="00CF33AB"/>
    <w:rsid w:val="00CF3A09"/>
    <w:rsid w:val="00CF3D1D"/>
    <w:rsid w:val="00CF3E96"/>
    <w:rsid w:val="00CF3EE6"/>
    <w:rsid w:val="00CF41FF"/>
    <w:rsid w:val="00CF4496"/>
    <w:rsid w:val="00CF47E8"/>
    <w:rsid w:val="00CF489E"/>
    <w:rsid w:val="00CF4913"/>
    <w:rsid w:val="00CF4A5B"/>
    <w:rsid w:val="00CF4B67"/>
    <w:rsid w:val="00CF4D35"/>
    <w:rsid w:val="00CF4EAF"/>
    <w:rsid w:val="00CF4F3B"/>
    <w:rsid w:val="00CF50D3"/>
    <w:rsid w:val="00CF52E7"/>
    <w:rsid w:val="00CF556C"/>
    <w:rsid w:val="00CF5686"/>
    <w:rsid w:val="00CF57A6"/>
    <w:rsid w:val="00CF5D39"/>
    <w:rsid w:val="00CF5FD3"/>
    <w:rsid w:val="00CF6052"/>
    <w:rsid w:val="00CF61E4"/>
    <w:rsid w:val="00CF63E7"/>
    <w:rsid w:val="00CF692E"/>
    <w:rsid w:val="00CF6C19"/>
    <w:rsid w:val="00CF6CC5"/>
    <w:rsid w:val="00CF6EAF"/>
    <w:rsid w:val="00CF70F3"/>
    <w:rsid w:val="00CF7128"/>
    <w:rsid w:val="00CF7C60"/>
    <w:rsid w:val="00CF7CB8"/>
    <w:rsid w:val="00CF7CD5"/>
    <w:rsid w:val="00D00586"/>
    <w:rsid w:val="00D007C6"/>
    <w:rsid w:val="00D0086C"/>
    <w:rsid w:val="00D008BB"/>
    <w:rsid w:val="00D00B0A"/>
    <w:rsid w:val="00D00D88"/>
    <w:rsid w:val="00D01A6A"/>
    <w:rsid w:val="00D01AFD"/>
    <w:rsid w:val="00D01CB5"/>
    <w:rsid w:val="00D01CE6"/>
    <w:rsid w:val="00D02583"/>
    <w:rsid w:val="00D02739"/>
    <w:rsid w:val="00D02777"/>
    <w:rsid w:val="00D02A1E"/>
    <w:rsid w:val="00D02AB0"/>
    <w:rsid w:val="00D02DE3"/>
    <w:rsid w:val="00D034AD"/>
    <w:rsid w:val="00D0353B"/>
    <w:rsid w:val="00D03695"/>
    <w:rsid w:val="00D03814"/>
    <w:rsid w:val="00D03B51"/>
    <w:rsid w:val="00D03FAB"/>
    <w:rsid w:val="00D04059"/>
    <w:rsid w:val="00D0418F"/>
    <w:rsid w:val="00D041D4"/>
    <w:rsid w:val="00D0460E"/>
    <w:rsid w:val="00D048DC"/>
    <w:rsid w:val="00D04A47"/>
    <w:rsid w:val="00D051D3"/>
    <w:rsid w:val="00D0554B"/>
    <w:rsid w:val="00D055AD"/>
    <w:rsid w:val="00D057A7"/>
    <w:rsid w:val="00D05A3D"/>
    <w:rsid w:val="00D05B7D"/>
    <w:rsid w:val="00D05DA6"/>
    <w:rsid w:val="00D05F3D"/>
    <w:rsid w:val="00D066CB"/>
    <w:rsid w:val="00D066DD"/>
    <w:rsid w:val="00D06774"/>
    <w:rsid w:val="00D06845"/>
    <w:rsid w:val="00D06C21"/>
    <w:rsid w:val="00D07112"/>
    <w:rsid w:val="00D07282"/>
    <w:rsid w:val="00D07333"/>
    <w:rsid w:val="00D07420"/>
    <w:rsid w:val="00D074B5"/>
    <w:rsid w:val="00D07619"/>
    <w:rsid w:val="00D076D8"/>
    <w:rsid w:val="00D07B9B"/>
    <w:rsid w:val="00D07E4C"/>
    <w:rsid w:val="00D07E5B"/>
    <w:rsid w:val="00D10598"/>
    <w:rsid w:val="00D106CA"/>
    <w:rsid w:val="00D1073E"/>
    <w:rsid w:val="00D107AD"/>
    <w:rsid w:val="00D10B12"/>
    <w:rsid w:val="00D12596"/>
    <w:rsid w:val="00D12889"/>
    <w:rsid w:val="00D129C5"/>
    <w:rsid w:val="00D12A1E"/>
    <w:rsid w:val="00D12B1A"/>
    <w:rsid w:val="00D13338"/>
    <w:rsid w:val="00D13881"/>
    <w:rsid w:val="00D13A49"/>
    <w:rsid w:val="00D13E4B"/>
    <w:rsid w:val="00D13ED0"/>
    <w:rsid w:val="00D143D0"/>
    <w:rsid w:val="00D1487F"/>
    <w:rsid w:val="00D148F4"/>
    <w:rsid w:val="00D149F1"/>
    <w:rsid w:val="00D14EE9"/>
    <w:rsid w:val="00D15208"/>
    <w:rsid w:val="00D15384"/>
    <w:rsid w:val="00D15585"/>
    <w:rsid w:val="00D15680"/>
    <w:rsid w:val="00D156E8"/>
    <w:rsid w:val="00D1576F"/>
    <w:rsid w:val="00D157B0"/>
    <w:rsid w:val="00D157C9"/>
    <w:rsid w:val="00D157FC"/>
    <w:rsid w:val="00D15808"/>
    <w:rsid w:val="00D159F5"/>
    <w:rsid w:val="00D16347"/>
    <w:rsid w:val="00D16681"/>
    <w:rsid w:val="00D16A1A"/>
    <w:rsid w:val="00D16A46"/>
    <w:rsid w:val="00D16A89"/>
    <w:rsid w:val="00D16CD5"/>
    <w:rsid w:val="00D16F03"/>
    <w:rsid w:val="00D16F29"/>
    <w:rsid w:val="00D17933"/>
    <w:rsid w:val="00D17C91"/>
    <w:rsid w:val="00D17CC6"/>
    <w:rsid w:val="00D20310"/>
    <w:rsid w:val="00D20367"/>
    <w:rsid w:val="00D20495"/>
    <w:rsid w:val="00D20746"/>
    <w:rsid w:val="00D20DAB"/>
    <w:rsid w:val="00D20DF4"/>
    <w:rsid w:val="00D20ECF"/>
    <w:rsid w:val="00D20FA7"/>
    <w:rsid w:val="00D2103D"/>
    <w:rsid w:val="00D21081"/>
    <w:rsid w:val="00D212E3"/>
    <w:rsid w:val="00D21AB4"/>
    <w:rsid w:val="00D21FBE"/>
    <w:rsid w:val="00D227ED"/>
    <w:rsid w:val="00D22990"/>
    <w:rsid w:val="00D22B0D"/>
    <w:rsid w:val="00D22B73"/>
    <w:rsid w:val="00D22BD2"/>
    <w:rsid w:val="00D22D3E"/>
    <w:rsid w:val="00D22DA3"/>
    <w:rsid w:val="00D22E9F"/>
    <w:rsid w:val="00D22FC3"/>
    <w:rsid w:val="00D233A2"/>
    <w:rsid w:val="00D234C3"/>
    <w:rsid w:val="00D2375D"/>
    <w:rsid w:val="00D23B79"/>
    <w:rsid w:val="00D23C09"/>
    <w:rsid w:val="00D23C50"/>
    <w:rsid w:val="00D246EA"/>
    <w:rsid w:val="00D24B98"/>
    <w:rsid w:val="00D24F1C"/>
    <w:rsid w:val="00D2512D"/>
    <w:rsid w:val="00D25244"/>
    <w:rsid w:val="00D25438"/>
    <w:rsid w:val="00D256CA"/>
    <w:rsid w:val="00D2658E"/>
    <w:rsid w:val="00D265EF"/>
    <w:rsid w:val="00D266C6"/>
    <w:rsid w:val="00D26840"/>
    <w:rsid w:val="00D26D77"/>
    <w:rsid w:val="00D27045"/>
    <w:rsid w:val="00D275A9"/>
    <w:rsid w:val="00D27DB3"/>
    <w:rsid w:val="00D27F5E"/>
    <w:rsid w:val="00D3022A"/>
    <w:rsid w:val="00D30DB4"/>
    <w:rsid w:val="00D30F23"/>
    <w:rsid w:val="00D31038"/>
    <w:rsid w:val="00D31069"/>
    <w:rsid w:val="00D314D1"/>
    <w:rsid w:val="00D31514"/>
    <w:rsid w:val="00D315BC"/>
    <w:rsid w:val="00D318E5"/>
    <w:rsid w:val="00D31933"/>
    <w:rsid w:val="00D319CE"/>
    <w:rsid w:val="00D31A58"/>
    <w:rsid w:val="00D323D4"/>
    <w:rsid w:val="00D3244D"/>
    <w:rsid w:val="00D32673"/>
    <w:rsid w:val="00D32B30"/>
    <w:rsid w:val="00D32C34"/>
    <w:rsid w:val="00D32CD4"/>
    <w:rsid w:val="00D32D39"/>
    <w:rsid w:val="00D33621"/>
    <w:rsid w:val="00D336BF"/>
    <w:rsid w:val="00D337A1"/>
    <w:rsid w:val="00D33A29"/>
    <w:rsid w:val="00D33CFF"/>
    <w:rsid w:val="00D33D0D"/>
    <w:rsid w:val="00D34122"/>
    <w:rsid w:val="00D34338"/>
    <w:rsid w:val="00D34A55"/>
    <w:rsid w:val="00D34ACE"/>
    <w:rsid w:val="00D34C65"/>
    <w:rsid w:val="00D34F3D"/>
    <w:rsid w:val="00D34FB5"/>
    <w:rsid w:val="00D354C6"/>
    <w:rsid w:val="00D357AD"/>
    <w:rsid w:val="00D359AD"/>
    <w:rsid w:val="00D35C8B"/>
    <w:rsid w:val="00D36333"/>
    <w:rsid w:val="00D36848"/>
    <w:rsid w:val="00D3695A"/>
    <w:rsid w:val="00D369A8"/>
    <w:rsid w:val="00D36CC9"/>
    <w:rsid w:val="00D36E27"/>
    <w:rsid w:val="00D36E58"/>
    <w:rsid w:val="00D37128"/>
    <w:rsid w:val="00D373A0"/>
    <w:rsid w:val="00D401DA"/>
    <w:rsid w:val="00D40481"/>
    <w:rsid w:val="00D4083F"/>
    <w:rsid w:val="00D40912"/>
    <w:rsid w:val="00D40C95"/>
    <w:rsid w:val="00D40EAF"/>
    <w:rsid w:val="00D4106D"/>
    <w:rsid w:val="00D41350"/>
    <w:rsid w:val="00D4155B"/>
    <w:rsid w:val="00D417BD"/>
    <w:rsid w:val="00D4180E"/>
    <w:rsid w:val="00D4190C"/>
    <w:rsid w:val="00D41EC5"/>
    <w:rsid w:val="00D42BDB"/>
    <w:rsid w:val="00D430C7"/>
    <w:rsid w:val="00D43301"/>
    <w:rsid w:val="00D4340D"/>
    <w:rsid w:val="00D4366A"/>
    <w:rsid w:val="00D43670"/>
    <w:rsid w:val="00D444B4"/>
    <w:rsid w:val="00D4458B"/>
    <w:rsid w:val="00D447D6"/>
    <w:rsid w:val="00D449B2"/>
    <w:rsid w:val="00D44D55"/>
    <w:rsid w:val="00D44EE3"/>
    <w:rsid w:val="00D44FD6"/>
    <w:rsid w:val="00D451D4"/>
    <w:rsid w:val="00D452E8"/>
    <w:rsid w:val="00D453A5"/>
    <w:rsid w:val="00D4573D"/>
    <w:rsid w:val="00D45883"/>
    <w:rsid w:val="00D45F05"/>
    <w:rsid w:val="00D46177"/>
    <w:rsid w:val="00D465B0"/>
    <w:rsid w:val="00D46686"/>
    <w:rsid w:val="00D47167"/>
    <w:rsid w:val="00D47322"/>
    <w:rsid w:val="00D474DA"/>
    <w:rsid w:val="00D4770F"/>
    <w:rsid w:val="00D4789D"/>
    <w:rsid w:val="00D479E4"/>
    <w:rsid w:val="00D47BE0"/>
    <w:rsid w:val="00D47D26"/>
    <w:rsid w:val="00D47D5A"/>
    <w:rsid w:val="00D47D9C"/>
    <w:rsid w:val="00D47F41"/>
    <w:rsid w:val="00D507CC"/>
    <w:rsid w:val="00D50AAD"/>
    <w:rsid w:val="00D50C55"/>
    <w:rsid w:val="00D510A0"/>
    <w:rsid w:val="00D5110F"/>
    <w:rsid w:val="00D511B5"/>
    <w:rsid w:val="00D51619"/>
    <w:rsid w:val="00D5186C"/>
    <w:rsid w:val="00D51C60"/>
    <w:rsid w:val="00D522B8"/>
    <w:rsid w:val="00D524B6"/>
    <w:rsid w:val="00D52794"/>
    <w:rsid w:val="00D52B49"/>
    <w:rsid w:val="00D52B95"/>
    <w:rsid w:val="00D52DB2"/>
    <w:rsid w:val="00D52E0A"/>
    <w:rsid w:val="00D533BF"/>
    <w:rsid w:val="00D53401"/>
    <w:rsid w:val="00D534E2"/>
    <w:rsid w:val="00D535E1"/>
    <w:rsid w:val="00D53602"/>
    <w:rsid w:val="00D536AD"/>
    <w:rsid w:val="00D53749"/>
    <w:rsid w:val="00D541A8"/>
    <w:rsid w:val="00D54714"/>
    <w:rsid w:val="00D5493C"/>
    <w:rsid w:val="00D54BF2"/>
    <w:rsid w:val="00D54C17"/>
    <w:rsid w:val="00D54D9F"/>
    <w:rsid w:val="00D54F7F"/>
    <w:rsid w:val="00D55178"/>
    <w:rsid w:val="00D552DB"/>
    <w:rsid w:val="00D55923"/>
    <w:rsid w:val="00D55DB2"/>
    <w:rsid w:val="00D55EE4"/>
    <w:rsid w:val="00D56236"/>
    <w:rsid w:val="00D562C4"/>
    <w:rsid w:val="00D562CF"/>
    <w:rsid w:val="00D56418"/>
    <w:rsid w:val="00D56482"/>
    <w:rsid w:val="00D566BB"/>
    <w:rsid w:val="00D569CA"/>
    <w:rsid w:val="00D56A04"/>
    <w:rsid w:val="00D570CF"/>
    <w:rsid w:val="00D571ED"/>
    <w:rsid w:val="00D5734D"/>
    <w:rsid w:val="00D5746C"/>
    <w:rsid w:val="00D57472"/>
    <w:rsid w:val="00D57598"/>
    <w:rsid w:val="00D5773E"/>
    <w:rsid w:val="00D5781E"/>
    <w:rsid w:val="00D5792F"/>
    <w:rsid w:val="00D57A70"/>
    <w:rsid w:val="00D57E00"/>
    <w:rsid w:val="00D6007E"/>
    <w:rsid w:val="00D60165"/>
    <w:rsid w:val="00D60441"/>
    <w:rsid w:val="00D60465"/>
    <w:rsid w:val="00D606CE"/>
    <w:rsid w:val="00D607FC"/>
    <w:rsid w:val="00D60951"/>
    <w:rsid w:val="00D60D2C"/>
    <w:rsid w:val="00D60E05"/>
    <w:rsid w:val="00D6136E"/>
    <w:rsid w:val="00D61670"/>
    <w:rsid w:val="00D61D0C"/>
    <w:rsid w:val="00D61D5E"/>
    <w:rsid w:val="00D61DD7"/>
    <w:rsid w:val="00D61EBF"/>
    <w:rsid w:val="00D62699"/>
    <w:rsid w:val="00D62710"/>
    <w:rsid w:val="00D62769"/>
    <w:rsid w:val="00D627EB"/>
    <w:rsid w:val="00D62948"/>
    <w:rsid w:val="00D62C0E"/>
    <w:rsid w:val="00D62DF9"/>
    <w:rsid w:val="00D6315A"/>
    <w:rsid w:val="00D6320A"/>
    <w:rsid w:val="00D633DF"/>
    <w:rsid w:val="00D6396F"/>
    <w:rsid w:val="00D63B4A"/>
    <w:rsid w:val="00D641E8"/>
    <w:rsid w:val="00D64656"/>
    <w:rsid w:val="00D6477D"/>
    <w:rsid w:val="00D647BB"/>
    <w:rsid w:val="00D64E22"/>
    <w:rsid w:val="00D64E4C"/>
    <w:rsid w:val="00D650AE"/>
    <w:rsid w:val="00D65556"/>
    <w:rsid w:val="00D65C06"/>
    <w:rsid w:val="00D660DB"/>
    <w:rsid w:val="00D66322"/>
    <w:rsid w:val="00D66494"/>
    <w:rsid w:val="00D66D25"/>
    <w:rsid w:val="00D66FCA"/>
    <w:rsid w:val="00D67288"/>
    <w:rsid w:val="00D67A40"/>
    <w:rsid w:val="00D67BE6"/>
    <w:rsid w:val="00D67EE1"/>
    <w:rsid w:val="00D70200"/>
    <w:rsid w:val="00D70246"/>
    <w:rsid w:val="00D7062B"/>
    <w:rsid w:val="00D70734"/>
    <w:rsid w:val="00D70A88"/>
    <w:rsid w:val="00D70C8A"/>
    <w:rsid w:val="00D70D74"/>
    <w:rsid w:val="00D70D89"/>
    <w:rsid w:val="00D714B4"/>
    <w:rsid w:val="00D718D8"/>
    <w:rsid w:val="00D719C4"/>
    <w:rsid w:val="00D71AD8"/>
    <w:rsid w:val="00D71F20"/>
    <w:rsid w:val="00D7227D"/>
    <w:rsid w:val="00D723C1"/>
    <w:rsid w:val="00D724F8"/>
    <w:rsid w:val="00D7278C"/>
    <w:rsid w:val="00D7284F"/>
    <w:rsid w:val="00D72A40"/>
    <w:rsid w:val="00D72CD2"/>
    <w:rsid w:val="00D72D17"/>
    <w:rsid w:val="00D72D5E"/>
    <w:rsid w:val="00D735D1"/>
    <w:rsid w:val="00D73950"/>
    <w:rsid w:val="00D73AC0"/>
    <w:rsid w:val="00D73C14"/>
    <w:rsid w:val="00D73C47"/>
    <w:rsid w:val="00D73D1F"/>
    <w:rsid w:val="00D743C2"/>
    <w:rsid w:val="00D746A7"/>
    <w:rsid w:val="00D74729"/>
    <w:rsid w:val="00D75431"/>
    <w:rsid w:val="00D75732"/>
    <w:rsid w:val="00D75CA9"/>
    <w:rsid w:val="00D75FF8"/>
    <w:rsid w:val="00D761A8"/>
    <w:rsid w:val="00D762EC"/>
    <w:rsid w:val="00D7635F"/>
    <w:rsid w:val="00D763B0"/>
    <w:rsid w:val="00D764AA"/>
    <w:rsid w:val="00D766D4"/>
    <w:rsid w:val="00D7674C"/>
    <w:rsid w:val="00D76871"/>
    <w:rsid w:val="00D76AAD"/>
    <w:rsid w:val="00D77061"/>
    <w:rsid w:val="00D77285"/>
    <w:rsid w:val="00D7746A"/>
    <w:rsid w:val="00D77854"/>
    <w:rsid w:val="00D77881"/>
    <w:rsid w:val="00D77B76"/>
    <w:rsid w:val="00D77C8E"/>
    <w:rsid w:val="00D77E67"/>
    <w:rsid w:val="00D802EA"/>
    <w:rsid w:val="00D80C6B"/>
    <w:rsid w:val="00D80C6D"/>
    <w:rsid w:val="00D80FF0"/>
    <w:rsid w:val="00D8103F"/>
    <w:rsid w:val="00D81572"/>
    <w:rsid w:val="00D8175F"/>
    <w:rsid w:val="00D8186C"/>
    <w:rsid w:val="00D818CA"/>
    <w:rsid w:val="00D81ADB"/>
    <w:rsid w:val="00D81AE9"/>
    <w:rsid w:val="00D82260"/>
    <w:rsid w:val="00D826D2"/>
    <w:rsid w:val="00D827D7"/>
    <w:rsid w:val="00D828CA"/>
    <w:rsid w:val="00D82A4B"/>
    <w:rsid w:val="00D82CE1"/>
    <w:rsid w:val="00D82EAE"/>
    <w:rsid w:val="00D8303D"/>
    <w:rsid w:val="00D8317B"/>
    <w:rsid w:val="00D834D2"/>
    <w:rsid w:val="00D835BE"/>
    <w:rsid w:val="00D838F3"/>
    <w:rsid w:val="00D83BED"/>
    <w:rsid w:val="00D83D2E"/>
    <w:rsid w:val="00D83D63"/>
    <w:rsid w:val="00D83F64"/>
    <w:rsid w:val="00D8414E"/>
    <w:rsid w:val="00D841F5"/>
    <w:rsid w:val="00D84262"/>
    <w:rsid w:val="00D84620"/>
    <w:rsid w:val="00D846B8"/>
    <w:rsid w:val="00D847C7"/>
    <w:rsid w:val="00D847F2"/>
    <w:rsid w:val="00D84967"/>
    <w:rsid w:val="00D84973"/>
    <w:rsid w:val="00D84FF9"/>
    <w:rsid w:val="00D85199"/>
    <w:rsid w:val="00D852F0"/>
    <w:rsid w:val="00D8539B"/>
    <w:rsid w:val="00D85415"/>
    <w:rsid w:val="00D859E9"/>
    <w:rsid w:val="00D85A4B"/>
    <w:rsid w:val="00D85CAA"/>
    <w:rsid w:val="00D85E5B"/>
    <w:rsid w:val="00D861A4"/>
    <w:rsid w:val="00D865D2"/>
    <w:rsid w:val="00D867FB"/>
    <w:rsid w:val="00D86A1F"/>
    <w:rsid w:val="00D86B58"/>
    <w:rsid w:val="00D873F3"/>
    <w:rsid w:val="00D87545"/>
    <w:rsid w:val="00D87A2C"/>
    <w:rsid w:val="00D87BAF"/>
    <w:rsid w:val="00D90004"/>
    <w:rsid w:val="00D9058E"/>
    <w:rsid w:val="00D90A73"/>
    <w:rsid w:val="00D90C8A"/>
    <w:rsid w:val="00D90F83"/>
    <w:rsid w:val="00D910C1"/>
    <w:rsid w:val="00D91189"/>
    <w:rsid w:val="00D91224"/>
    <w:rsid w:val="00D913F9"/>
    <w:rsid w:val="00D9177B"/>
    <w:rsid w:val="00D918C2"/>
    <w:rsid w:val="00D91CD9"/>
    <w:rsid w:val="00D92049"/>
    <w:rsid w:val="00D92093"/>
    <w:rsid w:val="00D920E7"/>
    <w:rsid w:val="00D920F8"/>
    <w:rsid w:val="00D92298"/>
    <w:rsid w:val="00D92312"/>
    <w:rsid w:val="00D92484"/>
    <w:rsid w:val="00D92E79"/>
    <w:rsid w:val="00D92EA7"/>
    <w:rsid w:val="00D931E9"/>
    <w:rsid w:val="00D932E1"/>
    <w:rsid w:val="00D93395"/>
    <w:rsid w:val="00D9397B"/>
    <w:rsid w:val="00D939A6"/>
    <w:rsid w:val="00D93BB7"/>
    <w:rsid w:val="00D93D6F"/>
    <w:rsid w:val="00D9462A"/>
    <w:rsid w:val="00D9474D"/>
    <w:rsid w:val="00D94911"/>
    <w:rsid w:val="00D94A4E"/>
    <w:rsid w:val="00D94B14"/>
    <w:rsid w:val="00D94BE7"/>
    <w:rsid w:val="00D94E1E"/>
    <w:rsid w:val="00D94F65"/>
    <w:rsid w:val="00D95495"/>
    <w:rsid w:val="00D95727"/>
    <w:rsid w:val="00D957BC"/>
    <w:rsid w:val="00D95829"/>
    <w:rsid w:val="00D959BF"/>
    <w:rsid w:val="00D964C8"/>
    <w:rsid w:val="00D96F02"/>
    <w:rsid w:val="00D971FF"/>
    <w:rsid w:val="00D976CC"/>
    <w:rsid w:val="00D976F1"/>
    <w:rsid w:val="00D97CF1"/>
    <w:rsid w:val="00D97EE3"/>
    <w:rsid w:val="00DA0065"/>
    <w:rsid w:val="00DA0282"/>
    <w:rsid w:val="00DA055E"/>
    <w:rsid w:val="00DA07AF"/>
    <w:rsid w:val="00DA098D"/>
    <w:rsid w:val="00DA0A2A"/>
    <w:rsid w:val="00DA0C7A"/>
    <w:rsid w:val="00DA0C85"/>
    <w:rsid w:val="00DA1271"/>
    <w:rsid w:val="00DA1319"/>
    <w:rsid w:val="00DA1701"/>
    <w:rsid w:val="00DA1A43"/>
    <w:rsid w:val="00DA1E62"/>
    <w:rsid w:val="00DA208E"/>
    <w:rsid w:val="00DA24A9"/>
    <w:rsid w:val="00DA283A"/>
    <w:rsid w:val="00DA2893"/>
    <w:rsid w:val="00DA2AE0"/>
    <w:rsid w:val="00DA2B47"/>
    <w:rsid w:val="00DA2C87"/>
    <w:rsid w:val="00DA2DF3"/>
    <w:rsid w:val="00DA2ECF"/>
    <w:rsid w:val="00DA2FC4"/>
    <w:rsid w:val="00DA3035"/>
    <w:rsid w:val="00DA3BF2"/>
    <w:rsid w:val="00DA41A5"/>
    <w:rsid w:val="00DA4A31"/>
    <w:rsid w:val="00DA4C55"/>
    <w:rsid w:val="00DA50B4"/>
    <w:rsid w:val="00DA50CC"/>
    <w:rsid w:val="00DA52EF"/>
    <w:rsid w:val="00DA55F5"/>
    <w:rsid w:val="00DA588A"/>
    <w:rsid w:val="00DA59BA"/>
    <w:rsid w:val="00DA5BD1"/>
    <w:rsid w:val="00DA5E24"/>
    <w:rsid w:val="00DA5F72"/>
    <w:rsid w:val="00DA5FD6"/>
    <w:rsid w:val="00DA67C5"/>
    <w:rsid w:val="00DA6D60"/>
    <w:rsid w:val="00DA6DCF"/>
    <w:rsid w:val="00DA7042"/>
    <w:rsid w:val="00DA7081"/>
    <w:rsid w:val="00DA724B"/>
    <w:rsid w:val="00DA754B"/>
    <w:rsid w:val="00DA7A2F"/>
    <w:rsid w:val="00DA7C2D"/>
    <w:rsid w:val="00DA7D1C"/>
    <w:rsid w:val="00DA7E0F"/>
    <w:rsid w:val="00DB0136"/>
    <w:rsid w:val="00DB063D"/>
    <w:rsid w:val="00DB07B4"/>
    <w:rsid w:val="00DB0AAF"/>
    <w:rsid w:val="00DB0B77"/>
    <w:rsid w:val="00DB0B8C"/>
    <w:rsid w:val="00DB0C90"/>
    <w:rsid w:val="00DB0C91"/>
    <w:rsid w:val="00DB0D47"/>
    <w:rsid w:val="00DB0E51"/>
    <w:rsid w:val="00DB0EAB"/>
    <w:rsid w:val="00DB0EBD"/>
    <w:rsid w:val="00DB1186"/>
    <w:rsid w:val="00DB1421"/>
    <w:rsid w:val="00DB157D"/>
    <w:rsid w:val="00DB1634"/>
    <w:rsid w:val="00DB169A"/>
    <w:rsid w:val="00DB1AB2"/>
    <w:rsid w:val="00DB1F8D"/>
    <w:rsid w:val="00DB2555"/>
    <w:rsid w:val="00DB2922"/>
    <w:rsid w:val="00DB2966"/>
    <w:rsid w:val="00DB2AD8"/>
    <w:rsid w:val="00DB2B14"/>
    <w:rsid w:val="00DB2B4F"/>
    <w:rsid w:val="00DB2E4B"/>
    <w:rsid w:val="00DB3033"/>
    <w:rsid w:val="00DB32D9"/>
    <w:rsid w:val="00DB34A4"/>
    <w:rsid w:val="00DB390D"/>
    <w:rsid w:val="00DB39CE"/>
    <w:rsid w:val="00DB39DA"/>
    <w:rsid w:val="00DB4018"/>
    <w:rsid w:val="00DB4030"/>
    <w:rsid w:val="00DB404F"/>
    <w:rsid w:val="00DB44D4"/>
    <w:rsid w:val="00DB4B2E"/>
    <w:rsid w:val="00DB4E76"/>
    <w:rsid w:val="00DB5187"/>
    <w:rsid w:val="00DB523A"/>
    <w:rsid w:val="00DB54CE"/>
    <w:rsid w:val="00DB55BA"/>
    <w:rsid w:val="00DB55E7"/>
    <w:rsid w:val="00DB58DB"/>
    <w:rsid w:val="00DB601D"/>
    <w:rsid w:val="00DB60EE"/>
    <w:rsid w:val="00DB633A"/>
    <w:rsid w:val="00DB6970"/>
    <w:rsid w:val="00DB6B57"/>
    <w:rsid w:val="00DB6D25"/>
    <w:rsid w:val="00DB70BF"/>
    <w:rsid w:val="00DB72D3"/>
    <w:rsid w:val="00DB7661"/>
    <w:rsid w:val="00DB767B"/>
    <w:rsid w:val="00DB7AFD"/>
    <w:rsid w:val="00DB7B4E"/>
    <w:rsid w:val="00DB7C78"/>
    <w:rsid w:val="00DC028C"/>
    <w:rsid w:val="00DC037D"/>
    <w:rsid w:val="00DC0405"/>
    <w:rsid w:val="00DC05DD"/>
    <w:rsid w:val="00DC05FA"/>
    <w:rsid w:val="00DC0785"/>
    <w:rsid w:val="00DC0930"/>
    <w:rsid w:val="00DC0B98"/>
    <w:rsid w:val="00DC0BD4"/>
    <w:rsid w:val="00DC1180"/>
    <w:rsid w:val="00DC17F0"/>
    <w:rsid w:val="00DC18C4"/>
    <w:rsid w:val="00DC1C5B"/>
    <w:rsid w:val="00DC1DC4"/>
    <w:rsid w:val="00DC20C9"/>
    <w:rsid w:val="00DC231F"/>
    <w:rsid w:val="00DC2516"/>
    <w:rsid w:val="00DC2520"/>
    <w:rsid w:val="00DC2552"/>
    <w:rsid w:val="00DC257A"/>
    <w:rsid w:val="00DC29AF"/>
    <w:rsid w:val="00DC29CD"/>
    <w:rsid w:val="00DC2A33"/>
    <w:rsid w:val="00DC2E4E"/>
    <w:rsid w:val="00DC371B"/>
    <w:rsid w:val="00DC3887"/>
    <w:rsid w:val="00DC38F1"/>
    <w:rsid w:val="00DC3B90"/>
    <w:rsid w:val="00DC3EB7"/>
    <w:rsid w:val="00DC3FB3"/>
    <w:rsid w:val="00DC41B0"/>
    <w:rsid w:val="00DC430B"/>
    <w:rsid w:val="00DC441A"/>
    <w:rsid w:val="00DC45D7"/>
    <w:rsid w:val="00DC4CF1"/>
    <w:rsid w:val="00DC4E0D"/>
    <w:rsid w:val="00DC50D0"/>
    <w:rsid w:val="00DC520F"/>
    <w:rsid w:val="00DC58D8"/>
    <w:rsid w:val="00DC5C6A"/>
    <w:rsid w:val="00DC5C80"/>
    <w:rsid w:val="00DC6094"/>
    <w:rsid w:val="00DC60B7"/>
    <w:rsid w:val="00DC68E3"/>
    <w:rsid w:val="00DC6AD3"/>
    <w:rsid w:val="00DC6E4D"/>
    <w:rsid w:val="00DC72D9"/>
    <w:rsid w:val="00DC7789"/>
    <w:rsid w:val="00DD0280"/>
    <w:rsid w:val="00DD06E5"/>
    <w:rsid w:val="00DD13B3"/>
    <w:rsid w:val="00DD167C"/>
    <w:rsid w:val="00DD1BC9"/>
    <w:rsid w:val="00DD2240"/>
    <w:rsid w:val="00DD25D8"/>
    <w:rsid w:val="00DD2613"/>
    <w:rsid w:val="00DD264F"/>
    <w:rsid w:val="00DD26AE"/>
    <w:rsid w:val="00DD26DD"/>
    <w:rsid w:val="00DD27E1"/>
    <w:rsid w:val="00DD29BC"/>
    <w:rsid w:val="00DD2F41"/>
    <w:rsid w:val="00DD3804"/>
    <w:rsid w:val="00DD3A10"/>
    <w:rsid w:val="00DD3A23"/>
    <w:rsid w:val="00DD3E28"/>
    <w:rsid w:val="00DD4167"/>
    <w:rsid w:val="00DD43EB"/>
    <w:rsid w:val="00DD4854"/>
    <w:rsid w:val="00DD4BC5"/>
    <w:rsid w:val="00DD4C86"/>
    <w:rsid w:val="00DD5590"/>
    <w:rsid w:val="00DD599E"/>
    <w:rsid w:val="00DD5AB7"/>
    <w:rsid w:val="00DD5D50"/>
    <w:rsid w:val="00DD6221"/>
    <w:rsid w:val="00DD66C2"/>
    <w:rsid w:val="00DD6751"/>
    <w:rsid w:val="00DD6C1F"/>
    <w:rsid w:val="00DD6CA4"/>
    <w:rsid w:val="00DD6DF6"/>
    <w:rsid w:val="00DD6EDA"/>
    <w:rsid w:val="00DD7477"/>
    <w:rsid w:val="00DD7832"/>
    <w:rsid w:val="00DD790A"/>
    <w:rsid w:val="00DD7BD8"/>
    <w:rsid w:val="00DD7C7F"/>
    <w:rsid w:val="00DE0045"/>
    <w:rsid w:val="00DE042E"/>
    <w:rsid w:val="00DE0883"/>
    <w:rsid w:val="00DE0CA1"/>
    <w:rsid w:val="00DE0CA3"/>
    <w:rsid w:val="00DE1167"/>
    <w:rsid w:val="00DE11C6"/>
    <w:rsid w:val="00DE13D4"/>
    <w:rsid w:val="00DE19CE"/>
    <w:rsid w:val="00DE1ABE"/>
    <w:rsid w:val="00DE1E24"/>
    <w:rsid w:val="00DE2273"/>
    <w:rsid w:val="00DE2337"/>
    <w:rsid w:val="00DE290F"/>
    <w:rsid w:val="00DE2B25"/>
    <w:rsid w:val="00DE2BDB"/>
    <w:rsid w:val="00DE2CD6"/>
    <w:rsid w:val="00DE2FD0"/>
    <w:rsid w:val="00DE3121"/>
    <w:rsid w:val="00DE36DE"/>
    <w:rsid w:val="00DE3F8B"/>
    <w:rsid w:val="00DE4244"/>
    <w:rsid w:val="00DE446B"/>
    <w:rsid w:val="00DE447A"/>
    <w:rsid w:val="00DE54C6"/>
    <w:rsid w:val="00DE5658"/>
    <w:rsid w:val="00DE565F"/>
    <w:rsid w:val="00DE61D7"/>
    <w:rsid w:val="00DE6299"/>
    <w:rsid w:val="00DE6395"/>
    <w:rsid w:val="00DE649F"/>
    <w:rsid w:val="00DE655D"/>
    <w:rsid w:val="00DE6817"/>
    <w:rsid w:val="00DE6961"/>
    <w:rsid w:val="00DE71A0"/>
    <w:rsid w:val="00DE7A0F"/>
    <w:rsid w:val="00DE7EE0"/>
    <w:rsid w:val="00DF034A"/>
    <w:rsid w:val="00DF0597"/>
    <w:rsid w:val="00DF069A"/>
    <w:rsid w:val="00DF0726"/>
    <w:rsid w:val="00DF07C2"/>
    <w:rsid w:val="00DF10AA"/>
    <w:rsid w:val="00DF1352"/>
    <w:rsid w:val="00DF1562"/>
    <w:rsid w:val="00DF183E"/>
    <w:rsid w:val="00DF1CCA"/>
    <w:rsid w:val="00DF252D"/>
    <w:rsid w:val="00DF2763"/>
    <w:rsid w:val="00DF297E"/>
    <w:rsid w:val="00DF2EBB"/>
    <w:rsid w:val="00DF36CC"/>
    <w:rsid w:val="00DF39F3"/>
    <w:rsid w:val="00DF3A88"/>
    <w:rsid w:val="00DF3BF0"/>
    <w:rsid w:val="00DF3CF1"/>
    <w:rsid w:val="00DF493E"/>
    <w:rsid w:val="00DF49AD"/>
    <w:rsid w:val="00DF4AD7"/>
    <w:rsid w:val="00DF4D11"/>
    <w:rsid w:val="00DF524D"/>
    <w:rsid w:val="00DF52AB"/>
    <w:rsid w:val="00DF553E"/>
    <w:rsid w:val="00DF55F8"/>
    <w:rsid w:val="00DF5606"/>
    <w:rsid w:val="00DF567F"/>
    <w:rsid w:val="00DF595E"/>
    <w:rsid w:val="00DF5CBD"/>
    <w:rsid w:val="00DF60C5"/>
    <w:rsid w:val="00DF645F"/>
    <w:rsid w:val="00DF646E"/>
    <w:rsid w:val="00DF6629"/>
    <w:rsid w:val="00DF6B13"/>
    <w:rsid w:val="00DF6F35"/>
    <w:rsid w:val="00DF6FF5"/>
    <w:rsid w:val="00DF70A8"/>
    <w:rsid w:val="00DF71CA"/>
    <w:rsid w:val="00DF72AE"/>
    <w:rsid w:val="00DF74EB"/>
    <w:rsid w:val="00DF7606"/>
    <w:rsid w:val="00DF782C"/>
    <w:rsid w:val="00DF7B2B"/>
    <w:rsid w:val="00DF7B2C"/>
    <w:rsid w:val="00DF7DEE"/>
    <w:rsid w:val="00E0020D"/>
    <w:rsid w:val="00E006C9"/>
    <w:rsid w:val="00E0079A"/>
    <w:rsid w:val="00E00B5E"/>
    <w:rsid w:val="00E00BB4"/>
    <w:rsid w:val="00E00F06"/>
    <w:rsid w:val="00E00F65"/>
    <w:rsid w:val="00E01081"/>
    <w:rsid w:val="00E01184"/>
    <w:rsid w:val="00E011A6"/>
    <w:rsid w:val="00E01507"/>
    <w:rsid w:val="00E02413"/>
    <w:rsid w:val="00E028AC"/>
    <w:rsid w:val="00E02B22"/>
    <w:rsid w:val="00E02D01"/>
    <w:rsid w:val="00E02EF0"/>
    <w:rsid w:val="00E035AC"/>
    <w:rsid w:val="00E03721"/>
    <w:rsid w:val="00E03735"/>
    <w:rsid w:val="00E03984"/>
    <w:rsid w:val="00E03ACA"/>
    <w:rsid w:val="00E041B9"/>
    <w:rsid w:val="00E0431E"/>
    <w:rsid w:val="00E043F6"/>
    <w:rsid w:val="00E05897"/>
    <w:rsid w:val="00E05C17"/>
    <w:rsid w:val="00E05CCC"/>
    <w:rsid w:val="00E0631D"/>
    <w:rsid w:val="00E06617"/>
    <w:rsid w:val="00E06621"/>
    <w:rsid w:val="00E0676F"/>
    <w:rsid w:val="00E0680D"/>
    <w:rsid w:val="00E06B4B"/>
    <w:rsid w:val="00E0705A"/>
    <w:rsid w:val="00E070C9"/>
    <w:rsid w:val="00E07320"/>
    <w:rsid w:val="00E0799A"/>
    <w:rsid w:val="00E07A31"/>
    <w:rsid w:val="00E07B01"/>
    <w:rsid w:val="00E07C78"/>
    <w:rsid w:val="00E07D43"/>
    <w:rsid w:val="00E07D73"/>
    <w:rsid w:val="00E101BA"/>
    <w:rsid w:val="00E10463"/>
    <w:rsid w:val="00E108AE"/>
    <w:rsid w:val="00E109AD"/>
    <w:rsid w:val="00E10AA0"/>
    <w:rsid w:val="00E10CC9"/>
    <w:rsid w:val="00E10E10"/>
    <w:rsid w:val="00E10F20"/>
    <w:rsid w:val="00E111AC"/>
    <w:rsid w:val="00E1136B"/>
    <w:rsid w:val="00E11575"/>
    <w:rsid w:val="00E115AC"/>
    <w:rsid w:val="00E11624"/>
    <w:rsid w:val="00E1197D"/>
    <w:rsid w:val="00E1201C"/>
    <w:rsid w:val="00E12505"/>
    <w:rsid w:val="00E12CCF"/>
    <w:rsid w:val="00E12D6C"/>
    <w:rsid w:val="00E12D9B"/>
    <w:rsid w:val="00E1305E"/>
    <w:rsid w:val="00E13185"/>
    <w:rsid w:val="00E13221"/>
    <w:rsid w:val="00E1346D"/>
    <w:rsid w:val="00E134C1"/>
    <w:rsid w:val="00E13658"/>
    <w:rsid w:val="00E1388A"/>
    <w:rsid w:val="00E13C5E"/>
    <w:rsid w:val="00E13F40"/>
    <w:rsid w:val="00E142B2"/>
    <w:rsid w:val="00E1442E"/>
    <w:rsid w:val="00E144B0"/>
    <w:rsid w:val="00E14788"/>
    <w:rsid w:val="00E1488F"/>
    <w:rsid w:val="00E14A09"/>
    <w:rsid w:val="00E14A38"/>
    <w:rsid w:val="00E14B96"/>
    <w:rsid w:val="00E14F33"/>
    <w:rsid w:val="00E1540F"/>
    <w:rsid w:val="00E154DE"/>
    <w:rsid w:val="00E155FF"/>
    <w:rsid w:val="00E15850"/>
    <w:rsid w:val="00E164ED"/>
    <w:rsid w:val="00E1652F"/>
    <w:rsid w:val="00E1698D"/>
    <w:rsid w:val="00E1701E"/>
    <w:rsid w:val="00E1718E"/>
    <w:rsid w:val="00E17761"/>
    <w:rsid w:val="00E17DFA"/>
    <w:rsid w:val="00E209BD"/>
    <w:rsid w:val="00E20B6E"/>
    <w:rsid w:val="00E20C9B"/>
    <w:rsid w:val="00E213E0"/>
    <w:rsid w:val="00E213E4"/>
    <w:rsid w:val="00E21576"/>
    <w:rsid w:val="00E21718"/>
    <w:rsid w:val="00E21796"/>
    <w:rsid w:val="00E21AFB"/>
    <w:rsid w:val="00E21ED2"/>
    <w:rsid w:val="00E222AB"/>
    <w:rsid w:val="00E2234E"/>
    <w:rsid w:val="00E2236A"/>
    <w:rsid w:val="00E223A4"/>
    <w:rsid w:val="00E22889"/>
    <w:rsid w:val="00E22996"/>
    <w:rsid w:val="00E22AA5"/>
    <w:rsid w:val="00E22B2F"/>
    <w:rsid w:val="00E22BA0"/>
    <w:rsid w:val="00E22C66"/>
    <w:rsid w:val="00E22FF3"/>
    <w:rsid w:val="00E2316B"/>
    <w:rsid w:val="00E2345F"/>
    <w:rsid w:val="00E23630"/>
    <w:rsid w:val="00E23632"/>
    <w:rsid w:val="00E23CC5"/>
    <w:rsid w:val="00E23DE0"/>
    <w:rsid w:val="00E23DE2"/>
    <w:rsid w:val="00E23DE4"/>
    <w:rsid w:val="00E23EAC"/>
    <w:rsid w:val="00E23F61"/>
    <w:rsid w:val="00E24C63"/>
    <w:rsid w:val="00E24C9A"/>
    <w:rsid w:val="00E24FFA"/>
    <w:rsid w:val="00E25513"/>
    <w:rsid w:val="00E2553E"/>
    <w:rsid w:val="00E25605"/>
    <w:rsid w:val="00E25AED"/>
    <w:rsid w:val="00E25CF2"/>
    <w:rsid w:val="00E25F98"/>
    <w:rsid w:val="00E262DB"/>
    <w:rsid w:val="00E2641E"/>
    <w:rsid w:val="00E268FB"/>
    <w:rsid w:val="00E26A90"/>
    <w:rsid w:val="00E26F03"/>
    <w:rsid w:val="00E274BF"/>
    <w:rsid w:val="00E27551"/>
    <w:rsid w:val="00E2766E"/>
    <w:rsid w:val="00E27679"/>
    <w:rsid w:val="00E279ED"/>
    <w:rsid w:val="00E3041B"/>
    <w:rsid w:val="00E30726"/>
    <w:rsid w:val="00E307F6"/>
    <w:rsid w:val="00E30F0B"/>
    <w:rsid w:val="00E30F61"/>
    <w:rsid w:val="00E30F81"/>
    <w:rsid w:val="00E311E1"/>
    <w:rsid w:val="00E31FE7"/>
    <w:rsid w:val="00E32AD6"/>
    <w:rsid w:val="00E32C19"/>
    <w:rsid w:val="00E3308B"/>
    <w:rsid w:val="00E332F3"/>
    <w:rsid w:val="00E335EA"/>
    <w:rsid w:val="00E3373F"/>
    <w:rsid w:val="00E338B7"/>
    <w:rsid w:val="00E33ADC"/>
    <w:rsid w:val="00E33C39"/>
    <w:rsid w:val="00E33F16"/>
    <w:rsid w:val="00E33F83"/>
    <w:rsid w:val="00E3437C"/>
    <w:rsid w:val="00E346F2"/>
    <w:rsid w:val="00E3499F"/>
    <w:rsid w:val="00E349D6"/>
    <w:rsid w:val="00E34A8A"/>
    <w:rsid w:val="00E34D5A"/>
    <w:rsid w:val="00E35833"/>
    <w:rsid w:val="00E358D7"/>
    <w:rsid w:val="00E35BD6"/>
    <w:rsid w:val="00E35EF7"/>
    <w:rsid w:val="00E3605F"/>
    <w:rsid w:val="00E3607E"/>
    <w:rsid w:val="00E36158"/>
    <w:rsid w:val="00E363FB"/>
    <w:rsid w:val="00E365BA"/>
    <w:rsid w:val="00E36676"/>
    <w:rsid w:val="00E369FE"/>
    <w:rsid w:val="00E36DEF"/>
    <w:rsid w:val="00E36E2A"/>
    <w:rsid w:val="00E36E78"/>
    <w:rsid w:val="00E37394"/>
    <w:rsid w:val="00E374E6"/>
    <w:rsid w:val="00E3798A"/>
    <w:rsid w:val="00E37DC6"/>
    <w:rsid w:val="00E4019D"/>
    <w:rsid w:val="00E4071B"/>
    <w:rsid w:val="00E40768"/>
    <w:rsid w:val="00E408B3"/>
    <w:rsid w:val="00E40C09"/>
    <w:rsid w:val="00E40C4E"/>
    <w:rsid w:val="00E40F63"/>
    <w:rsid w:val="00E411EC"/>
    <w:rsid w:val="00E41275"/>
    <w:rsid w:val="00E416E7"/>
    <w:rsid w:val="00E4187E"/>
    <w:rsid w:val="00E41F8B"/>
    <w:rsid w:val="00E429AC"/>
    <w:rsid w:val="00E42EA0"/>
    <w:rsid w:val="00E43236"/>
    <w:rsid w:val="00E432C9"/>
    <w:rsid w:val="00E43A6E"/>
    <w:rsid w:val="00E43DF8"/>
    <w:rsid w:val="00E43F01"/>
    <w:rsid w:val="00E4405B"/>
    <w:rsid w:val="00E44123"/>
    <w:rsid w:val="00E44496"/>
    <w:rsid w:val="00E4494D"/>
    <w:rsid w:val="00E44AC4"/>
    <w:rsid w:val="00E44C85"/>
    <w:rsid w:val="00E44D0A"/>
    <w:rsid w:val="00E44EB9"/>
    <w:rsid w:val="00E4527E"/>
    <w:rsid w:val="00E45434"/>
    <w:rsid w:val="00E45738"/>
    <w:rsid w:val="00E457CA"/>
    <w:rsid w:val="00E4581F"/>
    <w:rsid w:val="00E45923"/>
    <w:rsid w:val="00E45AA2"/>
    <w:rsid w:val="00E46044"/>
    <w:rsid w:val="00E4610D"/>
    <w:rsid w:val="00E46627"/>
    <w:rsid w:val="00E46699"/>
    <w:rsid w:val="00E46836"/>
    <w:rsid w:val="00E46DFD"/>
    <w:rsid w:val="00E4715F"/>
    <w:rsid w:val="00E47290"/>
    <w:rsid w:val="00E473BA"/>
    <w:rsid w:val="00E4768B"/>
    <w:rsid w:val="00E47AE6"/>
    <w:rsid w:val="00E47BBD"/>
    <w:rsid w:val="00E47D67"/>
    <w:rsid w:val="00E47E9A"/>
    <w:rsid w:val="00E47FF4"/>
    <w:rsid w:val="00E5024F"/>
    <w:rsid w:val="00E50448"/>
    <w:rsid w:val="00E50484"/>
    <w:rsid w:val="00E5057F"/>
    <w:rsid w:val="00E507F1"/>
    <w:rsid w:val="00E5082E"/>
    <w:rsid w:val="00E50B0C"/>
    <w:rsid w:val="00E50B64"/>
    <w:rsid w:val="00E50C10"/>
    <w:rsid w:val="00E50E33"/>
    <w:rsid w:val="00E50ECE"/>
    <w:rsid w:val="00E50FF1"/>
    <w:rsid w:val="00E5107E"/>
    <w:rsid w:val="00E5121A"/>
    <w:rsid w:val="00E516E7"/>
    <w:rsid w:val="00E51D6B"/>
    <w:rsid w:val="00E51DE4"/>
    <w:rsid w:val="00E5232B"/>
    <w:rsid w:val="00E523D9"/>
    <w:rsid w:val="00E524DC"/>
    <w:rsid w:val="00E528F8"/>
    <w:rsid w:val="00E52B2D"/>
    <w:rsid w:val="00E531AA"/>
    <w:rsid w:val="00E5322C"/>
    <w:rsid w:val="00E533E0"/>
    <w:rsid w:val="00E53889"/>
    <w:rsid w:val="00E53AD1"/>
    <w:rsid w:val="00E54263"/>
    <w:rsid w:val="00E542C6"/>
    <w:rsid w:val="00E54646"/>
    <w:rsid w:val="00E546C4"/>
    <w:rsid w:val="00E54821"/>
    <w:rsid w:val="00E54C6C"/>
    <w:rsid w:val="00E54E46"/>
    <w:rsid w:val="00E552EC"/>
    <w:rsid w:val="00E559C6"/>
    <w:rsid w:val="00E55CB6"/>
    <w:rsid w:val="00E55D49"/>
    <w:rsid w:val="00E55E66"/>
    <w:rsid w:val="00E55EB5"/>
    <w:rsid w:val="00E56320"/>
    <w:rsid w:val="00E56322"/>
    <w:rsid w:val="00E5668B"/>
    <w:rsid w:val="00E567F0"/>
    <w:rsid w:val="00E56B0D"/>
    <w:rsid w:val="00E56DCC"/>
    <w:rsid w:val="00E570D1"/>
    <w:rsid w:val="00E57573"/>
    <w:rsid w:val="00E577FC"/>
    <w:rsid w:val="00E57902"/>
    <w:rsid w:val="00E57C6F"/>
    <w:rsid w:val="00E57EE6"/>
    <w:rsid w:val="00E6005E"/>
    <w:rsid w:val="00E60065"/>
    <w:rsid w:val="00E60231"/>
    <w:rsid w:val="00E6081E"/>
    <w:rsid w:val="00E60D53"/>
    <w:rsid w:val="00E610D7"/>
    <w:rsid w:val="00E61511"/>
    <w:rsid w:val="00E615A8"/>
    <w:rsid w:val="00E618F6"/>
    <w:rsid w:val="00E61983"/>
    <w:rsid w:val="00E61C1A"/>
    <w:rsid w:val="00E628BB"/>
    <w:rsid w:val="00E62956"/>
    <w:rsid w:val="00E62AE9"/>
    <w:rsid w:val="00E62E6F"/>
    <w:rsid w:val="00E62F8E"/>
    <w:rsid w:val="00E6301D"/>
    <w:rsid w:val="00E6356B"/>
    <w:rsid w:val="00E6371A"/>
    <w:rsid w:val="00E639AE"/>
    <w:rsid w:val="00E63A4D"/>
    <w:rsid w:val="00E63E61"/>
    <w:rsid w:val="00E63E8C"/>
    <w:rsid w:val="00E63EFC"/>
    <w:rsid w:val="00E6453D"/>
    <w:rsid w:val="00E64902"/>
    <w:rsid w:val="00E6496D"/>
    <w:rsid w:val="00E64E0E"/>
    <w:rsid w:val="00E6508D"/>
    <w:rsid w:val="00E65132"/>
    <w:rsid w:val="00E65156"/>
    <w:rsid w:val="00E65347"/>
    <w:rsid w:val="00E65467"/>
    <w:rsid w:val="00E65F85"/>
    <w:rsid w:val="00E662A8"/>
    <w:rsid w:val="00E66518"/>
    <w:rsid w:val="00E667AD"/>
    <w:rsid w:val="00E66DCE"/>
    <w:rsid w:val="00E6702D"/>
    <w:rsid w:val="00E672B0"/>
    <w:rsid w:val="00E676F7"/>
    <w:rsid w:val="00E67705"/>
    <w:rsid w:val="00E6788F"/>
    <w:rsid w:val="00E679E9"/>
    <w:rsid w:val="00E67AAE"/>
    <w:rsid w:val="00E67B00"/>
    <w:rsid w:val="00E67B45"/>
    <w:rsid w:val="00E67BAA"/>
    <w:rsid w:val="00E702AA"/>
    <w:rsid w:val="00E703B3"/>
    <w:rsid w:val="00E707D4"/>
    <w:rsid w:val="00E709E1"/>
    <w:rsid w:val="00E70E30"/>
    <w:rsid w:val="00E71292"/>
    <w:rsid w:val="00E718D3"/>
    <w:rsid w:val="00E71A16"/>
    <w:rsid w:val="00E71DD4"/>
    <w:rsid w:val="00E72048"/>
    <w:rsid w:val="00E7211C"/>
    <w:rsid w:val="00E721E6"/>
    <w:rsid w:val="00E72334"/>
    <w:rsid w:val="00E7241C"/>
    <w:rsid w:val="00E72CE5"/>
    <w:rsid w:val="00E72E7C"/>
    <w:rsid w:val="00E72F26"/>
    <w:rsid w:val="00E73634"/>
    <w:rsid w:val="00E73666"/>
    <w:rsid w:val="00E73D9C"/>
    <w:rsid w:val="00E73F4D"/>
    <w:rsid w:val="00E74C9A"/>
    <w:rsid w:val="00E74E14"/>
    <w:rsid w:val="00E75168"/>
    <w:rsid w:val="00E758DC"/>
    <w:rsid w:val="00E75C5F"/>
    <w:rsid w:val="00E75E52"/>
    <w:rsid w:val="00E76312"/>
    <w:rsid w:val="00E7645E"/>
    <w:rsid w:val="00E765B7"/>
    <w:rsid w:val="00E7662A"/>
    <w:rsid w:val="00E76926"/>
    <w:rsid w:val="00E76936"/>
    <w:rsid w:val="00E77157"/>
    <w:rsid w:val="00E77312"/>
    <w:rsid w:val="00E77383"/>
    <w:rsid w:val="00E77394"/>
    <w:rsid w:val="00E774B6"/>
    <w:rsid w:val="00E774FA"/>
    <w:rsid w:val="00E77773"/>
    <w:rsid w:val="00E77F2C"/>
    <w:rsid w:val="00E8011C"/>
    <w:rsid w:val="00E80530"/>
    <w:rsid w:val="00E808C3"/>
    <w:rsid w:val="00E808C5"/>
    <w:rsid w:val="00E80DB5"/>
    <w:rsid w:val="00E81068"/>
    <w:rsid w:val="00E810ED"/>
    <w:rsid w:val="00E811B0"/>
    <w:rsid w:val="00E81CFF"/>
    <w:rsid w:val="00E821E4"/>
    <w:rsid w:val="00E822B6"/>
    <w:rsid w:val="00E827C6"/>
    <w:rsid w:val="00E82870"/>
    <w:rsid w:val="00E82AAF"/>
    <w:rsid w:val="00E82DC1"/>
    <w:rsid w:val="00E82E3F"/>
    <w:rsid w:val="00E82EE0"/>
    <w:rsid w:val="00E82F8F"/>
    <w:rsid w:val="00E83071"/>
    <w:rsid w:val="00E83663"/>
    <w:rsid w:val="00E836E6"/>
    <w:rsid w:val="00E83790"/>
    <w:rsid w:val="00E83D0D"/>
    <w:rsid w:val="00E8418F"/>
    <w:rsid w:val="00E84581"/>
    <w:rsid w:val="00E8465B"/>
    <w:rsid w:val="00E84A4D"/>
    <w:rsid w:val="00E84B68"/>
    <w:rsid w:val="00E84FD5"/>
    <w:rsid w:val="00E85200"/>
    <w:rsid w:val="00E85955"/>
    <w:rsid w:val="00E8617A"/>
    <w:rsid w:val="00E862F1"/>
    <w:rsid w:val="00E86511"/>
    <w:rsid w:val="00E8674E"/>
    <w:rsid w:val="00E87009"/>
    <w:rsid w:val="00E87547"/>
    <w:rsid w:val="00E87A02"/>
    <w:rsid w:val="00E87C3E"/>
    <w:rsid w:val="00E87CAC"/>
    <w:rsid w:val="00E87E10"/>
    <w:rsid w:val="00E87EB6"/>
    <w:rsid w:val="00E90029"/>
    <w:rsid w:val="00E9012D"/>
    <w:rsid w:val="00E90225"/>
    <w:rsid w:val="00E909E4"/>
    <w:rsid w:val="00E911FA"/>
    <w:rsid w:val="00E915CA"/>
    <w:rsid w:val="00E915E6"/>
    <w:rsid w:val="00E92772"/>
    <w:rsid w:val="00E92838"/>
    <w:rsid w:val="00E92BFB"/>
    <w:rsid w:val="00E93219"/>
    <w:rsid w:val="00E93224"/>
    <w:rsid w:val="00E935BF"/>
    <w:rsid w:val="00E937C0"/>
    <w:rsid w:val="00E93896"/>
    <w:rsid w:val="00E93903"/>
    <w:rsid w:val="00E939E8"/>
    <w:rsid w:val="00E939FF"/>
    <w:rsid w:val="00E93C00"/>
    <w:rsid w:val="00E93DA8"/>
    <w:rsid w:val="00E9422C"/>
    <w:rsid w:val="00E94387"/>
    <w:rsid w:val="00E948DA"/>
    <w:rsid w:val="00E94926"/>
    <w:rsid w:val="00E94D8A"/>
    <w:rsid w:val="00E94E42"/>
    <w:rsid w:val="00E951F1"/>
    <w:rsid w:val="00E953B5"/>
    <w:rsid w:val="00E95440"/>
    <w:rsid w:val="00E95790"/>
    <w:rsid w:val="00E95826"/>
    <w:rsid w:val="00E95833"/>
    <w:rsid w:val="00E958B7"/>
    <w:rsid w:val="00E959DC"/>
    <w:rsid w:val="00E95AAA"/>
    <w:rsid w:val="00E95FA3"/>
    <w:rsid w:val="00E95FFE"/>
    <w:rsid w:val="00E962C6"/>
    <w:rsid w:val="00E9642F"/>
    <w:rsid w:val="00E96689"/>
    <w:rsid w:val="00E96B8E"/>
    <w:rsid w:val="00E96C11"/>
    <w:rsid w:val="00E96C26"/>
    <w:rsid w:val="00E96D2A"/>
    <w:rsid w:val="00E96F5B"/>
    <w:rsid w:val="00E9735F"/>
    <w:rsid w:val="00E976B7"/>
    <w:rsid w:val="00E9770F"/>
    <w:rsid w:val="00E97BAC"/>
    <w:rsid w:val="00EA0074"/>
    <w:rsid w:val="00EA0D12"/>
    <w:rsid w:val="00EA1485"/>
    <w:rsid w:val="00EA15A2"/>
    <w:rsid w:val="00EA1AF1"/>
    <w:rsid w:val="00EA1BCD"/>
    <w:rsid w:val="00EA1BFA"/>
    <w:rsid w:val="00EA1D10"/>
    <w:rsid w:val="00EA1E30"/>
    <w:rsid w:val="00EA21BB"/>
    <w:rsid w:val="00EA276B"/>
    <w:rsid w:val="00EA287E"/>
    <w:rsid w:val="00EA2CC7"/>
    <w:rsid w:val="00EA2E99"/>
    <w:rsid w:val="00EA2EA3"/>
    <w:rsid w:val="00EA2F2A"/>
    <w:rsid w:val="00EA2F35"/>
    <w:rsid w:val="00EA2F5F"/>
    <w:rsid w:val="00EA2FB1"/>
    <w:rsid w:val="00EA2FC5"/>
    <w:rsid w:val="00EA3034"/>
    <w:rsid w:val="00EA31CC"/>
    <w:rsid w:val="00EA32C8"/>
    <w:rsid w:val="00EA36B7"/>
    <w:rsid w:val="00EA3D82"/>
    <w:rsid w:val="00EA3EBE"/>
    <w:rsid w:val="00EA3F38"/>
    <w:rsid w:val="00EA3FAE"/>
    <w:rsid w:val="00EA431D"/>
    <w:rsid w:val="00EA4632"/>
    <w:rsid w:val="00EA4B59"/>
    <w:rsid w:val="00EA4D65"/>
    <w:rsid w:val="00EA4DB5"/>
    <w:rsid w:val="00EA5100"/>
    <w:rsid w:val="00EA5132"/>
    <w:rsid w:val="00EA51CA"/>
    <w:rsid w:val="00EA5260"/>
    <w:rsid w:val="00EA52E5"/>
    <w:rsid w:val="00EA5511"/>
    <w:rsid w:val="00EA559C"/>
    <w:rsid w:val="00EA57CE"/>
    <w:rsid w:val="00EA599D"/>
    <w:rsid w:val="00EA59E8"/>
    <w:rsid w:val="00EA5A7A"/>
    <w:rsid w:val="00EA5B2B"/>
    <w:rsid w:val="00EA5C1E"/>
    <w:rsid w:val="00EA5EBC"/>
    <w:rsid w:val="00EA6188"/>
    <w:rsid w:val="00EA64EA"/>
    <w:rsid w:val="00EA6920"/>
    <w:rsid w:val="00EA6C56"/>
    <w:rsid w:val="00EA6CB0"/>
    <w:rsid w:val="00EA6D78"/>
    <w:rsid w:val="00EA6DD4"/>
    <w:rsid w:val="00EA6E85"/>
    <w:rsid w:val="00EA6EAE"/>
    <w:rsid w:val="00EA76E2"/>
    <w:rsid w:val="00EA787E"/>
    <w:rsid w:val="00EA7E97"/>
    <w:rsid w:val="00EB00C5"/>
    <w:rsid w:val="00EB00FA"/>
    <w:rsid w:val="00EB0309"/>
    <w:rsid w:val="00EB0321"/>
    <w:rsid w:val="00EB049A"/>
    <w:rsid w:val="00EB06FB"/>
    <w:rsid w:val="00EB0752"/>
    <w:rsid w:val="00EB079B"/>
    <w:rsid w:val="00EB08A0"/>
    <w:rsid w:val="00EB108F"/>
    <w:rsid w:val="00EB1AFD"/>
    <w:rsid w:val="00EB272D"/>
    <w:rsid w:val="00EB2AEA"/>
    <w:rsid w:val="00EB2CB1"/>
    <w:rsid w:val="00EB2D24"/>
    <w:rsid w:val="00EB2EF0"/>
    <w:rsid w:val="00EB2FB4"/>
    <w:rsid w:val="00EB33E0"/>
    <w:rsid w:val="00EB3A83"/>
    <w:rsid w:val="00EB3AC3"/>
    <w:rsid w:val="00EB3B5A"/>
    <w:rsid w:val="00EB3FC2"/>
    <w:rsid w:val="00EB4591"/>
    <w:rsid w:val="00EB4758"/>
    <w:rsid w:val="00EB48FA"/>
    <w:rsid w:val="00EB4EAC"/>
    <w:rsid w:val="00EB51D4"/>
    <w:rsid w:val="00EB5868"/>
    <w:rsid w:val="00EB5BCA"/>
    <w:rsid w:val="00EB5C40"/>
    <w:rsid w:val="00EB5E34"/>
    <w:rsid w:val="00EB6150"/>
    <w:rsid w:val="00EB61D3"/>
    <w:rsid w:val="00EB6301"/>
    <w:rsid w:val="00EB6490"/>
    <w:rsid w:val="00EB651A"/>
    <w:rsid w:val="00EB6840"/>
    <w:rsid w:val="00EB68CD"/>
    <w:rsid w:val="00EB6972"/>
    <w:rsid w:val="00EB69F6"/>
    <w:rsid w:val="00EB6A30"/>
    <w:rsid w:val="00EB6E86"/>
    <w:rsid w:val="00EB7198"/>
    <w:rsid w:val="00EB73AB"/>
    <w:rsid w:val="00EB746A"/>
    <w:rsid w:val="00EB77FC"/>
    <w:rsid w:val="00EB7A67"/>
    <w:rsid w:val="00EC01C7"/>
    <w:rsid w:val="00EC07A4"/>
    <w:rsid w:val="00EC0865"/>
    <w:rsid w:val="00EC0ABA"/>
    <w:rsid w:val="00EC0D3B"/>
    <w:rsid w:val="00EC0EFA"/>
    <w:rsid w:val="00EC0F0C"/>
    <w:rsid w:val="00EC122A"/>
    <w:rsid w:val="00EC1343"/>
    <w:rsid w:val="00EC179B"/>
    <w:rsid w:val="00EC1847"/>
    <w:rsid w:val="00EC1D3B"/>
    <w:rsid w:val="00EC1EF1"/>
    <w:rsid w:val="00EC2454"/>
    <w:rsid w:val="00EC252C"/>
    <w:rsid w:val="00EC2920"/>
    <w:rsid w:val="00EC29F0"/>
    <w:rsid w:val="00EC2B9B"/>
    <w:rsid w:val="00EC2CEB"/>
    <w:rsid w:val="00EC3122"/>
    <w:rsid w:val="00EC35E9"/>
    <w:rsid w:val="00EC385B"/>
    <w:rsid w:val="00EC3BDA"/>
    <w:rsid w:val="00EC3D9C"/>
    <w:rsid w:val="00EC40FE"/>
    <w:rsid w:val="00EC43E6"/>
    <w:rsid w:val="00EC474E"/>
    <w:rsid w:val="00EC4C73"/>
    <w:rsid w:val="00EC4D76"/>
    <w:rsid w:val="00EC5020"/>
    <w:rsid w:val="00EC509F"/>
    <w:rsid w:val="00EC51E4"/>
    <w:rsid w:val="00EC5258"/>
    <w:rsid w:val="00EC52E6"/>
    <w:rsid w:val="00EC556C"/>
    <w:rsid w:val="00EC55BF"/>
    <w:rsid w:val="00EC5683"/>
    <w:rsid w:val="00EC5992"/>
    <w:rsid w:val="00EC5BDB"/>
    <w:rsid w:val="00EC5C1B"/>
    <w:rsid w:val="00EC5D20"/>
    <w:rsid w:val="00EC5E81"/>
    <w:rsid w:val="00EC620B"/>
    <w:rsid w:val="00EC62DC"/>
    <w:rsid w:val="00EC6C9D"/>
    <w:rsid w:val="00EC7370"/>
    <w:rsid w:val="00EC7B24"/>
    <w:rsid w:val="00EC7E07"/>
    <w:rsid w:val="00ED011A"/>
    <w:rsid w:val="00ED028E"/>
    <w:rsid w:val="00ED07EA"/>
    <w:rsid w:val="00ED0809"/>
    <w:rsid w:val="00ED0AF5"/>
    <w:rsid w:val="00ED0D5E"/>
    <w:rsid w:val="00ED11E5"/>
    <w:rsid w:val="00ED13F2"/>
    <w:rsid w:val="00ED192E"/>
    <w:rsid w:val="00ED2324"/>
    <w:rsid w:val="00ED236E"/>
    <w:rsid w:val="00ED23B1"/>
    <w:rsid w:val="00ED2485"/>
    <w:rsid w:val="00ED279B"/>
    <w:rsid w:val="00ED27F5"/>
    <w:rsid w:val="00ED2B58"/>
    <w:rsid w:val="00ED2FC6"/>
    <w:rsid w:val="00ED33F6"/>
    <w:rsid w:val="00ED3803"/>
    <w:rsid w:val="00ED3D73"/>
    <w:rsid w:val="00ED420B"/>
    <w:rsid w:val="00ED4326"/>
    <w:rsid w:val="00ED4B0A"/>
    <w:rsid w:val="00ED4C33"/>
    <w:rsid w:val="00ED4CD4"/>
    <w:rsid w:val="00ED4DD0"/>
    <w:rsid w:val="00ED5224"/>
    <w:rsid w:val="00ED5319"/>
    <w:rsid w:val="00ED5C7E"/>
    <w:rsid w:val="00ED5F75"/>
    <w:rsid w:val="00ED602E"/>
    <w:rsid w:val="00ED64A4"/>
    <w:rsid w:val="00ED6575"/>
    <w:rsid w:val="00ED669D"/>
    <w:rsid w:val="00ED66B5"/>
    <w:rsid w:val="00ED6825"/>
    <w:rsid w:val="00ED6A5F"/>
    <w:rsid w:val="00ED6B17"/>
    <w:rsid w:val="00ED74EE"/>
    <w:rsid w:val="00ED7722"/>
    <w:rsid w:val="00ED7973"/>
    <w:rsid w:val="00ED7B3C"/>
    <w:rsid w:val="00ED7C09"/>
    <w:rsid w:val="00EE003A"/>
    <w:rsid w:val="00EE0189"/>
    <w:rsid w:val="00EE039A"/>
    <w:rsid w:val="00EE03CA"/>
    <w:rsid w:val="00EE04EC"/>
    <w:rsid w:val="00EE0508"/>
    <w:rsid w:val="00EE050D"/>
    <w:rsid w:val="00EE0634"/>
    <w:rsid w:val="00EE0B3C"/>
    <w:rsid w:val="00EE1423"/>
    <w:rsid w:val="00EE14DC"/>
    <w:rsid w:val="00EE1518"/>
    <w:rsid w:val="00EE1559"/>
    <w:rsid w:val="00EE15CE"/>
    <w:rsid w:val="00EE16F5"/>
    <w:rsid w:val="00EE18DA"/>
    <w:rsid w:val="00EE1A01"/>
    <w:rsid w:val="00EE1D96"/>
    <w:rsid w:val="00EE2121"/>
    <w:rsid w:val="00EE2417"/>
    <w:rsid w:val="00EE28AD"/>
    <w:rsid w:val="00EE2C91"/>
    <w:rsid w:val="00EE2CC8"/>
    <w:rsid w:val="00EE37B1"/>
    <w:rsid w:val="00EE402A"/>
    <w:rsid w:val="00EE4046"/>
    <w:rsid w:val="00EE48D5"/>
    <w:rsid w:val="00EE499F"/>
    <w:rsid w:val="00EE4C22"/>
    <w:rsid w:val="00EE4C36"/>
    <w:rsid w:val="00EE4D38"/>
    <w:rsid w:val="00EE5011"/>
    <w:rsid w:val="00EE5325"/>
    <w:rsid w:val="00EE533B"/>
    <w:rsid w:val="00EE5558"/>
    <w:rsid w:val="00EE5857"/>
    <w:rsid w:val="00EE5901"/>
    <w:rsid w:val="00EE591B"/>
    <w:rsid w:val="00EE5C25"/>
    <w:rsid w:val="00EE629F"/>
    <w:rsid w:val="00EE6971"/>
    <w:rsid w:val="00EE6AF5"/>
    <w:rsid w:val="00EE6B0D"/>
    <w:rsid w:val="00EE6B41"/>
    <w:rsid w:val="00EE6C8D"/>
    <w:rsid w:val="00EE728C"/>
    <w:rsid w:val="00EE7429"/>
    <w:rsid w:val="00EE7614"/>
    <w:rsid w:val="00EE7625"/>
    <w:rsid w:val="00EE7B12"/>
    <w:rsid w:val="00EE7D01"/>
    <w:rsid w:val="00EF0052"/>
    <w:rsid w:val="00EF028E"/>
    <w:rsid w:val="00EF02BE"/>
    <w:rsid w:val="00EF0373"/>
    <w:rsid w:val="00EF0390"/>
    <w:rsid w:val="00EF05FC"/>
    <w:rsid w:val="00EF064D"/>
    <w:rsid w:val="00EF09AF"/>
    <w:rsid w:val="00EF0F37"/>
    <w:rsid w:val="00EF1456"/>
    <w:rsid w:val="00EF1610"/>
    <w:rsid w:val="00EF1B8F"/>
    <w:rsid w:val="00EF2220"/>
    <w:rsid w:val="00EF29B0"/>
    <w:rsid w:val="00EF2EAA"/>
    <w:rsid w:val="00EF3771"/>
    <w:rsid w:val="00EF384A"/>
    <w:rsid w:val="00EF38C3"/>
    <w:rsid w:val="00EF3C02"/>
    <w:rsid w:val="00EF3FFC"/>
    <w:rsid w:val="00EF40AD"/>
    <w:rsid w:val="00EF4100"/>
    <w:rsid w:val="00EF44CF"/>
    <w:rsid w:val="00EF4682"/>
    <w:rsid w:val="00EF4C83"/>
    <w:rsid w:val="00EF5121"/>
    <w:rsid w:val="00EF537E"/>
    <w:rsid w:val="00EF542D"/>
    <w:rsid w:val="00EF5516"/>
    <w:rsid w:val="00EF58D6"/>
    <w:rsid w:val="00EF5AE0"/>
    <w:rsid w:val="00EF5D1D"/>
    <w:rsid w:val="00EF5DE1"/>
    <w:rsid w:val="00EF5EEA"/>
    <w:rsid w:val="00EF6045"/>
    <w:rsid w:val="00EF6078"/>
    <w:rsid w:val="00EF62E4"/>
    <w:rsid w:val="00EF63A1"/>
    <w:rsid w:val="00EF647A"/>
    <w:rsid w:val="00EF6691"/>
    <w:rsid w:val="00EF6938"/>
    <w:rsid w:val="00EF7000"/>
    <w:rsid w:val="00EF7567"/>
    <w:rsid w:val="00EF769A"/>
    <w:rsid w:val="00EF7935"/>
    <w:rsid w:val="00EF7C15"/>
    <w:rsid w:val="00EF7CC2"/>
    <w:rsid w:val="00EF7F26"/>
    <w:rsid w:val="00EF7FDD"/>
    <w:rsid w:val="00F0067F"/>
    <w:rsid w:val="00F006A7"/>
    <w:rsid w:val="00F00819"/>
    <w:rsid w:val="00F01166"/>
    <w:rsid w:val="00F0136E"/>
    <w:rsid w:val="00F016D7"/>
    <w:rsid w:val="00F0173C"/>
    <w:rsid w:val="00F01785"/>
    <w:rsid w:val="00F01827"/>
    <w:rsid w:val="00F01D21"/>
    <w:rsid w:val="00F0207B"/>
    <w:rsid w:val="00F020F5"/>
    <w:rsid w:val="00F021A4"/>
    <w:rsid w:val="00F02210"/>
    <w:rsid w:val="00F0228F"/>
    <w:rsid w:val="00F02BA4"/>
    <w:rsid w:val="00F02C73"/>
    <w:rsid w:val="00F02CDC"/>
    <w:rsid w:val="00F02E24"/>
    <w:rsid w:val="00F030CC"/>
    <w:rsid w:val="00F03342"/>
    <w:rsid w:val="00F033F1"/>
    <w:rsid w:val="00F03632"/>
    <w:rsid w:val="00F03634"/>
    <w:rsid w:val="00F03CE9"/>
    <w:rsid w:val="00F04B40"/>
    <w:rsid w:val="00F0552E"/>
    <w:rsid w:val="00F055FA"/>
    <w:rsid w:val="00F057C7"/>
    <w:rsid w:val="00F05881"/>
    <w:rsid w:val="00F059A8"/>
    <w:rsid w:val="00F05A72"/>
    <w:rsid w:val="00F05AD5"/>
    <w:rsid w:val="00F05BA2"/>
    <w:rsid w:val="00F05BB0"/>
    <w:rsid w:val="00F06088"/>
    <w:rsid w:val="00F06222"/>
    <w:rsid w:val="00F0627E"/>
    <w:rsid w:val="00F06315"/>
    <w:rsid w:val="00F063AB"/>
    <w:rsid w:val="00F065DE"/>
    <w:rsid w:val="00F068EE"/>
    <w:rsid w:val="00F06F31"/>
    <w:rsid w:val="00F06F66"/>
    <w:rsid w:val="00F073A2"/>
    <w:rsid w:val="00F07492"/>
    <w:rsid w:val="00F0755C"/>
    <w:rsid w:val="00F07729"/>
    <w:rsid w:val="00F077FE"/>
    <w:rsid w:val="00F07AAE"/>
    <w:rsid w:val="00F10107"/>
    <w:rsid w:val="00F1043D"/>
    <w:rsid w:val="00F10B2F"/>
    <w:rsid w:val="00F10B86"/>
    <w:rsid w:val="00F10D3D"/>
    <w:rsid w:val="00F11032"/>
    <w:rsid w:val="00F11A3B"/>
    <w:rsid w:val="00F11DDF"/>
    <w:rsid w:val="00F11FB8"/>
    <w:rsid w:val="00F12045"/>
    <w:rsid w:val="00F12696"/>
    <w:rsid w:val="00F126E4"/>
    <w:rsid w:val="00F12C33"/>
    <w:rsid w:val="00F12C77"/>
    <w:rsid w:val="00F131C9"/>
    <w:rsid w:val="00F133BA"/>
    <w:rsid w:val="00F1340F"/>
    <w:rsid w:val="00F13672"/>
    <w:rsid w:val="00F138D6"/>
    <w:rsid w:val="00F13A07"/>
    <w:rsid w:val="00F13C6C"/>
    <w:rsid w:val="00F13D5C"/>
    <w:rsid w:val="00F13E64"/>
    <w:rsid w:val="00F140F8"/>
    <w:rsid w:val="00F14517"/>
    <w:rsid w:val="00F14521"/>
    <w:rsid w:val="00F1464F"/>
    <w:rsid w:val="00F149CF"/>
    <w:rsid w:val="00F14E54"/>
    <w:rsid w:val="00F1513C"/>
    <w:rsid w:val="00F151AC"/>
    <w:rsid w:val="00F15821"/>
    <w:rsid w:val="00F16330"/>
    <w:rsid w:val="00F16536"/>
    <w:rsid w:val="00F16DBD"/>
    <w:rsid w:val="00F16ECC"/>
    <w:rsid w:val="00F1750B"/>
    <w:rsid w:val="00F17678"/>
    <w:rsid w:val="00F17BF0"/>
    <w:rsid w:val="00F17F63"/>
    <w:rsid w:val="00F20074"/>
    <w:rsid w:val="00F201CF"/>
    <w:rsid w:val="00F20228"/>
    <w:rsid w:val="00F2037D"/>
    <w:rsid w:val="00F20A11"/>
    <w:rsid w:val="00F20C4D"/>
    <w:rsid w:val="00F20C82"/>
    <w:rsid w:val="00F20CDF"/>
    <w:rsid w:val="00F20E11"/>
    <w:rsid w:val="00F21108"/>
    <w:rsid w:val="00F213D5"/>
    <w:rsid w:val="00F216E4"/>
    <w:rsid w:val="00F21899"/>
    <w:rsid w:val="00F21978"/>
    <w:rsid w:val="00F21B24"/>
    <w:rsid w:val="00F21DBB"/>
    <w:rsid w:val="00F22115"/>
    <w:rsid w:val="00F22222"/>
    <w:rsid w:val="00F2225D"/>
    <w:rsid w:val="00F223D3"/>
    <w:rsid w:val="00F225A4"/>
    <w:rsid w:val="00F2287D"/>
    <w:rsid w:val="00F22BD9"/>
    <w:rsid w:val="00F22C60"/>
    <w:rsid w:val="00F2331E"/>
    <w:rsid w:val="00F2364E"/>
    <w:rsid w:val="00F236F3"/>
    <w:rsid w:val="00F23EC5"/>
    <w:rsid w:val="00F2402D"/>
    <w:rsid w:val="00F242E9"/>
    <w:rsid w:val="00F24381"/>
    <w:rsid w:val="00F244AF"/>
    <w:rsid w:val="00F246DB"/>
    <w:rsid w:val="00F24701"/>
    <w:rsid w:val="00F249DF"/>
    <w:rsid w:val="00F24A26"/>
    <w:rsid w:val="00F24C4D"/>
    <w:rsid w:val="00F24D1C"/>
    <w:rsid w:val="00F252DE"/>
    <w:rsid w:val="00F2530C"/>
    <w:rsid w:val="00F25698"/>
    <w:rsid w:val="00F25D11"/>
    <w:rsid w:val="00F25EF0"/>
    <w:rsid w:val="00F260CE"/>
    <w:rsid w:val="00F26562"/>
    <w:rsid w:val="00F2669A"/>
    <w:rsid w:val="00F268A0"/>
    <w:rsid w:val="00F26B13"/>
    <w:rsid w:val="00F274E6"/>
    <w:rsid w:val="00F277B0"/>
    <w:rsid w:val="00F277B1"/>
    <w:rsid w:val="00F301E4"/>
    <w:rsid w:val="00F303EC"/>
    <w:rsid w:val="00F309CB"/>
    <w:rsid w:val="00F30C7C"/>
    <w:rsid w:val="00F30D3D"/>
    <w:rsid w:val="00F30DEF"/>
    <w:rsid w:val="00F3143D"/>
    <w:rsid w:val="00F3144B"/>
    <w:rsid w:val="00F317BD"/>
    <w:rsid w:val="00F31E7C"/>
    <w:rsid w:val="00F3213C"/>
    <w:rsid w:val="00F324E4"/>
    <w:rsid w:val="00F32806"/>
    <w:rsid w:val="00F329CD"/>
    <w:rsid w:val="00F32C8F"/>
    <w:rsid w:val="00F32E10"/>
    <w:rsid w:val="00F32E28"/>
    <w:rsid w:val="00F330D5"/>
    <w:rsid w:val="00F3341C"/>
    <w:rsid w:val="00F33562"/>
    <w:rsid w:val="00F33A65"/>
    <w:rsid w:val="00F33CFE"/>
    <w:rsid w:val="00F33DA5"/>
    <w:rsid w:val="00F34057"/>
    <w:rsid w:val="00F3408F"/>
    <w:rsid w:val="00F344AF"/>
    <w:rsid w:val="00F34A81"/>
    <w:rsid w:val="00F34BD0"/>
    <w:rsid w:val="00F34C26"/>
    <w:rsid w:val="00F34F04"/>
    <w:rsid w:val="00F35461"/>
    <w:rsid w:val="00F359A0"/>
    <w:rsid w:val="00F35D55"/>
    <w:rsid w:val="00F35EF0"/>
    <w:rsid w:val="00F36124"/>
    <w:rsid w:val="00F363DE"/>
    <w:rsid w:val="00F36492"/>
    <w:rsid w:val="00F364BF"/>
    <w:rsid w:val="00F3666B"/>
    <w:rsid w:val="00F366EA"/>
    <w:rsid w:val="00F36872"/>
    <w:rsid w:val="00F368E0"/>
    <w:rsid w:val="00F36AAE"/>
    <w:rsid w:val="00F36E60"/>
    <w:rsid w:val="00F36EEE"/>
    <w:rsid w:val="00F36F48"/>
    <w:rsid w:val="00F36FED"/>
    <w:rsid w:val="00F37261"/>
    <w:rsid w:val="00F373E8"/>
    <w:rsid w:val="00F37409"/>
    <w:rsid w:val="00F3774E"/>
    <w:rsid w:val="00F37BE3"/>
    <w:rsid w:val="00F37C56"/>
    <w:rsid w:val="00F37F50"/>
    <w:rsid w:val="00F401D7"/>
    <w:rsid w:val="00F40241"/>
    <w:rsid w:val="00F40566"/>
    <w:rsid w:val="00F406AF"/>
    <w:rsid w:val="00F40825"/>
    <w:rsid w:val="00F40978"/>
    <w:rsid w:val="00F40E24"/>
    <w:rsid w:val="00F41085"/>
    <w:rsid w:val="00F411B0"/>
    <w:rsid w:val="00F413B6"/>
    <w:rsid w:val="00F41F93"/>
    <w:rsid w:val="00F4269A"/>
    <w:rsid w:val="00F4298F"/>
    <w:rsid w:val="00F42AD4"/>
    <w:rsid w:val="00F42CF4"/>
    <w:rsid w:val="00F43186"/>
    <w:rsid w:val="00F43CAF"/>
    <w:rsid w:val="00F44326"/>
    <w:rsid w:val="00F44384"/>
    <w:rsid w:val="00F445C5"/>
    <w:rsid w:val="00F446D3"/>
    <w:rsid w:val="00F44779"/>
    <w:rsid w:val="00F4486D"/>
    <w:rsid w:val="00F449BF"/>
    <w:rsid w:val="00F44CC7"/>
    <w:rsid w:val="00F44D8A"/>
    <w:rsid w:val="00F44E3C"/>
    <w:rsid w:val="00F44F1A"/>
    <w:rsid w:val="00F44F32"/>
    <w:rsid w:val="00F455D5"/>
    <w:rsid w:val="00F459A0"/>
    <w:rsid w:val="00F45BE6"/>
    <w:rsid w:val="00F45F84"/>
    <w:rsid w:val="00F46169"/>
    <w:rsid w:val="00F462B5"/>
    <w:rsid w:val="00F4632F"/>
    <w:rsid w:val="00F4647C"/>
    <w:rsid w:val="00F46C0D"/>
    <w:rsid w:val="00F46E4F"/>
    <w:rsid w:val="00F46FD7"/>
    <w:rsid w:val="00F47213"/>
    <w:rsid w:val="00F47407"/>
    <w:rsid w:val="00F47433"/>
    <w:rsid w:val="00F47484"/>
    <w:rsid w:val="00F478D6"/>
    <w:rsid w:val="00F479A6"/>
    <w:rsid w:val="00F47A84"/>
    <w:rsid w:val="00F47FB8"/>
    <w:rsid w:val="00F50021"/>
    <w:rsid w:val="00F5026F"/>
    <w:rsid w:val="00F5033C"/>
    <w:rsid w:val="00F5055F"/>
    <w:rsid w:val="00F50769"/>
    <w:rsid w:val="00F50E7A"/>
    <w:rsid w:val="00F511A8"/>
    <w:rsid w:val="00F5141D"/>
    <w:rsid w:val="00F5142E"/>
    <w:rsid w:val="00F514DF"/>
    <w:rsid w:val="00F51552"/>
    <w:rsid w:val="00F515A2"/>
    <w:rsid w:val="00F51DDE"/>
    <w:rsid w:val="00F52136"/>
    <w:rsid w:val="00F522F0"/>
    <w:rsid w:val="00F522F2"/>
    <w:rsid w:val="00F52579"/>
    <w:rsid w:val="00F5270B"/>
    <w:rsid w:val="00F52BAC"/>
    <w:rsid w:val="00F52EA9"/>
    <w:rsid w:val="00F52ECF"/>
    <w:rsid w:val="00F5310C"/>
    <w:rsid w:val="00F53201"/>
    <w:rsid w:val="00F53455"/>
    <w:rsid w:val="00F53488"/>
    <w:rsid w:val="00F534B7"/>
    <w:rsid w:val="00F5359B"/>
    <w:rsid w:val="00F536F9"/>
    <w:rsid w:val="00F53750"/>
    <w:rsid w:val="00F53A08"/>
    <w:rsid w:val="00F53EDB"/>
    <w:rsid w:val="00F5409D"/>
    <w:rsid w:val="00F54242"/>
    <w:rsid w:val="00F5434C"/>
    <w:rsid w:val="00F54785"/>
    <w:rsid w:val="00F54823"/>
    <w:rsid w:val="00F54A6A"/>
    <w:rsid w:val="00F54B7C"/>
    <w:rsid w:val="00F55187"/>
    <w:rsid w:val="00F551AF"/>
    <w:rsid w:val="00F55295"/>
    <w:rsid w:val="00F554EC"/>
    <w:rsid w:val="00F556C6"/>
    <w:rsid w:val="00F558BA"/>
    <w:rsid w:val="00F56123"/>
    <w:rsid w:val="00F5621D"/>
    <w:rsid w:val="00F56523"/>
    <w:rsid w:val="00F56744"/>
    <w:rsid w:val="00F56776"/>
    <w:rsid w:val="00F56783"/>
    <w:rsid w:val="00F56818"/>
    <w:rsid w:val="00F56A0B"/>
    <w:rsid w:val="00F57109"/>
    <w:rsid w:val="00F5714A"/>
    <w:rsid w:val="00F57220"/>
    <w:rsid w:val="00F572E2"/>
    <w:rsid w:val="00F578C7"/>
    <w:rsid w:val="00F57ACA"/>
    <w:rsid w:val="00F60341"/>
    <w:rsid w:val="00F60358"/>
    <w:rsid w:val="00F60414"/>
    <w:rsid w:val="00F60AAD"/>
    <w:rsid w:val="00F60B75"/>
    <w:rsid w:val="00F60CF4"/>
    <w:rsid w:val="00F60E82"/>
    <w:rsid w:val="00F60EB1"/>
    <w:rsid w:val="00F6104F"/>
    <w:rsid w:val="00F61074"/>
    <w:rsid w:val="00F610DA"/>
    <w:rsid w:val="00F6139B"/>
    <w:rsid w:val="00F61635"/>
    <w:rsid w:val="00F6182B"/>
    <w:rsid w:val="00F6185F"/>
    <w:rsid w:val="00F61BC5"/>
    <w:rsid w:val="00F61C86"/>
    <w:rsid w:val="00F61FF9"/>
    <w:rsid w:val="00F626A1"/>
    <w:rsid w:val="00F62B53"/>
    <w:rsid w:val="00F62B9A"/>
    <w:rsid w:val="00F62DD5"/>
    <w:rsid w:val="00F62F85"/>
    <w:rsid w:val="00F631D6"/>
    <w:rsid w:val="00F63518"/>
    <w:rsid w:val="00F63773"/>
    <w:rsid w:val="00F63A26"/>
    <w:rsid w:val="00F63A48"/>
    <w:rsid w:val="00F63CC8"/>
    <w:rsid w:val="00F63E4E"/>
    <w:rsid w:val="00F640E7"/>
    <w:rsid w:val="00F64519"/>
    <w:rsid w:val="00F6452B"/>
    <w:rsid w:val="00F6495E"/>
    <w:rsid w:val="00F64D7D"/>
    <w:rsid w:val="00F64E51"/>
    <w:rsid w:val="00F651C2"/>
    <w:rsid w:val="00F652F8"/>
    <w:rsid w:val="00F65406"/>
    <w:rsid w:val="00F65B3D"/>
    <w:rsid w:val="00F65F26"/>
    <w:rsid w:val="00F66361"/>
    <w:rsid w:val="00F667DC"/>
    <w:rsid w:val="00F66DEE"/>
    <w:rsid w:val="00F66E36"/>
    <w:rsid w:val="00F66EB3"/>
    <w:rsid w:val="00F66FFD"/>
    <w:rsid w:val="00F67003"/>
    <w:rsid w:val="00F676F0"/>
    <w:rsid w:val="00F67769"/>
    <w:rsid w:val="00F677B6"/>
    <w:rsid w:val="00F67900"/>
    <w:rsid w:val="00F67C01"/>
    <w:rsid w:val="00F702E3"/>
    <w:rsid w:val="00F703B5"/>
    <w:rsid w:val="00F703FF"/>
    <w:rsid w:val="00F704BD"/>
    <w:rsid w:val="00F70846"/>
    <w:rsid w:val="00F7093A"/>
    <w:rsid w:val="00F709FD"/>
    <w:rsid w:val="00F71020"/>
    <w:rsid w:val="00F7164D"/>
    <w:rsid w:val="00F716E7"/>
    <w:rsid w:val="00F716EA"/>
    <w:rsid w:val="00F71B2D"/>
    <w:rsid w:val="00F71DB3"/>
    <w:rsid w:val="00F71EB0"/>
    <w:rsid w:val="00F72072"/>
    <w:rsid w:val="00F72A57"/>
    <w:rsid w:val="00F72AE8"/>
    <w:rsid w:val="00F732DE"/>
    <w:rsid w:val="00F734AB"/>
    <w:rsid w:val="00F73700"/>
    <w:rsid w:val="00F73A0A"/>
    <w:rsid w:val="00F73D31"/>
    <w:rsid w:val="00F73F94"/>
    <w:rsid w:val="00F741D1"/>
    <w:rsid w:val="00F753A6"/>
    <w:rsid w:val="00F763D4"/>
    <w:rsid w:val="00F7662F"/>
    <w:rsid w:val="00F769F3"/>
    <w:rsid w:val="00F76BD3"/>
    <w:rsid w:val="00F76DC6"/>
    <w:rsid w:val="00F76F06"/>
    <w:rsid w:val="00F76FA9"/>
    <w:rsid w:val="00F77151"/>
    <w:rsid w:val="00F774F4"/>
    <w:rsid w:val="00F776E1"/>
    <w:rsid w:val="00F77BEC"/>
    <w:rsid w:val="00F77C07"/>
    <w:rsid w:val="00F77C76"/>
    <w:rsid w:val="00F77CF3"/>
    <w:rsid w:val="00F77FBF"/>
    <w:rsid w:val="00F803BD"/>
    <w:rsid w:val="00F80B1D"/>
    <w:rsid w:val="00F80EC0"/>
    <w:rsid w:val="00F8132A"/>
    <w:rsid w:val="00F81502"/>
    <w:rsid w:val="00F8151E"/>
    <w:rsid w:val="00F81705"/>
    <w:rsid w:val="00F81EC4"/>
    <w:rsid w:val="00F82392"/>
    <w:rsid w:val="00F82399"/>
    <w:rsid w:val="00F829CC"/>
    <w:rsid w:val="00F82DA9"/>
    <w:rsid w:val="00F82E5C"/>
    <w:rsid w:val="00F8321C"/>
    <w:rsid w:val="00F833E8"/>
    <w:rsid w:val="00F833F2"/>
    <w:rsid w:val="00F8380F"/>
    <w:rsid w:val="00F83818"/>
    <w:rsid w:val="00F83C96"/>
    <w:rsid w:val="00F83D94"/>
    <w:rsid w:val="00F83FDE"/>
    <w:rsid w:val="00F84079"/>
    <w:rsid w:val="00F842EC"/>
    <w:rsid w:val="00F84412"/>
    <w:rsid w:val="00F84B96"/>
    <w:rsid w:val="00F84DFE"/>
    <w:rsid w:val="00F85180"/>
    <w:rsid w:val="00F852FB"/>
    <w:rsid w:val="00F85315"/>
    <w:rsid w:val="00F856A8"/>
    <w:rsid w:val="00F8626A"/>
    <w:rsid w:val="00F86275"/>
    <w:rsid w:val="00F863E3"/>
    <w:rsid w:val="00F8645C"/>
    <w:rsid w:val="00F86A9B"/>
    <w:rsid w:val="00F86D22"/>
    <w:rsid w:val="00F86FFE"/>
    <w:rsid w:val="00F870A1"/>
    <w:rsid w:val="00F870B5"/>
    <w:rsid w:val="00F8756E"/>
    <w:rsid w:val="00F87A24"/>
    <w:rsid w:val="00F87C15"/>
    <w:rsid w:val="00F87D80"/>
    <w:rsid w:val="00F87EA8"/>
    <w:rsid w:val="00F87F91"/>
    <w:rsid w:val="00F901C3"/>
    <w:rsid w:val="00F902FD"/>
    <w:rsid w:val="00F9030E"/>
    <w:rsid w:val="00F906D7"/>
    <w:rsid w:val="00F90701"/>
    <w:rsid w:val="00F90B3B"/>
    <w:rsid w:val="00F90C1C"/>
    <w:rsid w:val="00F90C51"/>
    <w:rsid w:val="00F90C6F"/>
    <w:rsid w:val="00F91407"/>
    <w:rsid w:val="00F9143F"/>
    <w:rsid w:val="00F91877"/>
    <w:rsid w:val="00F919E4"/>
    <w:rsid w:val="00F920DE"/>
    <w:rsid w:val="00F920FC"/>
    <w:rsid w:val="00F9218C"/>
    <w:rsid w:val="00F925B1"/>
    <w:rsid w:val="00F928AD"/>
    <w:rsid w:val="00F9296A"/>
    <w:rsid w:val="00F92BA9"/>
    <w:rsid w:val="00F930FA"/>
    <w:rsid w:val="00F93251"/>
    <w:rsid w:val="00F933D9"/>
    <w:rsid w:val="00F93440"/>
    <w:rsid w:val="00F93DD5"/>
    <w:rsid w:val="00F93E11"/>
    <w:rsid w:val="00F94098"/>
    <w:rsid w:val="00F94267"/>
    <w:rsid w:val="00F94285"/>
    <w:rsid w:val="00F94759"/>
    <w:rsid w:val="00F94823"/>
    <w:rsid w:val="00F94A7B"/>
    <w:rsid w:val="00F94B8A"/>
    <w:rsid w:val="00F94F2C"/>
    <w:rsid w:val="00F951F4"/>
    <w:rsid w:val="00F95250"/>
    <w:rsid w:val="00F9592A"/>
    <w:rsid w:val="00F95BD2"/>
    <w:rsid w:val="00F95FA6"/>
    <w:rsid w:val="00F962B1"/>
    <w:rsid w:val="00F963F6"/>
    <w:rsid w:val="00F96787"/>
    <w:rsid w:val="00F9680E"/>
    <w:rsid w:val="00F969EA"/>
    <w:rsid w:val="00F96D15"/>
    <w:rsid w:val="00F96EAF"/>
    <w:rsid w:val="00F96F0A"/>
    <w:rsid w:val="00F972F2"/>
    <w:rsid w:val="00F97664"/>
    <w:rsid w:val="00F9767F"/>
    <w:rsid w:val="00F97E58"/>
    <w:rsid w:val="00F97F96"/>
    <w:rsid w:val="00F97FB8"/>
    <w:rsid w:val="00F97FF7"/>
    <w:rsid w:val="00FA016D"/>
    <w:rsid w:val="00FA0282"/>
    <w:rsid w:val="00FA0295"/>
    <w:rsid w:val="00FA0749"/>
    <w:rsid w:val="00FA17C4"/>
    <w:rsid w:val="00FA17E4"/>
    <w:rsid w:val="00FA1859"/>
    <w:rsid w:val="00FA1880"/>
    <w:rsid w:val="00FA1ADD"/>
    <w:rsid w:val="00FA1B13"/>
    <w:rsid w:val="00FA1B58"/>
    <w:rsid w:val="00FA1F7E"/>
    <w:rsid w:val="00FA2190"/>
    <w:rsid w:val="00FA2663"/>
    <w:rsid w:val="00FA2843"/>
    <w:rsid w:val="00FA2D25"/>
    <w:rsid w:val="00FA2E1C"/>
    <w:rsid w:val="00FA32B3"/>
    <w:rsid w:val="00FA349E"/>
    <w:rsid w:val="00FA34F9"/>
    <w:rsid w:val="00FA36B3"/>
    <w:rsid w:val="00FA3807"/>
    <w:rsid w:val="00FA3914"/>
    <w:rsid w:val="00FA3A15"/>
    <w:rsid w:val="00FA3C2B"/>
    <w:rsid w:val="00FA3C4F"/>
    <w:rsid w:val="00FA3DD1"/>
    <w:rsid w:val="00FA3ED6"/>
    <w:rsid w:val="00FA3F1C"/>
    <w:rsid w:val="00FA4566"/>
    <w:rsid w:val="00FA4738"/>
    <w:rsid w:val="00FA48E8"/>
    <w:rsid w:val="00FA49F8"/>
    <w:rsid w:val="00FA4A2B"/>
    <w:rsid w:val="00FA4E35"/>
    <w:rsid w:val="00FA4F29"/>
    <w:rsid w:val="00FA513B"/>
    <w:rsid w:val="00FA535B"/>
    <w:rsid w:val="00FA54C0"/>
    <w:rsid w:val="00FA5A1C"/>
    <w:rsid w:val="00FA5A49"/>
    <w:rsid w:val="00FA5AA2"/>
    <w:rsid w:val="00FA6193"/>
    <w:rsid w:val="00FA6764"/>
    <w:rsid w:val="00FA68EC"/>
    <w:rsid w:val="00FA6FC9"/>
    <w:rsid w:val="00FA7231"/>
    <w:rsid w:val="00FA72DC"/>
    <w:rsid w:val="00FA7690"/>
    <w:rsid w:val="00FA778D"/>
    <w:rsid w:val="00FA7899"/>
    <w:rsid w:val="00FA78D6"/>
    <w:rsid w:val="00FA7FB2"/>
    <w:rsid w:val="00FB01A1"/>
    <w:rsid w:val="00FB05AD"/>
    <w:rsid w:val="00FB05C7"/>
    <w:rsid w:val="00FB0719"/>
    <w:rsid w:val="00FB08CA"/>
    <w:rsid w:val="00FB0A12"/>
    <w:rsid w:val="00FB0AFA"/>
    <w:rsid w:val="00FB0C7B"/>
    <w:rsid w:val="00FB1455"/>
    <w:rsid w:val="00FB1523"/>
    <w:rsid w:val="00FB1C6B"/>
    <w:rsid w:val="00FB24DA"/>
    <w:rsid w:val="00FB27CF"/>
    <w:rsid w:val="00FB27DD"/>
    <w:rsid w:val="00FB290E"/>
    <w:rsid w:val="00FB2BBE"/>
    <w:rsid w:val="00FB2F2E"/>
    <w:rsid w:val="00FB32B5"/>
    <w:rsid w:val="00FB33C1"/>
    <w:rsid w:val="00FB36C3"/>
    <w:rsid w:val="00FB3733"/>
    <w:rsid w:val="00FB3907"/>
    <w:rsid w:val="00FB3A16"/>
    <w:rsid w:val="00FB3C16"/>
    <w:rsid w:val="00FB3D5D"/>
    <w:rsid w:val="00FB40C5"/>
    <w:rsid w:val="00FB4653"/>
    <w:rsid w:val="00FB46CE"/>
    <w:rsid w:val="00FB4769"/>
    <w:rsid w:val="00FB479B"/>
    <w:rsid w:val="00FB47FB"/>
    <w:rsid w:val="00FB4A51"/>
    <w:rsid w:val="00FB4BD5"/>
    <w:rsid w:val="00FB4F51"/>
    <w:rsid w:val="00FB53BC"/>
    <w:rsid w:val="00FB53FF"/>
    <w:rsid w:val="00FB54B4"/>
    <w:rsid w:val="00FB559E"/>
    <w:rsid w:val="00FB5828"/>
    <w:rsid w:val="00FB5AB8"/>
    <w:rsid w:val="00FB5AD6"/>
    <w:rsid w:val="00FB6176"/>
    <w:rsid w:val="00FB6336"/>
    <w:rsid w:val="00FB6564"/>
    <w:rsid w:val="00FB659A"/>
    <w:rsid w:val="00FB6CCC"/>
    <w:rsid w:val="00FB720E"/>
    <w:rsid w:val="00FB7301"/>
    <w:rsid w:val="00FB75FA"/>
    <w:rsid w:val="00FB78C5"/>
    <w:rsid w:val="00FB7E49"/>
    <w:rsid w:val="00FC0086"/>
    <w:rsid w:val="00FC0652"/>
    <w:rsid w:val="00FC09EB"/>
    <w:rsid w:val="00FC0A82"/>
    <w:rsid w:val="00FC0B78"/>
    <w:rsid w:val="00FC0E68"/>
    <w:rsid w:val="00FC0FDD"/>
    <w:rsid w:val="00FC1565"/>
    <w:rsid w:val="00FC1C6D"/>
    <w:rsid w:val="00FC1D04"/>
    <w:rsid w:val="00FC1F68"/>
    <w:rsid w:val="00FC2626"/>
    <w:rsid w:val="00FC28EE"/>
    <w:rsid w:val="00FC297C"/>
    <w:rsid w:val="00FC2C5C"/>
    <w:rsid w:val="00FC2C6F"/>
    <w:rsid w:val="00FC2FDC"/>
    <w:rsid w:val="00FC3786"/>
    <w:rsid w:val="00FC3A35"/>
    <w:rsid w:val="00FC3AB9"/>
    <w:rsid w:val="00FC3B55"/>
    <w:rsid w:val="00FC3B56"/>
    <w:rsid w:val="00FC3CBF"/>
    <w:rsid w:val="00FC3DA3"/>
    <w:rsid w:val="00FC3F1A"/>
    <w:rsid w:val="00FC4015"/>
    <w:rsid w:val="00FC4114"/>
    <w:rsid w:val="00FC4119"/>
    <w:rsid w:val="00FC4233"/>
    <w:rsid w:val="00FC4280"/>
    <w:rsid w:val="00FC477B"/>
    <w:rsid w:val="00FC479D"/>
    <w:rsid w:val="00FC4993"/>
    <w:rsid w:val="00FC4BB9"/>
    <w:rsid w:val="00FC4CFC"/>
    <w:rsid w:val="00FC4DF6"/>
    <w:rsid w:val="00FC4EAE"/>
    <w:rsid w:val="00FC4F90"/>
    <w:rsid w:val="00FC568B"/>
    <w:rsid w:val="00FC5763"/>
    <w:rsid w:val="00FC582B"/>
    <w:rsid w:val="00FC5856"/>
    <w:rsid w:val="00FC5AF0"/>
    <w:rsid w:val="00FC5B5E"/>
    <w:rsid w:val="00FC5EEC"/>
    <w:rsid w:val="00FC64F6"/>
    <w:rsid w:val="00FC6539"/>
    <w:rsid w:val="00FC687B"/>
    <w:rsid w:val="00FC6A73"/>
    <w:rsid w:val="00FC6C75"/>
    <w:rsid w:val="00FC70F5"/>
    <w:rsid w:val="00FC7377"/>
    <w:rsid w:val="00FC74D8"/>
    <w:rsid w:val="00FC768B"/>
    <w:rsid w:val="00FC76DC"/>
    <w:rsid w:val="00FC7928"/>
    <w:rsid w:val="00FC7EE5"/>
    <w:rsid w:val="00FD0009"/>
    <w:rsid w:val="00FD00C4"/>
    <w:rsid w:val="00FD0164"/>
    <w:rsid w:val="00FD023D"/>
    <w:rsid w:val="00FD026F"/>
    <w:rsid w:val="00FD02BE"/>
    <w:rsid w:val="00FD0E4F"/>
    <w:rsid w:val="00FD1B85"/>
    <w:rsid w:val="00FD1D65"/>
    <w:rsid w:val="00FD1F1E"/>
    <w:rsid w:val="00FD2FE6"/>
    <w:rsid w:val="00FD317E"/>
    <w:rsid w:val="00FD32F4"/>
    <w:rsid w:val="00FD3396"/>
    <w:rsid w:val="00FD36AD"/>
    <w:rsid w:val="00FD38F2"/>
    <w:rsid w:val="00FD3C0A"/>
    <w:rsid w:val="00FD3FCF"/>
    <w:rsid w:val="00FD3FEE"/>
    <w:rsid w:val="00FD42F3"/>
    <w:rsid w:val="00FD4421"/>
    <w:rsid w:val="00FD44ED"/>
    <w:rsid w:val="00FD486E"/>
    <w:rsid w:val="00FD4AFB"/>
    <w:rsid w:val="00FD4C1E"/>
    <w:rsid w:val="00FD4C30"/>
    <w:rsid w:val="00FD4C6C"/>
    <w:rsid w:val="00FD5029"/>
    <w:rsid w:val="00FD598F"/>
    <w:rsid w:val="00FD5B0E"/>
    <w:rsid w:val="00FD5BC3"/>
    <w:rsid w:val="00FD5CCE"/>
    <w:rsid w:val="00FD5D0C"/>
    <w:rsid w:val="00FD5E7B"/>
    <w:rsid w:val="00FD63DB"/>
    <w:rsid w:val="00FD6668"/>
    <w:rsid w:val="00FD6E91"/>
    <w:rsid w:val="00FD73F4"/>
    <w:rsid w:val="00FD744D"/>
    <w:rsid w:val="00FD7BB6"/>
    <w:rsid w:val="00FE00E2"/>
    <w:rsid w:val="00FE01E2"/>
    <w:rsid w:val="00FE026B"/>
    <w:rsid w:val="00FE052F"/>
    <w:rsid w:val="00FE0753"/>
    <w:rsid w:val="00FE079A"/>
    <w:rsid w:val="00FE07B9"/>
    <w:rsid w:val="00FE0DC2"/>
    <w:rsid w:val="00FE116E"/>
    <w:rsid w:val="00FE116F"/>
    <w:rsid w:val="00FE12C4"/>
    <w:rsid w:val="00FE1348"/>
    <w:rsid w:val="00FE13E8"/>
    <w:rsid w:val="00FE17C1"/>
    <w:rsid w:val="00FE195C"/>
    <w:rsid w:val="00FE1E66"/>
    <w:rsid w:val="00FE1EC1"/>
    <w:rsid w:val="00FE203E"/>
    <w:rsid w:val="00FE243D"/>
    <w:rsid w:val="00FE252D"/>
    <w:rsid w:val="00FE2749"/>
    <w:rsid w:val="00FE2A0E"/>
    <w:rsid w:val="00FE2C46"/>
    <w:rsid w:val="00FE38AC"/>
    <w:rsid w:val="00FE3DCB"/>
    <w:rsid w:val="00FE42D7"/>
    <w:rsid w:val="00FE43A0"/>
    <w:rsid w:val="00FE459F"/>
    <w:rsid w:val="00FE46AC"/>
    <w:rsid w:val="00FE4F51"/>
    <w:rsid w:val="00FE5A72"/>
    <w:rsid w:val="00FE5D93"/>
    <w:rsid w:val="00FE5FA0"/>
    <w:rsid w:val="00FE627B"/>
    <w:rsid w:val="00FE633A"/>
    <w:rsid w:val="00FE64F0"/>
    <w:rsid w:val="00FE67B1"/>
    <w:rsid w:val="00FE688D"/>
    <w:rsid w:val="00FE68C4"/>
    <w:rsid w:val="00FE70EA"/>
    <w:rsid w:val="00FE71C9"/>
    <w:rsid w:val="00FE720E"/>
    <w:rsid w:val="00FE72ED"/>
    <w:rsid w:val="00FE744F"/>
    <w:rsid w:val="00FE74BB"/>
    <w:rsid w:val="00FE7618"/>
    <w:rsid w:val="00FE768C"/>
    <w:rsid w:val="00FE7941"/>
    <w:rsid w:val="00FE7A31"/>
    <w:rsid w:val="00FE7B6C"/>
    <w:rsid w:val="00FE7C0B"/>
    <w:rsid w:val="00FF05B7"/>
    <w:rsid w:val="00FF0947"/>
    <w:rsid w:val="00FF094D"/>
    <w:rsid w:val="00FF095C"/>
    <w:rsid w:val="00FF0A00"/>
    <w:rsid w:val="00FF0BFD"/>
    <w:rsid w:val="00FF1205"/>
    <w:rsid w:val="00FF1B44"/>
    <w:rsid w:val="00FF1C60"/>
    <w:rsid w:val="00FF1EDF"/>
    <w:rsid w:val="00FF2092"/>
    <w:rsid w:val="00FF2277"/>
    <w:rsid w:val="00FF292A"/>
    <w:rsid w:val="00FF2A42"/>
    <w:rsid w:val="00FF2ACA"/>
    <w:rsid w:val="00FF2E1B"/>
    <w:rsid w:val="00FF3044"/>
    <w:rsid w:val="00FF32C1"/>
    <w:rsid w:val="00FF3308"/>
    <w:rsid w:val="00FF3691"/>
    <w:rsid w:val="00FF39E1"/>
    <w:rsid w:val="00FF3A36"/>
    <w:rsid w:val="00FF3D82"/>
    <w:rsid w:val="00FF3EF5"/>
    <w:rsid w:val="00FF41ED"/>
    <w:rsid w:val="00FF4269"/>
    <w:rsid w:val="00FF4464"/>
    <w:rsid w:val="00FF4694"/>
    <w:rsid w:val="00FF4F59"/>
    <w:rsid w:val="00FF5202"/>
    <w:rsid w:val="00FF534C"/>
    <w:rsid w:val="00FF565B"/>
    <w:rsid w:val="00FF5723"/>
    <w:rsid w:val="00FF5E68"/>
    <w:rsid w:val="00FF62DD"/>
    <w:rsid w:val="00FF675A"/>
    <w:rsid w:val="00FF6A8A"/>
    <w:rsid w:val="00FF6BE1"/>
    <w:rsid w:val="00FF7107"/>
    <w:rsid w:val="00FF7537"/>
    <w:rsid w:val="00FF7634"/>
    <w:rsid w:val="00FF7A8F"/>
    <w:rsid w:val="00FF7C73"/>
    <w:rsid w:val="00FF7F83"/>
    <w:rsid w:val="05DB5069"/>
    <w:rsid w:val="090338E0"/>
    <w:rsid w:val="0EF87D1B"/>
    <w:rsid w:val="10CC292F"/>
    <w:rsid w:val="11F1B5C1"/>
    <w:rsid w:val="16BF713C"/>
    <w:rsid w:val="182D7F82"/>
    <w:rsid w:val="18BAB81E"/>
    <w:rsid w:val="192EBB51"/>
    <w:rsid w:val="1B5C8F34"/>
    <w:rsid w:val="1E3C7CF1"/>
    <w:rsid w:val="22B7AC30"/>
    <w:rsid w:val="27E0CA62"/>
    <w:rsid w:val="342730BE"/>
    <w:rsid w:val="34F8EB0E"/>
    <w:rsid w:val="37802C35"/>
    <w:rsid w:val="40F30060"/>
    <w:rsid w:val="422AAF2C"/>
    <w:rsid w:val="4C5D9D53"/>
    <w:rsid w:val="575E615F"/>
    <w:rsid w:val="5AA5D0B5"/>
    <w:rsid w:val="5C7631F9"/>
    <w:rsid w:val="5FAEE19B"/>
    <w:rsid w:val="60973B69"/>
    <w:rsid w:val="61470D80"/>
    <w:rsid w:val="62CE7F3A"/>
    <w:rsid w:val="656F4555"/>
    <w:rsid w:val="65FE0C37"/>
    <w:rsid w:val="6B1E6491"/>
    <w:rsid w:val="6D043FD3"/>
    <w:rsid w:val="70167188"/>
    <w:rsid w:val="7DADC5B3"/>
    <w:rsid w:val="7F941D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B1CE93"/>
  <w15:docId w15:val="{F6DBBB35-034F-4679-9D87-6405172E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iPriority="0" w:unhideWhenUsed="1" w:qFormat="1"/>
    <w:lsdException w:name="annotation text" w:unhideWhenUsed="1" w:qFormat="1"/>
    <w:lsdException w:name="header" w:uiPriority="0" w:unhideWhenUsed="1" w:qFormat="1"/>
    <w:lsdException w:name="footer" w:unhideWhenUsed="1" w:qFormat="1"/>
    <w:lsdException w:name="index heading" w:unhideWhenUsed="1" w:qFormat="1"/>
    <w:lsdException w:name="caption" w:uiPriority="0" w:qFormat="1"/>
    <w:lsdException w:name="table of figures" w:qFormat="1"/>
    <w:lsdException w:name="envelope address" w:qFormat="1"/>
    <w:lsdException w:name="envelope return" w:qFormat="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uiPriority="0" w:qFormat="1"/>
    <w:lsdException w:name="endnote text" w:uiPriority="0" w:unhideWhenUsed="1" w:qFormat="1"/>
    <w:lsdException w:name="table of authorities" w:qFormat="1"/>
    <w:lsdException w:name="macro" w:qFormat="1"/>
    <w:lsdException w:name="toa heading" w:qFormat="1"/>
    <w:lsdException w:name="List" w:uiPriority="0" w:qFormat="1"/>
    <w:lsdException w:name="List Bullet" w:uiPriority="0" w:qFormat="1"/>
    <w:lsdException w:name="List Number" w:unhideWhenUsed="1" w:qFormat="1"/>
    <w:lsdException w:name="List 2" w:uiPriority="0" w:qFormat="1"/>
    <w:lsdException w:name="List 3" w:uiPriority="0" w:qFormat="1"/>
    <w:lsdException w:name="List 4" w:uiPriority="0" w:qFormat="1"/>
    <w:lsdException w:name="List 5" w:uiPriority="0" w:qFormat="1"/>
    <w:lsdException w:name="List Bullet 2" w:uiPriority="0" w:unhideWhenUsed="1" w:qFormat="1"/>
    <w:lsdException w:name="List Bullet 3" w:uiPriority="0" w:unhideWhenUsed="1" w:qFormat="1"/>
    <w:lsdException w:name="List Bullet 4" w:uiPriority="0" w:unhideWhenUsed="1" w:qFormat="1"/>
    <w:lsdException w:name="List Bullet 5" w:uiPriority="0" w:unhideWhenUsed="1" w:qFormat="1"/>
    <w:lsdException w:name="List Number 2" w:uiPriority="0" w:unhideWhenUsed="1" w:qFormat="1"/>
    <w:lsdException w:name="List Number 3" w:unhideWhenUsed="1" w:qFormat="1"/>
    <w:lsdException w:name="List Number 4" w:unhideWhenUsed="1" w:qFormat="1"/>
    <w:lsdException w:name="List Number 5" w:unhideWhenUsed="1" w:qFormat="1"/>
    <w:lsdException w:name="Title" w:uiPriority="0" w:qFormat="1"/>
    <w:lsdException w:name="Closing" w:uiPriority="0" w:qFormat="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qFormat="1"/>
    <w:lsdException w:name="List Continue 5" w:qFormat="1"/>
    <w:lsdException w:name="Message Header" w:uiPriority="0" w:qFormat="1"/>
    <w:lsdException w:name="Subtitle" w:uiPriority="11" w:qFormat="1"/>
    <w:lsdException w:name="Salutation" w:uiPriority="0" w:qFormat="1"/>
    <w:lsdException w:name="Date" w:uiPriority="0" w:unhideWhenUsed="1"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unhideWhenUsed="1"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qFormat="1"/>
    <w:lsdException w:name="HTML Top of Form" w:semiHidden="1" w:unhideWhenUsed="1"/>
    <w:lsdException w:name="HTML Bottom of Form" w:semiHidden="1" w:unhideWhenUsed="1"/>
    <w:lsdException w:name="Normal (Web)" w:qFormat="1"/>
    <w:lsdException w:name="HTML Acronym" w:semiHidden="1" w:unhideWhenUsed="1"/>
    <w:lsdException w:name="HTML Address"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qFormat="1"/>
    <w:lsdException w:name="Table Subtle 1" w:semiHidden="1" w:uiPriority="0" w:unhideWhenUsed="1" w:qFormat="1"/>
    <w:lsdException w:name="Table Subtle 2" w:semiHidden="1" w:unhideWhenUsed="1"/>
    <w:lsdException w:name="Table Web 1" w:semiHidden="1" w:unhideWhenUsed="1" w:qFormat="1"/>
    <w:lsdException w:name="Table Web 2" w:semiHidden="1" w:uiPriority="0" w:unhideWhenUsed="1" w:qFormat="1"/>
    <w:lsdException w:name="Table Web 3" w:semiHidden="1" w:unhideWhenUsed="1"/>
    <w:lsdException w:name="Balloon Text" w:uiPriority="0" w:unhideWhenUsed="1" w:qFormat="1"/>
    <w:lsdException w:name="Table Grid" w:uiPriority="0" w:qFormat="1"/>
    <w:lsdException w:name="Table Theme" w:semiHidden="1" w:uiPriority="0" w:unhideWhenUsed="1" w:qFormat="1"/>
    <w:lsdException w:name="Placeholder Text" w:qFormat="1"/>
    <w:lsdException w:name="No Spacing" w:uiPriority="1" w:qFormat="1"/>
    <w:lsdException w:name="Light Shading"/>
    <w:lsdException w:name="Light List"/>
    <w:lsdException w:name="Light Grid"/>
    <w:lsdException w:name="Medium Shading 1" w:uiPriority="63"/>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uiPriority="67" w:qFormat="1"/>
    <w:lsdException w:name="Medium Grid 2 Accent 1"/>
    <w:lsdException w:name="Medium Grid 3 Accent 1"/>
    <w:lsdException w:name="Dark List Accent 1"/>
    <w:lsdException w:name="Colorful Shading Accent 1"/>
    <w:lsdException w:name="Colorful List Accent 1" w:uiPriority="72" w:qFormat="1"/>
    <w:lsdException w:name="Colorful Grid Accent 1"/>
    <w:lsdException w:name="Light Shading Accent 2"/>
    <w:lsdException w:name="Light List Accent 2" w:uiPriority="61" w:qFormat="1"/>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qFormat="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qFormat="1"/>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Arial"/>
      <w:sz w:val="22"/>
      <w:szCs w:val="22"/>
      <w:lang w:val="zh-CN" w:eastAsia="ja-JP"/>
    </w:rPr>
  </w:style>
  <w:style w:type="paragraph" w:styleId="Ttulo1">
    <w:name w:val="heading 1"/>
    <w:basedOn w:val="Normal"/>
    <w:next w:val="Normal"/>
    <w:link w:val="Ttulo1Car"/>
    <w:qFormat/>
    <w:pPr>
      <w:keepNext/>
      <w:outlineLvl w:val="0"/>
    </w:pPr>
    <w:rPr>
      <w:b/>
      <w:bCs/>
    </w:rPr>
  </w:style>
  <w:style w:type="paragraph" w:styleId="Ttulo2">
    <w:name w:val="heading 2"/>
    <w:basedOn w:val="Normal"/>
    <w:next w:val="Normal"/>
    <w:link w:val="Ttulo2Car"/>
    <w:unhideWhenUsed/>
    <w:qFormat/>
    <w:pPr>
      <w:keepNext/>
      <w:ind w:left="964"/>
      <w:outlineLvl w:val="1"/>
    </w:pPr>
    <w:rPr>
      <w:rFonts w:ascii="CG Omega" w:eastAsia="CG Omega" w:hAnsi="CG Omega" w:cs="CG Omega"/>
      <w:u w:val="single"/>
    </w:rPr>
  </w:style>
  <w:style w:type="paragraph" w:styleId="Ttulo3">
    <w:name w:val="heading 3"/>
    <w:basedOn w:val="Normal"/>
    <w:next w:val="Normal"/>
    <w:link w:val="Ttulo3Car"/>
    <w:unhideWhenUsed/>
    <w:qFormat/>
    <w:pPr>
      <w:keepNext/>
      <w:jc w:val="both"/>
      <w:outlineLvl w:val="2"/>
    </w:pPr>
    <w:rPr>
      <w:b/>
      <w:bCs/>
    </w:rPr>
  </w:style>
  <w:style w:type="paragraph" w:styleId="Ttulo4">
    <w:name w:val="heading 4"/>
    <w:basedOn w:val="Normal"/>
    <w:next w:val="Normal"/>
    <w:link w:val="Ttulo4Car"/>
    <w:unhideWhenUsed/>
    <w:qFormat/>
    <w:pPr>
      <w:keepNext/>
      <w:ind w:left="-11"/>
      <w:jc w:val="both"/>
      <w:outlineLvl w:val="3"/>
    </w:pPr>
    <w:rPr>
      <w:b/>
      <w:bCs/>
      <w:sz w:val="24"/>
      <w:szCs w:val="24"/>
    </w:rPr>
  </w:style>
  <w:style w:type="paragraph" w:styleId="Ttulo5">
    <w:name w:val="heading 5"/>
    <w:basedOn w:val="Normal"/>
    <w:next w:val="Normal"/>
    <w:link w:val="Ttulo5Car"/>
    <w:unhideWhenUsed/>
    <w:qFormat/>
    <w:pPr>
      <w:keepNext/>
      <w:jc w:val="both"/>
      <w:outlineLvl w:val="4"/>
    </w:pPr>
    <w:rPr>
      <w:b/>
      <w:bCs/>
      <w:sz w:val="24"/>
      <w:szCs w:val="24"/>
    </w:rPr>
  </w:style>
  <w:style w:type="paragraph" w:styleId="Ttulo6">
    <w:name w:val="heading 6"/>
    <w:basedOn w:val="Normal"/>
    <w:next w:val="Normal"/>
    <w:link w:val="Ttulo6Car"/>
    <w:unhideWhenUsed/>
    <w:qFormat/>
    <w:pPr>
      <w:keepNext/>
      <w:ind w:left="-142"/>
      <w:jc w:val="both"/>
      <w:outlineLvl w:val="5"/>
    </w:pPr>
    <w:rPr>
      <w:b/>
      <w:bCs/>
    </w:rPr>
  </w:style>
  <w:style w:type="paragraph" w:styleId="Ttulo7">
    <w:name w:val="heading 7"/>
    <w:basedOn w:val="Normal"/>
    <w:next w:val="Normal"/>
    <w:link w:val="Ttulo7Car"/>
    <w:unhideWhenUsed/>
    <w:qFormat/>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link w:val="Ttulo8Car"/>
    <w:unhideWhenUsed/>
    <w:qFormat/>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nhideWhenUsed/>
    <w:qFormat/>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qFormat/>
    <w:rPr>
      <w:vertAlign w:val="superscript"/>
    </w:rPr>
  </w:style>
  <w:style w:type="character" w:styleId="Refdecomentario">
    <w:name w:val="annotation reference"/>
    <w:basedOn w:val="Fuentedeprrafopredeter"/>
    <w:uiPriority w:val="99"/>
    <w:unhideWhenUsed/>
    <w:qFormat/>
    <w:rPr>
      <w:sz w:val="16"/>
      <w:szCs w:val="16"/>
    </w:rPr>
  </w:style>
  <w:style w:type="character" w:styleId="Refdenotaalpie">
    <w:name w:val="footnote reference"/>
    <w:basedOn w:val="Fuentedeprrafopredeter"/>
    <w:qFormat/>
    <w:rPr>
      <w:rFonts w:cs="Times New Roman"/>
      <w:vertAlign w:val="superscript"/>
    </w:rPr>
  </w:style>
  <w:style w:type="character" w:styleId="nfasis">
    <w:name w:val="Emphasis"/>
    <w:basedOn w:val="Fuentedeprrafopredeter"/>
    <w:qFormat/>
    <w:rPr>
      <w:i/>
    </w:rPr>
  </w:style>
  <w:style w:type="character" w:styleId="Hipervnculo">
    <w:name w:val="Hyperlink"/>
    <w:basedOn w:val="Fuentedeprrafopredeter"/>
    <w:uiPriority w:val="99"/>
    <w:qFormat/>
    <w:rPr>
      <w:color w:val="0000FF"/>
      <w:u w:val="single"/>
    </w:rPr>
  </w:style>
  <w:style w:type="character" w:styleId="Hipervnculovisitado">
    <w:name w:val="FollowedHyperlink"/>
    <w:basedOn w:val="Fuentedeprrafopredeter"/>
    <w:qFormat/>
    <w:rPr>
      <w:color w:val="800080"/>
      <w:u w:val="single"/>
    </w:rPr>
  </w:style>
  <w:style w:type="character" w:styleId="Nmerodepgina">
    <w:name w:val="page number"/>
    <w:basedOn w:val="Fuentedeprrafopredeter"/>
    <w:qFormat/>
    <w:rPr>
      <w:rFonts w:cs="Times New Roman"/>
    </w:rPr>
  </w:style>
  <w:style w:type="character" w:styleId="Textoennegrita">
    <w:name w:val="Strong"/>
    <w:basedOn w:val="Fuentedeprrafopredeter"/>
    <w:qFormat/>
    <w:rPr>
      <w:b/>
      <w:bCs/>
    </w:rPr>
  </w:style>
  <w:style w:type="paragraph" w:styleId="Continuarlista2">
    <w:name w:val="List Continue 2"/>
    <w:basedOn w:val="Normal"/>
    <w:qFormat/>
    <w:pPr>
      <w:autoSpaceDE w:val="0"/>
      <w:autoSpaceDN w:val="0"/>
      <w:adjustRightInd w:val="0"/>
      <w:spacing w:after="120"/>
      <w:ind w:left="566"/>
      <w:contextualSpacing/>
    </w:pPr>
    <w:rPr>
      <w:rFonts w:eastAsia="ヒラギノ角ゴ Pro W3" w:cs="Times New Roman"/>
      <w:color w:val="000000"/>
      <w:szCs w:val="24"/>
      <w:lang w:eastAsia="es-PE"/>
    </w:rPr>
  </w:style>
  <w:style w:type="paragraph" w:styleId="ndice1">
    <w:name w:val="index 1"/>
    <w:basedOn w:val="Normal"/>
    <w:next w:val="Normal"/>
    <w:uiPriority w:val="99"/>
    <w:unhideWhenUsed/>
    <w:qFormat/>
    <w:pPr>
      <w:ind w:left="220" w:hanging="220"/>
    </w:pPr>
    <w:rPr>
      <w:rFonts w:asciiTheme="minorHAnsi" w:hAnsiTheme="minorHAnsi"/>
      <w:sz w:val="18"/>
      <w:szCs w:val="18"/>
    </w:rPr>
  </w:style>
  <w:style w:type="paragraph" w:styleId="TDC3">
    <w:name w:val="toc 3"/>
    <w:basedOn w:val="Normal"/>
    <w:next w:val="Normal"/>
    <w:uiPriority w:val="39"/>
    <w:unhideWhenUsed/>
    <w:qFormat/>
    <w:pPr>
      <w:ind w:left="220"/>
    </w:pPr>
    <w:rPr>
      <w:rFonts w:asciiTheme="minorHAnsi" w:hAnsiTheme="minorHAnsi"/>
      <w:sz w:val="20"/>
      <w:szCs w:val="20"/>
    </w:rPr>
  </w:style>
  <w:style w:type="paragraph" w:styleId="ndice7">
    <w:name w:val="index 7"/>
    <w:basedOn w:val="Normal"/>
    <w:next w:val="Normal"/>
    <w:uiPriority w:val="99"/>
    <w:unhideWhenUsed/>
    <w:qFormat/>
    <w:pPr>
      <w:ind w:left="1540" w:hanging="220"/>
    </w:pPr>
    <w:rPr>
      <w:rFonts w:asciiTheme="minorHAnsi" w:hAnsiTheme="minorHAnsi"/>
      <w:sz w:val="18"/>
      <w:szCs w:val="18"/>
    </w:rPr>
  </w:style>
  <w:style w:type="paragraph" w:styleId="Textonotapie">
    <w:name w:val="footnote text"/>
    <w:basedOn w:val="Normal"/>
    <w:link w:val="TextonotapieCar"/>
    <w:unhideWhenUsed/>
    <w:qFormat/>
    <w:rPr>
      <w:sz w:val="20"/>
      <w:szCs w:val="20"/>
    </w:rPr>
  </w:style>
  <w:style w:type="paragraph" w:styleId="TDC9">
    <w:name w:val="toc 9"/>
    <w:basedOn w:val="Normal"/>
    <w:next w:val="Normal"/>
    <w:uiPriority w:val="39"/>
    <w:unhideWhenUsed/>
    <w:qFormat/>
    <w:pPr>
      <w:ind w:left="1540"/>
    </w:pPr>
    <w:rPr>
      <w:rFonts w:asciiTheme="minorHAnsi" w:hAnsiTheme="minorHAnsi"/>
      <w:sz w:val="20"/>
      <w:szCs w:val="20"/>
    </w:rPr>
  </w:style>
  <w:style w:type="paragraph" w:styleId="Descripcin">
    <w:name w:val="caption"/>
    <w:basedOn w:val="Normal0"/>
    <w:next w:val="Normal0"/>
    <w:qFormat/>
    <w:pPr>
      <w:widowControl w:val="0"/>
      <w:spacing w:after="0" w:line="240" w:lineRule="auto"/>
    </w:pPr>
    <w:rPr>
      <w:rFonts w:ascii="Times New Roman" w:hAnsi="Times New Roman"/>
      <w:b/>
      <w:caps/>
      <w:sz w:val="16"/>
      <w:szCs w:val="18"/>
    </w:rPr>
  </w:style>
  <w:style w:type="paragraph" w:customStyle="1" w:styleId="Normal0">
    <w:name w:val="Normal0"/>
    <w:qFormat/>
    <w:pPr>
      <w:autoSpaceDE w:val="0"/>
      <w:autoSpaceDN w:val="0"/>
      <w:adjustRightInd w:val="0"/>
      <w:spacing w:after="200" w:line="276" w:lineRule="auto"/>
    </w:pPr>
    <w:rPr>
      <w:rFonts w:ascii="Calibri" w:eastAsia="Times New Roman" w:hAnsi="Calibri" w:cs="Calibri"/>
      <w:sz w:val="22"/>
      <w:szCs w:val="22"/>
    </w:rPr>
  </w:style>
  <w:style w:type="paragraph" w:styleId="TDC7">
    <w:name w:val="toc 7"/>
    <w:basedOn w:val="Normal"/>
    <w:next w:val="Normal"/>
    <w:uiPriority w:val="39"/>
    <w:unhideWhenUsed/>
    <w:qFormat/>
    <w:pPr>
      <w:ind w:left="1100"/>
    </w:pPr>
    <w:rPr>
      <w:rFonts w:asciiTheme="minorHAnsi" w:hAnsiTheme="minorHAnsi"/>
      <w:sz w:val="20"/>
      <w:szCs w:val="20"/>
    </w:rPr>
  </w:style>
  <w:style w:type="paragraph" w:styleId="TDC1">
    <w:name w:val="toc 1"/>
    <w:basedOn w:val="Normal"/>
    <w:next w:val="Normal"/>
    <w:uiPriority w:val="39"/>
    <w:unhideWhenUsed/>
    <w:qFormat/>
    <w:pPr>
      <w:spacing w:before="360"/>
    </w:pPr>
    <w:rPr>
      <w:rFonts w:asciiTheme="majorHAnsi" w:hAnsiTheme="majorHAnsi" w:cstheme="majorHAnsi"/>
      <w:b/>
      <w:bCs/>
      <w:caps/>
      <w:sz w:val="24"/>
      <w:szCs w:val="24"/>
    </w:rPr>
  </w:style>
  <w:style w:type="paragraph" w:styleId="Encabezadodelista">
    <w:name w:val="toa heading"/>
    <w:basedOn w:val="Normal"/>
    <w:next w:val="Normal"/>
    <w:uiPriority w:val="99"/>
    <w:qFormat/>
    <w:pPr>
      <w:autoSpaceDE w:val="0"/>
      <w:autoSpaceDN w:val="0"/>
      <w:adjustRightInd w:val="0"/>
      <w:spacing w:before="120"/>
    </w:pPr>
    <w:rPr>
      <w:rFonts w:ascii="Calibri Light" w:eastAsia="Yu Gothic Light" w:hAnsi="Calibri Light" w:cs="Times New Roman"/>
      <w:b/>
      <w:color w:val="000000"/>
      <w:sz w:val="24"/>
      <w:szCs w:val="24"/>
      <w:lang w:eastAsia="es-PE"/>
    </w:rPr>
  </w:style>
  <w:style w:type="paragraph" w:styleId="ndice4">
    <w:name w:val="index 4"/>
    <w:basedOn w:val="Normal"/>
    <w:next w:val="Normal"/>
    <w:uiPriority w:val="99"/>
    <w:unhideWhenUsed/>
    <w:qFormat/>
    <w:pPr>
      <w:ind w:left="880" w:hanging="220"/>
    </w:pPr>
    <w:rPr>
      <w:rFonts w:asciiTheme="minorHAnsi" w:hAnsiTheme="minorHAnsi"/>
      <w:sz w:val="18"/>
      <w:szCs w:val="18"/>
    </w:rPr>
  </w:style>
  <w:style w:type="paragraph" w:styleId="Mapadeldocumento">
    <w:name w:val="Document Map"/>
    <w:basedOn w:val="Normal0"/>
    <w:link w:val="MapadeldocumentoCar"/>
    <w:qFormat/>
    <w:pPr>
      <w:shd w:val="clear" w:color="auto" w:fill="000080"/>
    </w:pPr>
    <w:rPr>
      <w:rFonts w:ascii="Tahoma" w:hAnsi="Tahoma" w:cs="Tahoma"/>
      <w:sz w:val="20"/>
      <w:szCs w:val="20"/>
    </w:rPr>
  </w:style>
  <w:style w:type="paragraph" w:styleId="TDC8">
    <w:name w:val="toc 8"/>
    <w:basedOn w:val="Normal"/>
    <w:next w:val="Normal"/>
    <w:uiPriority w:val="39"/>
    <w:unhideWhenUsed/>
    <w:qFormat/>
    <w:pPr>
      <w:ind w:left="1320"/>
    </w:pPr>
    <w:rPr>
      <w:rFonts w:asciiTheme="minorHAnsi" w:hAnsiTheme="minorHAnsi"/>
      <w:sz w:val="20"/>
      <w:szCs w:val="20"/>
    </w:rPr>
  </w:style>
  <w:style w:type="paragraph" w:styleId="TDC2">
    <w:name w:val="toc 2"/>
    <w:basedOn w:val="Normal"/>
    <w:next w:val="Normal"/>
    <w:uiPriority w:val="39"/>
    <w:unhideWhenUsed/>
    <w:qFormat/>
    <w:pPr>
      <w:spacing w:before="240"/>
    </w:pPr>
    <w:rPr>
      <w:rFonts w:asciiTheme="minorHAnsi" w:hAnsiTheme="minorHAnsi"/>
      <w:b/>
      <w:bCs/>
      <w:sz w:val="20"/>
      <w:szCs w:val="20"/>
    </w:rPr>
  </w:style>
  <w:style w:type="paragraph" w:styleId="Textomacro">
    <w:name w:val="macro"/>
    <w:link w:val="TextomacroCar"/>
    <w:uiPriority w:val="99"/>
    <w:qFormat/>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eastAsia="ヒラギノ角ゴ Pro W3" w:hAnsi="Consolas" w:cs="Consolas"/>
      <w:color w:val="000000"/>
    </w:rPr>
  </w:style>
  <w:style w:type="paragraph" w:styleId="ndice3">
    <w:name w:val="index 3"/>
    <w:basedOn w:val="Normal"/>
    <w:next w:val="Normal"/>
    <w:uiPriority w:val="99"/>
    <w:unhideWhenUsed/>
    <w:qFormat/>
    <w:pPr>
      <w:ind w:left="660" w:hanging="220"/>
    </w:pPr>
    <w:rPr>
      <w:rFonts w:asciiTheme="minorHAnsi" w:hAnsiTheme="minorHAnsi"/>
      <w:sz w:val="18"/>
      <w:szCs w:val="18"/>
    </w:rPr>
  </w:style>
  <w:style w:type="paragraph" w:styleId="Textonotaalfinal">
    <w:name w:val="endnote text"/>
    <w:basedOn w:val="Normal"/>
    <w:link w:val="TextonotaalfinalCar"/>
    <w:unhideWhenUsed/>
    <w:qFormat/>
    <w:rPr>
      <w:sz w:val="20"/>
      <w:szCs w:val="20"/>
    </w:rPr>
  </w:style>
  <w:style w:type="paragraph" w:styleId="Continuarlista3">
    <w:name w:val="List Continue 3"/>
    <w:basedOn w:val="Normal"/>
    <w:qFormat/>
    <w:pPr>
      <w:autoSpaceDE w:val="0"/>
      <w:autoSpaceDN w:val="0"/>
      <w:adjustRightInd w:val="0"/>
      <w:spacing w:after="120"/>
      <w:ind w:left="849"/>
      <w:contextualSpacing/>
    </w:pPr>
    <w:rPr>
      <w:rFonts w:eastAsia="ヒラギノ角ゴ Pro W3" w:cs="Times New Roman"/>
      <w:color w:val="000000"/>
      <w:szCs w:val="24"/>
      <w:lang w:eastAsia="es-PE"/>
    </w:rPr>
  </w:style>
  <w:style w:type="paragraph" w:styleId="ndice8">
    <w:name w:val="index 8"/>
    <w:basedOn w:val="Normal"/>
    <w:next w:val="Normal"/>
    <w:uiPriority w:val="99"/>
    <w:unhideWhenUsed/>
    <w:qFormat/>
    <w:pPr>
      <w:ind w:left="1760" w:hanging="220"/>
    </w:pPr>
    <w:rPr>
      <w:rFonts w:asciiTheme="minorHAnsi" w:hAnsiTheme="minorHAnsi"/>
      <w:sz w:val="18"/>
      <w:szCs w:val="18"/>
    </w:rPr>
  </w:style>
  <w:style w:type="paragraph" w:styleId="ndice5">
    <w:name w:val="index 5"/>
    <w:basedOn w:val="Normal"/>
    <w:next w:val="Normal"/>
    <w:uiPriority w:val="99"/>
    <w:unhideWhenUsed/>
    <w:qFormat/>
    <w:pPr>
      <w:ind w:left="1100" w:hanging="220"/>
    </w:pPr>
    <w:rPr>
      <w:rFonts w:asciiTheme="minorHAnsi" w:hAnsiTheme="minorHAnsi"/>
      <w:sz w:val="18"/>
      <w:szCs w:val="18"/>
    </w:rPr>
  </w:style>
  <w:style w:type="paragraph" w:styleId="ndice2">
    <w:name w:val="index 2"/>
    <w:basedOn w:val="Normal"/>
    <w:next w:val="Normal"/>
    <w:uiPriority w:val="99"/>
    <w:unhideWhenUsed/>
    <w:qFormat/>
    <w:pPr>
      <w:ind w:left="440" w:hanging="220"/>
    </w:pPr>
    <w:rPr>
      <w:rFonts w:asciiTheme="minorHAnsi" w:hAnsiTheme="minorHAnsi"/>
      <w:sz w:val="18"/>
      <w:szCs w:val="18"/>
    </w:rPr>
  </w:style>
  <w:style w:type="paragraph" w:styleId="Asuntodelcomentario">
    <w:name w:val="annotation subject"/>
    <w:basedOn w:val="Textocomentario"/>
    <w:next w:val="Textocomentario"/>
    <w:link w:val="AsuntodelcomentarioCar"/>
    <w:unhideWhenUsed/>
    <w:qFormat/>
    <w:rPr>
      <w:b/>
      <w:bCs/>
    </w:rPr>
  </w:style>
  <w:style w:type="paragraph" w:styleId="Textocomentario">
    <w:name w:val="annotation text"/>
    <w:basedOn w:val="Normal"/>
    <w:link w:val="TextocomentarioCar"/>
    <w:uiPriority w:val="99"/>
    <w:unhideWhenUsed/>
    <w:qFormat/>
    <w:rPr>
      <w:sz w:val="20"/>
      <w:szCs w:val="20"/>
    </w:rPr>
  </w:style>
  <w:style w:type="paragraph" w:styleId="Textodeglobo">
    <w:name w:val="Balloon Text"/>
    <w:basedOn w:val="Normal"/>
    <w:link w:val="TextodegloboCar"/>
    <w:unhideWhenUsed/>
    <w:qFormat/>
    <w:rPr>
      <w:rFonts w:ascii="Segoe UI" w:hAnsi="Segoe UI" w:cs="Segoe UI"/>
      <w:sz w:val="18"/>
      <w:szCs w:val="18"/>
    </w:rPr>
  </w:style>
  <w:style w:type="paragraph" w:styleId="Cierre">
    <w:name w:val="Closing"/>
    <w:basedOn w:val="Normal0"/>
    <w:link w:val="CierreCar"/>
    <w:qFormat/>
    <w:pPr>
      <w:spacing w:after="0" w:line="240" w:lineRule="auto"/>
      <w:ind w:left="4252"/>
    </w:pPr>
  </w:style>
  <w:style w:type="paragraph" w:styleId="TDC6">
    <w:name w:val="toc 6"/>
    <w:basedOn w:val="Normal"/>
    <w:next w:val="Normal"/>
    <w:uiPriority w:val="39"/>
    <w:unhideWhenUsed/>
    <w:qFormat/>
    <w:pPr>
      <w:ind w:left="880"/>
    </w:pPr>
    <w:rPr>
      <w:rFonts w:asciiTheme="minorHAnsi" w:hAnsiTheme="minorHAnsi"/>
      <w:sz w:val="20"/>
      <w:szCs w:val="20"/>
    </w:rPr>
  </w:style>
  <w:style w:type="paragraph" w:styleId="TDC5">
    <w:name w:val="toc 5"/>
    <w:basedOn w:val="Normal"/>
    <w:next w:val="Normal"/>
    <w:uiPriority w:val="39"/>
    <w:unhideWhenUsed/>
    <w:qFormat/>
    <w:pPr>
      <w:ind w:left="660"/>
    </w:pPr>
    <w:rPr>
      <w:rFonts w:asciiTheme="minorHAnsi" w:hAnsiTheme="minorHAnsi"/>
      <w:sz w:val="20"/>
      <w:szCs w:val="20"/>
    </w:rPr>
  </w:style>
  <w:style w:type="paragraph" w:styleId="Tabladeilustraciones">
    <w:name w:val="table of figures"/>
    <w:basedOn w:val="Normal"/>
    <w:next w:val="Normal"/>
    <w:uiPriority w:val="99"/>
    <w:qFormat/>
    <w:pPr>
      <w:tabs>
        <w:tab w:val="left" w:leader="dot" w:pos="8080"/>
        <w:tab w:val="left" w:pos="8494"/>
      </w:tabs>
      <w:autoSpaceDE w:val="0"/>
      <w:autoSpaceDN w:val="0"/>
      <w:adjustRightInd w:val="0"/>
      <w:spacing w:before="40" w:after="240" w:line="360" w:lineRule="exact"/>
      <w:ind w:left="482" w:right="1276" w:hanging="482"/>
      <w:jc w:val="both"/>
    </w:pPr>
    <w:rPr>
      <w:rFonts w:ascii="Humanst521 BT" w:eastAsiaTheme="minorEastAsia" w:hAnsi="Humanst521 BT" w:cs="Times New Roman"/>
      <w:sz w:val="20"/>
      <w:szCs w:val="20"/>
      <w:lang w:val="es-ES" w:eastAsia="es-PE"/>
    </w:rPr>
  </w:style>
  <w:style w:type="paragraph" w:styleId="ndice9">
    <w:name w:val="index 9"/>
    <w:basedOn w:val="Normal"/>
    <w:next w:val="Normal"/>
    <w:uiPriority w:val="99"/>
    <w:unhideWhenUsed/>
    <w:qFormat/>
    <w:pPr>
      <w:ind w:left="1980" w:hanging="220"/>
    </w:pPr>
    <w:rPr>
      <w:rFonts w:asciiTheme="minorHAnsi" w:hAnsiTheme="minorHAnsi"/>
      <w:sz w:val="18"/>
      <w:szCs w:val="18"/>
    </w:rPr>
  </w:style>
  <w:style w:type="paragraph" w:styleId="TDC4">
    <w:name w:val="toc 4"/>
    <w:basedOn w:val="Normal"/>
    <w:next w:val="Normal"/>
    <w:uiPriority w:val="39"/>
    <w:unhideWhenUsed/>
    <w:qFormat/>
    <w:pPr>
      <w:ind w:left="440"/>
    </w:pPr>
    <w:rPr>
      <w:rFonts w:asciiTheme="minorHAnsi" w:hAnsiTheme="minorHAnsi"/>
      <w:sz w:val="20"/>
      <w:szCs w:val="20"/>
    </w:rPr>
  </w:style>
  <w:style w:type="paragraph" w:styleId="ndice6">
    <w:name w:val="index 6"/>
    <w:basedOn w:val="Normal"/>
    <w:next w:val="Normal"/>
    <w:uiPriority w:val="99"/>
    <w:unhideWhenUsed/>
    <w:qFormat/>
    <w:pPr>
      <w:ind w:left="1320" w:hanging="220"/>
    </w:pPr>
    <w:rPr>
      <w:rFonts w:asciiTheme="minorHAnsi" w:hAnsiTheme="minorHAnsi"/>
      <w:sz w:val="18"/>
      <w:szCs w:val="18"/>
    </w:rPr>
  </w:style>
  <w:style w:type="paragraph" w:styleId="Continuarlista">
    <w:name w:val="List Continue"/>
    <w:basedOn w:val="Normal0"/>
    <w:qFormat/>
    <w:pPr>
      <w:spacing w:after="120" w:line="240" w:lineRule="auto"/>
      <w:ind w:left="283"/>
    </w:pPr>
    <w:rPr>
      <w:rFonts w:ascii="Times New Roman" w:eastAsiaTheme="minorEastAsia" w:hAnsi="Times New Roman"/>
      <w:sz w:val="24"/>
      <w:szCs w:val="24"/>
    </w:rPr>
  </w:style>
  <w:style w:type="paragraph" w:styleId="Textoconsangra">
    <w:name w:val="table of authorities"/>
    <w:basedOn w:val="Normal"/>
    <w:next w:val="Normal"/>
    <w:uiPriority w:val="99"/>
    <w:qFormat/>
    <w:pPr>
      <w:autoSpaceDE w:val="0"/>
      <w:autoSpaceDN w:val="0"/>
      <w:adjustRightInd w:val="0"/>
      <w:ind w:left="220" w:hanging="220"/>
    </w:pPr>
    <w:rPr>
      <w:rFonts w:eastAsia="ヒラギノ角ゴ Pro W3" w:cs="Times New Roman"/>
      <w:color w:val="000000"/>
      <w:szCs w:val="24"/>
      <w:lang w:eastAsia="es-PE"/>
    </w:rPr>
  </w:style>
  <w:style w:type="paragraph" w:styleId="Ttulodendice">
    <w:name w:val="index heading"/>
    <w:basedOn w:val="Normal"/>
    <w:next w:val="ndice1"/>
    <w:uiPriority w:val="99"/>
    <w:unhideWhenUsed/>
    <w:qFormat/>
    <w:pPr>
      <w:spacing w:before="240" w:after="120"/>
      <w:jc w:val="center"/>
    </w:pPr>
    <w:rPr>
      <w:rFonts w:asciiTheme="minorHAnsi" w:hAnsiTheme="minorHAnsi"/>
      <w:b/>
      <w:bCs/>
      <w:sz w:val="26"/>
      <w:szCs w:val="26"/>
    </w:rPr>
  </w:style>
  <w:style w:type="paragraph" w:styleId="Continuarlista4">
    <w:name w:val="List Continue 4"/>
    <w:basedOn w:val="Normal0"/>
    <w:uiPriority w:val="99"/>
    <w:qFormat/>
    <w:pPr>
      <w:spacing w:after="120"/>
      <w:ind w:left="1132"/>
      <w:contextualSpacing/>
    </w:pPr>
  </w:style>
  <w:style w:type="paragraph" w:styleId="Textoindependiente2">
    <w:name w:val="Body Text 2"/>
    <w:basedOn w:val="Normal0"/>
    <w:link w:val="Textoindependiente2Car"/>
    <w:qFormat/>
    <w:pPr>
      <w:spacing w:after="0" w:line="240" w:lineRule="auto"/>
      <w:jc w:val="center"/>
    </w:pPr>
    <w:rPr>
      <w:rFonts w:ascii="Times New Roman" w:eastAsiaTheme="minorEastAsia" w:hAnsi="Times New Roman"/>
      <w:b/>
      <w:sz w:val="28"/>
      <w:szCs w:val="20"/>
    </w:rPr>
  </w:style>
  <w:style w:type="paragraph" w:styleId="Lista3">
    <w:name w:val="List 3"/>
    <w:basedOn w:val="Normal0"/>
    <w:qFormat/>
    <w:pPr>
      <w:spacing w:after="0" w:line="240" w:lineRule="auto"/>
      <w:ind w:left="849" w:hanging="283"/>
    </w:pPr>
    <w:rPr>
      <w:rFonts w:ascii="Times New Roman" w:eastAsiaTheme="minorEastAsia" w:hAnsi="Times New Roman"/>
      <w:sz w:val="24"/>
      <w:szCs w:val="24"/>
    </w:rPr>
  </w:style>
  <w:style w:type="paragraph" w:styleId="Encabezadodenota">
    <w:name w:val="Note Heading"/>
    <w:basedOn w:val="Normal"/>
    <w:next w:val="Normal"/>
    <w:link w:val="EncabezadodenotaCar"/>
    <w:qFormat/>
    <w:pPr>
      <w:autoSpaceDE w:val="0"/>
      <w:autoSpaceDN w:val="0"/>
      <w:adjustRightInd w:val="0"/>
    </w:pPr>
    <w:rPr>
      <w:rFonts w:eastAsia="ヒラギノ角ゴ Pro W3" w:cs="Times New Roman"/>
      <w:color w:val="000000"/>
      <w:szCs w:val="24"/>
      <w:lang w:eastAsia="es-PE"/>
    </w:rPr>
  </w:style>
  <w:style w:type="paragraph" w:styleId="Remitedesobre">
    <w:name w:val="envelope return"/>
    <w:basedOn w:val="Normal"/>
    <w:uiPriority w:val="99"/>
    <w:qFormat/>
    <w:pPr>
      <w:autoSpaceDE w:val="0"/>
      <w:autoSpaceDN w:val="0"/>
      <w:adjustRightInd w:val="0"/>
    </w:pPr>
    <w:rPr>
      <w:rFonts w:ascii="Calibri Light" w:eastAsia="Yu Gothic Light" w:hAnsi="Calibri Light" w:cs="Times New Roman"/>
      <w:color w:val="000000"/>
      <w:sz w:val="20"/>
      <w:szCs w:val="20"/>
      <w:lang w:eastAsia="es-PE"/>
    </w:rPr>
  </w:style>
  <w:style w:type="paragraph" w:styleId="Continuarlista5">
    <w:name w:val="List Continue 5"/>
    <w:basedOn w:val="Normal"/>
    <w:uiPriority w:val="99"/>
    <w:qFormat/>
    <w:pPr>
      <w:autoSpaceDE w:val="0"/>
      <w:autoSpaceDN w:val="0"/>
      <w:adjustRightInd w:val="0"/>
      <w:spacing w:after="120"/>
      <w:ind w:left="1415"/>
      <w:contextualSpacing/>
    </w:pPr>
    <w:rPr>
      <w:rFonts w:eastAsia="ヒラギノ角ゴ Pro W3" w:cs="Times New Roman"/>
      <w:color w:val="000000"/>
      <w:szCs w:val="24"/>
      <w:lang w:eastAsia="es-PE"/>
    </w:rPr>
  </w:style>
  <w:style w:type="paragraph" w:styleId="Listaconnmeros2">
    <w:name w:val="List Number 2"/>
    <w:basedOn w:val="Normal0"/>
    <w:unhideWhenUsed/>
    <w:qFormat/>
    <w:pPr>
      <w:numPr>
        <w:numId w:val="1"/>
      </w:numPr>
      <w:tabs>
        <w:tab w:val="left" w:pos="643"/>
      </w:tabs>
      <w:autoSpaceDE/>
      <w:autoSpaceDN/>
      <w:adjustRightInd/>
      <w:spacing w:after="0" w:line="240" w:lineRule="auto"/>
      <w:ind w:left="643"/>
    </w:pPr>
    <w:rPr>
      <w:rFonts w:ascii="Times New Roman" w:hAnsi="Times New Roman"/>
      <w:sz w:val="24"/>
      <w:szCs w:val="24"/>
      <w:lang w:eastAsia="es-ES"/>
    </w:rPr>
  </w:style>
  <w:style w:type="paragraph" w:styleId="Encabezado">
    <w:name w:val="header"/>
    <w:basedOn w:val="Normal"/>
    <w:link w:val="EncabezadoCar"/>
    <w:unhideWhenUsed/>
    <w:qFormat/>
    <w:pPr>
      <w:tabs>
        <w:tab w:val="center" w:pos="4680"/>
        <w:tab w:val="right" w:pos="9360"/>
      </w:tabs>
    </w:pPr>
  </w:style>
  <w:style w:type="paragraph" w:styleId="DireccinHTML">
    <w:name w:val="HTML Address"/>
    <w:basedOn w:val="Normal"/>
    <w:link w:val="DireccinHTMLCar"/>
    <w:uiPriority w:val="99"/>
    <w:qFormat/>
    <w:pPr>
      <w:autoSpaceDE w:val="0"/>
      <w:autoSpaceDN w:val="0"/>
      <w:adjustRightInd w:val="0"/>
    </w:pPr>
    <w:rPr>
      <w:rFonts w:eastAsia="ヒラギノ角ゴ Pro W3" w:cs="Times New Roman"/>
      <w:i/>
      <w:color w:val="000000"/>
      <w:szCs w:val="24"/>
      <w:lang w:eastAsia="es-PE"/>
    </w:rPr>
  </w:style>
  <w:style w:type="paragraph" w:styleId="Listaconnmeros4">
    <w:name w:val="List Number 4"/>
    <w:basedOn w:val="Normal0"/>
    <w:uiPriority w:val="99"/>
    <w:unhideWhenUsed/>
    <w:qFormat/>
    <w:pPr>
      <w:numPr>
        <w:numId w:val="2"/>
      </w:numPr>
      <w:tabs>
        <w:tab w:val="left" w:pos="1209"/>
      </w:tabs>
      <w:autoSpaceDE/>
      <w:autoSpaceDN/>
      <w:adjustRightInd/>
      <w:spacing w:after="0" w:line="240" w:lineRule="auto"/>
      <w:ind w:left="1209"/>
    </w:pPr>
    <w:rPr>
      <w:rFonts w:ascii="Times New Roman" w:hAnsi="Times New Roman"/>
      <w:sz w:val="24"/>
      <w:szCs w:val="20"/>
    </w:rPr>
  </w:style>
  <w:style w:type="paragraph" w:styleId="Listaconnmeros3">
    <w:name w:val="List Number 3"/>
    <w:basedOn w:val="Default"/>
    <w:next w:val="Default"/>
    <w:uiPriority w:val="99"/>
    <w:unhideWhenUsed/>
    <w:qFormat/>
    <w:pPr>
      <w:spacing w:after="240"/>
    </w:pPr>
    <w:rPr>
      <w:rFonts w:ascii="FAALAJ+TimesNewRoman" w:eastAsia="Times New Roman" w:hAnsi="FAALAJ+TimesNewRoman" w:cs="Times New Roman"/>
      <w:color w:val="auto"/>
      <w:lang w:eastAsia="es-ES"/>
    </w:rPr>
  </w:style>
  <w:style w:type="paragraph" w:customStyle="1" w:styleId="Default">
    <w:name w:val="Default"/>
    <w:qFormat/>
    <w:pPr>
      <w:autoSpaceDE w:val="0"/>
      <w:autoSpaceDN w:val="0"/>
      <w:adjustRightInd w:val="0"/>
      <w:spacing w:after="200" w:line="276" w:lineRule="auto"/>
    </w:pPr>
    <w:rPr>
      <w:rFonts w:ascii="Tahoma" w:eastAsia="Calibri" w:hAnsi="Tahoma" w:cs="Tahoma"/>
      <w:color w:val="000000"/>
      <w:sz w:val="24"/>
      <w:szCs w:val="24"/>
      <w:lang w:val="es-ES"/>
    </w:rPr>
  </w:style>
  <w:style w:type="paragraph" w:styleId="HTMLconformatoprevio">
    <w:name w:val="HTML Preformatted"/>
    <w:basedOn w:val="Normal"/>
    <w:link w:val="HTMLconformatoprevioCar"/>
    <w:uiPriority w:val="99"/>
    <w:qFormat/>
    <w:pPr>
      <w:tabs>
        <w:tab w:val="left" w:pos="916"/>
        <w:tab w:val="left" w:pos="1832"/>
        <w:tab w:val="left" w:pos="2748"/>
        <w:tab w:val="left" w:pos="3664"/>
        <w:tab w:val="left" w:pos="4580"/>
        <w:tab w:val="left" w:pos="5496"/>
        <w:tab w:val="left" w:pos="6412"/>
        <w:tab w:val="left" w:pos="7328"/>
        <w:tab w:val="left" w:pos="8244"/>
        <w:tab w:val="left" w:pos="8494"/>
      </w:tabs>
      <w:autoSpaceDE w:val="0"/>
      <w:autoSpaceDN w:val="0"/>
      <w:adjustRightInd w:val="0"/>
      <w:spacing w:line="276" w:lineRule="auto"/>
      <w:jc w:val="both"/>
    </w:pPr>
    <w:rPr>
      <w:rFonts w:ascii="Courier New" w:eastAsiaTheme="minorEastAsia" w:hAnsi="Courier New" w:cs="Courier New"/>
      <w:sz w:val="20"/>
      <w:szCs w:val="20"/>
      <w:lang w:val="en-US" w:eastAsia="es-PE"/>
    </w:rPr>
  </w:style>
  <w:style w:type="paragraph" w:styleId="Sangra3detindependiente">
    <w:name w:val="Body Text Indent 3"/>
    <w:basedOn w:val="Normal0"/>
    <w:link w:val="Sangra3detindependienteCar"/>
    <w:qFormat/>
    <w:pPr>
      <w:spacing w:after="120"/>
      <w:ind w:left="283"/>
    </w:pPr>
    <w:rPr>
      <w:sz w:val="16"/>
      <w:szCs w:val="16"/>
    </w:rPr>
  </w:style>
  <w:style w:type="paragraph" w:styleId="Direccinsobre">
    <w:name w:val="envelope address"/>
    <w:basedOn w:val="Normal"/>
    <w:uiPriority w:val="99"/>
    <w:qFormat/>
    <w:pPr>
      <w:framePr w:w="7920" w:h="1980" w:hRule="exact" w:hSpace="141" w:wrap="auto" w:hAnchor="page" w:xAlign="center" w:yAlign="bottom"/>
      <w:autoSpaceDE w:val="0"/>
      <w:autoSpaceDN w:val="0"/>
      <w:adjustRightInd w:val="0"/>
      <w:ind w:left="2880"/>
    </w:pPr>
    <w:rPr>
      <w:rFonts w:ascii="Calibri Light" w:eastAsia="Yu Gothic Light" w:hAnsi="Calibri Light" w:cs="Times New Roman"/>
      <w:color w:val="000000"/>
      <w:sz w:val="24"/>
      <w:szCs w:val="24"/>
      <w:lang w:eastAsia="es-PE"/>
    </w:rPr>
  </w:style>
  <w:style w:type="paragraph" w:styleId="Sangradetextonormal">
    <w:name w:val="Body Text Indent"/>
    <w:basedOn w:val="Normal0"/>
    <w:link w:val="SangradetextonormalCar"/>
    <w:qFormat/>
    <w:pPr>
      <w:spacing w:after="120"/>
      <w:ind w:left="283"/>
    </w:pPr>
  </w:style>
  <w:style w:type="paragraph" w:styleId="Listaconnmeros">
    <w:name w:val="List Number"/>
    <w:basedOn w:val="Normal0"/>
    <w:uiPriority w:val="99"/>
    <w:unhideWhenUsed/>
    <w:qFormat/>
    <w:pPr>
      <w:tabs>
        <w:tab w:val="left" w:pos="360"/>
      </w:tabs>
      <w:autoSpaceDE/>
      <w:autoSpaceDN/>
      <w:adjustRightInd/>
      <w:spacing w:after="0" w:line="240" w:lineRule="auto"/>
      <w:ind w:left="360" w:hanging="360"/>
    </w:pPr>
    <w:rPr>
      <w:rFonts w:ascii="Times New Roman" w:hAnsi="Times New Roman"/>
      <w:sz w:val="24"/>
      <w:szCs w:val="20"/>
    </w:rPr>
  </w:style>
  <w:style w:type="paragraph" w:styleId="Lista2">
    <w:name w:val="List 2"/>
    <w:basedOn w:val="Normal0"/>
    <w:qFormat/>
    <w:pPr>
      <w:spacing w:after="0" w:line="240" w:lineRule="auto"/>
      <w:ind w:left="566" w:hanging="283"/>
    </w:pPr>
    <w:rPr>
      <w:rFonts w:ascii="Times New Roman" w:eastAsiaTheme="minorEastAsia" w:hAnsi="Times New Roman"/>
      <w:sz w:val="24"/>
      <w:szCs w:val="24"/>
    </w:rPr>
  </w:style>
  <w:style w:type="paragraph" w:styleId="Firma">
    <w:name w:val="Signature"/>
    <w:basedOn w:val="Normal0"/>
    <w:link w:val="FirmaCar"/>
    <w:qFormat/>
    <w:pPr>
      <w:spacing w:after="0" w:line="240" w:lineRule="auto"/>
      <w:ind w:left="4252"/>
    </w:pPr>
  </w:style>
  <w:style w:type="paragraph" w:styleId="Listaconvietas3">
    <w:name w:val="List Bullet 3"/>
    <w:basedOn w:val="Normal0"/>
    <w:unhideWhenUsed/>
    <w:qFormat/>
    <w:pPr>
      <w:numPr>
        <w:numId w:val="3"/>
      </w:numPr>
      <w:tabs>
        <w:tab w:val="left" w:pos="926"/>
      </w:tabs>
      <w:autoSpaceDE/>
      <w:autoSpaceDN/>
      <w:adjustRightInd/>
      <w:spacing w:after="0" w:line="240" w:lineRule="auto"/>
      <w:ind w:left="926"/>
    </w:pPr>
    <w:rPr>
      <w:rFonts w:ascii="Times New Roman" w:hAnsi="Times New Roman"/>
      <w:sz w:val="24"/>
      <w:szCs w:val="24"/>
      <w:lang w:eastAsia="es-ES"/>
    </w:rPr>
  </w:style>
  <w:style w:type="paragraph" w:styleId="Encabezadodemensaje">
    <w:name w:val="Message Header"/>
    <w:basedOn w:val="Normal0"/>
    <w:link w:val="EncabezadodemensajeCar"/>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heme="minorEastAsia" w:hAnsi="Cambria"/>
      <w:sz w:val="24"/>
      <w:szCs w:val="24"/>
    </w:rPr>
  </w:style>
  <w:style w:type="paragraph" w:styleId="Listaconnmeros5">
    <w:name w:val="List Number 5"/>
    <w:basedOn w:val="Normal0"/>
    <w:uiPriority w:val="99"/>
    <w:unhideWhenUsed/>
    <w:qFormat/>
    <w:pPr>
      <w:numPr>
        <w:numId w:val="4"/>
      </w:numPr>
      <w:tabs>
        <w:tab w:val="left" w:pos="1492"/>
      </w:tabs>
      <w:autoSpaceDE/>
      <w:autoSpaceDN/>
      <w:adjustRightInd/>
      <w:spacing w:after="0" w:line="240" w:lineRule="auto"/>
      <w:ind w:left="1492"/>
    </w:pPr>
    <w:rPr>
      <w:rFonts w:ascii="Times New Roman" w:hAnsi="Times New Roman"/>
      <w:sz w:val="24"/>
      <w:szCs w:val="20"/>
    </w:rPr>
  </w:style>
  <w:style w:type="paragraph" w:styleId="Firmadecorreoelectrnico">
    <w:name w:val="E-mail Signature"/>
    <w:basedOn w:val="Normal"/>
    <w:link w:val="FirmadecorreoelectrnicoCar"/>
    <w:uiPriority w:val="99"/>
    <w:qFormat/>
    <w:pPr>
      <w:autoSpaceDE w:val="0"/>
      <w:autoSpaceDN w:val="0"/>
      <w:adjustRightInd w:val="0"/>
    </w:pPr>
    <w:rPr>
      <w:rFonts w:eastAsia="ヒラギノ角ゴ Pro W3" w:cs="Times New Roman"/>
      <w:color w:val="000000"/>
      <w:szCs w:val="24"/>
      <w:lang w:eastAsia="es-PE"/>
    </w:rPr>
  </w:style>
  <w:style w:type="paragraph" w:styleId="Listaconvietas5">
    <w:name w:val="List Bullet 5"/>
    <w:basedOn w:val="Normal0"/>
    <w:unhideWhenUsed/>
    <w:qFormat/>
    <w:pPr>
      <w:numPr>
        <w:numId w:val="5"/>
      </w:numPr>
      <w:tabs>
        <w:tab w:val="left" w:pos="1492"/>
      </w:tabs>
      <w:autoSpaceDE/>
      <w:autoSpaceDN/>
      <w:adjustRightInd/>
      <w:spacing w:after="0" w:line="240" w:lineRule="auto"/>
      <w:ind w:left="1492"/>
    </w:pPr>
    <w:rPr>
      <w:rFonts w:ascii="Times New Roman" w:hAnsi="Times New Roman"/>
      <w:sz w:val="24"/>
      <w:szCs w:val="20"/>
    </w:rPr>
  </w:style>
  <w:style w:type="paragraph" w:styleId="Fecha">
    <w:name w:val="Date"/>
    <w:basedOn w:val="Normal0"/>
    <w:next w:val="Normal0"/>
    <w:link w:val="FechaCar"/>
    <w:unhideWhenUsed/>
    <w:qFormat/>
    <w:pPr>
      <w:autoSpaceDE/>
      <w:autoSpaceDN/>
      <w:adjustRightInd/>
    </w:pPr>
    <w:rPr>
      <w:rFonts w:eastAsia="Calibri"/>
    </w:rPr>
  </w:style>
  <w:style w:type="paragraph" w:styleId="Lista5">
    <w:name w:val="List 5"/>
    <w:basedOn w:val="Normal0"/>
    <w:qFormat/>
    <w:pPr>
      <w:ind w:left="1415" w:hanging="283"/>
      <w:contextualSpacing/>
    </w:pPr>
  </w:style>
  <w:style w:type="paragraph" w:styleId="Lista">
    <w:name w:val="List"/>
    <w:basedOn w:val="Normal0"/>
    <w:qFormat/>
    <w:pPr>
      <w:spacing w:after="0" w:line="240" w:lineRule="auto"/>
      <w:ind w:left="283" w:hanging="283"/>
    </w:pPr>
    <w:rPr>
      <w:rFonts w:ascii="Times New Roman" w:eastAsiaTheme="minorEastAsia" w:hAnsi="Times New Roman"/>
      <w:sz w:val="24"/>
      <w:szCs w:val="24"/>
    </w:rPr>
  </w:style>
  <w:style w:type="paragraph" w:styleId="Lista4">
    <w:name w:val="List 4"/>
    <w:basedOn w:val="Normal0"/>
    <w:qFormat/>
    <w:pPr>
      <w:spacing w:after="0" w:line="240" w:lineRule="auto"/>
      <w:ind w:left="1132" w:hanging="283"/>
    </w:pPr>
    <w:rPr>
      <w:rFonts w:ascii="Times New Roman" w:eastAsiaTheme="minorEastAsia" w:hAnsi="Times New Roman"/>
      <w:sz w:val="24"/>
      <w:szCs w:val="24"/>
    </w:rPr>
  </w:style>
  <w:style w:type="paragraph" w:styleId="Listaconvietas">
    <w:name w:val="List Bullet"/>
    <w:basedOn w:val="Normal0"/>
    <w:qFormat/>
    <w:pPr>
      <w:widowControl w:val="0"/>
      <w:tabs>
        <w:tab w:val="left" w:pos="1068"/>
      </w:tabs>
      <w:spacing w:after="0" w:line="240" w:lineRule="auto"/>
      <w:ind w:left="1068" w:hanging="360"/>
    </w:pPr>
    <w:rPr>
      <w:rFonts w:ascii="Times New Roman" w:hAnsi="Times New Roman"/>
      <w:sz w:val="20"/>
      <w:szCs w:val="20"/>
    </w:rPr>
  </w:style>
  <w:style w:type="paragraph" w:styleId="Listaconvietas2">
    <w:name w:val="List Bullet 2"/>
    <w:basedOn w:val="Normal0"/>
    <w:unhideWhenUsed/>
    <w:qFormat/>
    <w:pPr>
      <w:numPr>
        <w:numId w:val="6"/>
      </w:numPr>
      <w:tabs>
        <w:tab w:val="left" w:pos="643"/>
      </w:tabs>
      <w:autoSpaceDE/>
      <w:autoSpaceDN/>
      <w:adjustRightInd/>
      <w:spacing w:after="0" w:line="240" w:lineRule="auto"/>
      <w:ind w:left="643"/>
    </w:pPr>
    <w:rPr>
      <w:rFonts w:ascii="Times New Roman" w:hAnsi="Times New Roman"/>
      <w:sz w:val="24"/>
      <w:szCs w:val="24"/>
      <w:lang w:eastAsia="es-ES"/>
    </w:rPr>
  </w:style>
  <w:style w:type="paragraph" w:styleId="Listaconvietas4">
    <w:name w:val="List Bullet 4"/>
    <w:basedOn w:val="Normal0"/>
    <w:unhideWhenUsed/>
    <w:qFormat/>
    <w:pPr>
      <w:numPr>
        <w:numId w:val="7"/>
      </w:numPr>
      <w:tabs>
        <w:tab w:val="left" w:pos="1209"/>
      </w:tabs>
      <w:autoSpaceDE/>
      <w:autoSpaceDN/>
      <w:adjustRightInd/>
      <w:spacing w:after="0" w:line="240" w:lineRule="auto"/>
      <w:ind w:left="1209"/>
    </w:pPr>
    <w:rPr>
      <w:rFonts w:ascii="Times New Roman" w:hAnsi="Times New Roman"/>
      <w:sz w:val="24"/>
      <w:szCs w:val="20"/>
    </w:rPr>
  </w:style>
  <w:style w:type="paragraph" w:styleId="NormalWeb">
    <w:name w:val="Normal (Web)"/>
    <w:basedOn w:val="Normal0"/>
    <w:uiPriority w:val="99"/>
    <w:qFormat/>
    <w:pPr>
      <w:widowControl w:val="0"/>
      <w:spacing w:before="100" w:after="100" w:line="240" w:lineRule="auto"/>
      <w:jc w:val="both"/>
    </w:pPr>
    <w:rPr>
      <w:rFonts w:ascii="Arial Unicode MS" w:eastAsiaTheme="minorEastAsia" w:hAnsi="Arial Unicode MS"/>
      <w:sz w:val="24"/>
      <w:szCs w:val="20"/>
    </w:rPr>
  </w:style>
  <w:style w:type="paragraph" w:styleId="Piedepgina">
    <w:name w:val="footer"/>
    <w:basedOn w:val="Normal"/>
    <w:link w:val="PiedepginaCar"/>
    <w:uiPriority w:val="99"/>
    <w:unhideWhenUsed/>
    <w:qFormat/>
    <w:pPr>
      <w:tabs>
        <w:tab w:val="center" w:pos="4680"/>
        <w:tab w:val="right" w:pos="9360"/>
      </w:tabs>
    </w:pPr>
  </w:style>
  <w:style w:type="paragraph" w:styleId="Saludo">
    <w:name w:val="Salutation"/>
    <w:basedOn w:val="Normal0"/>
    <w:next w:val="Normal0"/>
    <w:link w:val="SaludoCar"/>
    <w:qFormat/>
    <w:pPr>
      <w:spacing w:after="0" w:line="240" w:lineRule="auto"/>
    </w:pPr>
    <w:rPr>
      <w:rFonts w:ascii="Times New Roman" w:eastAsiaTheme="minorEastAsia" w:hAnsi="Times New Roman"/>
      <w:sz w:val="24"/>
      <w:szCs w:val="24"/>
    </w:rPr>
  </w:style>
  <w:style w:type="paragraph" w:styleId="Sangra2detindependiente">
    <w:name w:val="Body Text Indent 2"/>
    <w:basedOn w:val="Normal0"/>
    <w:link w:val="Sangra2detindependienteCar"/>
    <w:qFormat/>
    <w:pPr>
      <w:spacing w:after="120" w:line="480" w:lineRule="auto"/>
      <w:ind w:left="283"/>
    </w:pPr>
  </w:style>
  <w:style w:type="paragraph" w:styleId="Sangranormal">
    <w:name w:val="Normal Indent"/>
    <w:basedOn w:val="Normal"/>
    <w:uiPriority w:val="99"/>
    <w:qFormat/>
    <w:pPr>
      <w:autoSpaceDE w:val="0"/>
      <w:autoSpaceDN w:val="0"/>
      <w:adjustRightInd w:val="0"/>
      <w:ind w:left="708"/>
    </w:pPr>
    <w:rPr>
      <w:rFonts w:ascii="Times New Roman" w:eastAsiaTheme="minorEastAsia" w:hAnsi="Times New Roman" w:cs="Times New Roman"/>
      <w:szCs w:val="24"/>
      <w:lang w:val="es-ES" w:eastAsia="es-PE"/>
    </w:rPr>
  </w:style>
  <w:style w:type="paragraph" w:styleId="Subttulo">
    <w:name w:val="Subtitle"/>
    <w:basedOn w:val="Normal"/>
    <w:next w:val="Normal"/>
    <w:link w:val="SubttuloCar"/>
    <w:uiPriority w:val="11"/>
    <w:qFormat/>
    <w:pPr>
      <w:jc w:val="both"/>
    </w:pPr>
    <w:rPr>
      <w:b/>
      <w:bCs/>
    </w:rPr>
  </w:style>
  <w:style w:type="paragraph" w:styleId="Textodebloque">
    <w:name w:val="Block Text"/>
    <w:basedOn w:val="Normal0"/>
    <w:unhideWhenUsed/>
    <w:qFormat/>
    <w:pPr>
      <w:tabs>
        <w:tab w:val="left" w:pos="-720"/>
        <w:tab w:val="left" w:pos="709"/>
        <w:tab w:val="left" w:pos="1440"/>
      </w:tabs>
      <w:autoSpaceDE/>
      <w:autoSpaceDN/>
      <w:adjustRightInd/>
      <w:spacing w:after="0" w:line="240" w:lineRule="auto"/>
      <w:ind w:left="1440" w:right="-5"/>
      <w:jc w:val="both"/>
    </w:pPr>
    <w:rPr>
      <w:rFonts w:ascii="Arial" w:eastAsia="Batang" w:hAnsi="Arial"/>
      <w:spacing w:val="-3"/>
      <w:szCs w:val="20"/>
      <w:lang w:eastAsia="ja-JP"/>
    </w:rPr>
  </w:style>
  <w:style w:type="paragraph" w:styleId="Textoindependiente">
    <w:name w:val="Body Text"/>
    <w:basedOn w:val="Normal"/>
    <w:link w:val="TextoindependienteCar"/>
    <w:qFormat/>
    <w:pPr>
      <w:jc w:val="both"/>
    </w:pPr>
    <w:rPr>
      <w:rFonts w:eastAsia="Times New Roman"/>
      <w:bCs/>
      <w:szCs w:val="18"/>
      <w:lang w:eastAsia="es-ES"/>
    </w:rPr>
  </w:style>
  <w:style w:type="paragraph" w:styleId="Textoindependiente3">
    <w:name w:val="Body Text 3"/>
    <w:basedOn w:val="Normal0"/>
    <w:link w:val="Textoindependiente3Car"/>
    <w:qFormat/>
    <w:pPr>
      <w:spacing w:after="120" w:line="240" w:lineRule="auto"/>
    </w:pPr>
    <w:rPr>
      <w:rFonts w:eastAsiaTheme="minorEastAsia"/>
      <w:color w:val="000000"/>
      <w:sz w:val="16"/>
      <w:szCs w:val="16"/>
    </w:rPr>
  </w:style>
  <w:style w:type="paragraph" w:styleId="Textoindependienteprimerasangra">
    <w:name w:val="Body Text First Indent"/>
    <w:basedOn w:val="Textoindependiente"/>
    <w:link w:val="TextoindependienteprimerasangraCar"/>
    <w:qFormat/>
    <w:pPr>
      <w:autoSpaceDE w:val="0"/>
      <w:autoSpaceDN w:val="0"/>
      <w:adjustRightInd w:val="0"/>
      <w:spacing w:after="120"/>
      <w:ind w:firstLine="210"/>
      <w:jc w:val="left"/>
    </w:pPr>
    <w:rPr>
      <w:rFonts w:eastAsiaTheme="minorEastAsia"/>
      <w:bCs w:val="0"/>
      <w:spacing w:val="-3"/>
      <w:sz w:val="24"/>
      <w:szCs w:val="24"/>
      <w:lang w:val="es-PE" w:eastAsia="es-PE"/>
    </w:rPr>
  </w:style>
  <w:style w:type="paragraph" w:styleId="Textoindependienteprimerasangra2">
    <w:name w:val="Body Text First Indent 2"/>
    <w:basedOn w:val="Sangradetextonormal"/>
    <w:link w:val="Textoindependienteprimerasangra2Car"/>
    <w:qFormat/>
    <w:pPr>
      <w:spacing w:line="240" w:lineRule="auto"/>
      <w:ind w:firstLine="210"/>
    </w:pPr>
    <w:rPr>
      <w:rFonts w:ascii="Arial" w:eastAsiaTheme="minorEastAsia" w:hAnsi="Arial" w:cs="Arial"/>
      <w:sz w:val="24"/>
      <w:szCs w:val="24"/>
    </w:rPr>
  </w:style>
  <w:style w:type="paragraph" w:styleId="Textosinformato">
    <w:name w:val="Plain Text"/>
    <w:basedOn w:val="Normal"/>
    <w:link w:val="TextosinformatoCar"/>
    <w:qFormat/>
    <w:rPr>
      <w:rFonts w:ascii="Courier New" w:eastAsia="Times New Roman" w:hAnsi="Courier New"/>
      <w:bCs/>
      <w:szCs w:val="18"/>
      <w:lang w:eastAsia="es-ES"/>
    </w:rPr>
  </w:style>
  <w:style w:type="paragraph" w:styleId="Ttulo">
    <w:name w:val="Title"/>
    <w:basedOn w:val="Normal"/>
    <w:next w:val="Normal"/>
    <w:link w:val="TtuloCar"/>
    <w:qFormat/>
    <w:pPr>
      <w:jc w:val="center"/>
    </w:pPr>
    <w:rPr>
      <w:b/>
      <w:bCs/>
    </w:rPr>
  </w:style>
  <w:style w:type="table" w:styleId="Tablacontema">
    <w:name w:val="Table Theme"/>
    <w:basedOn w:val="Tablanormal"/>
    <w:semiHidden/>
    <w:unhideWhenUsed/>
    <w:qFormat/>
    <w:pPr>
      <w:autoSpaceDE w:val="0"/>
      <w:autoSpaceDN w:val="0"/>
      <w:adjustRightInd w:val="0"/>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qFormat/>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nhideWhenUsed/>
    <w:qFormat/>
    <w:pPr>
      <w:autoSpaceDE w:val="0"/>
      <w:autoSpaceDN w:val="0"/>
      <w:adjustRightInd w:val="0"/>
      <w:spacing w:after="200" w:line="276" w:lineRule="auto"/>
    </w:pPr>
    <w:rPr>
      <w:rFonts w:ascii="Calibri" w:eastAsia="Calibri" w:hAnsi="Calibri" w:cs="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aweb1">
    <w:name w:val="Table Web 1"/>
    <w:basedOn w:val="Tablanormal"/>
    <w:uiPriority w:val="99"/>
    <w:semiHidden/>
    <w:unhideWhenUsed/>
    <w:qFormat/>
    <w:pPr>
      <w:autoSpaceDE w:val="0"/>
      <w:autoSpaceDN w:val="0"/>
      <w:adjustRightInd w:val="0"/>
      <w:spacing w:after="200" w:line="276" w:lineRule="auto"/>
    </w:pPr>
    <w:rPr>
      <w:rFonts w:ascii="Calibri" w:eastAsia="Calibri" w:hAnsi="Calibri" w:cs="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web2">
    <w:name w:val="Table Web 2"/>
    <w:basedOn w:val="Tablanormal"/>
    <w:unhideWhenUsed/>
    <w:qFormat/>
    <w:pPr>
      <w:autoSpaceDE w:val="0"/>
      <w:autoSpaceDN w:val="0"/>
      <w:adjustRightInd w:val="0"/>
      <w:spacing w:after="200" w:line="276" w:lineRule="auto"/>
    </w:pPr>
    <w:rPr>
      <w:rFonts w:ascii="Calibri" w:eastAsia="Calibri" w:hAnsi="Calibri" w:cs="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sutil1">
    <w:name w:val="Table Subtle 1"/>
    <w:basedOn w:val="Tablanormal"/>
    <w:unhideWhenUsed/>
    <w:qFormat/>
    <w:pPr>
      <w:autoSpaceDE w:val="0"/>
      <w:autoSpaceDN w:val="0"/>
      <w:adjustRightInd w:val="0"/>
      <w:spacing w:after="200" w:line="276" w:lineRule="auto"/>
    </w:pPr>
    <w:rPr>
      <w:rFonts w:ascii="Calibri" w:eastAsia="Calibri" w:hAnsi="Calibri" w:cs="Calibri"/>
      <w:sz w:val="22"/>
      <w:szCs w:val="22"/>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lista5">
    <w:name w:val="Table List 5"/>
    <w:basedOn w:val="Tablanormal"/>
    <w:unhideWhenUsed/>
    <w:qFormat/>
    <w:pPr>
      <w:autoSpaceDE w:val="0"/>
      <w:autoSpaceDN w:val="0"/>
      <w:adjustRightInd w:val="0"/>
      <w:spacing w:after="200" w:line="276" w:lineRule="auto"/>
    </w:pPr>
    <w:rPr>
      <w:rFonts w:ascii="Calibri" w:eastAsia="Calibri" w:hAnsi="Calibri" w:cs="Calibr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Style14">
    <w:name w:val="_Style 14"/>
    <w:basedOn w:val="Tablanormal"/>
    <w:qFormat/>
    <w:pPr>
      <w:widowControl w:val="0"/>
      <w:jc w:val="both"/>
    </w:pPr>
    <w:rPr>
      <w:rFonts w:ascii="Calibri" w:eastAsia="Calibri" w:hAnsi="Calibri" w:cs="Calibri"/>
    </w:rPr>
    <w:tblPr/>
    <w:tcPr>
      <w:shd w:val="clear" w:color="auto" w:fill="auto"/>
    </w:tcPr>
  </w:style>
  <w:style w:type="table" w:customStyle="1" w:styleId="Style15">
    <w:name w:val="_Style 15"/>
    <w:basedOn w:val="Tablanormal"/>
    <w:qFormat/>
    <w:pPr>
      <w:widowControl w:val="0"/>
      <w:jc w:val="both"/>
    </w:pPr>
    <w:rPr>
      <w:rFonts w:ascii="Calibri" w:eastAsia="Calibri" w:hAnsi="Calibri" w:cs="Calibri"/>
    </w:rPr>
    <w:tblPr/>
    <w:tcPr>
      <w:shd w:val="clear" w:color="auto" w:fill="auto"/>
    </w:tcPr>
  </w:style>
  <w:style w:type="table" w:customStyle="1" w:styleId="Style16">
    <w:name w:val="_Style 16"/>
    <w:basedOn w:val="Tablanormal"/>
    <w:qFormat/>
    <w:pPr>
      <w:widowControl w:val="0"/>
      <w:jc w:val="both"/>
    </w:pPr>
    <w:rPr>
      <w:rFonts w:ascii="Calibri" w:eastAsia="Calibri" w:hAnsi="Calibri" w:cs="Calibri"/>
    </w:rPr>
    <w:tblPr/>
    <w:tcPr>
      <w:shd w:val="clear" w:color="auto" w:fill="auto"/>
    </w:tcPr>
  </w:style>
  <w:style w:type="table" w:customStyle="1" w:styleId="Style17">
    <w:name w:val="_Style 17"/>
    <w:basedOn w:val="Tablanormal"/>
    <w:qFormat/>
    <w:pPr>
      <w:widowControl w:val="0"/>
      <w:jc w:val="both"/>
    </w:pPr>
    <w:rPr>
      <w:rFonts w:ascii="Calibri" w:eastAsia="Calibri" w:hAnsi="Calibri" w:cs="Calibri"/>
    </w:rPr>
    <w:tblPr/>
    <w:tcPr>
      <w:shd w:val="clear" w:color="auto" w:fill="auto"/>
    </w:tcPr>
  </w:style>
  <w:style w:type="table" w:customStyle="1" w:styleId="Style18">
    <w:name w:val="_Style 18"/>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19">
    <w:name w:val="_Style 19"/>
    <w:basedOn w:val="Tablanormal"/>
    <w:qFormat/>
    <w:pPr>
      <w:widowControl w:val="0"/>
      <w:jc w:val="both"/>
    </w:pPr>
    <w:rPr>
      <w:rFonts w:ascii="Calibri" w:eastAsia="Calibri" w:hAnsi="Calibri" w:cs="Calibri"/>
    </w:rPr>
    <w:tblPr/>
    <w:tcPr>
      <w:shd w:val="clear" w:color="auto" w:fill="auto"/>
    </w:tcPr>
  </w:style>
  <w:style w:type="table" w:customStyle="1" w:styleId="Style20">
    <w:name w:val="_Style 20"/>
    <w:basedOn w:val="Tablanormal"/>
    <w:qFormat/>
    <w:pPr>
      <w:widowControl w:val="0"/>
      <w:jc w:val="both"/>
    </w:pPr>
    <w:rPr>
      <w:rFonts w:ascii="Calibri" w:eastAsia="Calibri" w:hAnsi="Calibri" w:cs="Calibri"/>
    </w:rPr>
    <w:tblPr/>
    <w:tcPr>
      <w:shd w:val="clear" w:color="auto" w:fill="auto"/>
    </w:tcPr>
  </w:style>
  <w:style w:type="table" w:customStyle="1" w:styleId="Style21">
    <w:name w:val="_Style 21"/>
    <w:basedOn w:val="Tablanormal"/>
    <w:qFormat/>
    <w:pPr>
      <w:widowControl w:val="0"/>
      <w:jc w:val="both"/>
    </w:pPr>
    <w:rPr>
      <w:rFonts w:ascii="Calibri" w:eastAsia="Calibri" w:hAnsi="Calibri" w:cs="Calibri"/>
    </w:rPr>
    <w:tblPr/>
    <w:tcPr>
      <w:shd w:val="clear" w:color="auto" w:fill="auto"/>
    </w:tcPr>
  </w:style>
  <w:style w:type="table" w:customStyle="1" w:styleId="Style22">
    <w:name w:val="_Style 22"/>
    <w:basedOn w:val="Tablanormal"/>
    <w:qFormat/>
    <w:pPr>
      <w:widowControl w:val="0"/>
      <w:jc w:val="both"/>
    </w:pPr>
    <w:rPr>
      <w:rFonts w:ascii="Calibri" w:eastAsia="Calibri" w:hAnsi="Calibri" w:cs="Calibri"/>
    </w:rPr>
    <w:tblPr/>
    <w:tcPr>
      <w:shd w:val="clear" w:color="auto" w:fill="auto"/>
    </w:tcPr>
  </w:style>
  <w:style w:type="table" w:customStyle="1" w:styleId="Style23">
    <w:name w:val="_Style 23"/>
    <w:basedOn w:val="Tablanormal"/>
    <w:qFormat/>
    <w:pPr>
      <w:widowControl w:val="0"/>
      <w:jc w:val="both"/>
    </w:pPr>
    <w:rPr>
      <w:rFonts w:ascii="Calibri" w:eastAsia="Calibri" w:hAnsi="Calibri" w:cs="Calibri"/>
    </w:rPr>
    <w:tblPr/>
    <w:tcPr>
      <w:shd w:val="clear" w:color="auto" w:fill="auto"/>
    </w:tcPr>
  </w:style>
  <w:style w:type="table" w:customStyle="1" w:styleId="Style24">
    <w:name w:val="_Style 24"/>
    <w:basedOn w:val="Tablanormal"/>
    <w:qFormat/>
    <w:pPr>
      <w:widowControl w:val="0"/>
      <w:jc w:val="both"/>
    </w:pPr>
    <w:rPr>
      <w:rFonts w:ascii="Calibri" w:eastAsia="Calibri" w:hAnsi="Calibri" w:cs="Calibri"/>
    </w:rPr>
    <w:tblPr/>
    <w:tcPr>
      <w:shd w:val="clear" w:color="auto" w:fill="auto"/>
    </w:tcPr>
  </w:style>
  <w:style w:type="table" w:customStyle="1" w:styleId="Style25">
    <w:name w:val="_Style 25"/>
    <w:basedOn w:val="Tablanormal"/>
    <w:qFormat/>
    <w:pPr>
      <w:widowControl w:val="0"/>
      <w:jc w:val="both"/>
    </w:pPr>
    <w:rPr>
      <w:rFonts w:ascii="Calibri" w:eastAsia="Calibri" w:hAnsi="Calibri" w:cs="Calibri"/>
    </w:rPr>
    <w:tblPr/>
    <w:tcPr>
      <w:shd w:val="clear" w:color="auto" w:fill="auto"/>
    </w:tcPr>
  </w:style>
  <w:style w:type="table" w:customStyle="1" w:styleId="Style26">
    <w:name w:val="_Style 26"/>
    <w:basedOn w:val="Tablanormal"/>
    <w:qFormat/>
    <w:pPr>
      <w:widowControl w:val="0"/>
      <w:jc w:val="both"/>
    </w:pPr>
    <w:rPr>
      <w:rFonts w:ascii="Calibri" w:eastAsia="Calibri" w:hAnsi="Calibri" w:cs="Calibri"/>
    </w:rPr>
    <w:tblPr/>
    <w:tcPr>
      <w:shd w:val="clear" w:color="auto" w:fill="auto"/>
    </w:tcPr>
  </w:style>
  <w:style w:type="table" w:customStyle="1" w:styleId="Style27">
    <w:name w:val="_Style 27"/>
    <w:basedOn w:val="Tablanormal"/>
    <w:qFormat/>
    <w:pPr>
      <w:widowControl w:val="0"/>
      <w:jc w:val="both"/>
    </w:pPr>
    <w:rPr>
      <w:rFonts w:ascii="Calibri" w:eastAsia="Calibri" w:hAnsi="Calibri" w:cs="Calibri"/>
    </w:rPr>
    <w:tblPr/>
    <w:tcPr>
      <w:shd w:val="clear" w:color="auto" w:fill="auto"/>
    </w:tcPr>
  </w:style>
  <w:style w:type="table" w:customStyle="1" w:styleId="Style28">
    <w:name w:val="_Style 28"/>
    <w:basedOn w:val="Tablanormal"/>
    <w:qFormat/>
    <w:pPr>
      <w:widowControl w:val="0"/>
      <w:jc w:val="both"/>
    </w:pPr>
    <w:rPr>
      <w:rFonts w:ascii="Calibri" w:eastAsia="Calibri" w:hAnsi="Calibri" w:cs="Calibri"/>
    </w:rPr>
    <w:tblPr/>
    <w:tcPr>
      <w:shd w:val="clear" w:color="auto" w:fill="auto"/>
    </w:tcPr>
  </w:style>
  <w:style w:type="table" w:customStyle="1" w:styleId="Style29">
    <w:name w:val="_Style 29"/>
    <w:basedOn w:val="Tablanormal"/>
    <w:qFormat/>
    <w:pPr>
      <w:widowControl w:val="0"/>
      <w:jc w:val="both"/>
    </w:pPr>
    <w:rPr>
      <w:rFonts w:ascii="Calibri" w:eastAsia="Calibri" w:hAnsi="Calibri" w:cs="Calibri"/>
    </w:rPr>
    <w:tblPr/>
    <w:tcPr>
      <w:shd w:val="clear" w:color="auto" w:fill="auto"/>
    </w:tcPr>
  </w:style>
  <w:style w:type="table" w:customStyle="1" w:styleId="Style30">
    <w:name w:val="_Style 30"/>
    <w:basedOn w:val="Tablanormal"/>
    <w:qFormat/>
    <w:pPr>
      <w:widowControl w:val="0"/>
      <w:jc w:val="both"/>
    </w:pPr>
    <w:rPr>
      <w:rFonts w:ascii="Calibri" w:eastAsia="Calibri" w:hAnsi="Calibri" w:cs="Calibri"/>
    </w:rPr>
    <w:tblPr/>
    <w:tcPr>
      <w:shd w:val="clear" w:color="auto" w:fill="auto"/>
    </w:tcPr>
  </w:style>
  <w:style w:type="paragraph" w:styleId="Cita">
    <w:name w:val="Quote"/>
    <w:basedOn w:val="Normal"/>
    <w:next w:val="Normal"/>
    <w:link w:val="CitaCar"/>
    <w:uiPriority w:val="29"/>
    <w:qFormat/>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pPr>
      <w:spacing w:before="360" w:after="360"/>
      <w:ind w:left="864" w:right="864"/>
      <w:jc w:val="center"/>
    </w:pPr>
    <w:rPr>
      <w:i/>
      <w:iCs/>
      <w:color w:val="4F81BD" w:themeColor="accent1"/>
    </w:rPr>
  </w:style>
  <w:style w:type="paragraph" w:styleId="Prrafodelista">
    <w:name w:val="List Paragraph"/>
    <w:basedOn w:val="Normal"/>
    <w:link w:val="PrrafodelistaCar"/>
    <w:uiPriority w:val="34"/>
    <w:qFormat/>
    <w:pPr>
      <w:ind w:left="720"/>
      <w:contextualSpacing/>
    </w:pPr>
  </w:style>
  <w:style w:type="character" w:customStyle="1" w:styleId="Ttulo7Car">
    <w:name w:val="Título 7 Car"/>
    <w:link w:val="Ttulo7"/>
    <w:qFormat/>
    <w:rPr>
      <w:rFonts w:asciiTheme="majorHAnsi" w:eastAsiaTheme="majorEastAsia" w:hAnsiTheme="majorHAnsi" w:cstheme="majorBidi"/>
      <w:i/>
      <w:iCs/>
      <w:color w:val="243F60"/>
      <w:sz w:val="22"/>
      <w:szCs w:val="22"/>
      <w:lang w:val="zh-CN" w:eastAsia="ja-JP"/>
    </w:rPr>
  </w:style>
  <w:style w:type="character" w:customStyle="1" w:styleId="Ttulo8Car">
    <w:name w:val="Título 8 Car"/>
    <w:link w:val="Ttulo8"/>
    <w:qFormat/>
    <w:rPr>
      <w:rFonts w:asciiTheme="majorHAnsi" w:eastAsiaTheme="majorEastAsia" w:hAnsiTheme="majorHAnsi" w:cstheme="majorBidi"/>
      <w:color w:val="272727"/>
      <w:sz w:val="21"/>
      <w:szCs w:val="21"/>
      <w:lang w:val="zh-CN" w:eastAsia="ja-JP"/>
    </w:rPr>
  </w:style>
  <w:style w:type="character" w:customStyle="1" w:styleId="Ttulo9Car">
    <w:name w:val="Título 9 Car"/>
    <w:link w:val="Ttulo9"/>
    <w:qFormat/>
    <w:rPr>
      <w:rFonts w:asciiTheme="majorHAnsi" w:eastAsiaTheme="majorEastAsia" w:hAnsiTheme="majorHAnsi" w:cstheme="majorBidi"/>
      <w:i/>
      <w:iCs/>
      <w:color w:val="272727"/>
      <w:sz w:val="21"/>
      <w:szCs w:val="21"/>
      <w:lang w:val="zh-CN" w:eastAsia="ja-JP"/>
    </w:rPr>
  </w:style>
  <w:style w:type="character" w:customStyle="1" w:styleId="CitaCar">
    <w:name w:val="Cita Car"/>
    <w:link w:val="Cita"/>
    <w:uiPriority w:val="29"/>
    <w:qFormat/>
    <w:rPr>
      <w:i/>
      <w:iCs/>
      <w:color w:val="404040" w:themeColor="text1" w:themeTint="BF"/>
      <w:lang w:val="zh-CN"/>
    </w:rPr>
  </w:style>
  <w:style w:type="character" w:customStyle="1" w:styleId="CitadestacadaCar">
    <w:name w:val="Cita destacada Car"/>
    <w:link w:val="Citadestacada"/>
    <w:uiPriority w:val="30"/>
    <w:qFormat/>
    <w:rPr>
      <w:i/>
      <w:iCs/>
      <w:color w:val="4F81BD" w:themeColor="accent1"/>
      <w:lang w:val="zh-CN"/>
    </w:rPr>
  </w:style>
  <w:style w:type="character" w:customStyle="1" w:styleId="TextonotaalfinalCar">
    <w:name w:val="Texto nota al final Car"/>
    <w:link w:val="Textonotaalfinal"/>
    <w:qFormat/>
    <w:rPr>
      <w:sz w:val="20"/>
      <w:szCs w:val="20"/>
      <w:lang w:val="zh-CN"/>
    </w:rPr>
  </w:style>
  <w:style w:type="character" w:customStyle="1" w:styleId="PiedepginaCar">
    <w:name w:val="Pie de página Car"/>
    <w:link w:val="Piedepgina"/>
    <w:uiPriority w:val="99"/>
    <w:qFormat/>
    <w:rPr>
      <w:rFonts w:eastAsia="Arial"/>
      <w:sz w:val="22"/>
      <w:szCs w:val="22"/>
      <w:lang w:val="zh-CN" w:eastAsia="ja-JP"/>
    </w:rPr>
  </w:style>
  <w:style w:type="character" w:customStyle="1" w:styleId="TextonotapieCar">
    <w:name w:val="Texto nota pie Car"/>
    <w:link w:val="Textonotapie"/>
    <w:qFormat/>
    <w:rPr>
      <w:rFonts w:eastAsia="Arial"/>
      <w:lang w:val="zh-CN" w:eastAsia="ja-JP"/>
    </w:rPr>
  </w:style>
  <w:style w:type="character" w:customStyle="1" w:styleId="EncabezadoCar">
    <w:name w:val="Encabezado Car"/>
    <w:link w:val="Encabezado"/>
    <w:qFormat/>
    <w:rPr>
      <w:rFonts w:eastAsia="Arial"/>
      <w:sz w:val="22"/>
      <w:szCs w:val="22"/>
      <w:lang w:val="zh-CN" w:eastAsia="ja-JP"/>
    </w:rPr>
  </w:style>
  <w:style w:type="character" w:customStyle="1" w:styleId="TextocomentarioCar">
    <w:name w:val="Texto comentario Car"/>
    <w:basedOn w:val="Fuentedeprrafopredeter"/>
    <w:link w:val="Textocomentario"/>
    <w:uiPriority w:val="99"/>
    <w:qFormat/>
    <w:rPr>
      <w:rFonts w:eastAsia="Arial"/>
      <w:lang w:val="zh-CN" w:eastAsia="ja-JP"/>
    </w:rPr>
  </w:style>
  <w:style w:type="paragraph" w:customStyle="1" w:styleId="Revisin1">
    <w:name w:val="Revisión1"/>
    <w:hidden/>
    <w:uiPriority w:val="99"/>
    <w:qFormat/>
    <w:rPr>
      <w:rFonts w:eastAsia="Arial"/>
      <w:sz w:val="22"/>
      <w:szCs w:val="22"/>
      <w:lang w:val="zh-CN" w:eastAsia="ja-JP"/>
    </w:rPr>
  </w:style>
  <w:style w:type="character" w:customStyle="1" w:styleId="PrrafodelistaCar">
    <w:name w:val="Párrafo de lista Car"/>
    <w:basedOn w:val="Fuentedeprrafopredeter"/>
    <w:link w:val="Prrafodelista"/>
    <w:uiPriority w:val="34"/>
    <w:qFormat/>
    <w:locked/>
    <w:rPr>
      <w:rFonts w:eastAsia="Arial"/>
      <w:sz w:val="22"/>
      <w:szCs w:val="22"/>
      <w:lang w:val="zh-CN" w:eastAsia="ja-JP"/>
    </w:rPr>
  </w:style>
  <w:style w:type="paragraph" w:styleId="Sinespaciado">
    <w:name w:val="No Spacing"/>
    <w:link w:val="SinespaciadoCar"/>
    <w:uiPriority w:val="1"/>
    <w:qFormat/>
    <w:rPr>
      <w:rFonts w:asciiTheme="minorHAnsi" w:eastAsiaTheme="minorHAnsi" w:hAnsiTheme="minorHAnsi" w:cstheme="minorBidi"/>
      <w:sz w:val="22"/>
      <w:szCs w:val="22"/>
      <w:lang w:eastAsia="en-US"/>
    </w:rPr>
  </w:style>
  <w:style w:type="character" w:customStyle="1" w:styleId="SinespaciadoCar">
    <w:name w:val="Sin espaciado Car"/>
    <w:basedOn w:val="Fuentedeprrafopredeter"/>
    <w:link w:val="Sinespaciado"/>
    <w:uiPriority w:val="1"/>
    <w:qFormat/>
    <w:rPr>
      <w:rFonts w:asciiTheme="minorHAnsi" w:eastAsiaTheme="minorHAnsi" w:hAnsiTheme="minorHAnsi" w:cstheme="minorBidi"/>
      <w:lang w:val="es-PE" w:eastAsia="en-US"/>
    </w:rPr>
  </w:style>
  <w:style w:type="character" w:customStyle="1" w:styleId="cf01">
    <w:name w:val="cf01"/>
    <w:basedOn w:val="Fuentedeprrafopredeter"/>
    <w:uiPriority w:val="1"/>
    <w:qFormat/>
    <w:rPr>
      <w:rFonts w:ascii="Segoe UI" w:hAnsi="Segoe UI" w:cs="Segoe UI" w:hint="default"/>
      <w:sz w:val="18"/>
      <w:szCs w:val="18"/>
    </w:rPr>
  </w:style>
  <w:style w:type="character" w:customStyle="1" w:styleId="TextoindependienteCar">
    <w:name w:val="Texto independiente Car"/>
    <w:basedOn w:val="Fuentedeprrafopredeter"/>
    <w:link w:val="Textoindependiente"/>
    <w:qFormat/>
    <w:rPr>
      <w:rFonts w:eastAsia="Times New Roman"/>
      <w:bCs/>
      <w:sz w:val="22"/>
      <w:szCs w:val="18"/>
      <w:lang w:val="zh-CN" w:eastAsia="es-ES"/>
    </w:rPr>
  </w:style>
  <w:style w:type="character" w:customStyle="1" w:styleId="AsuntodelcomentarioCar">
    <w:name w:val="Asunto del comentario Car"/>
    <w:basedOn w:val="TextocomentarioCar"/>
    <w:link w:val="Asuntodelcomentario"/>
    <w:qFormat/>
    <w:rPr>
      <w:rFonts w:eastAsia="Arial"/>
      <w:b/>
      <w:bCs/>
      <w:lang w:val="zh-CN" w:eastAsia="ja-JP"/>
    </w:rPr>
  </w:style>
  <w:style w:type="character" w:customStyle="1" w:styleId="DeltaViewInsertion">
    <w:name w:val="DeltaView Insertion"/>
    <w:qFormat/>
    <w:rPr>
      <w:color w:val="0000FF"/>
      <w:u w:val="double"/>
    </w:rPr>
  </w:style>
  <w:style w:type="character" w:customStyle="1" w:styleId="TextodegloboCar">
    <w:name w:val="Texto de globo Car"/>
    <w:basedOn w:val="Fuentedeprrafopredeter"/>
    <w:link w:val="Textodeglobo"/>
    <w:qFormat/>
    <w:rPr>
      <w:rFonts w:ascii="Segoe UI" w:eastAsia="Arial" w:hAnsi="Segoe UI" w:cs="Segoe UI"/>
      <w:sz w:val="18"/>
      <w:szCs w:val="18"/>
      <w:lang w:val="zh-CN" w:eastAsia="ja-JP"/>
    </w:rPr>
  </w:style>
  <w:style w:type="table" w:customStyle="1" w:styleId="Style11">
    <w:name w:val="_Style 11"/>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12">
    <w:name w:val="_Style 12"/>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13">
    <w:name w:val="_Style 13"/>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31">
    <w:name w:val="_Style 31"/>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2">
    <w:name w:val="_Style 32"/>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3">
    <w:name w:val="_Style 33"/>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4">
    <w:name w:val="_Style 34"/>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5">
    <w:name w:val="_Style 35"/>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6">
    <w:name w:val="_Style 36"/>
    <w:basedOn w:val="Tablanormal"/>
    <w:qFormat/>
    <w:pPr>
      <w:widowControl w:val="0"/>
      <w:jc w:val="both"/>
    </w:pPr>
    <w:rPr>
      <w:rFonts w:ascii="Calibri" w:eastAsia="Calibri" w:hAnsi="Calibri" w:cs="Calibri"/>
    </w:rPr>
    <w:tblPr>
      <w:tblCellMar>
        <w:left w:w="0" w:type="dxa"/>
        <w:right w:w="0" w:type="dxa"/>
      </w:tblCellMar>
    </w:tblPr>
    <w:tcPr>
      <w:shd w:val="clear" w:color="auto" w:fill="auto"/>
    </w:tcPr>
  </w:style>
  <w:style w:type="table" w:customStyle="1" w:styleId="Style37">
    <w:name w:val="_Style 37"/>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38">
    <w:name w:val="_Style 38"/>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39">
    <w:name w:val="_Style 39"/>
    <w:basedOn w:val="Tablanormal"/>
    <w:qFormat/>
    <w:pPr>
      <w:widowControl w:val="0"/>
      <w:jc w:val="both"/>
    </w:pPr>
    <w:rPr>
      <w:rFonts w:ascii="Calibri" w:eastAsia="Calibri" w:hAnsi="Calibri" w:cs="Calibri"/>
    </w:rPr>
    <w:tblPr>
      <w:tblCellMar>
        <w:top w:w="28" w:type="dxa"/>
        <w:left w:w="28" w:type="dxa"/>
        <w:bottom w:w="28" w:type="dxa"/>
        <w:right w:w="28" w:type="dxa"/>
      </w:tblCellMar>
    </w:tblPr>
    <w:tcPr>
      <w:shd w:val="clear" w:color="auto" w:fill="auto"/>
    </w:tcPr>
  </w:style>
  <w:style w:type="table" w:customStyle="1" w:styleId="Style40">
    <w:name w:val="_Style 40"/>
    <w:basedOn w:val="Tablanormal"/>
    <w:qFormat/>
    <w:pPr>
      <w:widowControl w:val="0"/>
      <w:jc w:val="both"/>
    </w:pPr>
    <w:rPr>
      <w:rFonts w:ascii="Calibri" w:eastAsia="Calibri" w:hAnsi="Calibri" w:cs="Calibri"/>
    </w:rPr>
    <w:tblPr>
      <w:tblCellMar>
        <w:top w:w="28" w:type="dxa"/>
        <w:left w:w="28" w:type="dxa"/>
        <w:bottom w:w="28" w:type="dxa"/>
        <w:right w:w="28" w:type="dxa"/>
      </w:tblCellMar>
    </w:tblPr>
    <w:tcPr>
      <w:shd w:val="clear" w:color="auto" w:fill="auto"/>
    </w:tcPr>
  </w:style>
  <w:style w:type="table" w:customStyle="1" w:styleId="Style41">
    <w:name w:val="_Style 41"/>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2">
    <w:name w:val="_Style 42"/>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3">
    <w:name w:val="_Style 43"/>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4">
    <w:name w:val="_Style 44"/>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5">
    <w:name w:val="_Style 45"/>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6">
    <w:name w:val="_Style 46"/>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7">
    <w:name w:val="_Style 47"/>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8">
    <w:name w:val="_Style 48"/>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49">
    <w:name w:val="_Style 49"/>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0">
    <w:name w:val="_Style 50"/>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1">
    <w:name w:val="_Style 51"/>
    <w:basedOn w:val="Tablanormal"/>
    <w:qFormat/>
    <w:pPr>
      <w:widowControl w:val="0"/>
      <w:jc w:val="both"/>
    </w:pPr>
    <w:rPr>
      <w:rFonts w:ascii="Calibri" w:eastAsia="Calibri" w:hAnsi="Calibri" w:cs="Calibri"/>
    </w:rPr>
    <w:tblPr/>
    <w:tcPr>
      <w:shd w:val="clear" w:color="auto" w:fill="auto"/>
    </w:tcPr>
    <w:tblStylePr w:type="firstRow">
      <w:rPr>
        <w:b/>
        <w:color w:val="000000"/>
      </w:rPr>
      <w:tblPr/>
      <w:tcPr>
        <w:shd w:val="clear" w:color="auto" w:fill="000000"/>
      </w:tcPr>
    </w:tblStylePr>
  </w:style>
  <w:style w:type="table" w:customStyle="1" w:styleId="Style52">
    <w:name w:val="_Style 52"/>
    <w:basedOn w:val="Tablanormal"/>
    <w:qFormat/>
    <w:pPr>
      <w:widowControl w:val="0"/>
      <w:jc w:val="both"/>
    </w:pPr>
    <w:rPr>
      <w:rFonts w:ascii="Calibri" w:eastAsia="Calibri" w:hAnsi="Calibri" w:cs="Calibri"/>
    </w:rPr>
    <w:tblPr/>
    <w:tcPr>
      <w:shd w:val="clear" w:color="auto" w:fill="auto"/>
    </w:tcPr>
  </w:style>
  <w:style w:type="table" w:customStyle="1" w:styleId="Style53">
    <w:name w:val="_Style 53"/>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4">
    <w:name w:val="_Style 54"/>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5">
    <w:name w:val="_Style 55"/>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6">
    <w:name w:val="_Style 56"/>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7">
    <w:name w:val="_Style 57"/>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8">
    <w:name w:val="_Style 58"/>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59">
    <w:name w:val="_Style 59"/>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60">
    <w:name w:val="_Style 60"/>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61">
    <w:name w:val="_Style 61"/>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62">
    <w:name w:val="_Style 62"/>
    <w:basedOn w:val="Tablanormal"/>
    <w:qFormat/>
    <w:pPr>
      <w:widowControl w:val="0"/>
      <w:jc w:val="both"/>
    </w:pPr>
    <w:rPr>
      <w:rFonts w:ascii="Calibri" w:eastAsia="Calibri" w:hAnsi="Calibri" w:cs="Calibri"/>
    </w:rPr>
    <w:tblPr>
      <w:tblCellMar>
        <w:left w:w="70" w:type="dxa"/>
        <w:right w:w="70" w:type="dxa"/>
      </w:tblCellMar>
    </w:tblPr>
    <w:tcPr>
      <w:shd w:val="clear" w:color="auto" w:fill="auto"/>
    </w:tcPr>
  </w:style>
  <w:style w:type="table" w:customStyle="1" w:styleId="Style63">
    <w:name w:val="_Style 63"/>
    <w:basedOn w:val="Tablanormal"/>
    <w:qFormat/>
    <w:rPr>
      <w:rFonts w:eastAsia="Arial"/>
    </w:rPr>
    <w:tblPr>
      <w:tblCellMar>
        <w:top w:w="100" w:type="dxa"/>
        <w:left w:w="100" w:type="dxa"/>
        <w:bottom w:w="100" w:type="dxa"/>
        <w:right w:w="100" w:type="dxa"/>
      </w:tblCellMar>
    </w:tblPr>
  </w:style>
  <w:style w:type="paragraph" w:customStyle="1" w:styleId="paragraph">
    <w:name w:val="paragraph"/>
    <w:basedOn w:val="Normal"/>
    <w:qFormat/>
    <w:pPr>
      <w:spacing w:before="100" w:beforeAutospacing="1" w:after="100" w:afterAutospacing="1"/>
    </w:pPr>
    <w:rPr>
      <w:rFonts w:ascii="Times New Roman" w:eastAsia="Times New Roman" w:hAnsi="Times New Roman" w:cs="Times New Roman"/>
      <w:sz w:val="24"/>
      <w:szCs w:val="24"/>
      <w:lang w:val="es-PE" w:eastAsia="es-PE"/>
    </w:rPr>
  </w:style>
  <w:style w:type="character" w:customStyle="1" w:styleId="normaltextrun">
    <w:name w:val="normaltextrun"/>
    <w:basedOn w:val="Fuentedeprrafopredeter"/>
    <w:qFormat/>
  </w:style>
  <w:style w:type="paragraph" w:customStyle="1" w:styleId="Revisin2">
    <w:name w:val="Revisión2"/>
    <w:hidden/>
    <w:uiPriority w:val="99"/>
    <w:qFormat/>
    <w:rPr>
      <w:rFonts w:eastAsia="Arial"/>
      <w:sz w:val="22"/>
      <w:szCs w:val="22"/>
      <w:lang w:val="es-ES"/>
    </w:rPr>
  </w:style>
  <w:style w:type="character" w:customStyle="1" w:styleId="TextosinformatoCar">
    <w:name w:val="Texto sin formato Car"/>
    <w:basedOn w:val="Fuentedeprrafopredeter"/>
    <w:link w:val="Textosinformato"/>
    <w:qFormat/>
    <w:rPr>
      <w:rFonts w:ascii="Courier New" w:eastAsia="Times New Roman" w:hAnsi="Courier New"/>
      <w:bCs/>
      <w:sz w:val="22"/>
      <w:szCs w:val="18"/>
      <w:lang w:val="zh-CN" w:eastAsia="es-ES"/>
    </w:rPr>
  </w:style>
  <w:style w:type="paragraph" w:customStyle="1" w:styleId="TtuloTDC1">
    <w:name w:val="Título TDC1"/>
    <w:basedOn w:val="Ttulo1"/>
    <w:next w:val="Normal"/>
    <w:uiPriority w:val="39"/>
    <w:unhideWhenUsed/>
    <w:qFormat/>
    <w:pPr>
      <w:keepLines/>
      <w:spacing w:before="240"/>
      <w:outlineLvl w:val="9"/>
    </w:pPr>
    <w:rPr>
      <w:rFonts w:asciiTheme="majorHAnsi" w:eastAsiaTheme="majorEastAsia" w:hAnsiTheme="majorHAnsi" w:cstheme="majorBidi"/>
      <w:b w:val="0"/>
      <w:bCs w:val="0"/>
      <w:color w:val="365F91" w:themeColor="accent1" w:themeShade="BF"/>
      <w:sz w:val="32"/>
      <w:szCs w:val="32"/>
    </w:rPr>
  </w:style>
  <w:style w:type="character" w:customStyle="1" w:styleId="Ttulo1Car">
    <w:name w:val="Título 1 Car"/>
    <w:basedOn w:val="Fuentedeprrafopredeter"/>
    <w:link w:val="Ttulo1"/>
    <w:qFormat/>
    <w:rPr>
      <w:rFonts w:eastAsia="Arial"/>
      <w:b/>
      <w:bCs/>
      <w:sz w:val="22"/>
      <w:szCs w:val="22"/>
      <w:lang w:val="zh-CN" w:eastAsia="ja-JP"/>
    </w:rPr>
  </w:style>
  <w:style w:type="character" w:customStyle="1" w:styleId="Ttulo2Car">
    <w:name w:val="Título 2 Car"/>
    <w:basedOn w:val="Fuentedeprrafopredeter"/>
    <w:link w:val="Ttulo2"/>
    <w:qFormat/>
    <w:rPr>
      <w:rFonts w:ascii="CG Omega" w:eastAsia="CG Omega" w:hAnsi="CG Omega" w:cs="CG Omega"/>
      <w:sz w:val="22"/>
      <w:szCs w:val="22"/>
      <w:u w:val="single"/>
      <w:lang w:val="zh-CN" w:eastAsia="ja-JP"/>
    </w:rPr>
  </w:style>
  <w:style w:type="character" w:customStyle="1" w:styleId="Ttulo3Car">
    <w:name w:val="Título 3 Car"/>
    <w:basedOn w:val="Fuentedeprrafopredeter"/>
    <w:link w:val="Ttulo3"/>
    <w:qFormat/>
    <w:rPr>
      <w:rFonts w:eastAsia="Arial"/>
      <w:b/>
      <w:bCs/>
      <w:sz w:val="22"/>
      <w:szCs w:val="22"/>
      <w:lang w:val="zh-CN" w:eastAsia="ja-JP"/>
    </w:rPr>
  </w:style>
  <w:style w:type="character" w:customStyle="1" w:styleId="Ttulo4Car">
    <w:name w:val="Título 4 Car"/>
    <w:basedOn w:val="Fuentedeprrafopredeter"/>
    <w:link w:val="Ttulo4"/>
    <w:qFormat/>
    <w:rPr>
      <w:rFonts w:eastAsia="Arial"/>
      <w:b/>
      <w:bCs/>
      <w:sz w:val="24"/>
      <w:szCs w:val="24"/>
      <w:lang w:val="zh-CN" w:eastAsia="ja-JP"/>
    </w:rPr>
  </w:style>
  <w:style w:type="character" w:customStyle="1" w:styleId="Ttulo5Car">
    <w:name w:val="Título 5 Car"/>
    <w:basedOn w:val="Fuentedeprrafopredeter"/>
    <w:link w:val="Ttulo5"/>
    <w:qFormat/>
    <w:rPr>
      <w:rFonts w:eastAsia="Arial"/>
      <w:b/>
      <w:bCs/>
      <w:sz w:val="24"/>
      <w:szCs w:val="24"/>
      <w:lang w:val="zh-CN" w:eastAsia="ja-JP"/>
    </w:rPr>
  </w:style>
  <w:style w:type="character" w:customStyle="1" w:styleId="Ttulo6Car">
    <w:name w:val="Título 6 Car"/>
    <w:basedOn w:val="Fuentedeprrafopredeter"/>
    <w:link w:val="Ttulo6"/>
    <w:qFormat/>
    <w:rPr>
      <w:rFonts w:eastAsia="Arial"/>
      <w:b/>
      <w:bCs/>
      <w:sz w:val="22"/>
      <w:szCs w:val="22"/>
      <w:lang w:val="zh-CN" w:eastAsia="ja-JP"/>
    </w:rPr>
  </w:style>
  <w:style w:type="table" w:customStyle="1" w:styleId="TableNormal1">
    <w:name w:val="Table Normal1"/>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TtuloCar">
    <w:name w:val="Título Car"/>
    <w:basedOn w:val="Fuentedeprrafopredeter"/>
    <w:link w:val="Ttulo"/>
    <w:qFormat/>
    <w:rPr>
      <w:rFonts w:eastAsia="Arial"/>
      <w:b/>
      <w:bCs/>
      <w:sz w:val="22"/>
      <w:szCs w:val="22"/>
      <w:lang w:val="zh-CN" w:eastAsia="ja-JP"/>
    </w:rPr>
  </w:style>
  <w:style w:type="table" w:customStyle="1" w:styleId="TableNormal2">
    <w:name w:val="Table Normal2"/>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TableNormal3">
    <w:name w:val="Table Normal3"/>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TableNormal4">
    <w:name w:val="Table Normal4"/>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TableNormal5">
    <w:name w:val="Table Normal5"/>
    <w:uiPriority w:val="2"/>
    <w:qFormat/>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heading10">
    <w:name w:val="heading 10"/>
    <w:basedOn w:val="Normal0"/>
    <w:next w:val="Normal0"/>
    <w:qFormat/>
    <w:pPr>
      <w:keepNext/>
      <w:spacing w:before="240" w:after="60"/>
      <w:outlineLvl w:val="0"/>
    </w:pPr>
    <w:rPr>
      <w:rFonts w:ascii="Arial" w:hAnsi="Arial" w:cs="Arial"/>
      <w:b/>
      <w:kern w:val="32"/>
      <w:szCs w:val="32"/>
    </w:rPr>
  </w:style>
  <w:style w:type="paragraph" w:customStyle="1" w:styleId="heading20">
    <w:name w:val="heading 20"/>
    <w:basedOn w:val="Normal0"/>
    <w:next w:val="Normal0"/>
    <w:qFormat/>
    <w:pPr>
      <w:keepNext/>
      <w:spacing w:after="0" w:line="240" w:lineRule="auto"/>
      <w:outlineLvl w:val="1"/>
    </w:pPr>
    <w:rPr>
      <w:rFonts w:ascii="CG Omega" w:eastAsiaTheme="minorEastAsia" w:hAnsi="CG Omega"/>
      <w:szCs w:val="20"/>
      <w:u w:val="single"/>
    </w:rPr>
  </w:style>
  <w:style w:type="paragraph" w:customStyle="1" w:styleId="heading30">
    <w:name w:val="heading 30"/>
    <w:basedOn w:val="Normal0"/>
    <w:next w:val="Normal0"/>
    <w:qFormat/>
    <w:pPr>
      <w:keepNext/>
      <w:spacing w:before="240" w:after="60"/>
      <w:outlineLvl w:val="2"/>
    </w:pPr>
    <w:rPr>
      <w:rFonts w:ascii="Arial" w:hAnsi="Arial" w:cs="Arial"/>
      <w:szCs w:val="26"/>
    </w:rPr>
  </w:style>
  <w:style w:type="paragraph" w:customStyle="1" w:styleId="heading40">
    <w:name w:val="heading 40"/>
    <w:basedOn w:val="Normal0"/>
    <w:next w:val="Normal0"/>
    <w:qFormat/>
    <w:pPr>
      <w:keepNext/>
      <w:spacing w:before="240" w:after="60"/>
      <w:outlineLvl w:val="3"/>
    </w:pPr>
    <w:rPr>
      <w:rFonts w:ascii="Times New Roman" w:hAnsi="Times New Roman"/>
      <w:b/>
      <w:sz w:val="28"/>
      <w:szCs w:val="28"/>
    </w:rPr>
  </w:style>
  <w:style w:type="paragraph" w:customStyle="1" w:styleId="heading50">
    <w:name w:val="heading 50"/>
    <w:basedOn w:val="Normal0"/>
    <w:next w:val="Normal0"/>
    <w:qFormat/>
    <w:pPr>
      <w:spacing w:before="240" w:after="60"/>
      <w:outlineLvl w:val="4"/>
    </w:pPr>
    <w:rPr>
      <w:b/>
      <w:i/>
      <w:sz w:val="26"/>
      <w:szCs w:val="26"/>
    </w:rPr>
  </w:style>
  <w:style w:type="paragraph" w:customStyle="1" w:styleId="heading60">
    <w:name w:val="heading 60"/>
    <w:basedOn w:val="Normal0"/>
    <w:next w:val="Normal0"/>
    <w:qFormat/>
    <w:pPr>
      <w:spacing w:before="240" w:after="60"/>
      <w:outlineLvl w:val="5"/>
    </w:pPr>
    <w:rPr>
      <w:rFonts w:ascii="Times New Roman" w:hAnsi="Times New Roman"/>
      <w:b/>
    </w:rPr>
  </w:style>
  <w:style w:type="character" w:customStyle="1" w:styleId="Ttulo3Car3">
    <w:name w:val="Título 3 Car3"/>
    <w:uiPriority w:val="9"/>
    <w:qFormat/>
    <w:rPr>
      <w:rFonts w:ascii="Arial" w:eastAsia="Times New Roman" w:hAnsi="Arial"/>
      <w:sz w:val="26"/>
    </w:rPr>
  </w:style>
  <w:style w:type="character" w:customStyle="1" w:styleId="Ttulo4Car3">
    <w:name w:val="Título 4 Car3"/>
    <w:uiPriority w:val="9"/>
    <w:qFormat/>
    <w:rPr>
      <w:rFonts w:ascii="Times New Roman" w:hAnsi="Times New Roman"/>
      <w:b/>
      <w:sz w:val="28"/>
      <w:lang w:val="zh-CN"/>
    </w:rPr>
  </w:style>
  <w:style w:type="character" w:customStyle="1" w:styleId="Textoindependiente2Car">
    <w:name w:val="Texto independiente 2 Car"/>
    <w:basedOn w:val="Fuentedeprrafopredeter"/>
    <w:link w:val="Textoindependiente2"/>
    <w:qFormat/>
    <w:rPr>
      <w:rFonts w:ascii="Times New Roman" w:eastAsiaTheme="minorEastAsia" w:hAnsi="Times New Roman" w:cs="Calibri"/>
      <w:b/>
      <w:sz w:val="28"/>
    </w:rPr>
  </w:style>
  <w:style w:type="paragraph" w:customStyle="1" w:styleId="BodyTextIndent21">
    <w:name w:val="Body Text Indent 21"/>
    <w:basedOn w:val="Normal0"/>
    <w:qFormat/>
    <w:pPr>
      <w:spacing w:after="0" w:line="240" w:lineRule="auto"/>
      <w:ind w:left="426"/>
      <w:jc w:val="both"/>
    </w:pPr>
    <w:rPr>
      <w:rFonts w:ascii="Arial" w:eastAsiaTheme="minorEastAsia" w:hAnsi="Arial"/>
      <w:sz w:val="24"/>
      <w:szCs w:val="20"/>
    </w:rPr>
  </w:style>
  <w:style w:type="paragraph" w:customStyle="1" w:styleId="Ttulo10">
    <w:name w:val="Título1"/>
    <w:basedOn w:val="Normal0"/>
    <w:uiPriority w:val="99"/>
    <w:qFormat/>
    <w:pPr>
      <w:spacing w:after="0" w:line="240" w:lineRule="auto"/>
      <w:jc w:val="center"/>
    </w:pPr>
    <w:rPr>
      <w:rFonts w:ascii="Times New Roman" w:eastAsiaTheme="minorEastAsia" w:hAnsi="Times New Roman"/>
      <w:b/>
      <w:szCs w:val="20"/>
    </w:rPr>
  </w:style>
  <w:style w:type="character" w:customStyle="1" w:styleId="SangradetextonormalCar">
    <w:name w:val="Sangría de texto normal Car"/>
    <w:basedOn w:val="Fuentedeprrafopredeter"/>
    <w:link w:val="Sangradetextonormal"/>
    <w:qFormat/>
    <w:rPr>
      <w:rFonts w:ascii="Calibri" w:eastAsia="Times New Roman" w:hAnsi="Calibri" w:cs="Calibri"/>
      <w:sz w:val="22"/>
      <w:szCs w:val="22"/>
    </w:rPr>
  </w:style>
  <w:style w:type="character" w:customStyle="1" w:styleId="TextoindependienteCar3">
    <w:name w:val="Texto independiente Car3"/>
    <w:basedOn w:val="Fuentedeprrafopredeter"/>
    <w:uiPriority w:val="99"/>
    <w:qFormat/>
    <w:rPr>
      <w:rFonts w:ascii="Calibri" w:eastAsia="Times New Roman" w:hAnsi="Calibri"/>
      <w:lang w:val="es-PE"/>
    </w:rPr>
  </w:style>
  <w:style w:type="paragraph" w:customStyle="1" w:styleId="ArticleL3">
    <w:name w:val="Article_L3"/>
    <w:basedOn w:val="Normal0"/>
    <w:next w:val="Normal0"/>
    <w:qFormat/>
    <w:pPr>
      <w:spacing w:before="240" w:after="0" w:line="360" w:lineRule="auto"/>
      <w:ind w:left="1440" w:hanging="720"/>
      <w:jc w:val="both"/>
    </w:pPr>
    <w:rPr>
      <w:rFonts w:ascii="Times New Roman" w:eastAsiaTheme="minorEastAsia" w:hAnsi="Times New Roman"/>
      <w:sz w:val="24"/>
      <w:szCs w:val="20"/>
    </w:rPr>
  </w:style>
  <w:style w:type="paragraph" w:customStyle="1" w:styleId="Pelota">
    <w:name w:val="Pelota"/>
    <w:basedOn w:val="Normal0"/>
    <w:qFormat/>
    <w:pPr>
      <w:spacing w:after="0" w:line="240" w:lineRule="auto"/>
      <w:jc w:val="both"/>
    </w:pPr>
    <w:rPr>
      <w:rFonts w:ascii="Times New Roman" w:eastAsiaTheme="minorEastAsia" w:hAnsi="Times New Roman"/>
      <w:szCs w:val="20"/>
      <w:lang w:val="en-US"/>
    </w:rPr>
  </w:style>
  <w:style w:type="character" w:customStyle="1" w:styleId="Sangra2detindependienteCar">
    <w:name w:val="Sangría 2 de t. independiente Car"/>
    <w:basedOn w:val="Fuentedeprrafopredeter"/>
    <w:link w:val="Sangra2detindependiente"/>
    <w:qFormat/>
    <w:rPr>
      <w:rFonts w:ascii="Calibri" w:eastAsia="Times New Roman" w:hAnsi="Calibri" w:cs="Calibri"/>
      <w:sz w:val="22"/>
      <w:szCs w:val="22"/>
    </w:rPr>
  </w:style>
  <w:style w:type="character" w:customStyle="1" w:styleId="Sangra3detindependienteCar">
    <w:name w:val="Sangría 3 de t. independiente Car"/>
    <w:basedOn w:val="Fuentedeprrafopredeter"/>
    <w:link w:val="Sangra3detindependiente"/>
    <w:qFormat/>
    <w:rPr>
      <w:rFonts w:ascii="Calibri" w:eastAsia="Times New Roman" w:hAnsi="Calibri" w:cs="Calibri"/>
      <w:sz w:val="16"/>
      <w:szCs w:val="16"/>
    </w:rPr>
  </w:style>
  <w:style w:type="paragraph" w:customStyle="1" w:styleId="EstiloTtulo2AsiticaMSMincho">
    <w:name w:val="Estilo Título 2 + (Asiática) MS Mincho"/>
    <w:basedOn w:val="Titulo3"/>
    <w:next w:val="Normal0"/>
    <w:qFormat/>
    <w:pPr>
      <w:numPr>
        <w:numId w:val="0"/>
      </w:numPr>
      <w:jc w:val="both"/>
    </w:pPr>
  </w:style>
  <w:style w:type="paragraph" w:customStyle="1" w:styleId="Titulo3">
    <w:name w:val="Titulo 3"/>
    <w:uiPriority w:val="99"/>
    <w:qFormat/>
    <w:pPr>
      <w:numPr>
        <w:numId w:val="8"/>
      </w:numPr>
      <w:tabs>
        <w:tab w:val="left" w:pos="0"/>
      </w:tabs>
      <w:autoSpaceDE w:val="0"/>
      <w:autoSpaceDN w:val="0"/>
      <w:adjustRightInd w:val="0"/>
      <w:spacing w:after="200" w:line="276" w:lineRule="auto"/>
      <w:ind w:left="0" w:firstLine="0"/>
    </w:pPr>
    <w:rPr>
      <w:rFonts w:eastAsia="MS Mincho" w:cs="Calibri"/>
      <w:sz w:val="22"/>
      <w:szCs w:val="22"/>
    </w:rPr>
  </w:style>
  <w:style w:type="paragraph" w:customStyle="1" w:styleId="EstiloTtulo2AsiticaMSMincho1">
    <w:name w:val="Estilo Título 2 + (Asiática) MS Mincho1"/>
    <w:basedOn w:val="heading20"/>
    <w:next w:val="Normal0"/>
    <w:uiPriority w:val="99"/>
    <w:qFormat/>
    <w:rPr>
      <w:rFonts w:ascii="Arial" w:eastAsia="MS Mincho" w:hAnsi="Arial"/>
      <w:b/>
      <w:szCs w:val="22"/>
      <w:u w:val="none"/>
    </w:rPr>
  </w:style>
  <w:style w:type="paragraph" w:customStyle="1" w:styleId="EstiloTtulo2ArialNegritaSinsubrayado">
    <w:name w:val="Estilo Título 2 + Arial Negrita Sin subrayado"/>
    <w:basedOn w:val="heading20"/>
    <w:uiPriority w:val="99"/>
    <w:qFormat/>
    <w:rPr>
      <w:rFonts w:ascii="Arial" w:hAnsi="Arial"/>
      <w:b/>
      <w:u w:val="none"/>
    </w:rPr>
  </w:style>
  <w:style w:type="paragraph" w:customStyle="1" w:styleId="EstiloTtulo2ArialNegritaAilSinsubrayado">
    <w:name w:val="Estilo Título 2 + Arial Negrita Añil Sin subrayado"/>
    <w:basedOn w:val="heading20"/>
    <w:next w:val="Normal0"/>
    <w:uiPriority w:val="99"/>
    <w:qFormat/>
    <w:pPr>
      <w:jc w:val="both"/>
    </w:pPr>
    <w:rPr>
      <w:rFonts w:ascii="Arial" w:hAnsi="Arial"/>
      <w:b/>
      <w:color w:val="333399"/>
      <w:u w:val="none"/>
    </w:rPr>
  </w:style>
  <w:style w:type="paragraph" w:customStyle="1" w:styleId="ArticleL2">
    <w:name w:val="Article_L2"/>
    <w:next w:val="Normal0"/>
    <w:qFormat/>
    <w:pPr>
      <w:autoSpaceDE w:val="0"/>
      <w:autoSpaceDN w:val="0"/>
      <w:adjustRightInd w:val="0"/>
      <w:spacing w:before="240" w:after="200" w:line="360" w:lineRule="auto"/>
      <w:jc w:val="both"/>
    </w:pPr>
    <w:rPr>
      <w:rFonts w:ascii="Times New Roman" w:eastAsia="Calibri" w:hAnsi="Times New Roman" w:cs="Calibri"/>
      <w:color w:val="FF6600"/>
      <w:sz w:val="24"/>
      <w:szCs w:val="22"/>
    </w:rPr>
  </w:style>
  <w:style w:type="paragraph" w:customStyle="1" w:styleId="BodyText22">
    <w:name w:val="Body Text 22"/>
    <w:basedOn w:val="Normal0"/>
    <w:qFormat/>
    <w:pPr>
      <w:tabs>
        <w:tab w:val="left" w:pos="567"/>
        <w:tab w:val="left" w:pos="1134"/>
        <w:tab w:val="left" w:pos="1701"/>
        <w:tab w:val="left" w:pos="2268"/>
        <w:tab w:val="left" w:pos="2835"/>
      </w:tabs>
      <w:spacing w:after="0" w:line="240" w:lineRule="auto"/>
      <w:jc w:val="both"/>
    </w:pPr>
    <w:rPr>
      <w:rFonts w:ascii="Times New Roman" w:eastAsia="MS Mincho" w:hAnsi="Times New Roman"/>
      <w:sz w:val="24"/>
      <w:szCs w:val="20"/>
    </w:rPr>
  </w:style>
  <w:style w:type="paragraph" w:customStyle="1" w:styleId="EstiloTtulo1AilAntes6ptoDespus6ptoInterlineado">
    <w:name w:val="Estilo Título 1 + Añil Antes:  6 pto Después:  6 pto Interlineado..."/>
    <w:basedOn w:val="heading10"/>
    <w:uiPriority w:val="99"/>
    <w:qFormat/>
    <w:pPr>
      <w:spacing w:after="240" w:line="240" w:lineRule="auto"/>
    </w:pPr>
    <w:rPr>
      <w:rFonts w:cs="Times New Roman"/>
      <w:szCs w:val="20"/>
    </w:rPr>
  </w:style>
  <w:style w:type="paragraph" w:customStyle="1" w:styleId="EstiloEstiloTtulo2ArialNegritaAilSinsubrayadoAntes">
    <w:name w:val="Estilo Estilo Título 2 + Arial Negrita Añil Sin subrayado + Antes:  ..."/>
    <w:basedOn w:val="EstiloTtulo2ArialNegritaAilSinsubrayado"/>
    <w:uiPriority w:val="99"/>
    <w:qFormat/>
    <w:pPr>
      <w:spacing w:before="240" w:after="240"/>
    </w:pPr>
  </w:style>
  <w:style w:type="paragraph" w:customStyle="1" w:styleId="Prrafodelista1">
    <w:name w:val="Párrafo de lista1"/>
    <w:basedOn w:val="Normal0"/>
    <w:qFormat/>
    <w:pPr>
      <w:ind w:left="720"/>
    </w:pPr>
  </w:style>
  <w:style w:type="paragraph" w:customStyle="1" w:styleId="bodytext220">
    <w:name w:val="bodytext22"/>
    <w:basedOn w:val="Normal0"/>
    <w:qFormat/>
    <w:pPr>
      <w:spacing w:before="100" w:beforeAutospacing="1" w:after="100" w:afterAutospacing="1" w:line="240" w:lineRule="auto"/>
    </w:pPr>
    <w:rPr>
      <w:rFonts w:ascii="Arial Unicode MS" w:hAnsi="Arial Unicode MS" w:cs="Arial Unicode MS"/>
      <w:sz w:val="24"/>
      <w:szCs w:val="24"/>
    </w:rPr>
  </w:style>
  <w:style w:type="character" w:customStyle="1" w:styleId="EstiloCorreo621">
    <w:name w:val="EstiloCorreo621"/>
    <w:qFormat/>
    <w:rPr>
      <w:rFonts w:ascii="Arial" w:hAnsi="Arial"/>
      <w:color w:val="000080"/>
    </w:rPr>
  </w:style>
  <w:style w:type="paragraph" w:customStyle="1" w:styleId="BodyText24">
    <w:name w:val="Body Text 24"/>
    <w:basedOn w:val="Normal0"/>
    <w:qFormat/>
    <w:pPr>
      <w:tabs>
        <w:tab w:val="left" w:pos="567"/>
        <w:tab w:val="left" w:pos="1134"/>
        <w:tab w:val="left" w:pos="1701"/>
        <w:tab w:val="left" w:pos="2268"/>
        <w:tab w:val="left" w:pos="2835"/>
      </w:tabs>
      <w:spacing w:after="0" w:line="240" w:lineRule="auto"/>
      <w:ind w:left="567" w:hanging="567"/>
      <w:jc w:val="both"/>
    </w:pPr>
    <w:rPr>
      <w:rFonts w:ascii="Times New Roman" w:eastAsiaTheme="minorEastAsia" w:hAnsi="Times New Roman"/>
      <w:szCs w:val="20"/>
    </w:rPr>
  </w:style>
  <w:style w:type="paragraph" w:customStyle="1" w:styleId="a">
    <w:name w:val=":"/>
    <w:basedOn w:val="Normal0"/>
    <w:qFormat/>
    <w:pPr>
      <w:tabs>
        <w:tab w:val="left" w:pos="-720"/>
      </w:tabs>
      <w:suppressAutoHyphens/>
      <w:spacing w:after="240" w:line="240" w:lineRule="auto"/>
      <w:jc w:val="both"/>
    </w:pPr>
    <w:rPr>
      <w:rFonts w:ascii="Times New Roman" w:eastAsiaTheme="minorEastAsia" w:hAnsi="Times New Roman"/>
      <w:spacing w:val="-2"/>
      <w:sz w:val="20"/>
      <w:szCs w:val="20"/>
    </w:rPr>
  </w:style>
  <w:style w:type="paragraph" w:customStyle="1" w:styleId="p3">
    <w:name w:val="p3"/>
    <w:basedOn w:val="Normal0"/>
    <w:qFormat/>
    <w:pPr>
      <w:widowControl w:val="0"/>
      <w:tabs>
        <w:tab w:val="left" w:pos="720"/>
      </w:tabs>
      <w:spacing w:after="0" w:line="240" w:lineRule="auto"/>
      <w:jc w:val="both"/>
    </w:pPr>
    <w:rPr>
      <w:rFonts w:ascii="Times" w:eastAsiaTheme="minorEastAsia" w:hAnsi="Times"/>
      <w:sz w:val="24"/>
      <w:szCs w:val="20"/>
    </w:rPr>
  </w:style>
  <w:style w:type="character" w:customStyle="1" w:styleId="MapadeldocumentoCar">
    <w:name w:val="Mapa del documento Car"/>
    <w:basedOn w:val="Fuentedeprrafopredeter"/>
    <w:link w:val="Mapadeldocumento"/>
    <w:qFormat/>
    <w:rPr>
      <w:rFonts w:ascii="Tahoma" w:eastAsia="Times New Roman" w:hAnsi="Tahoma" w:cs="Tahoma"/>
      <w:shd w:val="clear" w:color="auto" w:fill="000080"/>
    </w:rPr>
  </w:style>
  <w:style w:type="paragraph" w:customStyle="1" w:styleId="Sangria">
    <w:name w:val="Sangria"/>
    <w:basedOn w:val="Normal0"/>
    <w:uiPriority w:val="99"/>
    <w:qFormat/>
    <w:pPr>
      <w:spacing w:before="120" w:after="120" w:line="240" w:lineRule="auto"/>
      <w:ind w:left="567" w:hanging="567"/>
      <w:jc w:val="both"/>
    </w:pPr>
    <w:rPr>
      <w:rFonts w:ascii="Times New Roman" w:eastAsiaTheme="minorEastAsia" w:hAnsi="Times New Roman"/>
      <w:sz w:val="24"/>
      <w:szCs w:val="20"/>
    </w:rPr>
  </w:style>
  <w:style w:type="paragraph" w:customStyle="1" w:styleId="ALG-Ttulo5">
    <w:name w:val="ALG - Título 5"/>
    <w:basedOn w:val="Normal0"/>
    <w:next w:val="Normal0"/>
    <w:uiPriority w:val="99"/>
    <w:qFormat/>
    <w:pPr>
      <w:spacing w:before="120" w:after="120" w:line="240" w:lineRule="auto"/>
      <w:jc w:val="both"/>
    </w:pPr>
    <w:rPr>
      <w:rFonts w:ascii="Century Gothic" w:eastAsiaTheme="minorEastAsia" w:hAnsi="Century Gothic"/>
      <w:sz w:val="20"/>
      <w:szCs w:val="24"/>
      <w:u w:val="single"/>
    </w:rPr>
  </w:style>
  <w:style w:type="paragraph" w:customStyle="1" w:styleId="ALG-Vietas1">
    <w:name w:val="ALG - Viñetas 1"/>
    <w:basedOn w:val="Normal0"/>
    <w:uiPriority w:val="99"/>
    <w:qFormat/>
    <w:pPr>
      <w:numPr>
        <w:numId w:val="9"/>
      </w:numPr>
      <w:tabs>
        <w:tab w:val="left" w:pos="360"/>
      </w:tabs>
      <w:spacing w:before="240" w:after="120" w:line="240" w:lineRule="auto"/>
      <w:jc w:val="both"/>
    </w:pPr>
    <w:rPr>
      <w:rFonts w:ascii="Century Gothic" w:hAnsi="Century Gothic"/>
      <w:sz w:val="20"/>
      <w:szCs w:val="24"/>
    </w:rPr>
  </w:style>
  <w:style w:type="character" w:customStyle="1" w:styleId="ALG-Vietas1Car">
    <w:name w:val="ALG - Viñetas 1 Car"/>
    <w:uiPriority w:val="99"/>
    <w:qFormat/>
    <w:rPr>
      <w:rFonts w:ascii="Century Gothic" w:hAnsi="Century Gothic"/>
      <w:sz w:val="24"/>
      <w:lang w:val="zh-CN"/>
    </w:rPr>
  </w:style>
  <w:style w:type="paragraph" w:customStyle="1" w:styleId="ALG-Ttulo4">
    <w:name w:val="ALG - Título 4"/>
    <w:basedOn w:val="Normal0"/>
    <w:next w:val="Normal0"/>
    <w:qFormat/>
    <w:pPr>
      <w:spacing w:before="240" w:after="240" w:line="240" w:lineRule="auto"/>
      <w:jc w:val="both"/>
    </w:pPr>
    <w:rPr>
      <w:rFonts w:ascii="Century Gothic" w:eastAsiaTheme="minorEastAsia" w:hAnsi="Century Gothic"/>
      <w:b/>
      <w:sz w:val="20"/>
      <w:szCs w:val="24"/>
    </w:rPr>
  </w:style>
  <w:style w:type="character" w:customStyle="1" w:styleId="ALG-Ttulo4Car">
    <w:name w:val="ALG - Título 4 Car"/>
    <w:qFormat/>
    <w:rPr>
      <w:rFonts w:ascii="Century Gothic" w:hAnsi="Century Gothic"/>
      <w:b/>
      <w:sz w:val="24"/>
    </w:rPr>
  </w:style>
  <w:style w:type="character" w:customStyle="1" w:styleId="EstiloTtulo2AsiticaMSMinchoCarCar">
    <w:name w:val="Estilo Título 2 + (Asiática) MS Mincho Car Car"/>
    <w:qFormat/>
    <w:rPr>
      <w:rFonts w:ascii="Arial" w:eastAsia="MS Mincho" w:hAnsi="Arial"/>
      <w:sz w:val="22"/>
    </w:rPr>
  </w:style>
  <w:style w:type="paragraph" w:customStyle="1" w:styleId="Titulo4numerado">
    <w:name w:val="Titulo 4 numerado"/>
    <w:uiPriority w:val="99"/>
    <w:qFormat/>
    <w:pPr>
      <w:numPr>
        <w:numId w:val="10"/>
      </w:numPr>
      <w:tabs>
        <w:tab w:val="left" w:pos="0"/>
      </w:tabs>
      <w:autoSpaceDE w:val="0"/>
      <w:autoSpaceDN w:val="0"/>
      <w:adjustRightInd w:val="0"/>
      <w:spacing w:after="200" w:line="276" w:lineRule="auto"/>
      <w:ind w:left="0" w:firstLine="0"/>
    </w:pPr>
    <w:rPr>
      <w:rFonts w:eastAsia="Times New Roman" w:cs="Calibri"/>
      <w:sz w:val="22"/>
      <w:szCs w:val="22"/>
      <w:lang w:val="es-ES"/>
    </w:rPr>
  </w:style>
  <w:style w:type="paragraph" w:customStyle="1" w:styleId="Titulo1">
    <w:name w:val="Titulo 1"/>
    <w:basedOn w:val="heading10"/>
    <w:uiPriority w:val="99"/>
    <w:qFormat/>
    <w:pPr>
      <w:spacing w:before="0" w:after="0" w:line="240" w:lineRule="auto"/>
    </w:pPr>
    <w:rPr>
      <w:rFonts w:eastAsia="MS Mincho"/>
      <w:caps/>
    </w:rPr>
  </w:style>
  <w:style w:type="paragraph" w:customStyle="1" w:styleId="Estilo2">
    <w:name w:val="Estilo2"/>
    <w:basedOn w:val="Normal0"/>
    <w:qFormat/>
    <w:pPr>
      <w:numPr>
        <w:numId w:val="11"/>
      </w:numPr>
      <w:tabs>
        <w:tab w:val="left" w:pos="0"/>
        <w:tab w:val="left" w:pos="360"/>
      </w:tabs>
      <w:ind w:left="0" w:firstLine="0"/>
    </w:pPr>
  </w:style>
  <w:style w:type="paragraph" w:customStyle="1" w:styleId="Titulo">
    <w:name w:val="Titulo"/>
    <w:uiPriority w:val="99"/>
    <w:qFormat/>
    <w:pPr>
      <w:autoSpaceDE w:val="0"/>
      <w:autoSpaceDN w:val="0"/>
      <w:adjustRightInd w:val="0"/>
      <w:spacing w:after="200" w:line="276" w:lineRule="auto"/>
    </w:pPr>
    <w:rPr>
      <w:rFonts w:eastAsia="Calibri"/>
      <w:b/>
      <w:caps/>
      <w:sz w:val="22"/>
      <w:szCs w:val="22"/>
    </w:rPr>
  </w:style>
  <w:style w:type="paragraph" w:customStyle="1" w:styleId="EstiloTtulo3Hdg3Heading3aSubrayadoAntes0ptoDespus">
    <w:name w:val="Estilo Título 3Hdg 3Heading 3a + Subrayado Antes:  0 pto Después..."/>
    <w:basedOn w:val="Normal0"/>
    <w:uiPriority w:val="99"/>
    <w:qFormat/>
  </w:style>
  <w:style w:type="paragraph" w:customStyle="1" w:styleId="Titulo4">
    <w:name w:val="Titulo 4"/>
    <w:uiPriority w:val="99"/>
    <w:qFormat/>
    <w:pPr>
      <w:numPr>
        <w:numId w:val="12"/>
      </w:numPr>
      <w:tabs>
        <w:tab w:val="left" w:pos="0"/>
      </w:tabs>
      <w:autoSpaceDE w:val="0"/>
      <w:autoSpaceDN w:val="0"/>
      <w:adjustRightInd w:val="0"/>
      <w:spacing w:after="200" w:line="276" w:lineRule="auto"/>
      <w:ind w:left="0" w:firstLine="0"/>
    </w:pPr>
    <w:rPr>
      <w:rFonts w:eastAsia="MS Mincho" w:cs="Calibri"/>
      <w:sz w:val="22"/>
      <w:szCs w:val="22"/>
    </w:rPr>
  </w:style>
  <w:style w:type="paragraph" w:customStyle="1" w:styleId="BodyText31">
    <w:name w:val="Body Text 31"/>
    <w:basedOn w:val="Normal0"/>
    <w:qFormat/>
    <w:pPr>
      <w:spacing w:after="0" w:line="240" w:lineRule="auto"/>
      <w:jc w:val="both"/>
    </w:pPr>
    <w:rPr>
      <w:rFonts w:ascii="Arial Narrow" w:eastAsiaTheme="minorEastAsia" w:hAnsi="Arial Narrow" w:cs="Arial"/>
      <w:sz w:val="18"/>
      <w:szCs w:val="18"/>
      <w:lang w:val="es-MX"/>
    </w:rPr>
  </w:style>
  <w:style w:type="paragraph" w:customStyle="1" w:styleId="CM39">
    <w:name w:val="CM39"/>
    <w:basedOn w:val="Default"/>
    <w:next w:val="Default"/>
    <w:qFormat/>
    <w:pPr>
      <w:widowControl w:val="0"/>
      <w:spacing w:line="253" w:lineRule="atLeast"/>
    </w:pPr>
    <w:rPr>
      <w:rFonts w:ascii="Arial" w:hAnsi="Arial" w:cs="Arial"/>
      <w:color w:val="auto"/>
    </w:rPr>
  </w:style>
  <w:style w:type="paragraph" w:customStyle="1" w:styleId="sinestilo">
    <w:name w:val="sin estilo"/>
    <w:uiPriority w:val="99"/>
    <w:qFormat/>
    <w:pPr>
      <w:autoSpaceDE w:val="0"/>
      <w:autoSpaceDN w:val="0"/>
      <w:adjustRightInd w:val="0"/>
      <w:spacing w:before="120" w:after="120" w:line="276" w:lineRule="auto"/>
      <w:jc w:val="center"/>
      <w:outlineLvl w:val="0"/>
    </w:pPr>
    <w:rPr>
      <w:rFonts w:eastAsia="MS Mincho"/>
      <w:b/>
      <w:sz w:val="22"/>
      <w:szCs w:val="22"/>
      <w:lang w:val="es-ES"/>
    </w:rPr>
  </w:style>
  <w:style w:type="paragraph" w:customStyle="1" w:styleId="Estilo1">
    <w:name w:val="Estilo1"/>
    <w:next w:val="sinestilo"/>
    <w:qFormat/>
    <w:pPr>
      <w:autoSpaceDE w:val="0"/>
      <w:autoSpaceDN w:val="0"/>
      <w:adjustRightInd w:val="0"/>
      <w:spacing w:before="120" w:after="120" w:line="276" w:lineRule="auto"/>
    </w:pPr>
    <w:rPr>
      <w:rFonts w:eastAsia="MS Mincho"/>
      <w:sz w:val="22"/>
      <w:szCs w:val="22"/>
      <w:lang w:val="es-ES"/>
    </w:rPr>
  </w:style>
  <w:style w:type="paragraph" w:customStyle="1" w:styleId="EstiloArialNegroJustificadoDespus0ptoInterlineadose">
    <w:name w:val="Estilo Arial Negro Justificado Después:  0 pto Interlineado:  se..."/>
    <w:basedOn w:val="Normal0"/>
    <w:next w:val="sinestilo"/>
    <w:uiPriority w:val="99"/>
    <w:qFormat/>
    <w:pPr>
      <w:spacing w:after="0" w:line="240" w:lineRule="auto"/>
      <w:jc w:val="both"/>
    </w:pPr>
    <w:rPr>
      <w:rFonts w:ascii="Arial" w:hAnsi="Arial"/>
      <w:color w:val="000000"/>
      <w:szCs w:val="20"/>
    </w:rPr>
  </w:style>
  <w:style w:type="character" w:customStyle="1" w:styleId="Textoindependiente3Car">
    <w:name w:val="Texto independiente 3 Car"/>
    <w:basedOn w:val="Fuentedeprrafopredeter"/>
    <w:link w:val="Textoindependiente3"/>
    <w:qFormat/>
    <w:rPr>
      <w:rFonts w:ascii="Calibri" w:eastAsiaTheme="minorEastAsia" w:hAnsi="Calibri" w:cs="Calibri"/>
      <w:color w:val="000000"/>
      <w:sz w:val="16"/>
      <w:szCs w:val="16"/>
    </w:rPr>
  </w:style>
  <w:style w:type="paragraph" w:customStyle="1" w:styleId="subpar">
    <w:name w:val="subpar"/>
    <w:basedOn w:val="Sangra3detindependiente"/>
    <w:qFormat/>
    <w:pPr>
      <w:spacing w:before="120" w:line="240" w:lineRule="auto"/>
      <w:ind w:left="0"/>
      <w:jc w:val="both"/>
      <w:outlineLvl w:val="2"/>
    </w:pPr>
    <w:rPr>
      <w:rFonts w:ascii="Times New Roman" w:eastAsiaTheme="minorEastAsia" w:hAnsi="Times New Roman"/>
      <w:sz w:val="24"/>
      <w:szCs w:val="20"/>
    </w:rPr>
  </w:style>
  <w:style w:type="paragraph" w:customStyle="1" w:styleId="ALG-Tablas-Cap4">
    <w:name w:val="ALG - Tablas - Cap.4"/>
    <w:next w:val="Normal0"/>
    <w:uiPriority w:val="99"/>
    <w:qFormat/>
    <w:pPr>
      <w:numPr>
        <w:numId w:val="13"/>
      </w:numPr>
      <w:autoSpaceDE w:val="0"/>
      <w:autoSpaceDN w:val="0"/>
      <w:adjustRightInd w:val="0"/>
      <w:spacing w:before="120" w:after="120" w:line="276" w:lineRule="auto"/>
      <w:ind w:left="720"/>
      <w:jc w:val="center"/>
    </w:pPr>
    <w:rPr>
      <w:rFonts w:ascii="Century Gothic" w:eastAsia="Calibri" w:hAnsi="Century Gothic" w:cs="Calibri"/>
      <w:b/>
      <w:sz w:val="22"/>
      <w:szCs w:val="24"/>
    </w:rPr>
  </w:style>
  <w:style w:type="paragraph" w:customStyle="1" w:styleId="Sangra2detindependiente1">
    <w:name w:val="Sangría 2 de t. independiente1"/>
    <w:basedOn w:val="Normal0"/>
    <w:qFormat/>
    <w:pPr>
      <w:spacing w:after="0" w:line="240" w:lineRule="auto"/>
      <w:ind w:left="426"/>
      <w:jc w:val="both"/>
    </w:pPr>
    <w:rPr>
      <w:rFonts w:ascii="Arial" w:eastAsiaTheme="minorEastAsia" w:hAnsi="Arial"/>
      <w:sz w:val="24"/>
      <w:szCs w:val="20"/>
    </w:rPr>
  </w:style>
  <w:style w:type="character" w:customStyle="1" w:styleId="SubttuloCar">
    <w:name w:val="Subtítulo Car"/>
    <w:basedOn w:val="Fuentedeprrafopredeter"/>
    <w:link w:val="Subttulo"/>
    <w:uiPriority w:val="11"/>
    <w:qFormat/>
    <w:rPr>
      <w:rFonts w:eastAsia="Arial"/>
      <w:b/>
      <w:bCs/>
      <w:sz w:val="22"/>
      <w:szCs w:val="22"/>
      <w:lang w:val="zh-CN" w:eastAsia="ja-JP"/>
    </w:rPr>
  </w:style>
  <w:style w:type="character" w:customStyle="1" w:styleId="ft0">
    <w:name w:val="ft0"/>
    <w:basedOn w:val="Fuentedeprrafopredeter"/>
    <w:qFormat/>
    <w:rPr>
      <w:rFonts w:cs="Times New Roman"/>
    </w:rPr>
  </w:style>
  <w:style w:type="character" w:customStyle="1" w:styleId="Ttulo3Car1">
    <w:name w:val="Título 3 Car1"/>
    <w:uiPriority w:val="99"/>
    <w:qFormat/>
    <w:rPr>
      <w:rFonts w:ascii="Cambria" w:hAnsi="Cambria"/>
      <w:color w:val="243F60"/>
      <w:sz w:val="24"/>
      <w:lang w:val="es-ES"/>
    </w:rPr>
  </w:style>
  <w:style w:type="character" w:customStyle="1" w:styleId="Ttulo4Car1">
    <w:name w:val="Título 4 Car1"/>
    <w:uiPriority w:val="99"/>
    <w:qFormat/>
    <w:rPr>
      <w:rFonts w:ascii="Cambria" w:hAnsi="Cambria"/>
      <w:i/>
      <w:color w:val="365F91"/>
      <w:sz w:val="22"/>
      <w:lang w:val="es-ES"/>
    </w:rPr>
  </w:style>
  <w:style w:type="character" w:customStyle="1" w:styleId="TextonotapieCar1">
    <w:name w:val="Texto nota pie Car1"/>
    <w:uiPriority w:val="99"/>
    <w:qFormat/>
    <w:rPr>
      <w:rFonts w:ascii="Arial" w:eastAsia="Batang" w:hAnsi="Arial"/>
      <w:lang w:val="es-ES"/>
    </w:rPr>
  </w:style>
  <w:style w:type="character" w:customStyle="1" w:styleId="PiedepginaCar1">
    <w:name w:val="Pie de página Car1"/>
    <w:uiPriority w:val="99"/>
    <w:qFormat/>
    <w:rPr>
      <w:rFonts w:ascii="Arial" w:eastAsia="Batang" w:hAnsi="Arial"/>
      <w:sz w:val="22"/>
      <w:lang w:val="es-ES"/>
    </w:rPr>
  </w:style>
  <w:style w:type="character" w:customStyle="1" w:styleId="DescripcinCar">
    <w:name w:val="Descripción Car"/>
    <w:link w:val="Epgrafe1"/>
    <w:qFormat/>
    <w:rPr>
      <w:rFonts w:ascii="Times New Roman" w:hAnsi="Times New Roman"/>
      <w:b/>
      <w:caps/>
      <w:sz w:val="18"/>
      <w:lang w:val="zh-CN"/>
    </w:rPr>
  </w:style>
  <w:style w:type="paragraph" w:customStyle="1" w:styleId="Epgrafe1">
    <w:name w:val="Epígrafe1"/>
    <w:basedOn w:val="Normal0"/>
    <w:next w:val="Normal0"/>
    <w:link w:val="DescripcinCar"/>
    <w:unhideWhenUsed/>
    <w:qFormat/>
    <w:pPr>
      <w:autoSpaceDE/>
      <w:autoSpaceDN/>
      <w:adjustRightInd/>
      <w:spacing w:after="0" w:line="240" w:lineRule="auto"/>
    </w:pPr>
    <w:rPr>
      <w:rFonts w:ascii="Times New Roman" w:eastAsia="SimSun" w:hAnsi="Times New Roman" w:cs="Arial"/>
      <w:b/>
      <w:caps/>
      <w:sz w:val="18"/>
      <w:szCs w:val="20"/>
      <w:lang w:val="zh-CN"/>
    </w:rPr>
  </w:style>
  <w:style w:type="character" w:customStyle="1" w:styleId="Mencinsinresolver1">
    <w:name w:val="Mención sin resolver1"/>
    <w:basedOn w:val="Fuentedeprrafopredeter"/>
    <w:uiPriority w:val="99"/>
    <w:qFormat/>
    <w:rPr>
      <w:rFonts w:cs="Times New Roman"/>
      <w:color w:val="605E5C"/>
      <w:shd w:val="clear" w:color="auto" w:fill="E1DFDD"/>
    </w:rPr>
  </w:style>
  <w:style w:type="character" w:customStyle="1" w:styleId="PuestoCar1">
    <w:name w:val="Puesto Car1"/>
    <w:uiPriority w:val="10"/>
    <w:qFormat/>
    <w:rPr>
      <w:rFonts w:ascii="Calibri Light" w:hAnsi="Calibri Light"/>
      <w:spacing w:val="-10"/>
      <w:kern w:val="28"/>
      <w:sz w:val="56"/>
    </w:rPr>
  </w:style>
  <w:style w:type="character" w:customStyle="1" w:styleId="TextoindependienteCar1">
    <w:name w:val="Texto independiente Car1"/>
    <w:qFormat/>
    <w:rPr>
      <w:rFonts w:ascii="Arial" w:eastAsia="Batang" w:hAnsi="Arial"/>
      <w:sz w:val="22"/>
      <w:lang w:val="es-ES"/>
    </w:rPr>
  </w:style>
  <w:style w:type="character" w:customStyle="1" w:styleId="SangradetextonormalCar1">
    <w:name w:val="Sangría de texto normal Car1"/>
    <w:qFormat/>
    <w:rPr>
      <w:rFonts w:ascii="Arial" w:eastAsia="Batang" w:hAnsi="Arial"/>
      <w:sz w:val="22"/>
      <w:lang w:val="es-ES"/>
    </w:rPr>
  </w:style>
  <w:style w:type="character" w:customStyle="1" w:styleId="SaludoCar">
    <w:name w:val="Saludo Car"/>
    <w:basedOn w:val="Fuentedeprrafopredeter"/>
    <w:link w:val="Saludo"/>
    <w:qFormat/>
    <w:rPr>
      <w:rFonts w:ascii="Times New Roman" w:eastAsiaTheme="minorEastAsia" w:hAnsi="Times New Roman" w:cs="Calibri"/>
      <w:sz w:val="24"/>
      <w:szCs w:val="24"/>
    </w:rPr>
  </w:style>
  <w:style w:type="character" w:customStyle="1" w:styleId="TextoindependienteprimerasangraCar">
    <w:name w:val="Texto independiente primera sangría Car"/>
    <w:basedOn w:val="TextoindependienteCar"/>
    <w:link w:val="Textoindependienteprimerasangra"/>
    <w:qFormat/>
    <w:rPr>
      <w:rFonts w:eastAsiaTheme="minorEastAsia"/>
      <w:bCs w:val="0"/>
      <w:spacing w:val="-3"/>
      <w:sz w:val="24"/>
      <w:szCs w:val="24"/>
      <w:lang w:val="zh-CN" w:eastAsia="es-ES"/>
    </w:rPr>
  </w:style>
  <w:style w:type="character" w:customStyle="1" w:styleId="TextoindependienteCar2">
    <w:name w:val="Texto independiente Car2"/>
    <w:uiPriority w:val="99"/>
    <w:qFormat/>
    <w:rPr>
      <w:rFonts w:ascii="Calibri" w:eastAsia="Times New Roman" w:hAnsi="Calibri"/>
    </w:rPr>
  </w:style>
  <w:style w:type="character" w:customStyle="1" w:styleId="Textoindependienteprimerasangra2Car">
    <w:name w:val="Texto independiente primera sangría 2 Car"/>
    <w:basedOn w:val="SangradetextonormalCar"/>
    <w:link w:val="Textoindependienteprimerasangra2"/>
    <w:qFormat/>
    <w:rPr>
      <w:rFonts w:ascii="Calibri" w:eastAsiaTheme="minorEastAsia" w:hAnsi="Calibri" w:cs="Calibri"/>
      <w:sz w:val="24"/>
      <w:szCs w:val="24"/>
    </w:rPr>
  </w:style>
  <w:style w:type="character" w:customStyle="1" w:styleId="SangradetextonormalCar2">
    <w:name w:val="Sangría de texto normal Car2"/>
    <w:qFormat/>
    <w:rPr>
      <w:rFonts w:ascii="Calibri" w:eastAsia="Times New Roman" w:hAnsi="Calibri"/>
    </w:rPr>
  </w:style>
  <w:style w:type="character" w:customStyle="1" w:styleId="TextosinformatoCar1">
    <w:name w:val="Texto sin formato Car1"/>
    <w:qFormat/>
    <w:rPr>
      <w:rFonts w:ascii="Courier New" w:eastAsia="Batang" w:hAnsi="Courier New"/>
      <w:sz w:val="22"/>
      <w:lang w:val="es-ES"/>
    </w:rPr>
  </w:style>
  <w:style w:type="paragraph" w:customStyle="1" w:styleId="BodyText21">
    <w:name w:val="Body Text 21"/>
    <w:basedOn w:val="Normal0"/>
    <w:qFormat/>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494"/>
      </w:tabs>
      <w:spacing w:after="0" w:line="240" w:lineRule="auto"/>
      <w:jc w:val="both"/>
    </w:pPr>
    <w:rPr>
      <w:rFonts w:ascii="Arial" w:eastAsia="Batang" w:hAnsi="Arial"/>
      <w:szCs w:val="20"/>
    </w:rPr>
  </w:style>
  <w:style w:type="paragraph" w:customStyle="1" w:styleId="subitemt">
    <w:name w:val="subitem t"/>
    <w:basedOn w:val="Normal0"/>
    <w:uiPriority w:val="99"/>
    <w:qFormat/>
    <w:pPr>
      <w:tabs>
        <w:tab w:val="right" w:leader="dot" w:pos="851"/>
        <w:tab w:val="right" w:leader="dot" w:pos="8789"/>
      </w:tabs>
      <w:spacing w:before="60" w:after="60" w:line="240" w:lineRule="auto"/>
      <w:jc w:val="both"/>
    </w:pPr>
    <w:rPr>
      <w:rFonts w:ascii="Arial" w:eastAsia="Batang" w:hAnsi="Arial"/>
      <w:sz w:val="24"/>
      <w:szCs w:val="20"/>
    </w:rPr>
  </w:style>
  <w:style w:type="paragraph" w:customStyle="1" w:styleId="item">
    <w:name w:val="item"/>
    <w:basedOn w:val="Normal0"/>
    <w:qFormat/>
    <w:pPr>
      <w:tabs>
        <w:tab w:val="left" w:pos="360"/>
      </w:tabs>
      <w:spacing w:before="60" w:after="60" w:line="240" w:lineRule="auto"/>
      <w:ind w:left="360" w:hanging="360"/>
      <w:jc w:val="both"/>
    </w:pPr>
    <w:rPr>
      <w:rFonts w:ascii="Arial" w:eastAsia="Batang" w:hAnsi="Arial"/>
      <w:sz w:val="24"/>
      <w:szCs w:val="20"/>
    </w:rPr>
  </w:style>
  <w:style w:type="paragraph" w:customStyle="1" w:styleId="subitem">
    <w:name w:val="subitem"/>
    <w:basedOn w:val="item"/>
    <w:qFormat/>
    <w:pPr>
      <w:tabs>
        <w:tab w:val="clear" w:pos="360"/>
        <w:tab w:val="left" w:pos="720"/>
      </w:tabs>
      <w:ind w:left="720"/>
    </w:pPr>
  </w:style>
  <w:style w:type="paragraph" w:customStyle="1" w:styleId="Textoindependiente31">
    <w:name w:val="Texto independiente 31"/>
    <w:basedOn w:val="Normal0"/>
    <w:uiPriority w:val="99"/>
    <w:qFormat/>
    <w:pPr>
      <w:widowControl w:val="0"/>
      <w:spacing w:after="0" w:line="240" w:lineRule="auto"/>
      <w:jc w:val="both"/>
    </w:pPr>
    <w:rPr>
      <w:rFonts w:ascii="Arial" w:eastAsiaTheme="minorEastAsia" w:hAnsi="Arial"/>
      <w:sz w:val="24"/>
      <w:szCs w:val="20"/>
    </w:rPr>
  </w:style>
  <w:style w:type="paragraph" w:customStyle="1" w:styleId="Textoindependiente21">
    <w:name w:val="Texto independiente 21"/>
    <w:basedOn w:val="Normal0"/>
    <w:qFormat/>
    <w:pPr>
      <w:suppressAutoHyphens/>
      <w:spacing w:after="0" w:line="240" w:lineRule="auto"/>
      <w:jc w:val="both"/>
    </w:pPr>
    <w:rPr>
      <w:rFonts w:ascii="Arial" w:eastAsiaTheme="minorEastAsia" w:hAnsi="Arial"/>
      <w:szCs w:val="20"/>
    </w:rPr>
  </w:style>
  <w:style w:type="paragraph" w:customStyle="1" w:styleId="CM90">
    <w:name w:val="CM90"/>
    <w:basedOn w:val="Default"/>
    <w:next w:val="Default"/>
    <w:uiPriority w:val="99"/>
    <w:qFormat/>
    <w:pPr>
      <w:widowControl w:val="0"/>
      <w:spacing w:after="248"/>
    </w:pPr>
    <w:rPr>
      <w:rFonts w:ascii="Arial" w:hAnsi="Arial" w:cs="Arial"/>
      <w:color w:val="auto"/>
    </w:rPr>
  </w:style>
  <w:style w:type="paragraph" w:customStyle="1" w:styleId="CM92">
    <w:name w:val="CM92"/>
    <w:basedOn w:val="Default"/>
    <w:next w:val="Default"/>
    <w:uiPriority w:val="99"/>
    <w:qFormat/>
    <w:pPr>
      <w:widowControl w:val="0"/>
      <w:spacing w:after="113"/>
    </w:pPr>
    <w:rPr>
      <w:rFonts w:ascii="Arial" w:hAnsi="Arial" w:cs="Arial"/>
      <w:color w:val="auto"/>
    </w:rPr>
  </w:style>
  <w:style w:type="paragraph" w:customStyle="1" w:styleId="CM6">
    <w:name w:val="CM6"/>
    <w:basedOn w:val="Default"/>
    <w:next w:val="Default"/>
    <w:uiPriority w:val="99"/>
    <w:qFormat/>
    <w:pPr>
      <w:widowControl w:val="0"/>
      <w:spacing w:line="253" w:lineRule="atLeast"/>
    </w:pPr>
    <w:rPr>
      <w:rFonts w:ascii="Arial" w:hAnsi="Arial" w:cs="Arial"/>
      <w:color w:val="auto"/>
    </w:rPr>
  </w:style>
  <w:style w:type="paragraph" w:customStyle="1" w:styleId="CM44">
    <w:name w:val="CM44"/>
    <w:basedOn w:val="Default"/>
    <w:next w:val="Default"/>
    <w:uiPriority w:val="99"/>
    <w:qFormat/>
    <w:pPr>
      <w:widowControl w:val="0"/>
      <w:spacing w:line="253" w:lineRule="atLeast"/>
    </w:pPr>
    <w:rPr>
      <w:rFonts w:ascii="Arial" w:hAnsi="Arial" w:cs="Arial"/>
      <w:color w:val="auto"/>
    </w:rPr>
  </w:style>
  <w:style w:type="paragraph" w:customStyle="1" w:styleId="EstiloTtulo3Hdg3Subrayado">
    <w:name w:val="Estilo Título 3Hdg 3 + Subrayado"/>
    <w:basedOn w:val="heading30"/>
    <w:uiPriority w:val="99"/>
    <w:qFormat/>
    <w:pPr>
      <w:spacing w:before="0" w:after="0" w:line="240" w:lineRule="auto"/>
      <w:jc w:val="center"/>
    </w:pPr>
    <w:rPr>
      <w:rFonts w:eastAsia="Batang" w:cs="Times New Roman"/>
      <w:b/>
      <w:szCs w:val="20"/>
    </w:rPr>
  </w:style>
  <w:style w:type="paragraph" w:customStyle="1" w:styleId="Comprimido015pto">
    <w:name w:val="+ Comprimido  0.15 pto"/>
    <w:basedOn w:val="Titulo3"/>
    <w:uiPriority w:val="99"/>
    <w:qFormat/>
    <w:pPr>
      <w:numPr>
        <w:numId w:val="0"/>
      </w:numPr>
      <w:jc w:val="both"/>
    </w:pPr>
    <w:rPr>
      <w:rFonts w:eastAsia="Batang" w:cs="Arial"/>
      <w:spacing w:val="-3"/>
    </w:rPr>
  </w:style>
  <w:style w:type="paragraph" w:customStyle="1" w:styleId="Ttulo3Comprimido015pto">
    <w:name w:val="Título 3 + Comprimido  0.15 pto"/>
    <w:basedOn w:val="Comprimido015pto"/>
    <w:uiPriority w:val="99"/>
    <w:qFormat/>
    <w:pPr>
      <w:numPr>
        <w:ilvl w:val="2"/>
        <w:numId w:val="14"/>
      </w:numPr>
      <w:tabs>
        <w:tab w:val="left" w:pos="720"/>
      </w:tabs>
    </w:pPr>
  </w:style>
  <w:style w:type="paragraph" w:customStyle="1" w:styleId="Sangra3detindependiente1">
    <w:name w:val="Sangría 3 de t. independiente1"/>
    <w:basedOn w:val="Normal0"/>
    <w:uiPriority w:val="99"/>
    <w:qFormat/>
    <w:pPr>
      <w:widowControl w:val="0"/>
      <w:tabs>
        <w:tab w:val="left" w:pos="0"/>
      </w:tabs>
      <w:suppressAutoHyphens/>
      <w:spacing w:after="0" w:line="240" w:lineRule="auto"/>
      <w:ind w:left="1110"/>
      <w:jc w:val="both"/>
    </w:pPr>
    <w:rPr>
      <w:rFonts w:ascii="Arial" w:eastAsia="Batang" w:hAnsi="Arial"/>
      <w:spacing w:val="-3"/>
      <w:szCs w:val="20"/>
    </w:rPr>
  </w:style>
  <w:style w:type="paragraph" w:customStyle="1" w:styleId="TypistsInitials">
    <w:name w:val="Typist's Initials"/>
    <w:basedOn w:val="Normal0"/>
    <w:uiPriority w:val="99"/>
    <w:qFormat/>
    <w:pPr>
      <w:spacing w:before="240" w:after="0" w:line="240" w:lineRule="auto"/>
      <w:jc w:val="both"/>
    </w:pPr>
    <w:rPr>
      <w:rFonts w:ascii="Times New Roman" w:eastAsiaTheme="minorEastAsia" w:hAnsi="Times New Roman"/>
      <w:sz w:val="20"/>
      <w:szCs w:val="20"/>
      <w:lang w:val="en-US"/>
    </w:rPr>
  </w:style>
  <w:style w:type="paragraph" w:customStyle="1" w:styleId="EstiloNegritaJustificado">
    <w:name w:val="Estilo Negrita Justificado"/>
    <w:basedOn w:val="heading20"/>
    <w:next w:val="heading20"/>
    <w:qFormat/>
    <w:pPr>
      <w:ind w:left="964"/>
      <w:jc w:val="both"/>
    </w:pPr>
    <w:rPr>
      <w:b/>
    </w:rPr>
  </w:style>
  <w:style w:type="paragraph" w:customStyle="1" w:styleId="texto5">
    <w:name w:val="texto5"/>
    <w:basedOn w:val="Normal0"/>
    <w:uiPriority w:val="99"/>
    <w:qFormat/>
    <w:pPr>
      <w:spacing w:before="100" w:beforeAutospacing="1" w:after="100" w:afterAutospacing="1" w:line="240" w:lineRule="auto"/>
    </w:pPr>
    <w:rPr>
      <w:rFonts w:ascii="Arial" w:eastAsiaTheme="minorEastAsia" w:hAnsi="Arial" w:cs="Arial"/>
      <w:color w:val="225371"/>
      <w:sz w:val="21"/>
      <w:szCs w:val="21"/>
    </w:rPr>
  </w:style>
  <w:style w:type="paragraph" w:customStyle="1" w:styleId="ListaCC">
    <w:name w:val="Lista CC."/>
    <w:basedOn w:val="Normal0"/>
    <w:uiPriority w:val="99"/>
    <w:qFormat/>
    <w:pPr>
      <w:spacing w:after="0" w:line="240" w:lineRule="auto"/>
    </w:pPr>
    <w:rPr>
      <w:rFonts w:ascii="Times New Roman" w:eastAsiaTheme="minorEastAsia" w:hAnsi="Times New Roman"/>
      <w:sz w:val="24"/>
      <w:szCs w:val="24"/>
    </w:rPr>
  </w:style>
  <w:style w:type="paragraph" w:customStyle="1" w:styleId="pelota0">
    <w:name w:val="pelota0"/>
    <w:basedOn w:val="Normal0"/>
    <w:uiPriority w:val="99"/>
    <w:qFormat/>
    <w:pPr>
      <w:spacing w:after="0" w:line="240" w:lineRule="auto"/>
      <w:jc w:val="both"/>
    </w:pPr>
    <w:rPr>
      <w:rFonts w:ascii="Times New Roman" w:hAnsi="Times New Roman"/>
    </w:rPr>
  </w:style>
  <w:style w:type="paragraph" w:customStyle="1" w:styleId="CarCarCar">
    <w:name w:val="Car Car Car"/>
    <w:basedOn w:val="Normal0"/>
    <w:uiPriority w:val="99"/>
    <w:qFormat/>
    <w:pPr>
      <w:spacing w:after="160" w:line="240" w:lineRule="exact"/>
    </w:pPr>
    <w:rPr>
      <w:rFonts w:ascii="Verdana" w:eastAsiaTheme="minorEastAsia" w:hAnsi="Verdana"/>
      <w:sz w:val="20"/>
      <w:szCs w:val="20"/>
      <w:lang w:val="en-US"/>
    </w:rPr>
  </w:style>
  <w:style w:type="character" w:customStyle="1" w:styleId="NoSpacingChar">
    <w:name w:val="No Spacing Char"/>
    <w:qFormat/>
    <w:rPr>
      <w:rFonts w:eastAsia="Times New Roman"/>
      <w:lang w:val="en-US"/>
    </w:rPr>
  </w:style>
  <w:style w:type="paragraph" w:customStyle="1" w:styleId="Sinespaciado1">
    <w:name w:val="Sin espaciado1"/>
    <w:qFormat/>
    <w:pPr>
      <w:autoSpaceDE w:val="0"/>
      <w:autoSpaceDN w:val="0"/>
      <w:adjustRightInd w:val="0"/>
      <w:spacing w:after="200" w:line="276" w:lineRule="auto"/>
    </w:pPr>
    <w:rPr>
      <w:rFonts w:ascii="Calibri" w:eastAsia="Calibri" w:hAnsi="Calibri" w:cs="Calibri"/>
      <w:sz w:val="22"/>
      <w:szCs w:val="22"/>
      <w:lang w:val="en-US"/>
    </w:rPr>
  </w:style>
  <w:style w:type="paragraph" w:customStyle="1" w:styleId="Prrafodelista2">
    <w:name w:val="Párrafo de lista2"/>
    <w:basedOn w:val="Normal0"/>
    <w:qFormat/>
    <w:pPr>
      <w:spacing w:after="0" w:line="240" w:lineRule="auto"/>
      <w:ind w:left="708"/>
    </w:pPr>
    <w:rPr>
      <w:rFonts w:ascii="Times New Roman" w:eastAsiaTheme="minorEastAsia" w:hAnsi="Times New Roman"/>
      <w:sz w:val="24"/>
      <w:szCs w:val="24"/>
    </w:rPr>
  </w:style>
  <w:style w:type="paragraph" w:customStyle="1" w:styleId="Contenidodelmarco">
    <w:name w:val="Contenido del marco"/>
    <w:basedOn w:val="Textoindependiente"/>
    <w:uiPriority w:val="99"/>
    <w:qFormat/>
    <w:pPr>
      <w:suppressAutoHyphens/>
      <w:autoSpaceDE w:val="0"/>
      <w:autoSpaceDN w:val="0"/>
      <w:adjustRightInd w:val="0"/>
    </w:pPr>
    <w:rPr>
      <w:rFonts w:ascii="Times New Roman" w:eastAsiaTheme="minorEastAsia" w:hAnsi="Times New Roman"/>
      <w:bCs w:val="0"/>
      <w:sz w:val="20"/>
      <w:szCs w:val="20"/>
      <w:lang w:val="es-PE" w:eastAsia="es-PE"/>
    </w:rPr>
  </w:style>
  <w:style w:type="paragraph" w:customStyle="1" w:styleId="cuerpo1">
    <w:name w:val="cuerpo1"/>
    <w:basedOn w:val="Textoindependiente"/>
    <w:uiPriority w:val="99"/>
    <w:qFormat/>
    <w:pPr>
      <w:autoSpaceDE w:val="0"/>
      <w:autoSpaceDN w:val="0"/>
      <w:adjustRightInd w:val="0"/>
      <w:spacing w:before="240"/>
      <w:ind w:left="708"/>
    </w:pPr>
    <w:rPr>
      <w:rFonts w:ascii="AvantGarde Bk BT" w:eastAsiaTheme="minorEastAsia" w:hAnsi="AvantGarde Bk BT"/>
      <w:bCs w:val="0"/>
      <w:szCs w:val="20"/>
      <w:lang w:eastAsia="es-PE"/>
    </w:rPr>
  </w:style>
  <w:style w:type="paragraph" w:customStyle="1" w:styleId="CUERPO">
    <w:name w:val="CUERPO"/>
    <w:basedOn w:val="Normal0"/>
    <w:uiPriority w:val="99"/>
    <w:qFormat/>
    <w:pPr>
      <w:tabs>
        <w:tab w:val="left" w:pos="-1440"/>
        <w:tab w:val="left" w:pos="-720"/>
      </w:tabs>
      <w:suppressAutoHyphens/>
      <w:spacing w:before="120" w:after="240" w:line="240" w:lineRule="atLeast"/>
      <w:ind w:left="709"/>
      <w:jc w:val="both"/>
    </w:pPr>
    <w:rPr>
      <w:rFonts w:ascii="MS Sans Serif" w:eastAsiaTheme="minorEastAsia" w:hAnsi="MS Sans Serif"/>
      <w:spacing w:val="20"/>
      <w:sz w:val="24"/>
      <w:szCs w:val="20"/>
    </w:rPr>
  </w:style>
  <w:style w:type="paragraph" w:customStyle="1" w:styleId="Cuerpo0">
    <w:name w:val="Cuerpo"/>
    <w:basedOn w:val="Normal0"/>
    <w:uiPriority w:val="99"/>
    <w:qFormat/>
    <w:pPr>
      <w:tabs>
        <w:tab w:val="left" w:pos="-1440"/>
        <w:tab w:val="left" w:pos="-720"/>
      </w:tabs>
      <w:suppressAutoHyphens/>
      <w:spacing w:before="120" w:after="240" w:line="240" w:lineRule="auto"/>
      <w:ind w:left="709"/>
      <w:jc w:val="both"/>
    </w:pPr>
    <w:rPr>
      <w:rFonts w:ascii="Arial" w:eastAsiaTheme="minorEastAsia" w:hAnsi="Arial"/>
      <w:spacing w:val="20"/>
      <w:sz w:val="24"/>
      <w:szCs w:val="20"/>
    </w:rPr>
  </w:style>
  <w:style w:type="paragraph" w:customStyle="1" w:styleId="Cuerpo-2">
    <w:name w:val="Cuerpo-2"/>
    <w:basedOn w:val="Normal0"/>
    <w:next w:val="Cuerpo0"/>
    <w:uiPriority w:val="99"/>
    <w:qFormat/>
    <w:pPr>
      <w:tabs>
        <w:tab w:val="left" w:pos="-1440"/>
        <w:tab w:val="left" w:pos="-720"/>
        <w:tab w:val="left" w:pos="0"/>
        <w:tab w:val="left" w:pos="720"/>
        <w:tab w:val="left" w:pos="1418"/>
      </w:tabs>
      <w:suppressAutoHyphens/>
      <w:spacing w:before="120" w:after="120" w:line="12" w:lineRule="atLeast"/>
      <w:ind w:left="1418"/>
      <w:jc w:val="both"/>
    </w:pPr>
    <w:rPr>
      <w:rFonts w:ascii="Arial" w:eastAsiaTheme="minorEastAsia" w:hAnsi="Arial"/>
      <w:spacing w:val="20"/>
      <w:sz w:val="24"/>
      <w:szCs w:val="20"/>
    </w:rPr>
  </w:style>
  <w:style w:type="paragraph" w:customStyle="1" w:styleId="Cuerpo-1">
    <w:name w:val="Cuerpo-1"/>
    <w:basedOn w:val="Cuerpo0"/>
    <w:uiPriority w:val="99"/>
    <w:qFormat/>
    <w:pPr>
      <w:tabs>
        <w:tab w:val="left" w:pos="0"/>
        <w:tab w:val="left" w:pos="720"/>
        <w:tab w:val="left" w:pos="1418"/>
        <w:tab w:val="left" w:pos="1985"/>
        <w:tab w:val="left" w:pos="2552"/>
      </w:tabs>
      <w:spacing w:after="120" w:line="240" w:lineRule="atLeast"/>
      <w:ind w:left="1418" w:hanging="709"/>
    </w:pPr>
  </w:style>
  <w:style w:type="paragraph" w:customStyle="1" w:styleId="texto">
    <w:name w:val="texto"/>
    <w:basedOn w:val="Normal0"/>
    <w:qFormat/>
    <w:pPr>
      <w:spacing w:before="100" w:after="100" w:line="240" w:lineRule="auto"/>
    </w:pPr>
    <w:rPr>
      <w:rFonts w:ascii="Verdana" w:eastAsiaTheme="minorEastAsia" w:hAnsi="Verdana"/>
      <w:b/>
      <w:color w:val="000000"/>
      <w:sz w:val="18"/>
      <w:szCs w:val="20"/>
    </w:rPr>
  </w:style>
  <w:style w:type="paragraph" w:customStyle="1" w:styleId="subttulo3nivel">
    <w:name w:val="subtítulo 3 nivel"/>
    <w:basedOn w:val="Normal0"/>
    <w:uiPriority w:val="99"/>
    <w:qFormat/>
    <w:pPr>
      <w:tabs>
        <w:tab w:val="left" w:pos="2970"/>
      </w:tabs>
      <w:spacing w:after="0" w:line="240" w:lineRule="auto"/>
      <w:ind w:left="709" w:hanging="990"/>
      <w:jc w:val="both"/>
    </w:pPr>
    <w:rPr>
      <w:rFonts w:ascii="Garamond" w:eastAsiaTheme="minorEastAsia" w:hAnsi="Garamond"/>
      <w:sz w:val="24"/>
      <w:szCs w:val="20"/>
    </w:rPr>
  </w:style>
  <w:style w:type="paragraph" w:customStyle="1" w:styleId="xl32">
    <w:name w:val="xl32"/>
    <w:basedOn w:val="Normal0"/>
    <w:uiPriority w:val="99"/>
    <w:qFormat/>
    <w:pPr>
      <w:spacing w:before="100" w:after="100" w:line="240" w:lineRule="auto"/>
      <w:jc w:val="center"/>
    </w:pPr>
    <w:rPr>
      <w:rFonts w:ascii="Comic Sans MS" w:eastAsiaTheme="minorEastAsia" w:hAnsi="Comic Sans MS"/>
      <w:sz w:val="18"/>
      <w:szCs w:val="20"/>
    </w:rPr>
  </w:style>
  <w:style w:type="paragraph" w:customStyle="1" w:styleId="Numeracin">
    <w:name w:val="Numeración"/>
    <w:basedOn w:val="Normal0"/>
    <w:uiPriority w:val="99"/>
    <w:qFormat/>
    <w:pPr>
      <w:tabs>
        <w:tab w:val="left" w:pos="1068"/>
      </w:tabs>
      <w:spacing w:before="120" w:after="120" w:line="240" w:lineRule="auto"/>
      <w:ind w:left="1068" w:hanging="360"/>
      <w:jc w:val="both"/>
    </w:pPr>
    <w:rPr>
      <w:rFonts w:ascii="Arial" w:eastAsiaTheme="minorEastAsia" w:hAnsi="Arial"/>
      <w:sz w:val="20"/>
      <w:szCs w:val="20"/>
    </w:rPr>
  </w:style>
  <w:style w:type="paragraph" w:customStyle="1" w:styleId="NoSpacing1">
    <w:name w:val="No Spacing1"/>
    <w:uiPriority w:val="99"/>
    <w:qFormat/>
    <w:pPr>
      <w:autoSpaceDE w:val="0"/>
      <w:autoSpaceDN w:val="0"/>
      <w:adjustRightInd w:val="0"/>
      <w:spacing w:after="200" w:line="276" w:lineRule="auto"/>
    </w:pPr>
    <w:rPr>
      <w:rFonts w:ascii="Calibri" w:eastAsia="Calibri" w:hAnsi="Calibri" w:cs="Calibri"/>
      <w:sz w:val="22"/>
      <w:szCs w:val="22"/>
      <w:lang w:val="en-US"/>
    </w:rPr>
  </w:style>
  <w:style w:type="paragraph" w:customStyle="1" w:styleId="ListParagraph1">
    <w:name w:val="List Paragraph1"/>
    <w:basedOn w:val="Normal0"/>
    <w:uiPriority w:val="99"/>
    <w:qFormat/>
    <w:pPr>
      <w:spacing w:after="0" w:line="240" w:lineRule="auto"/>
      <w:ind w:left="708"/>
    </w:pPr>
    <w:rPr>
      <w:rFonts w:ascii="Times New Roman" w:eastAsiaTheme="minorEastAsia" w:hAnsi="Times New Roman"/>
      <w:sz w:val="24"/>
      <w:szCs w:val="24"/>
    </w:rPr>
  </w:style>
  <w:style w:type="paragraph" w:customStyle="1" w:styleId="BodyTextIndent31">
    <w:name w:val="Body Text Indent 31"/>
    <w:basedOn w:val="Normal0"/>
    <w:uiPriority w:val="99"/>
    <w:qFormat/>
    <w:pPr>
      <w:widowControl w:val="0"/>
      <w:spacing w:after="0" w:line="360" w:lineRule="auto"/>
      <w:ind w:left="1134"/>
      <w:jc w:val="both"/>
    </w:pPr>
    <w:rPr>
      <w:rFonts w:ascii="Century Gothic" w:eastAsiaTheme="minorEastAsia" w:hAnsi="Century Gothic" w:cs="Arial"/>
      <w:szCs w:val="20"/>
    </w:rPr>
  </w:style>
  <w:style w:type="paragraph" w:customStyle="1" w:styleId="Listavistosa-nfasis11">
    <w:name w:val="Lista vistosa - Énfasis 11"/>
    <w:basedOn w:val="Normal0"/>
    <w:uiPriority w:val="34"/>
    <w:qFormat/>
    <w:pPr>
      <w:ind w:left="720"/>
      <w:contextualSpacing/>
    </w:pPr>
    <w:rPr>
      <w:lang w:val="en-US"/>
    </w:rPr>
  </w:style>
  <w:style w:type="paragraph" w:customStyle="1" w:styleId="TituloClausulas">
    <w:name w:val="Titulo Clausulas"/>
    <w:basedOn w:val="Normal0"/>
    <w:uiPriority w:val="99"/>
    <w:qFormat/>
    <w:pPr>
      <w:tabs>
        <w:tab w:val="left" w:pos="-720"/>
      </w:tabs>
      <w:suppressAutoHyphens/>
      <w:spacing w:before="120" w:after="120" w:line="360" w:lineRule="auto"/>
      <w:jc w:val="center"/>
    </w:pPr>
    <w:rPr>
      <w:rFonts w:ascii="Arial" w:eastAsia="MS Mincho" w:hAnsi="Arial"/>
      <w:b/>
      <w:spacing w:val="-2"/>
      <w:sz w:val="24"/>
      <w:szCs w:val="24"/>
    </w:rPr>
  </w:style>
  <w:style w:type="paragraph" w:customStyle="1" w:styleId="Elenco03">
    <w:name w:val="Elenco 03"/>
    <w:basedOn w:val="Normal0"/>
    <w:uiPriority w:val="99"/>
    <w:qFormat/>
    <w:pPr>
      <w:widowControl w:val="0"/>
      <w:numPr>
        <w:ilvl w:val="1"/>
        <w:numId w:val="15"/>
      </w:numPr>
      <w:tabs>
        <w:tab w:val="left" w:pos="717"/>
      </w:tabs>
      <w:spacing w:before="60" w:after="0" w:line="240" w:lineRule="auto"/>
      <w:ind w:left="357" w:firstLine="0"/>
      <w:jc w:val="both"/>
    </w:pPr>
    <w:rPr>
      <w:rFonts w:ascii="Arial" w:eastAsiaTheme="minorEastAsia" w:hAnsi="Arial" w:cs="Arial"/>
    </w:rPr>
  </w:style>
  <w:style w:type="character" w:customStyle="1" w:styleId="FigureChar">
    <w:name w:val="Figure Char"/>
    <w:qFormat/>
    <w:rPr>
      <w:rFonts w:ascii="Arial" w:hAnsi="Arial"/>
      <w:b/>
      <w:sz w:val="16"/>
      <w:lang w:val="zh-CN"/>
    </w:rPr>
  </w:style>
  <w:style w:type="paragraph" w:customStyle="1" w:styleId="Figure">
    <w:name w:val="Figure"/>
    <w:basedOn w:val="Normal0"/>
    <w:qFormat/>
    <w:pPr>
      <w:spacing w:before="60" w:after="240" w:line="240" w:lineRule="auto"/>
      <w:jc w:val="center"/>
    </w:pPr>
    <w:rPr>
      <w:rFonts w:ascii="Arial" w:eastAsiaTheme="minorEastAsia" w:hAnsi="Arial" w:cs="Arial"/>
      <w:b/>
      <w:sz w:val="16"/>
      <w:szCs w:val="16"/>
    </w:rPr>
  </w:style>
  <w:style w:type="paragraph" w:customStyle="1" w:styleId="Textotabla">
    <w:name w:val="Texto tabla"/>
    <w:basedOn w:val="Normal0"/>
    <w:qFormat/>
    <w:pPr>
      <w:tabs>
        <w:tab w:val="left" w:pos="851"/>
        <w:tab w:val="left" w:pos="2552"/>
      </w:tabs>
      <w:spacing w:after="0" w:line="240" w:lineRule="auto"/>
      <w:jc w:val="center"/>
    </w:pPr>
    <w:rPr>
      <w:rFonts w:ascii="Arial" w:eastAsiaTheme="minorEastAsia" w:hAnsi="Arial"/>
      <w:szCs w:val="20"/>
    </w:rPr>
  </w:style>
  <w:style w:type="character" w:customStyle="1" w:styleId="comunCar">
    <w:name w:val="comun Car"/>
    <w:qFormat/>
    <w:rPr>
      <w:rFonts w:ascii="Arial Narrow" w:hAnsi="Arial Narrow"/>
      <w:spacing w:val="-2"/>
      <w:sz w:val="20"/>
    </w:rPr>
  </w:style>
  <w:style w:type="paragraph" w:customStyle="1" w:styleId="comun">
    <w:name w:val="comun"/>
    <w:basedOn w:val="Normal0"/>
    <w:qFormat/>
    <w:pPr>
      <w:spacing w:after="0" w:line="240" w:lineRule="auto"/>
      <w:ind w:left="458"/>
      <w:jc w:val="center"/>
    </w:pPr>
    <w:rPr>
      <w:rFonts w:ascii="Arial Narrow" w:eastAsiaTheme="minorEastAsia" w:hAnsi="Arial Narrow" w:cs="Arial"/>
      <w:spacing w:val="-2"/>
      <w:sz w:val="20"/>
      <w:szCs w:val="20"/>
    </w:rPr>
  </w:style>
  <w:style w:type="character" w:customStyle="1" w:styleId="vietas1CarCar">
    <w:name w:val="viñetas 1 Car Car"/>
    <w:qFormat/>
    <w:rPr>
      <w:rFonts w:ascii="Arial Narrow" w:hAnsi="Arial Narrow"/>
      <w:sz w:val="24"/>
      <w:lang w:val="zh-CN"/>
    </w:rPr>
  </w:style>
  <w:style w:type="paragraph" w:customStyle="1" w:styleId="vietas1">
    <w:name w:val="viñetas 1"/>
    <w:basedOn w:val="Normal0"/>
    <w:qFormat/>
    <w:pPr>
      <w:numPr>
        <w:numId w:val="16"/>
      </w:numPr>
      <w:tabs>
        <w:tab w:val="left" w:pos="714"/>
        <w:tab w:val="left" w:pos="993"/>
      </w:tabs>
      <w:spacing w:after="0" w:line="240" w:lineRule="auto"/>
      <w:ind w:left="714" w:hanging="357"/>
      <w:jc w:val="both"/>
    </w:pPr>
    <w:rPr>
      <w:rFonts w:ascii="Arial Narrow" w:eastAsiaTheme="minorEastAsia" w:hAnsi="Arial Narrow"/>
      <w:szCs w:val="24"/>
    </w:rPr>
  </w:style>
  <w:style w:type="character" w:styleId="Textodelmarcadordeposicin">
    <w:name w:val="Placeholder Text"/>
    <w:basedOn w:val="Fuentedeprrafopredeter"/>
    <w:uiPriority w:val="99"/>
    <w:qFormat/>
    <w:rPr>
      <w:color w:val="808080"/>
    </w:rPr>
  </w:style>
  <w:style w:type="character" w:customStyle="1" w:styleId="nfasissutil1">
    <w:name w:val="Énfasis sutil1"/>
    <w:basedOn w:val="Fuentedeprrafopredeter"/>
    <w:uiPriority w:val="19"/>
    <w:qFormat/>
    <w:rPr>
      <w:i/>
    </w:rPr>
  </w:style>
  <w:style w:type="character" w:customStyle="1" w:styleId="nfasisintenso1">
    <w:name w:val="Énfasis intenso1"/>
    <w:basedOn w:val="Fuentedeprrafopredeter"/>
    <w:uiPriority w:val="21"/>
    <w:qFormat/>
    <w:rPr>
      <w:b/>
      <w:i/>
      <w:color w:val="C0504D"/>
      <w:spacing w:val="10"/>
    </w:rPr>
  </w:style>
  <w:style w:type="character" w:customStyle="1" w:styleId="Referenciasutil1">
    <w:name w:val="Referencia sutil1"/>
    <w:basedOn w:val="Fuentedeprrafopredeter"/>
    <w:uiPriority w:val="31"/>
    <w:qFormat/>
    <w:rPr>
      <w:b/>
    </w:rPr>
  </w:style>
  <w:style w:type="character" w:customStyle="1" w:styleId="Referenciaintensa1">
    <w:name w:val="Referencia intensa1"/>
    <w:basedOn w:val="Fuentedeprrafopredeter"/>
    <w:uiPriority w:val="32"/>
    <w:qFormat/>
    <w:rPr>
      <w:b/>
      <w:smallCaps/>
      <w:spacing w:val="5"/>
      <w:sz w:val="22"/>
      <w:u w:val="single"/>
    </w:rPr>
  </w:style>
  <w:style w:type="character" w:customStyle="1" w:styleId="Ttulodellibro1">
    <w:name w:val="Título del libro1"/>
    <w:basedOn w:val="Fuentedeprrafopredeter"/>
    <w:uiPriority w:val="33"/>
    <w:qFormat/>
    <w:rPr>
      <w:rFonts w:ascii="Cambria" w:hAnsi="Cambria"/>
      <w:i/>
      <w:sz w:val="20"/>
    </w:rPr>
  </w:style>
  <w:style w:type="character" w:customStyle="1" w:styleId="Hdg3CarCar3">
    <w:name w:val="Hdg 3 Car Car3"/>
    <w:qFormat/>
    <w:rPr>
      <w:rFonts w:ascii="Arial" w:eastAsia="Batang" w:hAnsi="Arial"/>
      <w:b/>
      <w:sz w:val="22"/>
      <w:lang w:val="es-ES"/>
    </w:rPr>
  </w:style>
  <w:style w:type="character" w:customStyle="1" w:styleId="estilocorreo20">
    <w:name w:val="estilocorreo20"/>
    <w:qFormat/>
    <w:rPr>
      <w:rFonts w:ascii="Arial" w:hAnsi="Arial"/>
      <w:color w:val="000080"/>
    </w:rPr>
  </w:style>
  <w:style w:type="character" w:customStyle="1" w:styleId="EstiloTtulo3Hdg3SubrayadoCar">
    <w:name w:val="Estilo Título 3Hdg 3 + Subrayado Car"/>
    <w:uiPriority w:val="99"/>
    <w:qFormat/>
    <w:rPr>
      <w:rFonts w:ascii="Arial" w:eastAsia="Batang" w:hAnsi="Arial"/>
      <w:b/>
      <w:sz w:val="22"/>
      <w:lang w:val="es-ES"/>
    </w:rPr>
  </w:style>
  <w:style w:type="character" w:customStyle="1" w:styleId="Hdg3CarCar">
    <w:name w:val="Hdg 3 Car Car"/>
    <w:qFormat/>
    <w:rPr>
      <w:rFonts w:ascii="Arial" w:eastAsia="Batang" w:hAnsi="Arial"/>
      <w:b/>
      <w:sz w:val="22"/>
      <w:lang w:val="es-ES"/>
    </w:rPr>
  </w:style>
  <w:style w:type="character" w:customStyle="1" w:styleId="nshiroma">
    <w:name w:val="nshiroma"/>
    <w:qFormat/>
    <w:rPr>
      <w:rFonts w:ascii="Arial" w:hAnsi="Arial"/>
      <w:color w:val="auto"/>
      <w:sz w:val="20"/>
    </w:rPr>
  </w:style>
  <w:style w:type="character" w:customStyle="1" w:styleId="Hdg3CarCar4">
    <w:name w:val="Hdg 3 Car Car4"/>
    <w:qFormat/>
    <w:rPr>
      <w:rFonts w:ascii="Arial" w:eastAsia="Batang" w:hAnsi="Arial"/>
      <w:b/>
      <w:sz w:val="22"/>
      <w:lang w:val="es-ES"/>
    </w:rPr>
  </w:style>
  <w:style w:type="character" w:customStyle="1" w:styleId="Hdg3CarCar1">
    <w:name w:val="Hdg 3 Car Car1"/>
    <w:qFormat/>
    <w:rPr>
      <w:rFonts w:ascii="Arial" w:eastAsia="Batang" w:hAnsi="Arial"/>
      <w:b/>
      <w:sz w:val="22"/>
      <w:lang w:val="es-ES"/>
    </w:rPr>
  </w:style>
  <w:style w:type="character" w:customStyle="1" w:styleId="DeltaViewDeletion">
    <w:name w:val="DeltaView Deletion"/>
    <w:qFormat/>
    <w:rPr>
      <w:strike/>
      <w:color w:val="FF0000"/>
    </w:rPr>
  </w:style>
  <w:style w:type="character" w:customStyle="1" w:styleId="Hdg3CarCar2">
    <w:name w:val="Hdg 3 Car Car2"/>
    <w:qFormat/>
    <w:rPr>
      <w:rFonts w:ascii="Arial" w:eastAsia="Batang" w:hAnsi="Arial"/>
      <w:b/>
      <w:sz w:val="22"/>
      <w:lang w:val="es-ES"/>
    </w:rPr>
  </w:style>
  <w:style w:type="character" w:customStyle="1" w:styleId="deltaviewinsertion0">
    <w:name w:val="deltaviewinsertion"/>
    <w:qFormat/>
    <w:rPr>
      <w:color w:val="0000FF"/>
      <w:spacing w:val="0"/>
      <w:u w:val="single"/>
    </w:rPr>
  </w:style>
  <w:style w:type="character" w:customStyle="1" w:styleId="CarCar2">
    <w:name w:val="Car Car2"/>
    <w:qFormat/>
    <w:rPr>
      <w:rFonts w:ascii="Times New Roman" w:hAnsi="Times New Roman"/>
      <w:lang w:val="es-ES"/>
    </w:rPr>
  </w:style>
  <w:style w:type="character" w:customStyle="1" w:styleId="CarCar3">
    <w:name w:val="Car Car3"/>
    <w:qFormat/>
    <w:rPr>
      <w:rFonts w:ascii="Arial" w:hAnsi="Arial"/>
      <w:b/>
      <w:sz w:val="26"/>
      <w:lang w:val="es-ES"/>
    </w:rPr>
  </w:style>
  <w:style w:type="character" w:customStyle="1" w:styleId="CarCar4">
    <w:name w:val="Car Car4"/>
    <w:qFormat/>
    <w:rPr>
      <w:rFonts w:ascii="Arial" w:hAnsi="Arial"/>
      <w:b/>
      <w:sz w:val="26"/>
      <w:lang w:val="es-ES"/>
    </w:rPr>
  </w:style>
  <w:style w:type="character" w:customStyle="1" w:styleId="CarCar23">
    <w:name w:val="Car Car23"/>
    <w:qFormat/>
    <w:rPr>
      <w:rFonts w:ascii="Arial" w:hAnsi="Arial"/>
      <w:b/>
      <w:sz w:val="26"/>
      <w:lang w:val="es-ES"/>
    </w:rPr>
  </w:style>
  <w:style w:type="character" w:customStyle="1" w:styleId="CarCar15">
    <w:name w:val="Car Car15"/>
    <w:qFormat/>
    <w:rPr>
      <w:rFonts w:ascii="Times New Roman" w:hAnsi="Times New Roman"/>
      <w:sz w:val="20"/>
      <w:lang w:val="es-ES"/>
    </w:rPr>
  </w:style>
  <w:style w:type="character" w:customStyle="1" w:styleId="CarCar13">
    <w:name w:val="Car Car13"/>
    <w:qFormat/>
    <w:rPr>
      <w:rFonts w:ascii="Tahoma" w:hAnsi="Tahoma"/>
      <w:sz w:val="16"/>
      <w:lang w:val="es-ES"/>
    </w:rPr>
  </w:style>
  <w:style w:type="character" w:customStyle="1" w:styleId="CommentTextChar">
    <w:name w:val="Comment Text Char"/>
    <w:qFormat/>
    <w:rPr>
      <w:rFonts w:ascii="Times New Roman" w:hAnsi="Times New Roman"/>
      <w:lang w:val="es-ES"/>
    </w:rPr>
  </w:style>
  <w:style w:type="character" w:customStyle="1" w:styleId="Heading1Char">
    <w:name w:val="Heading 1 Char"/>
    <w:qFormat/>
    <w:rPr>
      <w:rFonts w:ascii="Cambria" w:hAnsi="Cambria"/>
      <w:b/>
      <w:kern w:val="32"/>
      <w:sz w:val="32"/>
      <w:lang w:val="es-ES"/>
    </w:rPr>
  </w:style>
  <w:style w:type="character" w:customStyle="1" w:styleId="Heading2Char">
    <w:name w:val="Heading 2 Char"/>
    <w:qFormat/>
    <w:rPr>
      <w:rFonts w:ascii="Cambria" w:hAnsi="Cambria"/>
      <w:b/>
      <w:i/>
      <w:sz w:val="28"/>
      <w:lang w:val="es-ES"/>
    </w:rPr>
  </w:style>
  <w:style w:type="character" w:customStyle="1" w:styleId="Heading3Char">
    <w:name w:val="Heading 3 Char"/>
    <w:qFormat/>
    <w:rPr>
      <w:rFonts w:ascii="Arial" w:hAnsi="Arial"/>
      <w:b/>
      <w:sz w:val="26"/>
      <w:lang w:val="es-ES"/>
    </w:rPr>
  </w:style>
  <w:style w:type="character" w:customStyle="1" w:styleId="Heading4Char">
    <w:name w:val="Heading 4 Char"/>
    <w:qFormat/>
    <w:rPr>
      <w:rFonts w:ascii="Calibri" w:hAnsi="Calibri"/>
      <w:b/>
      <w:sz w:val="28"/>
      <w:lang w:val="es-ES"/>
    </w:rPr>
  </w:style>
  <w:style w:type="character" w:customStyle="1" w:styleId="Heading5Char">
    <w:name w:val="Heading 5 Char"/>
    <w:qFormat/>
    <w:rPr>
      <w:rFonts w:ascii="Calibri" w:hAnsi="Calibri"/>
      <w:b/>
      <w:i/>
      <w:sz w:val="26"/>
      <w:lang w:val="es-ES"/>
    </w:rPr>
  </w:style>
  <w:style w:type="character" w:customStyle="1" w:styleId="Heading6Char">
    <w:name w:val="Heading 6 Char"/>
    <w:qFormat/>
    <w:rPr>
      <w:rFonts w:ascii="Calibri" w:hAnsi="Calibri"/>
      <w:b/>
      <w:lang w:val="es-ES"/>
    </w:rPr>
  </w:style>
  <w:style w:type="character" w:customStyle="1" w:styleId="Heading7Char">
    <w:name w:val="Heading 7 Char"/>
    <w:qFormat/>
    <w:rPr>
      <w:rFonts w:ascii="Calibri" w:hAnsi="Calibri"/>
      <w:sz w:val="24"/>
      <w:lang w:val="es-ES"/>
    </w:rPr>
  </w:style>
  <w:style w:type="character" w:customStyle="1" w:styleId="Heading8Char">
    <w:name w:val="Heading 8 Char"/>
    <w:qFormat/>
    <w:rPr>
      <w:rFonts w:ascii="Calibri" w:hAnsi="Calibri"/>
      <w:i/>
      <w:sz w:val="24"/>
      <w:lang w:val="es-ES"/>
    </w:rPr>
  </w:style>
  <w:style w:type="character" w:customStyle="1" w:styleId="Heading9Char">
    <w:name w:val="Heading 9 Char"/>
    <w:qFormat/>
    <w:rPr>
      <w:rFonts w:ascii="Cambria" w:hAnsi="Cambria"/>
      <w:lang w:val="es-ES"/>
    </w:rPr>
  </w:style>
  <w:style w:type="character" w:customStyle="1" w:styleId="BalloonTextChar">
    <w:name w:val="Balloon Text Char"/>
    <w:qFormat/>
    <w:rPr>
      <w:rFonts w:ascii="Tahoma" w:hAnsi="Tahoma"/>
      <w:sz w:val="16"/>
      <w:lang w:val="es-ES"/>
    </w:rPr>
  </w:style>
  <w:style w:type="character" w:customStyle="1" w:styleId="BodyTextChar">
    <w:name w:val="Body Text Char"/>
    <w:qFormat/>
    <w:rPr>
      <w:rFonts w:ascii="Times New Roman" w:hAnsi="Times New Roman"/>
      <w:sz w:val="24"/>
      <w:lang w:val="es-ES"/>
    </w:rPr>
  </w:style>
  <w:style w:type="character" w:customStyle="1" w:styleId="BodyTextIndentChar">
    <w:name w:val="Body Text Indent Char"/>
    <w:qFormat/>
    <w:rPr>
      <w:rFonts w:ascii="Times New Roman" w:hAnsi="Times New Roman"/>
      <w:sz w:val="24"/>
      <w:lang w:val="es-ES"/>
    </w:rPr>
  </w:style>
  <w:style w:type="character" w:customStyle="1" w:styleId="CommentSubjectChar">
    <w:name w:val="Comment Subject Char"/>
    <w:qFormat/>
    <w:rPr>
      <w:rFonts w:ascii="Times New Roman" w:hAnsi="Times New Roman"/>
      <w:b/>
      <w:sz w:val="20"/>
      <w:lang w:val="es-ES"/>
    </w:rPr>
  </w:style>
  <w:style w:type="character" w:customStyle="1" w:styleId="BodyTextIndent2Char">
    <w:name w:val="Body Text Indent 2 Char"/>
    <w:qFormat/>
    <w:rPr>
      <w:rFonts w:ascii="Times New Roman" w:hAnsi="Times New Roman"/>
      <w:sz w:val="24"/>
      <w:lang w:val="es-ES"/>
    </w:rPr>
  </w:style>
  <w:style w:type="character" w:customStyle="1" w:styleId="SalutationChar">
    <w:name w:val="Salutation Char"/>
    <w:qFormat/>
    <w:rPr>
      <w:rFonts w:ascii="Times New Roman" w:hAnsi="Times New Roman"/>
      <w:sz w:val="24"/>
      <w:lang w:val="es-ES"/>
    </w:rPr>
  </w:style>
  <w:style w:type="character" w:customStyle="1" w:styleId="BodyTextFirstIndentChar">
    <w:name w:val="Body Text First Indent Char"/>
    <w:qFormat/>
  </w:style>
  <w:style w:type="character" w:customStyle="1" w:styleId="BodyTextFirstIndent2Char">
    <w:name w:val="Body Text First Indent 2 Char"/>
    <w:qFormat/>
  </w:style>
  <w:style w:type="character" w:customStyle="1" w:styleId="BodyText2Char">
    <w:name w:val="Body Text 2 Char"/>
    <w:qFormat/>
    <w:rPr>
      <w:rFonts w:ascii="Times New Roman" w:hAnsi="Times New Roman"/>
      <w:sz w:val="24"/>
      <w:lang w:val="es-ES"/>
    </w:rPr>
  </w:style>
  <w:style w:type="character" w:customStyle="1" w:styleId="HeaderChar">
    <w:name w:val="Header Char"/>
    <w:qFormat/>
    <w:rPr>
      <w:rFonts w:ascii="Times New Roman" w:hAnsi="Times New Roman"/>
      <w:lang w:val="es-ES"/>
    </w:rPr>
  </w:style>
  <w:style w:type="character" w:customStyle="1" w:styleId="apple-style-span">
    <w:name w:val="apple-style-span"/>
    <w:uiPriority w:val="99"/>
    <w:qFormat/>
  </w:style>
  <w:style w:type="character" w:customStyle="1" w:styleId="FootnoteTextChar">
    <w:name w:val="Footnote Text Char"/>
    <w:uiPriority w:val="99"/>
    <w:qFormat/>
    <w:rPr>
      <w:rFonts w:ascii="Times New Roman" w:hAnsi="Times New Roman"/>
      <w:sz w:val="20"/>
      <w:lang w:val="zh-CN"/>
    </w:rPr>
  </w:style>
  <w:style w:type="character" w:customStyle="1" w:styleId="st1">
    <w:name w:val="st1"/>
    <w:qFormat/>
  </w:style>
  <w:style w:type="character" w:customStyle="1" w:styleId="hps">
    <w:name w:val="hps"/>
    <w:qFormat/>
  </w:style>
  <w:style w:type="paragraph" w:customStyle="1" w:styleId="cuerpo2">
    <w:name w:val="cuerpo2"/>
    <w:basedOn w:val="cuerpo1"/>
    <w:uiPriority w:val="99"/>
    <w:qFormat/>
    <w:pPr>
      <w:numPr>
        <w:numId w:val="17"/>
      </w:numPr>
      <w:tabs>
        <w:tab w:val="left" w:pos="360"/>
      </w:tabs>
      <w:ind w:left="360"/>
    </w:pPr>
    <w:rPr>
      <w:lang w:val="es-PE"/>
    </w:rPr>
  </w:style>
  <w:style w:type="paragraph" w:customStyle="1" w:styleId="TITULO0">
    <w:name w:val="TITULO"/>
    <w:basedOn w:val="comun"/>
    <w:next w:val="comun"/>
    <w:uiPriority w:val="99"/>
    <w:qFormat/>
    <w:rPr>
      <w:rFonts w:ascii="Arial Negrita" w:hAnsi="Arial Negrita" w:cs="Times New Roman"/>
      <w:b/>
      <w:caps/>
      <w:sz w:val="24"/>
      <w:szCs w:val="30"/>
    </w:rPr>
  </w:style>
  <w:style w:type="paragraph" w:customStyle="1" w:styleId="NDICE">
    <w:name w:val="ÍNDICE"/>
    <w:basedOn w:val="comun"/>
    <w:uiPriority w:val="99"/>
    <w:qFormat/>
    <w:pPr>
      <w:tabs>
        <w:tab w:val="left" w:pos="851"/>
        <w:tab w:val="left" w:pos="2552"/>
      </w:tabs>
    </w:pPr>
    <w:rPr>
      <w:rFonts w:ascii="Arial Negrita" w:hAnsi="Arial Negrita" w:cs="Times New Roman"/>
      <w:sz w:val="24"/>
      <w:u w:val="single"/>
    </w:rPr>
  </w:style>
  <w:style w:type="paragraph" w:customStyle="1" w:styleId="Listaconnmeros1">
    <w:name w:val="Lista con números 1"/>
    <w:basedOn w:val="Normal0"/>
    <w:qFormat/>
    <w:pPr>
      <w:numPr>
        <w:numId w:val="18"/>
      </w:numPr>
      <w:tabs>
        <w:tab w:val="left" w:pos="714"/>
      </w:tabs>
      <w:spacing w:after="0" w:line="240" w:lineRule="auto"/>
      <w:ind w:left="714" w:hanging="357"/>
      <w:jc w:val="both"/>
    </w:pPr>
    <w:rPr>
      <w:rFonts w:ascii="Arial" w:eastAsiaTheme="minorEastAsia" w:hAnsi="Arial"/>
      <w:szCs w:val="20"/>
    </w:rPr>
  </w:style>
  <w:style w:type="paragraph" w:customStyle="1" w:styleId="Ttulofigura">
    <w:name w:val="Título figura"/>
    <w:basedOn w:val="comun"/>
    <w:next w:val="comun"/>
    <w:qFormat/>
    <w:pPr>
      <w:tabs>
        <w:tab w:val="left" w:pos="851"/>
        <w:tab w:val="left" w:pos="2552"/>
      </w:tabs>
    </w:pPr>
    <w:rPr>
      <w:rFonts w:ascii="Arial Negrita" w:hAnsi="Arial Negrita" w:cs="Times New Roman"/>
      <w:b/>
      <w:sz w:val="18"/>
      <w:szCs w:val="18"/>
    </w:rPr>
  </w:style>
  <w:style w:type="character" w:customStyle="1" w:styleId="Ttulofigura1">
    <w:name w:val="Título figura1"/>
    <w:qFormat/>
    <w:rPr>
      <w:rFonts w:ascii="Arial Negrita" w:hAnsi="Arial Negrita"/>
      <w:b/>
      <w:spacing w:val="-2"/>
      <w:w w:val="95"/>
      <w:sz w:val="18"/>
    </w:rPr>
  </w:style>
  <w:style w:type="paragraph" w:customStyle="1" w:styleId="TITULOPORTADA">
    <w:name w:val="TITULO_PORTADA"/>
    <w:basedOn w:val="comun"/>
    <w:next w:val="comun"/>
    <w:uiPriority w:val="99"/>
    <w:qFormat/>
    <w:pPr>
      <w:spacing w:before="80" w:after="80" w:line="300" w:lineRule="auto"/>
    </w:pPr>
    <w:rPr>
      <w:rFonts w:ascii="Arial Negrita" w:hAnsi="Arial Negrita" w:cs="Times New Roman"/>
      <w:b/>
      <w:caps/>
      <w:szCs w:val="30"/>
    </w:rPr>
  </w:style>
  <w:style w:type="character" w:customStyle="1" w:styleId="shorttext">
    <w:name w:val="short_text"/>
    <w:qFormat/>
  </w:style>
  <w:style w:type="character" w:customStyle="1" w:styleId="hpsalt-edited">
    <w:name w:val="hps alt-edited"/>
    <w:uiPriority w:val="99"/>
    <w:qFormat/>
  </w:style>
  <w:style w:type="paragraph" w:customStyle="1" w:styleId="vietas2">
    <w:name w:val="viñetas 2"/>
    <w:basedOn w:val="Normal0"/>
    <w:qFormat/>
    <w:pPr>
      <w:tabs>
        <w:tab w:val="left" w:pos="1072"/>
        <w:tab w:val="left" w:pos="1440"/>
      </w:tabs>
      <w:spacing w:after="0" w:line="240" w:lineRule="auto"/>
      <w:ind w:left="1440" w:hanging="360"/>
      <w:jc w:val="both"/>
    </w:pPr>
    <w:rPr>
      <w:rFonts w:ascii="Arial" w:eastAsiaTheme="minorEastAsia" w:hAnsi="Arial"/>
      <w:szCs w:val="24"/>
    </w:rPr>
  </w:style>
  <w:style w:type="paragraph" w:customStyle="1" w:styleId="Vietas3">
    <w:name w:val="Viñetas 3"/>
    <w:basedOn w:val="Normal0"/>
    <w:uiPriority w:val="99"/>
    <w:qFormat/>
    <w:pPr>
      <w:tabs>
        <w:tab w:val="left" w:pos="720"/>
      </w:tabs>
      <w:spacing w:after="0" w:line="240" w:lineRule="auto"/>
      <w:ind w:left="1620" w:hanging="180"/>
      <w:jc w:val="both"/>
    </w:pPr>
    <w:rPr>
      <w:rFonts w:ascii="Arial" w:eastAsiaTheme="minorEastAsia" w:hAnsi="Arial"/>
      <w:szCs w:val="24"/>
    </w:rPr>
  </w:style>
  <w:style w:type="character" w:customStyle="1" w:styleId="TtulofiguraCar">
    <w:name w:val="Título figura Car"/>
    <w:qFormat/>
    <w:rPr>
      <w:rFonts w:ascii="Arial Negrita" w:hAnsi="Arial Negrita"/>
      <w:b/>
      <w:sz w:val="25"/>
    </w:rPr>
  </w:style>
  <w:style w:type="paragraph" w:customStyle="1" w:styleId="Parrafo">
    <w:name w:val="Parrafo"/>
    <w:basedOn w:val="heading10"/>
    <w:uiPriority w:val="99"/>
    <w:qFormat/>
    <w:pPr>
      <w:spacing w:before="0" w:after="0" w:line="288" w:lineRule="auto"/>
      <w:jc w:val="both"/>
    </w:pPr>
    <w:rPr>
      <w:rFonts w:ascii="Times New Roman" w:eastAsiaTheme="minorEastAsia" w:hAnsi="Times New Roman" w:cs="Times New Roman"/>
      <w:b w:val="0"/>
      <w:kern w:val="0"/>
      <w:sz w:val="24"/>
      <w:szCs w:val="20"/>
    </w:rPr>
  </w:style>
  <w:style w:type="character" w:customStyle="1" w:styleId="ListParagraphChar1">
    <w:name w:val="List Paragraph Char1"/>
    <w:uiPriority w:val="99"/>
    <w:qFormat/>
    <w:rPr>
      <w:rFonts w:ascii="Calibri" w:eastAsia="Times New Roman" w:hAnsi="Calibri"/>
    </w:rPr>
  </w:style>
  <w:style w:type="character" w:customStyle="1" w:styleId="ListParagraphChar">
    <w:name w:val="List Paragraph Char"/>
    <w:uiPriority w:val="34"/>
    <w:qFormat/>
    <w:rPr>
      <w:rFonts w:ascii="Verdana" w:hAnsi="Verdana"/>
      <w:sz w:val="22"/>
      <w:lang w:val="es-ES"/>
    </w:rPr>
  </w:style>
  <w:style w:type="paragraph" w:customStyle="1" w:styleId="TITULOCUADRO">
    <w:name w:val="TITULO_CUADRO"/>
    <w:basedOn w:val="comun"/>
    <w:next w:val="comun"/>
    <w:qFormat/>
    <w:pPr>
      <w:spacing w:before="120" w:after="200"/>
    </w:pPr>
    <w:rPr>
      <w:rFonts w:ascii="Arial Negrita" w:hAnsi="Arial Negrita"/>
      <w:b/>
      <w:szCs w:val="30"/>
    </w:rPr>
  </w:style>
  <w:style w:type="character" w:customStyle="1" w:styleId="TITULOCUADROCar">
    <w:name w:val="TITULO_CUADRO Car"/>
    <w:qFormat/>
    <w:rPr>
      <w:rFonts w:ascii="Arial Negrita" w:hAnsi="Arial Negrita"/>
      <w:b/>
      <w:spacing w:val="-2"/>
      <w:w w:val="95"/>
      <w:sz w:val="30"/>
    </w:rPr>
  </w:style>
  <w:style w:type="paragraph" w:customStyle="1" w:styleId="vieta">
    <w:name w:val="viñeta"/>
    <w:basedOn w:val="vietas1"/>
    <w:uiPriority w:val="99"/>
    <w:qFormat/>
    <w:pPr>
      <w:numPr>
        <w:numId w:val="19"/>
      </w:numPr>
      <w:tabs>
        <w:tab w:val="clear" w:pos="714"/>
        <w:tab w:val="left" w:pos="705"/>
        <w:tab w:val="left" w:pos="851"/>
        <w:tab w:val="left" w:pos="2552"/>
      </w:tabs>
      <w:spacing w:after="200"/>
      <w:ind w:left="705" w:hanging="705"/>
    </w:pPr>
  </w:style>
  <w:style w:type="character" w:customStyle="1" w:styleId="vietaCar">
    <w:name w:val="viñeta Car"/>
    <w:uiPriority w:val="99"/>
    <w:qFormat/>
    <w:rPr>
      <w:rFonts w:ascii="Arial Narrow" w:hAnsi="Arial Narrow"/>
      <w:sz w:val="24"/>
      <w:lang w:val="zh-CN"/>
    </w:rPr>
  </w:style>
  <w:style w:type="paragraph" w:customStyle="1" w:styleId="TextoFotografa">
    <w:name w:val="Texto Fotografía"/>
    <w:basedOn w:val="comun"/>
    <w:next w:val="comun"/>
    <w:qFormat/>
    <w:pPr>
      <w:tabs>
        <w:tab w:val="left" w:pos="851"/>
        <w:tab w:val="left" w:pos="2552"/>
      </w:tabs>
      <w:spacing w:before="120" w:after="200"/>
    </w:pPr>
    <w:rPr>
      <w:rFonts w:ascii="Arial Negrita" w:hAnsi="Arial Negrita" w:cs="Times New Roman"/>
      <w:b/>
      <w:szCs w:val="24"/>
    </w:rPr>
  </w:style>
  <w:style w:type="character" w:customStyle="1" w:styleId="TextoFotografaCar">
    <w:name w:val="Texto Fotografía Car"/>
    <w:qFormat/>
    <w:rPr>
      <w:rFonts w:ascii="Arial Negrita" w:hAnsi="Arial Negrita"/>
      <w:b/>
      <w:spacing w:val="-2"/>
      <w:w w:val="95"/>
      <w:sz w:val="24"/>
    </w:rPr>
  </w:style>
  <w:style w:type="paragraph" w:customStyle="1" w:styleId="Normal1">
    <w:name w:val="Normal1"/>
    <w:basedOn w:val="Normal0"/>
    <w:uiPriority w:val="99"/>
    <w:qFormat/>
    <w:pPr>
      <w:spacing w:before="120" w:after="120" w:line="360" w:lineRule="auto"/>
      <w:jc w:val="both"/>
    </w:pPr>
    <w:rPr>
      <w:rFonts w:ascii="Arial" w:eastAsiaTheme="minorEastAsia" w:hAnsi="Arial"/>
      <w:sz w:val="24"/>
      <w:szCs w:val="20"/>
    </w:rPr>
  </w:style>
  <w:style w:type="paragraph" w:customStyle="1" w:styleId="font0">
    <w:name w:val="font0"/>
    <w:basedOn w:val="Normal0"/>
    <w:uiPriority w:val="99"/>
    <w:qFormat/>
    <w:pPr>
      <w:spacing w:before="100" w:beforeAutospacing="1" w:after="100" w:afterAutospacing="1" w:line="240" w:lineRule="auto"/>
    </w:pPr>
    <w:rPr>
      <w:rFonts w:eastAsiaTheme="minorEastAsia"/>
      <w:color w:val="000000"/>
    </w:rPr>
  </w:style>
  <w:style w:type="paragraph" w:customStyle="1" w:styleId="xl63">
    <w:name w:val="xl63"/>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rPr>
  </w:style>
  <w:style w:type="paragraph" w:customStyle="1" w:styleId="xl64">
    <w:name w:val="xl64"/>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rPr>
  </w:style>
  <w:style w:type="paragraph" w:customStyle="1" w:styleId="xl65">
    <w:name w:val="xl65"/>
    <w:basedOn w:val="Normal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heme="minorEastAsia" w:hAnsi="Arial" w:cs="Arial"/>
      <w:sz w:val="24"/>
      <w:szCs w:val="24"/>
    </w:rPr>
  </w:style>
  <w:style w:type="paragraph" w:customStyle="1" w:styleId="xl66">
    <w:name w:val="xl66"/>
    <w:basedOn w:val="Normal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heme="minorEastAsia" w:hAnsi="Arial" w:cs="Arial"/>
      <w:sz w:val="24"/>
      <w:szCs w:val="24"/>
    </w:rPr>
  </w:style>
  <w:style w:type="paragraph" w:customStyle="1" w:styleId="xl67">
    <w:name w:val="xl67"/>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sz w:val="24"/>
      <w:szCs w:val="24"/>
    </w:rPr>
  </w:style>
  <w:style w:type="paragraph" w:customStyle="1" w:styleId="xl68">
    <w:name w:val="xl68"/>
    <w:basedOn w:val="Normal0"/>
    <w:qFormat/>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69">
    <w:name w:val="xl69"/>
    <w:basedOn w:val="Normal0"/>
    <w:qFormat/>
    <w:pPr>
      <w:spacing w:before="100" w:beforeAutospacing="1" w:after="100" w:afterAutospacing="1" w:line="240" w:lineRule="auto"/>
    </w:pPr>
    <w:rPr>
      <w:rFonts w:ascii="Arial" w:eastAsiaTheme="minorEastAsia" w:hAnsi="Arial" w:cs="Arial"/>
      <w:sz w:val="20"/>
      <w:szCs w:val="20"/>
    </w:rPr>
  </w:style>
  <w:style w:type="paragraph" w:customStyle="1" w:styleId="xl70">
    <w:name w:val="xl70"/>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sz w:val="24"/>
      <w:szCs w:val="24"/>
    </w:rPr>
  </w:style>
  <w:style w:type="paragraph" w:customStyle="1" w:styleId="xl71">
    <w:name w:val="xl71"/>
    <w:basedOn w:val="Normal0"/>
    <w:qFormat/>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72">
    <w:name w:val="xl72"/>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73">
    <w:name w:val="xl73"/>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74">
    <w:name w:val="xl74"/>
    <w:basedOn w:val="Normal0"/>
    <w:qFormat/>
    <w:pPr>
      <w:shd w:val="clear" w:color="000000" w:fill="FDE9D9"/>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75">
    <w:name w:val="xl75"/>
    <w:basedOn w:val="Normal0"/>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500"/>
    </w:pPr>
    <w:rPr>
      <w:rFonts w:ascii="Times New Roman" w:eastAsiaTheme="minorEastAsia" w:hAnsi="Times New Roman"/>
      <w:sz w:val="24"/>
      <w:szCs w:val="24"/>
    </w:rPr>
  </w:style>
  <w:style w:type="paragraph" w:customStyle="1" w:styleId="xl76">
    <w:name w:val="xl76"/>
    <w:basedOn w:val="Normal0"/>
    <w:qFormat/>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400"/>
    </w:pPr>
    <w:rPr>
      <w:rFonts w:ascii="Times New Roman" w:eastAsiaTheme="minorEastAsia" w:hAnsi="Times New Roman"/>
      <w:sz w:val="24"/>
      <w:szCs w:val="24"/>
    </w:rPr>
  </w:style>
  <w:style w:type="paragraph" w:customStyle="1" w:styleId="xl77">
    <w:name w:val="xl77"/>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Ttulocuadro">
    <w:name w:val="Título_cuadro"/>
    <w:basedOn w:val="Ttulofigura"/>
    <w:uiPriority w:val="99"/>
    <w:qFormat/>
    <w:pPr>
      <w:spacing w:before="240" w:after="240" w:line="288" w:lineRule="auto"/>
    </w:pPr>
    <w:rPr>
      <w:rFonts w:ascii="Arial" w:hAnsi="Arial"/>
      <w:sz w:val="20"/>
      <w:szCs w:val="25"/>
    </w:rPr>
  </w:style>
  <w:style w:type="paragraph" w:customStyle="1" w:styleId="cuadro1">
    <w:name w:val="cuadro1"/>
    <w:basedOn w:val="comun"/>
    <w:next w:val="comun"/>
    <w:uiPriority w:val="99"/>
    <w:qFormat/>
    <w:pPr>
      <w:tabs>
        <w:tab w:val="left" w:pos="851"/>
        <w:tab w:val="left" w:pos="2552"/>
      </w:tabs>
      <w:spacing w:before="120" w:after="200"/>
      <w:ind w:left="425"/>
    </w:pPr>
    <w:rPr>
      <w:rFonts w:ascii="Arial Negrita" w:hAnsi="Arial Negrita" w:cs="Times New Roman"/>
      <w:b/>
      <w:szCs w:val="25"/>
    </w:rPr>
  </w:style>
  <w:style w:type="character" w:customStyle="1" w:styleId="CarCar5">
    <w:name w:val="Car Car5"/>
    <w:qFormat/>
    <w:rPr>
      <w:rFonts w:ascii="Tahoma" w:hAnsi="Tahoma"/>
      <w:sz w:val="16"/>
    </w:rPr>
  </w:style>
  <w:style w:type="character" w:customStyle="1" w:styleId="vietas1Car">
    <w:name w:val="viñetas 1 Car"/>
    <w:qFormat/>
    <w:rPr>
      <w:rFonts w:ascii="Arial" w:hAnsi="Arial"/>
      <w:sz w:val="24"/>
      <w:lang w:val="es-ES"/>
    </w:rPr>
  </w:style>
  <w:style w:type="paragraph" w:customStyle="1" w:styleId="Comun0">
    <w:name w:val="Comun"/>
    <w:basedOn w:val="Normal0"/>
    <w:qFormat/>
    <w:pPr>
      <w:spacing w:after="0" w:line="240" w:lineRule="auto"/>
      <w:jc w:val="both"/>
    </w:pPr>
    <w:rPr>
      <w:rFonts w:ascii="Arial" w:eastAsiaTheme="minorEastAsia" w:hAnsi="Arial" w:cs="Arial"/>
    </w:rPr>
  </w:style>
  <w:style w:type="character" w:customStyle="1" w:styleId="ComunCar0">
    <w:name w:val="Comun Car"/>
    <w:qFormat/>
    <w:rPr>
      <w:rFonts w:ascii="Arial" w:hAnsi="Arial"/>
      <w:lang w:val="zh-CN"/>
    </w:rPr>
  </w:style>
  <w:style w:type="paragraph" w:customStyle="1" w:styleId="TextoTabla0">
    <w:name w:val="Texto Tabla"/>
    <w:basedOn w:val="Normal0"/>
    <w:uiPriority w:val="99"/>
    <w:qFormat/>
    <w:pPr>
      <w:tabs>
        <w:tab w:val="center" w:pos="4252"/>
        <w:tab w:val="left" w:pos="8494"/>
      </w:tabs>
      <w:spacing w:before="80" w:after="80" w:line="360" w:lineRule="auto"/>
    </w:pPr>
    <w:rPr>
      <w:rFonts w:ascii="Times New Roman" w:eastAsiaTheme="minorEastAsia" w:hAnsi="Times New Roman" w:cs="Tahoma"/>
      <w:color w:val="404040"/>
      <w:sz w:val="20"/>
      <w:szCs w:val="14"/>
    </w:rPr>
  </w:style>
  <w:style w:type="character" w:customStyle="1" w:styleId="apple-converted-space">
    <w:name w:val="apple-converted-space"/>
    <w:qFormat/>
  </w:style>
  <w:style w:type="character" w:customStyle="1" w:styleId="Ttulofigura3">
    <w:name w:val="Título figura3"/>
    <w:qFormat/>
    <w:rPr>
      <w:rFonts w:ascii="Arial Negrita" w:hAnsi="Arial Negrita"/>
      <w:b/>
      <w:sz w:val="25"/>
    </w:rPr>
  </w:style>
  <w:style w:type="character" w:customStyle="1" w:styleId="PrrafodelistaCar1">
    <w:name w:val="Párrafo de lista Car1"/>
    <w:uiPriority w:val="34"/>
    <w:qFormat/>
    <w:rPr>
      <w:rFonts w:ascii="Calibri" w:eastAsia="Times New Roman" w:hAnsi="Calibri"/>
      <w:sz w:val="20"/>
      <w:lang w:val="es-ES"/>
    </w:rPr>
  </w:style>
  <w:style w:type="character" w:customStyle="1" w:styleId="TOC12">
    <w:name w:val="TOC 12"/>
    <w:qFormat/>
  </w:style>
  <w:style w:type="table" w:styleId="Cuadrculamedia1-nfasis1">
    <w:name w:val="Medium Grid 1 Accent 1"/>
    <w:basedOn w:val="Tablanormal"/>
    <w:uiPriority w:val="67"/>
    <w:unhideWhenUsed/>
    <w:qFormat/>
    <w:rPr>
      <w:rFonts w:ascii="Calibri" w:eastAsia="Calibri" w:hAnsi="Calibri" w:cs="Calibri"/>
      <w:sz w:val="22"/>
      <w:szCs w:val="22"/>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Epgrafetablas">
    <w:name w:val="Epígrafe tablas"/>
    <w:basedOn w:val="Normal0"/>
    <w:next w:val="Normal0"/>
    <w:qFormat/>
    <w:pPr>
      <w:spacing w:after="40" w:line="360" w:lineRule="auto"/>
      <w:ind w:left="1021"/>
      <w:jc w:val="center"/>
    </w:pPr>
    <w:rPr>
      <w:rFonts w:ascii="Arial" w:eastAsiaTheme="minorEastAsia" w:hAnsi="Arial"/>
      <w:i/>
      <w:color w:val="4F81BD"/>
      <w:sz w:val="18"/>
      <w:szCs w:val="20"/>
    </w:rPr>
  </w:style>
  <w:style w:type="paragraph" w:customStyle="1" w:styleId="P1">
    <w:name w:val="P1"/>
    <w:basedOn w:val="Normal0"/>
    <w:uiPriority w:val="99"/>
    <w:qFormat/>
    <w:pPr>
      <w:numPr>
        <w:numId w:val="20"/>
      </w:numPr>
      <w:spacing w:before="60" w:after="60" w:line="360" w:lineRule="auto"/>
      <w:jc w:val="both"/>
    </w:pPr>
    <w:rPr>
      <w:rFonts w:ascii="Arial" w:eastAsiaTheme="minorEastAsia" w:hAnsi="Arial"/>
      <w:color w:val="5A5A5A"/>
      <w:sz w:val="20"/>
      <w:szCs w:val="20"/>
    </w:rPr>
  </w:style>
  <w:style w:type="paragraph" w:customStyle="1" w:styleId="P2">
    <w:name w:val="P2"/>
    <w:basedOn w:val="Normal0"/>
    <w:uiPriority w:val="99"/>
    <w:qFormat/>
    <w:pPr>
      <w:numPr>
        <w:numId w:val="21"/>
      </w:numPr>
      <w:spacing w:before="60" w:after="60" w:line="360" w:lineRule="auto"/>
      <w:ind w:left="1494"/>
      <w:jc w:val="both"/>
    </w:pPr>
    <w:rPr>
      <w:rFonts w:ascii="Arial" w:eastAsiaTheme="minorEastAsia" w:hAnsi="Arial"/>
      <w:color w:val="5A5A5A"/>
      <w:sz w:val="20"/>
      <w:szCs w:val="20"/>
    </w:rPr>
  </w:style>
  <w:style w:type="character" w:customStyle="1" w:styleId="EpgrafeCar">
    <w:name w:val="Epígrafe Car"/>
    <w:qFormat/>
    <w:rPr>
      <w:rFonts w:ascii="Arial" w:hAnsi="Arial"/>
      <w:i/>
      <w:color w:val="4F81BD"/>
      <w:sz w:val="20"/>
    </w:rPr>
  </w:style>
  <w:style w:type="paragraph" w:customStyle="1" w:styleId="xl78">
    <w:name w:val="xl78"/>
    <w:basedOn w:val="Normal0"/>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heme="minorEastAsia" w:hAnsi="Times New Roman"/>
      <w:sz w:val="18"/>
      <w:szCs w:val="18"/>
    </w:rPr>
  </w:style>
  <w:style w:type="paragraph" w:customStyle="1" w:styleId="xl79">
    <w:name w:val="xl79"/>
    <w:basedOn w:val="Normal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heme="minorEastAsia" w:hAnsi="Times New Roman"/>
      <w:b/>
      <w:sz w:val="18"/>
      <w:szCs w:val="18"/>
    </w:rPr>
  </w:style>
  <w:style w:type="paragraph" w:customStyle="1" w:styleId="xl80">
    <w:name w:val="xl80"/>
    <w:basedOn w:val="Normal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heme="minorEastAsia" w:hAnsi="Times New Roman"/>
      <w:b/>
      <w:sz w:val="18"/>
      <w:szCs w:val="18"/>
    </w:rPr>
  </w:style>
  <w:style w:type="paragraph" w:customStyle="1" w:styleId="xl81">
    <w:name w:val="xl81"/>
    <w:basedOn w:val="Normal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heme="minorEastAsia" w:hAnsi="Times New Roman"/>
      <w:b/>
      <w:sz w:val="18"/>
      <w:szCs w:val="18"/>
    </w:rPr>
  </w:style>
  <w:style w:type="paragraph" w:customStyle="1" w:styleId="xl82">
    <w:name w:val="xl82"/>
    <w:basedOn w:val="Normal0"/>
    <w:qFormat/>
    <w:pPr>
      <w:pBdr>
        <w:bottom w:val="single" w:sz="4" w:space="0" w:color="auto"/>
      </w:pBdr>
      <w:spacing w:before="100" w:beforeAutospacing="1" w:after="100" w:afterAutospacing="1" w:line="240" w:lineRule="auto"/>
      <w:jc w:val="center"/>
    </w:pPr>
    <w:rPr>
      <w:rFonts w:ascii="Times New Roman" w:eastAsiaTheme="minorEastAsia" w:hAnsi="Times New Roman"/>
      <w:b/>
      <w:sz w:val="24"/>
      <w:szCs w:val="24"/>
    </w:rPr>
  </w:style>
  <w:style w:type="paragraph" w:customStyle="1" w:styleId="font5">
    <w:name w:val="font5"/>
    <w:basedOn w:val="Normal0"/>
    <w:qFormat/>
    <w:pPr>
      <w:spacing w:before="100" w:beforeAutospacing="1" w:after="100" w:afterAutospacing="1" w:line="240" w:lineRule="auto"/>
    </w:pPr>
    <w:rPr>
      <w:rFonts w:ascii="Arial" w:eastAsiaTheme="minorEastAsia" w:hAnsi="Arial" w:cs="Arial"/>
      <w:b/>
      <w:sz w:val="20"/>
      <w:szCs w:val="20"/>
    </w:rPr>
  </w:style>
  <w:style w:type="character" w:customStyle="1" w:styleId="Parraf-NCar">
    <w:name w:val="Parraf-N Car"/>
    <w:qFormat/>
    <w:rPr>
      <w:rFonts w:ascii="Arial Narrow" w:hAnsi="Arial Narrow"/>
      <w:sz w:val="24"/>
    </w:rPr>
  </w:style>
  <w:style w:type="paragraph" w:customStyle="1" w:styleId="Parraf-N">
    <w:name w:val="Parraf-N"/>
    <w:basedOn w:val="comun"/>
    <w:qFormat/>
    <w:pPr>
      <w:spacing w:before="240" w:after="200"/>
    </w:pPr>
    <w:rPr>
      <w:rFonts w:eastAsia="Times New Roman"/>
      <w:b/>
      <w:spacing w:val="0"/>
      <w:szCs w:val="24"/>
    </w:rPr>
  </w:style>
  <w:style w:type="character" w:customStyle="1" w:styleId="Parraf-075Car">
    <w:name w:val="Parraf-0.75 Car"/>
    <w:qFormat/>
    <w:rPr>
      <w:rFonts w:ascii="Arial" w:hAnsi="Arial"/>
      <w:b/>
      <w:sz w:val="24"/>
    </w:rPr>
  </w:style>
  <w:style w:type="paragraph" w:customStyle="1" w:styleId="Parraf-075">
    <w:name w:val="Parraf-0.75"/>
    <w:basedOn w:val="Parraf-N"/>
    <w:qFormat/>
    <w:pPr>
      <w:ind w:left="425"/>
    </w:pPr>
  </w:style>
  <w:style w:type="character" w:customStyle="1" w:styleId="Parraf-125Car">
    <w:name w:val="Parraf-1.25 Car"/>
    <w:qFormat/>
    <w:rPr>
      <w:rFonts w:ascii="Arial" w:hAnsi="Arial"/>
      <w:sz w:val="24"/>
    </w:rPr>
  </w:style>
  <w:style w:type="paragraph" w:customStyle="1" w:styleId="Parraf-125">
    <w:name w:val="Parraf-1.25"/>
    <w:basedOn w:val="Normal0"/>
    <w:qFormat/>
    <w:pPr>
      <w:spacing w:line="240" w:lineRule="auto"/>
      <w:ind w:left="709"/>
      <w:jc w:val="both"/>
    </w:pPr>
    <w:rPr>
      <w:rFonts w:ascii="Arial" w:hAnsi="Arial" w:cs="Arial"/>
      <w:szCs w:val="24"/>
    </w:rPr>
  </w:style>
  <w:style w:type="character" w:customStyle="1" w:styleId="Parraf-10Car">
    <w:name w:val="Parraf-1.0 Car"/>
    <w:qFormat/>
    <w:rPr>
      <w:rFonts w:ascii="Arial" w:hAnsi="Arial"/>
      <w:b/>
      <w:sz w:val="24"/>
    </w:rPr>
  </w:style>
  <w:style w:type="paragraph" w:customStyle="1" w:styleId="Parraf-10">
    <w:name w:val="Parraf-1.0"/>
    <w:basedOn w:val="Parraf-N"/>
    <w:qFormat/>
    <w:pPr>
      <w:spacing w:before="0"/>
      <w:ind w:left="567"/>
    </w:pPr>
  </w:style>
  <w:style w:type="paragraph" w:customStyle="1" w:styleId="Fuente">
    <w:name w:val="Fuente"/>
    <w:basedOn w:val="Normal0"/>
    <w:next w:val="Normal0"/>
    <w:uiPriority w:val="99"/>
    <w:qFormat/>
    <w:pPr>
      <w:spacing w:before="120" w:after="240" w:line="240" w:lineRule="auto"/>
      <w:jc w:val="center"/>
    </w:pPr>
    <w:rPr>
      <w:rFonts w:eastAsiaTheme="minorEastAsia"/>
      <w:i/>
      <w:sz w:val="20"/>
      <w:lang w:val="es-CO"/>
    </w:rPr>
  </w:style>
  <w:style w:type="character" w:customStyle="1" w:styleId="primera">
    <w:name w:val="primera"/>
    <w:basedOn w:val="Fuentedeprrafopredeter"/>
    <w:qFormat/>
    <w:rPr>
      <w:rFonts w:cs="Times New Roman"/>
    </w:rPr>
  </w:style>
  <w:style w:type="paragraph" w:customStyle="1" w:styleId="m-4158181370338034730gmail-comun">
    <w:name w:val="m_-4158181370338034730gmail-comun"/>
    <w:basedOn w:val="Normal0"/>
    <w:uiPriority w:val="99"/>
    <w:qFormat/>
    <w:pPr>
      <w:spacing w:before="100" w:beforeAutospacing="1" w:after="100" w:afterAutospacing="1" w:line="240" w:lineRule="auto"/>
    </w:pPr>
    <w:rPr>
      <w:rFonts w:ascii="Times New Roman" w:eastAsiaTheme="minorEastAsia" w:hAnsi="Times New Roman"/>
      <w:sz w:val="24"/>
      <w:szCs w:val="24"/>
    </w:rPr>
  </w:style>
  <w:style w:type="paragraph" w:customStyle="1" w:styleId="Encabezado1">
    <w:name w:val="Encabezado1"/>
    <w:basedOn w:val="Normal0"/>
    <w:next w:val="Textoindependiente"/>
    <w:uiPriority w:val="99"/>
    <w:qFormat/>
    <w:pPr>
      <w:keepNext/>
      <w:suppressAutoHyphens/>
      <w:spacing w:before="240" w:after="120" w:line="288" w:lineRule="auto"/>
    </w:pPr>
    <w:rPr>
      <w:rFonts w:ascii="Liberation Sans" w:hAnsi="Liberation Sans" w:cs="Mangal"/>
      <w:sz w:val="28"/>
      <w:szCs w:val="28"/>
    </w:rPr>
  </w:style>
  <w:style w:type="paragraph" w:customStyle="1" w:styleId="ndice0">
    <w:name w:val="Índice"/>
    <w:basedOn w:val="Normal0"/>
    <w:uiPriority w:val="99"/>
    <w:qFormat/>
    <w:pPr>
      <w:suppressLineNumbers/>
      <w:suppressAutoHyphens/>
      <w:spacing w:after="240" w:line="288" w:lineRule="auto"/>
    </w:pPr>
    <w:rPr>
      <w:rFonts w:ascii="Times New Roman" w:eastAsiaTheme="minorEastAsia" w:hAnsi="Times New Roman" w:cs="Mangal"/>
      <w:sz w:val="24"/>
      <w:szCs w:val="24"/>
    </w:rPr>
  </w:style>
  <w:style w:type="paragraph" w:customStyle="1" w:styleId="Listaconnmeros21">
    <w:name w:val="Lista con números 21"/>
    <w:basedOn w:val="Listaconnmeros1"/>
    <w:uiPriority w:val="99"/>
    <w:qFormat/>
    <w:pPr>
      <w:numPr>
        <w:numId w:val="22"/>
      </w:numPr>
      <w:tabs>
        <w:tab w:val="left" w:pos="643"/>
        <w:tab w:val="left" w:pos="1072"/>
      </w:tabs>
      <w:suppressAutoHyphens/>
      <w:ind w:left="643"/>
    </w:pPr>
    <w:rPr>
      <w:rFonts w:cs="Arial"/>
    </w:rPr>
  </w:style>
  <w:style w:type="paragraph" w:customStyle="1" w:styleId="ndice10">
    <w:name w:val="Índice 10"/>
    <w:basedOn w:val="ndice0"/>
    <w:uiPriority w:val="99"/>
    <w:qFormat/>
    <w:pPr>
      <w:tabs>
        <w:tab w:val="right" w:leader="dot" w:pos="7091"/>
      </w:tabs>
      <w:ind w:left="2547"/>
    </w:pPr>
  </w:style>
  <w:style w:type="paragraph" w:customStyle="1" w:styleId="Contenidodelatabla">
    <w:name w:val="Contenido de la tabla"/>
    <w:basedOn w:val="Normal0"/>
    <w:uiPriority w:val="99"/>
    <w:qFormat/>
    <w:pPr>
      <w:suppressLineNumbers/>
      <w:suppressAutoHyphens/>
      <w:spacing w:after="240" w:line="288" w:lineRule="auto"/>
    </w:pPr>
    <w:rPr>
      <w:rFonts w:ascii="Times New Roman" w:eastAsiaTheme="minorEastAsia" w:hAnsi="Times New Roman"/>
      <w:sz w:val="24"/>
      <w:szCs w:val="24"/>
    </w:rPr>
  </w:style>
  <w:style w:type="paragraph" w:customStyle="1" w:styleId="Encabezadodelatabla">
    <w:name w:val="Encabezado de la tabla"/>
    <w:basedOn w:val="Contenidodelatabla"/>
    <w:uiPriority w:val="99"/>
    <w:qFormat/>
    <w:pPr>
      <w:jc w:val="center"/>
    </w:pPr>
    <w:rPr>
      <w:b/>
    </w:rPr>
  </w:style>
  <w:style w:type="character" w:customStyle="1" w:styleId="Vieta1Car">
    <w:name w:val="Viñeta 1 Car"/>
    <w:uiPriority w:val="99"/>
    <w:qFormat/>
    <w:rPr>
      <w:rFonts w:ascii="Adif Fago Co Regular" w:hAnsi="Adif Fago Co Regular"/>
      <w:sz w:val="24"/>
    </w:rPr>
  </w:style>
  <w:style w:type="paragraph" w:customStyle="1" w:styleId="Vieta1">
    <w:name w:val="Viñeta 1"/>
    <w:basedOn w:val="Normal0"/>
    <w:uiPriority w:val="99"/>
    <w:qFormat/>
    <w:pPr>
      <w:numPr>
        <w:numId w:val="23"/>
      </w:numPr>
      <w:tabs>
        <w:tab w:val="left" w:pos="907"/>
      </w:tabs>
      <w:spacing w:before="60" w:after="60" w:line="360" w:lineRule="auto"/>
      <w:ind w:left="907" w:hanging="340"/>
      <w:jc w:val="both"/>
    </w:pPr>
    <w:rPr>
      <w:rFonts w:ascii="Adif Fago Co Regular" w:hAnsi="Adif Fago Co Regular"/>
      <w:sz w:val="24"/>
      <w:szCs w:val="24"/>
    </w:rPr>
  </w:style>
  <w:style w:type="character" w:customStyle="1" w:styleId="Cuerpodeltexto2Exact">
    <w:name w:val="Cuerpo del texto (2) Exact"/>
    <w:qFormat/>
    <w:rPr>
      <w:rFonts w:ascii="Arial" w:eastAsia="Times New Roman" w:hAnsi="Arial"/>
      <w:sz w:val="19"/>
      <w:u w:val="none"/>
    </w:rPr>
  </w:style>
  <w:style w:type="character" w:customStyle="1" w:styleId="Cuerpodeltexto2Calibri">
    <w:name w:val="Cuerpo del texto (2) + Calibri"/>
    <w:qFormat/>
    <w:rPr>
      <w:rFonts w:ascii="Calibri" w:eastAsia="Times New Roman" w:hAnsi="Calibri"/>
      <w:color w:val="000000"/>
      <w:spacing w:val="0"/>
      <w:w w:val="100"/>
      <w:position w:val="0"/>
      <w:sz w:val="15"/>
      <w:u w:val="none"/>
      <w:lang w:val="es-ES"/>
    </w:rPr>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olor w:val="auto"/>
    </w:rPr>
  </w:style>
  <w:style w:type="character" w:customStyle="1" w:styleId="WW8Num5z1">
    <w:name w:val="WW8Num5z1"/>
    <w:qFormat/>
    <w:rPr>
      <w:rFonts w:ascii="Courier New" w:hAnsi="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rPr>
      <w:rFonts w:ascii="Wingdings 2" w:hAnsi="Wingdings 2"/>
      <w:color w:val="auto"/>
      <w:sz w:val="20"/>
    </w:rPr>
  </w:style>
  <w:style w:type="character" w:customStyle="1" w:styleId="WW8Num6z1">
    <w:name w:val="WW8Num6z1"/>
    <w:qFormat/>
    <w:rPr>
      <w:rFonts w:ascii="Symbol" w:hAnsi="Symbol"/>
      <w:color w:val="auto"/>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WW8Num6z4">
    <w:name w:val="WW8Num6z4"/>
    <w:qFormat/>
    <w:rPr>
      <w:rFonts w:ascii="Courier New" w:hAnsi="Courier New"/>
    </w:rPr>
  </w:style>
  <w:style w:type="character" w:customStyle="1" w:styleId="WW8Num7z0">
    <w:name w:val="WW8Num7z0"/>
    <w:qFormat/>
    <w:rPr>
      <w:b/>
      <w:sz w:val="24"/>
    </w:rPr>
  </w:style>
  <w:style w:type="character" w:customStyle="1" w:styleId="WW8Num7z1">
    <w:name w:val="WW8Num7z1"/>
    <w:qFormat/>
    <w:rPr>
      <w:rFonts w:ascii="Arial Negrita" w:hAnsi="Arial Negrita"/>
      <w:b/>
      <w:color w:val="000000"/>
      <w:spacing w:val="0"/>
      <w:kern w:val="2"/>
      <w:position w:val="0"/>
      <w:sz w:val="22"/>
      <w:u w:val="none"/>
      <w:vertAlign w:val="baseline"/>
    </w:rPr>
  </w:style>
  <w:style w:type="character" w:customStyle="1" w:styleId="WW8Num7z3">
    <w:name w:val="WW8Num7z3"/>
    <w:qFormat/>
    <w:rPr>
      <w:rFonts w:ascii="Arial Negrita" w:hAnsi="Arial Negrita"/>
      <w:b/>
      <w:sz w:val="22"/>
    </w:rPr>
  </w:style>
  <w:style w:type="character" w:customStyle="1" w:styleId="WW8Num7z4">
    <w:name w:val="WW8Num7z4"/>
    <w:qFormat/>
    <w:rPr>
      <w:rFonts w:ascii="Arial Negrita" w:hAnsi="Arial Negrita"/>
      <w:b/>
      <w:i/>
      <w:color w:val="000000"/>
      <w:position w:val="0"/>
      <w:sz w:val="22"/>
      <w:u w:val="none"/>
      <w:vertAlign w:val="baseline"/>
    </w:rPr>
  </w:style>
  <w:style w:type="character" w:customStyle="1" w:styleId="WW8Num7z6">
    <w:name w:val="WW8Num7z6"/>
    <w:qFormat/>
    <w:rPr>
      <w:rFonts w:ascii="Arial" w:hAnsi="Arial"/>
      <w:i/>
      <w:sz w:val="22"/>
    </w:rPr>
  </w:style>
  <w:style w:type="character" w:customStyle="1" w:styleId="WW8Num7z7">
    <w:name w:val="WW8Num7z7"/>
    <w:qFormat/>
    <w:rPr>
      <w:sz w:val="22"/>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rPr>
  </w:style>
  <w:style w:type="character" w:customStyle="1" w:styleId="WW8Num12z1">
    <w:name w:val="WW8Num12z1"/>
    <w:qFormat/>
    <w:rPr>
      <w:rFonts w:ascii="Courier New" w:hAnsi="Courier New"/>
    </w:rPr>
  </w:style>
  <w:style w:type="character" w:customStyle="1" w:styleId="WW8Num12z3">
    <w:name w:val="WW8Num12z3"/>
    <w:qFormat/>
    <w:rPr>
      <w:rFonts w:ascii="Symbol" w:hAnsi="Symbol"/>
    </w:rPr>
  </w:style>
  <w:style w:type="character" w:customStyle="1" w:styleId="Fuentedeprrafopredeter1">
    <w:name w:val="Fuente de párrafo predeter.1"/>
    <w:qFormat/>
  </w:style>
  <w:style w:type="character" w:customStyle="1" w:styleId="Textoindependiente4CarCar">
    <w:name w:val="Texto independiente4 Car Car"/>
    <w:qFormat/>
    <w:rPr>
      <w:rFonts w:ascii="Calibri" w:eastAsia="Times New Roman" w:hAnsi="Calibri"/>
      <w:sz w:val="24"/>
      <w:lang w:val="es-ES"/>
    </w:rPr>
  </w:style>
  <w:style w:type="paragraph" w:customStyle="1" w:styleId="Title0">
    <w:name w:val="Title0"/>
    <w:basedOn w:val="Normal0"/>
    <w:uiPriority w:val="10"/>
    <w:qFormat/>
    <w:pPr>
      <w:spacing w:after="0" w:line="240" w:lineRule="auto"/>
      <w:jc w:val="center"/>
    </w:pPr>
    <w:rPr>
      <w:rFonts w:ascii="Arial" w:eastAsiaTheme="minorEastAsia" w:hAnsi="Arial" w:cs="Arial"/>
      <w:b/>
    </w:rPr>
  </w:style>
  <w:style w:type="character" w:customStyle="1" w:styleId="TtuloCar2">
    <w:name w:val="Título Car2"/>
    <w:uiPriority w:val="10"/>
    <w:qFormat/>
    <w:rPr>
      <w:rFonts w:ascii="Arial" w:hAnsi="Arial"/>
      <w:b/>
    </w:rPr>
  </w:style>
  <w:style w:type="paragraph" w:customStyle="1" w:styleId="xl24">
    <w:name w:val="xl24"/>
    <w:basedOn w:val="Normal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25">
    <w:name w:val="xl25"/>
    <w:basedOn w:val="Normal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26">
    <w:name w:val="xl26"/>
    <w:basedOn w:val="Normal0"/>
    <w:uiPriority w:val="99"/>
    <w:qFormat/>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27">
    <w:name w:val="xl27"/>
    <w:basedOn w:val="Normal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28">
    <w:name w:val="xl28"/>
    <w:basedOn w:val="Normal0"/>
    <w:qFormat/>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29">
    <w:name w:val="xl29"/>
    <w:basedOn w:val="Normal0"/>
    <w:uiPriority w:val="99"/>
    <w:qFormat/>
    <w:pPr>
      <w:pBdr>
        <w:left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0">
    <w:name w:val="xl30"/>
    <w:basedOn w:val="Normal0"/>
    <w:uiPriority w:val="99"/>
    <w:qFormat/>
    <w:pPr>
      <w:pBdr>
        <w:lef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1">
    <w:name w:val="xl31"/>
    <w:basedOn w:val="Normal0"/>
    <w:uiPriority w:val="99"/>
    <w:qFormat/>
    <w:pPr>
      <w:pBdr>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3">
    <w:name w:val="xl33"/>
    <w:basedOn w:val="Normal0"/>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4">
    <w:name w:val="xl34"/>
    <w:basedOn w:val="Normal0"/>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5">
    <w:name w:val="xl35"/>
    <w:basedOn w:val="Normal0"/>
    <w:uiPriority w:val="99"/>
    <w:qFormat/>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6">
    <w:name w:val="xl36"/>
    <w:basedOn w:val="Normal0"/>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7">
    <w:name w:val="xl37"/>
    <w:basedOn w:val="Normal0"/>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8">
    <w:name w:val="xl38"/>
    <w:basedOn w:val="Normal0"/>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39">
    <w:name w:val="xl39"/>
    <w:basedOn w:val="Normal0"/>
    <w:uiPriority w:val="99"/>
    <w:qFormat/>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0">
    <w:name w:val="xl40"/>
    <w:basedOn w:val="Normal0"/>
    <w:uiPriority w:val="99"/>
    <w:qFormat/>
    <w:pPr>
      <w:pBdr>
        <w:top w:val="single" w:sz="8" w:space="0" w:color="auto"/>
        <w:lef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1">
    <w:name w:val="xl41"/>
    <w:basedOn w:val="Normal0"/>
    <w:uiPriority w:val="99"/>
    <w:qFormat/>
    <w:pPr>
      <w:pBdr>
        <w:top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2">
    <w:name w:val="xl42"/>
    <w:basedOn w:val="Normal0"/>
    <w:uiPriority w:val="99"/>
    <w:qFormat/>
    <w:pPr>
      <w:pBdr>
        <w:left w:val="single" w:sz="4" w:space="0" w:color="auto"/>
        <w:bottom w:val="single" w:sz="8"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3">
    <w:name w:val="xl43"/>
    <w:basedOn w:val="Normal0"/>
    <w:uiPriority w:val="99"/>
    <w:qFormat/>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44">
    <w:name w:val="xl44"/>
    <w:basedOn w:val="Normal0"/>
    <w:uiPriority w:val="99"/>
    <w:qFormat/>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5">
    <w:name w:val="xl45"/>
    <w:basedOn w:val="Normal0"/>
    <w:uiPriority w:val="99"/>
    <w:qFormat/>
    <w:pPr>
      <w:pBdr>
        <w:left w:val="single" w:sz="4" w:space="0" w:color="auto"/>
        <w:right w:val="single" w:sz="8"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6">
    <w:name w:val="xl46"/>
    <w:basedOn w:val="Normal0"/>
    <w:uiPriority w:val="99"/>
    <w:qFormat/>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47">
    <w:name w:val="xl47"/>
    <w:basedOn w:val="Normal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heme="minorEastAsia" w:hAnsi="Arial" w:cs="Arial"/>
      <w:sz w:val="24"/>
      <w:szCs w:val="24"/>
    </w:rPr>
  </w:style>
  <w:style w:type="paragraph" w:customStyle="1" w:styleId="xl48">
    <w:name w:val="xl48"/>
    <w:basedOn w:val="Normal0"/>
    <w:uiPriority w:val="99"/>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sz w:val="24"/>
      <w:szCs w:val="24"/>
    </w:rPr>
  </w:style>
  <w:style w:type="paragraph" w:customStyle="1" w:styleId="xl49">
    <w:name w:val="xl49"/>
    <w:basedOn w:val="Normal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heme="minorEastAsia" w:hAnsi="Times New Roman"/>
      <w:sz w:val="24"/>
      <w:szCs w:val="24"/>
    </w:rPr>
  </w:style>
  <w:style w:type="paragraph" w:customStyle="1" w:styleId="xl50">
    <w:name w:val="xl50"/>
    <w:basedOn w:val="Normal0"/>
    <w:uiPriority w:val="99"/>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heme="minorEastAsia" w:hAnsi="Times New Roman"/>
      <w:sz w:val="24"/>
      <w:szCs w:val="24"/>
    </w:rPr>
  </w:style>
  <w:style w:type="paragraph" w:customStyle="1" w:styleId="xl51">
    <w:name w:val="xl51"/>
    <w:basedOn w:val="Normal0"/>
    <w:uiPriority w:val="99"/>
    <w:qFormat/>
    <w:pPr>
      <w:pBdr>
        <w:top w:val="single" w:sz="4" w:space="0" w:color="auto"/>
        <w:lef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2">
    <w:name w:val="xl52"/>
    <w:basedOn w:val="Normal0"/>
    <w:uiPriority w:val="99"/>
    <w:qFormat/>
    <w:pPr>
      <w:pBdr>
        <w:top w:val="single" w:sz="4" w:space="0" w:color="auto"/>
        <w:righ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3">
    <w:name w:val="xl53"/>
    <w:basedOn w:val="Normal0"/>
    <w:uiPriority w:val="99"/>
    <w:qFormat/>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4">
    <w:name w:val="xl54"/>
    <w:basedOn w:val="Normal0"/>
    <w:uiPriority w:val="99"/>
    <w:qFormat/>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5">
    <w:name w:val="xl55"/>
    <w:basedOn w:val="Normal0"/>
    <w:uiPriority w:val="99"/>
    <w:qFormat/>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6">
    <w:name w:val="xl56"/>
    <w:basedOn w:val="Normal0"/>
    <w:uiPriority w:val="99"/>
    <w:qFormat/>
    <w:pPr>
      <w:pBdr>
        <w:top w:val="single" w:sz="4" w:space="0" w:color="auto"/>
        <w:left w:val="single" w:sz="8" w:space="0" w:color="auto"/>
        <w:right w:val="single" w:sz="4"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7">
    <w:name w:val="xl57"/>
    <w:basedOn w:val="Normal0"/>
    <w:uiPriority w:val="99"/>
    <w:qFormat/>
    <w:pPr>
      <w:pBdr>
        <w:top w:val="single" w:sz="4" w:space="0" w:color="auto"/>
        <w:left w:val="single" w:sz="4" w:space="0" w:color="auto"/>
        <w:right w:val="single" w:sz="8" w:space="0" w:color="auto"/>
      </w:pBdr>
      <w:shd w:val="clear" w:color="auto" w:fill="C0C0C0"/>
      <w:spacing w:before="100" w:beforeAutospacing="1" w:after="100" w:afterAutospacing="1" w:line="240" w:lineRule="auto"/>
      <w:jc w:val="center"/>
    </w:pPr>
    <w:rPr>
      <w:rFonts w:ascii="Arial" w:eastAsiaTheme="minorEastAsia" w:hAnsi="Arial" w:cs="Arial"/>
      <w:b/>
      <w:sz w:val="24"/>
      <w:szCs w:val="24"/>
    </w:rPr>
  </w:style>
  <w:style w:type="paragraph" w:customStyle="1" w:styleId="xl58">
    <w:name w:val="xl58"/>
    <w:basedOn w:val="Normal0"/>
    <w:uiPriority w:val="99"/>
    <w:qFormat/>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59">
    <w:name w:val="xl59"/>
    <w:basedOn w:val="Normal0"/>
    <w:uiPriority w:val="99"/>
    <w:qFormat/>
    <w:pPr>
      <w:pBdr>
        <w:left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60">
    <w:name w:val="xl60"/>
    <w:basedOn w:val="Normal0"/>
    <w:uiPriority w:val="99"/>
    <w:qFormat/>
    <w:pPr>
      <w:pBdr>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heme="minorEastAsia" w:hAnsi="Times New Roman"/>
      <w:sz w:val="24"/>
      <w:szCs w:val="24"/>
    </w:rPr>
  </w:style>
  <w:style w:type="paragraph" w:customStyle="1" w:styleId="xl61">
    <w:name w:val="xl61"/>
    <w:basedOn w:val="Normal0"/>
    <w:uiPriority w:val="99"/>
    <w:qFormat/>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heme="minorEastAsia" w:hAnsi="Arial" w:cs="Arial"/>
      <w:b/>
      <w:sz w:val="24"/>
      <w:szCs w:val="24"/>
    </w:rPr>
  </w:style>
  <w:style w:type="paragraph" w:customStyle="1" w:styleId="xl62">
    <w:name w:val="xl62"/>
    <w:basedOn w:val="Normal0"/>
    <w:uiPriority w:val="99"/>
    <w:qFormat/>
    <w:pPr>
      <w:pBdr>
        <w:top w:val="single" w:sz="8" w:space="0" w:color="auto"/>
        <w:left w:val="single" w:sz="8" w:space="0" w:color="auto"/>
      </w:pBdr>
      <w:spacing w:before="100" w:beforeAutospacing="1" w:after="100" w:afterAutospacing="1" w:line="240" w:lineRule="auto"/>
      <w:jc w:val="center"/>
    </w:pPr>
    <w:rPr>
      <w:rFonts w:ascii="Times New Roman" w:eastAsiaTheme="minorEastAsia" w:hAnsi="Times New Roman"/>
      <w:sz w:val="24"/>
      <w:szCs w:val="24"/>
    </w:rPr>
  </w:style>
  <w:style w:type="character" w:customStyle="1" w:styleId="TtulofiguracuadroCarCar">
    <w:name w:val="Título figura.cuadro Car Car"/>
    <w:qFormat/>
    <w:rPr>
      <w:rFonts w:ascii="Arial Negrita" w:hAnsi="Arial Negrita"/>
      <w:b/>
      <w:sz w:val="25"/>
    </w:rPr>
  </w:style>
  <w:style w:type="paragraph" w:customStyle="1" w:styleId="msonormal0">
    <w:name w:val="msonormal"/>
    <w:basedOn w:val="Normal0"/>
    <w:qFormat/>
    <w:pPr>
      <w:spacing w:before="100" w:after="100" w:line="240" w:lineRule="auto"/>
      <w:jc w:val="both"/>
    </w:pPr>
    <w:rPr>
      <w:rFonts w:ascii="Arial Unicode MS" w:hAnsi="Arial Unicode MS"/>
      <w:sz w:val="24"/>
      <w:szCs w:val="20"/>
    </w:rPr>
  </w:style>
  <w:style w:type="character" w:customStyle="1" w:styleId="Mencinsinresolver11">
    <w:name w:val="Mención sin resolver11"/>
    <w:uiPriority w:val="99"/>
    <w:qFormat/>
    <w:rPr>
      <w:color w:val="808080"/>
      <w:shd w:val="clear" w:color="auto" w:fill="E6E6E6"/>
    </w:rPr>
  </w:style>
  <w:style w:type="character" w:customStyle="1" w:styleId="Mencinsinresolver2">
    <w:name w:val="Mención sin resolver2"/>
    <w:uiPriority w:val="99"/>
    <w:qFormat/>
    <w:rPr>
      <w:color w:val="808080"/>
      <w:shd w:val="clear" w:color="auto" w:fill="E6E6E6"/>
    </w:rPr>
  </w:style>
  <w:style w:type="character" w:customStyle="1" w:styleId="Mencinsinresolver3">
    <w:name w:val="Mención sin resolver3"/>
    <w:uiPriority w:val="99"/>
    <w:qFormat/>
    <w:rPr>
      <w:color w:val="808080"/>
      <w:shd w:val="clear" w:color="auto" w:fill="E6E6E6"/>
    </w:rPr>
  </w:style>
  <w:style w:type="paragraph" w:customStyle="1" w:styleId="TableParagraph">
    <w:name w:val="Table Paragraph"/>
    <w:basedOn w:val="Normal0"/>
    <w:uiPriority w:val="1"/>
    <w:qFormat/>
    <w:pPr>
      <w:widowControl w:val="0"/>
      <w:spacing w:after="0" w:line="240" w:lineRule="auto"/>
    </w:pPr>
    <w:rPr>
      <w:lang w:val="en-US"/>
    </w:rPr>
  </w:style>
  <w:style w:type="character" w:customStyle="1" w:styleId="Mencinsinresolver4">
    <w:name w:val="Mención sin resolver4"/>
    <w:uiPriority w:val="99"/>
    <w:qFormat/>
    <w:rPr>
      <w:color w:val="808080"/>
      <w:shd w:val="clear" w:color="auto" w:fill="E6E6E6"/>
    </w:rPr>
  </w:style>
  <w:style w:type="character" w:customStyle="1" w:styleId="Mencinsinresolver5">
    <w:name w:val="Mención sin resolver5"/>
    <w:uiPriority w:val="99"/>
    <w:qFormat/>
    <w:rPr>
      <w:color w:val="808080"/>
      <w:shd w:val="clear" w:color="auto" w:fill="E6E6E6"/>
    </w:rPr>
  </w:style>
  <w:style w:type="character" w:customStyle="1" w:styleId="Mencinsinresolver6">
    <w:name w:val="Mención sin resolver6"/>
    <w:uiPriority w:val="99"/>
    <w:qFormat/>
    <w:rPr>
      <w:color w:val="808080"/>
      <w:shd w:val="clear" w:color="auto" w:fill="E6E6E6"/>
    </w:rPr>
  </w:style>
  <w:style w:type="character" w:customStyle="1" w:styleId="ColorfulList-Accent1Char">
    <w:name w:val="Colorful List - Accent 1 Char"/>
    <w:uiPriority w:val="34"/>
    <w:qFormat/>
    <w:rPr>
      <w:rFonts w:ascii="Arial" w:hAnsi="Arial"/>
    </w:rPr>
  </w:style>
  <w:style w:type="paragraph" w:customStyle="1" w:styleId="Literales">
    <w:name w:val="Literales"/>
    <w:basedOn w:val="Normal0"/>
    <w:next w:val="Title0"/>
    <w:qFormat/>
    <w:pPr>
      <w:widowControl w:val="0"/>
      <w:spacing w:after="0" w:line="240" w:lineRule="auto"/>
      <w:jc w:val="both"/>
    </w:pPr>
    <w:rPr>
      <w:rFonts w:eastAsiaTheme="minorEastAsia"/>
      <w:szCs w:val="20"/>
    </w:rPr>
  </w:style>
  <w:style w:type="character" w:customStyle="1" w:styleId="LiteralesCar">
    <w:name w:val="Literales Car"/>
    <w:qFormat/>
    <w:rPr>
      <w:rFonts w:ascii="Calibri" w:hAnsi="Calibri"/>
      <w:sz w:val="20"/>
    </w:rPr>
  </w:style>
  <w:style w:type="paragraph" w:customStyle="1" w:styleId="Numerar">
    <w:name w:val="Numerar"/>
    <w:basedOn w:val="Normal0"/>
    <w:qFormat/>
    <w:pPr>
      <w:widowControl w:val="0"/>
      <w:numPr>
        <w:numId w:val="24"/>
      </w:numPr>
      <w:spacing w:after="0" w:line="240" w:lineRule="auto"/>
      <w:jc w:val="both"/>
    </w:pPr>
    <w:rPr>
      <w:rFonts w:eastAsiaTheme="minorEastAsia" w:cs="Arial"/>
      <w:szCs w:val="21"/>
    </w:rPr>
  </w:style>
  <w:style w:type="character" w:customStyle="1" w:styleId="NumerarCar">
    <w:name w:val="Numerar Car"/>
    <w:qFormat/>
    <w:rPr>
      <w:rFonts w:eastAsia="Times New Roman"/>
      <w:sz w:val="21"/>
      <w:lang w:val="zh-CN"/>
    </w:rPr>
  </w:style>
  <w:style w:type="character" w:customStyle="1" w:styleId="Mencinsinresolver7">
    <w:name w:val="Mención sin resolver7"/>
    <w:uiPriority w:val="99"/>
    <w:qFormat/>
    <w:rPr>
      <w:color w:val="808080"/>
      <w:shd w:val="clear" w:color="auto" w:fill="E6E6E6"/>
    </w:rPr>
  </w:style>
  <w:style w:type="character" w:customStyle="1" w:styleId="Mencinsinresolver8">
    <w:name w:val="Mención sin resolver8"/>
    <w:uiPriority w:val="99"/>
    <w:qFormat/>
    <w:rPr>
      <w:color w:val="808080"/>
      <w:shd w:val="clear" w:color="auto" w:fill="E6E6E6"/>
    </w:rPr>
  </w:style>
  <w:style w:type="paragraph" w:customStyle="1" w:styleId="Literal2">
    <w:name w:val="Literal2"/>
    <w:basedOn w:val="Numerar"/>
    <w:qFormat/>
    <w:pPr>
      <w:widowControl/>
      <w:numPr>
        <w:numId w:val="0"/>
      </w:numPr>
      <w:spacing w:before="120" w:after="120"/>
      <w:ind w:left="3240" w:hanging="360"/>
    </w:pPr>
    <w:rPr>
      <w:rFonts w:ascii="Arial" w:eastAsia="Times New Roman" w:hAnsi="Arial" w:cs="Times New Roman"/>
      <w:sz w:val="21"/>
      <w:szCs w:val="22"/>
    </w:rPr>
  </w:style>
  <w:style w:type="character" w:customStyle="1" w:styleId="Mencinsinresolver9">
    <w:name w:val="Mención sin resolver9"/>
    <w:uiPriority w:val="99"/>
    <w:qFormat/>
    <w:rPr>
      <w:color w:val="808080"/>
      <w:shd w:val="clear" w:color="auto" w:fill="E6E6E6"/>
    </w:rPr>
  </w:style>
  <w:style w:type="character" w:customStyle="1" w:styleId="CierreCar">
    <w:name w:val="Cierre Car"/>
    <w:basedOn w:val="Fuentedeprrafopredeter"/>
    <w:link w:val="Cierre"/>
    <w:qFormat/>
    <w:rPr>
      <w:rFonts w:ascii="Calibri" w:eastAsia="Times New Roman" w:hAnsi="Calibri" w:cs="Calibri"/>
      <w:sz w:val="22"/>
      <w:szCs w:val="22"/>
    </w:rPr>
  </w:style>
  <w:style w:type="character" w:customStyle="1" w:styleId="FirmaCar">
    <w:name w:val="Firma Car"/>
    <w:basedOn w:val="Fuentedeprrafopredeter"/>
    <w:link w:val="Firma"/>
    <w:qFormat/>
    <w:rPr>
      <w:rFonts w:ascii="Calibri" w:eastAsia="Times New Roman" w:hAnsi="Calibri" w:cs="Calibri"/>
      <w:sz w:val="22"/>
      <w:szCs w:val="22"/>
    </w:rPr>
  </w:style>
  <w:style w:type="character" w:customStyle="1" w:styleId="EncabezadodemensajeCar">
    <w:name w:val="Encabezado de mensaje Car"/>
    <w:basedOn w:val="Fuentedeprrafopredeter"/>
    <w:link w:val="Encabezadodemensaje"/>
    <w:qFormat/>
    <w:rPr>
      <w:rFonts w:ascii="Cambria" w:eastAsiaTheme="minorEastAsia" w:hAnsi="Cambria" w:cs="Calibri"/>
      <w:sz w:val="24"/>
      <w:szCs w:val="24"/>
      <w:shd w:val="pct20" w:color="auto" w:fill="auto"/>
    </w:rPr>
  </w:style>
  <w:style w:type="paragraph" w:customStyle="1" w:styleId="p47">
    <w:name w:val="p47"/>
    <w:basedOn w:val="Normal0"/>
    <w:qFormat/>
    <w:pPr>
      <w:widowControl w:val="0"/>
      <w:spacing w:after="0" w:line="240" w:lineRule="auto"/>
      <w:ind w:left="760"/>
      <w:jc w:val="both"/>
    </w:pPr>
    <w:rPr>
      <w:rFonts w:ascii="Times" w:eastAsiaTheme="minorEastAsia" w:hAnsi="Times"/>
      <w:sz w:val="24"/>
      <w:szCs w:val="20"/>
    </w:rPr>
  </w:style>
  <w:style w:type="paragraph" w:customStyle="1" w:styleId="TtuloNivel1">
    <w:name w:val="Título Nivel1"/>
    <w:basedOn w:val="Listaconvietas"/>
    <w:qFormat/>
    <w:pPr>
      <w:widowControl/>
      <w:numPr>
        <w:ilvl w:val="1"/>
        <w:numId w:val="25"/>
      </w:numPr>
      <w:shd w:val="solid" w:color="FFFFFF" w:fill="auto"/>
      <w:tabs>
        <w:tab w:val="clear" w:pos="1068"/>
        <w:tab w:val="left" w:pos="360"/>
        <w:tab w:val="left" w:pos="705"/>
      </w:tabs>
      <w:ind w:left="705" w:hanging="705"/>
      <w:jc w:val="both"/>
    </w:pPr>
    <w:rPr>
      <w:rFonts w:ascii="Calisto MT" w:eastAsiaTheme="minorEastAsia" w:hAnsi="Calisto MT"/>
      <w:b/>
      <w:i/>
      <w:sz w:val="28"/>
      <w:lang w:val="es-ES"/>
    </w:rPr>
  </w:style>
  <w:style w:type="paragraph" w:customStyle="1" w:styleId="ind">
    <w:name w:val="ind"/>
    <w:basedOn w:val="Normal0"/>
    <w:qFormat/>
    <w:pPr>
      <w:tabs>
        <w:tab w:val="left" w:pos="786"/>
      </w:tabs>
      <w:spacing w:after="0" w:line="240" w:lineRule="auto"/>
      <w:ind w:left="426"/>
    </w:pPr>
    <w:rPr>
      <w:rFonts w:ascii="Times New Roman" w:eastAsiaTheme="minorEastAsia" w:hAnsi="Times New Roman"/>
      <w:sz w:val="24"/>
      <w:szCs w:val="24"/>
      <w:lang w:val="es-AR"/>
    </w:rPr>
  </w:style>
  <w:style w:type="paragraph" w:customStyle="1" w:styleId="Vietasa">
    <w:name w:val="Viñetas a"/>
    <w:basedOn w:val="Normal0"/>
    <w:qFormat/>
    <w:pPr>
      <w:numPr>
        <w:numId w:val="26"/>
      </w:numPr>
      <w:spacing w:after="120" w:line="240" w:lineRule="auto"/>
      <w:ind w:left="720"/>
      <w:jc w:val="both"/>
    </w:pPr>
    <w:rPr>
      <w:rFonts w:ascii="Arial" w:eastAsiaTheme="minorEastAsia" w:hAnsi="Arial"/>
      <w:szCs w:val="20"/>
    </w:rPr>
  </w:style>
  <w:style w:type="paragraph" w:customStyle="1" w:styleId="Titulo2">
    <w:name w:val="Titulo 2"/>
    <w:basedOn w:val="Normal0"/>
    <w:qFormat/>
    <w:pPr>
      <w:numPr>
        <w:ilvl w:val="1"/>
        <w:numId w:val="27"/>
      </w:numPr>
      <w:spacing w:after="0" w:line="240" w:lineRule="auto"/>
      <w:ind w:left="1440"/>
    </w:pPr>
    <w:rPr>
      <w:rFonts w:ascii="Times New Roman" w:eastAsiaTheme="minorEastAsia" w:hAnsi="Times New Roman"/>
      <w:sz w:val="24"/>
      <w:szCs w:val="24"/>
    </w:rPr>
  </w:style>
  <w:style w:type="paragraph" w:customStyle="1" w:styleId="Tabela">
    <w:name w:val="Tabela"/>
    <w:basedOn w:val="Normal0"/>
    <w:qFormat/>
    <w:pPr>
      <w:spacing w:before="60" w:after="60" w:line="240" w:lineRule="auto"/>
      <w:jc w:val="center"/>
    </w:pPr>
    <w:rPr>
      <w:rFonts w:ascii="Arial" w:eastAsiaTheme="minorEastAsia" w:hAnsi="Arial"/>
      <w:szCs w:val="20"/>
    </w:rPr>
  </w:style>
  <w:style w:type="paragraph" w:customStyle="1" w:styleId="Quick1">
    <w:name w:val="Quick 1."/>
    <w:basedOn w:val="Normal0"/>
    <w:qFormat/>
    <w:pPr>
      <w:widowControl w:val="0"/>
      <w:spacing w:after="0" w:line="360" w:lineRule="auto"/>
      <w:ind w:left="720" w:hanging="720"/>
    </w:pPr>
    <w:rPr>
      <w:rFonts w:ascii="Arial" w:eastAsiaTheme="minorEastAsia" w:hAnsi="Arial" w:cs="Arial"/>
      <w:sz w:val="20"/>
      <w:szCs w:val="20"/>
    </w:rPr>
  </w:style>
  <w:style w:type="paragraph" w:customStyle="1" w:styleId="Sangra2detindependiente2">
    <w:name w:val="Sangría 2 de t. independiente2"/>
    <w:basedOn w:val="Normal0"/>
    <w:qFormat/>
    <w:pPr>
      <w:spacing w:after="0" w:line="240" w:lineRule="auto"/>
      <w:ind w:left="426"/>
      <w:jc w:val="both"/>
    </w:pPr>
    <w:rPr>
      <w:rFonts w:ascii="Arial" w:eastAsiaTheme="minorEastAsia" w:hAnsi="Arial"/>
      <w:sz w:val="24"/>
      <w:szCs w:val="20"/>
    </w:rPr>
  </w:style>
  <w:style w:type="character" w:customStyle="1" w:styleId="ALDNormalCarCar">
    <w:name w:val="ALD Normal Car Car"/>
    <w:qFormat/>
    <w:rPr>
      <w:rFonts w:ascii="Century Gothic" w:hAnsi="Century Gothic"/>
      <w:sz w:val="24"/>
      <w:lang w:val="zh-CN"/>
    </w:rPr>
  </w:style>
  <w:style w:type="paragraph" w:customStyle="1" w:styleId="ALDNormal">
    <w:name w:val="ALD Normal"/>
    <w:basedOn w:val="Normal0"/>
    <w:qFormat/>
    <w:pPr>
      <w:spacing w:before="240" w:after="240" w:line="240" w:lineRule="auto"/>
      <w:jc w:val="both"/>
    </w:pPr>
    <w:rPr>
      <w:rFonts w:ascii="Century Gothic" w:eastAsiaTheme="minorEastAsia" w:hAnsi="Century Gothic"/>
      <w:szCs w:val="24"/>
    </w:rPr>
  </w:style>
  <w:style w:type="paragraph" w:customStyle="1" w:styleId="Sangra2detindependiente3">
    <w:name w:val="Sangría 2 de t. independiente3"/>
    <w:basedOn w:val="Normal0"/>
    <w:qFormat/>
    <w:pPr>
      <w:spacing w:after="0" w:line="240" w:lineRule="auto"/>
      <w:ind w:left="426"/>
      <w:jc w:val="both"/>
    </w:pPr>
    <w:rPr>
      <w:rFonts w:ascii="Arial" w:eastAsiaTheme="minorEastAsia" w:hAnsi="Arial"/>
      <w:sz w:val="24"/>
      <w:szCs w:val="20"/>
    </w:rPr>
  </w:style>
  <w:style w:type="paragraph" w:customStyle="1" w:styleId="Sangra2detindependiente4">
    <w:name w:val="Sangría 2 de t. independiente4"/>
    <w:basedOn w:val="Normal0"/>
    <w:qFormat/>
    <w:pPr>
      <w:spacing w:after="0" w:line="240" w:lineRule="auto"/>
      <w:ind w:left="426"/>
      <w:jc w:val="both"/>
    </w:pPr>
    <w:rPr>
      <w:rFonts w:ascii="Arial" w:eastAsiaTheme="minorEastAsia" w:hAnsi="Arial"/>
      <w:sz w:val="24"/>
      <w:szCs w:val="20"/>
    </w:rPr>
  </w:style>
  <w:style w:type="paragraph" w:customStyle="1" w:styleId="Sangra2detindependiente5">
    <w:name w:val="Sangría 2 de t. independiente5"/>
    <w:basedOn w:val="Normal0"/>
    <w:qFormat/>
    <w:pPr>
      <w:spacing w:after="0" w:line="240" w:lineRule="auto"/>
      <w:ind w:left="426"/>
      <w:jc w:val="both"/>
    </w:pPr>
    <w:rPr>
      <w:rFonts w:ascii="Arial" w:eastAsiaTheme="minorEastAsia" w:hAnsi="Arial"/>
      <w:sz w:val="24"/>
      <w:szCs w:val="20"/>
    </w:rPr>
  </w:style>
  <w:style w:type="paragraph" w:customStyle="1" w:styleId="Firmapuesto">
    <w:name w:val="Firma puesto"/>
    <w:basedOn w:val="Firma"/>
    <w:qFormat/>
  </w:style>
  <w:style w:type="paragraph" w:customStyle="1" w:styleId="Firmaorganizacin">
    <w:name w:val="Firma organización"/>
    <w:basedOn w:val="Firma"/>
    <w:qFormat/>
  </w:style>
  <w:style w:type="paragraph" w:customStyle="1" w:styleId="TtuloNivel2">
    <w:name w:val="Título Nivel2"/>
    <w:basedOn w:val="TtuloNivel1"/>
    <w:qFormat/>
    <w:pPr>
      <w:numPr>
        <w:ilvl w:val="2"/>
      </w:numPr>
      <w:tabs>
        <w:tab w:val="clear" w:pos="705"/>
        <w:tab w:val="left" w:pos="0"/>
        <w:tab w:val="left" w:pos="576"/>
        <w:tab w:val="left" w:pos="720"/>
      </w:tabs>
    </w:pPr>
    <w:rPr>
      <w:i w:val="0"/>
      <w:sz w:val="24"/>
    </w:rPr>
  </w:style>
  <w:style w:type="paragraph" w:customStyle="1" w:styleId="TtuloNivel3">
    <w:name w:val="Título Nivel3"/>
    <w:basedOn w:val="TtuloNivel2"/>
    <w:qFormat/>
    <w:pPr>
      <w:numPr>
        <w:ilvl w:val="3"/>
      </w:numPr>
      <w:ind w:left="3228"/>
    </w:pPr>
    <w:rPr>
      <w:rFonts w:ascii="Arial" w:hAnsi="Arial"/>
    </w:rPr>
  </w:style>
  <w:style w:type="paragraph" w:customStyle="1" w:styleId="Cuadrculamediana21">
    <w:name w:val="Cuadrícula mediana 21"/>
    <w:uiPriority w:val="1"/>
    <w:qFormat/>
    <w:pPr>
      <w:autoSpaceDE w:val="0"/>
      <w:autoSpaceDN w:val="0"/>
      <w:adjustRightInd w:val="0"/>
      <w:spacing w:after="200" w:line="276" w:lineRule="auto"/>
    </w:pPr>
    <w:rPr>
      <w:rFonts w:ascii="Calibri" w:eastAsia="Calibri" w:hAnsi="Calibri" w:cs="Calibri"/>
      <w:sz w:val="22"/>
      <w:szCs w:val="22"/>
      <w:lang w:val="es-ES"/>
    </w:rPr>
  </w:style>
  <w:style w:type="character" w:customStyle="1" w:styleId="MediumGrid2Char">
    <w:name w:val="Medium Grid 2 Char"/>
    <w:uiPriority w:val="1"/>
    <w:qFormat/>
    <w:rPr>
      <w:rFonts w:eastAsia="Times New Roman"/>
      <w:lang w:val="es-ES"/>
    </w:rPr>
  </w:style>
  <w:style w:type="paragraph" w:customStyle="1" w:styleId="Literal1">
    <w:name w:val="Literal1"/>
    <w:basedOn w:val="Normal0"/>
    <w:uiPriority w:val="99"/>
    <w:qFormat/>
    <w:pPr>
      <w:widowControl w:val="0"/>
      <w:numPr>
        <w:numId w:val="28"/>
      </w:numPr>
      <w:tabs>
        <w:tab w:val="left" w:pos="1800"/>
      </w:tabs>
      <w:spacing w:before="120" w:after="120" w:line="240" w:lineRule="auto"/>
      <w:ind w:left="1800" w:hanging="720"/>
      <w:jc w:val="both"/>
    </w:pPr>
    <w:rPr>
      <w:rFonts w:eastAsiaTheme="minorEastAsia" w:cs="Arial"/>
      <w:sz w:val="21"/>
      <w:szCs w:val="21"/>
    </w:rPr>
  </w:style>
  <w:style w:type="character" w:customStyle="1" w:styleId="Literal1Car">
    <w:name w:val="Literal1 Car"/>
    <w:uiPriority w:val="99"/>
    <w:qFormat/>
    <w:rPr>
      <w:rFonts w:eastAsia="Times New Roman"/>
      <w:sz w:val="21"/>
      <w:lang w:val="zh-CN"/>
    </w:rPr>
  </w:style>
  <w:style w:type="paragraph" w:customStyle="1" w:styleId="Prrafo1">
    <w:name w:val="Párrafo 1"/>
    <w:basedOn w:val="Normal0"/>
    <w:qFormat/>
    <w:pPr>
      <w:widowControl w:val="0"/>
      <w:spacing w:before="120" w:after="120" w:line="240" w:lineRule="auto"/>
      <w:ind w:left="567"/>
      <w:jc w:val="both"/>
    </w:pPr>
    <w:rPr>
      <w:rFonts w:eastAsiaTheme="minorEastAsia" w:cs="Arial"/>
      <w:sz w:val="21"/>
      <w:szCs w:val="21"/>
    </w:rPr>
  </w:style>
  <w:style w:type="character" w:customStyle="1" w:styleId="Prrafo1Car">
    <w:name w:val="Párrafo 1 Car"/>
    <w:qFormat/>
    <w:rPr>
      <w:rFonts w:ascii="Calibri" w:hAnsi="Calibri"/>
      <w:sz w:val="21"/>
      <w:lang w:val="es-PE"/>
    </w:rPr>
  </w:style>
  <w:style w:type="paragraph" w:customStyle="1" w:styleId="PrrafoTtulo1">
    <w:name w:val="Párrafo Título1"/>
    <w:basedOn w:val="Normal0"/>
    <w:qFormat/>
    <w:pPr>
      <w:widowControl w:val="0"/>
      <w:spacing w:before="60" w:after="60" w:line="240" w:lineRule="auto"/>
      <w:ind w:left="1134"/>
      <w:jc w:val="both"/>
    </w:pPr>
    <w:rPr>
      <w:rFonts w:ascii="Times New Roman" w:eastAsiaTheme="minorEastAsia" w:hAnsi="Times New Roman"/>
      <w:lang w:val="es-ES"/>
    </w:rPr>
  </w:style>
  <w:style w:type="table" w:styleId="Listavistosa-nfasis1">
    <w:name w:val="Colorful List Accent 1"/>
    <w:basedOn w:val="Tablanormal"/>
    <w:uiPriority w:val="72"/>
    <w:semiHidden/>
    <w:unhideWhenUsed/>
    <w:qFormat/>
    <w:rPr>
      <w:rFonts w:ascii="Calibri" w:eastAsia="Calibri" w:hAnsi="Calibri" w:cs="Calibri"/>
      <w:color w:val="000000" w:themeColor="text1"/>
      <w:sz w:val="22"/>
      <w:szCs w:val="22"/>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listamulticolor-nfasis11">
    <w:name w:val="listamulticolor-nfasis11"/>
    <w:basedOn w:val="Normal0"/>
    <w:uiPriority w:val="99"/>
    <w:qFormat/>
    <w:pPr>
      <w:widowControl w:val="0"/>
      <w:spacing w:after="0" w:line="240" w:lineRule="auto"/>
      <w:ind w:left="720"/>
      <w:jc w:val="both"/>
    </w:pPr>
    <w:rPr>
      <w:rFonts w:eastAsiaTheme="minorEastAsia" w:cs="Arial"/>
      <w:lang w:val="en-US"/>
    </w:rPr>
  </w:style>
  <w:style w:type="paragraph" w:customStyle="1" w:styleId="xgmail-msolistparagraph">
    <w:name w:val="x_gmail-msolistparagraph"/>
    <w:basedOn w:val="Normal0"/>
    <w:qFormat/>
    <w:pPr>
      <w:spacing w:before="100" w:beforeAutospacing="1" w:after="100" w:afterAutospacing="1" w:line="240" w:lineRule="auto"/>
    </w:pPr>
    <w:rPr>
      <w:rFonts w:ascii="Times New Roman" w:eastAsiaTheme="minorEastAsia" w:hAnsi="Times New Roman"/>
      <w:sz w:val="24"/>
      <w:szCs w:val="24"/>
    </w:rPr>
  </w:style>
  <w:style w:type="paragraph" w:customStyle="1" w:styleId="xmsonormal">
    <w:name w:val="x_msonormal"/>
    <w:basedOn w:val="Normal0"/>
    <w:qFormat/>
    <w:pPr>
      <w:spacing w:before="100" w:beforeAutospacing="1" w:after="100" w:afterAutospacing="1" w:line="240" w:lineRule="auto"/>
    </w:pPr>
    <w:rPr>
      <w:rFonts w:ascii="Times New Roman" w:eastAsiaTheme="minorEastAsia" w:hAnsi="Times New Roman"/>
      <w:sz w:val="24"/>
      <w:szCs w:val="24"/>
    </w:rPr>
  </w:style>
  <w:style w:type="character" w:customStyle="1" w:styleId="Mencinsinresolver10">
    <w:name w:val="Mención sin resolver10"/>
    <w:basedOn w:val="Fuentedeprrafopredeter"/>
    <w:uiPriority w:val="99"/>
    <w:qFormat/>
    <w:rPr>
      <w:rFonts w:cs="Times New Roman"/>
      <w:color w:val="605E5C"/>
      <w:shd w:val="clear" w:color="auto" w:fill="E1DFDD"/>
    </w:rPr>
  </w:style>
  <w:style w:type="paragraph" w:customStyle="1" w:styleId="Subtitle0">
    <w:name w:val="Subtitle0"/>
    <w:basedOn w:val="Normal0"/>
    <w:next w:val="Normal0"/>
    <w:qFormat/>
    <w:pPr>
      <w:spacing w:after="0" w:line="240" w:lineRule="auto"/>
      <w:jc w:val="both"/>
    </w:pPr>
    <w:rPr>
      <w:rFonts w:ascii="Arial" w:hAnsi="Arial" w:cs="Arial"/>
      <w:b/>
    </w:rPr>
  </w:style>
  <w:style w:type="character" w:customStyle="1" w:styleId="PuestoCar">
    <w:name w:val="Puesto Car"/>
    <w:uiPriority w:val="10"/>
    <w:qFormat/>
    <w:rPr>
      <w:rFonts w:ascii="Arial" w:hAnsi="Arial"/>
      <w:b/>
    </w:rPr>
  </w:style>
  <w:style w:type="paragraph" w:customStyle="1" w:styleId="Ttulo20">
    <w:name w:val="Título2"/>
    <w:basedOn w:val="Normal"/>
    <w:uiPriority w:val="10"/>
    <w:qFormat/>
    <w:pPr>
      <w:autoSpaceDE w:val="0"/>
      <w:autoSpaceDN w:val="0"/>
      <w:adjustRightInd w:val="0"/>
      <w:jc w:val="center"/>
    </w:pPr>
    <w:rPr>
      <w:rFonts w:eastAsiaTheme="minorEastAsia"/>
      <w:b/>
      <w:lang w:eastAsia="es-PE"/>
    </w:rPr>
  </w:style>
  <w:style w:type="character" w:customStyle="1" w:styleId="il">
    <w:name w:val="il"/>
    <w:qFormat/>
  </w:style>
  <w:style w:type="character" w:customStyle="1" w:styleId="style-scope">
    <w:name w:val="style-scope"/>
    <w:qFormat/>
  </w:style>
  <w:style w:type="paragraph" w:customStyle="1" w:styleId="TextoNormal">
    <w:name w:val="Texto Normal"/>
    <w:basedOn w:val="Ttulo4"/>
    <w:uiPriority w:val="99"/>
    <w:qFormat/>
    <w:pPr>
      <w:keepNext w:val="0"/>
      <w:autoSpaceDE w:val="0"/>
      <w:autoSpaceDN w:val="0"/>
      <w:adjustRightInd w:val="0"/>
      <w:spacing w:line="276" w:lineRule="auto"/>
      <w:ind w:left="426"/>
      <w:outlineLvl w:val="9"/>
    </w:pPr>
    <w:rPr>
      <w:rFonts w:eastAsiaTheme="minorEastAsia" w:cs="Times New Roman"/>
      <w:b w:val="0"/>
      <w:bCs w:val="0"/>
      <w:sz w:val="22"/>
      <w:lang w:val="es-PE" w:eastAsia="es-PE"/>
    </w:rPr>
  </w:style>
  <w:style w:type="character" w:customStyle="1" w:styleId="TextoNormalCar">
    <w:name w:val="Texto Normal Car"/>
    <w:uiPriority w:val="99"/>
    <w:rPr>
      <w:rFonts w:ascii="Arial" w:hAnsi="Arial"/>
      <w:sz w:val="24"/>
    </w:rPr>
  </w:style>
  <w:style w:type="character" w:customStyle="1" w:styleId="a0">
    <w:name w:val="a"/>
  </w:style>
  <w:style w:type="character" w:customStyle="1" w:styleId="Mencinsinresolver12">
    <w:name w:val="Mención sin resolver12"/>
    <w:basedOn w:val="Fuentedeprrafopredeter"/>
    <w:uiPriority w:val="99"/>
    <w:rPr>
      <w:rFonts w:cs="Times New Roman"/>
      <w:color w:val="605E5C"/>
      <w:shd w:val="clear" w:color="auto" w:fill="E1DFDD"/>
    </w:rPr>
  </w:style>
  <w:style w:type="paragraph" w:customStyle="1" w:styleId="Anexo1">
    <w:name w:val="Anexo 1"/>
    <w:basedOn w:val="Normal"/>
    <w:next w:val="Pargrafo"/>
    <w:pPr>
      <w:numPr>
        <w:numId w:val="29"/>
      </w:numPr>
      <w:tabs>
        <w:tab w:val="left" w:pos="360"/>
      </w:tabs>
      <w:autoSpaceDE w:val="0"/>
      <w:autoSpaceDN w:val="0"/>
      <w:adjustRightInd w:val="0"/>
      <w:spacing w:before="9600" w:line="360" w:lineRule="exact"/>
      <w:jc w:val="right"/>
    </w:pPr>
    <w:rPr>
      <w:rFonts w:ascii="Trebuchet MS" w:eastAsiaTheme="minorEastAsia" w:hAnsi="Trebuchet MS" w:cs="Times New Roman"/>
      <w:b/>
      <w:caps/>
      <w:sz w:val="21"/>
      <w:szCs w:val="24"/>
      <w:lang w:val="es-ES" w:eastAsia="es-PE"/>
    </w:rPr>
  </w:style>
  <w:style w:type="paragraph" w:customStyle="1" w:styleId="Pargrafo">
    <w:name w:val="Parágrafo"/>
    <w:basedOn w:val="Normal"/>
    <w:pPr>
      <w:autoSpaceDE w:val="0"/>
      <w:autoSpaceDN w:val="0"/>
      <w:adjustRightInd w:val="0"/>
      <w:spacing w:before="40" w:after="240" w:line="360" w:lineRule="exact"/>
      <w:jc w:val="both"/>
    </w:pPr>
    <w:rPr>
      <w:rFonts w:ascii="Humanst521 BT" w:eastAsiaTheme="minorEastAsia" w:hAnsi="Humanst521 BT" w:cs="Times New Roman"/>
      <w:sz w:val="21"/>
      <w:szCs w:val="21"/>
      <w:lang w:val="es-ES" w:eastAsia="es-PE"/>
    </w:rPr>
  </w:style>
  <w:style w:type="paragraph" w:customStyle="1" w:styleId="ANEXOS">
    <w:name w:val="ANEXOS"/>
    <w:basedOn w:val="Normal"/>
    <w:next w:val="Normal"/>
    <w:pPr>
      <w:numPr>
        <w:numId w:val="30"/>
      </w:numPr>
      <w:autoSpaceDE w:val="0"/>
      <w:autoSpaceDN w:val="0"/>
      <w:adjustRightInd w:val="0"/>
      <w:spacing w:before="10800" w:after="240" w:line="360" w:lineRule="exact"/>
      <w:jc w:val="right"/>
    </w:pPr>
    <w:rPr>
      <w:rFonts w:ascii="Trebuchet MS" w:eastAsiaTheme="minorEastAsia" w:hAnsi="Trebuchet MS" w:cs="Times New Roman"/>
      <w:b/>
      <w:caps/>
      <w:sz w:val="21"/>
      <w:szCs w:val="24"/>
      <w:lang w:val="es-ES" w:eastAsia="es-PE"/>
    </w:rPr>
  </w:style>
  <w:style w:type="paragraph" w:customStyle="1" w:styleId="ANNEX">
    <w:name w:val="ANNEX"/>
    <w:basedOn w:val="ANEXOS"/>
    <w:next w:val="Normal"/>
    <w:pPr>
      <w:numPr>
        <w:numId w:val="31"/>
      </w:numPr>
    </w:pPr>
    <w:rPr>
      <w:lang w:val="en-US"/>
    </w:rPr>
  </w:style>
  <w:style w:type="paragraph" w:customStyle="1" w:styleId="Annex1">
    <w:name w:val="Annex 1"/>
    <w:basedOn w:val="Anexo1"/>
    <w:pPr>
      <w:numPr>
        <w:numId w:val="32"/>
      </w:numPr>
    </w:pPr>
    <w:rPr>
      <w:lang w:val="en-US"/>
    </w:rPr>
  </w:style>
  <w:style w:type="paragraph" w:customStyle="1" w:styleId="APNDICE">
    <w:name w:val="APÊNDICE"/>
    <w:basedOn w:val="ANEXOS"/>
    <w:qFormat/>
    <w:pPr>
      <w:numPr>
        <w:numId w:val="33"/>
      </w:numPr>
    </w:pPr>
  </w:style>
  <w:style w:type="paragraph" w:customStyle="1" w:styleId="Apndice1">
    <w:name w:val="Apêndice 1"/>
    <w:basedOn w:val="Anexo1"/>
    <w:qFormat/>
    <w:pPr>
      <w:numPr>
        <w:numId w:val="34"/>
      </w:numPr>
      <w:ind w:left="340" w:hanging="340"/>
    </w:pPr>
  </w:style>
  <w:style w:type="paragraph" w:customStyle="1" w:styleId="APNDICES">
    <w:name w:val="APÊNDICES"/>
    <w:basedOn w:val="Normal"/>
    <w:pPr>
      <w:numPr>
        <w:numId w:val="35"/>
      </w:numPr>
      <w:autoSpaceDE w:val="0"/>
      <w:autoSpaceDN w:val="0"/>
      <w:adjustRightInd w:val="0"/>
      <w:spacing w:before="10800" w:after="240"/>
      <w:jc w:val="right"/>
    </w:pPr>
    <w:rPr>
      <w:rFonts w:ascii="Trebuchet MS" w:eastAsiaTheme="minorEastAsia" w:hAnsi="Trebuchet MS" w:cs="Times New Roman"/>
      <w:caps/>
      <w:sz w:val="21"/>
      <w:szCs w:val="21"/>
      <w:lang w:val="es-ES" w:eastAsia="es-PE"/>
    </w:rPr>
  </w:style>
  <w:style w:type="paragraph" w:customStyle="1" w:styleId="bibliografia">
    <w:name w:val="bibliografia"/>
    <w:basedOn w:val="Normal"/>
    <w:qFormat/>
    <w:pPr>
      <w:autoSpaceDE w:val="0"/>
      <w:autoSpaceDN w:val="0"/>
      <w:adjustRightInd w:val="0"/>
      <w:spacing w:before="240" w:after="240"/>
      <w:ind w:left="709"/>
      <w:jc w:val="both"/>
    </w:pPr>
    <w:rPr>
      <w:rFonts w:ascii="Times New Roman" w:eastAsiaTheme="minorEastAsia" w:hAnsi="Times New Roman" w:cs="Times New Roman"/>
      <w:sz w:val="21"/>
      <w:szCs w:val="24"/>
      <w:lang w:val="es-ES" w:eastAsia="es-PE"/>
    </w:rPr>
  </w:style>
  <w:style w:type="paragraph" w:customStyle="1" w:styleId="CAPTULO">
    <w:name w:val="CAPÍTULO"/>
    <w:basedOn w:val="Normal"/>
    <w:next w:val="Normal"/>
    <w:pPr>
      <w:numPr>
        <w:numId w:val="36"/>
      </w:numPr>
      <w:autoSpaceDE w:val="0"/>
      <w:autoSpaceDN w:val="0"/>
      <w:adjustRightInd w:val="0"/>
      <w:spacing w:before="240" w:after="240" w:line="360" w:lineRule="exact"/>
      <w:jc w:val="both"/>
    </w:pPr>
    <w:rPr>
      <w:rFonts w:ascii="Trebuchet MS" w:eastAsiaTheme="minorEastAsia" w:hAnsi="Trebuchet MS" w:cs="Times New Roman"/>
      <w:b/>
      <w:caps/>
      <w:sz w:val="32"/>
      <w:szCs w:val="21"/>
      <w:lang w:val="es-ES" w:eastAsia="es-PE"/>
    </w:rPr>
  </w:style>
  <w:style w:type="paragraph" w:customStyle="1" w:styleId="Empreendimento">
    <w:name w:val="Empreendimento"/>
    <w:basedOn w:val="Normal"/>
    <w:pPr>
      <w:autoSpaceDE w:val="0"/>
      <w:autoSpaceDN w:val="0"/>
      <w:adjustRightInd w:val="0"/>
      <w:spacing w:before="40" w:line="360" w:lineRule="exact"/>
      <w:jc w:val="center"/>
    </w:pPr>
    <w:rPr>
      <w:rFonts w:ascii="Trebuchet MS" w:eastAsiaTheme="minorEastAsia" w:hAnsi="Trebuchet MS" w:cs="Times New Roman"/>
      <w:b/>
      <w:sz w:val="18"/>
      <w:szCs w:val="21"/>
      <w:lang w:val="es-ES" w:eastAsia="es-PE"/>
    </w:rPr>
  </w:style>
  <w:style w:type="paragraph" w:customStyle="1" w:styleId="Estiloesquerda05cm">
    <w:name w:val="Estilo À esquerda:  05 cm"/>
    <w:basedOn w:val="Normal"/>
    <w:pPr>
      <w:autoSpaceDE w:val="0"/>
      <w:autoSpaceDN w:val="0"/>
      <w:adjustRightInd w:val="0"/>
      <w:spacing w:before="40" w:after="240" w:line="360" w:lineRule="exact"/>
      <w:ind w:left="284"/>
      <w:jc w:val="both"/>
    </w:pPr>
    <w:rPr>
      <w:rFonts w:ascii="Trebuchet MS" w:eastAsiaTheme="minorEastAsia" w:hAnsi="Trebuchet MS" w:cs="Times New Roman"/>
      <w:sz w:val="21"/>
      <w:szCs w:val="20"/>
      <w:lang w:val="es-ES" w:eastAsia="es-PE"/>
    </w:rPr>
  </w:style>
  <w:style w:type="character" w:customStyle="1" w:styleId="Estiloesquerda05cmChar">
    <w:name w:val="Estilo À esquerda:  05 cm Char"/>
    <w:rPr>
      <w:rFonts w:ascii="Trebuchet MS" w:hAnsi="Trebuchet MS"/>
      <w:sz w:val="20"/>
      <w:lang w:val="es-ES"/>
    </w:rPr>
  </w:style>
  <w:style w:type="paragraph" w:customStyle="1" w:styleId="EstiloAnaltico4esquerda05cmDeslocamento15cm">
    <w:name w:val="Estilo Analítico 4 + À esquerda:  05 cm Deslocamento:  15 cm"/>
    <w:basedOn w:val="TDC4"/>
    <w:pPr>
      <w:tabs>
        <w:tab w:val="left" w:pos="2552"/>
        <w:tab w:val="left" w:pos="8494"/>
        <w:tab w:val="left" w:leader="dot" w:pos="8789"/>
      </w:tabs>
      <w:autoSpaceDE w:val="0"/>
      <w:autoSpaceDN w:val="0"/>
      <w:adjustRightInd w:val="0"/>
      <w:spacing w:before="80" w:after="80" w:line="360" w:lineRule="exact"/>
      <w:ind w:left="1135" w:right="1418" w:hanging="851"/>
    </w:pPr>
    <w:rPr>
      <w:rFonts w:ascii="Trebuchet MS" w:eastAsiaTheme="minorEastAsia" w:hAnsi="Trebuchet MS" w:cs="Times New Roman"/>
      <w:sz w:val="18"/>
      <w:lang w:val="es-PE" w:eastAsia="es-PE"/>
    </w:rPr>
  </w:style>
  <w:style w:type="paragraph" w:customStyle="1" w:styleId="EstiloAnaltico5esquerda2cmDeslocamento1cm">
    <w:name w:val="Estilo Analítico 5 + À esquerda:  2 cm Deslocamento:  1 cm"/>
    <w:basedOn w:val="TDC5"/>
    <w:pPr>
      <w:tabs>
        <w:tab w:val="left" w:pos="3119"/>
        <w:tab w:val="left" w:leader="dot" w:pos="8222"/>
        <w:tab w:val="left" w:pos="8494"/>
      </w:tabs>
      <w:autoSpaceDE w:val="0"/>
      <w:autoSpaceDN w:val="0"/>
      <w:adjustRightInd w:val="0"/>
      <w:spacing w:before="80" w:after="80" w:line="360" w:lineRule="exact"/>
      <w:ind w:left="3119" w:right="1304" w:hanging="851"/>
    </w:pPr>
    <w:rPr>
      <w:rFonts w:ascii="Trebuchet MS" w:eastAsiaTheme="minorEastAsia" w:hAnsi="Trebuchet MS" w:cs="Times New Roman"/>
      <w:sz w:val="18"/>
      <w:szCs w:val="18"/>
      <w:lang w:val="es-PE" w:eastAsia="es-PE"/>
    </w:rPr>
  </w:style>
  <w:style w:type="paragraph" w:customStyle="1" w:styleId="EstiloMarcador-Ttulo7NoNegrito">
    <w:name w:val="Estilo Marcador-Título 7 + Não Negrito"/>
    <w:basedOn w:val="Normal"/>
    <w:pPr>
      <w:keepNext/>
      <w:tabs>
        <w:tab w:val="left" w:pos="284"/>
      </w:tabs>
      <w:autoSpaceDE w:val="0"/>
      <w:autoSpaceDN w:val="0"/>
      <w:adjustRightInd w:val="0"/>
      <w:spacing w:before="40" w:after="240" w:line="360" w:lineRule="exact"/>
      <w:jc w:val="both"/>
    </w:pPr>
    <w:rPr>
      <w:rFonts w:ascii="Trebuchet MS" w:eastAsiaTheme="minorEastAsia" w:hAnsi="Trebuchet MS" w:cs="Times New Roman"/>
      <w:b/>
      <w:sz w:val="21"/>
      <w:szCs w:val="21"/>
      <w:lang w:val="es-ES" w:eastAsia="es-PE"/>
    </w:rPr>
  </w:style>
  <w:style w:type="paragraph" w:customStyle="1" w:styleId="EstiloEstiloMarcador-Ttulo7NoNegrito">
    <w:name w:val="Estilo Estilo Marcador-Título 7 + Não Negrito +"/>
    <w:basedOn w:val="EstiloMarcador-Ttulo7NoNegrito"/>
  </w:style>
  <w:style w:type="paragraph" w:customStyle="1" w:styleId="EstiloEstiloEstiloMarcador-Ttulo7NoNegrito">
    <w:name w:val="Estilo Estilo Estilo Marcador-Título 7 + Não Negrito + +"/>
    <w:basedOn w:val="EstiloEstiloMarcador-Ttulo7NoNegrito"/>
    <w:qFormat/>
  </w:style>
  <w:style w:type="paragraph" w:customStyle="1" w:styleId="EstiloEstiloEstiloEstiloMarcador-Ttulo7NoNegrito">
    <w:name w:val="Estilo Estilo Estilo Estilo Marcador-Título 7 + Não Negrito + + +"/>
    <w:basedOn w:val="EstiloEstiloEstiloMarcador-Ttulo7NoNegrito"/>
  </w:style>
  <w:style w:type="paragraph" w:customStyle="1" w:styleId="Marcador2">
    <w:name w:val="Marcador 2"/>
    <w:basedOn w:val="Normal"/>
    <w:next w:val="Normal"/>
    <w:pPr>
      <w:numPr>
        <w:numId w:val="37"/>
      </w:numPr>
      <w:tabs>
        <w:tab w:val="right" w:leader="dot" w:pos="9214"/>
      </w:tabs>
      <w:autoSpaceDE w:val="0"/>
      <w:autoSpaceDN w:val="0"/>
      <w:adjustRightInd w:val="0"/>
      <w:spacing w:before="40" w:after="240" w:line="360" w:lineRule="exact"/>
      <w:jc w:val="both"/>
    </w:pPr>
    <w:rPr>
      <w:rFonts w:ascii="Trebuchet MS" w:eastAsiaTheme="minorEastAsia" w:hAnsi="Trebuchet MS" w:cs="Times New Roman"/>
      <w:sz w:val="21"/>
      <w:szCs w:val="21"/>
      <w:lang w:val="es-ES" w:eastAsia="es-PE"/>
    </w:rPr>
  </w:style>
  <w:style w:type="character" w:customStyle="1" w:styleId="Marcador2Char">
    <w:name w:val="Marcador 2 Char"/>
    <w:qFormat/>
    <w:rPr>
      <w:rFonts w:ascii="Trebuchet MS" w:hAnsi="Trebuchet MS"/>
      <w:sz w:val="21"/>
      <w:lang w:val="es-ES"/>
    </w:rPr>
  </w:style>
  <w:style w:type="paragraph" w:customStyle="1" w:styleId="EstiloMarcador2Negrito">
    <w:name w:val="Estilo Marcador 2 + Negrito"/>
    <w:basedOn w:val="Marcador2"/>
    <w:pPr>
      <w:numPr>
        <w:numId w:val="0"/>
      </w:numPr>
    </w:pPr>
    <w:rPr>
      <w:b/>
    </w:rPr>
  </w:style>
  <w:style w:type="character" w:customStyle="1" w:styleId="EstiloMarcador2NegritoChar">
    <w:name w:val="Estilo Marcador 2 + Negrito Char"/>
    <w:rPr>
      <w:rFonts w:ascii="Trebuchet MS" w:hAnsi="Trebuchet MS"/>
      <w:b/>
      <w:sz w:val="21"/>
      <w:lang w:val="es-ES"/>
    </w:rPr>
  </w:style>
  <w:style w:type="paragraph" w:customStyle="1" w:styleId="EstiloEstiloMarcador2NegritoNoNegrito">
    <w:name w:val="Estilo Estilo Marcador 2 + Negrito + Não Negrito"/>
    <w:basedOn w:val="EstiloMarcador2Negrito"/>
    <w:rPr>
      <w:b w:val="0"/>
    </w:rPr>
  </w:style>
  <w:style w:type="character" w:customStyle="1" w:styleId="EstiloEstiloMarcador2NegritoNoNegritoChar">
    <w:name w:val="Estilo Estilo Marcador 2 + Negrito + Não Negrito Char"/>
    <w:rPr>
      <w:rFonts w:ascii="Trebuchet MS" w:hAnsi="Trebuchet MS"/>
      <w:sz w:val="21"/>
      <w:lang w:val="es-ES"/>
    </w:rPr>
  </w:style>
  <w:style w:type="paragraph" w:customStyle="1" w:styleId="EstiloItlicoesquerdaDepoisde6pt">
    <w:name w:val="Estilo Itálico À esquerda Depois de:  6 pt"/>
    <w:basedOn w:val="Normal"/>
    <w:pPr>
      <w:autoSpaceDE w:val="0"/>
      <w:autoSpaceDN w:val="0"/>
      <w:adjustRightInd w:val="0"/>
      <w:spacing w:before="40" w:after="120" w:line="360" w:lineRule="exact"/>
    </w:pPr>
    <w:rPr>
      <w:rFonts w:ascii="Trebuchet MS" w:eastAsiaTheme="minorEastAsia" w:hAnsi="Trebuchet MS" w:cs="Times New Roman"/>
      <w:i/>
      <w:sz w:val="21"/>
      <w:szCs w:val="20"/>
      <w:lang w:val="es-ES" w:eastAsia="es-PE"/>
    </w:rPr>
  </w:style>
  <w:style w:type="paragraph" w:customStyle="1" w:styleId="EstiloItlicoesquerdaDepoisde6pt1">
    <w:name w:val="Estilo Itálico À esquerda Depois de:  6 pt1"/>
    <w:basedOn w:val="Normal"/>
    <w:qFormat/>
    <w:pPr>
      <w:autoSpaceDE w:val="0"/>
      <w:autoSpaceDN w:val="0"/>
      <w:adjustRightInd w:val="0"/>
      <w:spacing w:before="40" w:after="120" w:line="360" w:lineRule="exact"/>
    </w:pPr>
    <w:rPr>
      <w:rFonts w:ascii="Trebuchet MS" w:eastAsiaTheme="minorEastAsia" w:hAnsi="Trebuchet MS" w:cs="Times New Roman"/>
      <w:i/>
      <w:sz w:val="21"/>
      <w:szCs w:val="20"/>
      <w:lang w:val="es-ES" w:eastAsia="es-PE"/>
    </w:rPr>
  </w:style>
  <w:style w:type="paragraph" w:customStyle="1" w:styleId="Marcador1">
    <w:name w:val="Marcador 1"/>
    <w:basedOn w:val="Normal"/>
    <w:next w:val="Normal"/>
    <w:pPr>
      <w:numPr>
        <w:numId w:val="38"/>
      </w:numPr>
      <w:tabs>
        <w:tab w:val="right" w:leader="dot" w:pos="9214"/>
      </w:tabs>
      <w:autoSpaceDE w:val="0"/>
      <w:autoSpaceDN w:val="0"/>
      <w:adjustRightInd w:val="0"/>
      <w:spacing w:after="120" w:line="360" w:lineRule="exact"/>
      <w:ind w:left="1429"/>
      <w:jc w:val="both"/>
    </w:pPr>
    <w:rPr>
      <w:rFonts w:ascii="Trebuchet MS" w:eastAsiaTheme="minorEastAsia" w:hAnsi="Trebuchet MS" w:cs="Times New Roman"/>
      <w:sz w:val="21"/>
      <w:szCs w:val="21"/>
      <w:lang w:val="es-ES" w:eastAsia="es-PE"/>
    </w:rPr>
  </w:style>
  <w:style w:type="paragraph" w:customStyle="1" w:styleId="EstiloMarcador1Negrito">
    <w:name w:val="Estilo Marcador 1 + Negrito"/>
    <w:basedOn w:val="Marcador1"/>
    <w:pPr>
      <w:numPr>
        <w:numId w:val="0"/>
      </w:numPr>
    </w:pPr>
    <w:rPr>
      <w:b/>
    </w:rPr>
  </w:style>
  <w:style w:type="paragraph" w:customStyle="1" w:styleId="EstiloMarcador1Negrito1">
    <w:name w:val="Estilo Marcador 1 + Negrito1"/>
    <w:basedOn w:val="Marcador1"/>
    <w:pPr>
      <w:numPr>
        <w:numId w:val="0"/>
      </w:numPr>
    </w:pPr>
    <w:rPr>
      <w:b/>
    </w:rPr>
  </w:style>
  <w:style w:type="paragraph" w:customStyle="1" w:styleId="Marcador1P">
    <w:name w:val="Marcador 1P"/>
    <w:basedOn w:val="Estiloesquerda05cm"/>
    <w:next w:val="Normal"/>
    <w:pPr>
      <w:tabs>
        <w:tab w:val="right" w:leader="dot" w:pos="9214"/>
      </w:tabs>
    </w:pPr>
    <w:rPr>
      <w:szCs w:val="21"/>
    </w:rPr>
  </w:style>
  <w:style w:type="character" w:customStyle="1" w:styleId="Marcador1PChar">
    <w:name w:val="Marcador 1P Char"/>
    <w:rPr>
      <w:rFonts w:ascii="Trebuchet MS" w:hAnsi="Trebuchet MS"/>
      <w:sz w:val="21"/>
      <w:lang w:val="es-ES"/>
    </w:rPr>
  </w:style>
  <w:style w:type="paragraph" w:customStyle="1" w:styleId="EstiloMarcador1PNegrito">
    <w:name w:val="Estilo Marcador 1P + Negrito"/>
    <w:basedOn w:val="Marcador1P"/>
  </w:style>
  <w:style w:type="character" w:customStyle="1" w:styleId="EstiloMarcador1PNegritoChar">
    <w:name w:val="Estilo Marcador 1P + Negrito Char"/>
    <w:rPr>
      <w:rFonts w:ascii="Trebuchet MS" w:hAnsi="Trebuchet MS"/>
      <w:sz w:val="21"/>
      <w:lang w:val="es-ES"/>
    </w:rPr>
  </w:style>
  <w:style w:type="paragraph" w:customStyle="1" w:styleId="Marcador2P">
    <w:name w:val="Marcador 2P"/>
    <w:basedOn w:val="Normal"/>
    <w:next w:val="Normal"/>
    <w:pPr>
      <w:autoSpaceDE w:val="0"/>
      <w:autoSpaceDN w:val="0"/>
      <w:adjustRightInd w:val="0"/>
      <w:spacing w:before="40" w:after="240" w:line="360" w:lineRule="exact"/>
      <w:ind w:left="567"/>
      <w:jc w:val="both"/>
    </w:pPr>
    <w:rPr>
      <w:rFonts w:ascii="Trebuchet MS" w:eastAsiaTheme="minorEastAsia" w:hAnsi="Trebuchet MS" w:cs="Times New Roman"/>
      <w:sz w:val="21"/>
      <w:szCs w:val="21"/>
      <w:lang w:val="es-ES" w:eastAsia="es-PE"/>
    </w:rPr>
  </w:style>
  <w:style w:type="character" w:customStyle="1" w:styleId="Marcador2PChar">
    <w:name w:val="Marcador 2P Char"/>
    <w:rPr>
      <w:rFonts w:ascii="Trebuchet MS" w:hAnsi="Trebuchet MS"/>
      <w:sz w:val="21"/>
      <w:lang w:val="es-ES"/>
    </w:rPr>
  </w:style>
  <w:style w:type="paragraph" w:customStyle="1" w:styleId="EstiloMarcador2PNegrito">
    <w:name w:val="Estilo Marcador 2P + Negrito"/>
    <w:basedOn w:val="Marcador2P"/>
  </w:style>
  <w:style w:type="character" w:customStyle="1" w:styleId="EstiloMarcador2PNegritoChar">
    <w:name w:val="Estilo Marcador 2P + Negrito Char"/>
    <w:rPr>
      <w:rFonts w:ascii="Trebuchet MS" w:hAnsi="Trebuchet MS"/>
      <w:sz w:val="21"/>
      <w:lang w:val="es-ES"/>
    </w:rPr>
  </w:style>
  <w:style w:type="paragraph" w:customStyle="1" w:styleId="EstiloMarcador-Ttulo7Negrito">
    <w:name w:val="Estilo Marcador-Título 7 + Negrito"/>
    <w:basedOn w:val="Normal"/>
    <w:qFormat/>
    <w:pPr>
      <w:keepNext/>
      <w:tabs>
        <w:tab w:val="left" w:pos="284"/>
      </w:tabs>
      <w:autoSpaceDE w:val="0"/>
      <w:autoSpaceDN w:val="0"/>
      <w:adjustRightInd w:val="0"/>
      <w:spacing w:before="40" w:after="240" w:line="360" w:lineRule="exact"/>
      <w:jc w:val="both"/>
    </w:pPr>
    <w:rPr>
      <w:rFonts w:ascii="Trebuchet MS" w:eastAsiaTheme="minorEastAsia" w:hAnsi="Trebuchet MS" w:cs="Times New Roman"/>
      <w:b/>
      <w:sz w:val="21"/>
      <w:szCs w:val="21"/>
      <w:lang w:val="es-ES" w:eastAsia="es-PE"/>
    </w:rPr>
  </w:style>
  <w:style w:type="paragraph" w:customStyle="1" w:styleId="EstiloMarcador-Ttulo7NegritoNoNegrito">
    <w:name w:val="Estilo Marcador-Título 7 + Negrito + Não Negrito"/>
    <w:basedOn w:val="Normal"/>
    <w:qFormat/>
    <w:pPr>
      <w:tabs>
        <w:tab w:val="left" w:pos="284"/>
      </w:tabs>
      <w:autoSpaceDE w:val="0"/>
      <w:autoSpaceDN w:val="0"/>
      <w:adjustRightInd w:val="0"/>
      <w:spacing w:before="40" w:after="240" w:line="360" w:lineRule="exact"/>
      <w:jc w:val="both"/>
    </w:pPr>
    <w:rPr>
      <w:rFonts w:ascii="Trebuchet MS" w:eastAsiaTheme="minorEastAsia" w:hAnsi="Trebuchet MS" w:cs="Times New Roman"/>
      <w:b/>
      <w:sz w:val="21"/>
      <w:szCs w:val="20"/>
      <w:lang w:val="es-ES" w:eastAsia="es-PE"/>
    </w:rPr>
  </w:style>
  <w:style w:type="paragraph" w:customStyle="1" w:styleId="PargrafodeLetraNumero">
    <w:name w:val="Parágrafo de Letra+Numero"/>
    <w:basedOn w:val="Normal"/>
    <w:next w:val="Pargrafo"/>
    <w:pPr>
      <w:autoSpaceDE w:val="0"/>
      <w:autoSpaceDN w:val="0"/>
      <w:adjustRightInd w:val="0"/>
      <w:spacing w:before="40" w:after="240" w:line="360" w:lineRule="exact"/>
      <w:ind w:left="1134"/>
      <w:jc w:val="both"/>
    </w:pPr>
    <w:rPr>
      <w:rFonts w:ascii="Trebuchet MS" w:eastAsiaTheme="minorEastAsia" w:hAnsi="Trebuchet MS" w:cs="Times New Roman"/>
      <w:sz w:val="21"/>
      <w:szCs w:val="21"/>
      <w:lang w:val="es-ES" w:eastAsia="es-PE"/>
    </w:rPr>
  </w:style>
  <w:style w:type="character" w:customStyle="1" w:styleId="PargrafodeLetraNumeroChar">
    <w:name w:val="Parágrafo de Letra+Numero Char"/>
    <w:rPr>
      <w:rFonts w:ascii="Trebuchet MS" w:hAnsi="Trebuchet MS"/>
      <w:sz w:val="21"/>
      <w:lang w:val="es-ES"/>
    </w:rPr>
  </w:style>
  <w:style w:type="paragraph" w:customStyle="1" w:styleId="EstiloPargrafodeLetraNumeroNegrito">
    <w:name w:val="Estilo Parágrafo de Letra+Numero + Negrito"/>
    <w:basedOn w:val="PargrafodeLetraNumero"/>
    <w:rPr>
      <w:b/>
    </w:rPr>
  </w:style>
  <w:style w:type="character" w:customStyle="1" w:styleId="EstiloPargrafodeLetraNumeroNegritoChar">
    <w:name w:val="Estilo Parágrafo de Letra+Numero + Negrito Char"/>
    <w:rPr>
      <w:rFonts w:ascii="Trebuchet MS" w:hAnsi="Trebuchet MS"/>
      <w:b/>
      <w:sz w:val="21"/>
      <w:lang w:val="es-ES"/>
    </w:rPr>
  </w:style>
  <w:style w:type="paragraph" w:customStyle="1" w:styleId="EstiloPARTETrebuchetMS">
    <w:name w:val="Estilo PARTE + Trebuchet MS"/>
    <w:basedOn w:val="Normal"/>
    <w:pPr>
      <w:numPr>
        <w:numId w:val="39"/>
      </w:numPr>
      <w:autoSpaceDE w:val="0"/>
      <w:autoSpaceDN w:val="0"/>
      <w:adjustRightInd w:val="0"/>
      <w:spacing w:before="240" w:after="240" w:line="360" w:lineRule="exact"/>
      <w:jc w:val="both"/>
    </w:pPr>
    <w:rPr>
      <w:rFonts w:ascii="Trebuchet MS" w:eastAsiaTheme="minorEastAsia" w:hAnsi="Trebuchet MS" w:cs="Times New Roman"/>
      <w:b/>
      <w:caps/>
      <w:sz w:val="30"/>
      <w:szCs w:val="30"/>
      <w:lang w:val="es-ES" w:eastAsia="es-PE"/>
    </w:rPr>
  </w:style>
  <w:style w:type="paragraph" w:customStyle="1" w:styleId="EstiloSumrio89ptesquerda5cmdireita23cm">
    <w:name w:val="Estilo Sumário 8 + 9 pt À esquerda:  5 cm À direita:  23 cm"/>
    <w:basedOn w:val="TDC8"/>
    <w:pPr>
      <w:tabs>
        <w:tab w:val="left" w:pos="3402"/>
        <w:tab w:val="left" w:leader="dot" w:pos="8222"/>
        <w:tab w:val="left" w:pos="8494"/>
      </w:tabs>
      <w:autoSpaceDE w:val="0"/>
      <w:autoSpaceDN w:val="0"/>
      <w:adjustRightInd w:val="0"/>
      <w:spacing w:before="80" w:after="80" w:line="360" w:lineRule="exact"/>
      <w:ind w:left="2835" w:right="1304" w:hanging="1701"/>
    </w:pPr>
    <w:rPr>
      <w:rFonts w:ascii="Trebuchet MS" w:eastAsiaTheme="minorEastAsia" w:hAnsi="Trebuchet MS" w:cs="Times New Roman"/>
      <w:sz w:val="18"/>
      <w:lang w:val="es-PE" w:eastAsia="es-PE"/>
    </w:rPr>
  </w:style>
  <w:style w:type="paragraph" w:customStyle="1" w:styleId="Fonte">
    <w:name w:val="Fonte"/>
    <w:basedOn w:val="Normal"/>
    <w:next w:val="Normal"/>
    <w:pPr>
      <w:autoSpaceDE w:val="0"/>
      <w:autoSpaceDN w:val="0"/>
      <w:adjustRightInd w:val="0"/>
      <w:spacing w:before="40" w:after="240"/>
      <w:jc w:val="both"/>
    </w:pPr>
    <w:rPr>
      <w:rFonts w:ascii="Trebuchet MS" w:eastAsiaTheme="minorEastAsia" w:hAnsi="Trebuchet MS" w:cs="Times New Roman"/>
      <w:sz w:val="14"/>
      <w:szCs w:val="14"/>
      <w:lang w:val="es-ES" w:eastAsia="es-PE"/>
    </w:rPr>
  </w:style>
  <w:style w:type="paragraph" w:customStyle="1" w:styleId="Marcador3">
    <w:name w:val="Marcador 3"/>
    <w:basedOn w:val="Marcador2P"/>
    <w:next w:val="Normal"/>
    <w:qFormat/>
    <w:pPr>
      <w:numPr>
        <w:numId w:val="40"/>
      </w:numPr>
      <w:spacing w:before="0" w:after="120"/>
      <w:ind w:left="360"/>
    </w:pPr>
  </w:style>
  <w:style w:type="paragraph" w:customStyle="1" w:styleId="Marcador3P">
    <w:name w:val="Marcador 3P"/>
    <w:basedOn w:val="Normal"/>
    <w:next w:val="Normal"/>
    <w:pPr>
      <w:tabs>
        <w:tab w:val="right" w:leader="dot" w:pos="8505"/>
      </w:tabs>
      <w:autoSpaceDE w:val="0"/>
      <w:autoSpaceDN w:val="0"/>
      <w:adjustRightInd w:val="0"/>
      <w:spacing w:before="40" w:after="240" w:line="360" w:lineRule="exact"/>
      <w:ind w:left="851"/>
      <w:jc w:val="both"/>
    </w:pPr>
    <w:rPr>
      <w:rFonts w:ascii="Trebuchet MS" w:eastAsiaTheme="minorEastAsia" w:hAnsi="Trebuchet MS" w:cs="Times New Roman"/>
      <w:sz w:val="21"/>
      <w:szCs w:val="21"/>
      <w:lang w:val="es-ES" w:eastAsia="es-PE"/>
    </w:rPr>
  </w:style>
  <w:style w:type="paragraph" w:customStyle="1" w:styleId="MarcadorLetraP">
    <w:name w:val="Marcador Letra_P"/>
    <w:basedOn w:val="Normal"/>
    <w:qFormat/>
    <w:pPr>
      <w:numPr>
        <w:numId w:val="41"/>
      </w:numPr>
      <w:tabs>
        <w:tab w:val="left" w:pos="284"/>
      </w:tabs>
      <w:autoSpaceDE w:val="0"/>
      <w:autoSpaceDN w:val="0"/>
      <w:adjustRightInd w:val="0"/>
      <w:spacing w:before="40" w:after="240" w:line="360" w:lineRule="exact"/>
      <w:jc w:val="both"/>
    </w:pPr>
    <w:rPr>
      <w:rFonts w:ascii="Trebuchet MS" w:eastAsiaTheme="minorEastAsia" w:hAnsi="Trebuchet MS" w:cs="Times New Roman"/>
      <w:sz w:val="21"/>
      <w:szCs w:val="21"/>
      <w:lang w:val="es-ES" w:eastAsia="es-PE"/>
    </w:rPr>
  </w:style>
  <w:style w:type="paragraph" w:customStyle="1" w:styleId="NormalText">
    <w:name w:val="Normal Text"/>
    <w:basedOn w:val="Normal"/>
    <w:pPr>
      <w:widowControl w:val="0"/>
      <w:autoSpaceDE w:val="0"/>
      <w:autoSpaceDN w:val="0"/>
      <w:adjustRightInd w:val="0"/>
      <w:spacing w:before="40"/>
      <w:jc w:val="both"/>
    </w:pPr>
    <w:rPr>
      <w:rFonts w:ascii="Times" w:eastAsiaTheme="minorEastAsia" w:hAnsi="Times" w:cs="Times New Roman"/>
      <w:sz w:val="21"/>
      <w:szCs w:val="20"/>
      <w:lang w:val="en-US" w:eastAsia="es-PE"/>
    </w:rPr>
  </w:style>
  <w:style w:type="character" w:customStyle="1" w:styleId="PargrafoChar">
    <w:name w:val="Parágrafo Char"/>
    <w:rPr>
      <w:rFonts w:ascii="Humanst521 BT" w:hAnsi="Humanst521 BT"/>
      <w:sz w:val="21"/>
      <w:lang w:val="es-ES"/>
    </w:rPr>
  </w:style>
  <w:style w:type="paragraph" w:customStyle="1" w:styleId="Revisao">
    <w:name w:val="Revisao"/>
    <w:basedOn w:val="Normal"/>
    <w:pPr>
      <w:autoSpaceDE w:val="0"/>
      <w:autoSpaceDN w:val="0"/>
      <w:adjustRightInd w:val="0"/>
      <w:spacing w:before="40" w:line="360" w:lineRule="exact"/>
      <w:jc w:val="center"/>
    </w:pPr>
    <w:rPr>
      <w:rFonts w:ascii="Trebuchet MS" w:eastAsiaTheme="minorEastAsia" w:hAnsi="Trebuchet MS" w:cs="Times New Roman"/>
      <w:b/>
      <w:sz w:val="18"/>
      <w:szCs w:val="21"/>
      <w:lang w:val="es-ES" w:eastAsia="es-PE"/>
    </w:rPr>
  </w:style>
  <w:style w:type="paragraph" w:customStyle="1" w:styleId="TipoDoc">
    <w:name w:val="TipoDoc"/>
    <w:basedOn w:val="Normal"/>
    <w:pPr>
      <w:autoSpaceDE w:val="0"/>
      <w:autoSpaceDN w:val="0"/>
      <w:adjustRightInd w:val="0"/>
      <w:spacing w:before="60" w:after="60"/>
    </w:pPr>
    <w:rPr>
      <w:rFonts w:ascii="Trebuchet MS" w:eastAsiaTheme="minorEastAsia" w:hAnsi="Trebuchet MS" w:cs="Times New Roman"/>
      <w:b/>
      <w:sz w:val="14"/>
      <w:szCs w:val="14"/>
      <w:lang w:val="es-ES" w:eastAsia="es-PE"/>
    </w:rPr>
  </w:style>
  <w:style w:type="paragraph" w:customStyle="1" w:styleId="TipoRel">
    <w:name w:val="TipoRel"/>
    <w:basedOn w:val="Normal"/>
    <w:pPr>
      <w:autoSpaceDE w:val="0"/>
      <w:autoSpaceDN w:val="0"/>
      <w:adjustRightInd w:val="0"/>
      <w:spacing w:before="60" w:after="60"/>
    </w:pPr>
    <w:rPr>
      <w:rFonts w:ascii="Trebuchet MS" w:eastAsiaTheme="minorEastAsia" w:hAnsi="Trebuchet MS" w:cs="Times New Roman"/>
      <w:i/>
      <w:sz w:val="14"/>
      <w:szCs w:val="14"/>
      <w:lang w:val="es-ES" w:eastAsia="es-PE"/>
    </w:rPr>
  </w:style>
  <w:style w:type="paragraph" w:customStyle="1" w:styleId="Ttulo-Seo">
    <w:name w:val="Título-Seção"/>
    <w:basedOn w:val="Normal"/>
    <w:pPr>
      <w:tabs>
        <w:tab w:val="right" w:pos="6521"/>
      </w:tabs>
      <w:autoSpaceDE w:val="0"/>
      <w:autoSpaceDN w:val="0"/>
      <w:adjustRightInd w:val="0"/>
      <w:spacing w:before="40" w:after="240" w:line="360" w:lineRule="exact"/>
      <w:ind w:left="425"/>
      <w:jc w:val="both"/>
    </w:pPr>
    <w:rPr>
      <w:rFonts w:ascii="Humanst521 BT" w:eastAsiaTheme="minorEastAsia" w:hAnsi="Humanst521 BT" w:cs="Times New Roman"/>
      <w:b/>
      <w:caps/>
      <w:sz w:val="21"/>
      <w:szCs w:val="21"/>
      <w:lang w:val="es-ES" w:eastAsia="es-PE"/>
    </w:rPr>
  </w:style>
  <w:style w:type="paragraph" w:customStyle="1" w:styleId="JGP">
    <w:name w:val="JGP"/>
    <w:basedOn w:val="Normal"/>
    <w:qFormat/>
    <w:pPr>
      <w:widowControl w:val="0"/>
      <w:tabs>
        <w:tab w:val="left" w:pos="567"/>
        <w:tab w:val="left" w:pos="1701"/>
        <w:tab w:val="left" w:pos="1985"/>
      </w:tabs>
      <w:autoSpaceDE w:val="0"/>
      <w:autoSpaceDN w:val="0"/>
      <w:adjustRightInd w:val="0"/>
      <w:jc w:val="both"/>
    </w:pPr>
    <w:rPr>
      <w:rFonts w:ascii="Times New Roman" w:eastAsiaTheme="minorEastAsia" w:hAnsi="Times New Roman" w:cs="Times New Roman"/>
      <w:sz w:val="20"/>
      <w:szCs w:val="24"/>
      <w:lang w:val="en-US" w:eastAsia="es-PE"/>
    </w:rPr>
  </w:style>
  <w:style w:type="paragraph" w:customStyle="1" w:styleId="EstiloJGPAutomtica">
    <w:name w:val="Estilo JGP + Automática"/>
    <w:basedOn w:val="Normal"/>
    <w:pPr>
      <w:keepLines/>
      <w:autoSpaceDE w:val="0"/>
      <w:autoSpaceDN w:val="0"/>
      <w:adjustRightInd w:val="0"/>
      <w:jc w:val="both"/>
    </w:pPr>
    <w:rPr>
      <w:rFonts w:ascii="Times New Roman" w:eastAsiaTheme="minorEastAsia" w:hAnsi="Times New Roman" w:cs="Times New Roman"/>
      <w:sz w:val="24"/>
      <w:szCs w:val="24"/>
      <w:lang w:val="en-US" w:eastAsia="es-PE"/>
    </w:rPr>
  </w:style>
  <w:style w:type="character" w:customStyle="1" w:styleId="JGPChar">
    <w:name w:val="JGP Char"/>
    <w:rPr>
      <w:rFonts w:ascii="Times New Roman" w:hAnsi="Times New Roman"/>
      <w:sz w:val="24"/>
      <w:lang w:val="en-US"/>
    </w:rPr>
  </w:style>
  <w:style w:type="paragraph" w:customStyle="1" w:styleId="Textocomentario1">
    <w:name w:val="Texto comentario1"/>
    <w:basedOn w:val="Default"/>
    <w:next w:val="Default"/>
    <w:uiPriority w:val="99"/>
    <w:pPr>
      <w:spacing w:after="0" w:line="240" w:lineRule="auto"/>
    </w:pPr>
    <w:rPr>
      <w:rFonts w:ascii="Times New Roman" w:hAnsi="Times New Roman" w:cs="Times New Roman"/>
      <w:color w:val="auto"/>
      <w:lang w:val="pt-BR"/>
    </w:rPr>
  </w:style>
  <w:style w:type="character" w:customStyle="1" w:styleId="tocnumber">
    <w:name w:val="tocnumber"/>
  </w:style>
  <w:style w:type="character" w:customStyle="1" w:styleId="toctext">
    <w:name w:val="toctext"/>
    <w:qFormat/>
  </w:style>
  <w:style w:type="paragraph" w:customStyle="1" w:styleId="yiv7860383380msonormal">
    <w:name w:val="yiv7860383380msonormal"/>
    <w:basedOn w:val="Normal"/>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ES" w:eastAsia="es-PE"/>
    </w:rPr>
  </w:style>
  <w:style w:type="paragraph" w:customStyle="1" w:styleId="ListaColorida-nfase11">
    <w:name w:val="Lista Colorida - Ênfase 11"/>
    <w:basedOn w:val="Normal"/>
    <w:uiPriority w:val="34"/>
    <w:qFormat/>
    <w:pPr>
      <w:autoSpaceDE w:val="0"/>
      <w:autoSpaceDN w:val="0"/>
      <w:adjustRightInd w:val="0"/>
      <w:ind w:left="708"/>
    </w:pPr>
    <w:rPr>
      <w:rFonts w:ascii="Trebuchet MS" w:eastAsiaTheme="minorEastAsia" w:hAnsi="Trebuchet MS" w:cs="Times New Roman"/>
      <w:sz w:val="21"/>
      <w:szCs w:val="21"/>
      <w:lang w:val="es-ES" w:eastAsia="es-PE"/>
    </w:rPr>
  </w:style>
  <w:style w:type="character" w:customStyle="1" w:styleId="ListaColorida-nfase1Char">
    <w:name w:val="Lista Colorida - Ênfase 1 Char"/>
    <w:uiPriority w:val="34"/>
    <w:rPr>
      <w:rFonts w:ascii="Trebuchet MS" w:hAnsi="Trebuchet MS"/>
      <w:sz w:val="21"/>
      <w:lang w:val="es-ES"/>
    </w:rPr>
  </w:style>
  <w:style w:type="character" w:customStyle="1" w:styleId="sciname">
    <w:name w:val="sciname"/>
    <w:basedOn w:val="Fuentedeprrafopredeter"/>
    <w:rPr>
      <w:rFonts w:cs="Times New Roman"/>
    </w:rPr>
  </w:style>
  <w:style w:type="paragraph" w:customStyle="1" w:styleId="gmail-msolistparagraph">
    <w:name w:val="gmail-msolistparagraph"/>
    <w:basedOn w:val="Normal"/>
    <w:pPr>
      <w:autoSpaceDE w:val="0"/>
      <w:autoSpaceDN w:val="0"/>
      <w:adjustRightInd w:val="0"/>
      <w:spacing w:before="100" w:beforeAutospacing="1" w:after="100" w:afterAutospacing="1"/>
    </w:pPr>
    <w:rPr>
      <w:rFonts w:ascii="Calibri" w:eastAsia="Times New Roman" w:hAnsi="Calibri" w:cs="Calibri"/>
      <w:lang w:val="es-PE" w:eastAsia="es-PE"/>
    </w:rPr>
  </w:style>
  <w:style w:type="character" w:customStyle="1" w:styleId="A8">
    <w:name w:val="A8"/>
    <w:uiPriority w:val="99"/>
    <w:rPr>
      <w:color w:val="221E1F"/>
      <w:sz w:val="21"/>
    </w:rPr>
  </w:style>
  <w:style w:type="table" w:styleId="Listaclara-nfasis1">
    <w:name w:val="Light List Accent 1"/>
    <w:basedOn w:val="Tablanormal"/>
    <w:uiPriority w:val="61"/>
    <w:unhideWhenUsed/>
    <w:rPr>
      <w:rFonts w:ascii="Calibri" w:eastAsia="Calibri" w:hAnsi="Calibri" w:cs="Calibri"/>
      <w:sz w:val="22"/>
      <w:szCs w:val="22"/>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mail-m4002053865430891511gmail-m5427706927593979454ley-1">
    <w:name w:val="gmail-m_4002053865430891511gmail-m_5427706927593979454ley-1"/>
    <w:basedOn w:val="Normal"/>
    <w:pPr>
      <w:autoSpaceDE w:val="0"/>
      <w:autoSpaceDN w:val="0"/>
      <w:adjustRightInd w:val="0"/>
      <w:spacing w:before="100" w:beforeAutospacing="1" w:after="100" w:afterAutospacing="1" w:line="276" w:lineRule="auto"/>
      <w:jc w:val="both"/>
    </w:pPr>
    <w:rPr>
      <w:rFonts w:ascii="Calibri" w:eastAsia="Times New Roman" w:hAnsi="Calibri" w:cs="Calibri"/>
      <w:lang w:val="es-CL" w:eastAsia="es-PE"/>
    </w:rPr>
  </w:style>
  <w:style w:type="paragraph" w:customStyle="1" w:styleId="gmail-m4002053865430891511gmail-m5427706927593979454ley-2">
    <w:name w:val="gmail-m_4002053865430891511gmail-m_5427706927593979454ley-2"/>
    <w:basedOn w:val="Normal"/>
    <w:pPr>
      <w:autoSpaceDE w:val="0"/>
      <w:autoSpaceDN w:val="0"/>
      <w:adjustRightInd w:val="0"/>
      <w:spacing w:before="100" w:beforeAutospacing="1" w:after="100" w:afterAutospacing="1" w:line="276" w:lineRule="auto"/>
      <w:jc w:val="both"/>
    </w:pPr>
    <w:rPr>
      <w:rFonts w:ascii="Calibri" w:eastAsia="Times New Roman" w:hAnsi="Calibri" w:cs="Calibri"/>
      <w:lang w:val="es-CL" w:eastAsia="es-PE"/>
    </w:rPr>
  </w:style>
  <w:style w:type="character" w:customStyle="1" w:styleId="gmail-m4002053865430891511gmail-m5427706927593979454no-style-override">
    <w:name w:val="gmail-m_4002053865430891511gmail-m_5427706927593979454no-style-override"/>
    <w:basedOn w:val="Fuentedeprrafopredeter"/>
    <w:rPr>
      <w:rFonts w:cs="Times New Roman"/>
    </w:rPr>
  </w:style>
  <w:style w:type="character" w:customStyle="1" w:styleId="gmail-m4002053865430891511gmail-m5427706927593979454no-style-override-1">
    <w:name w:val="gmail-m_4002053865430891511gmail-m_5427706927593979454no-style-override-1"/>
    <w:basedOn w:val="Fuentedeprrafopredeter"/>
    <w:rPr>
      <w:rFonts w:cs="Times New Roman"/>
    </w:rPr>
  </w:style>
  <w:style w:type="paragraph" w:customStyle="1" w:styleId="ReportText">
    <w:name w:val="Report Text"/>
    <w:pPr>
      <w:autoSpaceDE w:val="0"/>
      <w:autoSpaceDN w:val="0"/>
      <w:adjustRightInd w:val="0"/>
      <w:spacing w:before="170" w:after="170" w:line="260" w:lineRule="exact"/>
    </w:pPr>
    <w:rPr>
      <w:rFonts w:ascii="Times New Roman" w:eastAsia="Calibri" w:hAnsi="Times New Roman" w:cs="Times New Roman"/>
      <w:sz w:val="24"/>
      <w:lang w:val="en-GB"/>
    </w:rPr>
  </w:style>
  <w:style w:type="character" w:customStyle="1" w:styleId="ReportTextCar">
    <w:name w:val="Report Text Car"/>
    <w:basedOn w:val="Fuentedeprrafopredeter"/>
    <w:rPr>
      <w:rFonts w:ascii="Times New Roman" w:hAnsi="Times New Roman" w:cs="Times New Roman"/>
      <w:sz w:val="20"/>
      <w:szCs w:val="20"/>
      <w:lang w:val="en-GB"/>
    </w:rPr>
  </w:style>
  <w:style w:type="character" w:customStyle="1" w:styleId="ReportTextChar">
    <w:name w:val="Report Text Char"/>
    <w:basedOn w:val="Fuentedeprrafopredeter"/>
    <w:rPr>
      <w:rFonts w:cs="Times New Roman"/>
      <w:sz w:val="20"/>
      <w:szCs w:val="20"/>
      <w:lang w:val="zh-CN"/>
    </w:rPr>
  </w:style>
  <w:style w:type="table" w:styleId="Listaclara-nfasis2">
    <w:name w:val="Light List Accent 2"/>
    <w:basedOn w:val="Tablanormal"/>
    <w:uiPriority w:val="61"/>
    <w:unhideWhenUsed/>
    <w:qFormat/>
    <w:rPr>
      <w:rFonts w:ascii="Calibri" w:eastAsia="Calibri" w:hAnsi="Calibri" w:cs="Calibri"/>
      <w:sz w:val="22"/>
      <w:szCs w:val="22"/>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Estilo1Car">
    <w:name w:val="Estilo1 Car"/>
    <w:rPr>
      <w:rFonts w:ascii="Arial" w:eastAsia="MS Mincho" w:hAnsi="Arial"/>
      <w:lang w:val="es-ES"/>
    </w:rPr>
  </w:style>
  <w:style w:type="paragraph" w:customStyle="1" w:styleId="TEXTO0">
    <w:name w:val="TEXTO"/>
    <w:basedOn w:val="Normal"/>
    <w:qFormat/>
    <w:pPr>
      <w:autoSpaceDE w:val="0"/>
      <w:autoSpaceDN w:val="0"/>
      <w:adjustRightInd w:val="0"/>
      <w:spacing w:line="280" w:lineRule="exact"/>
      <w:ind w:right="2268"/>
      <w:jc w:val="both"/>
    </w:pPr>
    <w:rPr>
      <w:rFonts w:ascii="Calibri" w:eastAsiaTheme="minorEastAsia" w:hAnsi="Calibri" w:cs="Times New Roman"/>
      <w:sz w:val="20"/>
      <w:szCs w:val="20"/>
      <w:lang w:val="es-ES" w:eastAsia="es-PE"/>
    </w:rPr>
  </w:style>
  <w:style w:type="character" w:customStyle="1" w:styleId="TEXTOCar1">
    <w:name w:val="TEXTO Car1"/>
    <w:rPr>
      <w:rFonts w:ascii="Calibri" w:hAnsi="Calibri"/>
      <w:sz w:val="20"/>
      <w:lang w:val="es-ES"/>
    </w:rPr>
  </w:style>
  <w:style w:type="paragraph" w:customStyle="1" w:styleId="EstiloTtulo4">
    <w:name w:val="Estilo Título 4"/>
    <w:basedOn w:val="Ttulo4"/>
    <w:next w:val="TEXTO0"/>
    <w:pPr>
      <w:numPr>
        <w:ilvl w:val="3"/>
        <w:numId w:val="42"/>
      </w:numPr>
      <w:tabs>
        <w:tab w:val="left" w:pos="360"/>
        <w:tab w:val="left" w:pos="709"/>
      </w:tabs>
      <w:autoSpaceDE w:val="0"/>
      <w:autoSpaceDN w:val="0"/>
      <w:adjustRightInd w:val="0"/>
      <w:spacing w:line="280" w:lineRule="exact"/>
      <w:ind w:right="2268"/>
      <w:jc w:val="left"/>
    </w:pPr>
    <w:rPr>
      <w:rFonts w:eastAsiaTheme="minorEastAsia" w:cs="Times New Roman"/>
      <w:b w:val="0"/>
      <w:bCs w:val="0"/>
      <w:i/>
      <w:color w:val="2E74B5"/>
      <w:sz w:val="20"/>
      <w:szCs w:val="20"/>
      <w:lang w:val="es-ES" w:eastAsia="es-PE"/>
    </w:rPr>
  </w:style>
  <w:style w:type="paragraph" w:customStyle="1" w:styleId="EstiloTtulo3">
    <w:name w:val="Estilo Título 3"/>
    <w:basedOn w:val="Ttulo3"/>
    <w:qFormat/>
    <w:pPr>
      <w:autoSpaceDE w:val="0"/>
      <w:autoSpaceDN w:val="0"/>
      <w:adjustRightInd w:val="0"/>
      <w:spacing w:beforeAutospacing="1" w:after="240" w:line="260" w:lineRule="exact"/>
      <w:ind w:left="709" w:right="2268" w:hanging="425"/>
      <w:jc w:val="left"/>
    </w:pPr>
    <w:rPr>
      <w:rFonts w:eastAsiaTheme="minorEastAsia" w:cs="Times New Roman"/>
      <w:b w:val="0"/>
      <w:bCs w:val="0"/>
      <w:color w:val="5B9BD5"/>
      <w:szCs w:val="20"/>
      <w:lang w:val="es-ES" w:eastAsia="es-PE"/>
    </w:rPr>
  </w:style>
  <w:style w:type="paragraph" w:customStyle="1" w:styleId="EstiloTtulo2">
    <w:name w:val="Estilo Título 2"/>
    <w:basedOn w:val="Ttulo2"/>
    <w:next w:val="Normal"/>
    <w:pPr>
      <w:numPr>
        <w:ilvl w:val="1"/>
        <w:numId w:val="43"/>
      </w:numPr>
      <w:autoSpaceDE w:val="0"/>
      <w:autoSpaceDN w:val="0"/>
      <w:adjustRightInd w:val="0"/>
      <w:spacing w:after="240" w:line="276" w:lineRule="auto"/>
    </w:pPr>
    <w:rPr>
      <w:rFonts w:ascii="Arial" w:eastAsiaTheme="minorEastAsia" w:hAnsi="Arial" w:cs="Arial"/>
      <w:color w:val="008ECB"/>
      <w:u w:val="none"/>
      <w:lang w:val="es-ES" w:eastAsia="es-PE"/>
    </w:rPr>
  </w:style>
  <w:style w:type="paragraph" w:customStyle="1" w:styleId="VIETA10">
    <w:name w:val="VIÑETA 1"/>
    <w:pPr>
      <w:tabs>
        <w:tab w:val="left" w:pos="1843"/>
      </w:tabs>
      <w:autoSpaceDE w:val="0"/>
      <w:autoSpaceDN w:val="0"/>
      <w:adjustRightInd w:val="0"/>
      <w:spacing w:before="120" w:line="260" w:lineRule="exact"/>
      <w:ind w:left="1843" w:right="2268" w:hanging="425"/>
    </w:pPr>
    <w:rPr>
      <w:rFonts w:ascii="Georgia" w:eastAsia="Calibri" w:hAnsi="Georgia" w:cs="Times New Roman"/>
      <w:sz w:val="22"/>
      <w:szCs w:val="22"/>
    </w:rPr>
  </w:style>
  <w:style w:type="paragraph" w:customStyle="1" w:styleId="Bullets">
    <w:name w:val="Bullets"/>
    <w:basedOn w:val="Normal"/>
    <w:uiPriority w:val="99"/>
    <w:pPr>
      <w:numPr>
        <w:numId w:val="44"/>
      </w:numPr>
      <w:autoSpaceDE w:val="0"/>
      <w:autoSpaceDN w:val="0"/>
      <w:adjustRightInd w:val="0"/>
      <w:spacing w:before="120" w:line="276" w:lineRule="auto"/>
      <w:ind w:right="2302"/>
      <w:jc w:val="both"/>
    </w:pPr>
    <w:rPr>
      <w:rFonts w:ascii="Georgia" w:eastAsiaTheme="minorEastAsia" w:hAnsi="Georgia" w:cs="Times New Roman"/>
      <w:lang w:eastAsia="es-PE"/>
    </w:rPr>
  </w:style>
  <w:style w:type="paragraph" w:customStyle="1" w:styleId="Listamulticolor-nfasis110">
    <w:name w:val="Lista multicolor - Énfasis 11"/>
    <w:basedOn w:val="Normal"/>
    <w:uiPriority w:val="34"/>
    <w:qFormat/>
    <w:pPr>
      <w:autoSpaceDE w:val="0"/>
      <w:autoSpaceDN w:val="0"/>
      <w:adjustRightInd w:val="0"/>
      <w:spacing w:line="276" w:lineRule="auto"/>
      <w:ind w:left="720"/>
      <w:contextualSpacing/>
      <w:jc w:val="both"/>
    </w:pPr>
    <w:rPr>
      <w:rFonts w:ascii="Calibri" w:eastAsia="Times New Roman" w:hAnsi="Calibri" w:cs="Times New Roman"/>
      <w:lang w:val="es-ES" w:eastAsia="es-PE"/>
    </w:rPr>
  </w:style>
  <w:style w:type="paragraph" w:customStyle="1" w:styleId="TEXTOTABULADOOK">
    <w:name w:val="TEXTO TABULADO OK"/>
    <w:qFormat/>
    <w:pPr>
      <w:autoSpaceDE w:val="0"/>
      <w:autoSpaceDN w:val="0"/>
      <w:adjustRightInd w:val="0"/>
      <w:spacing w:line="260" w:lineRule="exact"/>
      <w:ind w:left="709" w:right="2268"/>
    </w:pPr>
    <w:rPr>
      <w:rFonts w:ascii="Georgia" w:eastAsia="Calibri" w:hAnsi="Georgia" w:cs="Times New Roman"/>
      <w:sz w:val="22"/>
    </w:rPr>
  </w:style>
  <w:style w:type="character" w:customStyle="1" w:styleId="Estilo">
    <w:name w:val="Estilo"/>
    <w:qFormat/>
    <w:rPr>
      <w:rFonts w:ascii="Times New Roman" w:hAnsi="Times New Roman"/>
      <w:color w:val="008FCB"/>
      <w:sz w:val="48"/>
    </w:rPr>
  </w:style>
  <w:style w:type="paragraph" w:customStyle="1" w:styleId="CuerpoA">
    <w:name w:val="Cuerpo A"/>
    <w:pPr>
      <w:autoSpaceDE w:val="0"/>
      <w:autoSpaceDN w:val="0"/>
      <w:adjustRightInd w:val="0"/>
    </w:pPr>
    <w:rPr>
      <w:rFonts w:ascii="Helvetica" w:eastAsia="Times New Roman" w:hAnsi="Helvetica" w:cs="Helvetica"/>
      <w:color w:val="000000"/>
      <w:sz w:val="22"/>
      <w:szCs w:val="22"/>
    </w:rPr>
  </w:style>
  <w:style w:type="character" w:customStyle="1" w:styleId="HTMLconformatoprevioCar">
    <w:name w:val="HTML con formato previo Car"/>
    <w:basedOn w:val="Fuentedeprrafopredeter"/>
    <w:link w:val="HTMLconformatoprevio"/>
    <w:uiPriority w:val="99"/>
    <w:qFormat/>
    <w:rPr>
      <w:rFonts w:ascii="Courier New" w:eastAsiaTheme="minorEastAsia" w:hAnsi="Courier New" w:cs="Courier New"/>
      <w:lang w:val="en-US"/>
    </w:rPr>
  </w:style>
  <w:style w:type="character" w:customStyle="1" w:styleId="postbox-detected-content">
    <w:name w:val="__postbox-detected-content"/>
    <w:basedOn w:val="Fuentedeprrafopredeter"/>
    <w:rPr>
      <w:rFonts w:cs="Times New Roman"/>
    </w:rPr>
  </w:style>
  <w:style w:type="character" w:customStyle="1" w:styleId="caps">
    <w:name w:val="caps"/>
    <w:qFormat/>
  </w:style>
  <w:style w:type="paragraph" w:customStyle="1" w:styleId="EstiloTtulo21">
    <w:name w:val="Estilo Título 21"/>
    <w:basedOn w:val="Ttulo2"/>
    <w:next w:val="Normal"/>
    <w:uiPriority w:val="99"/>
    <w:pPr>
      <w:autoSpaceDE w:val="0"/>
      <w:autoSpaceDN w:val="0"/>
      <w:adjustRightInd w:val="0"/>
      <w:spacing w:before="240" w:after="120" w:line="276" w:lineRule="auto"/>
      <w:ind w:left="716" w:right="107" w:hanging="432"/>
    </w:pPr>
    <w:rPr>
      <w:rFonts w:ascii="Arial" w:eastAsiaTheme="minorEastAsia" w:hAnsi="Arial" w:cs="Arial"/>
      <w:b/>
      <w:color w:val="008FCB"/>
      <w:u w:val="none"/>
      <w:lang w:val="es-ES" w:eastAsia="es-PE"/>
    </w:rPr>
  </w:style>
  <w:style w:type="paragraph" w:customStyle="1" w:styleId="TEXTO1">
    <w:name w:val="TEXTO1"/>
    <w:basedOn w:val="Normal"/>
    <w:pPr>
      <w:autoSpaceDE w:val="0"/>
      <w:autoSpaceDN w:val="0"/>
      <w:adjustRightInd w:val="0"/>
      <w:spacing w:line="280" w:lineRule="exact"/>
      <w:ind w:right="2268"/>
      <w:jc w:val="both"/>
    </w:pPr>
    <w:rPr>
      <w:rFonts w:ascii="Calibri" w:eastAsiaTheme="minorEastAsia" w:hAnsi="Calibri" w:cs="Times New Roman"/>
      <w:sz w:val="20"/>
      <w:szCs w:val="20"/>
      <w:lang w:val="es-ES" w:eastAsia="es-PE"/>
    </w:rPr>
  </w:style>
  <w:style w:type="paragraph" w:customStyle="1" w:styleId="EstiloTtulo211">
    <w:name w:val="Estilo Título 211"/>
    <w:basedOn w:val="Ttulo2"/>
    <w:next w:val="Normal"/>
    <w:uiPriority w:val="99"/>
    <w:pPr>
      <w:autoSpaceDE w:val="0"/>
      <w:autoSpaceDN w:val="0"/>
      <w:adjustRightInd w:val="0"/>
      <w:spacing w:before="240" w:after="120" w:line="276" w:lineRule="auto"/>
      <w:ind w:left="716" w:right="107" w:hanging="432"/>
    </w:pPr>
    <w:rPr>
      <w:rFonts w:ascii="Arial" w:eastAsiaTheme="minorEastAsia" w:hAnsi="Arial" w:cs="Arial"/>
      <w:b/>
      <w:color w:val="008FCB"/>
      <w:u w:val="none"/>
      <w:lang w:val="es-ES" w:eastAsia="es-PE"/>
    </w:rPr>
  </w:style>
  <w:style w:type="paragraph" w:customStyle="1" w:styleId="NormalArial">
    <w:name w:val="Normal + Arial"/>
    <w:basedOn w:val="Normal"/>
    <w:uiPriority w:val="99"/>
    <w:pPr>
      <w:autoSpaceDE w:val="0"/>
      <w:autoSpaceDN w:val="0"/>
      <w:adjustRightInd w:val="0"/>
      <w:spacing w:line="276" w:lineRule="auto"/>
      <w:jc w:val="both"/>
    </w:pPr>
    <w:rPr>
      <w:rFonts w:eastAsiaTheme="minorEastAsia" w:cs="Times New Roman"/>
      <w:szCs w:val="24"/>
      <w:lang w:val="es-MX" w:eastAsia="es-PE"/>
    </w:rPr>
  </w:style>
  <w:style w:type="character" w:customStyle="1" w:styleId="NormalArialCar">
    <w:name w:val="Normal + Arial Car"/>
    <w:uiPriority w:val="99"/>
    <w:rPr>
      <w:rFonts w:ascii="Arial" w:hAnsi="Arial"/>
      <w:sz w:val="24"/>
      <w:lang w:val="es-MX"/>
    </w:rPr>
  </w:style>
  <w:style w:type="paragraph" w:customStyle="1" w:styleId="EstiloTtulo23">
    <w:name w:val="Estilo Título 23"/>
    <w:basedOn w:val="Ttulo2"/>
    <w:uiPriority w:val="99"/>
    <w:pPr>
      <w:autoSpaceDE w:val="0"/>
      <w:autoSpaceDN w:val="0"/>
      <w:adjustRightInd w:val="0"/>
      <w:spacing w:line="260" w:lineRule="exact"/>
      <w:ind w:left="0" w:right="2268"/>
    </w:pPr>
    <w:rPr>
      <w:rFonts w:ascii="Times New Roman" w:eastAsiaTheme="minorEastAsia" w:hAnsi="Times New Roman" w:cs="Times New Roman"/>
      <w:b/>
      <w:color w:val="008FCB"/>
      <w:sz w:val="20"/>
      <w:szCs w:val="20"/>
      <w:u w:val="none"/>
      <w:lang w:val="es-ES" w:eastAsia="es-PE"/>
    </w:rPr>
  </w:style>
  <w:style w:type="paragraph" w:customStyle="1" w:styleId="Pie">
    <w:name w:val="Pie"/>
    <w:qFormat/>
    <w:pPr>
      <w:autoSpaceDE w:val="0"/>
      <w:autoSpaceDN w:val="0"/>
      <w:adjustRightInd w:val="0"/>
    </w:pPr>
    <w:rPr>
      <w:rFonts w:ascii="Times New Roman" w:eastAsia="Calibri" w:hAnsi="Times New Roman" w:cs="Times New Roman"/>
      <w:color w:val="000000"/>
      <w:sz w:val="24"/>
    </w:rPr>
  </w:style>
  <w:style w:type="paragraph" w:customStyle="1" w:styleId="ESTILOEsSALUD1">
    <w:name w:val="ESTILO EsSALUD 1"/>
    <w:basedOn w:val="Ttulo1"/>
    <w:next w:val="Normal"/>
    <w:qFormat/>
    <w:pPr>
      <w:autoSpaceDE w:val="0"/>
      <w:autoSpaceDN w:val="0"/>
      <w:adjustRightInd w:val="0"/>
      <w:spacing w:after="240" w:line="276" w:lineRule="auto"/>
    </w:pPr>
    <w:rPr>
      <w:rFonts w:ascii="Arial Negrita" w:eastAsiaTheme="minorEastAsia" w:hAnsi="Arial Negrita"/>
      <w:bCs w:val="0"/>
      <w:caps/>
      <w:color w:val="008ECB"/>
      <w:lang w:val="es-PE" w:eastAsia="es-PE"/>
    </w:rPr>
  </w:style>
  <w:style w:type="character" w:customStyle="1" w:styleId="ESTILOEsSALUD1Car">
    <w:name w:val="ESTILO EsSALUD 1 Car"/>
    <w:basedOn w:val="Fuentedeprrafopredeter"/>
    <w:rPr>
      <w:rFonts w:ascii="Arial Negrita" w:hAnsi="Arial Negrita" w:cs="Arial"/>
      <w:b/>
      <w:caps/>
      <w:color w:val="008ECB"/>
      <w:lang w:val="zh-CN"/>
    </w:rPr>
  </w:style>
  <w:style w:type="paragraph" w:customStyle="1" w:styleId="ESTILOEsALUD2">
    <w:name w:val="ESTILO EsALUD 2"/>
    <w:basedOn w:val="Ttulo2"/>
    <w:next w:val="Normal"/>
    <w:qFormat/>
    <w:pPr>
      <w:keepLines/>
      <w:autoSpaceDE w:val="0"/>
      <w:autoSpaceDN w:val="0"/>
      <w:adjustRightInd w:val="0"/>
      <w:spacing w:after="240" w:line="276" w:lineRule="auto"/>
      <w:ind w:left="0"/>
    </w:pPr>
    <w:rPr>
      <w:rFonts w:ascii="Arial" w:eastAsiaTheme="minorEastAsia" w:hAnsi="Arial" w:cs="Arial"/>
      <w:b/>
      <w:color w:val="008ECB"/>
      <w:szCs w:val="26"/>
      <w:u w:val="none"/>
      <w:lang w:val="es-PE" w:eastAsia="es-PE"/>
    </w:rPr>
  </w:style>
  <w:style w:type="character" w:customStyle="1" w:styleId="ESTILOEsALUD2Car">
    <w:name w:val="ESTILO EsALUD 2 Car"/>
    <w:basedOn w:val="Fuentedeprrafopredeter"/>
    <w:rPr>
      <w:rFonts w:ascii="Arial" w:hAnsi="Arial" w:cs="Arial"/>
      <w:b/>
      <w:color w:val="008ECB"/>
      <w:sz w:val="26"/>
      <w:szCs w:val="26"/>
      <w:lang w:val="zh-CN"/>
    </w:rPr>
  </w:style>
  <w:style w:type="paragraph" w:customStyle="1" w:styleId="EstiloEsALUD3">
    <w:name w:val="Estilo EsALUD 3"/>
    <w:basedOn w:val="Ttulo3"/>
    <w:next w:val="Normal"/>
    <w:pPr>
      <w:keepLines/>
      <w:autoSpaceDE w:val="0"/>
      <w:autoSpaceDN w:val="0"/>
      <w:adjustRightInd w:val="0"/>
      <w:spacing w:before="100" w:beforeAutospacing="1" w:after="240" w:line="276" w:lineRule="auto"/>
      <w:ind w:left="925" w:hanging="641"/>
      <w:jc w:val="left"/>
    </w:pPr>
    <w:rPr>
      <w:rFonts w:eastAsiaTheme="minorEastAsia"/>
      <w:b w:val="0"/>
      <w:bCs w:val="0"/>
      <w:color w:val="008ECB"/>
      <w:szCs w:val="24"/>
      <w:lang w:val="fr-FR" w:eastAsia="es-PE"/>
    </w:rPr>
  </w:style>
  <w:style w:type="character" w:customStyle="1" w:styleId="EstiloEsALUD3Car">
    <w:name w:val="Estilo EsALUD 3 Car"/>
    <w:basedOn w:val="Fuentedeprrafopredeter"/>
    <w:qFormat/>
    <w:rPr>
      <w:rFonts w:ascii="Arial" w:hAnsi="Arial" w:cs="Arial"/>
      <w:color w:val="008ECB"/>
      <w:sz w:val="24"/>
      <w:szCs w:val="24"/>
      <w:lang w:val="fr-FR"/>
    </w:rPr>
  </w:style>
  <w:style w:type="paragraph" w:customStyle="1" w:styleId="Titulo4-ESALUD">
    <w:name w:val="Titulo 4-ESALUD"/>
    <w:basedOn w:val="Normal"/>
    <w:next w:val="Normal"/>
    <w:pPr>
      <w:keepNext/>
      <w:autoSpaceDE w:val="0"/>
      <w:autoSpaceDN w:val="0"/>
      <w:adjustRightInd w:val="0"/>
      <w:spacing w:after="240" w:line="276" w:lineRule="auto"/>
      <w:ind w:left="1202" w:hanging="777"/>
      <w:jc w:val="both"/>
      <w:outlineLvl w:val="3"/>
    </w:pPr>
    <w:rPr>
      <w:rFonts w:eastAsiaTheme="minorEastAsia" w:cs="Times New Roman"/>
      <w:color w:val="008ECB"/>
      <w:szCs w:val="20"/>
      <w:lang w:val="fr-FR" w:eastAsia="es-PE"/>
    </w:rPr>
  </w:style>
  <w:style w:type="paragraph" w:customStyle="1" w:styleId="Titulo5ESSALUD">
    <w:name w:val="Titulo 5 ESSALUD"/>
    <w:basedOn w:val="Ttulo5"/>
    <w:next w:val="Normal"/>
    <w:pPr>
      <w:keepLines/>
      <w:autoSpaceDE w:val="0"/>
      <w:autoSpaceDN w:val="0"/>
      <w:adjustRightInd w:val="0"/>
      <w:spacing w:after="240" w:line="276" w:lineRule="auto"/>
      <w:ind w:left="1701" w:hanging="992"/>
      <w:jc w:val="left"/>
    </w:pPr>
    <w:rPr>
      <w:rFonts w:eastAsiaTheme="minorEastAsia" w:cs="Times New Roman"/>
      <w:bCs w:val="0"/>
      <w:color w:val="008ECB"/>
      <w:sz w:val="22"/>
      <w:szCs w:val="22"/>
      <w:lang w:val="fr-FR" w:eastAsia="es-PE"/>
    </w:rPr>
  </w:style>
  <w:style w:type="paragraph" w:customStyle="1" w:styleId="xl212">
    <w:name w:val="xl212"/>
    <w:basedOn w:val="Normal"/>
    <w:pPr>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213">
    <w:name w:val="xl213"/>
    <w:basedOn w:val="Normal"/>
    <w:pPr>
      <w:pBdr>
        <w:top w:val="single" w:sz="4" w:space="0" w:color="auto"/>
        <w:left w:val="single" w:sz="4" w:space="0" w:color="auto"/>
        <w:bottom w:val="single" w:sz="4" w:space="0" w:color="auto"/>
        <w:right w:val="single" w:sz="4" w:space="0" w:color="auto"/>
      </w:pBdr>
      <w:shd w:val="clear" w:color="000000" w:fill="808080"/>
      <w:autoSpaceDE w:val="0"/>
      <w:autoSpaceDN w:val="0"/>
      <w:adjustRightInd w:val="0"/>
      <w:spacing w:before="100" w:beforeAutospacing="1" w:after="100" w:afterAutospacing="1" w:line="276" w:lineRule="auto"/>
      <w:jc w:val="both"/>
    </w:pPr>
    <w:rPr>
      <w:rFonts w:eastAsiaTheme="minorEastAsia"/>
      <w:b/>
      <w:color w:val="FFFFFF"/>
      <w:szCs w:val="24"/>
      <w:lang w:val="es-ES" w:eastAsia="es-PE"/>
    </w:rPr>
  </w:style>
  <w:style w:type="paragraph" w:customStyle="1" w:styleId="xl214">
    <w:name w:val="xl214"/>
    <w:basedOn w:val="Normal"/>
    <w:pPr>
      <w:pBdr>
        <w:top w:val="single" w:sz="4" w:space="0" w:color="auto"/>
        <w:left w:val="single" w:sz="4" w:space="0" w:color="auto"/>
        <w:bottom w:val="single" w:sz="4" w:space="0" w:color="auto"/>
        <w:right w:val="single" w:sz="4" w:space="0" w:color="auto"/>
      </w:pBdr>
      <w:shd w:val="clear" w:color="000000" w:fill="808080"/>
      <w:autoSpaceDE w:val="0"/>
      <w:autoSpaceDN w:val="0"/>
      <w:adjustRightInd w:val="0"/>
      <w:spacing w:before="100" w:beforeAutospacing="1" w:after="100" w:afterAutospacing="1" w:line="276" w:lineRule="auto"/>
      <w:jc w:val="center"/>
    </w:pPr>
    <w:rPr>
      <w:rFonts w:eastAsiaTheme="minorEastAsia"/>
      <w:b/>
      <w:color w:val="FFFFFF"/>
      <w:szCs w:val="24"/>
      <w:lang w:val="es-ES" w:eastAsia="es-PE"/>
    </w:rPr>
  </w:style>
  <w:style w:type="paragraph" w:customStyle="1" w:styleId="xl215">
    <w:name w:val="xl215"/>
    <w:basedOn w:val="Normal"/>
    <w:qFormat/>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216">
    <w:name w:val="xl216"/>
    <w:basedOn w:val="Normal"/>
    <w:pPr>
      <w:pBdr>
        <w:top w:val="single" w:sz="4" w:space="0" w:color="auto"/>
        <w:left w:val="single" w:sz="4" w:space="9"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ind w:firstLine="100"/>
      <w:jc w:val="both"/>
    </w:pPr>
    <w:rPr>
      <w:rFonts w:eastAsiaTheme="minorEastAsia"/>
      <w:szCs w:val="24"/>
      <w:lang w:val="es-ES" w:eastAsia="es-PE"/>
    </w:rPr>
  </w:style>
  <w:style w:type="paragraph" w:customStyle="1" w:styleId="xl217">
    <w:name w:val="xl217"/>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b/>
      <w:szCs w:val="24"/>
      <w:lang w:val="es-ES" w:eastAsia="es-PE"/>
    </w:rPr>
  </w:style>
  <w:style w:type="paragraph" w:customStyle="1" w:styleId="xl218">
    <w:name w:val="xl218"/>
    <w:basedOn w:val="Normal"/>
    <w:pPr>
      <w:pBdr>
        <w:top w:val="single" w:sz="4" w:space="0" w:color="auto"/>
        <w:left w:val="single" w:sz="4" w:space="18"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ind w:firstLine="200"/>
      <w:jc w:val="both"/>
    </w:pPr>
    <w:rPr>
      <w:rFonts w:eastAsiaTheme="minorEastAsia"/>
      <w:szCs w:val="24"/>
      <w:lang w:val="es-ES" w:eastAsia="es-PE"/>
    </w:rPr>
  </w:style>
  <w:style w:type="paragraph" w:customStyle="1" w:styleId="xl219">
    <w:name w:val="xl219"/>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220">
    <w:name w:val="xl220"/>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s-ES" w:eastAsia="es-PE"/>
    </w:rPr>
  </w:style>
  <w:style w:type="paragraph" w:customStyle="1" w:styleId="xl221">
    <w:name w:val="xl221"/>
    <w:basedOn w:val="Normal"/>
    <w:pPr>
      <w:shd w:val="clear" w:color="000000" w:fill="0070C0"/>
      <w:autoSpaceDE w:val="0"/>
      <w:autoSpaceDN w:val="0"/>
      <w:adjustRightInd w:val="0"/>
      <w:spacing w:before="100" w:beforeAutospacing="1" w:after="100" w:afterAutospacing="1" w:line="276" w:lineRule="auto"/>
      <w:jc w:val="both"/>
    </w:pPr>
    <w:rPr>
      <w:rFonts w:eastAsiaTheme="minorEastAsia"/>
      <w:b/>
      <w:color w:val="FFFFFF"/>
      <w:szCs w:val="24"/>
      <w:lang w:val="es-ES" w:eastAsia="es-PE"/>
    </w:rPr>
  </w:style>
  <w:style w:type="paragraph" w:customStyle="1" w:styleId="xl303">
    <w:name w:val="xl303"/>
    <w:basedOn w:val="Normal"/>
    <w:pPr>
      <w:pBdr>
        <w:top w:val="single" w:sz="4" w:space="0" w:color="auto"/>
        <w:left w:val="single" w:sz="4" w:space="9"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ind w:firstLine="100"/>
      <w:jc w:val="both"/>
    </w:pPr>
    <w:rPr>
      <w:rFonts w:eastAsiaTheme="minorEastAsia"/>
      <w:szCs w:val="24"/>
      <w:lang w:val="es-ES" w:eastAsia="es-PE"/>
    </w:rPr>
  </w:style>
  <w:style w:type="paragraph" w:customStyle="1" w:styleId="xl304">
    <w:name w:val="xl304"/>
    <w:basedOn w:val="Normal"/>
    <w:qFormat/>
    <w:pPr>
      <w:pBdr>
        <w:top w:val="single" w:sz="4" w:space="0" w:color="auto"/>
        <w:left w:val="single" w:sz="4" w:space="0" w:color="auto"/>
        <w:bottom w:val="single" w:sz="4" w:space="0" w:color="auto"/>
        <w:right w:val="single" w:sz="4" w:space="0" w:color="auto"/>
      </w:pBdr>
      <w:shd w:val="clear" w:color="000000" w:fill="808080"/>
      <w:autoSpaceDE w:val="0"/>
      <w:autoSpaceDN w:val="0"/>
      <w:adjustRightInd w:val="0"/>
      <w:spacing w:before="100" w:beforeAutospacing="1" w:after="100" w:afterAutospacing="1" w:line="276" w:lineRule="auto"/>
      <w:jc w:val="both"/>
    </w:pPr>
    <w:rPr>
      <w:rFonts w:eastAsiaTheme="minorEastAsia"/>
      <w:b/>
      <w:color w:val="FFFFFF"/>
      <w:szCs w:val="24"/>
      <w:lang w:val="es-ES" w:eastAsia="es-PE"/>
    </w:rPr>
  </w:style>
  <w:style w:type="paragraph" w:customStyle="1" w:styleId="xl305">
    <w:name w:val="xl305"/>
    <w:basedOn w:val="Normal"/>
    <w:qFormat/>
    <w:pPr>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06">
    <w:name w:val="xl306"/>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307">
    <w:name w:val="xl307"/>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s-ES" w:eastAsia="es-PE"/>
    </w:rPr>
  </w:style>
  <w:style w:type="paragraph" w:customStyle="1" w:styleId="xl308">
    <w:name w:val="xl308"/>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b/>
      <w:szCs w:val="24"/>
      <w:lang w:val="es-ES" w:eastAsia="es-PE"/>
    </w:rPr>
  </w:style>
  <w:style w:type="paragraph" w:customStyle="1" w:styleId="xl309">
    <w:name w:val="xl309"/>
    <w:basedOn w:val="Normal"/>
    <w:qFormat/>
    <w:pPr>
      <w:pBdr>
        <w:top w:val="single" w:sz="4" w:space="0" w:color="auto"/>
        <w:left w:val="single" w:sz="4" w:space="9"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ind w:firstLine="100"/>
      <w:jc w:val="both"/>
    </w:pPr>
    <w:rPr>
      <w:rFonts w:eastAsiaTheme="minorEastAsia"/>
      <w:szCs w:val="24"/>
      <w:lang w:val="es-ES" w:eastAsia="es-PE"/>
    </w:rPr>
  </w:style>
  <w:style w:type="paragraph" w:customStyle="1" w:styleId="xl310">
    <w:name w:val="xl310"/>
    <w:basedOn w:val="Normal"/>
    <w:pPr>
      <w:pBdr>
        <w:top w:val="single" w:sz="4" w:space="0" w:color="auto"/>
        <w:left w:val="single" w:sz="4" w:space="0" w:color="auto"/>
        <w:bottom w:val="single" w:sz="4" w:space="0" w:color="auto"/>
        <w:right w:val="single" w:sz="4" w:space="0" w:color="auto"/>
      </w:pBdr>
      <w:shd w:val="clear" w:color="000000" w:fill="808080"/>
      <w:autoSpaceDE w:val="0"/>
      <w:autoSpaceDN w:val="0"/>
      <w:adjustRightInd w:val="0"/>
      <w:spacing w:before="100" w:beforeAutospacing="1" w:after="100" w:afterAutospacing="1" w:line="276" w:lineRule="auto"/>
      <w:jc w:val="center"/>
    </w:pPr>
    <w:rPr>
      <w:rFonts w:eastAsiaTheme="minorEastAsia"/>
      <w:b/>
      <w:color w:val="FFFFFF"/>
      <w:szCs w:val="24"/>
      <w:lang w:val="es-ES" w:eastAsia="es-PE"/>
    </w:rPr>
  </w:style>
  <w:style w:type="paragraph" w:customStyle="1" w:styleId="xl311">
    <w:name w:val="xl311"/>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12">
    <w:name w:val="xl312"/>
    <w:basedOn w:val="Normal"/>
    <w:qFormat/>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313">
    <w:name w:val="xl313"/>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14">
    <w:name w:val="xl314"/>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s-ES" w:eastAsia="es-PE"/>
    </w:rPr>
  </w:style>
  <w:style w:type="paragraph" w:customStyle="1" w:styleId="xl315">
    <w:name w:val="xl315"/>
    <w:basedOn w:val="Normal"/>
    <w:qFormat/>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316">
    <w:name w:val="xl316"/>
    <w:basedOn w:val="Normal"/>
    <w:qFormat/>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317">
    <w:name w:val="xl317"/>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18">
    <w:name w:val="xl318"/>
    <w:basedOn w:val="Normal"/>
    <w:pPr>
      <w:pBdr>
        <w:top w:val="single" w:sz="4"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s-ES" w:eastAsia="es-PE"/>
    </w:rPr>
  </w:style>
  <w:style w:type="paragraph" w:customStyle="1" w:styleId="xl319">
    <w:name w:val="xl319"/>
    <w:basedOn w:val="Normal"/>
    <w:qFormat/>
    <w:pPr>
      <w:pBdr>
        <w:top w:val="single" w:sz="4" w:space="0" w:color="auto"/>
        <w:left w:val="single" w:sz="4" w:space="18"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ind w:firstLine="200"/>
      <w:jc w:val="both"/>
    </w:pPr>
    <w:rPr>
      <w:rFonts w:eastAsiaTheme="minorEastAsia"/>
      <w:szCs w:val="24"/>
      <w:lang w:val="es-ES" w:eastAsia="es-PE"/>
    </w:rPr>
  </w:style>
  <w:style w:type="paragraph" w:customStyle="1" w:styleId="xl320">
    <w:name w:val="xl320"/>
    <w:basedOn w:val="Normal"/>
    <w:pPr>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21">
    <w:name w:val="xl321"/>
    <w:basedOn w:val="Normal"/>
    <w:pPr>
      <w:pBdr>
        <w:top w:val="single" w:sz="4" w:space="0" w:color="auto"/>
        <w:left w:val="single" w:sz="4" w:space="0" w:color="auto"/>
        <w:bottom w:val="single" w:sz="4" w:space="0" w:color="auto"/>
        <w:right w:val="single" w:sz="4" w:space="0" w:color="auto"/>
      </w:pBdr>
      <w:shd w:val="clear" w:color="000000" w:fill="0070C0"/>
      <w:autoSpaceDE w:val="0"/>
      <w:autoSpaceDN w:val="0"/>
      <w:adjustRightInd w:val="0"/>
      <w:spacing w:before="100" w:beforeAutospacing="1" w:after="100" w:afterAutospacing="1" w:line="276" w:lineRule="auto"/>
      <w:jc w:val="both"/>
    </w:pPr>
    <w:rPr>
      <w:rFonts w:eastAsiaTheme="minorEastAsia"/>
      <w:b/>
      <w:color w:val="FFFFFF"/>
      <w:szCs w:val="24"/>
      <w:lang w:val="es-ES" w:eastAsia="es-PE"/>
    </w:rPr>
  </w:style>
  <w:style w:type="paragraph" w:customStyle="1" w:styleId="xl322">
    <w:name w:val="xl322"/>
    <w:basedOn w:val="Normal"/>
    <w:pPr>
      <w:pBdr>
        <w:top w:val="single" w:sz="4" w:space="0" w:color="auto"/>
      </w:pBdr>
      <w:autoSpaceDE w:val="0"/>
      <w:autoSpaceDN w:val="0"/>
      <w:adjustRightInd w:val="0"/>
      <w:spacing w:before="100" w:beforeAutospacing="1" w:after="100" w:afterAutospacing="1" w:line="276" w:lineRule="auto"/>
      <w:jc w:val="both"/>
    </w:pPr>
    <w:rPr>
      <w:rFonts w:eastAsiaTheme="minorEastAsia"/>
      <w:szCs w:val="24"/>
      <w:lang w:val="es-ES" w:eastAsia="es-PE"/>
    </w:rPr>
  </w:style>
  <w:style w:type="paragraph" w:customStyle="1" w:styleId="xl323">
    <w:name w:val="xl323"/>
    <w:basedOn w:val="Normal"/>
    <w:pPr>
      <w:pBdr>
        <w:top w:val="single" w:sz="8" w:space="0" w:color="auto"/>
        <w:left w:val="single" w:sz="4"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24">
    <w:name w:val="xl324"/>
    <w:basedOn w:val="Normal"/>
    <w:pPr>
      <w:pBdr>
        <w:top w:val="single" w:sz="4" w:space="0" w:color="auto"/>
        <w:left w:val="single" w:sz="4" w:space="0" w:color="auto"/>
        <w:bottom w:val="single" w:sz="4"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25">
    <w:name w:val="xl325"/>
    <w:basedOn w:val="Normal"/>
    <w:qFormat/>
    <w:pPr>
      <w:pBdr>
        <w:top w:val="single" w:sz="4" w:space="0" w:color="auto"/>
        <w:left w:val="single" w:sz="4" w:space="0" w:color="auto"/>
        <w:bottom w:val="single" w:sz="8"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26">
    <w:name w:val="xl326"/>
    <w:basedOn w:val="Normal"/>
    <w:pPr>
      <w:pBdr>
        <w:top w:val="single" w:sz="4" w:space="0" w:color="auto"/>
        <w:left w:val="single" w:sz="4" w:space="0" w:color="auto"/>
        <w:bottom w:val="single" w:sz="8"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27">
    <w:name w:val="xl327"/>
    <w:basedOn w:val="Normal"/>
    <w:pPr>
      <w:pBdr>
        <w:top w:val="single" w:sz="8" w:space="0" w:color="auto"/>
        <w:left w:val="single" w:sz="8" w:space="0" w:color="auto"/>
        <w:bottom w:val="single" w:sz="8"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28">
    <w:name w:val="xl328"/>
    <w:basedOn w:val="Normal"/>
    <w:pPr>
      <w:pBdr>
        <w:top w:val="single" w:sz="8" w:space="0" w:color="auto"/>
        <w:left w:val="single" w:sz="4" w:space="0" w:color="auto"/>
        <w:bottom w:val="single" w:sz="8"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29">
    <w:name w:val="xl329"/>
    <w:basedOn w:val="Normal"/>
    <w:pPr>
      <w:pBdr>
        <w:top w:val="single" w:sz="8" w:space="0" w:color="auto"/>
        <w:left w:val="single" w:sz="4" w:space="0" w:color="auto"/>
        <w:bottom w:val="single" w:sz="8"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30">
    <w:name w:val="xl330"/>
    <w:basedOn w:val="Normal"/>
    <w:pPr>
      <w:pBdr>
        <w:top w:val="single" w:sz="8" w:space="0" w:color="auto"/>
        <w:left w:val="single" w:sz="8" w:space="0" w:color="auto"/>
        <w:bottom w:val="single" w:sz="4"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1">
    <w:name w:val="xl331"/>
    <w:basedOn w:val="Normal"/>
    <w:pPr>
      <w:pBdr>
        <w:top w:val="single" w:sz="8" w:space="0" w:color="auto"/>
        <w:left w:val="single" w:sz="8"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2">
    <w:name w:val="xl332"/>
    <w:basedOn w:val="Normal"/>
    <w:qFormat/>
    <w:pPr>
      <w:pBdr>
        <w:left w:val="single" w:sz="4" w:space="0" w:color="auto"/>
        <w:bottom w:val="single" w:sz="4"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3">
    <w:name w:val="xl333"/>
    <w:basedOn w:val="Normal"/>
    <w:pPr>
      <w:pBdr>
        <w:left w:val="single" w:sz="8"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4">
    <w:name w:val="xl334"/>
    <w:basedOn w:val="Normal"/>
    <w:pPr>
      <w:pBdr>
        <w:left w:val="single" w:sz="4" w:space="0" w:color="auto"/>
        <w:bottom w:val="single" w:sz="4" w:space="0" w:color="auto"/>
        <w:right w:val="single" w:sz="8"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5">
    <w:name w:val="xl335"/>
    <w:basedOn w:val="Normal"/>
    <w:pPr>
      <w:pBdr>
        <w:left w:val="single" w:sz="8" w:space="0" w:color="auto"/>
        <w:bottom w:val="single" w:sz="4" w:space="0" w:color="auto"/>
        <w:right w:val="single" w:sz="4" w:space="0" w:color="auto"/>
      </w:pBdr>
      <w:shd w:val="clear" w:color="000000" w:fill="D9D9D9"/>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paragraph" w:customStyle="1" w:styleId="xl336">
    <w:name w:val="xl336"/>
    <w:basedOn w:val="Normal"/>
    <w:pPr>
      <w:pBdr>
        <w:top w:val="single" w:sz="8" w:space="0" w:color="auto"/>
        <w:left w:val="single" w:sz="8" w:space="0" w:color="auto"/>
        <w:bottom w:val="single" w:sz="8"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37">
    <w:name w:val="xl337"/>
    <w:basedOn w:val="Normal"/>
    <w:pPr>
      <w:pBdr>
        <w:top w:val="single" w:sz="8" w:space="0" w:color="auto"/>
        <w:lef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38">
    <w:name w:val="xl338"/>
    <w:basedOn w:val="Normal"/>
    <w:pPr>
      <w:pBdr>
        <w:top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39">
    <w:name w:val="xl339"/>
    <w:basedOn w:val="Normal"/>
    <w:pPr>
      <w:pBdr>
        <w:top w:val="single" w:sz="8" w:space="0" w:color="auto"/>
        <w:righ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0">
    <w:name w:val="xl340"/>
    <w:basedOn w:val="Normal"/>
    <w:pPr>
      <w:pBdr>
        <w:left w:val="single" w:sz="8" w:space="0" w:color="auto"/>
        <w:bottom w:val="single" w:sz="4"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1">
    <w:name w:val="xl341"/>
    <w:basedOn w:val="Normal"/>
    <w:qFormat/>
    <w:pPr>
      <w:pBdr>
        <w:bottom w:val="single" w:sz="4"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2">
    <w:name w:val="xl342"/>
    <w:basedOn w:val="Normal"/>
    <w:qFormat/>
    <w:pPr>
      <w:pBdr>
        <w:bottom w:val="single" w:sz="4" w:space="0" w:color="auto"/>
        <w:righ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3">
    <w:name w:val="xl343"/>
    <w:basedOn w:val="Normal"/>
    <w:pPr>
      <w:pBdr>
        <w:lef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4">
    <w:name w:val="xl344"/>
    <w:basedOn w:val="Normal"/>
    <w:pPr>
      <w:pBdr>
        <w:left w:val="single" w:sz="8" w:space="0" w:color="auto"/>
        <w:bottom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5">
    <w:name w:val="xl345"/>
    <w:basedOn w:val="Normal"/>
    <w:qFormat/>
    <w:pPr>
      <w:pBdr>
        <w:top w:val="single" w:sz="8" w:space="0" w:color="auto"/>
        <w:left w:val="single" w:sz="8" w:space="0" w:color="auto"/>
        <w:righ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6">
    <w:name w:val="xl346"/>
    <w:basedOn w:val="Normal"/>
    <w:pPr>
      <w:pBdr>
        <w:left w:val="single" w:sz="8" w:space="0" w:color="auto"/>
        <w:righ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7">
    <w:name w:val="xl347"/>
    <w:basedOn w:val="Normal"/>
    <w:qFormat/>
    <w:pPr>
      <w:pBdr>
        <w:left w:val="single" w:sz="8" w:space="0" w:color="auto"/>
        <w:bottom w:val="single" w:sz="8" w:space="0" w:color="auto"/>
        <w:right w:val="single" w:sz="8"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8">
    <w:name w:val="xl348"/>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val="en-US" w:eastAsia="es-PE"/>
    </w:rPr>
  </w:style>
  <w:style w:type="paragraph" w:customStyle="1" w:styleId="xl349">
    <w:name w:val="xl349"/>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val="en-US" w:eastAsia="es-PE"/>
    </w:rPr>
  </w:style>
  <w:style w:type="character" w:customStyle="1" w:styleId="Mencinsinresolver15">
    <w:name w:val="Mención sin resolver15"/>
    <w:basedOn w:val="Fuentedeprrafopredeter"/>
    <w:uiPriority w:val="99"/>
    <w:qFormat/>
    <w:rPr>
      <w:rFonts w:cs="Times New Roman"/>
      <w:color w:val="605E5C"/>
      <w:shd w:val="clear" w:color="auto" w:fill="E1DFDD"/>
    </w:rPr>
  </w:style>
  <w:style w:type="table" w:styleId="Sombreadoclaro-nfasis1">
    <w:name w:val="Light Shading Accent 1"/>
    <w:basedOn w:val="Tablanormal"/>
    <w:uiPriority w:val="60"/>
    <w:unhideWhenUsed/>
    <w:rPr>
      <w:rFonts w:ascii="Calibri" w:eastAsia="Calibri" w:hAnsi="Calibri" w:cs="Calibri"/>
      <w:color w:val="365F91" w:themeColor="accent1" w:themeShade="BF"/>
      <w:sz w:val="22"/>
      <w:szCs w:val="22"/>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83">
    <w:name w:val="xl83"/>
    <w:basedOn w:val="Normal"/>
    <w:pPr>
      <w:pBdr>
        <w:left w:val="single" w:sz="8" w:space="0" w:color="D9D9D9"/>
        <w:right w:val="single" w:sz="8" w:space="0" w:color="D9D9D9"/>
      </w:pBdr>
      <w:autoSpaceDE w:val="0"/>
      <w:autoSpaceDN w:val="0"/>
      <w:adjustRightInd w:val="0"/>
      <w:spacing w:before="100" w:beforeAutospacing="1" w:after="100" w:afterAutospacing="1" w:line="276" w:lineRule="auto"/>
      <w:jc w:val="center"/>
    </w:pPr>
    <w:rPr>
      <w:rFonts w:eastAsia="Times New Roman"/>
      <w:sz w:val="18"/>
      <w:szCs w:val="18"/>
      <w:lang w:eastAsia="es-PE"/>
    </w:rPr>
  </w:style>
  <w:style w:type="paragraph" w:customStyle="1" w:styleId="xl84">
    <w:name w:val="xl84"/>
    <w:basedOn w:val="Normal"/>
    <w:pPr>
      <w:pBdr>
        <w:left w:val="single" w:sz="8" w:space="0" w:color="D9D9D9"/>
        <w:bottom w:val="single" w:sz="12" w:space="0" w:color="D9D9D9"/>
        <w:right w:val="single" w:sz="8" w:space="0" w:color="D9D9D9"/>
      </w:pBdr>
      <w:autoSpaceDE w:val="0"/>
      <w:autoSpaceDN w:val="0"/>
      <w:adjustRightInd w:val="0"/>
      <w:spacing w:before="100" w:beforeAutospacing="1" w:after="100" w:afterAutospacing="1" w:line="276" w:lineRule="auto"/>
      <w:jc w:val="center"/>
    </w:pPr>
    <w:rPr>
      <w:rFonts w:eastAsia="Times New Roman"/>
      <w:sz w:val="18"/>
      <w:szCs w:val="18"/>
      <w:lang w:eastAsia="es-PE"/>
    </w:rPr>
  </w:style>
  <w:style w:type="paragraph" w:customStyle="1" w:styleId="xl85">
    <w:name w:val="xl85"/>
    <w:basedOn w:val="Normal"/>
    <w:pPr>
      <w:autoSpaceDE w:val="0"/>
      <w:autoSpaceDN w:val="0"/>
      <w:adjustRightInd w:val="0"/>
      <w:spacing w:before="100" w:beforeAutospacing="1" w:after="100" w:afterAutospacing="1" w:line="276" w:lineRule="auto"/>
      <w:jc w:val="both"/>
    </w:pPr>
    <w:rPr>
      <w:rFonts w:eastAsia="Times New Roman"/>
      <w:sz w:val="20"/>
      <w:szCs w:val="20"/>
      <w:lang w:eastAsia="es-PE"/>
    </w:rPr>
  </w:style>
  <w:style w:type="paragraph" w:customStyle="1" w:styleId="xl86">
    <w:name w:val="xl86"/>
    <w:basedOn w:val="Normal"/>
    <w:pPr>
      <w:pBdr>
        <w:top w:val="single" w:sz="8" w:space="0" w:color="FFFFFF"/>
        <w:left w:val="single" w:sz="8" w:space="0" w:color="FFFFFF"/>
      </w:pBdr>
      <w:shd w:val="clear" w:color="000000" w:fill="008FCB"/>
      <w:autoSpaceDE w:val="0"/>
      <w:autoSpaceDN w:val="0"/>
      <w:adjustRightInd w:val="0"/>
      <w:spacing w:before="100" w:beforeAutospacing="1" w:after="100" w:afterAutospacing="1" w:line="276" w:lineRule="auto"/>
      <w:jc w:val="both"/>
    </w:pPr>
    <w:rPr>
      <w:rFonts w:eastAsia="Times New Roman"/>
      <w:b/>
      <w:color w:val="FFFFFF"/>
      <w:sz w:val="20"/>
      <w:szCs w:val="20"/>
      <w:lang w:eastAsia="es-PE"/>
    </w:rPr>
  </w:style>
  <w:style w:type="paragraph" w:customStyle="1" w:styleId="xl87">
    <w:name w:val="xl87"/>
    <w:basedOn w:val="Normal"/>
    <w:pPr>
      <w:pBdr>
        <w:top w:val="single" w:sz="12" w:space="0" w:color="D9D9D9"/>
        <w:left w:val="single" w:sz="8" w:space="0" w:color="FFFFFF"/>
        <w:bottom w:val="single" w:sz="8" w:space="0" w:color="FFFFFF"/>
        <w:right w:val="single" w:sz="8" w:space="0" w:color="FFFFFF"/>
      </w:pBdr>
      <w:shd w:val="clear" w:color="000000" w:fill="808080"/>
      <w:autoSpaceDE w:val="0"/>
      <w:autoSpaceDN w:val="0"/>
      <w:adjustRightInd w:val="0"/>
      <w:spacing w:before="100" w:beforeAutospacing="1" w:after="100" w:afterAutospacing="1" w:line="276" w:lineRule="auto"/>
      <w:jc w:val="center"/>
    </w:pPr>
    <w:rPr>
      <w:rFonts w:eastAsia="Times New Roman"/>
      <w:b/>
      <w:color w:val="FFFFFF"/>
      <w:sz w:val="18"/>
      <w:szCs w:val="18"/>
      <w:lang w:eastAsia="es-PE"/>
    </w:rPr>
  </w:style>
  <w:style w:type="paragraph" w:customStyle="1" w:styleId="xl88">
    <w:name w:val="xl88"/>
    <w:basedOn w:val="Normal"/>
    <w:pPr>
      <w:pBdr>
        <w:left w:val="single" w:sz="8" w:space="0" w:color="D9D9D9"/>
        <w:right w:val="single" w:sz="8" w:space="0" w:color="D9D9D9"/>
      </w:pBdr>
      <w:autoSpaceDE w:val="0"/>
      <w:autoSpaceDN w:val="0"/>
      <w:adjustRightInd w:val="0"/>
      <w:spacing w:before="100" w:beforeAutospacing="1" w:after="100" w:afterAutospacing="1" w:line="276" w:lineRule="auto"/>
      <w:jc w:val="center"/>
    </w:pPr>
    <w:rPr>
      <w:rFonts w:eastAsia="Times New Roman"/>
      <w:sz w:val="18"/>
      <w:szCs w:val="18"/>
      <w:lang w:eastAsia="es-PE"/>
    </w:rPr>
  </w:style>
  <w:style w:type="paragraph" w:customStyle="1" w:styleId="xl89">
    <w:name w:val="xl89"/>
    <w:basedOn w:val="Normal"/>
    <w:pPr>
      <w:pBdr>
        <w:left w:val="single" w:sz="8" w:space="0" w:color="D9D9D9"/>
        <w:bottom w:val="single" w:sz="12" w:space="0" w:color="D9D9D9"/>
        <w:right w:val="single" w:sz="8" w:space="0" w:color="D9D9D9"/>
      </w:pBdr>
      <w:autoSpaceDE w:val="0"/>
      <w:autoSpaceDN w:val="0"/>
      <w:adjustRightInd w:val="0"/>
      <w:spacing w:before="100" w:beforeAutospacing="1" w:after="100" w:afterAutospacing="1" w:line="276" w:lineRule="auto"/>
      <w:jc w:val="center"/>
    </w:pPr>
    <w:rPr>
      <w:rFonts w:eastAsia="Times New Roman"/>
      <w:sz w:val="18"/>
      <w:szCs w:val="18"/>
      <w:lang w:eastAsia="es-PE"/>
    </w:rPr>
  </w:style>
  <w:style w:type="paragraph" w:customStyle="1" w:styleId="xl90">
    <w:name w:val="xl90"/>
    <w:basedOn w:val="Normal"/>
    <w:pPr>
      <w:autoSpaceDE w:val="0"/>
      <w:autoSpaceDN w:val="0"/>
      <w:adjustRightInd w:val="0"/>
      <w:spacing w:before="100" w:beforeAutospacing="1" w:after="100" w:afterAutospacing="1" w:line="276" w:lineRule="auto"/>
      <w:jc w:val="both"/>
    </w:pPr>
    <w:rPr>
      <w:rFonts w:eastAsia="Times New Roman"/>
      <w:sz w:val="20"/>
      <w:szCs w:val="20"/>
      <w:lang w:eastAsia="es-PE"/>
    </w:rPr>
  </w:style>
  <w:style w:type="paragraph" w:customStyle="1" w:styleId="xl122">
    <w:name w:val="xl122"/>
    <w:basedOn w:val="Normal"/>
    <w:pP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23">
    <w:name w:val="xl123"/>
    <w:basedOn w:val="Normal"/>
    <w:pP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24">
    <w:name w:val="xl124"/>
    <w:basedOn w:val="Normal"/>
    <w:pP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25">
    <w:name w:val="xl125"/>
    <w:basedOn w:val="Normal"/>
    <w:pP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26">
    <w:name w:val="xl126"/>
    <w:basedOn w:val="Normal"/>
    <w:qFormat/>
    <w:pP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27">
    <w:name w:val="xl127"/>
    <w:basedOn w:val="Normal"/>
    <w:pP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28">
    <w:name w:val="xl128"/>
    <w:basedOn w:val="Normal"/>
    <w:qFormat/>
    <w:pP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29">
    <w:name w:val="xl129"/>
    <w:basedOn w:val="Normal"/>
    <w:qFormat/>
    <w:pP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30">
    <w:name w:val="xl130"/>
    <w:basedOn w:val="Normal"/>
    <w:qFormat/>
    <w:pPr>
      <w:autoSpaceDE w:val="0"/>
      <w:autoSpaceDN w:val="0"/>
      <w:adjustRightInd w:val="0"/>
      <w:spacing w:before="100" w:beforeAutospacing="1" w:after="100" w:afterAutospacing="1" w:line="276" w:lineRule="auto"/>
      <w:jc w:val="right"/>
    </w:pPr>
    <w:rPr>
      <w:rFonts w:eastAsiaTheme="minorEastAsia"/>
      <w:b/>
      <w:sz w:val="16"/>
      <w:szCs w:val="16"/>
      <w:lang w:val="es-ES" w:eastAsia="es-PE"/>
    </w:rPr>
  </w:style>
  <w:style w:type="paragraph" w:customStyle="1" w:styleId="xl131">
    <w:name w:val="xl131"/>
    <w:basedOn w:val="Normal"/>
    <w:qFormat/>
    <w:pP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32">
    <w:name w:val="xl132"/>
    <w:basedOn w:val="Normal"/>
    <w:qFormat/>
    <w:pPr>
      <w:autoSpaceDE w:val="0"/>
      <w:autoSpaceDN w:val="0"/>
      <w:adjustRightInd w:val="0"/>
      <w:spacing w:before="100" w:beforeAutospacing="1" w:after="100" w:afterAutospacing="1" w:line="276" w:lineRule="auto"/>
      <w:jc w:val="both"/>
    </w:pPr>
    <w:rPr>
      <w:rFonts w:eastAsiaTheme="minorEastAsia"/>
      <w:sz w:val="16"/>
      <w:szCs w:val="16"/>
      <w:u w:val="single"/>
      <w:lang w:val="es-ES" w:eastAsia="es-PE"/>
    </w:rPr>
  </w:style>
  <w:style w:type="paragraph" w:customStyle="1" w:styleId="xl133">
    <w:name w:val="xl133"/>
    <w:basedOn w:val="Normal"/>
    <w:qFormat/>
    <w:pPr>
      <w:pBdr>
        <w:top w:val="single" w:sz="8" w:space="0" w:color="auto"/>
        <w:left w:val="single" w:sz="8" w:space="0" w:color="auto"/>
        <w:bottom w:val="single" w:sz="8"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34">
    <w:name w:val="xl134"/>
    <w:basedOn w:val="Normal"/>
    <w:pPr>
      <w:pBdr>
        <w:top w:val="single" w:sz="8" w:space="0" w:color="auto"/>
        <w:left w:val="single" w:sz="4" w:space="0" w:color="auto"/>
        <w:bottom w:val="single" w:sz="8"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35">
    <w:name w:val="xl135"/>
    <w:basedOn w:val="Normal"/>
    <w:pPr>
      <w:pBdr>
        <w:top w:val="single" w:sz="8" w:space="0" w:color="auto"/>
        <w:left w:val="single" w:sz="4" w:space="0" w:color="auto"/>
        <w:bottom w:val="single" w:sz="8" w:space="0" w:color="auto"/>
        <w:right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36">
    <w:name w:val="xl136"/>
    <w:basedOn w:val="Normal"/>
    <w:pPr>
      <w:pBdr>
        <w:top w:val="single" w:sz="8" w:space="0" w:color="auto"/>
        <w:left w:val="single" w:sz="8"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37">
    <w:name w:val="xl137"/>
    <w:basedOn w:val="Normal"/>
    <w:qFormat/>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38">
    <w:name w:val="xl138"/>
    <w:basedOn w:val="Normal"/>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39">
    <w:name w:val="xl139"/>
    <w:basedOn w:val="Normal"/>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40">
    <w:name w:val="xl140"/>
    <w:basedOn w:val="Normal"/>
    <w:pPr>
      <w:pBdr>
        <w:top w:val="single" w:sz="8" w:space="0" w:color="auto"/>
        <w:left w:val="single" w:sz="4" w:space="0" w:color="auto"/>
        <w:bottom w:val="single" w:sz="4" w:space="0" w:color="auto"/>
        <w:right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41">
    <w:name w:val="xl141"/>
    <w:basedOn w:val="Normal"/>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42">
    <w:name w:val="xl142"/>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43">
    <w:name w:val="xl143"/>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44">
    <w:name w:val="xl144"/>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45">
    <w:name w:val="xl145"/>
    <w:basedOn w:val="Normal"/>
    <w:pPr>
      <w:pBdr>
        <w:top w:val="single" w:sz="4" w:space="0" w:color="auto"/>
        <w:left w:val="single" w:sz="4" w:space="0" w:color="auto"/>
        <w:bottom w:val="single" w:sz="4" w:space="0" w:color="auto"/>
        <w:right w:val="single" w:sz="8"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49">
    <w:name w:val="xl149"/>
    <w:basedOn w:val="Normal"/>
    <w:qFormat/>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0">
    <w:name w:val="xl150"/>
    <w:basedOn w:val="Normal"/>
    <w:pPr>
      <w:pBdr>
        <w:top w:val="single" w:sz="4" w:space="0" w:color="auto"/>
        <w:left w:val="single" w:sz="8" w:space="0" w:color="auto"/>
        <w:bottom w:val="double" w:sz="6"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1">
    <w:name w:val="xl151"/>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52">
    <w:name w:val="xl152"/>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3">
    <w:name w:val="xl153"/>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4">
    <w:name w:val="xl154"/>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5">
    <w:name w:val="xl155"/>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56">
    <w:name w:val="xl156"/>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57">
    <w:name w:val="xl157"/>
    <w:basedOn w:val="Normal"/>
    <w:pPr>
      <w:pBdr>
        <w:top w:val="single" w:sz="4" w:space="0" w:color="auto"/>
        <w:left w:val="single" w:sz="4" w:space="0" w:color="auto"/>
        <w:bottom w:val="double" w:sz="6" w:space="0" w:color="auto"/>
        <w:right w:val="single" w:sz="8"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58">
    <w:name w:val="xl158"/>
    <w:basedOn w:val="Normal"/>
    <w:qFormat/>
    <w:pPr>
      <w:pBdr>
        <w:left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59">
    <w:name w:val="xl159"/>
    <w:basedOn w:val="Normal"/>
    <w:pPr>
      <w:pBdr>
        <w:bottom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60">
    <w:name w:val="xl160"/>
    <w:basedOn w:val="Normal"/>
    <w:qFormat/>
    <w:pPr>
      <w:pBdr>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61">
    <w:name w:val="xl161"/>
    <w:basedOn w:val="Normal"/>
    <w:pPr>
      <w:pBdr>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62">
    <w:name w:val="xl162"/>
    <w:basedOn w:val="Normal"/>
    <w:qFormat/>
    <w:pPr>
      <w:pBdr>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63">
    <w:name w:val="xl163"/>
    <w:basedOn w:val="Normal"/>
    <w:pPr>
      <w:pBdr>
        <w:bottom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64">
    <w:name w:val="xl164"/>
    <w:basedOn w:val="Normal"/>
    <w:pPr>
      <w:pBdr>
        <w:bottom w:val="single" w:sz="8" w:space="0" w:color="auto"/>
        <w:right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65">
    <w:name w:val="xl165"/>
    <w:basedOn w:val="Normal"/>
    <w:qFormat/>
    <w:pP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66">
    <w:name w:val="xl166"/>
    <w:basedOn w:val="Normal"/>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67">
    <w:name w:val="xl167"/>
    <w:basedOn w:val="Normal"/>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68">
    <w:name w:val="xl168"/>
    <w:basedOn w:val="Normal"/>
    <w:qFormat/>
    <w:pPr>
      <w:pBdr>
        <w:top w:val="single" w:sz="8" w:space="0" w:color="auto"/>
        <w:left w:val="single" w:sz="4" w:space="0" w:color="auto"/>
        <w:bottom w:val="single" w:sz="4" w:space="0" w:color="auto"/>
        <w:right w:val="single" w:sz="4" w:space="0" w:color="auto"/>
      </w:pBdr>
      <w:shd w:val="clear" w:color="000000" w:fill="99CCFF"/>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69">
    <w:name w:val="xl169"/>
    <w:basedOn w:val="Normal"/>
    <w:pPr>
      <w:pBdr>
        <w:top w:val="single" w:sz="8" w:space="0" w:color="auto"/>
        <w:left w:val="single" w:sz="4" w:space="0" w:color="auto"/>
        <w:bottom w:val="single" w:sz="4" w:space="0" w:color="auto"/>
        <w:right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70">
    <w:name w:val="xl170"/>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1">
    <w:name w:val="xl171"/>
    <w:basedOn w:val="Normal"/>
    <w:pP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2">
    <w:name w:val="xl172"/>
    <w:basedOn w:val="Normal"/>
    <w:pPr>
      <w:pBdr>
        <w:top w:val="single" w:sz="4" w:space="0" w:color="auto"/>
        <w:left w:val="single" w:sz="8"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3">
    <w:name w:val="xl173"/>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74">
    <w:name w:val="xl174"/>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5">
    <w:name w:val="xl175"/>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6">
    <w:name w:val="xl176"/>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77">
    <w:name w:val="xl177"/>
    <w:basedOn w:val="Normal"/>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78">
    <w:name w:val="xl178"/>
    <w:basedOn w:val="Normal"/>
    <w:pPr>
      <w:pBdr>
        <w:top w:val="single" w:sz="4" w:space="0" w:color="auto"/>
        <w:left w:val="single" w:sz="4" w:space="0" w:color="auto"/>
        <w:right w:val="single" w:sz="8"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79">
    <w:name w:val="xl179"/>
    <w:basedOn w:val="Normal"/>
    <w:pPr>
      <w:pBdr>
        <w:top w:val="single" w:sz="4" w:space="0" w:color="auto"/>
        <w:left w:val="single" w:sz="4" w:space="0" w:color="auto"/>
        <w:bottom w:val="double" w:sz="6"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0">
    <w:name w:val="xl180"/>
    <w:basedOn w:val="Normal"/>
    <w:pPr>
      <w:pBdr>
        <w:left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1">
    <w:name w:val="xl181"/>
    <w:basedOn w:val="Normal"/>
    <w:pP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2">
    <w:name w:val="xl182"/>
    <w:basedOn w:val="Normal"/>
    <w:pP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83">
    <w:name w:val="xl183"/>
    <w:basedOn w:val="Normal"/>
    <w:qFormat/>
    <w:pPr>
      <w:pBdr>
        <w:top w:val="single" w:sz="8" w:space="0" w:color="auto"/>
        <w:left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4">
    <w:name w:val="xl184"/>
    <w:basedOn w:val="Normal"/>
    <w:pPr>
      <w:pBdr>
        <w:top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85">
    <w:name w:val="xl185"/>
    <w:basedOn w:val="Normal"/>
    <w:pPr>
      <w:pBdr>
        <w:top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6">
    <w:name w:val="xl186"/>
    <w:basedOn w:val="Normal"/>
    <w:pPr>
      <w:pBdr>
        <w:top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87">
    <w:name w:val="xl187"/>
    <w:basedOn w:val="Normal"/>
    <w:pPr>
      <w:pBdr>
        <w:top w:val="single" w:sz="8" w:space="0" w:color="auto"/>
        <w:bottom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88">
    <w:name w:val="xl188"/>
    <w:basedOn w:val="Normal"/>
    <w:pPr>
      <w:pBdr>
        <w:top w:val="single" w:sz="8" w:space="0" w:color="auto"/>
        <w:bottom w:val="single" w:sz="8" w:space="0" w:color="auto"/>
        <w:right w:val="single" w:sz="8" w:space="0" w:color="auto"/>
      </w:pBdr>
      <w:shd w:val="clear" w:color="000000" w:fill="99CCFF"/>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89">
    <w:name w:val="xl189"/>
    <w:basedOn w:val="Normal"/>
    <w:pPr>
      <w:pBdr>
        <w:bottom w:val="double" w:sz="6"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90">
    <w:name w:val="xl190"/>
    <w:basedOn w:val="Normal"/>
    <w:pPr>
      <w:autoSpaceDE w:val="0"/>
      <w:autoSpaceDN w:val="0"/>
      <w:adjustRightInd w:val="0"/>
      <w:spacing w:before="100" w:beforeAutospacing="1" w:after="100" w:afterAutospacing="1" w:line="276" w:lineRule="auto"/>
      <w:jc w:val="center"/>
    </w:pPr>
    <w:rPr>
      <w:rFonts w:eastAsiaTheme="minorEastAsia"/>
      <w:sz w:val="16"/>
      <w:szCs w:val="16"/>
      <w:u w:val="single"/>
      <w:lang w:val="es-ES" w:eastAsia="es-PE"/>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192">
    <w:name w:val="xl192"/>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93">
    <w:name w:val="xl193"/>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94">
    <w:name w:val="xl194"/>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 w:val="16"/>
      <w:szCs w:val="16"/>
      <w:lang w:val="es-ES" w:eastAsia="es-PE"/>
    </w:rPr>
  </w:style>
  <w:style w:type="paragraph" w:customStyle="1" w:styleId="xl195">
    <w:name w:val="xl195"/>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96">
    <w:name w:val="xl196"/>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97">
    <w:name w:val="xl197"/>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198">
    <w:name w:val="xl198"/>
    <w:basedOn w:val="Normal"/>
    <w:pPr>
      <w:pBdr>
        <w:bottom w:val="double" w:sz="6" w:space="0" w:color="auto"/>
      </w:pBd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199">
    <w:name w:val="xl199"/>
    <w:basedOn w:val="Normal"/>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0">
    <w:name w:val="xl200"/>
    <w:basedOn w:val="Normal"/>
    <w:pPr>
      <w:pBdr>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1">
    <w:name w:val="xl201"/>
    <w:basedOn w:val="Normal"/>
    <w:pPr>
      <w:pBdr>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2">
    <w:name w:val="xl202"/>
    <w:basedOn w:val="Normal"/>
    <w:pPr>
      <w:pBdr>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3">
    <w:name w:val="xl203"/>
    <w:basedOn w:val="Normal"/>
    <w:pPr>
      <w:pBdr>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 w:val="16"/>
      <w:szCs w:val="16"/>
      <w:lang w:val="es-ES" w:eastAsia="es-PE"/>
    </w:rPr>
  </w:style>
  <w:style w:type="paragraph" w:customStyle="1" w:styleId="xl204">
    <w:name w:val="xl204"/>
    <w:basedOn w:val="Normal"/>
    <w:qFormat/>
    <w:pPr>
      <w:autoSpaceDE w:val="0"/>
      <w:autoSpaceDN w:val="0"/>
      <w:adjustRightInd w:val="0"/>
      <w:spacing w:before="100" w:beforeAutospacing="1" w:after="100" w:afterAutospacing="1" w:line="276" w:lineRule="auto"/>
      <w:jc w:val="both"/>
    </w:pPr>
    <w:rPr>
      <w:rFonts w:eastAsiaTheme="minorEastAsia"/>
      <w:b/>
      <w:sz w:val="16"/>
      <w:szCs w:val="16"/>
      <w:lang w:val="es-ES" w:eastAsia="es-PE"/>
    </w:rPr>
  </w:style>
  <w:style w:type="paragraph" w:customStyle="1" w:styleId="xl205">
    <w:name w:val="xl205"/>
    <w:basedOn w:val="Normal"/>
    <w:qFormat/>
    <w:pPr>
      <w:pBdr>
        <w:top w:val="single" w:sz="4" w:space="0" w:color="auto"/>
        <w:lef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6">
    <w:name w:val="xl206"/>
    <w:basedOn w:val="Normal"/>
    <w:qFormat/>
    <w:pPr>
      <w:pBdr>
        <w:top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7">
    <w:name w:val="xl207"/>
    <w:basedOn w:val="Normal"/>
    <w:qFormat/>
    <w:pPr>
      <w:pBdr>
        <w:top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8">
    <w:name w:val="xl208"/>
    <w:basedOn w:val="Normal"/>
    <w:pPr>
      <w:pBdr>
        <w:lef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09">
    <w:name w:val="xl209"/>
    <w:basedOn w:val="Normal"/>
    <w:pPr>
      <w:pBdr>
        <w:right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10">
    <w:name w:val="xl210"/>
    <w:basedOn w:val="Normal"/>
    <w:pPr>
      <w:pBdr>
        <w:left w:val="single" w:sz="4" w:space="0" w:color="auto"/>
        <w:bottom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11">
    <w:name w:val="xl211"/>
    <w:basedOn w:val="Normal"/>
    <w:pPr>
      <w:pBdr>
        <w:bottom w:val="single" w:sz="4" w:space="0" w:color="auto"/>
      </w:pBdr>
      <w:autoSpaceDE w:val="0"/>
      <w:autoSpaceDN w:val="0"/>
      <w:adjustRightInd w:val="0"/>
      <w:spacing w:before="100" w:beforeAutospacing="1" w:after="100" w:afterAutospacing="1" w:line="276" w:lineRule="auto"/>
      <w:jc w:val="center"/>
    </w:pPr>
    <w:rPr>
      <w:rFonts w:eastAsiaTheme="minorEastAsia"/>
      <w:sz w:val="16"/>
      <w:szCs w:val="16"/>
      <w:lang w:val="es-ES" w:eastAsia="es-PE"/>
    </w:rPr>
  </w:style>
  <w:style w:type="paragraph" w:customStyle="1" w:styleId="xl222">
    <w:name w:val="xl222"/>
    <w:basedOn w:val="Normal"/>
    <w:pP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23">
    <w:name w:val="xl223"/>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24">
    <w:name w:val="xl224"/>
    <w:basedOn w:val="Normal"/>
    <w:pP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25">
    <w:name w:val="xl225"/>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26">
    <w:name w:val="xl226"/>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27">
    <w:name w:val="xl227"/>
    <w:basedOn w:val="Normal"/>
    <w:pPr>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28">
    <w:name w:val="xl228"/>
    <w:basedOn w:val="Normal"/>
    <w:qFormat/>
    <w:pPr>
      <w:pBdr>
        <w:top w:val="single" w:sz="4" w:space="0" w:color="auto"/>
        <w:left w:val="single" w:sz="4" w:space="0" w:color="auto"/>
        <w:bottom w:val="single" w:sz="4" w:space="0" w:color="auto"/>
        <w:right w:val="single" w:sz="4" w:space="0" w:color="auto"/>
      </w:pBdr>
      <w:shd w:val="clear" w:color="000000" w:fill="5B9BD5"/>
      <w:autoSpaceDE w:val="0"/>
      <w:autoSpaceDN w:val="0"/>
      <w:adjustRightInd w:val="0"/>
      <w:spacing w:before="100" w:beforeAutospacing="1" w:after="100" w:afterAutospacing="1" w:line="276" w:lineRule="auto"/>
      <w:jc w:val="both"/>
    </w:pPr>
    <w:rPr>
      <w:rFonts w:eastAsiaTheme="minorEastAsia"/>
      <w:b/>
      <w:color w:val="FFFFFF"/>
      <w:szCs w:val="24"/>
      <w:lang w:eastAsia="es-PE"/>
    </w:rPr>
  </w:style>
  <w:style w:type="paragraph" w:customStyle="1" w:styleId="xl229">
    <w:name w:val="xl229"/>
    <w:basedOn w:val="Normal"/>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30">
    <w:name w:val="xl230"/>
    <w:basedOn w:val="Normal"/>
    <w:pPr>
      <w:pBdr>
        <w:top w:val="single" w:sz="4" w:space="0" w:color="auto"/>
        <w:left w:val="single" w:sz="4" w:space="0" w:color="auto"/>
        <w:bottom w:val="single" w:sz="4" w:space="0" w:color="auto"/>
        <w:right w:val="single" w:sz="4" w:space="0" w:color="auto"/>
      </w:pBdr>
      <w:shd w:val="clear" w:color="000000" w:fill="5B9BD5"/>
      <w:autoSpaceDE w:val="0"/>
      <w:autoSpaceDN w:val="0"/>
      <w:adjustRightInd w:val="0"/>
      <w:spacing w:before="100" w:beforeAutospacing="1" w:after="100" w:afterAutospacing="1" w:line="276" w:lineRule="auto"/>
      <w:jc w:val="center"/>
    </w:pPr>
    <w:rPr>
      <w:rFonts w:eastAsiaTheme="minorEastAsia"/>
      <w:b/>
      <w:color w:val="FFFFFF"/>
      <w:szCs w:val="24"/>
      <w:lang w:eastAsia="es-PE"/>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32">
    <w:name w:val="xl232"/>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33">
    <w:name w:val="xl233"/>
    <w:basedOn w:val="Normal"/>
    <w:pPr>
      <w:pBdr>
        <w:top w:val="single" w:sz="4" w:space="0" w:color="auto"/>
        <w:left w:val="single" w:sz="4" w:space="9"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ind w:firstLine="100"/>
      <w:jc w:val="both"/>
    </w:pPr>
    <w:rPr>
      <w:rFonts w:eastAsiaTheme="minorEastAsia"/>
      <w:szCs w:val="24"/>
      <w:lang w:eastAsia="es-PE"/>
    </w:rPr>
  </w:style>
  <w:style w:type="paragraph" w:customStyle="1" w:styleId="xl234">
    <w:name w:val="xl234"/>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35">
    <w:name w:val="xl235"/>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b/>
      <w:szCs w:val="24"/>
      <w:lang w:eastAsia="es-PE"/>
    </w:rPr>
  </w:style>
  <w:style w:type="paragraph" w:customStyle="1" w:styleId="xl236">
    <w:name w:val="xl236"/>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37">
    <w:name w:val="xl237"/>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38">
    <w:name w:val="xl238"/>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39">
    <w:name w:val="xl239"/>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b/>
      <w:szCs w:val="24"/>
      <w:lang w:eastAsia="es-PE"/>
    </w:rPr>
  </w:style>
  <w:style w:type="paragraph" w:customStyle="1" w:styleId="xl240">
    <w:name w:val="xl240"/>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41">
    <w:name w:val="xl241"/>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42">
    <w:name w:val="xl242"/>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43">
    <w:name w:val="xl243"/>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44">
    <w:name w:val="xl244"/>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45">
    <w:name w:val="xl245"/>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46">
    <w:name w:val="xl246"/>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47">
    <w:name w:val="xl247"/>
    <w:basedOn w:val="Normal"/>
    <w:qFormat/>
    <w:pPr>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48">
    <w:name w:val="xl248"/>
    <w:basedOn w:val="Normal"/>
    <w:qFormat/>
    <w:pP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49">
    <w:name w:val="xl249"/>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50">
    <w:name w:val="xl250"/>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51">
    <w:name w:val="xl251"/>
    <w:basedOn w:val="Normal"/>
    <w:qFormat/>
    <w:pPr>
      <w:pBdr>
        <w:top w:val="single" w:sz="4" w:space="0" w:color="auto"/>
        <w:left w:val="single" w:sz="4" w:space="0" w:color="auto"/>
        <w:bottom w:val="single" w:sz="4" w:space="0" w:color="auto"/>
        <w:right w:val="single" w:sz="4" w:space="0" w:color="auto"/>
      </w:pBdr>
      <w:shd w:val="clear" w:color="000000" w:fill="5B9BD5"/>
      <w:autoSpaceDE w:val="0"/>
      <w:autoSpaceDN w:val="0"/>
      <w:adjustRightInd w:val="0"/>
      <w:spacing w:before="100" w:beforeAutospacing="1" w:after="100" w:afterAutospacing="1" w:line="276" w:lineRule="auto"/>
      <w:jc w:val="center"/>
    </w:pPr>
    <w:rPr>
      <w:rFonts w:eastAsiaTheme="minorEastAsia"/>
      <w:b/>
      <w:color w:val="FFFFFF"/>
      <w:szCs w:val="24"/>
      <w:lang w:eastAsia="es-PE"/>
    </w:rPr>
  </w:style>
  <w:style w:type="paragraph" w:customStyle="1" w:styleId="xl252">
    <w:name w:val="xl252"/>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53">
    <w:name w:val="xl253"/>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54">
    <w:name w:val="xl254"/>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55">
    <w:name w:val="xl255"/>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56">
    <w:name w:val="xl256"/>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57">
    <w:name w:val="xl257"/>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58">
    <w:name w:val="xl258"/>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59">
    <w:name w:val="xl259"/>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60">
    <w:name w:val="xl260"/>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61">
    <w:name w:val="xl261"/>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62">
    <w:name w:val="xl262"/>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63">
    <w:name w:val="xl263"/>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64">
    <w:name w:val="xl264"/>
    <w:basedOn w:val="Normal"/>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65">
    <w:name w:val="xl265"/>
    <w:basedOn w:val="Normal"/>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66">
    <w:name w:val="xl266"/>
    <w:basedOn w:val="Normal"/>
    <w:qFormat/>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67">
    <w:name w:val="xl267"/>
    <w:basedOn w:val="Normal"/>
    <w:qFormat/>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68">
    <w:name w:val="xl268"/>
    <w:basedOn w:val="Normal"/>
    <w:qFormat/>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TituloESSALUD6">
    <w:name w:val="Titulo ESSALUD 6"/>
    <w:basedOn w:val="Ttulo6"/>
    <w:next w:val="Normal"/>
    <w:pPr>
      <w:tabs>
        <w:tab w:val="left" w:pos="1152"/>
      </w:tabs>
      <w:autoSpaceDE w:val="0"/>
      <w:autoSpaceDN w:val="0"/>
      <w:adjustRightInd w:val="0"/>
      <w:spacing w:after="240"/>
      <w:ind w:left="1985" w:hanging="1134"/>
      <w:jc w:val="left"/>
    </w:pPr>
    <w:rPr>
      <w:rFonts w:eastAsiaTheme="minorEastAsia" w:cs="Times New Roman"/>
      <w:bCs w:val="0"/>
      <w:color w:val="008ECB"/>
      <w:szCs w:val="20"/>
      <w:lang w:eastAsia="es-PE"/>
    </w:rPr>
  </w:style>
  <w:style w:type="paragraph" w:customStyle="1" w:styleId="Titulo7ESSALUD">
    <w:name w:val="Titulo 7 ESSALUD"/>
    <w:basedOn w:val="Ttulo7"/>
    <w:next w:val="Normal"/>
    <w:qFormat/>
    <w:pPr>
      <w:keepLines w:val="0"/>
      <w:tabs>
        <w:tab w:val="left" w:pos="1296"/>
      </w:tabs>
      <w:autoSpaceDE w:val="0"/>
      <w:autoSpaceDN w:val="0"/>
      <w:adjustRightInd w:val="0"/>
      <w:spacing w:before="0" w:after="240"/>
      <w:ind w:left="2551" w:hanging="1457"/>
      <w:jc w:val="both"/>
    </w:pPr>
    <w:rPr>
      <w:rFonts w:ascii="Arial" w:eastAsiaTheme="minorEastAsia" w:hAnsi="Arial" w:cs="Times New Roman"/>
      <w:i w:val="0"/>
      <w:iCs w:val="0"/>
      <w:color w:val="008ECB"/>
      <w:szCs w:val="20"/>
      <w:lang w:val="es-ES" w:eastAsia="es-PE"/>
    </w:rPr>
  </w:style>
  <w:style w:type="paragraph" w:customStyle="1" w:styleId="TITULO8ESSALUD">
    <w:name w:val="TITULO 8 ESSALUD"/>
    <w:basedOn w:val="Ttulo8"/>
    <w:next w:val="Normal"/>
    <w:pPr>
      <w:keepNext w:val="0"/>
      <w:keepLines w:val="0"/>
      <w:tabs>
        <w:tab w:val="left" w:pos="1440"/>
      </w:tabs>
      <w:autoSpaceDE w:val="0"/>
      <w:autoSpaceDN w:val="0"/>
      <w:adjustRightInd w:val="0"/>
      <w:spacing w:before="0" w:after="240"/>
      <w:ind w:left="3119" w:hanging="1622"/>
      <w:jc w:val="both"/>
    </w:pPr>
    <w:rPr>
      <w:rFonts w:ascii="Arial" w:eastAsiaTheme="minorEastAsia" w:hAnsi="Arial" w:cs="Times New Roman"/>
      <w:color w:val="008ECB"/>
      <w:sz w:val="22"/>
      <w:szCs w:val="24"/>
      <w:lang w:val="es-ES" w:eastAsia="es-PE"/>
    </w:rPr>
  </w:style>
  <w:style w:type="paragraph" w:customStyle="1" w:styleId="xl280">
    <w:name w:val="xl280"/>
    <w:basedOn w:val="Normal"/>
    <w:qFormat/>
    <w:pPr>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81">
    <w:name w:val="xl281"/>
    <w:basedOn w:val="Normal"/>
    <w:qFormat/>
    <w:pP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82">
    <w:name w:val="xl282"/>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83">
    <w:name w:val="xl283"/>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b/>
      <w:szCs w:val="24"/>
      <w:lang w:eastAsia="es-PE"/>
    </w:rPr>
  </w:style>
  <w:style w:type="paragraph" w:customStyle="1" w:styleId="xl284">
    <w:name w:val="xl284"/>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85">
    <w:name w:val="xl285"/>
    <w:basedOn w:val="Normal"/>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86">
    <w:name w:val="xl286"/>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87">
    <w:name w:val="xl287"/>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88">
    <w:name w:val="xl288"/>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89">
    <w:name w:val="xl289"/>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290">
    <w:name w:val="xl290"/>
    <w:basedOn w:val="Normal"/>
    <w:pPr>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91">
    <w:name w:val="xl291"/>
    <w:basedOn w:val="Normal"/>
    <w:qFormat/>
    <w:pPr>
      <w:pBdr>
        <w:top w:val="single" w:sz="4" w:space="0" w:color="auto"/>
        <w:left w:val="single" w:sz="4" w:space="0" w:color="auto"/>
        <w:bottom w:val="single" w:sz="4" w:space="0" w:color="auto"/>
        <w:right w:val="single" w:sz="4" w:space="0" w:color="auto"/>
      </w:pBdr>
      <w:shd w:val="clear" w:color="000000" w:fill="5B9BD5"/>
      <w:autoSpaceDE w:val="0"/>
      <w:autoSpaceDN w:val="0"/>
      <w:adjustRightInd w:val="0"/>
      <w:spacing w:before="100" w:beforeAutospacing="1" w:after="100" w:afterAutospacing="1" w:line="276" w:lineRule="auto"/>
      <w:jc w:val="both"/>
    </w:pPr>
    <w:rPr>
      <w:rFonts w:eastAsiaTheme="minorEastAsia"/>
      <w:b/>
      <w:color w:val="FFFFFF"/>
      <w:szCs w:val="24"/>
      <w:lang w:eastAsia="es-PE"/>
    </w:rPr>
  </w:style>
  <w:style w:type="paragraph" w:customStyle="1" w:styleId="xl292">
    <w:name w:val="xl292"/>
    <w:basedOn w:val="Normal"/>
    <w:qFormat/>
    <w:pPr>
      <w:pBdr>
        <w:top w:val="single" w:sz="4" w:space="0" w:color="auto"/>
        <w:left w:val="single" w:sz="4" w:space="0" w:color="auto"/>
        <w:bottom w:val="single" w:sz="4" w:space="0" w:color="auto"/>
        <w:right w:val="single" w:sz="4" w:space="0" w:color="auto"/>
      </w:pBdr>
      <w:shd w:val="clear" w:color="000000" w:fill="FFFF00"/>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93">
    <w:name w:val="xl293"/>
    <w:basedOn w:val="Normal"/>
    <w:pPr>
      <w:pBdr>
        <w:top w:val="single" w:sz="4" w:space="0" w:color="auto"/>
        <w:left w:val="single" w:sz="4" w:space="0" w:color="auto"/>
        <w:bottom w:val="single" w:sz="4" w:space="0" w:color="auto"/>
        <w:right w:val="single" w:sz="4" w:space="0" w:color="auto"/>
      </w:pBdr>
      <w:shd w:val="clear" w:color="000000" w:fill="5B9BD5"/>
      <w:autoSpaceDE w:val="0"/>
      <w:autoSpaceDN w:val="0"/>
      <w:adjustRightInd w:val="0"/>
      <w:spacing w:before="100" w:beforeAutospacing="1" w:after="100" w:afterAutospacing="1" w:line="276" w:lineRule="auto"/>
      <w:jc w:val="center"/>
    </w:pPr>
    <w:rPr>
      <w:rFonts w:eastAsiaTheme="minorEastAsia"/>
      <w:b/>
      <w:color w:val="FFFFFF"/>
      <w:szCs w:val="24"/>
      <w:lang w:eastAsia="es-PE"/>
    </w:rPr>
  </w:style>
  <w:style w:type="paragraph" w:customStyle="1" w:styleId="xl294">
    <w:name w:val="xl294"/>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szCs w:val="24"/>
      <w:lang w:eastAsia="es-PE"/>
    </w:rPr>
  </w:style>
  <w:style w:type="paragraph" w:customStyle="1" w:styleId="xl295">
    <w:name w:val="xl295"/>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96">
    <w:name w:val="xl296"/>
    <w:basedOn w:val="Normal"/>
    <w:qFormat/>
    <w:pPr>
      <w:pBdr>
        <w:top w:val="single" w:sz="4" w:space="0" w:color="auto"/>
        <w:left w:val="single" w:sz="4" w:space="9"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ind w:firstLine="100"/>
      <w:jc w:val="both"/>
    </w:pPr>
    <w:rPr>
      <w:rFonts w:eastAsiaTheme="minorEastAsia"/>
      <w:szCs w:val="24"/>
      <w:lang w:eastAsia="es-PE"/>
    </w:rPr>
  </w:style>
  <w:style w:type="paragraph" w:customStyle="1" w:styleId="xl297">
    <w:name w:val="xl297"/>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298">
    <w:name w:val="xl298"/>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b/>
      <w:szCs w:val="24"/>
      <w:lang w:eastAsia="es-PE"/>
    </w:rPr>
  </w:style>
  <w:style w:type="paragraph" w:customStyle="1" w:styleId="xl299">
    <w:name w:val="xl299"/>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300">
    <w:name w:val="xl300"/>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szCs w:val="24"/>
      <w:lang w:eastAsia="es-PE"/>
    </w:rPr>
  </w:style>
  <w:style w:type="paragraph" w:customStyle="1" w:styleId="xl301">
    <w:name w:val="xl301"/>
    <w:basedOn w:val="Normal"/>
    <w:qFormat/>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center"/>
    </w:pPr>
    <w:rPr>
      <w:rFonts w:eastAsiaTheme="minorEastAsia"/>
      <w:b/>
      <w:szCs w:val="24"/>
      <w:lang w:eastAsia="es-PE"/>
    </w:rPr>
  </w:style>
  <w:style w:type="paragraph" w:customStyle="1" w:styleId="xl302">
    <w:name w:val="xl302"/>
    <w:basedOn w:val="Normal"/>
    <w:pPr>
      <w:pBdr>
        <w:top w:val="single" w:sz="4" w:space="0" w:color="auto"/>
        <w:left w:val="single" w:sz="4" w:space="0" w:color="auto"/>
        <w:bottom w:val="single" w:sz="4" w:space="0" w:color="auto"/>
        <w:right w:val="single" w:sz="4" w:space="0" w:color="auto"/>
      </w:pBdr>
      <w:shd w:val="clear" w:color="000000" w:fill="F2F2F2"/>
      <w:autoSpaceDE w:val="0"/>
      <w:autoSpaceDN w:val="0"/>
      <w:adjustRightInd w:val="0"/>
      <w:spacing w:before="100" w:beforeAutospacing="1" w:after="100" w:afterAutospacing="1" w:line="276" w:lineRule="auto"/>
      <w:jc w:val="both"/>
    </w:pPr>
    <w:rPr>
      <w:rFonts w:eastAsiaTheme="minorEastAsia"/>
      <w:b/>
      <w:szCs w:val="24"/>
      <w:lang w:eastAsia="es-PE"/>
    </w:rPr>
  </w:style>
  <w:style w:type="paragraph" w:customStyle="1" w:styleId="Estilo3">
    <w:name w:val="Estilo3"/>
    <w:basedOn w:val="Normal"/>
    <w:pPr>
      <w:tabs>
        <w:tab w:val="left" w:pos="993"/>
        <w:tab w:val="left" w:pos="2880"/>
      </w:tabs>
      <w:autoSpaceDE w:val="0"/>
      <w:autoSpaceDN w:val="0"/>
      <w:adjustRightInd w:val="0"/>
      <w:spacing w:line="360" w:lineRule="auto"/>
      <w:jc w:val="both"/>
    </w:pPr>
    <w:rPr>
      <w:rFonts w:ascii="Calibri" w:eastAsia="MS Gothic" w:hAnsi="Calibri" w:cs="Times New Roman"/>
      <w:sz w:val="20"/>
      <w:szCs w:val="20"/>
      <w:lang w:val="pt-BR" w:eastAsia="es-PE"/>
    </w:rPr>
  </w:style>
  <w:style w:type="character" w:customStyle="1" w:styleId="Estilo3Char">
    <w:name w:val="Estilo3 Char"/>
    <w:rPr>
      <w:rFonts w:eastAsia="MS Gothic"/>
      <w:sz w:val="20"/>
      <w:lang w:val="pt-BR"/>
    </w:rPr>
  </w:style>
  <w:style w:type="character" w:customStyle="1" w:styleId="Mencinsinresolver21">
    <w:name w:val="Mención sin resolver21"/>
    <w:basedOn w:val="Fuentedeprrafopredeter"/>
    <w:uiPriority w:val="99"/>
    <w:rPr>
      <w:rFonts w:cs="Times New Roman"/>
      <w:color w:val="605E5C"/>
      <w:shd w:val="clear" w:color="auto" w:fill="E1DFDD"/>
    </w:rPr>
  </w:style>
  <w:style w:type="character" w:customStyle="1" w:styleId="UnresolvedMention1">
    <w:name w:val="Unresolved Mention1"/>
    <w:basedOn w:val="Fuentedeprrafopredeter"/>
    <w:uiPriority w:val="99"/>
    <w:qFormat/>
    <w:rPr>
      <w:rFonts w:cs="Times New Roman"/>
      <w:color w:val="605E5C"/>
      <w:shd w:val="clear" w:color="auto" w:fill="E1DFDD"/>
    </w:rPr>
  </w:style>
  <w:style w:type="character" w:customStyle="1" w:styleId="EstiloCar">
    <w:name w:val="Estilo Car"/>
    <w:qFormat/>
    <w:rPr>
      <w:rFonts w:ascii="Arial" w:hAnsi="Arial"/>
      <w:b/>
      <w:sz w:val="24"/>
      <w:lang w:val="es-MX"/>
    </w:rPr>
  </w:style>
  <w:style w:type="character" w:customStyle="1" w:styleId="UnresolvedMention2">
    <w:name w:val="Unresolved Mention2"/>
    <w:basedOn w:val="Fuentedeprrafopredeter"/>
    <w:uiPriority w:val="99"/>
    <w:qFormat/>
    <w:rPr>
      <w:rFonts w:cs="Times New Roman"/>
      <w:color w:val="605E5C"/>
      <w:shd w:val="clear" w:color="auto" w:fill="E1DFDD"/>
    </w:rPr>
  </w:style>
  <w:style w:type="character" w:customStyle="1" w:styleId="UnresolvedMention3">
    <w:name w:val="Unresolved Mention3"/>
    <w:basedOn w:val="Fuentedeprrafopredeter"/>
    <w:uiPriority w:val="99"/>
    <w:rPr>
      <w:rFonts w:cs="Times New Roman"/>
      <w:color w:val="605E5C"/>
      <w:shd w:val="clear" w:color="auto" w:fill="E1DFDD"/>
    </w:rPr>
  </w:style>
  <w:style w:type="paragraph" w:customStyle="1" w:styleId="xl16361">
    <w:name w:val="xl16361"/>
    <w:basedOn w:val="Normal"/>
    <w:pPr>
      <w:autoSpaceDE w:val="0"/>
      <w:autoSpaceDN w:val="0"/>
      <w:adjustRightInd w:val="0"/>
      <w:spacing w:before="100" w:beforeAutospacing="1" w:after="100" w:afterAutospacing="1"/>
    </w:pPr>
    <w:rPr>
      <w:rFonts w:ascii="Garamond" w:eastAsiaTheme="minorEastAsia" w:hAnsi="Garamond" w:cs="Times New Roman"/>
      <w:sz w:val="20"/>
      <w:szCs w:val="20"/>
      <w:lang w:val="en-US" w:eastAsia="es-PE"/>
    </w:rPr>
  </w:style>
  <w:style w:type="paragraph" w:customStyle="1" w:styleId="xl16362">
    <w:name w:val="xl16362"/>
    <w:basedOn w:val="Normal"/>
    <w:pP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63">
    <w:name w:val="xl16363"/>
    <w:basedOn w:val="Normal"/>
    <w:pP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64">
    <w:name w:val="xl16364"/>
    <w:basedOn w:val="Normal"/>
    <w:pPr>
      <w:autoSpaceDE w:val="0"/>
      <w:autoSpaceDN w:val="0"/>
      <w:adjustRightInd w:val="0"/>
      <w:spacing w:before="100" w:beforeAutospacing="1" w:after="100" w:afterAutospacing="1"/>
    </w:pPr>
    <w:rPr>
      <w:rFonts w:ascii="Garamond" w:eastAsiaTheme="minorEastAsia" w:hAnsi="Garamond" w:cs="Times New Roman"/>
      <w:sz w:val="20"/>
      <w:szCs w:val="20"/>
      <w:lang w:val="en-US" w:eastAsia="es-PE"/>
    </w:rPr>
  </w:style>
  <w:style w:type="paragraph" w:customStyle="1" w:styleId="xl16365">
    <w:name w:val="xl16365"/>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pPr>
    <w:rPr>
      <w:rFonts w:ascii="Garamond" w:eastAsiaTheme="minorEastAsia" w:hAnsi="Garamond" w:cs="Times New Roman"/>
      <w:sz w:val="20"/>
      <w:szCs w:val="20"/>
      <w:lang w:val="en-US" w:eastAsia="es-PE"/>
    </w:rPr>
  </w:style>
  <w:style w:type="paragraph" w:customStyle="1" w:styleId="xl16366">
    <w:name w:val="xl16366"/>
    <w:basedOn w:val="Normal"/>
    <w:qFormat/>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67">
    <w:name w:val="xl16367"/>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68">
    <w:name w:val="xl16368"/>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69">
    <w:name w:val="xl16369"/>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70">
    <w:name w:val="xl16370"/>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71">
    <w:name w:val="xl16371"/>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color w:val="333333"/>
      <w:sz w:val="20"/>
      <w:szCs w:val="20"/>
      <w:lang w:val="en-US" w:eastAsia="es-PE"/>
    </w:rPr>
  </w:style>
  <w:style w:type="paragraph" w:customStyle="1" w:styleId="xl16372">
    <w:name w:val="xl16372"/>
    <w:basedOn w:val="Normal"/>
    <w:qFormat/>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73">
    <w:name w:val="xl16373"/>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xl16374">
    <w:name w:val="xl16374"/>
    <w:basedOn w:val="Normal"/>
    <w:pPr>
      <w:pBdr>
        <w:top w:val="single" w:sz="4" w:space="0" w:color="5B9BD5"/>
        <w:left w:val="single" w:sz="4" w:space="0" w:color="5B9BD5"/>
        <w:bottom w:val="single" w:sz="4" w:space="0" w:color="5B9BD5"/>
        <w:right w:val="single" w:sz="4" w:space="0" w:color="5B9BD5"/>
      </w:pBdr>
      <w:autoSpaceDE w:val="0"/>
      <w:autoSpaceDN w:val="0"/>
      <w:adjustRightInd w:val="0"/>
      <w:spacing w:before="100" w:beforeAutospacing="1" w:after="100" w:afterAutospacing="1"/>
      <w:jc w:val="center"/>
    </w:pPr>
    <w:rPr>
      <w:rFonts w:ascii="Garamond" w:eastAsiaTheme="minorEastAsia" w:hAnsi="Garamond" w:cs="Times New Roman"/>
      <w:sz w:val="20"/>
      <w:szCs w:val="20"/>
      <w:lang w:val="en-US" w:eastAsia="es-PE"/>
    </w:rPr>
  </w:style>
  <w:style w:type="paragraph" w:customStyle="1" w:styleId="Bibliografa1">
    <w:name w:val="Bibliografía1"/>
    <w:basedOn w:val="Normal"/>
    <w:next w:val="Normal"/>
    <w:uiPriority w:val="37"/>
    <w:pPr>
      <w:autoSpaceDE w:val="0"/>
      <w:autoSpaceDN w:val="0"/>
      <w:adjustRightInd w:val="0"/>
      <w:spacing w:line="259" w:lineRule="auto"/>
      <w:jc w:val="both"/>
    </w:pPr>
    <w:rPr>
      <w:rFonts w:ascii="Calibri" w:eastAsia="Times New Roman" w:hAnsi="Calibri"/>
      <w:lang w:val="es-PE" w:eastAsia="es-PE"/>
    </w:rPr>
  </w:style>
  <w:style w:type="paragraph" w:customStyle="1" w:styleId="cuerpo3">
    <w:name w:val="cuerpo"/>
    <w:basedOn w:val="Normal"/>
    <w:pPr>
      <w:autoSpaceDE w:val="0"/>
      <w:autoSpaceDN w:val="0"/>
      <w:adjustRightInd w:val="0"/>
      <w:spacing w:after="115"/>
      <w:jc w:val="both"/>
    </w:pPr>
    <w:rPr>
      <w:rFonts w:eastAsiaTheme="minorEastAsia"/>
      <w:sz w:val="24"/>
      <w:szCs w:val="24"/>
      <w:lang w:val="es-CL" w:eastAsia="es-PE"/>
    </w:rPr>
  </w:style>
  <w:style w:type="character" w:customStyle="1" w:styleId="no-style-override-1">
    <w:name w:val="no-style-override-1"/>
    <w:basedOn w:val="Fuentedeprrafopredeter"/>
    <w:rPr>
      <w:rFonts w:cs="Times New Roman"/>
      <w:b/>
    </w:rPr>
  </w:style>
  <w:style w:type="character" w:customStyle="1" w:styleId="no-style-override">
    <w:name w:val="no-style-override"/>
    <w:basedOn w:val="Fuentedeprrafopredeter"/>
    <w:qFormat/>
    <w:rPr>
      <w:rFonts w:cs="Times New Roman"/>
    </w:rPr>
  </w:style>
  <w:style w:type="character" w:customStyle="1" w:styleId="meta-prep">
    <w:name w:val="meta-prep"/>
    <w:basedOn w:val="Fuentedeprrafopredeter"/>
    <w:rPr>
      <w:rFonts w:cs="Times New Roman"/>
    </w:rPr>
  </w:style>
  <w:style w:type="character" w:customStyle="1" w:styleId="entry-date">
    <w:name w:val="entry-date"/>
    <w:basedOn w:val="Fuentedeprrafopredeter"/>
    <w:rPr>
      <w:rFonts w:cs="Times New Roman"/>
    </w:rPr>
  </w:style>
  <w:style w:type="paragraph" w:customStyle="1" w:styleId="gmail-msonormal">
    <w:name w:val="gmail-msonormal"/>
    <w:basedOn w:val="Normal"/>
    <w:pPr>
      <w:autoSpaceDE w:val="0"/>
      <w:autoSpaceDN w:val="0"/>
      <w:adjustRightInd w:val="0"/>
      <w:spacing w:before="100" w:beforeAutospacing="1" w:after="100" w:afterAutospacing="1"/>
    </w:pPr>
    <w:rPr>
      <w:rFonts w:ascii="Calibri" w:eastAsia="Times New Roman" w:hAnsi="Calibri" w:cs="Times New Roman"/>
      <w:lang w:val="es-CL" w:eastAsia="es-PE"/>
    </w:rPr>
  </w:style>
  <w:style w:type="paragraph" w:customStyle="1" w:styleId="Bullet">
    <w:name w:val="Bullet"/>
    <w:next w:val="Normal"/>
    <w:pPr>
      <w:tabs>
        <w:tab w:val="left" w:pos="720"/>
      </w:tabs>
      <w:autoSpaceDE w:val="0"/>
      <w:autoSpaceDN w:val="0"/>
      <w:adjustRightInd w:val="0"/>
      <w:ind w:left="720" w:hanging="360"/>
    </w:pPr>
    <w:rPr>
      <w:rFonts w:ascii="Times New Roman" w:eastAsia="Calibri" w:hAnsi="Times New Roman" w:cs="Times New Roman"/>
      <w:sz w:val="24"/>
      <w:szCs w:val="24"/>
    </w:rPr>
  </w:style>
  <w:style w:type="character" w:customStyle="1" w:styleId="BulletChar">
    <w:name w:val="Bullet Char"/>
    <w:qFormat/>
    <w:rPr>
      <w:rFonts w:ascii="Times New Roman" w:hAnsi="Times New Roman"/>
      <w:sz w:val="24"/>
    </w:rPr>
  </w:style>
  <w:style w:type="paragraph" w:customStyle="1" w:styleId="EstiloMicrosoftSansSerif11ptJustificadoDerecha001cm">
    <w:name w:val="Estilo Microsoft Sans Serif 11 pt Justificado Derecha:  0.01 cm ..."/>
    <w:basedOn w:val="Normal"/>
    <w:qFormat/>
    <w:pPr>
      <w:autoSpaceDE w:val="0"/>
      <w:autoSpaceDN w:val="0"/>
      <w:adjustRightInd w:val="0"/>
      <w:spacing w:line="288" w:lineRule="auto"/>
      <w:ind w:right="6"/>
      <w:jc w:val="both"/>
    </w:pPr>
    <w:rPr>
      <w:rFonts w:ascii="Microsoft Sans Serif" w:eastAsiaTheme="minorEastAsia" w:hAnsi="Microsoft Sans Serif" w:cs="Microsoft Sans Serif"/>
      <w:color w:val="000080"/>
      <w:lang w:val="es-ES" w:eastAsia="es-PE" w:bidi="he-IL"/>
    </w:rPr>
  </w:style>
  <w:style w:type="paragraph" w:customStyle="1" w:styleId="CarCarCharCharCarCarCarCharCharCarCarCarCarCharChar">
    <w:name w:val="Car Car Char Char Car Car Car Char Char Car Car Car Car Char Char"/>
    <w:basedOn w:val="Normal"/>
    <w:qFormat/>
    <w:pPr>
      <w:autoSpaceDE w:val="0"/>
      <w:autoSpaceDN w:val="0"/>
      <w:adjustRightInd w:val="0"/>
      <w:spacing w:after="160" w:line="240" w:lineRule="exact"/>
      <w:jc w:val="both"/>
    </w:pPr>
    <w:rPr>
      <w:rFonts w:ascii="Verdana" w:eastAsiaTheme="minorEastAsia" w:hAnsi="Verdana" w:cs="Times New Roman"/>
      <w:sz w:val="20"/>
      <w:szCs w:val="20"/>
      <w:lang w:eastAsia="es-PE"/>
    </w:rPr>
  </w:style>
  <w:style w:type="paragraph" w:customStyle="1" w:styleId="Parrafo2">
    <w:name w:val="Parrafo 2"/>
    <w:basedOn w:val="Normal"/>
    <w:qFormat/>
    <w:pPr>
      <w:autoSpaceDE w:val="0"/>
      <w:autoSpaceDN w:val="0"/>
      <w:adjustRightInd w:val="0"/>
      <w:spacing w:after="160" w:line="259" w:lineRule="auto"/>
      <w:jc w:val="both"/>
    </w:pPr>
    <w:rPr>
      <w:rFonts w:ascii="Calibri" w:eastAsia="Times New Roman" w:hAnsi="Calibri"/>
      <w:lang w:val="es-PE" w:eastAsia="es-PE"/>
    </w:rPr>
  </w:style>
  <w:style w:type="character" w:customStyle="1" w:styleId="Parrafo2Car">
    <w:name w:val="Parrafo 2 Car"/>
    <w:basedOn w:val="Fuentedeprrafopredeter"/>
    <w:rPr>
      <w:rFonts w:ascii="Calibri" w:eastAsia="Times New Roman" w:hAnsi="Calibri" w:cs="Arial"/>
      <w:lang w:val="zh-CN"/>
    </w:rPr>
  </w:style>
  <w:style w:type="paragraph" w:customStyle="1" w:styleId="NormalIkons">
    <w:name w:val="Normal Ikons"/>
    <w:basedOn w:val="Normal"/>
    <w:qFormat/>
    <w:pPr>
      <w:autoSpaceDE w:val="0"/>
      <w:autoSpaceDN w:val="0"/>
      <w:adjustRightInd w:val="0"/>
      <w:spacing w:line="300" w:lineRule="exact"/>
      <w:jc w:val="both"/>
    </w:pPr>
    <w:rPr>
      <w:rFonts w:ascii="Verdana" w:eastAsiaTheme="minorEastAsia" w:hAnsi="Verdana"/>
      <w:szCs w:val="20"/>
      <w:lang w:val="es-ES" w:eastAsia="es-PE"/>
    </w:rPr>
  </w:style>
  <w:style w:type="paragraph" w:customStyle="1" w:styleId="EcuacionIkons">
    <w:name w:val="Ecuacion Ikons"/>
    <w:basedOn w:val="NormalIkons"/>
    <w:pPr>
      <w:tabs>
        <w:tab w:val="center" w:pos="4320"/>
        <w:tab w:val="left" w:pos="8494"/>
      </w:tabs>
      <w:spacing w:line="240" w:lineRule="auto"/>
    </w:pPr>
  </w:style>
  <w:style w:type="paragraph" w:customStyle="1" w:styleId="Normalesp">
    <w:name w:val="Normal esp"/>
    <w:basedOn w:val="Ttulo1"/>
    <w:qFormat/>
    <w:pPr>
      <w:autoSpaceDE w:val="0"/>
      <w:autoSpaceDN w:val="0"/>
      <w:adjustRightInd w:val="0"/>
      <w:jc w:val="center"/>
    </w:pPr>
    <w:rPr>
      <w:rFonts w:ascii="Times New Roman" w:eastAsiaTheme="minorEastAsia" w:hAnsi="Times New Roman" w:cs="Times New Roman"/>
      <w:b w:val="0"/>
      <w:bCs w:val="0"/>
      <w:sz w:val="28"/>
      <w:szCs w:val="20"/>
      <w:lang w:val="es-ES" w:eastAsia="es-PE"/>
    </w:rPr>
  </w:style>
  <w:style w:type="paragraph" w:customStyle="1" w:styleId="EstiloCaptulo1">
    <w:name w:val="Estilo Capítulo +1"/>
    <w:basedOn w:val="Normal"/>
    <w:pPr>
      <w:tabs>
        <w:tab w:val="left" w:pos="620"/>
      </w:tabs>
      <w:autoSpaceDE w:val="0"/>
      <w:autoSpaceDN w:val="0"/>
      <w:adjustRightInd w:val="0"/>
      <w:spacing w:line="288" w:lineRule="auto"/>
      <w:ind w:left="620" w:right="6" w:hanging="576"/>
      <w:jc w:val="both"/>
    </w:pPr>
    <w:rPr>
      <w:rFonts w:ascii="Microsoft Sans Serif" w:eastAsiaTheme="minorEastAsia" w:hAnsi="Microsoft Sans Serif" w:cs="Microsoft Sans Serif"/>
      <w:b/>
      <w:color w:val="000080"/>
      <w:sz w:val="24"/>
      <w:lang w:val="es-ES" w:eastAsia="es-PE" w:bidi="he-IL"/>
    </w:rPr>
  </w:style>
  <w:style w:type="character" w:customStyle="1" w:styleId="StyleMicrosoftSansSerifLatinBoldDarkBlue">
    <w:name w:val="Style Microsoft Sans Serif (Latin) Bold Dark Blue"/>
    <w:rPr>
      <w:rFonts w:ascii="Microsoft Sans Serif" w:hAnsi="Microsoft Sans Serif"/>
      <w:color w:val="000080"/>
      <w:sz w:val="22"/>
    </w:rPr>
  </w:style>
  <w:style w:type="character" w:customStyle="1" w:styleId="Listavistosa-nfasis1Car1">
    <w:name w:val="Lista vistosa - Énfasis 1 Car1"/>
    <w:uiPriority w:val="34"/>
    <w:rPr>
      <w:lang w:val="en-US"/>
    </w:rPr>
  </w:style>
  <w:style w:type="character" w:customStyle="1" w:styleId="DefaultChar">
    <w:name w:val="Default Char"/>
    <w:rPr>
      <w:rFonts w:ascii="Tahoma" w:hAnsi="Tahoma"/>
      <w:color w:val="000000"/>
      <w:sz w:val="24"/>
      <w:lang w:val="es-ES"/>
    </w:rPr>
  </w:style>
  <w:style w:type="paragraph" w:customStyle="1" w:styleId="gmail-m7868344580282400220gmail-msolistparagraph">
    <w:name w:val="gmail-m_7868344580282400220gmail-msolistparagraph"/>
    <w:basedOn w:val="Normal"/>
    <w:pPr>
      <w:autoSpaceDE w:val="0"/>
      <w:autoSpaceDN w:val="0"/>
      <w:adjustRightInd w:val="0"/>
      <w:spacing w:before="100" w:beforeAutospacing="1" w:after="100" w:afterAutospacing="1"/>
    </w:pPr>
    <w:rPr>
      <w:rFonts w:ascii="Calibri" w:eastAsia="Times New Roman" w:hAnsi="Calibri" w:cs="Calibri"/>
      <w:lang w:val="es-MX" w:eastAsia="es-PE"/>
    </w:rPr>
  </w:style>
  <w:style w:type="paragraph" w:customStyle="1" w:styleId="m4839003598761449440msolistparagraph">
    <w:name w:val="m_4839003598761449440msolistparagraph"/>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paragraph" w:customStyle="1" w:styleId="plane">
    <w:name w:val="plane"/>
    <w:basedOn w:val="Normal"/>
    <w:pPr>
      <w:suppressAutoHyphens/>
      <w:autoSpaceDE w:val="0"/>
      <w:autoSpaceDN w:val="0"/>
      <w:adjustRightInd w:val="0"/>
    </w:pPr>
    <w:rPr>
      <w:rFonts w:ascii="Tms Rmn" w:eastAsiaTheme="minorEastAsia" w:hAnsi="Tms Rmn" w:cs="Times New Roman"/>
      <w:sz w:val="24"/>
      <w:szCs w:val="20"/>
      <w:lang w:val="en-US" w:eastAsia="es-PE"/>
    </w:rPr>
  </w:style>
  <w:style w:type="paragraph" w:customStyle="1" w:styleId="Level11">
    <w:name w:val="Level 1.1"/>
    <w:basedOn w:val="Normal"/>
    <w:pPr>
      <w:autoSpaceDE w:val="0"/>
      <w:autoSpaceDN w:val="0"/>
      <w:adjustRightInd w:val="0"/>
      <w:spacing w:before="120"/>
      <w:ind w:left="706" w:hanging="706"/>
    </w:pPr>
    <w:rPr>
      <w:rFonts w:eastAsiaTheme="minorEastAsia"/>
      <w:lang w:val="es-ES" w:eastAsia="es-PE"/>
    </w:rPr>
  </w:style>
  <w:style w:type="paragraph" w:customStyle="1" w:styleId="Styledetableau">
    <w:name w:val="Style de tableau"/>
    <w:pPr>
      <w:autoSpaceDE w:val="0"/>
      <w:autoSpaceDN w:val="0"/>
      <w:adjustRightInd w:val="0"/>
    </w:pPr>
    <w:rPr>
      <w:rFonts w:ascii="Helvetica Neue" w:eastAsia="Times New Roman" w:hAnsi="Helvetica Neue" w:cs="Helvetica Neue"/>
      <w:b/>
      <w:color w:val="000000"/>
      <w:lang w:val="en-US"/>
    </w:rPr>
  </w:style>
  <w:style w:type="paragraph" w:customStyle="1" w:styleId="Styledetableau1">
    <w:name w:val="Style de tableau1"/>
    <w:pPr>
      <w:autoSpaceDE w:val="0"/>
      <w:autoSpaceDN w:val="0"/>
      <w:adjustRightInd w:val="0"/>
    </w:pPr>
    <w:rPr>
      <w:rFonts w:ascii="Helvetica Neue" w:eastAsia="Times New Roman" w:hAnsi="Helvetica Neue" w:cs="Helvetica Neue"/>
      <w:color w:val="000000"/>
      <w:lang w:val="en-US"/>
    </w:rPr>
  </w:style>
  <w:style w:type="paragraph" w:customStyle="1" w:styleId="Chapter">
    <w:name w:val="Chapter"/>
    <w:basedOn w:val="Normal"/>
    <w:next w:val="Normal"/>
    <w:pPr>
      <w:numPr>
        <w:numId w:val="45"/>
      </w:numPr>
      <w:tabs>
        <w:tab w:val="left" w:pos="1440"/>
      </w:tabs>
      <w:autoSpaceDE w:val="0"/>
      <w:autoSpaceDN w:val="0"/>
      <w:adjustRightInd w:val="0"/>
      <w:spacing w:after="240"/>
      <w:jc w:val="center"/>
    </w:pPr>
    <w:rPr>
      <w:rFonts w:ascii="Times New Roman" w:eastAsiaTheme="minorEastAsia" w:hAnsi="Times New Roman" w:cs="Times New Roman"/>
      <w:b/>
      <w:smallCaps/>
      <w:sz w:val="24"/>
      <w:szCs w:val="20"/>
      <w:lang w:val="es-PE" w:eastAsia="es-PE"/>
    </w:rPr>
  </w:style>
  <w:style w:type="character" w:customStyle="1" w:styleId="ParagraphChar">
    <w:name w:val="Paragraph Char"/>
    <w:basedOn w:val="SangradetextonormalCar"/>
    <w:qFormat/>
    <w:rPr>
      <w:rFonts w:ascii="Calibri" w:eastAsia="Times New Roman" w:hAnsi="Calibri" w:cs="Times New Roman"/>
      <w:color w:val="000000"/>
      <w:sz w:val="24"/>
      <w:szCs w:val="22"/>
      <w:lang w:val="es-AR"/>
    </w:rPr>
  </w:style>
  <w:style w:type="paragraph" w:customStyle="1" w:styleId="SubSubPar">
    <w:name w:val="SubSubPar"/>
    <w:basedOn w:val="subpar"/>
    <w:pPr>
      <w:tabs>
        <w:tab w:val="left" w:pos="0"/>
        <w:tab w:val="left" w:pos="360"/>
      </w:tabs>
      <w:ind w:left="2880" w:hanging="360"/>
      <w:jc w:val="left"/>
    </w:pPr>
    <w:rPr>
      <w:rFonts w:cs="Times New Roman"/>
      <w:lang w:val="en-US"/>
    </w:rPr>
  </w:style>
  <w:style w:type="paragraph" w:customStyle="1" w:styleId="articleabstract">
    <w:name w:val="article_abstract"/>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character" w:customStyle="1" w:styleId="A3">
    <w:name w:val="A3"/>
    <w:uiPriority w:val="99"/>
    <w:qFormat/>
    <w:rPr>
      <w:b/>
      <w:color w:val="000000"/>
      <w:sz w:val="16"/>
    </w:rPr>
  </w:style>
  <w:style w:type="character" w:customStyle="1" w:styleId="A11">
    <w:name w:val="A11"/>
    <w:uiPriority w:val="99"/>
    <w:rPr>
      <w:b/>
      <w:color w:val="000000"/>
      <w:sz w:val="64"/>
    </w:rPr>
  </w:style>
  <w:style w:type="paragraph" w:customStyle="1" w:styleId="Standardparagraph">
    <w:name w:val="Standard paragraph"/>
    <w:basedOn w:val="Normal"/>
    <w:pPr>
      <w:tabs>
        <w:tab w:val="left" w:pos="709"/>
        <w:tab w:val="left" w:pos="1418"/>
        <w:tab w:val="left" w:pos="2126"/>
        <w:tab w:val="left" w:pos="2835"/>
        <w:tab w:val="right" w:pos="8222"/>
      </w:tabs>
      <w:autoSpaceDE w:val="0"/>
      <w:autoSpaceDN w:val="0"/>
      <w:adjustRightInd w:val="0"/>
      <w:spacing w:after="240"/>
    </w:pPr>
    <w:rPr>
      <w:rFonts w:ascii="Times New Roman" w:eastAsiaTheme="minorEastAsia" w:hAnsi="Times New Roman" w:cs="Times New Roman"/>
      <w:sz w:val="24"/>
      <w:szCs w:val="24"/>
      <w:lang w:val="en-GB" w:eastAsia="es-PE"/>
    </w:rPr>
  </w:style>
  <w:style w:type="character" w:customStyle="1" w:styleId="notranslate">
    <w:name w:val="notranslate"/>
    <w:basedOn w:val="Fuentedeprrafopredeter"/>
    <w:qFormat/>
    <w:rPr>
      <w:rFonts w:cs="Times New Roman"/>
    </w:rPr>
  </w:style>
  <w:style w:type="character" w:customStyle="1" w:styleId="text">
    <w:name w:val="text"/>
    <w:basedOn w:val="Fuentedeprrafopredeter"/>
    <w:rPr>
      <w:rFonts w:cs="Times New Roman"/>
    </w:rPr>
  </w:style>
  <w:style w:type="character" w:customStyle="1" w:styleId="author-ref">
    <w:name w:val="author-ref"/>
    <w:basedOn w:val="Fuentedeprrafopredeter"/>
    <w:qFormat/>
    <w:rPr>
      <w:rFonts w:cs="Times New Roman"/>
    </w:rPr>
  </w:style>
  <w:style w:type="character" w:customStyle="1" w:styleId="Heading2Char1">
    <w:name w:val="Heading 2 Char1"/>
    <w:basedOn w:val="Fuentedeprrafopredeter"/>
    <w:uiPriority w:val="9"/>
    <w:rPr>
      <w:rFonts w:ascii="Calibri Light" w:eastAsia="Yu Gothic Light" w:hAnsi="Calibri Light" w:cs="Times New Roman"/>
      <w:b/>
      <w:smallCaps/>
      <w:color w:val="0C307A"/>
      <w:sz w:val="26"/>
      <w:szCs w:val="26"/>
    </w:rPr>
  </w:style>
  <w:style w:type="character" w:customStyle="1" w:styleId="Heading3Char1">
    <w:name w:val="Heading 3 Char1"/>
    <w:basedOn w:val="Fuentedeprrafopredeter"/>
    <w:uiPriority w:val="9"/>
    <w:rPr>
      <w:rFonts w:ascii="Calibri Light" w:eastAsia="Yu Gothic Light" w:hAnsi="Calibri Light" w:cs="Times New Roman"/>
      <w:b/>
      <w:smallCaps/>
      <w:color w:val="0C307A"/>
      <w:sz w:val="24"/>
      <w:szCs w:val="24"/>
    </w:rPr>
  </w:style>
  <w:style w:type="paragraph" w:customStyle="1" w:styleId="Personalizadojegy">
    <w:name w:val="Personalizado jegy"/>
    <w:basedOn w:val="Normal"/>
    <w:qFormat/>
    <w:pPr>
      <w:autoSpaceDE w:val="0"/>
      <w:autoSpaceDN w:val="0"/>
      <w:adjustRightInd w:val="0"/>
      <w:spacing w:after="120"/>
    </w:pPr>
    <w:rPr>
      <w:rFonts w:ascii="Calibri" w:eastAsia="Times New Roman" w:hAnsi="Calibri" w:cs="Times New Roman"/>
      <w:sz w:val="20"/>
      <w:szCs w:val="20"/>
      <w:lang w:val="es-ES" w:eastAsia="es-PE"/>
    </w:rPr>
  </w:style>
  <w:style w:type="character" w:customStyle="1" w:styleId="PersonalizadojegyCar">
    <w:name w:val="Personalizado jegy Car"/>
    <w:rPr>
      <w:sz w:val="20"/>
      <w:lang w:val="es-ES"/>
    </w:rPr>
  </w:style>
  <w:style w:type="paragraph" w:customStyle="1" w:styleId="Schedule">
    <w:name w:val="Schedule"/>
    <w:basedOn w:val="Normal"/>
    <w:next w:val="Normal"/>
    <w:pPr>
      <w:keepNext/>
      <w:numPr>
        <w:numId w:val="46"/>
      </w:numPr>
      <w:autoSpaceDE w:val="0"/>
      <w:autoSpaceDN w:val="0"/>
      <w:adjustRightInd w:val="0"/>
      <w:spacing w:before="240"/>
    </w:pPr>
    <w:rPr>
      <w:rFonts w:eastAsiaTheme="minorEastAsia" w:cs="Times New Roman"/>
      <w:b/>
      <w:color w:val="000000"/>
      <w:szCs w:val="17"/>
      <w:lang w:val="en-GB" w:eastAsia="es-PE"/>
    </w:rPr>
  </w:style>
  <w:style w:type="paragraph" w:customStyle="1" w:styleId="Piedepgina1">
    <w:name w:val="Pie de página1"/>
    <w:uiPriority w:val="99"/>
    <w:pPr>
      <w:tabs>
        <w:tab w:val="center" w:pos="4252"/>
        <w:tab w:val="left" w:pos="8494"/>
      </w:tabs>
      <w:autoSpaceDE w:val="0"/>
      <w:autoSpaceDN w:val="0"/>
      <w:adjustRightInd w:val="0"/>
      <w:spacing w:line="300" w:lineRule="atLeast"/>
    </w:pPr>
    <w:rPr>
      <w:rFonts w:ascii="Verdana" w:eastAsia="ヒラギノ角ゴ Pro W3" w:hAnsi="Verdana" w:cs="Times New Roman"/>
      <w:color w:val="000000"/>
      <w:sz w:val="24"/>
    </w:rPr>
  </w:style>
  <w:style w:type="character" w:customStyle="1" w:styleId="Nmerodepgina1">
    <w:name w:val="Número de página1"/>
    <w:uiPriority w:val="99"/>
    <w:rPr>
      <w:color w:val="000000"/>
      <w:sz w:val="20"/>
    </w:rPr>
  </w:style>
  <w:style w:type="paragraph" w:customStyle="1" w:styleId="FormatolibreA">
    <w:name w:val="Formato libre A"/>
    <w:uiPriority w:val="99"/>
    <w:qFormat/>
    <w:pPr>
      <w:autoSpaceDE w:val="0"/>
      <w:autoSpaceDN w:val="0"/>
      <w:adjustRightInd w:val="0"/>
    </w:pPr>
    <w:rPr>
      <w:rFonts w:ascii="Times New Roman" w:eastAsia="ヒラギノ角ゴ Pro W3" w:hAnsi="Times New Roman" w:cs="Times New Roman"/>
      <w:color w:val="000000"/>
    </w:rPr>
  </w:style>
  <w:style w:type="paragraph" w:customStyle="1" w:styleId="TDC21">
    <w:name w:val="TDC 21"/>
    <w:next w:val="Normal"/>
    <w:uiPriority w:val="99"/>
    <w:qFormat/>
    <w:pPr>
      <w:tabs>
        <w:tab w:val="right" w:leader="dot" w:pos="720"/>
      </w:tabs>
      <w:autoSpaceDE w:val="0"/>
      <w:autoSpaceDN w:val="0"/>
      <w:adjustRightInd w:val="0"/>
      <w:spacing w:line="300" w:lineRule="atLeast"/>
      <w:ind w:left="240"/>
      <w:outlineLvl w:val="0"/>
    </w:pPr>
    <w:rPr>
      <w:rFonts w:ascii="Cambria Bold" w:eastAsia="ヒラギノ角ゴ Pro W3" w:hAnsi="Cambria Bold" w:cs="Times New Roman"/>
      <w:color w:val="000000"/>
      <w:sz w:val="22"/>
    </w:rPr>
  </w:style>
  <w:style w:type="paragraph" w:customStyle="1" w:styleId="EstiloTtuloPortadaSinNegritaSinMaysculasAntes6pto">
    <w:name w:val="Estilo Título Portada + Sin Negrita Sin Mayúsculas Antes:  6 pto ..."/>
    <w:uiPriority w:val="99"/>
    <w:pPr>
      <w:keepNext/>
      <w:keepLines/>
      <w:autoSpaceDE w:val="0"/>
      <w:autoSpaceDN w:val="0"/>
      <w:adjustRightInd w:val="0"/>
      <w:spacing w:before="120" w:after="360"/>
      <w:jc w:val="both"/>
      <w:outlineLvl w:val="0"/>
    </w:pPr>
    <w:rPr>
      <w:rFonts w:ascii="Verdana" w:eastAsia="ヒラギノ角ゴ Pro W3" w:hAnsi="Verdana" w:cs="Times New Roman"/>
      <w:color w:val="000000"/>
      <w:sz w:val="28"/>
    </w:rPr>
  </w:style>
  <w:style w:type="paragraph" w:customStyle="1" w:styleId="Formatolibre">
    <w:name w:val="Formato libre"/>
    <w:uiPriority w:val="99"/>
    <w:pPr>
      <w:autoSpaceDE w:val="0"/>
      <w:autoSpaceDN w:val="0"/>
      <w:adjustRightInd w:val="0"/>
    </w:pPr>
    <w:rPr>
      <w:rFonts w:ascii="Times New Roman" w:eastAsia="ヒラギノ角ゴ Pro W3" w:hAnsi="Times New Roman" w:cs="Times New Roman"/>
      <w:color w:val="000000"/>
    </w:rPr>
  </w:style>
  <w:style w:type="paragraph" w:customStyle="1" w:styleId="Ttulo11">
    <w:name w:val="Título 11"/>
    <w:next w:val="Normal"/>
    <w:uiPriority w:val="99"/>
    <w:pPr>
      <w:keepNext/>
      <w:keepLines/>
      <w:autoSpaceDE w:val="0"/>
      <w:autoSpaceDN w:val="0"/>
      <w:adjustRightInd w:val="0"/>
      <w:spacing w:before="480"/>
      <w:outlineLvl w:val="0"/>
    </w:pPr>
    <w:rPr>
      <w:rFonts w:ascii="Calibri bold" w:eastAsia="ヒラギノ角ゴ Pro W3" w:hAnsi="Calibri bold" w:cs="Times New Roman"/>
      <w:color w:val="2E5A88"/>
      <w:sz w:val="32"/>
    </w:rPr>
  </w:style>
  <w:style w:type="character" w:customStyle="1" w:styleId="Hyperlink1">
    <w:name w:val="Hyperlink1"/>
    <w:uiPriority w:val="99"/>
    <w:rPr>
      <w:color w:val="0012FD"/>
      <w:sz w:val="20"/>
      <w:u w:val="single"/>
    </w:rPr>
  </w:style>
  <w:style w:type="paragraph" w:customStyle="1" w:styleId="TtulodeTDC1">
    <w:name w:val="Título de TDC1"/>
    <w:next w:val="Normal"/>
    <w:uiPriority w:val="99"/>
    <w:qFormat/>
    <w:pPr>
      <w:keepNext/>
      <w:keepLines/>
      <w:autoSpaceDE w:val="0"/>
      <w:autoSpaceDN w:val="0"/>
      <w:adjustRightInd w:val="0"/>
      <w:spacing w:before="480" w:line="276" w:lineRule="auto"/>
    </w:pPr>
    <w:rPr>
      <w:rFonts w:ascii="Calibri bold" w:eastAsia="ヒラギノ角ゴ Pro W3" w:hAnsi="Calibri bold" w:cs="Times New Roman"/>
      <w:color w:val="9A4300"/>
      <w:sz w:val="28"/>
    </w:rPr>
  </w:style>
  <w:style w:type="paragraph" w:customStyle="1" w:styleId="Ttulo31">
    <w:name w:val="Título 31"/>
    <w:next w:val="Normal"/>
    <w:uiPriority w:val="99"/>
    <w:pPr>
      <w:keepNext/>
      <w:keepLines/>
      <w:autoSpaceDE w:val="0"/>
      <w:autoSpaceDN w:val="0"/>
      <w:adjustRightInd w:val="0"/>
      <w:spacing w:before="200"/>
      <w:outlineLvl w:val="2"/>
    </w:pPr>
    <w:rPr>
      <w:rFonts w:ascii="Calibri bold" w:eastAsia="ヒラギノ角ゴ Pro W3" w:hAnsi="Calibri bold" w:cs="Times New Roman"/>
      <w:color w:val="4782BB"/>
      <w:sz w:val="24"/>
    </w:rPr>
  </w:style>
  <w:style w:type="paragraph" w:customStyle="1" w:styleId="BankNormal">
    <w:name w:val="BankNormal"/>
    <w:basedOn w:val="Normal"/>
    <w:uiPriority w:val="99"/>
    <w:pPr>
      <w:autoSpaceDE w:val="0"/>
      <w:autoSpaceDN w:val="0"/>
      <w:adjustRightInd w:val="0"/>
      <w:spacing w:after="240"/>
    </w:pPr>
    <w:rPr>
      <w:rFonts w:ascii="Times New Roman" w:eastAsiaTheme="minorEastAsia" w:hAnsi="Times New Roman" w:cs="Times New Roman"/>
      <w:szCs w:val="20"/>
      <w:lang w:val="es-ES" w:eastAsia="es-PE"/>
    </w:rPr>
  </w:style>
  <w:style w:type="paragraph" w:customStyle="1" w:styleId="TextH2">
    <w:name w:val="Text H2"/>
    <w:basedOn w:val="Normal"/>
    <w:uiPriority w:val="99"/>
    <w:pPr>
      <w:tabs>
        <w:tab w:val="left" w:pos="952"/>
      </w:tabs>
      <w:autoSpaceDE w:val="0"/>
      <w:autoSpaceDN w:val="0"/>
      <w:adjustRightInd w:val="0"/>
      <w:ind w:left="576"/>
    </w:pPr>
    <w:rPr>
      <w:rFonts w:eastAsia="Times New Roman"/>
      <w:sz w:val="20"/>
      <w:szCs w:val="20"/>
      <w:lang w:val="es-MX" w:eastAsia="es-PE"/>
    </w:rPr>
  </w:style>
  <w:style w:type="paragraph" w:customStyle="1" w:styleId="NormalWeb1">
    <w:name w:val="Normal (Web)1"/>
    <w:basedOn w:val="Normal"/>
    <w:uiPriority w:val="99"/>
    <w:pPr>
      <w:autoSpaceDE w:val="0"/>
      <w:autoSpaceDN w:val="0"/>
      <w:adjustRightInd w:val="0"/>
      <w:spacing w:before="100" w:beforeAutospacing="1" w:after="100" w:afterAutospacing="1"/>
    </w:pPr>
    <w:rPr>
      <w:rFonts w:ascii="Arial Unicode MS" w:eastAsia="Times New Roman" w:hAnsi="Arial Unicode MS" w:cs="Arial Unicode MS"/>
      <w:color w:val="000000"/>
      <w:szCs w:val="24"/>
      <w:lang w:val="de-DE" w:eastAsia="es-PE"/>
    </w:rPr>
  </w:style>
  <w:style w:type="character" w:customStyle="1" w:styleId="st">
    <w:name w:val="st"/>
    <w:basedOn w:val="Fuentedeprrafopredeter"/>
    <w:rPr>
      <w:rFonts w:cs="Times New Roman"/>
    </w:rPr>
  </w:style>
  <w:style w:type="paragraph" w:customStyle="1" w:styleId="wfxRecipient">
    <w:name w:val="wfxRecipient"/>
    <w:basedOn w:val="Normal"/>
    <w:qFormat/>
    <w:pPr>
      <w:autoSpaceDE w:val="0"/>
      <w:autoSpaceDN w:val="0"/>
      <w:adjustRightInd w:val="0"/>
    </w:pPr>
    <w:rPr>
      <w:rFonts w:ascii="Times New Roman" w:eastAsiaTheme="minorEastAsia" w:hAnsi="Times New Roman" w:cs="Times New Roman"/>
      <w:szCs w:val="20"/>
      <w:lang w:eastAsia="es-PE"/>
    </w:rPr>
  </w:style>
  <w:style w:type="paragraph" w:customStyle="1" w:styleId="PABullet1">
    <w:name w:val="PA Bullet 1"/>
    <w:basedOn w:val="Normal"/>
    <w:pPr>
      <w:numPr>
        <w:numId w:val="47"/>
      </w:numPr>
      <w:autoSpaceDE w:val="0"/>
      <w:autoSpaceDN w:val="0"/>
      <w:adjustRightInd w:val="0"/>
      <w:spacing w:before="120" w:line="320" w:lineRule="exact"/>
    </w:pPr>
    <w:rPr>
      <w:rFonts w:eastAsiaTheme="minorEastAsia" w:cs="Times New Roman"/>
      <w:sz w:val="20"/>
      <w:szCs w:val="20"/>
      <w:lang w:val="en-GB" w:eastAsia="es-PE"/>
    </w:rPr>
  </w:style>
  <w:style w:type="paragraph" w:customStyle="1" w:styleId="CVbullet">
    <w:name w:val="CV bullet"/>
    <w:basedOn w:val="PABullet1"/>
  </w:style>
  <w:style w:type="paragraph" w:customStyle="1" w:styleId="ProjectTitle">
    <w:name w:val="ProjectTitle"/>
    <w:basedOn w:val="Ttulo2"/>
    <w:qFormat/>
    <w:pPr>
      <w:keepNext w:val="0"/>
      <w:autoSpaceDE w:val="0"/>
      <w:autoSpaceDN w:val="0"/>
      <w:adjustRightInd w:val="0"/>
      <w:spacing w:before="480"/>
      <w:ind w:left="0"/>
      <w:contextualSpacing/>
      <w:jc w:val="both"/>
      <w:outlineLvl w:val="9"/>
    </w:pPr>
    <w:rPr>
      <w:rFonts w:ascii="Arial" w:eastAsiaTheme="minorEastAsia" w:hAnsi="Arial" w:cs="Times New Roman"/>
      <w:b/>
      <w:smallCaps/>
      <w:kern w:val="28"/>
      <w:szCs w:val="20"/>
      <w:u w:val="none"/>
      <w:lang w:val="es-CO" w:eastAsia="es-PE"/>
    </w:rPr>
  </w:style>
  <w:style w:type="paragraph" w:customStyle="1" w:styleId="Standard">
    <w:name w:val="Standard"/>
    <w:qFormat/>
    <w:pPr>
      <w:suppressAutoHyphens/>
      <w:autoSpaceDE w:val="0"/>
      <w:autoSpaceDN w:val="0"/>
      <w:adjustRightInd w:val="0"/>
      <w:spacing w:line="276" w:lineRule="auto"/>
      <w:jc w:val="both"/>
    </w:pPr>
    <w:rPr>
      <w:rFonts w:ascii="Calibri" w:eastAsia="ヒラギノ角ゴ Pro W3" w:hAnsi="Calibri" w:cs="Times New Roman"/>
      <w:color w:val="000000"/>
      <w:kern w:val="3"/>
      <w:sz w:val="22"/>
      <w:szCs w:val="24"/>
      <w:lang w:val="es-ES"/>
    </w:rPr>
  </w:style>
  <w:style w:type="character" w:customStyle="1" w:styleId="HeaderChar1">
    <w:name w:val="Header Char1"/>
    <w:basedOn w:val="Fuentedeprrafopredeter"/>
    <w:uiPriority w:val="99"/>
    <w:rPr>
      <w:rFonts w:ascii="Arial" w:eastAsia="Batang" w:hAnsi="Arial" w:cs="Times New Roman"/>
      <w:color w:val="00000A"/>
      <w:sz w:val="22"/>
      <w:lang w:val="es-SV"/>
    </w:rPr>
  </w:style>
  <w:style w:type="paragraph" w:customStyle="1" w:styleId="Logro">
    <w:name w:val="Logro"/>
    <w:basedOn w:val="Textoindependiente"/>
    <w:qFormat/>
    <w:pPr>
      <w:autoSpaceDE w:val="0"/>
      <w:autoSpaceDN w:val="0"/>
      <w:adjustRightInd w:val="0"/>
      <w:spacing w:after="60" w:line="240" w:lineRule="atLeast"/>
    </w:pPr>
    <w:rPr>
      <w:rFonts w:ascii="Garamond" w:eastAsia="Batang" w:hAnsi="Garamond" w:cs="Times New Roman"/>
      <w:bCs w:val="0"/>
      <w:szCs w:val="20"/>
      <w:lang w:val="es-ES" w:eastAsia="es-PE"/>
    </w:rPr>
  </w:style>
  <w:style w:type="paragraph" w:customStyle="1" w:styleId="BSubheading-Green">
    <w:name w:val="B Subheading - Green"/>
    <w:basedOn w:val="Normal"/>
    <w:pPr>
      <w:autoSpaceDE w:val="0"/>
      <w:autoSpaceDN w:val="0"/>
      <w:adjustRightInd w:val="0"/>
      <w:spacing w:before="320" w:after="120"/>
      <w:outlineLvl w:val="1"/>
    </w:pPr>
    <w:rPr>
      <w:rFonts w:eastAsia="Times New Roman" w:cs="Times New Roman"/>
      <w:b/>
      <w:color w:val="C0504D"/>
      <w:sz w:val="24"/>
      <w:szCs w:val="24"/>
      <w:lang w:val="es-PE" w:eastAsia="es-PE"/>
    </w:rPr>
  </w:style>
  <w:style w:type="paragraph" w:customStyle="1" w:styleId="Bodycopy">
    <w:name w:val="Body copy"/>
    <w:basedOn w:val="Normal"/>
    <w:pPr>
      <w:autoSpaceDE w:val="0"/>
      <w:autoSpaceDN w:val="0"/>
      <w:adjustRightInd w:val="0"/>
      <w:spacing w:after="240" w:line="220" w:lineRule="exact"/>
    </w:pPr>
    <w:rPr>
      <w:rFonts w:eastAsia="Times New Roman" w:cs="Times New Roman"/>
      <w:sz w:val="19"/>
      <w:szCs w:val="20"/>
      <w:lang w:val="en-GB" w:eastAsia="es-PE"/>
    </w:rPr>
  </w:style>
  <w:style w:type="character" w:customStyle="1" w:styleId="BodycopyChar">
    <w:name w:val="Body copy Char"/>
    <w:rPr>
      <w:rFonts w:ascii="Arial" w:eastAsia="Times New Roman" w:hAnsi="Arial"/>
      <w:sz w:val="20"/>
      <w:lang w:val="en-GB"/>
    </w:rPr>
  </w:style>
  <w:style w:type="character" w:customStyle="1" w:styleId="Titulo2Char">
    <w:name w:val="Titulo 2 Char"/>
    <w:rPr>
      <w:rFonts w:ascii="Times New Roman" w:hAnsi="Times New Roman"/>
      <w:sz w:val="24"/>
      <w:lang w:val="zh-CN"/>
    </w:rPr>
  </w:style>
  <w:style w:type="paragraph" w:customStyle="1" w:styleId="Carta">
    <w:name w:val="Carta"/>
    <w:basedOn w:val="Normal"/>
    <w:qFormat/>
    <w:pPr>
      <w:autoSpaceDE w:val="0"/>
      <w:autoSpaceDN w:val="0"/>
      <w:adjustRightInd w:val="0"/>
      <w:spacing w:before="240"/>
    </w:pPr>
    <w:rPr>
      <w:rFonts w:ascii="Times New Roman" w:eastAsiaTheme="minorEastAsia" w:hAnsi="Times New Roman" w:cs="Times New Roman"/>
      <w:sz w:val="20"/>
      <w:szCs w:val="20"/>
      <w:lang w:val="en-US" w:eastAsia="es-PE"/>
    </w:rPr>
  </w:style>
  <w:style w:type="character" w:customStyle="1" w:styleId="CartaChar">
    <w:name w:val="Carta Char"/>
    <w:rPr>
      <w:rFonts w:ascii="Times New Roman" w:hAnsi="Times New Roman"/>
      <w:sz w:val="20"/>
      <w:lang w:val="en-US"/>
    </w:rPr>
  </w:style>
  <w:style w:type="paragraph" w:customStyle="1" w:styleId="BSubheading-Bluedk">
    <w:name w:val="B Subheading - Blue dk"/>
    <w:basedOn w:val="Normal"/>
    <w:pPr>
      <w:autoSpaceDE w:val="0"/>
      <w:autoSpaceDN w:val="0"/>
      <w:adjustRightInd w:val="0"/>
      <w:spacing w:before="320" w:after="120"/>
      <w:outlineLvl w:val="1"/>
    </w:pPr>
    <w:rPr>
      <w:rFonts w:eastAsia="Times New Roman" w:cs="Times New Roman"/>
      <w:b/>
      <w:color w:val="002776"/>
      <w:sz w:val="24"/>
      <w:szCs w:val="24"/>
      <w:lang w:val="es-PE" w:eastAsia="es-PE"/>
    </w:rPr>
  </w:style>
  <w:style w:type="paragraph" w:customStyle="1" w:styleId="ListNumber1">
    <w:name w:val="List Number1"/>
    <w:basedOn w:val="Normal"/>
    <w:uiPriority w:val="99"/>
    <w:pPr>
      <w:tabs>
        <w:tab w:val="left" w:pos="360"/>
      </w:tabs>
      <w:autoSpaceDE w:val="0"/>
      <w:autoSpaceDN w:val="0"/>
      <w:adjustRightInd w:val="0"/>
      <w:spacing w:after="120" w:line="220" w:lineRule="exact"/>
      <w:ind w:left="360" w:hanging="360"/>
    </w:pPr>
    <w:rPr>
      <w:rFonts w:ascii="Gill Sans MT" w:eastAsia="Times New Roman" w:hAnsi="Gill Sans MT" w:cs="Times New Roman"/>
      <w:color w:val="000000"/>
      <w:sz w:val="20"/>
      <w:szCs w:val="20"/>
      <w:lang w:val="en-CA" w:eastAsia="es-PE"/>
    </w:rPr>
  </w:style>
  <w:style w:type="paragraph" w:customStyle="1" w:styleId="Institucin">
    <w:name w:val="Institución"/>
    <w:basedOn w:val="Normal"/>
    <w:next w:val="Logro"/>
    <w:uiPriority w:val="99"/>
    <w:pPr>
      <w:tabs>
        <w:tab w:val="left" w:pos="1440"/>
        <w:tab w:val="right" w:pos="6480"/>
      </w:tabs>
      <w:autoSpaceDE w:val="0"/>
      <w:autoSpaceDN w:val="0"/>
      <w:adjustRightInd w:val="0"/>
      <w:spacing w:before="60" w:line="220" w:lineRule="atLeast"/>
    </w:pPr>
    <w:rPr>
      <w:rFonts w:ascii="Garamond" w:eastAsiaTheme="minorEastAsia" w:hAnsi="Garamond" w:cs="Times New Roman"/>
      <w:szCs w:val="20"/>
      <w:lang w:val="es-ES" w:eastAsia="es-PE"/>
    </w:rPr>
  </w:style>
  <w:style w:type="paragraph" w:customStyle="1" w:styleId="Sinttulo">
    <w:name w:val="Sin título"/>
    <w:basedOn w:val="Normal"/>
    <w:uiPriority w:val="99"/>
    <w:qFormat/>
    <w:pPr>
      <w:autoSpaceDE w:val="0"/>
      <w:autoSpaceDN w:val="0"/>
      <w:adjustRightInd w:val="0"/>
      <w:spacing w:before="220" w:line="220" w:lineRule="atLeast"/>
    </w:pPr>
    <w:rPr>
      <w:rFonts w:ascii="Garamond" w:eastAsiaTheme="minorEastAsia" w:hAnsi="Garamond" w:cs="Times New Roman"/>
      <w:caps/>
      <w:spacing w:val="15"/>
      <w:sz w:val="20"/>
      <w:szCs w:val="20"/>
      <w:lang w:val="es-ES" w:eastAsia="es-PE"/>
    </w:rPr>
  </w:style>
  <w:style w:type="paragraph" w:customStyle="1" w:styleId="Normal2">
    <w:name w:val="Normal 2"/>
    <w:basedOn w:val="Normal"/>
    <w:pPr>
      <w:autoSpaceDE w:val="0"/>
      <w:autoSpaceDN w:val="0"/>
      <w:adjustRightInd w:val="0"/>
      <w:spacing w:line="288" w:lineRule="auto"/>
    </w:pPr>
    <w:rPr>
      <w:rFonts w:ascii="Times New Roman" w:eastAsiaTheme="minorEastAsia" w:hAnsi="Times New Roman" w:cs="Times New Roman"/>
      <w:sz w:val="24"/>
      <w:szCs w:val="20"/>
      <w:lang w:val="es-CL" w:eastAsia="es-PE"/>
    </w:rPr>
  </w:style>
  <w:style w:type="character" w:customStyle="1" w:styleId="Listamulticolor-nfasis1Car">
    <w:name w:val="Lista multicolor - Énfasis 1 Car"/>
    <w:uiPriority w:val="34"/>
    <w:rPr>
      <w:lang w:val="es-ES"/>
    </w:rPr>
  </w:style>
  <w:style w:type="paragraph" w:customStyle="1" w:styleId="Subhead">
    <w:name w:val="Subhead"/>
    <w:next w:val="Normal"/>
    <w:pPr>
      <w:keepNext/>
      <w:autoSpaceDE w:val="0"/>
      <w:autoSpaceDN w:val="0"/>
      <w:adjustRightInd w:val="0"/>
      <w:spacing w:after="240"/>
    </w:pPr>
    <w:rPr>
      <w:rFonts w:eastAsia="Calibri"/>
      <w:b/>
      <w:sz w:val="22"/>
      <w:szCs w:val="22"/>
    </w:rPr>
  </w:style>
  <w:style w:type="character" w:customStyle="1" w:styleId="Cover-JobTitle">
    <w:name w:val="Cover - Job Title"/>
    <w:uiPriority w:val="99"/>
    <w:rPr>
      <w:rFonts w:ascii="Times New Roman" w:eastAsia="SimSun" w:hAnsi="Times New Roman"/>
      <w:b/>
      <w:color w:val="28AAE1"/>
      <w:sz w:val="32"/>
      <w:lang w:val="en-US"/>
    </w:rPr>
  </w:style>
  <w:style w:type="paragraph" w:customStyle="1" w:styleId="Cargo">
    <w:name w:val="Cargo"/>
    <w:next w:val="Logro"/>
    <w:qFormat/>
    <w:pPr>
      <w:autoSpaceDE w:val="0"/>
      <w:autoSpaceDN w:val="0"/>
      <w:adjustRightInd w:val="0"/>
      <w:spacing w:before="40" w:after="40" w:line="220" w:lineRule="atLeast"/>
    </w:pPr>
    <w:rPr>
      <w:rFonts w:ascii="Garamond" w:eastAsia="Batang" w:hAnsi="Garamond" w:cs="Times New Roman"/>
      <w:i/>
      <w:spacing w:val="5"/>
      <w:sz w:val="23"/>
      <w:lang w:val="es-ES"/>
    </w:rPr>
  </w:style>
  <w:style w:type="paragraph" w:customStyle="1" w:styleId="romano">
    <w:name w:val="romano"/>
    <w:basedOn w:val="Normal"/>
    <w:pPr>
      <w:numPr>
        <w:numId w:val="48"/>
      </w:numPr>
      <w:autoSpaceDE w:val="0"/>
      <w:autoSpaceDN w:val="0"/>
      <w:adjustRightInd w:val="0"/>
    </w:pPr>
    <w:rPr>
      <w:rFonts w:ascii="Times New Roman" w:eastAsiaTheme="minorEastAsia" w:hAnsi="Times New Roman" w:cs="Times New Roman"/>
      <w:b/>
      <w:sz w:val="24"/>
      <w:szCs w:val="24"/>
      <w:lang w:val="es-CL" w:eastAsia="es-PE"/>
    </w:rPr>
  </w:style>
  <w:style w:type="paragraph" w:customStyle="1" w:styleId="romano2">
    <w:name w:val="romano 2"/>
    <w:basedOn w:val="Normal"/>
    <w:pPr>
      <w:autoSpaceDE w:val="0"/>
      <w:autoSpaceDN w:val="0"/>
      <w:adjustRightInd w:val="0"/>
      <w:spacing w:line="312" w:lineRule="auto"/>
    </w:pPr>
    <w:rPr>
      <w:rFonts w:ascii="Times New Roman" w:eastAsiaTheme="minorEastAsia" w:hAnsi="Times New Roman" w:cs="Times New Roman"/>
      <w:b/>
      <w:sz w:val="24"/>
      <w:szCs w:val="24"/>
      <w:lang w:val="es-CL" w:eastAsia="es-PE"/>
    </w:rPr>
  </w:style>
  <w:style w:type="character" w:customStyle="1" w:styleId="romanoCar">
    <w:name w:val="romano Car"/>
    <w:rPr>
      <w:rFonts w:ascii="Times New Roman" w:hAnsi="Times New Roman"/>
      <w:b/>
      <w:sz w:val="24"/>
      <w:lang w:val="es-CL"/>
    </w:rPr>
  </w:style>
  <w:style w:type="character" w:customStyle="1" w:styleId="romano2Car">
    <w:name w:val="romano 2 Car"/>
    <w:qFormat/>
    <w:rPr>
      <w:rFonts w:ascii="Times New Roman" w:hAnsi="Times New Roman"/>
      <w:b/>
      <w:sz w:val="24"/>
      <w:lang w:val="es-CL"/>
    </w:rPr>
  </w:style>
  <w:style w:type="paragraph" w:customStyle="1" w:styleId="figurat">
    <w:name w:val="figurat"/>
    <w:basedOn w:val="Descripcin"/>
    <w:uiPriority w:val="99"/>
    <w:pPr>
      <w:widowControl/>
      <w:spacing w:after="120"/>
      <w:jc w:val="center"/>
    </w:pPr>
    <w:rPr>
      <w:rFonts w:ascii="Verdana" w:eastAsiaTheme="minorEastAsia" w:hAnsi="Verdana" w:cs="Times New Roman"/>
      <w:caps w:val="0"/>
      <w:sz w:val="18"/>
      <w:szCs w:val="20"/>
      <w:lang w:val="en-US"/>
    </w:rPr>
  </w:style>
  <w:style w:type="character" w:customStyle="1" w:styleId="figuratChar">
    <w:name w:val="figurat Char"/>
    <w:uiPriority w:val="99"/>
    <w:rPr>
      <w:rFonts w:ascii="Verdana" w:hAnsi="Verdana"/>
      <w:b/>
      <w:sz w:val="20"/>
      <w:lang w:val="en-US"/>
    </w:rPr>
  </w:style>
  <w:style w:type="paragraph" w:customStyle="1" w:styleId="logro0">
    <w:name w:val="logro"/>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paragraph" w:customStyle="1" w:styleId="default0">
    <w:name w:val="default"/>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paragraph" w:customStyle="1" w:styleId="cargo0">
    <w:name w:val="cargo"/>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table" w:styleId="Sombreadomedio1">
    <w:name w:val="Medium Shading 1"/>
    <w:basedOn w:val="Tablanormal"/>
    <w:uiPriority w:val="63"/>
    <w:unhideWhenUsed/>
    <w:rPr>
      <w:rFonts w:ascii="Calibri" w:eastAsia="Calibri" w:hAnsi="Calibri" w:cs="Calibri"/>
      <w:sz w:val="22"/>
      <w:szCs w:val="22"/>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proyecto">
    <w:name w:val="proyecto"/>
    <w:basedOn w:val="Normal"/>
    <w:pPr>
      <w:autoSpaceDE w:val="0"/>
      <w:autoSpaceDN w:val="0"/>
      <w:adjustRightInd w:val="0"/>
      <w:spacing w:before="100" w:beforeAutospacing="1" w:after="100" w:afterAutospacing="1"/>
    </w:pPr>
    <w:rPr>
      <w:rFonts w:ascii="Calibri" w:eastAsiaTheme="minorEastAsia" w:hAnsi="Calibri" w:cs="Times New Roman"/>
      <w:szCs w:val="24"/>
      <w:lang w:val="es-CL" w:eastAsia="es-PE"/>
    </w:rPr>
  </w:style>
  <w:style w:type="character" w:customStyle="1" w:styleId="articleseperator">
    <w:name w:val="article_seperator"/>
    <w:basedOn w:val="Fuentedeprrafopredeter"/>
    <w:rPr>
      <w:rFonts w:cs="Times New Roman"/>
    </w:rPr>
  </w:style>
  <w:style w:type="paragraph" w:customStyle="1" w:styleId="rojo10n">
    <w:name w:val="rojo10n"/>
    <w:basedOn w:val="Normal"/>
    <w:pPr>
      <w:autoSpaceDE w:val="0"/>
      <w:autoSpaceDN w:val="0"/>
      <w:adjustRightInd w:val="0"/>
      <w:spacing w:before="100" w:beforeAutospacing="1" w:after="100" w:afterAutospacing="1"/>
    </w:pPr>
    <w:rPr>
      <w:rFonts w:ascii="Helvetica" w:eastAsiaTheme="minorEastAsia" w:hAnsi="Helvetica" w:cs="Helvetica"/>
      <w:b/>
      <w:color w:val="CD0000"/>
      <w:sz w:val="20"/>
      <w:szCs w:val="20"/>
      <w:lang w:val="es-CL" w:eastAsia="es-PE"/>
    </w:rPr>
  </w:style>
  <w:style w:type="paragraph" w:customStyle="1" w:styleId="CarCarCharCharCarCarCarCharCharCarCarCarCar">
    <w:name w:val="Car Car Char Char Car Car Car Char Char Car Car Car Car"/>
    <w:basedOn w:val="Normal"/>
    <w:qFormat/>
    <w:pPr>
      <w:autoSpaceDE w:val="0"/>
      <w:autoSpaceDN w:val="0"/>
      <w:adjustRightInd w:val="0"/>
      <w:spacing w:after="160" w:line="240" w:lineRule="exact"/>
    </w:pPr>
    <w:rPr>
      <w:rFonts w:ascii="Verdana" w:eastAsiaTheme="minorEastAsia" w:hAnsi="Verdana" w:cs="Times New Roman"/>
      <w:sz w:val="20"/>
      <w:szCs w:val="20"/>
      <w:lang w:val="es-CL" w:eastAsia="es-PE"/>
    </w:rPr>
  </w:style>
  <w:style w:type="paragraph" w:customStyle="1" w:styleId="estilo10">
    <w:name w:val="estilo1"/>
    <w:basedOn w:val="Normal"/>
    <w:qFormat/>
    <w:pPr>
      <w:autoSpaceDE w:val="0"/>
      <w:autoSpaceDN w:val="0"/>
      <w:adjustRightInd w:val="0"/>
      <w:spacing w:before="100" w:beforeAutospacing="1" w:after="100" w:afterAutospacing="1"/>
    </w:pPr>
    <w:rPr>
      <w:rFonts w:eastAsiaTheme="minorEastAsia"/>
      <w:szCs w:val="24"/>
      <w:lang w:val="es-CL" w:eastAsia="es-PE"/>
    </w:rPr>
  </w:style>
  <w:style w:type="paragraph" w:customStyle="1" w:styleId="Referncias-Bibliogrficas">
    <w:name w:val="Referências-Bibliográficas"/>
    <w:basedOn w:val="Normal"/>
    <w:next w:val="Normal"/>
    <w:qFormat/>
    <w:pPr>
      <w:autoSpaceDE w:val="0"/>
      <w:autoSpaceDN w:val="0"/>
      <w:adjustRightInd w:val="0"/>
      <w:spacing w:after="120"/>
    </w:pPr>
    <w:rPr>
      <w:rFonts w:ascii="AKKOFD+TimesNewRoman" w:eastAsiaTheme="minorEastAsia" w:hAnsi="AKKOFD+TimesNewRoman" w:cs="Times New Roman"/>
      <w:szCs w:val="24"/>
      <w:lang w:val="en-US" w:eastAsia="es-PE"/>
    </w:rPr>
  </w:style>
  <w:style w:type="paragraph" w:customStyle="1" w:styleId="p0">
    <w:name w:val="p0"/>
    <w:basedOn w:val="Normal"/>
    <w:qFormat/>
    <w:pPr>
      <w:widowControl w:val="0"/>
      <w:tabs>
        <w:tab w:val="left" w:pos="720"/>
      </w:tabs>
      <w:autoSpaceDE w:val="0"/>
      <w:autoSpaceDN w:val="0"/>
      <w:adjustRightInd w:val="0"/>
      <w:spacing w:line="240" w:lineRule="atLeast"/>
    </w:pPr>
    <w:rPr>
      <w:rFonts w:ascii="Calibri" w:eastAsiaTheme="minorEastAsia" w:hAnsi="Calibri" w:cs="Times New Roman"/>
      <w:szCs w:val="20"/>
      <w:lang w:val="es-CL" w:eastAsia="es-PE"/>
    </w:rPr>
  </w:style>
  <w:style w:type="paragraph" w:customStyle="1" w:styleId="Ttulo-base">
    <w:name w:val="Título - base"/>
    <w:basedOn w:val="Textoindependiente"/>
    <w:next w:val="Textoindependiente"/>
    <w:qFormat/>
    <w:pPr>
      <w:keepNext/>
      <w:keepLines/>
      <w:autoSpaceDE w:val="0"/>
      <w:autoSpaceDN w:val="0"/>
      <w:adjustRightInd w:val="0"/>
      <w:spacing w:line="240" w:lineRule="atLeast"/>
    </w:pPr>
    <w:rPr>
      <w:rFonts w:ascii="Garamond" w:eastAsiaTheme="minorEastAsia" w:hAnsi="Garamond" w:cs="Times New Roman"/>
      <w:bCs w:val="0"/>
      <w:kern w:val="20"/>
      <w:szCs w:val="20"/>
      <w:lang w:val="es-PE" w:eastAsia="es-PE"/>
    </w:rPr>
  </w:style>
  <w:style w:type="character" w:customStyle="1" w:styleId="Hipervnculo2">
    <w:name w:val="Hipervínculo2"/>
    <w:basedOn w:val="Fuentedeprrafopredeter"/>
    <w:qFormat/>
    <w:rPr>
      <w:rFonts w:cs="Times New Roman"/>
      <w:color w:val="204E84"/>
      <w:u w:val="single"/>
    </w:rPr>
  </w:style>
  <w:style w:type="paragraph" w:customStyle="1" w:styleId="CarCarCharCharCarCarCarCharChar">
    <w:name w:val="Car Car Char Char Car Car Car Char Char"/>
    <w:basedOn w:val="Normal"/>
    <w:qFormat/>
    <w:pPr>
      <w:autoSpaceDE w:val="0"/>
      <w:autoSpaceDN w:val="0"/>
      <w:adjustRightInd w:val="0"/>
      <w:spacing w:after="160" w:line="240" w:lineRule="exact"/>
    </w:pPr>
    <w:rPr>
      <w:rFonts w:ascii="Verdana" w:eastAsiaTheme="minorEastAsia" w:hAnsi="Verdana" w:cs="Times New Roman"/>
      <w:sz w:val="20"/>
      <w:szCs w:val="20"/>
      <w:lang w:val="es-CL" w:eastAsia="es-PE"/>
    </w:rPr>
  </w:style>
  <w:style w:type="character" w:customStyle="1" w:styleId="inlinetitle">
    <w:name w:val="inlinetitle"/>
    <w:basedOn w:val="Fuentedeprrafopredeter"/>
    <w:qFormat/>
    <w:rPr>
      <w:rFonts w:ascii="Verdana" w:hAnsi="Verdana" w:cs="Times New Roman"/>
      <w:b/>
      <w:sz w:val="31"/>
      <w:szCs w:val="31"/>
    </w:rPr>
  </w:style>
  <w:style w:type="paragraph" w:customStyle="1" w:styleId="Pa4">
    <w:name w:val="Pa4"/>
    <w:basedOn w:val="Normal"/>
    <w:next w:val="Normal"/>
    <w:qFormat/>
    <w:pPr>
      <w:autoSpaceDE w:val="0"/>
      <w:autoSpaceDN w:val="0"/>
      <w:adjustRightInd w:val="0"/>
      <w:spacing w:line="241" w:lineRule="atLeast"/>
    </w:pPr>
    <w:rPr>
      <w:rFonts w:ascii="FLJXOI+Frutiger-BoldItalic" w:eastAsiaTheme="minorEastAsia" w:hAnsi="FLJXOI+Frutiger-BoldItalic" w:cs="Times New Roman"/>
      <w:szCs w:val="24"/>
      <w:lang w:val="en-US" w:eastAsia="es-PE"/>
    </w:rPr>
  </w:style>
  <w:style w:type="character" w:customStyle="1" w:styleId="A2">
    <w:name w:val="A2"/>
    <w:qFormat/>
    <w:rPr>
      <w:color w:val="000000"/>
      <w:sz w:val="20"/>
    </w:rPr>
  </w:style>
  <w:style w:type="paragraph" w:customStyle="1" w:styleId="Pa5">
    <w:name w:val="Pa5"/>
    <w:basedOn w:val="Normal"/>
    <w:next w:val="Normal"/>
    <w:qFormat/>
    <w:pPr>
      <w:autoSpaceDE w:val="0"/>
      <w:autoSpaceDN w:val="0"/>
      <w:adjustRightInd w:val="0"/>
      <w:spacing w:line="241" w:lineRule="atLeast"/>
    </w:pPr>
    <w:rPr>
      <w:rFonts w:ascii="FLJXOI+Frutiger-BoldItalic" w:eastAsiaTheme="minorEastAsia" w:hAnsi="FLJXOI+Frutiger-BoldItalic" w:cs="Times New Roman"/>
      <w:szCs w:val="24"/>
      <w:lang w:val="en-US" w:eastAsia="es-PE"/>
    </w:rPr>
  </w:style>
  <w:style w:type="paragraph" w:customStyle="1" w:styleId="Pa2">
    <w:name w:val="Pa2"/>
    <w:basedOn w:val="Normal"/>
    <w:next w:val="Normal"/>
    <w:qFormat/>
    <w:pPr>
      <w:autoSpaceDE w:val="0"/>
      <w:autoSpaceDN w:val="0"/>
      <w:adjustRightInd w:val="0"/>
      <w:spacing w:line="241" w:lineRule="atLeast"/>
    </w:pPr>
    <w:rPr>
      <w:rFonts w:ascii="Engebrechtre" w:eastAsiaTheme="minorEastAsia" w:hAnsi="Engebrechtre" w:cs="Times New Roman"/>
      <w:szCs w:val="24"/>
      <w:lang w:val="en-US" w:eastAsia="es-PE"/>
    </w:rPr>
  </w:style>
  <w:style w:type="paragraph" w:customStyle="1" w:styleId="Pa1">
    <w:name w:val="Pa1"/>
    <w:basedOn w:val="Normal"/>
    <w:next w:val="Normal"/>
    <w:qFormat/>
    <w:pPr>
      <w:autoSpaceDE w:val="0"/>
      <w:autoSpaceDN w:val="0"/>
      <w:adjustRightInd w:val="0"/>
      <w:spacing w:line="241" w:lineRule="atLeast"/>
    </w:pPr>
    <w:rPr>
      <w:rFonts w:ascii="VPZFEC+Frutiger-Light" w:eastAsiaTheme="minorEastAsia" w:hAnsi="VPZFEC+Frutiger-Light" w:cs="Times New Roman"/>
      <w:szCs w:val="24"/>
      <w:lang w:val="en-US" w:eastAsia="es-PE"/>
    </w:rPr>
  </w:style>
  <w:style w:type="paragraph" w:customStyle="1" w:styleId="Incisostabla">
    <w:name w:val="Incisos tabla"/>
    <w:basedOn w:val="Normal"/>
    <w:qFormat/>
    <w:pPr>
      <w:autoSpaceDE w:val="0"/>
      <w:autoSpaceDN w:val="0"/>
      <w:adjustRightInd w:val="0"/>
      <w:ind w:left="288" w:hanging="288"/>
    </w:pPr>
    <w:rPr>
      <w:rFonts w:ascii="Calibri" w:eastAsiaTheme="minorEastAsia" w:hAnsi="Calibri" w:cs="Times New Roman"/>
      <w:sz w:val="20"/>
      <w:szCs w:val="20"/>
      <w:lang w:val="es-MX" w:eastAsia="es-PE"/>
    </w:rPr>
  </w:style>
  <w:style w:type="paragraph" w:customStyle="1" w:styleId="textobase">
    <w:name w:val="textobase"/>
    <w:basedOn w:val="Normal"/>
    <w:qFormat/>
    <w:pPr>
      <w:autoSpaceDE w:val="0"/>
      <w:autoSpaceDN w:val="0"/>
      <w:adjustRightInd w:val="0"/>
      <w:spacing w:before="100" w:beforeAutospacing="1" w:after="100" w:afterAutospacing="1"/>
    </w:pPr>
    <w:rPr>
      <w:rFonts w:eastAsiaTheme="minorEastAsia"/>
      <w:color w:val="014E63"/>
      <w:sz w:val="20"/>
      <w:szCs w:val="20"/>
      <w:lang w:val="en-US" w:eastAsia="es-PE"/>
    </w:rPr>
  </w:style>
  <w:style w:type="paragraph" w:customStyle="1" w:styleId="textonegro">
    <w:name w:val="textonegro"/>
    <w:basedOn w:val="Normal"/>
    <w:qFormat/>
    <w:pPr>
      <w:autoSpaceDE w:val="0"/>
      <w:autoSpaceDN w:val="0"/>
      <w:adjustRightInd w:val="0"/>
      <w:spacing w:before="100" w:beforeAutospacing="1" w:after="100" w:afterAutospacing="1"/>
    </w:pPr>
    <w:rPr>
      <w:rFonts w:ascii="Verdana" w:eastAsiaTheme="minorEastAsia" w:hAnsi="Verdana" w:cs="Times New Roman"/>
      <w:color w:val="000000"/>
      <w:sz w:val="18"/>
      <w:szCs w:val="18"/>
      <w:lang w:val="en-US" w:eastAsia="es-PE"/>
    </w:rPr>
  </w:style>
  <w:style w:type="paragraph" w:customStyle="1" w:styleId="style360">
    <w:name w:val="style36"/>
    <w:basedOn w:val="Normal"/>
    <w:qFormat/>
    <w:pPr>
      <w:autoSpaceDE w:val="0"/>
      <w:autoSpaceDN w:val="0"/>
      <w:adjustRightInd w:val="0"/>
      <w:spacing w:before="100" w:beforeAutospacing="1" w:after="100" w:afterAutospacing="1"/>
    </w:pPr>
    <w:rPr>
      <w:rFonts w:ascii="Calibri" w:eastAsiaTheme="minorEastAsia" w:hAnsi="Calibri" w:cs="Times New Roman"/>
      <w:color w:val="666666"/>
      <w:szCs w:val="24"/>
      <w:lang w:val="en-US" w:eastAsia="es-PE"/>
    </w:rPr>
  </w:style>
  <w:style w:type="character" w:customStyle="1" w:styleId="CharCharChar">
    <w:name w:val="Char Char Char"/>
    <w:basedOn w:val="Fuentedeprrafopredeter"/>
    <w:qFormat/>
    <w:rPr>
      <w:rFonts w:cs="Times New Roman"/>
      <w:lang w:val="es-ES" w:bidi="ar-SA"/>
    </w:rPr>
  </w:style>
  <w:style w:type="paragraph" w:customStyle="1" w:styleId="Texto2">
    <w:name w:val="Texto"/>
    <w:basedOn w:val="Normal"/>
    <w:qFormat/>
    <w:pPr>
      <w:autoSpaceDE w:val="0"/>
      <w:autoSpaceDN w:val="0"/>
      <w:adjustRightInd w:val="0"/>
      <w:spacing w:after="101" w:line="216" w:lineRule="exact"/>
      <w:ind w:firstLine="288"/>
    </w:pPr>
    <w:rPr>
      <w:rFonts w:eastAsiaTheme="minorEastAsia"/>
      <w:sz w:val="18"/>
      <w:szCs w:val="20"/>
      <w:lang w:val="es-CL" w:eastAsia="es-PE"/>
    </w:rPr>
  </w:style>
  <w:style w:type="character" w:customStyle="1" w:styleId="TextoCar">
    <w:name w:val="Texto Car"/>
    <w:qFormat/>
    <w:rPr>
      <w:rFonts w:ascii="Arial" w:hAnsi="Arial"/>
      <w:sz w:val="20"/>
      <w:lang w:val="es-CL"/>
    </w:rPr>
  </w:style>
  <w:style w:type="paragraph" w:customStyle="1" w:styleId="Annex0">
    <w:name w:val="Annex"/>
    <w:basedOn w:val="Normal"/>
    <w:qFormat/>
    <w:pPr>
      <w:autoSpaceDE w:val="0"/>
      <w:autoSpaceDN w:val="0"/>
      <w:adjustRightInd w:val="0"/>
    </w:pPr>
    <w:rPr>
      <w:rFonts w:ascii="Times New Roman" w:eastAsiaTheme="minorEastAsia" w:hAnsi="Times New Roman" w:cs="Times New Roman"/>
      <w:caps/>
      <w:szCs w:val="20"/>
      <w:lang w:val="es-CL" w:eastAsia="es-PE"/>
    </w:rPr>
  </w:style>
  <w:style w:type="paragraph" w:customStyle="1" w:styleId="Body1">
    <w:name w:val="Body 1"/>
    <w:qFormat/>
    <w:pPr>
      <w:autoSpaceDE w:val="0"/>
      <w:autoSpaceDN w:val="0"/>
      <w:adjustRightInd w:val="0"/>
      <w:outlineLvl w:val="0"/>
    </w:pPr>
    <w:rPr>
      <w:rFonts w:ascii="Times New Roman" w:eastAsia="Times New Roman" w:hAnsi="Times New Roman" w:cs="Times New Roman"/>
      <w:color w:val="000000"/>
      <w:sz w:val="24"/>
      <w:lang w:val="en-US"/>
    </w:rPr>
  </w:style>
  <w:style w:type="paragraph" w:customStyle="1" w:styleId="List1">
    <w:name w:val="List 1"/>
    <w:basedOn w:val="Normal"/>
    <w:qFormat/>
    <w:pPr>
      <w:numPr>
        <w:numId w:val="49"/>
      </w:numPr>
      <w:autoSpaceDE w:val="0"/>
      <w:autoSpaceDN w:val="0"/>
      <w:adjustRightInd w:val="0"/>
    </w:pPr>
    <w:rPr>
      <w:rFonts w:ascii="Times New Roman" w:eastAsiaTheme="minorEastAsia" w:hAnsi="Times New Roman" w:cs="Times New Roman"/>
      <w:sz w:val="20"/>
      <w:szCs w:val="20"/>
      <w:lang w:val="en-US" w:eastAsia="es-PE"/>
    </w:rPr>
  </w:style>
  <w:style w:type="paragraph" w:customStyle="1" w:styleId="BoxBullet">
    <w:name w:val="Box Bullet"/>
    <w:basedOn w:val="Normal"/>
    <w:next w:val="Normal"/>
    <w:qFormat/>
    <w:pPr>
      <w:tabs>
        <w:tab w:val="left" w:pos="360"/>
      </w:tabs>
      <w:autoSpaceDE w:val="0"/>
      <w:autoSpaceDN w:val="0"/>
      <w:adjustRightInd w:val="0"/>
      <w:ind w:left="360" w:hanging="360"/>
    </w:pPr>
    <w:rPr>
      <w:rFonts w:eastAsiaTheme="minorEastAsia"/>
      <w:kern w:val="20"/>
      <w:sz w:val="18"/>
      <w:szCs w:val="18"/>
      <w:lang w:val="es-PE" w:eastAsia="es-PE"/>
    </w:rPr>
  </w:style>
  <w:style w:type="character" w:customStyle="1" w:styleId="CarCarCarCarCar">
    <w:name w:val="Car Car Car Car Car"/>
    <w:basedOn w:val="Fuentedeprrafopredeter"/>
    <w:qFormat/>
    <w:rPr>
      <w:rFonts w:cs="Times New Roman"/>
      <w:sz w:val="24"/>
      <w:szCs w:val="24"/>
      <w:lang w:val="es-ES" w:bidi="ar-SA"/>
    </w:rPr>
  </w:style>
  <w:style w:type="character" w:customStyle="1" w:styleId="DireccinHTMLCar">
    <w:name w:val="Dirección HTML Car"/>
    <w:basedOn w:val="Fuentedeprrafopredeter"/>
    <w:link w:val="DireccinHTML"/>
    <w:uiPriority w:val="99"/>
    <w:qFormat/>
    <w:rPr>
      <w:rFonts w:eastAsia="ヒラギノ角ゴ Pro W3" w:cs="Times New Roman"/>
      <w:i/>
      <w:color w:val="000000"/>
      <w:sz w:val="22"/>
      <w:szCs w:val="24"/>
    </w:rPr>
  </w:style>
  <w:style w:type="character" w:customStyle="1" w:styleId="EncabezadodenotaCar">
    <w:name w:val="Encabezado de nota Car"/>
    <w:basedOn w:val="Fuentedeprrafopredeter"/>
    <w:link w:val="Encabezadodenota"/>
    <w:qFormat/>
    <w:rPr>
      <w:rFonts w:eastAsia="ヒラギノ角ゴ Pro W3" w:cs="Times New Roman"/>
      <w:color w:val="000000"/>
      <w:sz w:val="22"/>
      <w:szCs w:val="24"/>
    </w:rPr>
  </w:style>
  <w:style w:type="character" w:customStyle="1" w:styleId="FirmadecorreoelectrnicoCar">
    <w:name w:val="Firma de correo electrónico Car"/>
    <w:basedOn w:val="Fuentedeprrafopredeter"/>
    <w:link w:val="Firmadecorreoelectrnico"/>
    <w:uiPriority w:val="99"/>
    <w:qFormat/>
    <w:rPr>
      <w:rFonts w:eastAsia="ヒラギノ角ゴ Pro W3" w:cs="Times New Roman"/>
      <w:color w:val="000000"/>
      <w:sz w:val="22"/>
      <w:szCs w:val="24"/>
    </w:rPr>
  </w:style>
  <w:style w:type="character" w:customStyle="1" w:styleId="TextomacroCar">
    <w:name w:val="Texto macro Car"/>
    <w:basedOn w:val="Fuentedeprrafopredeter"/>
    <w:link w:val="Textomacro"/>
    <w:uiPriority w:val="99"/>
    <w:qFormat/>
    <w:rPr>
      <w:rFonts w:ascii="Consolas" w:eastAsia="ヒラギノ角ゴ Pro W3" w:hAnsi="Consolas" w:cs="Consolas"/>
      <w:color w:val="000000"/>
    </w:rPr>
  </w:style>
  <w:style w:type="paragraph" w:customStyle="1" w:styleId="CarCar3CharChar">
    <w:name w:val="Car Car3 Char Char"/>
    <w:basedOn w:val="Normal"/>
    <w:next w:val="Normal"/>
    <w:qFormat/>
    <w:pPr>
      <w:tabs>
        <w:tab w:val="left" w:pos="432"/>
      </w:tabs>
      <w:autoSpaceDE w:val="0"/>
      <w:autoSpaceDN w:val="0"/>
      <w:adjustRightInd w:val="0"/>
      <w:ind w:left="432" w:hanging="432"/>
    </w:pPr>
    <w:rPr>
      <w:rFonts w:ascii="Times New Roman Negrita" w:eastAsiaTheme="minorEastAsia" w:hAnsi="Times New Roman Negrita" w:cs="Times New Roman"/>
      <w:b/>
      <w:sz w:val="28"/>
      <w:szCs w:val="28"/>
      <w:lang w:eastAsia="es-PE"/>
    </w:rPr>
  </w:style>
  <w:style w:type="paragraph" w:customStyle="1" w:styleId="CarCarCharCharCarCarCarCharCharCarCarCarCarCharCharCarCarChar">
    <w:name w:val="Car Car Char Char Car Car Car Char Char Car Car Car Car Char Char Car Car Char"/>
    <w:basedOn w:val="Normal"/>
    <w:qFormat/>
    <w:pPr>
      <w:autoSpaceDE w:val="0"/>
      <w:autoSpaceDN w:val="0"/>
      <w:adjustRightInd w:val="0"/>
      <w:spacing w:after="160" w:line="240" w:lineRule="exact"/>
    </w:pPr>
    <w:rPr>
      <w:rFonts w:ascii="Verdana" w:eastAsiaTheme="minorEastAsia" w:hAnsi="Verdana" w:cs="Times New Roman"/>
      <w:sz w:val="20"/>
      <w:szCs w:val="20"/>
      <w:lang w:eastAsia="es-PE"/>
    </w:rPr>
  </w:style>
  <w:style w:type="character" w:customStyle="1" w:styleId="tgc">
    <w:name w:val="_tgc"/>
    <w:basedOn w:val="Fuentedeprrafopredeter"/>
    <w:qFormat/>
    <w:rPr>
      <w:rFonts w:cs="Times New Roman"/>
    </w:rPr>
  </w:style>
  <w:style w:type="character" w:customStyle="1" w:styleId="suffix">
    <w:name w:val="suffix"/>
    <w:basedOn w:val="Fuentedeprrafopredeter"/>
    <w:qFormat/>
    <w:rPr>
      <w:rFonts w:cs="Times New Roman"/>
    </w:rPr>
  </w:style>
  <w:style w:type="character" w:customStyle="1" w:styleId="BodyTextChar1">
    <w:name w:val="Body Text Char1"/>
    <w:basedOn w:val="Fuentedeprrafopredeter"/>
    <w:qFormat/>
    <w:rPr>
      <w:rFonts w:ascii="Liberation Sans Narrow" w:eastAsia="Times New Roman" w:hAnsi="Liberation Sans Narrow" w:cs="Liberation Sans Narrow"/>
      <w:lang w:val="es-CL"/>
    </w:rPr>
  </w:style>
  <w:style w:type="paragraph" w:customStyle="1" w:styleId="tomas1">
    <w:name w:val="tomas 1"/>
    <w:basedOn w:val="Ttulo1"/>
    <w:uiPriority w:val="99"/>
    <w:qFormat/>
    <w:pPr>
      <w:numPr>
        <w:numId w:val="50"/>
      </w:numPr>
      <w:autoSpaceDE w:val="0"/>
      <w:autoSpaceDN w:val="0"/>
      <w:adjustRightInd w:val="0"/>
      <w:spacing w:after="120" w:line="276" w:lineRule="auto"/>
      <w:jc w:val="center"/>
    </w:pPr>
    <w:rPr>
      <w:rFonts w:ascii="Verdana" w:eastAsiaTheme="minorEastAsia" w:hAnsi="Verdana"/>
      <w:bCs w:val="0"/>
      <w:caps/>
      <w:kern w:val="32"/>
      <w:sz w:val="24"/>
      <w:szCs w:val="24"/>
      <w:lang w:val="es-ES" w:eastAsia="es-PE"/>
    </w:rPr>
  </w:style>
  <w:style w:type="paragraph" w:customStyle="1" w:styleId="tomas2">
    <w:name w:val="tomas 2"/>
    <w:basedOn w:val="Textoindependiente"/>
    <w:uiPriority w:val="99"/>
    <w:qFormat/>
    <w:pPr>
      <w:numPr>
        <w:ilvl w:val="1"/>
        <w:numId w:val="50"/>
      </w:numPr>
      <w:tabs>
        <w:tab w:val="left" w:pos="576"/>
      </w:tabs>
      <w:autoSpaceDE w:val="0"/>
      <w:autoSpaceDN w:val="0"/>
      <w:adjustRightInd w:val="0"/>
      <w:ind w:left="576" w:hanging="576"/>
    </w:pPr>
    <w:rPr>
      <w:rFonts w:ascii="Verdana" w:eastAsiaTheme="minorEastAsia" w:hAnsi="Verdana"/>
      <w:b/>
      <w:bCs w:val="0"/>
      <w:szCs w:val="22"/>
      <w:lang w:eastAsia="es-PE"/>
    </w:rPr>
  </w:style>
  <w:style w:type="paragraph" w:customStyle="1" w:styleId="tomas3">
    <w:name w:val="tomas 3"/>
    <w:basedOn w:val="Textoindependiente"/>
    <w:uiPriority w:val="99"/>
    <w:qFormat/>
    <w:pPr>
      <w:numPr>
        <w:ilvl w:val="2"/>
        <w:numId w:val="50"/>
      </w:numPr>
      <w:tabs>
        <w:tab w:val="left" w:pos="720"/>
      </w:tabs>
      <w:autoSpaceDE w:val="0"/>
      <w:autoSpaceDN w:val="0"/>
      <w:adjustRightInd w:val="0"/>
      <w:ind w:left="720"/>
    </w:pPr>
    <w:rPr>
      <w:rFonts w:ascii="Verdana" w:eastAsiaTheme="minorEastAsia" w:hAnsi="Verdana"/>
      <w:b/>
      <w:bCs w:val="0"/>
      <w:szCs w:val="22"/>
      <w:lang w:eastAsia="es-PE"/>
    </w:rPr>
  </w:style>
  <w:style w:type="paragraph" w:customStyle="1" w:styleId="tomas4">
    <w:name w:val="tomas 4"/>
    <w:basedOn w:val="Normal"/>
    <w:uiPriority w:val="99"/>
    <w:qFormat/>
    <w:pPr>
      <w:numPr>
        <w:ilvl w:val="3"/>
        <w:numId w:val="50"/>
      </w:numPr>
      <w:autoSpaceDE w:val="0"/>
      <w:autoSpaceDN w:val="0"/>
      <w:adjustRightInd w:val="0"/>
      <w:ind w:left="720"/>
    </w:pPr>
    <w:rPr>
      <w:rFonts w:ascii="Verdana" w:eastAsiaTheme="minorEastAsia" w:hAnsi="Verdana"/>
      <w:b/>
      <w:lang w:val="es-ES" w:eastAsia="es-PE"/>
    </w:rPr>
  </w:style>
  <w:style w:type="paragraph" w:customStyle="1" w:styleId="CarCar3CharCharCarCar">
    <w:name w:val="Car Car3 Char Char Car Car"/>
    <w:basedOn w:val="Normal"/>
    <w:next w:val="Normal"/>
    <w:qFormat/>
    <w:pPr>
      <w:tabs>
        <w:tab w:val="left" w:pos="432"/>
      </w:tabs>
      <w:autoSpaceDE w:val="0"/>
      <w:autoSpaceDN w:val="0"/>
      <w:adjustRightInd w:val="0"/>
      <w:ind w:left="432" w:hanging="432"/>
    </w:pPr>
    <w:rPr>
      <w:rFonts w:ascii="Times New Roman Negrita" w:eastAsiaTheme="minorEastAsia" w:hAnsi="Times New Roman Negrita" w:cs="Times New Roman"/>
      <w:b/>
      <w:sz w:val="28"/>
      <w:szCs w:val="28"/>
      <w:lang w:eastAsia="es-PE"/>
    </w:rPr>
  </w:style>
  <w:style w:type="paragraph" w:customStyle="1" w:styleId="CarCar4CharCharCarCarCharCharCarCar">
    <w:name w:val="Car Car4 Char Char Car Car Char Char Car Car"/>
    <w:basedOn w:val="Normal"/>
    <w:qFormat/>
    <w:pPr>
      <w:autoSpaceDE w:val="0"/>
      <w:autoSpaceDN w:val="0"/>
      <w:adjustRightInd w:val="0"/>
      <w:spacing w:after="160" w:line="240" w:lineRule="exact"/>
    </w:pPr>
    <w:rPr>
      <w:rFonts w:ascii="Verdana" w:eastAsiaTheme="minorEastAsia" w:hAnsi="Verdana" w:cs="Times New Roman"/>
      <w:sz w:val="20"/>
      <w:szCs w:val="20"/>
      <w:lang w:eastAsia="es-PE"/>
    </w:rPr>
  </w:style>
  <w:style w:type="paragraph" w:customStyle="1" w:styleId="Heading12">
    <w:name w:val="Heading 12"/>
    <w:basedOn w:val="Normal"/>
    <w:qFormat/>
    <w:pPr>
      <w:autoSpaceDE w:val="0"/>
      <w:autoSpaceDN w:val="0"/>
      <w:adjustRightInd w:val="0"/>
    </w:pPr>
    <w:rPr>
      <w:rFonts w:ascii="Arial Narrow" w:eastAsia="Times New Roman" w:hAnsi="Arial Narrow" w:cs="Times New Roman"/>
      <w:lang w:val="es-CL" w:eastAsia="es-PE"/>
    </w:rPr>
  </w:style>
  <w:style w:type="paragraph" w:customStyle="1" w:styleId="Heading22">
    <w:name w:val="Heading 22"/>
    <w:basedOn w:val="Normal"/>
    <w:qFormat/>
    <w:pPr>
      <w:autoSpaceDE w:val="0"/>
      <w:autoSpaceDN w:val="0"/>
      <w:adjustRightInd w:val="0"/>
      <w:ind w:left="576" w:hanging="576"/>
    </w:pPr>
    <w:rPr>
      <w:rFonts w:ascii="Arial Narrow" w:eastAsia="Times New Roman" w:hAnsi="Arial Narrow" w:cs="Times New Roman"/>
      <w:lang w:val="es-CL" w:eastAsia="es-PE"/>
    </w:rPr>
  </w:style>
  <w:style w:type="paragraph" w:customStyle="1" w:styleId="Heading32">
    <w:name w:val="Heading 32"/>
    <w:basedOn w:val="Normal"/>
    <w:qFormat/>
    <w:pPr>
      <w:autoSpaceDE w:val="0"/>
      <w:autoSpaceDN w:val="0"/>
      <w:adjustRightInd w:val="0"/>
      <w:ind w:left="720" w:hanging="720"/>
    </w:pPr>
    <w:rPr>
      <w:rFonts w:ascii="Arial Narrow" w:eastAsia="Times New Roman" w:hAnsi="Arial Narrow" w:cs="Times New Roman"/>
      <w:lang w:val="es-CL" w:eastAsia="es-PE"/>
    </w:rPr>
  </w:style>
  <w:style w:type="paragraph" w:customStyle="1" w:styleId="Heading42">
    <w:name w:val="Heading 42"/>
    <w:basedOn w:val="Normal"/>
    <w:qFormat/>
    <w:pPr>
      <w:autoSpaceDE w:val="0"/>
      <w:autoSpaceDN w:val="0"/>
      <w:adjustRightInd w:val="0"/>
      <w:ind w:left="864" w:hanging="864"/>
    </w:pPr>
    <w:rPr>
      <w:rFonts w:ascii="Arial Narrow" w:eastAsia="Times New Roman" w:hAnsi="Arial Narrow" w:cs="Times New Roman"/>
      <w:lang w:val="es-CL" w:eastAsia="es-PE"/>
    </w:rPr>
  </w:style>
  <w:style w:type="paragraph" w:customStyle="1" w:styleId="Heading52">
    <w:name w:val="Heading 52"/>
    <w:basedOn w:val="Normal"/>
    <w:qFormat/>
    <w:pPr>
      <w:autoSpaceDE w:val="0"/>
      <w:autoSpaceDN w:val="0"/>
      <w:adjustRightInd w:val="0"/>
      <w:ind w:left="1008" w:hanging="1008"/>
    </w:pPr>
    <w:rPr>
      <w:rFonts w:ascii="Arial Narrow" w:eastAsia="Times New Roman" w:hAnsi="Arial Narrow" w:cs="Times New Roman"/>
      <w:lang w:val="es-CL" w:eastAsia="es-PE"/>
    </w:rPr>
  </w:style>
  <w:style w:type="paragraph" w:customStyle="1" w:styleId="Heading62">
    <w:name w:val="Heading 62"/>
    <w:basedOn w:val="Normal"/>
    <w:qFormat/>
    <w:pPr>
      <w:autoSpaceDE w:val="0"/>
      <w:autoSpaceDN w:val="0"/>
      <w:adjustRightInd w:val="0"/>
      <w:ind w:left="1152" w:hanging="1152"/>
    </w:pPr>
    <w:rPr>
      <w:rFonts w:ascii="Arial Narrow" w:eastAsia="Times New Roman" w:hAnsi="Arial Narrow" w:cs="Times New Roman"/>
      <w:lang w:val="es-CL" w:eastAsia="es-PE"/>
    </w:rPr>
  </w:style>
  <w:style w:type="paragraph" w:customStyle="1" w:styleId="Heading72">
    <w:name w:val="Heading 72"/>
    <w:basedOn w:val="Normal"/>
    <w:qFormat/>
    <w:pPr>
      <w:autoSpaceDE w:val="0"/>
      <w:autoSpaceDN w:val="0"/>
      <w:adjustRightInd w:val="0"/>
      <w:ind w:left="1296" w:hanging="1296"/>
    </w:pPr>
    <w:rPr>
      <w:rFonts w:ascii="Arial Narrow" w:eastAsia="Times New Roman" w:hAnsi="Arial Narrow" w:cs="Times New Roman"/>
      <w:lang w:val="es-CL" w:eastAsia="es-PE"/>
    </w:rPr>
  </w:style>
  <w:style w:type="paragraph" w:customStyle="1" w:styleId="Heading82">
    <w:name w:val="Heading 82"/>
    <w:basedOn w:val="Normal"/>
    <w:qFormat/>
    <w:pPr>
      <w:autoSpaceDE w:val="0"/>
      <w:autoSpaceDN w:val="0"/>
      <w:adjustRightInd w:val="0"/>
      <w:ind w:left="1440" w:hanging="1440"/>
    </w:pPr>
    <w:rPr>
      <w:rFonts w:ascii="Arial Narrow" w:eastAsia="Times New Roman" w:hAnsi="Arial Narrow" w:cs="Times New Roman"/>
      <w:lang w:val="es-CL" w:eastAsia="es-PE"/>
    </w:rPr>
  </w:style>
  <w:style w:type="paragraph" w:customStyle="1" w:styleId="Heading92">
    <w:name w:val="Heading 92"/>
    <w:basedOn w:val="Normal"/>
    <w:qFormat/>
    <w:pPr>
      <w:autoSpaceDE w:val="0"/>
      <w:autoSpaceDN w:val="0"/>
      <w:adjustRightInd w:val="0"/>
      <w:ind w:left="1584" w:hanging="1584"/>
    </w:pPr>
    <w:rPr>
      <w:rFonts w:ascii="Arial Narrow" w:eastAsia="Times New Roman" w:hAnsi="Arial Narrow" w:cs="Times New Roman"/>
      <w:lang w:val="es-CL" w:eastAsia="es-PE"/>
    </w:rPr>
  </w:style>
  <w:style w:type="paragraph" w:customStyle="1" w:styleId="TtTextLegend">
    <w:name w:val="Tt_Text_Legend"/>
    <w:uiPriority w:val="98"/>
    <w:qFormat/>
    <w:pPr>
      <w:autoSpaceDE w:val="0"/>
      <w:autoSpaceDN w:val="0"/>
      <w:adjustRightInd w:val="0"/>
      <w:spacing w:before="40" w:after="120"/>
      <w:ind w:left="144" w:right="144"/>
    </w:pPr>
    <w:rPr>
      <w:rFonts w:eastAsia="Times New Roman"/>
      <w:color w:val="404040"/>
      <w:szCs w:val="22"/>
      <w:lang w:val="fr-CA"/>
    </w:rPr>
  </w:style>
  <w:style w:type="character" w:customStyle="1" w:styleId="TtTextLegendCar">
    <w:name w:val="Tt_Text_Legend Car"/>
    <w:basedOn w:val="Fuentedeprrafopredeter"/>
    <w:uiPriority w:val="98"/>
    <w:qFormat/>
    <w:rPr>
      <w:rFonts w:ascii="Arial" w:eastAsia="Times New Roman" w:hAnsi="Arial" w:cs="Arial"/>
      <w:color w:val="404040"/>
      <w:sz w:val="20"/>
      <w:lang w:val="fr-CA"/>
    </w:rPr>
  </w:style>
  <w:style w:type="character" w:customStyle="1" w:styleId="EstiloEurostarRegularExtended14ptNegritaColorpersonalizad">
    <w:name w:val="Estilo Eurostar Regular Extended 14 pt Negrita Color personalizad..."/>
    <w:basedOn w:val="Fuentedeprrafopredeter"/>
    <w:qFormat/>
    <w:rPr>
      <w:rFonts w:ascii="Eurostar Regular Extended" w:hAnsi="Eurostar Regular Extended" w:cs="Times New Roman"/>
      <w:b/>
      <w:caps/>
      <w:color w:val="004B80"/>
      <w:spacing w:val="30"/>
      <w:sz w:val="24"/>
    </w:rPr>
  </w:style>
  <w:style w:type="paragraph" w:customStyle="1" w:styleId="textbox">
    <w:name w:val="textbox"/>
    <w:basedOn w:val="Normal"/>
    <w:qFormat/>
    <w:pPr>
      <w:autoSpaceDE w:val="0"/>
      <w:autoSpaceDN w:val="0"/>
      <w:adjustRightInd w:val="0"/>
      <w:spacing w:before="100" w:beforeAutospacing="1" w:after="100" w:afterAutospacing="1"/>
    </w:pPr>
    <w:rPr>
      <w:rFonts w:ascii="Times New Roman" w:eastAsia="Times New Roman" w:hAnsi="Times New Roman" w:cs="Times New Roman"/>
      <w:sz w:val="24"/>
      <w:szCs w:val="24"/>
      <w:lang w:eastAsia="es-PE"/>
    </w:rPr>
  </w:style>
  <w:style w:type="paragraph" w:customStyle="1" w:styleId="m-8448853502138039663gmail-msonormal">
    <w:name w:val="m_-8448853502138039663gmail-msonormal"/>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MX" w:eastAsia="es-PE"/>
    </w:rPr>
  </w:style>
  <w:style w:type="paragraph" w:customStyle="1" w:styleId="Pa0">
    <w:name w:val="Pa0"/>
    <w:basedOn w:val="Default"/>
    <w:next w:val="Default"/>
    <w:uiPriority w:val="99"/>
    <w:qFormat/>
    <w:pPr>
      <w:spacing w:after="0" w:line="381" w:lineRule="atLeast"/>
    </w:pPr>
    <w:rPr>
      <w:rFonts w:ascii="Whitney Medium" w:eastAsia="Times New Roman" w:hAnsi="Whitney Medium" w:cs="Arial"/>
      <w:color w:val="auto"/>
      <w:lang w:val="es-MX"/>
    </w:rPr>
  </w:style>
  <w:style w:type="character" w:customStyle="1" w:styleId="A1">
    <w:name w:val="A1"/>
    <w:uiPriority w:val="99"/>
    <w:qFormat/>
    <w:rPr>
      <w:rFonts w:ascii="Whitney Light" w:hAnsi="Whitney Light"/>
      <w:i/>
      <w:color w:val="000000"/>
      <w:sz w:val="28"/>
    </w:rPr>
  </w:style>
  <w:style w:type="character" w:customStyle="1" w:styleId="nlmsource">
    <w:name w:val="nlm_source"/>
    <w:basedOn w:val="Fuentedeprrafopredeter"/>
    <w:qFormat/>
    <w:rPr>
      <w:rFonts w:cs="Times New Roman"/>
    </w:rPr>
  </w:style>
  <w:style w:type="paragraph" w:customStyle="1" w:styleId="Normal-Centered">
    <w:name w:val="Normal - Centered"/>
    <w:basedOn w:val="Normal"/>
    <w:qFormat/>
    <w:pPr>
      <w:autoSpaceDE w:val="0"/>
      <w:autoSpaceDN w:val="0"/>
      <w:adjustRightInd w:val="0"/>
      <w:jc w:val="center"/>
    </w:pPr>
    <w:rPr>
      <w:rFonts w:ascii="Book Antiqua" w:eastAsiaTheme="minorEastAsia" w:hAnsi="Book Antiqua" w:cs="Times New Roman"/>
      <w:sz w:val="20"/>
      <w:szCs w:val="24"/>
      <w:lang w:val="fr-FR" w:eastAsia="es-PE"/>
    </w:rPr>
  </w:style>
  <w:style w:type="paragraph" w:customStyle="1" w:styleId="m8980612515247993840msolistparagraph">
    <w:name w:val="m_8980612515247993840msolistparagraph"/>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MX" w:eastAsia="es-PE"/>
    </w:rPr>
  </w:style>
  <w:style w:type="paragraph" w:customStyle="1" w:styleId="EstiloTtulo211pt">
    <w:name w:val="Estilo Título 2 + 11 pt"/>
    <w:basedOn w:val="Ttulo2"/>
    <w:uiPriority w:val="99"/>
    <w:qFormat/>
    <w:pPr>
      <w:tabs>
        <w:tab w:val="left" w:pos="1285"/>
        <w:tab w:val="left" w:pos="2214"/>
      </w:tabs>
      <w:autoSpaceDE w:val="0"/>
      <w:autoSpaceDN w:val="0"/>
      <w:adjustRightInd w:val="0"/>
      <w:spacing w:before="240" w:after="60"/>
      <w:ind w:left="2214" w:hanging="360"/>
      <w:jc w:val="both"/>
    </w:pPr>
    <w:rPr>
      <w:rFonts w:ascii="Verdana" w:eastAsiaTheme="minorEastAsia" w:hAnsi="Verdana" w:cs="Arial"/>
      <w:b/>
      <w:kern w:val="28"/>
      <w:sz w:val="24"/>
      <w:szCs w:val="32"/>
      <w:u w:val="none"/>
      <w:lang w:val="en-US" w:eastAsia="es-PE"/>
    </w:rPr>
  </w:style>
  <w:style w:type="paragraph" w:customStyle="1" w:styleId="TabelBodyText">
    <w:name w:val="Tabel Body Text"/>
    <w:basedOn w:val="Normal"/>
    <w:qFormat/>
    <w:pPr>
      <w:keepNext/>
      <w:keepLines/>
      <w:autoSpaceDE w:val="0"/>
      <w:autoSpaceDN w:val="0"/>
      <w:adjustRightInd w:val="0"/>
      <w:spacing w:before="60" w:after="60"/>
    </w:pPr>
    <w:rPr>
      <w:rFonts w:ascii="Corbel" w:eastAsiaTheme="minorEastAsia" w:hAnsi="Corbel" w:cs="Times New Roman"/>
      <w:sz w:val="20"/>
      <w:szCs w:val="24"/>
      <w:lang w:val="fr-FR" w:eastAsia="es-PE"/>
    </w:rPr>
  </w:style>
  <w:style w:type="paragraph" w:customStyle="1" w:styleId="TabelKop">
    <w:name w:val="Tabel Kop"/>
    <w:basedOn w:val="TabelBodyText"/>
    <w:qFormat/>
    <w:rPr>
      <w:b/>
      <w:szCs w:val="16"/>
    </w:rPr>
  </w:style>
  <w:style w:type="paragraph" w:customStyle="1" w:styleId="TabelList">
    <w:name w:val="Tabel List"/>
    <w:basedOn w:val="TabelBodyText"/>
    <w:qFormat/>
    <w:pPr>
      <w:numPr>
        <w:numId w:val="51"/>
      </w:numPr>
      <w:ind w:left="340" w:hanging="340"/>
    </w:pPr>
  </w:style>
  <w:style w:type="character" w:customStyle="1" w:styleId="UnresolvedMention11">
    <w:name w:val="Unresolved Mention11"/>
    <w:basedOn w:val="Fuentedeprrafopredeter"/>
    <w:uiPriority w:val="99"/>
    <w:qFormat/>
    <w:rPr>
      <w:rFonts w:cs="Times New Roman"/>
      <w:color w:val="808080"/>
      <w:shd w:val="clear" w:color="auto" w:fill="E6E6E6"/>
    </w:rPr>
  </w:style>
  <w:style w:type="paragraph" w:customStyle="1" w:styleId="MyList1">
    <w:name w:val="My List 1"/>
    <w:basedOn w:val="Normal"/>
    <w:uiPriority w:val="99"/>
    <w:qFormat/>
    <w:pPr>
      <w:numPr>
        <w:ilvl w:val="1"/>
        <w:numId w:val="52"/>
      </w:numPr>
      <w:autoSpaceDE w:val="0"/>
      <w:autoSpaceDN w:val="0"/>
      <w:adjustRightInd w:val="0"/>
    </w:pPr>
    <w:rPr>
      <w:rFonts w:ascii="Times New Roman" w:eastAsiaTheme="minorEastAsia" w:hAnsi="Times New Roman" w:cs="Times New Roman"/>
      <w:lang w:val="en-US" w:eastAsia="es-PE"/>
    </w:rPr>
  </w:style>
  <w:style w:type="paragraph" w:customStyle="1" w:styleId="Client">
    <w:name w:val="Client"/>
    <w:basedOn w:val="Normal"/>
    <w:qFormat/>
    <w:pPr>
      <w:autoSpaceDE w:val="0"/>
      <w:autoSpaceDN w:val="0"/>
      <w:adjustRightInd w:val="0"/>
      <w:spacing w:line="288" w:lineRule="auto"/>
    </w:pPr>
    <w:rPr>
      <w:rFonts w:eastAsiaTheme="minorEastAsia" w:cs="Times New Roman"/>
      <w:color w:val="99CC00"/>
      <w:sz w:val="32"/>
      <w:szCs w:val="20"/>
      <w:lang w:val="en-GB" w:eastAsia="es-PE"/>
    </w:rPr>
  </w:style>
  <w:style w:type="paragraph" w:customStyle="1" w:styleId="Heading1a">
    <w:name w:val="Heading 1a"/>
    <w:qFormat/>
    <w:pPr>
      <w:keepNext/>
      <w:keepLines/>
      <w:tabs>
        <w:tab w:val="left" w:pos="-720"/>
      </w:tabs>
      <w:suppressAutoHyphens/>
      <w:autoSpaceDE w:val="0"/>
      <w:autoSpaceDN w:val="0"/>
      <w:adjustRightInd w:val="0"/>
      <w:jc w:val="center"/>
    </w:pPr>
    <w:rPr>
      <w:rFonts w:ascii="Times New Roman" w:eastAsia="Calibri" w:hAnsi="Times New Roman" w:cs="Times New Roman"/>
      <w:b/>
      <w:smallCaps/>
      <w:sz w:val="32"/>
      <w:lang w:val="en-US"/>
    </w:rPr>
  </w:style>
  <w:style w:type="paragraph" w:customStyle="1" w:styleId="Style2">
    <w:name w:val="Style 2"/>
    <w:basedOn w:val="Normal"/>
    <w:qFormat/>
    <w:pPr>
      <w:widowControl w:val="0"/>
      <w:tabs>
        <w:tab w:val="left" w:pos="720"/>
      </w:tabs>
      <w:autoSpaceDE w:val="0"/>
      <w:autoSpaceDN w:val="0"/>
      <w:adjustRightInd w:val="0"/>
      <w:ind w:left="720" w:hanging="720"/>
    </w:pPr>
    <w:rPr>
      <w:rFonts w:ascii="Times New Roman" w:eastAsiaTheme="minorEastAsia" w:hAnsi="Times New Roman" w:cs="Times New Roman"/>
      <w:color w:val="000000"/>
      <w:sz w:val="20"/>
      <w:szCs w:val="20"/>
      <w:lang w:val="es-PE" w:eastAsia="es-PE"/>
    </w:rPr>
  </w:style>
  <w:style w:type="paragraph" w:customStyle="1" w:styleId="Style1">
    <w:name w:val="Style 1"/>
    <w:basedOn w:val="Normal"/>
    <w:qFormat/>
    <w:pPr>
      <w:widowControl w:val="0"/>
      <w:autoSpaceDE w:val="0"/>
      <w:autoSpaceDN w:val="0"/>
      <w:adjustRightInd w:val="0"/>
      <w:ind w:left="1440"/>
    </w:pPr>
    <w:rPr>
      <w:rFonts w:ascii="Times New Roman" w:eastAsiaTheme="minorEastAsia" w:hAnsi="Times New Roman" w:cs="Times New Roman"/>
      <w:color w:val="000000"/>
      <w:sz w:val="20"/>
      <w:szCs w:val="20"/>
      <w:lang w:val="es-PE" w:eastAsia="es-PE"/>
    </w:rPr>
  </w:style>
  <w:style w:type="paragraph" w:customStyle="1" w:styleId="IDBHead2">
    <w:name w:val="IDB Head 2"/>
    <w:basedOn w:val="Normal"/>
    <w:qFormat/>
    <w:pPr>
      <w:tabs>
        <w:tab w:val="left" w:pos="1440"/>
      </w:tabs>
      <w:autoSpaceDE w:val="0"/>
      <w:autoSpaceDN w:val="0"/>
      <w:adjustRightInd w:val="0"/>
      <w:spacing w:before="120"/>
      <w:ind w:left="1440" w:hanging="576"/>
    </w:pPr>
    <w:rPr>
      <w:rFonts w:eastAsiaTheme="minorEastAsia" w:cs="Times New Roman"/>
      <w:b/>
      <w:i/>
      <w:szCs w:val="20"/>
      <w:lang w:val="en-US" w:eastAsia="es-PE"/>
    </w:rPr>
  </w:style>
  <w:style w:type="paragraph" w:customStyle="1" w:styleId="Mike1">
    <w:name w:val="Mike[1]"/>
    <w:basedOn w:val="Normal"/>
    <w:qFormat/>
    <w:pPr>
      <w:widowControl w:val="0"/>
      <w:autoSpaceDE w:val="0"/>
      <w:autoSpaceDN w:val="0"/>
      <w:adjustRightInd w:val="0"/>
      <w:outlineLvl w:val="0"/>
    </w:pPr>
    <w:rPr>
      <w:rFonts w:ascii="Times New Roman" w:eastAsiaTheme="minorEastAsia" w:hAnsi="Times New Roman" w:cs="Times New Roman"/>
      <w:sz w:val="24"/>
      <w:szCs w:val="20"/>
      <w:lang w:val="en-US" w:eastAsia="es-PE"/>
    </w:rPr>
  </w:style>
  <w:style w:type="paragraph" w:customStyle="1" w:styleId="1AutoList36">
    <w:name w:val="1AutoList36"/>
    <w:qFormat/>
    <w:pPr>
      <w:tabs>
        <w:tab w:val="left" w:pos="720"/>
      </w:tabs>
      <w:suppressAutoHyphens/>
      <w:autoSpaceDE w:val="0"/>
      <w:autoSpaceDN w:val="0"/>
      <w:adjustRightInd w:val="0"/>
      <w:ind w:left="720" w:hanging="720"/>
    </w:pPr>
    <w:rPr>
      <w:rFonts w:ascii="Times New Roman" w:eastAsia="Calibri" w:hAnsi="Times New Roman" w:cs="Times New Roman"/>
      <w:sz w:val="24"/>
      <w:lang w:val="en-US"/>
    </w:rPr>
  </w:style>
  <w:style w:type="character" w:customStyle="1" w:styleId="value">
    <w:name w:val="value"/>
    <w:basedOn w:val="Fuentedeprrafopredeter"/>
    <w:qFormat/>
    <w:rPr>
      <w:rFonts w:cs="Times New Roman"/>
    </w:rPr>
  </w:style>
  <w:style w:type="paragraph" w:customStyle="1" w:styleId="ResumeBullet">
    <w:name w:val="Resume Bullet"/>
    <w:basedOn w:val="Normal"/>
    <w:qFormat/>
    <w:pPr>
      <w:numPr>
        <w:numId w:val="53"/>
      </w:numPr>
      <w:autoSpaceDE w:val="0"/>
      <w:autoSpaceDN w:val="0"/>
      <w:adjustRightInd w:val="0"/>
      <w:spacing w:after="60"/>
    </w:pPr>
    <w:rPr>
      <w:rFonts w:ascii="Times New Roman" w:eastAsiaTheme="minorEastAsia" w:hAnsi="Times New Roman" w:cs="Times New Roman"/>
      <w:sz w:val="24"/>
      <w:szCs w:val="20"/>
      <w:lang w:val="en-US" w:eastAsia="es-PE"/>
    </w:rPr>
  </w:style>
  <w:style w:type="paragraph" w:customStyle="1" w:styleId="FirstHeading">
    <w:name w:val="FirstHeading"/>
    <w:basedOn w:val="Normal"/>
    <w:next w:val="Normal"/>
    <w:qFormat/>
    <w:pPr>
      <w:keepNext/>
      <w:tabs>
        <w:tab w:val="left" w:pos="0"/>
        <w:tab w:val="left" w:pos="86"/>
      </w:tabs>
      <w:autoSpaceDE w:val="0"/>
      <w:autoSpaceDN w:val="0"/>
      <w:adjustRightInd w:val="0"/>
      <w:spacing w:before="120" w:after="120"/>
      <w:ind w:left="720" w:hanging="720"/>
    </w:pPr>
    <w:rPr>
      <w:rFonts w:ascii="Times New Roman" w:eastAsiaTheme="minorEastAsia" w:hAnsi="Times New Roman" w:cs="Times New Roman"/>
      <w:b/>
      <w:sz w:val="24"/>
      <w:szCs w:val="20"/>
      <w:lang w:val="en-US" w:eastAsia="es-PE"/>
    </w:rPr>
  </w:style>
  <w:style w:type="paragraph" w:customStyle="1" w:styleId="SecHeading">
    <w:name w:val="SecHeading"/>
    <w:basedOn w:val="Normal"/>
    <w:next w:val="paragraph"/>
    <w:qFormat/>
    <w:pPr>
      <w:keepNext/>
      <w:tabs>
        <w:tab w:val="left" w:pos="1296"/>
      </w:tabs>
      <w:autoSpaceDE w:val="0"/>
      <w:autoSpaceDN w:val="0"/>
      <w:adjustRightInd w:val="0"/>
      <w:spacing w:before="120" w:after="120"/>
      <w:ind w:left="1296" w:hanging="576"/>
    </w:pPr>
    <w:rPr>
      <w:rFonts w:ascii="Times New Roman" w:eastAsiaTheme="minorEastAsia" w:hAnsi="Times New Roman" w:cs="Times New Roman"/>
      <w:b/>
      <w:sz w:val="24"/>
      <w:szCs w:val="20"/>
      <w:lang w:val="en-US" w:eastAsia="es-PE"/>
    </w:rPr>
  </w:style>
  <w:style w:type="paragraph" w:customStyle="1" w:styleId="SubHeading1">
    <w:name w:val="SubHeading1"/>
    <w:basedOn w:val="SecHeading"/>
    <w:qFormat/>
    <w:pPr>
      <w:tabs>
        <w:tab w:val="clear" w:pos="1296"/>
        <w:tab w:val="left" w:pos="1872"/>
      </w:tabs>
      <w:ind w:left="1872"/>
    </w:pPr>
  </w:style>
  <w:style w:type="paragraph" w:customStyle="1" w:styleId="Subheading2">
    <w:name w:val="Subheading2"/>
    <w:basedOn w:val="SecHeading"/>
    <w:qFormat/>
    <w:pPr>
      <w:tabs>
        <w:tab w:val="clear" w:pos="1296"/>
        <w:tab w:val="left" w:pos="2376"/>
      </w:tabs>
      <w:ind w:left="2376" w:hanging="288"/>
    </w:pPr>
  </w:style>
  <w:style w:type="character" w:customStyle="1" w:styleId="FirstHeadingChar">
    <w:name w:val="FirstHeading Char"/>
    <w:qFormat/>
    <w:rPr>
      <w:rFonts w:ascii="Times New Roman" w:hAnsi="Times New Roman"/>
      <w:b/>
      <w:sz w:val="20"/>
      <w:lang w:val="en-US"/>
    </w:rPr>
  </w:style>
  <w:style w:type="paragraph" w:customStyle="1" w:styleId="Heading21">
    <w:name w:val="Heading 21"/>
    <w:basedOn w:val="Normal"/>
    <w:next w:val="Normal"/>
    <w:uiPriority w:val="9"/>
    <w:qFormat/>
    <w:pPr>
      <w:keepNext/>
      <w:keepLines/>
      <w:autoSpaceDE w:val="0"/>
      <w:autoSpaceDN w:val="0"/>
      <w:adjustRightInd w:val="0"/>
      <w:spacing w:before="200"/>
      <w:outlineLvl w:val="1"/>
    </w:pPr>
    <w:rPr>
      <w:rFonts w:ascii="Calibri" w:eastAsiaTheme="minorEastAsia" w:hAnsi="Calibri" w:cs="Times New Roman"/>
      <w:b/>
      <w:color w:val="4F81BD"/>
      <w:sz w:val="26"/>
      <w:szCs w:val="26"/>
      <w:lang w:val="es-CO" w:eastAsia="es-PE"/>
    </w:rPr>
  </w:style>
  <w:style w:type="paragraph" w:customStyle="1" w:styleId="Regtable">
    <w:name w:val="Regtable"/>
    <w:basedOn w:val="Normal"/>
    <w:qFormat/>
    <w:pPr>
      <w:keepLines/>
      <w:framePr w:wrap="auto" w:vAnchor="text" w:hAnchor="text" w:y="1"/>
      <w:autoSpaceDE w:val="0"/>
      <w:autoSpaceDN w:val="0"/>
      <w:adjustRightInd w:val="0"/>
      <w:spacing w:before="20" w:after="20"/>
    </w:pPr>
    <w:rPr>
      <w:rFonts w:ascii="Times New Roman" w:eastAsia="Yu Mincho" w:hAnsi="Times New Roman" w:cs="Times New Roman"/>
      <w:sz w:val="20"/>
      <w:lang w:val="en-US" w:eastAsia="es-PE"/>
    </w:rPr>
  </w:style>
  <w:style w:type="character" w:customStyle="1" w:styleId="RegtableChar">
    <w:name w:val="Regtable Char"/>
    <w:basedOn w:val="Fuentedeprrafopredeter"/>
    <w:qFormat/>
    <w:rPr>
      <w:rFonts w:ascii="Times New Roman" w:eastAsia="Yu Mincho" w:hAnsi="Times New Roman" w:cs="Times New Roman"/>
      <w:sz w:val="20"/>
      <w:lang w:val="en-US"/>
    </w:rPr>
  </w:style>
  <w:style w:type="paragraph" w:customStyle="1" w:styleId="TableTitle">
    <w:name w:val="TableTitle"/>
    <w:basedOn w:val="Normal"/>
    <w:qFormat/>
    <w:pPr>
      <w:keepNext/>
      <w:framePr w:wrap="auto" w:vAnchor="text" w:hAnchor="text" w:y="1"/>
      <w:autoSpaceDE w:val="0"/>
      <w:autoSpaceDN w:val="0"/>
      <w:adjustRightInd w:val="0"/>
      <w:spacing w:before="20" w:after="20"/>
      <w:jc w:val="center"/>
    </w:pPr>
    <w:rPr>
      <w:rFonts w:ascii="Times New Roman Bold" w:eastAsia="Yu Mincho" w:hAnsi="Times New Roman Bold"/>
      <w:b/>
      <w:spacing w:val="-3"/>
      <w:sz w:val="20"/>
      <w:lang w:val="en-US" w:eastAsia="es-PE"/>
    </w:rPr>
  </w:style>
  <w:style w:type="character" w:customStyle="1" w:styleId="TableTitleChar">
    <w:name w:val="TableTitle Char"/>
    <w:basedOn w:val="Fuentedeprrafopredeter"/>
    <w:qFormat/>
    <w:rPr>
      <w:rFonts w:ascii="Times New Roman Bold" w:eastAsia="Yu Mincho" w:hAnsi="Times New Roman Bold" w:cs="Arial"/>
      <w:b/>
      <w:spacing w:val="-3"/>
      <w:sz w:val="20"/>
      <w:lang w:val="en-US"/>
    </w:rPr>
  </w:style>
  <w:style w:type="character" w:customStyle="1" w:styleId="alt-edited">
    <w:name w:val="alt-edited"/>
    <w:basedOn w:val="Fuentedeprrafopredeter"/>
    <w:qFormat/>
    <w:rPr>
      <w:rFonts w:cs="Times New Roman"/>
    </w:rPr>
  </w:style>
  <w:style w:type="paragraph" w:customStyle="1" w:styleId="MWHTurkeyTableData">
    <w:name w:val="MWH Turkey Table Data"/>
    <w:basedOn w:val="Normal"/>
    <w:qFormat/>
    <w:pPr>
      <w:keepLines/>
      <w:tabs>
        <w:tab w:val="center" w:pos="4320"/>
        <w:tab w:val="left" w:pos="8494"/>
      </w:tabs>
      <w:autoSpaceDE w:val="0"/>
      <w:autoSpaceDN w:val="0"/>
      <w:adjustRightInd w:val="0"/>
      <w:jc w:val="center"/>
    </w:pPr>
    <w:rPr>
      <w:rFonts w:eastAsiaTheme="minorEastAsia"/>
      <w:sz w:val="20"/>
      <w:szCs w:val="20"/>
      <w:lang w:val="en-GB" w:eastAsia="es-PE"/>
    </w:rPr>
  </w:style>
  <w:style w:type="character" w:customStyle="1" w:styleId="MWHTurkeyTableDataChar">
    <w:name w:val="MWH Turkey Table Data Char"/>
    <w:basedOn w:val="Fuentedeprrafopredeter"/>
    <w:qFormat/>
    <w:rPr>
      <w:rFonts w:ascii="Arial" w:hAnsi="Arial" w:cs="Arial"/>
      <w:sz w:val="20"/>
      <w:szCs w:val="20"/>
      <w:lang w:val="en-GB"/>
    </w:rPr>
  </w:style>
  <w:style w:type="paragraph" w:customStyle="1" w:styleId="TTcallouttext">
    <w:name w:val="TT callout text"/>
    <w:uiPriority w:val="98"/>
    <w:qFormat/>
    <w:pPr>
      <w:autoSpaceDE w:val="0"/>
      <w:autoSpaceDN w:val="0"/>
      <w:adjustRightInd w:val="0"/>
      <w:spacing w:before="40" w:after="120"/>
      <w:ind w:left="144" w:right="144"/>
    </w:pPr>
    <w:rPr>
      <w:rFonts w:eastAsia="Times New Roman"/>
      <w:color w:val="404040"/>
      <w:sz w:val="18"/>
      <w:szCs w:val="22"/>
      <w:lang w:val="en-US"/>
    </w:rPr>
  </w:style>
  <w:style w:type="character" w:customStyle="1" w:styleId="TTcallouttextCar">
    <w:name w:val="TT callout text Car"/>
    <w:basedOn w:val="Fuentedeprrafopredeter"/>
    <w:uiPriority w:val="98"/>
    <w:qFormat/>
    <w:rPr>
      <w:rFonts w:ascii="Arial" w:eastAsia="Times New Roman" w:hAnsi="Arial" w:cs="Arial"/>
      <w:color w:val="404040"/>
      <w:sz w:val="18"/>
      <w:lang w:val="en-US"/>
    </w:rPr>
  </w:style>
  <w:style w:type="paragraph" w:customStyle="1" w:styleId="CareerBody">
    <w:name w:val="CareerBody"/>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autoSpaceDE w:val="0"/>
      <w:autoSpaceDN w:val="0"/>
      <w:adjustRightInd w:val="0"/>
    </w:pPr>
    <w:rPr>
      <w:rFonts w:eastAsiaTheme="minorEastAsia" w:cs="Times New Roman"/>
      <w:szCs w:val="20"/>
      <w:lang w:val="en-GB" w:eastAsia="es-PE"/>
    </w:rPr>
  </w:style>
  <w:style w:type="paragraph" w:customStyle="1" w:styleId="TTClientname">
    <w:name w:val="TT Client name"/>
    <w:basedOn w:val="Normal"/>
    <w:uiPriority w:val="1"/>
    <w:qFormat/>
    <w:pPr>
      <w:autoSpaceDE w:val="0"/>
      <w:autoSpaceDN w:val="0"/>
      <w:adjustRightInd w:val="0"/>
      <w:spacing w:before="60" w:after="60"/>
    </w:pPr>
    <w:rPr>
      <w:rFonts w:eastAsia="Yu Mincho" w:cs="Times New Roman"/>
      <w:b/>
      <w:color w:val="000000"/>
      <w:sz w:val="18"/>
      <w:szCs w:val="24"/>
      <w:lang w:val="en-CA" w:eastAsia="es-PE"/>
    </w:rPr>
  </w:style>
  <w:style w:type="character" w:customStyle="1" w:styleId="ListParagraphChar2">
    <w:name w:val="List Paragraph Char2"/>
    <w:uiPriority w:val="34"/>
    <w:qFormat/>
    <w:rPr>
      <w:rFonts w:ascii="Arial Narrow" w:hAnsi="Arial Narrow"/>
    </w:rPr>
  </w:style>
  <w:style w:type="paragraph" w:customStyle="1" w:styleId="hoveredcourseelement">
    <w:name w:val="hoveredcourseelement"/>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CL" w:eastAsia="es-PE"/>
    </w:rPr>
  </w:style>
  <w:style w:type="paragraph" w:customStyle="1" w:styleId="References">
    <w:name w:val="References"/>
    <w:basedOn w:val="Normal"/>
    <w:qFormat/>
    <w:pPr>
      <w:numPr>
        <w:numId w:val="54"/>
      </w:numPr>
      <w:autoSpaceDE w:val="0"/>
      <w:autoSpaceDN w:val="0"/>
      <w:adjustRightInd w:val="0"/>
      <w:spacing w:after="80"/>
    </w:pPr>
    <w:rPr>
      <w:rFonts w:ascii="Times New Roman" w:eastAsiaTheme="minorEastAsia" w:hAnsi="Times New Roman" w:cs="Times New Roman"/>
      <w:sz w:val="20"/>
      <w:szCs w:val="20"/>
      <w:lang w:val="en-US" w:eastAsia="es-PE"/>
    </w:rPr>
  </w:style>
  <w:style w:type="paragraph" w:customStyle="1" w:styleId="FuentedeTablas">
    <w:name w:val="Fuente de Tablas"/>
    <w:basedOn w:val="NormalWeb"/>
    <w:next w:val="Normal"/>
    <w:qFormat/>
    <w:pPr>
      <w:widowControl/>
      <w:spacing w:before="120" w:after="0"/>
      <w:jc w:val="center"/>
    </w:pPr>
    <w:rPr>
      <w:rFonts w:ascii="Arial" w:hAnsi="Arial" w:cs="Times New Roman"/>
      <w:sz w:val="18"/>
      <w:szCs w:val="24"/>
      <w:lang w:val="es-ES"/>
    </w:rPr>
  </w:style>
  <w:style w:type="paragraph" w:customStyle="1" w:styleId="gmail-msocommenttext">
    <w:name w:val="gmail-msocommenttext"/>
    <w:basedOn w:val="Normal"/>
    <w:qFormat/>
    <w:pPr>
      <w:autoSpaceDE w:val="0"/>
      <w:autoSpaceDN w:val="0"/>
      <w:adjustRightInd w:val="0"/>
      <w:spacing w:before="100" w:beforeAutospacing="1" w:after="100" w:afterAutospacing="1"/>
    </w:pPr>
    <w:rPr>
      <w:rFonts w:ascii="Calibri" w:eastAsia="Times New Roman" w:hAnsi="Calibri" w:cs="Calibri"/>
      <w:lang w:val="es-CL" w:eastAsia="es-PE"/>
    </w:rPr>
  </w:style>
  <w:style w:type="character" w:customStyle="1" w:styleId="UnresolvedMention4">
    <w:name w:val="Unresolved Mention4"/>
    <w:basedOn w:val="Fuentedeprrafopredeter"/>
    <w:uiPriority w:val="99"/>
    <w:qFormat/>
    <w:rPr>
      <w:rFonts w:cs="Times New Roman"/>
      <w:color w:val="605E5C"/>
      <w:shd w:val="clear" w:color="auto" w:fill="E1DFDD"/>
    </w:rPr>
  </w:style>
  <w:style w:type="character" w:customStyle="1" w:styleId="BodyText2Char1">
    <w:name w:val="Body Text 2 Char1"/>
    <w:basedOn w:val="Fuentedeprrafopredeter"/>
    <w:uiPriority w:val="99"/>
    <w:qFormat/>
    <w:rPr>
      <w:rFonts w:cs="Times New Roman"/>
      <w:lang w:val="es-PE"/>
    </w:rPr>
  </w:style>
  <w:style w:type="character" w:customStyle="1" w:styleId="fontstyle01">
    <w:name w:val="fontstyle01"/>
    <w:basedOn w:val="Fuentedeprrafopredeter"/>
    <w:qFormat/>
    <w:rPr>
      <w:rFonts w:ascii="Arial" w:hAnsi="Arial" w:cs="Arial"/>
      <w:color w:val="000000"/>
      <w:sz w:val="22"/>
      <w:szCs w:val="22"/>
    </w:rPr>
  </w:style>
  <w:style w:type="paragraph" w:customStyle="1" w:styleId="xl91">
    <w:name w:val="xl91"/>
    <w:basedOn w:val="Normal"/>
    <w:qFormat/>
    <w:pPr>
      <w:pBdr>
        <w:top w:val="single" w:sz="4" w:space="0" w:color="auto"/>
        <w:left w:val="single" w:sz="4"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pPr>
    <w:rPr>
      <w:rFonts w:eastAsiaTheme="minorEastAsia"/>
      <w:b/>
      <w:sz w:val="28"/>
      <w:szCs w:val="28"/>
      <w:lang w:val="es-PE" w:eastAsia="es-PE"/>
    </w:rPr>
  </w:style>
  <w:style w:type="paragraph" w:customStyle="1" w:styleId="xl94">
    <w:name w:val="xl94"/>
    <w:basedOn w:val="Normal"/>
    <w:qFormat/>
    <w:pPr>
      <w:pBdr>
        <w:top w:val="single" w:sz="4" w:space="0" w:color="auto"/>
        <w:left w:val="single" w:sz="4" w:space="0" w:color="auto"/>
        <w:bottom w:val="single" w:sz="8" w:space="0" w:color="auto"/>
        <w:right w:val="single" w:sz="4" w:space="0" w:color="auto"/>
      </w:pBdr>
      <w:autoSpaceDE w:val="0"/>
      <w:autoSpaceDN w:val="0"/>
      <w:adjustRightInd w:val="0"/>
      <w:spacing w:before="100" w:beforeAutospacing="1" w:after="100" w:afterAutospacing="1"/>
    </w:pPr>
    <w:rPr>
      <w:rFonts w:eastAsiaTheme="minorEastAsia"/>
      <w:b/>
      <w:sz w:val="28"/>
      <w:szCs w:val="28"/>
      <w:lang w:val="es-PE" w:eastAsia="es-PE"/>
    </w:rPr>
  </w:style>
  <w:style w:type="paragraph" w:customStyle="1" w:styleId="xl95">
    <w:name w:val="xl95"/>
    <w:basedOn w:val="Normal"/>
    <w:qFormat/>
    <w:pPr>
      <w:pBdr>
        <w:top w:val="single" w:sz="4" w:space="0" w:color="auto"/>
        <w:left w:val="single" w:sz="4" w:space="0" w:color="auto"/>
        <w:right w:val="single" w:sz="8"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96">
    <w:name w:val="xl96"/>
    <w:basedOn w:val="Normal"/>
    <w:qFormat/>
    <w:pPr>
      <w:pBdr>
        <w:top w:val="single" w:sz="4" w:space="0" w:color="auto"/>
        <w:left w:val="single" w:sz="4" w:space="0" w:color="auto"/>
        <w:bottom w:val="single" w:sz="4" w:space="0" w:color="auto"/>
        <w:right w:val="single" w:sz="8" w:space="0" w:color="auto"/>
      </w:pBdr>
      <w:shd w:val="clear" w:color="000000" w:fill="FFFFFF"/>
      <w:autoSpaceDE w:val="0"/>
      <w:autoSpaceDN w:val="0"/>
      <w:adjustRightInd w:val="0"/>
      <w:spacing w:before="100" w:beforeAutospacing="1" w:after="100" w:afterAutospacing="1"/>
    </w:pPr>
    <w:rPr>
      <w:rFonts w:eastAsiaTheme="minorEastAsia"/>
      <w:b/>
      <w:sz w:val="28"/>
      <w:szCs w:val="28"/>
      <w:lang w:val="es-PE" w:eastAsia="es-PE"/>
    </w:rPr>
  </w:style>
  <w:style w:type="paragraph" w:customStyle="1" w:styleId="xl97">
    <w:name w:val="xl97"/>
    <w:basedOn w:val="Normal"/>
    <w:qFormat/>
    <w:pPr>
      <w:pBdr>
        <w:top w:val="single" w:sz="4" w:space="0" w:color="auto"/>
        <w:left w:val="single" w:sz="4"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98">
    <w:name w:val="xl98"/>
    <w:basedOn w:val="Normal"/>
    <w:qFormat/>
    <w:pPr>
      <w:pBdr>
        <w:top w:val="single" w:sz="4" w:space="0" w:color="auto"/>
        <w:left w:val="single" w:sz="4" w:space="0" w:color="auto"/>
        <w:bottom w:val="single" w:sz="8" w:space="0" w:color="auto"/>
        <w:right w:val="single" w:sz="4" w:space="0" w:color="auto"/>
      </w:pBdr>
      <w:shd w:val="clear" w:color="000000" w:fill="B7DEE8"/>
      <w:autoSpaceDE w:val="0"/>
      <w:autoSpaceDN w:val="0"/>
      <w:adjustRightInd w:val="0"/>
      <w:spacing w:before="100" w:beforeAutospacing="1" w:after="100" w:afterAutospacing="1"/>
    </w:pPr>
    <w:rPr>
      <w:rFonts w:eastAsiaTheme="minorEastAsia"/>
      <w:b/>
      <w:sz w:val="32"/>
      <w:szCs w:val="32"/>
      <w:lang w:val="es-PE" w:eastAsia="es-PE"/>
    </w:rPr>
  </w:style>
  <w:style w:type="character" w:customStyle="1" w:styleId="UnresolvedMention5">
    <w:name w:val="Unresolved Mention5"/>
    <w:basedOn w:val="Fuentedeprrafopredeter"/>
    <w:uiPriority w:val="99"/>
    <w:qFormat/>
    <w:rPr>
      <w:rFonts w:cs="Times New Roman"/>
      <w:color w:val="605E5C"/>
      <w:shd w:val="clear" w:color="auto" w:fill="E1DFDD"/>
    </w:rPr>
  </w:style>
  <w:style w:type="paragraph" w:customStyle="1" w:styleId="xl100">
    <w:name w:val="xl100"/>
    <w:basedOn w:val="Normal"/>
    <w:qFormat/>
    <w:pPr>
      <w:pBdr>
        <w:top w:val="single" w:sz="4" w:space="0" w:color="auto"/>
        <w:left w:val="single" w:sz="4" w:space="0" w:color="auto"/>
        <w:right w:val="single" w:sz="4" w:space="0" w:color="auto"/>
      </w:pBdr>
      <w:shd w:val="clear" w:color="000000" w:fill="B7DEE8"/>
      <w:autoSpaceDE w:val="0"/>
      <w:autoSpaceDN w:val="0"/>
      <w:adjustRightInd w:val="0"/>
      <w:spacing w:before="100" w:beforeAutospacing="1" w:after="100" w:afterAutospacing="1"/>
    </w:pPr>
    <w:rPr>
      <w:rFonts w:eastAsiaTheme="minorEastAsia"/>
      <w:b/>
      <w:sz w:val="32"/>
      <w:szCs w:val="32"/>
      <w:lang w:val="es-PE" w:eastAsia="es-PE"/>
    </w:rPr>
  </w:style>
  <w:style w:type="paragraph" w:customStyle="1" w:styleId="xl101">
    <w:name w:val="xl101"/>
    <w:basedOn w:val="Normal"/>
    <w:qFormat/>
    <w:pPr>
      <w:pBdr>
        <w:top w:val="single" w:sz="4" w:space="0" w:color="auto"/>
        <w:right w:val="single" w:sz="4" w:space="0" w:color="auto"/>
      </w:pBdr>
      <w:autoSpaceDE w:val="0"/>
      <w:autoSpaceDN w:val="0"/>
      <w:adjustRightInd w:val="0"/>
      <w:spacing w:before="100" w:beforeAutospacing="1" w:after="100" w:afterAutospacing="1"/>
      <w:jc w:val="center"/>
    </w:pPr>
    <w:rPr>
      <w:rFonts w:eastAsiaTheme="minorEastAsia"/>
      <w:b/>
      <w:sz w:val="32"/>
      <w:szCs w:val="32"/>
      <w:lang w:val="es-PE" w:eastAsia="es-PE"/>
    </w:rPr>
  </w:style>
  <w:style w:type="paragraph" w:customStyle="1" w:styleId="xl102">
    <w:name w:val="xl102"/>
    <w:basedOn w:val="Normal"/>
    <w:qFormat/>
    <w:pPr>
      <w:pBdr>
        <w:top w:val="single" w:sz="4" w:space="0" w:color="auto"/>
        <w:left w:val="single" w:sz="4" w:space="0" w:color="auto"/>
      </w:pBdr>
      <w:autoSpaceDE w:val="0"/>
      <w:autoSpaceDN w:val="0"/>
      <w:adjustRightInd w:val="0"/>
      <w:spacing w:before="100" w:beforeAutospacing="1" w:after="100" w:afterAutospacing="1"/>
      <w:jc w:val="center"/>
    </w:pPr>
    <w:rPr>
      <w:rFonts w:eastAsiaTheme="minorEastAsia"/>
      <w:b/>
      <w:sz w:val="32"/>
      <w:szCs w:val="32"/>
      <w:lang w:val="es-PE" w:eastAsia="es-PE"/>
    </w:rPr>
  </w:style>
  <w:style w:type="paragraph" w:customStyle="1" w:styleId="xl103">
    <w:name w:val="xl103"/>
    <w:basedOn w:val="Normal"/>
    <w:qFormat/>
    <w:pPr>
      <w:pBdr>
        <w:top w:val="single" w:sz="4" w:space="0" w:color="auto"/>
        <w:left w:val="single" w:sz="4" w:space="0" w:color="auto"/>
        <w:right w:val="single" w:sz="4" w:space="0" w:color="auto"/>
      </w:pBdr>
      <w:autoSpaceDE w:val="0"/>
      <w:autoSpaceDN w:val="0"/>
      <w:adjustRightInd w:val="0"/>
      <w:spacing w:before="100" w:beforeAutospacing="1" w:after="100" w:afterAutospacing="1"/>
    </w:pPr>
    <w:rPr>
      <w:rFonts w:eastAsiaTheme="minorEastAsia"/>
      <w:b/>
      <w:sz w:val="32"/>
      <w:szCs w:val="32"/>
      <w:lang w:val="es-PE" w:eastAsia="es-PE"/>
    </w:rPr>
  </w:style>
  <w:style w:type="paragraph" w:customStyle="1" w:styleId="xl104">
    <w:name w:val="xl104"/>
    <w:basedOn w:val="Normal"/>
    <w:qFormat/>
    <w:pPr>
      <w:pBdr>
        <w:left w:val="single" w:sz="4" w:space="0" w:color="auto"/>
      </w:pBdr>
      <w:shd w:val="clear" w:color="000000" w:fill="B7DEE8"/>
      <w:autoSpaceDE w:val="0"/>
      <w:autoSpaceDN w:val="0"/>
      <w:adjustRightInd w:val="0"/>
      <w:spacing w:before="100" w:beforeAutospacing="1" w:after="100" w:afterAutospacing="1"/>
      <w:jc w:val="center"/>
    </w:pPr>
    <w:rPr>
      <w:rFonts w:eastAsiaTheme="minorEastAsia"/>
      <w:b/>
      <w:sz w:val="32"/>
      <w:szCs w:val="32"/>
      <w:lang w:val="es-PE" w:eastAsia="es-PE"/>
    </w:rPr>
  </w:style>
  <w:style w:type="paragraph" w:customStyle="1" w:styleId="xl105">
    <w:name w:val="xl105"/>
    <w:basedOn w:val="Normal"/>
    <w:qFormat/>
    <w:pPr>
      <w:pBdr>
        <w:top w:val="single" w:sz="4" w:space="0" w:color="auto"/>
        <w:left w:val="single" w:sz="8" w:space="0" w:color="auto"/>
        <w:bottom w:val="single" w:sz="4" w:space="0" w:color="auto"/>
        <w:right w:val="single" w:sz="4"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106">
    <w:name w:val="xl106"/>
    <w:basedOn w:val="Normal"/>
    <w:qFormat/>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jc w:val="right"/>
    </w:pPr>
    <w:rPr>
      <w:rFonts w:eastAsiaTheme="minorEastAsia"/>
      <w:b/>
      <w:sz w:val="28"/>
      <w:szCs w:val="28"/>
      <w:lang w:val="es-PE" w:eastAsia="es-PE"/>
    </w:rPr>
  </w:style>
  <w:style w:type="paragraph" w:customStyle="1" w:styleId="xl107">
    <w:name w:val="xl107"/>
    <w:basedOn w:val="Normal"/>
    <w:qFormat/>
    <w:pPr>
      <w:pBdr>
        <w:top w:val="single" w:sz="4" w:space="0" w:color="auto"/>
        <w:left w:val="single" w:sz="8" w:space="0" w:color="auto"/>
        <w:bottom w:val="single" w:sz="8" w:space="0" w:color="auto"/>
        <w:right w:val="single" w:sz="4" w:space="0" w:color="auto"/>
      </w:pBdr>
      <w:autoSpaceDE w:val="0"/>
      <w:autoSpaceDN w:val="0"/>
      <w:adjustRightInd w:val="0"/>
      <w:spacing w:before="100" w:beforeAutospacing="1" w:after="100" w:afterAutospacing="1"/>
      <w:jc w:val="right"/>
    </w:pPr>
    <w:rPr>
      <w:rFonts w:eastAsiaTheme="minorEastAsia"/>
      <w:b/>
      <w:sz w:val="28"/>
      <w:szCs w:val="28"/>
      <w:lang w:val="es-PE" w:eastAsia="es-PE"/>
    </w:rPr>
  </w:style>
  <w:style w:type="paragraph" w:customStyle="1" w:styleId="xl108">
    <w:name w:val="xl108"/>
    <w:basedOn w:val="Normal"/>
    <w:qFormat/>
    <w:pPr>
      <w:pBdr>
        <w:top w:val="single" w:sz="4" w:space="0" w:color="auto"/>
        <w:left w:val="single" w:sz="8" w:space="0" w:color="auto"/>
        <w:bottom w:val="single" w:sz="4" w:space="0" w:color="auto"/>
        <w:right w:val="single" w:sz="4"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09">
    <w:name w:val="xl109"/>
    <w:basedOn w:val="Normal"/>
    <w:qFormat/>
    <w:pPr>
      <w:pBdr>
        <w:top w:val="single" w:sz="4" w:space="0" w:color="auto"/>
        <w:left w:val="single" w:sz="8" w:space="0" w:color="auto"/>
        <w:bottom w:val="single" w:sz="4" w:space="0" w:color="auto"/>
        <w:right w:val="single" w:sz="4" w:space="0" w:color="auto"/>
      </w:pBdr>
      <w:autoSpaceDE w:val="0"/>
      <w:autoSpaceDN w:val="0"/>
      <w:adjustRightInd w:val="0"/>
      <w:spacing w:before="100" w:beforeAutospacing="1" w:after="100" w:afterAutospacing="1"/>
      <w:jc w:val="center"/>
    </w:pPr>
    <w:rPr>
      <w:rFonts w:eastAsiaTheme="minorEastAsia"/>
      <w:b/>
      <w:sz w:val="28"/>
      <w:szCs w:val="28"/>
      <w:lang w:val="es-PE" w:eastAsia="es-PE"/>
    </w:rPr>
  </w:style>
  <w:style w:type="paragraph" w:customStyle="1" w:styleId="xl110">
    <w:name w:val="xl110"/>
    <w:basedOn w:val="Normal"/>
    <w:qFormat/>
    <w:pPr>
      <w:pBdr>
        <w:top w:val="single" w:sz="4" w:space="0" w:color="auto"/>
        <w:left w:val="single" w:sz="8" w:space="0" w:color="auto"/>
        <w:bottom w:val="single" w:sz="4" w:space="0" w:color="auto"/>
        <w:right w:val="single" w:sz="4"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111">
    <w:name w:val="xl111"/>
    <w:basedOn w:val="Normal"/>
    <w:qFormat/>
    <w:pPr>
      <w:pBdr>
        <w:top w:val="single" w:sz="4" w:space="0" w:color="auto"/>
        <w:left w:val="single" w:sz="4"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pPr>
    <w:rPr>
      <w:rFonts w:eastAsiaTheme="minorEastAsia"/>
      <w:b/>
      <w:color w:val="FFFFFF"/>
      <w:sz w:val="28"/>
      <w:szCs w:val="28"/>
      <w:lang w:val="es-PE" w:eastAsia="es-PE"/>
    </w:rPr>
  </w:style>
  <w:style w:type="paragraph" w:customStyle="1" w:styleId="xl112">
    <w:name w:val="xl112"/>
    <w:basedOn w:val="Normal"/>
    <w:qFormat/>
    <w:pPr>
      <w:pBdr>
        <w:top w:val="single" w:sz="4" w:space="0" w:color="auto"/>
        <w:left w:val="single" w:sz="4" w:space="0" w:color="auto"/>
        <w:bottom w:val="single" w:sz="8" w:space="0" w:color="auto"/>
        <w:right w:val="single" w:sz="8" w:space="0" w:color="auto"/>
      </w:pBdr>
      <w:shd w:val="clear" w:color="000000" w:fill="B7DEE8"/>
      <w:autoSpaceDE w:val="0"/>
      <w:autoSpaceDN w:val="0"/>
      <w:adjustRightInd w:val="0"/>
      <w:spacing w:before="100" w:beforeAutospacing="1" w:after="100" w:afterAutospacing="1"/>
    </w:pPr>
    <w:rPr>
      <w:rFonts w:eastAsiaTheme="minorEastAsia"/>
      <w:b/>
      <w:sz w:val="32"/>
      <w:szCs w:val="32"/>
      <w:lang w:val="es-PE" w:eastAsia="es-PE"/>
    </w:rPr>
  </w:style>
  <w:style w:type="paragraph" w:customStyle="1" w:styleId="xl113">
    <w:name w:val="xl113"/>
    <w:basedOn w:val="Normal"/>
    <w:qFormat/>
    <w:pPr>
      <w:pBdr>
        <w:top w:val="single" w:sz="8" w:space="0" w:color="auto"/>
        <w:left w:val="single" w:sz="8" w:space="0" w:color="auto"/>
        <w:bottom w:val="single" w:sz="4"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4">
    <w:name w:val="xl114"/>
    <w:basedOn w:val="Normal"/>
    <w:qFormat/>
    <w:pPr>
      <w:pBdr>
        <w:top w:val="single" w:sz="8"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5">
    <w:name w:val="xl115"/>
    <w:basedOn w:val="Normal"/>
    <w:qFormat/>
    <w:pPr>
      <w:pBdr>
        <w:top w:val="single" w:sz="8" w:space="0" w:color="auto"/>
        <w:left w:val="single" w:sz="8" w:space="0" w:color="auto"/>
        <w:bottom w:val="single" w:sz="4"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6">
    <w:name w:val="xl116"/>
    <w:basedOn w:val="Normal"/>
    <w:qFormat/>
    <w:pPr>
      <w:pBdr>
        <w:top w:val="single" w:sz="8"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7">
    <w:name w:val="xl117"/>
    <w:basedOn w:val="Normal"/>
    <w:qFormat/>
    <w:pPr>
      <w:pBdr>
        <w:top w:val="single" w:sz="8" w:space="0" w:color="auto"/>
        <w:left w:val="single" w:sz="8" w:space="0" w:color="auto"/>
        <w:bottom w:val="single" w:sz="4" w:space="0" w:color="auto"/>
        <w:right w:val="single" w:sz="4"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8">
    <w:name w:val="xl118"/>
    <w:basedOn w:val="Normal"/>
    <w:qFormat/>
    <w:pPr>
      <w:pBdr>
        <w:top w:val="single" w:sz="8" w:space="0" w:color="auto"/>
        <w:left w:val="single" w:sz="4" w:space="0" w:color="auto"/>
        <w:bottom w:val="single" w:sz="4" w:space="0" w:color="auto"/>
        <w:right w:val="single" w:sz="8" w:space="0" w:color="auto"/>
      </w:pBdr>
      <w:shd w:val="clear" w:color="000000" w:fill="1F497D"/>
      <w:autoSpaceDE w:val="0"/>
      <w:autoSpaceDN w:val="0"/>
      <w:adjustRightInd w:val="0"/>
      <w:spacing w:before="100" w:beforeAutospacing="1" w:after="100" w:afterAutospacing="1"/>
      <w:jc w:val="center"/>
    </w:pPr>
    <w:rPr>
      <w:rFonts w:eastAsiaTheme="minorEastAsia"/>
      <w:b/>
      <w:color w:val="FFFFFF"/>
      <w:sz w:val="28"/>
      <w:szCs w:val="28"/>
      <w:lang w:val="es-PE" w:eastAsia="es-PE"/>
    </w:rPr>
  </w:style>
  <w:style w:type="paragraph" w:customStyle="1" w:styleId="xl119">
    <w:name w:val="xl119"/>
    <w:basedOn w:val="Normal"/>
    <w:qFormat/>
    <w:pPr>
      <w:pBdr>
        <w:top w:val="single" w:sz="8" w:space="0" w:color="auto"/>
        <w:left w:val="single" w:sz="8" w:space="0" w:color="auto"/>
        <w:bottom w:val="single" w:sz="8" w:space="0" w:color="auto"/>
      </w:pBdr>
      <w:shd w:val="clear" w:color="000000" w:fill="B7DEE8"/>
      <w:autoSpaceDE w:val="0"/>
      <w:autoSpaceDN w:val="0"/>
      <w:adjustRightInd w:val="0"/>
      <w:spacing w:before="100" w:beforeAutospacing="1" w:after="100" w:afterAutospacing="1"/>
      <w:jc w:val="center"/>
    </w:pPr>
    <w:rPr>
      <w:rFonts w:eastAsiaTheme="minorEastAsia"/>
      <w:b/>
      <w:sz w:val="36"/>
      <w:szCs w:val="36"/>
      <w:lang w:val="es-PE" w:eastAsia="es-PE"/>
    </w:rPr>
  </w:style>
  <w:style w:type="paragraph" w:customStyle="1" w:styleId="xl120">
    <w:name w:val="xl120"/>
    <w:basedOn w:val="Normal"/>
    <w:qFormat/>
    <w:pPr>
      <w:pBdr>
        <w:top w:val="single" w:sz="8" w:space="0" w:color="auto"/>
        <w:bottom w:val="single" w:sz="8" w:space="0" w:color="auto"/>
      </w:pBdr>
      <w:shd w:val="clear" w:color="000000" w:fill="B7DEE8"/>
      <w:autoSpaceDE w:val="0"/>
      <w:autoSpaceDN w:val="0"/>
      <w:adjustRightInd w:val="0"/>
      <w:spacing w:before="100" w:beforeAutospacing="1" w:after="100" w:afterAutospacing="1"/>
      <w:jc w:val="center"/>
    </w:pPr>
    <w:rPr>
      <w:rFonts w:eastAsiaTheme="minorEastAsia"/>
      <w:b/>
      <w:sz w:val="36"/>
      <w:szCs w:val="36"/>
      <w:lang w:val="es-PE" w:eastAsia="es-PE"/>
    </w:rPr>
  </w:style>
  <w:style w:type="paragraph" w:customStyle="1" w:styleId="xl121">
    <w:name w:val="xl121"/>
    <w:basedOn w:val="Normal"/>
    <w:qFormat/>
    <w:pPr>
      <w:pBdr>
        <w:top w:val="single" w:sz="8" w:space="0" w:color="auto"/>
        <w:bottom w:val="single" w:sz="8" w:space="0" w:color="auto"/>
        <w:right w:val="single" w:sz="8" w:space="0" w:color="auto"/>
      </w:pBdr>
      <w:shd w:val="clear" w:color="000000" w:fill="B7DEE8"/>
      <w:autoSpaceDE w:val="0"/>
      <w:autoSpaceDN w:val="0"/>
      <w:adjustRightInd w:val="0"/>
      <w:spacing w:before="100" w:beforeAutospacing="1" w:after="100" w:afterAutospacing="1"/>
      <w:jc w:val="center"/>
    </w:pPr>
    <w:rPr>
      <w:rFonts w:eastAsiaTheme="minorEastAsia"/>
      <w:b/>
      <w:sz w:val="36"/>
      <w:szCs w:val="36"/>
      <w:lang w:val="es-PE" w:eastAsia="es-PE"/>
    </w:rPr>
  </w:style>
  <w:style w:type="character" w:customStyle="1" w:styleId="font311">
    <w:name w:val="font311"/>
    <w:basedOn w:val="Fuentedeprrafopredeter"/>
    <w:qFormat/>
    <w:rPr>
      <w:rFonts w:ascii="Calibri" w:hAnsi="Calibri" w:cs="Times New Roman"/>
      <w:b/>
      <w:color w:val="000000"/>
      <w:sz w:val="20"/>
      <w:szCs w:val="20"/>
      <w:u w:val="none"/>
    </w:rPr>
  </w:style>
  <w:style w:type="character" w:customStyle="1" w:styleId="font371">
    <w:name w:val="font371"/>
    <w:basedOn w:val="Fuentedeprrafopredeter"/>
    <w:qFormat/>
    <w:rPr>
      <w:rFonts w:ascii="Calibri" w:hAnsi="Calibri" w:cs="Times New Roman"/>
      <w:i/>
      <w:color w:val="000000"/>
      <w:sz w:val="16"/>
      <w:szCs w:val="16"/>
      <w:u w:val="none"/>
    </w:rPr>
  </w:style>
  <w:style w:type="character" w:customStyle="1" w:styleId="Mencionar1">
    <w:name w:val="Mencionar1"/>
    <w:basedOn w:val="Fuentedeprrafopredeter"/>
    <w:uiPriority w:val="99"/>
    <w:qFormat/>
    <w:rPr>
      <w:rFonts w:cs="Times New Roman"/>
      <w:color w:val="2B579A"/>
      <w:shd w:val="clear" w:color="auto" w:fill="E6E6E6"/>
    </w:rPr>
  </w:style>
  <w:style w:type="character" w:customStyle="1" w:styleId="Mencionar2">
    <w:name w:val="Mencionar2"/>
    <w:basedOn w:val="Fuentedeprrafopredeter"/>
    <w:uiPriority w:val="99"/>
    <w:qFormat/>
    <w:rPr>
      <w:rFonts w:cs="Times New Roman"/>
      <w:color w:val="2B579A"/>
      <w:shd w:val="clear" w:color="auto" w:fill="E6E6E6"/>
    </w:rPr>
  </w:style>
  <w:style w:type="character" w:customStyle="1" w:styleId="Mencinsinresolver13">
    <w:name w:val="Mención sin resolver13"/>
    <w:basedOn w:val="Fuentedeprrafopredeter"/>
    <w:uiPriority w:val="99"/>
    <w:qFormat/>
    <w:rPr>
      <w:rFonts w:cs="Times New Roman"/>
      <w:color w:val="808080"/>
      <w:shd w:val="clear" w:color="auto" w:fill="E6E6E6"/>
    </w:rPr>
  </w:style>
  <w:style w:type="paragraph" w:customStyle="1" w:styleId="Parrafo3">
    <w:name w:val="Parrafo 3"/>
    <w:basedOn w:val="Normal"/>
    <w:qFormat/>
    <w:pPr>
      <w:autoSpaceDE w:val="0"/>
      <w:autoSpaceDN w:val="0"/>
      <w:adjustRightInd w:val="0"/>
      <w:spacing w:after="160" w:line="259" w:lineRule="auto"/>
      <w:ind w:left="993"/>
      <w:jc w:val="both"/>
    </w:pPr>
    <w:rPr>
      <w:rFonts w:ascii="Calibri" w:eastAsia="Times New Roman" w:hAnsi="Calibri"/>
      <w:lang w:val="es-PE" w:eastAsia="es-PE"/>
    </w:rPr>
  </w:style>
  <w:style w:type="character" w:customStyle="1" w:styleId="Parrafo3Car">
    <w:name w:val="Parrafo 3 Car"/>
    <w:basedOn w:val="Fuentedeprrafopredeter"/>
    <w:qFormat/>
    <w:rPr>
      <w:rFonts w:ascii="Calibri" w:eastAsia="Times New Roman" w:hAnsi="Calibri" w:cs="Arial"/>
      <w:lang w:val="zh-CN"/>
    </w:rPr>
  </w:style>
  <w:style w:type="character" w:customStyle="1" w:styleId="Mencionar3">
    <w:name w:val="Mencionar3"/>
    <w:basedOn w:val="Fuentedeprrafopredeter"/>
    <w:uiPriority w:val="99"/>
    <w:qFormat/>
    <w:rPr>
      <w:rFonts w:cs="Times New Roman"/>
      <w:color w:val="2B579A"/>
      <w:shd w:val="clear" w:color="auto" w:fill="E6E6E6"/>
    </w:rPr>
  </w:style>
  <w:style w:type="character" w:customStyle="1" w:styleId="Mencinsinresolver41">
    <w:name w:val="Mención sin resolver41"/>
    <w:basedOn w:val="Fuentedeprrafopredeter"/>
    <w:uiPriority w:val="99"/>
    <w:qFormat/>
    <w:rPr>
      <w:rFonts w:cs="Times New Roman"/>
      <w:color w:val="808080"/>
      <w:shd w:val="clear" w:color="auto" w:fill="E6E6E6"/>
    </w:rPr>
  </w:style>
  <w:style w:type="character" w:customStyle="1" w:styleId="Mencinsinresolver120">
    <w:name w:val="Mención sin resolver12_0"/>
    <w:basedOn w:val="Fuentedeprrafopredeter"/>
    <w:uiPriority w:val="99"/>
    <w:qFormat/>
    <w:rPr>
      <w:rFonts w:cs="Times New Roman"/>
      <w:color w:val="808080"/>
      <w:shd w:val="clear" w:color="auto" w:fill="E6E6E6"/>
    </w:rPr>
  </w:style>
  <w:style w:type="paragraph" w:customStyle="1" w:styleId="consultaletra">
    <w:name w:val="consulta_letra"/>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PE" w:eastAsia="es-PE"/>
    </w:rPr>
  </w:style>
  <w:style w:type="character" w:customStyle="1" w:styleId="Ttulo1Car1">
    <w:name w:val="Título 1 Car1"/>
    <w:qFormat/>
    <w:rPr>
      <w:rFonts w:ascii="Arial" w:eastAsia="MS Mincho" w:hAnsi="Arial"/>
      <w:b/>
      <w:kern w:val="24"/>
      <w:lang w:val="en-US"/>
    </w:rPr>
  </w:style>
  <w:style w:type="character" w:customStyle="1" w:styleId="TextocomentarioCar1">
    <w:name w:val="Texto comentario Car1"/>
    <w:basedOn w:val="Fuentedeprrafopredeter"/>
    <w:qFormat/>
    <w:rPr>
      <w:rFonts w:cs="Times New Roman"/>
      <w:sz w:val="20"/>
      <w:szCs w:val="20"/>
    </w:rPr>
  </w:style>
  <w:style w:type="character" w:customStyle="1" w:styleId="Ttulo7Car1">
    <w:name w:val="Título 7 Car1"/>
    <w:basedOn w:val="Fuentedeprrafopredeter"/>
    <w:qFormat/>
    <w:rPr>
      <w:rFonts w:ascii="Calibri Light" w:eastAsia="Yu Gothic Light" w:hAnsi="Calibri Light" w:cs="Times New Roman"/>
      <w:i/>
      <w:color w:val="1F3763"/>
      <w:sz w:val="22"/>
      <w:szCs w:val="22"/>
    </w:rPr>
  </w:style>
  <w:style w:type="character" w:customStyle="1" w:styleId="Ttulo8Car1">
    <w:name w:val="Título 8 Car1"/>
    <w:basedOn w:val="Fuentedeprrafopredeter"/>
    <w:qFormat/>
    <w:rPr>
      <w:rFonts w:ascii="Calibri Light" w:eastAsia="Yu Gothic Light" w:hAnsi="Calibri Light" w:cs="Times New Roman"/>
      <w:color w:val="272727"/>
      <w:sz w:val="21"/>
      <w:szCs w:val="21"/>
    </w:rPr>
  </w:style>
  <w:style w:type="paragraph" w:customStyle="1" w:styleId="m126270924935234961gmail-msolistparagraph">
    <w:name w:val="m_126270924935234961gmail-msolistparagraph"/>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PE" w:eastAsia="es-PE"/>
    </w:rPr>
  </w:style>
  <w:style w:type="paragraph" w:customStyle="1" w:styleId="ArticleL1">
    <w:name w:val="Article_L1"/>
    <w:basedOn w:val="Normal"/>
    <w:next w:val="Normal"/>
    <w:qFormat/>
    <w:pPr>
      <w:tabs>
        <w:tab w:val="left" w:pos="360"/>
      </w:tabs>
      <w:autoSpaceDE w:val="0"/>
      <w:autoSpaceDN w:val="0"/>
      <w:adjustRightInd w:val="0"/>
      <w:spacing w:before="240" w:after="240"/>
      <w:outlineLvl w:val="0"/>
    </w:pPr>
    <w:rPr>
      <w:rFonts w:ascii="Times New Roman Bold" w:eastAsiaTheme="minorEastAsia" w:hAnsi="Times New Roman Bold" w:cs="Times New Roman"/>
      <w:b/>
      <w:sz w:val="24"/>
      <w:szCs w:val="20"/>
      <w:lang w:val="en-US" w:eastAsia="es-PE"/>
    </w:rPr>
  </w:style>
  <w:style w:type="paragraph" w:customStyle="1" w:styleId="ArticleL4">
    <w:name w:val="Article_L4"/>
    <w:basedOn w:val="Normal"/>
    <w:next w:val="Normal"/>
    <w:qFormat/>
    <w:pPr>
      <w:tabs>
        <w:tab w:val="left" w:pos="1440"/>
      </w:tabs>
      <w:autoSpaceDE w:val="0"/>
      <w:autoSpaceDN w:val="0"/>
      <w:adjustRightInd w:val="0"/>
      <w:spacing w:after="240"/>
      <w:ind w:left="1440" w:hanging="720"/>
      <w:outlineLvl w:val="3"/>
    </w:pPr>
    <w:rPr>
      <w:rFonts w:ascii="Times New Roman" w:eastAsiaTheme="minorEastAsia" w:hAnsi="Times New Roman" w:cs="Times New Roman"/>
      <w:sz w:val="24"/>
      <w:szCs w:val="20"/>
      <w:lang w:val="en-US" w:eastAsia="es-PE"/>
    </w:rPr>
  </w:style>
  <w:style w:type="paragraph" w:customStyle="1" w:styleId="ArticleL5">
    <w:name w:val="Article_L5"/>
    <w:basedOn w:val="Normal"/>
    <w:next w:val="Normal"/>
    <w:qFormat/>
    <w:pPr>
      <w:tabs>
        <w:tab w:val="left" w:pos="2160"/>
      </w:tabs>
      <w:autoSpaceDE w:val="0"/>
      <w:autoSpaceDN w:val="0"/>
      <w:adjustRightInd w:val="0"/>
      <w:spacing w:after="240"/>
      <w:ind w:left="2160" w:hanging="720"/>
      <w:outlineLvl w:val="4"/>
    </w:pPr>
    <w:rPr>
      <w:rFonts w:ascii="Times New Roman" w:eastAsiaTheme="minorEastAsia" w:hAnsi="Times New Roman" w:cs="Times New Roman"/>
      <w:sz w:val="24"/>
      <w:szCs w:val="20"/>
      <w:lang w:val="en-US" w:eastAsia="es-PE"/>
    </w:rPr>
  </w:style>
  <w:style w:type="paragraph" w:customStyle="1" w:styleId="ArticleL6">
    <w:name w:val="Article_L6"/>
    <w:basedOn w:val="Normal"/>
    <w:next w:val="Normal"/>
    <w:qFormat/>
    <w:pPr>
      <w:tabs>
        <w:tab w:val="left" w:pos="3960"/>
      </w:tabs>
      <w:autoSpaceDE w:val="0"/>
      <w:autoSpaceDN w:val="0"/>
      <w:adjustRightInd w:val="0"/>
      <w:spacing w:after="240"/>
      <w:ind w:firstLine="3600"/>
      <w:outlineLvl w:val="5"/>
    </w:pPr>
    <w:rPr>
      <w:rFonts w:ascii="Times New Roman" w:eastAsiaTheme="minorEastAsia" w:hAnsi="Times New Roman" w:cs="Times New Roman"/>
      <w:sz w:val="24"/>
      <w:szCs w:val="20"/>
      <w:lang w:val="en-US" w:eastAsia="es-PE"/>
    </w:rPr>
  </w:style>
  <w:style w:type="paragraph" w:customStyle="1" w:styleId="ArticleL7">
    <w:name w:val="Article_L7"/>
    <w:basedOn w:val="Normal"/>
    <w:next w:val="Normal"/>
    <w:qFormat/>
    <w:pPr>
      <w:tabs>
        <w:tab w:val="left" w:pos="1800"/>
      </w:tabs>
      <w:autoSpaceDE w:val="0"/>
      <w:autoSpaceDN w:val="0"/>
      <w:adjustRightInd w:val="0"/>
      <w:spacing w:after="240"/>
      <w:ind w:firstLine="1440"/>
      <w:outlineLvl w:val="6"/>
    </w:pPr>
    <w:rPr>
      <w:rFonts w:ascii="Times New Roman" w:eastAsiaTheme="minorEastAsia" w:hAnsi="Times New Roman" w:cs="Times New Roman"/>
      <w:sz w:val="24"/>
      <w:szCs w:val="20"/>
      <w:lang w:val="en-US" w:eastAsia="es-PE"/>
    </w:rPr>
  </w:style>
  <w:style w:type="paragraph" w:customStyle="1" w:styleId="ArticleL8">
    <w:name w:val="Article_L8"/>
    <w:basedOn w:val="Normal"/>
    <w:next w:val="Normal"/>
    <w:qFormat/>
    <w:pPr>
      <w:tabs>
        <w:tab w:val="left" w:pos="2880"/>
      </w:tabs>
      <w:autoSpaceDE w:val="0"/>
      <w:autoSpaceDN w:val="0"/>
      <w:adjustRightInd w:val="0"/>
      <w:spacing w:after="240"/>
      <w:ind w:firstLine="2160"/>
      <w:outlineLvl w:val="7"/>
    </w:pPr>
    <w:rPr>
      <w:rFonts w:ascii="Times New Roman" w:eastAsiaTheme="minorEastAsia" w:hAnsi="Times New Roman" w:cs="Times New Roman"/>
      <w:sz w:val="24"/>
      <w:szCs w:val="20"/>
      <w:lang w:val="en-US" w:eastAsia="es-PE"/>
    </w:rPr>
  </w:style>
  <w:style w:type="paragraph" w:customStyle="1" w:styleId="ArticleL9">
    <w:name w:val="Article_L9"/>
    <w:basedOn w:val="Normal"/>
    <w:next w:val="Normal"/>
    <w:qFormat/>
    <w:pPr>
      <w:tabs>
        <w:tab w:val="left" w:pos="3240"/>
      </w:tabs>
      <w:autoSpaceDE w:val="0"/>
      <w:autoSpaceDN w:val="0"/>
      <w:adjustRightInd w:val="0"/>
      <w:spacing w:after="240"/>
      <w:ind w:firstLine="2880"/>
      <w:outlineLvl w:val="8"/>
    </w:pPr>
    <w:rPr>
      <w:rFonts w:ascii="Times New Roman" w:eastAsiaTheme="minorEastAsia" w:hAnsi="Times New Roman" w:cs="Times New Roman"/>
      <w:sz w:val="24"/>
      <w:szCs w:val="20"/>
      <w:lang w:val="en-US" w:eastAsia="es-PE"/>
    </w:rPr>
  </w:style>
  <w:style w:type="paragraph" w:customStyle="1" w:styleId="SCI-Article">
    <w:name w:val="SCI - Article"/>
    <w:basedOn w:val="Normal"/>
    <w:qFormat/>
    <w:pPr>
      <w:numPr>
        <w:numId w:val="55"/>
      </w:numPr>
      <w:autoSpaceDE w:val="0"/>
      <w:autoSpaceDN w:val="0"/>
      <w:adjustRightInd w:val="0"/>
      <w:spacing w:after="220"/>
      <w:jc w:val="both"/>
    </w:pPr>
    <w:rPr>
      <w:rFonts w:ascii="Times New Roman" w:eastAsiaTheme="minorEastAsia" w:hAnsi="Times New Roman" w:cs="Times New Roman"/>
      <w:szCs w:val="24"/>
      <w:lang w:val="en-US" w:eastAsia="es-PE"/>
    </w:rPr>
  </w:style>
  <w:style w:type="paragraph" w:customStyle="1" w:styleId="Tdc-8">
    <w:name w:val="Tdc-8"/>
    <w:basedOn w:val="Normal"/>
    <w:qFormat/>
    <w:pPr>
      <w:tabs>
        <w:tab w:val="left" w:pos="360"/>
      </w:tabs>
      <w:autoSpaceDE w:val="0"/>
      <w:autoSpaceDN w:val="0"/>
      <w:adjustRightInd w:val="0"/>
      <w:spacing w:before="120" w:after="120" w:line="360" w:lineRule="auto"/>
      <w:jc w:val="both"/>
    </w:pPr>
    <w:rPr>
      <w:rFonts w:eastAsiaTheme="minorEastAsia" w:cs="Times New Roman"/>
      <w:b/>
      <w:sz w:val="24"/>
      <w:szCs w:val="24"/>
      <w:lang w:val="es-PE" w:eastAsia="es-PE"/>
    </w:rPr>
  </w:style>
  <w:style w:type="paragraph" w:customStyle="1" w:styleId="Normal10">
    <w:name w:val="Normal10"/>
    <w:basedOn w:val="Normal"/>
    <w:qFormat/>
    <w:pPr>
      <w:autoSpaceDE w:val="0"/>
      <w:autoSpaceDN w:val="0"/>
      <w:adjustRightInd w:val="0"/>
      <w:jc w:val="both"/>
    </w:pPr>
    <w:rPr>
      <w:rFonts w:eastAsiaTheme="minorEastAsia"/>
      <w:sz w:val="20"/>
      <w:szCs w:val="20"/>
      <w:lang w:eastAsia="es-PE"/>
    </w:rPr>
  </w:style>
  <w:style w:type="paragraph" w:customStyle="1" w:styleId="p9">
    <w:name w:val="p9"/>
    <w:basedOn w:val="Normal"/>
    <w:qFormat/>
    <w:pPr>
      <w:widowControl w:val="0"/>
      <w:autoSpaceDE w:val="0"/>
      <w:autoSpaceDN w:val="0"/>
      <w:adjustRightInd w:val="0"/>
      <w:ind w:left="1480"/>
      <w:jc w:val="both"/>
    </w:pPr>
    <w:rPr>
      <w:rFonts w:ascii="Times" w:eastAsiaTheme="minorEastAsia" w:hAnsi="Times" w:cs="Times New Roman"/>
      <w:sz w:val="24"/>
      <w:szCs w:val="20"/>
      <w:lang w:eastAsia="es-PE"/>
    </w:rPr>
  </w:style>
  <w:style w:type="paragraph" w:customStyle="1" w:styleId="NumContinue">
    <w:name w:val="Num Continue"/>
    <w:basedOn w:val="Textoindependiente"/>
    <w:qFormat/>
    <w:pPr>
      <w:autoSpaceDE w:val="0"/>
      <w:autoSpaceDN w:val="0"/>
      <w:adjustRightInd w:val="0"/>
      <w:spacing w:line="312" w:lineRule="auto"/>
      <w:ind w:firstLine="720"/>
      <w:jc w:val="center"/>
    </w:pPr>
    <w:rPr>
      <w:rFonts w:ascii="Times New Roman" w:eastAsiaTheme="minorEastAsia" w:hAnsi="Times New Roman" w:cs="Times New Roman"/>
      <w:bCs w:val="0"/>
      <w:sz w:val="24"/>
      <w:szCs w:val="20"/>
      <w:lang w:val="es-ES" w:eastAsia="es-PE"/>
    </w:rPr>
  </w:style>
  <w:style w:type="paragraph" w:customStyle="1" w:styleId="JOSE1">
    <w:name w:val="JOSE1"/>
    <w:basedOn w:val="Textosinformato"/>
    <w:qFormat/>
    <w:pPr>
      <w:numPr>
        <w:numId w:val="56"/>
      </w:numPr>
      <w:tabs>
        <w:tab w:val="left" w:pos="360"/>
      </w:tabs>
      <w:autoSpaceDE w:val="0"/>
      <w:autoSpaceDN w:val="0"/>
      <w:adjustRightInd w:val="0"/>
      <w:spacing w:line="300" w:lineRule="exact"/>
      <w:ind w:left="0" w:firstLine="0"/>
      <w:jc w:val="both"/>
    </w:pPr>
    <w:rPr>
      <w:rFonts w:ascii="Arial" w:eastAsiaTheme="minorEastAsia" w:hAnsi="Arial"/>
      <w:b/>
      <w:bCs w:val="0"/>
      <w:color w:val="0000FF"/>
      <w:sz w:val="24"/>
      <w:szCs w:val="20"/>
      <w:lang w:val="es-ES" w:eastAsia="es-PE"/>
    </w:rPr>
  </w:style>
  <w:style w:type="paragraph" w:customStyle="1" w:styleId="JOSE3">
    <w:name w:val="JOSE3"/>
    <w:basedOn w:val="Textosinformato"/>
    <w:qFormat/>
    <w:pPr>
      <w:keepNext/>
      <w:numPr>
        <w:ilvl w:val="2"/>
        <w:numId w:val="57"/>
      </w:numPr>
      <w:tabs>
        <w:tab w:val="left" w:pos="360"/>
      </w:tabs>
      <w:autoSpaceDE w:val="0"/>
      <w:autoSpaceDN w:val="0"/>
      <w:adjustRightInd w:val="0"/>
      <w:spacing w:line="300" w:lineRule="exact"/>
      <w:ind w:left="0" w:firstLine="0"/>
      <w:jc w:val="both"/>
    </w:pPr>
    <w:rPr>
      <w:rFonts w:ascii="Arial" w:eastAsiaTheme="minorEastAsia" w:hAnsi="Arial"/>
      <w:b/>
      <w:bCs w:val="0"/>
      <w:color w:val="0000FF"/>
      <w:sz w:val="24"/>
      <w:szCs w:val="20"/>
      <w:lang w:val="es-ES" w:eastAsia="es-PE"/>
    </w:rPr>
  </w:style>
  <w:style w:type="paragraph" w:customStyle="1" w:styleId="JOSEANEXO">
    <w:name w:val="JOSEANEXO"/>
    <w:basedOn w:val="Normal"/>
    <w:qFormat/>
    <w:pPr>
      <w:autoSpaceDE w:val="0"/>
      <w:autoSpaceDN w:val="0"/>
      <w:adjustRightInd w:val="0"/>
      <w:spacing w:line="300" w:lineRule="exact"/>
      <w:jc w:val="center"/>
    </w:pPr>
    <w:rPr>
      <w:rFonts w:eastAsiaTheme="minorEastAsia"/>
      <w:b/>
      <w:sz w:val="24"/>
      <w:szCs w:val="20"/>
      <w:lang w:val="es-ES" w:eastAsia="es-PE"/>
    </w:rPr>
  </w:style>
  <w:style w:type="paragraph" w:customStyle="1" w:styleId="Lneadeasunto">
    <w:name w:val="Línea de asunto"/>
    <w:basedOn w:val="Normal"/>
    <w:qFormat/>
    <w:pPr>
      <w:autoSpaceDE w:val="0"/>
      <w:autoSpaceDN w:val="0"/>
      <w:adjustRightInd w:val="0"/>
    </w:pPr>
    <w:rPr>
      <w:rFonts w:ascii="Times New Roman" w:eastAsiaTheme="minorEastAsia" w:hAnsi="Times New Roman" w:cs="Times New Roman"/>
      <w:sz w:val="20"/>
      <w:szCs w:val="20"/>
      <w:lang w:val="es-ES" w:eastAsia="es-PE"/>
    </w:rPr>
  </w:style>
  <w:style w:type="character" w:customStyle="1" w:styleId="FirmaCar1">
    <w:name w:val="Firma Car1"/>
    <w:basedOn w:val="Fuentedeprrafopredeter"/>
    <w:qFormat/>
    <w:rPr>
      <w:rFonts w:cs="Times New Roman"/>
    </w:rPr>
  </w:style>
  <w:style w:type="paragraph" w:customStyle="1" w:styleId="Ttulo211pt">
    <w:name w:val="Título 2 + 11 pt"/>
    <w:basedOn w:val="Ttulo1"/>
    <w:qFormat/>
    <w:pPr>
      <w:numPr>
        <w:ilvl w:val="1"/>
        <w:numId w:val="58"/>
      </w:numPr>
      <w:autoSpaceDE w:val="0"/>
      <w:autoSpaceDN w:val="0"/>
      <w:adjustRightInd w:val="0"/>
      <w:spacing w:before="240" w:after="60" w:line="360" w:lineRule="auto"/>
      <w:jc w:val="both"/>
    </w:pPr>
    <w:rPr>
      <w:rFonts w:eastAsiaTheme="minorEastAsia"/>
      <w:bCs w:val="0"/>
      <w:kern w:val="32"/>
      <w:lang w:val="es-ES" w:eastAsia="es-PE"/>
    </w:rPr>
  </w:style>
  <w:style w:type="paragraph" w:customStyle="1" w:styleId="Infodocumentosadjuntos">
    <w:name w:val="Info documentos adjuntos"/>
    <w:basedOn w:val="Normal"/>
    <w:qFormat/>
    <w:pPr>
      <w:autoSpaceDE w:val="0"/>
      <w:autoSpaceDN w:val="0"/>
      <w:adjustRightInd w:val="0"/>
      <w:spacing w:after="200" w:line="276" w:lineRule="auto"/>
    </w:pPr>
    <w:rPr>
      <w:rFonts w:ascii="Calibri" w:eastAsia="Times New Roman" w:hAnsi="Calibri" w:cs="Times New Roman"/>
      <w:lang w:val="es-PE" w:eastAsia="es-PE"/>
    </w:rPr>
  </w:style>
  <w:style w:type="paragraph" w:customStyle="1" w:styleId="ecxmsonormal">
    <w:name w:val="ecxmsonormal"/>
    <w:basedOn w:val="Normal"/>
    <w:qFormat/>
    <w:pPr>
      <w:autoSpaceDE w:val="0"/>
      <w:autoSpaceDN w:val="0"/>
      <w:adjustRightInd w:val="0"/>
      <w:spacing w:after="324"/>
    </w:pPr>
    <w:rPr>
      <w:rFonts w:ascii="Times New Roman" w:eastAsiaTheme="minorEastAsia" w:hAnsi="Times New Roman" w:cs="Times New Roman"/>
      <w:sz w:val="24"/>
      <w:szCs w:val="24"/>
      <w:lang w:val="es-ES" w:eastAsia="es-PE"/>
    </w:rPr>
  </w:style>
  <w:style w:type="paragraph" w:customStyle="1" w:styleId="font6">
    <w:name w:val="font6"/>
    <w:basedOn w:val="Normal"/>
    <w:qFormat/>
    <w:pPr>
      <w:autoSpaceDE w:val="0"/>
      <w:autoSpaceDN w:val="0"/>
      <w:adjustRightInd w:val="0"/>
      <w:spacing w:before="100" w:beforeAutospacing="1" w:after="100" w:afterAutospacing="1"/>
    </w:pPr>
    <w:rPr>
      <w:rFonts w:ascii="Tahoma" w:eastAsiaTheme="minorEastAsia" w:hAnsi="Tahoma" w:cs="Tahoma"/>
      <w:color w:val="000000"/>
      <w:sz w:val="16"/>
      <w:szCs w:val="16"/>
      <w:lang w:val="es-PE" w:eastAsia="es-PE"/>
    </w:rPr>
  </w:style>
  <w:style w:type="paragraph" w:customStyle="1" w:styleId="font7">
    <w:name w:val="font7"/>
    <w:basedOn w:val="Normal"/>
    <w:qFormat/>
    <w:pPr>
      <w:autoSpaceDE w:val="0"/>
      <w:autoSpaceDN w:val="0"/>
      <w:adjustRightInd w:val="0"/>
      <w:spacing w:before="100" w:beforeAutospacing="1" w:after="100" w:afterAutospacing="1"/>
    </w:pPr>
    <w:rPr>
      <w:rFonts w:ascii="Tahoma" w:eastAsiaTheme="minorEastAsia" w:hAnsi="Tahoma" w:cs="Tahoma"/>
      <w:color w:val="000000"/>
      <w:sz w:val="16"/>
      <w:szCs w:val="16"/>
      <w:lang w:val="es-PE" w:eastAsia="es-PE"/>
    </w:rPr>
  </w:style>
  <w:style w:type="paragraph" w:customStyle="1" w:styleId="font8">
    <w:name w:val="font8"/>
    <w:basedOn w:val="Normal"/>
    <w:qFormat/>
    <w:pPr>
      <w:autoSpaceDE w:val="0"/>
      <w:autoSpaceDN w:val="0"/>
      <w:adjustRightInd w:val="0"/>
      <w:spacing w:before="100" w:beforeAutospacing="1" w:after="100" w:afterAutospacing="1"/>
    </w:pPr>
    <w:rPr>
      <w:rFonts w:ascii="Tahoma" w:eastAsiaTheme="minorEastAsia" w:hAnsi="Tahoma" w:cs="Tahoma"/>
      <w:color w:val="000000"/>
      <w:sz w:val="16"/>
      <w:szCs w:val="16"/>
      <w:lang w:val="es-PE" w:eastAsia="es-PE"/>
    </w:rPr>
  </w:style>
  <w:style w:type="paragraph" w:customStyle="1" w:styleId="font9">
    <w:name w:val="font9"/>
    <w:basedOn w:val="Normal"/>
    <w:qFormat/>
    <w:pPr>
      <w:autoSpaceDE w:val="0"/>
      <w:autoSpaceDN w:val="0"/>
      <w:adjustRightInd w:val="0"/>
      <w:spacing w:before="100" w:beforeAutospacing="1" w:after="100" w:afterAutospacing="1"/>
    </w:pPr>
    <w:rPr>
      <w:rFonts w:ascii="Tahoma" w:eastAsiaTheme="minorEastAsia" w:hAnsi="Tahoma" w:cs="Tahoma"/>
      <w:b/>
      <w:color w:val="000000"/>
      <w:sz w:val="16"/>
      <w:szCs w:val="16"/>
      <w:lang w:val="es-PE" w:eastAsia="es-PE"/>
    </w:rPr>
  </w:style>
  <w:style w:type="character" w:customStyle="1" w:styleId="Ttulo9Car1">
    <w:name w:val="Título 9 Car1"/>
    <w:basedOn w:val="Fuentedeprrafopredeter"/>
    <w:qFormat/>
    <w:rPr>
      <w:rFonts w:ascii="Calibri Light" w:eastAsia="Yu Gothic Light" w:hAnsi="Calibri Light" w:cs="Times New Roman"/>
      <w:i/>
      <w:color w:val="272727"/>
      <w:sz w:val="21"/>
      <w:szCs w:val="21"/>
    </w:rPr>
  </w:style>
  <w:style w:type="character" w:customStyle="1" w:styleId="TextodegloboCar1">
    <w:name w:val="Texto de globo Car1"/>
    <w:basedOn w:val="Fuentedeprrafopredeter"/>
    <w:uiPriority w:val="99"/>
    <w:qFormat/>
    <w:rPr>
      <w:rFonts w:ascii="Segoe UI" w:hAnsi="Segoe UI" w:cs="Segoe UI"/>
      <w:sz w:val="18"/>
      <w:szCs w:val="18"/>
    </w:rPr>
  </w:style>
  <w:style w:type="character" w:customStyle="1" w:styleId="AsuntodelcomentarioCar1">
    <w:name w:val="Asunto del comentario Car1"/>
    <w:basedOn w:val="TextocomentarioCar1"/>
    <w:uiPriority w:val="99"/>
    <w:qFormat/>
    <w:rPr>
      <w:rFonts w:cs="Times New Roman"/>
      <w:b/>
      <w:sz w:val="20"/>
      <w:szCs w:val="20"/>
    </w:rPr>
  </w:style>
  <w:style w:type="character" w:customStyle="1" w:styleId="Sangra2detindependienteCar1">
    <w:name w:val="Sangría 2 de t. independiente Car1"/>
    <w:basedOn w:val="Fuentedeprrafopredeter"/>
    <w:qFormat/>
    <w:rPr>
      <w:rFonts w:cs="Times New Roman"/>
    </w:rPr>
  </w:style>
  <w:style w:type="character" w:customStyle="1" w:styleId="Textoindependiente3Car1">
    <w:name w:val="Texto independiente 3 Car1"/>
    <w:basedOn w:val="Fuentedeprrafopredeter"/>
    <w:uiPriority w:val="99"/>
    <w:qFormat/>
    <w:rPr>
      <w:rFonts w:cs="Times New Roman"/>
      <w:sz w:val="16"/>
      <w:szCs w:val="16"/>
    </w:rPr>
  </w:style>
  <w:style w:type="character" w:customStyle="1" w:styleId="TextonotaalfinalCar1">
    <w:name w:val="Texto nota al final Car1"/>
    <w:basedOn w:val="Fuentedeprrafopredeter"/>
    <w:qFormat/>
    <w:rPr>
      <w:rFonts w:cs="Times New Roman"/>
      <w:sz w:val="20"/>
      <w:szCs w:val="20"/>
    </w:rPr>
  </w:style>
  <w:style w:type="character" w:customStyle="1" w:styleId="CierreCar1">
    <w:name w:val="Cierre Car1"/>
    <w:basedOn w:val="Fuentedeprrafopredeter"/>
    <w:qFormat/>
    <w:rPr>
      <w:rFonts w:cs="Times New Roman"/>
    </w:rPr>
  </w:style>
  <w:style w:type="character" w:customStyle="1" w:styleId="CitaCar1">
    <w:name w:val="Cita Car1"/>
    <w:basedOn w:val="Fuentedeprrafopredeter"/>
    <w:uiPriority w:val="29"/>
    <w:qFormat/>
    <w:rPr>
      <w:rFonts w:cs="Times New Roman"/>
      <w:i/>
      <w:color w:val="404040"/>
    </w:rPr>
  </w:style>
  <w:style w:type="character" w:customStyle="1" w:styleId="CitadestacadaCar1">
    <w:name w:val="Cita destacada Car1"/>
    <w:basedOn w:val="Fuentedeprrafopredeter"/>
    <w:uiPriority w:val="30"/>
    <w:qFormat/>
    <w:rPr>
      <w:rFonts w:cs="Times New Roman"/>
      <w:i/>
      <w:color w:val="4472C4"/>
    </w:rPr>
  </w:style>
  <w:style w:type="character" w:customStyle="1" w:styleId="EncabezadodemensajeCar1">
    <w:name w:val="Encabezado de mensaje Car1"/>
    <w:basedOn w:val="Fuentedeprrafopredeter"/>
    <w:qFormat/>
    <w:rPr>
      <w:rFonts w:ascii="Calibri Light" w:eastAsia="Yu Gothic Light" w:hAnsi="Calibri Light" w:cs="Times New Roman"/>
      <w:sz w:val="24"/>
      <w:szCs w:val="24"/>
      <w:shd w:val="pct20" w:color="auto" w:fill="auto"/>
    </w:rPr>
  </w:style>
  <w:style w:type="character" w:customStyle="1" w:styleId="EncabezadodenotaCar1">
    <w:name w:val="Encabezado de nota Car1"/>
    <w:basedOn w:val="Fuentedeprrafopredeter"/>
    <w:qFormat/>
    <w:rPr>
      <w:rFonts w:cs="Times New Roman"/>
    </w:rPr>
  </w:style>
  <w:style w:type="character" w:customStyle="1" w:styleId="FechaCar1">
    <w:name w:val="Fecha Car1"/>
    <w:basedOn w:val="Fuentedeprrafopredeter"/>
    <w:qFormat/>
    <w:rPr>
      <w:rFonts w:cs="Times New Roman"/>
    </w:rPr>
  </w:style>
  <w:style w:type="character" w:customStyle="1" w:styleId="FirmadecorreoelectrnicoCar1">
    <w:name w:val="Firma de correo electrónico Car1"/>
    <w:basedOn w:val="Fuentedeprrafopredeter"/>
    <w:uiPriority w:val="99"/>
    <w:qFormat/>
    <w:rPr>
      <w:rFonts w:cs="Times New Roman"/>
    </w:rPr>
  </w:style>
  <w:style w:type="character" w:customStyle="1" w:styleId="MapadeldocumentoCar1">
    <w:name w:val="Mapa del documento Car1"/>
    <w:basedOn w:val="Fuentedeprrafopredeter"/>
    <w:uiPriority w:val="99"/>
    <w:qFormat/>
    <w:rPr>
      <w:rFonts w:ascii="Segoe UI" w:hAnsi="Segoe UI" w:cs="Segoe UI"/>
      <w:sz w:val="16"/>
      <w:szCs w:val="16"/>
    </w:rPr>
  </w:style>
  <w:style w:type="character" w:customStyle="1" w:styleId="SaludoCar1">
    <w:name w:val="Saludo Car1"/>
    <w:basedOn w:val="Fuentedeprrafopredeter"/>
    <w:uiPriority w:val="99"/>
    <w:qFormat/>
    <w:rPr>
      <w:rFonts w:cs="Times New Roman"/>
    </w:rPr>
  </w:style>
  <w:style w:type="character" w:customStyle="1" w:styleId="Sangra3detindependienteCar1">
    <w:name w:val="Sangría 3 de t. independiente Car1"/>
    <w:basedOn w:val="Fuentedeprrafopredeter"/>
    <w:uiPriority w:val="99"/>
    <w:qFormat/>
    <w:rPr>
      <w:rFonts w:cs="Times New Roman"/>
      <w:sz w:val="16"/>
      <w:szCs w:val="16"/>
    </w:rPr>
  </w:style>
  <w:style w:type="character" w:customStyle="1" w:styleId="SubttuloCar1">
    <w:name w:val="Subtítulo Car1"/>
    <w:basedOn w:val="Fuentedeprrafopredeter"/>
    <w:qFormat/>
    <w:rPr>
      <w:rFonts w:eastAsia="Yu Mincho" w:cs="Times New Roman"/>
      <w:color w:val="5A5A5A"/>
      <w:spacing w:val="15"/>
    </w:rPr>
  </w:style>
  <w:style w:type="character" w:customStyle="1" w:styleId="Textoindependiente2Car1">
    <w:name w:val="Texto independiente 2 Car1"/>
    <w:basedOn w:val="Fuentedeprrafopredeter"/>
    <w:qFormat/>
    <w:rPr>
      <w:rFonts w:cs="Times New Roman"/>
    </w:rPr>
  </w:style>
  <w:style w:type="character" w:customStyle="1" w:styleId="TextoindependienteprimerasangraCar1">
    <w:name w:val="Texto independiente primera sangría Car1"/>
    <w:basedOn w:val="TextoindependienteCar1"/>
    <w:qFormat/>
    <w:rPr>
      <w:rFonts w:ascii="Arial" w:eastAsia="Batang" w:hAnsi="Arial" w:cs="Times New Roman"/>
      <w:sz w:val="22"/>
      <w:lang w:val="es-ES"/>
    </w:rPr>
  </w:style>
  <w:style w:type="character" w:customStyle="1" w:styleId="Textoindependienteprimerasangra2Car1">
    <w:name w:val="Texto independiente primera sangría 2 Car1"/>
    <w:basedOn w:val="SangradetextonormalCar1"/>
    <w:qFormat/>
    <w:rPr>
      <w:rFonts w:ascii="Arial" w:eastAsia="Batang" w:hAnsi="Arial" w:cs="Times New Roman"/>
      <w:sz w:val="22"/>
      <w:lang w:val="es-ES"/>
    </w:rPr>
  </w:style>
  <w:style w:type="character" w:customStyle="1" w:styleId="TextomacroCar1">
    <w:name w:val="Texto macro Car1"/>
    <w:basedOn w:val="Fuentedeprrafopredeter"/>
    <w:uiPriority w:val="99"/>
    <w:qFormat/>
    <w:rPr>
      <w:rFonts w:ascii="Consolas" w:hAnsi="Consolas" w:cs="Times New Roman"/>
      <w:sz w:val="20"/>
      <w:szCs w:val="20"/>
    </w:rPr>
  </w:style>
  <w:style w:type="character" w:customStyle="1" w:styleId="TtuloCar1">
    <w:name w:val="Título Car1"/>
    <w:basedOn w:val="Fuentedeprrafopredeter"/>
    <w:uiPriority w:val="10"/>
    <w:qFormat/>
    <w:rPr>
      <w:rFonts w:ascii="Calibri Light" w:eastAsia="Yu Gothic Light" w:hAnsi="Calibri Light" w:cs="Times New Roman"/>
      <w:spacing w:val="-10"/>
      <w:kern w:val="28"/>
      <w:sz w:val="56"/>
      <w:szCs w:val="56"/>
    </w:rPr>
  </w:style>
  <w:style w:type="character" w:customStyle="1" w:styleId="Encabezado1CarCar">
    <w:name w:val="Encabezado1 Car Car"/>
    <w:qFormat/>
  </w:style>
  <w:style w:type="paragraph" w:customStyle="1" w:styleId="z-Principiodelformulario1">
    <w:name w:val="z-Principio del formulario1"/>
    <w:basedOn w:val="Normal"/>
    <w:next w:val="Normal"/>
    <w:link w:val="z-PrincipiodelformularioCar"/>
    <w:uiPriority w:val="99"/>
    <w:qFormat/>
    <w:pPr>
      <w:pBdr>
        <w:bottom w:val="single" w:sz="6" w:space="1" w:color="auto"/>
      </w:pBdr>
      <w:autoSpaceDE w:val="0"/>
      <w:autoSpaceDN w:val="0"/>
      <w:adjustRightInd w:val="0"/>
      <w:jc w:val="center"/>
    </w:pPr>
    <w:rPr>
      <w:rFonts w:eastAsia="Times New Roman"/>
      <w:vanish/>
      <w:sz w:val="16"/>
      <w:szCs w:val="16"/>
      <w:lang w:eastAsia="es-PE"/>
    </w:rPr>
  </w:style>
  <w:style w:type="character" w:customStyle="1" w:styleId="z-PrincipiodelformularioCar">
    <w:name w:val="z-Principio del formulario Car"/>
    <w:basedOn w:val="Fuentedeprrafopredeter"/>
    <w:link w:val="z-Principiodelformulario1"/>
    <w:uiPriority w:val="99"/>
    <w:qFormat/>
    <w:rPr>
      <w:rFonts w:eastAsia="Times New Roman"/>
      <w:vanish/>
      <w:sz w:val="16"/>
      <w:szCs w:val="16"/>
    </w:rPr>
  </w:style>
  <w:style w:type="paragraph" w:customStyle="1" w:styleId="z-Finaldelformulario1">
    <w:name w:val="z-Final del formulario1"/>
    <w:basedOn w:val="Normal"/>
    <w:next w:val="Normal"/>
    <w:link w:val="z-FinaldelformularioCar"/>
    <w:uiPriority w:val="99"/>
    <w:qFormat/>
    <w:pPr>
      <w:pBdr>
        <w:top w:val="single" w:sz="6" w:space="1" w:color="auto"/>
      </w:pBdr>
      <w:autoSpaceDE w:val="0"/>
      <w:autoSpaceDN w:val="0"/>
      <w:adjustRightInd w:val="0"/>
      <w:jc w:val="center"/>
    </w:pPr>
    <w:rPr>
      <w:rFonts w:eastAsia="Times New Roman"/>
      <w:vanish/>
      <w:sz w:val="16"/>
      <w:szCs w:val="16"/>
      <w:lang w:eastAsia="es-PE"/>
    </w:rPr>
  </w:style>
  <w:style w:type="character" w:customStyle="1" w:styleId="z-FinaldelformularioCar">
    <w:name w:val="z-Final del formulario Car"/>
    <w:basedOn w:val="Fuentedeprrafopredeter"/>
    <w:link w:val="z-Finaldelformulario1"/>
    <w:uiPriority w:val="99"/>
    <w:qFormat/>
    <w:rPr>
      <w:rFonts w:eastAsia="Times New Roman"/>
      <w:vanish/>
      <w:sz w:val="16"/>
      <w:szCs w:val="16"/>
    </w:rPr>
  </w:style>
  <w:style w:type="character" w:customStyle="1" w:styleId="txtcontenido1">
    <w:name w:val="txtcontenido1"/>
    <w:qFormat/>
    <w:rPr>
      <w:rFonts w:ascii="Arial" w:hAnsi="Arial"/>
      <w:color w:val="3B3B3B"/>
      <w:sz w:val="17"/>
    </w:rPr>
  </w:style>
  <w:style w:type="table" w:styleId="Listaclara-nfasis5">
    <w:name w:val="Light List Accent 5"/>
    <w:basedOn w:val="Tablanormal"/>
    <w:uiPriority w:val="61"/>
    <w:unhideWhenUsed/>
    <w:qFormat/>
    <w:rPr>
      <w:rFonts w:ascii="Calibri" w:eastAsia="Calibri" w:hAnsi="Calibri" w:cs="Calibri"/>
      <w:sz w:val="22"/>
      <w:szCs w:val="22"/>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3-nfasis5">
    <w:name w:val="Medium Grid 3 Accent 5"/>
    <w:basedOn w:val="Tablanormal"/>
    <w:uiPriority w:val="69"/>
    <w:unhideWhenUsed/>
    <w:qFormat/>
    <w:rPr>
      <w:rFonts w:ascii="Calibri" w:eastAsia="Calibri" w:hAnsi="Calibri" w:cs="Calibri"/>
      <w:sz w:val="22"/>
      <w:szCs w:val="22"/>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paragraph" w:customStyle="1" w:styleId="Textoconbullets">
    <w:name w:val="Texto con bullets"/>
    <w:basedOn w:val="Normal"/>
    <w:qFormat/>
    <w:pPr>
      <w:numPr>
        <w:numId w:val="59"/>
      </w:numPr>
      <w:autoSpaceDE w:val="0"/>
      <w:autoSpaceDN w:val="0"/>
      <w:adjustRightInd w:val="0"/>
      <w:spacing w:after="160" w:line="259" w:lineRule="auto"/>
    </w:pPr>
    <w:rPr>
      <w:rFonts w:ascii="Calibri" w:eastAsia="Times New Roman" w:hAnsi="Calibri"/>
      <w:lang w:val="es-ES" w:eastAsia="es-PE"/>
    </w:rPr>
  </w:style>
  <w:style w:type="character" w:customStyle="1" w:styleId="Estilo2Car">
    <w:name w:val="Estilo2 Car"/>
    <w:basedOn w:val="Fuentedeprrafopredeter"/>
    <w:qFormat/>
    <w:rPr>
      <w:rFonts w:ascii="Arial" w:hAnsi="Arial" w:cs="Arial"/>
      <w:b/>
      <w:u w:val="single"/>
      <w:lang w:val="es-ES"/>
    </w:rPr>
  </w:style>
  <w:style w:type="character" w:customStyle="1" w:styleId="Mencinsinresolver14">
    <w:name w:val="Mención sin resolver14"/>
    <w:basedOn w:val="Fuentedeprrafopredeter"/>
    <w:uiPriority w:val="99"/>
    <w:qFormat/>
    <w:rPr>
      <w:rFonts w:cs="Times New Roman"/>
      <w:color w:val="605E5C"/>
      <w:shd w:val="clear" w:color="auto" w:fill="E1DFDD"/>
    </w:rPr>
  </w:style>
  <w:style w:type="character" w:customStyle="1" w:styleId="Mencinsinresolver16">
    <w:name w:val="Mención sin resolver16"/>
    <w:basedOn w:val="Fuentedeprrafopredeter"/>
    <w:uiPriority w:val="99"/>
    <w:qFormat/>
    <w:rPr>
      <w:rFonts w:cs="Times New Roman"/>
      <w:color w:val="605E5C"/>
      <w:shd w:val="clear" w:color="auto" w:fill="E1DFDD"/>
    </w:rPr>
  </w:style>
  <w:style w:type="paragraph" w:customStyle="1" w:styleId="Char2">
    <w:name w:val="Char2"/>
    <w:basedOn w:val="Normal"/>
    <w:uiPriority w:val="99"/>
    <w:qFormat/>
    <w:pPr>
      <w:autoSpaceDE w:val="0"/>
      <w:autoSpaceDN w:val="0"/>
      <w:adjustRightInd w:val="0"/>
      <w:spacing w:after="160" w:line="240" w:lineRule="exact"/>
    </w:pPr>
    <w:rPr>
      <w:rFonts w:ascii="Calibri" w:eastAsia="Times New Roman" w:hAnsi="Calibri" w:cs="Calibri"/>
      <w:vertAlign w:val="superscript"/>
      <w:lang w:val="es-PE" w:eastAsia="es-PE"/>
    </w:rPr>
  </w:style>
  <w:style w:type="character" w:customStyle="1" w:styleId="UnresolvedMention6">
    <w:name w:val="Unresolved Mention6"/>
    <w:basedOn w:val="Fuentedeprrafopredeter"/>
    <w:uiPriority w:val="99"/>
    <w:qFormat/>
    <w:rPr>
      <w:rFonts w:cs="Times New Roman"/>
      <w:color w:val="605E5C"/>
      <w:shd w:val="clear" w:color="auto" w:fill="E1DFDD"/>
    </w:rPr>
  </w:style>
  <w:style w:type="character" w:customStyle="1" w:styleId="Mencinsinresolver17">
    <w:name w:val="Mención sin resolver17"/>
    <w:basedOn w:val="Fuentedeprrafopredeter"/>
    <w:uiPriority w:val="99"/>
    <w:qFormat/>
    <w:rPr>
      <w:rFonts w:cs="Times New Roman"/>
      <w:color w:val="605E5C"/>
      <w:shd w:val="clear" w:color="auto" w:fill="E1DFDD"/>
    </w:rPr>
  </w:style>
  <w:style w:type="character" w:customStyle="1" w:styleId="Mencinsinresolver18">
    <w:name w:val="Mención sin resolver18"/>
    <w:basedOn w:val="Fuentedeprrafopredeter"/>
    <w:uiPriority w:val="99"/>
    <w:qFormat/>
    <w:rPr>
      <w:rFonts w:cs="Times New Roman"/>
      <w:color w:val="605E5C"/>
      <w:shd w:val="clear" w:color="auto" w:fill="E1DFDD"/>
    </w:rPr>
  </w:style>
  <w:style w:type="paragraph" w:customStyle="1" w:styleId="ui-chatitem">
    <w:name w:val="ui-chat__item"/>
    <w:basedOn w:val="Normal"/>
    <w:qFormat/>
    <w:pPr>
      <w:autoSpaceDE w:val="0"/>
      <w:autoSpaceDN w:val="0"/>
      <w:adjustRightInd w:val="0"/>
      <w:spacing w:before="100" w:beforeAutospacing="1" w:after="100" w:afterAutospacing="1"/>
    </w:pPr>
    <w:rPr>
      <w:rFonts w:ascii="Times New Roman" w:eastAsiaTheme="minorEastAsia" w:hAnsi="Times New Roman" w:cs="Times New Roman"/>
      <w:sz w:val="24"/>
      <w:szCs w:val="24"/>
      <w:lang w:val="es-PE" w:eastAsia="es-PE"/>
    </w:rPr>
  </w:style>
  <w:style w:type="character" w:customStyle="1" w:styleId="Ttulo3Car2">
    <w:name w:val="Título 3 Car2"/>
    <w:qFormat/>
    <w:rPr>
      <w:rFonts w:ascii="Arial" w:hAnsi="Arial"/>
      <w:sz w:val="26"/>
    </w:rPr>
  </w:style>
  <w:style w:type="character" w:customStyle="1" w:styleId="Ttulo4Car2">
    <w:name w:val="Título 4 Car2"/>
    <w:qFormat/>
    <w:rPr>
      <w:rFonts w:ascii="Times New Roman" w:hAnsi="Times New Roman"/>
      <w:b/>
      <w:sz w:val="28"/>
      <w:lang w:val="zh-CN"/>
    </w:rPr>
  </w:style>
  <w:style w:type="character" w:customStyle="1" w:styleId="TextoindependienteCar4">
    <w:name w:val="Texto independiente Car4"/>
    <w:qFormat/>
    <w:rPr>
      <w:rFonts w:ascii="Calibri" w:hAnsi="Calibri"/>
    </w:rPr>
  </w:style>
  <w:style w:type="character" w:customStyle="1" w:styleId="PiedepginaCar11">
    <w:name w:val="Pie de página Car11"/>
    <w:uiPriority w:val="99"/>
    <w:qFormat/>
    <w:rPr>
      <w:rFonts w:ascii="Arial" w:eastAsia="Batang" w:hAnsi="Arial"/>
      <w:sz w:val="22"/>
      <w:lang w:val="es-ES"/>
    </w:rPr>
  </w:style>
  <w:style w:type="character" w:customStyle="1" w:styleId="DescripcinCar1">
    <w:name w:val="Descripción Car1"/>
    <w:uiPriority w:val="99"/>
    <w:qFormat/>
    <w:rPr>
      <w:rFonts w:ascii="Times New Roman" w:hAnsi="Times New Roman"/>
      <w:b/>
      <w:caps/>
      <w:sz w:val="18"/>
      <w:lang w:val="zh-CN"/>
    </w:rPr>
  </w:style>
  <w:style w:type="character" w:customStyle="1" w:styleId="TextoindependienteCar11">
    <w:name w:val="Texto independiente Car11"/>
    <w:qFormat/>
    <w:rPr>
      <w:rFonts w:ascii="Arial" w:eastAsia="Batang" w:hAnsi="Arial"/>
      <w:sz w:val="22"/>
      <w:lang w:val="es-ES"/>
    </w:rPr>
  </w:style>
  <w:style w:type="character" w:customStyle="1" w:styleId="TextoindependienteCar21">
    <w:name w:val="Texto independiente Car21"/>
    <w:uiPriority w:val="99"/>
    <w:qFormat/>
    <w:rPr>
      <w:rFonts w:ascii="Calibri" w:hAnsi="Calibri"/>
    </w:rPr>
  </w:style>
  <w:style w:type="character" w:customStyle="1" w:styleId="FootnoteTextChar2">
    <w:name w:val="Footnote Text Char2"/>
    <w:qFormat/>
    <w:rPr>
      <w:rFonts w:ascii="Times New Roman" w:hAnsi="Times New Roman"/>
      <w:sz w:val="20"/>
      <w:lang w:val="zh-CN"/>
    </w:rPr>
  </w:style>
  <w:style w:type="character" w:customStyle="1" w:styleId="ListParagraphChar11">
    <w:name w:val="List Paragraph Char11"/>
    <w:qFormat/>
    <w:rPr>
      <w:rFonts w:ascii="Calibri" w:hAnsi="Calibri"/>
    </w:rPr>
  </w:style>
  <w:style w:type="paragraph" w:customStyle="1" w:styleId="Epgrafetablas1">
    <w:name w:val="Epígrafe tablas1"/>
    <w:basedOn w:val="Normal0"/>
    <w:next w:val="Normal0"/>
    <w:qFormat/>
    <w:pPr>
      <w:widowControl w:val="0"/>
      <w:spacing w:after="40" w:line="360" w:lineRule="auto"/>
      <w:ind w:left="1021"/>
      <w:jc w:val="center"/>
    </w:pPr>
    <w:rPr>
      <w:rFonts w:ascii="Arial" w:hAnsi="Arial"/>
      <w:i/>
      <w:color w:val="4F81BD"/>
      <w:sz w:val="18"/>
      <w:szCs w:val="20"/>
    </w:rPr>
  </w:style>
  <w:style w:type="character" w:customStyle="1" w:styleId="EpgrafeCar1">
    <w:name w:val="Epígrafe Car1"/>
    <w:qFormat/>
    <w:rPr>
      <w:rFonts w:ascii="Arial" w:hAnsi="Arial"/>
      <w:i/>
      <w:color w:val="4F81BD"/>
      <w:sz w:val="20"/>
    </w:rPr>
  </w:style>
  <w:style w:type="character" w:customStyle="1" w:styleId="TtuloCar11">
    <w:name w:val="Título Car11"/>
    <w:uiPriority w:val="10"/>
    <w:qFormat/>
    <w:rPr>
      <w:rFonts w:ascii="Arial" w:hAnsi="Arial"/>
      <w:b/>
    </w:rPr>
  </w:style>
  <w:style w:type="character" w:customStyle="1" w:styleId="Mencionsinresolver10">
    <w:name w:val="Mencion sin resolver1_0"/>
    <w:uiPriority w:val="99"/>
    <w:qFormat/>
    <w:rPr>
      <w:color w:val="808080"/>
      <w:shd w:val="clear" w:color="auto" w:fill="E6E6E6"/>
    </w:rPr>
  </w:style>
  <w:style w:type="character" w:customStyle="1" w:styleId="Mencionsinresolver2">
    <w:name w:val="Mencion sin resolver2"/>
    <w:uiPriority w:val="99"/>
    <w:qFormat/>
    <w:rPr>
      <w:color w:val="808080"/>
      <w:shd w:val="clear" w:color="auto" w:fill="E6E6E6"/>
    </w:rPr>
  </w:style>
  <w:style w:type="character" w:customStyle="1" w:styleId="Mencionsinresolver3">
    <w:name w:val="Mencion sin resolver3"/>
    <w:uiPriority w:val="99"/>
    <w:qFormat/>
    <w:rPr>
      <w:color w:val="808080"/>
      <w:shd w:val="clear" w:color="auto" w:fill="E6E6E6"/>
    </w:rPr>
  </w:style>
  <w:style w:type="character" w:customStyle="1" w:styleId="Mencionsinresolver4">
    <w:name w:val="Mencion sin resolver4"/>
    <w:uiPriority w:val="99"/>
    <w:qFormat/>
    <w:rPr>
      <w:color w:val="808080"/>
      <w:shd w:val="clear" w:color="auto" w:fill="E6E6E6"/>
    </w:rPr>
  </w:style>
  <w:style w:type="character" w:customStyle="1" w:styleId="Mencionsinresolver5">
    <w:name w:val="Mencion sin resolver5"/>
    <w:uiPriority w:val="99"/>
    <w:qFormat/>
    <w:rPr>
      <w:color w:val="808080"/>
      <w:shd w:val="clear" w:color="auto" w:fill="E6E6E6"/>
    </w:rPr>
  </w:style>
  <w:style w:type="character" w:customStyle="1" w:styleId="Mencionsinresolver6">
    <w:name w:val="Mencion sin resolver6"/>
    <w:uiPriority w:val="99"/>
    <w:qFormat/>
    <w:rPr>
      <w:color w:val="808080"/>
      <w:shd w:val="clear" w:color="auto" w:fill="E6E6E6"/>
    </w:rPr>
  </w:style>
  <w:style w:type="paragraph" w:customStyle="1" w:styleId="DeltaViewTableHeading">
    <w:name w:val="DeltaView Table Heading"/>
    <w:basedOn w:val="Normal"/>
    <w:uiPriority w:val="99"/>
    <w:qFormat/>
    <w:pPr>
      <w:autoSpaceDE w:val="0"/>
      <w:autoSpaceDN w:val="0"/>
      <w:adjustRightInd w:val="0"/>
      <w:spacing w:after="120"/>
    </w:pPr>
    <w:rPr>
      <w:rFonts w:eastAsiaTheme="minorEastAsia" w:cs="Times New Roman"/>
      <w:b/>
      <w:sz w:val="24"/>
      <w:szCs w:val="24"/>
      <w:lang w:val="en-US" w:eastAsia="es-PE"/>
    </w:rPr>
  </w:style>
  <w:style w:type="paragraph" w:customStyle="1" w:styleId="DeltaViewTableBody">
    <w:name w:val="DeltaView Table Body"/>
    <w:basedOn w:val="Normal"/>
    <w:uiPriority w:val="99"/>
    <w:qFormat/>
    <w:pPr>
      <w:autoSpaceDE w:val="0"/>
      <w:autoSpaceDN w:val="0"/>
      <w:adjustRightInd w:val="0"/>
    </w:pPr>
    <w:rPr>
      <w:rFonts w:eastAsiaTheme="minorEastAsia" w:cs="Times New Roman"/>
      <w:sz w:val="24"/>
      <w:szCs w:val="24"/>
      <w:lang w:val="en-US" w:eastAsia="es-PE"/>
    </w:rPr>
  </w:style>
  <w:style w:type="paragraph" w:customStyle="1" w:styleId="DeltaViewAnnounce">
    <w:name w:val="DeltaView Announce"/>
    <w:uiPriority w:val="99"/>
    <w:qFormat/>
    <w:pPr>
      <w:autoSpaceDE w:val="0"/>
      <w:autoSpaceDN w:val="0"/>
      <w:adjustRightInd w:val="0"/>
      <w:spacing w:before="100" w:beforeAutospacing="1" w:after="100" w:afterAutospacing="1"/>
    </w:pPr>
    <w:rPr>
      <w:rFonts w:eastAsia="Calibri" w:cs="Times New Roman"/>
      <w:sz w:val="24"/>
      <w:szCs w:val="24"/>
      <w:lang w:val="en-GB"/>
    </w:rPr>
  </w:style>
  <w:style w:type="character" w:customStyle="1" w:styleId="DeltaViewMoveSource">
    <w:name w:val="DeltaView Move Source"/>
    <w:uiPriority w:val="99"/>
    <w:qFormat/>
    <w:rPr>
      <w:strike/>
      <w:color w:val="00C000"/>
    </w:rPr>
  </w:style>
  <w:style w:type="character" w:customStyle="1" w:styleId="DeltaViewMoveDestination">
    <w:name w:val="DeltaView Move Destination"/>
    <w:uiPriority w:val="99"/>
    <w:qFormat/>
    <w:rPr>
      <w:color w:val="00C000"/>
      <w:u w:val="double"/>
    </w:rPr>
  </w:style>
  <w:style w:type="character" w:customStyle="1" w:styleId="DeltaViewChangeNumber">
    <w:name w:val="DeltaView Change Number"/>
    <w:uiPriority w:val="99"/>
    <w:qFormat/>
    <w:rPr>
      <w:color w:val="000000"/>
      <w:vertAlign w:val="superscript"/>
    </w:rPr>
  </w:style>
  <w:style w:type="character" w:customStyle="1" w:styleId="DeltaViewDelimiter">
    <w:name w:val="DeltaView Delimiter"/>
    <w:uiPriority w:val="99"/>
    <w:qFormat/>
  </w:style>
  <w:style w:type="character" w:customStyle="1" w:styleId="DeltaViewFormatChange">
    <w:name w:val="DeltaView Format Change"/>
    <w:uiPriority w:val="99"/>
    <w:qFormat/>
    <w:rPr>
      <w:color w:val="000000"/>
    </w:rPr>
  </w:style>
  <w:style w:type="character" w:customStyle="1" w:styleId="DeltaViewMovedDeletion">
    <w:name w:val="DeltaView Moved Deletion"/>
    <w:uiPriority w:val="99"/>
    <w:qFormat/>
    <w:rPr>
      <w:strike/>
      <w:color w:val="C08080"/>
    </w:rPr>
  </w:style>
  <w:style w:type="character" w:customStyle="1" w:styleId="DeltaViewComment">
    <w:name w:val="DeltaView Comment"/>
    <w:basedOn w:val="Fuentedeprrafopredeter"/>
    <w:uiPriority w:val="99"/>
    <w:qFormat/>
    <w:rPr>
      <w:color w:val="000000"/>
    </w:rPr>
  </w:style>
  <w:style w:type="character" w:customStyle="1" w:styleId="DeltaViewStyleChangeText">
    <w:name w:val="DeltaView Style Change Text"/>
    <w:uiPriority w:val="99"/>
    <w:qFormat/>
    <w:rPr>
      <w:color w:val="000000"/>
      <w:u w:val="double"/>
    </w:rPr>
  </w:style>
  <w:style w:type="character" w:customStyle="1" w:styleId="DeltaViewStyleChangeLabel">
    <w:name w:val="DeltaView Style Change Label"/>
    <w:uiPriority w:val="99"/>
    <w:qFormat/>
    <w:rPr>
      <w:color w:val="000000"/>
    </w:rPr>
  </w:style>
  <w:style w:type="character" w:customStyle="1" w:styleId="DeltaViewInsertedComment">
    <w:name w:val="DeltaView Inserted Comment"/>
    <w:basedOn w:val="DeltaViewComment"/>
    <w:uiPriority w:val="99"/>
    <w:qFormat/>
    <w:rPr>
      <w:color w:val="0000FF"/>
      <w:u w:val="double"/>
    </w:rPr>
  </w:style>
  <w:style w:type="character" w:customStyle="1" w:styleId="DeltaViewDeletedComment">
    <w:name w:val="DeltaView Deleted Comment"/>
    <w:basedOn w:val="DeltaViewComment"/>
    <w:uiPriority w:val="99"/>
    <w:qFormat/>
    <w:rPr>
      <w:strike/>
      <w:color w:val="FF0000"/>
    </w:rPr>
  </w:style>
  <w:style w:type="table" w:customStyle="1" w:styleId="TableGrid1">
    <w:name w:val="Table Grid1"/>
    <w:basedOn w:val="Tablanormal"/>
    <w:uiPriority w:val="59"/>
    <w:qFormat/>
    <w:rPr>
      <w:rFonts w:ascii="Calibri" w:eastAsiaTheme="minorHAns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ltaviewinsertion">
    <w:name w:val="gmail-deltaviewinsertion"/>
    <w:basedOn w:val="Fuentedeprrafopredeter"/>
    <w:qFormat/>
  </w:style>
  <w:style w:type="character" w:customStyle="1" w:styleId="gmail-deltaviewmovedestination">
    <w:name w:val="gmail-deltaviewmovedestination"/>
    <w:basedOn w:val="Fuentedeprrafopredeter"/>
    <w:qFormat/>
  </w:style>
  <w:style w:type="table" w:customStyle="1" w:styleId="26">
    <w:name w:val="26"/>
    <w:basedOn w:val="TableNormal5"/>
    <w:qFormat/>
    <w:tblPr>
      <w:tblCellMar>
        <w:left w:w="115" w:type="dxa"/>
        <w:right w:w="115" w:type="dxa"/>
      </w:tblCellMar>
    </w:tblPr>
  </w:style>
  <w:style w:type="table" w:customStyle="1" w:styleId="25">
    <w:name w:val="25"/>
    <w:basedOn w:val="TableNormal5"/>
    <w:qFormat/>
    <w:pPr>
      <w:spacing w:after="0" w:line="240" w:lineRule="auto"/>
    </w:pPr>
    <w:rPr>
      <w:color w:val="2F5496"/>
    </w:rPr>
    <w:tblPr>
      <w:tblCellMar>
        <w:left w:w="108" w:type="dxa"/>
        <w:right w:w="108" w:type="dxa"/>
      </w:tblCellMar>
    </w:tblPr>
    <w:tcPr>
      <w:shd w:val="clear" w:color="auto" w:fill="D6E6F4"/>
    </w:tcPr>
  </w:style>
  <w:style w:type="table" w:customStyle="1" w:styleId="24">
    <w:name w:val="24"/>
    <w:basedOn w:val="TableNormal5"/>
    <w:qFormat/>
    <w:pPr>
      <w:spacing w:after="0" w:line="240" w:lineRule="auto"/>
    </w:pPr>
    <w:rPr>
      <w:color w:val="2F5496"/>
    </w:rPr>
    <w:tblPr>
      <w:tblCellMar>
        <w:left w:w="108" w:type="dxa"/>
        <w:right w:w="108" w:type="dxa"/>
      </w:tblCellMar>
    </w:tblPr>
    <w:tcPr>
      <w:shd w:val="clear" w:color="auto" w:fill="D6E6F4"/>
    </w:tcPr>
  </w:style>
  <w:style w:type="table" w:customStyle="1" w:styleId="23">
    <w:name w:val="23"/>
    <w:basedOn w:val="TableNormal5"/>
    <w:qFormat/>
    <w:tblPr>
      <w:tblCellMar>
        <w:left w:w="115" w:type="dxa"/>
        <w:right w:w="115" w:type="dxa"/>
      </w:tblCellMar>
    </w:tblPr>
  </w:style>
  <w:style w:type="table" w:customStyle="1" w:styleId="22">
    <w:name w:val="22"/>
    <w:basedOn w:val="TableNormal5"/>
    <w:qFormat/>
    <w:tblPr>
      <w:tblCellMar>
        <w:left w:w="115" w:type="dxa"/>
        <w:right w:w="115" w:type="dxa"/>
      </w:tblCellMar>
    </w:tblPr>
  </w:style>
  <w:style w:type="table" w:customStyle="1" w:styleId="21">
    <w:name w:val="21"/>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20">
    <w:name w:val="20"/>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9">
    <w:name w:val="19"/>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8">
    <w:name w:val="18"/>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7">
    <w:name w:val="17"/>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6">
    <w:name w:val="16"/>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5">
    <w:name w:val="15"/>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4">
    <w:name w:val="14"/>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3">
    <w:name w:val="13"/>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2">
    <w:name w:val="12"/>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1">
    <w:name w:val="11"/>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0">
    <w:name w:val="10"/>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9">
    <w:name w:val="9"/>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8">
    <w:name w:val="8"/>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6">
    <w:name w:val="6"/>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5">
    <w:name w:val="5"/>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4">
    <w:name w:val="4"/>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3">
    <w:name w:val="3"/>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2">
    <w:name w:val="2"/>
    <w:basedOn w:val="TableNormal5"/>
    <w:qFormat/>
    <w:pPr>
      <w:spacing w:after="0" w:line="240" w:lineRule="auto"/>
    </w:pPr>
    <w:rPr>
      <w:color w:val="2F5496"/>
    </w:rPr>
    <w:tblPr>
      <w:tblCellMar>
        <w:left w:w="115" w:type="dxa"/>
        <w:right w:w="115" w:type="dxa"/>
      </w:tblCellMar>
    </w:tblPr>
    <w:tcPr>
      <w:shd w:val="clear" w:color="auto" w:fill="D6E6F4"/>
    </w:tcPr>
  </w:style>
  <w:style w:type="table" w:customStyle="1" w:styleId="1">
    <w:name w:val="1"/>
    <w:basedOn w:val="TableNormal5"/>
    <w:qFormat/>
    <w:pPr>
      <w:spacing w:after="0" w:line="240" w:lineRule="auto"/>
    </w:pPr>
    <w:rPr>
      <w:color w:val="2F5496"/>
    </w:rPr>
    <w:tblPr>
      <w:tblCellMar>
        <w:left w:w="115" w:type="dxa"/>
        <w:right w:w="115" w:type="dxa"/>
      </w:tblCellMar>
    </w:tblPr>
    <w:tcPr>
      <w:shd w:val="clear" w:color="auto" w:fill="D6E6F4"/>
    </w:tcPr>
  </w:style>
  <w:style w:type="character" w:customStyle="1" w:styleId="Mencinsinresolver19">
    <w:name w:val="Mención sin resolver19"/>
    <w:basedOn w:val="Fuentedeprrafopredeter"/>
    <w:uiPriority w:val="99"/>
    <w:semiHidden/>
    <w:unhideWhenUsed/>
    <w:qFormat/>
    <w:rPr>
      <w:color w:val="605E5C"/>
      <w:shd w:val="clear" w:color="auto" w:fill="E1DFDD"/>
    </w:rPr>
  </w:style>
  <w:style w:type="character" w:customStyle="1" w:styleId="Mencinsinresolver20">
    <w:name w:val="Mención sin resolver20"/>
    <w:basedOn w:val="Fuentedeprrafopredeter"/>
    <w:uiPriority w:val="99"/>
    <w:semiHidden/>
    <w:unhideWhenUsed/>
    <w:qFormat/>
    <w:rPr>
      <w:color w:val="605E5C"/>
      <w:shd w:val="clear" w:color="auto" w:fill="E1DFDD"/>
    </w:rPr>
  </w:style>
  <w:style w:type="character" w:customStyle="1" w:styleId="Mencinsinresolver22">
    <w:name w:val="Mención sin resolver22"/>
    <w:basedOn w:val="Fuentedeprrafopredeter"/>
    <w:uiPriority w:val="99"/>
    <w:semiHidden/>
    <w:unhideWhenUsed/>
    <w:qFormat/>
    <w:rPr>
      <w:color w:val="605E5C"/>
      <w:shd w:val="clear" w:color="auto" w:fill="E1DFDD"/>
    </w:rPr>
  </w:style>
  <w:style w:type="table" w:customStyle="1" w:styleId="NormalTable0">
    <w:name w:val="Normal Table0"/>
    <w:uiPriority w:val="99"/>
    <w:semiHidden/>
    <w:unhideWhenUsed/>
    <w:qFormat/>
    <w:pPr>
      <w:spacing w:after="200" w:line="276" w:lineRule="auto"/>
    </w:pPr>
    <w:rPr>
      <w:rFonts w:ascii="Calibri" w:eastAsia="Calibri" w:hAnsi="Calibri" w:cs="Calibri"/>
      <w:sz w:val="22"/>
      <w:szCs w:val="22"/>
      <w:lang w:eastAsia="ja-JP"/>
    </w:rPr>
    <w:tblPr>
      <w:tblCellMar>
        <w:top w:w="0" w:type="dxa"/>
        <w:left w:w="108" w:type="dxa"/>
        <w:bottom w:w="0" w:type="dxa"/>
        <w:right w:w="108" w:type="dxa"/>
      </w:tblCellMar>
    </w:tblPr>
  </w:style>
  <w:style w:type="paragraph" w:customStyle="1" w:styleId="ListNumber10">
    <w:name w:val="List Number 1"/>
    <w:basedOn w:val="Default"/>
    <w:next w:val="Default"/>
    <w:uiPriority w:val="99"/>
    <w:qFormat/>
    <w:pPr>
      <w:spacing w:after="240"/>
    </w:pPr>
    <w:rPr>
      <w:rFonts w:ascii="FAALAJ+TimesNewRoman" w:eastAsia="Times New Roman" w:hAnsi="FAALAJ+TimesNewRoman" w:cs="Times New Roman"/>
      <w:color w:val="auto"/>
      <w:lang w:eastAsia="es-ES"/>
    </w:rPr>
  </w:style>
  <w:style w:type="table" w:customStyle="1" w:styleId="Tablaconcuadrcula1">
    <w:name w:val="Tabla con cuadrícula1"/>
    <w:basedOn w:val="NormalTable0"/>
    <w:uiPriority w:val="59"/>
    <w:qFormat/>
    <w:rPr>
      <w:rFonts w:ascii="Times New Roman" w:eastAsia="Times New Roman" w:hAnsi="Times New Roman"/>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NormalTable0"/>
    <w:uiPriority w:val="5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geocontrol">
    <w:name w:val="Tabla geocontrol"/>
    <w:qFormat/>
    <w:pPr>
      <w:spacing w:before="60" w:after="60" w:line="276" w:lineRule="auto"/>
      <w:jc w:val="center"/>
    </w:pPr>
    <w:rPr>
      <w:rFonts w:eastAsia="Times New Roman" w:cs="Calibri"/>
      <w:sz w:val="22"/>
      <w:szCs w:val="22"/>
      <w:lang w:val="es-ES" w:eastAsia="es-ES"/>
    </w:rPr>
    <w:tblPr>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top w:w="0" w:type="dxa"/>
        <w:left w:w="108" w:type="dxa"/>
        <w:bottom w:w="0" w:type="dxa"/>
        <w:right w:w="108" w:type="dxa"/>
      </w:tblCellMar>
    </w:tblPr>
    <w:trPr>
      <w:jc w:val="center"/>
    </w:trPr>
  </w:style>
  <w:style w:type="table" w:customStyle="1" w:styleId="Tablasinborde">
    <w:name w:val="Tabla sin borde"/>
    <w:qFormat/>
    <w:pPr>
      <w:spacing w:before="60" w:after="60" w:line="276" w:lineRule="auto"/>
      <w:jc w:val="center"/>
    </w:pPr>
    <w:rPr>
      <w:rFonts w:eastAsia="Times New Roman" w:cs="Calibri"/>
      <w:sz w:val="22"/>
      <w:szCs w:val="22"/>
      <w:lang w:val="es-ES" w:eastAsia="es-ES"/>
    </w:rPr>
    <w:tblPr>
      <w:jc w:val="center"/>
      <w:tblCellMar>
        <w:top w:w="0" w:type="dxa"/>
        <w:left w:w="108" w:type="dxa"/>
        <w:bottom w:w="0" w:type="dxa"/>
        <w:right w:w="108" w:type="dxa"/>
      </w:tblCellMar>
    </w:tblPr>
    <w:trPr>
      <w:jc w:val="center"/>
    </w:trPr>
  </w:style>
  <w:style w:type="table" w:customStyle="1" w:styleId="Tablaconcuadrcula3">
    <w:name w:val="Tabla con cuadrícula3"/>
    <w:basedOn w:val="NormalTable0"/>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NormalTable0"/>
    <w:uiPriority w:val="5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NormalTable0"/>
    <w:uiPriority w:val="5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NormalTable0"/>
    <w:uiPriority w:val="99"/>
    <w:semiHidden/>
    <w:unhideWhenUsed/>
    <w:qFormat/>
    <w:rPr>
      <w:lang w:val="es-MX"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Tablaconcuadrcula111">
    <w:name w:val="Tabla con cuadrícula111"/>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NormalTable0"/>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NormalTable0"/>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NormalTable0"/>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NormalTable0"/>
    <w:uiPriority w:val="39"/>
    <w:qFormat/>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geocontrol1">
    <w:name w:val="Tabla geocontrol1"/>
    <w:basedOn w:val="NormalTable0"/>
    <w:qFormat/>
    <w:pPr>
      <w:spacing w:before="60" w:after="60"/>
      <w:jc w:val="center"/>
    </w:pPr>
    <w:rPr>
      <w:rFonts w:ascii="Arial" w:eastAsia="Times New Roman" w:hAnsi="Arial"/>
      <w:lang w:eastAsia="es-ES"/>
    </w:rPr>
    <w:tblPr>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Pr>
    <w:trPr>
      <w:jc w:val="center"/>
    </w:trPr>
    <w:tcPr>
      <w:vAlign w:val="center"/>
    </w:tcPr>
    <w:tblStylePr w:type="firstRow">
      <w:rPr>
        <w:b/>
      </w:rPr>
      <w:tblPr/>
      <w:tcPr>
        <w:tcBorders>
          <w:top w:val="double" w:sz="4" w:space="0" w:color="auto"/>
          <w:left w:val="double" w:sz="4" w:space="0" w:color="auto"/>
          <w:bottom w:val="double" w:sz="4" w:space="0" w:color="auto"/>
          <w:right w:val="double" w:sz="4" w:space="0" w:color="auto"/>
          <w:insideH w:val="double" w:sz="4" w:space="0" w:color="auto"/>
          <w:insideV w:val="double" w:sz="4" w:space="0" w:color="auto"/>
        </w:tcBorders>
      </w:tcPr>
    </w:tblStylePr>
  </w:style>
  <w:style w:type="table" w:customStyle="1" w:styleId="Tablasinborde1">
    <w:name w:val="Tabla sin borde1"/>
    <w:basedOn w:val="NormalTable0"/>
    <w:qFormat/>
    <w:pPr>
      <w:spacing w:before="60" w:after="60"/>
      <w:jc w:val="center"/>
    </w:pPr>
    <w:rPr>
      <w:rFonts w:ascii="Arial" w:eastAsia="Times New Roman" w:hAnsi="Arial"/>
      <w:lang w:eastAsia="es-ES"/>
    </w:rPr>
    <w:tblPr>
      <w:jc w:val="center"/>
    </w:tblPr>
    <w:trPr>
      <w:jc w:val="center"/>
    </w:trPr>
    <w:tcPr>
      <w:vAlign w:val="center"/>
    </w:tcPr>
  </w:style>
  <w:style w:type="table" w:customStyle="1" w:styleId="Tablaconcuadrcula8">
    <w:name w:val="Tabla con cuadrícula8"/>
    <w:basedOn w:val="NormalTable0"/>
    <w:uiPriority w:val="59"/>
    <w:qFormat/>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chaCar">
    <w:name w:val="Fecha Car"/>
    <w:basedOn w:val="Fuentedeprrafopredeter"/>
    <w:link w:val="Fecha"/>
    <w:qFormat/>
    <w:rPr>
      <w:rFonts w:ascii="Calibri" w:eastAsia="Calibri" w:hAnsi="Calibri" w:cs="Calibri"/>
      <w:sz w:val="22"/>
      <w:szCs w:val="22"/>
    </w:rPr>
  </w:style>
  <w:style w:type="table" w:customStyle="1" w:styleId="none1">
    <w:name w:val="none1"/>
    <w:basedOn w:val="NormalTable0"/>
    <w:uiPriority w:val="59"/>
    <w:qFormat/>
    <w:pPr>
      <w:spacing w:after="160" w:line="259" w:lineRule="auto"/>
    </w:pPr>
    <w:rPr>
      <w:rFonts w:ascii="Times New Roman" w:eastAsia="Times New Roman" w:hAnsi="Times New Roman" w:cs="Arial"/>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3">
    <w:name w:val="Párrafo de lista3"/>
    <w:basedOn w:val="Normal0"/>
    <w:uiPriority w:val="34"/>
    <w:qFormat/>
    <w:pPr>
      <w:widowControl w:val="0"/>
      <w:autoSpaceDE/>
      <w:autoSpaceDN/>
      <w:spacing w:after="0" w:line="240" w:lineRule="auto"/>
      <w:ind w:left="708"/>
      <w:jc w:val="both"/>
      <w:outlineLvl w:val="2"/>
    </w:pPr>
    <w:rPr>
      <w:rFonts w:cs="Arial"/>
      <w:lang w:eastAsia="es-ES"/>
    </w:rPr>
  </w:style>
  <w:style w:type="table" w:customStyle="1" w:styleId="TabelaEcology">
    <w:name w:val="Tabela Ecology"/>
    <w:basedOn w:val="Tablanormal"/>
    <w:qFormat/>
    <w:pPr>
      <w:spacing w:before="40" w:after="40"/>
      <w:jc w:val="center"/>
    </w:pPr>
    <w:rPr>
      <w:rFonts w:ascii="Trebuchet MS" w:eastAsia="Times New Roman" w:hAnsi="Trebuchet MS" w:cs="Times New Roman"/>
      <w:sz w:val="16"/>
      <w:lang w:val="pt-BR" w:eastAsia="pt-BR"/>
    </w:rPr>
    <w:tblPr>
      <w:tblBorders>
        <w:top w:val="single" w:sz="8" w:space="0" w:color="auto"/>
        <w:left w:val="single" w:sz="8" w:space="0" w:color="auto"/>
        <w:bottom w:val="single" w:sz="8" w:space="0" w:color="auto"/>
        <w:right w:val="single" w:sz="8" w:space="0" w:color="auto"/>
        <w:insideV w:val="single" w:sz="8" w:space="0" w:color="auto"/>
      </w:tblBorders>
    </w:tblPr>
    <w:tcPr>
      <w:vAlign w:val="center"/>
    </w:tcPr>
    <w:tblStylePr w:type="firstRow">
      <w:tblPr/>
      <w:tcPr>
        <w:shd w:val="clear" w:color="auto" w:fill="A6A6A6"/>
      </w:tcPr>
    </w:tblStylePr>
    <w:tblStylePr w:type="band1Horz">
      <w:rPr>
        <w:rFonts w:ascii="Arial Unicode MS" w:hAnsi="Arial Unicode MS"/>
        <w:sz w:val="16"/>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FFFFFF"/>
      </w:tcPr>
    </w:tblStylePr>
    <w:tblStylePr w:type="band2Horz">
      <w:tblPr/>
      <w:tcPr>
        <w:shd w:val="clear" w:color="auto" w:fill="D9D9D9"/>
      </w:tcPr>
    </w:tblStylePr>
  </w:style>
  <w:style w:type="table" w:customStyle="1" w:styleId="Tabelacomgrade1">
    <w:name w:val="Tabela com grade1"/>
    <w:basedOn w:val="Tablanormal"/>
    <w:uiPriority w:val="39"/>
    <w:qFormat/>
    <w:pPr>
      <w:jc w:val="both"/>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
    <w:name w:val="Tabla de lista 3 - Énfasis 5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cuadrcula4-nfasis51">
    <w:name w:val="Tabla de cuadrícula 4 - Énfasis 51"/>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
    <w:name w:val="Tabla de lista 3 - Énfasis 5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11">
    <w:name w:val="Tabla de lista 3 - Énfasis 51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Normal16">
    <w:name w:val="Table Normal16"/>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
    <w:name w:val="Tabla de cuadrícula 4 - Énfasis 511"/>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
    <w:name w:val="Tabla de lista 3 - Énfasis 52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12">
    <w:name w:val="Tabla de lista 3 - Énfasis 51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12">
    <w:name w:val="Tabla con cuadrícula12"/>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2">
    <w:name w:val="Tabla de cuadrícula 4 - Énfasis 512"/>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2">
    <w:name w:val="Tabla de lista 3 - Énfasis 52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2">
    <w:name w:val="Tabla con cuadrícula52"/>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31">
    <w:name w:val="Tabla de lista 3 - Énfasis 53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111">
    <w:name w:val="Tabla de lista 3 - Énfasis 511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eNormal11">
    <w:name w:val="Table Normal11"/>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1">
    <w:name w:val="Tabla de cuadrícula 4 - Énfasis 5111"/>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1">
    <w:name w:val="Tabla de lista 3 - Énfasis 5211"/>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11">
    <w:name w:val="Tabla con cuadrícula511"/>
    <w:basedOn w:val="Tablanormal"/>
    <w:qFormat/>
    <w:pPr>
      <w:overflowPunct w:val="0"/>
      <w:autoSpaceDE w:val="0"/>
      <w:autoSpaceDN w:val="0"/>
      <w:adjustRightInd w:val="0"/>
      <w:ind w:left="2268"/>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3">
    <w:name w:val="Tabla de lista 3 - Énfasis 51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13">
    <w:name w:val="Tabla con cuadrícula13"/>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3">
    <w:name w:val="Tabla de cuadrícula 4 - Énfasis 513"/>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3">
    <w:name w:val="Tabla de lista 3 - Énfasis 52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3">
    <w:name w:val="Tabla con cuadrícula53"/>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qFormat/>
    <w:rPr>
      <w:rFonts w:ascii="Times New Roman" w:eastAsia="Calibri"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32">
    <w:name w:val="Tabla de lista 3 - Énfasis 53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22">
    <w:name w:val="Tabla con cuadrícula22"/>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12">
    <w:name w:val="Tabla de lista 3 - Énfasis 511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32">
    <w:name w:val="Tabla con cuadrícula32"/>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2">
    <w:name w:val="Tabla de cuadrícula 4 - Énfasis 5112"/>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2">
    <w:name w:val="Tabla de lista 3 - Énfasis 5212"/>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12">
    <w:name w:val="Tabla con cuadrícula512"/>
    <w:basedOn w:val="Tablanormal"/>
    <w:qFormat/>
    <w:pPr>
      <w:overflowPunct w:val="0"/>
      <w:autoSpaceDE w:val="0"/>
      <w:autoSpaceDN w:val="0"/>
      <w:adjustRightInd w:val="0"/>
      <w:ind w:left="2268"/>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4">
    <w:name w:val="Tabla de lista 3 - Énfasis 514"/>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14">
    <w:name w:val="Tabla con cuadrícula14"/>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4">
    <w:name w:val="Tabla de cuadrícula 4 - Énfasis 514"/>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4">
    <w:name w:val="Tabla de lista 3 - Énfasis 524"/>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4">
    <w:name w:val="Tabla con cuadrícula54"/>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qFormat/>
    <w:rPr>
      <w:rFonts w:ascii="Times New Roman" w:eastAsia="Calibri"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33">
    <w:name w:val="Tabla de lista 3 - Énfasis 53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23">
    <w:name w:val="Tabla con cuadrícula23"/>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13">
    <w:name w:val="Tabla de lista 3 - Énfasis 511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33">
    <w:name w:val="Tabla con cuadrícula33"/>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3">
    <w:name w:val="Tabla de cuadrícula 4 - Énfasis 5113"/>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3">
    <w:name w:val="Tabla de lista 3 - Énfasis 5213"/>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13">
    <w:name w:val="Tabla con cuadrícula513"/>
    <w:basedOn w:val="Tablanormal"/>
    <w:qFormat/>
    <w:pPr>
      <w:overflowPunct w:val="0"/>
      <w:autoSpaceDE w:val="0"/>
      <w:autoSpaceDN w:val="0"/>
      <w:adjustRightInd w:val="0"/>
      <w:ind w:left="2268"/>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5">
    <w:name w:val="Tabla de lista 3 - Énfasis 515"/>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9">
    <w:name w:val="Tabla con cuadrícula9"/>
    <w:basedOn w:val="Tablanormal"/>
    <w:uiPriority w:val="59"/>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5">
    <w:name w:val="Tabla de cuadrícula 4 - Énfasis 515"/>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5">
    <w:name w:val="Tabla de lista 3 - Énfasis 525"/>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5">
    <w:name w:val="Tabla con cuadrícula55"/>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qFormat/>
    <w:rPr>
      <w:rFonts w:ascii="Times New Roman" w:eastAsia="Calibri"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34">
    <w:name w:val="Tabla de lista 3 - Énfasis 534"/>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24">
    <w:name w:val="Tabla con cuadrícula24"/>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14">
    <w:name w:val="Tabla de lista 3 - Énfasis 5114"/>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34">
    <w:name w:val="Tabla con cuadrícula34"/>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4">
    <w:name w:val="Tabla de cuadrícula 4 - Énfasis 5114"/>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4">
    <w:name w:val="Tabla de lista 3 - Énfasis 5214"/>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14">
    <w:name w:val="Tabla con cuadrícula514"/>
    <w:basedOn w:val="Tablanormal"/>
    <w:qFormat/>
    <w:pPr>
      <w:overflowPunct w:val="0"/>
      <w:autoSpaceDE w:val="0"/>
      <w:autoSpaceDN w:val="0"/>
      <w:adjustRightInd w:val="0"/>
      <w:ind w:left="2268"/>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6">
    <w:name w:val="Tabla de lista 3 - Énfasis 516"/>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10">
    <w:name w:val="Tabla con cuadrícula10"/>
    <w:basedOn w:val="Tablanormal"/>
    <w:uiPriority w:val="59"/>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6">
    <w:name w:val="Tabla de cuadrícula 4 - Énfasis 516"/>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6">
    <w:name w:val="Tabla de lista 3 - Énfasis 526"/>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6">
    <w:name w:val="Tabla con cuadrícula56"/>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qFormat/>
    <w:rPr>
      <w:rFonts w:ascii="Times New Roman" w:eastAsia="Calibri"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35">
    <w:name w:val="Tabla de lista 3 - Énfasis 535"/>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25">
    <w:name w:val="Tabla con cuadrícula25"/>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15">
    <w:name w:val="Tabla de lista 3 - Énfasis 5115"/>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35">
    <w:name w:val="Tabla con cuadrícula35"/>
    <w:basedOn w:val="Tablanormal"/>
    <w:qFormat/>
    <w:pPr>
      <w:overflowPunct w:val="0"/>
      <w:autoSpaceDE w:val="0"/>
      <w:autoSpaceDN w:val="0"/>
      <w:adjustRightInd w:val="0"/>
      <w:ind w:left="2268"/>
      <w:textAlignment w:val="baseline"/>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qFormat/>
    <w:rPr>
      <w:rFonts w:ascii="Calibri" w:eastAsia="Calibri"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qFormat/>
    <w:rPr>
      <w:rFonts w:ascii="Times New Roman" w:eastAsia="Arial Unicode MS" w:hAnsi="Times New Roman" w:cs="Times New Roman"/>
    </w:rPr>
    <w:tblPr>
      <w:tblCellMar>
        <w:top w:w="0" w:type="dxa"/>
        <w:left w:w="0" w:type="dxa"/>
        <w:bottom w:w="0" w:type="dxa"/>
        <w:right w:w="0" w:type="dxa"/>
      </w:tblCellMar>
    </w:tblPr>
  </w:style>
  <w:style w:type="table" w:customStyle="1" w:styleId="Tabladecuadrcula4-nfasis5115">
    <w:name w:val="Tabla de cuadrícula 4 - Énfasis 5115"/>
    <w:basedOn w:val="Tablanormal"/>
    <w:uiPriority w:val="49"/>
    <w:qFormat/>
    <w:rPr>
      <w:rFonts w:ascii="Calibri" w:eastAsia="Calibri" w:hAnsi="Calibri" w:cs="Times New Roman"/>
      <w:lang w:val="es-ES" w:eastAsia="es-ES"/>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5215">
    <w:name w:val="Tabla de lista 3 - Énfasis 5215"/>
    <w:basedOn w:val="Tablanormal"/>
    <w:uiPriority w:val="48"/>
    <w:qFormat/>
    <w:rPr>
      <w:rFonts w:ascii="Times New Roman" w:eastAsia="Times New Roman" w:hAnsi="Times New Roman" w:cs="Times New Roman"/>
      <w:lang w:val="es-ES" w:eastAsia="es-E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515">
    <w:name w:val="Tabla con cuadrícula515"/>
    <w:basedOn w:val="Tablanormal"/>
    <w:qFormat/>
    <w:pPr>
      <w:overflowPunct w:val="0"/>
      <w:autoSpaceDE w:val="0"/>
      <w:autoSpaceDN w:val="0"/>
      <w:adjustRightInd w:val="0"/>
      <w:ind w:left="2268"/>
    </w:pPr>
    <w:rPr>
      <w:rFonts w:ascii="Times New Roman" w:eastAsia="Times New Roman" w:hAnsi="Times New Roman"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anormal"/>
    <w:uiPriority w:val="40"/>
    <w:qFormat/>
    <w:rPr>
      <w:rFonts w:ascii="Times New Roman" w:eastAsia="Times New Roman" w:hAnsi="Times New Roman" w:cs="Times New Roman"/>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7">
    <w:name w:val="Table Normal7"/>
    <w:qFormat/>
    <w:pPr>
      <w:spacing w:line="276" w:lineRule="auto"/>
      <w:jc w:val="both"/>
    </w:pPr>
    <w:rPr>
      <w:rFonts w:ascii="Calibri" w:eastAsia="Calibri" w:hAnsi="Calibri" w:cs="Calibri"/>
      <w:sz w:val="22"/>
      <w:szCs w:val="22"/>
      <w:lang w:eastAsia="es-CL"/>
    </w:rPr>
    <w:tblPr>
      <w:tblCellMar>
        <w:top w:w="0" w:type="dxa"/>
        <w:left w:w="0" w:type="dxa"/>
        <w:bottom w:w="0" w:type="dxa"/>
        <w:right w:w="0" w:type="dxa"/>
      </w:tblCellMar>
    </w:tblPr>
  </w:style>
  <w:style w:type="table" w:customStyle="1" w:styleId="Tablanormal51">
    <w:name w:val="Tabla normal 51"/>
    <w:basedOn w:val="Tablanormal"/>
    <w:uiPriority w:val="45"/>
    <w:qFormat/>
    <w:pPr>
      <w:jc w:val="both"/>
    </w:pPr>
    <w:rPr>
      <w:rFonts w:ascii="Calibri" w:eastAsia="Calibri" w:hAnsi="Calibri" w:cs="Calibri"/>
      <w:sz w:val="22"/>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3-nfasis11">
    <w:name w:val="Tabla de cuadrícula 3 - Énfasis 11"/>
    <w:basedOn w:val="Tablanormal"/>
    <w:uiPriority w:val="48"/>
    <w:qFormat/>
    <w:pPr>
      <w:jc w:val="both"/>
    </w:pPr>
    <w:rPr>
      <w:rFonts w:ascii="Calibri" w:eastAsia="Calibri" w:hAnsi="Calibri" w:cs="Calibri"/>
      <w:sz w:val="22"/>
      <w:szCs w:val="22"/>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Styledetableau10">
    <w:name w:val="Style de tableau 1"/>
    <w:qFormat/>
    <w:rPr>
      <w:rFonts w:ascii="Helvetica Neue" w:eastAsia="Helvetica Neue" w:hAnsi="Helvetica Neue" w:cs="Helvetica Neue"/>
      <w:b/>
      <w:bCs/>
      <w:color w:val="000000"/>
      <w:lang w:val="en-US"/>
    </w:rPr>
  </w:style>
  <w:style w:type="paragraph" w:customStyle="1" w:styleId="Styledetableau2">
    <w:name w:val="Style de tableau 2"/>
    <w:qFormat/>
    <w:rPr>
      <w:rFonts w:ascii="Helvetica Neue" w:eastAsia="Helvetica Neue" w:hAnsi="Helvetica Neue" w:cs="Helvetica Neue"/>
      <w:color w:val="000000"/>
      <w:lang w:val="en-US"/>
    </w:rPr>
  </w:style>
  <w:style w:type="table" w:customStyle="1" w:styleId="GridTable41">
    <w:name w:val="Grid Table 41"/>
    <w:basedOn w:val="Tablanormal"/>
    <w:uiPriority w:val="49"/>
    <w:qFormat/>
    <w:rPr>
      <w:rFonts w:ascii="Calibri" w:eastAsia="Calibri" w:hAnsi="Calibri" w:cs="Calibri"/>
      <w:sz w:val="24"/>
      <w:szCs w:val="24"/>
      <w:lang w:val="es-E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qFormat/>
    <w:rPr>
      <w:rFonts w:ascii="Calibri" w:eastAsia="Calibri" w:hAnsi="Calibri" w:cs="Calibri"/>
      <w:sz w:val="22"/>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qFormat/>
    <w:rPr>
      <w:rFonts w:ascii="Calibri" w:eastAsia="Calibri" w:hAnsi="Calibri" w:cs="Times New Roman"/>
      <w:lang w:val="en-U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qFormat/>
    <w:rPr>
      <w:rFonts w:ascii="Calibri" w:eastAsia="Calibri" w:hAnsi="Calibri" w:cs="Calibri"/>
      <w:sz w:val="22"/>
      <w:szCs w:val="22"/>
      <w:lang w:val="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ombreadomedio11">
    <w:name w:val="Sombreado medio 11"/>
    <w:basedOn w:val="Tablanormal"/>
    <w:uiPriority w:val="63"/>
    <w:qFormat/>
    <w:rPr>
      <w:rFonts w:ascii="Calibri" w:eastAsiaTheme="minorEastAsia" w:hAnsi="Calibri" w:cs="Calibri"/>
      <w:sz w:val="24"/>
      <w:szCs w:val="24"/>
      <w:lang w:val="en-US" w:eastAsia="es-E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Accent51">
    <w:name w:val="Grid Table 1 Light - Accent 51"/>
    <w:basedOn w:val="Tablanormal"/>
    <w:uiPriority w:val="46"/>
    <w:qFormat/>
    <w:rPr>
      <w:rFonts w:ascii="Times New Roman" w:eastAsia="Times New Roman" w:hAnsi="Times New Roman" w:cs="Times New Roman"/>
      <w:lang w:val="es-ES" w:eastAsia="es-ES"/>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ghtGrid-Accent11">
    <w:name w:val="Light Grid - Accent 11"/>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Grid3">
    <w:name w:val="Table Grid3"/>
    <w:basedOn w:val="Tablanormal"/>
    <w:uiPriority w:val="39"/>
    <w:qFormat/>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uiPriority w:val="39"/>
    <w:qFormat/>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uiPriority w:val="39"/>
    <w:qFormat/>
    <w:rPr>
      <w:rFonts w:ascii="Calibri" w:eastAsia="Calibri" w:hAnsi="Calibri"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uiPriority w:val="39"/>
    <w:qFormat/>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anormal"/>
    <w:uiPriority w:val="49"/>
    <w:qFormat/>
    <w:rPr>
      <w:rFonts w:ascii="Calibri" w:eastAsia="Calibri" w:hAnsi="Calibri" w:cs="Times New Roman"/>
      <w:sz w:val="22"/>
      <w:szCs w:val="22"/>
      <w:lang w:val="es-CL" w:eastAsia="es-CL"/>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ombreadomedio1-nfasis11">
    <w:name w:val="Sombreado medio 1 - Énfasis 11"/>
    <w:basedOn w:val="Tablanormal"/>
    <w:uiPriority w:val="63"/>
    <w:qFormat/>
    <w:rPr>
      <w:rFonts w:ascii="Calibri" w:eastAsia="Calibri" w:hAnsi="Calibri" w:cs="Calibri"/>
      <w:sz w:val="22"/>
      <w:szCs w:val="22"/>
      <w:lang w:val="es-ES"/>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decuadrcula1clara-nfasis51">
    <w:name w:val="Tabla de cuadrícula 1 clara - Énfasis 51"/>
    <w:basedOn w:val="Tablanormal"/>
    <w:uiPriority w:val="46"/>
    <w:qFormat/>
    <w:rPr>
      <w:rFonts w:ascii="Times New Roman" w:eastAsia="Times New Roman" w:hAnsi="Times New Roman" w:cs="Times New Roman"/>
      <w:lang w:val="es-ES" w:eastAsia="es-ES"/>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qFormat/>
    <w:rPr>
      <w:rFonts w:ascii="Times New Roman" w:eastAsia="Times New Roman" w:hAnsi="Times New Roman" w:cs="Times New Roman"/>
      <w:lang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clara1">
    <w:name w:val="Tabla con cuadrícula clara1"/>
    <w:basedOn w:val="Tablanormal"/>
    <w:uiPriority w:val="40"/>
    <w:qFormat/>
    <w:pPr>
      <w:widowControl w:val="0"/>
      <w:autoSpaceDE w:val="0"/>
      <w:autoSpaceDN w:val="0"/>
    </w:pPr>
    <w:rPr>
      <w:rFonts w:ascii="Calibri" w:eastAsia="Calibri" w:hAnsi="Calibri" w:cs="Calibr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anormal"/>
    <w:uiPriority w:val="49"/>
    <w:qFormat/>
    <w:rPr>
      <w:rFonts w:ascii="Calibri" w:eastAsia="Calibri" w:hAnsi="Calibri" w:cs="Calibri"/>
      <w:sz w:val="22"/>
      <w:szCs w:val="22"/>
      <w:lang w:val="es-ES"/>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1">
    <w:name w:val="Grid Table 1 Light - Accent 111"/>
    <w:basedOn w:val="Tablanormal"/>
    <w:uiPriority w:val="46"/>
    <w:qFormat/>
    <w:rPr>
      <w:rFonts w:ascii="Calibri" w:eastAsia="Calibri" w:hAnsi="Calibri" w:cs="Times New Roman"/>
      <w:sz w:val="22"/>
      <w:szCs w:val="22"/>
      <w:lang w:val="es-ES"/>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Custom">
    <w:name w:val="Table Custom"/>
    <w:basedOn w:val="Tablanormal"/>
    <w:uiPriority w:val="99"/>
    <w:qFormat/>
    <w:rPr>
      <w:rFonts w:eastAsiaTheme="minorEastAsia" w:cs="Calibri"/>
      <w:caps/>
      <w:color w:val="FFFFFF" w:themeColor="background1"/>
      <w:sz w:val="18"/>
      <w:szCs w:val="24"/>
      <w:lang w:val="en-US"/>
    </w:rPr>
    <w:tblPr>
      <w:tblBorders>
        <w:top w:val="single" w:sz="12" w:space="0" w:color="005596"/>
        <w:left w:val="single" w:sz="4" w:space="0" w:color="B8CCE4"/>
        <w:bottom w:val="single" w:sz="12" w:space="0" w:color="005596"/>
        <w:right w:val="single" w:sz="4" w:space="0" w:color="B8CCE4"/>
        <w:insideH w:val="single" w:sz="4" w:space="0" w:color="B8CCE4" w:themeColor="accent1" w:themeTint="66"/>
        <w:insideV w:val="single" w:sz="4" w:space="0" w:color="B8CCE4" w:themeColor="accent1" w:themeTint="66"/>
      </w:tblBorders>
      <w:tblCellMar>
        <w:top w:w="43" w:type="dxa"/>
        <w:left w:w="115" w:type="dxa"/>
        <w:bottom w:w="43" w:type="dxa"/>
        <w:right w:w="115" w:type="dxa"/>
      </w:tblCellMar>
    </w:tblPr>
    <w:trPr>
      <w:cantSplit/>
    </w:trPr>
    <w:tcPr>
      <w:shd w:val="clear" w:color="auto" w:fill="auto"/>
    </w:tcPr>
    <w:tblStylePr w:type="firstRow">
      <w:rPr>
        <w:rFonts w:ascii="Corbel" w:hAnsi="Corbel"/>
        <w:b/>
        <w:caps/>
        <w:smallCaps w:val="0"/>
        <w:color w:val="FFFFFF" w:themeColor="background1"/>
        <w:sz w:val="18"/>
      </w:rPr>
      <w:tblPr/>
      <w:trPr>
        <w:tblHeader/>
      </w:trPr>
      <w:tcPr>
        <w:shd w:val="clear" w:color="auto" w:fill="005596"/>
      </w:tcPr>
    </w:tblStylePr>
    <w:tblStylePr w:type="firstCol">
      <w:rPr>
        <w:b w:val="0"/>
      </w:rPr>
    </w:tblStylePr>
    <w:tblStylePr w:type="band2Horz">
      <w:tblPr/>
      <w:tcPr>
        <w:shd w:val="clear" w:color="auto" w:fill="EDF2F4"/>
      </w:tcPr>
    </w:tblStylePr>
  </w:style>
  <w:style w:type="table" w:customStyle="1" w:styleId="bancomundial">
    <w:name w:val="banco mundial"/>
    <w:basedOn w:val="Tablanormal"/>
    <w:qFormat/>
    <w:pPr>
      <w:spacing w:before="40" w:after="40"/>
      <w:jc w:val="center"/>
    </w:pPr>
    <w:rPr>
      <w:rFonts w:ascii="Arial Narrow" w:eastAsia="Times New Roman" w:hAnsi="Arial Narrow" w:cs="Times New Roman"/>
      <w:color w:val="000000"/>
      <w:sz w:val="16"/>
      <w:szCs w:val="16"/>
      <w:lang w:val="es-CL"/>
    </w:rPr>
    <w:tblPr>
      <w:jc w:val="center"/>
      <w:tblBorders>
        <w:top w:val="threeDEngrave" w:sz="6" w:space="0" w:color="FFFFFF"/>
        <w:left w:val="threeDEngrave" w:sz="6" w:space="0" w:color="FFFFFF"/>
        <w:bottom w:val="threeDEngrave" w:sz="6" w:space="0" w:color="FFFFFF"/>
        <w:right w:val="threeDEngrave" w:sz="6" w:space="0" w:color="FFFFFF"/>
        <w:insideH w:val="threeDEngrave" w:sz="6" w:space="0" w:color="FFFFFF"/>
        <w:insideV w:val="threeDEngrave" w:sz="6" w:space="0" w:color="FFFFFF"/>
      </w:tblBorders>
    </w:tblPr>
    <w:trPr>
      <w:jc w:val="center"/>
    </w:trPr>
    <w:tcPr>
      <w:shd w:val="clear" w:color="auto" w:fill="B2C7CE"/>
      <w:vAlign w:val="center"/>
    </w:tcPr>
    <w:tblStylePr w:type="firstRow">
      <w:pPr>
        <w:jc w:val="center"/>
      </w:pPr>
      <w:rPr>
        <w:rFonts w:ascii="FAALAJ+TimesNewRoman" w:hAnsi="FAALAJ+TimesNewRoman"/>
        <w:b/>
        <w:color w:val="000000"/>
        <w:sz w:val="18"/>
      </w:rPr>
      <w:tblPr/>
      <w:tcPr>
        <w:shd w:val="clear" w:color="auto" w:fill="F4DD6A"/>
        <w:vAlign w:val="top"/>
      </w:tcPr>
    </w:tblStylePr>
    <w:tblStylePr w:type="firstCol">
      <w:rPr>
        <w:rFonts w:ascii="Arial Unicode MS" w:hAnsi="Arial Unicode MS"/>
        <w:b/>
        <w:color w:val="000000"/>
        <w:sz w:val="20"/>
      </w:rPr>
      <w:tblPr/>
      <w:tcPr>
        <w:shd w:val="clear" w:color="auto" w:fill="F4DD6A"/>
      </w:tcPr>
    </w:tblStylePr>
  </w:style>
  <w:style w:type="table" w:customStyle="1" w:styleId="GridTable43">
    <w:name w:val="Grid Table 43"/>
    <w:basedOn w:val="Tablanormal"/>
    <w:uiPriority w:val="49"/>
    <w:qFormat/>
    <w:rPr>
      <w:rFonts w:ascii="Calibri" w:eastAsia="Calibri" w:hAnsi="Calibri" w:cs="Calibri"/>
      <w:sz w:val="22"/>
      <w:szCs w:val="22"/>
      <w:lang w:val="es-MX"/>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anormal"/>
    <w:uiPriority w:val="46"/>
    <w:qFormat/>
    <w:rPr>
      <w:rFonts w:ascii="Calibri" w:eastAsiaTheme="minorEastAsia" w:hAnsi="Calibri" w:cs="Calibri"/>
      <w:sz w:val="22"/>
      <w:szCs w:val="22"/>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bancomundial1">
    <w:name w:val="banco mundial1"/>
    <w:basedOn w:val="Tablanormal"/>
    <w:qFormat/>
    <w:pPr>
      <w:spacing w:before="40" w:after="40"/>
      <w:jc w:val="center"/>
    </w:pPr>
    <w:rPr>
      <w:rFonts w:ascii="Arial Narrow" w:eastAsia="Times New Roman" w:hAnsi="Arial Narrow" w:cs="Times New Roman"/>
      <w:color w:val="000000"/>
      <w:sz w:val="16"/>
      <w:szCs w:val="16"/>
      <w:lang w:val="es-CL"/>
    </w:rPr>
    <w:tblPr>
      <w:jc w:val="center"/>
      <w:tblBorders>
        <w:top w:val="threeDEngrave" w:sz="6" w:space="0" w:color="FFFFFF"/>
        <w:left w:val="threeDEngrave" w:sz="6" w:space="0" w:color="FFFFFF"/>
        <w:bottom w:val="threeDEngrave" w:sz="6" w:space="0" w:color="FFFFFF"/>
        <w:right w:val="threeDEngrave" w:sz="6" w:space="0" w:color="FFFFFF"/>
        <w:insideH w:val="threeDEngrave" w:sz="6" w:space="0" w:color="FFFFFF"/>
        <w:insideV w:val="threeDEngrave" w:sz="6" w:space="0" w:color="FFFFFF"/>
      </w:tblBorders>
    </w:tblPr>
    <w:trPr>
      <w:jc w:val="center"/>
    </w:trPr>
    <w:tcPr>
      <w:shd w:val="clear" w:color="auto" w:fill="B2C7CE"/>
      <w:vAlign w:val="center"/>
    </w:tcPr>
    <w:tblStylePr w:type="firstRow">
      <w:pPr>
        <w:jc w:val="center"/>
      </w:pPr>
      <w:rPr>
        <w:rFonts w:ascii="Arial Narrow" w:hAnsi="Arial Narrow"/>
        <w:b/>
        <w:color w:val="000000"/>
        <w:sz w:val="18"/>
      </w:rPr>
      <w:tblPr/>
      <w:tcPr>
        <w:shd w:val="clear" w:color="auto" w:fill="F4DD6A"/>
        <w:vAlign w:val="top"/>
      </w:tcPr>
    </w:tblStylePr>
    <w:tblStylePr w:type="firstCol">
      <w:rPr>
        <w:rFonts w:ascii="Arial Unicode MS" w:hAnsi="Arial Unicode MS"/>
        <w:b/>
        <w:color w:val="000000"/>
        <w:sz w:val="20"/>
      </w:rPr>
      <w:tblPr/>
      <w:tcPr>
        <w:shd w:val="clear" w:color="auto" w:fill="F4DD6A"/>
      </w:tcPr>
    </w:tblStylePr>
  </w:style>
  <w:style w:type="table" w:customStyle="1" w:styleId="TableGrid2">
    <w:name w:val="Table Grid2"/>
    <w:basedOn w:val="Tablanormal"/>
    <w:uiPriority w:val="59"/>
    <w:qFormat/>
    <w:rPr>
      <w:rFonts w:ascii="Calibri" w:eastAsia="Times New Roman" w:hAnsi="Calibri" w:cs="Times New Roman"/>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 21"/>
    <w:basedOn w:val="Tablanormal"/>
    <w:uiPriority w:val="42"/>
    <w:qFormat/>
    <w:rPr>
      <w:rFonts w:ascii="Calibri" w:eastAsia="Calibri" w:hAnsi="Calibri" w:cs="Calibri"/>
      <w:sz w:val="22"/>
      <w:szCs w:val="22"/>
      <w:lang w:val="es-MX"/>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3-nfasis12">
    <w:name w:val="Tabla de cuadrícula 3 - Énfasis 12"/>
    <w:basedOn w:val="Tablanormal"/>
    <w:uiPriority w:val="48"/>
    <w:qFormat/>
    <w:pPr>
      <w:jc w:val="both"/>
    </w:pPr>
    <w:rPr>
      <w:rFonts w:ascii="Calibri" w:eastAsia="Calibri" w:hAnsi="Calibri" w:cs="Calibri"/>
      <w:sz w:val="22"/>
      <w:szCs w:val="22"/>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normal52">
    <w:name w:val="Tabla normal 52"/>
    <w:basedOn w:val="Tablanormal"/>
    <w:uiPriority w:val="45"/>
    <w:qFormat/>
    <w:pPr>
      <w:jc w:val="both"/>
    </w:pPr>
    <w:rPr>
      <w:rFonts w:ascii="Calibri" w:eastAsia="Calibri" w:hAnsi="Calibri" w:cs="Calibri"/>
      <w:sz w:val="22"/>
      <w:szCs w:val="22"/>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clara1">
    <w:name w:val="Lista clara1"/>
    <w:basedOn w:val="Tablanormal"/>
    <w:uiPriority w:val="61"/>
    <w:qFormat/>
    <w:rPr>
      <w:rFonts w:ascii="Calibri" w:eastAsia="Calibri"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basedOn w:val="Tablanormal"/>
    <w:uiPriority w:val="61"/>
    <w:qFormat/>
    <w:rPr>
      <w:rFonts w:ascii="Calibri" w:eastAsia="Calibri" w:hAnsi="Calibri"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Light2">
    <w:name w:val="Table Grid Light2"/>
    <w:basedOn w:val="Tablanormal"/>
    <w:uiPriority w:val="40"/>
    <w:qFormat/>
    <w:pPr>
      <w:widowControl w:val="0"/>
      <w:autoSpaceDE w:val="0"/>
      <w:autoSpaceDN w:val="0"/>
    </w:pPr>
    <w:rPr>
      <w:rFonts w:ascii="Calibri" w:eastAsia="Calibri" w:hAnsi="Calibri" w:cs="Calibr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16375">
    <w:name w:val="xl16375"/>
    <w:basedOn w:val="Normal"/>
    <w:qFormat/>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Garamond" w:eastAsia="Times New Roman" w:hAnsi="Garamond" w:cs="Times New Roman"/>
      <w:color w:val="333333"/>
      <w:sz w:val="20"/>
      <w:szCs w:val="20"/>
      <w:lang w:val="es-PE" w:eastAsia="es-PE"/>
    </w:rPr>
  </w:style>
  <w:style w:type="paragraph" w:customStyle="1" w:styleId="xl16376">
    <w:name w:val="xl16376"/>
    <w:basedOn w:val="Normal"/>
    <w:qFormat/>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Garamond" w:eastAsia="Times New Roman" w:hAnsi="Garamond" w:cs="Times New Roman"/>
      <w:sz w:val="20"/>
      <w:szCs w:val="20"/>
      <w:lang w:val="es-PE" w:eastAsia="es-PE"/>
    </w:rPr>
  </w:style>
  <w:style w:type="paragraph" w:customStyle="1" w:styleId="xl16377">
    <w:name w:val="xl16377"/>
    <w:basedOn w:val="Normal"/>
    <w:qFormat/>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Garamond" w:eastAsia="Times New Roman" w:hAnsi="Garamond" w:cs="Times New Roman"/>
      <w:sz w:val="20"/>
      <w:szCs w:val="20"/>
      <w:lang w:val="es-PE" w:eastAsia="es-PE"/>
    </w:rPr>
  </w:style>
  <w:style w:type="paragraph" w:customStyle="1" w:styleId="xl16378">
    <w:name w:val="xl16378"/>
    <w:basedOn w:val="Normal"/>
    <w:qFormat/>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Garamond" w:eastAsia="Times New Roman" w:hAnsi="Garamond" w:cs="Times New Roman"/>
      <w:sz w:val="20"/>
      <w:szCs w:val="20"/>
      <w:lang w:val="es-PE" w:eastAsia="es-PE"/>
    </w:rPr>
  </w:style>
  <w:style w:type="paragraph" w:customStyle="1" w:styleId="xl16379">
    <w:name w:val="xl16379"/>
    <w:basedOn w:val="Normal"/>
    <w:qFormat/>
    <w:pPr>
      <w:pBdr>
        <w:top w:val="single" w:sz="4" w:space="0" w:color="5B9BD5"/>
        <w:left w:val="single" w:sz="4" w:space="0" w:color="5B9BD5"/>
        <w:bottom w:val="single" w:sz="4" w:space="0" w:color="5B9BD5"/>
        <w:right w:val="single" w:sz="4" w:space="0" w:color="5B9BD5"/>
      </w:pBdr>
      <w:shd w:val="clear" w:color="000000" w:fill="FFFFFF"/>
      <w:spacing w:before="100" w:beforeAutospacing="1" w:after="100" w:afterAutospacing="1"/>
      <w:jc w:val="center"/>
    </w:pPr>
    <w:rPr>
      <w:rFonts w:ascii="Garamond" w:eastAsia="Times New Roman" w:hAnsi="Garamond" w:cs="Times New Roman"/>
      <w:sz w:val="20"/>
      <w:szCs w:val="20"/>
      <w:lang w:val="es-PE" w:eastAsia="es-PE"/>
    </w:rPr>
  </w:style>
  <w:style w:type="paragraph" w:customStyle="1" w:styleId="xl16380">
    <w:name w:val="xl16380"/>
    <w:basedOn w:val="Normal"/>
    <w:qFormat/>
    <w:pPr>
      <w:pBdr>
        <w:top w:val="single" w:sz="4" w:space="0" w:color="5B9BD5"/>
        <w:left w:val="single" w:sz="4" w:space="0" w:color="5B9BD5"/>
        <w:bottom w:val="single" w:sz="4" w:space="0" w:color="5B9BD5"/>
        <w:right w:val="single" w:sz="4" w:space="0" w:color="5B9BD5"/>
      </w:pBdr>
      <w:shd w:val="clear" w:color="000000" w:fill="FFFFFF"/>
      <w:spacing w:before="100" w:beforeAutospacing="1" w:after="100" w:afterAutospacing="1"/>
    </w:pPr>
    <w:rPr>
      <w:rFonts w:ascii="Garamond" w:eastAsia="Times New Roman" w:hAnsi="Garamond" w:cs="Times New Roman"/>
      <w:sz w:val="20"/>
      <w:szCs w:val="20"/>
      <w:lang w:val="es-PE" w:eastAsia="es-PE"/>
    </w:rPr>
  </w:style>
  <w:style w:type="paragraph" w:customStyle="1" w:styleId="xl16381">
    <w:name w:val="xl16381"/>
    <w:basedOn w:val="Normal"/>
    <w:qFormat/>
    <w:pPr>
      <w:pBdr>
        <w:left w:val="single" w:sz="4" w:space="0" w:color="5B9BD5"/>
        <w:bottom w:val="single" w:sz="4" w:space="0" w:color="5B9BD5"/>
        <w:right w:val="single" w:sz="4" w:space="0" w:color="5B9BD5"/>
      </w:pBdr>
      <w:shd w:val="clear" w:color="000000" w:fill="FFFFFF"/>
      <w:spacing w:before="100" w:beforeAutospacing="1" w:after="100" w:afterAutospacing="1"/>
      <w:jc w:val="center"/>
    </w:pPr>
    <w:rPr>
      <w:rFonts w:ascii="Garamond" w:eastAsia="Times New Roman" w:hAnsi="Garamond" w:cs="Times New Roman"/>
      <w:sz w:val="20"/>
      <w:szCs w:val="20"/>
      <w:lang w:val="es-PE" w:eastAsia="es-PE"/>
    </w:rPr>
  </w:style>
  <w:style w:type="paragraph" w:customStyle="1" w:styleId="xl16382">
    <w:name w:val="xl16382"/>
    <w:basedOn w:val="Normal"/>
    <w:qFormat/>
    <w:pPr>
      <w:pBdr>
        <w:left w:val="single" w:sz="4" w:space="0" w:color="5B9BD5"/>
        <w:bottom w:val="single" w:sz="4" w:space="0" w:color="5B9BD5"/>
        <w:right w:val="single" w:sz="4" w:space="0" w:color="5B9BD5"/>
      </w:pBdr>
      <w:shd w:val="clear" w:color="000000" w:fill="FFFFFF"/>
      <w:spacing w:before="100" w:beforeAutospacing="1" w:after="100" w:afterAutospacing="1"/>
    </w:pPr>
    <w:rPr>
      <w:rFonts w:ascii="Garamond" w:eastAsia="Times New Roman" w:hAnsi="Garamond" w:cs="Times New Roman"/>
      <w:sz w:val="20"/>
      <w:szCs w:val="20"/>
      <w:lang w:val="es-PE" w:eastAsia="es-PE"/>
    </w:rPr>
  </w:style>
  <w:style w:type="paragraph" w:customStyle="1" w:styleId="xl16383">
    <w:name w:val="xl16383"/>
    <w:basedOn w:val="Normal"/>
    <w:qFormat/>
    <w:pPr>
      <w:pBdr>
        <w:left w:val="single" w:sz="4" w:space="0" w:color="5B9BD5"/>
        <w:bottom w:val="single" w:sz="4" w:space="0" w:color="5B9BD5"/>
        <w:right w:val="single" w:sz="4" w:space="0" w:color="5B9BD5"/>
      </w:pBdr>
      <w:shd w:val="clear" w:color="000000" w:fill="FFFFFF"/>
      <w:spacing w:before="100" w:beforeAutospacing="1" w:after="100" w:afterAutospacing="1"/>
      <w:jc w:val="center"/>
      <w:textAlignment w:val="center"/>
    </w:pPr>
    <w:rPr>
      <w:rFonts w:ascii="Garamond" w:eastAsia="Times New Roman" w:hAnsi="Garamond" w:cs="Times New Roman"/>
      <w:sz w:val="20"/>
      <w:szCs w:val="20"/>
      <w:lang w:val="es-PE" w:eastAsia="es-PE"/>
    </w:rPr>
  </w:style>
  <w:style w:type="paragraph" w:customStyle="1" w:styleId="xl16384">
    <w:name w:val="xl16384"/>
    <w:basedOn w:val="Normal"/>
    <w:qFormat/>
    <w:pPr>
      <w:pBdr>
        <w:top w:val="single" w:sz="4" w:space="0" w:color="5B9BD5"/>
        <w:left w:val="single" w:sz="4" w:space="0" w:color="5B9BD5"/>
        <w:bottom w:val="single" w:sz="4" w:space="0" w:color="5B9BD5"/>
        <w:right w:val="single" w:sz="4" w:space="0" w:color="5B9BD5"/>
      </w:pBdr>
      <w:shd w:val="clear" w:color="000000" w:fill="FFFFFF"/>
      <w:spacing w:before="100" w:beforeAutospacing="1" w:after="100" w:afterAutospacing="1"/>
      <w:jc w:val="center"/>
      <w:textAlignment w:val="center"/>
    </w:pPr>
    <w:rPr>
      <w:rFonts w:ascii="Garamond" w:eastAsia="Times New Roman" w:hAnsi="Garamond" w:cs="Times New Roman"/>
      <w:sz w:val="20"/>
      <w:szCs w:val="20"/>
      <w:lang w:val="es-PE" w:eastAsia="es-PE"/>
    </w:rPr>
  </w:style>
  <w:style w:type="character" w:customStyle="1" w:styleId="Hipervnculovisitado1">
    <w:name w:val="Hipervínculo visitado1"/>
    <w:basedOn w:val="Fuentedeprrafopredeter"/>
    <w:qFormat/>
    <w:rPr>
      <w:rFonts w:cs="Times New Roman"/>
      <w:b/>
      <w:color w:val="auto"/>
      <w:u w:val="single"/>
    </w:rPr>
  </w:style>
  <w:style w:type="paragraph" w:customStyle="1" w:styleId="EstiloTtulo2SinNegritaCursivaIzquierda0cmPrimeral">
    <w:name w:val="Estilo Título 2 + Sin Negrita Cursiva Izquierda:  0 cm Primera lí..."/>
    <w:basedOn w:val="Ttulo2"/>
    <w:qFormat/>
    <w:pPr>
      <w:numPr>
        <w:numId w:val="60"/>
      </w:numPr>
      <w:contextualSpacing/>
      <w:jc w:val="both"/>
    </w:pPr>
    <w:rPr>
      <w:rFonts w:ascii="Arial" w:eastAsia="Times New Roman" w:hAnsi="Arial" w:cs="Times New Roman"/>
      <w:b/>
      <w:iCs/>
      <w:szCs w:val="20"/>
      <w:u w:val="none"/>
      <w:lang w:val="es-PE" w:eastAsia="es-ES"/>
    </w:rPr>
  </w:style>
  <w:style w:type="paragraph" w:customStyle="1" w:styleId="EstiloIzquierda0cmSangrafrancesa095cm">
    <w:name w:val="Estilo Izquierda:  0 cm Sangría francesa:  0.95 cm"/>
    <w:basedOn w:val="Normal"/>
    <w:qFormat/>
    <w:pPr>
      <w:tabs>
        <w:tab w:val="left" w:pos="2007"/>
      </w:tabs>
      <w:ind w:left="2007" w:hanging="567"/>
      <w:jc w:val="both"/>
    </w:pPr>
    <w:rPr>
      <w:rFonts w:eastAsia="Times New Roman" w:cs="Times New Roman"/>
      <w:sz w:val="24"/>
      <w:szCs w:val="20"/>
      <w:lang w:val="es-PE" w:eastAsia="es-ES"/>
    </w:rPr>
  </w:style>
  <w:style w:type="paragraph" w:customStyle="1" w:styleId="EstiloIzquierda222cm">
    <w:name w:val="Estilo Izquierda:  2.22 cm"/>
    <w:basedOn w:val="Normal"/>
    <w:qFormat/>
    <w:pPr>
      <w:ind w:left="1134"/>
      <w:jc w:val="both"/>
    </w:pPr>
    <w:rPr>
      <w:rFonts w:eastAsia="Times New Roman" w:cs="Times New Roman"/>
      <w:sz w:val="24"/>
      <w:szCs w:val="20"/>
      <w:lang w:val="es-PE" w:eastAsia="es-ES"/>
    </w:rPr>
  </w:style>
  <w:style w:type="paragraph" w:customStyle="1" w:styleId="Anexos0">
    <w:name w:val="Anexos"/>
    <w:basedOn w:val="Normal"/>
    <w:next w:val="Normal"/>
    <w:link w:val="AnexosCar"/>
    <w:qFormat/>
    <w:pPr>
      <w:ind w:left="1418"/>
      <w:jc w:val="both"/>
    </w:pPr>
    <w:rPr>
      <w:rFonts w:eastAsia="Times New Roman"/>
      <w:color w:val="000080"/>
      <w:kern w:val="28"/>
      <w:sz w:val="24"/>
      <w:lang w:val="es-ES" w:eastAsia="es-ES"/>
    </w:rPr>
  </w:style>
  <w:style w:type="paragraph" w:customStyle="1" w:styleId="NombredelFormulario">
    <w:name w:val="Nombre del Formulario"/>
    <w:next w:val="Normal"/>
    <w:qFormat/>
    <w:pPr>
      <w:spacing w:before="120"/>
      <w:jc w:val="center"/>
      <w:outlineLvl w:val="5"/>
    </w:pPr>
    <w:rPr>
      <w:rFonts w:eastAsia="Times New Roman"/>
      <w:b/>
      <w:sz w:val="24"/>
      <w:szCs w:val="22"/>
      <w:lang w:eastAsia="es-ES"/>
    </w:rPr>
  </w:style>
  <w:style w:type="paragraph" w:customStyle="1" w:styleId="NorPara">
    <w:name w:val="NorPara"/>
    <w:basedOn w:val="Normal"/>
    <w:qFormat/>
    <w:pPr>
      <w:jc w:val="both"/>
    </w:pPr>
    <w:rPr>
      <w:rFonts w:ascii="Frutiger 45 Light" w:eastAsia="Times New Roman" w:hAnsi="Frutiger 45 Light"/>
      <w:sz w:val="20"/>
      <w:szCs w:val="20"/>
      <w:lang w:eastAsia="es-ES"/>
    </w:rPr>
  </w:style>
  <w:style w:type="paragraph" w:customStyle="1" w:styleId="EstiloCentrado">
    <w:name w:val="Estilo Centrado"/>
    <w:basedOn w:val="Anexos0"/>
    <w:qFormat/>
    <w:rPr>
      <w:rFonts w:cs="Times New Roman"/>
    </w:rPr>
  </w:style>
  <w:style w:type="character" w:customStyle="1" w:styleId="AnexosCar">
    <w:name w:val="Anexos Car"/>
    <w:basedOn w:val="TtuloCar"/>
    <w:link w:val="Anexos0"/>
    <w:qFormat/>
    <w:locked/>
    <w:rPr>
      <w:rFonts w:eastAsia="Times New Roman"/>
      <w:b w:val="0"/>
      <w:bCs w:val="0"/>
      <w:color w:val="000080"/>
      <w:kern w:val="28"/>
      <w:sz w:val="24"/>
      <w:szCs w:val="22"/>
      <w:lang w:val="es-ES" w:eastAsia="es-ES"/>
    </w:rPr>
  </w:style>
  <w:style w:type="character" w:customStyle="1" w:styleId="Estilo4Car">
    <w:name w:val="Estilo4 Car"/>
    <w:basedOn w:val="AnexosCar"/>
    <w:qFormat/>
    <w:locked/>
    <w:rPr>
      <w:rFonts w:eastAsia="Times New Roman"/>
      <w:b w:val="0"/>
      <w:bCs w:val="0"/>
      <w:color w:val="000080"/>
      <w:kern w:val="28"/>
      <w:sz w:val="24"/>
      <w:szCs w:val="22"/>
      <w:lang w:val="es-ES" w:eastAsia="es-ES"/>
    </w:rPr>
  </w:style>
  <w:style w:type="paragraph" w:customStyle="1" w:styleId="T-01">
    <w:name w:val="T-01"/>
    <w:basedOn w:val="Normal"/>
    <w:qFormat/>
    <w:rPr>
      <w:rFonts w:ascii="Times New Roman" w:eastAsia="Times New Roman" w:hAnsi="Times New Roman" w:cs="Times New Roman"/>
      <w:sz w:val="24"/>
      <w:szCs w:val="24"/>
      <w:lang w:val="es-ES" w:eastAsia="es-ES"/>
    </w:rPr>
  </w:style>
  <w:style w:type="paragraph" w:customStyle="1" w:styleId="P-00">
    <w:name w:val="P-00"/>
    <w:basedOn w:val="Normal"/>
    <w:qFormat/>
    <w:pPr>
      <w:spacing w:before="240" w:after="240" w:line="276" w:lineRule="auto"/>
      <w:jc w:val="both"/>
    </w:pPr>
    <w:rPr>
      <w:rFonts w:ascii="Calibri" w:eastAsia="Calibri" w:hAnsi="Calibri" w:cs="Times New Roman"/>
      <w:sz w:val="24"/>
      <w:szCs w:val="24"/>
      <w:lang w:val="es-PE" w:eastAsia="en-US"/>
    </w:rPr>
  </w:style>
  <w:style w:type="paragraph" w:customStyle="1" w:styleId="T-02">
    <w:name w:val="T-02"/>
    <w:basedOn w:val="Normal"/>
    <w:link w:val="T-02Car"/>
    <w:qFormat/>
    <w:pPr>
      <w:numPr>
        <w:ilvl w:val="1"/>
        <w:numId w:val="61"/>
      </w:numPr>
      <w:ind w:left="1500" w:hanging="420"/>
    </w:pPr>
    <w:rPr>
      <w:rFonts w:eastAsia="Times New Roman" w:cs="Times New Roman"/>
      <w:b/>
      <w:sz w:val="24"/>
      <w:szCs w:val="24"/>
      <w:lang w:val="es-ES" w:eastAsia="es-ES"/>
    </w:rPr>
  </w:style>
  <w:style w:type="paragraph" w:customStyle="1" w:styleId="piepagina">
    <w:name w:val="pie_pagina"/>
    <w:basedOn w:val="Normal"/>
    <w:qFormat/>
    <w:pPr>
      <w:spacing w:before="100" w:beforeAutospacing="1" w:after="100" w:afterAutospacing="1"/>
      <w:jc w:val="both"/>
    </w:pPr>
    <w:rPr>
      <w:rFonts w:eastAsia="Times New Roman"/>
      <w:color w:val="000000"/>
      <w:sz w:val="16"/>
      <w:szCs w:val="16"/>
      <w:lang w:val="es-ES" w:eastAsia="es-ES"/>
    </w:rPr>
  </w:style>
  <w:style w:type="character" w:customStyle="1" w:styleId="CarCar21">
    <w:name w:val="Car Car21"/>
    <w:basedOn w:val="Fuentedeprrafopredeter"/>
    <w:qFormat/>
    <w:rPr>
      <w:rFonts w:ascii="Arial Narrow" w:hAnsi="Arial Narrow" w:cs="Arial"/>
      <w:b/>
      <w:bCs/>
      <w:caps/>
      <w:kern w:val="32"/>
      <w:sz w:val="26"/>
      <w:szCs w:val="32"/>
      <w:lang w:val="es-ES" w:eastAsia="es-ES" w:bidi="ar-SA"/>
    </w:rPr>
  </w:style>
  <w:style w:type="character" w:customStyle="1" w:styleId="CarCar14">
    <w:name w:val="Car Car14"/>
    <w:basedOn w:val="Fuentedeprrafopredeter"/>
    <w:qFormat/>
    <w:rPr>
      <w:rFonts w:ascii="Arial Narrow" w:hAnsi="Arial Narrow"/>
      <w:bCs/>
      <w:iCs/>
      <w:sz w:val="22"/>
      <w:szCs w:val="26"/>
      <w:u w:val="single"/>
      <w:lang w:val="es-ES" w:eastAsia="es-ES" w:bidi="ar-SA"/>
    </w:rPr>
  </w:style>
  <w:style w:type="character" w:customStyle="1" w:styleId="CarCar16">
    <w:name w:val="Car Car16"/>
    <w:basedOn w:val="Fuentedeprrafopredeter"/>
    <w:qFormat/>
    <w:rPr>
      <w:rFonts w:ascii="Arial Narrow" w:hAnsi="Arial Narrow" w:cs="Arial"/>
      <w:b/>
      <w:bCs/>
      <w:i/>
      <w:sz w:val="24"/>
      <w:szCs w:val="22"/>
      <w:lang w:val="es-ES" w:eastAsia="es-ES" w:bidi="ar-SA"/>
    </w:rPr>
  </w:style>
  <w:style w:type="character" w:customStyle="1" w:styleId="style410">
    <w:name w:val="style41"/>
    <w:basedOn w:val="Fuentedeprrafopredeter"/>
    <w:qFormat/>
    <w:rPr>
      <w:rFonts w:ascii="Verdana" w:hAnsi="Verdana" w:hint="default"/>
      <w:b/>
      <w:bCs/>
      <w:sz w:val="18"/>
      <w:szCs w:val="18"/>
    </w:rPr>
  </w:style>
  <w:style w:type="paragraph" w:customStyle="1" w:styleId="epgrafe">
    <w:name w:val="epígrafe"/>
    <w:basedOn w:val="Normal"/>
    <w:qFormat/>
    <w:rPr>
      <w:rFonts w:ascii="Courier" w:eastAsia="MS Mincho" w:hAnsi="Courier" w:cs="Times New Roman"/>
      <w:sz w:val="24"/>
      <w:szCs w:val="20"/>
      <w:lang w:eastAsia="es-ES"/>
    </w:rPr>
  </w:style>
  <w:style w:type="character" w:customStyle="1" w:styleId="DefaultParagraphFo">
    <w:name w:val="Default Paragraph Fo"/>
    <w:basedOn w:val="Fuentedeprrafopredeter"/>
    <w:qFormat/>
  </w:style>
  <w:style w:type="character" w:customStyle="1" w:styleId="CarCar9">
    <w:name w:val="Car Car9"/>
    <w:basedOn w:val="Fuentedeprrafopredeter"/>
    <w:qFormat/>
    <w:rPr>
      <w:rFonts w:ascii="Tahoma" w:hAnsi="Tahoma" w:cs="Tahoma"/>
      <w:sz w:val="16"/>
      <w:szCs w:val="16"/>
      <w:lang w:val="es-ES" w:eastAsia="es-ES" w:bidi="ar-SA"/>
    </w:rPr>
  </w:style>
  <w:style w:type="paragraph" w:customStyle="1" w:styleId="CARATULA1">
    <w:name w:val="CARATULA1"/>
    <w:basedOn w:val="Normal"/>
    <w:qFormat/>
    <w:pPr>
      <w:keepLines/>
      <w:widowControl w:val="0"/>
      <w:jc w:val="center"/>
    </w:pPr>
    <w:rPr>
      <w:rFonts w:ascii="Times New Roman" w:eastAsia="MS Mincho" w:hAnsi="Times New Roman" w:cs="Times New Roman"/>
      <w:b/>
      <w:snapToGrid w:val="0"/>
      <w:color w:val="000000"/>
      <w:sz w:val="28"/>
      <w:szCs w:val="20"/>
      <w:lang w:val="es-PE" w:eastAsia="en-US"/>
    </w:rPr>
  </w:style>
  <w:style w:type="paragraph" w:customStyle="1" w:styleId="i">
    <w:name w:val="(i)"/>
    <w:basedOn w:val="Normal"/>
    <w:next w:val="Normal"/>
    <w:qFormat/>
    <w:pPr>
      <w:numPr>
        <w:numId w:val="62"/>
      </w:numPr>
      <w:tabs>
        <w:tab w:val="clear" w:pos="360"/>
        <w:tab w:val="left" w:pos="0"/>
        <w:tab w:val="left" w:pos="1080"/>
        <w:tab w:val="left" w:pos="1440"/>
        <w:tab w:val="left" w:pos="1537"/>
        <w:tab w:val="left" w:pos="2160"/>
      </w:tabs>
      <w:suppressAutoHyphens/>
      <w:ind w:left="1080" w:hanging="360"/>
      <w:jc w:val="both"/>
    </w:pPr>
    <w:rPr>
      <w:rFonts w:ascii="Times New Roman" w:eastAsia="Times New Roman" w:hAnsi="Times New Roman" w:cs="Times New Roman"/>
      <w:sz w:val="21"/>
      <w:szCs w:val="20"/>
      <w:lang w:eastAsia="en-US"/>
    </w:rPr>
  </w:style>
  <w:style w:type="paragraph" w:customStyle="1" w:styleId="Tcnico4">
    <w:name w:val="Técnico 4"/>
    <w:qFormat/>
    <w:pPr>
      <w:widowControl w:val="0"/>
      <w:tabs>
        <w:tab w:val="left" w:pos="-720"/>
      </w:tabs>
      <w:suppressAutoHyphens/>
    </w:pPr>
    <w:rPr>
      <w:rFonts w:ascii="Courier New" w:eastAsia="Times New Roman" w:hAnsi="Courier New" w:cs="Times New Roman"/>
      <w:b/>
      <w:sz w:val="24"/>
      <w:lang w:val="en-US" w:eastAsia="es-ES"/>
    </w:rPr>
  </w:style>
  <w:style w:type="paragraph" w:customStyle="1" w:styleId="Sangra4detindependiente">
    <w:name w:val="Sangría 4 de t. independiente"/>
    <w:basedOn w:val="Normal"/>
    <w:qFormat/>
    <w:pPr>
      <w:ind w:left="2722"/>
      <w:jc w:val="both"/>
    </w:pPr>
    <w:rPr>
      <w:rFonts w:ascii="Times New Roman" w:eastAsia="Times New Roman" w:hAnsi="Times New Roman" w:cs="Times New Roman"/>
      <w:sz w:val="24"/>
      <w:szCs w:val="20"/>
      <w:lang w:val="es-ES" w:eastAsia="es-ES"/>
    </w:rPr>
  </w:style>
  <w:style w:type="paragraph" w:customStyle="1" w:styleId="toa">
    <w:name w:val="toa"/>
    <w:qFormat/>
    <w:pPr>
      <w:widowControl w:val="0"/>
      <w:tabs>
        <w:tab w:val="left" w:pos="0"/>
        <w:tab w:val="left" w:pos="9000"/>
      </w:tabs>
      <w:suppressAutoHyphens/>
    </w:pPr>
    <w:rPr>
      <w:rFonts w:ascii="Courier New" w:eastAsia="Times New Roman" w:hAnsi="Courier New" w:cs="Times New Roman"/>
      <w:sz w:val="24"/>
      <w:lang w:val="en-US" w:eastAsia="es-ES"/>
    </w:rPr>
  </w:style>
  <w:style w:type="paragraph" w:customStyle="1" w:styleId="Predeterminado">
    <w:name w:val="Predeterminado"/>
    <w:qFormat/>
    <w:pPr>
      <w:widowControl w:val="0"/>
      <w:autoSpaceDE w:val="0"/>
      <w:autoSpaceDN w:val="0"/>
      <w:adjustRightInd w:val="0"/>
    </w:pPr>
    <w:rPr>
      <w:rFonts w:ascii="Times" w:eastAsia="Times New Roman" w:hAnsi="Times" w:cs="Times New Roman"/>
      <w:lang w:val="es-ES" w:eastAsia="es-ES"/>
    </w:rPr>
  </w:style>
  <w:style w:type="paragraph" w:customStyle="1" w:styleId="Encabezado4">
    <w:name w:val="Encabezado 4"/>
    <w:basedOn w:val="Predeterminado"/>
    <w:next w:val="Predeterminado"/>
    <w:qFormat/>
    <w:pPr>
      <w:keepNext/>
      <w:widowControl/>
      <w:autoSpaceDE/>
      <w:autoSpaceDN/>
      <w:adjustRightInd/>
      <w:spacing w:line="280" w:lineRule="exact"/>
      <w:ind w:left="397" w:hanging="397"/>
      <w:outlineLvl w:val="3"/>
    </w:pPr>
    <w:rPr>
      <w:rFonts w:ascii="Arial" w:hAnsi="Arial"/>
      <w:b/>
      <w:snapToGrid w:val="0"/>
      <w:sz w:val="24"/>
    </w:rPr>
  </w:style>
  <w:style w:type="character" w:customStyle="1" w:styleId="CarCar20">
    <w:name w:val="Car Car20"/>
    <w:basedOn w:val="Fuentedeprrafopredeter"/>
    <w:qFormat/>
    <w:rPr>
      <w:rFonts w:ascii="Arial" w:eastAsia="MS Mincho" w:hAnsi="Arial"/>
      <w:b/>
      <w:spacing w:val="-3"/>
      <w:sz w:val="18"/>
      <w:lang w:val="es-PE"/>
    </w:rPr>
  </w:style>
  <w:style w:type="character" w:customStyle="1" w:styleId="CarCar17">
    <w:name w:val="Car Car17"/>
    <w:basedOn w:val="Fuentedeprrafopredeter"/>
    <w:qFormat/>
    <w:rPr>
      <w:rFonts w:ascii="Arial" w:eastAsia="MS Mincho" w:hAnsi="Arial"/>
      <w:b/>
      <w:sz w:val="24"/>
      <w:lang w:val="es-PE"/>
    </w:rPr>
  </w:style>
  <w:style w:type="character" w:customStyle="1" w:styleId="CarCar19">
    <w:name w:val="Car Car19"/>
    <w:basedOn w:val="Fuentedeprrafopredeter"/>
    <w:qFormat/>
    <w:rPr>
      <w:rFonts w:ascii="Arial" w:eastAsia="MS Mincho" w:hAnsi="Arial"/>
      <w:b/>
      <w:lang w:val="es-PE"/>
    </w:rPr>
  </w:style>
  <w:style w:type="character" w:customStyle="1" w:styleId="EstiloCorreo1301">
    <w:name w:val="EstiloCorreo1301"/>
    <w:basedOn w:val="Fuentedeprrafopredeter"/>
    <w:semiHidden/>
    <w:qFormat/>
    <w:rPr>
      <w:rFonts w:ascii="Arial" w:hAnsi="Arial" w:cs="Arial"/>
      <w:color w:val="auto"/>
      <w:sz w:val="20"/>
      <w:szCs w:val="20"/>
    </w:rPr>
  </w:style>
  <w:style w:type="character" w:customStyle="1" w:styleId="Edgar2CarCar">
    <w:name w:val="Edgar 2 Car Car"/>
    <w:basedOn w:val="Fuentedeprrafopredeter"/>
    <w:qFormat/>
    <w:rPr>
      <w:rFonts w:ascii="Arial Narrow" w:eastAsia="Arial Unicode MS" w:hAnsi="Arial Narrow" w:cs="Arial"/>
      <w:b/>
      <w:bCs/>
      <w:sz w:val="24"/>
      <w:szCs w:val="22"/>
      <w:lang w:val="es-ES" w:eastAsia="es-ES" w:bidi="ar-SA"/>
    </w:rPr>
  </w:style>
  <w:style w:type="character" w:customStyle="1" w:styleId="CarCar18">
    <w:name w:val="Car Car18"/>
    <w:basedOn w:val="Fuentedeprrafopredeter"/>
    <w:qFormat/>
    <w:rPr>
      <w:rFonts w:ascii="Arial" w:eastAsia="MS Mincho" w:hAnsi="Arial"/>
      <w:b/>
      <w:sz w:val="24"/>
      <w:u w:val="single"/>
      <w:lang w:val="es-PE"/>
    </w:rPr>
  </w:style>
  <w:style w:type="paragraph" w:customStyle="1" w:styleId="Prrafodelista11">
    <w:name w:val="Párrafo de lista11"/>
    <w:basedOn w:val="Normal"/>
    <w:qFormat/>
    <w:pPr>
      <w:ind w:left="708"/>
    </w:pPr>
    <w:rPr>
      <w:rFonts w:ascii="Calibri" w:eastAsia="Calibri" w:hAnsi="Calibri" w:cs="Calibri"/>
      <w:sz w:val="24"/>
      <w:szCs w:val="24"/>
      <w:lang w:val="es-PE" w:eastAsia="es-ES"/>
    </w:rPr>
  </w:style>
  <w:style w:type="paragraph" w:customStyle="1" w:styleId="P-01">
    <w:name w:val="P-01"/>
    <w:basedOn w:val="Normal"/>
    <w:link w:val="P-01Car"/>
    <w:qFormat/>
    <w:pPr>
      <w:spacing w:before="240" w:after="240" w:line="276" w:lineRule="auto"/>
      <w:ind w:left="425"/>
      <w:jc w:val="both"/>
    </w:pPr>
    <w:rPr>
      <w:rFonts w:ascii="Calibri" w:eastAsia="Calibri" w:hAnsi="Calibri" w:cs="Times New Roman"/>
      <w:sz w:val="24"/>
      <w:szCs w:val="24"/>
      <w:lang w:val="es-PE" w:eastAsia="en-US"/>
    </w:rPr>
  </w:style>
  <w:style w:type="character" w:customStyle="1" w:styleId="P-01Car">
    <w:name w:val="P-01 Car"/>
    <w:basedOn w:val="Fuentedeprrafopredeter"/>
    <w:link w:val="P-01"/>
    <w:qFormat/>
    <w:rPr>
      <w:rFonts w:ascii="Calibri" w:eastAsia="Calibri" w:hAnsi="Calibri" w:cs="Times New Roman"/>
      <w:sz w:val="24"/>
      <w:szCs w:val="24"/>
      <w:lang w:eastAsia="en-US"/>
    </w:rPr>
  </w:style>
  <w:style w:type="paragraph" w:customStyle="1" w:styleId="V-01">
    <w:name w:val="V-01"/>
    <w:basedOn w:val="P-01"/>
    <w:link w:val="V-01Car"/>
    <w:qFormat/>
    <w:pPr>
      <w:numPr>
        <w:numId w:val="63"/>
      </w:numPr>
      <w:tabs>
        <w:tab w:val="left" w:pos="360"/>
      </w:tabs>
      <w:ind w:left="360"/>
    </w:pPr>
  </w:style>
  <w:style w:type="character" w:customStyle="1" w:styleId="V-01Car">
    <w:name w:val="V-01 Car"/>
    <w:basedOn w:val="Fuentedeprrafopredeter"/>
    <w:link w:val="V-01"/>
    <w:qFormat/>
    <w:rPr>
      <w:rFonts w:ascii="Calibri" w:eastAsia="Calibri" w:hAnsi="Calibri" w:cs="Times New Roman"/>
      <w:sz w:val="24"/>
      <w:szCs w:val="24"/>
      <w:lang w:eastAsia="en-US"/>
    </w:rPr>
  </w:style>
  <w:style w:type="paragraph" w:customStyle="1" w:styleId="Style150">
    <w:name w:val="Style 15"/>
    <w:basedOn w:val="Normal"/>
    <w:qFormat/>
    <w:pPr>
      <w:widowControl w:val="0"/>
      <w:autoSpaceDE w:val="0"/>
      <w:autoSpaceDN w:val="0"/>
      <w:ind w:left="360"/>
    </w:pPr>
    <w:rPr>
      <w:rFonts w:ascii="Times New Roman" w:eastAsia="Times New Roman" w:hAnsi="Times New Roman" w:cs="Times New Roman"/>
      <w:sz w:val="24"/>
      <w:szCs w:val="24"/>
      <w:lang w:val="es-PE" w:eastAsia="es-ES"/>
    </w:rPr>
  </w:style>
  <w:style w:type="paragraph" w:customStyle="1" w:styleId="Style170">
    <w:name w:val="Style 17"/>
    <w:basedOn w:val="Normal"/>
    <w:qFormat/>
    <w:pPr>
      <w:widowControl w:val="0"/>
      <w:autoSpaceDE w:val="0"/>
      <w:autoSpaceDN w:val="0"/>
      <w:adjustRightInd w:val="0"/>
    </w:pPr>
    <w:rPr>
      <w:rFonts w:ascii="Times New Roman" w:eastAsia="Times New Roman" w:hAnsi="Times New Roman" w:cs="Times New Roman"/>
      <w:sz w:val="24"/>
      <w:szCs w:val="24"/>
      <w:lang w:val="es-PE" w:eastAsia="es-ES"/>
    </w:rPr>
  </w:style>
  <w:style w:type="character" w:customStyle="1" w:styleId="T-02Car">
    <w:name w:val="T-02 Car"/>
    <w:basedOn w:val="Fuentedeprrafopredeter"/>
    <w:link w:val="T-02"/>
    <w:qFormat/>
    <w:rPr>
      <w:rFonts w:eastAsia="Times New Roman" w:cs="Times New Roman"/>
      <w:b/>
      <w:sz w:val="24"/>
      <w:szCs w:val="24"/>
      <w:lang w:val="es-ES" w:eastAsia="es-ES"/>
    </w:rPr>
  </w:style>
  <w:style w:type="character" w:customStyle="1" w:styleId="Estilo9Car">
    <w:name w:val="Estilo9 Car"/>
    <w:basedOn w:val="T-02Car"/>
    <w:qFormat/>
    <w:rPr>
      <w:rFonts w:eastAsia="Times New Roman" w:cs="Times New Roman"/>
      <w:b/>
      <w:sz w:val="24"/>
      <w:szCs w:val="24"/>
      <w:lang w:val="es-ES" w:eastAsia="es-ES"/>
    </w:rPr>
  </w:style>
  <w:style w:type="character" w:customStyle="1" w:styleId="Ttulo5Car1">
    <w:name w:val="Título 5 Car1"/>
    <w:basedOn w:val="Fuentedeprrafopredeter"/>
    <w:qFormat/>
    <w:rPr>
      <w:rFonts w:asciiTheme="majorHAnsi" w:eastAsiaTheme="majorEastAsia" w:hAnsiTheme="majorHAnsi" w:cstheme="majorBidi"/>
      <w:color w:val="244061" w:themeColor="accent1" w:themeShade="80"/>
      <w:sz w:val="24"/>
      <w:lang w:val="es-PE" w:eastAsia="es-ES"/>
    </w:rPr>
  </w:style>
  <w:style w:type="character" w:customStyle="1" w:styleId="Estilo10Car">
    <w:name w:val="Estilo10 Car"/>
    <w:qFormat/>
    <w:rPr>
      <w:rFonts w:ascii="Calibri" w:eastAsia="Calibri" w:hAnsi="Calibri" w:cs="Times New Roman"/>
      <w:lang w:val="es-PE"/>
    </w:rPr>
  </w:style>
  <w:style w:type="paragraph" w:customStyle="1" w:styleId="Numberedtext">
    <w:name w:val="Numbered text"/>
    <w:basedOn w:val="Textoindependiente"/>
    <w:qFormat/>
    <w:pPr>
      <w:numPr>
        <w:numId w:val="64"/>
      </w:numPr>
      <w:spacing w:after="120"/>
    </w:pPr>
    <w:rPr>
      <w:rFonts w:ascii="Calibri" w:hAnsi="Calibri" w:cs="Times New Roman"/>
      <w:bCs w:val="0"/>
      <w:sz w:val="24"/>
      <w:szCs w:val="24"/>
      <w:lang w:val="en-US" w:eastAsia="en-NZ"/>
    </w:rPr>
  </w:style>
  <w:style w:type="paragraph" w:customStyle="1" w:styleId="BodyTextContinued">
    <w:name w:val="Body Text Continued"/>
    <w:basedOn w:val="Normal"/>
    <w:next w:val="Normal"/>
    <w:uiPriority w:val="2"/>
    <w:qFormat/>
    <w:pPr>
      <w:adjustRightInd w:val="0"/>
      <w:spacing w:after="240"/>
      <w:jc w:val="both"/>
    </w:pPr>
    <w:rPr>
      <w:rFonts w:ascii="Times New Roman" w:eastAsia="Times New Roman" w:hAnsi="Times New Roman" w:cs="Times New Roman"/>
      <w:sz w:val="24"/>
      <w:szCs w:val="24"/>
      <w:lang w:val="en-US" w:eastAsia="en-US"/>
    </w:rPr>
  </w:style>
  <w:style w:type="paragraph" w:customStyle="1" w:styleId="Centered">
    <w:name w:val="Centered"/>
    <w:basedOn w:val="Normal"/>
    <w:next w:val="Normal"/>
    <w:qFormat/>
    <w:pPr>
      <w:adjustRightInd w:val="0"/>
      <w:spacing w:after="240"/>
      <w:jc w:val="center"/>
    </w:pPr>
    <w:rPr>
      <w:rFonts w:ascii="Times New Roman" w:eastAsia="Times New Roman" w:hAnsi="Times New Roman" w:cs="Times New Roman"/>
      <w:sz w:val="24"/>
      <w:szCs w:val="24"/>
      <w:lang w:val="en-US" w:eastAsia="en-US"/>
    </w:rPr>
  </w:style>
  <w:style w:type="paragraph" w:customStyle="1" w:styleId="Address">
    <w:name w:val="Address"/>
    <w:basedOn w:val="BodyTextContinued"/>
    <w:qFormat/>
    <w:pPr>
      <w:jc w:val="left"/>
    </w:pPr>
  </w:style>
  <w:style w:type="paragraph" w:customStyle="1" w:styleId="textodenotaalp1">
    <w:name w:val="texto de nota al p1"/>
    <w:basedOn w:val="Normal"/>
    <w:next w:val="Textonotapie"/>
    <w:uiPriority w:val="99"/>
    <w:unhideWhenUsed/>
    <w:qFormat/>
    <w:pPr>
      <w:jc w:val="both"/>
    </w:pPr>
    <w:rPr>
      <w:rFonts w:asciiTheme="minorHAnsi" w:eastAsiaTheme="minorHAnsi" w:hAnsiTheme="minorHAnsi" w:cstheme="minorBidi"/>
      <w:sz w:val="20"/>
      <w:szCs w:val="20"/>
      <w:lang w:val="es-PE" w:eastAsia="en-US"/>
    </w:rPr>
  </w:style>
  <w:style w:type="table" w:customStyle="1" w:styleId="TableGrid19">
    <w:name w:val="Table Grid19"/>
    <w:basedOn w:val="Tablanormal"/>
    <w:uiPriority w:val="59"/>
    <w:qFormat/>
    <w:pPr>
      <w:spacing w:before="120" w:after="120"/>
      <w:ind w:left="1134"/>
      <w:jc w:val="both"/>
    </w:pPr>
    <w:rPr>
      <w:rFonts w:ascii="Times New Roman" w:eastAsia="Times New Roman" w:hAnsi="Times New Roman" w:cs="Times New Roman"/>
      <w:lang w:val="es-C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qFormat/>
    <w:rPr>
      <w:rFonts w:asciiTheme="minorHAnsi" w:eastAsiaTheme="minorHAnsi" w:hAnsiTheme="minorHAnsi" w:cstheme="minorBidi"/>
      <w:sz w:val="22"/>
      <w:szCs w:val="22"/>
      <w:lang w:val="es-HN" w:eastAsia="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qFormat/>
    <w:rPr>
      <w:rFonts w:asciiTheme="minorHAnsi" w:eastAsia="MS Mincho" w:hAnsiTheme="minorHAnsi" w:cstheme="minorBidi"/>
      <w:color w:val="365F91" w:themeColor="accent1" w:themeShade="BF"/>
      <w:sz w:val="22"/>
      <w:szCs w:val="22"/>
      <w:lang w:val="es-ES" w:eastAsia="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2">
    <w:name w:val="Sombreado medio 12"/>
    <w:basedOn w:val="Tablanormal"/>
    <w:uiPriority w:val="63"/>
    <w:qFormat/>
    <w:rPr>
      <w:rFonts w:asciiTheme="minorHAnsi" w:eastAsiaTheme="minorEastAsia" w:hAnsiTheme="minorHAnsi" w:cstheme="minorBidi"/>
      <w:sz w:val="24"/>
      <w:szCs w:val="24"/>
      <w:lang w:val="en-US" w:eastAsia="es-E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Parraf2">
    <w:name w:val="Parraf. 2"/>
    <w:basedOn w:val="Tit2"/>
    <w:link w:val="Parraf2Car"/>
    <w:qFormat/>
    <w:pPr>
      <w:keepNext w:val="0"/>
      <w:keepLines w:val="0"/>
      <w:numPr>
        <w:ilvl w:val="0"/>
        <w:numId w:val="0"/>
      </w:numPr>
      <w:spacing w:before="120"/>
      <w:ind w:left="709"/>
      <w:outlineLvl w:val="9"/>
    </w:pPr>
    <w:rPr>
      <w:b/>
      <w:bCs w:val="0"/>
      <w:lang w:eastAsia="zh-CN"/>
    </w:rPr>
  </w:style>
  <w:style w:type="paragraph" w:customStyle="1" w:styleId="Tit2">
    <w:name w:val="Tit. 2"/>
    <w:basedOn w:val="Tit1"/>
    <w:next w:val="Parraf2"/>
    <w:link w:val="Tit2Car"/>
    <w:qFormat/>
    <w:pPr>
      <w:numPr>
        <w:ilvl w:val="1"/>
      </w:numPr>
      <w:tabs>
        <w:tab w:val="left" w:pos="360"/>
        <w:tab w:val="left" w:pos="567"/>
      </w:tabs>
      <w:ind w:left="1440" w:hanging="360"/>
      <w:outlineLvl w:val="1"/>
    </w:pPr>
    <w:rPr>
      <w:b w:val="0"/>
      <w:lang w:val="zh-CN"/>
    </w:rPr>
  </w:style>
  <w:style w:type="paragraph" w:customStyle="1" w:styleId="Tit1">
    <w:name w:val="Tit. 1"/>
    <w:basedOn w:val="Ttulo1"/>
    <w:next w:val="Parraf1"/>
    <w:link w:val="Tit1Car"/>
    <w:qFormat/>
    <w:pPr>
      <w:keepLines/>
      <w:numPr>
        <w:numId w:val="65"/>
      </w:numPr>
      <w:spacing w:before="200" w:after="120"/>
      <w:ind w:right="170"/>
      <w:jc w:val="both"/>
    </w:pPr>
    <w:rPr>
      <w:rFonts w:ascii="Tahoma" w:eastAsia="Times New Roman" w:hAnsi="Tahoma" w:cs="Times New Roman"/>
      <w:spacing w:val="-4"/>
      <w:kern w:val="28"/>
      <w:sz w:val="20"/>
      <w:szCs w:val="20"/>
      <w:lang w:val="es-ES" w:eastAsia="es-ES"/>
    </w:rPr>
  </w:style>
  <w:style w:type="paragraph" w:customStyle="1" w:styleId="Parraf1">
    <w:name w:val="Parraf. 1"/>
    <w:basedOn w:val="Textoindependiente"/>
    <w:link w:val="Parraf1Car"/>
    <w:qFormat/>
    <w:pPr>
      <w:spacing w:before="120" w:after="120"/>
      <w:ind w:left="709"/>
    </w:pPr>
    <w:rPr>
      <w:rFonts w:ascii="Tahoma" w:hAnsi="Tahoma" w:cs="Times New Roman"/>
      <w:bCs w:val="0"/>
      <w:sz w:val="20"/>
      <w:szCs w:val="20"/>
      <w:lang w:eastAsia="zh-CN"/>
    </w:rPr>
  </w:style>
  <w:style w:type="character" w:customStyle="1" w:styleId="Parraf2Car">
    <w:name w:val="Parraf. 2 Car"/>
    <w:link w:val="Parraf2"/>
    <w:qFormat/>
    <w:rPr>
      <w:rFonts w:ascii="Tahoma" w:eastAsia="Times New Roman" w:hAnsi="Tahoma" w:cs="Times New Roman"/>
      <w:b/>
      <w:spacing w:val="-4"/>
      <w:kern w:val="28"/>
      <w:lang w:val="zh-CN" w:eastAsia="zh-CN"/>
    </w:rPr>
  </w:style>
  <w:style w:type="character" w:customStyle="1" w:styleId="Tit2Car">
    <w:name w:val="Tit. 2 Car"/>
    <w:link w:val="Tit2"/>
    <w:qFormat/>
    <w:rPr>
      <w:rFonts w:ascii="Tahoma" w:eastAsia="Times New Roman" w:hAnsi="Tahoma" w:cs="Times New Roman"/>
      <w:bCs/>
      <w:spacing w:val="-4"/>
      <w:kern w:val="28"/>
      <w:lang w:val="zh-CN" w:eastAsia="es-ES"/>
    </w:rPr>
  </w:style>
  <w:style w:type="paragraph" w:customStyle="1" w:styleId="Tit3">
    <w:name w:val="Tit. 3"/>
    <w:basedOn w:val="Tit1"/>
    <w:next w:val="Parraf3"/>
    <w:link w:val="Tit3Car"/>
    <w:qFormat/>
    <w:pPr>
      <w:numPr>
        <w:ilvl w:val="2"/>
      </w:numPr>
      <w:outlineLvl w:val="2"/>
    </w:pPr>
    <w:rPr>
      <w:b w:val="0"/>
      <w:lang w:val="zh-CN"/>
    </w:rPr>
  </w:style>
  <w:style w:type="paragraph" w:customStyle="1" w:styleId="Parraf3">
    <w:name w:val="Parraf. 3"/>
    <w:basedOn w:val="Parraf1"/>
    <w:link w:val="Parraf3Car"/>
    <w:qFormat/>
    <w:pPr>
      <w:ind w:left="1134"/>
    </w:pPr>
  </w:style>
  <w:style w:type="character" w:customStyle="1" w:styleId="Tit3Car">
    <w:name w:val="Tit. 3 Car"/>
    <w:link w:val="Tit3"/>
    <w:qFormat/>
    <w:rPr>
      <w:rFonts w:ascii="Tahoma" w:eastAsia="Times New Roman" w:hAnsi="Tahoma" w:cs="Times New Roman"/>
      <w:bCs/>
      <w:spacing w:val="-4"/>
      <w:kern w:val="28"/>
      <w:lang w:val="zh-CN" w:eastAsia="es-ES"/>
    </w:rPr>
  </w:style>
  <w:style w:type="character" w:customStyle="1" w:styleId="Parraf3Car">
    <w:name w:val="Parraf. 3 Car"/>
    <w:link w:val="Parraf3"/>
    <w:qFormat/>
    <w:rPr>
      <w:rFonts w:ascii="Tahoma" w:eastAsia="Times New Roman" w:hAnsi="Tahoma" w:cs="Times New Roman"/>
      <w:lang w:val="zh-CN" w:eastAsia="zh-CN"/>
    </w:rPr>
  </w:style>
  <w:style w:type="character" w:customStyle="1" w:styleId="Tit1Car">
    <w:name w:val="Tit. 1 Car"/>
    <w:link w:val="Tit1"/>
    <w:qFormat/>
    <w:rPr>
      <w:rFonts w:ascii="Tahoma" w:eastAsia="Times New Roman" w:hAnsi="Tahoma" w:cs="Times New Roman"/>
      <w:b/>
      <w:bCs/>
      <w:spacing w:val="-4"/>
      <w:kern w:val="28"/>
      <w:lang w:val="es-ES" w:eastAsia="es-ES"/>
    </w:rPr>
  </w:style>
  <w:style w:type="paragraph" w:customStyle="1" w:styleId="Tit4">
    <w:name w:val="Tit. 4"/>
    <w:basedOn w:val="Tit3"/>
    <w:next w:val="Parraf4"/>
    <w:link w:val="Tit4Car"/>
    <w:qFormat/>
    <w:pPr>
      <w:numPr>
        <w:ilvl w:val="3"/>
      </w:numPr>
      <w:tabs>
        <w:tab w:val="left" w:pos="709"/>
        <w:tab w:val="left" w:pos="2552"/>
      </w:tabs>
      <w:outlineLvl w:val="3"/>
    </w:pPr>
    <w:rPr>
      <w:b/>
    </w:rPr>
  </w:style>
  <w:style w:type="paragraph" w:customStyle="1" w:styleId="Parraf4">
    <w:name w:val="Parraf. 4"/>
    <w:basedOn w:val="Parraf3"/>
    <w:link w:val="Parraf4Car"/>
    <w:qFormat/>
    <w:pPr>
      <w:tabs>
        <w:tab w:val="left" w:pos="851"/>
      </w:tabs>
      <w:ind w:left="1843"/>
    </w:pPr>
  </w:style>
  <w:style w:type="character" w:customStyle="1" w:styleId="Tit4Car">
    <w:name w:val="Tit. 4 Car"/>
    <w:basedOn w:val="Tit3Car"/>
    <w:link w:val="Tit4"/>
    <w:qFormat/>
    <w:rPr>
      <w:rFonts w:ascii="Tahoma" w:eastAsia="Times New Roman" w:hAnsi="Tahoma" w:cs="Times New Roman"/>
      <w:b/>
      <w:bCs/>
      <w:spacing w:val="-4"/>
      <w:kern w:val="28"/>
      <w:lang w:val="zh-CN" w:eastAsia="es-ES"/>
    </w:rPr>
  </w:style>
  <w:style w:type="character" w:customStyle="1" w:styleId="Parraf1Car">
    <w:name w:val="Parraf. 1 Car"/>
    <w:link w:val="Parraf1"/>
    <w:qFormat/>
    <w:rPr>
      <w:rFonts w:ascii="Tahoma" w:eastAsia="Times New Roman" w:hAnsi="Tahoma" w:cs="Times New Roman"/>
      <w:lang w:val="zh-CN" w:eastAsia="zh-CN"/>
    </w:rPr>
  </w:style>
  <w:style w:type="character" w:customStyle="1" w:styleId="Parraf4Car">
    <w:name w:val="Parraf. 4 Car"/>
    <w:link w:val="Parraf4"/>
    <w:qFormat/>
    <w:rPr>
      <w:rFonts w:ascii="Tahoma" w:eastAsia="Times New Roman" w:hAnsi="Tahoma" w:cs="Times New Roman"/>
      <w:lang w:val="zh-CN" w:eastAsia="zh-CN"/>
    </w:rPr>
  </w:style>
  <w:style w:type="character" w:customStyle="1" w:styleId="Estilo5Car">
    <w:name w:val="Estilo5 Car"/>
    <w:qFormat/>
    <w:rPr>
      <w:rFonts w:ascii="Arial" w:eastAsia="Times New Roman" w:hAnsi="Arial" w:cs="Times New Roman"/>
      <w:szCs w:val="20"/>
      <w:lang w:val="zh-CN" w:eastAsia="es-ES"/>
    </w:rPr>
  </w:style>
  <w:style w:type="paragraph" w:customStyle="1" w:styleId="Tit6">
    <w:name w:val="Tit. 6"/>
    <w:basedOn w:val="Tit4"/>
    <w:next w:val="Parraf5"/>
    <w:link w:val="Tit6Car"/>
    <w:qFormat/>
    <w:pPr>
      <w:numPr>
        <w:ilvl w:val="0"/>
        <w:numId w:val="66"/>
      </w:numPr>
      <w:tabs>
        <w:tab w:val="clear" w:pos="709"/>
        <w:tab w:val="left" w:pos="851"/>
      </w:tabs>
      <w:outlineLvl w:val="4"/>
    </w:pPr>
  </w:style>
  <w:style w:type="paragraph" w:customStyle="1" w:styleId="Parraf5">
    <w:name w:val="Parraf.5"/>
    <w:basedOn w:val="Parraf4"/>
    <w:link w:val="Parraf5Car"/>
    <w:qFormat/>
    <w:rPr>
      <w:lang w:val="es-ES" w:eastAsia="es-ES"/>
    </w:rPr>
  </w:style>
  <w:style w:type="character" w:customStyle="1" w:styleId="Tit6Car">
    <w:name w:val="Tit. 6 Car"/>
    <w:basedOn w:val="Tit4Car"/>
    <w:link w:val="Tit6"/>
    <w:qFormat/>
    <w:rPr>
      <w:rFonts w:ascii="Tahoma" w:eastAsia="Times New Roman" w:hAnsi="Tahoma" w:cs="Times New Roman"/>
      <w:b/>
      <w:bCs/>
      <w:spacing w:val="-4"/>
      <w:kern w:val="28"/>
      <w:lang w:val="zh-CN" w:eastAsia="es-ES"/>
    </w:rPr>
  </w:style>
  <w:style w:type="paragraph" w:customStyle="1" w:styleId="TT1">
    <w:name w:val="TT1"/>
    <w:basedOn w:val="Tit1"/>
    <w:link w:val="TT1Car"/>
    <w:qFormat/>
    <w:pPr>
      <w:numPr>
        <w:numId w:val="67"/>
      </w:numPr>
    </w:pPr>
    <w:rPr>
      <w:rFonts w:cs="Tahoma"/>
    </w:rPr>
  </w:style>
  <w:style w:type="character" w:customStyle="1" w:styleId="TT1Car">
    <w:name w:val="TT1 Car"/>
    <w:link w:val="TT1"/>
    <w:qFormat/>
    <w:rPr>
      <w:rFonts w:ascii="Tahoma" w:eastAsia="Times New Roman" w:hAnsi="Tahoma" w:cs="Tahoma"/>
      <w:b/>
      <w:bCs/>
      <w:spacing w:val="-4"/>
      <w:kern w:val="28"/>
      <w:lang w:val="es-ES" w:eastAsia="es-ES"/>
    </w:rPr>
  </w:style>
  <w:style w:type="paragraph" w:customStyle="1" w:styleId="TT2">
    <w:name w:val="TT2"/>
    <w:basedOn w:val="TT1"/>
    <w:link w:val="TT2Car"/>
    <w:qFormat/>
    <w:pPr>
      <w:numPr>
        <w:ilvl w:val="1"/>
      </w:numPr>
      <w:spacing w:after="0"/>
    </w:pPr>
    <w:rPr>
      <w:rFonts w:cs="Times New Roman"/>
    </w:rPr>
  </w:style>
  <w:style w:type="character" w:customStyle="1" w:styleId="TT2Car">
    <w:name w:val="TT2 Car"/>
    <w:link w:val="TT2"/>
    <w:qFormat/>
    <w:rPr>
      <w:rFonts w:ascii="Tahoma" w:eastAsia="Times New Roman" w:hAnsi="Tahoma" w:cs="Times New Roman"/>
      <w:b/>
      <w:bCs/>
      <w:spacing w:val="-4"/>
      <w:kern w:val="28"/>
      <w:lang w:val="es-ES" w:eastAsia="es-ES"/>
    </w:rPr>
  </w:style>
  <w:style w:type="paragraph" w:customStyle="1" w:styleId="TT3">
    <w:name w:val="TT3"/>
    <w:basedOn w:val="TT2"/>
    <w:link w:val="TT3Car"/>
    <w:qFormat/>
    <w:pPr>
      <w:keepLines w:val="0"/>
      <w:numPr>
        <w:ilvl w:val="2"/>
      </w:numPr>
      <w:spacing w:after="120"/>
    </w:pPr>
  </w:style>
  <w:style w:type="character" w:customStyle="1" w:styleId="TT3Car">
    <w:name w:val="TT3 Car"/>
    <w:link w:val="TT3"/>
    <w:qFormat/>
    <w:rPr>
      <w:rFonts w:ascii="Tahoma" w:eastAsia="Times New Roman" w:hAnsi="Tahoma" w:cs="Times New Roman"/>
      <w:b/>
      <w:bCs/>
      <w:spacing w:val="-4"/>
      <w:kern w:val="28"/>
      <w:lang w:val="es-ES" w:eastAsia="es-ES"/>
    </w:rPr>
  </w:style>
  <w:style w:type="paragraph" w:customStyle="1" w:styleId="TT4">
    <w:name w:val="TT4"/>
    <w:basedOn w:val="TT3"/>
    <w:qFormat/>
    <w:pPr>
      <w:numPr>
        <w:ilvl w:val="3"/>
      </w:numPr>
      <w:tabs>
        <w:tab w:val="left" w:pos="360"/>
        <w:tab w:val="left" w:pos="2410"/>
      </w:tabs>
      <w:ind w:left="4320" w:hanging="360"/>
    </w:pPr>
    <w:rPr>
      <w:lang w:val="es-PE"/>
    </w:rPr>
  </w:style>
  <w:style w:type="paragraph" w:customStyle="1" w:styleId="Parrafo20">
    <w:name w:val="Parrafo_2"/>
    <w:basedOn w:val="Normal"/>
    <w:link w:val="Parrafo2Car0"/>
    <w:qFormat/>
    <w:pPr>
      <w:spacing w:before="120" w:after="120"/>
      <w:ind w:left="1418" w:right="170"/>
      <w:jc w:val="both"/>
    </w:pPr>
    <w:rPr>
      <w:rFonts w:ascii="Tahoma" w:eastAsia="Times New Roman" w:hAnsi="Tahoma" w:cs="Times New Roman"/>
      <w:sz w:val="20"/>
      <w:szCs w:val="20"/>
      <w:lang w:eastAsia="es-ES"/>
    </w:rPr>
  </w:style>
  <w:style w:type="character" w:customStyle="1" w:styleId="Parrafo2Car0">
    <w:name w:val="Parrafo_2 Car"/>
    <w:link w:val="Parrafo20"/>
    <w:qFormat/>
    <w:rPr>
      <w:rFonts w:ascii="Tahoma" w:eastAsia="Times New Roman" w:hAnsi="Tahoma" w:cs="Times New Roman"/>
      <w:lang w:val="zh-CN" w:eastAsia="es-ES"/>
    </w:rPr>
  </w:style>
  <w:style w:type="character" w:customStyle="1" w:styleId="Parraf5Car">
    <w:name w:val="Parraf.5 Car"/>
    <w:link w:val="Parraf5"/>
    <w:qFormat/>
    <w:rPr>
      <w:rFonts w:ascii="Tahoma" w:eastAsia="Times New Roman" w:hAnsi="Tahoma" w:cs="Times New Roman"/>
      <w:lang w:val="es-ES" w:eastAsia="es-ES"/>
    </w:rPr>
  </w:style>
  <w:style w:type="paragraph" w:customStyle="1" w:styleId="Parraf40">
    <w:name w:val="Parraf 4"/>
    <w:basedOn w:val="Parraf3"/>
    <w:link w:val="Parraf4Car0"/>
    <w:qFormat/>
    <w:pPr>
      <w:ind w:left="992"/>
    </w:pPr>
  </w:style>
  <w:style w:type="character" w:customStyle="1" w:styleId="Parraf4Car0">
    <w:name w:val="Parraf 4 Car"/>
    <w:link w:val="Parraf40"/>
    <w:qFormat/>
    <w:rPr>
      <w:rFonts w:ascii="Tahoma" w:eastAsia="Times New Roman" w:hAnsi="Tahoma" w:cs="Times New Roman"/>
      <w:lang w:val="zh-CN" w:eastAsia="zh-CN"/>
    </w:rPr>
  </w:style>
  <w:style w:type="paragraph" w:customStyle="1" w:styleId="Tit4A">
    <w:name w:val="Tit.4_A"/>
    <w:basedOn w:val="Tit4"/>
    <w:link w:val="Tit4ACar"/>
    <w:qFormat/>
    <w:pPr>
      <w:numPr>
        <w:ilvl w:val="0"/>
        <w:numId w:val="68"/>
      </w:numPr>
      <w:tabs>
        <w:tab w:val="clear" w:pos="709"/>
        <w:tab w:val="left" w:pos="284"/>
      </w:tabs>
    </w:pPr>
  </w:style>
  <w:style w:type="character" w:customStyle="1" w:styleId="Tit4ACar">
    <w:name w:val="Tit.4_A Car"/>
    <w:link w:val="Tit4A"/>
    <w:qFormat/>
    <w:rPr>
      <w:rFonts w:ascii="Tahoma" w:eastAsia="Times New Roman" w:hAnsi="Tahoma" w:cs="Times New Roman"/>
      <w:b/>
      <w:bCs/>
      <w:spacing w:val="-4"/>
      <w:kern w:val="28"/>
      <w:lang w:val="zh-CN" w:eastAsia="es-ES"/>
    </w:rPr>
  </w:style>
  <w:style w:type="paragraph" w:customStyle="1" w:styleId="Tit5a">
    <w:name w:val="Tit.5_a"/>
    <w:basedOn w:val="Tit6"/>
    <w:next w:val="Parraf5"/>
    <w:link w:val="Tit5aCar"/>
    <w:qFormat/>
    <w:pPr>
      <w:numPr>
        <w:numId w:val="0"/>
      </w:numPr>
      <w:tabs>
        <w:tab w:val="clear" w:pos="851"/>
      </w:tabs>
    </w:pPr>
  </w:style>
  <w:style w:type="character" w:customStyle="1" w:styleId="Tit5aCar">
    <w:name w:val="Tit.5_a Car"/>
    <w:link w:val="Tit5a"/>
    <w:qFormat/>
    <w:rPr>
      <w:rFonts w:ascii="Tahoma" w:eastAsia="Times New Roman" w:hAnsi="Tahoma" w:cs="Times New Roman"/>
      <w:b/>
      <w:bCs/>
      <w:spacing w:val="-4"/>
      <w:kern w:val="28"/>
      <w:lang w:val="zh-CN" w:eastAsia="es-ES"/>
    </w:rPr>
  </w:style>
  <w:style w:type="paragraph" w:customStyle="1" w:styleId="Tit5">
    <w:name w:val="Tit. 5"/>
    <w:basedOn w:val="Tit4"/>
    <w:link w:val="Tit5Car"/>
    <w:qFormat/>
    <w:pPr>
      <w:numPr>
        <w:ilvl w:val="4"/>
      </w:numPr>
      <w:tabs>
        <w:tab w:val="clear" w:pos="2552"/>
        <w:tab w:val="left" w:pos="2693"/>
      </w:tabs>
    </w:pPr>
  </w:style>
  <w:style w:type="character" w:customStyle="1" w:styleId="Tit5Car">
    <w:name w:val="Tit. 5 Car"/>
    <w:basedOn w:val="Tit4Car"/>
    <w:link w:val="Tit5"/>
    <w:qFormat/>
    <w:rPr>
      <w:rFonts w:ascii="Tahoma" w:eastAsia="Times New Roman" w:hAnsi="Tahoma" w:cs="Times New Roman"/>
      <w:b/>
      <w:bCs/>
      <w:spacing w:val="-4"/>
      <w:kern w:val="28"/>
      <w:lang w:val="zh-CN" w:eastAsia="es-ES"/>
    </w:rPr>
  </w:style>
  <w:style w:type="paragraph" w:customStyle="1" w:styleId="Parrafo1">
    <w:name w:val="Parrafo 1"/>
    <w:basedOn w:val="Normal"/>
    <w:link w:val="Parrafo1Car"/>
    <w:qFormat/>
    <w:pPr>
      <w:spacing w:before="120" w:after="120"/>
      <w:ind w:left="720" w:right="170"/>
      <w:jc w:val="both"/>
    </w:pPr>
    <w:rPr>
      <w:rFonts w:ascii="Tahoma" w:eastAsia="Times New Roman" w:hAnsi="Tahoma" w:cs="Times New Roman"/>
      <w:iCs/>
      <w:sz w:val="20"/>
      <w:szCs w:val="20"/>
      <w:lang w:eastAsia="es-ES"/>
    </w:rPr>
  </w:style>
  <w:style w:type="character" w:customStyle="1" w:styleId="Parrafo1Car">
    <w:name w:val="Parrafo 1 Car"/>
    <w:link w:val="Parrafo1"/>
    <w:qFormat/>
    <w:rPr>
      <w:rFonts w:ascii="Tahoma" w:eastAsia="Times New Roman" w:hAnsi="Tahoma" w:cs="Times New Roman"/>
      <w:iCs/>
      <w:lang w:val="zh-CN" w:eastAsia="es-ES"/>
    </w:rPr>
  </w:style>
  <w:style w:type="paragraph" w:customStyle="1" w:styleId="PT1">
    <w:name w:val="PT1"/>
    <w:basedOn w:val="Parrafo1"/>
    <w:link w:val="PT1Car"/>
    <w:qFormat/>
    <w:pPr>
      <w:ind w:left="426"/>
    </w:pPr>
  </w:style>
  <w:style w:type="character" w:customStyle="1" w:styleId="PT1Car">
    <w:name w:val="PT1 Car"/>
    <w:link w:val="PT1"/>
    <w:qFormat/>
    <w:rPr>
      <w:rFonts w:ascii="Tahoma" w:eastAsia="Times New Roman" w:hAnsi="Tahoma" w:cs="Times New Roman"/>
      <w:iCs/>
      <w:lang w:val="zh-CN" w:eastAsia="es-ES"/>
    </w:rPr>
  </w:style>
  <w:style w:type="paragraph" w:customStyle="1" w:styleId="Parraf30">
    <w:name w:val="Parraf 3"/>
    <w:basedOn w:val="Parrafo2"/>
    <w:link w:val="Parraf3Car0"/>
    <w:qFormat/>
    <w:pPr>
      <w:autoSpaceDE/>
      <w:autoSpaceDN/>
      <w:adjustRightInd/>
      <w:spacing w:before="120" w:after="120" w:line="240" w:lineRule="auto"/>
      <w:ind w:left="2124" w:right="170"/>
    </w:pPr>
    <w:rPr>
      <w:rFonts w:ascii="Tahoma" w:hAnsi="Tahoma" w:cs="Times New Roman"/>
      <w:sz w:val="20"/>
      <w:szCs w:val="20"/>
      <w:lang w:val="zh-CN" w:eastAsia="es-ES"/>
    </w:rPr>
  </w:style>
  <w:style w:type="character" w:customStyle="1" w:styleId="Parraf3Car0">
    <w:name w:val="Parraf 3 Car"/>
    <w:link w:val="Parraf30"/>
    <w:qFormat/>
    <w:rPr>
      <w:rFonts w:ascii="Tahoma" w:eastAsia="Times New Roman" w:hAnsi="Tahoma" w:cs="Times New Roman"/>
      <w:lang w:val="zh-CN" w:eastAsia="es-ES"/>
    </w:rPr>
  </w:style>
  <w:style w:type="paragraph" w:customStyle="1" w:styleId="Parrafo30">
    <w:name w:val="Parrafo3"/>
    <w:basedOn w:val="Normal"/>
    <w:qFormat/>
    <w:pPr>
      <w:tabs>
        <w:tab w:val="left" w:pos="0"/>
      </w:tabs>
      <w:spacing w:line="240" w:lineRule="exact"/>
      <w:ind w:left="360"/>
      <w:jc w:val="both"/>
    </w:pPr>
    <w:rPr>
      <w:rFonts w:ascii="Tahoma" w:eastAsia="Times New Roman" w:hAnsi="Tahoma" w:cs="Tahoma"/>
      <w:sz w:val="20"/>
      <w:szCs w:val="20"/>
      <w:lang w:eastAsia="es-ES"/>
    </w:rPr>
  </w:style>
  <w:style w:type="paragraph" w:customStyle="1" w:styleId="subtitulo1">
    <w:name w:val="subtitulo1"/>
    <w:basedOn w:val="Normal"/>
    <w:qFormat/>
    <w:pPr>
      <w:numPr>
        <w:numId w:val="69"/>
      </w:numPr>
      <w:tabs>
        <w:tab w:val="left" w:pos="284"/>
      </w:tabs>
      <w:spacing w:after="120"/>
      <w:jc w:val="both"/>
    </w:pPr>
    <w:rPr>
      <w:rFonts w:ascii="Tahoma" w:eastAsia="Times New Roman" w:hAnsi="Tahoma" w:cs="Tahoma"/>
      <w:b/>
      <w:sz w:val="20"/>
      <w:szCs w:val="20"/>
      <w:lang w:eastAsia="es-ES"/>
    </w:rPr>
  </w:style>
  <w:style w:type="paragraph" w:customStyle="1" w:styleId="Subtitulo2">
    <w:name w:val="Subtitulo2"/>
    <w:basedOn w:val="Sangra2detindependiente"/>
    <w:qFormat/>
    <w:pPr>
      <w:numPr>
        <w:ilvl w:val="1"/>
        <w:numId w:val="69"/>
      </w:numPr>
      <w:autoSpaceDE/>
      <w:autoSpaceDN/>
      <w:adjustRightInd/>
      <w:spacing w:line="240" w:lineRule="auto"/>
      <w:jc w:val="both"/>
    </w:pPr>
    <w:rPr>
      <w:rFonts w:ascii="Tahoma" w:hAnsi="Tahoma" w:cs="Tahoma"/>
      <w:b/>
      <w:sz w:val="20"/>
      <w:szCs w:val="20"/>
      <w:lang w:eastAsia="es-ES"/>
    </w:rPr>
  </w:style>
  <w:style w:type="paragraph" w:customStyle="1" w:styleId="Subtitulo3">
    <w:name w:val="Subtitulo3"/>
    <w:basedOn w:val="Normal"/>
    <w:qFormat/>
    <w:pPr>
      <w:numPr>
        <w:ilvl w:val="2"/>
        <w:numId w:val="69"/>
      </w:numPr>
      <w:spacing w:after="120"/>
      <w:jc w:val="both"/>
    </w:pPr>
    <w:rPr>
      <w:rFonts w:ascii="Tahoma" w:eastAsia="Times New Roman" w:hAnsi="Tahoma" w:cs="Tahoma"/>
      <w:b/>
      <w:sz w:val="20"/>
      <w:szCs w:val="20"/>
      <w:lang w:eastAsia="es-ES"/>
    </w:rPr>
  </w:style>
  <w:style w:type="paragraph" w:customStyle="1" w:styleId="Subtitulo4">
    <w:name w:val="Subtitulo4"/>
    <w:basedOn w:val="Normal"/>
    <w:qFormat/>
    <w:pPr>
      <w:numPr>
        <w:ilvl w:val="3"/>
        <w:numId w:val="69"/>
      </w:numPr>
      <w:spacing w:line="240" w:lineRule="exact"/>
      <w:jc w:val="both"/>
    </w:pPr>
    <w:rPr>
      <w:rFonts w:ascii="Tahoma" w:eastAsia="Times New Roman" w:hAnsi="Tahoma" w:cs="Tahoma"/>
      <w:b/>
      <w:sz w:val="20"/>
      <w:szCs w:val="20"/>
      <w:lang w:eastAsia="es-ES"/>
    </w:rPr>
  </w:style>
  <w:style w:type="paragraph" w:customStyle="1" w:styleId="Subtitulo5">
    <w:name w:val="Subtitulo5"/>
    <w:basedOn w:val="Prrafodelista"/>
    <w:qFormat/>
    <w:pPr>
      <w:numPr>
        <w:ilvl w:val="4"/>
        <w:numId w:val="69"/>
      </w:numPr>
      <w:spacing w:after="120"/>
      <w:jc w:val="both"/>
      <w:outlineLvl w:val="2"/>
    </w:pPr>
    <w:rPr>
      <w:rFonts w:ascii="Tahoma" w:eastAsia="Times New Roman" w:hAnsi="Tahoma" w:cs="Tahoma"/>
      <w:b/>
      <w:sz w:val="20"/>
      <w:szCs w:val="20"/>
      <w:lang w:val="es-ES" w:eastAsia="es-ES"/>
    </w:rPr>
  </w:style>
  <w:style w:type="paragraph" w:customStyle="1" w:styleId="Parrafo4">
    <w:name w:val="Parrafo4"/>
    <w:basedOn w:val="Normal"/>
    <w:qFormat/>
    <w:pPr>
      <w:spacing w:line="240" w:lineRule="exact"/>
      <w:ind w:left="567"/>
      <w:jc w:val="both"/>
    </w:pPr>
    <w:rPr>
      <w:rFonts w:ascii="Tahoma" w:eastAsia="Times New Roman" w:hAnsi="Tahoma" w:cs="Tahoma"/>
      <w:sz w:val="20"/>
      <w:szCs w:val="20"/>
      <w:lang w:eastAsia="es-ES"/>
    </w:rPr>
  </w:style>
  <w:style w:type="character" w:customStyle="1" w:styleId="Mencinsinresolver23">
    <w:name w:val="Mención sin resolver23"/>
    <w:basedOn w:val="Fuentedeprrafopredeter"/>
    <w:uiPriority w:val="99"/>
    <w:semiHidden/>
    <w:unhideWhenUsed/>
    <w:qFormat/>
    <w:rPr>
      <w:color w:val="605E5C"/>
      <w:shd w:val="clear" w:color="auto" w:fill="E1DFDD"/>
    </w:rPr>
  </w:style>
  <w:style w:type="character" w:customStyle="1" w:styleId="Mencinsinresolver24">
    <w:name w:val="Mención sin resolver24"/>
    <w:basedOn w:val="Fuentedeprrafopredeter"/>
    <w:uiPriority w:val="99"/>
    <w:semiHidden/>
    <w:unhideWhenUsed/>
    <w:qFormat/>
    <w:rPr>
      <w:color w:val="605E5C"/>
      <w:shd w:val="clear" w:color="auto" w:fill="E1DFDD"/>
    </w:rPr>
  </w:style>
  <w:style w:type="character" w:customStyle="1" w:styleId="Mencinsinresolver25">
    <w:name w:val="Mención sin resolver25"/>
    <w:basedOn w:val="Fuentedeprrafopredeter"/>
    <w:uiPriority w:val="99"/>
    <w:semiHidden/>
    <w:unhideWhenUsed/>
    <w:qFormat/>
    <w:rPr>
      <w:color w:val="605E5C"/>
      <w:shd w:val="clear" w:color="auto" w:fill="E1DFDD"/>
    </w:rPr>
  </w:style>
  <w:style w:type="character" w:customStyle="1" w:styleId="contentpasted0">
    <w:name w:val="contentpasted0"/>
    <w:basedOn w:val="Fuentedeprrafopredeter"/>
    <w:qFormat/>
  </w:style>
  <w:style w:type="paragraph" w:customStyle="1" w:styleId="BoxHeadline">
    <w:name w:val="Box Headline"/>
    <w:qFormat/>
    <w:pPr>
      <w:suppressAutoHyphens/>
      <w:spacing w:after="120"/>
      <w:jc w:val="center"/>
    </w:pPr>
    <w:rPr>
      <w:rFonts w:eastAsia="Times New Roman" w:cs="Times New Roman"/>
      <w:b/>
      <w:sz w:val="18"/>
      <w:lang w:val="en-US" w:eastAsia="es-ES"/>
    </w:rPr>
  </w:style>
  <w:style w:type="paragraph" w:customStyle="1" w:styleId="nelcasoquelaalturadelcorteypendientedeltaludimpidiesenelperfiladodeequilibrio">
    <w:name w:val="n el caso que la altura del corte y pendiente del talud impidiesen el perfilado de equilibrio"/>
    <w:basedOn w:val="Normal"/>
    <w:qFormat/>
    <w:pPr>
      <w:jc w:val="both"/>
    </w:pPr>
    <w:rPr>
      <w:rFonts w:eastAsia="Times New Roman"/>
      <w:bCs/>
      <w:color w:val="FF0000"/>
      <w:szCs w:val="18"/>
      <w:lang w:eastAsia="es-ES"/>
    </w:rPr>
  </w:style>
  <w:style w:type="paragraph" w:customStyle="1" w:styleId="PlainText1">
    <w:name w:val="Plain Text1"/>
    <w:basedOn w:val="Normal"/>
    <w:qFormat/>
    <w:pPr>
      <w:overflowPunct w:val="0"/>
      <w:autoSpaceDE w:val="0"/>
      <w:autoSpaceDN w:val="0"/>
      <w:adjustRightInd w:val="0"/>
      <w:textAlignment w:val="baseline"/>
    </w:pPr>
    <w:rPr>
      <w:rFonts w:ascii="Courier New" w:eastAsia="Times New Roman" w:hAnsi="Courier New"/>
      <w:bCs/>
      <w:szCs w:val="18"/>
      <w:lang w:eastAsia="es-ES"/>
    </w:rPr>
  </w:style>
  <w:style w:type="paragraph" w:customStyle="1" w:styleId="BodyText32">
    <w:name w:val="Body Text 32"/>
    <w:basedOn w:val="Normal"/>
    <w:qFormat/>
    <w:pPr>
      <w:overflowPunct w:val="0"/>
      <w:autoSpaceDE w:val="0"/>
      <w:autoSpaceDN w:val="0"/>
      <w:adjustRightInd w:val="0"/>
      <w:jc w:val="both"/>
      <w:textAlignment w:val="baseline"/>
    </w:pPr>
    <w:rPr>
      <w:rFonts w:ascii="Arial Narrow" w:eastAsia="Times New Roman" w:hAnsi="Arial Narrow"/>
      <w:bCs/>
      <w:sz w:val="18"/>
      <w:szCs w:val="18"/>
      <w:lang w:val="es-MX" w:eastAsia="es-ES"/>
    </w:rPr>
  </w:style>
  <w:style w:type="paragraph" w:customStyle="1" w:styleId="Textodeglobo1">
    <w:name w:val="Texto de globo1"/>
    <w:basedOn w:val="Normal"/>
    <w:semiHidden/>
    <w:qFormat/>
    <w:rPr>
      <w:rFonts w:ascii="Tahoma" w:eastAsia="Times New Roman" w:hAnsi="Tahoma" w:cs="Tahoma"/>
      <w:bCs/>
      <w:sz w:val="16"/>
      <w:szCs w:val="16"/>
      <w:lang w:val="es-ES" w:eastAsia="es-ES"/>
    </w:rPr>
  </w:style>
  <w:style w:type="paragraph" w:customStyle="1" w:styleId="VietadePrimerOrden">
    <w:name w:val="Viñeta de Primer Orden"/>
    <w:basedOn w:val="Normal"/>
    <w:qFormat/>
    <w:pPr>
      <w:tabs>
        <w:tab w:val="left" w:pos="1080"/>
      </w:tabs>
      <w:spacing w:after="200"/>
      <w:ind w:left="1080" w:hanging="360"/>
      <w:jc w:val="both"/>
    </w:pPr>
    <w:rPr>
      <w:rFonts w:eastAsia="Times New Roman"/>
      <w:bCs/>
      <w:snapToGrid w:val="0"/>
      <w:color w:val="000000"/>
      <w:szCs w:val="18"/>
      <w:lang w:val="es-ES" w:eastAsia="es-ES"/>
    </w:rPr>
  </w:style>
  <w:style w:type="paragraph" w:customStyle="1" w:styleId="VietadeTercerOrden">
    <w:name w:val="Viñeta de Tercer Orden"/>
    <w:basedOn w:val="Normal"/>
    <w:qFormat/>
    <w:pPr>
      <w:tabs>
        <w:tab w:val="left" w:pos="1074"/>
      </w:tabs>
      <w:spacing w:after="200"/>
      <w:ind w:left="1071" w:hanging="283"/>
      <w:jc w:val="both"/>
    </w:pPr>
    <w:rPr>
      <w:rFonts w:eastAsia="Times New Roman"/>
      <w:bCs/>
      <w:snapToGrid w:val="0"/>
      <w:color w:val="000000"/>
      <w:sz w:val="21"/>
      <w:szCs w:val="18"/>
      <w:lang w:val="es-ES" w:eastAsia="es-ES"/>
    </w:rPr>
  </w:style>
  <w:style w:type="paragraph" w:customStyle="1" w:styleId="EstiloFiguraNegrita">
    <w:name w:val="Estilo Figura + Negrita"/>
    <w:basedOn w:val="Normal"/>
    <w:qFormat/>
    <w:pPr>
      <w:tabs>
        <w:tab w:val="left" w:pos="1428"/>
      </w:tabs>
      <w:ind w:left="1428" w:hanging="720"/>
    </w:pPr>
    <w:rPr>
      <w:rFonts w:eastAsia="Times New Roman"/>
      <w:sz w:val="24"/>
      <w:szCs w:val="24"/>
      <w:lang w:val="es-ES" w:eastAsia="en-US"/>
    </w:rPr>
  </w:style>
  <w:style w:type="paragraph" w:customStyle="1" w:styleId="InsideAddress">
    <w:name w:val="Inside Address"/>
    <w:basedOn w:val="Normal"/>
    <w:qFormat/>
    <w:pPr>
      <w:jc w:val="both"/>
    </w:pPr>
    <w:rPr>
      <w:rFonts w:eastAsia="Times New Roman"/>
      <w:bCs/>
      <w:sz w:val="24"/>
      <w:szCs w:val="18"/>
      <w:lang w:val="es-MX" w:eastAsia="es-ES"/>
    </w:rPr>
  </w:style>
  <w:style w:type="paragraph" w:customStyle="1" w:styleId="BodyText23">
    <w:name w:val="Body Text 23"/>
    <w:basedOn w:val="Normal"/>
    <w:qFormat/>
    <w:pPr>
      <w:widowControl w:val="0"/>
      <w:overflowPunct w:val="0"/>
      <w:autoSpaceDE w:val="0"/>
      <w:autoSpaceDN w:val="0"/>
      <w:adjustRightInd w:val="0"/>
      <w:spacing w:after="240"/>
      <w:jc w:val="both"/>
      <w:textAlignment w:val="baseline"/>
    </w:pPr>
    <w:rPr>
      <w:rFonts w:eastAsia="Times New Roman"/>
      <w:bCs/>
      <w:sz w:val="24"/>
      <w:szCs w:val="18"/>
      <w:lang w:val="es-ES" w:eastAsia="es-ES"/>
    </w:rPr>
  </w:style>
  <w:style w:type="paragraph" w:customStyle="1" w:styleId="pelota1">
    <w:name w:val="pelota"/>
    <w:basedOn w:val="Normal"/>
    <w:qFormat/>
    <w:pPr>
      <w:spacing w:before="100" w:beforeAutospacing="1" w:after="100" w:afterAutospacing="1"/>
    </w:pPr>
    <w:rPr>
      <w:rFonts w:ascii="Arial Unicode MS" w:eastAsia="Arial Unicode MS" w:hAnsi="Arial Unicode MS" w:cs="Arial Unicode MS"/>
      <w:bCs/>
      <w:sz w:val="24"/>
      <w:szCs w:val="24"/>
      <w:lang w:val="es-ES" w:eastAsia="es-ES"/>
    </w:rPr>
  </w:style>
  <w:style w:type="paragraph" w:customStyle="1" w:styleId="Asuntodelcomentario1">
    <w:name w:val="Asunto del comentario1"/>
    <w:basedOn w:val="Textocomentario"/>
    <w:next w:val="Textocomentario"/>
    <w:semiHidden/>
    <w:qFormat/>
    <w:rPr>
      <w:rFonts w:eastAsia="Times New Roman"/>
      <w:b/>
      <w:sz w:val="22"/>
      <w:szCs w:val="18"/>
      <w:lang w:val="es-ES" w:eastAsia="es-ES"/>
    </w:rPr>
  </w:style>
  <w:style w:type="character" w:customStyle="1" w:styleId="EstiloCorreo741">
    <w:name w:val="EstiloCorreo741"/>
    <w:basedOn w:val="Fuentedeprrafopredeter"/>
    <w:qFormat/>
    <w:rPr>
      <w:rFonts w:ascii="Arial" w:hAnsi="Arial" w:cs="Arial"/>
      <w:color w:val="000080"/>
    </w:rPr>
  </w:style>
  <w:style w:type="character" w:customStyle="1" w:styleId="FootnoteReference1">
    <w:name w:val="Footnote Reference1"/>
    <w:qFormat/>
    <w:rPr>
      <w:color w:val="000000"/>
    </w:rPr>
  </w:style>
  <w:style w:type="character" w:customStyle="1" w:styleId="SINGLE">
    <w:name w:val="SINGLE"/>
    <w:qFormat/>
    <w:rPr>
      <w:color w:val="000000"/>
    </w:rPr>
  </w:style>
  <w:style w:type="character" w:customStyle="1" w:styleId="Refdenotaalpie1">
    <w:name w:val="Ref. de nota al pie1"/>
    <w:qFormat/>
    <w:rPr>
      <w:color w:val="000000"/>
    </w:rPr>
  </w:style>
  <w:style w:type="paragraph" w:customStyle="1" w:styleId="bodytext240">
    <w:name w:val="bodytext24"/>
    <w:basedOn w:val="Normal"/>
    <w:qFormat/>
    <w:pPr>
      <w:spacing w:before="100" w:beforeAutospacing="1" w:after="100" w:afterAutospacing="1"/>
    </w:pPr>
    <w:rPr>
      <w:rFonts w:eastAsia="Times New Roman"/>
      <w:bCs/>
      <w:sz w:val="24"/>
      <w:szCs w:val="24"/>
      <w:lang w:val="es-ES" w:eastAsia="es-ES"/>
    </w:rPr>
  </w:style>
  <w:style w:type="paragraph" w:customStyle="1" w:styleId="Ttulo3Hdg3Heading3aIzquierda0cmSangrafrances">
    <w:name w:val="Título 3Hdg 3Heading 3a + Izquierda:  0 cm Sangría frances..."/>
    <w:basedOn w:val="Ttulo3"/>
    <w:next w:val="Ttulo3"/>
    <w:link w:val="Ttulo3Hdg3Heading3aIzquierda0cmSangrafrancesCarCar"/>
    <w:qFormat/>
    <w:pPr>
      <w:ind w:left="993" w:hanging="993"/>
    </w:pPr>
    <w:rPr>
      <w:rFonts w:eastAsia="Times New Roman"/>
      <w:b w:val="0"/>
      <w:bCs w:val="0"/>
      <w:szCs w:val="18"/>
      <w:lang w:val="es-ES" w:eastAsia="es-ES"/>
    </w:rPr>
  </w:style>
  <w:style w:type="paragraph" w:customStyle="1" w:styleId="Style130">
    <w:name w:val="Style 13"/>
    <w:basedOn w:val="Normal"/>
    <w:qFormat/>
    <w:pPr>
      <w:widowControl w:val="0"/>
      <w:tabs>
        <w:tab w:val="right" w:leader="underscore" w:pos="7884"/>
      </w:tabs>
      <w:autoSpaceDE w:val="0"/>
      <w:autoSpaceDN w:val="0"/>
      <w:ind w:left="864"/>
    </w:pPr>
    <w:rPr>
      <w:rFonts w:ascii="Times New Roman" w:eastAsia="Times New Roman" w:hAnsi="Times New Roman" w:cs="Times New Roman"/>
      <w:sz w:val="24"/>
      <w:szCs w:val="24"/>
      <w:lang w:val="es-PE" w:eastAsia="es-ES"/>
    </w:rPr>
  </w:style>
  <w:style w:type="paragraph" w:customStyle="1" w:styleId="Style10">
    <w:name w:val="Style 10"/>
    <w:basedOn w:val="Normal"/>
    <w:qFormat/>
    <w:pPr>
      <w:widowControl w:val="0"/>
      <w:autoSpaceDE w:val="0"/>
      <w:autoSpaceDN w:val="0"/>
      <w:spacing w:before="1728" w:after="216"/>
      <w:ind w:left="5976"/>
    </w:pPr>
    <w:rPr>
      <w:rFonts w:ascii="Times New Roman" w:eastAsia="Times New Roman" w:hAnsi="Times New Roman" w:cs="Times New Roman"/>
      <w:sz w:val="24"/>
      <w:szCs w:val="24"/>
      <w:lang w:val="es-PE" w:eastAsia="es-ES"/>
    </w:rPr>
  </w:style>
  <w:style w:type="paragraph" w:customStyle="1" w:styleId="Style4">
    <w:name w:val="Style 4"/>
    <w:basedOn w:val="Normal"/>
    <w:qFormat/>
    <w:pPr>
      <w:widowControl w:val="0"/>
      <w:tabs>
        <w:tab w:val="left" w:pos="2052"/>
      </w:tabs>
      <w:autoSpaceDE w:val="0"/>
      <w:autoSpaceDN w:val="0"/>
      <w:ind w:left="1656"/>
    </w:pPr>
    <w:rPr>
      <w:rFonts w:ascii="Times New Roman" w:eastAsia="Times New Roman" w:hAnsi="Times New Roman" w:cs="Times New Roman"/>
      <w:sz w:val="24"/>
      <w:szCs w:val="24"/>
      <w:lang w:val="es-PE" w:eastAsia="es-ES"/>
    </w:rPr>
  </w:style>
  <w:style w:type="paragraph" w:customStyle="1" w:styleId="Style160">
    <w:name w:val="Style 16"/>
    <w:basedOn w:val="Normal"/>
    <w:qFormat/>
    <w:pPr>
      <w:widowControl w:val="0"/>
      <w:autoSpaceDE w:val="0"/>
      <w:autoSpaceDN w:val="0"/>
      <w:ind w:left="1656"/>
    </w:pPr>
    <w:rPr>
      <w:rFonts w:ascii="Times New Roman" w:eastAsia="Times New Roman" w:hAnsi="Times New Roman" w:cs="Times New Roman"/>
      <w:sz w:val="24"/>
      <w:szCs w:val="24"/>
      <w:lang w:val="es-PE" w:eastAsia="es-ES"/>
    </w:rPr>
  </w:style>
  <w:style w:type="paragraph" w:customStyle="1" w:styleId="Style140">
    <w:name w:val="Style 14"/>
    <w:basedOn w:val="Normal"/>
    <w:qFormat/>
    <w:pPr>
      <w:widowControl w:val="0"/>
      <w:autoSpaceDE w:val="0"/>
      <w:autoSpaceDN w:val="0"/>
      <w:spacing w:before="144"/>
      <w:ind w:left="1800" w:hanging="504"/>
      <w:jc w:val="both"/>
    </w:pPr>
    <w:rPr>
      <w:rFonts w:ascii="Times New Roman" w:eastAsia="Times New Roman" w:hAnsi="Times New Roman" w:cs="Times New Roman"/>
      <w:sz w:val="24"/>
      <w:szCs w:val="24"/>
      <w:lang w:val="es-PE" w:eastAsia="es-ES"/>
    </w:rPr>
  </w:style>
  <w:style w:type="paragraph" w:customStyle="1" w:styleId="Style180">
    <w:name w:val="Style 18"/>
    <w:basedOn w:val="Normal"/>
    <w:qFormat/>
    <w:pPr>
      <w:widowControl w:val="0"/>
      <w:autoSpaceDE w:val="0"/>
      <w:autoSpaceDN w:val="0"/>
      <w:spacing w:before="180" w:line="288" w:lineRule="atLeast"/>
      <w:ind w:left="1656"/>
    </w:pPr>
    <w:rPr>
      <w:rFonts w:ascii="Times New Roman" w:eastAsia="Times New Roman" w:hAnsi="Times New Roman" w:cs="Times New Roman"/>
      <w:sz w:val="24"/>
      <w:szCs w:val="24"/>
      <w:lang w:val="es-PE" w:eastAsia="es-ES"/>
    </w:rPr>
  </w:style>
  <w:style w:type="paragraph" w:customStyle="1" w:styleId="Style190">
    <w:name w:val="Style 19"/>
    <w:basedOn w:val="Normal"/>
    <w:qFormat/>
    <w:pPr>
      <w:widowControl w:val="0"/>
      <w:autoSpaceDE w:val="0"/>
      <w:autoSpaceDN w:val="0"/>
      <w:jc w:val="both"/>
    </w:pPr>
    <w:rPr>
      <w:rFonts w:ascii="Times New Roman" w:eastAsia="Times New Roman" w:hAnsi="Times New Roman" w:cs="Times New Roman"/>
      <w:sz w:val="24"/>
      <w:szCs w:val="24"/>
      <w:lang w:val="es-PE" w:eastAsia="es-ES"/>
    </w:rPr>
  </w:style>
  <w:style w:type="paragraph" w:customStyle="1" w:styleId="Style200">
    <w:name w:val="Style 20"/>
    <w:basedOn w:val="Normal"/>
    <w:qFormat/>
    <w:pPr>
      <w:widowControl w:val="0"/>
      <w:autoSpaceDE w:val="0"/>
      <w:autoSpaceDN w:val="0"/>
      <w:ind w:left="432" w:right="540"/>
    </w:pPr>
    <w:rPr>
      <w:rFonts w:ascii="Times New Roman" w:eastAsia="Times New Roman" w:hAnsi="Times New Roman" w:cs="Times New Roman"/>
      <w:sz w:val="24"/>
      <w:szCs w:val="24"/>
      <w:lang w:val="es-PE" w:eastAsia="es-ES"/>
    </w:rPr>
  </w:style>
  <w:style w:type="paragraph" w:customStyle="1" w:styleId="Style120">
    <w:name w:val="Style 12"/>
    <w:basedOn w:val="Normal"/>
    <w:qFormat/>
    <w:pPr>
      <w:widowControl w:val="0"/>
      <w:tabs>
        <w:tab w:val="left" w:leader="underscore" w:pos="5040"/>
        <w:tab w:val="right" w:leader="underscore" w:pos="8100"/>
      </w:tabs>
      <w:autoSpaceDE w:val="0"/>
      <w:autoSpaceDN w:val="0"/>
      <w:ind w:left="504"/>
    </w:pPr>
    <w:rPr>
      <w:rFonts w:ascii="Times New Roman" w:eastAsia="Times New Roman" w:hAnsi="Times New Roman" w:cs="Times New Roman"/>
      <w:sz w:val="24"/>
      <w:szCs w:val="24"/>
      <w:lang w:val="es-PE" w:eastAsia="es-ES"/>
    </w:rPr>
  </w:style>
  <w:style w:type="paragraph" w:customStyle="1" w:styleId="Style210">
    <w:name w:val="Style 21"/>
    <w:basedOn w:val="Normal"/>
    <w:qFormat/>
    <w:pPr>
      <w:widowControl w:val="0"/>
      <w:autoSpaceDE w:val="0"/>
      <w:autoSpaceDN w:val="0"/>
      <w:ind w:left="1368" w:hanging="288"/>
      <w:jc w:val="both"/>
    </w:pPr>
    <w:rPr>
      <w:rFonts w:ascii="Times New Roman" w:eastAsia="Times New Roman" w:hAnsi="Times New Roman" w:cs="Times New Roman"/>
      <w:sz w:val="24"/>
      <w:szCs w:val="24"/>
      <w:lang w:val="es-PE" w:eastAsia="es-ES"/>
    </w:rPr>
  </w:style>
  <w:style w:type="paragraph" w:customStyle="1" w:styleId="Style110">
    <w:name w:val="Style 11"/>
    <w:basedOn w:val="Normal"/>
    <w:qFormat/>
    <w:pPr>
      <w:widowControl w:val="0"/>
      <w:tabs>
        <w:tab w:val="right" w:leader="underscore" w:pos="8136"/>
      </w:tabs>
      <w:autoSpaceDE w:val="0"/>
      <w:autoSpaceDN w:val="0"/>
      <w:ind w:left="576"/>
    </w:pPr>
    <w:rPr>
      <w:rFonts w:ascii="Times New Roman" w:eastAsia="Times New Roman" w:hAnsi="Times New Roman" w:cs="Times New Roman"/>
      <w:sz w:val="24"/>
      <w:szCs w:val="24"/>
      <w:lang w:val="es-PE" w:eastAsia="es-ES"/>
    </w:rPr>
  </w:style>
  <w:style w:type="paragraph" w:customStyle="1" w:styleId="CM264">
    <w:name w:val="CM264"/>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51">
    <w:name w:val="CM251"/>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4">
    <w:name w:val="CM4"/>
    <w:basedOn w:val="Default"/>
    <w:next w:val="Default"/>
    <w:qFormat/>
    <w:pPr>
      <w:widowControl w:val="0"/>
      <w:spacing w:after="0" w:line="238" w:lineRule="atLeast"/>
    </w:pPr>
    <w:rPr>
      <w:rFonts w:ascii="HiddenHorzOCl" w:eastAsia="Times New Roman" w:hAnsi="HiddenHorzOCl" w:cs="Times New Roman"/>
      <w:color w:val="auto"/>
      <w:lang w:eastAsia="es-ES"/>
    </w:rPr>
  </w:style>
  <w:style w:type="paragraph" w:customStyle="1" w:styleId="CM252">
    <w:name w:val="CM252"/>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54">
    <w:name w:val="CM254"/>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13">
    <w:name w:val="CM13"/>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14">
    <w:name w:val="CM14"/>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16">
    <w:name w:val="CM16"/>
    <w:basedOn w:val="Default"/>
    <w:next w:val="Default"/>
    <w:qFormat/>
    <w:pPr>
      <w:widowControl w:val="0"/>
      <w:spacing w:after="0" w:line="236" w:lineRule="atLeast"/>
    </w:pPr>
    <w:rPr>
      <w:rFonts w:ascii="HiddenHorzOCl" w:eastAsia="Times New Roman" w:hAnsi="HiddenHorzOCl" w:cs="Times New Roman"/>
      <w:color w:val="auto"/>
      <w:lang w:eastAsia="es-ES"/>
    </w:rPr>
  </w:style>
  <w:style w:type="paragraph" w:customStyle="1" w:styleId="CM263">
    <w:name w:val="CM263"/>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61">
    <w:name w:val="CM261"/>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111">
    <w:name w:val="CM111"/>
    <w:basedOn w:val="Default"/>
    <w:next w:val="Default"/>
    <w:qFormat/>
    <w:pPr>
      <w:widowControl w:val="0"/>
      <w:spacing w:after="0" w:line="231" w:lineRule="atLeast"/>
    </w:pPr>
    <w:rPr>
      <w:rFonts w:ascii="HiddenHorzOCl" w:eastAsia="Times New Roman" w:hAnsi="HiddenHorzOCl" w:cs="Times New Roman"/>
      <w:color w:val="auto"/>
      <w:lang w:eastAsia="es-ES"/>
    </w:rPr>
  </w:style>
  <w:style w:type="paragraph" w:customStyle="1" w:styleId="CM59">
    <w:name w:val="CM59"/>
    <w:basedOn w:val="Default"/>
    <w:next w:val="Default"/>
    <w:qFormat/>
    <w:pPr>
      <w:widowControl w:val="0"/>
      <w:spacing w:after="0" w:line="280" w:lineRule="atLeast"/>
    </w:pPr>
    <w:rPr>
      <w:rFonts w:ascii="HiddenHorzOCl" w:eastAsia="Times New Roman" w:hAnsi="HiddenHorzOCl" w:cs="Times New Roman"/>
      <w:color w:val="auto"/>
      <w:lang w:eastAsia="es-ES"/>
    </w:rPr>
  </w:style>
  <w:style w:type="paragraph" w:customStyle="1" w:styleId="CM259">
    <w:name w:val="CM259"/>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53">
    <w:name w:val="CM253"/>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55">
    <w:name w:val="CM255"/>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24">
    <w:name w:val="CM24"/>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53">
    <w:name w:val="CM53"/>
    <w:basedOn w:val="Default"/>
    <w:next w:val="Default"/>
    <w:qFormat/>
    <w:pPr>
      <w:widowControl w:val="0"/>
      <w:spacing w:after="0" w:line="236" w:lineRule="atLeast"/>
    </w:pPr>
    <w:rPr>
      <w:rFonts w:ascii="HiddenHorzOCl" w:eastAsia="Times New Roman" w:hAnsi="HiddenHorzOCl" w:cs="Times New Roman"/>
      <w:color w:val="auto"/>
      <w:lang w:eastAsia="es-ES"/>
    </w:rPr>
  </w:style>
  <w:style w:type="paragraph" w:customStyle="1" w:styleId="CM124">
    <w:name w:val="CM124"/>
    <w:basedOn w:val="Default"/>
    <w:next w:val="Default"/>
    <w:pPr>
      <w:widowControl w:val="0"/>
      <w:spacing w:after="0" w:line="183" w:lineRule="atLeast"/>
    </w:pPr>
    <w:rPr>
      <w:rFonts w:ascii="HiddenHorzOCl" w:eastAsia="Times New Roman" w:hAnsi="HiddenHorzOCl" w:cs="Times New Roman"/>
      <w:color w:val="auto"/>
      <w:lang w:eastAsia="es-ES"/>
    </w:rPr>
  </w:style>
  <w:style w:type="paragraph" w:customStyle="1" w:styleId="CM258">
    <w:name w:val="CM258"/>
    <w:basedOn w:val="Default"/>
    <w:next w:val="Default"/>
    <w:pPr>
      <w:widowControl w:val="0"/>
      <w:spacing w:after="0" w:line="240" w:lineRule="auto"/>
    </w:pPr>
    <w:rPr>
      <w:rFonts w:ascii="HiddenHorzOCl" w:eastAsia="Times New Roman" w:hAnsi="HiddenHorzOCl" w:cs="Times New Roman"/>
      <w:color w:val="auto"/>
      <w:lang w:eastAsia="es-ES"/>
    </w:rPr>
  </w:style>
  <w:style w:type="paragraph" w:customStyle="1" w:styleId="CM127">
    <w:name w:val="CM127"/>
    <w:basedOn w:val="Default"/>
    <w:next w:val="Default"/>
    <w:qFormat/>
    <w:pPr>
      <w:widowControl w:val="0"/>
      <w:spacing w:after="0" w:line="233" w:lineRule="atLeast"/>
    </w:pPr>
    <w:rPr>
      <w:rFonts w:ascii="HiddenHorzOCl" w:eastAsia="Times New Roman" w:hAnsi="HiddenHorzOCl" w:cs="Times New Roman"/>
      <w:color w:val="auto"/>
      <w:lang w:eastAsia="es-ES"/>
    </w:rPr>
  </w:style>
  <w:style w:type="paragraph" w:customStyle="1" w:styleId="CM129">
    <w:name w:val="CM129"/>
    <w:basedOn w:val="Default"/>
    <w:next w:val="Default"/>
    <w:qFormat/>
    <w:pPr>
      <w:widowControl w:val="0"/>
      <w:spacing w:after="0" w:line="233" w:lineRule="atLeast"/>
    </w:pPr>
    <w:rPr>
      <w:rFonts w:ascii="HiddenHorzOCl" w:eastAsia="Times New Roman" w:hAnsi="HiddenHorzOCl" w:cs="Times New Roman"/>
      <w:color w:val="auto"/>
      <w:lang w:eastAsia="es-ES"/>
    </w:rPr>
  </w:style>
  <w:style w:type="paragraph" w:customStyle="1" w:styleId="CM130">
    <w:name w:val="CM130"/>
    <w:basedOn w:val="Default"/>
    <w:next w:val="Default"/>
    <w:qFormat/>
    <w:pPr>
      <w:widowControl w:val="0"/>
      <w:spacing w:after="0" w:line="240" w:lineRule="auto"/>
    </w:pPr>
    <w:rPr>
      <w:rFonts w:ascii="HiddenHorzOCl" w:eastAsia="Times New Roman" w:hAnsi="HiddenHorzOCl" w:cs="Times New Roman"/>
      <w:color w:val="auto"/>
      <w:lang w:eastAsia="es-ES"/>
    </w:rPr>
  </w:style>
  <w:style w:type="paragraph" w:customStyle="1" w:styleId="CM131">
    <w:name w:val="CM131"/>
    <w:basedOn w:val="Default"/>
    <w:next w:val="Default"/>
    <w:qFormat/>
    <w:pPr>
      <w:widowControl w:val="0"/>
      <w:spacing w:after="0" w:line="238" w:lineRule="atLeast"/>
    </w:pPr>
    <w:rPr>
      <w:rFonts w:ascii="HiddenHorzOCl" w:eastAsia="Times New Roman" w:hAnsi="HiddenHorzOCl" w:cs="Times New Roman"/>
      <w:color w:val="auto"/>
      <w:lang w:eastAsia="es-ES"/>
    </w:rPr>
  </w:style>
  <w:style w:type="character" w:customStyle="1" w:styleId="Ttulo3Hdg3Heading3aIzquierda0cmSangrafrancesCarCar">
    <w:name w:val="Título 3Hdg 3Heading 3a + Izquierda:  0 cm Sangría frances... Car Car"/>
    <w:basedOn w:val="Fuentedeprrafopredeter"/>
    <w:link w:val="Ttulo3Hdg3Heading3aIzquierda0cmSangrafrances"/>
    <w:qFormat/>
    <w:rPr>
      <w:rFonts w:eastAsia="Times New Roman"/>
      <w:sz w:val="22"/>
      <w:szCs w:val="18"/>
      <w:lang w:val="es-ES" w:eastAsia="es-ES"/>
    </w:rPr>
  </w:style>
  <w:style w:type="paragraph" w:customStyle="1" w:styleId="EstiloTtulo711ptSinNegrita">
    <w:name w:val="Estilo Título 7 + 11 pt Sin Negrita"/>
    <w:basedOn w:val="Textoindependienteprimerasangra2"/>
    <w:qFormat/>
    <w:pPr>
      <w:autoSpaceDE/>
      <w:autoSpaceDN/>
      <w:adjustRightInd/>
    </w:pPr>
    <w:rPr>
      <w:rFonts w:eastAsia="Times New Roman"/>
      <w:b/>
      <w:sz w:val="22"/>
      <w:szCs w:val="18"/>
      <w:lang w:val="es-ES" w:eastAsia="es-ES"/>
    </w:rPr>
  </w:style>
  <w:style w:type="paragraph" w:customStyle="1" w:styleId="EstiloTtulo711ptJustificado">
    <w:name w:val="Estilo Título 7 + 11 pt Justificado"/>
    <w:basedOn w:val="Textoindependienteprimerasangra2"/>
    <w:next w:val="Textoindependiente2"/>
    <w:qFormat/>
    <w:pPr>
      <w:autoSpaceDE/>
      <w:autoSpaceDN/>
      <w:adjustRightInd/>
      <w:jc w:val="both"/>
    </w:pPr>
    <w:rPr>
      <w:rFonts w:eastAsia="Times New Roman" w:cs="Times New Roman"/>
      <w:bCs/>
      <w:sz w:val="22"/>
      <w:szCs w:val="20"/>
      <w:lang w:val="es-ES" w:eastAsia="es-ES"/>
    </w:rPr>
  </w:style>
  <w:style w:type="paragraph" w:customStyle="1" w:styleId="Estilo20ptNegritaCentrado">
    <w:name w:val="Estilo 20 pt Negrita Centrado"/>
    <w:basedOn w:val="TDC1"/>
    <w:qFormat/>
    <w:pPr>
      <w:tabs>
        <w:tab w:val="right" w:leader="dot" w:pos="9270"/>
      </w:tabs>
      <w:spacing w:before="240" w:after="240"/>
      <w:ind w:right="-284"/>
      <w:jc w:val="center"/>
    </w:pPr>
    <w:rPr>
      <w:rFonts w:ascii="Arial" w:eastAsia="Times New Roman" w:hAnsi="Arial" w:cs="Times New Roman"/>
      <w:b w:val="0"/>
      <w:bCs w:val="0"/>
      <w:sz w:val="40"/>
      <w:szCs w:val="48"/>
      <w:lang w:val="es-PE" w:eastAsia="es-ES"/>
    </w:rPr>
  </w:style>
  <w:style w:type="paragraph" w:customStyle="1" w:styleId="EstiloSangradetextonormalSangradetindependiente11ptN">
    <w:name w:val="Estilo Sangría de texto normalSangría de tindependiente + 11 pt N..."/>
    <w:basedOn w:val="Ttulo2"/>
    <w:qFormat/>
    <w:rPr>
      <w:rFonts w:eastAsia="Times New Roman" w:cs="Arial"/>
      <w:b/>
      <w:bCs/>
      <w:szCs w:val="18"/>
      <w:lang w:eastAsia="es-ES"/>
    </w:rPr>
  </w:style>
  <w:style w:type="paragraph" w:customStyle="1" w:styleId="EstiloSangradetextonormalSangradetindependiente11ptN1">
    <w:name w:val="Estilo Sangría de texto normalSangría de tindependiente + 11 pt N...1"/>
    <w:basedOn w:val="Ttulo2"/>
    <w:qFormat/>
    <w:rPr>
      <w:rFonts w:eastAsia="Times New Roman" w:cs="Arial"/>
      <w:b/>
      <w:bCs/>
      <w:szCs w:val="18"/>
      <w:lang w:eastAsia="es-ES"/>
    </w:rPr>
  </w:style>
  <w:style w:type="paragraph" w:customStyle="1" w:styleId="EstiloTextosinformatoArialJustificado">
    <w:name w:val="Estilo Texto sin formato + Arial Justificado"/>
    <w:basedOn w:val="Ttulo3"/>
    <w:next w:val="Ttulo3"/>
    <w:qFormat/>
    <w:rPr>
      <w:rFonts w:eastAsia="Times New Roman" w:cs="Times New Roman"/>
      <w:bCs w:val="0"/>
      <w:szCs w:val="20"/>
      <w:lang w:val="es-ES" w:eastAsia="es-ES"/>
    </w:rPr>
  </w:style>
  <w:style w:type="paragraph" w:customStyle="1" w:styleId="Revisin3">
    <w:name w:val="Revisión3"/>
    <w:hidden/>
    <w:uiPriority w:val="99"/>
    <w:unhideWhenUsed/>
    <w:qFormat/>
    <w:rPr>
      <w:rFonts w:eastAsia="Arial"/>
      <w:sz w:val="22"/>
      <w:szCs w:val="22"/>
      <w:lang w:val="zh-CN" w:eastAsia="ja-JP"/>
    </w:rPr>
  </w:style>
  <w:style w:type="character" w:styleId="Mencinsinresolver">
    <w:name w:val="Unresolved Mention"/>
    <w:basedOn w:val="Fuentedeprrafopredeter"/>
    <w:uiPriority w:val="99"/>
    <w:semiHidden/>
    <w:unhideWhenUsed/>
    <w:rsid w:val="00F46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oter" Target="footer5.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30C87-22CE-484B-8C90-CC4B842C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94404</Words>
  <Characters>519222</Characters>
  <Application>Microsoft Office Word</Application>
  <DocSecurity>0</DocSecurity>
  <Lines>4326</Lines>
  <Paragraphs>1224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Pierre</dc:creator>
  <cp:lastModifiedBy>proinversion-09</cp:lastModifiedBy>
  <cp:revision>17</cp:revision>
  <cp:lastPrinted>2023-07-15T00:17:00Z</cp:lastPrinted>
  <dcterms:created xsi:type="dcterms:W3CDTF">2023-07-14T15:32:00Z</dcterms:created>
  <dcterms:modified xsi:type="dcterms:W3CDTF">2023-07-15T00:23:00Z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F9203A028939451AAB81FCCE99B0172C</vt:lpwstr>
  </property>
  <property fmtid="{D5CDD505-2E9C-101B-9397-08002B2CF9AE}" pid="4" name="_NewReviewCycle">
    <vt:lpwstr/>
  </property>
</Properties>
</file>