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8" w:rsidRPr="004E5745" w:rsidRDefault="00785758" w:rsidP="00D4498D">
      <w:pPr>
        <w:pStyle w:val="Textoindependiente"/>
        <w:shd w:val="clear" w:color="auto" w:fill="FFFFFF"/>
        <w:tabs>
          <w:tab w:val="clear" w:pos="0"/>
          <w:tab w:val="clear" w:pos="567"/>
          <w:tab w:val="clear" w:pos="1134"/>
          <w:tab w:val="clear" w:pos="1701"/>
          <w:tab w:val="clear" w:pos="1843"/>
          <w:tab w:val="clear" w:pos="2268"/>
          <w:tab w:val="clear" w:pos="2835"/>
        </w:tabs>
        <w:spacing w:before="2160" w:line="257" w:lineRule="auto"/>
        <w:ind w:right="0"/>
        <w:jc w:val="center"/>
        <w:rPr>
          <w:b/>
          <w:bCs/>
          <w:sz w:val="36"/>
          <w:u w:val="single"/>
          <w:lang w:val="es-PE"/>
        </w:rPr>
      </w:pPr>
      <w:bookmarkStart w:id="0" w:name="_GoBack"/>
      <w:bookmarkEnd w:id="0"/>
      <w:r w:rsidRPr="004E5745">
        <w:rPr>
          <w:b/>
          <w:bCs/>
          <w:sz w:val="36"/>
          <w:u w:val="single"/>
          <w:lang w:val="es-PE"/>
        </w:rPr>
        <w:t xml:space="preserve">Anexo N° </w:t>
      </w:r>
      <w:r w:rsidR="003D3121" w:rsidRPr="004E5745">
        <w:rPr>
          <w:b/>
          <w:bCs/>
          <w:sz w:val="36"/>
          <w:u w:val="single"/>
          <w:lang w:val="es-PE"/>
        </w:rPr>
        <w:t>7</w:t>
      </w:r>
    </w:p>
    <w:p w:rsidR="00785758" w:rsidRPr="004E5745" w:rsidRDefault="00785758" w:rsidP="00D4498D">
      <w:pPr>
        <w:pStyle w:val="Textoindependiente"/>
        <w:shd w:val="clear" w:color="auto" w:fill="FFFFFF"/>
        <w:spacing w:before="1800" w:line="257" w:lineRule="auto"/>
        <w:ind w:right="0"/>
        <w:jc w:val="center"/>
        <w:rPr>
          <w:b/>
          <w:bCs/>
          <w:smallCaps/>
          <w:sz w:val="32"/>
          <w:szCs w:val="32"/>
          <w:lang w:val="es-PE"/>
        </w:rPr>
      </w:pPr>
      <w:r w:rsidRPr="004E5745">
        <w:rPr>
          <w:b/>
          <w:bCs/>
          <w:smallCaps/>
          <w:sz w:val="32"/>
          <w:szCs w:val="32"/>
          <w:lang w:val="es-PE"/>
        </w:rPr>
        <w:t xml:space="preserve">Contrato de Concesión </w:t>
      </w:r>
      <w:r w:rsidR="004E5745">
        <w:rPr>
          <w:b/>
          <w:bCs/>
          <w:smallCaps/>
          <w:sz w:val="32"/>
          <w:szCs w:val="32"/>
          <w:lang w:val="es-PE"/>
        </w:rPr>
        <w:t>SGT</w:t>
      </w:r>
    </w:p>
    <w:p w:rsidR="00A63422" w:rsidRDefault="0061468D" w:rsidP="00D4498D">
      <w:pPr>
        <w:pStyle w:val="Encabezado"/>
        <w:tabs>
          <w:tab w:val="clear" w:pos="4252"/>
          <w:tab w:val="clear" w:pos="8504"/>
        </w:tabs>
        <w:spacing w:line="257" w:lineRule="auto"/>
        <w:jc w:val="center"/>
        <w:outlineLvl w:val="0"/>
        <w:rPr>
          <w:b/>
          <w:bCs/>
          <w:smallCaps/>
          <w:sz w:val="32"/>
          <w:szCs w:val="32"/>
          <w:lang w:val="es-PE"/>
        </w:rPr>
      </w:pPr>
      <w:r>
        <w:rPr>
          <w:b/>
          <w:bCs/>
          <w:smallCaps/>
          <w:sz w:val="32"/>
          <w:szCs w:val="32"/>
          <w:lang w:val="es-PE"/>
        </w:rPr>
        <w:t>“Línea de Transmisión 220 kV Machupicchu-Quencoro-Onocora-Tintaya y Subestaciones Asociadas”</w:t>
      </w:r>
    </w:p>
    <w:p w:rsidR="00785758" w:rsidRPr="004E5745" w:rsidRDefault="00785758" w:rsidP="00D4498D">
      <w:pPr>
        <w:pStyle w:val="Textoindependiente"/>
        <w:shd w:val="clear" w:color="auto" w:fill="FFFFFF"/>
        <w:spacing w:before="960" w:line="257" w:lineRule="auto"/>
        <w:ind w:right="0"/>
        <w:jc w:val="center"/>
        <w:rPr>
          <w:b/>
          <w:bCs/>
          <w:sz w:val="28"/>
          <w:szCs w:val="28"/>
          <w:lang w:val="es-PE"/>
        </w:rPr>
      </w:pPr>
      <w:r w:rsidRPr="004E5745">
        <w:rPr>
          <w:b/>
          <w:bCs/>
          <w:sz w:val="28"/>
          <w:szCs w:val="28"/>
          <w:lang w:val="es-PE"/>
        </w:rPr>
        <w:t>(</w:t>
      </w:r>
      <w:r w:rsidR="00780352">
        <w:rPr>
          <w:b/>
          <w:bCs/>
          <w:sz w:val="28"/>
          <w:szCs w:val="28"/>
          <w:lang w:val="es-PE"/>
        </w:rPr>
        <w:t>Segunda</w:t>
      </w:r>
      <w:r w:rsidR="005F0B80">
        <w:rPr>
          <w:b/>
          <w:bCs/>
          <w:sz w:val="28"/>
          <w:szCs w:val="28"/>
          <w:lang w:val="es-PE"/>
        </w:rPr>
        <w:t xml:space="preserve"> </w:t>
      </w:r>
      <w:r w:rsidRPr="004E5745">
        <w:rPr>
          <w:b/>
          <w:bCs/>
          <w:sz w:val="28"/>
          <w:szCs w:val="28"/>
          <w:lang w:val="es-PE"/>
        </w:rPr>
        <w:t>Versión)</w:t>
      </w:r>
    </w:p>
    <w:p w:rsidR="00785758" w:rsidRPr="00DD16AE" w:rsidRDefault="00785758" w:rsidP="00D4498D">
      <w:pPr>
        <w:pStyle w:val="Textoindependiente"/>
        <w:shd w:val="clear" w:color="auto" w:fill="FFFFFF"/>
        <w:spacing w:before="2400" w:line="257" w:lineRule="auto"/>
        <w:ind w:right="0"/>
        <w:jc w:val="center"/>
        <w:rPr>
          <w:b/>
          <w:sz w:val="24"/>
          <w:lang w:val="es-PE"/>
        </w:rPr>
      </w:pPr>
      <w:r w:rsidRPr="00DD16AE">
        <w:rPr>
          <w:b/>
          <w:sz w:val="24"/>
          <w:lang w:val="es-PE"/>
        </w:rPr>
        <w:t xml:space="preserve">Lima, </w:t>
      </w:r>
      <w:r w:rsidR="00780352">
        <w:rPr>
          <w:b/>
          <w:sz w:val="24"/>
          <w:lang w:val="es-PE"/>
        </w:rPr>
        <w:t>1</w:t>
      </w:r>
      <w:r w:rsidR="00CC75D3">
        <w:rPr>
          <w:b/>
          <w:sz w:val="24"/>
          <w:lang w:val="es-PE"/>
        </w:rPr>
        <w:t>9</w:t>
      </w:r>
      <w:r w:rsidR="002506CB">
        <w:rPr>
          <w:b/>
          <w:sz w:val="24"/>
          <w:lang w:val="es-PE"/>
        </w:rPr>
        <w:t xml:space="preserve"> de </w:t>
      </w:r>
      <w:r w:rsidR="00CC75D3">
        <w:rPr>
          <w:b/>
          <w:sz w:val="24"/>
          <w:lang w:val="es-PE"/>
        </w:rPr>
        <w:t>junio</w:t>
      </w:r>
      <w:r w:rsidR="00CC75D3" w:rsidRPr="00DD16AE">
        <w:rPr>
          <w:b/>
          <w:color w:val="000000"/>
          <w:sz w:val="24"/>
          <w:lang w:val="es-PE"/>
        </w:rPr>
        <w:t xml:space="preserve"> </w:t>
      </w:r>
      <w:r w:rsidRPr="00DD16AE">
        <w:rPr>
          <w:b/>
          <w:sz w:val="24"/>
          <w:lang w:val="es-PE"/>
        </w:rPr>
        <w:t xml:space="preserve">de </w:t>
      </w:r>
      <w:r w:rsidRPr="00DD16AE">
        <w:rPr>
          <w:b/>
          <w:color w:val="000000"/>
          <w:sz w:val="24"/>
          <w:lang w:val="es-PE"/>
        </w:rPr>
        <w:t>20</w:t>
      </w:r>
      <w:r w:rsidR="00C95C28" w:rsidRPr="00DD16AE">
        <w:rPr>
          <w:b/>
          <w:color w:val="000000"/>
          <w:sz w:val="24"/>
          <w:lang w:val="es-PE"/>
        </w:rPr>
        <w:t>1</w:t>
      </w:r>
      <w:r w:rsidR="004764CC">
        <w:rPr>
          <w:b/>
          <w:color w:val="000000"/>
          <w:sz w:val="24"/>
          <w:lang w:val="es-PE"/>
        </w:rPr>
        <w:t>2</w:t>
      </w:r>
    </w:p>
    <w:p w:rsidR="00780352" w:rsidRPr="00780352" w:rsidRDefault="00780352" w:rsidP="00D4498D">
      <w:pPr>
        <w:spacing w:line="257" w:lineRule="auto"/>
        <w:rPr>
          <w:rFonts w:ascii="Arial" w:hAnsi="Arial"/>
          <w:sz w:val="22"/>
          <w:szCs w:val="22"/>
        </w:rPr>
      </w:pPr>
    </w:p>
    <w:p w:rsidR="00780352" w:rsidRPr="00780352" w:rsidRDefault="00780352" w:rsidP="00D4498D">
      <w:pPr>
        <w:tabs>
          <w:tab w:val="clear" w:pos="567"/>
          <w:tab w:val="clear" w:pos="1134"/>
          <w:tab w:val="clear" w:pos="1701"/>
          <w:tab w:val="clear" w:pos="2268"/>
          <w:tab w:val="clear" w:pos="2835"/>
          <w:tab w:val="left" w:pos="8273"/>
        </w:tabs>
        <w:spacing w:line="257" w:lineRule="auto"/>
        <w:rPr>
          <w:rFonts w:ascii="Arial" w:hAnsi="Arial"/>
          <w:sz w:val="22"/>
          <w:szCs w:val="22"/>
        </w:rPr>
      </w:pPr>
      <w:r>
        <w:rPr>
          <w:rFonts w:ascii="Arial" w:hAnsi="Arial"/>
          <w:sz w:val="22"/>
          <w:szCs w:val="22"/>
        </w:rPr>
        <w:tab/>
      </w:r>
    </w:p>
    <w:p w:rsidR="00FD2283" w:rsidRDefault="00785758" w:rsidP="00D4498D">
      <w:pPr>
        <w:tabs>
          <w:tab w:val="clear" w:pos="567"/>
          <w:tab w:val="clear" w:pos="1134"/>
          <w:tab w:val="clear" w:pos="1701"/>
          <w:tab w:val="clear" w:pos="2268"/>
          <w:tab w:val="clear" w:pos="2835"/>
          <w:tab w:val="center" w:pos="4536"/>
          <w:tab w:val="left" w:pos="7635"/>
        </w:tabs>
        <w:spacing w:before="600" w:after="480" w:line="257" w:lineRule="auto"/>
        <w:jc w:val="center"/>
        <w:rPr>
          <w:rFonts w:ascii="Arial" w:hAnsi="Arial"/>
          <w:b/>
          <w:sz w:val="28"/>
          <w:szCs w:val="28"/>
        </w:rPr>
      </w:pPr>
      <w:r w:rsidRPr="00780352">
        <w:rPr>
          <w:rFonts w:ascii="Arial" w:hAnsi="Arial"/>
          <w:sz w:val="22"/>
          <w:szCs w:val="22"/>
        </w:rPr>
        <w:br w:type="page"/>
      </w:r>
      <w:r w:rsidRPr="004E5745">
        <w:rPr>
          <w:rFonts w:ascii="Arial" w:hAnsi="Arial"/>
          <w:b/>
          <w:sz w:val="28"/>
          <w:szCs w:val="28"/>
        </w:rPr>
        <w:lastRenderedPageBreak/>
        <w:t>Índice</w:t>
      </w:r>
    </w:p>
    <w:tbl>
      <w:tblPr>
        <w:tblW w:w="0" w:type="auto"/>
        <w:tblLook w:val="01E0" w:firstRow="1" w:lastRow="1" w:firstColumn="1" w:lastColumn="1" w:noHBand="0" w:noVBand="0"/>
      </w:tblPr>
      <w:tblGrid>
        <w:gridCol w:w="650"/>
        <w:gridCol w:w="6785"/>
        <w:gridCol w:w="1402"/>
      </w:tblGrid>
      <w:tr w:rsidR="0027708C" w:rsidRPr="001E6A67" w:rsidTr="008B3F6C">
        <w:trPr>
          <w:trHeight w:val="20"/>
        </w:trPr>
        <w:tc>
          <w:tcPr>
            <w:tcW w:w="7435" w:type="dxa"/>
            <w:gridSpan w:val="2"/>
          </w:tcPr>
          <w:p w:rsidR="0027708C" w:rsidRPr="001E6A67" w:rsidRDefault="0027708C" w:rsidP="00D4498D">
            <w:pPr>
              <w:spacing w:before="40" w:after="120" w:line="257" w:lineRule="auto"/>
              <w:rPr>
                <w:rFonts w:ascii="Arial" w:hAnsi="Arial"/>
                <w:color w:val="000000"/>
                <w:sz w:val="21"/>
                <w:szCs w:val="21"/>
              </w:rPr>
            </w:pPr>
            <w:r w:rsidRPr="001E6A67">
              <w:rPr>
                <w:rFonts w:ascii="Arial" w:hAnsi="Arial"/>
                <w:b/>
                <w:color w:val="000000"/>
                <w:sz w:val="21"/>
                <w:szCs w:val="21"/>
              </w:rPr>
              <w:t>Pliego de firmas</w:t>
            </w:r>
          </w:p>
        </w:tc>
        <w:tc>
          <w:tcPr>
            <w:tcW w:w="1402" w:type="dxa"/>
          </w:tcPr>
          <w:p w:rsidR="0027708C" w:rsidRPr="001E6A67" w:rsidRDefault="0027708C" w:rsidP="00D4498D">
            <w:pPr>
              <w:spacing w:before="40" w:after="120" w:line="257" w:lineRule="auto"/>
              <w:jc w:val="center"/>
              <w:rPr>
                <w:rFonts w:ascii="Arial" w:hAnsi="Arial"/>
                <w:color w:val="000000"/>
                <w:sz w:val="21"/>
                <w:szCs w:val="21"/>
              </w:rPr>
            </w:pPr>
            <w:r w:rsidRPr="00301F79">
              <w:rPr>
                <w:rFonts w:ascii="Arial" w:hAnsi="Arial"/>
                <w:b/>
                <w:color w:val="000000"/>
                <w:sz w:val="21"/>
                <w:szCs w:val="21"/>
              </w:rPr>
              <w:t>Pág</w:t>
            </w:r>
            <w:r w:rsidRPr="001E6A67">
              <w:rPr>
                <w:rFonts w:ascii="Arial" w:hAnsi="Arial"/>
                <w:color w:val="000000"/>
                <w:sz w:val="21"/>
                <w:szCs w:val="21"/>
              </w:rPr>
              <w:t>.</w:t>
            </w: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Disposiciones preliminares.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Declaraciones de las Partes.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Objeto, vigencia y plazo del Contrato.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Construcción.</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Operación comercial.</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Contratos con terceros.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Contratos de seguro.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8.</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Régimen tarifario.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9.</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Financiamiento de la Concesión.</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10.</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Responsabilidad contractual.</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6139D8" w:rsidRPr="001E6A67" w:rsidTr="008B3F6C">
        <w:trPr>
          <w:trHeight w:val="20"/>
        </w:trPr>
        <w:tc>
          <w:tcPr>
            <w:tcW w:w="650" w:type="dxa"/>
          </w:tcPr>
          <w:p w:rsidR="006139D8" w:rsidRPr="001E6A67" w:rsidRDefault="006139D8" w:rsidP="00D4498D">
            <w:pPr>
              <w:spacing w:before="40" w:after="20" w:line="257" w:lineRule="auto"/>
              <w:jc w:val="right"/>
              <w:rPr>
                <w:rFonts w:ascii="Arial" w:hAnsi="Arial"/>
                <w:color w:val="000000"/>
                <w:sz w:val="21"/>
                <w:szCs w:val="21"/>
              </w:rPr>
            </w:pPr>
            <w:r>
              <w:rPr>
                <w:rFonts w:ascii="Arial" w:hAnsi="Arial"/>
                <w:color w:val="000000"/>
                <w:sz w:val="21"/>
                <w:szCs w:val="21"/>
              </w:rPr>
              <w:t>11.</w:t>
            </w:r>
          </w:p>
        </w:tc>
        <w:tc>
          <w:tcPr>
            <w:tcW w:w="6785" w:type="dxa"/>
          </w:tcPr>
          <w:p w:rsidR="006139D8" w:rsidRPr="001E6A67" w:rsidRDefault="006139D8" w:rsidP="00D4498D">
            <w:pPr>
              <w:spacing w:before="40" w:after="20" w:line="257" w:lineRule="auto"/>
              <w:rPr>
                <w:rFonts w:ascii="Arial" w:hAnsi="Arial"/>
                <w:color w:val="000000"/>
                <w:sz w:val="21"/>
                <w:szCs w:val="21"/>
              </w:rPr>
            </w:pPr>
            <w:r>
              <w:rPr>
                <w:rFonts w:ascii="Arial" w:hAnsi="Arial"/>
                <w:color w:val="000000"/>
                <w:sz w:val="21"/>
                <w:szCs w:val="21"/>
              </w:rPr>
              <w:t>Penalidades</w:t>
            </w:r>
          </w:p>
        </w:tc>
        <w:tc>
          <w:tcPr>
            <w:tcW w:w="1402" w:type="dxa"/>
          </w:tcPr>
          <w:p w:rsidR="006139D8" w:rsidRPr="001E6A67" w:rsidRDefault="006139D8" w:rsidP="00D4498D">
            <w:pPr>
              <w:spacing w:before="40" w:after="20" w:line="257" w:lineRule="auto"/>
              <w:jc w:val="center"/>
              <w:rPr>
                <w:rFonts w:ascii="Arial" w:hAnsi="Arial"/>
                <w:color w:val="000000"/>
                <w:sz w:val="21"/>
                <w:szCs w:val="21"/>
              </w:rPr>
            </w:pPr>
          </w:p>
        </w:tc>
      </w:tr>
      <w:tr w:rsidR="00401293" w:rsidRPr="001E6A67" w:rsidTr="008B3F6C">
        <w:trPr>
          <w:trHeight w:val="20"/>
        </w:trPr>
        <w:tc>
          <w:tcPr>
            <w:tcW w:w="650" w:type="dxa"/>
          </w:tcPr>
          <w:p w:rsidR="00401293" w:rsidRPr="001E6A67" w:rsidRDefault="00401293" w:rsidP="00D4498D">
            <w:pPr>
              <w:spacing w:before="40" w:after="20" w:line="257" w:lineRule="auto"/>
              <w:jc w:val="right"/>
              <w:rPr>
                <w:rFonts w:ascii="Arial" w:hAnsi="Arial"/>
                <w:color w:val="000000"/>
                <w:sz w:val="21"/>
                <w:szCs w:val="21"/>
              </w:rPr>
            </w:pPr>
            <w:r>
              <w:rPr>
                <w:rFonts w:ascii="Arial" w:hAnsi="Arial"/>
                <w:color w:val="000000"/>
                <w:sz w:val="21"/>
                <w:szCs w:val="21"/>
              </w:rPr>
              <w:t>12.</w:t>
            </w:r>
          </w:p>
        </w:tc>
        <w:tc>
          <w:tcPr>
            <w:tcW w:w="6785" w:type="dxa"/>
          </w:tcPr>
          <w:p w:rsidR="00401293" w:rsidRPr="001E6A67" w:rsidRDefault="00401293" w:rsidP="00D4498D">
            <w:pPr>
              <w:spacing w:before="40" w:after="20" w:line="257" w:lineRule="auto"/>
              <w:rPr>
                <w:rFonts w:ascii="Arial" w:hAnsi="Arial"/>
                <w:color w:val="000000"/>
                <w:sz w:val="21"/>
                <w:szCs w:val="21"/>
              </w:rPr>
            </w:pPr>
            <w:r w:rsidRPr="001E6A67">
              <w:rPr>
                <w:rFonts w:ascii="Arial" w:hAnsi="Arial"/>
                <w:color w:val="000000"/>
                <w:sz w:val="21"/>
                <w:szCs w:val="21"/>
              </w:rPr>
              <w:t>Garantías.</w:t>
            </w:r>
          </w:p>
        </w:tc>
        <w:tc>
          <w:tcPr>
            <w:tcW w:w="1402" w:type="dxa"/>
          </w:tcPr>
          <w:p w:rsidR="00401293" w:rsidRPr="001E6A67" w:rsidRDefault="00401293"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3</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Terminación del Contrato.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4</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Solución de controversias.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5</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Equilibrio económico-financiero.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6</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Miscelánea.</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40" w:line="257" w:lineRule="auto"/>
              <w:rPr>
                <w:rFonts w:ascii="Arial" w:hAnsi="Arial"/>
                <w:color w:val="000000"/>
                <w:sz w:val="21"/>
                <w:szCs w:val="21"/>
              </w:rPr>
            </w:pPr>
          </w:p>
        </w:tc>
        <w:tc>
          <w:tcPr>
            <w:tcW w:w="6785" w:type="dxa"/>
          </w:tcPr>
          <w:p w:rsidR="0027708C" w:rsidRPr="001E6A67" w:rsidRDefault="0027708C" w:rsidP="00D4498D">
            <w:pPr>
              <w:spacing w:before="40" w:after="40" w:line="257" w:lineRule="auto"/>
              <w:rPr>
                <w:rFonts w:ascii="Arial" w:hAnsi="Arial"/>
                <w:color w:val="000000"/>
                <w:sz w:val="21"/>
                <w:szCs w:val="21"/>
              </w:rPr>
            </w:pPr>
          </w:p>
        </w:tc>
        <w:tc>
          <w:tcPr>
            <w:tcW w:w="1402" w:type="dxa"/>
          </w:tcPr>
          <w:p w:rsidR="0027708C" w:rsidRPr="001E6A67" w:rsidRDefault="0027708C" w:rsidP="00D4498D">
            <w:pPr>
              <w:spacing w:before="40" w:after="40" w:line="257" w:lineRule="auto"/>
              <w:jc w:val="center"/>
              <w:rPr>
                <w:rFonts w:ascii="Arial" w:hAnsi="Arial"/>
                <w:color w:val="000000"/>
                <w:sz w:val="21"/>
                <w:szCs w:val="21"/>
              </w:rPr>
            </w:pPr>
          </w:p>
        </w:tc>
      </w:tr>
      <w:tr w:rsidR="0027708C" w:rsidRPr="001E6A67" w:rsidTr="008B3F6C">
        <w:trPr>
          <w:trHeight w:val="20"/>
        </w:trPr>
        <w:tc>
          <w:tcPr>
            <w:tcW w:w="8837" w:type="dxa"/>
            <w:gridSpan w:val="3"/>
          </w:tcPr>
          <w:p w:rsidR="0027708C" w:rsidRPr="001E6A67" w:rsidRDefault="0027708C" w:rsidP="00D4498D">
            <w:pPr>
              <w:spacing w:before="40" w:after="120" w:line="257" w:lineRule="auto"/>
              <w:rPr>
                <w:rFonts w:ascii="Arial" w:hAnsi="Arial"/>
                <w:b/>
                <w:color w:val="000000"/>
                <w:sz w:val="22"/>
                <w:szCs w:val="22"/>
              </w:rPr>
            </w:pPr>
            <w:r w:rsidRPr="001E6A67">
              <w:rPr>
                <w:rFonts w:ascii="Arial" w:hAnsi="Arial"/>
                <w:b/>
                <w:color w:val="000000"/>
                <w:sz w:val="22"/>
                <w:szCs w:val="22"/>
              </w:rPr>
              <w:t>Anexos</w:t>
            </w: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Especificaciones del proyecto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Procedimiento de verificación</w:t>
            </w:r>
            <w:r>
              <w:rPr>
                <w:rFonts w:ascii="Arial" w:hAnsi="Arial"/>
                <w:color w:val="000000"/>
                <w:sz w:val="21"/>
                <w:szCs w:val="21"/>
              </w:rPr>
              <w:t xml:space="preserve"> de la Línea Eléctrica</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Definiciones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Fiel Cumplimiento</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4-A</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Operación</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Telecomunicaciones.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Formularios 4, 4-A</w:t>
            </w:r>
            <w:r>
              <w:rPr>
                <w:rFonts w:ascii="Arial" w:hAnsi="Arial"/>
                <w:color w:val="000000"/>
                <w:sz w:val="21"/>
                <w:szCs w:val="21"/>
              </w:rPr>
              <w:t xml:space="preserve"> y</w:t>
            </w:r>
            <w:r w:rsidRPr="001E6A67">
              <w:rPr>
                <w:rFonts w:ascii="Arial" w:hAnsi="Arial"/>
                <w:color w:val="000000"/>
                <w:sz w:val="21"/>
                <w:szCs w:val="21"/>
              </w:rPr>
              <w:t xml:space="preserve"> 4-B.</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Plazos para el desarrollo del proyecto.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E61287" w:rsidRPr="001E6A67" w:rsidTr="008B3F6C">
        <w:trPr>
          <w:trHeight w:val="20"/>
        </w:trPr>
        <w:tc>
          <w:tcPr>
            <w:tcW w:w="650" w:type="dxa"/>
          </w:tcPr>
          <w:p w:rsidR="003F0100" w:rsidRPr="003F0100" w:rsidRDefault="00E61287" w:rsidP="00D4498D">
            <w:pPr>
              <w:spacing w:before="40" w:after="20" w:line="257" w:lineRule="auto"/>
              <w:rPr>
                <w:rFonts w:ascii="Arial" w:hAnsi="Arial"/>
                <w:color w:val="000000"/>
                <w:sz w:val="21"/>
                <w:szCs w:val="21"/>
              </w:rPr>
            </w:pPr>
            <w:r w:rsidRPr="003F0100">
              <w:rPr>
                <w:rFonts w:ascii="Arial" w:hAnsi="Arial"/>
                <w:color w:val="000000"/>
                <w:sz w:val="21"/>
                <w:szCs w:val="21"/>
              </w:rPr>
              <w:t>8</w:t>
            </w:r>
          </w:p>
        </w:tc>
        <w:tc>
          <w:tcPr>
            <w:tcW w:w="6785" w:type="dxa"/>
          </w:tcPr>
          <w:p w:rsidR="003F0100" w:rsidRPr="001E6A67" w:rsidRDefault="00E61287" w:rsidP="00D4498D">
            <w:pPr>
              <w:spacing w:before="40" w:after="20" w:line="257" w:lineRule="auto"/>
              <w:rPr>
                <w:rFonts w:ascii="Arial" w:hAnsi="Arial"/>
                <w:color w:val="000000"/>
                <w:sz w:val="21"/>
                <w:szCs w:val="21"/>
              </w:rPr>
            </w:pPr>
            <w:r w:rsidRPr="001E6A67">
              <w:rPr>
                <w:rFonts w:ascii="Arial" w:hAnsi="Arial"/>
                <w:color w:val="000000"/>
                <w:sz w:val="21"/>
                <w:szCs w:val="21"/>
              </w:rPr>
              <w:t>Memoria Descriptiva</w:t>
            </w:r>
            <w:r>
              <w:rPr>
                <w:rFonts w:ascii="Arial" w:hAnsi="Arial"/>
                <w:color w:val="000000"/>
                <w:sz w:val="21"/>
                <w:szCs w:val="21"/>
              </w:rPr>
              <w:t xml:space="preserve"> de la Línea Eléctrica</w:t>
            </w:r>
          </w:p>
        </w:tc>
        <w:tc>
          <w:tcPr>
            <w:tcW w:w="1402" w:type="dxa"/>
          </w:tcPr>
          <w:p w:rsidR="00E61287" w:rsidRPr="001E6A67" w:rsidRDefault="00E61287" w:rsidP="00D4498D">
            <w:pPr>
              <w:spacing w:before="40" w:after="20" w:line="257" w:lineRule="auto"/>
              <w:jc w:val="center"/>
              <w:rPr>
                <w:rFonts w:ascii="Arial" w:hAnsi="Arial"/>
                <w:color w:val="000000"/>
                <w:sz w:val="21"/>
                <w:szCs w:val="21"/>
              </w:rPr>
            </w:pPr>
          </w:p>
        </w:tc>
      </w:tr>
      <w:tr w:rsidR="00D4498D" w:rsidRPr="001E6A67" w:rsidTr="008B3F6C">
        <w:trPr>
          <w:trHeight w:val="20"/>
        </w:trPr>
        <w:tc>
          <w:tcPr>
            <w:tcW w:w="650" w:type="dxa"/>
          </w:tcPr>
          <w:p w:rsidR="00D4498D" w:rsidRPr="003F0100" w:rsidRDefault="00D4498D" w:rsidP="00D4498D">
            <w:pPr>
              <w:spacing w:before="40" w:after="20" w:line="257" w:lineRule="auto"/>
              <w:rPr>
                <w:rFonts w:ascii="Arial" w:hAnsi="Arial"/>
                <w:color w:val="000000"/>
                <w:sz w:val="21"/>
                <w:szCs w:val="21"/>
              </w:rPr>
            </w:pPr>
            <w:r>
              <w:rPr>
                <w:rFonts w:ascii="Arial" w:hAnsi="Arial"/>
                <w:color w:val="000000"/>
                <w:sz w:val="21"/>
                <w:szCs w:val="21"/>
              </w:rPr>
              <w:t>9</w:t>
            </w:r>
          </w:p>
        </w:tc>
        <w:tc>
          <w:tcPr>
            <w:tcW w:w="6785" w:type="dxa"/>
          </w:tcPr>
          <w:p w:rsidR="00D4498D" w:rsidRPr="001E6A67" w:rsidRDefault="00D4498D" w:rsidP="00D4498D">
            <w:pPr>
              <w:spacing w:before="40" w:after="20" w:line="257" w:lineRule="auto"/>
              <w:rPr>
                <w:rFonts w:ascii="Arial" w:hAnsi="Arial"/>
                <w:color w:val="000000"/>
                <w:sz w:val="21"/>
                <w:szCs w:val="21"/>
              </w:rPr>
            </w:pPr>
            <w:r>
              <w:rPr>
                <w:rFonts w:ascii="Arial" w:hAnsi="Arial"/>
                <w:color w:val="000000"/>
                <w:sz w:val="21"/>
                <w:szCs w:val="21"/>
              </w:rPr>
              <w:t>Consulta Previa</w:t>
            </w:r>
          </w:p>
        </w:tc>
        <w:tc>
          <w:tcPr>
            <w:tcW w:w="1402" w:type="dxa"/>
          </w:tcPr>
          <w:p w:rsidR="00D4498D" w:rsidRPr="001E6A67" w:rsidRDefault="00D4498D" w:rsidP="00D4498D">
            <w:pPr>
              <w:spacing w:before="40" w:after="20" w:line="257" w:lineRule="auto"/>
              <w:jc w:val="center"/>
              <w:rPr>
                <w:rFonts w:ascii="Arial" w:hAnsi="Arial"/>
                <w:color w:val="000000"/>
                <w:sz w:val="21"/>
                <w:szCs w:val="21"/>
              </w:rPr>
            </w:pPr>
          </w:p>
        </w:tc>
      </w:tr>
    </w:tbl>
    <w:p w:rsidR="008C3760" w:rsidRPr="008B3F6C" w:rsidRDefault="008C3760" w:rsidP="00D4498D">
      <w:pPr>
        <w:spacing w:line="257" w:lineRule="auto"/>
        <w:rPr>
          <w:rFonts w:ascii="Arial" w:hAnsi="Arial"/>
          <w:color w:val="000000"/>
          <w:sz w:val="8"/>
        </w:rPr>
      </w:pPr>
    </w:p>
    <w:p w:rsidR="00F536FC" w:rsidRDefault="00785758" w:rsidP="00D4498D">
      <w:pPr>
        <w:tabs>
          <w:tab w:val="clear" w:pos="567"/>
          <w:tab w:val="clear" w:pos="1134"/>
          <w:tab w:val="clear" w:pos="1701"/>
          <w:tab w:val="clear" w:pos="2268"/>
          <w:tab w:val="clear" w:pos="2835"/>
        </w:tabs>
        <w:spacing w:before="240" w:after="240" w:line="257" w:lineRule="auto"/>
        <w:jc w:val="center"/>
        <w:rPr>
          <w:rFonts w:ascii="Arial" w:hAnsi="Arial"/>
          <w:b/>
          <w:sz w:val="28"/>
          <w:szCs w:val="28"/>
        </w:rPr>
      </w:pPr>
      <w:bookmarkStart w:id="1" w:name="_Toc400867054"/>
      <w:bookmarkStart w:id="2" w:name="_Toc401465902"/>
      <w:r w:rsidRPr="004E5745">
        <w:rPr>
          <w:rFonts w:ascii="Arial" w:hAnsi="Arial"/>
          <w:b/>
          <w:szCs w:val="22"/>
        </w:rPr>
        <w:br w:type="page"/>
      </w:r>
      <w:r w:rsidRPr="004E5745">
        <w:rPr>
          <w:rFonts w:ascii="Arial" w:hAnsi="Arial"/>
          <w:b/>
          <w:sz w:val="28"/>
          <w:szCs w:val="28"/>
        </w:rPr>
        <w:lastRenderedPageBreak/>
        <w:t>Pliego de firmas</w:t>
      </w:r>
    </w:p>
    <w:p w:rsidR="00943EC3" w:rsidRDefault="00785758" w:rsidP="00D4498D">
      <w:pPr>
        <w:spacing w:line="257" w:lineRule="auto"/>
        <w:ind w:hanging="142"/>
        <w:jc w:val="center"/>
        <w:rPr>
          <w:rFonts w:ascii="Arial" w:hAnsi="Arial"/>
          <w:b/>
          <w:sz w:val="24"/>
          <w:szCs w:val="24"/>
        </w:rPr>
      </w:pPr>
      <w:r w:rsidRPr="004E5745">
        <w:rPr>
          <w:rFonts w:ascii="Arial" w:hAnsi="Arial"/>
          <w:b/>
          <w:sz w:val="24"/>
          <w:szCs w:val="24"/>
        </w:rPr>
        <w:t xml:space="preserve">Suscripciones que se realizan antes de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D4498D">
      <w:pPr>
        <w:spacing w:after="360" w:line="257" w:lineRule="auto"/>
        <w:ind w:hanging="142"/>
        <w:jc w:val="center"/>
        <w:rPr>
          <w:rFonts w:ascii="Arial" w:hAnsi="Arial"/>
          <w:b/>
          <w:sz w:val="24"/>
          <w:szCs w:val="24"/>
        </w:rPr>
      </w:pPr>
      <w:r w:rsidRPr="004E5745">
        <w:rPr>
          <w:rFonts w:ascii="Arial" w:hAnsi="Arial"/>
          <w:b/>
          <w:sz w:val="24"/>
          <w:szCs w:val="24"/>
        </w:rPr>
        <w:t>(para presentar sobres 1 y 2):</w:t>
      </w:r>
    </w:p>
    <w:p w:rsidR="00785758" w:rsidRPr="004E5745" w:rsidRDefault="00785758" w:rsidP="00D4498D">
      <w:pPr>
        <w:spacing w:line="257" w:lineRule="auto"/>
        <w:rPr>
          <w:rFonts w:ascii="Arial" w:hAnsi="Arial"/>
        </w:rPr>
      </w:pPr>
    </w:p>
    <w:tbl>
      <w:tblPr>
        <w:tblW w:w="8413" w:type="dxa"/>
        <w:tblInd w:w="501" w:type="dxa"/>
        <w:tblLook w:val="01E0" w:firstRow="1" w:lastRow="1" w:firstColumn="1" w:lastColumn="1" w:noHBand="0" w:noVBand="0"/>
      </w:tblPr>
      <w:tblGrid>
        <w:gridCol w:w="3369"/>
        <w:gridCol w:w="791"/>
        <w:gridCol w:w="4253"/>
      </w:tblGrid>
      <w:tr w:rsidR="00785758" w:rsidRPr="004E5745">
        <w:tc>
          <w:tcPr>
            <w:tcW w:w="3369" w:type="dxa"/>
          </w:tcPr>
          <w:p w:rsidR="00785758" w:rsidRPr="004E5745" w:rsidRDefault="00785758" w:rsidP="00D4498D">
            <w:pPr>
              <w:spacing w:line="250" w:lineRule="auto"/>
              <w:rPr>
                <w:rFonts w:ascii="Arial" w:hAnsi="Arial"/>
              </w:rPr>
            </w:pPr>
            <w:r w:rsidRPr="004E5745">
              <w:rPr>
                <w:rFonts w:ascii="Arial" w:hAnsi="Arial"/>
              </w:rPr>
              <w:t xml:space="preserve">Por el Operador </w:t>
            </w:r>
            <w:r w:rsidR="00067839" w:rsidRPr="004E5745">
              <w:rPr>
                <w:rFonts w:ascii="Arial" w:hAnsi="Arial"/>
              </w:rPr>
              <w:t>C</w:t>
            </w:r>
            <w:r w:rsidRPr="004E5745">
              <w:rPr>
                <w:rFonts w:ascii="Arial" w:hAnsi="Arial"/>
              </w:rPr>
              <w:t>alificado:</w:t>
            </w: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r w:rsidRPr="004E5745">
              <w:rPr>
                <w:rFonts w:ascii="Arial" w:hAnsi="Arial"/>
              </w:rPr>
              <w:t>Por empresa que conforma el Consorcio:</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c>
          <w:tcPr>
            <w:tcW w:w="791" w:type="dxa"/>
          </w:tcPr>
          <w:p w:rsidR="00785758" w:rsidRPr="004E5745" w:rsidRDefault="00785758" w:rsidP="00D4498D">
            <w:pPr>
              <w:spacing w:line="250" w:lineRule="auto"/>
              <w:jc w:val="center"/>
              <w:rPr>
                <w:rFonts w:ascii="Arial" w:hAnsi="Arial"/>
              </w:rPr>
            </w:pPr>
          </w:p>
        </w:tc>
        <w:tc>
          <w:tcPr>
            <w:tcW w:w="4253"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r>
      <w:tr w:rsidR="00785758" w:rsidRPr="004E5745">
        <w:tc>
          <w:tcPr>
            <w:tcW w:w="3369"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 del Operador:</w:t>
            </w: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c>
          <w:tcPr>
            <w:tcW w:w="791"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c>
          <w:tcPr>
            <w:tcW w:w="791"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r>
      <w:tr w:rsidR="00785758" w:rsidRPr="004E5745">
        <w:tc>
          <w:tcPr>
            <w:tcW w:w="3369" w:type="dxa"/>
          </w:tcPr>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tc>
      </w:tr>
    </w:tbl>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jc w:val="center"/>
        <w:rPr>
          <w:rFonts w:ascii="Arial" w:hAnsi="Arial"/>
          <w:b/>
          <w:sz w:val="24"/>
          <w:szCs w:val="24"/>
        </w:rPr>
      </w:pPr>
      <w:r w:rsidRPr="004E5745">
        <w:rPr>
          <w:rFonts w:ascii="Arial" w:hAnsi="Arial"/>
          <w:b/>
          <w:sz w:val="24"/>
          <w:szCs w:val="24"/>
        </w:rPr>
        <w:t xml:space="preserve">Suscripciones que se realizan en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D4498D">
      <w:pPr>
        <w:spacing w:line="250" w:lineRule="auto"/>
        <w:rPr>
          <w:rFonts w:ascii="Arial" w:hAnsi="Arial"/>
        </w:rPr>
      </w:pPr>
    </w:p>
    <w:tbl>
      <w:tblPr>
        <w:tblW w:w="8450" w:type="dxa"/>
        <w:jc w:val="center"/>
        <w:tblInd w:w="181" w:type="dxa"/>
        <w:tblLook w:val="01E0" w:firstRow="1" w:lastRow="1" w:firstColumn="1" w:lastColumn="1" w:noHBand="0" w:noVBand="0"/>
      </w:tblPr>
      <w:tblGrid>
        <w:gridCol w:w="3347"/>
        <w:gridCol w:w="850"/>
        <w:gridCol w:w="4253"/>
      </w:tblGrid>
      <w:tr w:rsidR="00785758" w:rsidRPr="004E5745">
        <w:trPr>
          <w:jc w:val="center"/>
        </w:trPr>
        <w:tc>
          <w:tcPr>
            <w:tcW w:w="3347" w:type="dxa"/>
          </w:tcPr>
          <w:p w:rsidR="00785758" w:rsidRPr="004E5745" w:rsidRDefault="00785758" w:rsidP="00D4498D">
            <w:pPr>
              <w:spacing w:line="250" w:lineRule="auto"/>
              <w:rPr>
                <w:rFonts w:ascii="Arial" w:hAnsi="Arial"/>
              </w:rPr>
            </w:pPr>
            <w:r w:rsidRPr="004E5745">
              <w:rPr>
                <w:rFonts w:ascii="Arial" w:hAnsi="Arial"/>
              </w:rPr>
              <w:t>Por la Sociedad Concesionaria:</w:t>
            </w:r>
          </w:p>
        </w:tc>
        <w:tc>
          <w:tcPr>
            <w:tcW w:w="850"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r w:rsidRPr="004E5745">
              <w:rPr>
                <w:rFonts w:ascii="Arial" w:hAnsi="Arial"/>
              </w:rPr>
              <w:t>Por el Concedente:</w:t>
            </w:r>
          </w:p>
        </w:tc>
      </w:tr>
      <w:tr w:rsidR="00785758" w:rsidRPr="004E5745">
        <w:trPr>
          <w:jc w:val="center"/>
        </w:trPr>
        <w:tc>
          <w:tcPr>
            <w:tcW w:w="3347"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c>
          <w:tcPr>
            <w:tcW w:w="850" w:type="dxa"/>
          </w:tcPr>
          <w:p w:rsidR="00785758" w:rsidRPr="004E5745" w:rsidRDefault="00785758" w:rsidP="00D4498D">
            <w:pPr>
              <w:spacing w:line="250" w:lineRule="auto"/>
              <w:jc w:val="center"/>
              <w:rPr>
                <w:rFonts w:ascii="Arial" w:hAnsi="Arial"/>
              </w:rPr>
            </w:pPr>
          </w:p>
        </w:tc>
        <w:tc>
          <w:tcPr>
            <w:tcW w:w="4253"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r>
      <w:tr w:rsidR="00785758" w:rsidRPr="004E5745">
        <w:trPr>
          <w:jc w:val="center"/>
        </w:trPr>
        <w:tc>
          <w:tcPr>
            <w:tcW w:w="3347"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w:t>
            </w:r>
          </w:p>
        </w:tc>
        <w:tc>
          <w:tcPr>
            <w:tcW w:w="850"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 del Concedente:</w:t>
            </w:r>
          </w:p>
        </w:tc>
      </w:tr>
      <w:tr w:rsidR="00785758" w:rsidRPr="004E5745">
        <w:trPr>
          <w:jc w:val="center"/>
        </w:trPr>
        <w:tc>
          <w:tcPr>
            <w:tcW w:w="3347"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Estado de la República del Perú</w:t>
            </w: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c>
          <w:tcPr>
            <w:tcW w:w="850"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r>
      <w:tr w:rsidR="00785758" w:rsidRPr="004E5745">
        <w:trPr>
          <w:jc w:val="center"/>
        </w:trPr>
        <w:tc>
          <w:tcPr>
            <w:tcW w:w="3347" w:type="dxa"/>
            <w:tcBorders>
              <w:bottom w:val="single" w:sz="12" w:space="0" w:color="auto"/>
            </w:tcBorders>
          </w:tcPr>
          <w:p w:rsidR="00785758" w:rsidRDefault="00785758" w:rsidP="00D4498D">
            <w:pPr>
              <w:spacing w:line="250" w:lineRule="auto"/>
              <w:rPr>
                <w:rFonts w:ascii="Arial" w:hAnsi="Arial"/>
              </w:rPr>
            </w:pPr>
          </w:p>
          <w:p w:rsidR="00DF4D7E" w:rsidRPr="004E5745" w:rsidRDefault="00DF4D7E"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c>
          <w:tcPr>
            <w:tcW w:w="850"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r>
    </w:tbl>
    <w:p w:rsidR="00F536FC" w:rsidRDefault="00785758" w:rsidP="00D4498D">
      <w:pPr>
        <w:tabs>
          <w:tab w:val="clear" w:pos="567"/>
          <w:tab w:val="clear" w:pos="1134"/>
          <w:tab w:val="clear" w:pos="1701"/>
          <w:tab w:val="clear" w:pos="2268"/>
          <w:tab w:val="clear" w:pos="2835"/>
        </w:tabs>
        <w:spacing w:before="60" w:line="257" w:lineRule="auto"/>
        <w:jc w:val="center"/>
        <w:rPr>
          <w:rFonts w:ascii="Arial" w:hAnsi="Arial"/>
          <w:b/>
          <w:sz w:val="26"/>
          <w:szCs w:val="26"/>
          <w:u w:val="single"/>
        </w:rPr>
      </w:pPr>
      <w:r w:rsidRPr="004E5745">
        <w:rPr>
          <w:rFonts w:ascii="Arial" w:hAnsi="Arial"/>
          <w:u w:val="single"/>
        </w:rPr>
        <w:br w:type="page"/>
      </w:r>
      <w:bookmarkStart w:id="3" w:name="_Toc395329848"/>
      <w:bookmarkStart w:id="4" w:name="_Toc395330314"/>
      <w:bookmarkStart w:id="5" w:name="_Toc395340768"/>
      <w:bookmarkStart w:id="6" w:name="_Toc400867055"/>
      <w:bookmarkStart w:id="7" w:name="_Toc400867684"/>
      <w:bookmarkStart w:id="8" w:name="_Toc401713291"/>
      <w:bookmarkStart w:id="9" w:name="_Toc401713471"/>
      <w:bookmarkStart w:id="10" w:name="_Toc401713614"/>
      <w:bookmarkStart w:id="11" w:name="_Toc401720555"/>
      <w:bookmarkStart w:id="12" w:name="_Toc402319508"/>
      <w:bookmarkStart w:id="13" w:name="_Toc402319872"/>
      <w:bookmarkStart w:id="14" w:name="_Toc402320049"/>
      <w:bookmarkStart w:id="15" w:name="_Toc402335562"/>
      <w:bookmarkStart w:id="16" w:name="_Toc402849649"/>
      <w:bookmarkStart w:id="17" w:name="_Toc402958722"/>
      <w:bookmarkStart w:id="18" w:name="_Toc403529861"/>
      <w:bookmarkStart w:id="19" w:name="_Toc403559563"/>
      <w:bookmarkStart w:id="20" w:name="_Toc404517594"/>
      <w:bookmarkStart w:id="21" w:name="_Toc404586672"/>
      <w:bookmarkStart w:id="22" w:name="_Toc404600339"/>
      <w:bookmarkStart w:id="23" w:name="_Toc405112409"/>
      <w:bookmarkStart w:id="24" w:name="_Toc405369524"/>
      <w:bookmarkStart w:id="25" w:name="_Toc405622376"/>
      <w:bookmarkStart w:id="26" w:name="_Toc406210659"/>
      <w:bookmarkStart w:id="27" w:name="_Toc406481256"/>
      <w:bookmarkEnd w:id="1"/>
      <w:bookmarkEnd w:id="2"/>
      <w:r w:rsidRPr="004E5745">
        <w:rPr>
          <w:rFonts w:ascii="Arial" w:hAnsi="Arial"/>
          <w:b/>
          <w:sz w:val="26"/>
          <w:szCs w:val="26"/>
          <w:u w:val="single"/>
        </w:rPr>
        <w:lastRenderedPageBreak/>
        <w:t xml:space="preserve">Contrato de Concesión </w:t>
      </w:r>
      <w:r w:rsidR="00B45568">
        <w:rPr>
          <w:rFonts w:ascii="Arial" w:hAnsi="Arial"/>
          <w:b/>
          <w:sz w:val="26"/>
          <w:szCs w:val="26"/>
          <w:u w:val="single"/>
        </w:rPr>
        <w:t xml:space="preserve">SGT </w:t>
      </w:r>
      <w:r w:rsidR="00355E1B" w:rsidRPr="004E5745">
        <w:rPr>
          <w:rFonts w:ascii="Arial" w:hAnsi="Arial"/>
          <w:b/>
          <w:sz w:val="26"/>
          <w:szCs w:val="26"/>
          <w:u w:val="single"/>
        </w:rPr>
        <w:t xml:space="preserve">del Proyecto </w:t>
      </w:r>
    </w:p>
    <w:p w:rsidR="00785758" w:rsidRPr="004E5745" w:rsidRDefault="00355E1B" w:rsidP="00D4498D">
      <w:pPr>
        <w:tabs>
          <w:tab w:val="clear" w:pos="567"/>
          <w:tab w:val="clear" w:pos="1134"/>
          <w:tab w:val="clear" w:pos="1701"/>
          <w:tab w:val="clear" w:pos="2268"/>
          <w:tab w:val="clear" w:pos="2835"/>
        </w:tabs>
        <w:spacing w:before="60" w:line="257" w:lineRule="auto"/>
        <w:jc w:val="center"/>
        <w:rPr>
          <w:rFonts w:ascii="Arial" w:hAnsi="Arial"/>
          <w:b/>
          <w:sz w:val="26"/>
          <w:szCs w:val="26"/>
          <w:u w:val="single"/>
        </w:rPr>
      </w:pPr>
      <w:r w:rsidRPr="00577008">
        <w:rPr>
          <w:rFonts w:ascii="Arial" w:hAnsi="Arial"/>
          <w:b/>
          <w:sz w:val="26"/>
          <w:szCs w:val="26"/>
        </w:rPr>
        <w:t>“</w:t>
      </w:r>
      <w:r w:rsidR="00785758" w:rsidRPr="004E5745">
        <w:rPr>
          <w:rFonts w:ascii="Arial" w:hAnsi="Arial"/>
          <w:b/>
          <w:sz w:val="26"/>
          <w:szCs w:val="26"/>
          <w:u w:val="single"/>
        </w:rPr>
        <w:t xml:space="preserve">Línea de Transmisión </w:t>
      </w:r>
      <w:r w:rsidR="00E23BF6">
        <w:rPr>
          <w:rFonts w:ascii="Arial" w:hAnsi="Arial"/>
          <w:b/>
          <w:sz w:val="26"/>
          <w:szCs w:val="26"/>
          <w:u w:val="single"/>
        </w:rPr>
        <w:t>220 kV</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8B3F6C">
        <w:rPr>
          <w:rFonts w:ascii="Arial" w:hAnsi="Arial"/>
          <w:b/>
          <w:sz w:val="26"/>
          <w:szCs w:val="26"/>
          <w:u w:val="single"/>
        </w:rPr>
        <w:t xml:space="preserve"> </w:t>
      </w:r>
      <w:r w:rsidR="00381A94">
        <w:rPr>
          <w:rFonts w:ascii="Arial" w:hAnsi="Arial"/>
          <w:b/>
          <w:sz w:val="26"/>
          <w:szCs w:val="26"/>
          <w:u w:val="single"/>
        </w:rPr>
        <w:t xml:space="preserve"> </w:t>
      </w:r>
      <w:r w:rsidR="00E2048D">
        <w:rPr>
          <w:rFonts w:ascii="Arial" w:hAnsi="Arial"/>
          <w:b/>
          <w:sz w:val="26"/>
          <w:szCs w:val="26"/>
          <w:u w:val="single"/>
        </w:rPr>
        <w:t xml:space="preserve">Machupicchu-Quencoro-Onocora-Tintaya </w:t>
      </w:r>
      <w:r w:rsidR="00E23BF6">
        <w:rPr>
          <w:rFonts w:ascii="Arial" w:hAnsi="Arial"/>
          <w:b/>
          <w:sz w:val="26"/>
          <w:szCs w:val="26"/>
          <w:u w:val="single"/>
        </w:rPr>
        <w:t>y</w:t>
      </w:r>
      <w:r w:rsidR="00381A94">
        <w:rPr>
          <w:rFonts w:ascii="Arial" w:hAnsi="Arial"/>
          <w:b/>
          <w:sz w:val="26"/>
          <w:szCs w:val="26"/>
          <w:u w:val="single"/>
        </w:rPr>
        <w:t xml:space="preserve"> </w:t>
      </w:r>
      <w:r w:rsidR="00E23BF6">
        <w:rPr>
          <w:rFonts w:ascii="Arial" w:hAnsi="Arial"/>
          <w:b/>
          <w:sz w:val="26"/>
          <w:szCs w:val="26"/>
          <w:u w:val="single"/>
        </w:rPr>
        <w:t>Subestaciones Asociadas</w:t>
      </w:r>
      <w:r w:rsidR="00BE70D0" w:rsidRPr="00577008">
        <w:rPr>
          <w:rFonts w:ascii="Arial" w:hAnsi="Arial"/>
          <w:b/>
          <w:sz w:val="26"/>
          <w:szCs w:val="26"/>
        </w:rPr>
        <w:t>”</w:t>
      </w:r>
    </w:p>
    <w:p w:rsidR="00785758" w:rsidRPr="004E5745" w:rsidRDefault="00785758" w:rsidP="00D4498D">
      <w:pPr>
        <w:tabs>
          <w:tab w:val="clear" w:pos="567"/>
          <w:tab w:val="clear" w:pos="1134"/>
          <w:tab w:val="clear" w:pos="1701"/>
          <w:tab w:val="clear" w:pos="2268"/>
          <w:tab w:val="clear" w:pos="2835"/>
        </w:tabs>
        <w:autoSpaceDE w:val="0"/>
        <w:autoSpaceDN w:val="0"/>
        <w:adjustRightInd w:val="0"/>
        <w:spacing w:before="360" w:line="257" w:lineRule="auto"/>
        <w:jc w:val="both"/>
        <w:rPr>
          <w:rFonts w:ascii="Arial" w:eastAsia="MS Mincho" w:hAnsi="Arial"/>
          <w:sz w:val="21"/>
          <w:szCs w:val="21"/>
        </w:rPr>
      </w:pPr>
      <w:r w:rsidRPr="004E5745">
        <w:rPr>
          <w:rFonts w:ascii="Arial" w:eastAsia="MS Mincho" w:hAnsi="Arial"/>
          <w:sz w:val="21"/>
          <w:szCs w:val="21"/>
        </w:rPr>
        <w:t xml:space="preserve">Conste por el presente documento, el Contrato de Concesión de Sistema Garantizado de Transmisión </w:t>
      </w:r>
      <w:r w:rsidR="00FC087C" w:rsidRPr="004E5745">
        <w:rPr>
          <w:rFonts w:ascii="Arial" w:eastAsia="MS Mincho" w:hAnsi="Arial"/>
          <w:sz w:val="21"/>
          <w:szCs w:val="21"/>
        </w:rPr>
        <w:t xml:space="preserve">del Proyecto </w:t>
      </w:r>
      <w:r w:rsidR="0061468D">
        <w:rPr>
          <w:rFonts w:ascii="Arial" w:eastAsia="MS Mincho" w:hAnsi="Arial"/>
          <w:sz w:val="21"/>
          <w:szCs w:val="21"/>
        </w:rPr>
        <w:t>“Línea de Transmisión 220 kV Machupicchu-Quencoro-Onocora-Tintaya y Subestaciones Asociadas”</w:t>
      </w:r>
      <w:r w:rsidR="00BE70D0">
        <w:rPr>
          <w:rFonts w:ascii="Arial" w:eastAsia="MS Mincho" w:hAnsi="Arial"/>
          <w:sz w:val="21"/>
          <w:szCs w:val="21"/>
        </w:rPr>
        <w:t xml:space="preserve"> </w:t>
      </w:r>
      <w:r w:rsidRPr="004E5745">
        <w:rPr>
          <w:rFonts w:ascii="Arial" w:eastAsia="MS Mincho" w:hAnsi="Arial"/>
          <w:sz w:val="21"/>
          <w:szCs w:val="21"/>
        </w:rPr>
        <w:t xml:space="preserve">(en adelante, “Contrato”), que celebran el Estado de la República del Perú, que actúa a través del Ministerio de Energía y Minas (en adelante, el Concedente), y la </w:t>
      </w:r>
      <w:r w:rsidR="00282BE4" w:rsidRPr="004E5745">
        <w:rPr>
          <w:rFonts w:ascii="Arial" w:eastAsia="MS Mincho" w:hAnsi="Arial"/>
          <w:sz w:val="21"/>
          <w:szCs w:val="21"/>
        </w:rPr>
        <w:t xml:space="preserve">empresa </w:t>
      </w:r>
      <w:r w:rsidR="00214311" w:rsidRPr="004E5745">
        <w:rPr>
          <w:rFonts w:ascii="Arial" w:hAnsi="Arial"/>
          <w:sz w:val="21"/>
          <w:szCs w:val="21"/>
          <w:lang w:eastAsia="es-ES"/>
        </w:rPr>
        <w:t>____________________________________________</w:t>
      </w:r>
      <w:r w:rsidR="009E2C59" w:rsidRPr="004E5745">
        <w:rPr>
          <w:rFonts w:ascii="Arial" w:hAnsi="Arial"/>
          <w:sz w:val="21"/>
          <w:szCs w:val="21"/>
          <w:lang w:eastAsia="es-ES"/>
        </w:rPr>
        <w:t>_</w:t>
      </w:r>
      <w:r w:rsidR="00BB659D">
        <w:rPr>
          <w:rFonts w:ascii="Arial" w:hAnsi="Arial"/>
          <w:sz w:val="21"/>
          <w:szCs w:val="21"/>
          <w:lang w:eastAsia="es-ES"/>
        </w:rPr>
        <w:t>_________</w:t>
      </w:r>
      <w:r w:rsidR="00F11E43">
        <w:rPr>
          <w:rFonts w:ascii="Arial" w:hAnsi="Arial"/>
          <w:sz w:val="21"/>
          <w:szCs w:val="21"/>
          <w:lang w:eastAsia="es-ES"/>
        </w:rPr>
        <w:t xml:space="preserve"> </w:t>
      </w:r>
      <w:r w:rsidR="00282BE4" w:rsidRPr="004E5745">
        <w:rPr>
          <w:rFonts w:ascii="Arial" w:eastAsia="MS Mincho" w:hAnsi="Arial"/>
          <w:sz w:val="21"/>
          <w:szCs w:val="21"/>
        </w:rPr>
        <w:t xml:space="preserve">(en adelante, </w:t>
      </w:r>
      <w:r w:rsidR="00C3120B">
        <w:rPr>
          <w:rFonts w:ascii="Arial" w:eastAsia="MS Mincho" w:hAnsi="Arial"/>
          <w:sz w:val="21"/>
          <w:szCs w:val="21"/>
        </w:rPr>
        <w:t xml:space="preserve">la </w:t>
      </w:r>
      <w:r w:rsidRPr="004E5745">
        <w:rPr>
          <w:rFonts w:ascii="Arial" w:eastAsia="MS Mincho" w:hAnsi="Arial"/>
          <w:sz w:val="21"/>
          <w:szCs w:val="21"/>
        </w:rPr>
        <w:t>Sociedad Concesionaria</w:t>
      </w:r>
      <w:r w:rsidR="00282BE4" w:rsidRPr="004E5745">
        <w:rPr>
          <w:rFonts w:ascii="Arial" w:eastAsia="MS Mincho" w:hAnsi="Arial"/>
          <w:sz w:val="21"/>
          <w:szCs w:val="21"/>
        </w:rPr>
        <w:t>)</w:t>
      </w:r>
      <w:r w:rsidRPr="004E5745">
        <w:rPr>
          <w:rFonts w:ascii="Arial" w:eastAsia="MS Mincho" w:hAnsi="Arial"/>
          <w:sz w:val="21"/>
          <w:szCs w:val="21"/>
        </w:rPr>
        <w:t>; en los términos y condiciones siguientes:</w:t>
      </w:r>
    </w:p>
    <w:p w:rsidR="00785758" w:rsidRPr="004E5745" w:rsidRDefault="00785758" w:rsidP="00D4498D">
      <w:pPr>
        <w:tabs>
          <w:tab w:val="clear" w:pos="1134"/>
          <w:tab w:val="clear" w:pos="1701"/>
          <w:tab w:val="clear" w:pos="2268"/>
          <w:tab w:val="clear" w:pos="2835"/>
        </w:tabs>
        <w:spacing w:before="360" w:after="120" w:line="257" w:lineRule="auto"/>
        <w:ind w:left="567" w:hanging="567"/>
        <w:jc w:val="both"/>
        <w:rPr>
          <w:rFonts w:ascii="Arial" w:hAnsi="Arial"/>
          <w:b/>
          <w:sz w:val="24"/>
          <w:szCs w:val="24"/>
        </w:rPr>
      </w:pPr>
      <w:r w:rsidRPr="004E5745">
        <w:rPr>
          <w:rFonts w:ascii="Arial" w:hAnsi="Arial"/>
          <w:b/>
          <w:sz w:val="24"/>
          <w:szCs w:val="24"/>
        </w:rPr>
        <w:t>1.</w:t>
      </w:r>
      <w:r w:rsidRPr="004E5745">
        <w:rPr>
          <w:rFonts w:ascii="Arial" w:hAnsi="Arial"/>
          <w:b/>
          <w:sz w:val="24"/>
          <w:szCs w:val="24"/>
        </w:rPr>
        <w:tab/>
        <w:t>Disposiciones preliminares</w:t>
      </w:r>
    </w:p>
    <w:p w:rsidR="000C5FC4" w:rsidRPr="000C5FC4" w:rsidRDefault="00785758" w:rsidP="000C5FC4">
      <w:pPr>
        <w:tabs>
          <w:tab w:val="clear" w:pos="567"/>
          <w:tab w:val="clear" w:pos="1134"/>
          <w:tab w:val="clear" w:pos="1701"/>
          <w:tab w:val="clear" w:pos="2268"/>
          <w:tab w:val="clear" w:pos="2835"/>
        </w:tabs>
        <w:spacing w:line="257" w:lineRule="auto"/>
        <w:ind w:left="567" w:hanging="567"/>
        <w:jc w:val="both"/>
        <w:rPr>
          <w:rFonts w:ascii="Arial" w:hAnsi="Arial"/>
          <w:sz w:val="21"/>
          <w:szCs w:val="21"/>
          <w:lang w:eastAsia="es-ES"/>
        </w:rPr>
      </w:pPr>
      <w:r w:rsidRPr="004E5745">
        <w:rPr>
          <w:rFonts w:ascii="Arial" w:hAnsi="Arial"/>
          <w:sz w:val="21"/>
          <w:szCs w:val="21"/>
          <w:lang w:eastAsia="es-ES"/>
        </w:rPr>
        <w:t>1.1</w:t>
      </w:r>
      <w:r w:rsidRPr="004E5745">
        <w:rPr>
          <w:rFonts w:ascii="Arial" w:hAnsi="Arial"/>
          <w:sz w:val="21"/>
          <w:szCs w:val="21"/>
          <w:lang w:eastAsia="es-ES"/>
        </w:rPr>
        <w:tab/>
      </w:r>
      <w:r w:rsidR="000C5FC4" w:rsidRPr="000C5FC4">
        <w:rPr>
          <w:rFonts w:ascii="Arial" w:hAnsi="Arial"/>
          <w:sz w:val="21"/>
          <w:szCs w:val="21"/>
          <w:lang w:eastAsia="es-ES"/>
        </w:rPr>
        <w:t xml:space="preserve">El Contrato resulta del proceso de promoción que PROINVERSIÓN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Nº 059-96-PCM) y su reglamento (D.S. N° 060-96-PCM), el Decreto Legislativo que aprueba </w:t>
      </w:r>
      <w:smartTag w:uri="urn:schemas-microsoft-com:office:smarttags" w:element="PersonName">
        <w:smartTagPr>
          <w:attr w:name="ProductID" w:val="la Ley Marco"/>
        </w:smartTagPr>
        <w:r w:rsidR="000C5FC4" w:rsidRPr="000C5FC4">
          <w:rPr>
            <w:rFonts w:ascii="Arial" w:hAnsi="Arial"/>
            <w:sz w:val="21"/>
            <w:szCs w:val="21"/>
            <w:lang w:eastAsia="es-ES"/>
          </w:rPr>
          <w:t>la Ley Marco</w:t>
        </w:r>
      </w:smartTag>
      <w:r w:rsidR="000C5FC4" w:rsidRPr="000C5FC4">
        <w:rPr>
          <w:rFonts w:ascii="Arial" w:hAnsi="Arial"/>
          <w:sz w:val="21"/>
          <w:szCs w:val="21"/>
          <w:lang w:eastAsia="es-ES"/>
        </w:rPr>
        <w:t xml:space="preserve"> de Asociaciones Público - Privadas para la Generación de Empleo Productivo y dicta normas para la agilización de los procesos de promoción de la inversión privada (D. Leg. N° 1012) y su reglamento (D.S. 146-2008-EF) y otras Leyes Aplicables, así como las disposiciones y actos siguientes:</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0C5FC4">
        <w:rPr>
          <w:rFonts w:ascii="Arial" w:hAnsi="Arial"/>
          <w:sz w:val="21"/>
          <w:szCs w:val="21"/>
          <w:lang w:eastAsia="es-ES"/>
        </w:rPr>
        <w:t>La Resolución Ministerial N° 418-2008-MEM/DM, del Ministerio de Energía y Minas publicada el 08 de setiembre de 2008 que incluye el proyecto Línea de Transmisión 220 kV Onocora-Tintaya-Socabaya y la ampliación de subestaciones asociadas, en Plan Transitorio de Transmisión aprobado por R.M. N° 552-2006-MEM/DM.</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0C5FC4">
        <w:rPr>
          <w:rFonts w:ascii="Arial" w:hAnsi="Arial"/>
          <w:sz w:val="21"/>
          <w:szCs w:val="21"/>
          <w:lang w:eastAsia="es-ES"/>
        </w:rPr>
        <w:t>La Resolución Ministerial Nº 213-2011-MEM/DM, del Ministerio de Energía y Minas publicada el 05 de mayo de 2011, que aprobó el Primer Plan de Transmisión, incluyendo como proyecto vinculante la LT 220 kV Machupicchu-Quencoro-Onocora y Subestaciones asociadas.</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0C5FC4">
        <w:rPr>
          <w:rFonts w:ascii="Arial" w:hAnsi="Arial"/>
          <w:sz w:val="21"/>
          <w:szCs w:val="21"/>
          <w:lang w:eastAsia="es-ES"/>
        </w:rPr>
        <w:t>La Resolución Ministerial N° 264-2011-MEM/DM del Ministerio de Energía y Minas, publicada el 16 de junio de 2011, mediante la cual se encarga a PROINVERSIÓN la conducción del proceso de licitación hasta la adjudicación de la buena pro del proyecto denominado “Línea de Transmisión 220 kV Machupicchu-Quencoro-Onocora-Tintaya y Subestaciones Asociadas”.</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0C5FC4">
        <w:rPr>
          <w:rFonts w:ascii="Arial" w:hAnsi="Arial"/>
          <w:sz w:val="21"/>
          <w:szCs w:val="21"/>
          <w:lang w:eastAsia="es-ES"/>
        </w:rPr>
        <w:t xml:space="preserve">La Resolución Suprema Nº 039-2011-EF, del Ministerio de Economía y Finanzas, publicada el 20 de julio de 2011, que ratificó el acuerdo del Consejo Directivo de PROINVERSIÓN adoptado en su sesión de fecha 23 de junio de 2011, conforme al cual se acuerda incorporar al proceso de promoción de inversión privada el proyecto “Línea de Transmisión 220 kV Machupicchu-Quencoro-Onocora-Tintaya y Subestaciones Asociadas” (en adelante la Línea Eléctrica) bajo los mecanismos establecidos en el Decreto Legislativo N° 1012, el TUO y su Reglamento, aprobados </w:t>
      </w:r>
      <w:r w:rsidRPr="000C5FC4">
        <w:rPr>
          <w:rFonts w:ascii="Arial" w:hAnsi="Arial"/>
          <w:sz w:val="21"/>
          <w:szCs w:val="21"/>
          <w:lang w:eastAsia="es-ES"/>
        </w:rPr>
        <w:lastRenderedPageBreak/>
        <w:t>por Decretos Supremos Nos. 059-96-PCM y 060-96-PCM, respectivamente; y encargó al Comité de PROINVERSIÓN en Proyectos de Telecomunicaciones, Energía e Hidrocarburos PRO CONECTIVIDAD la conducción del proceso; y, también ratificó el acuerdo del Consejo Directivo de PROINVERSIÓN adoptado en su sesión de fecha 07 de julio de 2011, que aprueba el Plan de Promoción que regirá el Concurso.</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0C5FC4">
        <w:rPr>
          <w:rFonts w:ascii="Arial" w:hAnsi="Arial"/>
          <w:sz w:val="21"/>
          <w:szCs w:val="21"/>
          <w:lang w:eastAsia="es-ES"/>
        </w:rPr>
        <w:t>La decisión de fecha ____/____/1</w:t>
      </w:r>
      <w:r>
        <w:rPr>
          <w:rFonts w:ascii="Arial" w:hAnsi="Arial"/>
          <w:sz w:val="21"/>
          <w:szCs w:val="21"/>
          <w:lang w:eastAsia="es-ES"/>
        </w:rPr>
        <w:t>2</w:t>
      </w:r>
      <w:r w:rsidRPr="000C5FC4">
        <w:rPr>
          <w:rFonts w:ascii="Arial" w:hAnsi="Arial"/>
          <w:sz w:val="21"/>
          <w:szCs w:val="21"/>
          <w:lang w:eastAsia="es-ES"/>
        </w:rPr>
        <w:t xml:space="preserve"> adoptada por el Comité declarando la buena pro.</w:t>
      </w:r>
    </w:p>
    <w:p w:rsidR="000C5FC4" w:rsidRPr="000C5FC4" w:rsidRDefault="000C5FC4" w:rsidP="000C5FC4">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0C5FC4">
        <w:rPr>
          <w:rFonts w:ascii="Arial" w:hAnsi="Arial"/>
          <w:sz w:val="21"/>
          <w:szCs w:val="21"/>
          <w:lang w:eastAsia="es-ES"/>
        </w:rPr>
        <w:t>La Resolución Ministerial Nº ___________-201</w:t>
      </w:r>
      <w:r>
        <w:rPr>
          <w:rFonts w:ascii="Arial" w:hAnsi="Arial"/>
          <w:sz w:val="21"/>
          <w:szCs w:val="21"/>
          <w:lang w:eastAsia="es-ES"/>
        </w:rPr>
        <w:t>2</w:t>
      </w:r>
      <w:r w:rsidRPr="000C5FC4">
        <w:rPr>
          <w:rFonts w:ascii="Arial" w:hAnsi="Arial"/>
          <w:sz w:val="21"/>
          <w:szCs w:val="21"/>
          <w:lang w:eastAsia="es-ES"/>
        </w:rPr>
        <w:t>-MEM/DM, que autorizó al ______ ____________________________________________________________ a suscribir el Contrato.</w:t>
      </w:r>
    </w:p>
    <w:p w:rsidR="00785758" w:rsidRPr="004E5745" w:rsidRDefault="00785758" w:rsidP="000C5FC4">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1.2</w:t>
      </w:r>
      <w:r w:rsidRPr="004E5745">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1.3</w:t>
      </w:r>
      <w:r w:rsidRPr="004E5745">
        <w:rPr>
          <w:rFonts w:ascii="Arial" w:hAnsi="Arial"/>
          <w:sz w:val="21"/>
          <w:szCs w:val="21"/>
        </w:rPr>
        <w:tab/>
        <w:t xml:space="preserve">La suscripción del Contrato, no elimina ni afecta la obligación de la Sociedad Concesionaria, de solicitar, suscribir y cumplir, el contrato de Concesión Definitiva de Transmisión Eléctrica, que la </w:t>
      </w:r>
      <w:r w:rsidR="004C79D2" w:rsidRPr="004E5745">
        <w:rPr>
          <w:rFonts w:ascii="Arial" w:hAnsi="Arial"/>
          <w:sz w:val="21"/>
          <w:szCs w:val="21"/>
        </w:rPr>
        <w:t>S</w:t>
      </w:r>
      <w:r w:rsidRPr="004E5745">
        <w:rPr>
          <w:rFonts w:ascii="Arial" w:hAnsi="Arial"/>
          <w:sz w:val="21"/>
          <w:szCs w:val="21"/>
        </w:rPr>
        <w:t xml:space="preserve">ociedad </w:t>
      </w:r>
      <w:r w:rsidR="004C79D2" w:rsidRPr="004E5745">
        <w:rPr>
          <w:rFonts w:ascii="Arial" w:hAnsi="Arial"/>
          <w:sz w:val="21"/>
          <w:szCs w:val="21"/>
        </w:rPr>
        <w:t xml:space="preserve">Concesionaria </w:t>
      </w:r>
      <w:r w:rsidRPr="004E5745">
        <w:rPr>
          <w:rFonts w:ascii="Arial" w:hAnsi="Arial"/>
          <w:sz w:val="21"/>
          <w:szCs w:val="21"/>
        </w:rPr>
        <w:t>deberá tramitar en el Ministerio de Energía y Minas.</w:t>
      </w:r>
    </w:p>
    <w:p w:rsidR="00D46106" w:rsidRPr="004E5745" w:rsidRDefault="00785758" w:rsidP="00D4498D">
      <w:p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1.4</w:t>
      </w:r>
      <w:r w:rsidRPr="004E5745">
        <w:rPr>
          <w:rFonts w:ascii="Arial" w:hAnsi="Arial"/>
          <w:sz w:val="21"/>
          <w:szCs w:val="21"/>
        </w:rPr>
        <w:tab/>
      </w:r>
      <w:r w:rsidR="00D46106" w:rsidRPr="004E5745">
        <w:rPr>
          <w:rFonts w:ascii="Arial" w:hAnsi="Arial"/>
          <w:sz w:val="21"/>
          <w:szCs w:val="21"/>
        </w:rPr>
        <w:t>En el Contrato:</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12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tienen los significados que se indican en el Anexo </w:t>
      </w:r>
      <w:r w:rsidR="006E0BA9"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que no están definidos en el Anexo </w:t>
      </w:r>
      <w:r w:rsidR="00370A65"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Toda referencia efectuada en el Contrato a “cláusula” o “anexo” se deberá entender efectuada a cláusulas o anexos del Contrato, salvo indicación expresa en sentido contrario.</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términos en singular incluirán los mismos términos en plural y viceversa. Los términos en masculino incluyen al femenino y viceversa.</w:t>
      </w:r>
    </w:p>
    <w:p w:rsidR="00785758" w:rsidRPr="004E5745" w:rsidRDefault="00785758" w:rsidP="00D4498D">
      <w:pPr>
        <w:tabs>
          <w:tab w:val="clear" w:pos="1134"/>
          <w:tab w:val="clear" w:pos="1701"/>
          <w:tab w:val="clear" w:pos="2268"/>
          <w:tab w:val="clear" w:pos="2835"/>
        </w:tabs>
        <w:spacing w:before="360" w:after="120" w:line="257" w:lineRule="auto"/>
        <w:ind w:left="567" w:hanging="567"/>
        <w:jc w:val="both"/>
        <w:rPr>
          <w:rFonts w:ascii="Arial" w:hAnsi="Arial"/>
          <w:b/>
          <w:sz w:val="24"/>
          <w:szCs w:val="24"/>
        </w:rPr>
      </w:pPr>
      <w:r w:rsidRPr="004E5745">
        <w:rPr>
          <w:rFonts w:ascii="Arial" w:hAnsi="Arial"/>
          <w:b/>
          <w:sz w:val="24"/>
          <w:szCs w:val="24"/>
        </w:rPr>
        <w:t>2.</w:t>
      </w:r>
      <w:r w:rsidRPr="004E5745">
        <w:rPr>
          <w:rFonts w:ascii="Arial" w:hAnsi="Arial"/>
          <w:b/>
          <w:sz w:val="24"/>
          <w:szCs w:val="24"/>
        </w:rPr>
        <w:tab/>
        <w:t>Declaraciones de las Partes</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garantiza al Concedente, en la </w:t>
      </w:r>
      <w:r w:rsidR="000F6FFA" w:rsidRPr="004E5745">
        <w:rPr>
          <w:rFonts w:ascii="Arial" w:hAnsi="Arial"/>
          <w:sz w:val="21"/>
          <w:szCs w:val="21"/>
        </w:rPr>
        <w:t xml:space="preserve">fecha </w:t>
      </w:r>
      <w:r w:rsidRPr="004E5745">
        <w:rPr>
          <w:rFonts w:ascii="Arial" w:hAnsi="Arial"/>
          <w:sz w:val="21"/>
          <w:szCs w:val="21"/>
        </w:rPr>
        <w:t xml:space="preserve">de Cierre, la veracidad </w:t>
      </w:r>
      <w:r w:rsidR="00EA7FFD" w:rsidRPr="004E5745">
        <w:rPr>
          <w:rFonts w:ascii="Arial" w:hAnsi="Arial"/>
          <w:sz w:val="21"/>
          <w:szCs w:val="21"/>
        </w:rPr>
        <w:t xml:space="preserve">y exactitud </w:t>
      </w:r>
      <w:r w:rsidRPr="004E5745">
        <w:rPr>
          <w:rFonts w:ascii="Arial" w:hAnsi="Arial"/>
          <w:sz w:val="21"/>
          <w:szCs w:val="21"/>
        </w:rPr>
        <w:t>de las declaraciones siguientes:</w:t>
      </w:r>
    </w:p>
    <w:p w:rsidR="00785758" w:rsidRDefault="00785758" w:rsidP="00D4498D">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Sociedad Concesionaria y el Operador Técnico: (i) </w:t>
      </w:r>
      <w:r w:rsidR="00B82064" w:rsidRPr="004E5745">
        <w:rPr>
          <w:rFonts w:ascii="Arial" w:hAnsi="Arial"/>
          <w:color w:val="000000"/>
          <w:sz w:val="21"/>
          <w:szCs w:val="21"/>
        </w:rPr>
        <w:t>La Sociedad Concesionaria se encuentra</w:t>
      </w:r>
      <w:r w:rsidRPr="004E5745">
        <w:rPr>
          <w:rFonts w:ascii="Arial" w:hAnsi="Arial"/>
          <w:sz w:val="21"/>
          <w:szCs w:val="21"/>
        </w:rPr>
        <w:t xml:space="preserve"> debidamente </w:t>
      </w:r>
      <w:r w:rsidR="00B82064" w:rsidRPr="004E5745">
        <w:rPr>
          <w:rFonts w:ascii="Arial" w:hAnsi="Arial"/>
          <w:color w:val="000000"/>
          <w:sz w:val="21"/>
          <w:szCs w:val="21"/>
        </w:rPr>
        <w:t>constituida</w:t>
      </w:r>
      <w:r w:rsidRPr="004E5745">
        <w:rPr>
          <w:rFonts w:ascii="Arial" w:hAnsi="Arial"/>
          <w:sz w:val="21"/>
          <w:szCs w:val="21"/>
        </w:rPr>
        <w:t xml:space="preserve"> y válidamente </w:t>
      </w:r>
      <w:r w:rsidR="009B5915" w:rsidRPr="004E5745">
        <w:rPr>
          <w:rFonts w:ascii="Arial" w:hAnsi="Arial"/>
          <w:color w:val="000000"/>
          <w:sz w:val="21"/>
          <w:szCs w:val="21"/>
        </w:rPr>
        <w:t>existente</w:t>
      </w:r>
      <w:r w:rsidRPr="004E5745">
        <w:rPr>
          <w:rFonts w:ascii="Arial" w:hAnsi="Arial"/>
          <w:sz w:val="21"/>
          <w:szCs w:val="21"/>
        </w:rPr>
        <w:t xml:space="preserve"> conforme a las </w:t>
      </w:r>
      <w:r w:rsidR="000F4755" w:rsidRPr="004E5745">
        <w:rPr>
          <w:rFonts w:ascii="Arial" w:hAnsi="Arial"/>
          <w:sz w:val="21"/>
          <w:szCs w:val="21"/>
        </w:rPr>
        <w:t>Leyes Aplicables</w:t>
      </w:r>
      <w:r w:rsidR="00B82064" w:rsidRPr="004E5745">
        <w:rPr>
          <w:rFonts w:ascii="Arial" w:hAnsi="Arial"/>
          <w:color w:val="000000"/>
          <w:sz w:val="21"/>
          <w:szCs w:val="21"/>
        </w:rPr>
        <w:t>, y el Operador Técnico es una</w:t>
      </w:r>
      <w:r w:rsidRPr="004E5745">
        <w:rPr>
          <w:rFonts w:ascii="Arial" w:hAnsi="Arial"/>
          <w:color w:val="000000"/>
          <w:sz w:val="21"/>
          <w:szCs w:val="21"/>
        </w:rPr>
        <w:t xml:space="preserve"> sociedad debidamente constituida y válidamente existente conforme a las </w:t>
      </w:r>
      <w:r w:rsidR="00D222B0" w:rsidRPr="004E5745">
        <w:rPr>
          <w:rFonts w:ascii="Arial" w:hAnsi="Arial"/>
          <w:color w:val="000000"/>
          <w:sz w:val="21"/>
          <w:szCs w:val="21"/>
        </w:rPr>
        <w:t>leyes del país o lugar de su constitución</w:t>
      </w:r>
      <w:r w:rsidRPr="004E5745">
        <w:rPr>
          <w:rFonts w:ascii="Arial" w:hAnsi="Arial"/>
          <w:sz w:val="21"/>
          <w:szCs w:val="21"/>
        </w:rPr>
        <w:t xml:space="preserve">; (ii) están debidamente autorizadas y en capacidad de asumir las obligaciones que respectivamente les correspondan como consecuencia de la celebración del Contrato </w:t>
      </w:r>
      <w:r w:rsidRPr="004E5745">
        <w:rPr>
          <w:rFonts w:ascii="Arial" w:hAnsi="Arial"/>
          <w:sz w:val="21"/>
          <w:szCs w:val="21"/>
        </w:rPr>
        <w:lastRenderedPageBreak/>
        <w:t>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4E5745" w:rsidRDefault="00785758" w:rsidP="00D4498D">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La firma, entrega y cumplimiento del Contrato, por parte de la Sociedad Concesionaria y el Operador Técnico, están comprendidos dentro de sus facultades y han sido debidamente autorizados por los respectivos directorios u otros órganos similares.</w:t>
      </w:r>
    </w:p>
    <w:p w:rsidR="00785758" w:rsidRPr="004E5745" w:rsidRDefault="00785758" w:rsidP="00D4498D">
      <w:pPr>
        <w:numPr>
          <w:ilvl w:val="0"/>
          <w:numId w:val="2"/>
        </w:numPr>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No es necesaria la realización de otros actos o procedimientos por parte de la Sociedad Concesionaria para autorizar la suscripción y cumplimiento de las obligaciones que le corresponda bajo el Contrato. El Contrato ha sido debida y válidamente firmado y entregado por la Sociedad Concesionaria, y constituye obligación válida, vinculante y exigible para la Sociedad Concesionaria y para el Operador Técnico conforme a sus términos.</w:t>
      </w:r>
    </w:p>
    <w:p w:rsidR="00785758" w:rsidRDefault="00785758" w:rsidP="00D4498D">
      <w:pPr>
        <w:numPr>
          <w:ilvl w:val="0"/>
          <w:numId w:val="2"/>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No existen acciones, juicios, arbitrajes u otros procedimientos legales en curso, ni sentencias, ni decisiones de cualquier clase no ejecutadas, contra la Sociedad Concesionaria, el Operador Técnico o cualquier socio principal de ambos, que tengan por objeto prohibir</w:t>
      </w:r>
      <w:r w:rsidR="000B3291" w:rsidRPr="004E5745">
        <w:rPr>
          <w:rFonts w:ascii="Arial" w:hAnsi="Arial"/>
          <w:sz w:val="21"/>
          <w:szCs w:val="21"/>
        </w:rPr>
        <w:t>,</w:t>
      </w:r>
      <w:r w:rsidR="008357C6" w:rsidRPr="004E5745">
        <w:rPr>
          <w:rFonts w:ascii="Arial" w:hAnsi="Arial"/>
          <w:sz w:val="21"/>
          <w:szCs w:val="21"/>
        </w:rPr>
        <w:t xml:space="preserve"> </w:t>
      </w:r>
      <w:r w:rsidRPr="004E5745">
        <w:rPr>
          <w:rFonts w:ascii="Arial" w:hAnsi="Arial"/>
          <w:sz w:val="21"/>
          <w:szCs w:val="21"/>
        </w:rPr>
        <w:t>impedir o limitar el cumplimiento de los compromisos u obligaciones contemplados en el Contrato.</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El Concedente garantiza a la Sociedad Concesionaria, en la </w:t>
      </w:r>
      <w:r w:rsidR="000F6FFA" w:rsidRPr="004E5745">
        <w:rPr>
          <w:rFonts w:ascii="Arial" w:hAnsi="Arial"/>
          <w:sz w:val="21"/>
          <w:szCs w:val="21"/>
        </w:rPr>
        <w:t>f</w:t>
      </w:r>
      <w:r w:rsidRPr="004E5745">
        <w:rPr>
          <w:rFonts w:ascii="Arial" w:hAnsi="Arial"/>
          <w:sz w:val="21"/>
          <w:szCs w:val="21"/>
        </w:rPr>
        <w:t>echa de Cierre, la veracidad y exactitud de las siguientes declaraciones:</w:t>
      </w:r>
    </w:p>
    <w:p w:rsidR="00785758" w:rsidRDefault="00785758" w:rsidP="00D4498D">
      <w:pPr>
        <w:numPr>
          <w:ilvl w:val="0"/>
          <w:numId w:val="3"/>
        </w:numPr>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El Ministerio de Energía y Minas está debidamente autorizado conforme a las Leyes Aplicables para actuar </w:t>
      </w:r>
      <w:r w:rsidR="000B3291" w:rsidRPr="004E5745">
        <w:rPr>
          <w:rFonts w:ascii="Arial" w:hAnsi="Arial"/>
          <w:sz w:val="21"/>
          <w:szCs w:val="21"/>
        </w:rPr>
        <w:t>en representación del</w:t>
      </w:r>
      <w:r w:rsidRPr="004E5745">
        <w:rPr>
          <w:rFonts w:ascii="Arial" w:hAnsi="Arial"/>
          <w:sz w:val="21"/>
          <w:szCs w:val="21"/>
        </w:rPr>
        <w:t xml:space="preserve"> Concedente en el presente Contrato. La firma, entrega y cumplimiento por parte del Concedente del Contrato, están comprendidos dentro de sus facultades, son conformes a las Leyes Aplicables, y han sido debidamente autorizados por la Autoridad Gubernamental</w:t>
      </w:r>
      <w:r w:rsidR="002D7132" w:rsidRPr="004E5745">
        <w:rPr>
          <w:rFonts w:ascii="Arial" w:hAnsi="Arial"/>
          <w:sz w:val="21"/>
          <w:szCs w:val="21"/>
        </w:rPr>
        <w:t>.</w:t>
      </w:r>
    </w:p>
    <w:p w:rsidR="00785758" w:rsidRPr="004E5745" w:rsidRDefault="00785758" w:rsidP="00D4498D">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Ninguna otra acción o procedimiento por parte del Concedente o cualquier otra Autoridad Gubernamental es necesaria para autorizar la suscripción del Contrato o para el cumplimiento de las obligaciones del Concedente contempladas en el mismo. El Contrato ha sido debida y válidamente firmado por el o los representantes autorizados del Concedente y, junto con la debida autorización, firma y entrega del mismo por parte de la Sociedad Concesionaria, constituye una obligación válida y vinculante para el Concedente.</w:t>
      </w:r>
    </w:p>
    <w:p w:rsidR="0048431E" w:rsidRPr="004E5745" w:rsidRDefault="00785758" w:rsidP="00D4498D">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color w:val="000000"/>
          <w:sz w:val="21"/>
          <w:szCs w:val="21"/>
        </w:rPr>
      </w:pPr>
      <w:r w:rsidRPr="004E5745">
        <w:rPr>
          <w:rFonts w:ascii="Arial" w:hAnsi="Arial"/>
          <w:color w:val="000000"/>
          <w:sz w:val="21"/>
          <w:szCs w:val="21"/>
        </w:rPr>
        <w:t xml:space="preserve">No existen acciones, juicios, </w:t>
      </w:r>
      <w:r w:rsidR="00043619" w:rsidRPr="004E5745">
        <w:rPr>
          <w:rFonts w:ascii="Arial" w:hAnsi="Arial"/>
          <w:color w:val="000000"/>
          <w:sz w:val="21"/>
          <w:szCs w:val="21"/>
        </w:rPr>
        <w:t>arbitrajes</w:t>
      </w:r>
      <w:r w:rsidRPr="004E5745">
        <w:rPr>
          <w:rFonts w:ascii="Arial" w:hAnsi="Arial"/>
          <w:color w:val="000000"/>
          <w:sz w:val="21"/>
          <w:szCs w:val="21"/>
        </w:rPr>
        <w:t xml:space="preserve"> </w:t>
      </w:r>
      <w:r w:rsidR="009B5915" w:rsidRPr="004E5745">
        <w:rPr>
          <w:rFonts w:ascii="Arial" w:hAnsi="Arial"/>
          <w:color w:val="000000"/>
          <w:sz w:val="21"/>
          <w:szCs w:val="21"/>
        </w:rPr>
        <w:t>u otros</w:t>
      </w:r>
      <w:r w:rsidRPr="004E5745">
        <w:rPr>
          <w:rFonts w:ascii="Arial" w:hAnsi="Arial"/>
          <w:color w:val="000000"/>
          <w:sz w:val="21"/>
          <w:szCs w:val="21"/>
        </w:rPr>
        <w:t xml:space="preserve"> procedimientos </w:t>
      </w:r>
      <w:r w:rsidR="00043619" w:rsidRPr="004E5745">
        <w:rPr>
          <w:rFonts w:ascii="Arial" w:hAnsi="Arial"/>
          <w:color w:val="000000"/>
          <w:sz w:val="21"/>
          <w:szCs w:val="21"/>
        </w:rPr>
        <w:t xml:space="preserve">legales </w:t>
      </w:r>
      <w:r w:rsidRPr="004E5745">
        <w:rPr>
          <w:rFonts w:ascii="Arial" w:hAnsi="Arial"/>
          <w:color w:val="000000"/>
          <w:sz w:val="21"/>
          <w:szCs w:val="21"/>
        </w:rPr>
        <w:t>en curso</w:t>
      </w:r>
      <w:r w:rsidR="00043619" w:rsidRPr="004E5745">
        <w:rPr>
          <w:rFonts w:ascii="Arial" w:hAnsi="Arial"/>
          <w:color w:val="000000"/>
          <w:sz w:val="21"/>
          <w:szCs w:val="21"/>
        </w:rPr>
        <w:t xml:space="preserve">, ni sentencias, </w:t>
      </w:r>
      <w:r w:rsidR="0048431E" w:rsidRPr="004E5745">
        <w:rPr>
          <w:rFonts w:ascii="Arial" w:hAnsi="Arial"/>
          <w:color w:val="000000"/>
          <w:sz w:val="21"/>
          <w:szCs w:val="21"/>
        </w:rPr>
        <w:t>ni decisiones de cualquier clase no ejecutadas, contra el Concedente</w:t>
      </w:r>
      <w:r w:rsidRPr="004E5745">
        <w:rPr>
          <w:rFonts w:ascii="Arial" w:hAnsi="Arial"/>
          <w:color w:val="000000"/>
          <w:sz w:val="21"/>
          <w:szCs w:val="21"/>
        </w:rPr>
        <w:t xml:space="preserve">, que </w:t>
      </w:r>
      <w:r w:rsidR="0048431E" w:rsidRPr="004E5745">
        <w:rPr>
          <w:rFonts w:ascii="Arial" w:hAnsi="Arial"/>
          <w:color w:val="000000"/>
          <w:sz w:val="21"/>
          <w:szCs w:val="21"/>
        </w:rPr>
        <w:t xml:space="preserve">tengan por objeto </w:t>
      </w:r>
      <w:r w:rsidR="00042CDA" w:rsidRPr="004E5745">
        <w:rPr>
          <w:rFonts w:ascii="Arial" w:hAnsi="Arial"/>
          <w:color w:val="000000"/>
          <w:sz w:val="21"/>
          <w:szCs w:val="21"/>
        </w:rPr>
        <w:t>prohibir</w:t>
      </w:r>
      <w:r w:rsidRPr="004E5745">
        <w:rPr>
          <w:rFonts w:ascii="Arial" w:hAnsi="Arial"/>
          <w:color w:val="000000"/>
          <w:sz w:val="21"/>
          <w:szCs w:val="21"/>
        </w:rPr>
        <w:t xml:space="preserve">, </w:t>
      </w:r>
      <w:r w:rsidR="0048431E" w:rsidRPr="004E5745">
        <w:rPr>
          <w:rFonts w:ascii="Arial" w:hAnsi="Arial"/>
          <w:color w:val="000000"/>
          <w:sz w:val="21"/>
          <w:szCs w:val="21"/>
        </w:rPr>
        <w:t>impedir o limitar el cumplimiento de los compromisos u obligaciones contemplados en el Contrato.</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Sociedad Concesionaria garantiza al Concedente, que durante </w:t>
      </w:r>
      <w:r w:rsidR="002C4730" w:rsidRPr="004E5745">
        <w:rPr>
          <w:rFonts w:ascii="Arial" w:hAnsi="Arial"/>
          <w:sz w:val="21"/>
          <w:szCs w:val="21"/>
        </w:rPr>
        <w:t xml:space="preserve">un </w:t>
      </w:r>
      <w:r w:rsidRPr="004E5745">
        <w:rPr>
          <w:rFonts w:ascii="Arial" w:hAnsi="Arial"/>
          <w:sz w:val="21"/>
          <w:szCs w:val="21"/>
        </w:rPr>
        <w:t xml:space="preserve">período comprendido desde la </w:t>
      </w:r>
      <w:r w:rsidR="000F6FFA" w:rsidRPr="004E5745">
        <w:rPr>
          <w:rFonts w:ascii="Arial" w:hAnsi="Arial"/>
          <w:sz w:val="21"/>
          <w:szCs w:val="21"/>
        </w:rPr>
        <w:t xml:space="preserve">fecha </w:t>
      </w:r>
      <w:r w:rsidRPr="004E5745">
        <w:rPr>
          <w:rFonts w:ascii="Arial" w:hAnsi="Arial"/>
          <w:sz w:val="21"/>
          <w:szCs w:val="21"/>
        </w:rPr>
        <w:t xml:space="preserve">de Cierre y hasta que se cumpla diez (10) años de Operación Comercial </w:t>
      </w:r>
      <w:r w:rsidR="00253906" w:rsidRPr="004E5745">
        <w:rPr>
          <w:rFonts w:ascii="Arial" w:hAnsi="Arial"/>
          <w:sz w:val="21"/>
          <w:szCs w:val="21"/>
        </w:rPr>
        <w:t xml:space="preserve">de la </w:t>
      </w:r>
      <w:r w:rsidRPr="004E5745">
        <w:rPr>
          <w:rFonts w:ascii="Arial" w:hAnsi="Arial"/>
          <w:sz w:val="21"/>
          <w:szCs w:val="21"/>
        </w:rPr>
        <w:t>Línea Eléctrica, el Operador Técnico será titular de la Participación Mínima, y el responsable de las operaciones técnicas de la Concesión desde el diseño mismo de la Línea Eléctrica hasta la conclusión de dicho plazo.</w:t>
      </w:r>
    </w:p>
    <w:p w:rsidR="00785758" w:rsidRDefault="00376B5A" w:rsidP="00D4498D">
      <w:pPr>
        <w:pStyle w:val="Sangra2detindependiente"/>
        <w:widowControl w:val="0"/>
        <w:tabs>
          <w:tab w:val="clear" w:pos="1134"/>
          <w:tab w:val="clear" w:pos="1701"/>
          <w:tab w:val="clear" w:pos="2268"/>
          <w:tab w:val="clear" w:pos="2835"/>
        </w:tabs>
        <w:spacing w:before="80" w:line="250" w:lineRule="auto"/>
        <w:ind w:left="567"/>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A solicitud de la Sociedad Concesionaria, el Concedente aceptará que el Operador Técnico sea reemplazado por otra Persona antes del periodo indicado siempre que dicha persona cumpla los requisitos mínimos de </w:t>
      </w:r>
      <w:r w:rsidR="00163688" w:rsidRPr="004E5745">
        <w:rPr>
          <w:rFonts w:ascii="Arial" w:hAnsi="Arial"/>
          <w:sz w:val="21"/>
          <w:szCs w:val="21"/>
        </w:rPr>
        <w:t>calificación</w:t>
      </w:r>
      <w:r w:rsidR="00785758" w:rsidRPr="004E5745">
        <w:rPr>
          <w:rFonts w:ascii="Arial" w:hAnsi="Arial"/>
          <w:sz w:val="21"/>
          <w:szCs w:val="21"/>
        </w:rPr>
        <w:t xml:space="preserve"> previstos en las Bases del Concurso. Si el Concedente no responde la solicitud en treinta (30) Días, la solicitud se entenderá aceptada. La Base Tarifaria </w:t>
      </w:r>
      <w:r w:rsidR="001124AE">
        <w:rPr>
          <w:rFonts w:ascii="Arial" w:hAnsi="Arial"/>
          <w:sz w:val="21"/>
          <w:szCs w:val="21"/>
        </w:rPr>
        <w:t>incorpora los conceptos dispuestos en la definición 3 del Anexo 3 del Contrato</w:t>
      </w:r>
      <w:r w:rsidR="00AD4F07">
        <w:rPr>
          <w:rFonts w:ascii="Arial" w:hAnsi="Arial"/>
          <w:sz w:val="21"/>
          <w:szCs w:val="21"/>
        </w:rPr>
        <w:t>, la definición 2 del Artículo 1</w:t>
      </w:r>
      <w:r w:rsidR="00195D5F">
        <w:rPr>
          <w:rFonts w:ascii="Arial" w:hAnsi="Arial"/>
          <w:sz w:val="21"/>
          <w:szCs w:val="21"/>
        </w:rPr>
        <w:t>º</w:t>
      </w:r>
      <w:r w:rsidR="00AD4F07">
        <w:rPr>
          <w:rFonts w:ascii="Arial" w:hAnsi="Arial"/>
          <w:sz w:val="21"/>
          <w:szCs w:val="21"/>
        </w:rPr>
        <w:t xml:space="preserve"> y el Artículo 24° de la Ley 28832 asumiéndose que ello incluye las labores del Operador Técnico, sin que en ningún caso se adicione a la Base Tarifaria</w:t>
      </w:r>
      <w:r w:rsidR="00785758" w:rsidRPr="004E5745">
        <w:rPr>
          <w:rFonts w:ascii="Arial" w:hAnsi="Arial"/>
          <w:sz w:val="21"/>
          <w:szCs w:val="21"/>
        </w:rPr>
        <w:t xml:space="preserve"> cualquier contraprestación o compensación que </w:t>
      </w:r>
      <w:r w:rsidR="00AD4F07">
        <w:rPr>
          <w:rFonts w:ascii="Arial" w:hAnsi="Arial"/>
          <w:sz w:val="21"/>
          <w:szCs w:val="21"/>
        </w:rPr>
        <w:t>pudiera haber</w:t>
      </w:r>
      <w:r w:rsidR="00785758" w:rsidRPr="004E5745">
        <w:rPr>
          <w:rFonts w:ascii="Arial" w:hAnsi="Arial"/>
          <w:sz w:val="21"/>
          <w:szCs w:val="21"/>
        </w:rPr>
        <w:t xml:space="preserve"> convenido o convenga en el futuro</w:t>
      </w:r>
      <w:r w:rsidR="00AD4F07">
        <w:rPr>
          <w:rFonts w:ascii="Arial" w:hAnsi="Arial"/>
          <w:sz w:val="21"/>
          <w:szCs w:val="21"/>
        </w:rPr>
        <w:t xml:space="preserve"> la Sociedad Concesionaria y </w:t>
      </w:r>
      <w:r w:rsidR="00785758" w:rsidRPr="004E5745">
        <w:rPr>
          <w:rFonts w:ascii="Arial" w:hAnsi="Arial"/>
          <w:sz w:val="21"/>
          <w:szCs w:val="21"/>
        </w:rPr>
        <w:t>el Operador Técnico</w:t>
      </w:r>
      <w:r w:rsidR="000B3291" w:rsidRPr="004E5745">
        <w:rPr>
          <w:rFonts w:ascii="Arial" w:hAnsi="Arial"/>
          <w:sz w:val="21"/>
          <w:szCs w:val="21"/>
        </w:rPr>
        <w:t>.</w:t>
      </w:r>
    </w:p>
    <w:p w:rsidR="00785758" w:rsidRPr="004E5745" w:rsidRDefault="00785758" w:rsidP="00D4498D">
      <w:pPr>
        <w:tabs>
          <w:tab w:val="clear" w:pos="567"/>
          <w:tab w:val="clear" w:pos="1134"/>
          <w:tab w:val="clear" w:pos="1701"/>
          <w:tab w:val="clear" w:pos="2268"/>
          <w:tab w:val="clear" w:pos="2835"/>
        </w:tabs>
        <w:spacing w:before="300" w:after="200" w:line="257" w:lineRule="auto"/>
        <w:ind w:left="567" w:hanging="567"/>
        <w:rPr>
          <w:rFonts w:ascii="Arial" w:hAnsi="Arial"/>
          <w:b/>
          <w:sz w:val="24"/>
          <w:szCs w:val="24"/>
        </w:rPr>
      </w:pPr>
      <w:r w:rsidRPr="004E5745">
        <w:rPr>
          <w:rFonts w:ascii="Arial" w:hAnsi="Arial"/>
          <w:b/>
          <w:sz w:val="24"/>
          <w:szCs w:val="24"/>
        </w:rPr>
        <w:t>3.</w:t>
      </w:r>
      <w:r w:rsidRPr="004E5745">
        <w:rPr>
          <w:rFonts w:ascii="Arial" w:hAnsi="Arial"/>
          <w:b/>
          <w:sz w:val="24"/>
          <w:szCs w:val="24"/>
        </w:rPr>
        <w:tab/>
        <w:t>Objeto, vigencia y plazo del Contrato</w:t>
      </w:r>
    </w:p>
    <w:p w:rsidR="00785758" w:rsidRPr="004E5745"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La Sociedad Concesionaria se obliga a diseñar, financiar, suministrar los bienes y servicios requeridos, construir, operar y mantener la Línea Eléctrica, así como prestar el Servicio, todo de conformidad con el Contrato y las Leyes Aplicables. En esa razón, la Sociedad Concesionaria deberá definir</w:t>
      </w:r>
      <w:r w:rsidR="006178FD" w:rsidRPr="004E5745">
        <w:rPr>
          <w:rFonts w:ascii="Arial" w:hAnsi="Arial"/>
          <w:sz w:val="21"/>
          <w:szCs w:val="21"/>
        </w:rPr>
        <w:t>, entre otros</w:t>
      </w:r>
      <w:r w:rsidRPr="004E5745">
        <w:rPr>
          <w:rFonts w:ascii="Arial" w:hAnsi="Arial"/>
          <w:sz w:val="21"/>
          <w:szCs w:val="21"/>
        </w:rPr>
        <w:t xml:space="preserve">, la ruta y el alineamiento que seguirá la Línea </w:t>
      </w:r>
      <w:r w:rsidR="002C4730" w:rsidRPr="004E5745">
        <w:rPr>
          <w:rFonts w:ascii="Arial" w:hAnsi="Arial"/>
          <w:sz w:val="21"/>
          <w:szCs w:val="21"/>
        </w:rPr>
        <w:t>Eléctrica</w:t>
      </w:r>
      <w:r w:rsidRPr="004E5745">
        <w:rPr>
          <w:rFonts w:ascii="Arial" w:hAnsi="Arial"/>
          <w:sz w:val="21"/>
          <w:szCs w:val="21"/>
        </w:rPr>
        <w:t>, así como prever las holguras convenientes para superar contingencias y cumplir así con los plazos constructivos.</w:t>
      </w:r>
    </w:p>
    <w:p w:rsidR="006178FD"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El otorgamiento de la Concesión es a título gratuito de conformidad con el literal b) del artículo 14º del TUO, lo que significa que la Sociedad Concesionaria no está obligada a efectuar una contribución específica a favor del Concedente por el otorgamiento de la Concesión o por la utilización de los Bienes de la Concesión</w:t>
      </w:r>
      <w:r w:rsidR="006178FD" w:rsidRPr="004E5745">
        <w:rPr>
          <w:rFonts w:ascii="Arial" w:hAnsi="Arial"/>
          <w:sz w:val="21"/>
          <w:szCs w:val="21"/>
        </w:rPr>
        <w:t>.</w:t>
      </w:r>
    </w:p>
    <w:p w:rsidR="00785758"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Mientras esté vigente el Contrato, la Sociedad Concesionaria será la propietaria de los Bienes de la Concesión y deberá usarlos para la prestación del Servicio.</w:t>
      </w:r>
    </w:p>
    <w:p w:rsidR="00785758" w:rsidRPr="004E5745"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 xml:space="preserve">El </w:t>
      </w:r>
      <w:r w:rsidR="00772089" w:rsidRPr="004E5745">
        <w:rPr>
          <w:rFonts w:ascii="Arial" w:hAnsi="Arial"/>
          <w:sz w:val="21"/>
          <w:szCs w:val="21"/>
        </w:rPr>
        <w:t>p</w:t>
      </w:r>
      <w:r w:rsidRPr="004E5745">
        <w:rPr>
          <w:rFonts w:ascii="Arial" w:hAnsi="Arial"/>
          <w:sz w:val="21"/>
          <w:szCs w:val="21"/>
        </w:rPr>
        <w:t>lazo del Contrato comprende, tanto el per</w:t>
      </w:r>
      <w:r w:rsidR="00772089" w:rsidRPr="004E5745">
        <w:rPr>
          <w:rFonts w:ascii="Arial" w:hAnsi="Arial"/>
          <w:sz w:val="21"/>
          <w:szCs w:val="21"/>
        </w:rPr>
        <w:t>i</w:t>
      </w:r>
      <w:r w:rsidRPr="004E5745">
        <w:rPr>
          <w:rFonts w:ascii="Arial" w:hAnsi="Arial"/>
          <w:sz w:val="21"/>
          <w:szCs w:val="21"/>
        </w:rPr>
        <w:t xml:space="preserve">odo </w:t>
      </w:r>
      <w:r w:rsidR="002F0D84">
        <w:rPr>
          <w:rFonts w:ascii="Arial" w:hAnsi="Arial"/>
          <w:sz w:val="21"/>
          <w:szCs w:val="21"/>
        </w:rPr>
        <w:t>construcción</w:t>
      </w:r>
      <w:r w:rsidR="002F0D84" w:rsidRPr="004E5745">
        <w:rPr>
          <w:rFonts w:ascii="Arial" w:hAnsi="Arial"/>
          <w:sz w:val="21"/>
          <w:szCs w:val="21"/>
        </w:rPr>
        <w:t xml:space="preserve"> </w:t>
      </w:r>
      <w:r w:rsidRPr="004E5745">
        <w:rPr>
          <w:rFonts w:ascii="Arial" w:hAnsi="Arial"/>
          <w:sz w:val="21"/>
          <w:szCs w:val="21"/>
        </w:rPr>
        <w:t xml:space="preserve">que se inicia en la </w:t>
      </w:r>
      <w:r w:rsidR="000F6FFA" w:rsidRPr="004E5745">
        <w:rPr>
          <w:rFonts w:ascii="Arial" w:hAnsi="Arial"/>
          <w:sz w:val="21"/>
          <w:szCs w:val="21"/>
        </w:rPr>
        <w:t xml:space="preserve">fecha </w:t>
      </w:r>
      <w:r w:rsidRPr="004E5745">
        <w:rPr>
          <w:rFonts w:ascii="Arial" w:hAnsi="Arial"/>
          <w:sz w:val="21"/>
          <w:szCs w:val="21"/>
        </w:rPr>
        <w:t>de Cierre, como el per</w:t>
      </w:r>
      <w:r w:rsidR="00772089" w:rsidRPr="004E5745">
        <w:rPr>
          <w:rFonts w:ascii="Arial" w:hAnsi="Arial"/>
          <w:sz w:val="21"/>
          <w:szCs w:val="21"/>
        </w:rPr>
        <w:t>i</w:t>
      </w:r>
      <w:r w:rsidRPr="004E5745">
        <w:rPr>
          <w:rFonts w:ascii="Arial" w:hAnsi="Arial"/>
          <w:sz w:val="21"/>
          <w:szCs w:val="21"/>
        </w:rPr>
        <w:t>odo de Operación Comercial que dura treinta (30) años a partir de la Puesta en Operación Comercial.</w:t>
      </w:r>
    </w:p>
    <w:p w:rsidR="00785758" w:rsidRPr="004E5745" w:rsidRDefault="00785758" w:rsidP="00D4498D">
      <w:pPr>
        <w:tabs>
          <w:tab w:val="clear" w:pos="567"/>
          <w:tab w:val="clear" w:pos="1134"/>
          <w:tab w:val="clear" w:pos="1701"/>
          <w:tab w:val="clear" w:pos="2268"/>
          <w:tab w:val="clear" w:pos="2835"/>
        </w:tabs>
        <w:spacing w:before="300" w:after="200" w:line="257" w:lineRule="auto"/>
        <w:ind w:left="567" w:hanging="567"/>
        <w:rPr>
          <w:rFonts w:ascii="Arial" w:hAnsi="Arial"/>
          <w:b/>
          <w:sz w:val="24"/>
          <w:szCs w:val="24"/>
        </w:rPr>
      </w:pPr>
      <w:r w:rsidRPr="004E5745">
        <w:rPr>
          <w:rFonts w:ascii="Arial" w:hAnsi="Arial"/>
          <w:b/>
          <w:sz w:val="24"/>
          <w:szCs w:val="24"/>
        </w:rPr>
        <w:t>4.</w:t>
      </w:r>
      <w:r w:rsidRPr="004E5745">
        <w:rPr>
          <w:rFonts w:ascii="Arial" w:hAnsi="Arial"/>
          <w:b/>
          <w:sz w:val="24"/>
          <w:szCs w:val="24"/>
        </w:rPr>
        <w:tab/>
        <w:t>Construcción</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Los derechos eléctricos (Contrato de Concesión Definitiva de Transmisión Eléctrica), la imposición de las servidumbres y en general cualquier otra autorización o similar que, según las Leyes Aplicables, requiera la Sociedad Concesionaria para el cumplimiento de sus obligaciones conforme al Contrato, deberá ser solicitada por la Sociedad Concesionaria a la Autoridad Gubernamental conforme al procedimiento y cumpliendo los requisitos previstos en las Leyes Aplicables.</w:t>
      </w:r>
    </w:p>
    <w:p w:rsidR="00F41C02" w:rsidRPr="004E5745" w:rsidRDefault="00785758" w:rsidP="00D4498D">
      <w:pPr>
        <w:spacing w:before="60" w:line="257" w:lineRule="auto"/>
        <w:ind w:left="567"/>
        <w:jc w:val="both"/>
        <w:rPr>
          <w:rFonts w:ascii="Arial" w:hAnsi="Arial"/>
          <w:sz w:val="21"/>
          <w:szCs w:val="21"/>
        </w:rPr>
      </w:pPr>
      <w:r w:rsidRPr="00183948">
        <w:rPr>
          <w:rFonts w:ascii="Arial" w:hAnsi="Arial"/>
          <w:sz w:val="21"/>
          <w:szCs w:val="21"/>
        </w:rPr>
        <w:t xml:space="preserve">El Concedente impondrá las servidumbres que sean requeridas de acuerdo a lo establecido en las Leyes Aplicables, pero no asumirá los costos incurridos para obtener </w:t>
      </w:r>
      <w:r w:rsidR="000B3291" w:rsidRPr="00183948">
        <w:rPr>
          <w:rFonts w:ascii="Arial" w:hAnsi="Arial"/>
          <w:sz w:val="21"/>
          <w:szCs w:val="21"/>
        </w:rPr>
        <w:t xml:space="preserve"> o conservar </w:t>
      </w:r>
      <w:r w:rsidRPr="00183948">
        <w:rPr>
          <w:rFonts w:ascii="Arial" w:hAnsi="Arial"/>
          <w:sz w:val="21"/>
          <w:szCs w:val="21"/>
        </w:rPr>
        <w:t>dichas servi</w:t>
      </w:r>
      <w:r w:rsidR="006F17B9" w:rsidRPr="00183948">
        <w:rPr>
          <w:rFonts w:ascii="Arial" w:hAnsi="Arial"/>
          <w:sz w:val="21"/>
          <w:szCs w:val="21"/>
        </w:rPr>
        <w:t>dumbres.</w:t>
      </w:r>
    </w:p>
    <w:p w:rsidR="00785758" w:rsidRPr="004E5745" w:rsidRDefault="00785758" w:rsidP="00D4498D">
      <w:pPr>
        <w:spacing w:before="60" w:line="257" w:lineRule="auto"/>
        <w:ind w:left="567"/>
        <w:jc w:val="both"/>
        <w:rPr>
          <w:rFonts w:ascii="Arial" w:hAnsi="Arial"/>
          <w:sz w:val="21"/>
          <w:szCs w:val="21"/>
        </w:rPr>
      </w:pPr>
      <w:r w:rsidRPr="004E5745">
        <w:rPr>
          <w:rFonts w:ascii="Arial" w:hAnsi="Arial"/>
          <w:sz w:val="21"/>
          <w:szCs w:val="21"/>
        </w:rPr>
        <w:t xml:space="preserve">Asimismo, de ser requerido por la Sociedad Concesionaria, el Concedente hará sus mejores esfuerzos para que aquélla acceda a instalaciones de terceros, y coadyuvará en la obtención de permisos, licencias, autorizaciones, concesiones, servidumbres, derechos de uso y similares, en caso </w:t>
      </w:r>
      <w:r w:rsidR="006F17B9" w:rsidRPr="004E5745">
        <w:rPr>
          <w:rFonts w:ascii="Arial" w:hAnsi="Arial"/>
          <w:sz w:val="21"/>
          <w:szCs w:val="21"/>
        </w:rPr>
        <w:t>e</w:t>
      </w:r>
      <w:r w:rsidRPr="004E5745">
        <w:rPr>
          <w:rFonts w:ascii="Arial" w:hAnsi="Arial"/>
          <w:sz w:val="21"/>
          <w:szCs w:val="21"/>
        </w:rPr>
        <w:t>stos no fueran otorgados por la Autoridad Gubernamental competente en el tiempo debido, a pesar de haberse cumplido los requisitos y trámites exigidos por las Leyes Aplicables.</w:t>
      </w:r>
    </w:p>
    <w:p w:rsidR="00785758" w:rsidRPr="009518B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lastRenderedPageBreak/>
        <w:t xml:space="preserve">La Sociedad Concesionaria adquirirá </w:t>
      </w:r>
      <w:r w:rsidR="004278B8" w:rsidRPr="004E5745">
        <w:rPr>
          <w:rFonts w:ascii="Arial" w:hAnsi="Arial"/>
          <w:sz w:val="21"/>
          <w:szCs w:val="21"/>
        </w:rPr>
        <w:t xml:space="preserve">y </w:t>
      </w:r>
      <w:r w:rsidR="000B5466" w:rsidRPr="004E5745">
        <w:rPr>
          <w:rFonts w:ascii="Arial" w:hAnsi="Arial"/>
          <w:sz w:val="21"/>
          <w:szCs w:val="21"/>
        </w:rPr>
        <w:t xml:space="preserve">efectuará, en caso corresponda, </w:t>
      </w:r>
      <w:r w:rsidR="004278B8" w:rsidRPr="004E5745">
        <w:rPr>
          <w:rFonts w:ascii="Arial" w:hAnsi="Arial"/>
          <w:sz w:val="21"/>
          <w:szCs w:val="21"/>
        </w:rPr>
        <w:t xml:space="preserve">el saneamiento correspondiente de </w:t>
      </w:r>
      <w:r w:rsidRPr="004E5745">
        <w:rPr>
          <w:rFonts w:ascii="Arial" w:hAnsi="Arial"/>
          <w:sz w:val="21"/>
          <w:szCs w:val="21"/>
        </w:rPr>
        <w:t>los terrenos para las subestaciones nuevas o ampliaciones de las subestaciones existentes, efectuará las compensaciones por el uso de servidumbre</w:t>
      </w:r>
      <w:r w:rsidR="000B3291" w:rsidRPr="004E5745">
        <w:rPr>
          <w:rFonts w:ascii="Arial" w:hAnsi="Arial"/>
          <w:sz w:val="21"/>
          <w:szCs w:val="21"/>
        </w:rPr>
        <w:t>s</w:t>
      </w:r>
      <w:r w:rsidRPr="004E5745">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4E5745">
        <w:rPr>
          <w:rFonts w:ascii="Arial" w:hAnsi="Arial"/>
          <w:color w:val="000000"/>
          <w:sz w:val="21"/>
          <w:szCs w:val="21"/>
        </w:rPr>
        <w:t xml:space="preserve"> Tales fabricantes deberán poseer certificación ISO 9001 o equivalente.</w:t>
      </w:r>
    </w:p>
    <w:p w:rsidR="00785758" w:rsidRPr="004E5745" w:rsidRDefault="00785758" w:rsidP="00D4498D">
      <w:pPr>
        <w:pStyle w:val="Sangra2detindependiente"/>
        <w:tabs>
          <w:tab w:val="clear" w:pos="1134"/>
          <w:tab w:val="clear" w:pos="1701"/>
          <w:tab w:val="clear" w:pos="2268"/>
          <w:tab w:val="clear" w:pos="2835"/>
        </w:tabs>
        <w:spacing w:before="120" w:line="257" w:lineRule="auto"/>
        <w:ind w:left="567"/>
        <w:rPr>
          <w:rFonts w:ascii="Arial" w:hAnsi="Arial"/>
          <w:sz w:val="21"/>
          <w:szCs w:val="21"/>
        </w:rPr>
      </w:pPr>
      <w:r w:rsidRPr="004E5745">
        <w:rPr>
          <w:rFonts w:ascii="Arial" w:hAnsi="Arial"/>
          <w:sz w:val="21"/>
          <w:szCs w:val="21"/>
        </w:rPr>
        <w:t>Equipos o materiales usados podrán utilizarse únicamente durante la operación de la Línea Eléctrica, siempre que hacerlo resulte irremediable para atender temporalmente defectos o fallas mientras se sustituyen los equipos o materiales comprometidos, por otros que sean nuevos.</w:t>
      </w:r>
    </w:p>
    <w:p w:rsidR="00524E8F" w:rsidRPr="00456618"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Puesta en Operación </w:t>
      </w:r>
      <w:r w:rsidR="00772089" w:rsidRPr="004E5745">
        <w:rPr>
          <w:rFonts w:ascii="Arial" w:hAnsi="Arial"/>
          <w:sz w:val="21"/>
          <w:szCs w:val="21"/>
        </w:rPr>
        <w:t>C</w:t>
      </w:r>
      <w:r w:rsidRPr="004E5745">
        <w:rPr>
          <w:rFonts w:ascii="Arial" w:hAnsi="Arial"/>
          <w:sz w:val="21"/>
          <w:szCs w:val="21"/>
        </w:rPr>
        <w:t xml:space="preserve">omercial de la Línea Eléctrica </w:t>
      </w:r>
      <w:r w:rsidR="00CC4916" w:rsidRPr="004E5745">
        <w:rPr>
          <w:rFonts w:ascii="Arial" w:hAnsi="Arial"/>
          <w:sz w:val="21"/>
          <w:szCs w:val="21"/>
        </w:rPr>
        <w:t xml:space="preserve">y los demás eventos que se indican en el Anexo 7, </w:t>
      </w:r>
      <w:r w:rsidRPr="004E5745">
        <w:rPr>
          <w:rFonts w:ascii="Arial" w:hAnsi="Arial"/>
          <w:sz w:val="21"/>
          <w:szCs w:val="21"/>
        </w:rPr>
        <w:t>deberá</w:t>
      </w:r>
      <w:r w:rsidR="00CC4916" w:rsidRPr="004E5745">
        <w:rPr>
          <w:rFonts w:ascii="Arial" w:hAnsi="Arial"/>
          <w:sz w:val="21"/>
          <w:szCs w:val="21"/>
        </w:rPr>
        <w:t>n</w:t>
      </w:r>
      <w:r w:rsidRPr="004E5745">
        <w:rPr>
          <w:rFonts w:ascii="Arial" w:hAnsi="Arial"/>
          <w:sz w:val="21"/>
          <w:szCs w:val="21"/>
        </w:rPr>
        <w:t xml:space="preserve"> producirse en </w:t>
      </w:r>
      <w:r w:rsidR="00FF71D8" w:rsidRPr="004E5745">
        <w:rPr>
          <w:rFonts w:ascii="Arial" w:hAnsi="Arial"/>
          <w:sz w:val="21"/>
          <w:szCs w:val="21"/>
        </w:rPr>
        <w:t>los plazo</w:t>
      </w:r>
      <w:r w:rsidR="00FF71D8" w:rsidRPr="00456618">
        <w:rPr>
          <w:rFonts w:ascii="Arial" w:hAnsi="Arial"/>
          <w:sz w:val="21"/>
          <w:szCs w:val="21"/>
        </w:rPr>
        <w:t xml:space="preserve">s indicados en </w:t>
      </w:r>
      <w:r w:rsidR="00CC4916" w:rsidRPr="00456618">
        <w:rPr>
          <w:rFonts w:ascii="Arial" w:hAnsi="Arial"/>
          <w:sz w:val="21"/>
          <w:szCs w:val="21"/>
        </w:rPr>
        <w:t>dicho</w:t>
      </w:r>
      <w:r w:rsidR="00FF71D8" w:rsidRPr="00456618">
        <w:rPr>
          <w:rFonts w:ascii="Arial" w:hAnsi="Arial"/>
          <w:sz w:val="21"/>
          <w:szCs w:val="21"/>
        </w:rPr>
        <w:t xml:space="preserve"> </w:t>
      </w:r>
      <w:r w:rsidR="00CC4916" w:rsidRPr="00456618">
        <w:rPr>
          <w:rFonts w:ascii="Arial" w:hAnsi="Arial"/>
          <w:sz w:val="21"/>
          <w:szCs w:val="21"/>
        </w:rPr>
        <w:t>a</w:t>
      </w:r>
      <w:r w:rsidR="00FF71D8" w:rsidRPr="00456618">
        <w:rPr>
          <w:rFonts w:ascii="Arial" w:hAnsi="Arial"/>
          <w:sz w:val="21"/>
          <w:szCs w:val="21"/>
        </w:rPr>
        <w:t>nexo</w:t>
      </w:r>
      <w:r w:rsidR="00CC4916" w:rsidRPr="00456618">
        <w:rPr>
          <w:rFonts w:ascii="Arial" w:hAnsi="Arial"/>
          <w:sz w:val="21"/>
          <w:szCs w:val="21"/>
        </w:rPr>
        <w:t>.</w:t>
      </w:r>
    </w:p>
    <w:p w:rsidR="00785758" w:rsidRPr="004E5745" w:rsidRDefault="00785758" w:rsidP="00D4498D">
      <w:pPr>
        <w:spacing w:before="60" w:line="257" w:lineRule="auto"/>
        <w:ind w:left="567"/>
        <w:jc w:val="both"/>
        <w:rPr>
          <w:rFonts w:ascii="Arial" w:hAnsi="Arial"/>
          <w:sz w:val="21"/>
          <w:szCs w:val="21"/>
        </w:rPr>
      </w:pPr>
      <w:r w:rsidRPr="00456618">
        <w:rPr>
          <w:rFonts w:ascii="Arial" w:hAnsi="Arial"/>
          <w:sz w:val="21"/>
          <w:szCs w:val="21"/>
        </w:rPr>
        <w:t>Cuando el incumplimiento de dicho</w:t>
      </w:r>
      <w:r w:rsidR="00164E5E" w:rsidRPr="00456618">
        <w:rPr>
          <w:rFonts w:ascii="Arial" w:hAnsi="Arial"/>
          <w:sz w:val="21"/>
          <w:szCs w:val="21"/>
        </w:rPr>
        <w:t>s</w:t>
      </w:r>
      <w:r w:rsidRPr="00456618">
        <w:rPr>
          <w:rFonts w:ascii="Arial" w:hAnsi="Arial"/>
          <w:sz w:val="21"/>
          <w:szCs w:val="21"/>
        </w:rPr>
        <w:t xml:space="preserve"> plazo</w:t>
      </w:r>
      <w:r w:rsidR="00164E5E" w:rsidRPr="00456618">
        <w:rPr>
          <w:rFonts w:ascii="Arial" w:hAnsi="Arial"/>
          <w:sz w:val="21"/>
          <w:szCs w:val="21"/>
        </w:rPr>
        <w:t>s</w:t>
      </w:r>
      <w:r w:rsidRPr="00456618">
        <w:rPr>
          <w:rFonts w:ascii="Arial" w:hAnsi="Arial"/>
          <w:sz w:val="21"/>
          <w:szCs w:val="21"/>
        </w:rPr>
        <w:t xml:space="preserve"> obedec</w:t>
      </w:r>
      <w:r w:rsidR="00164E5E" w:rsidRPr="00456618">
        <w:rPr>
          <w:rFonts w:ascii="Arial" w:hAnsi="Arial"/>
          <w:sz w:val="21"/>
          <w:szCs w:val="21"/>
        </w:rPr>
        <w:t>i</w:t>
      </w:r>
      <w:r w:rsidRPr="00456618">
        <w:rPr>
          <w:rFonts w:ascii="Arial" w:hAnsi="Arial"/>
          <w:sz w:val="21"/>
          <w:szCs w:val="21"/>
        </w:rPr>
        <w:t>er</w:t>
      </w:r>
      <w:r w:rsidR="00164E5E" w:rsidRPr="00456618">
        <w:rPr>
          <w:rFonts w:ascii="Arial" w:hAnsi="Arial"/>
          <w:sz w:val="21"/>
          <w:szCs w:val="21"/>
        </w:rPr>
        <w:t>a</w:t>
      </w:r>
      <w:r w:rsidRPr="004E5745">
        <w:rPr>
          <w:rFonts w:ascii="Arial" w:hAnsi="Arial"/>
          <w:sz w:val="21"/>
          <w:szCs w:val="21"/>
        </w:rPr>
        <w:t xml:space="preserve"> a acción </w:t>
      </w:r>
      <w:r w:rsidR="00456618">
        <w:rPr>
          <w:rFonts w:ascii="Arial" w:hAnsi="Arial"/>
          <w:sz w:val="21"/>
          <w:szCs w:val="21"/>
        </w:rPr>
        <w:t>indebida</w:t>
      </w:r>
      <w:r w:rsidR="00456618" w:rsidRPr="004E5745">
        <w:rPr>
          <w:rFonts w:ascii="Arial" w:hAnsi="Arial"/>
          <w:sz w:val="21"/>
          <w:szCs w:val="21"/>
        </w:rPr>
        <w:t xml:space="preserve"> </w:t>
      </w:r>
      <w:r w:rsidRPr="004E5745">
        <w:rPr>
          <w:rFonts w:ascii="Arial" w:hAnsi="Arial"/>
          <w:sz w:val="21"/>
          <w:szCs w:val="21"/>
        </w:rPr>
        <w:t>u omisión de una Autoridad Gubernamental</w:t>
      </w:r>
      <w:r w:rsidR="00BA1BED" w:rsidRPr="004E5745">
        <w:rPr>
          <w:rFonts w:ascii="Arial" w:hAnsi="Arial"/>
          <w:color w:val="000000"/>
          <w:sz w:val="21"/>
          <w:szCs w:val="21"/>
        </w:rPr>
        <w:t xml:space="preserve"> o demoras en la aprobación del estudio de pre operatividad</w:t>
      </w:r>
      <w:r w:rsidRPr="004E5745">
        <w:rPr>
          <w:rFonts w:ascii="Arial" w:hAnsi="Arial"/>
          <w:sz w:val="21"/>
          <w:szCs w:val="21"/>
        </w:rPr>
        <w:t>, tal</w:t>
      </w:r>
      <w:r w:rsidR="00164E5E" w:rsidRPr="004E5745">
        <w:rPr>
          <w:rFonts w:ascii="Arial" w:hAnsi="Arial"/>
          <w:sz w:val="21"/>
          <w:szCs w:val="21"/>
        </w:rPr>
        <w:t>es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se entenderá</w:t>
      </w:r>
      <w:r w:rsidR="00164E5E" w:rsidRPr="004E5745">
        <w:rPr>
          <w:rFonts w:ascii="Arial" w:hAnsi="Arial"/>
          <w:sz w:val="21"/>
          <w:szCs w:val="21"/>
        </w:rPr>
        <w:t>n</w:t>
      </w:r>
      <w:r w:rsidRPr="004E5745">
        <w:rPr>
          <w:rFonts w:ascii="Arial" w:hAnsi="Arial"/>
          <w:sz w:val="21"/>
          <w:szCs w:val="21"/>
        </w:rPr>
        <w:t xml:space="preserve"> extendido</w:t>
      </w:r>
      <w:r w:rsidR="00164E5E" w:rsidRPr="004E5745">
        <w:rPr>
          <w:rFonts w:ascii="Arial" w:hAnsi="Arial"/>
          <w:sz w:val="21"/>
          <w:szCs w:val="21"/>
        </w:rPr>
        <w:t>s</w:t>
      </w:r>
      <w:r w:rsidRPr="004E5745">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4E5745">
        <w:rPr>
          <w:rFonts w:ascii="Arial" w:hAnsi="Arial"/>
          <w:sz w:val="21"/>
          <w:szCs w:val="21"/>
        </w:rPr>
        <w:t>l plazo respectivo</w:t>
      </w:r>
      <w:r w:rsidRPr="004E5745">
        <w:rPr>
          <w:rFonts w:ascii="Arial" w:hAnsi="Arial"/>
          <w:sz w:val="21"/>
          <w:szCs w:val="21"/>
        </w:rPr>
        <w:t>, cuando el entorpecimiento o paralización afectan la ruta crítica de las obras.</w:t>
      </w:r>
    </w:p>
    <w:p w:rsidR="00785758" w:rsidRPr="004E5745" w:rsidRDefault="00785758" w:rsidP="00D4498D">
      <w:pPr>
        <w:spacing w:before="60" w:line="257" w:lineRule="auto"/>
        <w:ind w:left="567"/>
        <w:jc w:val="both"/>
        <w:rPr>
          <w:rFonts w:ascii="Arial" w:hAnsi="Arial"/>
          <w:sz w:val="21"/>
          <w:szCs w:val="21"/>
        </w:rPr>
      </w:pPr>
      <w:r w:rsidRPr="004E5745">
        <w:rPr>
          <w:rFonts w:ascii="Arial" w:hAnsi="Arial"/>
          <w:sz w:val="21"/>
          <w:szCs w:val="21"/>
        </w:rPr>
        <w:t>Previo al inicio de la construcción, la Sociedad Concesionaria deberá presentar al COES para su aprobación, el Estudio de Pre Operatividad, según los requisitos y procedimientos de dicha entidad.</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Para los efectos </w:t>
      </w:r>
      <w:r w:rsidRPr="001C215D">
        <w:rPr>
          <w:rFonts w:ascii="Arial" w:hAnsi="Arial"/>
          <w:sz w:val="21"/>
          <w:szCs w:val="21"/>
        </w:rPr>
        <w:t xml:space="preserve">de la </w:t>
      </w:r>
      <w:r w:rsidR="00847FE7" w:rsidRPr="001C215D">
        <w:rPr>
          <w:rFonts w:ascii="Arial" w:hAnsi="Arial"/>
          <w:sz w:val="21"/>
          <w:szCs w:val="21"/>
        </w:rPr>
        <w:t xml:space="preserve">Cláusula </w:t>
      </w:r>
      <w:r w:rsidR="00533171" w:rsidRPr="00245582">
        <w:rPr>
          <w:rFonts w:ascii="Arial" w:hAnsi="Arial"/>
          <w:sz w:val="21"/>
          <w:szCs w:val="21"/>
        </w:rPr>
        <w:t>5</w:t>
      </w:r>
      <w:r w:rsidR="00847FE7" w:rsidRPr="001C215D">
        <w:rPr>
          <w:rFonts w:ascii="Arial" w:hAnsi="Arial"/>
          <w:sz w:val="21"/>
          <w:szCs w:val="21"/>
        </w:rPr>
        <w:t>.3</w:t>
      </w:r>
      <w:r w:rsidRPr="00942275">
        <w:rPr>
          <w:rFonts w:ascii="Arial" w:hAnsi="Arial"/>
          <w:sz w:val="21"/>
          <w:szCs w:val="21"/>
        </w:rPr>
        <w:t>, la operación</w:t>
      </w:r>
      <w:r w:rsidRPr="004E5745">
        <w:rPr>
          <w:rFonts w:ascii="Arial" w:hAnsi="Arial"/>
          <w:sz w:val="21"/>
          <w:szCs w:val="21"/>
        </w:rPr>
        <w:t xml:space="preserve"> </w:t>
      </w:r>
      <w:r w:rsidR="003F3515" w:rsidRPr="004E5745">
        <w:rPr>
          <w:rFonts w:ascii="Arial" w:hAnsi="Arial"/>
          <w:color w:val="000000"/>
          <w:sz w:val="21"/>
          <w:szCs w:val="21"/>
        </w:rPr>
        <w:t>experimental</w:t>
      </w:r>
      <w:r w:rsidRPr="004E5745">
        <w:rPr>
          <w:rFonts w:ascii="Arial" w:hAnsi="Arial"/>
          <w:sz w:val="21"/>
          <w:szCs w:val="21"/>
        </w:rPr>
        <w:t xml:space="preserve"> se inicia después que:</w:t>
      </w:r>
    </w:p>
    <w:p w:rsidR="00785758" w:rsidRPr="004E5745" w:rsidRDefault="00C30375" w:rsidP="00D4498D">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w:t>
      </w:r>
      <w:r w:rsidR="009321D4">
        <w:rPr>
          <w:rFonts w:ascii="Arial" w:hAnsi="Arial"/>
          <w:sz w:val="21"/>
          <w:szCs w:val="21"/>
        </w:rPr>
        <w:t>OSINERGMIN</w:t>
      </w:r>
      <w:r w:rsidR="009321D4" w:rsidRPr="004E5745">
        <w:rPr>
          <w:rFonts w:ascii="Arial" w:hAnsi="Arial"/>
          <w:sz w:val="21"/>
          <w:szCs w:val="21"/>
        </w:rPr>
        <w:t xml:space="preserve"> </w:t>
      </w:r>
      <w:r w:rsidRPr="004E5745">
        <w:rPr>
          <w:rFonts w:ascii="Arial" w:hAnsi="Arial"/>
          <w:sz w:val="21"/>
          <w:szCs w:val="21"/>
        </w:rPr>
        <w:t xml:space="preserve">apruebe </w:t>
      </w:r>
      <w:r w:rsidR="00785758" w:rsidRPr="004E5745">
        <w:rPr>
          <w:rFonts w:ascii="Arial" w:hAnsi="Arial"/>
          <w:sz w:val="21"/>
          <w:szCs w:val="21"/>
        </w:rPr>
        <w:t xml:space="preserve">el informe final a que se refiere la </w:t>
      </w:r>
      <w:r w:rsidR="00313D11" w:rsidRPr="004E5745">
        <w:rPr>
          <w:rFonts w:ascii="Arial" w:hAnsi="Arial"/>
          <w:sz w:val="21"/>
          <w:szCs w:val="21"/>
        </w:rPr>
        <w:t>Cláusula</w:t>
      </w:r>
      <w:r w:rsidR="00785758" w:rsidRPr="004E5745">
        <w:rPr>
          <w:rFonts w:ascii="Arial" w:hAnsi="Arial"/>
          <w:sz w:val="21"/>
          <w:szCs w:val="21"/>
        </w:rPr>
        <w:t xml:space="preserve"> 5.</w:t>
      </w:r>
      <w:r w:rsidR="00CE5C93" w:rsidRPr="004E5745">
        <w:rPr>
          <w:rFonts w:ascii="Arial" w:hAnsi="Arial"/>
          <w:color w:val="000000"/>
          <w:sz w:val="21"/>
          <w:szCs w:val="21"/>
        </w:rPr>
        <w:t>3</w:t>
      </w:r>
      <w:r w:rsidR="00785758" w:rsidRPr="004E5745">
        <w:rPr>
          <w:rFonts w:ascii="Arial" w:hAnsi="Arial"/>
          <w:sz w:val="21"/>
          <w:szCs w:val="21"/>
        </w:rPr>
        <w:t>.</w:t>
      </w:r>
    </w:p>
    <w:p w:rsidR="00785758" w:rsidRPr="004E5745" w:rsidRDefault="00785758" w:rsidP="00D4498D">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COES apruebe la integración </w:t>
      </w:r>
      <w:r w:rsidR="00253906" w:rsidRPr="004E5745">
        <w:rPr>
          <w:rFonts w:ascii="Arial" w:hAnsi="Arial"/>
          <w:sz w:val="21"/>
          <w:szCs w:val="21"/>
        </w:rPr>
        <w:t xml:space="preserve">de la </w:t>
      </w:r>
      <w:r w:rsidRPr="004E5745">
        <w:rPr>
          <w:rFonts w:ascii="Arial" w:hAnsi="Arial"/>
          <w:sz w:val="21"/>
          <w:szCs w:val="21"/>
        </w:rPr>
        <w:t>Línea Eléctrica al SEIN, conforme al Procedimiento Nº 21 de COES o el que haga sus veces y las Leyes Aplicables</w:t>
      </w:r>
      <w:r w:rsidR="002772EC" w:rsidRPr="004E5745">
        <w:rPr>
          <w:rFonts w:ascii="Arial" w:hAnsi="Arial"/>
          <w:sz w:val="21"/>
          <w:szCs w:val="21"/>
        </w:rPr>
        <w:t>.</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de actividades que la Sociedad Concesionaria planea seguir para la ejecución de las obras, será entregado por la Sociedad Concesionaria al OSINERGMIN, en </w:t>
      </w:r>
      <w:r w:rsidRPr="00F35007">
        <w:rPr>
          <w:rFonts w:ascii="Arial" w:hAnsi="Arial"/>
          <w:sz w:val="21"/>
          <w:szCs w:val="21"/>
        </w:rPr>
        <w:t>el plazo</w:t>
      </w:r>
      <w:r w:rsidR="00EA6E98" w:rsidRPr="00F35007">
        <w:rPr>
          <w:rFonts w:ascii="Arial" w:hAnsi="Arial"/>
          <w:sz w:val="21"/>
          <w:szCs w:val="21"/>
        </w:rPr>
        <w:t xml:space="preserve"> </w:t>
      </w:r>
      <w:r w:rsidRPr="00F35007">
        <w:rPr>
          <w:rFonts w:ascii="Arial" w:hAnsi="Arial"/>
          <w:sz w:val="21"/>
          <w:szCs w:val="21"/>
        </w:rPr>
        <w:t xml:space="preserve">de </w:t>
      </w:r>
      <w:r w:rsidR="00EA6E98" w:rsidRPr="00F35007">
        <w:rPr>
          <w:rFonts w:ascii="Arial" w:hAnsi="Arial"/>
          <w:sz w:val="21"/>
          <w:szCs w:val="21"/>
        </w:rPr>
        <w:t>doce</w:t>
      </w:r>
      <w:r w:rsidR="00433519" w:rsidRPr="00F35007">
        <w:rPr>
          <w:rFonts w:ascii="Arial" w:hAnsi="Arial"/>
          <w:sz w:val="21"/>
          <w:szCs w:val="21"/>
        </w:rPr>
        <w:t xml:space="preserve"> </w:t>
      </w:r>
      <w:r w:rsidRPr="00F35007">
        <w:rPr>
          <w:rFonts w:ascii="Arial" w:hAnsi="Arial"/>
          <w:sz w:val="21"/>
          <w:szCs w:val="21"/>
        </w:rPr>
        <w:t>(</w:t>
      </w:r>
      <w:r w:rsidR="00EA6E98" w:rsidRPr="00F35007">
        <w:rPr>
          <w:rFonts w:ascii="Arial" w:hAnsi="Arial"/>
          <w:sz w:val="21"/>
          <w:szCs w:val="21"/>
        </w:rPr>
        <w:t>12</w:t>
      </w:r>
      <w:r w:rsidRPr="00F35007">
        <w:rPr>
          <w:rFonts w:ascii="Arial" w:hAnsi="Arial"/>
          <w:sz w:val="21"/>
          <w:szCs w:val="21"/>
        </w:rPr>
        <w:t>) meses</w:t>
      </w:r>
      <w:r w:rsidRPr="004E5745">
        <w:rPr>
          <w:rFonts w:ascii="Arial" w:hAnsi="Arial"/>
          <w:sz w:val="21"/>
          <w:szCs w:val="21"/>
        </w:rPr>
        <w:t xml:space="preserve"> contado a partir de la </w:t>
      </w:r>
      <w:r w:rsidR="000F6FFA" w:rsidRPr="004E5745">
        <w:rPr>
          <w:rFonts w:ascii="Arial" w:hAnsi="Arial"/>
          <w:sz w:val="21"/>
          <w:szCs w:val="21"/>
        </w:rPr>
        <w:t xml:space="preserve">fecha </w:t>
      </w:r>
      <w:r w:rsidRPr="004E5745">
        <w:rPr>
          <w:rFonts w:ascii="Arial" w:hAnsi="Arial"/>
          <w:sz w:val="21"/>
          <w:szCs w:val="21"/>
        </w:rPr>
        <w:t>de Cierre.</w:t>
      </w:r>
      <w:r w:rsidR="00D56A7F">
        <w:rPr>
          <w:rFonts w:ascii="Arial" w:hAnsi="Arial"/>
          <w:sz w:val="21"/>
          <w:szCs w:val="21"/>
        </w:rPr>
        <w:t xml:space="preserve"> El cronograma deberá ser suministrado en material impreso y archivos magnéticos MS Project o similar</w:t>
      </w:r>
      <w:r w:rsidR="00D366B1">
        <w:rPr>
          <w:rFonts w:ascii="Arial" w:hAnsi="Arial"/>
          <w:sz w:val="21"/>
          <w:szCs w:val="21"/>
        </w:rPr>
        <w:t>.</w:t>
      </w:r>
    </w:p>
    <w:p w:rsidR="00785758" w:rsidRPr="004E5745" w:rsidRDefault="00785758" w:rsidP="00D4498D">
      <w:pPr>
        <w:pStyle w:val="Sangra2detindependiente"/>
        <w:tabs>
          <w:tab w:val="clear" w:pos="1134"/>
          <w:tab w:val="clear" w:pos="1701"/>
          <w:tab w:val="clear" w:pos="2268"/>
          <w:tab w:val="clear" w:pos="2835"/>
        </w:tabs>
        <w:spacing w:before="60" w:line="257" w:lineRule="auto"/>
        <w:ind w:left="567"/>
        <w:rPr>
          <w:rFonts w:ascii="Arial" w:hAnsi="Arial"/>
          <w:sz w:val="21"/>
          <w:szCs w:val="21"/>
        </w:rPr>
      </w:pPr>
      <w:r w:rsidRPr="004E5745">
        <w:rPr>
          <w:rFonts w:ascii="Arial" w:hAnsi="Arial"/>
          <w:sz w:val="21"/>
          <w:szCs w:val="21"/>
        </w:rPr>
        <w:t>En el mismo plazo, entregará también</w:t>
      </w:r>
      <w:r w:rsidR="00D56A7F">
        <w:rPr>
          <w:rFonts w:ascii="Arial" w:hAnsi="Arial"/>
          <w:sz w:val="21"/>
          <w:szCs w:val="21"/>
        </w:rPr>
        <w:t>, en impresos y archivos magnéticos fuente,</w:t>
      </w:r>
      <w:r w:rsidRPr="004E5745">
        <w:rPr>
          <w:rFonts w:ascii="Arial" w:hAnsi="Arial"/>
          <w:sz w:val="21"/>
          <w:szCs w:val="21"/>
        </w:rPr>
        <w:t xml:space="preserve"> el proyecto de ingeniería </w:t>
      </w:r>
      <w:r w:rsidR="00BA1BED" w:rsidRPr="004E5745">
        <w:rPr>
          <w:rFonts w:ascii="Arial" w:hAnsi="Arial"/>
          <w:color w:val="000000"/>
          <w:sz w:val="21"/>
          <w:szCs w:val="21"/>
        </w:rPr>
        <w:t xml:space="preserve">a nivel definitivo </w:t>
      </w:r>
      <w:r w:rsidRPr="004E5745">
        <w:rPr>
          <w:rFonts w:ascii="Arial" w:hAnsi="Arial"/>
          <w:sz w:val="21"/>
          <w:szCs w:val="21"/>
        </w:rPr>
        <w:t>de la Línea Eléctrica</w:t>
      </w:r>
      <w:r w:rsidR="009508AB" w:rsidRPr="004E5745">
        <w:rPr>
          <w:rFonts w:ascii="Arial" w:hAnsi="Arial"/>
          <w:sz w:val="21"/>
          <w:szCs w:val="21"/>
        </w:rPr>
        <w:t xml:space="preserve"> que deberá incluir la Memoria Descriptiva indicada en el Anexo N° 8, conteniendo además las siguientes secciones: Cálculos Justificativos, Metrados, Especificaciones de Suministro y Montaje, y Planos</w:t>
      </w:r>
      <w:r w:rsidR="00700649" w:rsidRPr="004E5745">
        <w:rPr>
          <w:rFonts w:ascii="Arial" w:hAnsi="Arial"/>
          <w:sz w:val="21"/>
          <w:szCs w:val="21"/>
        </w:rPr>
        <w:t>.</w:t>
      </w:r>
    </w:p>
    <w:p w:rsidR="00785758" w:rsidRPr="004E5745" w:rsidRDefault="00785758" w:rsidP="00D4498D">
      <w:pPr>
        <w:pStyle w:val="Sangra2detindependiente"/>
        <w:tabs>
          <w:tab w:val="clear" w:pos="1134"/>
          <w:tab w:val="clear" w:pos="1701"/>
          <w:tab w:val="clear" w:pos="2268"/>
          <w:tab w:val="clear" w:pos="2835"/>
        </w:tabs>
        <w:spacing w:before="60" w:line="257" w:lineRule="auto"/>
        <w:ind w:left="567"/>
        <w:rPr>
          <w:rFonts w:ascii="Arial" w:hAnsi="Arial"/>
          <w:color w:val="000000"/>
          <w:sz w:val="21"/>
          <w:szCs w:val="21"/>
        </w:rPr>
      </w:pPr>
      <w:r w:rsidRPr="004E5745">
        <w:rPr>
          <w:rFonts w:ascii="Arial" w:hAnsi="Arial"/>
          <w:sz w:val="21"/>
          <w:szCs w:val="21"/>
        </w:rPr>
        <w:t xml:space="preserve">Previo al inicio de la construcción de las obras, </w:t>
      </w:r>
      <w:r w:rsidR="00772089" w:rsidRPr="004E5745">
        <w:rPr>
          <w:rFonts w:ascii="Arial" w:hAnsi="Arial"/>
          <w:sz w:val="21"/>
          <w:szCs w:val="21"/>
        </w:rPr>
        <w:t>e</w:t>
      </w:r>
      <w:r w:rsidRPr="004E5745">
        <w:rPr>
          <w:rFonts w:ascii="Arial" w:hAnsi="Arial"/>
          <w:sz w:val="21"/>
          <w:szCs w:val="21"/>
        </w:rPr>
        <w:t>l Concedente verificará</w:t>
      </w:r>
      <w:r w:rsidR="0045555B" w:rsidRPr="004E5745">
        <w:rPr>
          <w:rFonts w:ascii="Arial" w:hAnsi="Arial"/>
          <w:color w:val="000000"/>
          <w:sz w:val="21"/>
          <w:szCs w:val="21"/>
        </w:rPr>
        <w:t>, dentro</w:t>
      </w:r>
      <w:r w:rsidRPr="004E5745">
        <w:rPr>
          <w:rFonts w:ascii="Arial" w:hAnsi="Arial"/>
          <w:sz w:val="21"/>
          <w:szCs w:val="21"/>
        </w:rPr>
        <w:t xml:space="preserve"> de </w:t>
      </w:r>
      <w:r w:rsidR="0045555B" w:rsidRPr="004E5745">
        <w:rPr>
          <w:rFonts w:ascii="Arial" w:hAnsi="Arial"/>
          <w:color w:val="000000"/>
          <w:sz w:val="21"/>
          <w:szCs w:val="21"/>
        </w:rPr>
        <w:t xml:space="preserve">un plazo de </w:t>
      </w:r>
      <w:r w:rsidR="0059499C">
        <w:rPr>
          <w:rFonts w:ascii="Arial" w:hAnsi="Arial"/>
          <w:color w:val="000000"/>
          <w:sz w:val="21"/>
          <w:szCs w:val="21"/>
        </w:rPr>
        <w:t>quince</w:t>
      </w:r>
      <w:r w:rsidR="00AF2831" w:rsidRPr="004E5745">
        <w:rPr>
          <w:rFonts w:ascii="Arial" w:hAnsi="Arial"/>
          <w:color w:val="000000"/>
          <w:sz w:val="21"/>
          <w:szCs w:val="21"/>
        </w:rPr>
        <w:t xml:space="preserve"> </w:t>
      </w:r>
      <w:r w:rsidR="0045555B" w:rsidRPr="004E5745">
        <w:rPr>
          <w:rFonts w:ascii="Arial" w:hAnsi="Arial"/>
          <w:color w:val="000000"/>
          <w:sz w:val="21"/>
          <w:szCs w:val="21"/>
        </w:rPr>
        <w:t>(</w:t>
      </w:r>
      <w:r w:rsidR="00AF2831">
        <w:rPr>
          <w:rFonts w:ascii="Arial" w:hAnsi="Arial"/>
          <w:color w:val="000000"/>
          <w:sz w:val="21"/>
          <w:szCs w:val="21"/>
        </w:rPr>
        <w:t>1</w:t>
      </w:r>
      <w:r w:rsidR="0045555B" w:rsidRPr="004E5745" w:rsidDel="003A5460">
        <w:rPr>
          <w:rFonts w:ascii="Arial" w:hAnsi="Arial"/>
          <w:color w:val="000000"/>
          <w:sz w:val="21"/>
          <w:szCs w:val="21"/>
        </w:rPr>
        <w:t>5</w:t>
      </w:r>
      <w:r w:rsidR="0045555B" w:rsidRPr="004E5745">
        <w:rPr>
          <w:rFonts w:ascii="Arial" w:hAnsi="Arial"/>
          <w:color w:val="000000"/>
          <w:sz w:val="21"/>
          <w:szCs w:val="21"/>
        </w:rPr>
        <w:t xml:space="preserve">) Días de recibido el documento, </w:t>
      </w:r>
      <w:r w:rsidR="00BA1BED" w:rsidRPr="004E5745">
        <w:rPr>
          <w:rFonts w:ascii="Arial" w:hAnsi="Arial"/>
          <w:color w:val="000000"/>
          <w:sz w:val="21"/>
          <w:szCs w:val="21"/>
        </w:rPr>
        <w:t xml:space="preserve">que </w:t>
      </w:r>
      <w:r w:rsidR="0045555B" w:rsidRPr="004E5745">
        <w:rPr>
          <w:rFonts w:ascii="Arial" w:hAnsi="Arial"/>
          <w:color w:val="000000"/>
          <w:sz w:val="21"/>
          <w:szCs w:val="21"/>
        </w:rPr>
        <w:t xml:space="preserve">el </w:t>
      </w:r>
      <w:r w:rsidR="00BA1BED" w:rsidRPr="004E5745">
        <w:rPr>
          <w:rFonts w:ascii="Arial" w:hAnsi="Arial"/>
          <w:color w:val="000000"/>
          <w:sz w:val="21"/>
          <w:szCs w:val="21"/>
        </w:rPr>
        <w:t>proyecto</w:t>
      </w:r>
      <w:r w:rsidR="0045555B" w:rsidRPr="004E5745">
        <w:rPr>
          <w:rFonts w:ascii="Arial" w:hAnsi="Arial"/>
          <w:color w:val="000000"/>
          <w:sz w:val="21"/>
          <w:szCs w:val="21"/>
        </w:rPr>
        <w:t xml:space="preserve"> de ingeniería a nivel definitivo</w:t>
      </w:r>
      <w:r w:rsidR="00BA1BED" w:rsidRPr="004E5745">
        <w:rPr>
          <w:rFonts w:ascii="Arial" w:hAnsi="Arial"/>
          <w:color w:val="000000"/>
          <w:sz w:val="21"/>
          <w:szCs w:val="21"/>
        </w:rPr>
        <w:t xml:space="preserve"> cumpla </w:t>
      </w:r>
      <w:r w:rsidRPr="004E5745">
        <w:rPr>
          <w:rFonts w:ascii="Arial" w:hAnsi="Arial"/>
          <w:sz w:val="21"/>
          <w:szCs w:val="21"/>
        </w:rPr>
        <w:t xml:space="preserve">las características </w:t>
      </w:r>
      <w:r w:rsidR="00772089" w:rsidRPr="004E5745">
        <w:rPr>
          <w:rFonts w:ascii="Arial" w:hAnsi="Arial"/>
          <w:sz w:val="21"/>
          <w:szCs w:val="21"/>
        </w:rPr>
        <w:t>t</w:t>
      </w:r>
      <w:r w:rsidRPr="004E5745">
        <w:rPr>
          <w:rFonts w:ascii="Arial" w:hAnsi="Arial"/>
          <w:sz w:val="21"/>
          <w:szCs w:val="21"/>
        </w:rPr>
        <w:t xml:space="preserve">écnicas que se especifican en </w:t>
      </w:r>
      <w:r w:rsidR="00F94A45">
        <w:rPr>
          <w:rFonts w:ascii="Arial" w:hAnsi="Arial"/>
          <w:sz w:val="21"/>
          <w:szCs w:val="21"/>
        </w:rPr>
        <w:t>e</w:t>
      </w:r>
      <w:r w:rsidR="00374727">
        <w:rPr>
          <w:rFonts w:ascii="Arial" w:hAnsi="Arial"/>
          <w:sz w:val="21"/>
          <w:szCs w:val="21"/>
        </w:rPr>
        <w:t>l</w:t>
      </w:r>
      <w:r w:rsidRPr="004E5745">
        <w:rPr>
          <w:rFonts w:ascii="Arial" w:hAnsi="Arial"/>
          <w:sz w:val="21"/>
          <w:szCs w:val="21"/>
        </w:rPr>
        <w:t xml:space="preserve"> Anexo Nº 1.</w:t>
      </w:r>
      <w:r w:rsidR="0045555B" w:rsidRPr="004E5745">
        <w:rPr>
          <w:rFonts w:ascii="Arial" w:hAnsi="Arial"/>
          <w:color w:val="000000"/>
          <w:sz w:val="21"/>
          <w:szCs w:val="21"/>
        </w:rPr>
        <w:t xml:space="preserve"> Dicha verificación no implicará responsabilidad alguna por parte del Concedente respecto a la ejecución del proyecto en la etapa de operación.</w:t>
      </w:r>
    </w:p>
    <w:p w:rsidR="00703ADF"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a que se refiere la </w:t>
      </w:r>
      <w:r w:rsidR="00313D11" w:rsidRPr="004E5745">
        <w:rPr>
          <w:rFonts w:ascii="Arial" w:hAnsi="Arial"/>
          <w:sz w:val="21"/>
          <w:szCs w:val="21"/>
        </w:rPr>
        <w:t>Cláusula</w:t>
      </w:r>
      <w:r w:rsidRPr="004E5745">
        <w:rPr>
          <w:rFonts w:ascii="Arial" w:hAnsi="Arial"/>
          <w:sz w:val="21"/>
          <w:szCs w:val="21"/>
        </w:rPr>
        <w:t xml:space="preserve"> 4.5, deberá presentarse valorizado en Dólares, considerando períodos mensuales, </w:t>
      </w:r>
      <w:r w:rsidR="00C918DB">
        <w:rPr>
          <w:rFonts w:ascii="Arial" w:hAnsi="Arial"/>
          <w:sz w:val="21"/>
          <w:szCs w:val="21"/>
        </w:rPr>
        <w:t xml:space="preserve">en versión impresa y </w:t>
      </w:r>
      <w:r w:rsidRPr="004E5745">
        <w:rPr>
          <w:rFonts w:ascii="Arial" w:hAnsi="Arial"/>
          <w:sz w:val="21"/>
          <w:szCs w:val="21"/>
        </w:rPr>
        <w:t>en versión digital (MS Project o similar)</w:t>
      </w:r>
      <w:r w:rsidR="006508F5">
        <w:rPr>
          <w:rFonts w:ascii="Arial" w:hAnsi="Arial"/>
          <w:sz w:val="21"/>
          <w:szCs w:val="21"/>
        </w:rPr>
        <w:t xml:space="preserve">. La versión digital deberá permitir a OSINERGMIN efectuar las verificaciones en </w:t>
      </w:r>
      <w:r w:rsidR="006508F5">
        <w:rPr>
          <w:rFonts w:ascii="Arial" w:hAnsi="Arial"/>
          <w:sz w:val="21"/>
          <w:szCs w:val="21"/>
        </w:rPr>
        <w:lastRenderedPageBreak/>
        <w:t>forma automatizada</w:t>
      </w:r>
      <w:r w:rsidRPr="004E5745">
        <w:rPr>
          <w:rFonts w:ascii="Arial" w:hAnsi="Arial"/>
          <w:sz w:val="21"/>
          <w:szCs w:val="21"/>
        </w:rPr>
        <w:t>, y distinguirá claramente la ruta crítica de la obra.</w:t>
      </w:r>
      <w:r w:rsidR="00703ADF" w:rsidRPr="004E5745">
        <w:rPr>
          <w:rFonts w:ascii="Arial" w:hAnsi="Arial"/>
          <w:sz w:val="21"/>
          <w:szCs w:val="21"/>
        </w:rPr>
        <w:t xml:space="preserve"> En caso que la ruta crítica se altere y que ello </w:t>
      </w:r>
      <w:r w:rsidR="00AE43AF">
        <w:rPr>
          <w:rFonts w:ascii="Arial" w:hAnsi="Arial"/>
          <w:sz w:val="21"/>
          <w:szCs w:val="21"/>
        </w:rPr>
        <w:t xml:space="preserve">conlleve a un atraso de </w:t>
      </w:r>
      <w:r w:rsidR="00AE43AF" w:rsidRPr="004E5745">
        <w:rPr>
          <w:rFonts w:ascii="Arial" w:hAnsi="Arial"/>
          <w:sz w:val="21"/>
          <w:szCs w:val="21"/>
        </w:rPr>
        <w:t xml:space="preserve">más de </w:t>
      </w:r>
      <w:r w:rsidR="00AE43AF">
        <w:rPr>
          <w:rFonts w:ascii="Arial" w:hAnsi="Arial"/>
          <w:sz w:val="21"/>
          <w:szCs w:val="21"/>
        </w:rPr>
        <w:t>treinta (30) días calendario en la fecha prevista para la Puesta en Operación Comercial</w:t>
      </w:r>
      <w:r w:rsidR="006E7833">
        <w:rPr>
          <w:rFonts w:ascii="Arial" w:hAnsi="Arial"/>
          <w:sz w:val="21"/>
          <w:szCs w:val="21"/>
        </w:rPr>
        <w:t xml:space="preserve">, </w:t>
      </w:r>
      <w:r w:rsidR="00703ADF" w:rsidRPr="004E5745">
        <w:rPr>
          <w:rFonts w:ascii="Arial" w:hAnsi="Arial"/>
          <w:sz w:val="21"/>
          <w:szCs w:val="21"/>
        </w:rPr>
        <w:t xml:space="preserve">la Sociedad Concesionaria deberá entregar al Concedente </w:t>
      </w:r>
      <w:r w:rsidR="00947BD5">
        <w:rPr>
          <w:rFonts w:ascii="Arial" w:hAnsi="Arial"/>
          <w:sz w:val="21"/>
          <w:szCs w:val="21"/>
        </w:rPr>
        <w:t xml:space="preserve">y al OSINERGMIN </w:t>
      </w:r>
      <w:r w:rsidR="00703ADF" w:rsidRPr="004E5745">
        <w:rPr>
          <w:rFonts w:ascii="Arial" w:hAnsi="Arial"/>
          <w:sz w:val="21"/>
          <w:szCs w:val="21"/>
        </w:rPr>
        <w:t xml:space="preserve">un </w:t>
      </w:r>
      <w:r w:rsidR="00AE43AF">
        <w:rPr>
          <w:rFonts w:ascii="Arial" w:hAnsi="Arial"/>
          <w:sz w:val="21"/>
          <w:szCs w:val="21"/>
        </w:rPr>
        <w:t>c</w:t>
      </w:r>
      <w:r w:rsidR="00703ADF" w:rsidRPr="004E5745">
        <w:rPr>
          <w:rFonts w:ascii="Arial" w:hAnsi="Arial"/>
          <w:sz w:val="21"/>
          <w:szCs w:val="21"/>
        </w:rPr>
        <w:t>ronograma actualizado dentro de los diez días siguientes a la ocurrencia de tal hecho</w:t>
      </w:r>
      <w:r w:rsidR="00C918DB">
        <w:rPr>
          <w:rFonts w:ascii="Arial" w:hAnsi="Arial"/>
          <w:sz w:val="21"/>
          <w:szCs w:val="21"/>
        </w:rPr>
        <w:t>, donde se detallen los correctivos que se han implementado</w:t>
      </w:r>
      <w:r w:rsidR="00703ADF" w:rsidRPr="004E5745">
        <w:rPr>
          <w:rFonts w:ascii="Arial" w:hAnsi="Arial"/>
          <w:sz w:val="21"/>
          <w:szCs w:val="21"/>
        </w:rPr>
        <w:t>.</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 xml:space="preserve">La Sociedad Concesionaria deberá remitir al OSINERGMIN, una versión actualizada del cronograma a que se refiere la </w:t>
      </w:r>
      <w:r w:rsidR="00313D11" w:rsidRPr="004E5745">
        <w:rPr>
          <w:rFonts w:ascii="Arial" w:hAnsi="Arial"/>
          <w:sz w:val="21"/>
          <w:szCs w:val="21"/>
        </w:rPr>
        <w:t>Cláusula</w:t>
      </w:r>
      <w:r w:rsidRPr="004E5745">
        <w:rPr>
          <w:rFonts w:ascii="Arial" w:hAnsi="Arial"/>
          <w:sz w:val="21"/>
          <w:szCs w:val="21"/>
        </w:rPr>
        <w:t xml:space="preserve"> 4.5, a los </w:t>
      </w:r>
      <w:r w:rsidR="00EA6E98">
        <w:rPr>
          <w:rFonts w:ascii="Arial" w:hAnsi="Arial"/>
          <w:sz w:val="21"/>
          <w:szCs w:val="21"/>
        </w:rPr>
        <w:t>dieciocho</w:t>
      </w:r>
      <w:r w:rsidRPr="004E5745">
        <w:rPr>
          <w:rFonts w:ascii="Arial" w:hAnsi="Arial"/>
          <w:sz w:val="21"/>
          <w:szCs w:val="21"/>
        </w:rPr>
        <w:t xml:space="preserve"> (1</w:t>
      </w:r>
      <w:r w:rsidR="00EA6E98">
        <w:rPr>
          <w:rFonts w:ascii="Arial" w:hAnsi="Arial"/>
          <w:sz w:val="21"/>
          <w:szCs w:val="21"/>
        </w:rPr>
        <w:t>8</w:t>
      </w:r>
      <w:r w:rsidRPr="004E5745">
        <w:rPr>
          <w:rFonts w:ascii="Arial" w:hAnsi="Arial"/>
          <w:sz w:val="21"/>
          <w:szCs w:val="21"/>
        </w:rPr>
        <w:t xml:space="preserve">) y a los </w:t>
      </w:r>
      <w:r w:rsidR="00EA6E98">
        <w:rPr>
          <w:rFonts w:ascii="Arial" w:hAnsi="Arial"/>
          <w:sz w:val="21"/>
          <w:szCs w:val="21"/>
        </w:rPr>
        <w:t>veinticuatro</w:t>
      </w:r>
      <w:r w:rsidRPr="004E5745">
        <w:rPr>
          <w:rFonts w:ascii="Arial" w:hAnsi="Arial"/>
          <w:sz w:val="21"/>
          <w:szCs w:val="21"/>
        </w:rPr>
        <w:t xml:space="preserve"> (</w:t>
      </w:r>
      <w:r w:rsidR="00EA6E98">
        <w:rPr>
          <w:rFonts w:ascii="Arial" w:hAnsi="Arial"/>
          <w:sz w:val="21"/>
          <w:szCs w:val="21"/>
        </w:rPr>
        <w:t>24</w:t>
      </w:r>
      <w:r w:rsidRPr="004E5745">
        <w:rPr>
          <w:rFonts w:ascii="Arial" w:hAnsi="Arial"/>
          <w:sz w:val="21"/>
          <w:szCs w:val="21"/>
        </w:rPr>
        <w:t xml:space="preserve">) meses después de la </w:t>
      </w:r>
      <w:r w:rsidR="000F6FFA" w:rsidRPr="004E5745">
        <w:rPr>
          <w:rFonts w:ascii="Arial" w:hAnsi="Arial"/>
          <w:sz w:val="21"/>
          <w:szCs w:val="21"/>
        </w:rPr>
        <w:t xml:space="preserve">fecha </w:t>
      </w:r>
      <w:r w:rsidRPr="004E5745">
        <w:rPr>
          <w:rFonts w:ascii="Arial" w:hAnsi="Arial"/>
          <w:sz w:val="21"/>
          <w:szCs w:val="21"/>
        </w:rPr>
        <w:t>de Cierre.</w:t>
      </w:r>
    </w:p>
    <w:p w:rsidR="00623920" w:rsidRPr="00623920" w:rsidRDefault="00241CC9" w:rsidP="001B0EC7">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sidRPr="00C35B56">
        <w:rPr>
          <w:rFonts w:ascii="Arial" w:hAnsi="Arial"/>
          <w:sz w:val="21"/>
          <w:szCs w:val="21"/>
          <w:highlight w:val="green"/>
        </w:rPr>
        <w:t>La Sociedad Concesionaria se obliga a</w:t>
      </w:r>
      <w:r w:rsidR="00D54788" w:rsidRPr="00C35B56">
        <w:rPr>
          <w:rFonts w:ascii="Arial" w:hAnsi="Arial"/>
          <w:sz w:val="21"/>
          <w:szCs w:val="21"/>
          <w:highlight w:val="green"/>
        </w:rPr>
        <w:t xml:space="preserve"> contratar y a solventar los gastos que demande la supervisión de la obra</w:t>
      </w:r>
      <w:r w:rsidR="00AB0F5B" w:rsidRPr="00C35B56">
        <w:rPr>
          <w:rFonts w:ascii="Arial" w:hAnsi="Arial"/>
          <w:sz w:val="21"/>
          <w:szCs w:val="21"/>
          <w:highlight w:val="green"/>
        </w:rPr>
        <w:t>.</w:t>
      </w:r>
      <w:r w:rsidR="00623920">
        <w:rPr>
          <w:rFonts w:ascii="Arial" w:hAnsi="Arial"/>
          <w:sz w:val="21"/>
          <w:szCs w:val="21"/>
        </w:rPr>
        <w:t xml:space="preserve"> </w:t>
      </w:r>
      <w:r w:rsidR="00623920" w:rsidRPr="00623920">
        <w:rPr>
          <w:rFonts w:ascii="Arial" w:hAnsi="Arial"/>
          <w:sz w:val="21"/>
          <w:szCs w:val="21"/>
        </w:rPr>
        <w:t>La Sociedad Concesionaria se obliga a contratar y a solventar los gastos que demande la supervisión de la</w:t>
      </w:r>
      <w:r w:rsidR="00623920" w:rsidRPr="004756F2">
        <w:rPr>
          <w:rFonts w:ascii="Arial" w:hAnsi="Arial"/>
          <w:sz w:val="21"/>
          <w:szCs w:val="21"/>
        </w:rPr>
        <w:t xml:space="preserve"> obra. Se contratará a una empresa externa especializada en la supervisión de líneas de transmisión de extr</w:t>
      </w:r>
      <w:r w:rsidR="00623920" w:rsidRPr="00623920">
        <w:rPr>
          <w:rFonts w:ascii="Arial" w:hAnsi="Arial"/>
          <w:sz w:val="21"/>
          <w:szCs w:val="21"/>
        </w:rPr>
        <w:t xml:space="preserve">a alta tensión, empresa cuya selección deberá contar con la conformidad del OSINERGMIN. Los gastos que demande dicha supervisión forman parte de la propuesta de inversión de </w:t>
      </w:r>
      <w:smartTag w:uri="urn:schemas-microsoft-com:office:smarttags" w:element="PersonName">
        <w:smartTagPr>
          <w:attr w:name="ProductID" w:val="la Sociedad Concesionaria."/>
        </w:smartTagPr>
        <w:r w:rsidR="00623920" w:rsidRPr="00623920">
          <w:rPr>
            <w:rFonts w:ascii="Arial" w:hAnsi="Arial"/>
            <w:sz w:val="21"/>
            <w:szCs w:val="21"/>
          </w:rPr>
          <w:t>la Sociedad Concesionaria.</w:t>
        </w:r>
      </w:smartTag>
    </w:p>
    <w:p w:rsidR="00623920" w:rsidRPr="004E5745" w:rsidRDefault="00623920" w:rsidP="00623920">
      <w:pPr>
        <w:pStyle w:val="Sangra2detindependiente"/>
        <w:widowControl w:val="0"/>
        <w:tabs>
          <w:tab w:val="clear" w:pos="1134"/>
          <w:tab w:val="clear" w:pos="1701"/>
          <w:tab w:val="clear" w:pos="2268"/>
          <w:tab w:val="clear" w:pos="2835"/>
        </w:tabs>
        <w:spacing w:before="120" w:line="257" w:lineRule="auto"/>
        <w:ind w:left="567"/>
        <w:rPr>
          <w:rFonts w:ascii="Arial" w:hAnsi="Arial"/>
          <w:sz w:val="21"/>
          <w:szCs w:val="21"/>
        </w:rPr>
      </w:pPr>
      <w:r>
        <w:rPr>
          <w:rFonts w:ascii="Arial" w:hAnsi="Arial"/>
          <w:sz w:val="21"/>
          <w:szCs w:val="21"/>
        </w:rPr>
        <w:t>La empresa supervisora deberá comenzar sus labores desde el inicio del proyecto de ingeniería de la línea de transmisión.</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bookmarkStart w:id="28" w:name="_Toc400867064"/>
      <w:r w:rsidRPr="004E5745">
        <w:rPr>
          <w:rFonts w:ascii="Arial" w:hAnsi="Arial"/>
          <w:sz w:val="21"/>
          <w:szCs w:val="21"/>
        </w:rPr>
        <w:t xml:space="preserve">Con su propio personal o a través de empresas especializadas, a su propia cuenta, costo y riesgo, </w:t>
      </w:r>
      <w:r w:rsidR="009814B4">
        <w:rPr>
          <w:rFonts w:ascii="Arial" w:hAnsi="Arial"/>
          <w:sz w:val="21"/>
          <w:szCs w:val="21"/>
        </w:rPr>
        <w:t>el</w:t>
      </w:r>
      <w:r w:rsidRPr="004E5745">
        <w:rPr>
          <w:rFonts w:ascii="Arial" w:hAnsi="Arial"/>
          <w:sz w:val="21"/>
          <w:szCs w:val="21"/>
        </w:rPr>
        <w:t xml:space="preserve"> OSINERGMIN podrá efectuar </w:t>
      </w:r>
      <w:r w:rsidR="0094530B" w:rsidRPr="004E5745">
        <w:rPr>
          <w:rFonts w:ascii="Arial" w:hAnsi="Arial"/>
          <w:sz w:val="21"/>
          <w:szCs w:val="21"/>
        </w:rPr>
        <w:t xml:space="preserve">un </w:t>
      </w:r>
      <w:r w:rsidRPr="004E5745">
        <w:rPr>
          <w:rFonts w:ascii="Arial" w:hAnsi="Arial"/>
          <w:sz w:val="21"/>
          <w:szCs w:val="21"/>
        </w:rPr>
        <w:t xml:space="preserve">seguimiento de la ejecución de las obras y la </w:t>
      </w:r>
      <w:r w:rsidRPr="00F35007">
        <w:rPr>
          <w:rFonts w:ascii="Arial" w:hAnsi="Arial"/>
          <w:sz w:val="21"/>
          <w:szCs w:val="21"/>
        </w:rPr>
        <w:t>inspección técnica</w:t>
      </w:r>
      <w:r w:rsidRPr="004E5745">
        <w:rPr>
          <w:rFonts w:ascii="Arial" w:hAnsi="Arial"/>
          <w:sz w:val="21"/>
          <w:szCs w:val="21"/>
        </w:rPr>
        <w:t xml:space="preserve"> de la calidad constructiva, para lo cual la Sociedad Concesionaria proporcionará las facilidades que razonablemente le sean requeridas, en tanto no afecten el normal desarrollo del cronograma de construcción de la Línea </w:t>
      </w:r>
      <w:r w:rsidR="00BB672D" w:rsidRPr="004E5745">
        <w:rPr>
          <w:rFonts w:ascii="Arial" w:hAnsi="Arial"/>
          <w:sz w:val="21"/>
          <w:szCs w:val="21"/>
        </w:rPr>
        <w:t xml:space="preserve">Eléctrica. </w:t>
      </w:r>
      <w:r w:rsidRPr="004E5745">
        <w:rPr>
          <w:rFonts w:ascii="Arial" w:hAnsi="Arial"/>
          <w:sz w:val="21"/>
          <w:szCs w:val="21"/>
        </w:rPr>
        <w:t xml:space="preserve">Sin embargo, si durante la inspección técnica se detectasen deficiencias de tal naturaleza que alteren los alcances de la Línea Eléctrica, afecten la calidad técnica de las instalaciones o ponga en riesgo la calidad del </w:t>
      </w:r>
      <w:r w:rsidR="00921563" w:rsidRPr="004E5745">
        <w:rPr>
          <w:rFonts w:ascii="Arial" w:hAnsi="Arial"/>
          <w:sz w:val="21"/>
          <w:szCs w:val="21"/>
        </w:rPr>
        <w:t>S</w:t>
      </w:r>
      <w:r w:rsidRPr="004E5745">
        <w:rPr>
          <w:rFonts w:ascii="Arial" w:hAnsi="Arial"/>
          <w:sz w:val="21"/>
          <w:szCs w:val="21"/>
        </w:rPr>
        <w:t xml:space="preserve">ervicio, el </w:t>
      </w:r>
      <w:r w:rsidR="002D3AA3">
        <w:rPr>
          <w:rFonts w:ascii="Arial" w:hAnsi="Arial"/>
          <w:sz w:val="21"/>
          <w:szCs w:val="21"/>
        </w:rPr>
        <w:t xml:space="preserve">OSINERGMIN </w:t>
      </w:r>
      <w:r w:rsidRPr="004E5745">
        <w:rPr>
          <w:rFonts w:ascii="Arial" w:hAnsi="Arial"/>
          <w:sz w:val="21"/>
          <w:szCs w:val="21"/>
        </w:rPr>
        <w:t xml:space="preserve">solicitará a la Sociedad Concesionaria </w:t>
      </w:r>
      <w:r w:rsidR="00921563" w:rsidRPr="004E5745">
        <w:rPr>
          <w:rFonts w:ascii="Arial" w:hAnsi="Arial"/>
          <w:sz w:val="21"/>
          <w:szCs w:val="21"/>
        </w:rPr>
        <w:t>que efectúe las correcciones necesarias de manera</w:t>
      </w:r>
      <w:r w:rsidRPr="004E5745">
        <w:rPr>
          <w:rFonts w:ascii="Arial" w:hAnsi="Arial"/>
          <w:sz w:val="21"/>
          <w:szCs w:val="21"/>
        </w:rPr>
        <w:t xml:space="preserve"> previa a la continuación de las obras o instalaciones materia de la observación.</w:t>
      </w:r>
    </w:p>
    <w:p w:rsidR="00433519" w:rsidRPr="004E5745" w:rsidRDefault="00433519"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A</w:t>
      </w:r>
      <w:r w:rsidR="005E28B5" w:rsidRPr="004E5745">
        <w:rPr>
          <w:rFonts w:ascii="Arial" w:hAnsi="Arial"/>
          <w:sz w:val="21"/>
          <w:szCs w:val="21"/>
        </w:rPr>
        <w:t xml:space="preserve"> </w:t>
      </w:r>
      <w:r w:rsidRPr="004E5745">
        <w:rPr>
          <w:rFonts w:ascii="Arial" w:hAnsi="Arial"/>
          <w:sz w:val="21"/>
          <w:szCs w:val="21"/>
        </w:rPr>
        <w:t xml:space="preserve">partir del sexto mes de la fecha de Cierre, la Sociedad Concesionaria tendrá la obligación de informar mensualmente al Concedente </w:t>
      </w:r>
      <w:r w:rsidR="00A9665B" w:rsidRPr="004E5745">
        <w:rPr>
          <w:rFonts w:ascii="Arial" w:hAnsi="Arial"/>
          <w:color w:val="000000"/>
          <w:sz w:val="21"/>
          <w:szCs w:val="21"/>
        </w:rPr>
        <w:t>y al OSINERGMIN</w:t>
      </w:r>
      <w:r w:rsidR="00E4438A">
        <w:rPr>
          <w:rFonts w:ascii="Arial" w:hAnsi="Arial"/>
          <w:color w:val="000000"/>
          <w:sz w:val="21"/>
          <w:szCs w:val="21"/>
        </w:rPr>
        <w:t>, dentro de los primeros quince (15) días siguientes de concluido el mes que se informa,</w:t>
      </w:r>
      <w:r w:rsidR="00A9665B" w:rsidRPr="004E5745">
        <w:rPr>
          <w:rFonts w:ascii="Arial" w:hAnsi="Arial"/>
          <w:color w:val="000000"/>
          <w:sz w:val="21"/>
          <w:szCs w:val="21"/>
        </w:rPr>
        <w:t xml:space="preserve"> sobre </w:t>
      </w:r>
      <w:r w:rsidRPr="004E5745">
        <w:rPr>
          <w:rFonts w:ascii="Arial" w:hAnsi="Arial"/>
          <w:sz w:val="21"/>
          <w:szCs w:val="21"/>
        </w:rPr>
        <w:t>el avance de</w:t>
      </w:r>
      <w:r w:rsidR="00374727">
        <w:rPr>
          <w:rFonts w:ascii="Arial" w:hAnsi="Arial"/>
          <w:sz w:val="21"/>
          <w:szCs w:val="21"/>
        </w:rPr>
        <w:t xml:space="preserve"> </w:t>
      </w:r>
      <w:r w:rsidRPr="004E5745">
        <w:rPr>
          <w:rFonts w:ascii="Arial" w:hAnsi="Arial"/>
          <w:sz w:val="21"/>
          <w:szCs w:val="21"/>
        </w:rPr>
        <w:t>l</w:t>
      </w:r>
      <w:r w:rsidR="00374727">
        <w:rPr>
          <w:rFonts w:ascii="Arial" w:hAnsi="Arial"/>
          <w:sz w:val="21"/>
          <w:szCs w:val="21"/>
        </w:rPr>
        <w:t>os</w:t>
      </w:r>
      <w:r w:rsidRPr="004E5745">
        <w:rPr>
          <w:rFonts w:ascii="Arial" w:hAnsi="Arial"/>
          <w:sz w:val="21"/>
          <w:szCs w:val="21"/>
        </w:rPr>
        <w:t xml:space="preserve"> proyecto</w:t>
      </w:r>
      <w:r w:rsidR="00374727">
        <w:rPr>
          <w:rFonts w:ascii="Arial" w:hAnsi="Arial"/>
          <w:sz w:val="21"/>
          <w:szCs w:val="21"/>
        </w:rPr>
        <w:t>s</w:t>
      </w:r>
      <w:r w:rsidRPr="004E5745">
        <w:rPr>
          <w:rFonts w:ascii="Arial" w:hAnsi="Arial"/>
          <w:sz w:val="21"/>
          <w:szCs w:val="21"/>
        </w:rPr>
        <w:t>, incluyendo el desarrollo de la ingeniería, adquisición de equipos y materiales, la construcción de las obras</w:t>
      </w:r>
      <w:r w:rsidR="00470A34">
        <w:rPr>
          <w:rFonts w:ascii="Arial" w:hAnsi="Arial"/>
          <w:sz w:val="21"/>
          <w:szCs w:val="21"/>
        </w:rPr>
        <w:t xml:space="preserve"> y otros aspectos relevantes</w:t>
      </w:r>
      <w:r w:rsidR="006508F5">
        <w:rPr>
          <w:rFonts w:ascii="Arial" w:hAnsi="Arial"/>
          <w:sz w:val="21"/>
          <w:szCs w:val="21"/>
        </w:rPr>
        <w:t xml:space="preserve"> que requiera el Concedente y/o el OSINERGMIN</w:t>
      </w:r>
      <w:r w:rsidRPr="004E5745">
        <w:rPr>
          <w:rFonts w:ascii="Arial" w:hAnsi="Arial"/>
          <w:sz w:val="21"/>
          <w:szCs w:val="21"/>
        </w:rPr>
        <w:t>.</w:t>
      </w:r>
    </w:p>
    <w:bookmarkEnd w:id="28"/>
    <w:p w:rsidR="00785758" w:rsidRDefault="00785758" w:rsidP="00D4498D">
      <w:pPr>
        <w:tabs>
          <w:tab w:val="clear" w:pos="1134"/>
          <w:tab w:val="clear" w:pos="1701"/>
          <w:tab w:val="clear" w:pos="2268"/>
          <w:tab w:val="clear" w:pos="2835"/>
        </w:tabs>
        <w:spacing w:before="300" w:after="120" w:line="250" w:lineRule="auto"/>
        <w:ind w:left="567" w:hanging="567"/>
        <w:jc w:val="both"/>
        <w:rPr>
          <w:rFonts w:ascii="Arial" w:hAnsi="Arial"/>
          <w:b/>
          <w:sz w:val="24"/>
          <w:szCs w:val="24"/>
        </w:rPr>
      </w:pPr>
      <w:r w:rsidRPr="004E5745">
        <w:rPr>
          <w:rFonts w:ascii="Arial" w:hAnsi="Arial"/>
          <w:b/>
          <w:sz w:val="24"/>
          <w:szCs w:val="24"/>
        </w:rPr>
        <w:t>5.</w:t>
      </w:r>
      <w:r w:rsidRPr="004E5745">
        <w:rPr>
          <w:rFonts w:ascii="Arial" w:hAnsi="Arial"/>
          <w:b/>
          <w:sz w:val="24"/>
          <w:szCs w:val="24"/>
        </w:rPr>
        <w:tab/>
        <w:t xml:space="preserve">Operación </w:t>
      </w:r>
      <w:r w:rsidR="00BB672D" w:rsidRPr="004E5745">
        <w:rPr>
          <w:rFonts w:ascii="Arial" w:hAnsi="Arial"/>
          <w:b/>
          <w:sz w:val="24"/>
          <w:szCs w:val="24"/>
        </w:rPr>
        <w:t>Comercial</w:t>
      </w:r>
    </w:p>
    <w:p w:rsidR="003F3515" w:rsidRPr="00D366B1" w:rsidRDefault="007E17CD" w:rsidP="00D4498D">
      <w:pPr>
        <w:widowControl w:val="0"/>
        <w:numPr>
          <w:ilvl w:val="1"/>
          <w:numId w:val="4"/>
        </w:numPr>
        <w:tabs>
          <w:tab w:val="clear" w:pos="360"/>
          <w:tab w:val="clear" w:pos="1134"/>
          <w:tab w:val="clear" w:pos="1701"/>
          <w:tab w:val="clear" w:pos="2268"/>
          <w:tab w:val="clear" w:pos="2835"/>
          <w:tab w:val="num" w:pos="567"/>
        </w:tabs>
        <w:spacing w:before="100" w:line="250" w:lineRule="auto"/>
        <w:ind w:left="567" w:hanging="567"/>
        <w:jc w:val="both"/>
        <w:rPr>
          <w:rFonts w:ascii="Arial" w:hAnsi="Arial"/>
          <w:color w:val="000000"/>
          <w:sz w:val="21"/>
        </w:rPr>
      </w:pPr>
      <w:r w:rsidRPr="00D366B1">
        <w:rPr>
          <w:rFonts w:ascii="Arial" w:hAnsi="Arial"/>
          <w:color w:val="000000"/>
          <w:sz w:val="21"/>
        </w:rPr>
        <w:t xml:space="preserve">Concluida la construcción y efectuadas las pruebas </w:t>
      </w:r>
      <w:r w:rsidR="003F3515" w:rsidRPr="00D366B1">
        <w:rPr>
          <w:rFonts w:ascii="Arial" w:hAnsi="Arial"/>
          <w:color w:val="000000"/>
          <w:sz w:val="21"/>
        </w:rPr>
        <w:t xml:space="preserve">internas de operación, la Sociedad Concesionaria procederá, en presencia </w:t>
      </w:r>
      <w:r w:rsidR="003F3515" w:rsidRPr="00BD749F">
        <w:rPr>
          <w:rFonts w:ascii="Arial" w:hAnsi="Arial"/>
          <w:color w:val="000000"/>
          <w:sz w:val="21"/>
          <w:szCs w:val="21"/>
        </w:rPr>
        <w:t>de</w:t>
      </w:r>
      <w:r w:rsidR="007D065F">
        <w:rPr>
          <w:rFonts w:ascii="Arial" w:hAnsi="Arial"/>
          <w:color w:val="000000"/>
          <w:sz w:val="21"/>
          <w:szCs w:val="21"/>
        </w:rPr>
        <w:t xml:space="preserve">l </w:t>
      </w:r>
      <w:r w:rsidR="00A75204">
        <w:rPr>
          <w:rFonts w:ascii="Arial" w:hAnsi="Arial"/>
          <w:color w:val="000000"/>
          <w:sz w:val="21"/>
          <w:szCs w:val="21"/>
        </w:rPr>
        <w:t>Inspector</w:t>
      </w:r>
      <w:r w:rsidR="00093258" w:rsidRPr="00BD749F">
        <w:rPr>
          <w:rFonts w:ascii="Arial" w:hAnsi="Arial"/>
          <w:color w:val="000000"/>
          <w:sz w:val="21"/>
          <w:szCs w:val="21"/>
        </w:rPr>
        <w:t>,</w:t>
      </w:r>
      <w:r w:rsidR="003F3515" w:rsidRPr="00D366B1">
        <w:rPr>
          <w:rFonts w:ascii="Arial" w:hAnsi="Arial"/>
          <w:color w:val="000000"/>
          <w:sz w:val="21"/>
        </w:rPr>
        <w:t xml:space="preserve"> del Concedente</w:t>
      </w:r>
      <w:r w:rsidR="00186D7B" w:rsidRPr="00D366B1">
        <w:rPr>
          <w:rFonts w:ascii="Arial" w:hAnsi="Arial"/>
          <w:color w:val="000000"/>
          <w:sz w:val="21"/>
        </w:rPr>
        <w:t xml:space="preserve"> y del OSINERGMIN</w:t>
      </w:r>
      <w:r w:rsidR="003F3515" w:rsidRPr="00D366B1">
        <w:rPr>
          <w:rFonts w:ascii="Arial" w:hAnsi="Arial"/>
          <w:color w:val="000000"/>
          <w:sz w:val="21"/>
        </w:rPr>
        <w:t xml:space="preserve">, a efectuar las pruebas </w:t>
      </w:r>
      <w:r w:rsidRPr="00D366B1">
        <w:rPr>
          <w:rFonts w:ascii="Arial" w:hAnsi="Arial"/>
          <w:color w:val="000000"/>
          <w:sz w:val="21"/>
        </w:rPr>
        <w:t xml:space="preserve">de verificación </w:t>
      </w:r>
      <w:r w:rsidR="003F3515" w:rsidRPr="00D366B1">
        <w:rPr>
          <w:rFonts w:ascii="Arial" w:hAnsi="Arial"/>
          <w:color w:val="000000"/>
          <w:sz w:val="21"/>
        </w:rPr>
        <w:t>en sitio</w:t>
      </w:r>
      <w:r w:rsidRPr="00D366B1">
        <w:rPr>
          <w:rFonts w:ascii="Arial" w:hAnsi="Arial"/>
          <w:color w:val="000000"/>
          <w:sz w:val="21"/>
        </w:rPr>
        <w:t xml:space="preserve"> </w:t>
      </w:r>
      <w:r w:rsidR="003F3515" w:rsidRPr="00D366B1">
        <w:rPr>
          <w:rFonts w:ascii="Arial" w:hAnsi="Arial"/>
          <w:color w:val="000000"/>
          <w:sz w:val="21"/>
        </w:rPr>
        <w:t xml:space="preserve">las mismas que tienen por objetivo comprobar, siguiendo la metodología establecida en el Anexo Nº 2, que la Línea Eléctrica cumple con los requisitos señalados en </w:t>
      </w:r>
      <w:r w:rsidR="00F94A45" w:rsidRPr="00D366B1">
        <w:rPr>
          <w:rFonts w:ascii="Arial" w:hAnsi="Arial"/>
          <w:color w:val="000000"/>
          <w:sz w:val="21"/>
        </w:rPr>
        <w:t>e</w:t>
      </w:r>
      <w:r w:rsidR="00221373" w:rsidRPr="00D366B1">
        <w:rPr>
          <w:rFonts w:ascii="Arial" w:hAnsi="Arial"/>
          <w:color w:val="000000"/>
          <w:sz w:val="21"/>
        </w:rPr>
        <w:t xml:space="preserve">l </w:t>
      </w:r>
      <w:r w:rsidR="003F3515" w:rsidRPr="00D366B1">
        <w:rPr>
          <w:rFonts w:ascii="Arial" w:hAnsi="Arial"/>
          <w:color w:val="000000"/>
          <w:sz w:val="21"/>
        </w:rPr>
        <w:t>Anexo Nº 1</w:t>
      </w:r>
      <w:r w:rsidR="00B36BC2" w:rsidRPr="00D366B1">
        <w:rPr>
          <w:rFonts w:ascii="Arial" w:hAnsi="Arial"/>
          <w:color w:val="000000"/>
          <w:sz w:val="21"/>
        </w:rPr>
        <w:t>,</w:t>
      </w:r>
      <w:r w:rsidR="003F3515" w:rsidRPr="00D366B1">
        <w:rPr>
          <w:rFonts w:ascii="Arial" w:hAnsi="Arial"/>
          <w:color w:val="000000"/>
          <w:sz w:val="21"/>
        </w:rPr>
        <w:t xml:space="preserve"> y que opera adecuadamente. La Sociedad Concesionaria proporcionará las facilidades al </w:t>
      </w:r>
      <w:r w:rsidR="00A75204">
        <w:rPr>
          <w:rFonts w:ascii="Arial" w:hAnsi="Arial"/>
          <w:color w:val="000000"/>
          <w:sz w:val="21"/>
          <w:szCs w:val="21"/>
        </w:rPr>
        <w:t>Inspector</w:t>
      </w:r>
      <w:r w:rsidR="00A75204" w:rsidRPr="00D366B1">
        <w:rPr>
          <w:rFonts w:ascii="Arial" w:hAnsi="Arial"/>
          <w:color w:val="000000"/>
          <w:sz w:val="21"/>
        </w:rPr>
        <w:t xml:space="preserve"> </w:t>
      </w:r>
      <w:r w:rsidR="003F3515" w:rsidRPr="00D366B1">
        <w:rPr>
          <w:rFonts w:ascii="Arial" w:hAnsi="Arial"/>
          <w:color w:val="000000"/>
          <w:sz w:val="21"/>
        </w:rPr>
        <w:t>para la realización de las inspecciones técnicas requeridas.</w:t>
      </w:r>
    </w:p>
    <w:p w:rsidR="004D127D" w:rsidRPr="004E5745" w:rsidRDefault="00D4498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Pr>
          <w:rFonts w:ascii="Arial" w:hAnsi="Arial"/>
          <w:color w:val="000000"/>
          <w:sz w:val="21"/>
          <w:szCs w:val="21"/>
        </w:rPr>
        <w:br w:type="page"/>
      </w:r>
      <w:r w:rsidR="004D127D" w:rsidRPr="004E5745">
        <w:rPr>
          <w:rFonts w:ascii="Arial" w:hAnsi="Arial"/>
          <w:color w:val="000000"/>
          <w:sz w:val="21"/>
          <w:szCs w:val="21"/>
        </w:rPr>
        <w:lastRenderedPageBreak/>
        <w:t>A la finalización</w:t>
      </w:r>
      <w:r w:rsidR="007E17CD" w:rsidRPr="004E5745">
        <w:rPr>
          <w:rFonts w:ascii="Arial" w:hAnsi="Arial"/>
          <w:color w:val="000000"/>
          <w:sz w:val="21"/>
          <w:szCs w:val="21"/>
        </w:rPr>
        <w:t xml:space="preserve"> exitosa</w:t>
      </w:r>
      <w:r w:rsidR="004D127D" w:rsidRPr="004E5745">
        <w:rPr>
          <w:rFonts w:ascii="Arial" w:hAnsi="Arial"/>
          <w:color w:val="000000"/>
          <w:sz w:val="21"/>
          <w:szCs w:val="21"/>
        </w:rPr>
        <w:t xml:space="preserve"> de las pruebas de verificación de la Línea Eléctrica, el </w:t>
      </w:r>
      <w:r w:rsidR="00292F19">
        <w:rPr>
          <w:rFonts w:ascii="Arial" w:hAnsi="Arial"/>
          <w:color w:val="000000"/>
          <w:sz w:val="21"/>
          <w:szCs w:val="21"/>
        </w:rPr>
        <w:t>OSINERGMIN</w:t>
      </w:r>
      <w:r w:rsidR="004D127D" w:rsidRPr="004E5745">
        <w:rPr>
          <w:rFonts w:ascii="Arial" w:hAnsi="Arial"/>
          <w:color w:val="000000"/>
          <w:sz w:val="21"/>
          <w:szCs w:val="21"/>
        </w:rPr>
        <w:t>, aprobará el informe final a que se refiere el Anexo Nº 2.</w:t>
      </w:r>
    </w:p>
    <w:p w:rsidR="007E17CD" w:rsidRDefault="004D127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sidRPr="004E5745">
        <w:rPr>
          <w:rFonts w:ascii="Arial" w:hAnsi="Arial"/>
          <w:color w:val="000000"/>
          <w:sz w:val="21"/>
          <w:szCs w:val="21"/>
        </w:rPr>
        <w:t>Luego de cumplido lo dispuesto en la Cláusula 4.4</w:t>
      </w:r>
      <w:r w:rsidR="007E17CD" w:rsidRPr="004E5745">
        <w:rPr>
          <w:rFonts w:ascii="Arial" w:hAnsi="Arial"/>
          <w:color w:val="000000"/>
          <w:sz w:val="21"/>
          <w:szCs w:val="21"/>
        </w:rPr>
        <w:t xml:space="preserve">, se iniciará un período de operación experimental que consiste en la operación de la Línea Eléctrica y sus componentes, sin interrupciones atribuibles al estudio de ingeniería, estudio de pre operatividad, a la calidad del material o equipos del sistema, por un período de </w:t>
      </w:r>
      <w:r w:rsidR="002B238B">
        <w:rPr>
          <w:rFonts w:ascii="Arial" w:hAnsi="Arial"/>
          <w:color w:val="000000"/>
          <w:sz w:val="21"/>
          <w:szCs w:val="21"/>
        </w:rPr>
        <w:t>treint</w:t>
      </w:r>
      <w:r w:rsidR="006508F5">
        <w:rPr>
          <w:rFonts w:ascii="Arial" w:hAnsi="Arial"/>
          <w:color w:val="000000"/>
          <w:sz w:val="21"/>
          <w:szCs w:val="21"/>
        </w:rPr>
        <w:t>a</w:t>
      </w:r>
      <w:r w:rsidR="006508F5" w:rsidRPr="004E5745">
        <w:rPr>
          <w:rFonts w:ascii="Arial" w:hAnsi="Arial"/>
          <w:color w:val="000000"/>
          <w:sz w:val="21"/>
          <w:szCs w:val="21"/>
        </w:rPr>
        <w:t xml:space="preserve"> </w:t>
      </w:r>
      <w:r w:rsidR="007E17CD" w:rsidRPr="004E5745">
        <w:rPr>
          <w:rFonts w:ascii="Arial" w:hAnsi="Arial"/>
          <w:color w:val="000000"/>
          <w:sz w:val="21"/>
          <w:szCs w:val="21"/>
        </w:rPr>
        <w:t>(</w:t>
      </w:r>
      <w:r w:rsidR="002B238B">
        <w:rPr>
          <w:rFonts w:ascii="Arial" w:hAnsi="Arial"/>
          <w:color w:val="000000"/>
          <w:sz w:val="21"/>
          <w:szCs w:val="21"/>
        </w:rPr>
        <w:t>3</w:t>
      </w:r>
      <w:r w:rsidR="007E17CD" w:rsidRPr="004E5745">
        <w:rPr>
          <w:rFonts w:ascii="Arial" w:hAnsi="Arial"/>
          <w:color w:val="000000"/>
          <w:sz w:val="21"/>
          <w:szCs w:val="21"/>
        </w:rPr>
        <w:t>0) días calendario, al final del cual comenzará automáticamente la Puesta en Operación Comercial.</w:t>
      </w:r>
      <w:r w:rsidR="000D6362">
        <w:rPr>
          <w:rFonts w:ascii="Arial" w:hAnsi="Arial"/>
          <w:color w:val="000000"/>
          <w:sz w:val="21"/>
          <w:szCs w:val="21"/>
        </w:rPr>
        <w:t xml:space="preserve"> La fecha de la Puesta en Operación Comercial se consignará en un Acta suscrita por </w:t>
      </w:r>
      <w:r w:rsidR="009814B4">
        <w:rPr>
          <w:rFonts w:ascii="Arial" w:hAnsi="Arial"/>
          <w:color w:val="000000"/>
          <w:sz w:val="21"/>
          <w:szCs w:val="21"/>
        </w:rPr>
        <w:t xml:space="preserve">el </w:t>
      </w:r>
      <w:r w:rsidR="000D6362">
        <w:rPr>
          <w:rFonts w:ascii="Arial" w:hAnsi="Arial"/>
          <w:color w:val="000000"/>
          <w:sz w:val="21"/>
          <w:szCs w:val="21"/>
        </w:rPr>
        <w:t>OSINERGMIN y la Sociedad Concesionaria.</w:t>
      </w:r>
    </w:p>
    <w:p w:rsidR="000D6362" w:rsidRPr="00901496" w:rsidRDefault="000D6362" w:rsidP="00D4498D">
      <w:pPr>
        <w:tabs>
          <w:tab w:val="clear" w:pos="1134"/>
          <w:tab w:val="clear" w:pos="1701"/>
          <w:tab w:val="clear" w:pos="2268"/>
          <w:tab w:val="clear" w:pos="2835"/>
        </w:tabs>
        <w:spacing w:before="60" w:line="257" w:lineRule="auto"/>
        <w:ind w:left="567"/>
        <w:jc w:val="both"/>
        <w:rPr>
          <w:rFonts w:ascii="Arial" w:hAnsi="Arial"/>
          <w:color w:val="000000"/>
          <w:sz w:val="21"/>
          <w:szCs w:val="21"/>
        </w:rPr>
      </w:pPr>
      <w:r>
        <w:rPr>
          <w:rFonts w:ascii="Arial" w:hAnsi="Arial"/>
          <w:color w:val="000000"/>
          <w:sz w:val="21"/>
          <w:szCs w:val="21"/>
        </w:rPr>
        <w:t>En caso que durante el periodo de operación experimental, se produjeran interrupciones atribuibles al estudio de ingeniería, estudio de pre operatividad, a la calidad del material o equipos del sistema, el peri</w:t>
      </w:r>
      <w:r w:rsidRPr="00901496">
        <w:rPr>
          <w:rFonts w:ascii="Arial" w:hAnsi="Arial"/>
          <w:color w:val="000000"/>
          <w:sz w:val="21"/>
          <w:szCs w:val="21"/>
        </w:rPr>
        <w:t xml:space="preserve">odo de operación experimental queda </w:t>
      </w:r>
      <w:r w:rsidR="009A316D">
        <w:rPr>
          <w:rFonts w:ascii="Arial" w:hAnsi="Arial"/>
          <w:color w:val="000000"/>
          <w:sz w:val="21"/>
          <w:szCs w:val="21"/>
        </w:rPr>
        <w:t>suspendido. En caso de que la subsanación y pruebas respectivas demanden un tiempo mayor a cinco (5) días calendario, se iniciará nuevamente</w:t>
      </w:r>
      <w:r w:rsidRPr="00901496">
        <w:rPr>
          <w:rFonts w:ascii="Arial" w:hAnsi="Arial"/>
          <w:color w:val="000000"/>
          <w:sz w:val="21"/>
          <w:szCs w:val="21"/>
        </w:rPr>
        <w:t xml:space="preserve"> </w:t>
      </w:r>
      <w:r w:rsidR="00294B90" w:rsidRPr="00901496">
        <w:rPr>
          <w:rFonts w:ascii="Arial" w:hAnsi="Arial"/>
          <w:color w:val="000000"/>
          <w:sz w:val="21"/>
          <w:szCs w:val="21"/>
        </w:rPr>
        <w:t xml:space="preserve">un </w:t>
      </w:r>
      <w:r w:rsidRPr="00901496">
        <w:rPr>
          <w:rFonts w:ascii="Arial" w:hAnsi="Arial"/>
          <w:color w:val="000000"/>
          <w:sz w:val="21"/>
          <w:szCs w:val="21"/>
        </w:rPr>
        <w:t xml:space="preserve">periodo de </w:t>
      </w:r>
      <w:r w:rsidR="00294B90" w:rsidRPr="00901496">
        <w:rPr>
          <w:rFonts w:ascii="Arial" w:hAnsi="Arial"/>
          <w:color w:val="000000"/>
          <w:sz w:val="21"/>
          <w:szCs w:val="21"/>
        </w:rPr>
        <w:t>treinta</w:t>
      </w:r>
      <w:r w:rsidRPr="00901496">
        <w:rPr>
          <w:rFonts w:ascii="Arial" w:hAnsi="Arial"/>
          <w:color w:val="000000"/>
          <w:sz w:val="21"/>
          <w:szCs w:val="21"/>
        </w:rPr>
        <w:t xml:space="preserve"> (</w:t>
      </w:r>
      <w:r w:rsidR="00294B90" w:rsidRPr="00901496">
        <w:rPr>
          <w:rFonts w:ascii="Arial" w:hAnsi="Arial"/>
          <w:color w:val="000000"/>
          <w:sz w:val="21"/>
          <w:szCs w:val="21"/>
        </w:rPr>
        <w:t>3</w:t>
      </w:r>
      <w:r w:rsidRPr="00901496">
        <w:rPr>
          <w:rFonts w:ascii="Arial" w:hAnsi="Arial"/>
          <w:color w:val="000000"/>
          <w:sz w:val="21"/>
          <w:szCs w:val="21"/>
        </w:rPr>
        <w:t>0) días</w:t>
      </w:r>
      <w:r w:rsidR="006508F5" w:rsidRPr="00901496">
        <w:rPr>
          <w:rFonts w:ascii="Arial" w:hAnsi="Arial"/>
          <w:color w:val="000000"/>
          <w:sz w:val="21"/>
          <w:szCs w:val="21"/>
        </w:rPr>
        <w:t xml:space="preserve"> calendario</w:t>
      </w:r>
      <w:r w:rsidRPr="00901496">
        <w:rPr>
          <w:rFonts w:ascii="Arial" w:hAnsi="Arial"/>
          <w:color w:val="000000"/>
          <w:sz w:val="21"/>
          <w:szCs w:val="21"/>
        </w:rPr>
        <w:t>, después de superada la interrupción.</w:t>
      </w:r>
    </w:p>
    <w:p w:rsidR="007E17CD" w:rsidRPr="00901496" w:rsidRDefault="007E17C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sidRPr="00901496">
        <w:rPr>
          <w:rFonts w:ascii="Arial" w:hAnsi="Arial"/>
          <w:color w:val="000000"/>
          <w:sz w:val="21"/>
          <w:szCs w:val="21"/>
        </w:rPr>
        <w:t>En el período de operación experimental se excluirá a la Línea Eléctrica de la aplicación de la normativa de</w:t>
      </w:r>
      <w:r w:rsidR="009814B4" w:rsidRPr="00901496">
        <w:rPr>
          <w:rFonts w:ascii="Arial" w:hAnsi="Arial"/>
          <w:color w:val="000000"/>
          <w:sz w:val="21"/>
          <w:szCs w:val="21"/>
        </w:rPr>
        <w:t>l</w:t>
      </w:r>
      <w:r w:rsidRPr="00901496">
        <w:rPr>
          <w:rFonts w:ascii="Arial" w:hAnsi="Arial"/>
          <w:color w:val="000000"/>
          <w:sz w:val="21"/>
          <w:szCs w:val="21"/>
        </w:rPr>
        <w:t xml:space="preserve"> OSINERGMIN, respecto de la supervisión y fiscalización de interrupciones atribuibles a la propia instalación; así como también de la aplicación de la Norma Técnica de Calidad de los Sistemas Eléctricos y de la regulación tarifaria por el pago de la correspondiente tarifa de transmisión, pago que recién se iniciará a partir de la Puesta en</w:t>
      </w:r>
      <w:r w:rsidR="00E460AB" w:rsidRPr="00901496">
        <w:rPr>
          <w:rFonts w:ascii="Arial" w:hAnsi="Arial"/>
          <w:color w:val="000000"/>
          <w:sz w:val="21"/>
          <w:szCs w:val="21"/>
        </w:rPr>
        <w:t xml:space="preserve"> Operación Comercial.</w:t>
      </w:r>
      <w:r w:rsidR="00C57DED" w:rsidRPr="00901496">
        <w:rPr>
          <w:rFonts w:ascii="Arial" w:hAnsi="Arial"/>
          <w:color w:val="000000"/>
          <w:sz w:val="21"/>
          <w:szCs w:val="21"/>
        </w:rPr>
        <w:t xml:space="preserve"> Lo anterior no </w:t>
      </w:r>
      <w:r w:rsidR="00480169" w:rsidRPr="00901496">
        <w:rPr>
          <w:rFonts w:ascii="Arial" w:hAnsi="Arial"/>
          <w:color w:val="000000"/>
          <w:sz w:val="21"/>
          <w:szCs w:val="21"/>
        </w:rPr>
        <w:t>exime</w:t>
      </w:r>
      <w:r w:rsidR="00C57DED" w:rsidRPr="00901496">
        <w:rPr>
          <w:rFonts w:ascii="Arial" w:hAnsi="Arial"/>
          <w:color w:val="000000"/>
          <w:sz w:val="21"/>
          <w:szCs w:val="21"/>
        </w:rPr>
        <w:t xml:space="preserve"> de responsabilidad </w:t>
      </w:r>
      <w:r w:rsidR="00480169" w:rsidRPr="00901496">
        <w:rPr>
          <w:rFonts w:ascii="Arial" w:hAnsi="Arial"/>
          <w:color w:val="000000"/>
          <w:sz w:val="21"/>
          <w:szCs w:val="21"/>
        </w:rPr>
        <w:t xml:space="preserve">a la Sociedad Concesionaria </w:t>
      </w:r>
      <w:r w:rsidR="00C57DED" w:rsidRPr="00901496">
        <w:rPr>
          <w:rFonts w:ascii="Arial" w:hAnsi="Arial"/>
          <w:color w:val="000000"/>
          <w:sz w:val="21"/>
          <w:szCs w:val="21"/>
        </w:rPr>
        <w:t xml:space="preserve">del pago de compensaciones </w:t>
      </w:r>
      <w:r w:rsidR="00480169" w:rsidRPr="00901496">
        <w:rPr>
          <w:rFonts w:ascii="Arial" w:hAnsi="Arial"/>
          <w:color w:val="000000"/>
          <w:sz w:val="21"/>
          <w:szCs w:val="21"/>
        </w:rPr>
        <w:t>a un tercero, por</w:t>
      </w:r>
      <w:r w:rsidR="00C57DED" w:rsidRPr="00901496">
        <w:rPr>
          <w:rFonts w:ascii="Arial" w:hAnsi="Arial"/>
          <w:color w:val="000000"/>
          <w:sz w:val="21"/>
          <w:szCs w:val="21"/>
        </w:rPr>
        <w:t xml:space="preserve"> causa</w:t>
      </w:r>
      <w:r w:rsidR="00480169" w:rsidRPr="00901496">
        <w:rPr>
          <w:rFonts w:ascii="Arial" w:hAnsi="Arial"/>
          <w:color w:val="000000"/>
          <w:sz w:val="21"/>
          <w:szCs w:val="21"/>
        </w:rPr>
        <w:t xml:space="preserve"> de</w:t>
      </w:r>
      <w:r w:rsidR="00C57DED" w:rsidRPr="00901496">
        <w:rPr>
          <w:rFonts w:ascii="Arial" w:hAnsi="Arial"/>
          <w:color w:val="000000"/>
          <w:sz w:val="21"/>
          <w:szCs w:val="21"/>
        </w:rPr>
        <w:t xml:space="preserve"> una interrupción atribuible a la Línea Eléctrica.</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901496">
        <w:rPr>
          <w:rFonts w:ascii="Arial" w:hAnsi="Arial"/>
          <w:sz w:val="21"/>
          <w:szCs w:val="21"/>
        </w:rPr>
        <w:t xml:space="preserve">A partir de la </w:t>
      </w:r>
      <w:r w:rsidR="000F6FFA" w:rsidRPr="00901496">
        <w:rPr>
          <w:rFonts w:ascii="Arial" w:hAnsi="Arial"/>
          <w:sz w:val="21"/>
          <w:szCs w:val="21"/>
        </w:rPr>
        <w:t xml:space="preserve">fecha </w:t>
      </w:r>
      <w:r w:rsidRPr="00901496">
        <w:rPr>
          <w:rFonts w:ascii="Arial" w:hAnsi="Arial"/>
          <w:sz w:val="21"/>
          <w:szCs w:val="21"/>
        </w:rPr>
        <w:t>de Cierre, la</w:t>
      </w:r>
      <w:r w:rsidRPr="004E5745">
        <w:rPr>
          <w:rFonts w:ascii="Arial" w:hAnsi="Arial"/>
          <w:sz w:val="21"/>
          <w:szCs w:val="21"/>
        </w:rPr>
        <w:t xml:space="preserve"> Sociedad Concesionaria será responsable, de acuerdo a las Leyes Aplicables, por los daños, perjuicios o pérdidas ocasionados a, o por los Bienes de la Concesión. A partir de la Puesta en Operación Comercial</w:t>
      </w:r>
      <w:r w:rsidR="00253906" w:rsidRPr="004E5745">
        <w:rPr>
          <w:rFonts w:ascii="Arial" w:hAnsi="Arial"/>
          <w:sz w:val="21"/>
          <w:szCs w:val="21"/>
        </w:rPr>
        <w:t xml:space="preserve">, </w:t>
      </w:r>
      <w:r w:rsidRPr="004E5745">
        <w:rPr>
          <w:rFonts w:ascii="Arial" w:hAnsi="Arial"/>
          <w:sz w:val="21"/>
          <w:szCs w:val="21"/>
        </w:rPr>
        <w:t>será responsable además, por la prestación del Servicio.</w:t>
      </w:r>
    </w:p>
    <w:p w:rsidR="00785758" w:rsidRPr="004E5745" w:rsidRDefault="00785758" w:rsidP="00D4498D">
      <w:pPr>
        <w:tabs>
          <w:tab w:val="clear" w:pos="1134"/>
          <w:tab w:val="clear" w:pos="1701"/>
          <w:tab w:val="clear" w:pos="2268"/>
          <w:tab w:val="clear" w:pos="2835"/>
        </w:tabs>
        <w:spacing w:before="60" w:line="257" w:lineRule="auto"/>
        <w:ind w:left="567"/>
        <w:jc w:val="both"/>
        <w:rPr>
          <w:rFonts w:ascii="Arial" w:hAnsi="Arial"/>
          <w:sz w:val="21"/>
          <w:szCs w:val="21"/>
        </w:rPr>
      </w:pPr>
      <w:r w:rsidRPr="004E5745">
        <w:rPr>
          <w:rFonts w:ascii="Arial" w:hAnsi="Arial"/>
          <w:sz w:val="21"/>
          <w:szCs w:val="21"/>
        </w:rPr>
        <w:t>La Sociedad Concesionaria mantendrá indemne al Concedente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Concedente, su personal, representantes</w:t>
      </w:r>
      <w:r w:rsidR="00D5783F">
        <w:rPr>
          <w:rFonts w:ascii="Arial" w:hAnsi="Arial"/>
          <w:sz w:val="21"/>
          <w:szCs w:val="21"/>
        </w:rPr>
        <w:t xml:space="preserve">, </w:t>
      </w:r>
      <w:r w:rsidRPr="004E5745">
        <w:rPr>
          <w:rFonts w:ascii="Arial" w:hAnsi="Arial"/>
          <w:sz w:val="21"/>
          <w:szCs w:val="21"/>
        </w:rPr>
        <w:t>agentes</w:t>
      </w:r>
      <w:r w:rsidR="00D5783F">
        <w:rPr>
          <w:rFonts w:ascii="Arial" w:hAnsi="Arial"/>
          <w:sz w:val="21"/>
          <w:szCs w:val="21"/>
        </w:rPr>
        <w:t xml:space="preserve"> o el </w:t>
      </w:r>
      <w:r w:rsidR="00A75204">
        <w:rPr>
          <w:rFonts w:ascii="Arial" w:hAnsi="Arial"/>
          <w:sz w:val="21"/>
          <w:szCs w:val="21"/>
        </w:rPr>
        <w:t>Inspector</w:t>
      </w:r>
      <w:r w:rsidRPr="004E5745">
        <w:rPr>
          <w:rFonts w:ascii="Arial" w:hAnsi="Arial"/>
          <w:sz w:val="21"/>
          <w:szCs w:val="21"/>
        </w:rPr>
        <w:t>.</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El Servicio deberá ser prestado de acuerdo con las Leyes Aplicables y </w:t>
      </w:r>
      <w:r w:rsidR="00F94A45">
        <w:rPr>
          <w:rFonts w:ascii="Arial" w:hAnsi="Arial"/>
          <w:sz w:val="21"/>
          <w:szCs w:val="21"/>
        </w:rPr>
        <w:t>e</w:t>
      </w:r>
      <w:r w:rsidR="00221373">
        <w:rPr>
          <w:rFonts w:ascii="Arial" w:hAnsi="Arial"/>
          <w:sz w:val="21"/>
          <w:szCs w:val="21"/>
        </w:rPr>
        <w:t>l</w:t>
      </w:r>
      <w:r w:rsidRPr="004E5745">
        <w:rPr>
          <w:rFonts w:ascii="Arial" w:hAnsi="Arial"/>
          <w:sz w:val="21"/>
          <w:szCs w:val="21"/>
        </w:rPr>
        <w:t xml:space="preserve"> </w:t>
      </w:r>
      <w:r w:rsidR="00D200DD" w:rsidRPr="004E5745">
        <w:rPr>
          <w:rFonts w:ascii="Arial" w:hAnsi="Arial"/>
          <w:sz w:val="21"/>
          <w:szCs w:val="21"/>
        </w:rPr>
        <w:t>A</w:t>
      </w:r>
      <w:r w:rsidRPr="004E5745" w:rsidDel="00D0308D">
        <w:rPr>
          <w:rFonts w:ascii="Arial" w:hAnsi="Arial"/>
          <w:sz w:val="21"/>
          <w:szCs w:val="21"/>
        </w:rPr>
        <w:t>nexo</w:t>
      </w:r>
      <w:r w:rsidR="00D200DD" w:rsidRPr="004E5745">
        <w:rPr>
          <w:rFonts w:ascii="Arial" w:hAnsi="Arial"/>
          <w:sz w:val="21"/>
          <w:szCs w:val="21"/>
        </w:rPr>
        <w:t xml:space="preserve"> N°</w:t>
      </w:r>
      <w:r w:rsidRPr="004E5745" w:rsidDel="00D0308D">
        <w:rPr>
          <w:rFonts w:ascii="Arial" w:hAnsi="Arial"/>
          <w:sz w:val="21"/>
          <w:szCs w:val="21"/>
        </w:rPr>
        <w:t xml:space="preserve"> </w:t>
      </w:r>
      <w:r w:rsidRPr="004E5745">
        <w:rPr>
          <w:rFonts w:ascii="Arial" w:hAnsi="Arial"/>
          <w:sz w:val="21"/>
          <w:szCs w:val="21"/>
        </w:rPr>
        <w:t>1, de manera tal de garantizar la calidad, eficiencia y continuidad del Servicio.</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Sociedad Concesionaria será una entidad miembro del COES</w:t>
      </w:r>
      <w:r w:rsidR="007A7D0D">
        <w:rPr>
          <w:rFonts w:ascii="Arial" w:hAnsi="Arial"/>
          <w:sz w:val="21"/>
          <w:szCs w:val="21"/>
        </w:rPr>
        <w:t xml:space="preserve"> previamente al inicio de la operación experimental</w:t>
      </w:r>
      <w:r w:rsidRPr="004E5745">
        <w:rPr>
          <w:rFonts w:ascii="Arial" w:hAnsi="Arial"/>
          <w:sz w:val="21"/>
          <w:szCs w:val="21"/>
        </w:rPr>
        <w:t xml:space="preserve"> y prestará el </w:t>
      </w:r>
      <w:r w:rsidR="00921563" w:rsidRPr="004E5745">
        <w:rPr>
          <w:rFonts w:ascii="Arial" w:hAnsi="Arial"/>
          <w:sz w:val="21"/>
          <w:szCs w:val="21"/>
        </w:rPr>
        <w:t>S</w:t>
      </w:r>
      <w:r w:rsidRPr="004E5745">
        <w:rPr>
          <w:rFonts w:ascii="Arial" w:hAnsi="Arial"/>
          <w:sz w:val="21"/>
          <w:szCs w:val="21"/>
        </w:rPr>
        <w:t xml:space="preserve">ervicio sujetando su actuación a las disposiciones que establezca dicho organismo o el coordinador del </w:t>
      </w:r>
      <w:r w:rsidR="00921563" w:rsidRPr="004E5745">
        <w:rPr>
          <w:rFonts w:ascii="Arial" w:hAnsi="Arial"/>
          <w:sz w:val="21"/>
          <w:szCs w:val="21"/>
        </w:rPr>
        <w:t>SEIN</w:t>
      </w:r>
      <w:r w:rsidRPr="004E5745">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4E5745" w:rsidRDefault="00D4498D"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Sociedad Concesionaria deberá proporcionar a las Autoridades Gubernamentales la información y facilidades de inspección que éstas razonablemente requieran para controlar el </w:t>
      </w:r>
      <w:r w:rsidR="00633EDF" w:rsidRPr="004E5745">
        <w:rPr>
          <w:rFonts w:ascii="Arial" w:hAnsi="Arial"/>
          <w:sz w:val="21"/>
          <w:szCs w:val="21"/>
        </w:rPr>
        <w:t xml:space="preserve">correcto </w:t>
      </w:r>
      <w:r w:rsidR="00785758" w:rsidRPr="004E5745">
        <w:rPr>
          <w:rFonts w:ascii="Arial" w:hAnsi="Arial"/>
          <w:sz w:val="21"/>
          <w:szCs w:val="21"/>
        </w:rPr>
        <w:t xml:space="preserve">cumplimiento de sus obligaciones bajo el Contrato. Las inspecciones deberán ser realizadas de manera tal que no afecten la operación de la Línea </w:t>
      </w:r>
      <w:r w:rsidR="00633EDF" w:rsidRPr="004E5745">
        <w:rPr>
          <w:rFonts w:ascii="Arial" w:hAnsi="Arial"/>
          <w:sz w:val="21"/>
          <w:szCs w:val="21"/>
        </w:rPr>
        <w:t>Eléctrica</w:t>
      </w:r>
      <w:r w:rsidR="00785758" w:rsidRPr="004E5745">
        <w:rPr>
          <w:rFonts w:ascii="Arial" w:hAnsi="Arial"/>
          <w:sz w:val="21"/>
          <w:szCs w:val="21"/>
        </w:rPr>
        <w:t>.</w:t>
      </w:r>
    </w:p>
    <w:p w:rsidR="00BF33FB"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deberá mantener el inventario actualizado de los Bienes de la Concesión, indicando sus características, ubicación, estado de conservación, funcionamiento y rendimiento, fechas de fabricación e instalación, entre otros.</w:t>
      </w:r>
      <w:r w:rsidR="00C611F4" w:rsidRPr="004E5745">
        <w:rPr>
          <w:rFonts w:ascii="Arial" w:hAnsi="Arial"/>
          <w:sz w:val="21"/>
          <w:szCs w:val="21"/>
        </w:rPr>
        <w:t xml:space="preserve"> En un plazo no mayor de seis (06) meses desde la Puesta en Operación Comercial, la Sociedad Concesionaria entregará al Concedente el primer inventario de los Bienes de la Concesión. Luego de cada actualización </w:t>
      </w:r>
      <w:r w:rsidR="00346946" w:rsidRPr="004E5745">
        <w:rPr>
          <w:rFonts w:ascii="Arial" w:hAnsi="Arial"/>
          <w:sz w:val="21"/>
          <w:szCs w:val="21"/>
        </w:rPr>
        <w:t xml:space="preserve">anual </w:t>
      </w:r>
      <w:r w:rsidR="00C611F4" w:rsidRPr="004E5745">
        <w:rPr>
          <w:rFonts w:ascii="Arial" w:hAnsi="Arial"/>
          <w:sz w:val="21"/>
          <w:szCs w:val="21"/>
        </w:rPr>
        <w:t>del inventario, la Sociedad Concesionaria entregará una copia al Concedente y a</w:t>
      </w:r>
      <w:r w:rsidR="00F20FDB">
        <w:rPr>
          <w:rFonts w:ascii="Arial" w:hAnsi="Arial"/>
          <w:sz w:val="21"/>
          <w:szCs w:val="21"/>
        </w:rPr>
        <w:t>l</w:t>
      </w:r>
      <w:r w:rsidR="00C611F4" w:rsidRPr="004E5745">
        <w:rPr>
          <w:rFonts w:ascii="Arial" w:hAnsi="Arial"/>
          <w:sz w:val="21"/>
          <w:szCs w:val="21"/>
        </w:rPr>
        <w:t xml:space="preserve"> OSINERGMIN</w:t>
      </w:r>
      <w:r w:rsidR="009556BE" w:rsidRPr="004E5745">
        <w:rPr>
          <w:rFonts w:ascii="Arial" w:hAnsi="Arial"/>
          <w:sz w:val="21"/>
          <w:szCs w:val="21"/>
        </w:rPr>
        <w:t>.</w:t>
      </w:r>
    </w:p>
    <w:p w:rsidR="00DB71C1"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pondrá en marcha y mantendrá un adecuado programa de aseguramiento de calidad que cumpla, por lo menos, lo establecido en las normas N</w:t>
      </w:r>
      <w:r w:rsidR="00A02E67">
        <w:rPr>
          <w:rFonts w:ascii="Arial" w:hAnsi="Arial"/>
          <w:sz w:val="21"/>
          <w:szCs w:val="21"/>
        </w:rPr>
        <w:t>T</w:t>
      </w:r>
      <w:r w:rsidRPr="004E5745">
        <w:rPr>
          <w:rFonts w:ascii="Arial" w:hAnsi="Arial"/>
          <w:sz w:val="21"/>
          <w:szCs w:val="21"/>
        </w:rPr>
        <w:t>P-ISO-9001 durante la construcción de la Línea Eléctrica, y la N</w:t>
      </w:r>
      <w:r w:rsidR="00BF2165">
        <w:rPr>
          <w:rFonts w:ascii="Arial" w:hAnsi="Arial"/>
          <w:sz w:val="21"/>
          <w:szCs w:val="21"/>
        </w:rPr>
        <w:t>T</w:t>
      </w:r>
      <w:r w:rsidRPr="004E5745">
        <w:rPr>
          <w:rFonts w:ascii="Arial" w:hAnsi="Arial"/>
          <w:sz w:val="21"/>
          <w:szCs w:val="21"/>
        </w:rPr>
        <w:t>P-ISO-9004-2 durante la explotación del Servicio.</w:t>
      </w:r>
    </w:p>
    <w:p w:rsidR="006178FD" w:rsidRPr="002D7218"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sz w:val="21"/>
        </w:rPr>
      </w:pPr>
      <w:r w:rsidRPr="002D7218">
        <w:rPr>
          <w:rFonts w:ascii="Arial" w:hAnsi="Arial"/>
          <w:sz w:val="21"/>
        </w:rPr>
        <w:t xml:space="preserve">La Sociedad Concesionaria no tiene derecho a cuestionar en modo o fuero alguno, el Refuerzo a ejecutarse de conformidad con el Artículo 22º, numeral 22.2, literal b) de la Ley Nº 28832, ni la Base Tarifaria que </w:t>
      </w:r>
      <w:r w:rsidR="00F20FDB" w:rsidRPr="002D7218">
        <w:rPr>
          <w:rFonts w:ascii="Arial" w:hAnsi="Arial"/>
          <w:sz w:val="21"/>
        </w:rPr>
        <w:t xml:space="preserve">el </w:t>
      </w:r>
      <w:r w:rsidRPr="002D7218">
        <w:rPr>
          <w:rFonts w:ascii="Arial" w:hAnsi="Arial"/>
          <w:sz w:val="21"/>
        </w:rPr>
        <w:t xml:space="preserve">OSINERGMIN hubiese aprobado para el Refuerzo. Sólo puede ejercer o no </w:t>
      </w:r>
      <w:r w:rsidR="00C611F4" w:rsidRPr="002D7218">
        <w:rPr>
          <w:rFonts w:ascii="Arial" w:hAnsi="Arial"/>
          <w:sz w:val="21"/>
        </w:rPr>
        <w:t xml:space="preserve">ejercer </w:t>
      </w:r>
      <w:r w:rsidRPr="002D7218">
        <w:rPr>
          <w:rFonts w:ascii="Arial" w:hAnsi="Arial"/>
          <w:sz w:val="21"/>
        </w:rPr>
        <w:t>su derecho de preferencia.</w:t>
      </w:r>
    </w:p>
    <w:p w:rsidR="008357C6" w:rsidRPr="004E5745" w:rsidRDefault="00785758" w:rsidP="00D4498D">
      <w:pPr>
        <w:pStyle w:val="Textoindependiente"/>
        <w:tabs>
          <w:tab w:val="clear" w:pos="0"/>
          <w:tab w:val="clear" w:pos="567"/>
          <w:tab w:val="clear" w:pos="1134"/>
          <w:tab w:val="clear" w:pos="1701"/>
          <w:tab w:val="clear" w:pos="1843"/>
          <w:tab w:val="clear" w:pos="2268"/>
          <w:tab w:val="clear" w:pos="2835"/>
        </w:tabs>
        <w:spacing w:before="60" w:line="250" w:lineRule="auto"/>
        <w:ind w:left="567" w:right="0"/>
        <w:rPr>
          <w:sz w:val="21"/>
          <w:szCs w:val="21"/>
          <w:lang w:val="es-PE"/>
        </w:rPr>
      </w:pPr>
      <w:r w:rsidRPr="004E5745">
        <w:rPr>
          <w:sz w:val="21"/>
          <w:szCs w:val="21"/>
          <w:lang w:val="es-PE"/>
        </w:rPr>
        <w:t>Si la Sociedad Concesionaria no ejerciera su derecho de preferencia para ejecutar un Refuerzo en la forma y tiempo dispuestos por las Leyes Aplicables, el Concedente remitirá a la Sociedad Concesionaria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4E5745" w:rsidRDefault="00785758" w:rsidP="00D4498D">
      <w:pPr>
        <w:pStyle w:val="Textoindependiente"/>
        <w:tabs>
          <w:tab w:val="clear" w:pos="0"/>
          <w:tab w:val="clear" w:pos="567"/>
          <w:tab w:val="clear" w:pos="1134"/>
          <w:tab w:val="clear" w:pos="1701"/>
          <w:tab w:val="clear" w:pos="1843"/>
          <w:tab w:val="clear" w:pos="2268"/>
          <w:tab w:val="clear" w:pos="2835"/>
        </w:tabs>
        <w:spacing w:before="60" w:line="250" w:lineRule="auto"/>
        <w:ind w:left="567" w:right="0"/>
        <w:rPr>
          <w:sz w:val="21"/>
          <w:szCs w:val="21"/>
          <w:lang w:val="es-PE"/>
        </w:rPr>
      </w:pPr>
      <w:r w:rsidRPr="004E5745">
        <w:rPr>
          <w:sz w:val="21"/>
          <w:szCs w:val="21"/>
          <w:lang w:val="es-PE"/>
        </w:rPr>
        <w:t xml:space="preserve">Si la Sociedad Concesionaria discrepara en todo o en parte con la referida comunicación, la controversia se resolverá con arreglo a la </w:t>
      </w:r>
      <w:r w:rsidR="00313D11" w:rsidRPr="004E5745">
        <w:rPr>
          <w:sz w:val="21"/>
          <w:szCs w:val="21"/>
          <w:lang w:val="es-PE"/>
        </w:rPr>
        <w:t>Cláusula</w:t>
      </w:r>
      <w:r w:rsidRPr="004E5745">
        <w:rPr>
          <w:sz w:val="21"/>
          <w:szCs w:val="21"/>
          <w:lang w:val="es-PE"/>
        </w:rPr>
        <w:t xml:space="preserve"> 13. El inicio del proceso de licitación del Refuerzo no está sujeto a que concluya el arbitraje.</w:t>
      </w:r>
    </w:p>
    <w:p w:rsidR="00785758" w:rsidRPr="004E5745" w:rsidRDefault="00785758" w:rsidP="00D4498D">
      <w:pPr>
        <w:tabs>
          <w:tab w:val="clear" w:pos="1134"/>
          <w:tab w:val="clear" w:pos="1701"/>
          <w:tab w:val="clear" w:pos="2268"/>
          <w:tab w:val="clear" w:pos="2835"/>
        </w:tabs>
        <w:spacing w:before="300" w:after="200" w:line="250" w:lineRule="auto"/>
        <w:ind w:left="567" w:hanging="567"/>
        <w:jc w:val="both"/>
        <w:rPr>
          <w:rFonts w:ascii="Arial" w:hAnsi="Arial"/>
          <w:b/>
          <w:sz w:val="24"/>
          <w:szCs w:val="24"/>
        </w:rPr>
      </w:pPr>
      <w:r w:rsidRPr="004E5745">
        <w:rPr>
          <w:rFonts w:ascii="Arial" w:hAnsi="Arial"/>
          <w:b/>
          <w:sz w:val="24"/>
          <w:szCs w:val="24"/>
        </w:rPr>
        <w:t>6.</w:t>
      </w:r>
      <w:r w:rsidRPr="004E5745">
        <w:rPr>
          <w:rFonts w:ascii="Arial" w:hAnsi="Arial"/>
          <w:b/>
          <w:sz w:val="24"/>
          <w:szCs w:val="24"/>
        </w:rPr>
        <w:tab/>
        <w:t xml:space="preserve">Contratos con </w:t>
      </w:r>
      <w:r w:rsidR="00BB672D" w:rsidRPr="004E5745">
        <w:rPr>
          <w:rFonts w:ascii="Arial" w:hAnsi="Arial"/>
          <w:b/>
          <w:sz w:val="24"/>
          <w:szCs w:val="24"/>
        </w:rPr>
        <w:t>T</w:t>
      </w:r>
      <w:r w:rsidR="00457ADD" w:rsidRPr="004E5745">
        <w:rPr>
          <w:rFonts w:ascii="Arial" w:hAnsi="Arial"/>
          <w:b/>
          <w:sz w:val="24"/>
          <w:szCs w:val="24"/>
        </w:rPr>
        <w:t>erceros</w:t>
      </w:r>
    </w:p>
    <w:p w:rsidR="00785758" w:rsidRPr="004E5745" w:rsidRDefault="00785758" w:rsidP="00D4498D">
      <w:pPr>
        <w:pStyle w:val="Ttulo7"/>
        <w:keepNext w:val="0"/>
        <w:numPr>
          <w:ilvl w:val="1"/>
          <w:numId w:val="5"/>
        </w:numPr>
        <w:tabs>
          <w:tab w:val="clear" w:pos="566"/>
          <w:tab w:val="clear" w:pos="1134"/>
          <w:tab w:val="clear" w:pos="1701"/>
          <w:tab w:val="clear" w:pos="2268"/>
          <w:tab w:val="clear" w:pos="2835"/>
          <w:tab w:val="left" w:pos="567"/>
        </w:tabs>
        <w:spacing w:line="250" w:lineRule="auto"/>
        <w:ind w:left="567" w:hanging="567"/>
        <w:rPr>
          <w:rFonts w:ascii="Arial" w:hAnsi="Arial"/>
        </w:rPr>
      </w:pPr>
      <w:r w:rsidRPr="004E5745">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4E5745">
        <w:rPr>
          <w:rFonts w:ascii="Arial" w:hAnsi="Arial"/>
          <w:sz w:val="21"/>
          <w:szCs w:val="21"/>
        </w:rPr>
        <w:t>c</w:t>
      </w:r>
      <w:r w:rsidRPr="004E5745">
        <w:rPr>
          <w:rFonts w:ascii="Arial" w:hAnsi="Arial"/>
          <w:sz w:val="21"/>
          <w:szCs w:val="21"/>
        </w:rPr>
        <w:t>ontratos deberá estipularse expresamente:</w:t>
      </w:r>
    </w:p>
    <w:p w:rsidR="00785758" w:rsidRPr="004E5745" w:rsidRDefault="00785758" w:rsidP="00D4498D">
      <w:pPr>
        <w:pStyle w:val="Ttulo7"/>
        <w:keepNext w:val="0"/>
        <w:numPr>
          <w:ilvl w:val="0"/>
          <w:numId w:val="6"/>
        </w:numPr>
        <w:tabs>
          <w:tab w:val="clear" w:pos="567"/>
          <w:tab w:val="clear" w:pos="1134"/>
          <w:tab w:val="clear" w:pos="1440"/>
          <w:tab w:val="clear" w:pos="1701"/>
          <w:tab w:val="clear" w:pos="2268"/>
          <w:tab w:val="clear" w:pos="2835"/>
          <w:tab w:val="left" w:pos="993"/>
        </w:tabs>
        <w:spacing w:before="120" w:line="250" w:lineRule="auto"/>
        <w:ind w:left="993" w:hanging="425"/>
        <w:rPr>
          <w:rFonts w:ascii="Arial" w:hAnsi="Arial"/>
          <w:sz w:val="21"/>
          <w:szCs w:val="21"/>
        </w:rPr>
      </w:pPr>
      <w:r w:rsidRPr="004E5745">
        <w:rPr>
          <w:rFonts w:ascii="Arial" w:hAnsi="Arial"/>
          <w:sz w:val="21"/>
          <w:szCs w:val="21"/>
        </w:rPr>
        <w:t>Que la Sociedad Concesionaria es la única responsable por la total y completa ejecución de las obligaciones a su cargo bajo el Contrato y las Leyes Aplicables.</w:t>
      </w:r>
    </w:p>
    <w:p w:rsidR="00785758" w:rsidRPr="004E5745" w:rsidRDefault="00785758" w:rsidP="00D4498D">
      <w:pPr>
        <w:numPr>
          <w:ilvl w:val="0"/>
          <w:numId w:val="6"/>
        </w:numPr>
        <w:tabs>
          <w:tab w:val="clear" w:pos="567"/>
          <w:tab w:val="clear" w:pos="1134"/>
          <w:tab w:val="clear" w:pos="1440"/>
          <w:tab w:val="clear" w:pos="1701"/>
          <w:tab w:val="clear" w:pos="2268"/>
          <w:tab w:val="clear" w:pos="2835"/>
          <w:tab w:val="left" w:pos="993"/>
        </w:tabs>
        <w:spacing w:before="120" w:line="250" w:lineRule="auto"/>
        <w:ind w:left="993" w:hanging="425"/>
        <w:jc w:val="both"/>
        <w:rPr>
          <w:rFonts w:ascii="Arial" w:hAnsi="Arial"/>
          <w:sz w:val="21"/>
          <w:szCs w:val="21"/>
        </w:rPr>
      </w:pPr>
      <w:r w:rsidRPr="004E5745">
        <w:rPr>
          <w:rFonts w:ascii="Arial" w:hAnsi="Arial"/>
          <w:sz w:val="21"/>
          <w:szCs w:val="21"/>
        </w:rPr>
        <w:t>Que en caso de terminación del Contrato por cualquier causa, el Concedente o eventualmente un nuevo concesionario, podrá a su solo criterio, asumir la posición contractual de la Sociedad Concesionaria, sin que haga falta para la eficacia de la cesión, nada más que una comunicación en ese sentido dirigida por el Concedente o el nuevo concesionario, al consultor, contratista o proveedor.</w:t>
      </w:r>
    </w:p>
    <w:p w:rsidR="00785758" w:rsidRPr="004E5745" w:rsidRDefault="00D4498D" w:rsidP="00D4498D">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facultad a que se refiere el inciso b) de la </w:t>
      </w:r>
      <w:r w:rsidR="00313D11" w:rsidRPr="004E5745">
        <w:rPr>
          <w:rFonts w:ascii="Arial" w:hAnsi="Arial"/>
          <w:sz w:val="21"/>
          <w:szCs w:val="21"/>
        </w:rPr>
        <w:t>Cláusula</w:t>
      </w:r>
      <w:r w:rsidR="00785758" w:rsidRPr="004E5745">
        <w:rPr>
          <w:rFonts w:ascii="Arial" w:hAnsi="Arial"/>
          <w:sz w:val="21"/>
          <w:szCs w:val="21"/>
        </w:rPr>
        <w:t xml:space="preserve"> 6.1, no aplica para ningún contrato relativo al financiamiento de la Concesión, y será ejercida únicamente cuando el Concedente juzgue que los contratos correspondientes son necesarios para asegurar que la Línea Eléctrica sea puesta en operación comercial o que el Servicio continúe normalmente, a pesar de la terminación del Contrato.</w:t>
      </w:r>
    </w:p>
    <w:p w:rsidR="00785758" w:rsidRPr="004E5745" w:rsidRDefault="00785758" w:rsidP="00D4498D">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sidRPr="004E5745">
        <w:rPr>
          <w:rFonts w:ascii="Arial" w:hAnsi="Arial"/>
          <w:sz w:val="21"/>
          <w:szCs w:val="21"/>
        </w:rPr>
        <w:t xml:space="preserve">La Sociedad Concesionaria remitirá al Concedente </w:t>
      </w:r>
      <w:r w:rsidR="007A7D0D">
        <w:rPr>
          <w:rFonts w:ascii="Arial" w:hAnsi="Arial"/>
          <w:sz w:val="21"/>
          <w:szCs w:val="21"/>
        </w:rPr>
        <w:t xml:space="preserve">y al OSINERGMIN, </w:t>
      </w:r>
      <w:r w:rsidRPr="004E5745">
        <w:rPr>
          <w:rFonts w:ascii="Arial" w:hAnsi="Arial"/>
          <w:sz w:val="21"/>
          <w:szCs w:val="21"/>
        </w:rPr>
        <w:t xml:space="preserve">copia de los </w:t>
      </w:r>
      <w:r w:rsidR="00B73F73" w:rsidRPr="004E5745">
        <w:rPr>
          <w:rFonts w:ascii="Arial" w:hAnsi="Arial"/>
          <w:sz w:val="21"/>
          <w:szCs w:val="21"/>
        </w:rPr>
        <w:t>C</w:t>
      </w:r>
      <w:r w:rsidRPr="004E5745">
        <w:rPr>
          <w:rFonts w:ascii="Arial" w:hAnsi="Arial"/>
          <w:sz w:val="21"/>
          <w:szCs w:val="21"/>
        </w:rPr>
        <w:t xml:space="preserve">ontratos a que </w:t>
      </w:r>
      <w:r w:rsidR="00457ADD" w:rsidRPr="004E5745">
        <w:rPr>
          <w:rFonts w:ascii="Arial" w:hAnsi="Arial"/>
          <w:sz w:val="21"/>
          <w:szCs w:val="21"/>
        </w:rPr>
        <w:t xml:space="preserve">se </w:t>
      </w:r>
      <w:r w:rsidRPr="004E5745">
        <w:rPr>
          <w:rFonts w:ascii="Arial" w:hAnsi="Arial"/>
          <w:sz w:val="21"/>
          <w:szCs w:val="21"/>
        </w:rPr>
        <w:t>refiere</w:t>
      </w:r>
      <w:r w:rsidR="00457ADD" w:rsidRPr="004E5745">
        <w:rPr>
          <w:rFonts w:ascii="Arial" w:hAnsi="Arial"/>
          <w:sz w:val="21"/>
          <w:szCs w:val="21"/>
        </w:rPr>
        <w:t>n</w:t>
      </w:r>
      <w:r w:rsidRPr="004E5745">
        <w:rPr>
          <w:rFonts w:ascii="Arial" w:hAnsi="Arial"/>
          <w:sz w:val="21"/>
          <w:szCs w:val="21"/>
        </w:rPr>
        <w:t xml:space="preserve"> las </w:t>
      </w:r>
      <w:r w:rsidR="00313D11" w:rsidRPr="004E5745">
        <w:rPr>
          <w:rFonts w:ascii="Arial" w:hAnsi="Arial"/>
          <w:sz w:val="21"/>
          <w:szCs w:val="21"/>
        </w:rPr>
        <w:t>Cláusula</w:t>
      </w:r>
      <w:r w:rsidRPr="004E5745">
        <w:rPr>
          <w:rFonts w:ascii="Arial" w:hAnsi="Arial"/>
          <w:sz w:val="21"/>
          <w:szCs w:val="21"/>
        </w:rPr>
        <w:t>s 6.1 y 6.2, diez (10) Días después de celebrados o modificados, según corresponda.</w:t>
      </w:r>
    </w:p>
    <w:p w:rsidR="00785758" w:rsidRPr="004E5745" w:rsidRDefault="00785758" w:rsidP="00D4498D">
      <w:pPr>
        <w:tabs>
          <w:tab w:val="clear" w:pos="567"/>
          <w:tab w:val="clear" w:pos="1134"/>
          <w:tab w:val="clear" w:pos="1701"/>
          <w:tab w:val="clear" w:pos="2268"/>
          <w:tab w:val="clear" w:pos="2835"/>
        </w:tabs>
        <w:spacing w:before="300" w:after="200" w:line="250" w:lineRule="auto"/>
        <w:rPr>
          <w:rFonts w:ascii="Arial" w:hAnsi="Arial"/>
          <w:b/>
          <w:sz w:val="24"/>
          <w:szCs w:val="24"/>
        </w:rPr>
      </w:pPr>
      <w:r w:rsidRPr="004E5745">
        <w:rPr>
          <w:rFonts w:ascii="Arial" w:hAnsi="Arial"/>
          <w:b/>
          <w:sz w:val="24"/>
          <w:szCs w:val="24"/>
        </w:rPr>
        <w:t>7.</w:t>
      </w:r>
      <w:r w:rsidRPr="004E5745">
        <w:rPr>
          <w:rFonts w:ascii="Arial" w:hAnsi="Arial"/>
          <w:b/>
          <w:sz w:val="24"/>
          <w:szCs w:val="24"/>
        </w:rPr>
        <w:tab/>
        <w:t xml:space="preserve">Contratos de </w:t>
      </w:r>
      <w:r w:rsidR="00457ADD" w:rsidRPr="004E5745">
        <w:rPr>
          <w:rFonts w:ascii="Arial" w:hAnsi="Arial"/>
          <w:b/>
          <w:sz w:val="24"/>
          <w:szCs w:val="24"/>
        </w:rPr>
        <w:t>s</w:t>
      </w:r>
      <w:r w:rsidRPr="004E5745">
        <w:rPr>
          <w:rFonts w:ascii="Arial" w:hAnsi="Arial"/>
          <w:b/>
          <w:sz w:val="24"/>
          <w:szCs w:val="24"/>
        </w:rPr>
        <w:t>eguro</w:t>
      </w:r>
    </w:p>
    <w:p w:rsidR="00785758" w:rsidRPr="004E5745" w:rsidRDefault="00785758" w:rsidP="00D4498D">
      <w:pPr>
        <w:pStyle w:val="Ttulo7"/>
        <w:keepNext w:val="0"/>
        <w:tabs>
          <w:tab w:val="clear" w:pos="1134"/>
          <w:tab w:val="clear" w:pos="1701"/>
          <w:tab w:val="clear" w:pos="2268"/>
          <w:tab w:val="clear" w:pos="2835"/>
        </w:tabs>
        <w:spacing w:line="250" w:lineRule="auto"/>
        <w:ind w:left="567" w:hanging="567"/>
        <w:rPr>
          <w:rFonts w:ascii="Arial" w:hAnsi="Arial"/>
          <w:sz w:val="21"/>
          <w:szCs w:val="21"/>
        </w:rPr>
      </w:pPr>
      <w:r w:rsidRPr="004E5745">
        <w:rPr>
          <w:rFonts w:ascii="Arial" w:hAnsi="Arial"/>
          <w:sz w:val="21"/>
          <w:szCs w:val="21"/>
        </w:rPr>
        <w:t>7.1</w:t>
      </w:r>
      <w:r w:rsidRPr="004E5745">
        <w:rPr>
          <w:rFonts w:ascii="Arial" w:hAnsi="Arial"/>
          <w:sz w:val="21"/>
          <w:szCs w:val="21"/>
        </w:rPr>
        <w:tab/>
        <w:t>Durante la vigencia del Contrato, la Sociedad Concesionaria tomará y mantendrá los siguientes seguros:</w:t>
      </w:r>
    </w:p>
    <w:p w:rsidR="00785758" w:rsidRDefault="00785758" w:rsidP="00D4498D">
      <w:pPr>
        <w:pStyle w:val="Ttulo8"/>
        <w:keepNext w:val="0"/>
        <w:numPr>
          <w:ilvl w:val="0"/>
          <w:numId w:val="8"/>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 xml:space="preserve">Seguro de responsabilidad civil contra cualquier daño, pérdida o lesión que pudiere sobrevenir a </w:t>
      </w:r>
      <w:r w:rsidR="00596573" w:rsidRPr="004E5745">
        <w:rPr>
          <w:rFonts w:ascii="Arial" w:hAnsi="Arial"/>
          <w:sz w:val="21"/>
          <w:szCs w:val="21"/>
        </w:rPr>
        <w:t xml:space="preserve">bienes </w:t>
      </w:r>
      <w:r w:rsidRPr="004E5745">
        <w:rPr>
          <w:rFonts w:ascii="Arial" w:hAnsi="Arial"/>
          <w:sz w:val="21"/>
          <w:szCs w:val="21"/>
        </w:rPr>
        <w:t xml:space="preserve">y personas. Como límite mínimo asegurado se fija la suma de </w:t>
      </w:r>
      <w:r w:rsidR="00AE1D14" w:rsidRPr="004E5745">
        <w:rPr>
          <w:rFonts w:ascii="Arial" w:hAnsi="Arial"/>
          <w:sz w:val="21"/>
          <w:szCs w:val="21"/>
        </w:rPr>
        <w:t xml:space="preserve">cinco </w:t>
      </w:r>
      <w:r w:rsidRPr="004E5745">
        <w:rPr>
          <w:rFonts w:ascii="Arial" w:hAnsi="Arial"/>
          <w:sz w:val="21"/>
          <w:szCs w:val="21"/>
        </w:rPr>
        <w:t xml:space="preserve">millones de Dólares (US$ </w:t>
      </w:r>
      <w:r w:rsidR="00AE1D14" w:rsidRPr="004E5745">
        <w:rPr>
          <w:rFonts w:ascii="Arial" w:hAnsi="Arial"/>
          <w:sz w:val="21"/>
          <w:szCs w:val="21"/>
        </w:rPr>
        <w:t>5’000</w:t>
      </w:r>
      <w:r w:rsidRPr="004E5745">
        <w:rPr>
          <w:rFonts w:ascii="Arial" w:hAnsi="Arial"/>
          <w:sz w:val="21"/>
          <w:szCs w:val="21"/>
        </w:rPr>
        <w:t>.000) por siniestro.</w:t>
      </w:r>
    </w:p>
    <w:p w:rsidR="00785758" w:rsidRPr="004E5745" w:rsidRDefault="00785758" w:rsidP="00D4498D">
      <w:pPr>
        <w:pStyle w:val="Ttulo8"/>
        <w:keepNext w:val="0"/>
        <w:numPr>
          <w:ilvl w:val="0"/>
          <w:numId w:val="8"/>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Seguro que cubra el valor de los Bienes de la Concesión. La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la Sociedad Concesionaria contratará con una empresa especializada de reconocido prestigio internacional.</w:t>
      </w:r>
    </w:p>
    <w:p w:rsidR="00785758" w:rsidRPr="004E5745" w:rsidRDefault="00785758" w:rsidP="00D4498D">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7.2</w:t>
      </w:r>
      <w:r w:rsidRPr="004E5745">
        <w:rPr>
          <w:rFonts w:ascii="Arial" w:hAnsi="Arial"/>
          <w:sz w:val="21"/>
          <w:szCs w:val="21"/>
        </w:rPr>
        <w:tab/>
        <w:t xml:space="preserve">Las pólizas que se emitan de conformidad con lo establecido en la </w:t>
      </w:r>
      <w:r w:rsidR="00313D11" w:rsidRPr="004E5745">
        <w:rPr>
          <w:rFonts w:ascii="Arial" w:hAnsi="Arial"/>
          <w:sz w:val="21"/>
          <w:szCs w:val="21"/>
        </w:rPr>
        <w:t>Cláusula</w:t>
      </w:r>
      <w:r w:rsidRPr="004E5745">
        <w:rPr>
          <w:rFonts w:ascii="Arial" w:hAnsi="Arial"/>
          <w:sz w:val="21"/>
          <w:szCs w:val="21"/>
        </w:rPr>
        <w:t xml:space="preserve"> anterior, deberán contener estipulaciones en cuya virtud:</w:t>
      </w:r>
    </w:p>
    <w:p w:rsidR="00785758" w:rsidRPr="004E5745" w:rsidRDefault="00785758" w:rsidP="00D4498D">
      <w:pPr>
        <w:pStyle w:val="Ttulo7"/>
        <w:keepNext w:val="0"/>
        <w:numPr>
          <w:ilvl w:val="0"/>
          <w:numId w:val="9"/>
        </w:numPr>
        <w:tabs>
          <w:tab w:val="clear" w:pos="567"/>
          <w:tab w:val="clear" w:pos="1134"/>
          <w:tab w:val="clear" w:pos="1440"/>
          <w:tab w:val="clear" w:pos="1701"/>
          <w:tab w:val="clear" w:pos="2268"/>
          <w:tab w:val="clear" w:pos="2835"/>
          <w:tab w:val="left" w:pos="993"/>
        </w:tabs>
        <w:spacing w:before="120" w:line="250" w:lineRule="auto"/>
        <w:ind w:left="993" w:hanging="426"/>
        <w:rPr>
          <w:rFonts w:ascii="Arial" w:hAnsi="Arial"/>
          <w:sz w:val="21"/>
          <w:szCs w:val="21"/>
        </w:rPr>
      </w:pPr>
      <w:r w:rsidRPr="004E5745">
        <w:rPr>
          <w:rFonts w:ascii="Arial" w:hAnsi="Arial"/>
          <w:sz w:val="21"/>
          <w:szCs w:val="21"/>
        </w:rPr>
        <w:t>La compañía aseguradora quede obligada a comunicar al Concedente de cualquier omisión de pago de la Sociedad Concesionaria,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la Sociedad Concesionaria deba mantener conforme al Contrato.</w:t>
      </w:r>
    </w:p>
    <w:p w:rsidR="00785758" w:rsidRDefault="00785758" w:rsidP="00D4498D">
      <w:pPr>
        <w:numPr>
          <w:ilvl w:val="0"/>
          <w:numId w:val="9"/>
        </w:numPr>
        <w:tabs>
          <w:tab w:val="clear" w:pos="567"/>
          <w:tab w:val="clear" w:pos="1134"/>
          <w:tab w:val="clear" w:pos="1440"/>
          <w:tab w:val="clear" w:pos="1701"/>
          <w:tab w:val="clear" w:pos="2268"/>
          <w:tab w:val="clear" w:pos="2835"/>
          <w:tab w:val="left" w:pos="993"/>
        </w:tabs>
        <w:spacing w:before="60" w:line="250" w:lineRule="auto"/>
        <w:ind w:left="992" w:hanging="425"/>
        <w:jc w:val="both"/>
        <w:outlineLvl w:val="7"/>
        <w:rPr>
          <w:rFonts w:ascii="Arial" w:hAnsi="Arial"/>
          <w:sz w:val="21"/>
          <w:szCs w:val="21"/>
        </w:rPr>
      </w:pPr>
      <w:r w:rsidRPr="004E5745">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precedente.</w:t>
      </w:r>
    </w:p>
    <w:p w:rsidR="00785758" w:rsidRPr="004E5745" w:rsidRDefault="00785758" w:rsidP="00D4498D">
      <w:pPr>
        <w:spacing w:before="60" w:line="250" w:lineRule="auto"/>
        <w:ind w:left="992" w:hanging="425"/>
        <w:jc w:val="both"/>
        <w:outlineLvl w:val="7"/>
        <w:rPr>
          <w:rFonts w:ascii="Arial" w:hAnsi="Arial"/>
          <w:sz w:val="21"/>
          <w:szCs w:val="21"/>
        </w:rPr>
      </w:pPr>
      <w:r w:rsidRPr="004E5745">
        <w:rPr>
          <w:rFonts w:ascii="Arial" w:hAnsi="Arial"/>
          <w:sz w:val="21"/>
          <w:szCs w:val="21"/>
        </w:rPr>
        <w:t>c)</w:t>
      </w:r>
      <w:r w:rsidRPr="004E5745">
        <w:rPr>
          <w:rFonts w:ascii="Arial" w:hAnsi="Arial"/>
          <w:sz w:val="21"/>
          <w:szCs w:val="21"/>
        </w:rPr>
        <w:tab/>
        <w:t>En caso de Destrucción Total, el beneficiario de la póliza será el Concedente. La compañía aseguradora pagará los beneficios de las pólizas respectivas entregándolos directamente a un fiduciario que el Concedente contratará al producirse la terminación del Contrato.</w:t>
      </w:r>
      <w:r w:rsidR="008D76B9">
        <w:rPr>
          <w:rFonts w:ascii="Arial" w:hAnsi="Arial"/>
          <w:sz w:val="21"/>
          <w:szCs w:val="21"/>
        </w:rPr>
        <w:t xml:space="preserve"> El fiduciario luego de recibir los beneficios de las respectivas pólizas de seguros procederá a distribuir los mismos siguiendo el orden de prelación en la Cláusula 13.11 del Contrato.</w:t>
      </w:r>
    </w:p>
    <w:p w:rsidR="00785758" w:rsidRPr="004E5745" w:rsidRDefault="00785758" w:rsidP="00D4498D">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7.3</w:t>
      </w:r>
      <w:r w:rsidRPr="004E5745">
        <w:rPr>
          <w:rFonts w:ascii="Arial" w:hAnsi="Arial"/>
          <w:sz w:val="21"/>
          <w:szCs w:val="21"/>
        </w:rPr>
        <w:tab/>
        <w:t xml:space="preserve">Si el siniestro no califica como Destrucción Total, la Sociedad Concesionaria se obliga a utilizar el dinero percibido del seguro para reemplazar y/o reparar los bienes afectados por </w:t>
      </w:r>
      <w:r w:rsidRPr="004E5745">
        <w:rPr>
          <w:rFonts w:ascii="Arial" w:hAnsi="Arial"/>
          <w:sz w:val="21"/>
          <w:szCs w:val="21"/>
        </w:rPr>
        <w:lastRenderedPageBreak/>
        <w:t>el siniestro respectivo.</w:t>
      </w:r>
      <w:r w:rsidR="00596573" w:rsidRPr="004E5745">
        <w:rPr>
          <w:rFonts w:ascii="Arial" w:hAnsi="Arial"/>
          <w:sz w:val="21"/>
          <w:szCs w:val="21"/>
        </w:rPr>
        <w:t xml:space="preserve"> Las tareas de reemplazo y/o reparación de los bienes se efectuarán de manera tal que el Servicio no sea suspendido sino </w:t>
      </w:r>
      <w:r w:rsidR="007A7D0D">
        <w:rPr>
          <w:rFonts w:ascii="Arial" w:hAnsi="Arial"/>
          <w:sz w:val="21"/>
          <w:szCs w:val="21"/>
        </w:rPr>
        <w:t xml:space="preserve">por </w:t>
      </w:r>
      <w:r w:rsidR="00596573" w:rsidRPr="004E5745">
        <w:rPr>
          <w:rFonts w:ascii="Arial" w:hAnsi="Arial"/>
          <w:sz w:val="21"/>
          <w:szCs w:val="21"/>
        </w:rPr>
        <w:t>el tiempo mínimo indispensable.</w:t>
      </w:r>
    </w:p>
    <w:p w:rsidR="00785758" w:rsidRPr="00715ECB" w:rsidRDefault="00785758"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195D5F">
        <w:rPr>
          <w:rFonts w:ascii="Arial" w:hAnsi="Arial"/>
          <w:b/>
          <w:sz w:val="24"/>
          <w:szCs w:val="24"/>
        </w:rPr>
        <w:t>8.</w:t>
      </w:r>
      <w:r w:rsidRPr="00195D5F">
        <w:rPr>
          <w:rFonts w:ascii="Arial" w:hAnsi="Arial"/>
          <w:b/>
          <w:sz w:val="24"/>
          <w:szCs w:val="24"/>
        </w:rPr>
        <w:tab/>
        <w:t xml:space="preserve">Régimen </w:t>
      </w:r>
      <w:r w:rsidR="00597771" w:rsidRPr="00DE16C2">
        <w:rPr>
          <w:rFonts w:ascii="Arial" w:hAnsi="Arial"/>
          <w:b/>
          <w:sz w:val="24"/>
          <w:szCs w:val="24"/>
        </w:rPr>
        <w:t>t</w:t>
      </w:r>
      <w:r w:rsidRPr="00715ECB">
        <w:rPr>
          <w:rFonts w:ascii="Arial" w:hAnsi="Arial"/>
          <w:b/>
          <w:sz w:val="24"/>
          <w:szCs w:val="24"/>
        </w:rPr>
        <w:t>arifario</w:t>
      </w:r>
    </w:p>
    <w:p w:rsidR="00CE0383" w:rsidRPr="004E5745" w:rsidRDefault="00CE0383" w:rsidP="00D4498D">
      <w:pPr>
        <w:pStyle w:val="Ttulo7"/>
        <w:keepNext w:val="0"/>
        <w:tabs>
          <w:tab w:val="clear" w:pos="1134"/>
          <w:tab w:val="clear" w:pos="1701"/>
          <w:tab w:val="clear" w:pos="2268"/>
          <w:tab w:val="clear" w:pos="2835"/>
          <w:tab w:val="right" w:pos="5910"/>
        </w:tabs>
        <w:spacing w:line="257" w:lineRule="auto"/>
        <w:ind w:left="567" w:hanging="567"/>
        <w:rPr>
          <w:rFonts w:ascii="Arial" w:hAnsi="Arial"/>
          <w:sz w:val="21"/>
          <w:szCs w:val="21"/>
        </w:rPr>
      </w:pPr>
      <w:r w:rsidRPr="004E5745">
        <w:rPr>
          <w:rFonts w:ascii="Arial" w:hAnsi="Arial"/>
          <w:sz w:val="21"/>
          <w:szCs w:val="21"/>
        </w:rPr>
        <w:t>8.1</w:t>
      </w:r>
      <w:r w:rsidRPr="004E5745">
        <w:rPr>
          <w:rFonts w:ascii="Arial" w:hAnsi="Arial"/>
          <w:sz w:val="21"/>
          <w:szCs w:val="21"/>
        </w:rPr>
        <w:tab/>
        <w:t xml:space="preserve">Para efectos de esta </w:t>
      </w:r>
      <w:r w:rsidR="00313D11" w:rsidRPr="004E5745">
        <w:rPr>
          <w:rFonts w:ascii="Arial" w:hAnsi="Arial"/>
          <w:sz w:val="21"/>
          <w:szCs w:val="21"/>
        </w:rPr>
        <w:t>Cláusula</w:t>
      </w:r>
      <w:r w:rsidRPr="004E5745">
        <w:rPr>
          <w:rFonts w:ascii="Arial" w:hAnsi="Arial"/>
          <w:sz w:val="21"/>
          <w:szCs w:val="21"/>
        </w:rPr>
        <w:t>, se entiende por:</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Base Tarifaria, Monto Anual definido en el Artículo 1° de la Ley </w:t>
      </w:r>
      <w:r w:rsidR="00A75204">
        <w:rPr>
          <w:rFonts w:ascii="Arial" w:hAnsi="Arial"/>
          <w:sz w:val="21"/>
          <w:szCs w:val="21"/>
        </w:rPr>
        <w:t xml:space="preserve">Nº </w:t>
      </w:r>
      <w:r w:rsidRPr="004E5745">
        <w:rPr>
          <w:rFonts w:ascii="Arial" w:hAnsi="Arial"/>
          <w:sz w:val="21"/>
          <w:szCs w:val="21"/>
        </w:rPr>
        <w:t>28832, a reconocer por la prestación del Servicio.</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Costo de Inversión, a la cantidad de US$ ___________________</w:t>
      </w:r>
      <w:r w:rsidR="00A75204">
        <w:rPr>
          <w:rFonts w:ascii="Arial" w:hAnsi="Arial"/>
          <w:sz w:val="21"/>
          <w:szCs w:val="21"/>
        </w:rPr>
        <w:t>a la fecha de presentación de ofertas</w:t>
      </w:r>
      <w:r w:rsidRPr="004E5745">
        <w:rPr>
          <w:rFonts w:ascii="Arial" w:hAnsi="Arial"/>
          <w:sz w:val="21"/>
          <w:szCs w:val="21"/>
        </w:rPr>
        <w:t>. Constituye la inversión o componente de inversión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B</w:t>
      </w:r>
      <w:r w:rsidRPr="004E5745">
        <w:rPr>
          <w:rFonts w:ascii="Arial" w:hAnsi="Arial"/>
          <w:sz w:val="21"/>
          <w:szCs w:val="21"/>
        </w:rPr>
        <w:t xml:space="preserve"> </w:t>
      </w:r>
      <w:r w:rsidR="00AC3581">
        <w:rPr>
          <w:rFonts w:ascii="Arial" w:hAnsi="Arial"/>
          <w:sz w:val="21"/>
          <w:szCs w:val="21"/>
        </w:rPr>
        <w:t>incluidos como Anexo 6</w:t>
      </w:r>
      <w:r w:rsidRPr="004E5745">
        <w:rPr>
          <w:rFonts w:ascii="Arial" w:hAnsi="Arial"/>
          <w:sz w:val="21"/>
          <w:szCs w:val="21"/>
        </w:rPr>
        <w:t>).</w:t>
      </w:r>
      <w:r w:rsidR="00AC3581">
        <w:rPr>
          <w:rFonts w:ascii="Arial" w:hAnsi="Arial"/>
          <w:sz w:val="21"/>
          <w:szCs w:val="21"/>
        </w:rPr>
        <w:t xml:space="preserve"> Esta cantidad será ajustada según lo indicado en el Anexo 9.</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Costos de OyM, a la cantidad de US$ </w:t>
      </w:r>
      <w:r w:rsidR="00BC0C7F" w:rsidRPr="00BC0C7F">
        <w:rPr>
          <w:rFonts w:ascii="Arial" w:hAnsi="Arial"/>
          <w:sz w:val="21"/>
          <w:szCs w:val="21"/>
        </w:rPr>
        <w:t>___________________</w:t>
      </w:r>
      <w:r w:rsidR="00A75204">
        <w:rPr>
          <w:rFonts w:ascii="Arial" w:hAnsi="Arial"/>
          <w:sz w:val="21"/>
          <w:szCs w:val="21"/>
        </w:rPr>
        <w:t xml:space="preserve"> a la fecha de presentación de ofertas</w:t>
      </w:r>
      <w:r w:rsidRPr="004E5745">
        <w:rPr>
          <w:rFonts w:ascii="Arial" w:hAnsi="Arial"/>
          <w:sz w:val="21"/>
          <w:szCs w:val="21"/>
        </w:rPr>
        <w:t xml:space="preserve">. Constituye los costos eficientes de operación y mantenimiento a que se refieren los artículos 24° y 25° de la Ley </w:t>
      </w:r>
      <w:r w:rsidR="00A75204">
        <w:rPr>
          <w:rFonts w:ascii="Arial" w:hAnsi="Arial"/>
          <w:sz w:val="21"/>
          <w:szCs w:val="21"/>
        </w:rPr>
        <w:t xml:space="preserve">Nº </w:t>
      </w:r>
      <w:r w:rsidRPr="004E5745">
        <w:rPr>
          <w:rFonts w:ascii="Arial" w:hAnsi="Arial"/>
          <w:sz w:val="21"/>
          <w:szCs w:val="21"/>
        </w:rPr>
        <w:t>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4</w:t>
      </w:r>
      <w:r w:rsidR="00B65DDF" w:rsidRPr="004E5745">
        <w:rPr>
          <w:rFonts w:ascii="Arial" w:hAnsi="Arial"/>
          <w:sz w:val="21"/>
          <w:szCs w:val="21"/>
        </w:rPr>
        <w:t>-</w:t>
      </w:r>
      <w:r w:rsidR="00253906" w:rsidRPr="004E5745">
        <w:rPr>
          <w:rFonts w:ascii="Arial" w:hAnsi="Arial"/>
          <w:sz w:val="21"/>
          <w:szCs w:val="21"/>
        </w:rPr>
        <w:t xml:space="preserve">B </w:t>
      </w:r>
      <w:r w:rsidR="00AC3581">
        <w:rPr>
          <w:rFonts w:ascii="Arial" w:hAnsi="Arial"/>
          <w:sz w:val="21"/>
          <w:szCs w:val="21"/>
        </w:rPr>
        <w:t>incluidos como Anexo 6</w:t>
      </w:r>
      <w:r w:rsidRPr="004E5745">
        <w:rPr>
          <w:rFonts w:ascii="Arial" w:hAnsi="Arial"/>
          <w:sz w:val="21"/>
          <w:szCs w:val="21"/>
        </w:rPr>
        <w:t>).</w:t>
      </w:r>
    </w:p>
    <w:p w:rsidR="00AD1E09" w:rsidRPr="001E068A"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Período de Recuperación, al plazo de treinta (30</w:t>
      </w:r>
      <w:r w:rsidRPr="001E068A">
        <w:rPr>
          <w:rFonts w:ascii="Arial" w:hAnsi="Arial"/>
          <w:sz w:val="21"/>
          <w:szCs w:val="21"/>
        </w:rPr>
        <w:t>) años, contado a partir de la Puesta en Operación Comercial.</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Tasa de Actualización, </w:t>
      </w:r>
      <w:r w:rsidR="00597771" w:rsidRPr="004E5745">
        <w:rPr>
          <w:rFonts w:ascii="Arial" w:hAnsi="Arial"/>
          <w:sz w:val="21"/>
          <w:szCs w:val="21"/>
        </w:rPr>
        <w:t xml:space="preserve">corresponde al valor de la tasa de actualización a que se refiere </w:t>
      </w:r>
      <w:r w:rsidRPr="004E5745">
        <w:rPr>
          <w:rFonts w:ascii="Arial" w:hAnsi="Arial"/>
          <w:sz w:val="21"/>
          <w:szCs w:val="21"/>
        </w:rPr>
        <w:t>el Artículo 79º de la Ley de Concesiones Eléctricas</w:t>
      </w:r>
      <w:r w:rsidR="00597771" w:rsidRPr="004E5745">
        <w:rPr>
          <w:rFonts w:ascii="Arial" w:hAnsi="Arial"/>
          <w:sz w:val="21"/>
          <w:szCs w:val="21"/>
        </w:rPr>
        <w:t xml:space="preserve"> vigente en la </w:t>
      </w:r>
      <w:r w:rsidR="000F6FFA" w:rsidRPr="004E5745">
        <w:rPr>
          <w:rFonts w:ascii="Arial" w:hAnsi="Arial"/>
          <w:sz w:val="21"/>
          <w:szCs w:val="21"/>
        </w:rPr>
        <w:t xml:space="preserve">fecha </w:t>
      </w:r>
      <w:r w:rsidR="00597771" w:rsidRPr="004E5745">
        <w:rPr>
          <w:rFonts w:ascii="Arial" w:hAnsi="Arial"/>
          <w:sz w:val="21"/>
          <w:szCs w:val="21"/>
        </w:rPr>
        <w:t>de Cierre</w:t>
      </w:r>
      <w:r w:rsidRPr="004E5745">
        <w:rPr>
          <w:rFonts w:ascii="Arial" w:hAnsi="Arial"/>
          <w:sz w:val="21"/>
          <w:szCs w:val="21"/>
        </w:rPr>
        <w:t>.</w:t>
      </w:r>
    </w:p>
    <w:p w:rsidR="00AD1E09" w:rsidRDefault="00597771"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Índice de Actualización, es el Índice WPSSOP3500 (Finished Goods Less Food and Energy), publicado por el Departamento de Trabajo del Gobierno de los Estados Unidos de </w:t>
      </w:r>
      <w:r w:rsidR="001E3E2F" w:rsidRPr="004E5745">
        <w:rPr>
          <w:rFonts w:ascii="Arial" w:hAnsi="Arial"/>
          <w:sz w:val="21"/>
          <w:szCs w:val="21"/>
        </w:rPr>
        <w:t>A</w:t>
      </w:r>
      <w:r w:rsidRPr="004E5745">
        <w:rPr>
          <w:rFonts w:ascii="Arial" w:hAnsi="Arial"/>
          <w:sz w:val="21"/>
          <w:szCs w:val="21"/>
        </w:rPr>
        <w:t xml:space="preserve">mérica. </w:t>
      </w:r>
      <w:r w:rsidR="00D54788" w:rsidRPr="004E5745">
        <w:rPr>
          <w:rFonts w:ascii="Arial" w:hAnsi="Arial"/>
          <w:sz w:val="21"/>
          <w:szCs w:val="21"/>
        </w:rPr>
        <w:t>Se utilizará el último dato publicado como definitivo en la fecha que corresponda efectuar la regulación.</w:t>
      </w:r>
      <w:r w:rsidR="00D54788" w:rsidRPr="004E5745">
        <w:rPr>
          <w:szCs w:val="22"/>
        </w:rPr>
        <w:t xml:space="preserve"> </w:t>
      </w:r>
      <w:r w:rsidRPr="004E5745">
        <w:rPr>
          <w:rFonts w:ascii="Arial" w:hAnsi="Arial"/>
          <w:sz w:val="21"/>
          <w:szCs w:val="21"/>
        </w:rPr>
        <w:t xml:space="preserve">El índice inicial será el </w:t>
      </w:r>
      <w:r w:rsidR="00D54788" w:rsidRPr="004E5745">
        <w:rPr>
          <w:rFonts w:ascii="Arial" w:hAnsi="Arial"/>
          <w:sz w:val="21"/>
          <w:szCs w:val="21"/>
        </w:rPr>
        <w:t xml:space="preserve">último dato publicado como definitivo </w:t>
      </w:r>
      <w:r w:rsidRPr="004E5745">
        <w:rPr>
          <w:rFonts w:ascii="Arial" w:hAnsi="Arial"/>
          <w:sz w:val="21"/>
          <w:szCs w:val="21"/>
        </w:rPr>
        <w:t xml:space="preserve">que corresponda al mes de la fecha de la </w:t>
      </w:r>
      <w:r w:rsidR="00623920">
        <w:rPr>
          <w:rFonts w:ascii="Arial" w:hAnsi="Arial"/>
          <w:sz w:val="21"/>
          <w:szCs w:val="21"/>
        </w:rPr>
        <w:t>fecha de presentación de ofertas.</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8.2</w:t>
      </w:r>
      <w:r w:rsidRPr="004E5745">
        <w:rPr>
          <w:rFonts w:ascii="Arial" w:hAnsi="Arial"/>
          <w:sz w:val="21"/>
          <w:szCs w:val="21"/>
        </w:rPr>
        <w:tab/>
        <w:t>La fecha a la cual se consideran expresados el Costo de Inversión y el Costo de OyM, así como su posterior actualización, se sujetarán a lo indicado en el numeral 22.6 del Reglamento de Transmisión.</w:t>
      </w:r>
      <w:r w:rsidR="00080EE0" w:rsidRPr="004E5745">
        <w:rPr>
          <w:rFonts w:ascii="Arial" w:hAnsi="Arial"/>
          <w:sz w:val="21"/>
          <w:szCs w:val="21"/>
        </w:rPr>
        <w:t xml:space="preserve"> El Índice de Actualización será el indicado en el literal f) de la Cláusula 8.1.</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8.3</w:t>
      </w:r>
      <w:r w:rsidRPr="004E5745">
        <w:rPr>
          <w:rFonts w:ascii="Arial" w:hAnsi="Arial"/>
          <w:sz w:val="21"/>
          <w:szCs w:val="21"/>
        </w:rPr>
        <w:tab/>
        <w:t xml:space="preserve">La Base Tarifaria se regirá por lo estipulado en la Ley </w:t>
      </w:r>
      <w:r w:rsidR="00A75204">
        <w:rPr>
          <w:rFonts w:ascii="Arial" w:hAnsi="Arial"/>
          <w:sz w:val="21"/>
          <w:szCs w:val="21"/>
        </w:rPr>
        <w:t xml:space="preserve">Nº </w:t>
      </w:r>
      <w:r w:rsidRPr="004E5745">
        <w:rPr>
          <w:rFonts w:ascii="Arial" w:hAnsi="Arial"/>
          <w:sz w:val="21"/>
          <w:szCs w:val="21"/>
        </w:rPr>
        <w:t>28832 y el Reglamento de Transmisión</w:t>
      </w:r>
      <w:r w:rsidR="00E225CE" w:rsidRPr="004E5745">
        <w:rPr>
          <w:rFonts w:ascii="Arial" w:hAnsi="Arial"/>
          <w:color w:val="000000"/>
          <w:sz w:val="21"/>
          <w:szCs w:val="21"/>
        </w:rPr>
        <w:t>, vigente</w:t>
      </w:r>
      <w:r w:rsidR="00227268" w:rsidRPr="004E5745">
        <w:rPr>
          <w:rFonts w:ascii="Arial" w:hAnsi="Arial"/>
          <w:color w:val="000000"/>
          <w:sz w:val="21"/>
          <w:szCs w:val="21"/>
        </w:rPr>
        <w:t>s</w:t>
      </w:r>
      <w:r w:rsidR="00E225CE" w:rsidRPr="004E5745">
        <w:rPr>
          <w:rFonts w:ascii="Arial" w:hAnsi="Arial"/>
          <w:color w:val="000000"/>
          <w:sz w:val="21"/>
          <w:szCs w:val="21"/>
        </w:rPr>
        <w:t xml:space="preserve"> </w:t>
      </w:r>
      <w:r w:rsidR="00D222B0" w:rsidRPr="004E5745">
        <w:rPr>
          <w:rFonts w:ascii="Arial" w:hAnsi="Arial"/>
          <w:color w:val="000000"/>
          <w:sz w:val="21"/>
          <w:szCs w:val="21"/>
        </w:rPr>
        <w:t xml:space="preserve">a </w:t>
      </w:r>
      <w:r w:rsidR="00E225CE" w:rsidRPr="004E5745">
        <w:rPr>
          <w:rFonts w:ascii="Arial" w:hAnsi="Arial"/>
          <w:color w:val="000000"/>
          <w:sz w:val="21"/>
          <w:szCs w:val="21"/>
        </w:rPr>
        <w:t>la fecha de Cierre</w:t>
      </w:r>
      <w:r w:rsidRPr="004E5745">
        <w:rPr>
          <w:rFonts w:ascii="Arial" w:hAnsi="Arial"/>
          <w:sz w:val="21"/>
          <w:szCs w:val="21"/>
        </w:rPr>
        <w:t>.</w:t>
      </w:r>
    </w:p>
    <w:p w:rsidR="00080EE0"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8.4</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establece la Base Tarifaria de acuerdo con los Artículos 24º y 25º de la Ley N° 28832 y el Artículo 22º del Reglamento de </w:t>
      </w:r>
      <w:r w:rsidR="00080EE0" w:rsidRPr="004E5745">
        <w:rPr>
          <w:rFonts w:ascii="Arial" w:hAnsi="Arial"/>
          <w:sz w:val="21"/>
          <w:szCs w:val="21"/>
        </w:rPr>
        <w:t>Transmisión, empleando la Tasa de Actualización definida en el literal e) de la Cláusula 8.1.</w:t>
      </w:r>
    </w:p>
    <w:p w:rsidR="00080EE0"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8.5</w:t>
      </w:r>
      <w:r w:rsidRPr="004E5745">
        <w:rPr>
          <w:rFonts w:ascii="Arial" w:hAnsi="Arial"/>
          <w:sz w:val="21"/>
          <w:szCs w:val="21"/>
        </w:rPr>
        <w:tab/>
        <w:t xml:space="preserve">La Base Tarifaria se pagará mediante compensaciones a </w:t>
      </w:r>
      <w:r w:rsidR="001E3E2F" w:rsidRPr="004E5745">
        <w:rPr>
          <w:rFonts w:ascii="Arial" w:hAnsi="Arial"/>
          <w:sz w:val="21"/>
          <w:szCs w:val="21"/>
        </w:rPr>
        <w:t xml:space="preserve">cargo de </w:t>
      </w:r>
      <w:r w:rsidRPr="004E5745">
        <w:rPr>
          <w:rFonts w:ascii="Arial" w:hAnsi="Arial"/>
          <w:sz w:val="21"/>
          <w:szCs w:val="21"/>
        </w:rPr>
        <w:t xml:space="preserve">los </w:t>
      </w:r>
      <w:r w:rsidR="003D2A22" w:rsidRPr="004E5745">
        <w:rPr>
          <w:rFonts w:ascii="Arial" w:hAnsi="Arial"/>
          <w:sz w:val="21"/>
          <w:szCs w:val="21"/>
        </w:rPr>
        <w:t>u</w:t>
      </w:r>
      <w:r w:rsidRPr="004E5745" w:rsidDel="00D0308D">
        <w:rPr>
          <w:rFonts w:ascii="Arial" w:hAnsi="Arial"/>
          <w:sz w:val="21"/>
          <w:szCs w:val="21"/>
        </w:rPr>
        <w:t>suarios</w:t>
      </w:r>
      <w:r w:rsidRPr="004E5745">
        <w:rPr>
          <w:rFonts w:ascii="Arial" w:hAnsi="Arial"/>
          <w:sz w:val="21"/>
          <w:szCs w:val="21"/>
        </w:rPr>
        <w:t xml:space="preserve">, de acuerdo con lo dispuesto en el Artículo 26º de la Ley N° 28832 y en </w:t>
      </w:r>
      <w:r w:rsidR="00EE69F9" w:rsidRPr="004E5745">
        <w:rPr>
          <w:rFonts w:ascii="Arial" w:hAnsi="Arial"/>
          <w:sz w:val="21"/>
          <w:szCs w:val="21"/>
        </w:rPr>
        <w:t>el</w:t>
      </w:r>
      <w:r w:rsidRPr="004E5745">
        <w:rPr>
          <w:rFonts w:ascii="Arial" w:hAnsi="Arial"/>
          <w:sz w:val="21"/>
          <w:szCs w:val="21"/>
        </w:rPr>
        <w:t xml:space="preserve"> Artículo 27º del Reglamento de Transmisión. </w:t>
      </w:r>
      <w:r w:rsidR="00080EE0" w:rsidRPr="004E5745">
        <w:rPr>
          <w:rFonts w:ascii="Arial" w:hAnsi="Arial"/>
          <w:sz w:val="21"/>
          <w:szCs w:val="21"/>
        </w:rPr>
        <w:t>Para el cálculo de la tasa mensual, se empleará la Tasa de Actualización definida en el literal e) de la Cláusula 8.1.</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lastRenderedPageBreak/>
        <w:t>8.6</w:t>
      </w:r>
      <w:r w:rsidRPr="004E5745">
        <w:rPr>
          <w:rFonts w:ascii="Arial" w:hAnsi="Arial"/>
          <w:sz w:val="21"/>
          <w:szCs w:val="21"/>
        </w:rPr>
        <w:tab/>
        <w:t xml:space="preserve">La Base Tarifaria incluye los resultados de la liquidación anual que efectuará </w:t>
      </w:r>
      <w:r w:rsidR="00F20FDB">
        <w:rPr>
          <w:rFonts w:ascii="Arial" w:hAnsi="Arial"/>
          <w:sz w:val="21"/>
          <w:szCs w:val="21"/>
        </w:rPr>
        <w:t xml:space="preserve">el </w:t>
      </w:r>
      <w:r w:rsidRPr="004E5745">
        <w:rPr>
          <w:rFonts w:ascii="Arial" w:hAnsi="Arial"/>
          <w:sz w:val="21"/>
          <w:szCs w:val="21"/>
        </w:rPr>
        <w:t>OSINERGMIN de acuerdo con lo estipulado en el literal c) del Artículo 24º de la Ley N° 28832 y el numeral 22.4 del Artículo 22º del Reglamento de Transmisión.</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8.7</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aprobará los procedimientos de detalle que se requieran para la aplicación de la </w:t>
      </w:r>
      <w:r w:rsidR="00313D11" w:rsidRPr="004E5745">
        <w:rPr>
          <w:rFonts w:ascii="Arial" w:hAnsi="Arial"/>
          <w:sz w:val="21"/>
          <w:szCs w:val="21"/>
        </w:rPr>
        <w:t>Cláusula</w:t>
      </w:r>
      <w:r w:rsidRPr="004E5745">
        <w:rPr>
          <w:rFonts w:ascii="Arial" w:hAnsi="Arial"/>
          <w:sz w:val="21"/>
          <w:szCs w:val="21"/>
        </w:rPr>
        <w:t xml:space="preserve"> 8, incluyendo lo relativo a la conversión a Dólares de los ingresos percibidos en nuevos soles, el redondeo de las cifras, la preliquidación de ingresos y las observaciones de la Sociedad Concesionaria, así como la información y documentación que ésta debe presentar.</w:t>
      </w:r>
      <w:r w:rsidR="007A7D0D">
        <w:rPr>
          <w:rFonts w:ascii="Arial" w:hAnsi="Arial"/>
          <w:sz w:val="21"/>
          <w:szCs w:val="21"/>
        </w:rPr>
        <w:t xml:space="preserve"> Es aplicable la Resolución OSINERGMIN N° 200-2010-OS/CD que aprobó el denominado “Procedimiento de Liquidación Anual de los Ingresos por el Servicio de Transmisión Eléctrica del Sistema Garantizado de Transmisión” o aquella Resolución que haga sus veces, la modifique o sustituya.</w:t>
      </w:r>
    </w:p>
    <w:p w:rsidR="00785758" w:rsidRPr="004E5745" w:rsidRDefault="00785758"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9.</w:t>
      </w:r>
      <w:r w:rsidRPr="004E5745">
        <w:rPr>
          <w:rFonts w:ascii="Arial" w:hAnsi="Arial"/>
          <w:b/>
          <w:sz w:val="24"/>
          <w:szCs w:val="24"/>
        </w:rPr>
        <w:tab/>
        <w:t>Financiamiento de la Concesión</w:t>
      </w:r>
    </w:p>
    <w:p w:rsidR="007F336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Para cumplir con el objeto del Contrato, la Sociedad Concesionaria podrá obtener el financiamiento propio o de terceros que estime conveniente a sus intereses</w:t>
      </w:r>
      <w:r w:rsidR="00EF3D32" w:rsidRPr="00470281">
        <w:rPr>
          <w:rFonts w:ascii="Arial" w:hAnsi="Arial"/>
          <w:sz w:val="21"/>
        </w:rPr>
        <w:t>.</w:t>
      </w:r>
    </w:p>
    <w:p w:rsidR="007F3365" w:rsidRDefault="00EF3D32"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color w:val="000000"/>
          <w:sz w:val="21"/>
          <w:szCs w:val="21"/>
        </w:rPr>
        <w:t xml:space="preserve">En </w:t>
      </w:r>
      <w:r w:rsidR="007F3365">
        <w:rPr>
          <w:rFonts w:ascii="Arial" w:hAnsi="Arial"/>
          <w:sz w:val="21"/>
          <w:szCs w:val="21"/>
        </w:rPr>
        <w:t>l</w:t>
      </w:r>
      <w:r w:rsidR="007F3365" w:rsidRPr="00333DF4">
        <w:rPr>
          <w:rFonts w:ascii="Arial" w:hAnsi="Arial"/>
          <w:sz w:val="21"/>
          <w:szCs w:val="21"/>
        </w:rPr>
        <w:t>a estructuración del</w:t>
      </w:r>
      <w:r w:rsidR="007F3365" w:rsidRPr="006A0144">
        <w:rPr>
          <w:rFonts w:ascii="Arial" w:hAnsi="Arial"/>
          <w:sz w:val="21"/>
          <w:szCs w:val="21"/>
        </w:rPr>
        <w:t xml:space="preserve"> </w:t>
      </w:r>
      <w:r w:rsidRPr="004E5745">
        <w:rPr>
          <w:rFonts w:ascii="Arial" w:hAnsi="Arial"/>
          <w:color w:val="000000"/>
          <w:sz w:val="21"/>
          <w:szCs w:val="21"/>
        </w:rPr>
        <w:t xml:space="preserve">financiamiento </w:t>
      </w:r>
      <w:r w:rsidR="007F3365">
        <w:rPr>
          <w:rFonts w:ascii="Arial" w:hAnsi="Arial"/>
          <w:sz w:val="21"/>
          <w:szCs w:val="21"/>
        </w:rPr>
        <w:t xml:space="preserve">la Sociedad Concesionaria </w:t>
      </w:r>
      <w:r w:rsidR="007F3365" w:rsidRPr="00333DF4">
        <w:rPr>
          <w:rFonts w:ascii="Arial" w:hAnsi="Arial"/>
          <w:sz w:val="21"/>
          <w:szCs w:val="21"/>
        </w:rPr>
        <w:t>podrá in</w:t>
      </w:r>
      <w:r w:rsidR="007F3365">
        <w:rPr>
          <w:rFonts w:ascii="Arial" w:hAnsi="Arial"/>
          <w:sz w:val="21"/>
          <w:szCs w:val="21"/>
        </w:rPr>
        <w:t>clui</w:t>
      </w:r>
      <w:r w:rsidR="007F3365" w:rsidRPr="00333DF4">
        <w:rPr>
          <w:rFonts w:ascii="Arial" w:hAnsi="Arial"/>
          <w:sz w:val="21"/>
          <w:szCs w:val="21"/>
        </w:rPr>
        <w:t>r</w:t>
      </w:r>
      <w:r w:rsidR="007F3365">
        <w:rPr>
          <w:rFonts w:ascii="Arial" w:hAnsi="Arial"/>
          <w:sz w:val="21"/>
          <w:szCs w:val="21"/>
        </w:rPr>
        <w:t>:</w:t>
      </w:r>
    </w:p>
    <w:p w:rsidR="007F3365" w:rsidRDefault="007F3365" w:rsidP="00D4498D">
      <w:pPr>
        <w:pStyle w:val="BodyText22"/>
        <w:numPr>
          <w:ilvl w:val="2"/>
          <w:numId w:val="10"/>
        </w:numPr>
        <w:tabs>
          <w:tab w:val="clear" w:pos="567"/>
          <w:tab w:val="clear" w:pos="720"/>
          <w:tab w:val="clear" w:pos="1134"/>
          <w:tab w:val="clear" w:pos="1701"/>
          <w:tab w:val="clear" w:pos="2268"/>
          <w:tab w:val="clear" w:pos="2835"/>
          <w:tab w:val="num" w:pos="1276"/>
        </w:tabs>
        <w:spacing w:before="120" w:line="257" w:lineRule="auto"/>
        <w:ind w:left="1276" w:hanging="709"/>
        <w:rPr>
          <w:rFonts w:ascii="Arial" w:hAnsi="Arial"/>
          <w:sz w:val="21"/>
          <w:szCs w:val="21"/>
        </w:rPr>
      </w:pPr>
      <w:r>
        <w:rPr>
          <w:rFonts w:ascii="Arial" w:hAnsi="Arial"/>
          <w:sz w:val="21"/>
          <w:szCs w:val="21"/>
        </w:rPr>
        <w:t xml:space="preserve">Garantías a ser otorgadas a los Acreedores Permitidos, que incluyan gravámenes sobre </w:t>
      </w:r>
      <w:r w:rsidRPr="008E7688">
        <w:rPr>
          <w:rFonts w:ascii="Arial" w:hAnsi="Arial"/>
          <w:sz w:val="21"/>
          <w:szCs w:val="21"/>
        </w:rPr>
        <w:t>los Bienes de la Concesión, la Concesión misma, los flujos de dinero por la prestación del Servicio o cualquier derecho que corresponda a la Sociedad Concesionaria según el Contrato</w:t>
      </w:r>
      <w:r>
        <w:rPr>
          <w:rFonts w:ascii="Arial" w:hAnsi="Arial"/>
          <w:sz w:val="21"/>
          <w:szCs w:val="21"/>
        </w:rPr>
        <w:t>.</w:t>
      </w:r>
      <w:r w:rsidR="003506F3">
        <w:rPr>
          <w:rFonts w:ascii="Arial" w:hAnsi="Arial"/>
          <w:sz w:val="21"/>
          <w:szCs w:val="21"/>
        </w:rPr>
        <w:t xml:space="preserve"> Se establece que la presente es constancia suficiente de la autorización previa del Concedente.</w:t>
      </w:r>
    </w:p>
    <w:p w:rsidR="007F3365" w:rsidRDefault="007F3365" w:rsidP="00D4498D">
      <w:pPr>
        <w:pStyle w:val="BodyText22"/>
        <w:numPr>
          <w:ilvl w:val="2"/>
          <w:numId w:val="10"/>
        </w:numPr>
        <w:tabs>
          <w:tab w:val="clear" w:pos="567"/>
          <w:tab w:val="clear" w:pos="720"/>
          <w:tab w:val="clear" w:pos="1134"/>
          <w:tab w:val="clear" w:pos="1701"/>
          <w:tab w:val="clear" w:pos="2268"/>
          <w:tab w:val="clear" w:pos="2835"/>
          <w:tab w:val="num" w:pos="1276"/>
        </w:tabs>
        <w:spacing w:before="120" w:line="257" w:lineRule="auto"/>
        <w:ind w:left="1276" w:hanging="709"/>
        <w:rPr>
          <w:rFonts w:ascii="Arial" w:hAnsi="Arial"/>
          <w:sz w:val="21"/>
          <w:szCs w:val="21"/>
        </w:rPr>
      </w:pPr>
      <w:r>
        <w:rPr>
          <w:rFonts w:ascii="Arial" w:hAnsi="Arial"/>
          <w:color w:val="000000"/>
          <w:sz w:val="21"/>
          <w:szCs w:val="21"/>
        </w:rPr>
        <w:t>L</w:t>
      </w:r>
      <w:r w:rsidR="00EF3D32" w:rsidRPr="004E5745">
        <w:rPr>
          <w:rFonts w:ascii="Arial" w:hAnsi="Arial"/>
          <w:color w:val="000000"/>
          <w:sz w:val="21"/>
          <w:szCs w:val="21"/>
        </w:rPr>
        <w:t xml:space="preserve">a transferencia en dominio fiduciario de la Concesión a un fideicomiso, </w:t>
      </w:r>
      <w:r w:rsidRPr="007F3365">
        <w:rPr>
          <w:rFonts w:ascii="Arial" w:hAnsi="Arial"/>
          <w:sz w:val="21"/>
          <w:szCs w:val="21"/>
        </w:rPr>
        <w:t>en cuyo caso para ser aceptable al Concedente, la Sociedad Concesionaria deberá mantener todas las obligaciones a las que se compromete por este Contrato, sin excepción alguna, y, al mismo tiempo, deberá causar que el fideicomiso contraiga las mismas obligaciones y que el fideicomisario y el fiduciario, según corresponda, se obliguen a conducir las operaciones del fideicomiso cumpliendo con todas las obligaciones que la Sociedad Concesionaria ha adquirido por este Contrato.</w:t>
      </w:r>
    </w:p>
    <w:p w:rsidR="007F3365" w:rsidRDefault="007F3365"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333DF4">
        <w:rPr>
          <w:rFonts w:ascii="Arial" w:hAnsi="Arial"/>
          <w:sz w:val="21"/>
          <w:szCs w:val="21"/>
        </w:rPr>
        <w:t xml:space="preserve">Los </w:t>
      </w:r>
      <w:r w:rsidR="00780C5C">
        <w:rPr>
          <w:rFonts w:ascii="Arial" w:hAnsi="Arial"/>
          <w:sz w:val="21"/>
          <w:szCs w:val="21"/>
        </w:rPr>
        <w:t>p</w:t>
      </w:r>
      <w:r w:rsidRPr="00333DF4">
        <w:rPr>
          <w:rFonts w:ascii="Arial" w:hAnsi="Arial"/>
          <w:sz w:val="21"/>
          <w:szCs w:val="21"/>
        </w:rPr>
        <w:t xml:space="preserve">roveedores de garantías (“Hedgeproviders”) así como los agentes administrativos y agentes colaterales de los </w:t>
      </w:r>
      <w:r>
        <w:rPr>
          <w:rFonts w:ascii="Arial" w:hAnsi="Arial"/>
          <w:sz w:val="21"/>
          <w:szCs w:val="21"/>
        </w:rPr>
        <w:t>Acreedores Permitidos</w:t>
      </w:r>
      <w:r w:rsidRPr="00333DF4">
        <w:rPr>
          <w:rFonts w:ascii="Arial" w:hAnsi="Arial"/>
          <w:sz w:val="21"/>
          <w:szCs w:val="21"/>
        </w:rPr>
        <w:t xml:space="preserve"> </w:t>
      </w:r>
      <w:r w:rsidR="00AC3581" w:rsidRPr="00AC3581">
        <w:rPr>
          <w:rFonts w:ascii="Arial" w:hAnsi="Arial"/>
          <w:sz w:val="21"/>
          <w:szCs w:val="21"/>
        </w:rPr>
        <w:t xml:space="preserve">tendrán los mismos derechos que éstos, y </w:t>
      </w:r>
      <w:r w:rsidR="00780C5C">
        <w:rPr>
          <w:rFonts w:ascii="Arial" w:hAnsi="Arial"/>
          <w:sz w:val="21"/>
          <w:szCs w:val="21"/>
        </w:rPr>
        <w:t>estarán</w:t>
      </w:r>
      <w:r w:rsidRPr="00333DF4">
        <w:rPr>
          <w:rFonts w:ascii="Arial" w:hAnsi="Arial"/>
          <w:sz w:val="21"/>
          <w:szCs w:val="21"/>
        </w:rPr>
        <w:t xml:space="preserve"> cubiertos con el paquete de garantías a ser utilizado para </w:t>
      </w:r>
      <w:r>
        <w:rPr>
          <w:rFonts w:ascii="Arial" w:hAnsi="Arial"/>
          <w:sz w:val="21"/>
          <w:szCs w:val="21"/>
        </w:rPr>
        <w:t>dichos acreedores</w:t>
      </w:r>
      <w:r w:rsidRPr="00333DF4">
        <w:rPr>
          <w:rFonts w:ascii="Arial" w:hAnsi="Arial"/>
          <w:sz w:val="21"/>
          <w:szCs w:val="21"/>
        </w:rPr>
        <w:t>.</w:t>
      </w:r>
    </w:p>
    <w:p w:rsidR="00785758" w:rsidRPr="004E5745" w:rsidRDefault="007F3365"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632D4C">
        <w:rPr>
          <w:rFonts w:ascii="Arial" w:hAnsi="Arial"/>
          <w:color w:val="000000"/>
          <w:sz w:val="21"/>
          <w:szCs w:val="21"/>
        </w:rPr>
        <w:t>S</w:t>
      </w:r>
      <w:r w:rsidR="00785758" w:rsidRPr="00632D4C">
        <w:rPr>
          <w:rFonts w:ascii="Arial" w:hAnsi="Arial"/>
          <w:color w:val="000000"/>
          <w:sz w:val="21"/>
          <w:szCs w:val="21"/>
        </w:rPr>
        <w:t>i</w:t>
      </w:r>
      <w:r w:rsidR="00785758" w:rsidRPr="004E5745">
        <w:rPr>
          <w:rFonts w:ascii="Arial" w:hAnsi="Arial"/>
          <w:sz w:val="21"/>
          <w:szCs w:val="21"/>
        </w:rPr>
        <w:t xml:space="preserve"> </w:t>
      </w:r>
      <w:r w:rsidR="00703ADF" w:rsidRPr="004E5745">
        <w:rPr>
          <w:rFonts w:ascii="Arial" w:hAnsi="Arial"/>
          <w:sz w:val="21"/>
          <w:szCs w:val="21"/>
        </w:rPr>
        <w:t xml:space="preserve">el financiamiento </w:t>
      </w:r>
      <w:r w:rsidR="00785758" w:rsidRPr="004E5745">
        <w:rPr>
          <w:rFonts w:ascii="Arial" w:hAnsi="Arial"/>
          <w:sz w:val="21"/>
          <w:szCs w:val="21"/>
        </w:rPr>
        <w:t>comprende o está garantizad</w:t>
      </w:r>
      <w:r w:rsidR="00703ADF" w:rsidRPr="004E5745">
        <w:rPr>
          <w:rFonts w:ascii="Arial" w:hAnsi="Arial"/>
          <w:sz w:val="21"/>
          <w:szCs w:val="21"/>
        </w:rPr>
        <w:t>o</w:t>
      </w:r>
      <w:r w:rsidR="00785758" w:rsidRPr="004E5745">
        <w:rPr>
          <w:rFonts w:ascii="Arial" w:hAnsi="Arial"/>
          <w:sz w:val="21"/>
          <w:szCs w:val="21"/>
        </w:rPr>
        <w:t xml:space="preserve"> con los Bienes de la Concesión, la Concesión misma, los flujos de dinero por la prestación del Servicio o cualquier derecho que corresponda a la Sociedad Concesionaria según el Contrato (en adelante, “deuda garantizada”), la Sociedad Concesionaria deberá cumplir las </w:t>
      </w:r>
      <w:r w:rsidR="00313D11" w:rsidRPr="004E5745">
        <w:rPr>
          <w:rFonts w:ascii="Arial" w:hAnsi="Arial"/>
          <w:sz w:val="21"/>
          <w:szCs w:val="21"/>
        </w:rPr>
        <w:t>Cláusula</w:t>
      </w:r>
      <w:r w:rsidR="00785758" w:rsidRPr="004E5745">
        <w:rPr>
          <w:rFonts w:ascii="Arial" w:hAnsi="Arial"/>
          <w:sz w:val="21"/>
          <w:szCs w:val="21"/>
        </w:rPr>
        <w:t>s siguientes.</w:t>
      </w:r>
    </w:p>
    <w:p w:rsidR="00785758" w:rsidRPr="004E574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deberán estipular:</w:t>
      </w:r>
    </w:p>
    <w:p w:rsidR="00785758" w:rsidRPr="004E5745" w:rsidRDefault="00785758" w:rsidP="00D4498D">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F3365" w:rsidRDefault="00033953"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Que los recursos que se obtengan</w:t>
      </w:r>
      <w:r w:rsidR="007F3365">
        <w:rPr>
          <w:rFonts w:ascii="Arial" w:hAnsi="Arial"/>
          <w:sz w:val="21"/>
          <w:szCs w:val="21"/>
        </w:rPr>
        <w:t>:</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S</w:t>
      </w:r>
      <w:r w:rsidR="00785758" w:rsidRPr="004E5745">
        <w:rPr>
          <w:rFonts w:ascii="Arial" w:hAnsi="Arial"/>
          <w:sz w:val="21"/>
          <w:szCs w:val="21"/>
        </w:rPr>
        <w:t>erán destinados únicamente al financiamiento de los Bienes de la Concesión o como capital de trabajo para la explotación de los Bienes de la Concesión</w:t>
      </w:r>
      <w:r>
        <w:rPr>
          <w:rFonts w:ascii="Arial" w:hAnsi="Arial"/>
          <w:sz w:val="21"/>
          <w:szCs w:val="21"/>
        </w:rPr>
        <w:t>, en caso la Sociedad Concesionaria sea una empresa de propósito especial constituida para construir, equipar y operar la Concesión; o</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S</w:t>
      </w:r>
      <w:r w:rsidRPr="00455748">
        <w:rPr>
          <w:rFonts w:ascii="Arial" w:hAnsi="Arial"/>
          <w:sz w:val="21"/>
          <w:szCs w:val="21"/>
        </w:rPr>
        <w:t xml:space="preserve">erán destinados al financiamiento </w:t>
      </w:r>
      <w:r>
        <w:rPr>
          <w:rFonts w:ascii="Arial" w:hAnsi="Arial"/>
          <w:sz w:val="21"/>
          <w:szCs w:val="21"/>
        </w:rPr>
        <w:t xml:space="preserve">de la empresa, y que ésta a su vez y a satisfacción del Concedente, destinará los recursos necesarios para la adquisición de los bienes y servicios requeridos para brindar el Servicio, así como para el </w:t>
      </w:r>
      <w:r w:rsidRPr="00455748">
        <w:rPr>
          <w:rFonts w:ascii="Arial" w:hAnsi="Arial"/>
          <w:sz w:val="21"/>
          <w:szCs w:val="21"/>
        </w:rPr>
        <w:t xml:space="preserve">capital de trabajo </w:t>
      </w:r>
      <w:r>
        <w:rPr>
          <w:rFonts w:ascii="Arial" w:hAnsi="Arial"/>
          <w:sz w:val="21"/>
          <w:szCs w:val="21"/>
        </w:rPr>
        <w:t xml:space="preserve">necesario </w:t>
      </w:r>
      <w:r w:rsidRPr="00455748">
        <w:rPr>
          <w:rFonts w:ascii="Arial" w:hAnsi="Arial"/>
          <w:sz w:val="21"/>
          <w:szCs w:val="21"/>
        </w:rPr>
        <w:t>para la explotació</w:t>
      </w:r>
      <w:r>
        <w:rPr>
          <w:rFonts w:ascii="Arial" w:hAnsi="Arial"/>
          <w:sz w:val="21"/>
          <w:szCs w:val="21"/>
        </w:rPr>
        <w:t>n de los Bienes de la Concesión, en caso la empresa adjudicataria de la Concesión sea una ya establecida y con operaciones en curso; y,</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Sin perjuicio de lo establecido en los literales anteriores, el financiamiento de largo plazo que pudiera ser concertado por la Sociedad Concesionaria con posterioridad a la Puesta en Operación Comercial podrá</w:t>
      </w:r>
      <w:r w:rsidR="00C8730E">
        <w:rPr>
          <w:rFonts w:ascii="Arial" w:hAnsi="Arial"/>
          <w:sz w:val="21"/>
          <w:szCs w:val="21"/>
        </w:rPr>
        <w:t xml:space="preserve"> </w:t>
      </w:r>
      <w:r>
        <w:rPr>
          <w:rFonts w:ascii="Arial" w:hAnsi="Arial"/>
          <w:sz w:val="21"/>
          <w:szCs w:val="21"/>
        </w:rPr>
        <w:t>emplearse</w:t>
      </w:r>
      <w:r w:rsidR="00AC3581">
        <w:rPr>
          <w:rFonts w:ascii="Arial" w:hAnsi="Arial"/>
          <w:sz w:val="21"/>
          <w:szCs w:val="21"/>
        </w:rPr>
        <w:t>: (a)</w:t>
      </w:r>
      <w:r>
        <w:rPr>
          <w:rFonts w:ascii="Arial" w:hAnsi="Arial"/>
          <w:sz w:val="21"/>
          <w:szCs w:val="21"/>
        </w:rPr>
        <w:t>en pagar créditos puente y otros endeudamientos utilizados para la adquisición de Bienes de la Concesión, o para provisión de capital de trabajo destinado a la conducción de las actividades de la Sociedad Concesionaria; o, (b) en sustituir préstamos de accionistas o de Empresas Vinculadas, en concordancia con la reducción del riesgo del proyecto, y con estricta observación de los preceptos de prudencia financiera y de los parámetros de endeudamiento máximo consignados en los contratos de financiamiento suscritos.</w:t>
      </w:r>
    </w:p>
    <w:p w:rsidR="00785758" w:rsidRPr="004E5745" w:rsidRDefault="00785758"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4E5745">
        <w:rPr>
          <w:rFonts w:ascii="Arial" w:hAnsi="Arial"/>
          <w:sz w:val="21"/>
          <w:szCs w:val="21"/>
        </w:rPr>
        <w:t>Que ninguna de tales operaciones puede tener como efecto directo o indirecto eximir a la Sociedad Concesionaria de su obligación de cumplir por sí misma con todas y cada una de las disposiciones del Contrato y de las Leyes Aplicables.</w:t>
      </w:r>
    </w:p>
    <w:p w:rsidR="00785758" w:rsidRPr="004E5745" w:rsidRDefault="00632D4C"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t>E</w:t>
      </w:r>
      <w:r w:rsidR="00785758" w:rsidRPr="004E5745">
        <w:rPr>
          <w:rFonts w:ascii="Arial" w:hAnsi="Arial"/>
          <w:sz w:val="21"/>
          <w:szCs w:val="21"/>
        </w:rPr>
        <w:t xml:space="preserve">n caso de terminación del Contrato, </w:t>
      </w:r>
      <w:r w:rsidR="00D222B0" w:rsidRPr="004E5745">
        <w:rPr>
          <w:rFonts w:ascii="Arial" w:hAnsi="Arial"/>
          <w:color w:val="000000"/>
          <w:sz w:val="21"/>
          <w:szCs w:val="21"/>
        </w:rPr>
        <w:t xml:space="preserve">por vencimiento del plazo, </w:t>
      </w:r>
      <w:r w:rsidR="00785758" w:rsidRPr="004E5745">
        <w:rPr>
          <w:rFonts w:ascii="Arial" w:hAnsi="Arial"/>
          <w:sz w:val="21"/>
          <w:szCs w:val="21"/>
        </w:rPr>
        <w:t xml:space="preserve">la Sociedad Concesionaria y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Concedente, </w:t>
      </w:r>
      <w:r w:rsidR="0025372F" w:rsidRPr="004E5745">
        <w:rPr>
          <w:rFonts w:ascii="Arial" w:hAnsi="Arial"/>
          <w:sz w:val="21"/>
          <w:szCs w:val="21"/>
        </w:rPr>
        <w:t>aun</w:t>
      </w:r>
      <w:r w:rsidR="00785758" w:rsidRPr="004E5745">
        <w:rPr>
          <w:rFonts w:ascii="Arial" w:hAnsi="Arial"/>
          <w:sz w:val="21"/>
          <w:szCs w:val="21"/>
        </w:rPr>
        <w:t xml:space="preserve"> cuando subsista cualquier obligación pendiente debida por la Sociedad Concesionaria a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o terceros.</w:t>
      </w:r>
    </w:p>
    <w:p w:rsidR="00785758" w:rsidRPr="004E5745" w:rsidRDefault="00785758" w:rsidP="00AC3861">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podrán estipular:</w:t>
      </w:r>
    </w:p>
    <w:p w:rsidR="00785758" w:rsidRPr="004E5745" w:rsidRDefault="00785758" w:rsidP="00AC3861">
      <w:pPr>
        <w:pStyle w:val="BodyText22"/>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rPr>
          <w:rFonts w:ascii="Arial" w:hAnsi="Arial"/>
          <w:sz w:val="21"/>
          <w:szCs w:val="21"/>
        </w:rPr>
      </w:pPr>
      <w:r w:rsidRPr="004E5745">
        <w:rPr>
          <w:rFonts w:ascii="Arial" w:hAnsi="Arial"/>
          <w:sz w:val="21"/>
          <w:szCs w:val="21"/>
        </w:rPr>
        <w:t xml:space="preserve">Que si la Sociedad Concesionaria 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lo solicitan, el Concedente enviará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copia de las comunicaciones cursadas por el Concedente a la Sociedad Concesionaria, y le</w:t>
      </w:r>
      <w:r w:rsidR="001F7D9C">
        <w:rPr>
          <w:rFonts w:ascii="Arial" w:hAnsi="Arial"/>
          <w:sz w:val="21"/>
          <w:szCs w:val="21"/>
        </w:rPr>
        <w:t>s</w:t>
      </w:r>
      <w:r w:rsidRPr="004E5745">
        <w:rPr>
          <w:rFonts w:ascii="Arial" w:hAnsi="Arial"/>
          <w:sz w:val="21"/>
          <w:szCs w:val="21"/>
        </w:rPr>
        <w:t xml:space="preserve"> informará de cualquier hecho que </w:t>
      </w:r>
      <w:r w:rsidR="001F7D9C">
        <w:rPr>
          <w:rFonts w:ascii="Arial" w:hAnsi="Arial"/>
          <w:sz w:val="21"/>
          <w:szCs w:val="21"/>
        </w:rPr>
        <w:t>pudiera</w:t>
      </w:r>
      <w:r w:rsidR="001F7D9C" w:rsidRPr="004E5745">
        <w:rPr>
          <w:rFonts w:ascii="Arial" w:hAnsi="Arial"/>
          <w:sz w:val="21"/>
          <w:szCs w:val="21"/>
        </w:rPr>
        <w:t xml:space="preserve"> </w:t>
      </w:r>
      <w:r w:rsidRPr="004E5745">
        <w:rPr>
          <w:rFonts w:ascii="Arial" w:hAnsi="Arial"/>
          <w:sz w:val="21"/>
          <w:szCs w:val="21"/>
        </w:rPr>
        <w:t xml:space="preserve">ocasionar la terminación del Contrato.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indicarán al Concedente las comunicaciones cursadas a la Sociedad Concesionaria cuya copia solicitan.</w:t>
      </w:r>
    </w:p>
    <w:p w:rsidR="00253906" w:rsidRPr="004E5745" w:rsidRDefault="00785758" w:rsidP="00AC3861">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podrán solicitar al Concedente la sustitución de la Sociedad Concesionaria sin que haga falta el consentimiento de ésta, si por consideraciones financieras o de otra índole, perciben que tal sociedad no podrá cumplir con las obligaciones del Contrato o con e</w:t>
      </w:r>
      <w:r w:rsidR="00253906" w:rsidRPr="004E5745">
        <w:rPr>
          <w:rFonts w:ascii="Arial" w:hAnsi="Arial"/>
          <w:sz w:val="21"/>
          <w:szCs w:val="21"/>
        </w:rPr>
        <w:t>l pago de la deuda garantizada.</w:t>
      </w:r>
      <w:r w:rsidR="00E13DDB">
        <w:rPr>
          <w:rFonts w:ascii="Arial" w:hAnsi="Arial"/>
          <w:sz w:val="21"/>
          <w:szCs w:val="21"/>
        </w:rPr>
        <w:t xml:space="preserve"> Para tal efecto, se deberá cumplir lo siguiente:</w:t>
      </w:r>
    </w:p>
    <w:p w:rsidR="00020360" w:rsidRDefault="00D2502A" w:rsidP="004F6B32">
      <w:pPr>
        <w:pStyle w:val="Prrafodelista"/>
        <w:numPr>
          <w:ilvl w:val="0"/>
          <w:numId w:val="89"/>
        </w:numPr>
        <w:tabs>
          <w:tab w:val="clear" w:pos="567"/>
          <w:tab w:val="clear" w:pos="1134"/>
          <w:tab w:val="clear" w:pos="1701"/>
          <w:tab w:val="clear" w:pos="2268"/>
          <w:tab w:val="clear" w:pos="2835"/>
          <w:tab w:val="left" w:pos="1276"/>
        </w:tabs>
        <w:spacing w:before="80" w:line="257" w:lineRule="auto"/>
        <w:ind w:left="1276" w:hanging="283"/>
        <w:jc w:val="both"/>
        <w:rPr>
          <w:rFonts w:ascii="Arial" w:hAnsi="Arial"/>
          <w:sz w:val="21"/>
          <w:szCs w:val="21"/>
        </w:rPr>
      </w:pPr>
      <w:r>
        <w:rPr>
          <w:rFonts w:ascii="Arial" w:hAnsi="Arial"/>
          <w:sz w:val="21"/>
          <w:szCs w:val="21"/>
        </w:rPr>
        <w:br w:type="page"/>
      </w:r>
      <w:r w:rsidR="00920BA6">
        <w:rPr>
          <w:rFonts w:ascii="Arial" w:hAnsi="Arial"/>
          <w:sz w:val="21"/>
          <w:szCs w:val="21"/>
        </w:rPr>
        <w:lastRenderedPageBreak/>
        <w:t>L</w:t>
      </w:r>
      <w:r w:rsidR="00785758" w:rsidRPr="00020360">
        <w:rPr>
          <w:rFonts w:ascii="Arial" w:hAnsi="Arial"/>
          <w:sz w:val="21"/>
          <w:szCs w:val="21"/>
        </w:rPr>
        <w:t xml:space="preserve">os </w:t>
      </w:r>
      <w:r w:rsidR="003D7038" w:rsidRPr="00020360">
        <w:rPr>
          <w:rFonts w:ascii="Arial" w:hAnsi="Arial"/>
          <w:color w:val="000000"/>
          <w:sz w:val="21"/>
          <w:szCs w:val="21"/>
        </w:rPr>
        <w:t>A</w:t>
      </w:r>
      <w:r w:rsidR="00785758" w:rsidRPr="00020360">
        <w:rPr>
          <w:rFonts w:ascii="Arial" w:hAnsi="Arial"/>
          <w:color w:val="000000"/>
          <w:sz w:val="21"/>
          <w:szCs w:val="21"/>
        </w:rPr>
        <w:t>creedores</w:t>
      </w:r>
      <w:r w:rsidR="003D7038" w:rsidRPr="00020360">
        <w:rPr>
          <w:rFonts w:ascii="Arial" w:hAnsi="Arial"/>
          <w:color w:val="000000"/>
          <w:sz w:val="21"/>
          <w:szCs w:val="21"/>
        </w:rPr>
        <w:t xml:space="preserve"> Permitidos</w:t>
      </w:r>
      <w:r w:rsidR="00785758" w:rsidRPr="00020360">
        <w:rPr>
          <w:rFonts w:ascii="Arial" w:hAnsi="Arial"/>
          <w:sz w:val="21"/>
          <w:szCs w:val="21"/>
        </w:rPr>
        <w:t xml:space="preserve"> propondrán al Concedente una o más empresas con las calificaciones técnicas que cumplan, directamente o a través de Empresas Vinculadas, los requisitos de </w:t>
      </w:r>
      <w:r w:rsidR="00163688" w:rsidRPr="00020360">
        <w:rPr>
          <w:rFonts w:ascii="Arial" w:hAnsi="Arial"/>
          <w:sz w:val="21"/>
          <w:szCs w:val="21"/>
        </w:rPr>
        <w:t>Calificación</w:t>
      </w:r>
      <w:r w:rsidR="00785758" w:rsidRPr="00020360">
        <w:rPr>
          <w:rFonts w:ascii="Arial" w:hAnsi="Arial"/>
          <w:sz w:val="21"/>
          <w:szCs w:val="21"/>
        </w:rPr>
        <w:t xml:space="preserve"> que en su </w:t>
      </w:r>
      <w:r w:rsidR="001F7D9C" w:rsidRPr="00020360">
        <w:rPr>
          <w:rFonts w:ascii="Arial" w:hAnsi="Arial"/>
          <w:sz w:val="21"/>
          <w:szCs w:val="21"/>
        </w:rPr>
        <w:t xml:space="preserve">momento </w:t>
      </w:r>
      <w:r w:rsidR="00785758" w:rsidRPr="00020360">
        <w:rPr>
          <w:rFonts w:ascii="Arial" w:hAnsi="Arial"/>
          <w:sz w:val="21"/>
          <w:szCs w:val="21"/>
        </w:rPr>
        <w:t>se exigieron en el Concurso, para asumir la posición contractual de la Sociedad Concesionaria y garantizar la continuidad del Servicio.</w:t>
      </w:r>
    </w:p>
    <w:p w:rsidR="00785758" w:rsidRPr="00020360" w:rsidRDefault="00785758" w:rsidP="004F6B32">
      <w:pPr>
        <w:pStyle w:val="Prrafodelista"/>
        <w:numPr>
          <w:ilvl w:val="0"/>
          <w:numId w:val="89"/>
        </w:numPr>
        <w:tabs>
          <w:tab w:val="clear" w:pos="567"/>
          <w:tab w:val="clear" w:pos="1134"/>
          <w:tab w:val="clear" w:pos="1701"/>
          <w:tab w:val="clear" w:pos="2268"/>
          <w:tab w:val="clear" w:pos="2835"/>
          <w:tab w:val="left" w:pos="1276"/>
        </w:tabs>
        <w:spacing w:before="80" w:line="257" w:lineRule="auto"/>
        <w:ind w:left="1276" w:hanging="283"/>
        <w:jc w:val="both"/>
        <w:rPr>
          <w:rFonts w:ascii="Arial" w:hAnsi="Arial"/>
          <w:sz w:val="21"/>
          <w:szCs w:val="21"/>
        </w:rPr>
      </w:pPr>
      <w:r w:rsidRPr="00020360">
        <w:rPr>
          <w:rFonts w:ascii="Arial" w:hAnsi="Arial"/>
          <w:sz w:val="21"/>
          <w:szCs w:val="21"/>
        </w:rPr>
        <w:t xml:space="preserve">El Concedente no negará la sustitución sin causa razonable y contestará la solicitud en el plazo de treinta (30) Días. </w:t>
      </w:r>
      <w:r w:rsidR="00920BA6">
        <w:rPr>
          <w:rFonts w:ascii="Arial" w:hAnsi="Arial" w:cs="Arial"/>
          <w:sz w:val="21"/>
          <w:szCs w:val="21"/>
        </w:rPr>
        <w:t>Vencido dicho plazo, la solicitud se entenderá aceptada.</w:t>
      </w:r>
    </w:p>
    <w:p w:rsidR="00785758" w:rsidRPr="004E5745" w:rsidRDefault="00785758" w:rsidP="00D4498D">
      <w:pPr>
        <w:numPr>
          <w:ilvl w:val="0"/>
          <w:numId w:val="11"/>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tendrán el derecho de recibir las sumas de dinero a que hubiere lugar luego de la licitación de la Concesión, de acuerdo a la prelación estipulada en la </w:t>
      </w:r>
      <w:r w:rsidR="00313D11" w:rsidRPr="004E5745">
        <w:rPr>
          <w:rFonts w:ascii="Arial" w:hAnsi="Arial"/>
          <w:sz w:val="21"/>
          <w:szCs w:val="21"/>
        </w:rPr>
        <w:t>Cláusula</w:t>
      </w:r>
      <w:r w:rsidRPr="004E5745">
        <w:rPr>
          <w:rFonts w:ascii="Arial" w:hAnsi="Arial"/>
          <w:sz w:val="21"/>
          <w:szCs w:val="21"/>
        </w:rPr>
        <w:t xml:space="preserve"> 1</w:t>
      </w:r>
      <w:r w:rsidR="00020360">
        <w:rPr>
          <w:rFonts w:ascii="Arial" w:hAnsi="Arial"/>
          <w:sz w:val="21"/>
          <w:szCs w:val="21"/>
        </w:rPr>
        <w:t>3</w:t>
      </w:r>
      <w:r w:rsidRPr="004E5745">
        <w:rPr>
          <w:rFonts w:ascii="Arial" w:hAnsi="Arial"/>
          <w:sz w:val="21"/>
          <w:szCs w:val="21"/>
        </w:rPr>
        <w:t>.</w:t>
      </w:r>
    </w:p>
    <w:p w:rsidR="00785758" w:rsidRPr="004E574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entregará al Concedente copia de los </w:t>
      </w:r>
      <w:r w:rsidR="00402284" w:rsidRPr="004E5745">
        <w:rPr>
          <w:rFonts w:ascii="Arial" w:hAnsi="Arial"/>
          <w:sz w:val="21"/>
          <w:szCs w:val="21"/>
        </w:rPr>
        <w:t>c</w:t>
      </w:r>
      <w:r w:rsidRPr="004E5745">
        <w:rPr>
          <w:rFonts w:ascii="Arial" w:hAnsi="Arial"/>
          <w:sz w:val="21"/>
          <w:szCs w:val="21"/>
        </w:rPr>
        <w:t xml:space="preserve">ontratos respectivos con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fiduciarios y cualquier otra Persona que participe en la operación, así como de cualquier modificación o agregado a dichos </w:t>
      </w:r>
      <w:r w:rsidR="00402284" w:rsidRPr="004E5745">
        <w:rPr>
          <w:rFonts w:ascii="Arial" w:hAnsi="Arial"/>
          <w:sz w:val="21"/>
          <w:szCs w:val="21"/>
        </w:rPr>
        <w:t>c</w:t>
      </w:r>
      <w:r w:rsidRPr="004E5745">
        <w:rPr>
          <w:rFonts w:ascii="Arial" w:hAnsi="Arial"/>
          <w:sz w:val="21"/>
          <w:szCs w:val="21"/>
        </w:rPr>
        <w:t>ontratos que convenga posteriormente. Asimismo informará al Concedente semestralmente respecto de los saldos deudores con cada acreedor.</w:t>
      </w:r>
    </w:p>
    <w:p w:rsidR="009A33C9" w:rsidRPr="004E5745" w:rsidRDefault="009A33C9"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presente Contrato no contempla el otorgamiento o contratación de garantías financieras por parte del </w:t>
      </w:r>
      <w:r w:rsidR="00063AB3">
        <w:rPr>
          <w:rFonts w:ascii="Arial" w:hAnsi="Arial"/>
          <w:sz w:val="21"/>
          <w:szCs w:val="21"/>
        </w:rPr>
        <w:t>E</w:t>
      </w:r>
      <w:r w:rsidRPr="004E5745">
        <w:rPr>
          <w:rFonts w:ascii="Arial" w:hAnsi="Arial"/>
          <w:sz w:val="21"/>
          <w:szCs w:val="21"/>
        </w:rPr>
        <w:t>stado a favor de la Sociedad Concesionaria.</w:t>
      </w:r>
    </w:p>
    <w:p w:rsidR="00000716" w:rsidRPr="00477EAF" w:rsidRDefault="00785758" w:rsidP="00D4498D">
      <w:pPr>
        <w:pStyle w:val="BodyText22"/>
        <w:widowControl w:val="0"/>
        <w:tabs>
          <w:tab w:val="clear" w:pos="567"/>
          <w:tab w:val="clear" w:pos="1134"/>
          <w:tab w:val="clear" w:pos="1701"/>
          <w:tab w:val="clear" w:pos="2268"/>
          <w:tab w:val="clear" w:pos="2835"/>
        </w:tabs>
        <w:spacing w:before="360" w:after="240" w:line="257" w:lineRule="auto"/>
        <w:ind w:left="567" w:hanging="567"/>
        <w:rPr>
          <w:rFonts w:ascii="Arial" w:hAnsi="Arial"/>
          <w:sz w:val="21"/>
        </w:rPr>
      </w:pPr>
      <w:r w:rsidRPr="004E5745">
        <w:rPr>
          <w:rFonts w:ascii="Arial" w:hAnsi="Arial"/>
          <w:b/>
        </w:rPr>
        <w:t>10.</w:t>
      </w:r>
      <w:r w:rsidRPr="004E5745">
        <w:rPr>
          <w:rFonts w:ascii="Arial" w:hAnsi="Arial"/>
          <w:b/>
        </w:rPr>
        <w:tab/>
        <w:t>Responsabilidad contractual</w:t>
      </w:r>
    </w:p>
    <w:p w:rsidR="00785758" w:rsidRDefault="00B20963"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Pr>
          <w:rFonts w:ascii="Arial" w:hAnsi="Arial"/>
          <w:sz w:val="21"/>
          <w:szCs w:val="21"/>
        </w:rPr>
        <w:t xml:space="preserve">Para la etapa de construcción que abarca desde la fecha de Cierre hasta la Puesta en Operación Comercial </w:t>
      </w:r>
      <w:r w:rsidR="00020360">
        <w:rPr>
          <w:rFonts w:ascii="Arial" w:hAnsi="Arial"/>
          <w:sz w:val="21"/>
          <w:szCs w:val="21"/>
        </w:rPr>
        <w:t>n</w:t>
      </w:r>
      <w:r w:rsidR="00785758" w:rsidRPr="004E5745">
        <w:rPr>
          <w:rFonts w:ascii="Arial" w:hAnsi="Arial"/>
          <w:sz w:val="21"/>
          <w:szCs w:val="21"/>
        </w:rPr>
        <w:t>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La Fuerza Mayor no liberará a las Partes del cumplimiento de obligaciones que no sean afectadas por dichos eventos. La Parte que invoque la Fuerza Mayor deberá hacer sus mejores esfuerzos para asegurar la reiniciación de la actividad o prestación correspondiente en el menor tiempo posible después de la ocurrencia de dichos eventos.</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La Parte que invoque el evento de Fuerza Mayor deberá informar a la otra Parte sobre:</w:t>
      </w:r>
    </w:p>
    <w:p w:rsidR="00785758" w:rsidRPr="004E5745" w:rsidRDefault="00785758" w:rsidP="00D4498D">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4E5745">
        <w:rPr>
          <w:rFonts w:ascii="Arial" w:hAnsi="Arial"/>
          <w:sz w:val="21"/>
          <w:szCs w:val="21"/>
        </w:rPr>
        <w:t>Los hechos que constituyen dicho evento de Fuerza Mayor, dentro de las siguientes setenta y dos (72) horas de haber ocurrido o haberse enterado, según sea el caso; y</w:t>
      </w:r>
    </w:p>
    <w:p w:rsidR="00785758" w:rsidRPr="004E5745" w:rsidRDefault="00785758" w:rsidP="00D4498D">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4E5745">
        <w:rPr>
          <w:rFonts w:ascii="Arial" w:hAnsi="Arial"/>
          <w:sz w:val="21"/>
          <w:szCs w:val="21"/>
        </w:rPr>
        <w:t>El período estimado de restricción total o parcial de sus actividades y el grado de impacto previsto. Adicionalmente, deberá mantener a la otra Parte informada sobre el desarrollo de dichos eventos.</w:t>
      </w:r>
    </w:p>
    <w:p w:rsidR="001F7E77" w:rsidRDefault="00D2502A" w:rsidP="00D2502A">
      <w:pPr>
        <w:spacing w:before="120" w:line="250" w:lineRule="auto"/>
        <w:ind w:left="567"/>
        <w:jc w:val="both"/>
        <w:rPr>
          <w:rFonts w:ascii="Arial" w:hAnsi="Arial"/>
          <w:color w:val="000000"/>
          <w:sz w:val="21"/>
          <w:szCs w:val="21"/>
        </w:rPr>
      </w:pPr>
      <w:r>
        <w:rPr>
          <w:rFonts w:ascii="Arial" w:hAnsi="Arial"/>
          <w:color w:val="000000"/>
          <w:sz w:val="21"/>
          <w:szCs w:val="21"/>
        </w:rPr>
        <w:br w:type="page"/>
      </w:r>
      <w:r w:rsidR="001F7E77" w:rsidRPr="004E5745">
        <w:rPr>
          <w:rFonts w:ascii="Arial" w:hAnsi="Arial"/>
          <w:color w:val="000000"/>
          <w:sz w:val="21"/>
          <w:szCs w:val="21"/>
        </w:rPr>
        <w:lastRenderedPageBreak/>
        <w:t>Asimismo, la Sociedad Concesionaria podrá solicitar</w:t>
      </w:r>
      <w:r w:rsidR="003D7038" w:rsidRPr="004E5745">
        <w:rPr>
          <w:rFonts w:ascii="Arial" w:hAnsi="Arial"/>
          <w:color w:val="000000"/>
          <w:sz w:val="21"/>
          <w:szCs w:val="21"/>
        </w:rPr>
        <w:t xml:space="preserve"> por causal de fuerza mayor</w:t>
      </w:r>
      <w:r w:rsidR="001F7E77" w:rsidRPr="004E5745">
        <w:rPr>
          <w:rFonts w:ascii="Arial" w:hAnsi="Arial"/>
          <w:color w:val="000000"/>
          <w:sz w:val="21"/>
          <w:szCs w:val="21"/>
        </w:rPr>
        <w:t xml:space="preserve">, si las circunstancias así lo requieran, la suspensión del plazo de la concesión. </w:t>
      </w:r>
      <w:r w:rsidR="00BA1BED" w:rsidRPr="004E5745">
        <w:rPr>
          <w:rFonts w:ascii="Arial" w:hAnsi="Arial"/>
          <w:color w:val="000000"/>
          <w:sz w:val="21"/>
          <w:szCs w:val="21"/>
        </w:rPr>
        <w:t xml:space="preserve">La suspensión del plazo deberá ser acordada entre las Partes. </w:t>
      </w:r>
      <w:r w:rsidR="001F7E77" w:rsidRPr="004E5745">
        <w:rPr>
          <w:rFonts w:ascii="Arial" w:hAnsi="Arial"/>
          <w:color w:val="000000"/>
          <w:sz w:val="21"/>
          <w:szCs w:val="21"/>
        </w:rPr>
        <w:t xml:space="preserve">En </w:t>
      </w:r>
      <w:r w:rsidR="00BA1BED" w:rsidRPr="004E5745">
        <w:rPr>
          <w:rFonts w:ascii="Arial" w:hAnsi="Arial"/>
          <w:color w:val="000000"/>
          <w:sz w:val="21"/>
          <w:szCs w:val="21"/>
        </w:rPr>
        <w:t xml:space="preserve">dicho </w:t>
      </w:r>
      <w:r w:rsidR="001F7E77" w:rsidRPr="004E5745">
        <w:rPr>
          <w:rFonts w:ascii="Arial" w:hAnsi="Arial"/>
          <w:color w:val="000000"/>
          <w:sz w:val="21"/>
          <w:szCs w:val="21"/>
        </w:rPr>
        <w:t>caso</w:t>
      </w:r>
      <w:r w:rsidR="00BA1BED" w:rsidRPr="004E5745">
        <w:rPr>
          <w:rFonts w:ascii="Arial" w:hAnsi="Arial"/>
          <w:color w:val="000000"/>
          <w:sz w:val="21"/>
          <w:szCs w:val="21"/>
        </w:rPr>
        <w:t>,</w:t>
      </w:r>
      <w:r w:rsidR="001F7E77" w:rsidRPr="004E5745">
        <w:rPr>
          <w:rFonts w:ascii="Arial" w:hAnsi="Arial"/>
          <w:color w:val="000000"/>
          <w:sz w:val="21"/>
          <w:szCs w:val="21"/>
        </w:rPr>
        <w:t xml:space="preserve"> se </w:t>
      </w:r>
      <w:r w:rsidR="00BA1BED" w:rsidRPr="004E5745">
        <w:rPr>
          <w:rFonts w:ascii="Arial" w:hAnsi="Arial"/>
          <w:color w:val="000000"/>
          <w:sz w:val="21"/>
          <w:szCs w:val="21"/>
        </w:rPr>
        <w:t xml:space="preserve">extenderá el </w:t>
      </w:r>
      <w:r w:rsidR="001F7E77" w:rsidRPr="004E5745">
        <w:rPr>
          <w:rFonts w:ascii="Arial" w:hAnsi="Arial"/>
          <w:color w:val="000000"/>
          <w:sz w:val="21"/>
          <w:szCs w:val="21"/>
        </w:rPr>
        <w:t xml:space="preserve">plazo de la concesión </w:t>
      </w:r>
      <w:r w:rsidR="00BA1BED" w:rsidRPr="004E5745">
        <w:rPr>
          <w:rFonts w:ascii="Arial" w:hAnsi="Arial"/>
          <w:color w:val="000000"/>
          <w:sz w:val="21"/>
          <w:szCs w:val="21"/>
        </w:rPr>
        <w:t>por un plazo igual al plazo estipulado para la suspensión.</w:t>
      </w:r>
    </w:p>
    <w:p w:rsidR="00020360" w:rsidRDefault="00785758" w:rsidP="00D2502A">
      <w:pPr>
        <w:pStyle w:val="BodyText22"/>
        <w:widowControl w:val="0"/>
        <w:numPr>
          <w:ilvl w:val="1"/>
          <w:numId w:val="13"/>
        </w:numPr>
        <w:tabs>
          <w:tab w:val="clear" w:pos="570"/>
          <w:tab w:val="clear" w:pos="1134"/>
          <w:tab w:val="clear" w:pos="1701"/>
          <w:tab w:val="clear" w:pos="2268"/>
          <w:tab w:val="clear" w:pos="2835"/>
          <w:tab w:val="left" w:pos="567"/>
        </w:tabs>
        <w:spacing w:before="100" w:line="250" w:lineRule="auto"/>
        <w:ind w:left="567" w:hanging="567"/>
        <w:rPr>
          <w:rFonts w:ascii="Arial" w:hAnsi="Arial"/>
          <w:sz w:val="21"/>
          <w:szCs w:val="21"/>
        </w:rPr>
      </w:pPr>
      <w:r w:rsidRPr="004E5745">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4</w:t>
      </w:r>
      <w:r w:rsidRPr="004E5745">
        <w:rPr>
          <w:rFonts w:ascii="Arial" w:hAnsi="Arial"/>
          <w:sz w:val="21"/>
          <w:szCs w:val="21"/>
        </w:rPr>
        <w:t>.</w:t>
      </w:r>
    </w:p>
    <w:p w:rsidR="00785758" w:rsidRPr="004E5745" w:rsidRDefault="00AA7DA8" w:rsidP="00D2502A">
      <w:pPr>
        <w:pStyle w:val="BodyText22"/>
        <w:widowControl w:val="0"/>
        <w:numPr>
          <w:ilvl w:val="1"/>
          <w:numId w:val="13"/>
        </w:numPr>
        <w:tabs>
          <w:tab w:val="clear" w:pos="570"/>
          <w:tab w:val="clear" w:pos="1134"/>
          <w:tab w:val="clear" w:pos="1701"/>
          <w:tab w:val="clear" w:pos="2268"/>
          <w:tab w:val="clear" w:pos="2835"/>
          <w:tab w:val="left" w:pos="567"/>
        </w:tabs>
        <w:spacing w:before="80" w:line="250" w:lineRule="auto"/>
        <w:ind w:left="567" w:hanging="567"/>
        <w:rPr>
          <w:rFonts w:ascii="Arial" w:hAnsi="Arial"/>
          <w:sz w:val="21"/>
          <w:szCs w:val="21"/>
        </w:rPr>
      </w:pPr>
      <w:r>
        <w:rPr>
          <w:rFonts w:ascii="Arial" w:hAnsi="Arial"/>
          <w:sz w:val="21"/>
          <w:szCs w:val="21"/>
        </w:rPr>
        <w:t>Para la etapa de operación que se inicia con la Puesta en Operación Comercial, corresponderá que</w:t>
      </w:r>
      <w:r w:rsidR="00632D4C">
        <w:rPr>
          <w:rFonts w:ascii="Arial" w:hAnsi="Arial"/>
          <w:sz w:val="21"/>
          <w:szCs w:val="21"/>
        </w:rPr>
        <w:t xml:space="preserve"> l</w:t>
      </w:r>
      <w:r w:rsidR="00785758" w:rsidRPr="004E5745">
        <w:rPr>
          <w:rFonts w:ascii="Arial" w:hAnsi="Arial"/>
          <w:sz w:val="21"/>
          <w:szCs w:val="21"/>
        </w:rPr>
        <w:t xml:space="preserve">a evaluación de la variación temporal de las condiciones de suministro por causa de </w:t>
      </w:r>
      <w:r w:rsidR="00402284" w:rsidRPr="004E5745">
        <w:rPr>
          <w:rFonts w:ascii="Arial" w:hAnsi="Arial"/>
          <w:sz w:val="21"/>
          <w:szCs w:val="21"/>
        </w:rPr>
        <w:t>f</w:t>
      </w:r>
      <w:r w:rsidR="00785758" w:rsidRPr="004E5745">
        <w:rPr>
          <w:rFonts w:ascii="Arial" w:hAnsi="Arial"/>
          <w:sz w:val="21"/>
          <w:szCs w:val="21"/>
        </w:rPr>
        <w:t xml:space="preserve">uerza </w:t>
      </w:r>
      <w:r w:rsidR="00402284" w:rsidRPr="004E5745">
        <w:rPr>
          <w:rFonts w:ascii="Arial" w:hAnsi="Arial"/>
          <w:sz w:val="21"/>
          <w:szCs w:val="21"/>
        </w:rPr>
        <w:t>mayor, caso fortuito u otras</w:t>
      </w:r>
      <w:r w:rsidR="00785758" w:rsidRPr="004E5745">
        <w:rPr>
          <w:rFonts w:ascii="Arial" w:hAnsi="Arial"/>
          <w:sz w:val="21"/>
          <w:szCs w:val="21"/>
        </w:rPr>
        <w:t>, se r</w:t>
      </w:r>
      <w:r w:rsidR="00780C5C">
        <w:rPr>
          <w:rFonts w:ascii="Arial" w:hAnsi="Arial"/>
          <w:sz w:val="21"/>
          <w:szCs w:val="21"/>
        </w:rPr>
        <w:t>egirá</w:t>
      </w:r>
      <w:r w:rsidR="00785758" w:rsidRPr="004E5745">
        <w:rPr>
          <w:rFonts w:ascii="Arial" w:hAnsi="Arial"/>
          <w:sz w:val="21"/>
          <w:szCs w:val="21"/>
        </w:rPr>
        <w:t xml:space="preserve"> por las directivas aprobadas con tal fin por </w:t>
      </w:r>
      <w:r w:rsidR="00F20FDB">
        <w:rPr>
          <w:rFonts w:ascii="Arial" w:hAnsi="Arial"/>
          <w:sz w:val="21"/>
          <w:szCs w:val="21"/>
        </w:rPr>
        <w:t xml:space="preserve">el </w:t>
      </w:r>
      <w:r w:rsidR="00785758" w:rsidRPr="004E5745">
        <w:rPr>
          <w:rFonts w:ascii="Arial" w:hAnsi="Arial"/>
          <w:sz w:val="21"/>
          <w:szCs w:val="21"/>
        </w:rPr>
        <w:t>OSINERGMIN y las Leyes Aplicables.</w:t>
      </w:r>
    </w:p>
    <w:p w:rsidR="00785758" w:rsidRPr="004E5745" w:rsidRDefault="00785758" w:rsidP="00D2502A">
      <w:pPr>
        <w:pStyle w:val="Textoindependiente"/>
        <w:spacing w:before="60" w:line="250" w:lineRule="auto"/>
        <w:ind w:left="567" w:right="0"/>
        <w:rPr>
          <w:sz w:val="21"/>
          <w:szCs w:val="21"/>
          <w:lang w:val="es-PE"/>
        </w:rPr>
      </w:pPr>
      <w:r w:rsidRPr="004E5745">
        <w:rPr>
          <w:sz w:val="21"/>
          <w:szCs w:val="21"/>
          <w:lang w:val="es-PE"/>
        </w:rPr>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000716" w:rsidRPr="00AA7DA8" w:rsidRDefault="00AA7DA8" w:rsidP="00D2502A">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sz w:val="21"/>
          <w:szCs w:val="21"/>
        </w:rPr>
      </w:pPr>
      <w:r w:rsidRPr="00632D4C">
        <w:rPr>
          <w:rFonts w:ascii="Arial" w:hAnsi="Arial"/>
          <w:sz w:val="21"/>
          <w:szCs w:val="21"/>
        </w:rPr>
        <w:t>En todo aquello no previsto por las directivas aprobadas por el O</w:t>
      </w:r>
      <w:r w:rsidR="001A35F6" w:rsidRPr="00632D4C">
        <w:rPr>
          <w:rFonts w:ascii="Arial" w:hAnsi="Arial"/>
          <w:sz w:val="21"/>
          <w:szCs w:val="21"/>
        </w:rPr>
        <w:t>SINERGMIN</w:t>
      </w:r>
      <w:r w:rsidRPr="00632D4C">
        <w:rPr>
          <w:rFonts w:ascii="Arial" w:hAnsi="Arial"/>
          <w:sz w:val="21"/>
          <w:szCs w:val="21"/>
        </w:rPr>
        <w:t>, se aplicará lo dispuesto e</w:t>
      </w:r>
      <w:r w:rsidR="001A35F6">
        <w:rPr>
          <w:rFonts w:ascii="Arial" w:hAnsi="Arial"/>
          <w:sz w:val="21"/>
          <w:szCs w:val="21"/>
        </w:rPr>
        <w:t>n</w:t>
      </w:r>
      <w:r w:rsidRPr="00632D4C">
        <w:rPr>
          <w:rFonts w:ascii="Arial" w:hAnsi="Arial"/>
          <w:sz w:val="21"/>
          <w:szCs w:val="21"/>
        </w:rPr>
        <w:t xml:space="preserve"> los </w:t>
      </w:r>
      <w:r w:rsidR="00AC3581">
        <w:rPr>
          <w:rFonts w:ascii="Arial" w:hAnsi="Arial"/>
          <w:sz w:val="21"/>
          <w:szCs w:val="21"/>
        </w:rPr>
        <w:t>N</w:t>
      </w:r>
      <w:r w:rsidRPr="00632D4C">
        <w:rPr>
          <w:rFonts w:ascii="Arial" w:hAnsi="Arial"/>
          <w:sz w:val="21"/>
          <w:szCs w:val="21"/>
        </w:rPr>
        <w:t>umerales 10.1 al 10.5, según corresponda.</w:t>
      </w:r>
    </w:p>
    <w:p w:rsidR="00000716" w:rsidRPr="001A35F6" w:rsidRDefault="00000716" w:rsidP="00D2502A">
      <w:pPr>
        <w:pStyle w:val="Textoindependiente"/>
        <w:tabs>
          <w:tab w:val="clear" w:pos="0"/>
        </w:tabs>
        <w:spacing w:before="360" w:after="240" w:line="250" w:lineRule="auto"/>
        <w:ind w:left="567" w:right="0" w:hanging="567"/>
        <w:rPr>
          <w:b/>
        </w:rPr>
      </w:pPr>
      <w:r w:rsidRPr="001A35F6">
        <w:rPr>
          <w:b/>
        </w:rPr>
        <w:t>11.</w:t>
      </w:r>
      <w:r w:rsidR="001A35F6">
        <w:rPr>
          <w:b/>
        </w:rPr>
        <w:tab/>
      </w:r>
      <w:r w:rsidRPr="001A35F6">
        <w:rPr>
          <w:b/>
        </w:rPr>
        <w:t>Penalidades</w:t>
      </w:r>
    </w:p>
    <w:p w:rsidR="00785758" w:rsidRPr="00632D4C" w:rsidRDefault="00785758" w:rsidP="004F6B32">
      <w:pPr>
        <w:pStyle w:val="Prrafodelista"/>
        <w:numPr>
          <w:ilvl w:val="0"/>
          <w:numId w:val="84"/>
        </w:numPr>
        <w:tabs>
          <w:tab w:val="clear" w:pos="567"/>
          <w:tab w:val="clear" w:pos="1134"/>
          <w:tab w:val="clear" w:pos="1701"/>
          <w:tab w:val="clear" w:pos="2268"/>
          <w:tab w:val="clear" w:pos="2835"/>
        </w:tabs>
        <w:spacing w:line="250" w:lineRule="auto"/>
        <w:ind w:left="567" w:hanging="567"/>
        <w:jc w:val="both"/>
        <w:rPr>
          <w:rFonts w:ascii="Arial" w:hAnsi="Arial"/>
          <w:sz w:val="21"/>
          <w:szCs w:val="21"/>
        </w:rPr>
      </w:pPr>
      <w:r w:rsidRPr="00632D4C">
        <w:rPr>
          <w:rFonts w:ascii="Arial" w:hAnsi="Arial"/>
          <w:sz w:val="21"/>
          <w:szCs w:val="21"/>
        </w:rPr>
        <w:t xml:space="preserve">Por </w:t>
      </w:r>
      <w:r w:rsidR="00155B27" w:rsidRPr="00632D4C">
        <w:rPr>
          <w:rFonts w:ascii="Arial" w:hAnsi="Arial"/>
          <w:sz w:val="21"/>
          <w:szCs w:val="21"/>
        </w:rPr>
        <w:t xml:space="preserve">cada </w:t>
      </w:r>
      <w:r w:rsidRPr="00632D4C">
        <w:rPr>
          <w:rFonts w:ascii="Arial" w:hAnsi="Arial"/>
          <w:sz w:val="21"/>
          <w:szCs w:val="21"/>
        </w:rPr>
        <w:t xml:space="preserve">día calendario de atraso en el </w:t>
      </w:r>
      <w:r w:rsidR="0080718E" w:rsidRPr="00632D4C">
        <w:rPr>
          <w:rFonts w:ascii="Arial" w:hAnsi="Arial"/>
          <w:color w:val="000000"/>
          <w:sz w:val="21"/>
          <w:szCs w:val="21"/>
        </w:rPr>
        <w:t>inicio</w:t>
      </w:r>
      <w:r w:rsidR="00CC4916" w:rsidRPr="00632D4C">
        <w:rPr>
          <w:rFonts w:ascii="Arial" w:hAnsi="Arial"/>
          <w:sz w:val="21"/>
          <w:szCs w:val="21"/>
        </w:rPr>
        <w:t xml:space="preserve"> de </w:t>
      </w:r>
      <w:r w:rsidR="00DC79F3" w:rsidRPr="00632D4C">
        <w:rPr>
          <w:rFonts w:ascii="Arial" w:hAnsi="Arial"/>
          <w:color w:val="000000"/>
          <w:sz w:val="21"/>
          <w:szCs w:val="21"/>
        </w:rPr>
        <w:t xml:space="preserve">la Puesta en Operación Comercial, según </w:t>
      </w:r>
      <w:r w:rsidR="00CC4916" w:rsidRPr="00632D4C">
        <w:rPr>
          <w:rFonts w:ascii="Arial" w:hAnsi="Arial"/>
          <w:color w:val="000000"/>
          <w:sz w:val="21"/>
          <w:szCs w:val="21"/>
        </w:rPr>
        <w:t>lo señalado</w:t>
      </w:r>
      <w:r w:rsidR="00CC4916" w:rsidRPr="00632D4C">
        <w:rPr>
          <w:rFonts w:ascii="Arial" w:hAnsi="Arial"/>
          <w:sz w:val="21"/>
          <w:szCs w:val="21"/>
        </w:rPr>
        <w:t xml:space="preserve"> en el Anexo </w:t>
      </w:r>
      <w:r w:rsidR="00F31280" w:rsidRPr="00632D4C">
        <w:rPr>
          <w:rFonts w:ascii="Arial" w:hAnsi="Arial"/>
          <w:sz w:val="21"/>
          <w:szCs w:val="21"/>
        </w:rPr>
        <w:t xml:space="preserve">Nº </w:t>
      </w:r>
      <w:r w:rsidR="00CC4916" w:rsidRPr="00632D4C">
        <w:rPr>
          <w:rFonts w:ascii="Arial" w:hAnsi="Arial"/>
          <w:sz w:val="21"/>
          <w:szCs w:val="21"/>
        </w:rPr>
        <w:t>7</w:t>
      </w:r>
      <w:r w:rsidR="00AE7338">
        <w:rPr>
          <w:rFonts w:ascii="Arial" w:hAnsi="Arial"/>
          <w:sz w:val="21"/>
          <w:szCs w:val="21"/>
        </w:rPr>
        <w:t xml:space="preserve"> y teniendo en consideración las extensiones de plazo contempladas de acuerdo a la Cláusula 4.3,</w:t>
      </w:r>
      <w:r w:rsidRPr="00632D4C">
        <w:rPr>
          <w:rFonts w:ascii="Arial" w:hAnsi="Arial"/>
          <w:sz w:val="21"/>
          <w:szCs w:val="21"/>
        </w:rPr>
        <w:t xml:space="preserve"> la Sociedad Concesionaria deberá pagar al Concedente, una </w:t>
      </w:r>
      <w:r w:rsidR="0095761E" w:rsidRPr="00632D4C">
        <w:rPr>
          <w:rFonts w:ascii="Arial" w:hAnsi="Arial"/>
          <w:sz w:val="21"/>
          <w:szCs w:val="21"/>
        </w:rPr>
        <w:t xml:space="preserve">penalidad </w:t>
      </w:r>
      <w:r w:rsidRPr="00632D4C">
        <w:rPr>
          <w:rFonts w:ascii="Arial" w:hAnsi="Arial"/>
          <w:sz w:val="21"/>
          <w:szCs w:val="21"/>
        </w:rPr>
        <w:t>que se calculará del siguiente modo:</w:t>
      </w:r>
    </w:p>
    <w:p w:rsidR="00785758" w:rsidRPr="004E5745"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61185F">
        <w:rPr>
          <w:rFonts w:ascii="Arial" w:hAnsi="Arial"/>
          <w:sz w:val="21"/>
          <w:szCs w:val="21"/>
        </w:rPr>
        <w:t>25</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61185F">
        <w:rPr>
          <w:rFonts w:ascii="Arial" w:hAnsi="Arial"/>
          <w:sz w:val="21"/>
          <w:szCs w:val="21"/>
        </w:rPr>
        <w:t>Veinticinco</w:t>
      </w:r>
      <w:r w:rsidR="00573C67">
        <w:rPr>
          <w:rFonts w:ascii="Arial" w:hAnsi="Arial"/>
          <w:sz w:val="21"/>
          <w:szCs w:val="21"/>
        </w:rPr>
        <w:t xml:space="preserve"> </w:t>
      </w:r>
      <w:r w:rsidR="009A4C12">
        <w:rPr>
          <w:rFonts w:ascii="Arial" w:hAnsi="Arial"/>
          <w:sz w:val="21"/>
          <w:szCs w:val="21"/>
        </w:rPr>
        <w:t>m</w:t>
      </w:r>
      <w:r w:rsidR="00694919" w:rsidRPr="004E5745">
        <w:rPr>
          <w:rFonts w:ascii="Arial" w:hAnsi="Arial"/>
          <w:sz w:val="21"/>
          <w:szCs w:val="21"/>
        </w:rPr>
        <w:t>il</w:t>
      </w:r>
      <w:r w:rsidR="009A4C12">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por </w:t>
      </w:r>
      <w:r w:rsidR="006178FD" w:rsidRPr="004E5745">
        <w:rPr>
          <w:rFonts w:ascii="Arial" w:hAnsi="Arial"/>
          <w:sz w:val="21"/>
          <w:szCs w:val="21"/>
        </w:rPr>
        <w:t xml:space="preserve">cada uno de </w:t>
      </w:r>
      <w:r w:rsidRPr="004E5745">
        <w:rPr>
          <w:rFonts w:ascii="Arial" w:hAnsi="Arial"/>
          <w:sz w:val="21"/>
          <w:szCs w:val="21"/>
        </w:rPr>
        <w:t>los primeros treinta (30) días calendario de atraso.</w:t>
      </w:r>
    </w:p>
    <w:p w:rsidR="00785758" w:rsidRPr="004E5745"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61185F">
        <w:rPr>
          <w:rFonts w:ascii="Arial" w:hAnsi="Arial"/>
          <w:sz w:val="21"/>
          <w:szCs w:val="21"/>
        </w:rPr>
        <w:t>50</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A94720">
        <w:rPr>
          <w:rFonts w:ascii="Arial" w:hAnsi="Arial"/>
          <w:sz w:val="21"/>
          <w:szCs w:val="21"/>
        </w:rPr>
        <w:t>Ci</w:t>
      </w:r>
      <w:r w:rsidR="0061185F">
        <w:rPr>
          <w:rFonts w:ascii="Arial" w:hAnsi="Arial"/>
          <w:sz w:val="21"/>
          <w:szCs w:val="21"/>
        </w:rPr>
        <w:t>ncuenta</w:t>
      </w:r>
      <w:r w:rsidR="009A4C12">
        <w:rPr>
          <w:rFonts w:ascii="Arial" w:hAnsi="Arial"/>
          <w:sz w:val="21"/>
          <w:szCs w:val="21"/>
        </w:rPr>
        <w:t xml:space="preserve"> mil</w:t>
      </w:r>
      <w:r w:rsidR="00694919"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treinta (30) días calendario de atraso subsiguientes al período señalado en a).</w:t>
      </w:r>
    </w:p>
    <w:p w:rsidR="00785758"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61185F">
        <w:rPr>
          <w:rFonts w:ascii="Arial" w:hAnsi="Arial"/>
          <w:sz w:val="21"/>
          <w:szCs w:val="21"/>
        </w:rPr>
        <w:t>75</w:t>
      </w:r>
      <w:r w:rsidR="007404D7">
        <w:rPr>
          <w:rFonts w:ascii="Arial" w:hAnsi="Arial"/>
          <w:sz w:val="21"/>
          <w:szCs w:val="21"/>
        </w:rPr>
        <w:t>,</w:t>
      </w:r>
      <w:r w:rsidR="00A94720">
        <w:rPr>
          <w:rFonts w:ascii="Arial" w:hAnsi="Arial"/>
          <w:sz w:val="21"/>
          <w:szCs w:val="21"/>
        </w:rPr>
        <w:t>0</w:t>
      </w:r>
      <w:r w:rsidRPr="004E5745">
        <w:rPr>
          <w:rFonts w:ascii="Arial" w:hAnsi="Arial"/>
          <w:sz w:val="21"/>
          <w:szCs w:val="21"/>
        </w:rPr>
        <w:t>00</w:t>
      </w:r>
      <w:r w:rsidR="007404D7">
        <w:rPr>
          <w:rFonts w:ascii="Arial" w:hAnsi="Arial"/>
          <w:sz w:val="21"/>
          <w:szCs w:val="21"/>
        </w:rPr>
        <w:t>.</w:t>
      </w:r>
      <w:r w:rsidRPr="004E5745">
        <w:rPr>
          <w:rFonts w:ascii="Arial" w:hAnsi="Arial"/>
          <w:sz w:val="21"/>
          <w:szCs w:val="21"/>
        </w:rPr>
        <w:t>00 (</w:t>
      </w:r>
      <w:r w:rsidR="0061185F">
        <w:rPr>
          <w:rFonts w:ascii="Arial" w:hAnsi="Arial"/>
          <w:sz w:val="21"/>
          <w:szCs w:val="21"/>
        </w:rPr>
        <w:t>Setenta y cinco</w:t>
      </w:r>
      <w:r w:rsidR="009A4C12">
        <w:rPr>
          <w:rFonts w:ascii="Arial" w:hAnsi="Arial"/>
          <w:sz w:val="21"/>
          <w:szCs w:val="21"/>
        </w:rPr>
        <w:t xml:space="preserve"> mil</w:t>
      </w:r>
      <w:r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noventa (90) días calendario de atraso subsiguientes al período señalado en b).</w:t>
      </w:r>
    </w:p>
    <w:p w:rsidR="00785758" w:rsidRPr="004E5745" w:rsidRDefault="00785758" w:rsidP="004F6B32">
      <w:pPr>
        <w:pStyle w:val="Prrafodelista"/>
        <w:numPr>
          <w:ilvl w:val="0"/>
          <w:numId w:val="84"/>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Los supuestos de incumplimiento 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xml:space="preserve">, provocarán la obligación de pagar la </w:t>
      </w:r>
      <w:r w:rsidR="0095761E">
        <w:rPr>
          <w:rFonts w:ascii="Arial" w:hAnsi="Arial"/>
          <w:sz w:val="21"/>
          <w:szCs w:val="21"/>
        </w:rPr>
        <w:t>penalidad</w:t>
      </w:r>
      <w:r w:rsidR="0095761E" w:rsidRPr="004E5745">
        <w:rPr>
          <w:rFonts w:ascii="Arial" w:hAnsi="Arial"/>
          <w:sz w:val="21"/>
          <w:szCs w:val="21"/>
        </w:rPr>
        <w:t xml:space="preserve"> </w:t>
      </w:r>
      <w:r w:rsidRPr="004E5745">
        <w:rPr>
          <w:rFonts w:ascii="Arial" w:hAnsi="Arial"/>
          <w:sz w:val="21"/>
          <w:szCs w:val="21"/>
        </w:rPr>
        <w:t>respectiva, sin que haga falta una intimación previa</w:t>
      </w:r>
      <w:r w:rsidR="00B221C0" w:rsidRPr="004E5745">
        <w:rPr>
          <w:rFonts w:ascii="Arial" w:hAnsi="Arial"/>
          <w:sz w:val="21"/>
          <w:szCs w:val="21"/>
        </w:rPr>
        <w:t>, y su</w:t>
      </w:r>
      <w:r w:rsidR="00BC0C7F">
        <w:rPr>
          <w:rFonts w:ascii="Arial" w:hAnsi="Arial"/>
          <w:sz w:val="21"/>
          <w:szCs w:val="21"/>
        </w:rPr>
        <w:t xml:space="preserve"> </w:t>
      </w:r>
      <w:r w:rsidRPr="004E5745">
        <w:rPr>
          <w:rFonts w:ascii="Arial" w:hAnsi="Arial"/>
          <w:sz w:val="21"/>
          <w:szCs w:val="21"/>
        </w:rPr>
        <w:t>pago no comport</w:t>
      </w:r>
      <w:r w:rsidR="00BC0C7F">
        <w:rPr>
          <w:rFonts w:ascii="Arial" w:hAnsi="Arial"/>
          <w:sz w:val="21"/>
          <w:szCs w:val="21"/>
        </w:rPr>
        <w:t xml:space="preserve">e </w:t>
      </w:r>
      <w:r w:rsidRPr="004E5745">
        <w:rPr>
          <w:rFonts w:ascii="Arial" w:hAnsi="Arial"/>
          <w:sz w:val="21"/>
          <w:szCs w:val="21"/>
        </w:rPr>
        <w:t xml:space="preserve"> la liberación de la Sociedad Concesionaria de cumplir la obligación respectiva. </w:t>
      </w:r>
    </w:p>
    <w:p w:rsidR="00785758" w:rsidRDefault="00785758" w:rsidP="004F6B32">
      <w:pPr>
        <w:pStyle w:val="Prrafodelista"/>
        <w:numPr>
          <w:ilvl w:val="0"/>
          <w:numId w:val="84"/>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El pago de las </w:t>
      </w:r>
      <w:r w:rsidR="0095761E">
        <w:rPr>
          <w:rFonts w:ascii="Arial" w:hAnsi="Arial"/>
          <w:sz w:val="21"/>
          <w:szCs w:val="21"/>
        </w:rPr>
        <w:t>penalidades</w:t>
      </w:r>
      <w:r w:rsidR="0095761E" w:rsidRPr="004E5745">
        <w:rPr>
          <w:rFonts w:ascii="Arial" w:hAnsi="Arial"/>
          <w:sz w:val="21"/>
          <w:szCs w:val="21"/>
        </w:rPr>
        <w:t xml:space="preserve"> </w:t>
      </w:r>
      <w:r w:rsidRPr="004E5745">
        <w:rPr>
          <w:rFonts w:ascii="Arial" w:hAnsi="Arial"/>
          <w:sz w:val="21"/>
          <w:szCs w:val="21"/>
        </w:rPr>
        <w:t xml:space="preserve">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se sujeta a las reglas siguientes:</w:t>
      </w:r>
    </w:p>
    <w:p w:rsidR="00785758" w:rsidRPr="00BD6A2F" w:rsidRDefault="00785758" w:rsidP="00D2502A">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b w:val="0"/>
          <w:sz w:val="21"/>
          <w:szCs w:val="21"/>
        </w:rPr>
      </w:pPr>
      <w:r w:rsidRPr="004E5745">
        <w:rPr>
          <w:b w:val="0"/>
          <w:sz w:val="21"/>
          <w:szCs w:val="21"/>
        </w:rPr>
        <w:t xml:space="preserve">Dicho pago será requerido por escrito por el Concedente a la Sociedad Concesionaria, indicándole la cuenta bancaria en la que deberá depositar el monto correspondiente, lo cual </w:t>
      </w:r>
      <w:r w:rsidRPr="00BD6A2F">
        <w:rPr>
          <w:b w:val="0"/>
          <w:sz w:val="21"/>
          <w:szCs w:val="21"/>
        </w:rPr>
        <w:t xml:space="preserve">deberá ocurrir </w:t>
      </w:r>
      <w:r w:rsidR="00364596" w:rsidRPr="00BD6A2F">
        <w:rPr>
          <w:b w:val="0"/>
          <w:sz w:val="21"/>
          <w:szCs w:val="21"/>
        </w:rPr>
        <w:t>dentro de los diez (10)</w:t>
      </w:r>
      <w:r w:rsidRPr="00D41238">
        <w:rPr>
          <w:b w:val="0"/>
          <w:sz w:val="21"/>
          <w:szCs w:val="21"/>
        </w:rPr>
        <w:t xml:space="preserve"> Día</w:t>
      </w:r>
      <w:r w:rsidR="00364596" w:rsidRPr="00D41238">
        <w:rPr>
          <w:b w:val="0"/>
          <w:sz w:val="21"/>
          <w:szCs w:val="21"/>
        </w:rPr>
        <w:t>s</w:t>
      </w:r>
      <w:r w:rsidRPr="00D41238">
        <w:rPr>
          <w:b w:val="0"/>
          <w:sz w:val="21"/>
          <w:szCs w:val="21"/>
        </w:rPr>
        <w:t xml:space="preserve"> siguiente</w:t>
      </w:r>
      <w:r w:rsidR="00364596" w:rsidRPr="00D41238">
        <w:rPr>
          <w:b w:val="0"/>
          <w:sz w:val="21"/>
          <w:szCs w:val="21"/>
        </w:rPr>
        <w:t>s</w:t>
      </w:r>
      <w:r w:rsidRPr="00D41238">
        <w:rPr>
          <w:b w:val="0"/>
          <w:sz w:val="21"/>
          <w:szCs w:val="21"/>
        </w:rPr>
        <w:t xml:space="preserve"> de recibido el requerimiento.</w:t>
      </w:r>
    </w:p>
    <w:p w:rsidR="00785758" w:rsidRPr="00D41238" w:rsidRDefault="00D2502A"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Pr>
          <w:b w:val="0"/>
          <w:sz w:val="21"/>
          <w:szCs w:val="21"/>
        </w:rPr>
        <w:br w:type="page"/>
      </w:r>
      <w:r w:rsidR="00785758" w:rsidRPr="00D41238">
        <w:rPr>
          <w:b w:val="0"/>
          <w:sz w:val="21"/>
          <w:szCs w:val="21"/>
        </w:rPr>
        <w:lastRenderedPageBreak/>
        <w:t xml:space="preserve">Dentro del referido plazo la Sociedad Concesionaria podrá contradecir la procedencia del requerimiento de pago, en cuyo caso se habrá producido una controversia que será solucionada conforme a lo dispuesto en la </w:t>
      </w:r>
      <w:r w:rsidR="00313D11" w:rsidRPr="00D41238">
        <w:rPr>
          <w:b w:val="0"/>
          <w:sz w:val="21"/>
          <w:szCs w:val="21"/>
        </w:rPr>
        <w:t>Cláusula</w:t>
      </w:r>
      <w:r w:rsidR="00785758" w:rsidRPr="00D41238">
        <w:rPr>
          <w:b w:val="0"/>
          <w:sz w:val="21"/>
          <w:szCs w:val="21"/>
        </w:rPr>
        <w:t xml:space="preserve"> 1</w:t>
      </w:r>
      <w:r w:rsidR="00F3560C" w:rsidRPr="00BD6A2F">
        <w:rPr>
          <w:b w:val="0"/>
          <w:sz w:val="21"/>
          <w:szCs w:val="21"/>
        </w:rPr>
        <w:t>4</w:t>
      </w:r>
      <w:r w:rsidR="00785758" w:rsidRPr="00BD6A2F">
        <w:rPr>
          <w:b w:val="0"/>
          <w:sz w:val="21"/>
          <w:szCs w:val="21"/>
        </w:rPr>
        <w:t xml:space="preserve">, </w:t>
      </w:r>
      <w:r w:rsidR="00785758" w:rsidRPr="00D41238">
        <w:rPr>
          <w:b w:val="0"/>
          <w:sz w:val="21"/>
          <w:szCs w:val="21"/>
        </w:rPr>
        <w:t xml:space="preserve">considerándose que la contradicción formulada tendrá el mismo efecto que la comunicación referida en </w:t>
      </w:r>
      <w:r w:rsidR="003A3894" w:rsidRPr="00D41238">
        <w:rPr>
          <w:b w:val="0"/>
          <w:sz w:val="21"/>
          <w:szCs w:val="21"/>
        </w:rPr>
        <w:t xml:space="preserve">la </w:t>
      </w:r>
      <w:r w:rsidR="00313D11" w:rsidRPr="00D41238">
        <w:rPr>
          <w:b w:val="0"/>
          <w:sz w:val="21"/>
          <w:szCs w:val="21"/>
        </w:rPr>
        <w:t>Cláusula</w:t>
      </w:r>
      <w:r w:rsidR="00785758" w:rsidRPr="00D41238">
        <w:rPr>
          <w:b w:val="0"/>
          <w:sz w:val="21"/>
          <w:szCs w:val="21"/>
        </w:rPr>
        <w:t xml:space="preserve"> 1</w:t>
      </w:r>
      <w:r w:rsidR="00F3560C" w:rsidRPr="00D41238">
        <w:rPr>
          <w:b w:val="0"/>
          <w:sz w:val="21"/>
          <w:szCs w:val="21"/>
        </w:rPr>
        <w:t>4</w:t>
      </w:r>
      <w:r w:rsidR="00785758" w:rsidRPr="00D41238">
        <w:rPr>
          <w:b w:val="0"/>
          <w:sz w:val="21"/>
          <w:szCs w:val="21"/>
        </w:rPr>
        <w:t>.</w:t>
      </w:r>
      <w:r w:rsidR="003A3894" w:rsidRPr="00D41238">
        <w:rPr>
          <w:b w:val="0"/>
          <w:sz w:val="21"/>
          <w:szCs w:val="21"/>
        </w:rPr>
        <w:t>2</w:t>
      </w:r>
      <w:r w:rsidR="00785758" w:rsidRPr="00D41238">
        <w:rPr>
          <w:b w:val="0"/>
          <w:sz w:val="21"/>
          <w:szCs w:val="21"/>
        </w:rPr>
        <w:t>.</w:t>
      </w:r>
    </w:p>
    <w:p w:rsidR="00785758" w:rsidRPr="004E5745" w:rsidRDefault="00785758"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sidRPr="004E5745">
        <w:rPr>
          <w:b w:val="0"/>
          <w:sz w:val="21"/>
          <w:szCs w:val="21"/>
        </w:rPr>
        <w:t xml:space="preserve">Resuelta la controversia de manera favorable al Concedente, sea en trato directo o por laudo arbitral, o vencido el plazo de cinco (5) Días sin que la Sociedad Concesionaria contradiga el requerimiento de pago, se entenderá que la obligación de pago de la </w:t>
      </w:r>
      <w:r w:rsidR="0095761E">
        <w:rPr>
          <w:b w:val="0"/>
          <w:sz w:val="21"/>
          <w:szCs w:val="21"/>
        </w:rPr>
        <w:t>penalidad</w:t>
      </w:r>
      <w:r w:rsidR="0095761E" w:rsidRPr="004E5745">
        <w:rPr>
          <w:b w:val="0"/>
          <w:sz w:val="21"/>
          <w:szCs w:val="21"/>
        </w:rPr>
        <w:t xml:space="preserve"> </w:t>
      </w:r>
      <w:r w:rsidRPr="004E5745">
        <w:rPr>
          <w:b w:val="0"/>
          <w:sz w:val="21"/>
          <w:szCs w:val="21"/>
        </w:rPr>
        <w:t xml:space="preserve">es exigible. En este caso, la obligación de pago de la </w:t>
      </w:r>
      <w:r w:rsidR="00BC0C7F">
        <w:rPr>
          <w:b w:val="0"/>
          <w:sz w:val="21"/>
          <w:szCs w:val="21"/>
        </w:rPr>
        <w:t>penalidad</w:t>
      </w:r>
      <w:r w:rsidR="00BC0C7F" w:rsidRPr="004E5745">
        <w:rPr>
          <w:b w:val="0"/>
          <w:sz w:val="21"/>
          <w:szCs w:val="21"/>
        </w:rPr>
        <w:t xml:space="preserve"> </w:t>
      </w:r>
      <w:r w:rsidRPr="004E5745">
        <w:rPr>
          <w:b w:val="0"/>
          <w:sz w:val="21"/>
          <w:szCs w:val="21"/>
        </w:rPr>
        <w:t>deberá ser cumplida al Día siguiente de vencido el referido plazo, o al Día siguiente de notificada la Sociedad Concesionaria con el laudo arbitral o al Día siguiente en que la controversia es solucionada en trato directo, según corresponda.</w:t>
      </w:r>
    </w:p>
    <w:p w:rsidR="00785758" w:rsidRPr="004E5745" w:rsidRDefault="00785758"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sidRPr="004E5745">
        <w:rPr>
          <w:b w:val="0"/>
          <w:sz w:val="21"/>
          <w:szCs w:val="21"/>
        </w:rPr>
        <w:t>En caso la Sociedad Concesionaria no cumpla con pagar la</w:t>
      </w:r>
      <w:r w:rsidR="0095761E">
        <w:rPr>
          <w:b w:val="0"/>
          <w:sz w:val="21"/>
          <w:szCs w:val="21"/>
        </w:rPr>
        <w:t xml:space="preserve"> penalidad</w:t>
      </w:r>
      <w:r w:rsidRPr="004E5745">
        <w:rPr>
          <w:b w:val="0"/>
          <w:sz w:val="21"/>
          <w:szCs w:val="21"/>
        </w:rPr>
        <w:t xml:space="preserve">, el Concedente tendrá derecho a solicitar la ejecución de la </w:t>
      </w:r>
      <w:r w:rsidR="004E58DB">
        <w:rPr>
          <w:b w:val="0"/>
          <w:sz w:val="21"/>
          <w:szCs w:val="21"/>
        </w:rPr>
        <w:t>G</w:t>
      </w:r>
      <w:r w:rsidRPr="004E5745">
        <w:rPr>
          <w:b w:val="0"/>
          <w:sz w:val="21"/>
          <w:szCs w:val="21"/>
        </w:rPr>
        <w:t>arantía respectiva.</w:t>
      </w:r>
    </w:p>
    <w:p w:rsidR="00785758" w:rsidRPr="00477EAF" w:rsidRDefault="00785758" w:rsidP="004F6B32">
      <w:pPr>
        <w:pStyle w:val="Prrafodelista"/>
        <w:numPr>
          <w:ilvl w:val="0"/>
          <w:numId w:val="84"/>
        </w:numPr>
        <w:tabs>
          <w:tab w:val="clear" w:pos="567"/>
          <w:tab w:val="clear" w:pos="1134"/>
          <w:tab w:val="clear" w:pos="1701"/>
          <w:tab w:val="clear" w:pos="2268"/>
          <w:tab w:val="clear" w:pos="2835"/>
        </w:tabs>
        <w:spacing w:before="120" w:line="257" w:lineRule="auto"/>
        <w:ind w:left="567" w:hanging="567"/>
        <w:jc w:val="both"/>
        <w:rPr>
          <w:sz w:val="21"/>
        </w:rPr>
      </w:pPr>
      <w:r w:rsidRPr="001A35F6">
        <w:rPr>
          <w:rFonts w:ascii="Arial" w:hAnsi="Arial"/>
          <w:sz w:val="21"/>
          <w:szCs w:val="21"/>
        </w:rPr>
        <w:t xml:space="preserve">Será </w:t>
      </w:r>
      <w:r w:rsidR="00BC0C7F">
        <w:rPr>
          <w:rFonts w:ascii="Arial" w:hAnsi="Arial"/>
          <w:sz w:val="21"/>
          <w:szCs w:val="21"/>
        </w:rPr>
        <w:t>penaliza</w:t>
      </w:r>
      <w:r w:rsidR="00BC0C7F" w:rsidRPr="001A35F6">
        <w:rPr>
          <w:rFonts w:ascii="Arial" w:hAnsi="Arial"/>
          <w:sz w:val="21"/>
          <w:szCs w:val="21"/>
        </w:rPr>
        <w:t xml:space="preserve">da </w:t>
      </w:r>
      <w:r w:rsidRPr="001A35F6">
        <w:rPr>
          <w:rFonts w:ascii="Arial" w:hAnsi="Arial"/>
          <w:sz w:val="21"/>
          <w:szCs w:val="21"/>
        </w:rPr>
        <w:t xml:space="preserve">con el pago de US$ </w:t>
      </w:r>
      <w:r w:rsidR="00F775F1" w:rsidRPr="001A35F6" w:rsidDel="007A0374">
        <w:rPr>
          <w:rFonts w:ascii="Arial" w:hAnsi="Arial"/>
          <w:sz w:val="21"/>
          <w:szCs w:val="21"/>
        </w:rPr>
        <w:t>2</w:t>
      </w:r>
      <w:r w:rsidR="00AC3581">
        <w:rPr>
          <w:rFonts w:ascii="Arial" w:hAnsi="Arial"/>
          <w:sz w:val="21"/>
          <w:szCs w:val="21"/>
        </w:rPr>
        <w:t>`</w:t>
      </w:r>
      <w:r w:rsidRPr="001A35F6">
        <w:rPr>
          <w:rFonts w:ascii="Arial" w:hAnsi="Arial"/>
          <w:sz w:val="21"/>
          <w:szCs w:val="21"/>
        </w:rPr>
        <w:t>000</w:t>
      </w:r>
      <w:r w:rsidR="00AC3581">
        <w:rPr>
          <w:rFonts w:ascii="Arial" w:hAnsi="Arial"/>
          <w:sz w:val="21"/>
          <w:szCs w:val="21"/>
        </w:rPr>
        <w:t>,</w:t>
      </w:r>
      <w:r w:rsidR="00E8202F" w:rsidRPr="001A35F6">
        <w:rPr>
          <w:rFonts w:ascii="Arial" w:hAnsi="Arial"/>
          <w:sz w:val="21"/>
          <w:szCs w:val="21"/>
        </w:rPr>
        <w:t xml:space="preserve"> </w:t>
      </w:r>
      <w:r w:rsidRPr="001A35F6">
        <w:rPr>
          <w:rFonts w:ascii="Arial" w:hAnsi="Arial"/>
          <w:sz w:val="21"/>
          <w:szCs w:val="21"/>
        </w:rPr>
        <w:t>000 (</w:t>
      </w:r>
      <w:r w:rsidR="00F775F1" w:rsidRPr="001A35F6" w:rsidDel="007A0374">
        <w:rPr>
          <w:rFonts w:ascii="Arial" w:hAnsi="Arial"/>
          <w:sz w:val="21"/>
          <w:szCs w:val="21"/>
        </w:rPr>
        <w:t>Dos</w:t>
      </w:r>
      <w:r w:rsidR="00D94732" w:rsidRPr="001A35F6">
        <w:rPr>
          <w:rFonts w:ascii="Arial" w:hAnsi="Arial"/>
          <w:sz w:val="21"/>
          <w:szCs w:val="21"/>
        </w:rPr>
        <w:t xml:space="preserve"> </w:t>
      </w:r>
      <w:r w:rsidRPr="001A35F6">
        <w:rPr>
          <w:rFonts w:ascii="Arial" w:hAnsi="Arial"/>
          <w:sz w:val="21"/>
          <w:szCs w:val="21"/>
        </w:rPr>
        <w:t>Mill</w:t>
      </w:r>
      <w:r w:rsidR="00F775F1" w:rsidRPr="001A35F6">
        <w:rPr>
          <w:rFonts w:ascii="Arial" w:hAnsi="Arial"/>
          <w:sz w:val="21"/>
          <w:szCs w:val="21"/>
        </w:rPr>
        <w:t>o</w:t>
      </w:r>
      <w:r w:rsidRPr="001A35F6">
        <w:rPr>
          <w:rFonts w:ascii="Arial" w:hAnsi="Arial"/>
          <w:sz w:val="21"/>
          <w:szCs w:val="21"/>
        </w:rPr>
        <w:t>n</w:t>
      </w:r>
      <w:r w:rsidR="00F775F1" w:rsidRPr="001A35F6">
        <w:rPr>
          <w:rFonts w:ascii="Arial" w:hAnsi="Arial"/>
          <w:sz w:val="21"/>
          <w:szCs w:val="21"/>
        </w:rPr>
        <w:t>es</w:t>
      </w:r>
      <w:r w:rsidRPr="001A35F6">
        <w:rPr>
          <w:rFonts w:ascii="Arial" w:hAnsi="Arial"/>
          <w:sz w:val="21"/>
          <w:szCs w:val="21"/>
        </w:rPr>
        <w:t xml:space="preserve"> </w:t>
      </w:r>
      <w:r w:rsidR="00D969A9" w:rsidRPr="001A35F6">
        <w:rPr>
          <w:rFonts w:ascii="Arial" w:hAnsi="Arial"/>
          <w:sz w:val="21"/>
          <w:szCs w:val="21"/>
        </w:rPr>
        <w:t>y 00/100</w:t>
      </w:r>
      <w:r w:rsidRPr="001A35F6">
        <w:rPr>
          <w:rFonts w:ascii="Arial" w:hAnsi="Arial"/>
          <w:sz w:val="21"/>
          <w:szCs w:val="21"/>
        </w:rPr>
        <w:t xml:space="preserve"> Dólares),</w:t>
      </w:r>
      <w:r w:rsidR="007D4685" w:rsidRPr="001A35F6">
        <w:rPr>
          <w:rFonts w:ascii="Arial" w:hAnsi="Arial"/>
          <w:sz w:val="21"/>
          <w:szCs w:val="21"/>
        </w:rPr>
        <w:t xml:space="preserve"> </w:t>
      </w:r>
      <w:r w:rsidRPr="001A35F6">
        <w:rPr>
          <w:rFonts w:ascii="Arial" w:hAnsi="Arial"/>
          <w:sz w:val="21"/>
          <w:szCs w:val="21"/>
        </w:rPr>
        <w:t>la ocurrencia de cualquiera de los eventos siguientes:</w:t>
      </w:r>
    </w:p>
    <w:p w:rsidR="00785758" w:rsidRPr="004E5745"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El incumplimiento o el cumplimiento parcial, tardío o defectuoso, de un Mandato de Conexión dispuesto por </w:t>
      </w:r>
      <w:r w:rsidR="00F20FDB">
        <w:rPr>
          <w:rFonts w:ascii="Arial" w:hAnsi="Arial"/>
          <w:sz w:val="21"/>
          <w:szCs w:val="21"/>
        </w:rPr>
        <w:t xml:space="preserve">el </w:t>
      </w:r>
      <w:r w:rsidRPr="004E5745">
        <w:rPr>
          <w:rFonts w:ascii="Arial" w:hAnsi="Arial"/>
          <w:sz w:val="21"/>
          <w:szCs w:val="21"/>
        </w:rPr>
        <w:t>OSINERGMIN o la Autoridad Gubernamental competente, siempre que dicho mandato haya quedado firme en sede administrativa, y en sede judicial si se hubiese interpuesto el contencioso respectivo.</w:t>
      </w:r>
    </w:p>
    <w:p w:rsidR="00785758" w:rsidRPr="004E1F0F"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La declaración formulada por la Autoridad Gubernamental competente, de que la Sociedad Concesionaria ha realizado actos o conductas que constituyen abuso de una posición de dominio en el mercado eléctrico o que limiten, restrinjan o distorsionen la libre competencia en el mismo, siempre que dicha declaración haya quedado firme en sede </w:t>
      </w:r>
      <w:r w:rsidRPr="004E1F0F">
        <w:rPr>
          <w:rFonts w:ascii="Arial" w:hAnsi="Arial"/>
          <w:sz w:val="21"/>
          <w:szCs w:val="21"/>
        </w:rPr>
        <w:t>administrativa, y en sede judicial si se hubiese interpuesto el contencioso respectivo.</w:t>
      </w:r>
    </w:p>
    <w:p w:rsidR="00785758" w:rsidRPr="004E5745"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2" w:hanging="425"/>
        <w:jc w:val="both"/>
        <w:rPr>
          <w:rFonts w:ascii="Arial" w:hAnsi="Arial"/>
          <w:sz w:val="21"/>
          <w:szCs w:val="21"/>
        </w:rPr>
      </w:pPr>
      <w:r w:rsidRPr="004E1F0F">
        <w:rPr>
          <w:rFonts w:ascii="Arial" w:hAnsi="Arial"/>
          <w:sz w:val="21"/>
          <w:szCs w:val="21"/>
        </w:rPr>
        <w:t xml:space="preserve">El incumplimiento o el cumplimiento parcial, tardío o defectuoso, de lo dispuesto en el laudo </w:t>
      </w:r>
      <w:r w:rsidR="0079278D" w:rsidRPr="004E1F0F">
        <w:rPr>
          <w:rFonts w:ascii="Arial" w:hAnsi="Arial"/>
          <w:sz w:val="21"/>
          <w:szCs w:val="21"/>
        </w:rPr>
        <w:t xml:space="preserve">que se emite como consecuencia de la controversia </w:t>
      </w:r>
      <w:r w:rsidRPr="004E1F0F">
        <w:rPr>
          <w:rFonts w:ascii="Arial" w:hAnsi="Arial"/>
          <w:sz w:val="21"/>
          <w:szCs w:val="21"/>
        </w:rPr>
        <w:t xml:space="preserve">a que se refiere el </w:t>
      </w:r>
      <w:r w:rsidR="0079278D" w:rsidRPr="004E1F0F">
        <w:rPr>
          <w:rFonts w:ascii="Arial" w:hAnsi="Arial"/>
          <w:sz w:val="21"/>
          <w:szCs w:val="21"/>
        </w:rPr>
        <w:t xml:space="preserve">tercer </w:t>
      </w:r>
      <w:r w:rsidRPr="004E1F0F">
        <w:rPr>
          <w:rFonts w:ascii="Arial" w:hAnsi="Arial"/>
          <w:sz w:val="21"/>
          <w:szCs w:val="21"/>
        </w:rPr>
        <w:t xml:space="preserve">párrafo de la </w:t>
      </w:r>
      <w:r w:rsidR="00313D11" w:rsidRPr="004E1F0F">
        <w:rPr>
          <w:rFonts w:ascii="Arial" w:hAnsi="Arial"/>
          <w:sz w:val="21"/>
          <w:szCs w:val="21"/>
        </w:rPr>
        <w:t>Cláusula</w:t>
      </w:r>
      <w:r w:rsidRPr="004E1F0F">
        <w:rPr>
          <w:rFonts w:ascii="Arial" w:hAnsi="Arial"/>
          <w:sz w:val="21"/>
          <w:szCs w:val="21"/>
        </w:rPr>
        <w:t xml:space="preserve"> 5.1</w:t>
      </w:r>
      <w:r w:rsidR="004E1F0F" w:rsidRPr="00F35007">
        <w:rPr>
          <w:rFonts w:ascii="Arial" w:hAnsi="Arial"/>
          <w:sz w:val="21"/>
          <w:szCs w:val="21"/>
        </w:rPr>
        <w:t>1</w:t>
      </w:r>
      <w:r w:rsidRPr="004E1F0F">
        <w:rPr>
          <w:rFonts w:ascii="Arial" w:hAnsi="Arial"/>
          <w:sz w:val="21"/>
          <w:szCs w:val="21"/>
        </w:rPr>
        <w:t xml:space="preserve"> del Contrato, o en la comunicación a que se refiere el </w:t>
      </w:r>
      <w:r w:rsidR="0079278D" w:rsidRPr="004E1F0F">
        <w:rPr>
          <w:rFonts w:ascii="Arial" w:hAnsi="Arial"/>
          <w:sz w:val="21"/>
          <w:szCs w:val="21"/>
        </w:rPr>
        <w:t xml:space="preserve">segundo </w:t>
      </w:r>
      <w:r w:rsidRPr="004E1F0F">
        <w:rPr>
          <w:rFonts w:ascii="Arial" w:hAnsi="Arial"/>
          <w:sz w:val="21"/>
          <w:szCs w:val="21"/>
        </w:rPr>
        <w:t xml:space="preserve">párrafo de la misma </w:t>
      </w:r>
      <w:r w:rsidR="00313D11" w:rsidRPr="004E1F0F">
        <w:rPr>
          <w:rFonts w:ascii="Arial" w:hAnsi="Arial"/>
          <w:sz w:val="21"/>
          <w:szCs w:val="21"/>
        </w:rPr>
        <w:t>Cláusula</w:t>
      </w:r>
      <w:r w:rsidRPr="004E1F0F">
        <w:rPr>
          <w:rFonts w:ascii="Arial" w:hAnsi="Arial"/>
          <w:sz w:val="21"/>
          <w:szCs w:val="21"/>
        </w:rPr>
        <w:t>, según</w:t>
      </w:r>
      <w:r w:rsidRPr="004E5745">
        <w:rPr>
          <w:rFonts w:ascii="Arial" w:hAnsi="Arial"/>
          <w:sz w:val="21"/>
          <w:szCs w:val="21"/>
        </w:rPr>
        <w:t xml:space="preserve"> corresponda.</w:t>
      </w:r>
    </w:p>
    <w:p w:rsidR="00785758" w:rsidRDefault="00785758" w:rsidP="00D4498D">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También se aplican para esta </w:t>
      </w:r>
      <w:r w:rsidR="00BC0C7F">
        <w:rPr>
          <w:sz w:val="21"/>
          <w:szCs w:val="21"/>
          <w:lang w:val="es-PE"/>
        </w:rPr>
        <w:t>penalidad</w:t>
      </w:r>
      <w:r w:rsidRPr="004E5745">
        <w:rPr>
          <w:sz w:val="21"/>
          <w:szCs w:val="21"/>
          <w:lang w:val="es-PE"/>
        </w:rPr>
        <w:t xml:space="preserve"> las reglas de las </w:t>
      </w:r>
      <w:r w:rsidR="00313D11" w:rsidRPr="004E5745">
        <w:rPr>
          <w:sz w:val="21"/>
          <w:szCs w:val="21"/>
          <w:lang w:val="es-PE"/>
        </w:rPr>
        <w:t>Cláusula</w:t>
      </w:r>
      <w:r w:rsidRPr="004E5745">
        <w:rPr>
          <w:sz w:val="21"/>
          <w:szCs w:val="21"/>
          <w:lang w:val="es-PE"/>
        </w:rPr>
        <w:t>s 1</w:t>
      </w:r>
      <w:r w:rsidR="00F3560C">
        <w:rPr>
          <w:sz w:val="21"/>
          <w:szCs w:val="21"/>
          <w:lang w:val="es-PE"/>
        </w:rPr>
        <w:t>1</w:t>
      </w:r>
      <w:r w:rsidRPr="004E5745">
        <w:rPr>
          <w:sz w:val="21"/>
          <w:szCs w:val="21"/>
          <w:lang w:val="es-PE"/>
        </w:rPr>
        <w:t>.</w:t>
      </w:r>
      <w:r w:rsidR="00F3560C">
        <w:rPr>
          <w:sz w:val="21"/>
          <w:szCs w:val="21"/>
          <w:lang w:val="es-PE"/>
        </w:rPr>
        <w:t>2</w:t>
      </w:r>
      <w:r w:rsidR="00BA1BB4" w:rsidRPr="004E5745">
        <w:rPr>
          <w:sz w:val="21"/>
          <w:szCs w:val="21"/>
          <w:lang w:val="es-PE"/>
        </w:rPr>
        <w:t xml:space="preserve"> </w:t>
      </w:r>
      <w:r w:rsidRPr="004E5745">
        <w:rPr>
          <w:sz w:val="21"/>
          <w:szCs w:val="21"/>
          <w:lang w:val="es-PE"/>
        </w:rPr>
        <w:t>y 1</w:t>
      </w:r>
      <w:r w:rsidR="00F3560C">
        <w:rPr>
          <w:sz w:val="21"/>
          <w:szCs w:val="21"/>
          <w:lang w:val="es-PE"/>
        </w:rPr>
        <w:t>1</w:t>
      </w:r>
      <w:r w:rsidRPr="004E5745">
        <w:rPr>
          <w:sz w:val="21"/>
          <w:szCs w:val="21"/>
          <w:lang w:val="es-PE"/>
        </w:rPr>
        <w:t>.</w:t>
      </w:r>
      <w:r w:rsidR="00F3560C">
        <w:rPr>
          <w:sz w:val="21"/>
          <w:szCs w:val="21"/>
          <w:lang w:val="es-PE"/>
        </w:rPr>
        <w:t>3</w:t>
      </w:r>
      <w:r w:rsidRPr="004E5745">
        <w:rPr>
          <w:sz w:val="21"/>
          <w:szCs w:val="21"/>
          <w:lang w:val="es-PE"/>
        </w:rPr>
        <w:t>.</w:t>
      </w:r>
    </w:p>
    <w:p w:rsidR="00785758" w:rsidRPr="00477EAF" w:rsidRDefault="00161771" w:rsidP="004F6B32">
      <w:pPr>
        <w:pStyle w:val="Prrafodelista"/>
        <w:numPr>
          <w:ilvl w:val="0"/>
          <w:numId w:val="84"/>
        </w:numPr>
        <w:tabs>
          <w:tab w:val="clear" w:pos="567"/>
          <w:tab w:val="clear" w:pos="1134"/>
          <w:tab w:val="clear" w:pos="1701"/>
          <w:tab w:val="clear" w:pos="2268"/>
          <w:tab w:val="clear" w:pos="2835"/>
        </w:tabs>
        <w:spacing w:before="120" w:line="257" w:lineRule="auto"/>
        <w:ind w:left="567" w:hanging="567"/>
        <w:jc w:val="both"/>
        <w:rPr>
          <w:sz w:val="21"/>
        </w:rPr>
      </w:pPr>
      <w:r w:rsidRPr="00F3560C">
        <w:rPr>
          <w:rFonts w:ascii="Arial" w:hAnsi="Arial"/>
          <w:sz w:val="21"/>
          <w:szCs w:val="21"/>
        </w:rPr>
        <w:t>Las</w:t>
      </w:r>
      <w:r w:rsidR="00785758" w:rsidRPr="00F3560C">
        <w:rPr>
          <w:rFonts w:ascii="Arial" w:hAnsi="Arial"/>
          <w:sz w:val="21"/>
          <w:szCs w:val="21"/>
        </w:rPr>
        <w:t xml:space="preserve"> salida</w:t>
      </w:r>
      <w:r w:rsidRPr="00F3560C">
        <w:rPr>
          <w:rFonts w:ascii="Arial" w:hAnsi="Arial"/>
          <w:sz w:val="21"/>
          <w:szCs w:val="21"/>
        </w:rPr>
        <w:t>s</w:t>
      </w:r>
      <w:r w:rsidR="00785758" w:rsidRPr="00F3560C">
        <w:rPr>
          <w:rFonts w:ascii="Arial" w:hAnsi="Arial"/>
          <w:sz w:val="21"/>
          <w:szCs w:val="21"/>
        </w:rPr>
        <w:t xml:space="preserve"> </w:t>
      </w:r>
      <w:r w:rsidRPr="00F3560C">
        <w:rPr>
          <w:rFonts w:ascii="Arial" w:hAnsi="Arial"/>
          <w:sz w:val="21"/>
          <w:szCs w:val="21"/>
        </w:rPr>
        <w:t>de servicio de la Línea</w:t>
      </w:r>
      <w:r w:rsidR="0069514E" w:rsidRPr="00F3560C">
        <w:rPr>
          <w:rFonts w:ascii="Arial" w:hAnsi="Arial"/>
          <w:sz w:val="21"/>
          <w:szCs w:val="21"/>
        </w:rPr>
        <w:t xml:space="preserve"> Eléctrica</w:t>
      </w:r>
      <w:r w:rsidR="00785758" w:rsidRPr="00F3560C">
        <w:rPr>
          <w:rFonts w:ascii="Arial" w:hAnsi="Arial"/>
          <w:sz w:val="21"/>
          <w:szCs w:val="21"/>
        </w:rPr>
        <w:t xml:space="preserve"> que exceda</w:t>
      </w:r>
      <w:r w:rsidRPr="00F3560C">
        <w:rPr>
          <w:rFonts w:ascii="Arial" w:hAnsi="Arial"/>
          <w:sz w:val="21"/>
          <w:szCs w:val="21"/>
        </w:rPr>
        <w:t>n</w:t>
      </w:r>
      <w:r w:rsidR="00785758" w:rsidRPr="00F3560C">
        <w:rPr>
          <w:rFonts w:ascii="Arial" w:hAnsi="Arial"/>
          <w:sz w:val="21"/>
          <w:szCs w:val="21"/>
        </w:rPr>
        <w:t xml:space="preserve"> la</w:t>
      </w:r>
      <w:r w:rsidRPr="00F3560C">
        <w:rPr>
          <w:rFonts w:ascii="Arial" w:hAnsi="Arial"/>
          <w:sz w:val="21"/>
          <w:szCs w:val="21"/>
        </w:rPr>
        <w:t>s</w:t>
      </w:r>
      <w:r w:rsidR="00785758" w:rsidRPr="00F3560C">
        <w:rPr>
          <w:rFonts w:ascii="Arial" w:hAnsi="Arial"/>
          <w:sz w:val="21"/>
          <w:szCs w:val="21"/>
        </w:rPr>
        <w:t xml:space="preserve"> tolerancia</w:t>
      </w:r>
      <w:r w:rsidRPr="00F3560C">
        <w:rPr>
          <w:rFonts w:ascii="Arial" w:hAnsi="Arial"/>
          <w:sz w:val="21"/>
          <w:szCs w:val="21"/>
        </w:rPr>
        <w:t>s</w:t>
      </w:r>
      <w:r w:rsidR="00D602A7" w:rsidRPr="001A35F6">
        <w:rPr>
          <w:rFonts w:ascii="Arial" w:hAnsi="Arial"/>
          <w:sz w:val="21"/>
          <w:szCs w:val="21"/>
        </w:rPr>
        <w:t xml:space="preserve"> serán </w:t>
      </w:r>
      <w:r w:rsidR="00B15CEE">
        <w:rPr>
          <w:rFonts w:ascii="Arial" w:hAnsi="Arial"/>
          <w:sz w:val="21"/>
          <w:szCs w:val="21"/>
        </w:rPr>
        <w:t>sancionadas</w:t>
      </w:r>
      <w:r w:rsidR="00D602A7" w:rsidRPr="001A35F6">
        <w:rPr>
          <w:rFonts w:ascii="Arial" w:hAnsi="Arial"/>
          <w:sz w:val="21"/>
          <w:szCs w:val="21"/>
        </w:rPr>
        <w:t>, según se indica en las Directivas y Procedimientos de</w:t>
      </w:r>
      <w:r w:rsidR="00F20FDB" w:rsidRPr="001A35F6">
        <w:rPr>
          <w:rFonts w:ascii="Arial" w:hAnsi="Arial"/>
          <w:sz w:val="21"/>
          <w:szCs w:val="21"/>
        </w:rPr>
        <w:t>l</w:t>
      </w:r>
      <w:r w:rsidR="00D602A7" w:rsidRPr="001A35F6">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4E5745" w:rsidRDefault="00BD3E64"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Pr>
          <w:rFonts w:ascii="Arial" w:hAnsi="Arial"/>
          <w:b/>
          <w:sz w:val="24"/>
          <w:szCs w:val="24"/>
        </w:rPr>
        <w:br w:type="page"/>
      </w:r>
      <w:r w:rsidR="00785758" w:rsidRPr="004E5745">
        <w:rPr>
          <w:rFonts w:ascii="Arial" w:hAnsi="Arial"/>
          <w:b/>
          <w:sz w:val="24"/>
          <w:szCs w:val="24"/>
        </w:rPr>
        <w:lastRenderedPageBreak/>
        <w:t>1</w:t>
      </w:r>
      <w:r w:rsidR="00F3560C">
        <w:rPr>
          <w:rFonts w:ascii="Arial" w:hAnsi="Arial"/>
          <w:b/>
          <w:sz w:val="24"/>
          <w:szCs w:val="24"/>
        </w:rPr>
        <w:t>2</w:t>
      </w:r>
      <w:r w:rsidR="00785758" w:rsidRPr="004E5745">
        <w:rPr>
          <w:rFonts w:ascii="Arial" w:hAnsi="Arial"/>
          <w:b/>
          <w:sz w:val="24"/>
          <w:szCs w:val="24"/>
        </w:rPr>
        <w:t>.</w:t>
      </w:r>
      <w:r w:rsidR="00785758" w:rsidRPr="004E5745">
        <w:rPr>
          <w:rFonts w:ascii="Arial" w:hAnsi="Arial"/>
          <w:b/>
          <w:sz w:val="24"/>
          <w:szCs w:val="24"/>
        </w:rPr>
        <w:tab/>
        <w:t>Garantías</w:t>
      </w:r>
    </w:p>
    <w:p w:rsidR="00785758" w:rsidRPr="004E5745" w:rsidRDefault="00785758" w:rsidP="00D4498D">
      <w:pPr>
        <w:pStyle w:val="Ttulo8"/>
        <w:keepNext w:val="0"/>
        <w:numPr>
          <w:ilvl w:val="1"/>
          <w:numId w:val="18"/>
        </w:numPr>
        <w:tabs>
          <w:tab w:val="clear" w:pos="1134"/>
          <w:tab w:val="clear" w:pos="1701"/>
          <w:tab w:val="clear" w:pos="2268"/>
          <w:tab w:val="clear" w:pos="2835"/>
        </w:tabs>
        <w:spacing w:line="257" w:lineRule="auto"/>
        <w:jc w:val="both"/>
        <w:rPr>
          <w:rFonts w:ascii="Arial" w:hAnsi="Arial"/>
          <w:sz w:val="21"/>
          <w:szCs w:val="21"/>
        </w:rPr>
      </w:pPr>
      <w:r w:rsidRPr="004E5745">
        <w:rPr>
          <w:rFonts w:ascii="Arial" w:hAnsi="Arial"/>
          <w:sz w:val="21"/>
          <w:szCs w:val="21"/>
        </w:rPr>
        <w:t xml:space="preserve">A fin de garantizar el pago de las </w:t>
      </w:r>
      <w:r w:rsidR="00B20963">
        <w:rPr>
          <w:rFonts w:ascii="Arial" w:hAnsi="Arial"/>
          <w:sz w:val="21"/>
          <w:szCs w:val="21"/>
        </w:rPr>
        <w:t xml:space="preserve"> penalidad</w:t>
      </w:r>
      <w:r w:rsidR="00B20963" w:rsidRPr="004E5745">
        <w:rPr>
          <w:rFonts w:ascii="Arial" w:hAnsi="Arial"/>
          <w:sz w:val="21"/>
          <w:szCs w:val="21"/>
        </w:rPr>
        <w:t xml:space="preserve">es </w:t>
      </w:r>
      <w:r w:rsidRPr="004E5745">
        <w:rPr>
          <w:rFonts w:ascii="Arial" w:hAnsi="Arial"/>
          <w:sz w:val="21"/>
          <w:szCs w:val="21"/>
        </w:rPr>
        <w:t xml:space="preserve">que establece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1</w:t>
      </w:r>
      <w:r w:rsidRPr="004E5745">
        <w:rPr>
          <w:rFonts w:ascii="Arial" w:hAnsi="Arial"/>
          <w:sz w:val="21"/>
          <w:szCs w:val="21"/>
        </w:rPr>
        <w:t>, la Sociedad Concesionaria entregará al Concedente una fianza bancaria, conforme a las reglas siguientes:</w:t>
      </w:r>
    </w:p>
    <w:p w:rsidR="00785758" w:rsidRPr="004E5745" w:rsidRDefault="00785758"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62173B"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BB2707" w:rsidRPr="004E5745">
        <w:rPr>
          <w:rFonts w:ascii="Arial" w:hAnsi="Arial"/>
          <w:sz w:val="21"/>
          <w:szCs w:val="21"/>
        </w:rPr>
        <w:t>A</w:t>
      </w:r>
      <w:r w:rsidRPr="004E5745">
        <w:rPr>
          <w:rFonts w:ascii="Arial" w:hAnsi="Arial"/>
          <w:sz w:val="21"/>
          <w:szCs w:val="21"/>
        </w:rPr>
        <w:t xml:space="preserve">nexo </w:t>
      </w:r>
      <w:r w:rsidR="00BB2707" w:rsidRPr="004E5745">
        <w:rPr>
          <w:rFonts w:ascii="Arial" w:hAnsi="Arial"/>
          <w:sz w:val="21"/>
          <w:szCs w:val="21"/>
        </w:rPr>
        <w:t>N</w:t>
      </w:r>
      <w:r w:rsidR="00917BA6" w:rsidRPr="004E5745">
        <w:rPr>
          <w:rFonts w:ascii="Arial" w:hAnsi="Arial"/>
          <w:sz w:val="21"/>
          <w:szCs w:val="21"/>
        </w:rPr>
        <w:t>°</w:t>
      </w:r>
      <w:r w:rsidR="00BB2707" w:rsidRPr="004E5745">
        <w:rPr>
          <w:rFonts w:ascii="Arial" w:hAnsi="Arial"/>
          <w:sz w:val="21"/>
          <w:szCs w:val="21"/>
        </w:rPr>
        <w:t xml:space="preserve"> </w:t>
      </w:r>
      <w:r w:rsidR="007A481C" w:rsidRPr="004E5745">
        <w:rPr>
          <w:rFonts w:ascii="Arial" w:hAnsi="Arial"/>
          <w:sz w:val="21"/>
          <w:szCs w:val="21"/>
        </w:rPr>
        <w:t xml:space="preserve">4 </w:t>
      </w:r>
      <w:r w:rsidRPr="004E5745">
        <w:rPr>
          <w:rFonts w:ascii="Arial" w:hAnsi="Arial"/>
          <w:sz w:val="21"/>
          <w:szCs w:val="21"/>
        </w:rPr>
        <w:t>del Contrato. Su entrega es requisito para el Cierre del Concurso.</w:t>
      </w:r>
    </w:p>
    <w:p w:rsidR="00785758" w:rsidRPr="004E5745" w:rsidRDefault="00785758"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deberá estar vigente desde</w:t>
      </w:r>
      <w:r w:rsidRPr="004E5745">
        <w:rPr>
          <w:rFonts w:ascii="Arial" w:hAnsi="Arial"/>
          <w:sz w:val="21"/>
          <w:szCs w:val="21"/>
        </w:rPr>
        <w:t xml:space="preserve"> la </w:t>
      </w:r>
      <w:r w:rsidR="00551606" w:rsidRPr="004E5745">
        <w:rPr>
          <w:rFonts w:ascii="Arial" w:hAnsi="Arial"/>
          <w:sz w:val="21"/>
          <w:szCs w:val="21"/>
        </w:rPr>
        <w:t>f</w:t>
      </w:r>
      <w:r w:rsidR="00C408E8" w:rsidRPr="004E5745">
        <w:rPr>
          <w:rFonts w:ascii="Arial" w:hAnsi="Arial"/>
          <w:color w:val="000000"/>
          <w:sz w:val="21"/>
          <w:szCs w:val="21"/>
        </w:rPr>
        <w:t>echa de Cierre hasta un mes</w:t>
      </w:r>
      <w:r w:rsidRPr="004E5745">
        <w:rPr>
          <w:rFonts w:ascii="Arial" w:hAnsi="Arial"/>
          <w:sz w:val="21"/>
          <w:szCs w:val="21"/>
        </w:rPr>
        <w:t xml:space="preserve"> después de la Puesta en Operación Comercial.</w:t>
      </w:r>
      <w:r w:rsidR="00C408E8" w:rsidRPr="004E5745">
        <w:rPr>
          <w:rFonts w:ascii="Arial" w:hAnsi="Arial"/>
          <w:color w:val="000000"/>
          <w:sz w:val="21"/>
          <w:szCs w:val="21"/>
        </w:rPr>
        <w:t xml:space="preserve"> Dicha fianza será otorgada por períodos anuales hasta cumplir el plazo de vigencia descrito anteriormente. Asimismo, dicha fianza</w:t>
      </w:r>
      <w:r w:rsidR="00042CDA" w:rsidRPr="004E5745">
        <w:rPr>
          <w:rFonts w:ascii="Arial" w:hAnsi="Arial"/>
          <w:color w:val="000000"/>
          <w:sz w:val="21"/>
          <w:szCs w:val="21"/>
        </w:rPr>
        <w:t xml:space="preserve"> </w:t>
      </w:r>
      <w:r w:rsidR="00C408E8" w:rsidRPr="004E5745">
        <w:rPr>
          <w:rFonts w:ascii="Arial" w:hAnsi="Arial"/>
          <w:color w:val="000000"/>
          <w:sz w:val="21"/>
          <w:szCs w:val="21"/>
        </w:rPr>
        <w:t xml:space="preserve">será devuelta </w:t>
      </w:r>
      <w:r w:rsidR="00CE5C93" w:rsidRPr="004E5745">
        <w:rPr>
          <w:rFonts w:ascii="Arial" w:hAnsi="Arial"/>
          <w:color w:val="000000"/>
          <w:sz w:val="21"/>
          <w:szCs w:val="21"/>
        </w:rPr>
        <w:t xml:space="preserve">contra la entrega de la </w:t>
      </w:r>
      <w:r w:rsidR="00FA384E" w:rsidRPr="004E5745">
        <w:rPr>
          <w:rFonts w:ascii="Arial" w:hAnsi="Arial"/>
          <w:color w:val="000000"/>
          <w:sz w:val="21"/>
          <w:szCs w:val="21"/>
        </w:rPr>
        <w:t>fianza</w:t>
      </w:r>
      <w:r w:rsidR="00CE5C93" w:rsidRPr="004E5745">
        <w:rPr>
          <w:rFonts w:ascii="Arial" w:hAnsi="Arial"/>
          <w:color w:val="000000"/>
          <w:sz w:val="21"/>
          <w:szCs w:val="21"/>
        </w:rPr>
        <w:t xml:space="preserve"> descrita en el Numeral 1</w:t>
      </w:r>
      <w:r w:rsidR="00B20963">
        <w:rPr>
          <w:rFonts w:ascii="Arial" w:hAnsi="Arial"/>
          <w:color w:val="000000"/>
          <w:sz w:val="21"/>
          <w:szCs w:val="21"/>
        </w:rPr>
        <w:t>2</w:t>
      </w:r>
      <w:r w:rsidR="00CE5C93" w:rsidRPr="004E5745">
        <w:rPr>
          <w:rFonts w:ascii="Arial" w:hAnsi="Arial"/>
          <w:color w:val="000000"/>
          <w:sz w:val="21"/>
          <w:szCs w:val="21"/>
        </w:rPr>
        <w:t>.2.</w:t>
      </w:r>
    </w:p>
    <w:p w:rsidR="00785758" w:rsidRPr="004E5745" w:rsidRDefault="00785758"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En caso de atraso de la Puesta en Operación Comercial, la fianza deberá ser renovada o prorrogada hasta que se pague la </w:t>
      </w:r>
      <w:r w:rsidR="00BC0C7F">
        <w:rPr>
          <w:rFonts w:ascii="Arial" w:hAnsi="Arial"/>
          <w:sz w:val="21"/>
          <w:szCs w:val="21"/>
        </w:rPr>
        <w:t>penalidad</w:t>
      </w:r>
      <w:r w:rsidRPr="004E5745">
        <w:rPr>
          <w:rFonts w:ascii="Arial" w:hAnsi="Arial"/>
          <w:sz w:val="21"/>
          <w:szCs w:val="21"/>
        </w:rPr>
        <w:t xml:space="preserve"> o se resuelva en definitiva que no procede el pago de ninguna </w:t>
      </w:r>
      <w:r w:rsidR="00BC0C7F">
        <w:rPr>
          <w:rFonts w:ascii="Arial" w:hAnsi="Arial"/>
          <w:sz w:val="21"/>
          <w:szCs w:val="21"/>
        </w:rPr>
        <w:t>penalidad</w:t>
      </w:r>
      <w:r w:rsidRPr="004E5745">
        <w:rPr>
          <w:rFonts w:ascii="Arial" w:hAnsi="Arial"/>
          <w:sz w:val="21"/>
          <w:szCs w:val="21"/>
        </w:rPr>
        <w:t>, según sea el caso.</w:t>
      </w:r>
    </w:p>
    <w:p w:rsidR="00785758"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A fin de garantizar el fiel cumplimiento de las obligaciones que le corresponden conforme al Contrato y las Leyes Aplicables, incluyendo el pago de las </w:t>
      </w:r>
      <w:r w:rsidR="00BC0C7F">
        <w:rPr>
          <w:rFonts w:ascii="Arial" w:hAnsi="Arial"/>
          <w:sz w:val="21"/>
          <w:szCs w:val="21"/>
        </w:rPr>
        <w:t>penalidad</w:t>
      </w:r>
      <w:r w:rsidR="00BC0C7F" w:rsidRPr="004E5745">
        <w:rPr>
          <w:rFonts w:ascii="Arial" w:hAnsi="Arial"/>
          <w:sz w:val="21"/>
          <w:szCs w:val="21"/>
        </w:rPr>
        <w:t xml:space="preserve">es </w:t>
      </w:r>
      <w:r w:rsidRPr="004E5745">
        <w:rPr>
          <w:rFonts w:ascii="Arial" w:hAnsi="Arial"/>
          <w:sz w:val="21"/>
          <w:szCs w:val="21"/>
        </w:rPr>
        <w:t xml:space="preserve">estipuladas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4</w:t>
      </w:r>
      <w:r w:rsidRPr="004E5745">
        <w:rPr>
          <w:rFonts w:ascii="Arial" w:hAnsi="Arial"/>
          <w:sz w:val="21"/>
          <w:szCs w:val="21"/>
        </w:rPr>
        <w:t>, la Sociedad Concesionaria entregará al Concedente una fianza bancaria, conforme a las reglas siguientes:</w:t>
      </w:r>
    </w:p>
    <w:p w:rsidR="00C408E8" w:rsidRPr="004E5745" w:rsidRDefault="0078575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120" w:line="257" w:lineRule="auto"/>
        <w:ind w:left="992" w:hanging="425"/>
        <w:jc w:val="both"/>
        <w:rPr>
          <w:rFonts w:ascii="Arial" w:hAnsi="Arial"/>
          <w:color w:val="000000"/>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4A598E"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37188C" w:rsidRPr="004E5745">
        <w:rPr>
          <w:rFonts w:ascii="Arial" w:hAnsi="Arial"/>
          <w:sz w:val="21"/>
          <w:szCs w:val="21"/>
        </w:rPr>
        <w:t>A</w:t>
      </w:r>
      <w:r w:rsidRPr="004E5745" w:rsidDel="00D0308D">
        <w:rPr>
          <w:rFonts w:ascii="Arial" w:hAnsi="Arial"/>
          <w:sz w:val="21"/>
          <w:szCs w:val="21"/>
        </w:rPr>
        <w:t>nexo</w:t>
      </w:r>
      <w:r w:rsidR="003D5B42" w:rsidRPr="004E5745">
        <w:rPr>
          <w:rFonts w:ascii="Arial" w:hAnsi="Arial"/>
          <w:sz w:val="21"/>
          <w:szCs w:val="21"/>
        </w:rPr>
        <w:t xml:space="preserve"> </w:t>
      </w:r>
      <w:r w:rsidR="0037188C" w:rsidRPr="004E5745">
        <w:rPr>
          <w:rFonts w:ascii="Arial" w:hAnsi="Arial"/>
          <w:sz w:val="21"/>
          <w:szCs w:val="21"/>
        </w:rPr>
        <w:t xml:space="preserve">N° </w:t>
      </w:r>
      <w:r w:rsidR="007A481C" w:rsidRPr="004E5745">
        <w:rPr>
          <w:rFonts w:ascii="Arial" w:hAnsi="Arial"/>
          <w:sz w:val="21"/>
          <w:szCs w:val="21"/>
        </w:rPr>
        <w:t>4</w:t>
      </w:r>
      <w:r w:rsidRPr="004E5745">
        <w:rPr>
          <w:rFonts w:ascii="Arial" w:hAnsi="Arial"/>
          <w:sz w:val="21"/>
          <w:szCs w:val="21"/>
        </w:rPr>
        <w:t xml:space="preserve">-A del Contrato. </w:t>
      </w:r>
    </w:p>
    <w:p w:rsidR="00785758" w:rsidRPr="004E5745" w:rsidRDefault="00C408E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7" w:lineRule="auto"/>
        <w:ind w:left="992" w:hanging="425"/>
        <w:jc w:val="both"/>
        <w:rPr>
          <w:rFonts w:ascii="Arial" w:hAnsi="Arial"/>
          <w:sz w:val="21"/>
          <w:szCs w:val="21"/>
        </w:rPr>
      </w:pPr>
      <w:r w:rsidRPr="004E5745">
        <w:rPr>
          <w:rFonts w:ascii="Arial" w:hAnsi="Arial"/>
          <w:color w:val="000000"/>
          <w:sz w:val="21"/>
          <w:szCs w:val="21"/>
        </w:rPr>
        <w:t xml:space="preserve">La fianza </w:t>
      </w:r>
      <w:r w:rsidR="009518A8" w:rsidRPr="004E5745">
        <w:rPr>
          <w:rFonts w:ascii="Arial" w:hAnsi="Arial"/>
          <w:color w:val="000000"/>
          <w:sz w:val="21"/>
          <w:szCs w:val="21"/>
        </w:rPr>
        <w:t>deberá ser entregada en</w:t>
      </w:r>
      <w:r w:rsidR="00785758" w:rsidRPr="004E5745">
        <w:rPr>
          <w:rFonts w:ascii="Arial" w:hAnsi="Arial"/>
          <w:sz w:val="21"/>
          <w:szCs w:val="21"/>
        </w:rPr>
        <w:t xml:space="preserve"> la </w:t>
      </w:r>
      <w:r w:rsidR="009518A8" w:rsidRPr="004E5745">
        <w:rPr>
          <w:rFonts w:ascii="Arial" w:hAnsi="Arial"/>
          <w:color w:val="000000"/>
          <w:sz w:val="21"/>
          <w:szCs w:val="21"/>
        </w:rPr>
        <w:t>fecha de</w:t>
      </w:r>
      <w:r w:rsidR="00785758" w:rsidRPr="004E5745">
        <w:rPr>
          <w:rFonts w:ascii="Arial" w:hAnsi="Arial"/>
          <w:sz w:val="21"/>
          <w:szCs w:val="21"/>
        </w:rPr>
        <w:t xml:space="preserve"> la </w:t>
      </w:r>
      <w:r w:rsidR="009518A8" w:rsidRPr="004E5745">
        <w:rPr>
          <w:rFonts w:ascii="Arial" w:hAnsi="Arial"/>
          <w:color w:val="000000"/>
          <w:sz w:val="21"/>
          <w:szCs w:val="21"/>
        </w:rPr>
        <w:t>Puesta en Operación Comercial y</w:t>
      </w:r>
      <w:r w:rsidR="00042CDA" w:rsidRPr="004E5745">
        <w:rPr>
          <w:rFonts w:ascii="Arial" w:hAnsi="Arial"/>
          <w:color w:val="000000"/>
          <w:sz w:val="21"/>
          <w:szCs w:val="21"/>
        </w:rPr>
        <w:t xml:space="preserve"> </w:t>
      </w:r>
      <w:r w:rsidRPr="004E5745">
        <w:rPr>
          <w:rFonts w:ascii="Arial" w:hAnsi="Arial"/>
          <w:color w:val="000000"/>
          <w:sz w:val="21"/>
          <w:szCs w:val="21"/>
        </w:rPr>
        <w:t>permanecer vigente hasta seis (06) meses posteriores al cumplimiento del plazo de vigencia del Contrato. Asimismo, la fianza</w:t>
      </w:r>
      <w:r w:rsidR="00785758" w:rsidRPr="004E5745">
        <w:rPr>
          <w:rFonts w:ascii="Arial" w:hAnsi="Arial"/>
          <w:sz w:val="21"/>
          <w:szCs w:val="21"/>
        </w:rPr>
        <w:t xml:space="preserve"> será devuelta a la Sociedad Concesionaria </w:t>
      </w:r>
      <w:r w:rsidR="00395959" w:rsidRPr="004E5745">
        <w:rPr>
          <w:rFonts w:ascii="Arial" w:hAnsi="Arial"/>
          <w:sz w:val="21"/>
          <w:szCs w:val="21"/>
        </w:rPr>
        <w:t>a más tardar</w:t>
      </w:r>
      <w:r w:rsidR="00785758" w:rsidRPr="004E5745">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4E5745">
        <w:rPr>
          <w:rFonts w:ascii="Arial" w:hAnsi="Arial"/>
          <w:sz w:val="21"/>
          <w:szCs w:val="21"/>
        </w:rPr>
        <w:t>.</w:t>
      </w:r>
    </w:p>
    <w:p w:rsidR="00785758" w:rsidRPr="004E5745" w:rsidRDefault="0078575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 xml:space="preserve">será otorgada por períodos anuales y </w:t>
      </w:r>
      <w:r w:rsidRPr="004E5745">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4E5745"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Si llegado su vencimiento las fianzas no son renovadas o prorrogadas conforme a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 xml:space="preserve">.2, el Concedente podrá ejecutar totalmente la </w:t>
      </w:r>
      <w:r w:rsidR="004E58DB">
        <w:rPr>
          <w:rFonts w:ascii="Arial" w:hAnsi="Arial"/>
          <w:sz w:val="21"/>
          <w:szCs w:val="21"/>
        </w:rPr>
        <w:t>G</w:t>
      </w:r>
      <w:r w:rsidRPr="004E5745">
        <w:rPr>
          <w:rFonts w:ascii="Arial" w:hAnsi="Arial"/>
          <w:sz w:val="21"/>
          <w:szCs w:val="21"/>
        </w:rPr>
        <w:t xml:space="preserve">arantía respectiva, en cuyo caso los fondos resultantes de la ejecución se constituirán automáticamente, sin necesidad de aprobación adicional, en la </w:t>
      </w:r>
      <w:r w:rsidR="00DC7A5F">
        <w:rPr>
          <w:rFonts w:ascii="Arial" w:hAnsi="Arial"/>
          <w:sz w:val="21"/>
          <w:szCs w:val="21"/>
        </w:rPr>
        <w:t>G</w:t>
      </w:r>
      <w:r w:rsidRPr="004E5745">
        <w:rPr>
          <w:rFonts w:ascii="Arial" w:hAnsi="Arial"/>
          <w:sz w:val="21"/>
          <w:szCs w:val="21"/>
        </w:rPr>
        <w:t xml:space="preserve">arantía correspondiente, hasta el momento en que la Sociedad Concesionaria entregue al Concedente una nueva </w:t>
      </w:r>
      <w:r w:rsidR="004E58DB">
        <w:rPr>
          <w:rFonts w:ascii="Arial" w:hAnsi="Arial"/>
          <w:sz w:val="21"/>
          <w:szCs w:val="21"/>
        </w:rPr>
        <w:t>G</w:t>
      </w:r>
      <w:r w:rsidRPr="004E5745">
        <w:rPr>
          <w:rFonts w:ascii="Arial" w:hAnsi="Arial"/>
          <w:sz w:val="21"/>
          <w:szCs w:val="21"/>
        </w:rPr>
        <w:t xml:space="preserve">arantía. Entregada ésta, el Concedente procederá de inmediato a entregar a la Sociedad Concesionaria los fondos resultantes de la ejecución de la </w:t>
      </w:r>
      <w:r w:rsidR="004E58DB">
        <w:rPr>
          <w:rFonts w:ascii="Arial" w:hAnsi="Arial"/>
          <w:sz w:val="21"/>
          <w:szCs w:val="21"/>
        </w:rPr>
        <w:t>G</w:t>
      </w:r>
      <w:r w:rsidRPr="004E5745">
        <w:rPr>
          <w:rFonts w:ascii="Arial" w:hAnsi="Arial"/>
          <w:sz w:val="21"/>
          <w:szCs w:val="21"/>
        </w:rPr>
        <w:t>arantía original, sin intereses.</w:t>
      </w:r>
    </w:p>
    <w:p w:rsidR="00785758" w:rsidRPr="004E5745"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Las </w:t>
      </w:r>
      <w:r w:rsidR="004E58DB">
        <w:rPr>
          <w:rFonts w:ascii="Arial" w:hAnsi="Arial"/>
          <w:sz w:val="21"/>
          <w:szCs w:val="21"/>
        </w:rPr>
        <w:t>G</w:t>
      </w:r>
      <w:r w:rsidRPr="004E5745">
        <w:rPr>
          <w:rFonts w:ascii="Arial" w:hAnsi="Arial"/>
          <w:sz w:val="21"/>
          <w:szCs w:val="21"/>
        </w:rPr>
        <w:t xml:space="preserve">arantías a que se refieren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.2 son distintas e independientes de la indicada en el artículo 25.i) de la Ley de Concesiones Eléctricas.</w:t>
      </w:r>
    </w:p>
    <w:p w:rsidR="00785758" w:rsidRPr="004E5745" w:rsidRDefault="00785758"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sidRPr="004E5745">
        <w:rPr>
          <w:rFonts w:ascii="Arial" w:hAnsi="Arial"/>
          <w:b/>
          <w:sz w:val="24"/>
          <w:szCs w:val="24"/>
        </w:rPr>
        <w:lastRenderedPageBreak/>
        <w:t>1</w:t>
      </w:r>
      <w:r w:rsidR="00B20963">
        <w:rPr>
          <w:rFonts w:ascii="Arial" w:hAnsi="Arial"/>
          <w:b/>
          <w:sz w:val="24"/>
          <w:szCs w:val="24"/>
        </w:rPr>
        <w:t>3</w:t>
      </w:r>
      <w:r w:rsidRPr="004E5745">
        <w:rPr>
          <w:rFonts w:ascii="Arial" w:hAnsi="Arial"/>
          <w:b/>
          <w:sz w:val="24"/>
          <w:szCs w:val="24"/>
        </w:rPr>
        <w:t>.</w:t>
      </w:r>
      <w:r w:rsidRPr="004E5745">
        <w:rPr>
          <w:rFonts w:ascii="Arial" w:hAnsi="Arial"/>
          <w:b/>
          <w:sz w:val="24"/>
          <w:szCs w:val="24"/>
        </w:rPr>
        <w:tab/>
        <w:t>Terminación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line="257" w:lineRule="auto"/>
        <w:ind w:left="567" w:hanging="567"/>
        <w:jc w:val="both"/>
        <w:rPr>
          <w:rFonts w:ascii="Arial" w:hAnsi="Arial"/>
          <w:sz w:val="21"/>
          <w:szCs w:val="21"/>
        </w:rPr>
      </w:pPr>
      <w:r w:rsidRPr="004E5745">
        <w:rPr>
          <w:rFonts w:ascii="Arial" w:hAnsi="Arial"/>
          <w:sz w:val="21"/>
          <w:szCs w:val="21"/>
        </w:rPr>
        <w:t>El Contrato terminará por:</w:t>
      </w:r>
    </w:p>
    <w:p w:rsidR="00785758" w:rsidRPr="004E5745"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Acuerdo de las Partes.</w:t>
      </w:r>
    </w:p>
    <w:p w:rsidR="00785758" w:rsidRPr="004E5745"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Terminación del Contrato de Concesión Definitiva de Transmisión Eléctrica.</w:t>
      </w:r>
    </w:p>
    <w:p w:rsidR="00785758" w:rsidRPr="004E5745"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Vencimiento del plazo del Contrato, o</w:t>
      </w:r>
    </w:p>
    <w:p w:rsidR="00785758"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Resolución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El Concedente podrá resolver el Contrato, si la Sociedad Concesionaria: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Hubiera suscrito el Contrato y luego se comprobara que cualquiera de las declaraciones formuladas en la </w:t>
      </w:r>
      <w:r w:rsidR="00313D11" w:rsidRPr="004E5745">
        <w:rPr>
          <w:rFonts w:ascii="Arial" w:hAnsi="Arial"/>
          <w:sz w:val="21"/>
          <w:szCs w:val="21"/>
          <w:lang w:val="es-PE"/>
        </w:rPr>
        <w:t>Cláusula</w:t>
      </w:r>
      <w:r w:rsidRPr="004E5745">
        <w:rPr>
          <w:rFonts w:ascii="Arial" w:hAnsi="Arial"/>
          <w:sz w:val="21"/>
          <w:szCs w:val="21"/>
          <w:lang w:val="es-PE"/>
        </w:rPr>
        <w:t xml:space="preserve"> 2.1 era falsa.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Demor</w:t>
      </w:r>
      <w:r w:rsidR="003724A3" w:rsidRPr="004E5745">
        <w:rPr>
          <w:rFonts w:ascii="Arial" w:hAnsi="Arial"/>
          <w:sz w:val="21"/>
          <w:szCs w:val="21"/>
          <w:lang w:val="es-PE"/>
        </w:rPr>
        <w:t>a</w:t>
      </w:r>
      <w:r w:rsidRPr="004E5745">
        <w:rPr>
          <w:rFonts w:ascii="Arial" w:hAnsi="Arial"/>
          <w:sz w:val="21"/>
          <w:szCs w:val="21"/>
          <w:lang w:val="es-PE"/>
        </w:rPr>
        <w:t xml:space="preserve"> por más de ciento cincuenta (150) días calendario </w:t>
      </w:r>
      <w:r w:rsidR="00DF2A11" w:rsidRPr="004E5745">
        <w:rPr>
          <w:rFonts w:ascii="Arial" w:hAnsi="Arial"/>
          <w:sz w:val="21"/>
          <w:szCs w:val="21"/>
          <w:lang w:val="es-PE"/>
        </w:rPr>
        <w:t>en cualquiera de los</w:t>
      </w:r>
      <w:r w:rsidR="007260D8" w:rsidRPr="004E5745">
        <w:rPr>
          <w:rFonts w:ascii="Arial" w:hAnsi="Arial"/>
          <w:sz w:val="21"/>
          <w:szCs w:val="21"/>
          <w:lang w:val="es-PE"/>
        </w:rPr>
        <w:t xml:space="preserve"> hitos indicados en el Anexo </w:t>
      </w:r>
      <w:r w:rsidR="006333E8" w:rsidRPr="004E5745">
        <w:rPr>
          <w:rFonts w:ascii="Arial" w:hAnsi="Arial"/>
          <w:sz w:val="21"/>
          <w:szCs w:val="21"/>
          <w:lang w:val="es-PE"/>
        </w:rPr>
        <w:t>N</w:t>
      </w:r>
      <w:r w:rsidR="00B70054" w:rsidRPr="004E5745">
        <w:rPr>
          <w:rFonts w:ascii="Arial" w:hAnsi="Arial"/>
          <w:sz w:val="21"/>
          <w:szCs w:val="21"/>
          <w:lang w:val="es-PE"/>
        </w:rPr>
        <w:t xml:space="preserve">º </w:t>
      </w:r>
      <w:r w:rsidR="007260D8" w:rsidRPr="004E5745">
        <w:rPr>
          <w:rFonts w:ascii="Arial" w:hAnsi="Arial"/>
          <w:sz w:val="21"/>
          <w:szCs w:val="21"/>
          <w:lang w:val="es-PE"/>
        </w:rPr>
        <w:t>7,</w:t>
      </w:r>
      <w:r w:rsidRPr="004E5745">
        <w:rPr>
          <w:rFonts w:ascii="Arial" w:hAnsi="Arial"/>
          <w:sz w:val="21"/>
          <w:szCs w:val="21"/>
          <w:lang w:val="es-PE"/>
        </w:rPr>
        <w:t xml:space="preserve"> sobre l</w:t>
      </w:r>
      <w:r w:rsidR="00253906" w:rsidRPr="004E5745">
        <w:rPr>
          <w:rFonts w:ascii="Arial" w:hAnsi="Arial"/>
          <w:sz w:val="21"/>
          <w:szCs w:val="21"/>
          <w:lang w:val="es-PE"/>
        </w:rPr>
        <w:t>os</w:t>
      </w:r>
      <w:r w:rsidRPr="004E5745">
        <w:rPr>
          <w:rFonts w:ascii="Arial" w:hAnsi="Arial"/>
          <w:sz w:val="21"/>
          <w:szCs w:val="21"/>
          <w:lang w:val="es-PE"/>
        </w:rPr>
        <w:t xml:space="preserve"> plazo</w:t>
      </w:r>
      <w:r w:rsidR="00253906" w:rsidRPr="004E5745">
        <w:rPr>
          <w:rFonts w:ascii="Arial" w:hAnsi="Arial"/>
          <w:sz w:val="21"/>
          <w:szCs w:val="21"/>
          <w:lang w:val="es-PE"/>
        </w:rPr>
        <w:t>s</w:t>
      </w:r>
      <w:r w:rsidRPr="004E5745">
        <w:rPr>
          <w:rFonts w:ascii="Arial" w:hAnsi="Arial"/>
          <w:sz w:val="21"/>
          <w:szCs w:val="21"/>
          <w:lang w:val="es-PE"/>
        </w:rPr>
        <w:t xml:space="preserve"> previsto</w:t>
      </w:r>
      <w:r w:rsidR="00253906" w:rsidRPr="004E5745">
        <w:rPr>
          <w:rFonts w:ascii="Arial" w:hAnsi="Arial"/>
          <w:sz w:val="21"/>
          <w:szCs w:val="21"/>
          <w:lang w:val="es-PE"/>
        </w:rPr>
        <w:t>s</w:t>
      </w:r>
      <w:r w:rsidRPr="004E5745">
        <w:rPr>
          <w:rFonts w:ascii="Arial" w:hAnsi="Arial"/>
          <w:sz w:val="21"/>
          <w:szCs w:val="21"/>
          <w:lang w:val="es-PE"/>
        </w:rPr>
        <w:t xml:space="preserve"> en </w:t>
      </w:r>
      <w:r w:rsidR="007260D8" w:rsidRPr="004E5745">
        <w:rPr>
          <w:rFonts w:ascii="Arial" w:hAnsi="Arial"/>
          <w:sz w:val="21"/>
          <w:szCs w:val="21"/>
          <w:lang w:val="es-PE"/>
        </w:rPr>
        <w:t>el mismo anexo</w:t>
      </w:r>
      <w:r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No renovara o no prorrogara las </w:t>
      </w:r>
      <w:r w:rsidR="004E58DB">
        <w:rPr>
          <w:rFonts w:ascii="Arial" w:hAnsi="Arial"/>
          <w:sz w:val="21"/>
          <w:szCs w:val="21"/>
          <w:lang w:val="es-PE"/>
        </w:rPr>
        <w:t>G</w:t>
      </w:r>
      <w:r w:rsidRPr="004E5745">
        <w:rPr>
          <w:rFonts w:ascii="Arial" w:hAnsi="Arial"/>
          <w:sz w:val="21"/>
          <w:szCs w:val="21"/>
          <w:lang w:val="es-PE"/>
        </w:rPr>
        <w:t xml:space="preserve">arantías, conforme a lo previsto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2</w:t>
      </w:r>
      <w:r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Dejara de operar la Línea Eléctrica</w:t>
      </w:r>
      <w:r w:rsidR="00CE5C93" w:rsidRPr="004E5745">
        <w:rPr>
          <w:rFonts w:ascii="Arial" w:hAnsi="Arial"/>
          <w:color w:val="000000"/>
          <w:sz w:val="21"/>
          <w:szCs w:val="21"/>
          <w:lang w:val="es-PE"/>
        </w:rPr>
        <w:t>, sin causa justificada,</w:t>
      </w:r>
      <w:r w:rsidRPr="004E5745">
        <w:rPr>
          <w:rFonts w:ascii="Arial" w:hAnsi="Arial"/>
          <w:sz w:val="21"/>
          <w:szCs w:val="21"/>
          <w:lang w:val="es-PE"/>
        </w:rPr>
        <w:t xml:space="preserve"> por ciento ochenta </w:t>
      </w:r>
      <w:r w:rsidR="00FA48A7" w:rsidRPr="004E5745">
        <w:rPr>
          <w:rFonts w:ascii="Arial" w:hAnsi="Arial"/>
          <w:sz w:val="21"/>
          <w:szCs w:val="21"/>
          <w:lang w:val="es-PE"/>
        </w:rPr>
        <w:t xml:space="preserve">(180) </w:t>
      </w:r>
      <w:r w:rsidRPr="004E5745">
        <w:rPr>
          <w:rFonts w:ascii="Arial" w:hAnsi="Arial"/>
          <w:sz w:val="21"/>
          <w:szCs w:val="21"/>
          <w:lang w:val="es-PE"/>
        </w:rPr>
        <w:t>horas, continuas o no, dentro de un año calendario.</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Persistiera, luego de ser sancionada administrativamente por </w:t>
      </w:r>
      <w:r w:rsidR="00F20FDB">
        <w:rPr>
          <w:rFonts w:ascii="Arial" w:hAnsi="Arial"/>
          <w:sz w:val="21"/>
          <w:szCs w:val="21"/>
          <w:lang w:val="es-PE"/>
        </w:rPr>
        <w:t xml:space="preserve">el </w:t>
      </w:r>
      <w:r w:rsidRPr="004E5745">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Transfiriese parcial o totalmente el Contrato, por cualquier título, sin la previa aprobación del Concedente.</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Fuera sancionada con multas administrativas no tributarias</w:t>
      </w:r>
      <w:r w:rsidR="00E92200">
        <w:rPr>
          <w:rFonts w:ascii="Arial" w:hAnsi="Arial"/>
          <w:sz w:val="21"/>
          <w:szCs w:val="21"/>
          <w:lang w:val="es-PE"/>
        </w:rPr>
        <w:t xml:space="preserve"> emitidas por el Concedente u Osinergmin</w:t>
      </w:r>
      <w:r w:rsidRPr="004E5745">
        <w:rPr>
          <w:rFonts w:ascii="Arial" w:hAnsi="Arial"/>
          <w:sz w:val="21"/>
          <w:szCs w:val="21"/>
          <w:lang w:val="es-PE"/>
        </w:rPr>
        <w:t xml:space="preserve">, que en un (1) año calendario </w:t>
      </w:r>
      <w:r w:rsidR="00DB5E10">
        <w:rPr>
          <w:rFonts w:ascii="Arial" w:hAnsi="Arial"/>
          <w:sz w:val="21"/>
          <w:szCs w:val="21"/>
          <w:lang w:val="es-PE"/>
        </w:rPr>
        <w:t xml:space="preserve">-entendiéndose año calendario como cada periodo comprendido entre el 1° de enero y el 31 de diciembre- </w:t>
      </w:r>
      <w:r w:rsidRPr="004E5745">
        <w:rPr>
          <w:rFonts w:ascii="Arial" w:hAnsi="Arial"/>
          <w:sz w:val="21"/>
          <w:szCs w:val="21"/>
          <w:lang w:val="es-PE"/>
        </w:rPr>
        <w:t xml:space="preserve">superen el diez </w:t>
      </w:r>
      <w:r w:rsidR="00FA48A7" w:rsidRPr="004E5745">
        <w:rPr>
          <w:rFonts w:ascii="Arial" w:hAnsi="Arial"/>
          <w:sz w:val="21"/>
          <w:szCs w:val="21"/>
          <w:lang w:val="es-PE"/>
        </w:rPr>
        <w:t xml:space="preserve">por ciento </w:t>
      </w:r>
      <w:r w:rsidRPr="004E5745">
        <w:rPr>
          <w:rFonts w:ascii="Arial" w:hAnsi="Arial"/>
          <w:sz w:val="21"/>
          <w:szCs w:val="21"/>
          <w:lang w:val="es-PE"/>
        </w:rPr>
        <w:t>(10%) de la Base Tarifaria del año anterior, siempre que dichas multas hubiesen quedado firmes en sede administrativa, y en sede judicial si se hubiese interpuesto el contencioso respectivo. Esta causal es aplicable a partir del segundo año de operación comercial.</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Se fusionara, escindiera o transformara, sin previa aprobación escrita del Concedente.</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Fuera declarada en insolvencia, quebrada, disuelta o liquidada.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No contratara los seguros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7.1, o los contratara sin estipular las condiciones previstas en la </w:t>
      </w:r>
      <w:r w:rsidR="00313D11" w:rsidRPr="004E5745">
        <w:rPr>
          <w:rFonts w:ascii="Arial" w:hAnsi="Arial"/>
          <w:sz w:val="21"/>
          <w:szCs w:val="21"/>
          <w:lang w:val="es-PE"/>
        </w:rPr>
        <w:t>Cláusula</w:t>
      </w:r>
      <w:r w:rsidRPr="004E5745">
        <w:rPr>
          <w:rFonts w:ascii="Arial" w:hAnsi="Arial"/>
          <w:sz w:val="21"/>
          <w:szCs w:val="21"/>
          <w:lang w:val="es-PE"/>
        </w:rPr>
        <w:t xml:space="preserve"> 7.2.</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Contratara los contratos de financiamiento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9.1 sin incluir las estipulaciones indicadas en la </w:t>
      </w:r>
      <w:r w:rsidR="00313D11" w:rsidRPr="004E5745">
        <w:rPr>
          <w:rFonts w:ascii="Arial" w:hAnsi="Arial"/>
          <w:sz w:val="21"/>
          <w:szCs w:val="21"/>
          <w:lang w:val="es-PE"/>
        </w:rPr>
        <w:t>Cláusula</w:t>
      </w:r>
      <w:r w:rsidRPr="004E5745">
        <w:rPr>
          <w:rFonts w:ascii="Arial" w:hAnsi="Arial"/>
          <w:sz w:val="21"/>
          <w:szCs w:val="21"/>
          <w:lang w:val="es-PE"/>
        </w:rPr>
        <w:t xml:space="preserve"> 9.2</w:t>
      </w:r>
      <w:r w:rsidR="009556BE"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Incumpliera de forma injustificada, grave y reiterada, cualquier obligación establecida en el Contrato o las Leyes Aplicables, distinta a las concernidas en los literales precedentes.</w:t>
      </w:r>
    </w:p>
    <w:p w:rsidR="00785758" w:rsidRPr="004E5745" w:rsidRDefault="00BD3E64"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El Concedente también podrá resolver el Contrato, si el Operador Técnico durante el plazo requerido en el Contrato:</w:t>
      </w:r>
    </w:p>
    <w:p w:rsidR="00785758" w:rsidRPr="004E5745" w:rsidRDefault="00785758"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No conservara la Participación Mínima.</w:t>
      </w:r>
    </w:p>
    <w:p w:rsidR="00785758" w:rsidRPr="004E5745" w:rsidRDefault="00785758"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No mantuviera o no ejerciera el derecho y la obligación de controlar las operaciones técnicas.</w:t>
      </w:r>
    </w:p>
    <w:p w:rsidR="00785758" w:rsidRPr="004E5745" w:rsidRDefault="00785758"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Fuera declarado en insolvencia, quebrado, disuelto o liquidado.</w:t>
      </w:r>
    </w:p>
    <w:p w:rsidR="00456618"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Sociedad Concesionaria podrá resolver el Contrato, si</w:t>
      </w:r>
      <w:r w:rsidR="00456618">
        <w:rPr>
          <w:rFonts w:ascii="Arial" w:hAnsi="Arial"/>
          <w:sz w:val="21"/>
          <w:szCs w:val="21"/>
        </w:rPr>
        <w:t>:</w:t>
      </w:r>
      <w:r w:rsidR="00E26D2A">
        <w:rPr>
          <w:rFonts w:ascii="Arial" w:hAnsi="Arial"/>
          <w:sz w:val="21"/>
          <w:szCs w:val="21"/>
        </w:rPr>
        <w:t xml:space="preserve"> </w:t>
      </w:r>
    </w:p>
    <w:p w:rsidR="000E6C0B" w:rsidRDefault="00BA334B" w:rsidP="004F6B32">
      <w:pPr>
        <w:pStyle w:val="Textosinformato"/>
        <w:numPr>
          <w:ilvl w:val="0"/>
          <w:numId w:val="94"/>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 xml:space="preserve">se extendiera cualquiera de los plazos indicados en el Anexo 7 por más de </w:t>
      </w:r>
      <w:r w:rsidR="00136B55">
        <w:rPr>
          <w:rFonts w:ascii="Arial" w:hAnsi="Arial"/>
          <w:sz w:val="21"/>
          <w:szCs w:val="21"/>
          <w:lang w:val="es-PE"/>
        </w:rPr>
        <w:t>seis</w:t>
      </w:r>
      <w:r w:rsidRPr="000E6C0B">
        <w:rPr>
          <w:rFonts w:ascii="Arial" w:hAnsi="Arial"/>
          <w:sz w:val="21"/>
          <w:szCs w:val="21"/>
          <w:lang w:val="es-PE"/>
        </w:rPr>
        <w:t xml:space="preserve"> (</w:t>
      </w:r>
      <w:r w:rsidR="00136B55">
        <w:rPr>
          <w:rFonts w:ascii="Arial" w:hAnsi="Arial"/>
          <w:sz w:val="21"/>
          <w:szCs w:val="21"/>
          <w:lang w:val="es-PE"/>
        </w:rPr>
        <w:t>6</w:t>
      </w:r>
      <w:r w:rsidRPr="000E6C0B">
        <w:rPr>
          <w:rFonts w:ascii="Arial" w:hAnsi="Arial"/>
          <w:sz w:val="21"/>
          <w:szCs w:val="21"/>
          <w:lang w:val="es-PE"/>
        </w:rPr>
        <w:t xml:space="preserve">) meses, debido a una acción </w:t>
      </w:r>
      <w:r w:rsidR="008C7F9D">
        <w:rPr>
          <w:rFonts w:ascii="Arial" w:hAnsi="Arial"/>
          <w:sz w:val="21"/>
          <w:szCs w:val="21"/>
          <w:lang w:val="es-PE"/>
        </w:rPr>
        <w:t xml:space="preserve">indebida </w:t>
      </w:r>
      <w:r w:rsidRPr="000E6C0B">
        <w:rPr>
          <w:rFonts w:ascii="Arial" w:hAnsi="Arial"/>
          <w:sz w:val="21"/>
          <w:szCs w:val="21"/>
          <w:lang w:val="es-PE"/>
        </w:rPr>
        <w:t xml:space="preserve">u omisión por parte de </w:t>
      </w:r>
      <w:r w:rsidR="006E7833" w:rsidRPr="000E6C0B">
        <w:rPr>
          <w:rFonts w:ascii="Arial" w:hAnsi="Arial"/>
          <w:sz w:val="21"/>
          <w:szCs w:val="21"/>
          <w:lang w:val="es-PE"/>
        </w:rPr>
        <w:t xml:space="preserve">una </w:t>
      </w:r>
      <w:r w:rsidRPr="000E6C0B">
        <w:rPr>
          <w:rFonts w:ascii="Arial" w:hAnsi="Arial"/>
          <w:sz w:val="21"/>
          <w:szCs w:val="21"/>
          <w:lang w:val="es-PE"/>
        </w:rPr>
        <w:t>Autoridad Gubernamental conforme a lo indicado en la Cláusula 4.3.</w:t>
      </w:r>
    </w:p>
    <w:p w:rsidR="000E6C0B" w:rsidRPr="000E6C0B" w:rsidRDefault="000E6C0B" w:rsidP="004F6B32">
      <w:pPr>
        <w:pStyle w:val="Textosinformato"/>
        <w:numPr>
          <w:ilvl w:val="0"/>
          <w:numId w:val="94"/>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Pr>
          <w:rFonts w:ascii="Arial" w:hAnsi="Arial"/>
          <w:sz w:val="21"/>
          <w:szCs w:val="21"/>
          <w:lang w:val="es-PE"/>
        </w:rPr>
        <w:t xml:space="preserve">se extendiera </w:t>
      </w:r>
      <w:r w:rsidR="00136B55">
        <w:rPr>
          <w:rFonts w:ascii="Arial" w:hAnsi="Arial"/>
          <w:sz w:val="21"/>
          <w:szCs w:val="21"/>
          <w:lang w:val="es-PE"/>
        </w:rPr>
        <w:t xml:space="preserve">en </w:t>
      </w:r>
      <w:r>
        <w:rPr>
          <w:rFonts w:ascii="Arial" w:hAnsi="Arial"/>
          <w:sz w:val="21"/>
          <w:szCs w:val="21"/>
          <w:lang w:val="es-PE"/>
        </w:rPr>
        <w:t>d</w:t>
      </w:r>
      <w:r w:rsidR="001F255F">
        <w:rPr>
          <w:rFonts w:ascii="Arial" w:hAnsi="Arial"/>
          <w:sz w:val="21"/>
          <w:szCs w:val="21"/>
          <w:lang w:val="es-PE"/>
        </w:rPr>
        <w:t>ieciocho</w:t>
      </w:r>
      <w:r>
        <w:rPr>
          <w:rFonts w:ascii="Arial" w:hAnsi="Arial"/>
          <w:sz w:val="21"/>
          <w:szCs w:val="21"/>
          <w:lang w:val="es-PE"/>
        </w:rPr>
        <w:t xml:space="preserve"> (1</w:t>
      </w:r>
      <w:r w:rsidR="001F255F">
        <w:rPr>
          <w:rFonts w:ascii="Arial" w:hAnsi="Arial"/>
          <w:sz w:val="21"/>
          <w:szCs w:val="21"/>
          <w:lang w:val="es-PE"/>
        </w:rPr>
        <w:t>8</w:t>
      </w:r>
      <w:r>
        <w:rPr>
          <w:rFonts w:ascii="Arial" w:hAnsi="Arial"/>
          <w:sz w:val="21"/>
          <w:szCs w:val="21"/>
          <w:lang w:val="es-PE"/>
        </w:rPr>
        <w:t xml:space="preserve">) meses </w:t>
      </w:r>
      <w:r w:rsidR="00136B55">
        <w:rPr>
          <w:rFonts w:ascii="Arial" w:hAnsi="Arial"/>
          <w:sz w:val="21"/>
          <w:szCs w:val="21"/>
          <w:lang w:val="es-PE"/>
        </w:rPr>
        <w:t xml:space="preserve">adicionales, el plazo estipulado </w:t>
      </w:r>
      <w:r>
        <w:rPr>
          <w:rFonts w:ascii="Arial" w:hAnsi="Arial"/>
          <w:sz w:val="21"/>
          <w:szCs w:val="21"/>
          <w:lang w:val="es-PE"/>
        </w:rPr>
        <w:t>en el artículo 2</w:t>
      </w:r>
      <w:r w:rsidR="00136B55">
        <w:rPr>
          <w:rFonts w:ascii="Arial" w:hAnsi="Arial"/>
          <w:sz w:val="21"/>
          <w:szCs w:val="21"/>
          <w:lang w:val="es-PE"/>
        </w:rPr>
        <w:t>4</w:t>
      </w:r>
      <w:r>
        <w:rPr>
          <w:rFonts w:ascii="Arial" w:hAnsi="Arial"/>
          <w:sz w:val="21"/>
          <w:szCs w:val="21"/>
          <w:lang w:val="es-PE"/>
        </w:rPr>
        <w:t xml:space="preserve"> del Decreto Supremo Nº 001-2012-MC</w:t>
      </w:r>
      <w:r w:rsidR="00B55629">
        <w:rPr>
          <w:rFonts w:ascii="Arial" w:hAnsi="Arial"/>
          <w:sz w:val="21"/>
          <w:szCs w:val="21"/>
          <w:lang w:val="es-PE"/>
        </w:rPr>
        <w:t xml:space="preserve"> o su modificatoria</w:t>
      </w:r>
      <w:r>
        <w:rPr>
          <w:rFonts w:ascii="Arial" w:hAnsi="Arial"/>
          <w:sz w:val="21"/>
          <w:szCs w:val="21"/>
          <w:lang w:val="es-PE"/>
        </w:rPr>
        <w:t xml:space="preserve">.  </w:t>
      </w:r>
    </w:p>
    <w:p w:rsidR="000E6C0B" w:rsidRPr="000E6C0B" w:rsidRDefault="000E6C0B" w:rsidP="004F6B32">
      <w:pPr>
        <w:pStyle w:val="Textosinformato"/>
        <w:numPr>
          <w:ilvl w:val="0"/>
          <w:numId w:val="94"/>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la</w:t>
      </w:r>
      <w:r>
        <w:rPr>
          <w:rFonts w:ascii="Arial" w:hAnsi="Arial"/>
          <w:sz w:val="21"/>
          <w:szCs w:val="21"/>
          <w:lang w:val="es-PE"/>
        </w:rPr>
        <w:t xml:space="preserve"> </w:t>
      </w:r>
      <w:r w:rsidRPr="000E6C0B">
        <w:rPr>
          <w:rFonts w:ascii="Arial" w:hAnsi="Arial"/>
          <w:sz w:val="21"/>
          <w:szCs w:val="21"/>
          <w:lang w:val="es-PE"/>
        </w:rPr>
        <w:t>s</w:t>
      </w:r>
      <w:r>
        <w:rPr>
          <w:rFonts w:ascii="Arial" w:hAnsi="Arial"/>
          <w:sz w:val="21"/>
          <w:szCs w:val="21"/>
          <w:lang w:val="es-PE"/>
        </w:rPr>
        <w:t>uma de las</w:t>
      </w:r>
      <w:r w:rsidRPr="000E6C0B">
        <w:rPr>
          <w:rFonts w:ascii="Arial" w:hAnsi="Arial"/>
          <w:sz w:val="21"/>
          <w:szCs w:val="21"/>
          <w:lang w:val="es-PE"/>
        </w:rPr>
        <w:t xml:space="preserve"> Compensaciones, Restricciones </w:t>
      </w:r>
      <w:r>
        <w:rPr>
          <w:rFonts w:ascii="Arial" w:hAnsi="Arial"/>
          <w:sz w:val="21"/>
          <w:szCs w:val="21"/>
          <w:lang w:val="es-PE"/>
        </w:rPr>
        <w:t>o</w:t>
      </w:r>
      <w:r w:rsidRPr="000E6C0B">
        <w:rPr>
          <w:rFonts w:ascii="Arial" w:hAnsi="Arial"/>
          <w:sz w:val="21"/>
          <w:szCs w:val="21"/>
          <w:lang w:val="es-PE"/>
        </w:rPr>
        <w:t xml:space="preserve"> Diferencias por Localización</w:t>
      </w:r>
      <w:r>
        <w:rPr>
          <w:rFonts w:ascii="Arial" w:hAnsi="Arial"/>
          <w:sz w:val="21"/>
          <w:szCs w:val="21"/>
          <w:lang w:val="es-PE"/>
        </w:rPr>
        <w:t>, según se encuentran definidas en el Anexo 9</w:t>
      </w:r>
      <w:r w:rsidRPr="000E6C0B">
        <w:rPr>
          <w:rFonts w:ascii="Arial" w:hAnsi="Arial"/>
          <w:sz w:val="21"/>
          <w:szCs w:val="21"/>
          <w:lang w:val="es-PE"/>
        </w:rPr>
        <w:t xml:space="preserve">, excedieran el </w:t>
      </w:r>
      <w:r w:rsidR="00A23D28">
        <w:rPr>
          <w:rFonts w:ascii="Arial" w:hAnsi="Arial"/>
          <w:sz w:val="21"/>
          <w:szCs w:val="21"/>
          <w:lang w:val="es-PE"/>
        </w:rPr>
        <w:t>1</w:t>
      </w:r>
      <w:r w:rsidR="008C7F9D">
        <w:rPr>
          <w:rFonts w:ascii="Arial" w:hAnsi="Arial"/>
          <w:sz w:val="21"/>
          <w:szCs w:val="21"/>
          <w:lang w:val="es-PE"/>
        </w:rPr>
        <w:t>5</w:t>
      </w:r>
      <w:r w:rsidRPr="000E6C0B">
        <w:rPr>
          <w:rFonts w:ascii="Arial" w:hAnsi="Arial"/>
          <w:sz w:val="21"/>
          <w:szCs w:val="21"/>
          <w:lang w:val="es-PE"/>
        </w:rPr>
        <w:t xml:space="preserve">% </w:t>
      </w:r>
      <w:r w:rsidR="008C7F9D">
        <w:rPr>
          <w:rFonts w:ascii="Arial" w:hAnsi="Arial"/>
          <w:sz w:val="21"/>
          <w:szCs w:val="21"/>
          <w:lang w:val="es-PE"/>
        </w:rPr>
        <w:t>(</w:t>
      </w:r>
      <w:r w:rsidR="001F255F">
        <w:rPr>
          <w:rFonts w:ascii="Arial" w:hAnsi="Arial"/>
          <w:sz w:val="21"/>
          <w:szCs w:val="21"/>
          <w:lang w:val="es-PE"/>
        </w:rPr>
        <w:t>quince</w:t>
      </w:r>
      <w:r w:rsidR="008C7F9D">
        <w:rPr>
          <w:rFonts w:ascii="Arial" w:hAnsi="Arial"/>
          <w:sz w:val="21"/>
          <w:szCs w:val="21"/>
          <w:lang w:val="es-PE"/>
        </w:rPr>
        <w:t xml:space="preserve"> por ciento) </w:t>
      </w:r>
      <w:r w:rsidRPr="000E6C0B">
        <w:rPr>
          <w:rFonts w:ascii="Arial" w:hAnsi="Arial"/>
          <w:sz w:val="21"/>
          <w:szCs w:val="21"/>
          <w:lang w:val="es-PE"/>
        </w:rPr>
        <w:t>del Costo de Inversión</w:t>
      </w:r>
      <w:r>
        <w:rPr>
          <w:rFonts w:ascii="Arial" w:hAnsi="Arial"/>
          <w:sz w:val="21"/>
          <w:szCs w:val="21"/>
          <w:lang w:val="es-PE"/>
        </w:rPr>
        <w:t xml:space="preserve"> descrito en la Cláusula 8.1.</w:t>
      </w:r>
    </w:p>
    <w:p w:rsidR="00A47E67" w:rsidRPr="000E6C0B" w:rsidRDefault="00533171" w:rsidP="004F6B32">
      <w:pPr>
        <w:pStyle w:val="Textosinformato"/>
        <w:numPr>
          <w:ilvl w:val="0"/>
          <w:numId w:val="94"/>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el Concedente incumpliera, de manera injustificada, grave y reiterada, cualquiera de las obligaciones que le corresponden conforme al Contrato o las Leyes Aplicables</w:t>
      </w:r>
      <w:r w:rsidR="00BA334B" w:rsidRPr="000E6C0B">
        <w:rPr>
          <w:rFonts w:ascii="Arial" w:hAnsi="Arial"/>
          <w:sz w:val="21"/>
          <w:szCs w:val="21"/>
          <w:lang w:val="es-PE"/>
        </w:rPr>
        <w:t>.</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lang w:eastAsia="en-US"/>
        </w:rPr>
        <w:t>Cualquiera de</w:t>
      </w:r>
      <w:r w:rsidRPr="004E5745">
        <w:rPr>
          <w:rFonts w:ascii="Arial" w:hAnsi="Arial"/>
          <w:sz w:val="21"/>
          <w:szCs w:val="21"/>
        </w:rPr>
        <w:t xml:space="preserve"> las Partes podrá resolver el Contrato si se presentara un evento de Fuerza Mayor y éste o sus efectos no pudieran ser superados pese a haber transcurrido doce (12) meses continuos desde que se inició el evento.</w:t>
      </w:r>
      <w:r w:rsidR="00090361">
        <w:rPr>
          <w:rFonts w:ascii="Arial" w:hAnsi="Arial"/>
          <w:sz w:val="21"/>
          <w:szCs w:val="21"/>
        </w:rPr>
        <w:t xml:space="preserve"> En </w:t>
      </w:r>
      <w:r w:rsidR="005911AC">
        <w:rPr>
          <w:rFonts w:ascii="Arial" w:hAnsi="Arial"/>
          <w:sz w:val="21"/>
          <w:szCs w:val="21"/>
        </w:rPr>
        <w:t>este</w:t>
      </w:r>
      <w:r w:rsidR="00090361">
        <w:rPr>
          <w:rFonts w:ascii="Arial" w:hAnsi="Arial"/>
          <w:sz w:val="21"/>
          <w:szCs w:val="21"/>
        </w:rPr>
        <w:t xml:space="preserve"> caso, se procederá de acuerdo a la Cláusula 13.7.</w:t>
      </w:r>
    </w:p>
    <w:p w:rsidR="006D1C0F" w:rsidRPr="00BA160B"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6D1C0F">
        <w:rPr>
          <w:rFonts w:ascii="Arial" w:hAnsi="Arial"/>
          <w:sz w:val="21"/>
          <w:szCs w:val="21"/>
          <w:lang w:val="es-ES"/>
        </w:rPr>
        <w:t xml:space="preserve">Los supuestos a que se refieren los literales c), e), i), j), k) y l) de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.2, y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.3, configuran causales de </w:t>
      </w:r>
      <w:r w:rsidR="005D4A7F" w:rsidRPr="006D1C0F">
        <w:rPr>
          <w:rFonts w:ascii="Arial" w:hAnsi="Arial"/>
          <w:sz w:val="21"/>
          <w:szCs w:val="21"/>
          <w:lang w:val="es-ES"/>
        </w:rPr>
        <w:t>resolución</w:t>
      </w:r>
      <w:r w:rsidRPr="006D1C0F">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Pr>
          <w:rFonts w:ascii="Arial" w:hAnsi="Arial"/>
          <w:sz w:val="21"/>
          <w:szCs w:val="21"/>
          <w:lang w:val="es-ES"/>
        </w:rPr>
        <w:t>.</w:t>
      </w:r>
      <w:r w:rsidR="006D1C0F" w:rsidRPr="006D1C0F">
        <w:rPr>
          <w:rFonts w:ascii="Arial" w:hAnsi="Arial"/>
          <w:sz w:val="21"/>
          <w:szCs w:val="21"/>
          <w:lang w:val="es-ES"/>
        </w:rPr>
        <w:t xml:space="preserve"> </w:t>
      </w:r>
    </w:p>
    <w:p w:rsidR="00BA160B" w:rsidRPr="00BA160B" w:rsidRDefault="00BA160B" w:rsidP="00D4498D">
      <w:pPr>
        <w:spacing w:before="60" w:line="257" w:lineRule="auto"/>
        <w:ind w:left="567"/>
        <w:jc w:val="both"/>
        <w:rPr>
          <w:rFonts w:ascii="Arial" w:hAnsi="Arial"/>
          <w:sz w:val="21"/>
          <w:szCs w:val="21"/>
        </w:rPr>
      </w:pPr>
      <w:r w:rsidRPr="00BA160B">
        <w:rPr>
          <w:rFonts w:ascii="Arial" w:hAnsi="Arial"/>
          <w:sz w:val="21"/>
          <w:szCs w:val="21"/>
        </w:rPr>
        <w:t xml:space="preserve">En caso de </w:t>
      </w:r>
      <w:r w:rsidR="005D4A7F">
        <w:rPr>
          <w:rFonts w:ascii="Arial" w:hAnsi="Arial"/>
          <w:sz w:val="21"/>
          <w:szCs w:val="21"/>
        </w:rPr>
        <w:t>resolución</w:t>
      </w:r>
      <w:r w:rsidR="005D4A7F" w:rsidRPr="00BA160B">
        <w:rPr>
          <w:rFonts w:ascii="Arial" w:hAnsi="Arial"/>
          <w:sz w:val="21"/>
          <w:szCs w:val="21"/>
        </w:rPr>
        <w:t xml:space="preserve"> </w:t>
      </w:r>
      <w:r w:rsidRPr="00BA160B">
        <w:rPr>
          <w:rFonts w:ascii="Arial" w:hAnsi="Arial"/>
          <w:sz w:val="21"/>
          <w:szCs w:val="21"/>
        </w:rPr>
        <w:t>del Contrato conforme a</w:t>
      </w:r>
      <w:r w:rsidR="00F83290">
        <w:rPr>
          <w:rFonts w:ascii="Arial" w:hAnsi="Arial"/>
          <w:sz w:val="21"/>
          <w:szCs w:val="21"/>
        </w:rPr>
        <w:t xml:space="preserve"> </w:t>
      </w:r>
      <w:r w:rsidRPr="00BA160B">
        <w:rPr>
          <w:rFonts w:ascii="Arial" w:hAnsi="Arial"/>
          <w:sz w:val="21"/>
          <w:szCs w:val="21"/>
        </w:rPr>
        <w:t>la Cláusula 1</w:t>
      </w:r>
      <w:r w:rsidR="00B20963">
        <w:rPr>
          <w:rFonts w:ascii="Arial" w:hAnsi="Arial"/>
          <w:sz w:val="21"/>
          <w:szCs w:val="21"/>
        </w:rPr>
        <w:t>3</w:t>
      </w:r>
      <w:r w:rsidRPr="00BA160B">
        <w:rPr>
          <w:rFonts w:ascii="Arial" w:hAnsi="Arial"/>
          <w:sz w:val="21"/>
          <w:szCs w:val="21"/>
        </w:rPr>
        <w:t xml:space="preserve">.2, el Concedente se encuentra expresamente autorizado a ejecutar la </w:t>
      </w:r>
      <w:r w:rsidR="00DE16C2">
        <w:rPr>
          <w:rFonts w:ascii="Arial" w:hAnsi="Arial"/>
          <w:sz w:val="21"/>
          <w:szCs w:val="21"/>
        </w:rPr>
        <w:t>-</w:t>
      </w:r>
      <w:r w:rsidR="005D4A7F">
        <w:rPr>
          <w:rFonts w:ascii="Arial" w:hAnsi="Arial"/>
          <w:sz w:val="21"/>
          <w:szCs w:val="21"/>
        </w:rPr>
        <w:t>G</w:t>
      </w:r>
      <w:r w:rsidRPr="00BA160B">
        <w:rPr>
          <w:rFonts w:ascii="Arial" w:hAnsi="Arial"/>
          <w:sz w:val="21"/>
          <w:szCs w:val="21"/>
        </w:rPr>
        <w:t xml:space="preserve">arantía </w:t>
      </w:r>
      <w:r w:rsidR="00F83290">
        <w:rPr>
          <w:rFonts w:ascii="Arial" w:hAnsi="Arial"/>
          <w:sz w:val="21"/>
          <w:szCs w:val="21"/>
        </w:rPr>
        <w:t>respectiva</w:t>
      </w:r>
      <w:r w:rsidR="006008A3">
        <w:rPr>
          <w:rFonts w:ascii="Arial" w:hAnsi="Arial"/>
          <w:sz w:val="21"/>
          <w:szCs w:val="21"/>
        </w:rPr>
        <w:t xml:space="preserve"> </w:t>
      </w:r>
      <w:r w:rsidRPr="00BA160B">
        <w:rPr>
          <w:rFonts w:ascii="Arial" w:hAnsi="Arial"/>
          <w:sz w:val="21"/>
          <w:szCs w:val="21"/>
        </w:rPr>
        <w:t>sin derecho a reembolso alguno a la Sociedad Concesionaria. Sin perjuicio de lo anterior, el Concedente podrá exigir el pago del daño ulterior. Asimismo, el Concedente tendrá el derecho de nombrar al Interventor de la Concesión, de conformidad con el Numeral 1</w:t>
      </w:r>
      <w:r w:rsidR="00B20963">
        <w:rPr>
          <w:rFonts w:ascii="Arial" w:hAnsi="Arial"/>
          <w:sz w:val="21"/>
          <w:szCs w:val="21"/>
        </w:rPr>
        <w:t>3</w:t>
      </w:r>
      <w:r w:rsidRPr="00BA160B">
        <w:rPr>
          <w:rFonts w:ascii="Arial" w:hAnsi="Arial"/>
          <w:sz w:val="21"/>
          <w:szCs w:val="21"/>
        </w:rPr>
        <w:t>.8  y siguientes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91B37">
        <w:rPr>
          <w:rFonts w:ascii="Arial" w:hAnsi="Arial"/>
          <w:sz w:val="21"/>
        </w:rPr>
        <w:t>Para</w:t>
      </w:r>
      <w:r w:rsidRPr="004E5745">
        <w:rPr>
          <w:rFonts w:ascii="Arial" w:hAnsi="Arial"/>
          <w:sz w:val="21"/>
          <w:szCs w:val="21"/>
        </w:rPr>
        <w:t xml:space="preserve"> resolver el Contrato, se seguirá el procedimiento siguiente:</w:t>
      </w:r>
    </w:p>
    <w:p w:rsidR="00785758" w:rsidRPr="004E5745"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La Parte afectada con el incumplimiento o el evento que daría lugar a la resolución, comunicará por escrito a la otra Parte por conducto notarial, su intención de dar por resuelto el Contrato, describiendo el incumplimiento o evento e indicando la </w:t>
      </w:r>
      <w:r w:rsidR="00313D11" w:rsidRPr="004E5745">
        <w:rPr>
          <w:rFonts w:ascii="Arial" w:hAnsi="Arial"/>
          <w:sz w:val="21"/>
          <w:szCs w:val="21"/>
          <w:lang w:val="es-PE"/>
        </w:rPr>
        <w:t>Cláusula</w:t>
      </w:r>
      <w:r w:rsidRPr="004E5745">
        <w:rPr>
          <w:rFonts w:ascii="Arial" w:hAnsi="Arial"/>
          <w:sz w:val="21"/>
          <w:szCs w:val="21"/>
          <w:lang w:val="es-PE"/>
        </w:rPr>
        <w:t xml:space="preserve"> resolutoria respectiva.</w:t>
      </w:r>
    </w:p>
    <w:p w:rsidR="00785758" w:rsidRPr="004E5745"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la otra Parte una carta notarial, la misma que deberá </w:t>
      </w:r>
      <w:r w:rsidRPr="004E5745">
        <w:rPr>
          <w:rFonts w:ascii="Arial" w:hAnsi="Arial"/>
          <w:sz w:val="21"/>
          <w:szCs w:val="21"/>
          <w:lang w:val="es-PE"/>
        </w:rPr>
        <w:lastRenderedPageBreak/>
        <w:t xml:space="preserve">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4E5745">
        <w:rPr>
          <w:rFonts w:ascii="Arial" w:hAnsi="Arial"/>
          <w:sz w:val="21"/>
          <w:szCs w:val="21"/>
          <w:lang w:val="es-PE"/>
        </w:rPr>
        <w:t>Cláusula</w:t>
      </w:r>
      <w:r w:rsidRPr="004E5745">
        <w:rPr>
          <w:rFonts w:ascii="Arial" w:hAnsi="Arial"/>
          <w:sz w:val="21"/>
          <w:szCs w:val="21"/>
          <w:lang w:val="es-PE"/>
        </w:rPr>
        <w:t xml:space="preserve"> 13.</w:t>
      </w:r>
    </w:p>
    <w:p w:rsidR="00785758" w:rsidRPr="004E5745"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Vencido el referido plazo de quince (15) Días sin que el destinatario de la primera carta notarial exprese su disconformidad, el Contrato se entenderá resuelto en la fecha de recepción de dicha carta.</w:t>
      </w:r>
    </w:p>
    <w:p w:rsidR="00785758"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Declarada la resolución mediante laudo o producido el supuesto del literal c), se procederá conforme a las </w:t>
      </w:r>
      <w:r w:rsidR="00313D11" w:rsidRPr="004E5745">
        <w:rPr>
          <w:rFonts w:ascii="Arial" w:hAnsi="Arial"/>
          <w:sz w:val="21"/>
          <w:szCs w:val="21"/>
          <w:lang w:val="es-PE"/>
        </w:rPr>
        <w:t>Cláusula</w:t>
      </w:r>
      <w:r w:rsidRPr="004E5745">
        <w:rPr>
          <w:rFonts w:ascii="Arial" w:hAnsi="Arial"/>
          <w:sz w:val="21"/>
          <w:szCs w:val="21"/>
          <w:lang w:val="es-PE"/>
        </w:rPr>
        <w:t>s siguientes</w:t>
      </w:r>
      <w:r w:rsidR="00160710" w:rsidRPr="004E5745">
        <w:rPr>
          <w:rFonts w:ascii="Arial" w:hAnsi="Arial"/>
          <w:sz w:val="21"/>
          <w:szCs w:val="21"/>
          <w:lang w:val="es-PE"/>
        </w:rPr>
        <w:t xml:space="preserve"> (</w:t>
      </w:r>
      <w:r w:rsidR="008948BC" w:rsidRPr="004E5745">
        <w:rPr>
          <w:rFonts w:ascii="Arial" w:hAnsi="Arial"/>
          <w:sz w:val="21"/>
          <w:szCs w:val="21"/>
          <w:lang w:val="es-PE"/>
        </w:rPr>
        <w:t xml:space="preserve">del </w:t>
      </w:r>
      <w:r w:rsidR="00160710" w:rsidRPr="004E5745">
        <w:rPr>
          <w:rFonts w:ascii="Arial" w:hAnsi="Arial"/>
          <w:sz w:val="21"/>
          <w:szCs w:val="21"/>
          <w:lang w:val="es-PE"/>
        </w:rPr>
        <w:t>1</w:t>
      </w:r>
      <w:r w:rsidR="00B20963">
        <w:rPr>
          <w:rFonts w:ascii="Arial" w:hAnsi="Arial"/>
          <w:sz w:val="21"/>
          <w:szCs w:val="21"/>
          <w:lang w:val="es-PE"/>
        </w:rPr>
        <w:t>3</w:t>
      </w:r>
      <w:r w:rsidR="00160710" w:rsidRPr="004E5745">
        <w:rPr>
          <w:rFonts w:ascii="Arial" w:hAnsi="Arial"/>
          <w:sz w:val="21"/>
          <w:szCs w:val="21"/>
          <w:lang w:val="es-PE"/>
        </w:rPr>
        <w:t xml:space="preserve">.8 </w:t>
      </w:r>
      <w:r w:rsidR="00354354" w:rsidRPr="004E5745">
        <w:rPr>
          <w:rFonts w:ascii="Arial" w:hAnsi="Arial"/>
          <w:sz w:val="21"/>
          <w:szCs w:val="21"/>
          <w:lang w:val="es-PE"/>
        </w:rPr>
        <w:t>a</w:t>
      </w:r>
      <w:r w:rsidR="008948BC" w:rsidRPr="004E5745">
        <w:rPr>
          <w:rFonts w:ascii="Arial" w:hAnsi="Arial"/>
          <w:sz w:val="21"/>
          <w:szCs w:val="21"/>
          <w:lang w:val="es-PE"/>
        </w:rPr>
        <w:t>l</w:t>
      </w:r>
      <w:r w:rsidR="00160710" w:rsidRPr="004E5745">
        <w:rPr>
          <w:rFonts w:ascii="Arial" w:hAnsi="Arial"/>
          <w:sz w:val="21"/>
          <w:szCs w:val="21"/>
          <w:lang w:val="es-PE"/>
        </w:rPr>
        <w:t xml:space="preserve"> 1</w:t>
      </w:r>
      <w:r w:rsidR="00B20963">
        <w:rPr>
          <w:rFonts w:ascii="Arial" w:hAnsi="Arial"/>
          <w:sz w:val="21"/>
          <w:szCs w:val="21"/>
          <w:lang w:val="es-PE"/>
        </w:rPr>
        <w:t>3</w:t>
      </w:r>
      <w:r w:rsidR="00160710" w:rsidRPr="004E5745">
        <w:rPr>
          <w:rFonts w:ascii="Arial" w:hAnsi="Arial"/>
          <w:sz w:val="21"/>
          <w:szCs w:val="21"/>
          <w:lang w:val="es-PE"/>
        </w:rPr>
        <w:t>.15)</w:t>
      </w:r>
      <w:r w:rsidRPr="004E5745">
        <w:rPr>
          <w:rFonts w:ascii="Arial" w:hAnsi="Arial"/>
          <w:sz w:val="21"/>
          <w:szCs w:val="21"/>
          <w:lang w:val="es-PE"/>
        </w:rPr>
        <w:t>.</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intervención de la Concesión se sujeta a las reglas siguientes:</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que se inicia:</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En la fecha que establezcan las Partes, en caso de terminación por acuerdo de las Partes.</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Do</w:t>
      </w:r>
      <w:r w:rsidR="00E92200">
        <w:rPr>
          <w:rFonts w:ascii="Arial" w:hAnsi="Arial"/>
          <w:sz w:val="21"/>
          <w:szCs w:val="21"/>
          <w:lang w:val="es-PE"/>
        </w:rPr>
        <w:t>ce</w:t>
      </w:r>
      <w:r w:rsidRPr="004E5745">
        <w:rPr>
          <w:rFonts w:ascii="Arial" w:hAnsi="Arial"/>
          <w:sz w:val="21"/>
          <w:szCs w:val="21"/>
          <w:lang w:val="es-PE"/>
        </w:rPr>
        <w:t xml:space="preserve"> (1</w:t>
      </w:r>
      <w:r w:rsidR="00E92200">
        <w:rPr>
          <w:rFonts w:ascii="Arial" w:hAnsi="Arial"/>
          <w:sz w:val="21"/>
          <w:szCs w:val="21"/>
          <w:lang w:val="es-PE"/>
        </w:rPr>
        <w:t>2</w:t>
      </w:r>
      <w:r w:rsidRPr="004E5745">
        <w:rPr>
          <w:rFonts w:ascii="Arial" w:hAnsi="Arial"/>
          <w:sz w:val="21"/>
          <w:szCs w:val="21"/>
          <w:lang w:val="es-PE"/>
        </w:rPr>
        <w:t>) meses antes de la fecha prevista para el vencimiento del plazo del Contrato, en caso de terminación por vencimiento del plazo del Contrato.</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En la fecha que indique el Concedente, en caso de terminación del Contrato por terminación del Contrato de Concesión Definitiva de Transmisión Eléctrica. La contradicción judicial de la resolución suprema que declare la caducidad de dicho </w:t>
      </w:r>
      <w:r w:rsidR="00496B87" w:rsidRPr="004E5745">
        <w:rPr>
          <w:rFonts w:ascii="Arial" w:hAnsi="Arial"/>
          <w:sz w:val="21"/>
          <w:szCs w:val="21"/>
          <w:lang w:val="es-PE"/>
        </w:rPr>
        <w:t>C</w:t>
      </w:r>
      <w:r w:rsidRPr="004E5745">
        <w:rPr>
          <w:rFonts w:ascii="Arial" w:hAnsi="Arial"/>
          <w:sz w:val="21"/>
          <w:szCs w:val="21"/>
          <w:lang w:val="es-PE"/>
        </w:rPr>
        <w:t>ontrato, no posterga el inicio de la intervención.</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Diez (10) Días después de notificado el laudo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 xml:space="preserve">.7.d), o de producido el consentimiento tácito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.7.c), según corresponda; en caso de terminación del Contrato por resolución del mismo.</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cuya finalización se sujeta a las reglas siguientes:</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proceso concluye dieciocho (18) meses después de iniciada la intervención o cuando ingrese el nuevo concesionario, lo que ocurra primero.</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Concedente asumirá la administración plena y directa de los Bienes de la Concesión y la prestación del Servicio, en tanto se culmine la transferencia de la Concesión, en los siguientes casos:</w:t>
      </w:r>
    </w:p>
    <w:p w:rsidR="00785758" w:rsidRPr="004E5745" w:rsidRDefault="00785758" w:rsidP="00D4498D">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57" w:lineRule="auto"/>
        <w:ind w:left="1645" w:hanging="227"/>
        <w:jc w:val="both"/>
        <w:rPr>
          <w:rFonts w:ascii="Arial" w:hAnsi="Arial"/>
          <w:sz w:val="21"/>
          <w:szCs w:val="21"/>
          <w:lang w:val="es-PE"/>
        </w:rPr>
      </w:pPr>
      <w:r w:rsidRPr="004E5745">
        <w:rPr>
          <w:rFonts w:ascii="Arial" w:hAnsi="Arial"/>
          <w:sz w:val="21"/>
          <w:szCs w:val="21"/>
          <w:lang w:val="es-PE"/>
        </w:rPr>
        <w:t>Si el nuevo concesionario no hubiese sido elegido luego de dieciocho (18) meses de intervención, a menos que las Partes convengan en la continuación de la participación de la Sociedad Concesionaria.</w:t>
      </w:r>
    </w:p>
    <w:p w:rsidR="00785758" w:rsidRPr="004E5745" w:rsidRDefault="00785758" w:rsidP="00D4498D">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57" w:lineRule="auto"/>
        <w:ind w:left="1645" w:hanging="227"/>
        <w:jc w:val="both"/>
        <w:rPr>
          <w:rFonts w:ascii="Arial" w:hAnsi="Arial"/>
          <w:sz w:val="21"/>
          <w:szCs w:val="21"/>
          <w:lang w:val="es-PE"/>
        </w:rPr>
      </w:pPr>
      <w:r w:rsidRPr="004E5745">
        <w:rPr>
          <w:rFonts w:ascii="Arial" w:hAnsi="Arial"/>
          <w:sz w:val="21"/>
          <w:szCs w:val="21"/>
          <w:lang w:val="es-PE"/>
        </w:rPr>
        <w:t>Si durante el proceso de intervención la Sociedad Concesionaria deviniese en insolvente, o si por cualquier otra razón fuera incapaz de mantener el Servicio o implementar las instrucciones que le disponga el Interventor.</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Si la terminación del Contrato se produce por declaración de caducidad de la Concesión Definitiva de Transmisión Eléctrica y la Sociedad Concesionaria hubiese decidido contradecir judicialmente dicha declaración, la intervención se prolongará por todo el lapso que demore la conclusión de la contradicción, siendo en ese momento aplicable lo dispuesto en los incisos i) y ii) precedentes.</w:t>
      </w:r>
    </w:p>
    <w:p w:rsidR="00785758" w:rsidRPr="004E5745" w:rsidRDefault="00BD3E64"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 xml:space="preserve">El interventor puede ser una Persona, un comité de personas naturales o una dirección u órgano de línea del Ministerio de Energía y Minas, a elección del Concedente, y ostentará, por el </w:t>
      </w:r>
      <w:r w:rsidR="00785758" w:rsidRPr="004E5745" w:rsidDel="00D0308D">
        <w:rPr>
          <w:rFonts w:ascii="Arial" w:hAnsi="Arial"/>
          <w:sz w:val="21"/>
          <w:szCs w:val="21"/>
          <w:lang w:val="es-PE"/>
        </w:rPr>
        <w:t>s</w:t>
      </w:r>
      <w:r w:rsidR="00702B52" w:rsidRPr="004E5745">
        <w:rPr>
          <w:rFonts w:ascii="Arial" w:hAnsi="Arial"/>
          <w:sz w:val="21"/>
          <w:szCs w:val="21"/>
          <w:lang w:val="es-PE"/>
        </w:rPr>
        <w:t>o</w:t>
      </w:r>
      <w:r w:rsidR="00785758" w:rsidRPr="004E5745" w:rsidDel="00D0308D">
        <w:rPr>
          <w:rFonts w:ascii="Arial" w:hAnsi="Arial"/>
          <w:sz w:val="21"/>
          <w:szCs w:val="21"/>
          <w:lang w:val="es-PE"/>
        </w:rPr>
        <w:t>lo</w:t>
      </w:r>
      <w:r w:rsidR="00785758" w:rsidRPr="004E5745">
        <w:rPr>
          <w:rFonts w:ascii="Arial" w:hAnsi="Arial"/>
          <w:sz w:val="21"/>
          <w:szCs w:val="21"/>
          <w:lang w:val="es-PE"/>
        </w:rPr>
        <w:t xml:space="preserve"> mérito de su designación, de las </w:t>
      </w:r>
      <w:r w:rsidR="00785758" w:rsidRPr="004E5745" w:rsidDel="00D0308D">
        <w:rPr>
          <w:rFonts w:ascii="Arial" w:hAnsi="Arial"/>
          <w:sz w:val="21"/>
          <w:szCs w:val="21"/>
          <w:lang w:val="es-PE"/>
        </w:rPr>
        <w:t>m</w:t>
      </w:r>
      <w:r w:rsidR="00702B52" w:rsidRPr="004E5745">
        <w:rPr>
          <w:rFonts w:ascii="Arial" w:hAnsi="Arial"/>
          <w:sz w:val="21"/>
          <w:szCs w:val="21"/>
          <w:lang w:val="es-PE"/>
        </w:rPr>
        <w:t>á</w:t>
      </w:r>
      <w:r w:rsidR="00785758" w:rsidRPr="004E5745" w:rsidDel="00D0308D">
        <w:rPr>
          <w:rFonts w:ascii="Arial" w:hAnsi="Arial"/>
          <w:sz w:val="21"/>
          <w:szCs w:val="21"/>
          <w:lang w:val="es-PE"/>
        </w:rPr>
        <w:t>s</w:t>
      </w:r>
      <w:r w:rsidR="00785758" w:rsidRPr="004E5745">
        <w:rPr>
          <w:rFonts w:ascii="Arial" w:hAnsi="Arial"/>
          <w:sz w:val="21"/>
          <w:szCs w:val="21"/>
          <w:lang w:val="es-PE"/>
        </w:rPr>
        <w:t xml:space="preserve"> amplias facultades para:</w:t>
      </w:r>
    </w:p>
    <w:p w:rsidR="00785758" w:rsidRPr="004E5745" w:rsidRDefault="00785758" w:rsidP="00D4498D">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5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administrativo que permitan la continuación de la operación de la Línea Eléctrica; y,</w:t>
      </w:r>
    </w:p>
    <w:p w:rsidR="00785758" w:rsidRDefault="00785758" w:rsidP="00D4498D">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5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técnico que permitan la oportuna y eficiente prestación del Servicio.</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Sociedad Concesionaria está obligada a cumplir las instrucciones del interventor. Sin embargo, puede solicitar su reconsideración ante la Dirección General de Electricidad del Ministerio de Energía y Minas, la que deberá resolver en un término de cinco (5) Días.</w:t>
      </w:r>
    </w:p>
    <w:p w:rsidR="00785758" w:rsidRPr="001C215D"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 xml:space="preserve">Los gastos totales que demande la intervención serán de cuenta y cargo de la Sociedad Concesionaria, excepto cuando la </w:t>
      </w:r>
      <w:r w:rsidR="00487ED0" w:rsidRPr="004E5745">
        <w:rPr>
          <w:rFonts w:ascii="Arial" w:hAnsi="Arial"/>
          <w:sz w:val="21"/>
          <w:szCs w:val="21"/>
          <w:lang w:val="es-PE"/>
        </w:rPr>
        <w:t>intervención</w:t>
      </w:r>
      <w:r w:rsidRPr="004E5745">
        <w:rPr>
          <w:rFonts w:ascii="Arial" w:hAnsi="Arial"/>
          <w:sz w:val="21"/>
          <w:szCs w:val="21"/>
          <w:lang w:val="es-PE"/>
        </w:rPr>
        <w:t xml:space="preserve"> se </w:t>
      </w:r>
      <w:r w:rsidRPr="001C215D">
        <w:rPr>
          <w:rFonts w:ascii="Arial" w:hAnsi="Arial"/>
          <w:sz w:val="21"/>
          <w:szCs w:val="21"/>
          <w:lang w:val="es-PE"/>
        </w:rPr>
        <w:t>produzca por causa imputable al Concedente</w:t>
      </w:r>
      <w:r w:rsidR="00533171" w:rsidRPr="00245582">
        <w:rPr>
          <w:rFonts w:ascii="Arial" w:hAnsi="Arial"/>
          <w:sz w:val="21"/>
          <w:szCs w:val="21"/>
          <w:lang w:val="es-PE"/>
        </w:rPr>
        <w:t>.</w:t>
      </w:r>
    </w:p>
    <w:p w:rsidR="00785758" w:rsidRPr="004E5745" w:rsidRDefault="00533171"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245582">
        <w:rPr>
          <w:rFonts w:ascii="Arial" w:hAnsi="Arial"/>
          <w:sz w:val="21"/>
          <w:szCs w:val="21"/>
          <w:lang w:val="es-PE"/>
        </w:rPr>
        <w:t>La Sociedad Concesionaria tend</w:t>
      </w:r>
      <w:r w:rsidR="00785758" w:rsidRPr="004E5745">
        <w:rPr>
          <w:rFonts w:ascii="Arial" w:hAnsi="Arial"/>
          <w:sz w:val="21"/>
          <w:szCs w:val="21"/>
          <w:lang w:val="es-PE"/>
        </w:rPr>
        <w:t>rá derecho a percibir todos los ingresos que genere la Concesión durante la intervención, sin perjuicio de lo dispuesto en el inciso e) anterior.</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licitación de la Concesión se sujeta a las reglas siguientes:</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4E5745">
        <w:rPr>
          <w:rFonts w:ascii="Arial" w:hAnsi="Arial"/>
          <w:color w:val="000000"/>
          <w:sz w:val="21"/>
          <w:szCs w:val="21"/>
          <w:lang w:val="es-PE"/>
        </w:rPr>
        <w:t>, dentro de un plazo no mayor</w:t>
      </w:r>
      <w:r w:rsidR="00042CDA" w:rsidRPr="004E5745">
        <w:rPr>
          <w:rFonts w:ascii="Arial" w:hAnsi="Arial"/>
          <w:color w:val="000000"/>
          <w:sz w:val="21"/>
          <w:szCs w:val="21"/>
          <w:lang w:val="es-PE"/>
        </w:rPr>
        <w:t xml:space="preserve"> </w:t>
      </w:r>
      <w:r w:rsidR="00973C42" w:rsidRPr="004E5745">
        <w:rPr>
          <w:rFonts w:ascii="Arial" w:hAnsi="Arial"/>
          <w:color w:val="000000"/>
          <w:sz w:val="21"/>
          <w:szCs w:val="21"/>
          <w:lang w:val="es-PE"/>
        </w:rPr>
        <w:t>de seis (06) meses</w:t>
      </w:r>
      <w:r w:rsidR="008639E9">
        <w:rPr>
          <w:rFonts w:ascii="Arial" w:hAnsi="Arial"/>
          <w:color w:val="000000"/>
          <w:sz w:val="21"/>
          <w:szCs w:val="21"/>
          <w:lang w:val="es-PE"/>
        </w:rPr>
        <w:t>, desde la fecha en el cual se declara la resolución, o se expide el laudo, según sea el caso</w:t>
      </w:r>
      <w:r w:rsidR="006E7833">
        <w:rPr>
          <w:rFonts w:ascii="Arial" w:hAnsi="Arial"/>
          <w:color w:val="000000"/>
          <w:sz w:val="21"/>
          <w:szCs w:val="21"/>
          <w:lang w:val="es-PE"/>
        </w:rPr>
        <w:t>, conforme a lo indicado en la Cláusula 13.7.</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Los postores para la licitación serán calificados por el Concedente o PROINVERSIÓN, según corresponda. En caso de terminación del Contrato por terminación de la concesión definitiva de transmisión eléctrica por causa imputable a la Sociedad Concesionaria, o por resolución del Concedente, la Sociedad Concesionaria, sus socios principales y las Empresas Vinculadas de ambos, no podrán presentarse como postores, salvo que la resolución obedezca a Destrucción Total.</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El factor de competencia para la licitación será, según corresponda:</w:t>
      </w:r>
    </w:p>
    <w:p w:rsidR="00785758" w:rsidRPr="004E5745" w:rsidRDefault="00785758" w:rsidP="00D4498D">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El que establezca las Leyes Aplicables, en caso de terminación de la Concesión por vencimiento del plazo del Contrato.</w:t>
      </w:r>
    </w:p>
    <w:p w:rsidR="00785758" w:rsidRPr="004E5745" w:rsidRDefault="00785758" w:rsidP="00D4498D">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Un monto de dinero, en caso de terminación de la Concesión por causales distintas a la de vencimiento del plazo del Contrato. El monto base de la primera convocatoria de la licitación no será menor al Valor Contable de los Bienes de la Concesión</w:t>
      </w:r>
      <w:r w:rsidR="00176B22">
        <w:rPr>
          <w:rFonts w:ascii="Arial" w:hAnsi="Arial"/>
          <w:sz w:val="21"/>
          <w:szCs w:val="21"/>
          <w:lang w:val="es-PE"/>
        </w:rPr>
        <w:t xml:space="preserve"> al momento de la convocatoria de la Licitación</w:t>
      </w:r>
      <w:r w:rsidRPr="004E5745">
        <w:rPr>
          <w:rFonts w:ascii="Arial" w:hAnsi="Arial"/>
          <w:sz w:val="21"/>
          <w:szCs w:val="21"/>
          <w:lang w:val="es-PE"/>
        </w:rPr>
        <w:t xml:space="preserve">. De no existir postores y de haber </w:t>
      </w:r>
      <w:r w:rsidR="00651E43" w:rsidRPr="004E5745">
        <w:rPr>
          <w:rFonts w:ascii="Arial" w:hAnsi="Arial"/>
          <w:color w:val="000000"/>
          <w:sz w:val="21"/>
          <w:szCs w:val="21"/>
          <w:lang w:val="es-PE"/>
        </w:rPr>
        <w:t xml:space="preserve">una segunda </w:t>
      </w:r>
      <w:r w:rsidRPr="004E5745">
        <w:rPr>
          <w:rFonts w:ascii="Arial" w:hAnsi="Arial"/>
          <w:color w:val="000000"/>
          <w:sz w:val="21"/>
          <w:szCs w:val="21"/>
          <w:lang w:val="es-PE"/>
        </w:rPr>
        <w:t>convocatoria</w:t>
      </w:r>
      <w:r w:rsidRPr="004E5745">
        <w:rPr>
          <w:rFonts w:ascii="Arial" w:hAnsi="Arial"/>
          <w:sz w:val="21"/>
          <w:szCs w:val="21"/>
          <w:lang w:val="es-PE"/>
        </w:rPr>
        <w:t xml:space="preserve">, el Concedente en </w:t>
      </w:r>
      <w:r w:rsidR="00651E43" w:rsidRPr="004E5745">
        <w:rPr>
          <w:rFonts w:ascii="Arial" w:hAnsi="Arial"/>
          <w:color w:val="000000"/>
          <w:sz w:val="21"/>
          <w:szCs w:val="21"/>
          <w:lang w:val="es-PE"/>
        </w:rPr>
        <w:t>la</w:t>
      </w:r>
      <w:r w:rsidRPr="004E5745">
        <w:rPr>
          <w:rFonts w:ascii="Arial" w:hAnsi="Arial"/>
          <w:sz w:val="21"/>
          <w:szCs w:val="21"/>
          <w:lang w:val="es-PE"/>
        </w:rPr>
        <w:t xml:space="preserve"> nueva convocatoria podrá reducir hasta en veinticinco por ciento (25%) el monto base de la convocatoria inmediatamente anterior.</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lastRenderedPageBreak/>
        <w:t>Entre la fecha en que una convocatoria es declarada desierta o culmine sin adjudicatario y la fecha en que se publique la siguiente convocatoria, no transcurrirán más de sesenta (60) Días.</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El adjudicatario de la licitación pública será aquél que presente la mejor oferta económica por la Concesión, en los términos de las bases respectivas. En el caso a que se refiere el inciso c).ii) anterior, el pago que haga dicho adjudicatario deberá ser en efectivo y en Dólares.</w:t>
      </w:r>
    </w:p>
    <w:p w:rsidR="00785758"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El nuevo Concesionario deberá suscribir con el Concedente un nuevo </w:t>
      </w:r>
      <w:r w:rsidR="005C00AC" w:rsidRPr="004E5745">
        <w:rPr>
          <w:rFonts w:ascii="Arial" w:hAnsi="Arial"/>
          <w:sz w:val="21"/>
          <w:szCs w:val="21"/>
          <w:lang w:val="es-PE"/>
        </w:rPr>
        <w:t>C</w:t>
      </w:r>
      <w:r w:rsidRPr="004E5745">
        <w:rPr>
          <w:rFonts w:ascii="Arial" w:hAnsi="Arial"/>
          <w:sz w:val="21"/>
          <w:szCs w:val="21"/>
          <w:lang w:val="es-PE"/>
        </w:rPr>
        <w:t xml:space="preserve">ontrato de </w:t>
      </w:r>
      <w:r w:rsidR="00437047" w:rsidRPr="004E5745">
        <w:rPr>
          <w:rFonts w:ascii="Arial" w:hAnsi="Arial"/>
          <w:sz w:val="21"/>
          <w:szCs w:val="21"/>
          <w:lang w:val="es-PE"/>
        </w:rPr>
        <w:t>C</w:t>
      </w:r>
      <w:r w:rsidRPr="004E5745" w:rsidDel="00D0308D">
        <w:rPr>
          <w:rFonts w:ascii="Arial" w:hAnsi="Arial"/>
          <w:sz w:val="21"/>
          <w:szCs w:val="21"/>
          <w:lang w:val="es-PE"/>
        </w:rPr>
        <w:t>oncesión</w:t>
      </w:r>
      <w:r w:rsidRPr="004E5745">
        <w:rPr>
          <w:rFonts w:ascii="Arial" w:hAnsi="Arial"/>
          <w:sz w:val="21"/>
          <w:szCs w:val="21"/>
          <w:lang w:val="es-PE"/>
        </w:rPr>
        <w:t>, el cual será formulado por el Concedente o PROINVERSIÓN, contemplando las Leyes Aplicables vigentes en dicho momento.</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En caso de terminación de la Concesión por vencimiento del plazo del Contrato, la licitación de la Concesión sólo tendrá lugar si el Plan de Transmisión vigente determinara la necesidad de la continuación del Servicio conforme a las Leyes Aplicables.</w:t>
      </w:r>
    </w:p>
    <w:p w:rsidR="00A47E67" w:rsidRPr="00E7230D" w:rsidRDefault="00785758" w:rsidP="00D4498D">
      <w:pPr>
        <w:pStyle w:val="Textosinformato"/>
        <w:shd w:val="clear" w:color="auto" w:fill="FFFFFF"/>
        <w:tabs>
          <w:tab w:val="clear" w:pos="567"/>
          <w:tab w:val="clear" w:pos="1134"/>
          <w:tab w:val="clear" w:pos="1701"/>
          <w:tab w:val="clear" w:pos="2268"/>
          <w:tab w:val="clear" w:pos="2835"/>
          <w:tab w:val="left" w:pos="993"/>
        </w:tabs>
        <w:spacing w:before="80" w:line="257" w:lineRule="auto"/>
        <w:ind w:left="992"/>
        <w:jc w:val="both"/>
        <w:rPr>
          <w:rFonts w:ascii="Arial" w:hAnsi="Arial"/>
          <w:sz w:val="21"/>
          <w:lang w:val="es-MX"/>
        </w:rPr>
      </w:pPr>
      <w:r w:rsidRPr="00E7230D">
        <w:rPr>
          <w:rFonts w:ascii="Arial" w:hAnsi="Arial"/>
          <w:sz w:val="21"/>
          <w:lang w:val="es-PE"/>
        </w:rPr>
        <w:t xml:space="preserve">En el caso a que se refiere la </w:t>
      </w:r>
      <w:r w:rsidR="00313D11" w:rsidRPr="00E7230D">
        <w:rPr>
          <w:rFonts w:ascii="Arial" w:hAnsi="Arial"/>
          <w:sz w:val="21"/>
          <w:lang w:val="es-PE"/>
        </w:rPr>
        <w:t>Cláusula</w:t>
      </w:r>
      <w:r w:rsidRPr="00E7230D">
        <w:rPr>
          <w:rFonts w:ascii="Arial" w:hAnsi="Arial"/>
          <w:sz w:val="21"/>
          <w:lang w:val="es-PE"/>
        </w:rPr>
        <w:t xml:space="preserve"> </w:t>
      </w:r>
      <w:r w:rsidRPr="00D41238">
        <w:rPr>
          <w:rFonts w:ascii="Arial" w:hAnsi="Arial"/>
          <w:sz w:val="21"/>
          <w:szCs w:val="21"/>
          <w:lang w:val="es-PE"/>
        </w:rPr>
        <w:t>1</w:t>
      </w:r>
      <w:r w:rsidR="00B20963" w:rsidRPr="00D41238">
        <w:rPr>
          <w:rFonts w:ascii="Arial" w:hAnsi="Arial"/>
          <w:sz w:val="21"/>
          <w:szCs w:val="21"/>
          <w:lang w:val="es-PE"/>
        </w:rPr>
        <w:t>3</w:t>
      </w:r>
      <w:r w:rsidRPr="00E7230D">
        <w:rPr>
          <w:rFonts w:ascii="Arial" w:hAnsi="Arial"/>
          <w:sz w:val="21"/>
          <w:lang w:val="es-PE"/>
        </w:rPr>
        <w:t xml:space="preserve">.9.c).ii), si no se convoca a licitación por </w:t>
      </w:r>
      <w:r w:rsidR="00B47B16" w:rsidRPr="00E7230D">
        <w:rPr>
          <w:rFonts w:ascii="Arial" w:hAnsi="Arial"/>
          <w:sz w:val="21"/>
          <w:lang w:val="es-PE"/>
        </w:rPr>
        <w:t xml:space="preserve">primera o </w:t>
      </w:r>
      <w:r w:rsidRPr="00E7230D">
        <w:rPr>
          <w:rFonts w:ascii="Arial" w:hAnsi="Arial"/>
          <w:sz w:val="21"/>
          <w:lang w:val="es-PE"/>
        </w:rPr>
        <w:t>segunda vez</w:t>
      </w:r>
      <w:r w:rsidR="00B47B16" w:rsidRPr="00E7230D">
        <w:rPr>
          <w:rFonts w:ascii="Arial" w:hAnsi="Arial"/>
          <w:sz w:val="21"/>
          <w:lang w:val="es-PE"/>
        </w:rPr>
        <w:t>,</w:t>
      </w:r>
      <w:r w:rsidRPr="00E7230D">
        <w:rPr>
          <w:rFonts w:ascii="Arial" w:hAnsi="Arial"/>
          <w:sz w:val="21"/>
          <w:lang w:val="es-PE"/>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E7230D">
        <w:rPr>
          <w:rFonts w:ascii="Arial" w:hAnsi="Arial"/>
          <w:sz w:val="21"/>
          <w:lang w:val="es-PE"/>
        </w:rPr>
        <w:t>Cláusula</w:t>
      </w:r>
      <w:r w:rsidRPr="00E7230D">
        <w:rPr>
          <w:rFonts w:ascii="Arial" w:hAnsi="Arial"/>
          <w:sz w:val="21"/>
          <w:lang w:val="es-PE"/>
        </w:rPr>
        <w:t xml:space="preserve"> </w:t>
      </w:r>
      <w:r w:rsidRPr="00D41238">
        <w:rPr>
          <w:rFonts w:ascii="Arial" w:hAnsi="Arial"/>
          <w:sz w:val="21"/>
          <w:szCs w:val="21"/>
          <w:lang w:val="es-PE"/>
        </w:rPr>
        <w:t>1</w:t>
      </w:r>
      <w:r w:rsidR="00B20963" w:rsidRPr="00D41238">
        <w:rPr>
          <w:rFonts w:ascii="Arial" w:hAnsi="Arial"/>
          <w:sz w:val="21"/>
          <w:szCs w:val="21"/>
          <w:lang w:val="es-PE"/>
        </w:rPr>
        <w:t>3</w:t>
      </w:r>
      <w:r w:rsidRPr="00D41238">
        <w:rPr>
          <w:rFonts w:ascii="Arial" w:hAnsi="Arial"/>
          <w:sz w:val="21"/>
          <w:szCs w:val="21"/>
          <w:lang w:val="es-PE"/>
        </w:rPr>
        <w:t>.11.</w:t>
      </w:r>
      <w:r w:rsidR="005911AC">
        <w:rPr>
          <w:rFonts w:ascii="Arial" w:hAnsi="Arial"/>
          <w:sz w:val="21"/>
          <w:szCs w:val="21"/>
          <w:lang w:val="es-PE"/>
        </w:rPr>
        <w:t xml:space="preserve"> Lo indicado no resultará aplicable a la obligación de pago del Concedente descrito en la Cláusula 13.14</w:t>
      </w:r>
      <w:r w:rsidR="005911AC" w:rsidRPr="00E7230D">
        <w:rPr>
          <w:rFonts w:ascii="Arial" w:hAnsi="Arial"/>
          <w:sz w:val="21"/>
          <w:lang w:val="es-PE"/>
        </w:rPr>
        <w:t>.</w:t>
      </w:r>
    </w:p>
    <w:p w:rsidR="00785758" w:rsidRPr="007200F6" w:rsidRDefault="00C50927"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lang w:val="es-PE"/>
        </w:rPr>
      </w:pPr>
      <w:r w:rsidRPr="00E7230D">
        <w:rPr>
          <w:rFonts w:ascii="Arial" w:hAnsi="Arial"/>
          <w:sz w:val="21"/>
          <w:lang w:val="es-PE"/>
        </w:rPr>
        <w:t xml:space="preserve">Si el Contrato termina por resolución debido a causa distinta a Destrucción Total, y el Plan de Transmisión vigente o el Concedente determinase que la Línea Eléctrica no debe mantenerse en uso, el Concedente quedará obligado a pagar el Valor Contable de los Bienes de la Concesión. El valor a pagar será considerado como el “producto de la licitación” a los efectos de la Cláusula </w:t>
      </w:r>
      <w:r>
        <w:rPr>
          <w:rFonts w:ascii="Arial" w:hAnsi="Arial"/>
          <w:sz w:val="21"/>
          <w:szCs w:val="21"/>
          <w:lang w:val="es-PE"/>
        </w:rPr>
        <w:t>13</w:t>
      </w:r>
      <w:r w:rsidRPr="00E7230D">
        <w:rPr>
          <w:rFonts w:ascii="Arial" w:hAnsi="Arial"/>
          <w:sz w:val="21"/>
          <w:lang w:val="es-PE"/>
        </w:rPr>
        <w:t>.11.</w:t>
      </w:r>
    </w:p>
    <w:p w:rsidR="00785758" w:rsidRPr="005911AC" w:rsidRDefault="00C50927" w:rsidP="00D4498D">
      <w:p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13.10</w:t>
      </w:r>
      <w:r w:rsidR="00845F2E">
        <w:rPr>
          <w:rFonts w:ascii="Arial" w:hAnsi="Arial"/>
          <w:sz w:val="21"/>
          <w:szCs w:val="21"/>
        </w:rPr>
        <w:tab/>
      </w:r>
      <w:r>
        <w:rPr>
          <w:rFonts w:ascii="Arial" w:hAnsi="Arial"/>
          <w:sz w:val="21"/>
          <w:szCs w:val="21"/>
        </w:rPr>
        <w:t>La transferencia de los Bienes de la Concesión se sujetará a las reglas siguientes:</w:t>
      </w:r>
    </w:p>
    <w:p w:rsidR="00785758" w:rsidRPr="004E5745" w:rsidRDefault="00C50927"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Pr>
          <w:rFonts w:ascii="Arial" w:hAnsi="Arial"/>
          <w:sz w:val="21"/>
          <w:szCs w:val="21"/>
          <w:lang w:val="es-PE"/>
        </w:rPr>
        <w:t xml:space="preserve">Los Bienes de la Concesión serán entregados al </w:t>
      </w:r>
      <w:r w:rsidR="00785758" w:rsidRPr="004E5745">
        <w:rPr>
          <w:rFonts w:ascii="Arial" w:hAnsi="Arial"/>
          <w:sz w:val="21"/>
          <w:szCs w:val="21"/>
          <w:lang w:val="es-PE"/>
        </w:rPr>
        <w:t xml:space="preserve">nuevo concesionario, al Concedente o </w:t>
      </w:r>
      <w:r w:rsidR="006E16C3" w:rsidRPr="004E5745">
        <w:rPr>
          <w:rFonts w:ascii="Arial" w:hAnsi="Arial"/>
          <w:sz w:val="21"/>
          <w:szCs w:val="21"/>
          <w:lang w:val="es-PE"/>
        </w:rPr>
        <w:t xml:space="preserve">a </w:t>
      </w:r>
      <w:r w:rsidR="00785758" w:rsidRPr="004E5745">
        <w:rPr>
          <w:rFonts w:ascii="Arial" w:hAnsi="Arial"/>
          <w:sz w:val="21"/>
          <w:szCs w:val="21"/>
          <w:lang w:val="es-PE"/>
        </w:rPr>
        <w:t>la persona que éste decida en caso que el Concedente asuma la administración plena y directa de la Concesión, de manera tal que los Bienes de la Concesión puedan continuar siendo explotados por el nuevo concesionario o el Concedente para la prestación del Servicio en forma ininterrumpida.</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la propiedad de los Bienes de la Concesión al Estado, libre de toda carga o gravamen.</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Entre los bienes a entregar, se incluirá la siguiente información técnica: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 xml:space="preserve">Archivo de Planos </w:t>
      </w:r>
      <w:r w:rsidR="00073FE0" w:rsidRPr="004E5745">
        <w:rPr>
          <w:rFonts w:ascii="Arial" w:hAnsi="Arial"/>
          <w:sz w:val="21"/>
          <w:szCs w:val="21"/>
          <w:lang w:val="es-PE"/>
        </w:rPr>
        <w:t xml:space="preserve">tal </w:t>
      </w:r>
      <w:r w:rsidRPr="004E5745">
        <w:rPr>
          <w:rFonts w:ascii="Arial" w:hAnsi="Arial"/>
          <w:sz w:val="21"/>
          <w:szCs w:val="21"/>
          <w:lang w:val="es-PE"/>
        </w:rPr>
        <w:t xml:space="preserve">como </w:t>
      </w:r>
      <w:r w:rsidR="00073FE0" w:rsidRPr="004E5745">
        <w:rPr>
          <w:rFonts w:ascii="Arial" w:hAnsi="Arial"/>
          <w:sz w:val="21"/>
          <w:szCs w:val="21"/>
          <w:lang w:val="es-PE"/>
        </w:rPr>
        <w:t>han sido construidas</w:t>
      </w:r>
      <w:r w:rsidRPr="004E5745">
        <w:rPr>
          <w:rFonts w:ascii="Arial" w:hAnsi="Arial"/>
          <w:sz w:val="21"/>
          <w:szCs w:val="21"/>
          <w:lang w:val="es-PE"/>
        </w:rPr>
        <w:t xml:space="preserve"> las instalaciones.</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Proyectos y estudios efectuados que tengan relación con la Línea Eléctrica.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Información técnica sobre cada uno de los bienes.</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Los procedimientos y manuales de operación y mantenimiento de la Línea Eléctrica.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Manuales de aseguramiento de la calidad del Servicio.</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lastRenderedPageBreak/>
        <w:t>Cualquier otra información relevante para la continuidad del Servicio.</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Los </w:t>
      </w:r>
      <w:r w:rsidR="00303326" w:rsidRPr="004E5745">
        <w:rPr>
          <w:rFonts w:ascii="Arial" w:hAnsi="Arial"/>
          <w:sz w:val="21"/>
          <w:szCs w:val="21"/>
          <w:lang w:val="es-PE"/>
        </w:rPr>
        <w:t>C</w:t>
      </w:r>
      <w:r w:rsidRPr="004E5745">
        <w:rPr>
          <w:rFonts w:ascii="Arial" w:hAnsi="Arial"/>
          <w:sz w:val="21"/>
          <w:szCs w:val="21"/>
          <w:lang w:val="es-PE"/>
        </w:rPr>
        <w:t>ontratos celebrados con terceros también serán objeto de transferencia, en la medida que el Concedente o el nuevo concesionario acepten la cesión</w:t>
      </w:r>
      <w:r w:rsidR="0054323E">
        <w:rPr>
          <w:rFonts w:ascii="Arial" w:hAnsi="Arial"/>
          <w:sz w:val="21"/>
          <w:szCs w:val="21"/>
          <w:lang w:val="es-PE"/>
        </w:rPr>
        <w:t>, y siempre que dichos Contratos no hayan concluido al término de la Concesión</w:t>
      </w:r>
      <w:r w:rsidRPr="004E5745">
        <w:rPr>
          <w:rFonts w:ascii="Arial" w:hAnsi="Arial"/>
          <w:sz w:val="21"/>
          <w:szCs w:val="21"/>
          <w:lang w:val="es-PE"/>
        </w:rPr>
        <w:t>.</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y entregará los Bienes de la Concesión en buenas condiciones operativas, excepto el desgaste normal como consecuencia del tiempo y el uso normal. Las Partes suscribirán un acta de entrega.</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La Sociedad Concesionaria deberá brindar su total cooperación, a fin que se realice una entrega ordenada de los Bienes de la Concesión, de tal manera que no haya interrupción en la prestación del Servicio. La Sociedad Concesionaria otorgará las escrituras públicas y otros documentos privados o públicos que se requieran para la transferencia de la Concesión, incluyendo de ser el caso cesiones de derechos, cesiones de posición contractual u otros </w:t>
      </w:r>
      <w:r w:rsidR="00303326" w:rsidRPr="004E5745">
        <w:rPr>
          <w:rFonts w:ascii="Arial" w:hAnsi="Arial"/>
          <w:sz w:val="21"/>
          <w:szCs w:val="21"/>
          <w:lang w:val="es-PE"/>
        </w:rPr>
        <w:t>C</w:t>
      </w:r>
      <w:r w:rsidRPr="004E5745">
        <w:rPr>
          <w:rFonts w:ascii="Arial" w:hAnsi="Arial"/>
          <w:sz w:val="21"/>
          <w:szCs w:val="21"/>
          <w:lang w:val="es-PE"/>
        </w:rPr>
        <w:t>ontratos.</w:t>
      </w:r>
    </w:p>
    <w:p w:rsidR="00F41C02"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En todos los casos de terminación de la Concesión y para efectos de lo dispuesto en el artículo 22º del TUO, se entenderá que los Bienes de la Concesión son transferidos al Estado.</w:t>
      </w:r>
    </w:p>
    <w:p w:rsidR="00785758" w:rsidRPr="004E5745" w:rsidRDefault="00785758" w:rsidP="00D4498D">
      <w:pPr>
        <w:pStyle w:val="Textosinformato"/>
        <w:shd w:val="clear" w:color="auto" w:fill="FFFFFF"/>
        <w:tabs>
          <w:tab w:val="clear" w:pos="567"/>
          <w:tab w:val="clear" w:pos="1134"/>
          <w:tab w:val="clear" w:pos="1701"/>
          <w:tab w:val="clear" w:pos="2268"/>
          <w:tab w:val="clear" w:pos="2835"/>
        </w:tabs>
        <w:spacing w:before="60" w:line="257" w:lineRule="auto"/>
        <w:ind w:left="993"/>
        <w:jc w:val="both"/>
        <w:rPr>
          <w:rFonts w:ascii="Arial" w:hAnsi="Arial"/>
          <w:sz w:val="21"/>
          <w:szCs w:val="21"/>
          <w:lang w:val="es-PE"/>
        </w:rPr>
      </w:pPr>
      <w:r w:rsidRPr="004E5745">
        <w:rPr>
          <w:rFonts w:ascii="Arial" w:hAnsi="Arial"/>
          <w:sz w:val="21"/>
          <w:szCs w:val="21"/>
          <w:lang w:val="es-PE"/>
        </w:rPr>
        <w:t>La transferencia al Estado de los Bienes de la Concesión estará inafecta de todo tributo creado o por crearse, conforme al artículo 22º del TUO y en el Reglamento de los Beneficios Tributarios para la Inversión privada en Obras Públicas de infraestructura y de Servicios Públicos, aprobados por D.S. N° 132-97-EF.</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Todos los costos y gastos que demande la transferencia </w:t>
      </w:r>
      <w:r w:rsidRPr="00817E2B">
        <w:rPr>
          <w:rFonts w:ascii="Arial" w:hAnsi="Arial"/>
          <w:sz w:val="21"/>
          <w:szCs w:val="21"/>
          <w:lang w:val="es-PE"/>
        </w:rPr>
        <w:t>de los Bienes de la Concesión, serán de cargo de la Sociedad Concesionaria</w:t>
      </w:r>
      <w:r w:rsidR="00533171" w:rsidRPr="00245582">
        <w:rPr>
          <w:rFonts w:ascii="Arial" w:hAnsi="Arial"/>
          <w:sz w:val="21"/>
          <w:szCs w:val="21"/>
          <w:lang w:val="es-PE"/>
        </w:rPr>
        <w:t>.</w:t>
      </w:r>
    </w:p>
    <w:p w:rsidR="00785758" w:rsidRPr="00C425EE" w:rsidRDefault="0012500C" w:rsidP="004F6B32">
      <w:pPr>
        <w:pStyle w:val="Prrafodelista"/>
        <w:numPr>
          <w:ilvl w:val="1"/>
          <w:numId w:val="86"/>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L</w:t>
      </w:r>
      <w:r w:rsidR="00785758" w:rsidRPr="00C425EE">
        <w:rPr>
          <w:rFonts w:ascii="Arial" w:hAnsi="Arial"/>
          <w:sz w:val="21"/>
          <w:szCs w:val="21"/>
        </w:rPr>
        <w:t>a distribución del producto de la licitación se sujetará a las reglas siguientes:</w:t>
      </w:r>
    </w:p>
    <w:p w:rsidR="00785758" w:rsidRPr="004E5745" w:rsidRDefault="00785758" w:rsidP="00D4498D">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De la suma obtenida en la licitación y hasta donde dicha suma alcance, el interventor detraerá, de corresponder, los gastos directos en que éste o el Concedente hubiesen incurrido asociados al proceso de intervención y el de licitación; y luego pagará a los </w:t>
      </w:r>
      <w:r w:rsidR="008353F9" w:rsidRPr="004E5745">
        <w:rPr>
          <w:rFonts w:ascii="Arial" w:hAnsi="Arial"/>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w:t>
      </w:r>
      <w:r w:rsidRPr="004E5745">
        <w:rPr>
          <w:rFonts w:ascii="Arial" w:hAnsi="Arial"/>
          <w:sz w:val="21"/>
          <w:szCs w:val="21"/>
          <w:lang w:val="es-PE"/>
        </w:rPr>
        <w:t>respectivos:</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Las remuneraciones y demás derechos laborales de los trabajadores de la Sociedad Concesionaria, devengados hasta la fecha de pago y que estén pendientes de pago.</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 xml:space="preserve">Las sumas de dinero que deban ser entregadas a los </w:t>
      </w:r>
      <w:r w:rsidR="003D7038" w:rsidRPr="004E5745">
        <w:rPr>
          <w:rFonts w:ascii="Arial" w:hAnsi="Arial"/>
          <w:color w:val="000000"/>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Permitidos</w:t>
      </w:r>
      <w:r w:rsidR="00703ADF" w:rsidRPr="004E5745">
        <w:rPr>
          <w:rFonts w:ascii="Arial" w:hAnsi="Arial"/>
          <w:color w:val="000000"/>
          <w:sz w:val="21"/>
          <w:szCs w:val="21"/>
          <w:lang w:val="es-PE"/>
        </w:rPr>
        <w:t xml:space="preserve"> </w:t>
      </w:r>
      <w:r w:rsidRPr="004E5745">
        <w:rPr>
          <w:rFonts w:ascii="Arial" w:hAnsi="Arial"/>
          <w:sz w:val="21"/>
          <w:szCs w:val="21"/>
          <w:lang w:val="es-PE"/>
        </w:rPr>
        <w:t>para satisfacer la totalidad de las obligaciones financieras, incluyendo el principal vigente y los intereses y comisiones devengados hasta la fecha de pago.</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Los tributos, excepto aquellos que estén garantizados según las Leyes Aplicables.</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Cualquier multa o penalidad que no hubiese sido satisfecha por la Sociedad Concesionaria.</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Cualquier otro pasivo de la Sociedad Concesionaria que sea a favor del Estado.</w:t>
      </w:r>
    </w:p>
    <w:p w:rsidR="00785758" w:rsidRPr="004E5745" w:rsidRDefault="00785758" w:rsidP="00A4630E">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418"/>
        </w:tabs>
        <w:spacing w:before="60" w:line="257" w:lineRule="auto"/>
        <w:ind w:left="1418" w:hanging="426"/>
        <w:jc w:val="both"/>
        <w:rPr>
          <w:rFonts w:ascii="Arial" w:hAnsi="Arial"/>
          <w:sz w:val="21"/>
          <w:szCs w:val="21"/>
          <w:lang w:val="es-PE"/>
        </w:rPr>
      </w:pPr>
      <w:r w:rsidRPr="004E5745">
        <w:rPr>
          <w:rFonts w:ascii="Arial" w:hAnsi="Arial"/>
          <w:sz w:val="21"/>
          <w:szCs w:val="21"/>
          <w:lang w:val="es-PE"/>
        </w:rPr>
        <w:t>Otros pasivos no considerados en los literales anteriores.</w:t>
      </w:r>
    </w:p>
    <w:p w:rsidR="00785758" w:rsidRPr="004E5745" w:rsidRDefault="00785758" w:rsidP="00D4498D">
      <w:pPr>
        <w:pStyle w:val="Textosinformato"/>
        <w:shd w:val="clear" w:color="auto" w:fill="FFFFFF"/>
        <w:tabs>
          <w:tab w:val="clear" w:pos="567"/>
          <w:tab w:val="clear" w:pos="1134"/>
          <w:tab w:val="clear" w:pos="1701"/>
          <w:tab w:val="clear" w:pos="2268"/>
          <w:tab w:val="clear" w:pos="2835"/>
        </w:tabs>
        <w:spacing w:before="120" w:line="257" w:lineRule="auto"/>
        <w:ind w:left="993"/>
        <w:jc w:val="both"/>
        <w:rPr>
          <w:rFonts w:ascii="Arial" w:hAnsi="Arial"/>
          <w:sz w:val="21"/>
          <w:szCs w:val="21"/>
          <w:lang w:val="es-PE"/>
        </w:rPr>
      </w:pPr>
      <w:r w:rsidRPr="004E5745">
        <w:rPr>
          <w:rFonts w:ascii="Arial" w:hAnsi="Arial"/>
          <w:sz w:val="21"/>
          <w:szCs w:val="21"/>
          <w:lang w:val="es-PE"/>
        </w:rPr>
        <w:t>La prelación para el pago de los rubros antes mencionados será la indicada, a menos que por las Leyes Aplicables una prelación distinta resulte aplicable.</w:t>
      </w:r>
    </w:p>
    <w:p w:rsidR="00785758" w:rsidRPr="004E5745" w:rsidRDefault="00D2502A" w:rsidP="00D4498D">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El saldo remanente, si lo hubiere, será entregado a la Sociedad Concesionaria, hasta un máximo equivalente al Valor Contable de los Bienes de la Concesión. Si el saldo remanente fuese mayor a dicho valor, la diferencia corresponderá al Estado.</w:t>
      </w:r>
    </w:p>
    <w:p w:rsidR="00785758" w:rsidRDefault="00785758" w:rsidP="00D4498D">
      <w:pPr>
        <w:pStyle w:val="Textosinformato"/>
        <w:shd w:val="clear" w:color="auto" w:fill="FFFFFF"/>
        <w:tabs>
          <w:tab w:val="clear" w:pos="567"/>
          <w:tab w:val="clear" w:pos="1134"/>
          <w:tab w:val="clear" w:pos="1701"/>
          <w:tab w:val="clear" w:pos="2268"/>
          <w:tab w:val="clear" w:pos="2835"/>
        </w:tabs>
        <w:spacing w:before="60" w:line="257" w:lineRule="auto"/>
        <w:ind w:left="992"/>
        <w:jc w:val="both"/>
        <w:rPr>
          <w:rFonts w:ascii="Arial" w:hAnsi="Arial"/>
          <w:sz w:val="21"/>
          <w:szCs w:val="21"/>
          <w:lang w:val="es-PE"/>
        </w:rPr>
      </w:pPr>
      <w:r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xml:space="preserve"> vigente en el Sistema Financiero peruano.</w:t>
      </w:r>
    </w:p>
    <w:p w:rsidR="00C425EE" w:rsidRDefault="00785758" w:rsidP="004F6B32">
      <w:pPr>
        <w:pStyle w:val="Prrafodelista"/>
        <w:numPr>
          <w:ilvl w:val="1"/>
          <w:numId w:val="86"/>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C425EE">
        <w:rPr>
          <w:rFonts w:ascii="Arial" w:hAnsi="Arial"/>
          <w:sz w:val="21"/>
          <w:szCs w:val="21"/>
        </w:rPr>
        <w:t xml:space="preserve">En el caso de terminación del Contrato por vencimiento del plazo del Contrato, la </w:t>
      </w:r>
      <w:r w:rsidRPr="00942275">
        <w:rPr>
          <w:rFonts w:ascii="Arial" w:hAnsi="Arial"/>
          <w:sz w:val="21"/>
          <w:szCs w:val="21"/>
        </w:rPr>
        <w:t>Concesión y sus bienes son transferidos al Estado sin costo alguno</w:t>
      </w:r>
      <w:r w:rsidR="00533171">
        <w:rPr>
          <w:rFonts w:ascii="Arial" w:hAnsi="Arial"/>
          <w:sz w:val="21"/>
          <w:szCs w:val="21"/>
        </w:rPr>
        <w:t>, salvo el valor remanente de los refuerzos que se hubieran ejecutado durante la vigencia del</w:t>
      </w:r>
      <w:r w:rsidRPr="00C425EE">
        <w:rPr>
          <w:rFonts w:ascii="Arial" w:hAnsi="Arial"/>
          <w:sz w:val="21"/>
          <w:szCs w:val="21"/>
        </w:rPr>
        <w:t xml:space="preserve"> Contrato. Dicho valor será calculado por </w:t>
      </w:r>
      <w:r w:rsidR="00F20FDB" w:rsidRPr="00C425EE">
        <w:rPr>
          <w:rFonts w:ascii="Arial" w:hAnsi="Arial"/>
          <w:sz w:val="21"/>
          <w:szCs w:val="21"/>
        </w:rPr>
        <w:t xml:space="preserve">el </w:t>
      </w:r>
      <w:r w:rsidRPr="00C425EE">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785758" w:rsidRPr="004E5745" w:rsidRDefault="00785758" w:rsidP="004F6B32">
      <w:pPr>
        <w:pStyle w:val="Prrafodelista"/>
        <w:numPr>
          <w:ilvl w:val="1"/>
          <w:numId w:val="86"/>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En caso de Destrucción Total se procederá del siguiente modo:</w:t>
      </w:r>
    </w:p>
    <w:p w:rsidR="00785758" w:rsidRPr="004E57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4E5745">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C109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4E5745">
        <w:rPr>
          <w:rFonts w:ascii="Arial" w:hAnsi="Arial"/>
          <w:sz w:val="21"/>
          <w:szCs w:val="21"/>
        </w:rPr>
        <w:t xml:space="preserve">El Contrato quedará terminado </w:t>
      </w:r>
      <w:r w:rsidRPr="00C10945">
        <w:rPr>
          <w:rFonts w:ascii="Arial" w:hAnsi="Arial"/>
          <w:sz w:val="21"/>
          <w:szCs w:val="21"/>
        </w:rPr>
        <w:t>automáticamente si transcurriesen sesenta (60) Días desde que se produjo la Destrucción Total, sin que las Partes se hubieran puesto de acuerdo conforme al literal anterior.</w:t>
      </w:r>
    </w:p>
    <w:p w:rsidR="00785758" w:rsidRPr="00C109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C10945">
        <w:rPr>
          <w:rFonts w:ascii="Arial" w:hAnsi="Arial"/>
          <w:sz w:val="21"/>
          <w:szCs w:val="21"/>
        </w:rPr>
        <w:t>Los beneficios recibidos de los seguros</w:t>
      </w:r>
      <w:r w:rsidR="005911AC" w:rsidRPr="00C10945">
        <w:rPr>
          <w:rFonts w:ascii="Arial" w:hAnsi="Arial"/>
          <w:sz w:val="21"/>
          <w:szCs w:val="21"/>
        </w:rPr>
        <w:t xml:space="preserve"> más los montos obtenidos de la licitación de los Bienes de la Concesión no afectados por la Destrucción Total,</w:t>
      </w:r>
      <w:r w:rsidRPr="00C10945">
        <w:rPr>
          <w:rFonts w:ascii="Arial" w:hAnsi="Arial"/>
          <w:sz w:val="21"/>
          <w:szCs w:val="21"/>
        </w:rPr>
        <w:t xml:space="preserve"> serán considerados como “el producto de la licitación” a los efectos de la </w:t>
      </w:r>
      <w:r w:rsidR="00313D11" w:rsidRPr="00C10945">
        <w:rPr>
          <w:rFonts w:ascii="Arial" w:hAnsi="Arial"/>
          <w:sz w:val="21"/>
          <w:szCs w:val="21"/>
        </w:rPr>
        <w:t>Cláusula</w:t>
      </w:r>
      <w:r w:rsidRPr="00C10945">
        <w:rPr>
          <w:rFonts w:ascii="Arial" w:hAnsi="Arial"/>
          <w:sz w:val="21"/>
          <w:szCs w:val="21"/>
        </w:rPr>
        <w:t xml:space="preserve"> 1</w:t>
      </w:r>
      <w:r w:rsidR="00B20963" w:rsidRPr="00C10945">
        <w:rPr>
          <w:rFonts w:ascii="Arial" w:hAnsi="Arial"/>
          <w:sz w:val="21"/>
          <w:szCs w:val="21"/>
        </w:rPr>
        <w:t>3</w:t>
      </w:r>
      <w:r w:rsidRPr="00C10945">
        <w:rPr>
          <w:rFonts w:ascii="Arial" w:hAnsi="Arial"/>
          <w:sz w:val="21"/>
          <w:szCs w:val="21"/>
        </w:rPr>
        <w:t>.11</w:t>
      </w:r>
      <w:r w:rsidR="005911AC" w:rsidRPr="00C10945">
        <w:rPr>
          <w:rFonts w:ascii="Arial" w:hAnsi="Arial"/>
          <w:sz w:val="21"/>
          <w:szCs w:val="21"/>
        </w:rPr>
        <w:t xml:space="preserve">, </w:t>
      </w:r>
      <w:r w:rsidRPr="00C10945">
        <w:rPr>
          <w:rFonts w:ascii="Arial" w:hAnsi="Arial"/>
          <w:sz w:val="21"/>
          <w:szCs w:val="21"/>
        </w:rPr>
        <w:t xml:space="preserve">y el fiduciario a que se refiere la </w:t>
      </w:r>
      <w:r w:rsidR="00313D11" w:rsidRPr="00C10945">
        <w:rPr>
          <w:rFonts w:ascii="Arial" w:hAnsi="Arial"/>
          <w:sz w:val="21"/>
          <w:szCs w:val="21"/>
        </w:rPr>
        <w:t>Cláusula</w:t>
      </w:r>
      <w:r w:rsidRPr="00C10945">
        <w:rPr>
          <w:rFonts w:ascii="Arial" w:hAnsi="Arial"/>
          <w:sz w:val="21"/>
          <w:szCs w:val="21"/>
        </w:rPr>
        <w:t xml:space="preserve"> 7.2.c) pagará las deudas de la Concesión, siguiendo el orden establecido en la </w:t>
      </w:r>
      <w:r w:rsidR="00313D11" w:rsidRPr="00C10945">
        <w:rPr>
          <w:rFonts w:ascii="Arial" w:hAnsi="Arial"/>
          <w:sz w:val="21"/>
          <w:szCs w:val="21"/>
        </w:rPr>
        <w:t>Cláusula</w:t>
      </w:r>
      <w:r w:rsidRPr="00C10945">
        <w:rPr>
          <w:rFonts w:ascii="Arial" w:hAnsi="Arial"/>
          <w:sz w:val="21"/>
          <w:szCs w:val="21"/>
        </w:rPr>
        <w:t xml:space="preserve"> 1</w:t>
      </w:r>
      <w:r w:rsidR="00B20963" w:rsidRPr="00C10945">
        <w:rPr>
          <w:rFonts w:ascii="Arial" w:hAnsi="Arial"/>
          <w:sz w:val="21"/>
          <w:szCs w:val="21"/>
        </w:rPr>
        <w:t>3</w:t>
      </w:r>
      <w:r w:rsidRPr="00C10945">
        <w:rPr>
          <w:rFonts w:ascii="Arial" w:hAnsi="Arial"/>
          <w:sz w:val="21"/>
          <w:szCs w:val="21"/>
        </w:rPr>
        <w:t>.11.</w:t>
      </w:r>
    </w:p>
    <w:p w:rsidR="00785758" w:rsidRPr="00C10945" w:rsidRDefault="00785758" w:rsidP="004F6B32">
      <w:pPr>
        <w:pStyle w:val="Prrafodelista"/>
        <w:numPr>
          <w:ilvl w:val="1"/>
          <w:numId w:val="86"/>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C10945">
        <w:rPr>
          <w:rFonts w:ascii="Arial" w:hAnsi="Arial"/>
          <w:sz w:val="21"/>
          <w:szCs w:val="21"/>
        </w:rPr>
        <w:t xml:space="preserve">Si la Concesión terminara por la causal estipulada en la </w:t>
      </w:r>
      <w:r w:rsidR="00313D11" w:rsidRPr="00C10945">
        <w:rPr>
          <w:rFonts w:ascii="Arial" w:hAnsi="Arial"/>
          <w:sz w:val="21"/>
          <w:szCs w:val="21"/>
        </w:rPr>
        <w:t>Cláusula</w:t>
      </w:r>
      <w:r w:rsidRPr="00C10945">
        <w:rPr>
          <w:rFonts w:ascii="Arial" w:hAnsi="Arial"/>
          <w:sz w:val="21"/>
          <w:szCs w:val="21"/>
        </w:rPr>
        <w:t xml:space="preserve"> 1</w:t>
      </w:r>
      <w:r w:rsidR="00B20963" w:rsidRPr="00C10945">
        <w:rPr>
          <w:rFonts w:ascii="Arial" w:hAnsi="Arial"/>
          <w:sz w:val="21"/>
          <w:szCs w:val="21"/>
        </w:rPr>
        <w:t>3</w:t>
      </w:r>
      <w:r w:rsidRPr="00C10945">
        <w:rPr>
          <w:rFonts w:ascii="Arial" w:hAnsi="Arial"/>
          <w:sz w:val="21"/>
          <w:szCs w:val="21"/>
        </w:rPr>
        <w:t xml:space="preserve">.4, o si el Concedente decidiera terminarla </w:t>
      </w:r>
      <w:r w:rsidR="00C50927" w:rsidRPr="00C10945">
        <w:rPr>
          <w:rFonts w:ascii="Arial" w:hAnsi="Arial"/>
          <w:i/>
          <w:sz w:val="21"/>
          <w:szCs w:val="21"/>
        </w:rPr>
        <w:t>de facto</w:t>
      </w:r>
      <w:r w:rsidR="00C50927" w:rsidRPr="00C10945">
        <w:rPr>
          <w:rFonts w:ascii="Arial" w:hAnsi="Arial"/>
          <w:sz w:val="21"/>
          <w:szCs w:val="21"/>
        </w:rPr>
        <w:t xml:space="preserve"> o por las </w:t>
      </w:r>
      <w:r w:rsidR="00C50927" w:rsidRPr="00C10945">
        <w:rPr>
          <w:rFonts w:ascii="Arial" w:hAnsi="Arial"/>
          <w:i/>
          <w:sz w:val="21"/>
          <w:szCs w:val="21"/>
        </w:rPr>
        <w:t>vías de hecho</w:t>
      </w:r>
      <w:r w:rsidR="00C50927" w:rsidRPr="00C10945">
        <w:rPr>
          <w:rFonts w:ascii="Arial" w:hAnsi="Arial"/>
          <w:sz w:val="21"/>
          <w:szCs w:val="21"/>
        </w:rPr>
        <w:t>, se aplicarán las reglas siguientes:</w:t>
      </w:r>
    </w:p>
    <w:p w:rsidR="00785758" w:rsidRPr="00C10945" w:rsidRDefault="005911AC"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C10945">
        <w:rPr>
          <w:rFonts w:ascii="Arial" w:hAnsi="Arial"/>
          <w:sz w:val="21"/>
          <w:szCs w:val="21"/>
          <w:lang w:val="es-PE"/>
        </w:rPr>
        <w:t>Sin perjuicio de lo descrito en la Cláusula 13.9, e</w:t>
      </w:r>
      <w:r w:rsidR="00785758" w:rsidRPr="00C10945">
        <w:rPr>
          <w:rFonts w:ascii="Arial" w:hAnsi="Arial"/>
          <w:sz w:val="21"/>
          <w:szCs w:val="21"/>
          <w:lang w:val="es-PE"/>
        </w:rPr>
        <w:t>l Concedente pagará a la Sociedad Concesionaria, por todo concepto, incluida la transferencia de los Bienes de la Concesión al Concedente y la indemnización, a que se refieren los Artículos 22° y 17° del TUO, respectivamente, la cantidad que resulte mayor entre:</w:t>
      </w:r>
    </w:p>
    <w:p w:rsidR="00785758" w:rsidRPr="004E5745" w:rsidRDefault="00785758" w:rsidP="00D4498D">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4E5745" w:rsidRDefault="00785758" w:rsidP="00D4498D">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Contable que los Bienes de la Concesión tuvieran a la fecha de terminación de la Concesión.</w:t>
      </w:r>
    </w:p>
    <w:p w:rsidR="00785758" w:rsidRPr="004E5745" w:rsidRDefault="00D2502A"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 xml:space="preserve">El cálculo de la cantidad a pagar será efectuado por un Experto, que será designado y actuará conforme a las reglas de la </w:t>
      </w:r>
      <w:r w:rsidR="00313D11" w:rsidRPr="004E5745">
        <w:rPr>
          <w:rFonts w:ascii="Arial" w:hAnsi="Arial"/>
          <w:sz w:val="21"/>
          <w:szCs w:val="21"/>
          <w:lang w:val="es-PE"/>
        </w:rPr>
        <w:t>Cláusula</w:t>
      </w:r>
      <w:r w:rsidR="00785758" w:rsidRPr="004E5745">
        <w:rPr>
          <w:rFonts w:ascii="Arial" w:hAnsi="Arial"/>
          <w:sz w:val="21"/>
          <w:szCs w:val="21"/>
          <w:lang w:val="es-PE"/>
        </w:rPr>
        <w:t xml:space="preserve"> 1</w:t>
      </w:r>
      <w:r w:rsidR="00920916">
        <w:rPr>
          <w:rFonts w:ascii="Arial" w:hAnsi="Arial"/>
          <w:sz w:val="21"/>
          <w:szCs w:val="21"/>
          <w:lang w:val="es-PE"/>
        </w:rPr>
        <w:t>4</w:t>
      </w:r>
      <w:r w:rsidR="00785758" w:rsidRPr="004E5745">
        <w:rPr>
          <w:rFonts w:ascii="Arial" w:hAnsi="Arial"/>
          <w:sz w:val="21"/>
          <w:szCs w:val="21"/>
          <w:lang w:val="es-PE"/>
        </w:rPr>
        <w:t>.</w:t>
      </w:r>
      <w:r w:rsidR="003A3894" w:rsidRPr="004E5745">
        <w:rPr>
          <w:rFonts w:ascii="Arial" w:hAnsi="Arial"/>
          <w:sz w:val="21"/>
          <w:szCs w:val="21"/>
          <w:lang w:val="es-PE"/>
        </w:rPr>
        <w:t>4</w:t>
      </w:r>
      <w:r w:rsidR="00785758" w:rsidRPr="004E5745">
        <w:rPr>
          <w:rFonts w:ascii="Arial" w:hAnsi="Arial"/>
          <w:sz w:val="21"/>
          <w:szCs w:val="21"/>
          <w:lang w:val="es-PE"/>
        </w:rPr>
        <w:t>.</w:t>
      </w:r>
    </w:p>
    <w:p w:rsidR="00785758" w:rsidRPr="004E5745" w:rsidRDefault="00785758"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4E5745">
        <w:rPr>
          <w:rFonts w:ascii="Arial" w:hAnsi="Arial"/>
          <w:sz w:val="21"/>
          <w:szCs w:val="21"/>
          <w:lang w:val="es-PE"/>
        </w:rPr>
        <w:t xml:space="preserve">De la cantidad calculada conforme al literal b), el Concedente descontará los conceptos indicados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3</w:t>
      </w:r>
      <w:r w:rsidRPr="004E5745">
        <w:rPr>
          <w:rFonts w:ascii="Arial" w:hAnsi="Arial"/>
          <w:sz w:val="21"/>
          <w:szCs w:val="21"/>
          <w:lang w:val="es-PE"/>
        </w:rPr>
        <w:t>.11.a), a excepción de los gastos efectuados por el interventor y el Concedente, asociados al proceso de intervención y de licitación.</w:t>
      </w:r>
    </w:p>
    <w:p w:rsidR="00785758" w:rsidRDefault="00785758"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vigente en el Sistema Financiero peruano.</w:t>
      </w:r>
    </w:p>
    <w:p w:rsidR="00785758" w:rsidRPr="00445FE7" w:rsidRDefault="00785758" w:rsidP="004F6B32">
      <w:pPr>
        <w:pStyle w:val="Prrafodelista"/>
        <w:numPr>
          <w:ilvl w:val="1"/>
          <w:numId w:val="86"/>
        </w:numPr>
        <w:shd w:val="clear" w:color="auto" w:fill="FFFFFF"/>
        <w:tabs>
          <w:tab w:val="clear" w:pos="1134"/>
          <w:tab w:val="clear" w:pos="1701"/>
          <w:tab w:val="clear" w:pos="2268"/>
          <w:tab w:val="clear" w:pos="2835"/>
        </w:tabs>
        <w:spacing w:before="120" w:line="257" w:lineRule="auto"/>
        <w:ind w:left="567" w:hanging="567"/>
        <w:jc w:val="both"/>
        <w:rPr>
          <w:sz w:val="21"/>
          <w:szCs w:val="21"/>
          <w:lang w:eastAsia="en-US"/>
        </w:rPr>
      </w:pPr>
      <w:r w:rsidRPr="00445FE7">
        <w:rPr>
          <w:rFonts w:ascii="Arial" w:hAnsi="Arial"/>
          <w:sz w:val="21"/>
          <w:szCs w:val="21"/>
          <w:lang w:eastAsia="en-US"/>
        </w:rPr>
        <w:t xml:space="preserve">A los efectos del literal l) de la </w:t>
      </w:r>
      <w:r w:rsidR="00313D11" w:rsidRPr="00445FE7">
        <w:rPr>
          <w:rFonts w:ascii="Arial" w:hAnsi="Arial"/>
          <w:sz w:val="21"/>
          <w:szCs w:val="21"/>
          <w:lang w:eastAsia="en-US"/>
        </w:rPr>
        <w:t>Cláusula</w:t>
      </w:r>
      <w:r w:rsidRPr="00445FE7">
        <w:rPr>
          <w:rFonts w:ascii="Arial" w:hAnsi="Arial"/>
          <w:sz w:val="21"/>
          <w:szCs w:val="21"/>
          <w:lang w:eastAsia="en-US"/>
        </w:rPr>
        <w:t xml:space="preserve"> 1</w:t>
      </w:r>
      <w:r w:rsidR="00B20963">
        <w:rPr>
          <w:rFonts w:ascii="Arial" w:hAnsi="Arial"/>
          <w:sz w:val="21"/>
          <w:szCs w:val="21"/>
          <w:lang w:eastAsia="en-US"/>
        </w:rPr>
        <w:t>3</w:t>
      </w:r>
      <w:r w:rsidRPr="00445FE7">
        <w:rPr>
          <w:rFonts w:ascii="Arial" w:hAnsi="Arial"/>
          <w:sz w:val="21"/>
          <w:szCs w:val="21"/>
          <w:lang w:eastAsia="en-US"/>
        </w:rPr>
        <w:t>.2 del Contrato, se considerará que constituye incumplimiento injustificado, grave y reiterado</w:t>
      </w:r>
      <w:r w:rsidR="001E3E2F" w:rsidRPr="00445FE7">
        <w:rPr>
          <w:rFonts w:ascii="Arial" w:hAnsi="Arial"/>
          <w:sz w:val="21"/>
          <w:szCs w:val="21"/>
          <w:lang w:eastAsia="en-US"/>
        </w:rPr>
        <w:t xml:space="preserve"> de la Sociedad Concesionaria</w:t>
      </w:r>
      <w:r w:rsidRPr="00445FE7">
        <w:rPr>
          <w:rFonts w:ascii="Arial" w:hAnsi="Arial"/>
          <w:sz w:val="21"/>
          <w:szCs w:val="21"/>
          <w:lang w:eastAsia="en-US"/>
        </w:rPr>
        <w:t xml:space="preserve">, </w:t>
      </w:r>
      <w:r w:rsidR="00073FE0" w:rsidRPr="00445FE7">
        <w:rPr>
          <w:rFonts w:ascii="Arial" w:hAnsi="Arial"/>
          <w:sz w:val="21"/>
          <w:szCs w:val="21"/>
          <w:lang w:eastAsia="en-US"/>
        </w:rPr>
        <w:t>el incumplimiento de cualquiera de las actividades solicitadas por el Concedente,</w:t>
      </w:r>
      <w:r w:rsidRPr="00445FE7">
        <w:rPr>
          <w:rFonts w:ascii="Arial" w:hAnsi="Arial"/>
          <w:sz w:val="21"/>
          <w:szCs w:val="21"/>
          <w:lang w:eastAsia="en-US"/>
        </w:rPr>
        <w:t xml:space="preserve"> indicad</w:t>
      </w:r>
      <w:r w:rsidR="00073FE0" w:rsidRPr="00445FE7">
        <w:rPr>
          <w:rFonts w:ascii="Arial" w:hAnsi="Arial"/>
          <w:sz w:val="21"/>
          <w:szCs w:val="21"/>
          <w:lang w:eastAsia="en-US"/>
        </w:rPr>
        <w:t>a</w:t>
      </w:r>
      <w:r w:rsidRPr="00445FE7">
        <w:rPr>
          <w:rFonts w:ascii="Arial" w:hAnsi="Arial"/>
          <w:sz w:val="21"/>
          <w:szCs w:val="21"/>
          <w:lang w:eastAsia="en-US"/>
        </w:rPr>
        <w:t xml:space="preserve">s en el segundo párrafo de la </w:t>
      </w:r>
      <w:r w:rsidR="00313D11" w:rsidRPr="00445FE7">
        <w:rPr>
          <w:rFonts w:ascii="Arial" w:hAnsi="Arial"/>
          <w:sz w:val="21"/>
          <w:szCs w:val="21"/>
          <w:lang w:eastAsia="en-US"/>
        </w:rPr>
        <w:t>Cláusula</w:t>
      </w:r>
      <w:r w:rsidRPr="00445FE7">
        <w:rPr>
          <w:rFonts w:ascii="Arial" w:hAnsi="Arial"/>
          <w:sz w:val="21"/>
          <w:szCs w:val="21"/>
          <w:lang w:eastAsia="en-US"/>
        </w:rPr>
        <w:t xml:space="preserve"> 5.1</w:t>
      </w:r>
      <w:r w:rsidR="00973C42" w:rsidRPr="00445FE7">
        <w:rPr>
          <w:rFonts w:ascii="Arial" w:hAnsi="Arial"/>
          <w:sz w:val="21"/>
          <w:szCs w:val="21"/>
          <w:lang w:eastAsia="en-US"/>
        </w:rPr>
        <w:t>2</w:t>
      </w:r>
      <w:r w:rsidRPr="00445FE7">
        <w:rPr>
          <w:rFonts w:ascii="Arial" w:hAnsi="Arial"/>
          <w:sz w:val="21"/>
          <w:szCs w:val="21"/>
          <w:lang w:eastAsia="en-US"/>
        </w:rPr>
        <w:t xml:space="preserve"> del Contrato.</w:t>
      </w:r>
    </w:p>
    <w:p w:rsidR="00785758" w:rsidRPr="004E5745" w:rsidRDefault="00785758"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4</w:t>
      </w:r>
      <w:r w:rsidRPr="004E5745">
        <w:rPr>
          <w:rFonts w:ascii="Arial" w:hAnsi="Arial"/>
          <w:b/>
          <w:sz w:val="24"/>
          <w:szCs w:val="24"/>
        </w:rPr>
        <w:t>.</w:t>
      </w:r>
      <w:r w:rsidRPr="004E5745">
        <w:rPr>
          <w:rFonts w:ascii="Arial" w:hAnsi="Arial"/>
          <w:b/>
          <w:sz w:val="24"/>
          <w:szCs w:val="24"/>
        </w:rPr>
        <w:tab/>
        <w:t xml:space="preserve">Solución de </w:t>
      </w:r>
      <w:r w:rsidR="006C1A14" w:rsidRPr="004E5745">
        <w:rPr>
          <w:rFonts w:ascii="Arial" w:hAnsi="Arial"/>
          <w:b/>
          <w:sz w:val="24"/>
          <w:szCs w:val="24"/>
        </w:rPr>
        <w:t>c</w:t>
      </w:r>
      <w:r w:rsidRPr="004E5745">
        <w:rPr>
          <w:rFonts w:ascii="Arial" w:hAnsi="Arial"/>
          <w:b/>
          <w:sz w:val="24"/>
          <w:szCs w:val="24"/>
        </w:rPr>
        <w:t>ontroversias</w:t>
      </w:r>
    </w:p>
    <w:p w:rsidR="003A3894" w:rsidRPr="004E5745" w:rsidRDefault="003A3894"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line="257" w:lineRule="auto"/>
        <w:ind w:left="567" w:hanging="567"/>
        <w:jc w:val="both"/>
        <w:rPr>
          <w:b w:val="0"/>
          <w:sz w:val="21"/>
          <w:szCs w:val="21"/>
        </w:rPr>
      </w:pPr>
      <w:r w:rsidRPr="004E5745">
        <w:rPr>
          <w:b w:val="0"/>
          <w:sz w:val="21"/>
          <w:szCs w:val="21"/>
        </w:rPr>
        <w:t xml:space="preserve">El Contrato se regirá e interpretará de acuerdo a las Leyes Aplicables. Por tanto, el contenido, ejecución, conflictos y demás consecuencias que de él se originen, se regirán por dicha legislación, la misma que la Sociedad Concesionaria declara conocer. </w:t>
      </w:r>
    </w:p>
    <w:p w:rsidR="00CC2573" w:rsidRPr="00B803DF" w:rsidRDefault="00CC2573"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color w:val="000000"/>
          <w:sz w:val="21"/>
        </w:rPr>
      </w:pPr>
      <w:r w:rsidRPr="00B803DF">
        <w:rPr>
          <w:b w:val="0"/>
          <w:color w:val="000000"/>
          <w:sz w:val="21"/>
        </w:rPr>
        <w:t>Las Partes declaran que es su voluntad que t</w:t>
      </w:r>
      <w:r w:rsidR="00785758" w:rsidRPr="00B803DF">
        <w:rPr>
          <w:b w:val="0"/>
          <w:color w:val="000000"/>
          <w:sz w:val="21"/>
        </w:rPr>
        <w:t>odos</w:t>
      </w:r>
      <w:r w:rsidR="00785758" w:rsidRPr="004E5745">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B803DF">
        <w:rPr>
          <w:b w:val="0"/>
          <w:color w:val="000000"/>
          <w:sz w:val="21"/>
        </w:rPr>
        <w:t>sean</w:t>
      </w:r>
      <w:r w:rsidR="00785758" w:rsidRPr="004E5745">
        <w:rPr>
          <w:b w:val="0"/>
          <w:sz w:val="21"/>
          <w:szCs w:val="21"/>
        </w:rPr>
        <w:t xml:space="preserve"> resueltos por trato directo entre las Partes</w:t>
      </w:r>
      <w:r w:rsidRPr="00B803DF">
        <w:rPr>
          <w:b w:val="0"/>
          <w:color w:val="000000"/>
          <w:sz w:val="21"/>
        </w:rPr>
        <w:t>.</w:t>
      </w:r>
    </w:p>
    <w:p w:rsidR="00785758" w:rsidRPr="004E5745" w:rsidRDefault="00CC2573"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color w:val="000000"/>
          <w:sz w:val="21"/>
          <w:szCs w:val="21"/>
        </w:rPr>
        <w:t>En caso de arbitraje nacional, el período</w:t>
      </w:r>
      <w:r w:rsidR="00785758" w:rsidRPr="004E5745">
        <w:rPr>
          <w:b w:val="0"/>
          <w:sz w:val="21"/>
          <w:szCs w:val="21"/>
        </w:rPr>
        <w:t xml:space="preserve"> de </w:t>
      </w:r>
      <w:r w:rsidRPr="004E5745">
        <w:rPr>
          <w:b w:val="0"/>
          <w:color w:val="000000"/>
          <w:sz w:val="21"/>
          <w:szCs w:val="21"/>
        </w:rPr>
        <w:t xml:space="preserve">negociación o trato directo será no mayor a </w:t>
      </w:r>
      <w:r w:rsidR="00785758" w:rsidRPr="004E5745">
        <w:rPr>
          <w:b w:val="0"/>
          <w:sz w:val="21"/>
          <w:szCs w:val="21"/>
        </w:rPr>
        <w:t>quince (15) Días, contado a partir de la fecha en que una Parte comunica a la otra, por escrito, la existencia de un conflicto o controversia.</w:t>
      </w:r>
    </w:p>
    <w:p w:rsidR="002977D0" w:rsidRDefault="002977D0"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sz w:val="21"/>
          <w:szCs w:val="21"/>
        </w:rPr>
        <w:t xml:space="preserve">En caso de arbitraje internacional, el periodo de negociación o trato directo será </w:t>
      </w:r>
      <w:r w:rsidR="00F52DA5">
        <w:rPr>
          <w:b w:val="0"/>
          <w:sz w:val="21"/>
          <w:szCs w:val="21"/>
        </w:rPr>
        <w:t>de</w:t>
      </w:r>
      <w:r w:rsidRPr="004E5745">
        <w:rPr>
          <w:b w:val="0"/>
          <w:sz w:val="21"/>
          <w:szCs w:val="21"/>
        </w:rPr>
        <w:t xml:space="preserve"> seis (6) meses. Dicho plazo se computará a partir de la fecha en la que la </w:t>
      </w:r>
      <w:r w:rsidR="00507AB6">
        <w:rPr>
          <w:b w:val="0"/>
          <w:sz w:val="21"/>
          <w:szCs w:val="21"/>
        </w:rPr>
        <w:t>P</w:t>
      </w:r>
      <w:r w:rsidRPr="004E5745">
        <w:rPr>
          <w:b w:val="0"/>
          <w:sz w:val="21"/>
          <w:szCs w:val="21"/>
        </w:rPr>
        <w:t>arte que invoca la cláusula notifique su solicitud de iniciar el trato directo</w:t>
      </w:r>
      <w:r w:rsidR="00F52DA5">
        <w:rPr>
          <w:b w:val="0"/>
          <w:sz w:val="21"/>
          <w:szCs w:val="21"/>
        </w:rPr>
        <w:t xml:space="preserve"> </w:t>
      </w:r>
      <w:r w:rsidR="00F52DA5">
        <w:rPr>
          <w:b w:val="0"/>
          <w:color w:val="000000"/>
          <w:sz w:val="21"/>
          <w:szCs w:val="21"/>
        </w:rPr>
        <w:t>por escrito, incluyendo información detallada (antecedentes, hechos, puntos de controversia, pretensiones y propuestas de alternativas de solución de controversia)</w:t>
      </w:r>
      <w:r w:rsidRPr="004E5745">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206838" w:rsidRPr="004E5745" w:rsidRDefault="00D2502A"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7" w:lineRule="auto"/>
        <w:ind w:left="567" w:hanging="567"/>
        <w:jc w:val="both"/>
        <w:rPr>
          <w:b w:val="0"/>
          <w:sz w:val="21"/>
          <w:szCs w:val="21"/>
        </w:rPr>
      </w:pPr>
      <w:r>
        <w:rPr>
          <w:b w:val="0"/>
          <w:sz w:val="21"/>
          <w:szCs w:val="21"/>
        </w:rPr>
        <w:br w:type="page"/>
      </w:r>
      <w:r w:rsidR="00785758" w:rsidRPr="004E5745">
        <w:rPr>
          <w:b w:val="0"/>
          <w:sz w:val="21"/>
          <w:szCs w:val="21"/>
        </w:rPr>
        <w:lastRenderedPageBreak/>
        <w:t xml:space="preserve">En caso que las Partes, dentro del </w:t>
      </w:r>
      <w:r w:rsidR="009E3821" w:rsidRPr="004E5745">
        <w:rPr>
          <w:b w:val="0"/>
          <w:sz w:val="21"/>
          <w:szCs w:val="21"/>
        </w:rPr>
        <w:t>p</w:t>
      </w:r>
      <w:r w:rsidR="00785758" w:rsidRPr="004E5745">
        <w:rPr>
          <w:b w:val="0"/>
          <w:sz w:val="21"/>
          <w:szCs w:val="21"/>
        </w:rPr>
        <w:t xml:space="preserve">lazo de </w:t>
      </w:r>
      <w:r w:rsidR="009E3821" w:rsidRPr="004E5745">
        <w:rPr>
          <w:b w:val="0"/>
          <w:sz w:val="21"/>
          <w:szCs w:val="21"/>
        </w:rPr>
        <w:t>t</w:t>
      </w:r>
      <w:r w:rsidR="00785758" w:rsidRPr="004E5745">
        <w:rPr>
          <w:b w:val="0"/>
          <w:sz w:val="21"/>
          <w:szCs w:val="21"/>
        </w:rPr>
        <w:t xml:space="preserve">rato </w:t>
      </w:r>
      <w:r w:rsidR="009E3821" w:rsidRPr="004E5745">
        <w:rPr>
          <w:b w:val="0"/>
          <w:sz w:val="21"/>
          <w:szCs w:val="21"/>
        </w:rPr>
        <w:t>d</w:t>
      </w:r>
      <w:r w:rsidR="00785758" w:rsidRPr="004E5745">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4E5745">
        <w:rPr>
          <w:b w:val="0"/>
          <w:sz w:val="21"/>
          <w:szCs w:val="21"/>
        </w:rPr>
        <w:t>Cláusula</w:t>
      </w:r>
      <w:r w:rsidR="00785758" w:rsidRPr="004E5745">
        <w:rPr>
          <w:b w:val="0"/>
          <w:sz w:val="21"/>
          <w:szCs w:val="21"/>
        </w:rPr>
        <w:t xml:space="preserve"> 1</w:t>
      </w:r>
      <w:r w:rsidR="00101F13">
        <w:rPr>
          <w:b w:val="0"/>
          <w:sz w:val="21"/>
          <w:szCs w:val="21"/>
        </w:rPr>
        <w:t>4</w:t>
      </w:r>
      <w:r w:rsidR="00785758" w:rsidRPr="004E5745">
        <w:rPr>
          <w:b w:val="0"/>
          <w:sz w:val="21"/>
          <w:szCs w:val="21"/>
        </w:rPr>
        <w:t>.</w:t>
      </w:r>
      <w:r w:rsidR="003A3894" w:rsidRPr="004E5745">
        <w:rPr>
          <w:b w:val="0"/>
          <w:sz w:val="21"/>
          <w:szCs w:val="21"/>
        </w:rPr>
        <w:t>4</w:t>
      </w:r>
      <w:r w:rsidR="00785758" w:rsidRPr="004E5745">
        <w:rPr>
          <w:b w:val="0"/>
          <w:sz w:val="21"/>
          <w:szCs w:val="21"/>
        </w:rPr>
        <w:t xml:space="preserve">. Los conflictos o controversias que no sean de carácter técnico (cada una, una “Controversia No-Técnica”) serán resueltos conforme al procedimiento previsto en la </w:t>
      </w:r>
      <w:r w:rsidR="00313D11" w:rsidRPr="004E5745">
        <w:rPr>
          <w:b w:val="0"/>
          <w:sz w:val="21"/>
          <w:szCs w:val="21"/>
        </w:rPr>
        <w:t>Cláusula</w:t>
      </w:r>
      <w:r w:rsidR="00785758" w:rsidRPr="004E5745">
        <w:rPr>
          <w:b w:val="0"/>
          <w:sz w:val="21"/>
          <w:szCs w:val="21"/>
        </w:rPr>
        <w:t xml:space="preserve"> 1</w:t>
      </w:r>
      <w:r w:rsidR="00101F13">
        <w:rPr>
          <w:b w:val="0"/>
          <w:sz w:val="21"/>
          <w:szCs w:val="21"/>
        </w:rPr>
        <w:t>4</w:t>
      </w:r>
      <w:r w:rsidR="00785758" w:rsidRPr="004E5745">
        <w:rPr>
          <w:b w:val="0"/>
          <w:sz w:val="21"/>
          <w:szCs w:val="21"/>
        </w:rPr>
        <w:t>.</w:t>
      </w:r>
      <w:r w:rsidR="003A3894" w:rsidRPr="004E5745">
        <w:rPr>
          <w:b w:val="0"/>
          <w:sz w:val="21"/>
          <w:szCs w:val="21"/>
        </w:rPr>
        <w:t>5</w:t>
      </w:r>
      <w:r w:rsidR="00785758"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 xml:space="preserve">En caso que las Partes no se pusieran de acuerdo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00253906" w:rsidRPr="004E5745">
        <w:rPr>
          <w:b w:val="0"/>
          <w:sz w:val="21"/>
          <w:szCs w:val="21"/>
        </w:rPr>
        <w:t>.</w:t>
      </w:r>
      <w:r w:rsidR="0006319F" w:rsidRPr="004E5745">
        <w:rPr>
          <w:b w:val="0"/>
          <w:sz w:val="21"/>
          <w:szCs w:val="21"/>
        </w:rPr>
        <w:t xml:space="preserve"> </w:t>
      </w:r>
      <w:r w:rsidRPr="004E5745">
        <w:rPr>
          <w:b w:val="0"/>
          <w:sz w:val="21"/>
          <w:szCs w:val="21"/>
        </w:rPr>
        <w:t>Ninguna Controversia Técnica podrá versar sobre causales de terminación del Contrato, las que en todos los casos serán consideradas Controversias No-Técnicas.</w:t>
      </w:r>
    </w:p>
    <w:p w:rsidR="006F17B9" w:rsidRPr="004E5745" w:rsidRDefault="00785758"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7" w:lineRule="auto"/>
        <w:ind w:left="567" w:hanging="567"/>
        <w:jc w:val="both"/>
        <w:rPr>
          <w:b w:val="0"/>
          <w:sz w:val="21"/>
          <w:szCs w:val="21"/>
        </w:rPr>
      </w:pPr>
      <w:r w:rsidRPr="004E5745">
        <w:rPr>
          <w:b w:val="0"/>
          <w:sz w:val="21"/>
          <w:szCs w:val="21"/>
        </w:rPr>
        <w:t xml:space="preserve">Todas y cada una de las Controversias Técnicas que no puedan ser resueltas directamente por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905896"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El Experto podrá ser un perito nacional o extranjero con amplia experiencia en la materia de la Controversia Técnica respectiva, quien no deberá tener conflicto de interés con ninguna de las Partes al momento de su designación y mientras intervenga como Experto.</w:t>
      </w:r>
    </w:p>
    <w:p w:rsidR="00E14951"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En caso que las Partes no se pusieran de acuerdo en la designación del Experto, entonces el Experto deberá ser designado por dos personas, cada una de ellas d</w:t>
      </w:r>
      <w:r w:rsidR="00E14951" w:rsidRPr="004E5745">
        <w:rPr>
          <w:b w:val="0"/>
          <w:sz w:val="21"/>
          <w:szCs w:val="21"/>
        </w:rPr>
        <w:t>esignada por una de las Partes.</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4E5745">
        <w:rPr>
          <w:b w:val="0"/>
          <w:sz w:val="21"/>
          <w:szCs w:val="21"/>
        </w:rPr>
        <w:t>Cláusula</w:t>
      </w:r>
      <w:r w:rsidRPr="004E5745">
        <w:rPr>
          <w:b w:val="0"/>
          <w:sz w:val="21"/>
          <w:szCs w:val="21"/>
        </w:rPr>
        <w:t xml:space="preserve"> 1</w:t>
      </w:r>
      <w:r w:rsidR="0010413E">
        <w:rPr>
          <w:b w:val="0"/>
          <w:sz w:val="21"/>
          <w:szCs w:val="21"/>
        </w:rPr>
        <w:t>4</w:t>
      </w:r>
      <w:r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En caso el Experto seleccionado no se considere capacitado para resolver la Controversia Técnica que le fuera sometida, se podrá designar a otra Persona en la misma forma para que, a partir de la aceptación del encargo conferido, sea considerada para todo efecto como el Experto que resolverá tal Controversia Técnica.</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El Experto podrá solicitar a las Partes la información que estime necesaria para resolver la Controversia Técnica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calendario siguientes a su designación, teniendo las Partes un plazo de cinco (5) Días para preparar y entregar al Experto sus comentarios a dicha decisión preliminar.</w:t>
      </w:r>
    </w:p>
    <w:p w:rsidR="00785758" w:rsidRPr="004E5745" w:rsidRDefault="00D2502A"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567"/>
        <w:jc w:val="both"/>
        <w:rPr>
          <w:b w:val="0"/>
          <w:sz w:val="21"/>
          <w:szCs w:val="21"/>
        </w:rPr>
      </w:pPr>
      <w:r>
        <w:rPr>
          <w:b w:val="0"/>
          <w:sz w:val="21"/>
          <w:szCs w:val="21"/>
        </w:rPr>
        <w:br w:type="page"/>
      </w:r>
      <w:r w:rsidR="00785758" w:rsidRPr="004E5745">
        <w:rPr>
          <w:b w:val="0"/>
          <w:sz w:val="21"/>
          <w:szCs w:val="21"/>
        </w:rPr>
        <w:lastRenderedPageBreak/>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4E5745"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567"/>
        <w:jc w:val="both"/>
        <w:rPr>
          <w:b w:val="0"/>
          <w:sz w:val="21"/>
          <w:szCs w:val="21"/>
        </w:rPr>
      </w:pPr>
      <w:r w:rsidRPr="004E5745">
        <w:rPr>
          <w:b w:val="0"/>
          <w:sz w:val="21"/>
          <w:szCs w:val="21"/>
        </w:rPr>
        <w:t>El Experto deberá guardar absoluta reserva y mantener confidencialidad sobre toda la información que conozca por su participación en la resolución de una Controversia Técnica.</w:t>
      </w:r>
    </w:p>
    <w:p w:rsidR="00785758" w:rsidRPr="004E5745"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szCs w:val="21"/>
        </w:rPr>
      </w:pPr>
      <w:r w:rsidRPr="004E5745">
        <w:rPr>
          <w:b w:val="0"/>
          <w:sz w:val="21"/>
          <w:szCs w:val="21"/>
        </w:rPr>
        <w:t>Las Controversias No-Técnicas serán resueltas mediante arbitraje de derecho, nacional o internacional, de acuerdo a lo siguiente:</w:t>
      </w:r>
    </w:p>
    <w:p w:rsidR="00A21596"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4E5745">
        <w:rPr>
          <w:b w:val="0"/>
          <w:sz w:val="21"/>
          <w:szCs w:val="21"/>
        </w:rPr>
        <w:t>a)</w:t>
      </w:r>
      <w:r w:rsidRPr="004E5745">
        <w:rPr>
          <w:b w:val="0"/>
          <w:sz w:val="21"/>
          <w:szCs w:val="21"/>
        </w:rPr>
        <w:tab/>
      </w:r>
      <w:r w:rsidR="00A21596" w:rsidRPr="004E5745">
        <w:rPr>
          <w:b w:val="0"/>
          <w:sz w:val="21"/>
          <w:szCs w:val="21"/>
        </w:rPr>
        <w:t xml:space="preserve">Las </w:t>
      </w:r>
      <w:r w:rsidR="00507AB6">
        <w:rPr>
          <w:b w:val="0"/>
          <w:sz w:val="21"/>
          <w:szCs w:val="21"/>
        </w:rPr>
        <w:t>P</w:t>
      </w:r>
      <w:r w:rsidR="00A21596" w:rsidRPr="004E5745">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Pr>
          <w:b w:val="0"/>
          <w:sz w:val="21"/>
          <w:szCs w:val="21"/>
        </w:rPr>
        <w:t>l</w:t>
      </w:r>
      <w:r w:rsidR="00A21596" w:rsidRPr="004E5745">
        <w:rPr>
          <w:b w:val="0"/>
          <w:sz w:val="21"/>
          <w:szCs w:val="21"/>
        </w:rPr>
        <w:t xml:space="preserve"> OSINERGMIN u otras entidades que se dicten en ejecución de sus competencias administrativas atribuidas por norma expresa, cuya vía de reclamo es la administrativa.</w:t>
      </w:r>
    </w:p>
    <w:p w:rsidR="00186412" w:rsidRPr="004E5745" w:rsidRDefault="00A21596" w:rsidP="00D4498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20" w:line="257" w:lineRule="auto"/>
        <w:ind w:left="992" w:hanging="425"/>
        <w:jc w:val="both"/>
        <w:rPr>
          <w:b w:val="0"/>
          <w:sz w:val="21"/>
          <w:szCs w:val="21"/>
        </w:rPr>
      </w:pPr>
      <w:r w:rsidRPr="004E5745">
        <w:rPr>
          <w:b w:val="0"/>
          <w:sz w:val="21"/>
          <w:szCs w:val="21"/>
        </w:rPr>
        <w:t>b)</w:t>
      </w:r>
      <w:r w:rsidR="00214311" w:rsidRPr="004E5745">
        <w:rPr>
          <w:b w:val="0"/>
          <w:sz w:val="21"/>
          <w:szCs w:val="21"/>
        </w:rPr>
        <w:tab/>
      </w:r>
      <w:r w:rsidR="00785758" w:rsidRPr="004E5745">
        <w:rPr>
          <w:b w:val="0"/>
          <w:sz w:val="21"/>
          <w:szCs w:val="21"/>
        </w:rPr>
        <w:t>Las controversias cuya cuantía sea superior a veinte millones de Dólares</w:t>
      </w:r>
      <w:r w:rsidR="009518B5">
        <w:rPr>
          <w:b w:val="0"/>
          <w:sz w:val="21"/>
          <w:szCs w:val="21"/>
        </w:rPr>
        <w:t xml:space="preserve">                       </w:t>
      </w:r>
      <w:r w:rsidR="00785758" w:rsidRPr="004E5745">
        <w:rPr>
          <w:b w:val="0"/>
          <w:sz w:val="21"/>
          <w:szCs w:val="21"/>
        </w:rPr>
        <w:t xml:space="preserve"> (US$ 20</w:t>
      </w:r>
      <w:r w:rsidR="008C7F9D">
        <w:rPr>
          <w:b w:val="0"/>
          <w:sz w:val="21"/>
          <w:szCs w:val="21"/>
        </w:rPr>
        <w:t>´</w:t>
      </w:r>
      <w:r w:rsidR="00785758" w:rsidRPr="004E5745">
        <w:rPr>
          <w:b w:val="0"/>
          <w:sz w:val="21"/>
          <w:szCs w:val="21"/>
        </w:rPr>
        <w:t>000</w:t>
      </w:r>
      <w:r w:rsidR="008C7F9D">
        <w:rPr>
          <w:b w:val="0"/>
          <w:sz w:val="21"/>
          <w:szCs w:val="21"/>
        </w:rPr>
        <w:t>,</w:t>
      </w:r>
      <w:r w:rsidR="00785758" w:rsidRPr="004E5745">
        <w:rPr>
          <w:b w:val="0"/>
          <w:sz w:val="21"/>
          <w:szCs w:val="21"/>
        </w:rPr>
        <w:t xml:space="preserve"> 000) o su equivalente en moneda nacional, serán resueltas mediante </w:t>
      </w:r>
      <w:r w:rsidR="009E3821" w:rsidRPr="004E5745">
        <w:rPr>
          <w:b w:val="0"/>
          <w:sz w:val="21"/>
          <w:szCs w:val="21"/>
        </w:rPr>
        <w:t xml:space="preserve">trato directo de acuerdo al plazo establecido en el segundo párrafo de la Cláusula </w:t>
      </w:r>
      <w:r w:rsidR="003A3894" w:rsidRPr="004E5745">
        <w:rPr>
          <w:b w:val="0"/>
          <w:sz w:val="21"/>
          <w:szCs w:val="21"/>
        </w:rPr>
        <w:t>1</w:t>
      </w:r>
      <w:r w:rsidR="0010413E">
        <w:rPr>
          <w:b w:val="0"/>
          <w:sz w:val="21"/>
          <w:szCs w:val="21"/>
        </w:rPr>
        <w:t>4</w:t>
      </w:r>
      <w:r w:rsidR="003A3894" w:rsidRPr="004E5745">
        <w:rPr>
          <w:b w:val="0"/>
          <w:sz w:val="21"/>
          <w:szCs w:val="21"/>
        </w:rPr>
        <w:t>.2</w:t>
      </w:r>
      <w:r w:rsidR="009E3821" w:rsidRPr="004E5745">
        <w:rPr>
          <w:b w:val="0"/>
          <w:sz w:val="21"/>
          <w:szCs w:val="21"/>
        </w:rPr>
        <w:t xml:space="preserve">. </w:t>
      </w:r>
      <w:r w:rsidR="009E7458" w:rsidRPr="004E5745">
        <w:rPr>
          <w:b w:val="0"/>
          <w:sz w:val="21"/>
          <w:szCs w:val="21"/>
        </w:rPr>
        <w:t xml:space="preserve">En caso las Partes no se pusieran de acuerdo en el plazo referido, las controversias suscitadas serán resueltas mediante </w:t>
      </w:r>
      <w:r w:rsidR="00785758" w:rsidRPr="004E5745">
        <w:rPr>
          <w:b w:val="0"/>
          <w:sz w:val="21"/>
          <w:szCs w:val="21"/>
        </w:rPr>
        <w:t>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26210, a cuyas normas las</w:t>
      </w:r>
      <w:r w:rsidR="006C1A14" w:rsidRPr="004E5745">
        <w:rPr>
          <w:b w:val="0"/>
          <w:sz w:val="21"/>
          <w:szCs w:val="21"/>
        </w:rPr>
        <w:t xml:space="preserve"> </w:t>
      </w:r>
      <w:r w:rsidR="00607BF8" w:rsidRPr="004E5745">
        <w:rPr>
          <w:b w:val="0"/>
          <w:sz w:val="21"/>
          <w:szCs w:val="21"/>
        </w:rPr>
        <w:t>P</w:t>
      </w:r>
      <w:r w:rsidR="00785758" w:rsidRPr="004E5745">
        <w:rPr>
          <w:b w:val="0"/>
          <w:sz w:val="21"/>
          <w:szCs w:val="21"/>
        </w:rPr>
        <w:t>artes se someten incondicionalmente.</w:t>
      </w:r>
    </w:p>
    <w:p w:rsidR="00186412" w:rsidRPr="004E5745" w:rsidRDefault="00186412"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4E5745">
        <w:rPr>
          <w:b w:val="0"/>
          <w:sz w:val="21"/>
          <w:szCs w:val="21"/>
        </w:rPr>
        <w:t>Las Partes expresan su consentimiento anticipado e irrevocable para que toda diferencia de esta naturaleza pueda ser sometida a arbitraje CIADI, según lo señalado en el párrafo precedente.</w:t>
      </w:r>
    </w:p>
    <w:p w:rsidR="009E7458" w:rsidRPr="004E5745" w:rsidRDefault="00186412"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4E5745">
        <w:rPr>
          <w:b w:val="0"/>
          <w:sz w:val="21"/>
          <w:szCs w:val="21"/>
        </w:rPr>
        <w:t>Alternativamente, las Partes podrán acordar someter la controversia a otro fuero distinto del CIADI si así lo estimaran conveniente.</w:t>
      </w:r>
    </w:p>
    <w:p w:rsidR="009E7458" w:rsidRPr="004E5745" w:rsidRDefault="00386E1E"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Pr>
          <w:b w:val="0"/>
          <w:sz w:val="21"/>
          <w:szCs w:val="21"/>
        </w:rPr>
        <w:t>L</w:t>
      </w:r>
      <w:r w:rsidR="009E7458" w:rsidRPr="004E5745">
        <w:rPr>
          <w:b w:val="0"/>
          <w:sz w:val="21"/>
          <w:szCs w:val="21"/>
        </w:rPr>
        <w:t xml:space="preserve">a </w:t>
      </w:r>
      <w:r w:rsidR="0061641A" w:rsidRPr="004E5745">
        <w:rPr>
          <w:b w:val="0"/>
          <w:sz w:val="21"/>
          <w:szCs w:val="21"/>
        </w:rPr>
        <w:t>S</w:t>
      </w:r>
      <w:r w:rsidR="009E7458" w:rsidRPr="004E5745">
        <w:rPr>
          <w:b w:val="0"/>
          <w:sz w:val="21"/>
          <w:szCs w:val="21"/>
        </w:rPr>
        <w:t xml:space="preserve">ociedad </w:t>
      </w:r>
      <w:r w:rsidR="0061641A" w:rsidRPr="004E5745">
        <w:rPr>
          <w:b w:val="0"/>
          <w:sz w:val="21"/>
          <w:szCs w:val="21"/>
        </w:rPr>
        <w:t>C</w:t>
      </w:r>
      <w:r w:rsidR="009E7458" w:rsidRPr="004E5745">
        <w:rPr>
          <w:b w:val="0"/>
          <w:sz w:val="21"/>
          <w:szCs w:val="21"/>
        </w:rPr>
        <w:t>oncesionaria</w:t>
      </w:r>
      <w:r>
        <w:rPr>
          <w:b w:val="0"/>
          <w:sz w:val="21"/>
          <w:szCs w:val="21"/>
        </w:rPr>
        <w:t>, por</w:t>
      </w:r>
      <w:r w:rsidR="009E7458" w:rsidRPr="004E5745">
        <w:rPr>
          <w:b w:val="0"/>
          <w:sz w:val="21"/>
          <w:szCs w:val="21"/>
        </w:rPr>
        <w:t xml:space="preserve"> se</w:t>
      </w:r>
      <w:r>
        <w:rPr>
          <w:b w:val="0"/>
          <w:sz w:val="21"/>
          <w:szCs w:val="21"/>
        </w:rPr>
        <w:t>r</w:t>
      </w:r>
      <w:r w:rsidR="009E7458" w:rsidRPr="004E5745">
        <w:rPr>
          <w:b w:val="0"/>
          <w:sz w:val="21"/>
          <w:szCs w:val="21"/>
        </w:rPr>
        <w:t xml:space="preserve">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 la Sociedad Concesionaria se le considerará como “Nacional de Otro Estado contratante” por estar sometido a control extranjero según lo establece el literal b) del numeral 2) del artículo 25 del Convenio sobre Arreglos de Diferencias Relativas a Inversiones entre Estados y Nacionales de Otros Estados, y la Sociedad Concesionaria acepta que se le considere como tal.</w:t>
      </w:r>
    </w:p>
    <w:p w:rsidR="00186412" w:rsidRPr="004E5745" w:rsidRDefault="00D2502A"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0" w:lineRule="auto"/>
        <w:ind w:left="992"/>
        <w:jc w:val="both"/>
        <w:rPr>
          <w:b w:val="0"/>
          <w:sz w:val="21"/>
          <w:szCs w:val="21"/>
        </w:rPr>
      </w:pPr>
      <w:r>
        <w:rPr>
          <w:b w:val="0"/>
          <w:sz w:val="21"/>
          <w:szCs w:val="21"/>
        </w:rPr>
        <w:br w:type="page"/>
      </w:r>
      <w:r w:rsidR="00785758" w:rsidRPr="004E5745">
        <w:rPr>
          <w:b w:val="0"/>
          <w:sz w:val="21"/>
          <w:szCs w:val="21"/>
        </w:rPr>
        <w:lastRenderedPageBreak/>
        <w:t>El arbitraje tendrá lugar en la ciudad de Washington, D.C., o en la ciudad de Lima, a elección de la Sociedad Concesionaria, y será conducido en Español</w:t>
      </w:r>
      <w:r w:rsidR="002137B1" w:rsidRPr="004E5745">
        <w:rPr>
          <w:b w:val="0"/>
          <w:sz w:val="21"/>
          <w:szCs w:val="21"/>
        </w:rPr>
        <w:t>. En todo lo que no se establezca en las Cláusulas correspondientes a Solución de Controversias</w:t>
      </w:r>
      <w:r w:rsidR="00E17F62" w:rsidRPr="004E5745">
        <w:rPr>
          <w:b w:val="0"/>
          <w:sz w:val="21"/>
          <w:szCs w:val="21"/>
        </w:rPr>
        <w:t xml:space="preserve"> en el presente documento</w:t>
      </w:r>
      <w:r w:rsidR="002137B1" w:rsidRPr="004E5745">
        <w:rPr>
          <w:b w:val="0"/>
          <w:sz w:val="21"/>
          <w:szCs w:val="21"/>
        </w:rPr>
        <w:t>, se seguirá el procedimi</w:t>
      </w:r>
      <w:r w:rsidR="00E17F62" w:rsidRPr="004E5745">
        <w:rPr>
          <w:b w:val="0"/>
          <w:sz w:val="21"/>
          <w:szCs w:val="21"/>
        </w:rPr>
        <w:t>ento establecido en el Convenio a que se refiere el párrafo precedente, así como en las Reglas de arbitraje del CIADI.</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0" w:lineRule="auto"/>
        <w:ind w:left="992"/>
        <w:jc w:val="both"/>
        <w:rPr>
          <w:b w:val="0"/>
          <w:sz w:val="21"/>
          <w:szCs w:val="21"/>
        </w:rPr>
      </w:pPr>
      <w:r w:rsidRPr="004E5745">
        <w:rPr>
          <w:b w:val="0"/>
          <w:sz w:val="21"/>
          <w:szCs w:val="21"/>
        </w:rPr>
        <w:t xml:space="preserve">El tribunal arbitral estará integrado por tres (3) miembros. Cada </w:t>
      </w:r>
      <w:r w:rsidR="00507AB6">
        <w:rPr>
          <w:b w:val="0"/>
          <w:sz w:val="21"/>
          <w:szCs w:val="21"/>
        </w:rPr>
        <w:t>P</w:t>
      </w:r>
      <w:r w:rsidRPr="004E5745">
        <w:rPr>
          <w:b w:val="0"/>
          <w:sz w:val="21"/>
          <w:szCs w:val="21"/>
        </w:rPr>
        <w:t xml:space="preserve">arte designará a un árbitro y el tercero será designado por acuerdo de los dos árbitros designados por las </w:t>
      </w:r>
      <w:r w:rsidR="00507AB6">
        <w:rPr>
          <w:b w:val="0"/>
          <w:sz w:val="21"/>
          <w:szCs w:val="21"/>
        </w:rPr>
        <w:t>P</w:t>
      </w:r>
      <w:r w:rsidRPr="004E5745">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Pr>
          <w:b w:val="0"/>
          <w:sz w:val="21"/>
          <w:szCs w:val="21"/>
        </w:rPr>
        <w:t>P</w:t>
      </w:r>
      <w:r w:rsidRPr="004E5745">
        <w:rPr>
          <w:b w:val="0"/>
          <w:sz w:val="21"/>
          <w:szCs w:val="21"/>
        </w:rPr>
        <w:t>artes.</w:t>
      </w:r>
    </w:p>
    <w:p w:rsidR="00785758"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0" w:lineRule="auto"/>
        <w:ind w:left="992"/>
        <w:jc w:val="both"/>
        <w:rPr>
          <w:b w:val="0"/>
          <w:sz w:val="21"/>
          <w:szCs w:val="21"/>
        </w:rPr>
      </w:pPr>
      <w:r w:rsidRPr="004E5745">
        <w:rPr>
          <w:b w:val="0"/>
          <w:sz w:val="21"/>
          <w:szCs w:val="21"/>
        </w:rPr>
        <w:t xml:space="preserve">Si una de las </w:t>
      </w:r>
      <w:r w:rsidR="00507AB6">
        <w:rPr>
          <w:b w:val="0"/>
          <w:sz w:val="21"/>
          <w:szCs w:val="21"/>
        </w:rPr>
        <w:t>P</w:t>
      </w:r>
      <w:r w:rsidRPr="004E5745">
        <w:rPr>
          <w:b w:val="0"/>
          <w:sz w:val="21"/>
          <w:szCs w:val="21"/>
        </w:rPr>
        <w:t xml:space="preserve">artes no designase el árbitro que le corresponde dentro del plazo de </w:t>
      </w:r>
      <w:r w:rsidR="003A6AFB" w:rsidRPr="004E5745">
        <w:rPr>
          <w:b w:val="0"/>
          <w:sz w:val="21"/>
          <w:szCs w:val="21"/>
        </w:rPr>
        <w:t xml:space="preserve">treinta </w:t>
      </w:r>
      <w:r w:rsidRPr="004E5745">
        <w:rPr>
          <w:b w:val="0"/>
          <w:sz w:val="21"/>
          <w:szCs w:val="21"/>
        </w:rPr>
        <w:t>(</w:t>
      </w:r>
      <w:r w:rsidR="003A6AFB" w:rsidRPr="004E5745">
        <w:rPr>
          <w:b w:val="0"/>
          <w:sz w:val="21"/>
          <w:szCs w:val="21"/>
        </w:rPr>
        <w:t>30</w:t>
      </w:r>
      <w:r w:rsidRPr="004E5745">
        <w:rPr>
          <w:b w:val="0"/>
          <w:sz w:val="21"/>
          <w:szCs w:val="21"/>
        </w:rPr>
        <w:t xml:space="preserve">) Días contado a partir de la fecha de recepción del respectivo pedido de nombramiento, se considerará que ha renunciado a su derecho y el árbitro será designado por el CIADI a pedido de la otra </w:t>
      </w:r>
      <w:r w:rsidR="00507AB6">
        <w:rPr>
          <w:b w:val="0"/>
          <w:sz w:val="21"/>
          <w:szCs w:val="21"/>
        </w:rPr>
        <w:t>P</w:t>
      </w:r>
      <w:r w:rsidRPr="004E5745">
        <w:rPr>
          <w:b w:val="0"/>
          <w:sz w:val="21"/>
          <w:szCs w:val="21"/>
        </w:rPr>
        <w:t>arte.</w:t>
      </w:r>
    </w:p>
    <w:p w:rsidR="00785758" w:rsidRPr="004E5745" w:rsidRDefault="007A079D" w:rsidP="00D2502A">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sz w:val="21"/>
          <w:szCs w:val="21"/>
        </w:rPr>
      </w:pPr>
      <w:r w:rsidRPr="004E5745">
        <w:rPr>
          <w:b w:val="0"/>
          <w:sz w:val="21"/>
          <w:szCs w:val="21"/>
        </w:rPr>
        <w:t>c</w:t>
      </w:r>
      <w:r w:rsidR="00785758" w:rsidRPr="004E5745">
        <w:rPr>
          <w:b w:val="0"/>
          <w:sz w:val="21"/>
          <w:szCs w:val="21"/>
        </w:rPr>
        <w:t>)</w:t>
      </w:r>
      <w:r w:rsidR="00785758" w:rsidRPr="004E5745">
        <w:rPr>
          <w:b w:val="0"/>
          <w:sz w:val="21"/>
          <w:szCs w:val="21"/>
        </w:rPr>
        <w:tab/>
        <w:t>Las controversias cuya cuantía sea igual o menor a veinte millones de Dólares</w:t>
      </w:r>
      <w:r w:rsidR="000D6A1D">
        <w:rPr>
          <w:b w:val="0"/>
          <w:sz w:val="21"/>
          <w:szCs w:val="21"/>
        </w:rPr>
        <w:t xml:space="preserve">         </w:t>
      </w:r>
      <w:r w:rsidR="00785758" w:rsidRPr="004E5745">
        <w:rPr>
          <w:b w:val="0"/>
          <w:sz w:val="21"/>
          <w:szCs w:val="21"/>
        </w:rPr>
        <w:t xml:space="preserve"> (US$ 20</w:t>
      </w:r>
      <w:r w:rsidR="008C7F9D">
        <w:rPr>
          <w:b w:val="0"/>
          <w:sz w:val="21"/>
          <w:szCs w:val="21"/>
        </w:rPr>
        <w:t>´</w:t>
      </w:r>
      <w:r w:rsidR="00785758" w:rsidRPr="004E5745">
        <w:rPr>
          <w:b w:val="0"/>
          <w:sz w:val="21"/>
          <w:szCs w:val="21"/>
        </w:rPr>
        <w:t>000</w:t>
      </w:r>
      <w:r w:rsidR="008C7F9D">
        <w:rPr>
          <w:b w:val="0"/>
          <w:sz w:val="21"/>
          <w:szCs w:val="21"/>
        </w:rPr>
        <w:t>,</w:t>
      </w:r>
      <w:r w:rsidR="00785758" w:rsidRPr="004E5745">
        <w:rPr>
          <w:b w:val="0"/>
          <w:sz w:val="21"/>
          <w:szCs w:val="21"/>
        </w:rPr>
        <w:t xml:space="preserve">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4E5745">
        <w:rPr>
          <w:b w:val="0"/>
          <w:sz w:val="21"/>
          <w:szCs w:val="21"/>
        </w:rPr>
        <w:t>el Decreto Legislativo N° 1071</w:t>
      </w:r>
      <w:r w:rsidR="00785758" w:rsidRPr="004E5745">
        <w:rPr>
          <w:b w:val="0"/>
          <w:sz w:val="21"/>
          <w:szCs w:val="21"/>
        </w:rPr>
        <w:t xml:space="preserve">, Ley de Arbitraje. El arbitraje tendrá lugar en la ciudad de Lima, Perú y será conducido en </w:t>
      </w:r>
      <w:r w:rsidR="00C10945" w:rsidRPr="004E5745">
        <w:rPr>
          <w:b w:val="0"/>
          <w:sz w:val="21"/>
          <w:szCs w:val="21"/>
        </w:rPr>
        <w:t>español</w:t>
      </w:r>
      <w:r w:rsidR="003A6AFB"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sz w:val="21"/>
          <w:szCs w:val="21"/>
        </w:rPr>
      </w:pPr>
      <w:r w:rsidRPr="004E5745">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Pr>
          <w:b w:val="0"/>
          <w:sz w:val="21"/>
          <w:szCs w:val="21"/>
        </w:rPr>
        <w:t>P</w:t>
      </w:r>
      <w:r w:rsidRPr="004E5745">
        <w:rPr>
          <w:b w:val="0"/>
          <w:sz w:val="21"/>
          <w:szCs w:val="21"/>
        </w:rPr>
        <w:t>arte contraria, se considerará que ha renunciado a su derecho y el árbitro será designado por la Cámara de Comercio de Lima a pedido de la otra Parte.</w:t>
      </w:r>
    </w:p>
    <w:p w:rsidR="00F52DA5" w:rsidRPr="00652890" w:rsidRDefault="00785758"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0" w:lineRule="auto"/>
        <w:ind w:left="567" w:hanging="567"/>
        <w:jc w:val="both"/>
        <w:rPr>
          <w:b w:val="0"/>
          <w:sz w:val="21"/>
          <w:szCs w:val="21"/>
        </w:rPr>
      </w:pPr>
      <w:r w:rsidRPr="00652890">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652890">
        <w:rPr>
          <w:b w:val="0"/>
          <w:sz w:val="21"/>
          <w:szCs w:val="21"/>
        </w:rPr>
        <w:t>, salvo en las causales taxativamente previstas en l</w:t>
      </w:r>
      <w:r w:rsidR="00F52DA5">
        <w:rPr>
          <w:b w:val="0"/>
          <w:sz w:val="21"/>
          <w:szCs w:val="21"/>
        </w:rPr>
        <w:t>os</w:t>
      </w:r>
      <w:r w:rsidR="00205478" w:rsidRPr="00652890">
        <w:rPr>
          <w:b w:val="0"/>
          <w:sz w:val="21"/>
          <w:szCs w:val="21"/>
        </w:rPr>
        <w:t xml:space="preserve"> artículo</w:t>
      </w:r>
      <w:r w:rsidR="00F52DA5">
        <w:rPr>
          <w:b w:val="0"/>
          <w:sz w:val="21"/>
          <w:szCs w:val="21"/>
        </w:rPr>
        <w:t>s 62</w:t>
      </w:r>
      <w:r w:rsidR="00F52DA5" w:rsidRPr="00F52DA5">
        <w:rPr>
          <w:sz w:val="21"/>
          <w:szCs w:val="21"/>
        </w:rPr>
        <w:t>°</w:t>
      </w:r>
      <w:r w:rsidR="00F52DA5">
        <w:rPr>
          <w:b w:val="0"/>
          <w:sz w:val="21"/>
          <w:szCs w:val="21"/>
        </w:rPr>
        <w:t xml:space="preserve"> y </w:t>
      </w:r>
      <w:r w:rsidR="00205478" w:rsidRPr="00652890">
        <w:rPr>
          <w:b w:val="0"/>
          <w:sz w:val="21"/>
          <w:szCs w:val="21"/>
        </w:rPr>
        <w:t>63</w:t>
      </w:r>
      <w:r w:rsidR="00F52DA5" w:rsidRPr="00F52DA5">
        <w:rPr>
          <w:sz w:val="21"/>
          <w:szCs w:val="21"/>
        </w:rPr>
        <w:t>°</w:t>
      </w:r>
      <w:r w:rsidR="00205478" w:rsidRPr="00652890">
        <w:rPr>
          <w:b w:val="0"/>
          <w:sz w:val="21"/>
          <w:szCs w:val="21"/>
        </w:rPr>
        <w:t xml:space="preserve"> del Decreto Legislativo N° 1071</w:t>
      </w:r>
      <w:r w:rsidR="00F52DA5" w:rsidRPr="00652890">
        <w:rPr>
          <w:b w:val="0"/>
          <w:sz w:val="21"/>
          <w:szCs w:val="21"/>
        </w:rPr>
        <w:t xml:space="preserve"> ó en los artículos 51° y 52° del Convenio CIADI, según sea aplicable.</w:t>
      </w:r>
    </w:p>
    <w:p w:rsidR="00551606" w:rsidRPr="004E5745" w:rsidRDefault="00551606"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0" w:lineRule="auto"/>
        <w:ind w:left="567" w:hanging="567"/>
        <w:jc w:val="both"/>
        <w:rPr>
          <w:b w:val="0"/>
          <w:sz w:val="21"/>
          <w:szCs w:val="21"/>
        </w:rPr>
      </w:pPr>
      <w:r w:rsidRPr="004E5745">
        <w:rPr>
          <w:b w:val="0"/>
          <w:sz w:val="21"/>
          <w:szCs w:val="21"/>
        </w:rPr>
        <w:t>Durante el desarrollo del arbitraje las Partes continuarán con la ejecución de sus obligaciones contractuales, en la medida en que sea posible, inclusive con aquéllas materia del arbitraje.</w:t>
      </w:r>
    </w:p>
    <w:p w:rsidR="00551606" w:rsidRPr="004E5745" w:rsidRDefault="00D2502A"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Pr>
          <w:b w:val="0"/>
          <w:sz w:val="21"/>
          <w:szCs w:val="21"/>
        </w:rPr>
        <w:br w:type="page"/>
      </w:r>
      <w:r w:rsidR="00551606" w:rsidRPr="004E5745">
        <w:rPr>
          <w:b w:val="0"/>
          <w:sz w:val="21"/>
          <w:szCs w:val="21"/>
        </w:rPr>
        <w:lastRenderedPageBreak/>
        <w:t>Si la materia de arbitraje fuera el cumplimiento de las obligaciones garantizadas con fianza conforme a la Cláusula 1</w:t>
      </w:r>
      <w:r w:rsidR="00F5638E">
        <w:rPr>
          <w:b w:val="0"/>
          <w:sz w:val="21"/>
          <w:szCs w:val="21"/>
        </w:rPr>
        <w:t>2</w:t>
      </w:r>
      <w:r w:rsidR="00551606" w:rsidRPr="004E5745">
        <w:rPr>
          <w:b w:val="0"/>
          <w:sz w:val="21"/>
          <w:szCs w:val="21"/>
        </w:rPr>
        <w:t xml:space="preserve">, si fuera aplicable, dicha </w:t>
      </w:r>
      <w:r w:rsidR="00DC7A5F">
        <w:rPr>
          <w:b w:val="0"/>
          <w:sz w:val="21"/>
          <w:szCs w:val="21"/>
        </w:rPr>
        <w:t>G</w:t>
      </w:r>
      <w:r w:rsidR="00551606" w:rsidRPr="004E5745">
        <w:rPr>
          <w:b w:val="0"/>
          <w:sz w:val="21"/>
          <w:szCs w:val="21"/>
        </w:rPr>
        <w:t xml:space="preserve">arantía no podrá ser ejecutada, y deberá ser mantenida vigente durante el procedimiento arbitral. Sin embargo, la </w:t>
      </w:r>
      <w:r w:rsidR="00DC7A5F">
        <w:rPr>
          <w:b w:val="0"/>
          <w:sz w:val="21"/>
          <w:szCs w:val="21"/>
        </w:rPr>
        <w:t>G</w:t>
      </w:r>
      <w:r w:rsidR="00551606" w:rsidRPr="004E5745">
        <w:rPr>
          <w:b w:val="0"/>
          <w:sz w:val="21"/>
          <w:szCs w:val="21"/>
        </w:rPr>
        <w:t>arantía podrá ser ejecutada cuando no sea renovada.</w:t>
      </w:r>
    </w:p>
    <w:p w:rsidR="00785758" w:rsidRPr="004E5745"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7" w:lineRule="auto"/>
        <w:ind w:left="567" w:hanging="567"/>
        <w:jc w:val="both"/>
        <w:rPr>
          <w:b w:val="0"/>
          <w:sz w:val="21"/>
          <w:szCs w:val="21"/>
        </w:rPr>
      </w:pPr>
      <w:r w:rsidRPr="004E5745">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4E5745">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4E5745"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sz w:val="21"/>
          <w:szCs w:val="21"/>
        </w:rPr>
        <w:t xml:space="preserve">Se excluye de lo dispuesto en esta </w:t>
      </w:r>
      <w:r w:rsidR="00313D11" w:rsidRPr="004E5745">
        <w:rPr>
          <w:b w:val="0"/>
          <w:sz w:val="21"/>
          <w:szCs w:val="21"/>
        </w:rPr>
        <w:t>Cláusula</w:t>
      </w:r>
      <w:r w:rsidRPr="004E5745">
        <w:rPr>
          <w:b w:val="0"/>
          <w:sz w:val="21"/>
          <w:szCs w:val="21"/>
        </w:rPr>
        <w:t xml:space="preserve"> los costos y gastos tales como honorarios de asesores, costos internos u otros que resulten imputables a una Parte de manera individual.</w:t>
      </w:r>
    </w:p>
    <w:p w:rsidR="00652890"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7" w:lineRule="auto"/>
        <w:ind w:left="567" w:hanging="567"/>
        <w:jc w:val="both"/>
        <w:rPr>
          <w:b w:val="0"/>
          <w:sz w:val="21"/>
          <w:szCs w:val="21"/>
        </w:rPr>
      </w:pPr>
      <w:r w:rsidRPr="004E5745">
        <w:rPr>
          <w:b w:val="0"/>
          <w:sz w:val="21"/>
          <w:szCs w:val="21"/>
        </w:rPr>
        <w:t>La Sociedad Concesionaria renuncia de manera expresa, incondicional e irrevocable a cualquier reclamación diplomática.</w:t>
      </w:r>
    </w:p>
    <w:p w:rsidR="00AE22C4" w:rsidRPr="004E5745" w:rsidRDefault="00AE22C4" w:rsidP="00D4498D">
      <w:pPr>
        <w:tabs>
          <w:tab w:val="clear" w:pos="567"/>
          <w:tab w:val="clear" w:pos="1134"/>
          <w:tab w:val="clear" w:pos="1701"/>
          <w:tab w:val="clear" w:pos="2268"/>
          <w:tab w:val="clear" w:pos="2835"/>
        </w:tabs>
        <w:spacing w:before="360" w:after="240" w:line="257" w:lineRule="auto"/>
        <w:rPr>
          <w:rFonts w:ascii="Arial" w:hAnsi="Arial"/>
          <w:b/>
          <w:sz w:val="24"/>
          <w:szCs w:val="24"/>
        </w:rPr>
      </w:pPr>
      <w:r w:rsidRPr="004E5745">
        <w:rPr>
          <w:rFonts w:ascii="Arial" w:hAnsi="Arial"/>
          <w:b/>
          <w:sz w:val="24"/>
          <w:szCs w:val="24"/>
        </w:rPr>
        <w:t>1</w:t>
      </w:r>
      <w:r w:rsidR="00B20963">
        <w:rPr>
          <w:rFonts w:ascii="Arial" w:hAnsi="Arial"/>
          <w:b/>
          <w:sz w:val="24"/>
          <w:szCs w:val="24"/>
        </w:rPr>
        <w:t>5</w:t>
      </w:r>
      <w:r w:rsidRPr="004E5745">
        <w:rPr>
          <w:rFonts w:ascii="Arial" w:hAnsi="Arial"/>
          <w:b/>
          <w:sz w:val="24"/>
          <w:szCs w:val="24"/>
        </w:rPr>
        <w:t>.</w:t>
      </w:r>
      <w:r w:rsidRPr="004E5745">
        <w:rPr>
          <w:rFonts w:ascii="Arial" w:hAnsi="Arial"/>
          <w:b/>
          <w:sz w:val="24"/>
          <w:szCs w:val="24"/>
        </w:rPr>
        <w:tab/>
        <w:t>Equilibrio Económico–Financiero</w:t>
      </w:r>
    </w:p>
    <w:p w:rsidR="00EC2E84" w:rsidRPr="00652890" w:rsidRDefault="00AE22C4" w:rsidP="004F6B32">
      <w:pPr>
        <w:pStyle w:val="Prrafodelista"/>
        <w:numPr>
          <w:ilvl w:val="0"/>
          <w:numId w:val="85"/>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652890">
        <w:rPr>
          <w:rFonts w:ascii="Arial" w:hAnsi="Arial"/>
          <w:sz w:val="21"/>
          <w:szCs w:val="21"/>
        </w:rPr>
        <w:t xml:space="preserve">Las Partes reconocen que a la </w:t>
      </w:r>
      <w:r w:rsidR="000F6FFA" w:rsidRPr="00652890">
        <w:rPr>
          <w:rFonts w:ascii="Arial" w:hAnsi="Arial"/>
          <w:sz w:val="21"/>
          <w:szCs w:val="21"/>
        </w:rPr>
        <w:t>f</w:t>
      </w:r>
      <w:r w:rsidRPr="00652890">
        <w:rPr>
          <w:rFonts w:ascii="Arial" w:hAnsi="Arial"/>
          <w:sz w:val="21"/>
          <w:szCs w:val="21"/>
        </w:rPr>
        <w:t xml:space="preserve">echa de </w:t>
      </w:r>
      <w:r w:rsidR="007E27CE" w:rsidRPr="00652890">
        <w:rPr>
          <w:rFonts w:ascii="Arial" w:hAnsi="Arial"/>
          <w:sz w:val="21"/>
          <w:szCs w:val="21"/>
        </w:rPr>
        <w:t xml:space="preserve">presentación de Ofertas la situación existente constituía una de </w:t>
      </w:r>
      <w:r w:rsidRPr="00652890">
        <w:rPr>
          <w:rFonts w:ascii="Arial" w:hAnsi="Arial"/>
          <w:sz w:val="21"/>
          <w:szCs w:val="21"/>
        </w:rPr>
        <w:t>equilibrio económico-financiero en términos de derechos, responsabilidades y riesgos asignados a las Partes.</w:t>
      </w:r>
    </w:p>
    <w:p w:rsidR="00EC2E84" w:rsidRPr="00942275" w:rsidRDefault="00AE22C4" w:rsidP="004F6B32">
      <w:pPr>
        <w:pStyle w:val="Prrafodelista"/>
        <w:numPr>
          <w:ilvl w:val="0"/>
          <w:numId w:val="85"/>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4E5745">
        <w:rPr>
          <w:rFonts w:ascii="Arial" w:hAnsi="Arial"/>
          <w:sz w:val="21"/>
          <w:szCs w:val="21"/>
        </w:rPr>
        <w:t>La presente Cláusula estipula un mecanismo para restablecer el equilibrio económico-financiero, al cual tendrán derecho la Sociedad Concesionaria y el Concedente, en caso que el equilibrio económico</w:t>
      </w:r>
      <w:r w:rsidR="007E27CE">
        <w:rPr>
          <w:rFonts w:ascii="Arial" w:hAnsi="Arial"/>
          <w:sz w:val="21"/>
          <w:szCs w:val="21"/>
        </w:rPr>
        <w:t>-financiero</w:t>
      </w:r>
      <w:r w:rsidRPr="004E5745">
        <w:rPr>
          <w:rFonts w:ascii="Arial" w:hAnsi="Arial"/>
          <w:sz w:val="21"/>
          <w:szCs w:val="21"/>
        </w:rPr>
        <w:t xml:space="preserve"> de la Concesión sea </w:t>
      </w:r>
      <w:r w:rsidR="00EC2E84" w:rsidRPr="00942275">
        <w:rPr>
          <w:rFonts w:ascii="Arial" w:hAnsi="Arial"/>
          <w:sz w:val="21"/>
          <w:szCs w:val="21"/>
        </w:rPr>
        <w:t xml:space="preserve">significativamente </w:t>
      </w:r>
      <w:r w:rsidRPr="00942275">
        <w:rPr>
          <w:rFonts w:ascii="Arial" w:hAnsi="Arial"/>
          <w:sz w:val="21"/>
          <w:szCs w:val="21"/>
        </w:rPr>
        <w:t>afectado</w:t>
      </w:r>
      <w:r w:rsidR="00EC2E84" w:rsidRPr="00942275">
        <w:rPr>
          <w:rFonts w:ascii="Arial" w:hAnsi="Arial"/>
          <w:sz w:val="21"/>
          <w:szCs w:val="21"/>
        </w:rPr>
        <w:t xml:space="preserve"> exclu</w:t>
      </w:r>
      <w:r w:rsidR="00533171">
        <w:rPr>
          <w:rFonts w:ascii="Arial" w:hAnsi="Arial"/>
          <w:sz w:val="21"/>
          <w:szCs w:val="21"/>
        </w:rPr>
        <w:t>siva y explícitamente debido a cambios en las Leyes Aplicables, en la medida que tenga directa relación con aspectos económicos financieros vinculados a la variación de</w:t>
      </w:r>
      <w:r w:rsidR="00533171" w:rsidRPr="00245582">
        <w:rPr>
          <w:rFonts w:ascii="Arial" w:hAnsi="Arial"/>
          <w:sz w:val="21"/>
          <w:szCs w:val="21"/>
        </w:rPr>
        <w:t xml:space="preserve"> </w:t>
      </w:r>
      <w:r w:rsidR="00EC2E84" w:rsidRPr="00942275">
        <w:rPr>
          <w:rFonts w:ascii="Arial" w:hAnsi="Arial"/>
          <w:sz w:val="21"/>
          <w:szCs w:val="21"/>
        </w:rPr>
        <w:t>ingresos</w:t>
      </w:r>
      <w:r w:rsidR="00533171" w:rsidRPr="00245582">
        <w:rPr>
          <w:rFonts w:ascii="Arial" w:hAnsi="Arial"/>
          <w:sz w:val="21"/>
          <w:szCs w:val="21"/>
        </w:rPr>
        <w:t xml:space="preserve">, </w:t>
      </w:r>
      <w:r w:rsidR="00EC2E84" w:rsidRPr="00942275">
        <w:rPr>
          <w:rFonts w:ascii="Arial" w:hAnsi="Arial"/>
          <w:sz w:val="21"/>
          <w:szCs w:val="21"/>
        </w:rPr>
        <w:t>costos</w:t>
      </w:r>
      <w:r w:rsidR="00533171" w:rsidRPr="00245582">
        <w:rPr>
          <w:rFonts w:ascii="Arial" w:hAnsi="Arial"/>
          <w:sz w:val="21"/>
          <w:szCs w:val="21"/>
        </w:rPr>
        <w:t xml:space="preserve"> de inversión o costos de operación y mantenimiento</w:t>
      </w:r>
      <w:r w:rsidR="00EC2E84" w:rsidRPr="00942275">
        <w:rPr>
          <w:rFonts w:ascii="Arial" w:hAnsi="Arial"/>
          <w:sz w:val="21"/>
          <w:szCs w:val="21"/>
        </w:rPr>
        <w:t xml:space="preserve"> relacionados con la prestación del Servicio</w:t>
      </w:r>
      <w:r w:rsidR="00533171">
        <w:rPr>
          <w:rFonts w:ascii="Arial" w:hAnsi="Arial"/>
          <w:sz w:val="21"/>
          <w:szCs w:val="21"/>
        </w:rPr>
        <w:t>.</w:t>
      </w:r>
    </w:p>
    <w:p w:rsidR="007E27CE" w:rsidRPr="00942275" w:rsidRDefault="00533171" w:rsidP="004F6B32">
      <w:pPr>
        <w:pStyle w:val="Prrafodelista"/>
        <w:numPr>
          <w:ilvl w:val="0"/>
          <w:numId w:val="85"/>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Pr>
          <w:rFonts w:ascii="Arial" w:hAnsi="Arial"/>
          <w:sz w:val="21"/>
          <w:szCs w:val="21"/>
        </w:rPr>
        <w:t xml:space="preserve">El equilibrio económico-financiero será </w:t>
      </w:r>
      <w:r w:rsidR="004E646C" w:rsidRPr="004E5745">
        <w:rPr>
          <w:rFonts w:ascii="Arial" w:hAnsi="Arial"/>
          <w:sz w:val="21"/>
          <w:szCs w:val="21"/>
        </w:rPr>
        <w:t>restablecido</w:t>
      </w:r>
      <w:r>
        <w:rPr>
          <w:rFonts w:ascii="Arial" w:hAnsi="Arial"/>
          <w:sz w:val="21"/>
          <w:szCs w:val="21"/>
        </w:rPr>
        <w:t xml:space="preserve"> si, como consecuencia de lo señalado en la Cláusula anterior, y en comparación con lo que habría pasado en el mismo período si no hubiesen ocurrido los cambios a que se refiere dicha Cláusula:</w:t>
      </w:r>
    </w:p>
    <w:p w:rsidR="007E27CE" w:rsidRPr="007E27CE" w:rsidRDefault="007E27CE" w:rsidP="00D4498D">
      <w:pPr>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a)</w:t>
      </w:r>
      <w:r w:rsidR="00652890">
        <w:rPr>
          <w:rFonts w:ascii="Arial" w:hAnsi="Arial"/>
          <w:sz w:val="21"/>
          <w:szCs w:val="21"/>
        </w:rPr>
        <w:tab/>
      </w:r>
      <w:r w:rsidRPr="007E27CE">
        <w:rPr>
          <w:rFonts w:ascii="Arial" w:hAnsi="Arial"/>
          <w:sz w:val="21"/>
          <w:szCs w:val="21"/>
        </w:rPr>
        <w:t>Se increment</w:t>
      </w:r>
      <w:r w:rsidR="00176B22">
        <w:rPr>
          <w:rFonts w:ascii="Arial" w:hAnsi="Arial"/>
          <w:sz w:val="21"/>
          <w:szCs w:val="21"/>
        </w:rPr>
        <w:t>e</w:t>
      </w:r>
      <w:r w:rsidRPr="007E27CE">
        <w:rPr>
          <w:rFonts w:ascii="Arial" w:hAnsi="Arial"/>
          <w:sz w:val="21"/>
          <w:szCs w:val="21"/>
        </w:rPr>
        <w:t xml:space="preserve"> </w:t>
      </w:r>
      <w:r w:rsidR="00942275">
        <w:rPr>
          <w:rFonts w:ascii="Arial" w:hAnsi="Arial"/>
          <w:sz w:val="21"/>
          <w:szCs w:val="21"/>
        </w:rPr>
        <w:t xml:space="preserve">los costos de inversión </w:t>
      </w:r>
      <w:r w:rsidRPr="007E27CE">
        <w:rPr>
          <w:rFonts w:ascii="Arial" w:hAnsi="Arial"/>
          <w:sz w:val="21"/>
          <w:szCs w:val="21"/>
        </w:rPr>
        <w:t>realizad</w:t>
      </w:r>
      <w:r w:rsidR="00942275">
        <w:rPr>
          <w:rFonts w:ascii="Arial" w:hAnsi="Arial"/>
          <w:sz w:val="21"/>
          <w:szCs w:val="21"/>
        </w:rPr>
        <w:t>os</w:t>
      </w:r>
      <w:r w:rsidRPr="007E27CE">
        <w:rPr>
          <w:rFonts w:ascii="Arial" w:hAnsi="Arial"/>
          <w:sz w:val="21"/>
          <w:szCs w:val="21"/>
        </w:rPr>
        <w:t xml:space="preserve"> por la Sociedad Concesionaria desde la Fecha de Cierre</w:t>
      </w:r>
      <w:r w:rsidR="008E2184">
        <w:rPr>
          <w:rFonts w:ascii="Arial" w:hAnsi="Arial"/>
          <w:sz w:val="21"/>
          <w:szCs w:val="21"/>
        </w:rPr>
        <w:t xml:space="preserve"> </w:t>
      </w:r>
      <w:r w:rsidRPr="007E27CE">
        <w:rPr>
          <w:rFonts w:ascii="Arial" w:hAnsi="Arial"/>
          <w:sz w:val="21"/>
          <w:szCs w:val="21"/>
        </w:rPr>
        <w:t>hasta la Puesta en Operación Comercial en un equivalente al cinco por ciento (5%) o más del Costo de la Inversión señalado en el Numeral 8.1.b; o,</w:t>
      </w:r>
    </w:p>
    <w:p w:rsidR="00276953" w:rsidRDefault="007E27CE" w:rsidP="00D4498D">
      <w:pPr>
        <w:pStyle w:val="Prrafodelista"/>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b) Se afect</w:t>
      </w:r>
      <w:r w:rsidR="00176B22">
        <w:rPr>
          <w:rFonts w:ascii="Arial" w:hAnsi="Arial"/>
          <w:sz w:val="21"/>
          <w:szCs w:val="21"/>
        </w:rPr>
        <w:t>e</w:t>
      </w:r>
      <w:r w:rsidRPr="007E27CE">
        <w:rPr>
          <w:rFonts w:ascii="Arial" w:hAnsi="Arial"/>
          <w:sz w:val="21"/>
          <w:szCs w:val="21"/>
        </w:rPr>
        <w:t xml:space="preserve"> los ingresos o los costos de operación y mantenimiento del Servicio de manera tal que la diferencia entre los ingresos menos los costos de operación y mantenimiento de la Sociedad Concesionaria en la explotación del Servicio, durante un período de doce (12) meses consecutivos o más, varíe en el equivalente al cinco por ciento (5%) o más de la Base Tarifaria vigente.</w:t>
      </w:r>
      <w:r w:rsidRPr="007E27CE" w:rsidDel="007E27CE">
        <w:rPr>
          <w:rFonts w:ascii="Arial" w:hAnsi="Arial"/>
          <w:sz w:val="21"/>
          <w:szCs w:val="21"/>
        </w:rPr>
        <w:t xml:space="preserve"> </w:t>
      </w:r>
    </w:p>
    <w:p w:rsidR="00AE22C4" w:rsidRPr="004E5745" w:rsidRDefault="00D2502A" w:rsidP="00D4498D">
      <w:pPr>
        <w:pStyle w:val="Prrafodelista"/>
        <w:tabs>
          <w:tab w:val="clear" w:pos="1134"/>
          <w:tab w:val="clear" w:pos="1701"/>
          <w:tab w:val="clear" w:pos="2268"/>
          <w:tab w:val="clear" w:pos="2835"/>
        </w:tabs>
        <w:spacing w:before="120" w:after="120" w:line="257" w:lineRule="auto"/>
        <w:ind w:left="567" w:hanging="567"/>
        <w:jc w:val="both"/>
        <w:rPr>
          <w:rFonts w:ascii="Arial" w:hAnsi="Arial"/>
          <w:sz w:val="21"/>
          <w:szCs w:val="21"/>
        </w:rPr>
      </w:pPr>
      <w:r>
        <w:rPr>
          <w:rFonts w:ascii="Arial" w:hAnsi="Arial"/>
          <w:sz w:val="21"/>
          <w:szCs w:val="21"/>
        </w:rPr>
        <w:br w:type="page"/>
      </w:r>
      <w:r w:rsidR="00276953">
        <w:rPr>
          <w:rFonts w:ascii="Arial" w:hAnsi="Arial"/>
          <w:sz w:val="21"/>
          <w:szCs w:val="21"/>
        </w:rPr>
        <w:lastRenderedPageBreak/>
        <w:t>15.4</w:t>
      </w:r>
      <w:r w:rsidR="00276953">
        <w:rPr>
          <w:rFonts w:ascii="Arial" w:hAnsi="Arial"/>
          <w:sz w:val="21"/>
          <w:szCs w:val="21"/>
        </w:rPr>
        <w:tab/>
      </w:r>
      <w:r w:rsidR="00AE22C4" w:rsidRPr="004E5745">
        <w:rPr>
          <w:rFonts w:ascii="Arial" w:hAnsi="Arial"/>
          <w:sz w:val="21"/>
          <w:szCs w:val="21"/>
        </w:rPr>
        <w:t xml:space="preserve">Si el equilibrio económico </w:t>
      </w:r>
      <w:r w:rsidR="00FF547C" w:rsidRPr="004E5745">
        <w:rPr>
          <w:rFonts w:ascii="Arial" w:hAnsi="Arial"/>
          <w:sz w:val="21"/>
          <w:szCs w:val="21"/>
        </w:rPr>
        <w:t xml:space="preserve">– financiero </w:t>
      </w:r>
      <w:r w:rsidR="00AE22C4" w:rsidRPr="004E5745">
        <w:rPr>
          <w:rFonts w:ascii="Arial" w:hAnsi="Arial"/>
          <w:sz w:val="21"/>
          <w:szCs w:val="21"/>
        </w:rPr>
        <w:t xml:space="preserve">del presente Contrato se ve afectado, tal como se define en </w:t>
      </w:r>
      <w:r w:rsidR="00810717" w:rsidRPr="004E5745">
        <w:rPr>
          <w:rFonts w:ascii="Arial" w:hAnsi="Arial"/>
          <w:sz w:val="21"/>
          <w:szCs w:val="21"/>
        </w:rPr>
        <w:t xml:space="preserve">la Cláusula </w:t>
      </w:r>
      <w:r w:rsidR="00AE22C4" w:rsidRPr="004E5745">
        <w:rPr>
          <w:rFonts w:ascii="Arial" w:hAnsi="Arial"/>
          <w:sz w:val="21"/>
          <w:szCs w:val="21"/>
        </w:rPr>
        <w:t xml:space="preserve">anterior, la Sociedad Concesionaria o el Concedente, podrá proponer por escrito a la otra Parte y con la necesaria sustentación, las soluciones y procedimientos a seguir para restablecer el equilibrio económico afectado. </w:t>
      </w:r>
      <w:r w:rsidR="007E27CE" w:rsidRPr="007E27CE">
        <w:rPr>
          <w:rFonts w:ascii="Arial" w:hAnsi="Arial"/>
          <w:sz w:val="21"/>
          <w:szCs w:val="21"/>
        </w:rPr>
        <w:t xml:space="preserve">El restablecimiento del equilibrio económico-financiero deberá considerar el valor presente de los efectos en los flujos de caja futuros de la Sociedad Concesionaria. </w:t>
      </w:r>
      <w:r w:rsidR="00AE22C4" w:rsidRPr="004E5745">
        <w:rPr>
          <w:rFonts w:ascii="Arial" w:hAnsi="Arial"/>
          <w:sz w:val="21"/>
          <w:szCs w:val="21"/>
        </w:rPr>
        <w:t>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7E27CE" w:rsidRPr="00D41238" w:rsidRDefault="002D30F7" w:rsidP="004F6B32">
      <w:pPr>
        <w:pStyle w:val="Prrafodelista"/>
        <w:numPr>
          <w:ilvl w:val="1"/>
          <w:numId w:val="87"/>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D41238">
        <w:rPr>
          <w:rFonts w:ascii="Arial" w:hAnsi="Arial"/>
          <w:sz w:val="21"/>
          <w:szCs w:val="21"/>
        </w:rPr>
        <w:t xml:space="preserve">La </w:t>
      </w:r>
      <w:r w:rsidR="007E27CE" w:rsidRPr="00D41238">
        <w:rPr>
          <w:rFonts w:ascii="Arial" w:hAnsi="Arial"/>
          <w:sz w:val="21"/>
          <w:szCs w:val="21"/>
        </w:rPr>
        <w:t>Parte afectada podrá invocar ruptura del equilibrio económico-financiero en los siguientes momentos:</w:t>
      </w:r>
    </w:p>
    <w:p w:rsidR="007E27CE" w:rsidRPr="007E27CE" w:rsidRDefault="007E27CE" w:rsidP="00D4498D">
      <w:pPr>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a)</w:t>
      </w:r>
      <w:r w:rsidR="00937999">
        <w:rPr>
          <w:rFonts w:ascii="Arial" w:hAnsi="Arial"/>
          <w:sz w:val="21"/>
          <w:szCs w:val="21"/>
        </w:rPr>
        <w:tab/>
      </w:r>
      <w:r w:rsidRPr="007E27CE">
        <w:rPr>
          <w:rFonts w:ascii="Arial" w:hAnsi="Arial"/>
          <w:sz w:val="21"/>
          <w:szCs w:val="21"/>
        </w:rPr>
        <w:t>Dentro de los seis (6) primeros meses contados a partir de la Puesta en Operación Comercial, para lo dispuesto en el Numeral 1</w:t>
      </w:r>
      <w:r w:rsidR="00262E37">
        <w:rPr>
          <w:rFonts w:ascii="Arial" w:hAnsi="Arial"/>
          <w:sz w:val="21"/>
          <w:szCs w:val="21"/>
        </w:rPr>
        <w:t>5</w:t>
      </w:r>
      <w:r w:rsidRPr="007E27CE">
        <w:rPr>
          <w:rFonts w:ascii="Arial" w:hAnsi="Arial"/>
          <w:sz w:val="21"/>
          <w:szCs w:val="21"/>
        </w:rPr>
        <w:t xml:space="preserve">.3.a. </w:t>
      </w:r>
    </w:p>
    <w:p w:rsidR="002D30F7" w:rsidRPr="00C10945" w:rsidRDefault="007E27CE" w:rsidP="00D2502A">
      <w:pPr>
        <w:tabs>
          <w:tab w:val="clear" w:pos="567"/>
          <w:tab w:val="clear" w:pos="1134"/>
          <w:tab w:val="clear" w:pos="1701"/>
          <w:tab w:val="clear" w:pos="2268"/>
          <w:tab w:val="clear" w:pos="2835"/>
          <w:tab w:val="left" w:pos="851"/>
        </w:tabs>
        <w:spacing w:before="60" w:line="257" w:lineRule="auto"/>
        <w:ind w:left="851" w:hanging="284"/>
        <w:jc w:val="both"/>
        <w:rPr>
          <w:rFonts w:ascii="Arial" w:hAnsi="Arial"/>
          <w:sz w:val="21"/>
          <w:szCs w:val="21"/>
        </w:rPr>
      </w:pPr>
      <w:r w:rsidRPr="007E27CE">
        <w:rPr>
          <w:rFonts w:ascii="Arial" w:hAnsi="Arial"/>
          <w:sz w:val="21"/>
          <w:szCs w:val="21"/>
        </w:rPr>
        <w:t>b)</w:t>
      </w:r>
      <w:r w:rsidR="00937999">
        <w:rPr>
          <w:rFonts w:ascii="Arial" w:hAnsi="Arial"/>
          <w:sz w:val="21"/>
          <w:szCs w:val="21"/>
        </w:rPr>
        <w:tab/>
      </w:r>
      <w:r w:rsidRPr="007E27CE">
        <w:rPr>
          <w:rFonts w:ascii="Arial" w:hAnsi="Arial"/>
          <w:sz w:val="21"/>
          <w:szCs w:val="21"/>
        </w:rPr>
        <w:t xml:space="preserve">Después de </w:t>
      </w:r>
      <w:r w:rsidRPr="00C10945">
        <w:rPr>
          <w:rFonts w:ascii="Arial" w:hAnsi="Arial"/>
          <w:sz w:val="21"/>
          <w:szCs w:val="21"/>
        </w:rPr>
        <w:t>vencidos doce (12) meses contados desde la Puesta en Operación Comercial, para lo dispuesto en el Numeral 1</w:t>
      </w:r>
      <w:r w:rsidR="00262E37" w:rsidRPr="00C10945">
        <w:rPr>
          <w:rFonts w:ascii="Arial" w:hAnsi="Arial"/>
          <w:sz w:val="21"/>
          <w:szCs w:val="21"/>
        </w:rPr>
        <w:t>5</w:t>
      </w:r>
      <w:r w:rsidRPr="00C10945">
        <w:rPr>
          <w:rFonts w:ascii="Arial" w:hAnsi="Arial"/>
          <w:sz w:val="21"/>
          <w:szCs w:val="21"/>
        </w:rPr>
        <w:t xml:space="preserve">.3.b. </w:t>
      </w:r>
    </w:p>
    <w:p w:rsidR="002D30F7" w:rsidRPr="00937999" w:rsidRDefault="002D30F7" w:rsidP="004F6B32">
      <w:pPr>
        <w:pStyle w:val="Prrafodelista"/>
        <w:numPr>
          <w:ilvl w:val="1"/>
          <w:numId w:val="87"/>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C10945">
        <w:rPr>
          <w:rFonts w:ascii="Arial" w:hAnsi="Arial"/>
          <w:sz w:val="21"/>
          <w:szCs w:val="21"/>
        </w:rPr>
        <w:t xml:space="preserve">El restablecimiento del equilibrio económico se efectuará </w:t>
      </w:r>
      <w:r w:rsidR="007E27CE" w:rsidRPr="00C10945">
        <w:rPr>
          <w:rFonts w:ascii="Arial" w:hAnsi="Arial"/>
          <w:sz w:val="21"/>
          <w:szCs w:val="21"/>
        </w:rPr>
        <w:t xml:space="preserve">sobre la base de los </w:t>
      </w:r>
      <w:r w:rsidR="003F4CFD" w:rsidRPr="00C10945">
        <w:rPr>
          <w:rFonts w:ascii="Arial" w:hAnsi="Arial"/>
          <w:sz w:val="21"/>
          <w:szCs w:val="21"/>
        </w:rPr>
        <w:t>e</w:t>
      </w:r>
      <w:r w:rsidR="007E27CE" w:rsidRPr="00C10945">
        <w:rPr>
          <w:rFonts w:ascii="Arial" w:hAnsi="Arial"/>
          <w:sz w:val="21"/>
          <w:szCs w:val="21"/>
        </w:rPr>
        <w:t xml:space="preserve">stados </w:t>
      </w:r>
      <w:r w:rsidR="003F4CFD" w:rsidRPr="00C10945">
        <w:rPr>
          <w:rFonts w:ascii="Arial" w:hAnsi="Arial"/>
          <w:sz w:val="21"/>
          <w:szCs w:val="21"/>
        </w:rPr>
        <w:t>f</w:t>
      </w:r>
      <w:r w:rsidR="007E27CE" w:rsidRPr="00C10945">
        <w:rPr>
          <w:rFonts w:ascii="Arial" w:hAnsi="Arial"/>
          <w:sz w:val="21"/>
          <w:szCs w:val="21"/>
        </w:rPr>
        <w:t xml:space="preserve">inancieros </w:t>
      </w:r>
      <w:r w:rsidR="003F4CFD" w:rsidRPr="00C10945">
        <w:rPr>
          <w:rFonts w:ascii="Arial" w:hAnsi="Arial"/>
          <w:sz w:val="21"/>
          <w:szCs w:val="21"/>
        </w:rPr>
        <w:t>a</w:t>
      </w:r>
      <w:r w:rsidR="007E27CE" w:rsidRPr="00C10945">
        <w:rPr>
          <w:rFonts w:ascii="Arial" w:hAnsi="Arial"/>
          <w:sz w:val="21"/>
          <w:szCs w:val="21"/>
        </w:rPr>
        <w:t>uditados</w:t>
      </w:r>
      <w:r w:rsidR="003625DB" w:rsidRPr="00C10945">
        <w:rPr>
          <w:rFonts w:ascii="Arial" w:hAnsi="Arial"/>
          <w:sz w:val="21"/>
          <w:szCs w:val="21"/>
        </w:rPr>
        <w:t xml:space="preserve"> (o de la información utilizada en la elaboración de los mismos)</w:t>
      </w:r>
      <w:r w:rsidRPr="00C10945">
        <w:rPr>
          <w:rFonts w:ascii="Arial" w:hAnsi="Arial"/>
          <w:sz w:val="21"/>
          <w:szCs w:val="21"/>
        </w:rPr>
        <w:t xml:space="preserve"> de la Sociedad Concesionaria del </w:t>
      </w:r>
      <w:r w:rsidR="007E27CE" w:rsidRPr="00C10945">
        <w:rPr>
          <w:rFonts w:ascii="Arial" w:hAnsi="Arial"/>
          <w:sz w:val="21"/>
          <w:szCs w:val="21"/>
        </w:rPr>
        <w:t>período</w:t>
      </w:r>
      <w:r w:rsidRPr="00C10945">
        <w:rPr>
          <w:rFonts w:ascii="Arial" w:hAnsi="Arial"/>
          <w:sz w:val="21"/>
          <w:szCs w:val="21"/>
        </w:rPr>
        <w:t xml:space="preserve"> en el que se verifiquen las variaciones de </w:t>
      </w:r>
      <w:r w:rsidR="00A9470B" w:rsidRPr="00C10945">
        <w:rPr>
          <w:rFonts w:ascii="Arial" w:hAnsi="Arial"/>
          <w:sz w:val="21"/>
          <w:szCs w:val="21"/>
        </w:rPr>
        <w:t>los</w:t>
      </w:r>
      <w:r w:rsidR="0008633F" w:rsidRPr="00C10945">
        <w:rPr>
          <w:rFonts w:ascii="Arial" w:hAnsi="Arial"/>
          <w:sz w:val="21"/>
          <w:szCs w:val="21"/>
        </w:rPr>
        <w:t xml:space="preserve"> </w:t>
      </w:r>
      <w:r w:rsidRPr="00C10945">
        <w:rPr>
          <w:rFonts w:ascii="Arial" w:hAnsi="Arial"/>
          <w:sz w:val="21"/>
          <w:szCs w:val="21"/>
        </w:rPr>
        <w:t>ingresos</w:t>
      </w:r>
      <w:r w:rsidR="00942275" w:rsidRPr="00C10945">
        <w:rPr>
          <w:rFonts w:ascii="Arial" w:hAnsi="Arial"/>
          <w:sz w:val="21"/>
          <w:szCs w:val="21"/>
        </w:rPr>
        <w:t>,</w:t>
      </w:r>
      <w:r w:rsidRPr="00C10945">
        <w:rPr>
          <w:rFonts w:ascii="Arial" w:hAnsi="Arial"/>
          <w:sz w:val="21"/>
          <w:szCs w:val="21"/>
        </w:rPr>
        <w:t xml:space="preserve"> costos </w:t>
      </w:r>
      <w:r w:rsidR="00942275" w:rsidRPr="00C10945">
        <w:rPr>
          <w:rFonts w:ascii="Arial" w:hAnsi="Arial"/>
          <w:sz w:val="21"/>
          <w:szCs w:val="21"/>
        </w:rPr>
        <w:t xml:space="preserve">de inversión o costos de operación y mantenimiento </w:t>
      </w:r>
      <w:r w:rsidRPr="00C10945">
        <w:rPr>
          <w:rFonts w:ascii="Arial" w:hAnsi="Arial"/>
          <w:sz w:val="21"/>
          <w:szCs w:val="21"/>
        </w:rPr>
        <w:t xml:space="preserve">anteriormente referidas. </w:t>
      </w:r>
      <w:r w:rsidR="003F4CFD" w:rsidRPr="00C10945">
        <w:rPr>
          <w:rFonts w:ascii="Arial" w:hAnsi="Arial"/>
          <w:sz w:val="21"/>
          <w:szCs w:val="21"/>
        </w:rPr>
        <w:t>Si la Sociedad Concesionaria cuenta</w:t>
      </w:r>
      <w:r w:rsidR="003F4CFD">
        <w:rPr>
          <w:rFonts w:ascii="Arial" w:hAnsi="Arial"/>
          <w:sz w:val="21"/>
          <w:szCs w:val="21"/>
        </w:rPr>
        <w:t xml:space="preserve"> con varias concesiones, </w:t>
      </w:r>
      <w:r w:rsidR="003F4CFD" w:rsidRPr="00A9470B">
        <w:rPr>
          <w:rFonts w:ascii="Arial" w:hAnsi="Arial"/>
          <w:sz w:val="21"/>
          <w:szCs w:val="21"/>
        </w:rPr>
        <w:t>de</w:t>
      </w:r>
      <w:r w:rsidR="003F4CFD">
        <w:rPr>
          <w:rFonts w:ascii="Arial" w:hAnsi="Arial"/>
          <w:sz w:val="21"/>
          <w:szCs w:val="21"/>
        </w:rPr>
        <w:t>berá entregar la informaci</w:t>
      </w:r>
      <w:r w:rsidR="00A9470B">
        <w:rPr>
          <w:rFonts w:ascii="Arial" w:hAnsi="Arial"/>
          <w:sz w:val="21"/>
          <w:szCs w:val="21"/>
        </w:rPr>
        <w:t xml:space="preserve">ón que sustente tales </w:t>
      </w:r>
      <w:r w:rsidR="003F4CFD">
        <w:rPr>
          <w:rFonts w:ascii="Arial" w:hAnsi="Arial"/>
          <w:sz w:val="21"/>
          <w:szCs w:val="21"/>
        </w:rPr>
        <w:t xml:space="preserve">variaciones </w:t>
      </w:r>
      <w:r w:rsidR="00A9470B">
        <w:rPr>
          <w:rFonts w:ascii="Arial" w:hAnsi="Arial"/>
          <w:sz w:val="21"/>
          <w:szCs w:val="21"/>
        </w:rPr>
        <w:t>sobre la b</w:t>
      </w:r>
      <w:r w:rsidR="003F4CFD">
        <w:rPr>
          <w:rFonts w:ascii="Arial" w:hAnsi="Arial"/>
          <w:sz w:val="21"/>
          <w:szCs w:val="21"/>
        </w:rPr>
        <w:t xml:space="preserve">ase de los estados financieros auditados. </w:t>
      </w:r>
      <w:r w:rsidRPr="00937999">
        <w:rPr>
          <w:rFonts w:ascii="Arial" w:hAnsi="Arial"/>
          <w:sz w:val="21"/>
          <w:szCs w:val="21"/>
        </w:rPr>
        <w:t>Sin perjuicio de ello, el Concedente podrá solicitar mayor información que sustente las variaciones señaladas.</w:t>
      </w:r>
      <w:r w:rsidR="00704E6E">
        <w:rPr>
          <w:rFonts w:ascii="Arial" w:hAnsi="Arial"/>
          <w:sz w:val="21"/>
          <w:szCs w:val="21"/>
        </w:rPr>
        <w:t xml:space="preserve"> Las Partes podrán acordar utilizar documentación distinta a los estados financieros auditados para los efectos descritos en la presente cláusula.</w:t>
      </w:r>
    </w:p>
    <w:p w:rsidR="00AE22C4" w:rsidRPr="00937999" w:rsidRDefault="00937999" w:rsidP="00D4498D">
      <w:pPr>
        <w:pStyle w:val="Prrafodelista"/>
        <w:tabs>
          <w:tab w:val="clear" w:pos="1134"/>
          <w:tab w:val="clear" w:pos="1701"/>
          <w:tab w:val="clear" w:pos="2268"/>
          <w:tab w:val="clear" w:pos="2835"/>
        </w:tabs>
        <w:spacing w:before="120" w:line="257" w:lineRule="auto"/>
        <w:ind w:left="567" w:hanging="567"/>
        <w:jc w:val="both"/>
        <w:rPr>
          <w:rFonts w:ascii="Arial" w:hAnsi="Arial" w:cs="Arial"/>
          <w:sz w:val="21"/>
          <w:szCs w:val="21"/>
        </w:rPr>
      </w:pPr>
      <w:r w:rsidRPr="00937999">
        <w:rPr>
          <w:rFonts w:ascii="Arial" w:hAnsi="Arial" w:cs="Arial"/>
          <w:sz w:val="21"/>
          <w:szCs w:val="21"/>
        </w:rPr>
        <w:t>15.7</w:t>
      </w:r>
      <w:r w:rsidRPr="00937999">
        <w:rPr>
          <w:rFonts w:ascii="Arial" w:hAnsi="Arial" w:cs="Arial"/>
          <w:sz w:val="21"/>
          <w:szCs w:val="21"/>
        </w:rPr>
        <w:tab/>
      </w:r>
      <w:r w:rsidR="00AE22C4" w:rsidRPr="00937999">
        <w:rPr>
          <w:rFonts w:ascii="Arial" w:hAnsi="Arial" w:cs="Arial"/>
          <w:sz w:val="21"/>
          <w:szCs w:val="21"/>
        </w:rPr>
        <w:t xml:space="preserve">La existencia de un desequilibrio sólo podrá dar lugar a la modificación de las </w:t>
      </w:r>
      <w:r w:rsidR="003D7038" w:rsidRPr="00937999">
        <w:rPr>
          <w:rFonts w:ascii="Arial" w:hAnsi="Arial" w:cs="Arial"/>
          <w:color w:val="000000"/>
          <w:sz w:val="21"/>
          <w:szCs w:val="21"/>
        </w:rPr>
        <w:t>disposiciones contenidas en el presente contrato</w:t>
      </w:r>
      <w:r w:rsidR="00AE22C4" w:rsidRPr="00937999">
        <w:rPr>
          <w:rFonts w:ascii="Arial" w:hAnsi="Arial" w:cs="Arial"/>
          <w:sz w:val="21"/>
          <w:szCs w:val="21"/>
        </w:rPr>
        <w:t xml:space="preserve"> para efectos de restablecer el equilibrio, mas no dará lugar ni a la suspensión ni a la resolución del Contrato.</w:t>
      </w:r>
    </w:p>
    <w:p w:rsidR="0063333A" w:rsidRPr="004E5745" w:rsidRDefault="0063333A" w:rsidP="004F6B32">
      <w:pPr>
        <w:pStyle w:val="Prrafodelista"/>
        <w:numPr>
          <w:ilvl w:val="1"/>
          <w:numId w:val="88"/>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No se considerará aplicable lo indicado en esta Cláusula para aquellos cambios producidos como consecuencia de disposiciones expedidas por </w:t>
      </w:r>
      <w:r w:rsidR="00F20FDB">
        <w:rPr>
          <w:rFonts w:ascii="Arial" w:hAnsi="Arial"/>
          <w:sz w:val="21"/>
          <w:szCs w:val="21"/>
        </w:rPr>
        <w:t xml:space="preserve">el </w:t>
      </w:r>
      <w:r w:rsidRPr="004E5745">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Default="00AE22C4" w:rsidP="004F6B32">
      <w:pPr>
        <w:pStyle w:val="Prrafodelista"/>
        <w:numPr>
          <w:ilvl w:val="1"/>
          <w:numId w:val="88"/>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w:t>
      </w:r>
      <w:r w:rsidR="0056338E">
        <w:rPr>
          <w:rFonts w:ascii="Arial" w:hAnsi="Arial"/>
          <w:sz w:val="21"/>
          <w:szCs w:val="21"/>
        </w:rPr>
        <w:t>4</w:t>
      </w:r>
      <w:r w:rsidRPr="004E5745">
        <w:rPr>
          <w:rFonts w:ascii="Arial" w:hAnsi="Arial"/>
          <w:sz w:val="21"/>
          <w:szCs w:val="21"/>
        </w:rPr>
        <w:t xml:space="preserve"> para las Controversias No Técnicas.</w:t>
      </w:r>
    </w:p>
    <w:p w:rsidR="00785758" w:rsidRPr="004E5745" w:rsidRDefault="00BD3E64"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Pr>
          <w:rFonts w:ascii="Arial" w:hAnsi="Arial"/>
          <w:b/>
          <w:sz w:val="24"/>
          <w:szCs w:val="24"/>
        </w:rPr>
        <w:br w:type="page"/>
      </w:r>
      <w:r w:rsidR="00AE22C4" w:rsidRPr="004E5745">
        <w:rPr>
          <w:rFonts w:ascii="Arial" w:hAnsi="Arial"/>
          <w:b/>
          <w:sz w:val="24"/>
          <w:szCs w:val="24"/>
        </w:rPr>
        <w:lastRenderedPageBreak/>
        <w:t>1</w:t>
      </w:r>
      <w:r w:rsidR="00B20963">
        <w:rPr>
          <w:rFonts w:ascii="Arial" w:hAnsi="Arial"/>
          <w:b/>
          <w:sz w:val="24"/>
          <w:szCs w:val="24"/>
        </w:rPr>
        <w:t>6</w:t>
      </w:r>
      <w:r w:rsidR="00785758" w:rsidRPr="004E5745">
        <w:rPr>
          <w:rFonts w:ascii="Arial" w:hAnsi="Arial"/>
          <w:b/>
          <w:sz w:val="24"/>
          <w:szCs w:val="24"/>
        </w:rPr>
        <w:t>.</w:t>
      </w:r>
      <w:r w:rsidR="00785758" w:rsidRPr="004E5745">
        <w:rPr>
          <w:rFonts w:ascii="Arial" w:hAnsi="Arial"/>
          <w:b/>
          <w:sz w:val="24"/>
          <w:szCs w:val="24"/>
        </w:rPr>
        <w:tab/>
        <w:t>Miscelánea</w:t>
      </w:r>
    </w:p>
    <w:p w:rsidR="00785758" w:rsidRPr="004E5745" w:rsidRDefault="00785758" w:rsidP="00D4498D">
      <w:pPr>
        <w:numPr>
          <w:ilvl w:val="1"/>
          <w:numId w:val="19"/>
        </w:numPr>
        <w:tabs>
          <w:tab w:val="clear" w:pos="502"/>
          <w:tab w:val="clear" w:pos="1134"/>
          <w:tab w:val="clear" w:pos="1701"/>
          <w:tab w:val="clear" w:pos="2268"/>
          <w:tab w:val="clear" w:pos="2835"/>
        </w:tabs>
        <w:spacing w:before="60" w:line="257" w:lineRule="auto"/>
        <w:ind w:left="567" w:hanging="567"/>
        <w:jc w:val="both"/>
        <w:rPr>
          <w:rFonts w:ascii="Arial" w:hAnsi="Arial"/>
          <w:sz w:val="21"/>
          <w:szCs w:val="21"/>
        </w:rPr>
      </w:pPr>
      <w:r w:rsidRPr="004E5745">
        <w:rPr>
          <w:rFonts w:ascii="Arial" w:hAnsi="Arial"/>
          <w:sz w:val="21"/>
          <w:szCs w:val="21"/>
        </w:rPr>
        <w:t>La Sociedad Concesionaria podrá transferir</w:t>
      </w:r>
      <w:r w:rsidR="00073FE0" w:rsidRPr="004E5745">
        <w:rPr>
          <w:rFonts w:ascii="Arial" w:hAnsi="Arial"/>
          <w:sz w:val="21"/>
          <w:szCs w:val="21"/>
        </w:rPr>
        <w:t xml:space="preserve"> o</w:t>
      </w:r>
      <w:r w:rsidRPr="004E5745">
        <w:rPr>
          <w:rFonts w:ascii="Arial" w:hAnsi="Arial"/>
          <w:sz w:val="21"/>
          <w:szCs w:val="21"/>
        </w:rPr>
        <w:t xml:space="preserve"> ceder sus derechos</w:t>
      </w:r>
      <w:r w:rsidR="00073FE0" w:rsidRPr="004E5745">
        <w:rPr>
          <w:rFonts w:ascii="Arial" w:hAnsi="Arial"/>
          <w:sz w:val="21"/>
          <w:szCs w:val="21"/>
        </w:rPr>
        <w:t xml:space="preserve"> u obligaciones</w:t>
      </w:r>
      <w:r w:rsidRPr="004E5745">
        <w:rPr>
          <w:rFonts w:ascii="Arial" w:hAnsi="Arial"/>
          <w:sz w:val="21"/>
          <w:szCs w:val="21"/>
        </w:rPr>
        <w:t xml:space="preserve">, ceder su posición contractual o novar todas o cualquiera de sus obligaciones, de acuerdo al Contrato, siempre que cuente con el previo consentimiento escrito del Concedente, el cual no podrá ser negado sin </w:t>
      </w:r>
      <w:r w:rsidR="006C1A14" w:rsidRPr="004E5745">
        <w:rPr>
          <w:rFonts w:ascii="Arial" w:hAnsi="Arial"/>
          <w:sz w:val="21"/>
          <w:szCs w:val="21"/>
        </w:rPr>
        <w:t>fundamento expreso</w:t>
      </w:r>
      <w:r w:rsidRPr="004E5745">
        <w:rPr>
          <w:rFonts w:ascii="Arial" w:hAnsi="Arial"/>
          <w:sz w:val="21"/>
          <w:szCs w:val="21"/>
        </w:rPr>
        <w:t>.</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renuncia de cualquiera de las Partes a uno o más de los derechos que le correspondan conforme al Contrato sólo tendrá efecto si ésta se realiza por escrito y con la debida notificación a la otra Parte. Si en cualquier momento una de las Partes renuncia o deja de ejercer un derecho específico consignado en el Contrato, dicha conducta no podrá ser considerada por la otra Parte como una renuncia permanente para hacer valer el mismo derecho o cualquier otro que le corresponda conforme al Contrato.</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4E5745" w:rsidRDefault="002C4CD1" w:rsidP="00D4498D">
      <w:pPr>
        <w:tabs>
          <w:tab w:val="clear" w:pos="1134"/>
          <w:tab w:val="clear" w:pos="1701"/>
          <w:tab w:val="clear" w:pos="2268"/>
          <w:tab w:val="clear" w:pos="2835"/>
        </w:tabs>
        <w:spacing w:before="120" w:line="257" w:lineRule="auto"/>
        <w:ind w:left="567"/>
        <w:jc w:val="both"/>
        <w:rPr>
          <w:rFonts w:ascii="Arial" w:hAnsi="Arial"/>
          <w:sz w:val="21"/>
          <w:szCs w:val="21"/>
        </w:rPr>
      </w:pPr>
      <w:r w:rsidRPr="004E5745">
        <w:rPr>
          <w:rFonts w:ascii="Arial" w:hAnsi="Arial"/>
          <w:sz w:val="21"/>
          <w:szCs w:val="21"/>
        </w:rPr>
        <w:t>Es de aplicación al presente Contrato lo dispuesto en el Artículo 9 del Decreto Supremo N° 146-2008-EF, Reglamento del Decreto Legislativo N° 1012 que aprueba la Ley Marco de Asociaciones Público-Privadas para la generación de empleo productivo y dicta normas para la agilización de los procesos de promoción de la inversión privada, en tanto dicha disposición se encuentre vigente.</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al Concedente:</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 xml:space="preserve">Nombre: </w:t>
      </w:r>
      <w:r w:rsidRPr="00B47521">
        <w:rPr>
          <w:rFonts w:ascii="Arial" w:hAnsi="Arial"/>
          <w:sz w:val="21"/>
          <w:szCs w:val="21"/>
        </w:rPr>
        <w:tab/>
        <w:t>Ministerio de Energía y Minas.</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r w:rsidRPr="00B47521">
        <w:rPr>
          <w:rFonts w:ascii="Arial" w:hAnsi="Arial"/>
          <w:sz w:val="21"/>
          <w:szCs w:val="21"/>
        </w:rPr>
        <w:tab/>
        <w:t xml:space="preserve">Av. Las Artes </w:t>
      </w:r>
      <w:r w:rsidR="00C95C28" w:rsidRPr="0009052F">
        <w:rPr>
          <w:rFonts w:ascii="Arial" w:hAnsi="Arial"/>
          <w:sz w:val="21"/>
        </w:rPr>
        <w:t xml:space="preserve">Sur </w:t>
      </w:r>
      <w:r w:rsidRPr="00B47521">
        <w:rPr>
          <w:rFonts w:ascii="Arial" w:hAnsi="Arial"/>
          <w:sz w:val="21"/>
          <w:szCs w:val="21"/>
        </w:rPr>
        <w:t>260, Lima 41, Perú.</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 la Sociedad Concesionaria</w:t>
      </w:r>
      <w:r w:rsidR="00644EAC" w:rsidRPr="00B47521">
        <w:rPr>
          <w:rFonts w:ascii="Arial" w:hAnsi="Arial"/>
          <w:sz w:val="21"/>
          <w:szCs w:val="21"/>
        </w:rPr>
        <w:t>:</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al Operador Técnico:</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lastRenderedPageBreak/>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 xml:space="preserve">o a cualquier otra dirección o persona designada por escrito por las Partes conforme al primer párrafo de esta </w:t>
      </w:r>
      <w:r w:rsidR="00313D11" w:rsidRPr="00B47521">
        <w:rPr>
          <w:rFonts w:ascii="Arial" w:hAnsi="Arial"/>
          <w:sz w:val="21"/>
          <w:szCs w:val="21"/>
        </w:rPr>
        <w:t>Cláusula</w:t>
      </w:r>
      <w:r w:rsidRPr="00B47521">
        <w:rPr>
          <w:rFonts w:ascii="Arial" w:hAnsi="Arial"/>
          <w:sz w:val="21"/>
          <w:szCs w:val="21"/>
        </w:rPr>
        <w:t>.</w:t>
      </w:r>
    </w:p>
    <w:p w:rsidR="006C33A7" w:rsidRPr="0009052F" w:rsidRDefault="00785758" w:rsidP="00D4498D">
      <w:pPr>
        <w:tabs>
          <w:tab w:val="left" w:pos="0"/>
          <w:tab w:val="left" w:pos="1276"/>
        </w:tabs>
        <w:spacing w:before="360" w:line="257" w:lineRule="auto"/>
        <w:jc w:val="center"/>
        <w:outlineLvl w:val="0"/>
        <w:rPr>
          <w:rFonts w:ascii="Arial" w:hAnsi="Arial"/>
          <w:b/>
          <w:sz w:val="26"/>
          <w:u w:val="single"/>
        </w:rPr>
      </w:pPr>
      <w:r w:rsidRPr="004E5745">
        <w:rPr>
          <w:szCs w:val="22"/>
        </w:rPr>
        <w:br w:type="page"/>
      </w:r>
      <w:r w:rsidR="002528D2" w:rsidRPr="00285CEC">
        <w:rPr>
          <w:rFonts w:ascii="Arial" w:hAnsi="Arial" w:cs="Arial"/>
          <w:b/>
          <w:sz w:val="26"/>
          <w:szCs w:val="26"/>
          <w:u w:val="single"/>
        </w:rPr>
        <w:lastRenderedPageBreak/>
        <w:t>Anexo Nº 1</w:t>
      </w:r>
    </w:p>
    <w:p w:rsidR="002528D2" w:rsidRDefault="002528D2" w:rsidP="00D4498D">
      <w:pPr>
        <w:spacing w:before="240" w:line="257" w:lineRule="auto"/>
        <w:jc w:val="center"/>
        <w:rPr>
          <w:rFonts w:ascii="Arial" w:hAnsi="Arial" w:cs="Arial"/>
          <w:b/>
          <w:sz w:val="26"/>
          <w:szCs w:val="26"/>
        </w:rPr>
      </w:pPr>
      <w:r w:rsidRPr="0009052F">
        <w:rPr>
          <w:rFonts w:ascii="Arial" w:hAnsi="Arial"/>
          <w:b/>
          <w:sz w:val="26"/>
        </w:rPr>
        <w:t xml:space="preserve">Especificaciones del </w:t>
      </w:r>
      <w:r w:rsidRPr="00285CEC">
        <w:rPr>
          <w:rFonts w:ascii="Arial" w:hAnsi="Arial" w:cs="Arial"/>
          <w:b/>
          <w:sz w:val="26"/>
          <w:szCs w:val="26"/>
        </w:rPr>
        <w:t>proyecto</w:t>
      </w:r>
    </w:p>
    <w:p w:rsidR="00C262EA" w:rsidRPr="00C262EA" w:rsidRDefault="00C262EA" w:rsidP="00C262EA">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29" w:name="_Toc272265339"/>
      <w:bookmarkStart w:id="30" w:name="_Toc306777403"/>
      <w:r w:rsidRPr="00C262EA">
        <w:rPr>
          <w:rFonts w:ascii="Arial" w:hAnsi="Arial" w:cs="Arial"/>
          <w:b/>
          <w:sz w:val="21"/>
          <w:szCs w:val="21"/>
        </w:rPr>
        <w:t>1.</w:t>
      </w:r>
      <w:r w:rsidRPr="00C262EA">
        <w:rPr>
          <w:rFonts w:ascii="Arial" w:hAnsi="Arial" w:cs="Arial"/>
          <w:b/>
          <w:sz w:val="21"/>
          <w:szCs w:val="21"/>
        </w:rPr>
        <w:tab/>
        <w:t>CONFIGURACIÓN DEL PROYECTO</w:t>
      </w:r>
      <w:bookmarkEnd w:id="29"/>
      <w:bookmarkEnd w:id="30"/>
    </w:p>
    <w:p w:rsidR="00C262EA" w:rsidRPr="00C262EA" w:rsidRDefault="00C262EA" w:rsidP="00FB52C7">
      <w:pPr>
        <w:tabs>
          <w:tab w:val="clear" w:pos="567"/>
          <w:tab w:val="left" w:pos="426"/>
        </w:tabs>
        <w:spacing w:before="240"/>
        <w:ind w:left="425"/>
        <w:rPr>
          <w:rFonts w:ascii="Arial" w:hAnsi="Arial" w:cs="Arial"/>
          <w:b/>
        </w:rPr>
      </w:pPr>
      <w:bookmarkStart w:id="31" w:name="_Toc272265340"/>
      <w:r w:rsidRPr="00C262EA">
        <w:rPr>
          <w:rFonts w:ascii="Arial" w:hAnsi="Arial" w:cs="Arial"/>
          <w:b/>
        </w:rPr>
        <w:t>ALCANCE GENERAL</w:t>
      </w:r>
      <w:bookmarkEnd w:id="31"/>
    </w:p>
    <w:p w:rsidR="00C262EA" w:rsidRPr="00C262EA" w:rsidRDefault="00C262EA" w:rsidP="00C262EA">
      <w:pPr>
        <w:tabs>
          <w:tab w:val="clear" w:pos="567"/>
          <w:tab w:val="clear" w:pos="1134"/>
          <w:tab w:val="clear" w:pos="1701"/>
          <w:tab w:val="clear" w:pos="2268"/>
          <w:tab w:val="clear" w:pos="2835"/>
        </w:tabs>
        <w:spacing w:before="60" w:line="247" w:lineRule="auto"/>
        <w:ind w:left="425"/>
        <w:jc w:val="both"/>
        <w:rPr>
          <w:rFonts w:ascii="Arial" w:hAnsi="Arial" w:cs="Arial"/>
        </w:rPr>
      </w:pPr>
      <w:r w:rsidRPr="00C262EA">
        <w:rPr>
          <w:rFonts w:ascii="Arial" w:hAnsi="Arial" w:cs="Arial"/>
        </w:rPr>
        <w:t>El proyecto comprende la construcción de las siguientes líneas de transmisión, subestaciones e instalaciones  complementarias:</w:t>
      </w:r>
    </w:p>
    <w:p w:rsidR="00C262EA" w:rsidRPr="00C262EA" w:rsidRDefault="00C262EA" w:rsidP="004F6B32">
      <w:pPr>
        <w:numPr>
          <w:ilvl w:val="0"/>
          <w:numId w:val="96"/>
        </w:numPr>
        <w:tabs>
          <w:tab w:val="clear" w:pos="567"/>
          <w:tab w:val="clear" w:pos="1134"/>
          <w:tab w:val="clear" w:pos="1701"/>
          <w:tab w:val="clear" w:pos="2268"/>
          <w:tab w:val="clear" w:pos="2835"/>
        </w:tabs>
        <w:spacing w:before="120" w:line="247" w:lineRule="auto"/>
        <w:ind w:left="1139" w:hanging="357"/>
        <w:jc w:val="both"/>
        <w:rPr>
          <w:rFonts w:ascii="Arial" w:hAnsi="Arial" w:cs="Arial"/>
        </w:rPr>
      </w:pPr>
      <w:r w:rsidRPr="00C262EA">
        <w:rPr>
          <w:rFonts w:ascii="Arial" w:hAnsi="Arial" w:cs="Arial"/>
        </w:rPr>
        <w:t>Línea de Transmisión (L.T.)  220 kV Machupicchu – Quencoro, en simple terna.</w:t>
      </w:r>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Línea de Transmisión  (L.T.) 220 kV Quencoro – Onocora, en simple terna.</w:t>
      </w:r>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Línea de Transmisión (L.T.) 220 kV Onocora – Tintaya, en doble terna.</w:t>
      </w:r>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Enlace en 138 kV entre la subestación (S.E.) Quencoro, existente, y </w:t>
      </w:r>
      <w:smartTag w:uri="urn:schemas-microsoft-com:office:smarttags" w:element="PersonName">
        <w:smartTagPr>
          <w:attr w:name="ProductID" w:val="LA S.E. QUENCORO"/>
        </w:smartTagPr>
        <w:r w:rsidRPr="00C262EA">
          <w:rPr>
            <w:rFonts w:ascii="Arial" w:hAnsi="Arial" w:cs="Arial"/>
          </w:rPr>
          <w:t>la S.E. Quencoro</w:t>
        </w:r>
      </w:smartTag>
      <w:r w:rsidRPr="00C262EA">
        <w:rPr>
          <w:rFonts w:ascii="Arial" w:hAnsi="Arial" w:cs="Arial"/>
        </w:rPr>
        <w:t xml:space="preserve"> Nueva, en simple terna.</w:t>
      </w:r>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Ampliación de </w:t>
      </w:r>
      <w:smartTag w:uri="urn:schemas-microsoft-com:office:smarttags" w:element="PersonName">
        <w:smartTagPr>
          <w:attr w:name="ProductID" w:val="la S.E. Suriray."/>
        </w:smartTagPr>
        <w:r w:rsidRPr="00C262EA">
          <w:rPr>
            <w:rFonts w:ascii="Arial" w:hAnsi="Arial" w:cs="Arial"/>
          </w:rPr>
          <w:t>la S.E. Suriray.</w:t>
        </w:r>
      </w:smartTag>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Ampliación de </w:t>
      </w:r>
      <w:smartTag w:uri="urn:schemas-microsoft-com:office:smarttags" w:element="PersonName">
        <w:smartTagPr>
          <w:attr w:name="ProductID" w:val="la S.E. Quencoro."/>
        </w:smartTagPr>
        <w:r w:rsidRPr="00C262EA">
          <w:rPr>
            <w:rFonts w:ascii="Arial" w:hAnsi="Arial" w:cs="Arial"/>
          </w:rPr>
          <w:t>la S.E. Quencoro.</w:t>
        </w:r>
      </w:smartTag>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Construcción de </w:t>
      </w:r>
      <w:smartTag w:uri="urn:schemas-microsoft-com:office:smarttags" w:element="PersonName">
        <w:smartTagPr>
          <w:attr w:name="ProductID" w:val="LA S.E. QUENCORO"/>
        </w:smartTagPr>
        <w:r w:rsidRPr="00C262EA">
          <w:rPr>
            <w:rFonts w:ascii="Arial" w:hAnsi="Arial" w:cs="Arial"/>
          </w:rPr>
          <w:t>la S.E. Quencoro</w:t>
        </w:r>
      </w:smartTag>
      <w:r w:rsidRPr="00C262EA">
        <w:rPr>
          <w:rFonts w:ascii="Arial" w:hAnsi="Arial" w:cs="Arial"/>
        </w:rPr>
        <w:t xml:space="preserve"> Nueva.</w:t>
      </w:r>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Construcción de </w:t>
      </w:r>
      <w:smartTag w:uri="urn:schemas-microsoft-com:office:smarttags" w:element="PersonName">
        <w:smartTagPr>
          <w:attr w:name="ProductID" w:val="la S.E. Onocora."/>
        </w:smartTagPr>
        <w:r w:rsidRPr="00C262EA">
          <w:rPr>
            <w:rFonts w:ascii="Arial" w:hAnsi="Arial" w:cs="Arial"/>
          </w:rPr>
          <w:t>la S.E. Onocora.</w:t>
        </w:r>
      </w:smartTag>
    </w:p>
    <w:p w:rsidR="00C262EA" w:rsidRPr="00C262EA" w:rsidRDefault="00C262EA" w:rsidP="004F6B32">
      <w:pPr>
        <w:numPr>
          <w:ilvl w:val="0"/>
          <w:numId w:val="96"/>
        </w:num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 xml:space="preserve">Ampliación de </w:t>
      </w:r>
      <w:smartTag w:uri="urn:schemas-microsoft-com:office:smarttags" w:element="PersonName">
        <w:smartTagPr>
          <w:attr w:name="ProductID" w:val="la S.E. Tintaya"/>
        </w:smartTagPr>
        <w:r w:rsidRPr="00C262EA">
          <w:rPr>
            <w:rFonts w:ascii="Arial" w:hAnsi="Arial" w:cs="Arial"/>
          </w:rPr>
          <w:t>la S.E. Tintaya</w:t>
        </w:r>
      </w:smartTag>
      <w:r w:rsidRPr="00C262EA">
        <w:rPr>
          <w:rFonts w:ascii="Arial" w:hAnsi="Arial" w:cs="Arial"/>
        </w:rPr>
        <w:t xml:space="preserve"> Nueva.</w:t>
      </w:r>
    </w:p>
    <w:p w:rsidR="00C262EA" w:rsidRPr="00C262EA" w:rsidRDefault="00C262EA" w:rsidP="00C262EA">
      <w:pPr>
        <w:tabs>
          <w:tab w:val="clear" w:pos="567"/>
          <w:tab w:val="clear" w:pos="1134"/>
          <w:tab w:val="clear" w:pos="1701"/>
          <w:tab w:val="clear" w:pos="2268"/>
          <w:tab w:val="clear" w:pos="2835"/>
        </w:tabs>
        <w:spacing w:before="120" w:line="247" w:lineRule="auto"/>
        <w:ind w:left="425"/>
        <w:jc w:val="both"/>
        <w:rPr>
          <w:rFonts w:ascii="Arial" w:hAnsi="Arial" w:cs="Arial"/>
        </w:rPr>
      </w:pPr>
      <w:r w:rsidRPr="00C262EA">
        <w:rPr>
          <w:rFonts w:ascii="Arial" w:hAnsi="Arial" w:cs="Arial"/>
        </w:rPr>
        <w:t>El proyecto comprende también las previsiones de espacio y facilidades que sean necesarias para la implementación de ampliaciones futuras en estas subestaciones.</w:t>
      </w:r>
    </w:p>
    <w:p w:rsidR="00C262EA" w:rsidRPr="00C262EA" w:rsidRDefault="00C262EA" w:rsidP="00C262EA">
      <w:pPr>
        <w:tabs>
          <w:tab w:val="clear" w:pos="567"/>
          <w:tab w:val="clear" w:pos="1134"/>
          <w:tab w:val="clear" w:pos="1701"/>
          <w:tab w:val="clear" w:pos="2268"/>
          <w:tab w:val="clear" w:pos="2835"/>
        </w:tabs>
        <w:spacing w:before="120" w:line="247" w:lineRule="auto"/>
        <w:ind w:left="425"/>
        <w:jc w:val="both"/>
        <w:rPr>
          <w:rFonts w:ascii="Arial" w:hAnsi="Arial" w:cs="Arial"/>
        </w:rPr>
      </w:pPr>
      <w:smartTag w:uri="urn:schemas-microsoft-com:office:smarttags" w:element="PersonName">
        <w:smartTagPr>
          <w:attr w:name="ProductID" w:val="La Sociedad Concesionaria"/>
        </w:smartTagPr>
        <w:r w:rsidRPr="00C262EA">
          <w:rPr>
            <w:rFonts w:ascii="Arial" w:hAnsi="Arial" w:cs="Arial"/>
          </w:rPr>
          <w:t>La Sociedad Concesionaria</w:t>
        </w:r>
      </w:smartTag>
      <w:r w:rsidRPr="00C262EA">
        <w:rPr>
          <w:rFonts w:ascii="Arial" w:hAnsi="Arial" w:cs="Arial"/>
        </w:rPr>
        <w:t xml:space="preserve"> será responsable de incluir otros elementos o componentes no descritos en el presente Anexo, dimensionar, modificar o adecuar lo que fuera necesario, a efectos de garantizar la correcta operación de las instalaciones del proyecto y la prestación del servicio según las normas de calidad aplicables al Sistema Eléctrico Interconectado Nacional (SEIN).</w:t>
      </w:r>
    </w:p>
    <w:p w:rsidR="00C262EA" w:rsidRPr="00C262EA" w:rsidRDefault="00C262EA" w:rsidP="00C262EA">
      <w:pPr>
        <w:tabs>
          <w:tab w:val="clear" w:pos="567"/>
          <w:tab w:val="clear" w:pos="1134"/>
          <w:tab w:val="clear" w:pos="1701"/>
          <w:tab w:val="clear" w:pos="2268"/>
          <w:tab w:val="clear" w:pos="2835"/>
        </w:tabs>
        <w:spacing w:before="120" w:line="247" w:lineRule="auto"/>
        <w:ind w:left="425"/>
        <w:jc w:val="both"/>
        <w:rPr>
          <w:rFonts w:ascii="Arial" w:hAnsi="Arial" w:cs="Arial"/>
        </w:rPr>
      </w:pPr>
      <w:r w:rsidRPr="00C262EA">
        <w:rPr>
          <w:rFonts w:ascii="Arial" w:hAnsi="Arial" w:cs="Arial"/>
        </w:rPr>
        <w:t>En el caso que los alcances, especificaciones o características del proyecto, contenidas en el presente anexo difieran con lo señalado  en el anteproyecto de ingeniería, prevalece lo establecido en este anexo. En este sentido el anteproyecto de ingeniería debe ser considerado como un documento con información de carácter referencial.</w:t>
      </w:r>
    </w:p>
    <w:p w:rsidR="00C262EA" w:rsidRPr="00C262EA" w:rsidRDefault="00C262EA" w:rsidP="00C262EA">
      <w:pPr>
        <w:tabs>
          <w:tab w:val="clear" w:pos="567"/>
          <w:tab w:val="clear" w:pos="1134"/>
          <w:tab w:val="clear" w:pos="1701"/>
          <w:tab w:val="clear" w:pos="2268"/>
          <w:tab w:val="clear" w:pos="2835"/>
        </w:tabs>
        <w:spacing w:before="120" w:line="247" w:lineRule="auto"/>
        <w:ind w:left="425"/>
        <w:jc w:val="both"/>
        <w:rPr>
          <w:rFonts w:ascii="Arial" w:hAnsi="Arial" w:cs="Arial"/>
        </w:rPr>
      </w:pPr>
      <w:r w:rsidRPr="00C262EA">
        <w:rPr>
          <w:rFonts w:ascii="Arial" w:hAnsi="Arial" w:cs="Arial"/>
        </w:rPr>
        <w:t>Las características principales de las líneas eléctricas son las siguientes:</w:t>
      </w:r>
    </w:p>
    <w:p w:rsidR="00C262EA" w:rsidRPr="00C262EA" w:rsidRDefault="00C262EA" w:rsidP="00C262EA">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C262EA">
        <w:rPr>
          <w:rFonts w:ascii="Arial" w:hAnsi="Arial" w:cs="Arial"/>
          <w:b/>
        </w:rPr>
        <w:t>a)</w:t>
      </w:r>
      <w:r w:rsidRPr="00C262EA">
        <w:rPr>
          <w:rFonts w:ascii="Arial" w:hAnsi="Arial" w:cs="Arial"/>
          <w:b/>
        </w:rPr>
        <w:tab/>
        <w:t>Capacidad de transmisión en operación normal o Capacidad Nominal</w:t>
      </w:r>
    </w:p>
    <w:p w:rsidR="00C262EA" w:rsidRPr="00C262EA" w:rsidRDefault="00C262EA" w:rsidP="00C262EA">
      <w:pPr>
        <w:tabs>
          <w:tab w:val="clear" w:pos="567"/>
          <w:tab w:val="clear" w:pos="1134"/>
          <w:tab w:val="clear" w:pos="1701"/>
          <w:tab w:val="clear" w:pos="2268"/>
          <w:tab w:val="clear" w:pos="2835"/>
        </w:tabs>
        <w:spacing w:before="80" w:line="247" w:lineRule="auto"/>
        <w:ind w:left="709"/>
        <w:jc w:val="both"/>
        <w:rPr>
          <w:rFonts w:ascii="Arial" w:hAnsi="Arial" w:cs="Arial"/>
        </w:rPr>
      </w:pPr>
      <w:r w:rsidRPr="00C262EA">
        <w:rPr>
          <w:rFonts w:ascii="Arial" w:hAnsi="Arial" w:cs="Arial"/>
        </w:rPr>
        <w:t>La capacidad mínima de transmisión de cada una de las líneas eléctricas en régimen de operación normal, en las barras de llegada de las subestaciones correspondientes a cada una de las mismas, será la que se indica a continuación:</w:t>
      </w:r>
    </w:p>
    <w:tbl>
      <w:tblPr>
        <w:tblW w:w="0" w:type="auto"/>
        <w:tblInd w:w="709" w:type="dxa"/>
        <w:tblLook w:val="00A0" w:firstRow="1" w:lastRow="0" w:firstColumn="1" w:lastColumn="0" w:noHBand="0" w:noVBand="0"/>
      </w:tblPr>
      <w:tblGrid>
        <w:gridCol w:w="6062"/>
        <w:gridCol w:w="2517"/>
      </w:tblGrid>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b/>
                <w:u w:val="single"/>
              </w:rPr>
            </w:pPr>
            <w:r w:rsidRPr="00C262EA">
              <w:rPr>
                <w:rFonts w:ascii="Arial" w:hAnsi="Arial" w:cs="Arial"/>
                <w:b/>
                <w:u w:val="single"/>
              </w:rPr>
              <w:t>Línea de Transmisión</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b/>
                <w:u w:val="single"/>
              </w:rPr>
            </w:pPr>
            <w:r w:rsidRPr="00C262EA">
              <w:rPr>
                <w:rFonts w:ascii="Arial" w:hAnsi="Arial" w:cs="Arial"/>
                <w:b/>
                <w:u w:val="single"/>
              </w:rPr>
              <w:t>Capacidad Nominal</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Machupicchu – Quencoro</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250 MVA</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lang w:val="pt-BR"/>
              </w:rPr>
            </w:pPr>
            <w:r w:rsidRPr="00C262EA">
              <w:rPr>
                <w:rFonts w:ascii="Arial" w:hAnsi="Arial" w:cs="Arial"/>
                <w:lang w:val="pt-BR"/>
              </w:rPr>
              <w:t>L.T. 220 kV Quencoro – Onocora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250 MVA</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Onocora – Tintaya (por cada terna)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 xml:space="preserve">250 MVA </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Enlace 138 kV S.E. Quencoro – S.E. Quencoro Nueva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150 MVA</w:t>
            </w:r>
          </w:p>
        </w:tc>
      </w:tr>
    </w:tbl>
    <w:p w:rsidR="00C262EA" w:rsidRPr="00C262EA" w:rsidRDefault="00C262EA" w:rsidP="00C262EA">
      <w:pPr>
        <w:tabs>
          <w:tab w:val="clear" w:pos="567"/>
          <w:tab w:val="clear" w:pos="1134"/>
          <w:tab w:val="clear" w:pos="1701"/>
          <w:tab w:val="clear" w:pos="2268"/>
          <w:tab w:val="clear" w:pos="2835"/>
        </w:tabs>
        <w:spacing w:before="80" w:line="247" w:lineRule="auto"/>
        <w:ind w:left="709"/>
        <w:jc w:val="both"/>
        <w:rPr>
          <w:rFonts w:ascii="Arial" w:hAnsi="Arial" w:cs="Arial"/>
          <w:szCs w:val="21"/>
        </w:rPr>
      </w:pPr>
      <w:r w:rsidRPr="00C262EA">
        <w:rPr>
          <w:rFonts w:ascii="Arial" w:hAnsi="Arial" w:cs="Arial"/>
          <w:szCs w:val="21"/>
        </w:rPr>
        <w:lastRenderedPageBreak/>
        <w:t>Los valores de Capacidad Nominal, corresponden a la operación normal, continua y en régimen permanente de cada línea; los mismos que serán utilizados para la operación de las instalaciones por el COES y se determinarán para las condiciones ambientales de la zona del proyecto.</w:t>
      </w:r>
    </w:p>
    <w:p w:rsidR="00C262EA" w:rsidRPr="00C262EA" w:rsidRDefault="00C262EA" w:rsidP="00C262EA">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C262EA">
        <w:rPr>
          <w:rFonts w:ascii="Arial" w:hAnsi="Arial" w:cs="Arial"/>
          <w:b/>
        </w:rPr>
        <w:t>b)</w:t>
      </w:r>
      <w:r w:rsidRPr="00C262EA">
        <w:rPr>
          <w:rFonts w:ascii="Arial" w:hAnsi="Arial" w:cs="Arial"/>
          <w:b/>
        </w:rPr>
        <w:tab/>
        <w:t>Capacidad de transmisión en contingencia</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rPr>
        <w:t>En condiciones de contingencia del SEIN las líneas deberán tener la capacidad de transportar las magnitudes de potencia que se indican a continuación:</w:t>
      </w:r>
    </w:p>
    <w:tbl>
      <w:tblPr>
        <w:tblW w:w="0" w:type="auto"/>
        <w:tblInd w:w="709" w:type="dxa"/>
        <w:tblLook w:val="00A0" w:firstRow="1" w:lastRow="0" w:firstColumn="1" w:lastColumn="0" w:noHBand="0" w:noVBand="0"/>
      </w:tblPr>
      <w:tblGrid>
        <w:gridCol w:w="5636"/>
        <w:gridCol w:w="2943"/>
      </w:tblGrid>
      <w:tr w:rsidR="00C262EA" w:rsidRPr="00C262EA" w:rsidTr="00454A68">
        <w:tc>
          <w:tcPr>
            <w:tcW w:w="563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Línea de Transmisión</w:t>
            </w:r>
          </w:p>
        </w:tc>
        <w:tc>
          <w:tcPr>
            <w:tcW w:w="2943"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Capacidad en Contingencia</w:t>
            </w:r>
          </w:p>
        </w:tc>
      </w:tr>
      <w:tr w:rsidR="00C262EA" w:rsidRPr="00C262EA" w:rsidTr="00454A68">
        <w:tc>
          <w:tcPr>
            <w:tcW w:w="5636"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Machupicchu – Quencoro</w:t>
            </w:r>
          </w:p>
        </w:tc>
        <w:tc>
          <w:tcPr>
            <w:tcW w:w="2943"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300 MVA</w:t>
            </w:r>
          </w:p>
        </w:tc>
      </w:tr>
      <w:tr w:rsidR="00C262EA" w:rsidRPr="00C262EA" w:rsidTr="00454A68">
        <w:tc>
          <w:tcPr>
            <w:tcW w:w="5636"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lang w:val="pt-BR"/>
              </w:rPr>
            </w:pPr>
            <w:r w:rsidRPr="00C262EA">
              <w:rPr>
                <w:rFonts w:ascii="Arial" w:hAnsi="Arial" w:cs="Arial"/>
                <w:lang w:val="pt-BR"/>
              </w:rPr>
              <w:t>L.T. 220 kV Quencoro – Onocora</w:t>
            </w:r>
          </w:p>
        </w:tc>
        <w:tc>
          <w:tcPr>
            <w:tcW w:w="2943"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300 MVA</w:t>
            </w:r>
          </w:p>
        </w:tc>
      </w:tr>
      <w:tr w:rsidR="00C262EA" w:rsidRPr="00C262EA" w:rsidTr="00454A68">
        <w:tc>
          <w:tcPr>
            <w:tcW w:w="5636"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Onocora – Tintaya (por cada terna)</w:t>
            </w:r>
          </w:p>
        </w:tc>
        <w:tc>
          <w:tcPr>
            <w:tcW w:w="2943"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300 MVA</w:t>
            </w:r>
          </w:p>
        </w:tc>
      </w:tr>
      <w:tr w:rsidR="00C262EA" w:rsidRPr="00C262EA" w:rsidTr="00454A68">
        <w:tc>
          <w:tcPr>
            <w:tcW w:w="5636"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Enlace 138 kV S.E. Quencoro – S.E. Quencoro Nueva</w:t>
            </w:r>
          </w:p>
        </w:tc>
        <w:tc>
          <w:tcPr>
            <w:tcW w:w="2943"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180 MVA</w:t>
            </w:r>
          </w:p>
        </w:tc>
      </w:tr>
    </w:tbl>
    <w:p w:rsidR="00C262EA" w:rsidRPr="00C262EA" w:rsidRDefault="00C262EA" w:rsidP="00C262EA">
      <w:pPr>
        <w:tabs>
          <w:tab w:val="clear" w:pos="567"/>
          <w:tab w:val="clear" w:pos="1134"/>
          <w:tab w:val="clear" w:pos="1701"/>
          <w:tab w:val="clear" w:pos="2268"/>
        </w:tabs>
        <w:spacing w:before="120" w:line="247" w:lineRule="auto"/>
        <w:ind w:left="709" w:hanging="284"/>
        <w:jc w:val="both"/>
        <w:rPr>
          <w:rFonts w:ascii="Arial" w:hAnsi="Arial" w:cs="Arial"/>
          <w:b/>
        </w:rPr>
      </w:pPr>
      <w:r w:rsidRPr="00C262EA">
        <w:rPr>
          <w:rFonts w:ascii="Arial" w:hAnsi="Arial" w:cs="Arial"/>
          <w:b/>
        </w:rPr>
        <w:t>c)</w:t>
      </w:r>
      <w:r w:rsidRPr="00C262EA">
        <w:rPr>
          <w:rFonts w:ascii="Arial" w:hAnsi="Arial" w:cs="Arial"/>
          <w:b/>
        </w:rPr>
        <w:tab/>
        <w:t>Potencia de diseño</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C262EA">
        <w:rPr>
          <w:rFonts w:ascii="Arial" w:hAnsi="Arial" w:cs="Arial"/>
          <w:szCs w:val="21"/>
        </w:rPr>
        <w:t>La potencia de diseño por ampacitancia de cada una de las líneas, y sus componentes asociados, deberá ser mayores o iguales a las que se indican a continuación:</w:t>
      </w:r>
    </w:p>
    <w:tbl>
      <w:tblPr>
        <w:tblW w:w="0" w:type="auto"/>
        <w:tblInd w:w="709" w:type="dxa"/>
        <w:tblLook w:val="00A0" w:firstRow="1" w:lastRow="0" w:firstColumn="1" w:lastColumn="0" w:noHBand="0" w:noVBand="0"/>
      </w:tblPr>
      <w:tblGrid>
        <w:gridCol w:w="6062"/>
        <w:gridCol w:w="2517"/>
      </w:tblGrid>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Línea de Transmisión</w:t>
            </w:r>
          </w:p>
        </w:tc>
        <w:tc>
          <w:tcPr>
            <w:tcW w:w="25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Potencia de Diseño</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Machupicchu – Quencoro</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400 MVA</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lang w:val="pt-BR"/>
              </w:rPr>
            </w:pPr>
            <w:r w:rsidRPr="00C262EA">
              <w:rPr>
                <w:rFonts w:ascii="Arial" w:hAnsi="Arial" w:cs="Arial"/>
                <w:lang w:val="pt-BR"/>
              </w:rPr>
              <w:t>L.T. 220 kV Quencoro – Onocora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400 MVA</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L.T. 220 kV Onocora – Tintaya (por cada terna)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400 MVA</w:t>
            </w:r>
          </w:p>
        </w:tc>
      </w:tr>
      <w:tr w:rsidR="00C262EA" w:rsidRPr="00C262EA" w:rsidTr="00454A68">
        <w:tc>
          <w:tcPr>
            <w:tcW w:w="6062" w:type="dxa"/>
          </w:tcPr>
          <w:p w:rsidR="00C262EA" w:rsidRPr="00C262EA" w:rsidRDefault="00C262EA" w:rsidP="00C262EA">
            <w:pPr>
              <w:tabs>
                <w:tab w:val="clear" w:pos="567"/>
                <w:tab w:val="clear" w:pos="1134"/>
                <w:tab w:val="clear" w:pos="1701"/>
                <w:tab w:val="clear" w:pos="2268"/>
                <w:tab w:val="clear" w:pos="2835"/>
              </w:tabs>
              <w:spacing w:before="80" w:line="247" w:lineRule="auto"/>
              <w:jc w:val="both"/>
              <w:rPr>
                <w:rFonts w:ascii="Arial" w:hAnsi="Arial" w:cs="Arial"/>
              </w:rPr>
            </w:pPr>
            <w:r w:rsidRPr="00C262EA">
              <w:rPr>
                <w:rFonts w:ascii="Arial" w:hAnsi="Arial" w:cs="Arial"/>
              </w:rPr>
              <w:t>Enlace 138 kV S.E. Quencoro – S.E. Quencoro Nueva</w:t>
            </w:r>
          </w:p>
        </w:tc>
        <w:tc>
          <w:tcPr>
            <w:tcW w:w="2517" w:type="dxa"/>
          </w:tcPr>
          <w:p w:rsidR="00C262EA" w:rsidRPr="00C262EA" w:rsidRDefault="00C262EA" w:rsidP="00C262EA">
            <w:pPr>
              <w:tabs>
                <w:tab w:val="clear" w:pos="567"/>
                <w:tab w:val="clear" w:pos="1134"/>
                <w:tab w:val="clear" w:pos="1701"/>
                <w:tab w:val="clear" w:pos="2268"/>
                <w:tab w:val="clear" w:pos="2835"/>
              </w:tabs>
              <w:spacing w:before="80" w:line="247" w:lineRule="auto"/>
              <w:jc w:val="center"/>
              <w:rPr>
                <w:rFonts w:ascii="Arial" w:hAnsi="Arial" w:cs="Arial"/>
              </w:rPr>
            </w:pPr>
            <w:r w:rsidRPr="00C262EA">
              <w:rPr>
                <w:rFonts w:ascii="Arial" w:hAnsi="Arial" w:cs="Arial"/>
              </w:rPr>
              <w:t>250 MVA</w:t>
            </w:r>
          </w:p>
        </w:tc>
      </w:tr>
    </w:tbl>
    <w:p w:rsidR="00C262EA" w:rsidRPr="00C262EA" w:rsidRDefault="00C262EA" w:rsidP="00FB52C7">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C262EA">
        <w:rPr>
          <w:rFonts w:ascii="Arial" w:hAnsi="Arial" w:cs="Arial"/>
          <w:szCs w:val="21"/>
        </w:rPr>
        <w:t>En condiciones de emergencia, por un periodo de hasta treinta (30) minutos, deberán soportar una sobrecarga no menor al 30% por encima de la potencia de diseño.</w:t>
      </w:r>
    </w:p>
    <w:p w:rsidR="00C262EA" w:rsidRPr="00C262EA" w:rsidRDefault="00C262EA" w:rsidP="00FB52C7">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La verificación de la capacidad de transmisión de las líneas, en las distintas condiciones de trabajo señaladas, deberá ser realizada de acuerdo con el tipo y sección de conductor que sea seleccionado, considerando el número de tramos necesarios, según las condiciones de clima y de altitud sobre el nivel del mar de las distintas zonas que atraviesan las líneas. En todos los casos se observarán las distancias de seguridad señaladas en el CNE Suministro vigente.</w:t>
      </w:r>
    </w:p>
    <w:p w:rsidR="00C262EA" w:rsidRPr="00C262EA" w:rsidRDefault="00C262EA" w:rsidP="004F6B32">
      <w:pPr>
        <w:numPr>
          <w:ilvl w:val="0"/>
          <w:numId w:val="81"/>
        </w:numPr>
        <w:tabs>
          <w:tab w:val="clear" w:pos="567"/>
          <w:tab w:val="clear" w:pos="1134"/>
          <w:tab w:val="clear" w:pos="1701"/>
          <w:tab w:val="clear" w:pos="2268"/>
          <w:tab w:val="clear" w:pos="2835"/>
        </w:tabs>
        <w:spacing w:before="120" w:line="247" w:lineRule="auto"/>
        <w:jc w:val="both"/>
        <w:rPr>
          <w:rFonts w:ascii="Arial" w:hAnsi="Arial" w:cs="Arial"/>
          <w:b/>
          <w:bCs/>
        </w:rPr>
      </w:pPr>
      <w:r w:rsidRPr="00C262EA">
        <w:rPr>
          <w:rFonts w:ascii="Arial" w:hAnsi="Arial" w:cs="Arial"/>
          <w:b/>
          <w:bCs/>
        </w:rPr>
        <w:t>Factores de diseño</w:t>
      </w:r>
    </w:p>
    <w:p w:rsidR="00C262EA" w:rsidRPr="00C262EA" w:rsidRDefault="00C262EA" w:rsidP="00C262EA">
      <w:pPr>
        <w:spacing w:before="120" w:line="247" w:lineRule="auto"/>
        <w:ind w:left="840"/>
        <w:jc w:val="both"/>
        <w:rPr>
          <w:rFonts w:ascii="Arial" w:hAnsi="Arial" w:cs="Arial"/>
        </w:rPr>
      </w:pPr>
      <w:r w:rsidRPr="00C262EA">
        <w:rPr>
          <w:rFonts w:ascii="Arial" w:hAnsi="Arial" w:cs="Arial"/>
        </w:rPr>
        <w:t>La línea se considerará aceptable cuando cumpla con lo siguiente:</w:t>
      </w:r>
    </w:p>
    <w:p w:rsidR="00C262EA" w:rsidRPr="00C262EA" w:rsidRDefault="00C262EA" w:rsidP="00C262EA">
      <w:pPr>
        <w:spacing w:before="120" w:line="247" w:lineRule="auto"/>
        <w:ind w:left="1320" w:hanging="480"/>
        <w:jc w:val="both"/>
        <w:rPr>
          <w:rFonts w:ascii="Arial" w:hAnsi="Arial" w:cs="Arial"/>
          <w:b/>
          <w:bCs/>
        </w:rPr>
      </w:pPr>
      <w:r w:rsidRPr="00C262EA">
        <w:rPr>
          <w:rFonts w:ascii="Arial" w:hAnsi="Arial" w:cs="Arial"/>
          <w:b/>
          <w:bCs/>
        </w:rPr>
        <w:t>d.1) Límite térmico</w:t>
      </w:r>
    </w:p>
    <w:p w:rsidR="00C262EA" w:rsidRPr="00C262EA" w:rsidRDefault="00C262EA" w:rsidP="004F6B32">
      <w:pPr>
        <w:numPr>
          <w:ilvl w:val="0"/>
          <w:numId w:val="61"/>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C262EA">
        <w:rPr>
          <w:rFonts w:ascii="Arial" w:hAnsi="Arial" w:cs="Arial"/>
        </w:rPr>
        <w:t xml:space="preserve">La temperatura en el conductor en el régimen normal de operación no debe superar el valor máximo establecido de </w:t>
      </w:r>
      <w:smartTag w:uri="urn:schemas-microsoft-com:office:smarttags" w:element="metricconverter">
        <w:smartTagPr>
          <w:attr w:name="ProductID" w:val="75ﾰC"/>
        </w:smartTagPr>
        <w:r w:rsidRPr="00C262EA">
          <w:rPr>
            <w:rFonts w:ascii="Arial" w:hAnsi="Arial" w:cs="Arial"/>
          </w:rPr>
          <w:t>75°C</w:t>
        </w:r>
      </w:smartTag>
      <w:r w:rsidRPr="00C262EA">
        <w:rPr>
          <w:rFonts w:ascii="Arial" w:hAnsi="Arial" w:cs="Arial"/>
        </w:rPr>
        <w:t>.</w:t>
      </w:r>
    </w:p>
    <w:p w:rsidR="00C262EA" w:rsidRPr="00C262EA" w:rsidRDefault="00C262EA" w:rsidP="004F6B32">
      <w:pPr>
        <w:numPr>
          <w:ilvl w:val="0"/>
          <w:numId w:val="61"/>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C262EA">
        <w:rPr>
          <w:rFonts w:ascii="Arial" w:hAnsi="Arial" w:cs="Arial"/>
        </w:rPr>
        <w:t>Las pérdidas óhmicas no deben superar el valor máximo establecido en el numeral respectivo.</w:t>
      </w:r>
    </w:p>
    <w:p w:rsidR="00C262EA" w:rsidRPr="00C262EA" w:rsidRDefault="00C262EA" w:rsidP="004F6B32">
      <w:pPr>
        <w:numPr>
          <w:ilvl w:val="0"/>
          <w:numId w:val="61"/>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C262EA">
        <w:rPr>
          <w:rFonts w:ascii="Arial" w:hAnsi="Arial" w:cs="Arial"/>
        </w:rPr>
        <w:t>Se debe observar las distancias de seguridad establecidas en las normas, en toda condición de operación.</w:t>
      </w:r>
    </w:p>
    <w:p w:rsidR="00C262EA" w:rsidRPr="00C262EA" w:rsidRDefault="00C262EA" w:rsidP="00C262EA">
      <w:pPr>
        <w:tabs>
          <w:tab w:val="left" w:pos="1320"/>
        </w:tabs>
        <w:spacing w:before="120" w:line="247" w:lineRule="auto"/>
        <w:ind w:left="1320" w:hanging="480"/>
        <w:jc w:val="both"/>
        <w:rPr>
          <w:rFonts w:ascii="Arial" w:hAnsi="Arial" w:cs="Arial"/>
          <w:b/>
          <w:bCs/>
        </w:rPr>
      </w:pPr>
      <w:r w:rsidRPr="00C262EA">
        <w:rPr>
          <w:rFonts w:ascii="Arial" w:hAnsi="Arial" w:cs="Arial"/>
          <w:b/>
          <w:bCs/>
        </w:rPr>
        <w:t>d.2) Caída de tensión</w:t>
      </w:r>
    </w:p>
    <w:p w:rsidR="00C262EA" w:rsidRPr="00C262EA" w:rsidRDefault="00C262EA" w:rsidP="004F6B32">
      <w:pPr>
        <w:numPr>
          <w:ilvl w:val="0"/>
          <w:numId w:val="61"/>
        </w:numPr>
        <w:tabs>
          <w:tab w:val="clear" w:pos="567"/>
          <w:tab w:val="clear" w:pos="1134"/>
          <w:tab w:val="clear" w:pos="1701"/>
          <w:tab w:val="clear" w:pos="2268"/>
          <w:tab w:val="clear" w:pos="2835"/>
          <w:tab w:val="left" w:pos="1418"/>
        </w:tabs>
        <w:spacing w:before="40" w:line="247" w:lineRule="auto"/>
        <w:ind w:left="1418" w:hanging="215"/>
        <w:jc w:val="both"/>
        <w:rPr>
          <w:rFonts w:ascii="Arial" w:hAnsi="Arial" w:cs="Arial"/>
        </w:rPr>
      </w:pPr>
      <w:r w:rsidRPr="00C262EA">
        <w:rPr>
          <w:rFonts w:ascii="Arial" w:hAnsi="Arial" w:cs="Arial"/>
        </w:rPr>
        <w:t xml:space="preserve">La diferencia de tensión entre los extremos emisor y receptor no debe superar el 5 % para </w:t>
      </w:r>
      <w:smartTag w:uri="urn:schemas-microsoft-com:office:smarttags" w:element="PersonName">
        <w:smartTagPr>
          <w:attr w:name="ProductID" w:val="la Capacidad Nominal."/>
        </w:smartTagPr>
        <w:r w:rsidRPr="00C262EA">
          <w:rPr>
            <w:rFonts w:ascii="Arial" w:hAnsi="Arial" w:cs="Arial"/>
          </w:rPr>
          <w:t>la Capacidad Nominal.</w:t>
        </w:r>
      </w:smartTag>
    </w:p>
    <w:p w:rsidR="00C262EA" w:rsidRPr="00C262EA" w:rsidRDefault="00C262EA" w:rsidP="00C262EA">
      <w:pPr>
        <w:spacing w:before="120" w:line="247" w:lineRule="auto"/>
        <w:ind w:left="426"/>
        <w:jc w:val="both"/>
        <w:rPr>
          <w:rFonts w:ascii="Arial" w:hAnsi="Arial" w:cs="Arial"/>
        </w:rPr>
      </w:pPr>
      <w:r w:rsidRPr="00C262EA">
        <w:rPr>
          <w:rFonts w:ascii="Arial" w:hAnsi="Arial" w:cs="Arial"/>
        </w:rPr>
        <w:lastRenderedPageBreak/>
        <w:t>En el Diagrama Unifilar N° 1, al final del presente anexo, se presenta la configuración general del proyecto.</w:t>
      </w:r>
    </w:p>
    <w:p w:rsidR="00C262EA" w:rsidRPr="00C262EA" w:rsidRDefault="00C262EA" w:rsidP="00C262EA">
      <w:pPr>
        <w:spacing w:before="240" w:line="247" w:lineRule="auto"/>
        <w:ind w:left="425" w:hanging="425"/>
        <w:jc w:val="both"/>
        <w:outlineLvl w:val="0"/>
        <w:rPr>
          <w:rFonts w:ascii="Arial" w:hAnsi="Arial" w:cs="Arial"/>
          <w:b/>
          <w:sz w:val="21"/>
          <w:szCs w:val="21"/>
        </w:rPr>
      </w:pPr>
      <w:bookmarkStart w:id="32" w:name="_Toc306777404"/>
      <w:bookmarkStart w:id="33" w:name="_Toc272265341"/>
      <w:r w:rsidRPr="00C262EA">
        <w:rPr>
          <w:rFonts w:ascii="Arial" w:hAnsi="Arial" w:cs="Arial"/>
          <w:b/>
          <w:sz w:val="21"/>
          <w:szCs w:val="21"/>
        </w:rPr>
        <w:t>2</w:t>
      </w:r>
      <w:r w:rsidRPr="00C262EA">
        <w:rPr>
          <w:rFonts w:ascii="Arial" w:hAnsi="Arial" w:cs="Arial"/>
          <w:b/>
          <w:sz w:val="21"/>
          <w:szCs w:val="21"/>
        </w:rPr>
        <w:tab/>
        <w:t>LÍNEAS DE TRANSMISIÓN</w:t>
      </w:r>
      <w:bookmarkEnd w:id="32"/>
      <w:r w:rsidRPr="00C262EA">
        <w:rPr>
          <w:rFonts w:ascii="Arial" w:hAnsi="Arial" w:cs="Arial"/>
          <w:b/>
          <w:sz w:val="21"/>
          <w:szCs w:val="21"/>
        </w:rPr>
        <w:t xml:space="preserve"> </w:t>
      </w:r>
      <w:bookmarkEnd w:id="33"/>
    </w:p>
    <w:p w:rsidR="00C262EA" w:rsidRPr="00C262EA" w:rsidRDefault="00C262EA" w:rsidP="00FB52C7">
      <w:pPr>
        <w:keepNext/>
        <w:tabs>
          <w:tab w:val="clear" w:pos="2835"/>
        </w:tabs>
        <w:spacing w:before="240"/>
        <w:ind w:left="425" w:hanging="425"/>
        <w:outlineLvl w:val="1"/>
        <w:rPr>
          <w:rFonts w:ascii="Arial" w:hAnsi="Arial" w:cs="Arial"/>
          <w:b/>
        </w:rPr>
      </w:pPr>
      <w:bookmarkStart w:id="34" w:name="_Toc272265342"/>
      <w:bookmarkStart w:id="35" w:name="_Toc306777405"/>
      <w:r w:rsidRPr="00C262EA">
        <w:rPr>
          <w:rFonts w:ascii="Arial" w:hAnsi="Arial" w:cs="Arial"/>
          <w:b/>
        </w:rPr>
        <w:t>2.1</w:t>
      </w:r>
      <w:r w:rsidRPr="00C262EA">
        <w:rPr>
          <w:rFonts w:ascii="Arial" w:hAnsi="Arial" w:cs="Arial"/>
          <w:b/>
        </w:rPr>
        <w:tab/>
      </w:r>
      <w:bookmarkEnd w:id="34"/>
      <w:r w:rsidRPr="00C262EA">
        <w:rPr>
          <w:rFonts w:ascii="Arial" w:hAnsi="Arial" w:cs="Arial"/>
          <w:b/>
        </w:rPr>
        <w:t>LÍNEA DE TRANSMISIÓN 220 kV MACHUPICCHU - QUENCORO</w:t>
      </w:r>
      <w:bookmarkEnd w:id="35"/>
    </w:p>
    <w:p w:rsidR="00C262EA" w:rsidRPr="00C262EA" w:rsidRDefault="00C262EA" w:rsidP="00C262EA">
      <w:pPr>
        <w:tabs>
          <w:tab w:val="clear" w:pos="567"/>
        </w:tabs>
        <w:spacing w:before="120" w:line="247" w:lineRule="auto"/>
        <w:ind w:left="426"/>
        <w:jc w:val="both"/>
        <w:rPr>
          <w:rFonts w:ascii="Arial" w:hAnsi="Arial" w:cs="Arial"/>
        </w:rPr>
      </w:pPr>
      <w:r w:rsidRPr="00C262EA">
        <w:rPr>
          <w:rFonts w:ascii="Arial" w:hAnsi="Arial" w:cs="Arial"/>
        </w:rPr>
        <w:t xml:space="preserve">Esta es una línea de transmisión, de simple terna, que enlazará </w:t>
      </w:r>
      <w:smartTag w:uri="urn:schemas-microsoft-com:office:smarttags" w:element="PersonName">
        <w:smartTagPr>
          <w:attr w:name="ProductID" w:val="la Subestaci￳n Suriray"/>
        </w:smartTagPr>
        <w:r w:rsidRPr="00C262EA">
          <w:rPr>
            <w:rFonts w:ascii="Arial" w:hAnsi="Arial" w:cs="Arial"/>
          </w:rPr>
          <w:t>la Subestación Suriray</w:t>
        </w:r>
      </w:smartTag>
      <w:r w:rsidRPr="00C262EA">
        <w:rPr>
          <w:rFonts w:ascii="Arial" w:hAnsi="Arial" w:cs="Arial"/>
        </w:rPr>
        <w:t xml:space="preserve"> con </w:t>
      </w:r>
      <w:smartTag w:uri="urn:schemas-microsoft-com:office:smarttags" w:element="PersonName">
        <w:smartTagPr>
          <w:attr w:name="ProductID" w:val="la Subestaci￳n Quencoro"/>
        </w:smartTagPr>
        <w:r w:rsidRPr="00C262EA">
          <w:rPr>
            <w:rFonts w:ascii="Arial" w:hAnsi="Arial" w:cs="Arial"/>
          </w:rPr>
          <w:t>la Subestación Quencoro</w:t>
        </w:r>
      </w:smartTag>
      <w:r w:rsidRPr="00C262EA">
        <w:rPr>
          <w:rFonts w:ascii="Arial" w:hAnsi="Arial" w:cs="Arial"/>
        </w:rPr>
        <w:t xml:space="preserve"> Nueva (ubicada hacia la zona sur de la ciudad de Cusco, fuera de la zona urbana). Las características principales de esta línea son las que se indican a continuación:</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Longitud aproximada:</w:t>
      </w:r>
      <w:r w:rsidRPr="00C262EA">
        <w:rPr>
          <w:rFonts w:ascii="Arial" w:hAnsi="Arial" w:cs="Arial"/>
        </w:rPr>
        <w:tab/>
      </w:r>
      <w:r w:rsidRPr="00C262EA">
        <w:rPr>
          <w:rFonts w:ascii="Arial" w:hAnsi="Arial" w:cs="Arial"/>
        </w:rPr>
        <w:tab/>
        <w:t>153 km</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ternas:</w:t>
      </w:r>
      <w:r w:rsidRPr="00C262EA">
        <w:rPr>
          <w:rFonts w:ascii="Arial" w:hAnsi="Arial" w:cs="Arial"/>
        </w:rPr>
        <w:tab/>
      </w:r>
      <w:r w:rsidRPr="00C262EA">
        <w:rPr>
          <w:rFonts w:ascii="Arial" w:hAnsi="Arial" w:cs="Arial"/>
        </w:rPr>
        <w:tab/>
        <w:t>Una (1)</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Configuración de conductores:</w:t>
      </w:r>
      <w:r w:rsidRPr="00C262EA">
        <w:rPr>
          <w:rFonts w:ascii="Arial" w:hAnsi="Arial" w:cs="Arial"/>
        </w:rPr>
        <w:tab/>
        <w:t>Tipo triangular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Tipo de conductor:</w:t>
      </w:r>
      <w:r w:rsidRPr="00C262EA">
        <w:rPr>
          <w:rFonts w:ascii="Arial" w:hAnsi="Arial" w:cs="Arial"/>
        </w:rPr>
        <w:tab/>
      </w:r>
      <w:r w:rsidRPr="00C262EA">
        <w:rPr>
          <w:rFonts w:ascii="Arial" w:hAnsi="Arial" w:cs="Arial"/>
        </w:rPr>
        <w:tab/>
        <w:t>Se podrá utilizar ACSR, AAAC  o ACAR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conductores por fase:</w:t>
      </w:r>
      <w:r w:rsidRPr="00C262EA">
        <w:rPr>
          <w:rFonts w:ascii="Arial" w:hAnsi="Arial" w:cs="Arial"/>
        </w:rPr>
        <w:tab/>
        <w:t xml:space="preserve"> Dos (2)</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2" w:hanging="3294"/>
        <w:jc w:val="both"/>
        <w:rPr>
          <w:rFonts w:ascii="Arial" w:hAnsi="Arial" w:cs="Arial"/>
        </w:rPr>
      </w:pPr>
      <w:r w:rsidRPr="00C262EA">
        <w:rPr>
          <w:rFonts w:ascii="Arial" w:hAnsi="Arial" w:cs="Arial"/>
        </w:rPr>
        <w:t>Cables de guarda:</w:t>
      </w:r>
      <w:r w:rsidRPr="00C262EA">
        <w:rPr>
          <w:rFonts w:ascii="Arial" w:hAnsi="Arial" w:cs="Arial"/>
        </w:rPr>
        <w:tab/>
        <w:t>Uno del tipo OPGW, de 24 fibras,  de 106 mm</w:t>
      </w:r>
      <w:r w:rsidRPr="00C262EA">
        <w:rPr>
          <w:rFonts w:ascii="Arial" w:hAnsi="Arial" w:cs="Arial"/>
          <w:vertAlign w:val="superscript"/>
        </w:rPr>
        <w:t>2</w:t>
      </w:r>
      <w:r w:rsidRPr="00C262EA">
        <w:rPr>
          <w:rFonts w:ascii="Arial" w:hAnsi="Arial" w:cs="Arial"/>
        </w:rPr>
        <w:t xml:space="preserve"> de sección y otro del tipo convencional, cuyo material y sección será seleccionado por la Sociedad Concesionaria.</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93"/>
        <w:jc w:val="both"/>
        <w:rPr>
          <w:rFonts w:ascii="Arial" w:hAnsi="Arial" w:cs="Arial"/>
        </w:rPr>
      </w:pPr>
      <w:r w:rsidRPr="00C262EA">
        <w:rPr>
          <w:rFonts w:ascii="Arial" w:hAnsi="Arial" w:cs="Arial"/>
        </w:rPr>
        <w:t>Subestaciones que enlaza:</w:t>
      </w:r>
      <w:r w:rsidRPr="00C262EA">
        <w:rPr>
          <w:rFonts w:ascii="Arial" w:hAnsi="Arial" w:cs="Arial"/>
        </w:rPr>
        <w:tab/>
        <w:t>S.E. Suriray (en Machupicchu) y S.E. Quencoro Nueva.</w:t>
      </w:r>
    </w:p>
    <w:p w:rsidR="00C262EA" w:rsidRPr="00C262EA" w:rsidRDefault="00C262EA" w:rsidP="00FB52C7">
      <w:pPr>
        <w:keepNext/>
        <w:tabs>
          <w:tab w:val="clear" w:pos="2835"/>
        </w:tabs>
        <w:spacing w:before="240"/>
        <w:ind w:left="425" w:hanging="425"/>
        <w:outlineLvl w:val="1"/>
        <w:rPr>
          <w:rFonts w:ascii="Arial" w:hAnsi="Arial" w:cs="Arial"/>
          <w:b/>
        </w:rPr>
      </w:pPr>
      <w:bookmarkStart w:id="36" w:name="_Toc272265344"/>
      <w:bookmarkStart w:id="37" w:name="_Toc306777406"/>
      <w:r w:rsidRPr="00C262EA">
        <w:rPr>
          <w:rFonts w:ascii="Arial" w:hAnsi="Arial" w:cs="Arial"/>
          <w:b/>
        </w:rPr>
        <w:t>2.2</w:t>
      </w:r>
      <w:r w:rsidRPr="00C262EA">
        <w:rPr>
          <w:rFonts w:ascii="Arial" w:hAnsi="Arial" w:cs="Arial"/>
          <w:b/>
        </w:rPr>
        <w:tab/>
        <w:t>LÍNEA DE TRANSMISIÓN 220 kV QUENCORO - ONOCORA</w:t>
      </w:r>
      <w:bookmarkEnd w:id="36"/>
      <w:bookmarkEnd w:id="37"/>
    </w:p>
    <w:p w:rsidR="00C262EA" w:rsidRPr="00C262EA" w:rsidRDefault="00C262EA" w:rsidP="00C262EA">
      <w:pPr>
        <w:tabs>
          <w:tab w:val="clear" w:pos="567"/>
        </w:tabs>
        <w:spacing w:before="120" w:line="247" w:lineRule="auto"/>
        <w:ind w:left="426"/>
        <w:jc w:val="both"/>
        <w:rPr>
          <w:rFonts w:ascii="Arial" w:hAnsi="Arial" w:cs="Arial"/>
        </w:rPr>
      </w:pPr>
      <w:r w:rsidRPr="00C262EA">
        <w:rPr>
          <w:rFonts w:ascii="Arial" w:hAnsi="Arial" w:cs="Arial"/>
        </w:rPr>
        <w:t>Esta es una línea de transmisión, de simple terna, que enlazará la Subestación Quencoro Nueva con la Subestación Onocora y sus características principales son las que se indican a continuación:</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Longitud aproximada:</w:t>
      </w:r>
      <w:r w:rsidRPr="00C262EA">
        <w:rPr>
          <w:rFonts w:ascii="Arial" w:hAnsi="Arial" w:cs="Arial"/>
        </w:rPr>
        <w:tab/>
      </w:r>
      <w:r w:rsidRPr="00C262EA">
        <w:rPr>
          <w:rFonts w:ascii="Arial" w:hAnsi="Arial" w:cs="Arial"/>
        </w:rPr>
        <w:tab/>
        <w:t>116 km</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ternas:</w:t>
      </w:r>
      <w:r w:rsidRPr="00C262EA">
        <w:rPr>
          <w:rFonts w:ascii="Arial" w:hAnsi="Arial" w:cs="Arial"/>
        </w:rPr>
        <w:tab/>
      </w:r>
      <w:r w:rsidRPr="00C262EA">
        <w:rPr>
          <w:rFonts w:ascii="Arial" w:hAnsi="Arial" w:cs="Arial"/>
        </w:rPr>
        <w:tab/>
        <w:t>Una (1)</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Configuración de conductores:</w:t>
      </w:r>
      <w:r w:rsidRPr="00C262EA">
        <w:rPr>
          <w:rFonts w:ascii="Arial" w:hAnsi="Arial" w:cs="Arial"/>
        </w:rPr>
        <w:tab/>
        <w:t>Tipo triangular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Tipo de conductor:</w:t>
      </w:r>
      <w:r w:rsidRPr="00C262EA">
        <w:rPr>
          <w:rFonts w:ascii="Arial" w:hAnsi="Arial" w:cs="Arial"/>
        </w:rPr>
        <w:tab/>
      </w:r>
      <w:r w:rsidRPr="00C262EA">
        <w:rPr>
          <w:rFonts w:ascii="Arial" w:hAnsi="Arial" w:cs="Arial"/>
        </w:rPr>
        <w:tab/>
        <w:t>Se podrá utilizar ACSR, AAAC  o ACAR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conductores por fase:</w:t>
      </w:r>
      <w:r w:rsidRPr="00C262EA">
        <w:rPr>
          <w:rFonts w:ascii="Arial" w:hAnsi="Arial" w:cs="Arial"/>
        </w:rPr>
        <w:tab/>
        <w:t>Dos (2)</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60"/>
        <w:jc w:val="both"/>
        <w:rPr>
          <w:rFonts w:ascii="Arial" w:hAnsi="Arial" w:cs="Arial"/>
        </w:rPr>
      </w:pPr>
      <w:r w:rsidRPr="00C262EA">
        <w:rPr>
          <w:rFonts w:ascii="Arial" w:hAnsi="Arial" w:cs="Arial"/>
        </w:rPr>
        <w:t>Cables de guarda:</w:t>
      </w:r>
      <w:r w:rsidRPr="00C262EA">
        <w:rPr>
          <w:rFonts w:ascii="Arial" w:hAnsi="Arial" w:cs="Arial"/>
        </w:rPr>
        <w:tab/>
        <w:t>Uno del tipo OPGW, de 24 fibras, de 106 mm</w:t>
      </w:r>
      <w:r w:rsidRPr="00C262EA">
        <w:rPr>
          <w:rFonts w:ascii="Arial" w:hAnsi="Arial" w:cs="Arial"/>
          <w:vertAlign w:val="superscript"/>
        </w:rPr>
        <w:t>2</w:t>
      </w:r>
      <w:r w:rsidRPr="00C262EA">
        <w:rPr>
          <w:rFonts w:ascii="Arial" w:hAnsi="Arial" w:cs="Arial"/>
        </w:rPr>
        <w:t xml:space="preserve"> de sección y otro del tipo convencional, cuyo material y sección será seleccionado por la Sociedad Concesionaria.</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93"/>
        <w:jc w:val="both"/>
        <w:rPr>
          <w:rFonts w:ascii="Arial" w:hAnsi="Arial" w:cs="Arial"/>
        </w:rPr>
      </w:pPr>
      <w:r w:rsidRPr="00C262EA">
        <w:rPr>
          <w:rFonts w:ascii="Arial" w:hAnsi="Arial" w:cs="Arial"/>
        </w:rPr>
        <w:t>Subestaciones que enlaza</w:t>
      </w:r>
      <w:r w:rsidRPr="00C262EA">
        <w:rPr>
          <w:rFonts w:ascii="Arial" w:hAnsi="Arial" w:cs="Arial"/>
        </w:rPr>
        <w:tab/>
        <w:t xml:space="preserve">S.E. Quencoro Nueva y S.E. Onocora </w:t>
      </w:r>
    </w:p>
    <w:p w:rsidR="00C262EA" w:rsidRPr="00C262EA" w:rsidRDefault="00FB52C7" w:rsidP="00FB52C7">
      <w:pPr>
        <w:keepNext/>
        <w:tabs>
          <w:tab w:val="clear" w:pos="2835"/>
        </w:tabs>
        <w:spacing w:before="240"/>
        <w:ind w:left="425" w:hanging="425"/>
        <w:outlineLvl w:val="1"/>
        <w:rPr>
          <w:rFonts w:ascii="Arial" w:hAnsi="Arial" w:cs="Arial"/>
          <w:b/>
        </w:rPr>
      </w:pPr>
      <w:r>
        <w:rPr>
          <w:rFonts w:ascii="Arial" w:hAnsi="Arial" w:cs="Arial"/>
        </w:rPr>
        <w:br w:type="page"/>
      </w:r>
      <w:bookmarkStart w:id="38" w:name="_Toc306777407"/>
      <w:r w:rsidR="00C262EA" w:rsidRPr="00C262EA">
        <w:rPr>
          <w:rFonts w:ascii="Arial" w:hAnsi="Arial" w:cs="Arial"/>
          <w:b/>
        </w:rPr>
        <w:lastRenderedPageBreak/>
        <w:t>2.3</w:t>
      </w:r>
      <w:r w:rsidR="00C262EA" w:rsidRPr="00C262EA">
        <w:rPr>
          <w:rFonts w:ascii="Arial" w:hAnsi="Arial" w:cs="Arial"/>
          <w:b/>
        </w:rPr>
        <w:tab/>
        <w:t>LÍNEA DE TRANSMISIÓN 220 kV ONOCORA - TINTAYA</w:t>
      </w:r>
      <w:bookmarkEnd w:id="38"/>
    </w:p>
    <w:p w:rsidR="00C262EA" w:rsidRPr="00C262EA" w:rsidRDefault="00C262EA" w:rsidP="00C262EA">
      <w:pPr>
        <w:tabs>
          <w:tab w:val="clear" w:pos="567"/>
        </w:tabs>
        <w:spacing w:before="120" w:line="247" w:lineRule="auto"/>
        <w:ind w:left="426"/>
        <w:jc w:val="both"/>
        <w:rPr>
          <w:rFonts w:ascii="Arial" w:hAnsi="Arial" w:cs="Arial"/>
        </w:rPr>
      </w:pPr>
      <w:r w:rsidRPr="00C262EA">
        <w:rPr>
          <w:rFonts w:ascii="Arial" w:hAnsi="Arial" w:cs="Arial"/>
        </w:rPr>
        <w:t>Esta es una línea de transmisión, de doble terna, que enlazará la Subestación Onocora con la Subestación Tintaya Nueva y sus características principales son las que se indican a continuación:</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Longitud aproximada:</w:t>
      </w:r>
      <w:r w:rsidRPr="00C262EA">
        <w:rPr>
          <w:rFonts w:ascii="Arial" w:hAnsi="Arial" w:cs="Arial"/>
        </w:rPr>
        <w:tab/>
      </w:r>
      <w:r w:rsidRPr="00C262EA">
        <w:rPr>
          <w:rFonts w:ascii="Arial" w:hAnsi="Arial" w:cs="Arial"/>
        </w:rPr>
        <w:tab/>
        <w:t>84,9 km</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ternas:</w:t>
      </w:r>
      <w:r w:rsidRPr="00C262EA">
        <w:rPr>
          <w:rFonts w:ascii="Arial" w:hAnsi="Arial" w:cs="Arial"/>
        </w:rPr>
        <w:tab/>
      </w:r>
      <w:r w:rsidRPr="00C262EA">
        <w:rPr>
          <w:rFonts w:ascii="Arial" w:hAnsi="Arial" w:cs="Arial"/>
        </w:rPr>
        <w:tab/>
        <w:t>Dos (2)</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Configuración de conductores:</w:t>
      </w:r>
      <w:r w:rsidRPr="00C262EA">
        <w:rPr>
          <w:rFonts w:ascii="Arial" w:hAnsi="Arial" w:cs="Arial"/>
        </w:rPr>
        <w:tab/>
        <w:t>Vertical</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Tipo de conductor:</w:t>
      </w:r>
      <w:r w:rsidRPr="00C262EA">
        <w:rPr>
          <w:rFonts w:ascii="Arial" w:hAnsi="Arial" w:cs="Arial"/>
        </w:rPr>
        <w:tab/>
      </w:r>
      <w:r w:rsidRPr="00C262EA">
        <w:rPr>
          <w:rFonts w:ascii="Arial" w:hAnsi="Arial" w:cs="Arial"/>
        </w:rPr>
        <w:tab/>
        <w:t>Se podrá utilizar ACSR, AAAC  o ACAR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conductores por fase:</w:t>
      </w:r>
      <w:r w:rsidRPr="00C262EA">
        <w:rPr>
          <w:rFonts w:ascii="Arial" w:hAnsi="Arial" w:cs="Arial"/>
        </w:rPr>
        <w:tab/>
        <w:t>Dos (2)</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60"/>
        <w:jc w:val="both"/>
        <w:rPr>
          <w:rFonts w:ascii="Arial" w:hAnsi="Arial" w:cs="Arial"/>
        </w:rPr>
      </w:pPr>
      <w:r w:rsidRPr="00C262EA">
        <w:rPr>
          <w:rFonts w:ascii="Arial" w:hAnsi="Arial" w:cs="Arial"/>
        </w:rPr>
        <w:t>Cables de guarda:</w:t>
      </w:r>
      <w:r w:rsidRPr="00C262EA">
        <w:rPr>
          <w:rFonts w:ascii="Arial" w:hAnsi="Arial" w:cs="Arial"/>
        </w:rPr>
        <w:tab/>
        <w:t>Uno del tipo OPGW, de 24 fibras, de 106 mm</w:t>
      </w:r>
      <w:r w:rsidRPr="00C262EA">
        <w:rPr>
          <w:rFonts w:ascii="Arial" w:hAnsi="Arial" w:cs="Arial"/>
          <w:vertAlign w:val="superscript"/>
        </w:rPr>
        <w:t>2</w:t>
      </w:r>
      <w:r w:rsidRPr="00C262EA">
        <w:rPr>
          <w:rFonts w:ascii="Arial" w:hAnsi="Arial" w:cs="Arial"/>
        </w:rPr>
        <w:t xml:space="preserve"> de sección  y otro del tipo convencional, cuyo material y sección será seleccionado por la Sociedad Concesionaria.</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93"/>
        <w:jc w:val="both"/>
        <w:rPr>
          <w:rFonts w:ascii="Arial" w:hAnsi="Arial" w:cs="Arial"/>
        </w:rPr>
      </w:pPr>
      <w:r w:rsidRPr="00C262EA">
        <w:rPr>
          <w:rFonts w:ascii="Arial" w:hAnsi="Arial" w:cs="Arial"/>
        </w:rPr>
        <w:t>Subestaciones que enlaza</w:t>
      </w:r>
      <w:r w:rsidRPr="00C262EA">
        <w:rPr>
          <w:rFonts w:ascii="Arial" w:hAnsi="Arial" w:cs="Arial"/>
        </w:rPr>
        <w:tab/>
        <w:t>S.E. Onocora y S. E. Tintaya Nueva</w:t>
      </w:r>
    </w:p>
    <w:p w:rsidR="00C262EA" w:rsidRPr="00C262EA" w:rsidRDefault="00C262EA" w:rsidP="00FB52C7">
      <w:pPr>
        <w:keepNext/>
        <w:tabs>
          <w:tab w:val="clear" w:pos="2835"/>
        </w:tabs>
        <w:spacing w:before="240"/>
        <w:ind w:left="425" w:hanging="425"/>
        <w:jc w:val="both"/>
        <w:outlineLvl w:val="1"/>
        <w:rPr>
          <w:rFonts w:ascii="Arial" w:hAnsi="Arial" w:cs="Arial"/>
          <w:b/>
        </w:rPr>
      </w:pPr>
      <w:bookmarkStart w:id="39" w:name="_Toc306777408"/>
      <w:r w:rsidRPr="00C262EA">
        <w:rPr>
          <w:rFonts w:ascii="Arial" w:hAnsi="Arial" w:cs="Arial"/>
          <w:b/>
        </w:rPr>
        <w:t>2.4</w:t>
      </w:r>
      <w:r w:rsidRPr="00C262EA">
        <w:rPr>
          <w:rFonts w:ascii="Arial" w:hAnsi="Arial" w:cs="Arial"/>
          <w:b/>
        </w:rPr>
        <w:tab/>
        <w:t>ENLACE EN 138  kV ENTRE LA S.E. QUENCORO Y LA S.E. QUENCORO NUEVA</w:t>
      </w:r>
      <w:bookmarkEnd w:id="39"/>
    </w:p>
    <w:p w:rsidR="00C262EA" w:rsidRPr="00C262EA" w:rsidRDefault="00C262EA" w:rsidP="00C262EA">
      <w:pPr>
        <w:tabs>
          <w:tab w:val="clear" w:pos="567"/>
        </w:tabs>
        <w:spacing w:before="120" w:line="247" w:lineRule="auto"/>
        <w:ind w:left="426"/>
        <w:jc w:val="both"/>
        <w:rPr>
          <w:rFonts w:ascii="Arial" w:hAnsi="Arial" w:cs="Arial"/>
        </w:rPr>
      </w:pPr>
      <w:r w:rsidRPr="00C262EA">
        <w:rPr>
          <w:rFonts w:ascii="Arial" w:hAnsi="Arial" w:cs="Arial"/>
        </w:rPr>
        <w:t>Esta es una línea de transmisión, de simple terna, que enlazará la Subestación Quencoro existente con la Subestación Quencoro Nueva y sus características principales son las que se indican a continuación:</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Longitud aproximada:</w:t>
      </w:r>
      <w:r w:rsidRPr="00C262EA">
        <w:rPr>
          <w:rFonts w:ascii="Arial" w:hAnsi="Arial" w:cs="Arial"/>
        </w:rPr>
        <w:tab/>
      </w:r>
      <w:r w:rsidRPr="00C262EA">
        <w:rPr>
          <w:rFonts w:ascii="Arial" w:hAnsi="Arial" w:cs="Arial"/>
        </w:rPr>
        <w:tab/>
        <w:t>1,9 km</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ternas:</w:t>
      </w:r>
      <w:r w:rsidRPr="00C262EA">
        <w:rPr>
          <w:rFonts w:ascii="Arial" w:hAnsi="Arial" w:cs="Arial"/>
        </w:rPr>
        <w:tab/>
      </w:r>
      <w:r w:rsidRPr="00C262EA">
        <w:rPr>
          <w:rFonts w:ascii="Arial" w:hAnsi="Arial" w:cs="Arial"/>
        </w:rPr>
        <w:tab/>
        <w:t>Una (1)</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Configuración de conductores:</w:t>
      </w:r>
      <w:r w:rsidRPr="00C262EA">
        <w:rPr>
          <w:rFonts w:ascii="Arial" w:hAnsi="Arial" w:cs="Arial"/>
        </w:rPr>
        <w:tab/>
        <w:t>Tipo triangular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Tipo de conductor:</w:t>
      </w:r>
      <w:r w:rsidRPr="00C262EA">
        <w:rPr>
          <w:rFonts w:ascii="Arial" w:hAnsi="Arial" w:cs="Arial"/>
        </w:rPr>
        <w:tab/>
      </w:r>
      <w:r w:rsidRPr="00C262EA">
        <w:rPr>
          <w:rFonts w:ascii="Arial" w:hAnsi="Arial" w:cs="Arial"/>
        </w:rPr>
        <w:tab/>
        <w:t>Se podrá utilizar ACSR, AAAC  o ACAR</w:t>
      </w:r>
    </w:p>
    <w:p w:rsidR="00C262EA" w:rsidRPr="00C262EA" w:rsidRDefault="00C262EA" w:rsidP="004F6B32">
      <w:pPr>
        <w:numPr>
          <w:ilvl w:val="2"/>
          <w:numId w:val="62"/>
        </w:numPr>
        <w:tabs>
          <w:tab w:val="clear" w:pos="567"/>
          <w:tab w:val="clear" w:pos="1134"/>
          <w:tab w:val="clear" w:pos="1701"/>
          <w:tab w:val="clear" w:pos="2268"/>
          <w:tab w:val="clear" w:pos="2340"/>
          <w:tab w:val="clear" w:pos="2835"/>
          <w:tab w:val="left" w:pos="1276"/>
        </w:tabs>
        <w:spacing w:before="120" w:line="264" w:lineRule="auto"/>
        <w:ind w:left="1276" w:hanging="318"/>
        <w:jc w:val="both"/>
        <w:rPr>
          <w:rFonts w:ascii="Arial" w:hAnsi="Arial" w:cs="Arial"/>
        </w:rPr>
      </w:pPr>
      <w:r w:rsidRPr="00C262EA">
        <w:rPr>
          <w:rFonts w:ascii="Arial" w:hAnsi="Arial" w:cs="Arial"/>
        </w:rPr>
        <w:t>Número de conductores por fase:</w:t>
      </w:r>
      <w:r w:rsidRPr="00C262EA">
        <w:rPr>
          <w:rFonts w:ascii="Arial" w:hAnsi="Arial" w:cs="Arial"/>
        </w:rPr>
        <w:tab/>
        <w:t>Dos (2)</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60"/>
        <w:jc w:val="both"/>
        <w:rPr>
          <w:rFonts w:ascii="Arial" w:hAnsi="Arial" w:cs="Arial"/>
        </w:rPr>
      </w:pPr>
      <w:r w:rsidRPr="00C262EA">
        <w:rPr>
          <w:rFonts w:ascii="Arial" w:hAnsi="Arial" w:cs="Arial"/>
        </w:rPr>
        <w:t>Cables de guarda:</w:t>
      </w:r>
      <w:r w:rsidRPr="00C262EA">
        <w:rPr>
          <w:rFonts w:ascii="Arial" w:hAnsi="Arial" w:cs="Arial"/>
        </w:rPr>
        <w:tab/>
        <w:t>Uno del tipo OPGW  de 24 fibras.</w:t>
      </w:r>
    </w:p>
    <w:p w:rsidR="00C262EA" w:rsidRPr="00C262EA" w:rsidRDefault="00C262EA" w:rsidP="004F6B32">
      <w:pPr>
        <w:numPr>
          <w:ilvl w:val="2"/>
          <w:numId w:val="62"/>
        </w:numPr>
        <w:tabs>
          <w:tab w:val="clear" w:pos="567"/>
          <w:tab w:val="clear" w:pos="1134"/>
          <w:tab w:val="clear" w:pos="1701"/>
          <w:tab w:val="clear" w:pos="2268"/>
          <w:tab w:val="clear" w:pos="2835"/>
          <w:tab w:val="left" w:pos="1276"/>
        </w:tabs>
        <w:spacing w:before="120" w:line="264" w:lineRule="auto"/>
        <w:ind w:left="4253" w:hanging="3293"/>
        <w:jc w:val="both"/>
        <w:rPr>
          <w:rFonts w:ascii="Arial" w:hAnsi="Arial" w:cs="Arial"/>
        </w:rPr>
      </w:pPr>
      <w:r w:rsidRPr="00C262EA">
        <w:rPr>
          <w:rFonts w:ascii="Arial" w:hAnsi="Arial" w:cs="Arial"/>
        </w:rPr>
        <w:t>Subestaciones que enlaza</w:t>
      </w:r>
      <w:r w:rsidRPr="00C262EA">
        <w:rPr>
          <w:rFonts w:ascii="Arial" w:hAnsi="Arial" w:cs="Arial"/>
        </w:rPr>
        <w:tab/>
        <w:t xml:space="preserve">S.E. Quencoro y S.E. Quencoro Nueva </w:t>
      </w:r>
    </w:p>
    <w:p w:rsidR="00C262EA" w:rsidRPr="00C262EA" w:rsidRDefault="00C262EA" w:rsidP="002D3411">
      <w:pPr>
        <w:keepNext/>
        <w:tabs>
          <w:tab w:val="clear" w:pos="567"/>
          <w:tab w:val="clear" w:pos="2835"/>
          <w:tab w:val="left" w:pos="426"/>
        </w:tabs>
        <w:spacing w:before="240"/>
        <w:outlineLvl w:val="1"/>
        <w:rPr>
          <w:rFonts w:ascii="Arial" w:hAnsi="Arial" w:cs="Arial"/>
          <w:b/>
        </w:rPr>
      </w:pPr>
      <w:bookmarkStart w:id="40" w:name="_Toc272265345"/>
      <w:bookmarkStart w:id="41" w:name="_Toc306777409"/>
      <w:r w:rsidRPr="00C262EA">
        <w:rPr>
          <w:rFonts w:ascii="Arial" w:hAnsi="Arial" w:cs="Arial"/>
          <w:b/>
        </w:rPr>
        <w:t>2.5</w:t>
      </w:r>
      <w:r w:rsidRPr="00C262EA">
        <w:rPr>
          <w:rFonts w:ascii="Arial" w:hAnsi="Arial" w:cs="Arial"/>
          <w:b/>
        </w:rPr>
        <w:tab/>
        <w:t>REQUERIMIENTOS TÉCNICOS DE LAS LÍNEAS</w:t>
      </w:r>
      <w:bookmarkEnd w:id="40"/>
      <w:bookmarkEnd w:id="41"/>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t xml:space="preserve">La Sociedad Concesionaria será responsable de la selección de las rutas y recorridos de las líneas de transmisión. </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rPr>
        <w:t>En el anteproyecto de ingeniería se muestra el trazo preliminar seleccionado para las líneas de transmisión. Estos trazos serán evaluados por la Sociedad Concesionaria, quien definirá los trazos definitivos.</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rPr>
        <w:t>Se evitará, en lo posible, que las rutas de las líneas pasen por parques nacionales o zonas restringidas.</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t>La Sociedad Concesionaria será responsable de todo lo relacionado a la construcción de accesos, para lo cual deberá ceñirse a las normas vigentes que correspondan.</w:t>
      </w:r>
    </w:p>
    <w:p w:rsidR="00C262EA" w:rsidRPr="00C262EA" w:rsidRDefault="002D3411"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Pr>
          <w:rFonts w:ascii="Arial" w:hAnsi="Arial" w:cs="Arial"/>
        </w:rPr>
        <w:br w:type="page"/>
      </w:r>
      <w:r w:rsidR="00C262EA" w:rsidRPr="00C262EA">
        <w:rPr>
          <w:rFonts w:ascii="Arial" w:hAnsi="Arial" w:cs="Arial"/>
        </w:rPr>
        <w:lastRenderedPageBreak/>
        <w:t>Entre otras, la Sociedad Concesionaria será responsable de las siguientes actividades:</w:t>
      </w:r>
    </w:p>
    <w:p w:rsidR="00C262EA" w:rsidRPr="00C262EA" w:rsidRDefault="00C262EA" w:rsidP="004F6B32">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C262EA">
        <w:rPr>
          <w:rFonts w:ascii="Arial" w:hAnsi="Arial" w:cs="Arial"/>
        </w:rPr>
        <w:t>Gestión de los derechos de servidumbre y el pago de las compensaciones a los propietarios o posesionarios de los terrenos, para lo cual el Concedente podrá colaborar en las tareas de sensibilización de los propietarios, a fin de tener una gestión de servidumbre expeditiva.</w:t>
      </w:r>
    </w:p>
    <w:p w:rsidR="00C262EA" w:rsidRPr="00C262EA" w:rsidRDefault="00C262EA" w:rsidP="004F6B32">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C262EA">
        <w:rPr>
          <w:rFonts w:ascii="Arial" w:hAnsi="Arial" w:cs="Arial"/>
        </w:rPr>
        <w:t>Obtención de la Concesión Definitiva de Transmisión Eléctrica.</w:t>
      </w:r>
    </w:p>
    <w:p w:rsidR="00C262EA" w:rsidRPr="00C262EA" w:rsidRDefault="00C262EA" w:rsidP="004F6B32">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C262EA">
        <w:rPr>
          <w:rFonts w:ascii="Arial" w:hAnsi="Arial" w:cs="Arial"/>
        </w:rPr>
        <w:t>Coordinar con las empresas concesionarias que estén desarrollando algún proyecto o que cuenten con  instalaciones comprendidas en el recorrido de la línea, o donde sea necesario realizar trabajos para la conexión a las subestaciones que forman parte del alcance del presente proyecto.</w:t>
      </w:r>
    </w:p>
    <w:p w:rsidR="00C262EA" w:rsidRPr="00C262EA" w:rsidRDefault="00C262EA" w:rsidP="004F6B32">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C262EA">
        <w:rPr>
          <w:rFonts w:ascii="Arial" w:hAnsi="Arial" w:cs="Arial"/>
        </w:rPr>
        <w:t>Obtención del CIRA (certificación del Instituto Nacional de Cultura-INC sobre no afectación a restos arqueológicos).</w:t>
      </w:r>
    </w:p>
    <w:p w:rsidR="00C262EA" w:rsidRPr="00C262EA" w:rsidRDefault="00C262EA" w:rsidP="004F6B32">
      <w:pPr>
        <w:numPr>
          <w:ilvl w:val="0"/>
          <w:numId w:val="51"/>
        </w:numPr>
        <w:tabs>
          <w:tab w:val="clear" w:pos="567"/>
          <w:tab w:val="clear" w:pos="1134"/>
          <w:tab w:val="clear" w:pos="1701"/>
          <w:tab w:val="clear" w:pos="2268"/>
          <w:tab w:val="clear" w:pos="2835"/>
          <w:tab w:val="left" w:pos="993"/>
        </w:tabs>
        <w:spacing w:before="120" w:line="247" w:lineRule="auto"/>
        <w:ind w:left="993" w:hanging="284"/>
        <w:jc w:val="both"/>
        <w:rPr>
          <w:rFonts w:ascii="Arial" w:hAnsi="Arial" w:cs="Arial"/>
        </w:rPr>
      </w:pPr>
      <w:r w:rsidRPr="00C262EA">
        <w:rPr>
          <w:rFonts w:ascii="Arial" w:hAnsi="Arial" w:cs="Arial"/>
        </w:rPr>
        <w:t>Elaboración del Estudio de Impacto Ambiental y su plan de monitoreo, el mismo que será desarrollado dentro del marco legal vigente, además de contar con la aprobación de las entidades públicas correspondientes.</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t>El  Concedente tendrá a su cargo la obtención de la opinión técnica favorable del proyecto emitida por el Servicio Nacional de Áreas Naturales Protegidas por el Estado (SERNANP).</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t>Las fajas de servidumbre serán como mínimo de 25 m, para las líneas en 220 kV, y 20 m para las líneas en 138 kV. En áreas con presencia de árboles u objetos que por su altura y cercanía a la línea representen un peligro potencial para personas que circulan en la zona, o para la misma línea (en el caso que ocurrieran acercamientos peligrosos o ante una eventual caída de estos árboles sobre la línea), se deberá prever las medidas que correspondan para eliminar o minimizar estos riesgos como, por ejemplo, la remoción o el corte de tales árboles.</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t>Las líneas, según su nivel de tensión, deben cumplir los siguientes requisitos mínimos:</w:t>
      </w:r>
    </w:p>
    <w:tbl>
      <w:tblPr>
        <w:tblW w:w="0" w:type="auto"/>
        <w:tblInd w:w="817" w:type="dxa"/>
        <w:tblLook w:val="00A0" w:firstRow="1" w:lastRow="0" w:firstColumn="1" w:lastColumn="0" w:noHBand="0" w:noVBand="0"/>
      </w:tblPr>
      <w:tblGrid>
        <w:gridCol w:w="4961"/>
        <w:gridCol w:w="284"/>
        <w:gridCol w:w="1276"/>
        <w:gridCol w:w="1417"/>
      </w:tblGrid>
      <w:tr w:rsidR="00C262EA" w:rsidRPr="00C262EA" w:rsidTr="00454A68">
        <w:tc>
          <w:tcPr>
            <w:tcW w:w="4961" w:type="dxa"/>
          </w:tcPr>
          <w:p w:rsidR="00C262EA" w:rsidRPr="00C262EA" w:rsidRDefault="00C262EA" w:rsidP="00C262EA">
            <w:pPr>
              <w:tabs>
                <w:tab w:val="clear" w:pos="567"/>
                <w:tab w:val="clear" w:pos="1134"/>
                <w:tab w:val="clear" w:pos="1701"/>
                <w:tab w:val="clear" w:pos="2268"/>
                <w:tab w:val="clear" w:pos="2835"/>
              </w:tabs>
              <w:spacing w:before="120" w:line="247" w:lineRule="auto"/>
              <w:ind w:left="317"/>
              <w:jc w:val="both"/>
              <w:rPr>
                <w:rFonts w:ascii="Arial" w:hAnsi="Arial" w:cs="Arial"/>
              </w:rPr>
            </w:pPr>
          </w:p>
        </w:tc>
        <w:tc>
          <w:tcPr>
            <w:tcW w:w="284"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p>
        </w:tc>
        <w:tc>
          <w:tcPr>
            <w:tcW w:w="127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L.T. 220 kV</w:t>
            </w:r>
          </w:p>
        </w:tc>
        <w:tc>
          <w:tcPr>
            <w:tcW w:w="14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u w:val="single"/>
              </w:rPr>
            </w:pPr>
            <w:r w:rsidRPr="00C262EA">
              <w:rPr>
                <w:rFonts w:ascii="Arial" w:hAnsi="Arial" w:cs="Arial"/>
                <w:b/>
                <w:u w:val="single"/>
              </w:rPr>
              <w:t>L.T. 138 kV</w:t>
            </w:r>
          </w:p>
        </w:tc>
      </w:tr>
      <w:tr w:rsidR="00C262EA" w:rsidRPr="00C262EA" w:rsidTr="00454A68">
        <w:tc>
          <w:tcPr>
            <w:tcW w:w="4961" w:type="dxa"/>
          </w:tcPr>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317" w:hanging="283"/>
              <w:jc w:val="both"/>
              <w:rPr>
                <w:rFonts w:ascii="Arial" w:hAnsi="Arial" w:cs="Arial"/>
              </w:rPr>
            </w:pPr>
            <w:r w:rsidRPr="00C262EA">
              <w:rPr>
                <w:rFonts w:ascii="Arial" w:hAnsi="Arial" w:cs="Arial"/>
              </w:rPr>
              <w:t>Tensión de operación nominal</w:t>
            </w:r>
          </w:p>
        </w:tc>
        <w:tc>
          <w:tcPr>
            <w:tcW w:w="284"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w:t>
            </w:r>
          </w:p>
        </w:tc>
        <w:tc>
          <w:tcPr>
            <w:tcW w:w="127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220 kV</w:t>
            </w:r>
          </w:p>
        </w:tc>
        <w:tc>
          <w:tcPr>
            <w:tcW w:w="14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138 kV</w:t>
            </w:r>
          </w:p>
        </w:tc>
      </w:tr>
      <w:tr w:rsidR="00C262EA" w:rsidRPr="00C262EA" w:rsidTr="00454A68">
        <w:tc>
          <w:tcPr>
            <w:tcW w:w="4961" w:type="dxa"/>
          </w:tcPr>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317" w:hanging="283"/>
              <w:jc w:val="both"/>
              <w:rPr>
                <w:rFonts w:ascii="Arial" w:hAnsi="Arial" w:cs="Arial"/>
              </w:rPr>
            </w:pPr>
            <w:r w:rsidRPr="00C262EA">
              <w:rPr>
                <w:rFonts w:ascii="Arial" w:hAnsi="Arial" w:cs="Arial"/>
              </w:rPr>
              <w:t>Tensión máxima de operación</w:t>
            </w:r>
          </w:p>
        </w:tc>
        <w:tc>
          <w:tcPr>
            <w:tcW w:w="284"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w:t>
            </w:r>
          </w:p>
        </w:tc>
        <w:tc>
          <w:tcPr>
            <w:tcW w:w="127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245 kV</w:t>
            </w:r>
          </w:p>
        </w:tc>
        <w:tc>
          <w:tcPr>
            <w:tcW w:w="14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145 kV</w:t>
            </w:r>
          </w:p>
        </w:tc>
      </w:tr>
      <w:tr w:rsidR="00C262EA" w:rsidRPr="00C262EA" w:rsidTr="00454A68">
        <w:tc>
          <w:tcPr>
            <w:tcW w:w="4961" w:type="dxa"/>
          </w:tcPr>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317" w:hanging="283"/>
              <w:jc w:val="both"/>
              <w:rPr>
                <w:rFonts w:ascii="Arial" w:hAnsi="Arial" w:cs="Arial"/>
              </w:rPr>
            </w:pPr>
            <w:r w:rsidRPr="00C262EA">
              <w:rPr>
                <w:rFonts w:ascii="Arial" w:hAnsi="Arial" w:cs="Arial"/>
              </w:rPr>
              <w:t>Tensión de sostenimiento al impulso atmosférico</w:t>
            </w:r>
          </w:p>
        </w:tc>
        <w:tc>
          <w:tcPr>
            <w:tcW w:w="284"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w:t>
            </w:r>
          </w:p>
        </w:tc>
        <w:tc>
          <w:tcPr>
            <w:tcW w:w="127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1050 kV</w:t>
            </w:r>
            <w:r w:rsidRPr="00C262EA">
              <w:rPr>
                <w:rFonts w:ascii="Arial" w:hAnsi="Arial" w:cs="Arial"/>
                <w:vertAlign w:val="subscript"/>
              </w:rPr>
              <w:t>pico</w:t>
            </w:r>
          </w:p>
        </w:tc>
        <w:tc>
          <w:tcPr>
            <w:tcW w:w="14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650 kV</w:t>
            </w:r>
            <w:r w:rsidRPr="00C262EA">
              <w:rPr>
                <w:rFonts w:ascii="Arial" w:hAnsi="Arial" w:cs="Arial"/>
                <w:vertAlign w:val="subscript"/>
              </w:rPr>
              <w:t>pico</w:t>
            </w:r>
          </w:p>
        </w:tc>
      </w:tr>
      <w:tr w:rsidR="00C262EA" w:rsidRPr="00C262EA" w:rsidTr="00454A68">
        <w:tc>
          <w:tcPr>
            <w:tcW w:w="4961" w:type="dxa"/>
          </w:tcPr>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317" w:hanging="283"/>
              <w:jc w:val="both"/>
              <w:rPr>
                <w:rFonts w:ascii="Arial" w:hAnsi="Arial" w:cs="Arial"/>
              </w:rPr>
            </w:pPr>
            <w:r w:rsidRPr="00C262EA">
              <w:rPr>
                <w:rFonts w:ascii="Arial" w:hAnsi="Arial" w:cs="Arial"/>
              </w:rPr>
              <w:t>Tensión de sostenimiento a 60 Hz</w:t>
            </w:r>
          </w:p>
        </w:tc>
        <w:tc>
          <w:tcPr>
            <w:tcW w:w="284"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w:t>
            </w:r>
          </w:p>
        </w:tc>
        <w:tc>
          <w:tcPr>
            <w:tcW w:w="1276"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460 kV</w:t>
            </w:r>
          </w:p>
        </w:tc>
        <w:tc>
          <w:tcPr>
            <w:tcW w:w="1417" w:type="dxa"/>
          </w:tcPr>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230 kV</w:t>
            </w:r>
          </w:p>
        </w:tc>
      </w:tr>
    </w:tbl>
    <w:p w:rsidR="00C262EA" w:rsidRPr="00C262EA" w:rsidRDefault="00C262EA" w:rsidP="002D3411">
      <w:pPr>
        <w:tabs>
          <w:tab w:val="clear" w:pos="1134"/>
        </w:tabs>
        <w:spacing w:before="240" w:line="247" w:lineRule="auto"/>
        <w:ind w:left="709"/>
        <w:jc w:val="both"/>
        <w:rPr>
          <w:rFonts w:ascii="Arial" w:hAnsi="Arial" w:cs="Arial"/>
        </w:rPr>
      </w:pPr>
      <w:r w:rsidRPr="00C262EA">
        <w:rPr>
          <w:rFonts w:ascii="Arial" w:hAnsi="Arial" w:cs="Arial"/>
        </w:rPr>
        <w:t>Los valores anteriores serán corregidos de acuerdo con la altitud de las instalaciones. Las distancias de seguridad en los soportes y el aislamiento también deberán corregirse por altitud.</w:t>
      </w:r>
    </w:p>
    <w:p w:rsidR="00C262EA" w:rsidRPr="00C262EA" w:rsidRDefault="00C262EA" w:rsidP="002D3411">
      <w:pPr>
        <w:tabs>
          <w:tab w:val="clear" w:pos="1134"/>
        </w:tabs>
        <w:spacing w:before="120" w:line="247" w:lineRule="auto"/>
        <w:ind w:left="709"/>
        <w:jc w:val="both"/>
        <w:rPr>
          <w:rFonts w:ascii="Arial" w:hAnsi="Arial" w:cs="Arial"/>
        </w:rPr>
      </w:pPr>
      <w:r w:rsidRPr="00C262EA">
        <w:rPr>
          <w:rFonts w:ascii="Arial" w:hAnsi="Arial" w:cs="Arial"/>
        </w:rPr>
        <w:t xml:space="preserve">La longitud de línea de fuga del aislamiento deberá ser verificada de acuerdo con el nivel de contaminación de las zonas por las que atraviesen las líneas, el máximo nivel de tensión de  las mismas y las altitudes de las áreas que atraviesa. </w:t>
      </w:r>
    </w:p>
    <w:p w:rsidR="00C262EA" w:rsidRPr="00C262EA" w:rsidRDefault="00C262EA" w:rsidP="00C262EA">
      <w:pPr>
        <w:tabs>
          <w:tab w:val="clear" w:pos="1134"/>
        </w:tabs>
        <w:spacing w:before="120" w:line="247" w:lineRule="auto"/>
        <w:ind w:left="709"/>
        <w:jc w:val="both"/>
        <w:rPr>
          <w:rFonts w:ascii="Arial" w:hAnsi="Arial" w:cs="Arial"/>
        </w:rPr>
      </w:pPr>
      <w:r w:rsidRPr="00C262EA">
        <w:rPr>
          <w:rFonts w:ascii="Arial" w:hAnsi="Arial" w:cs="Arial"/>
        </w:rPr>
        <w:t>La resistencia de las puestas a tierra individuales en las estructuras de la línea no deberán superar los 25 Ohms. Este valor debe ser verificado para condiciones normales del terreno y en ningún caso luego de una lluvia o cuando el terreno se encuentre húmedo. Asimismo, el cumplimiento de este valor no exime de la verificación de las máximas tensiones de toque y paso permitidas en caso de fallas, así como de las medidas que resulten necesarias para mantener estos valores dentro de los rangos permitidos.</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47" w:lineRule="auto"/>
        <w:ind w:left="709" w:hanging="283"/>
        <w:jc w:val="both"/>
        <w:rPr>
          <w:rFonts w:ascii="Arial" w:hAnsi="Arial" w:cs="Arial"/>
        </w:rPr>
      </w:pPr>
      <w:r w:rsidRPr="00C262EA">
        <w:rPr>
          <w:rFonts w:ascii="Arial" w:hAnsi="Arial" w:cs="Arial"/>
        </w:rPr>
        <w:lastRenderedPageBreak/>
        <w:t>Se deberán cumplir con los siguientes valores eléctricos:</w:t>
      </w:r>
    </w:p>
    <w:p w:rsidR="00C262EA" w:rsidRPr="00C262EA" w:rsidRDefault="00C262EA" w:rsidP="00C262EA">
      <w:pPr>
        <w:tabs>
          <w:tab w:val="clear" w:pos="1134"/>
          <w:tab w:val="clear" w:pos="1701"/>
        </w:tabs>
        <w:spacing w:before="120" w:line="264" w:lineRule="auto"/>
        <w:ind w:left="1134" w:hanging="425"/>
        <w:jc w:val="both"/>
        <w:rPr>
          <w:rFonts w:ascii="Arial" w:hAnsi="Arial" w:cs="Arial"/>
        </w:rPr>
      </w:pPr>
      <w:r w:rsidRPr="00C262EA">
        <w:rPr>
          <w:rFonts w:ascii="Arial" w:hAnsi="Arial" w:cs="Arial"/>
        </w:rPr>
        <w:t>f.1)</w:t>
      </w:r>
      <w:r w:rsidRPr="00C262EA">
        <w:rPr>
          <w:rFonts w:ascii="Arial" w:hAnsi="Arial" w:cs="Arial"/>
        </w:rPr>
        <w:tab/>
        <w:t xml:space="preserve">El máximo gradiente superficial en los conductores no debe superar 17 kVrms/cm. El valor indicado corresponde a nivel del mar, por lo tanto deberá corregirse de acuerdo con la altitud de las instalaciones. </w:t>
      </w:r>
    </w:p>
    <w:p w:rsidR="00C262EA" w:rsidRPr="00C262EA" w:rsidRDefault="00C262EA" w:rsidP="00C262EA">
      <w:pPr>
        <w:tabs>
          <w:tab w:val="clear" w:pos="1134"/>
        </w:tabs>
        <w:spacing w:before="120" w:line="264" w:lineRule="auto"/>
        <w:ind w:left="1134" w:hanging="425"/>
        <w:jc w:val="both"/>
        <w:rPr>
          <w:rFonts w:ascii="Arial" w:hAnsi="Arial" w:cs="Arial"/>
        </w:rPr>
      </w:pPr>
      <w:r w:rsidRPr="00C262EA">
        <w:rPr>
          <w:rFonts w:ascii="Arial" w:hAnsi="Arial" w:cs="Arial"/>
        </w:rPr>
        <w:t xml:space="preserve">f.2) </w:t>
      </w:r>
      <w:r w:rsidRPr="00C262EA">
        <w:rPr>
          <w:rFonts w:ascii="Arial" w:hAnsi="Arial" w:cs="Arial"/>
        </w:rPr>
        <w:tab/>
        <w:t>Los límites de radiaciones no ionizantes al límite de la faja de servidumbre, para exposición poblacional según el Anexo C4.2 del CNE-Utilización 2006.</w:t>
      </w:r>
    </w:p>
    <w:p w:rsidR="00C262EA" w:rsidRPr="00C262EA" w:rsidRDefault="00C262EA" w:rsidP="00C262EA">
      <w:pPr>
        <w:tabs>
          <w:tab w:val="clear" w:pos="1134"/>
        </w:tabs>
        <w:spacing w:before="120" w:line="264" w:lineRule="auto"/>
        <w:ind w:left="1134" w:hanging="425"/>
        <w:jc w:val="both"/>
        <w:rPr>
          <w:rFonts w:ascii="Arial" w:hAnsi="Arial" w:cs="Arial"/>
        </w:rPr>
      </w:pPr>
      <w:r w:rsidRPr="00C262EA">
        <w:rPr>
          <w:rFonts w:ascii="Arial" w:hAnsi="Arial" w:cs="Arial"/>
        </w:rPr>
        <w:t>f.3)</w:t>
      </w:r>
      <w:r w:rsidRPr="00C262EA">
        <w:rPr>
          <w:rFonts w:ascii="Arial" w:hAnsi="Arial" w:cs="Arial"/>
        </w:rPr>
        <w:tab/>
        <w:t>El ruido audible al límite de la faja de servidumbre, para zonas residenciales según el Anexo C3.3 del CNE –Utilización 2006.</w:t>
      </w:r>
    </w:p>
    <w:p w:rsidR="00C262EA" w:rsidRPr="00C262EA" w:rsidRDefault="00C262EA" w:rsidP="00C262EA">
      <w:pPr>
        <w:tabs>
          <w:tab w:val="clear" w:pos="1134"/>
        </w:tabs>
        <w:spacing w:before="120" w:line="264" w:lineRule="auto"/>
        <w:ind w:left="1134" w:hanging="425"/>
        <w:jc w:val="both"/>
        <w:rPr>
          <w:rFonts w:ascii="Arial" w:hAnsi="Arial" w:cs="Arial"/>
        </w:rPr>
      </w:pPr>
      <w:r w:rsidRPr="00C262EA">
        <w:rPr>
          <w:rFonts w:ascii="Arial" w:hAnsi="Arial" w:cs="Arial"/>
        </w:rPr>
        <w:t>f.4)</w:t>
      </w:r>
      <w:r w:rsidRPr="00C262EA">
        <w:rPr>
          <w:rFonts w:ascii="Arial" w:hAnsi="Arial" w:cs="Arial"/>
        </w:rPr>
        <w:tab/>
        <w:t>Los límites de radio interferencia cumplirán con las siguientes normas internacionales:</w:t>
      </w:r>
    </w:p>
    <w:p w:rsidR="00C262EA" w:rsidRPr="00C262EA" w:rsidRDefault="00C262EA" w:rsidP="00C262EA">
      <w:pPr>
        <w:tabs>
          <w:tab w:val="clear" w:pos="1701"/>
        </w:tabs>
        <w:spacing w:before="120" w:line="264" w:lineRule="auto"/>
        <w:ind w:left="1560" w:hanging="349"/>
        <w:jc w:val="both"/>
        <w:rPr>
          <w:rFonts w:ascii="Arial" w:hAnsi="Arial" w:cs="Arial"/>
          <w:lang w:val="en-US"/>
        </w:rPr>
      </w:pPr>
      <w:r w:rsidRPr="00C262EA">
        <w:rPr>
          <w:rFonts w:ascii="Arial" w:hAnsi="Arial" w:cs="Arial"/>
          <w:lang w:val="en-US"/>
        </w:rPr>
        <w:t xml:space="preserve">- </w:t>
      </w:r>
      <w:r w:rsidRPr="00C262EA">
        <w:rPr>
          <w:rFonts w:ascii="Arial" w:hAnsi="Arial" w:cs="Arial"/>
          <w:lang w:val="en-US"/>
        </w:rPr>
        <w:tab/>
        <w:t xml:space="preserve">IEC CISPR 18-1 Radio interference characteristics of overhead power lines and high-voltage equipment Part 1: Description of phenomena. </w:t>
      </w:r>
    </w:p>
    <w:p w:rsidR="00C262EA" w:rsidRPr="00C262EA" w:rsidRDefault="00C262EA" w:rsidP="00C262EA">
      <w:pPr>
        <w:tabs>
          <w:tab w:val="clear" w:pos="1701"/>
        </w:tabs>
        <w:spacing w:before="120" w:line="264" w:lineRule="auto"/>
        <w:ind w:left="1560" w:hanging="349"/>
        <w:jc w:val="both"/>
        <w:rPr>
          <w:rFonts w:ascii="Arial" w:hAnsi="Arial" w:cs="Arial"/>
          <w:lang w:val="en-US"/>
        </w:rPr>
      </w:pPr>
      <w:r w:rsidRPr="00C262EA">
        <w:rPr>
          <w:rFonts w:ascii="Arial" w:hAnsi="Arial" w:cs="Arial"/>
          <w:lang w:val="en-US"/>
        </w:rPr>
        <w:t>-</w:t>
      </w:r>
      <w:r w:rsidRPr="00C262EA">
        <w:rPr>
          <w:rFonts w:ascii="Arial" w:hAnsi="Arial" w:cs="Arial"/>
          <w:lang w:val="en-US"/>
        </w:rPr>
        <w:tab/>
        <w:t xml:space="preserve">IEC CISPR 18-2 Radio interference characteristics of overhead power lines and high-voltage equipment. Part 2: Methods of measurement and procedure for determining limits. </w:t>
      </w:r>
    </w:p>
    <w:p w:rsidR="00C262EA" w:rsidRPr="00C262EA" w:rsidRDefault="00C262EA" w:rsidP="00C262EA">
      <w:pPr>
        <w:tabs>
          <w:tab w:val="clear" w:pos="1701"/>
        </w:tabs>
        <w:spacing w:before="120" w:line="264" w:lineRule="auto"/>
        <w:ind w:left="1560" w:hanging="349"/>
        <w:jc w:val="both"/>
        <w:rPr>
          <w:rFonts w:ascii="Arial" w:hAnsi="Arial" w:cs="Arial"/>
          <w:lang w:val="en-US"/>
        </w:rPr>
      </w:pPr>
      <w:r w:rsidRPr="00C262EA">
        <w:rPr>
          <w:rFonts w:ascii="Arial" w:hAnsi="Arial" w:cs="Arial"/>
          <w:lang w:val="en-US"/>
        </w:rPr>
        <w:t>-</w:t>
      </w:r>
      <w:r w:rsidRPr="00C262EA">
        <w:rPr>
          <w:rFonts w:ascii="Arial" w:hAnsi="Arial" w:cs="Arial"/>
          <w:lang w:val="en-US"/>
        </w:rPr>
        <w:tab/>
        <w:t xml:space="preserve">IEC CISPR 18-3 Radio Interference Characteristics of Overhead Power Lines and High-Voltage Equipment – Part 3: Code of Practice for Minimizing the Generation of Radio Noise. </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64" w:lineRule="auto"/>
        <w:ind w:left="709" w:hanging="283"/>
        <w:jc w:val="both"/>
        <w:rPr>
          <w:rFonts w:ascii="Arial" w:hAnsi="Arial" w:cs="Arial"/>
        </w:rPr>
      </w:pPr>
      <w:r w:rsidRPr="00C262EA">
        <w:rPr>
          <w:rFonts w:ascii="Arial" w:hAnsi="Arial" w:cs="Arial"/>
        </w:rPr>
        <w:t>Las distancias de seguridad, considerando un creep de 20 años, serán calculadas según la Regla 232 del CNE Suministro vigente a la fecha de cierre. Para la aplicación de la Regla 232 se emplearán los valores de componente eléctrica, indicados en la Tabla 232-4 del NESC. Las distancias de seguridad no serán menores a los valores indicados en la Tabla 2.1 que se incluyen al final del presente anexo. Junto con esta tabla también se incluye la Tabla 2.2 relativa a los niveles admisibles de campos eléctricos y magnéticos que deben cumplirse.</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64" w:lineRule="auto"/>
        <w:ind w:left="709" w:hanging="283"/>
        <w:jc w:val="both"/>
        <w:rPr>
          <w:rFonts w:ascii="Arial" w:hAnsi="Arial" w:cs="Arial"/>
        </w:rPr>
      </w:pPr>
      <w:r w:rsidRPr="00C262EA">
        <w:rPr>
          <w:rFonts w:ascii="Arial" w:hAnsi="Arial" w:cs="Arial"/>
        </w:rPr>
        <w:t>La Sociedad Concesionaria deberá prever el número de transposiciones necesarias en las líneas, de acuerdo con los requerimientos del COES.</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64" w:lineRule="auto"/>
        <w:ind w:left="709" w:hanging="283"/>
        <w:jc w:val="both"/>
        <w:rPr>
          <w:rFonts w:ascii="Arial" w:hAnsi="Arial" w:cs="Arial"/>
          <w:color w:val="002060"/>
        </w:rPr>
      </w:pPr>
      <w:r w:rsidRPr="00C262EA">
        <w:rPr>
          <w:rFonts w:ascii="Arial" w:hAnsi="Arial" w:cs="Arial"/>
        </w:rPr>
        <w:t>El diseño del aislamiento, del apantallamiento de los cables de guarda, de las puestas a tierra, y la selección de materiales a utilizar, deberán tomar en cuenta que las salidas de servicio que excedan las tolerancias permitidas serán penalizadas, según se indica en las Directivas y Procedimientos de OSINERGMIN, establecidas para el efecto y que no excluyen las compensaciones por mala calidad de suministro o mala calidad del servicio especificados en la NTCSE</w:t>
      </w:r>
      <w:r w:rsidRPr="00C262EA">
        <w:rPr>
          <w:rFonts w:ascii="Arial" w:hAnsi="Arial" w:cs="Arial"/>
          <w:color w:val="002060"/>
        </w:rPr>
        <w:t>.</w:t>
      </w:r>
    </w:p>
    <w:p w:rsidR="00C262EA" w:rsidRPr="00C262EA" w:rsidRDefault="00C262EA" w:rsidP="00C262EA">
      <w:pPr>
        <w:tabs>
          <w:tab w:val="clear" w:pos="567"/>
          <w:tab w:val="clear" w:pos="1134"/>
          <w:tab w:val="clear" w:pos="1701"/>
          <w:tab w:val="clear" w:pos="2268"/>
          <w:tab w:val="clear" w:pos="2835"/>
        </w:tabs>
        <w:spacing w:before="120" w:line="264" w:lineRule="auto"/>
        <w:ind w:left="709"/>
        <w:jc w:val="both"/>
        <w:rPr>
          <w:rFonts w:ascii="Arial" w:hAnsi="Arial" w:cs="Arial"/>
        </w:rPr>
      </w:pPr>
      <w:r w:rsidRPr="00C262EA">
        <w:rPr>
          <w:rFonts w:ascii="Arial" w:hAnsi="Arial" w:cs="Arial"/>
        </w:rPr>
        <w:t xml:space="preserve">En cuanto al comportamiento de las líneas frente a descargas atmosféricas se considera aceptable la siguiente tasa de Fallas de Origen Atmosférico de un circuito/100 km/año: por falla de blindaje de 0,01 por circuito; total igual o menor a 2.  </w:t>
      </w:r>
    </w:p>
    <w:p w:rsidR="00C262EA" w:rsidRPr="00C262EA" w:rsidRDefault="00C262EA" w:rsidP="00C262EA">
      <w:pPr>
        <w:tabs>
          <w:tab w:val="clear" w:pos="567"/>
          <w:tab w:val="clear" w:pos="1134"/>
          <w:tab w:val="clear" w:pos="1701"/>
          <w:tab w:val="clear" w:pos="2268"/>
          <w:tab w:val="clear" w:pos="2835"/>
        </w:tabs>
        <w:spacing w:before="120" w:line="264" w:lineRule="auto"/>
        <w:ind w:left="709"/>
        <w:jc w:val="both"/>
        <w:rPr>
          <w:rFonts w:ascii="Arial" w:hAnsi="Arial" w:cs="Arial"/>
          <w:sz w:val="16"/>
          <w:szCs w:val="16"/>
        </w:rPr>
      </w:pPr>
      <w:r w:rsidRPr="00C262EA">
        <w:rPr>
          <w:rFonts w:ascii="Arial" w:hAnsi="Arial" w:cs="Arial"/>
          <w:b/>
          <w:sz w:val="16"/>
          <w:szCs w:val="16"/>
        </w:rPr>
        <w:t>Nota:</w:t>
      </w:r>
      <w:r w:rsidRPr="00C262EA">
        <w:rPr>
          <w:rFonts w:ascii="Arial" w:hAnsi="Arial" w:cs="Arial"/>
          <w:sz w:val="16"/>
          <w:szCs w:val="16"/>
        </w:rPr>
        <w:t xml:space="preserve"> La tasa total de fallas está determinada tanto por fallas de blindaje (descargas sobre conductores) como por fallas debidas a contorneos inversos (descargas sobre estructuras o cables de guarda).</w:t>
      </w:r>
    </w:p>
    <w:p w:rsidR="00C262EA" w:rsidRPr="00C262EA" w:rsidRDefault="00C262EA" w:rsidP="00C262EA">
      <w:pPr>
        <w:spacing w:before="120" w:line="264" w:lineRule="auto"/>
        <w:ind w:left="709"/>
        <w:jc w:val="both"/>
        <w:rPr>
          <w:rFonts w:ascii="Arial" w:hAnsi="Arial" w:cs="Arial"/>
        </w:rPr>
      </w:pPr>
      <w:r w:rsidRPr="00C262EA">
        <w:rPr>
          <w:rFonts w:ascii="Arial" w:hAnsi="Arial" w:cs="Arial"/>
        </w:rPr>
        <w:t>Con el fin de cumplir con este objetivo, a manera de referencia, se recomienda lo siguiente:</w:t>
      </w:r>
    </w:p>
    <w:p w:rsidR="00C262EA" w:rsidRPr="00C262EA" w:rsidRDefault="00C262EA" w:rsidP="004F6B32">
      <w:pPr>
        <w:numPr>
          <w:ilvl w:val="0"/>
          <w:numId w:val="78"/>
        </w:numPr>
        <w:tabs>
          <w:tab w:val="clear" w:pos="1701"/>
          <w:tab w:val="clear" w:pos="2268"/>
          <w:tab w:val="clear" w:pos="2835"/>
        </w:tabs>
        <w:spacing w:before="120" w:line="264" w:lineRule="auto"/>
        <w:jc w:val="both"/>
        <w:rPr>
          <w:rFonts w:ascii="Arial" w:hAnsi="Arial" w:cs="Arial"/>
        </w:rPr>
      </w:pPr>
      <w:r w:rsidRPr="00C262EA">
        <w:rPr>
          <w:rFonts w:ascii="Arial" w:hAnsi="Arial" w:cs="Arial"/>
        </w:rPr>
        <w:t>Verificar que el ángulo de apantallamiento de los cables de guarda sea el apropiado para la altura de las estructuras de soporte de las líneas.</w:t>
      </w:r>
    </w:p>
    <w:p w:rsidR="00C262EA" w:rsidRPr="00C262EA" w:rsidRDefault="00C262EA" w:rsidP="004F6B32">
      <w:pPr>
        <w:numPr>
          <w:ilvl w:val="0"/>
          <w:numId w:val="78"/>
        </w:numPr>
        <w:tabs>
          <w:tab w:val="clear" w:pos="1701"/>
          <w:tab w:val="clear" w:pos="2268"/>
          <w:tab w:val="clear" w:pos="2835"/>
        </w:tabs>
        <w:spacing w:before="120" w:line="264" w:lineRule="auto"/>
        <w:jc w:val="both"/>
        <w:rPr>
          <w:rFonts w:ascii="Arial" w:hAnsi="Arial" w:cs="Arial"/>
        </w:rPr>
      </w:pPr>
      <w:r w:rsidRPr="00C262EA">
        <w:rPr>
          <w:rFonts w:ascii="Arial" w:hAnsi="Arial" w:cs="Arial"/>
        </w:rPr>
        <w:lastRenderedPageBreak/>
        <w:t>Verificar el ángulo de apantallamiento en vanos largos que crucen grandes quebradas o cañones.</w:t>
      </w:r>
    </w:p>
    <w:p w:rsidR="00C262EA" w:rsidRPr="00C262EA" w:rsidRDefault="00C262EA" w:rsidP="004F6B32">
      <w:pPr>
        <w:numPr>
          <w:ilvl w:val="0"/>
          <w:numId w:val="78"/>
        </w:numPr>
        <w:tabs>
          <w:tab w:val="clear" w:pos="1701"/>
          <w:tab w:val="clear" w:pos="2268"/>
          <w:tab w:val="clear" w:pos="2835"/>
        </w:tabs>
        <w:spacing w:before="120" w:line="264" w:lineRule="auto"/>
        <w:jc w:val="both"/>
        <w:rPr>
          <w:rFonts w:ascii="Arial" w:hAnsi="Arial" w:cs="Arial"/>
        </w:rPr>
      </w:pPr>
      <w:r w:rsidRPr="00C262EA">
        <w:rPr>
          <w:rFonts w:ascii="Arial" w:hAnsi="Arial" w:cs="Arial"/>
        </w:rPr>
        <w:t>Utilizar puestas a tierra capacitivas en las zonas rocosas o de alta resistividad.</w:t>
      </w:r>
    </w:p>
    <w:p w:rsidR="00C262EA" w:rsidRPr="00C262EA" w:rsidRDefault="00C262EA" w:rsidP="004F6B32">
      <w:pPr>
        <w:numPr>
          <w:ilvl w:val="0"/>
          <w:numId w:val="78"/>
        </w:numPr>
        <w:tabs>
          <w:tab w:val="clear" w:pos="1701"/>
          <w:tab w:val="clear" w:pos="2268"/>
          <w:tab w:val="clear" w:pos="2835"/>
        </w:tabs>
        <w:spacing w:before="120" w:line="264" w:lineRule="auto"/>
        <w:jc w:val="both"/>
        <w:rPr>
          <w:rFonts w:ascii="Arial" w:hAnsi="Arial" w:cs="Arial"/>
        </w:rPr>
      </w:pPr>
      <w:r w:rsidRPr="00C262EA">
        <w:rPr>
          <w:rFonts w:ascii="Arial" w:hAnsi="Arial" w:cs="Arial"/>
        </w:rPr>
        <w:t>Seleccionar una ruta de línea que tenga un nivel ceráunico bajo.</w:t>
      </w:r>
    </w:p>
    <w:p w:rsidR="00C262EA" w:rsidRPr="00C262EA" w:rsidRDefault="00C262EA" w:rsidP="004F6B32">
      <w:pPr>
        <w:numPr>
          <w:ilvl w:val="0"/>
          <w:numId w:val="78"/>
        </w:numPr>
        <w:tabs>
          <w:tab w:val="clear" w:pos="1701"/>
          <w:tab w:val="clear" w:pos="2268"/>
          <w:tab w:val="clear" w:pos="2835"/>
        </w:tabs>
        <w:spacing w:before="120" w:line="264" w:lineRule="auto"/>
        <w:jc w:val="both"/>
        <w:rPr>
          <w:rFonts w:ascii="Arial" w:hAnsi="Arial" w:cs="Arial"/>
        </w:rPr>
      </w:pPr>
      <w:r w:rsidRPr="00C262EA">
        <w:rPr>
          <w:rFonts w:ascii="Arial" w:hAnsi="Arial" w:cs="Arial"/>
        </w:rPr>
        <w:t>Utilizar materiales (aisladores, ferretería, cables OPGW, etc.) de comprobada calidad, para lo cual se deberá utilizar suministros con un mínimo de 15 años de experiencia de fabricación y uso a nivel mundial.</w:t>
      </w:r>
    </w:p>
    <w:p w:rsidR="00C262EA" w:rsidRPr="00C262EA" w:rsidRDefault="00C262EA" w:rsidP="004F6B32">
      <w:pPr>
        <w:numPr>
          <w:ilvl w:val="0"/>
          <w:numId w:val="63"/>
        </w:numPr>
        <w:tabs>
          <w:tab w:val="clear" w:pos="567"/>
          <w:tab w:val="clear" w:pos="1134"/>
          <w:tab w:val="clear" w:pos="1211"/>
          <w:tab w:val="clear" w:pos="1701"/>
          <w:tab w:val="clear" w:pos="2268"/>
          <w:tab w:val="clear" w:pos="2835"/>
        </w:tabs>
        <w:spacing w:before="120" w:line="264" w:lineRule="auto"/>
        <w:ind w:left="709" w:hanging="283"/>
        <w:jc w:val="both"/>
        <w:rPr>
          <w:rFonts w:ascii="Arial" w:hAnsi="Arial" w:cs="Arial"/>
        </w:rPr>
      </w:pPr>
      <w:r w:rsidRPr="00C262EA">
        <w:rPr>
          <w:rFonts w:ascii="Arial" w:hAnsi="Arial" w:cs="Arial"/>
        </w:rPr>
        <w:t xml:space="preserve">Se emplearán dos cables de guarda, uno del tipo convencional, cuyo material y sección serán determinados por la Sociedad Concesionaria, y el otro del tipo OPGW, de manera tal que este último permita de forma rápida, segura y selectiva la protección diferencial de línea, el envío de datos al COES en tiempo real, el telemando y las telecomunicaciones. Los dos cables de guarda deberán ser capaces de soportar el cortocircuito a tierra hasta el año 2035, valor que será sustentado por la Sociedad Concesionaria. </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64" w:lineRule="auto"/>
        <w:ind w:left="709" w:hanging="283"/>
        <w:jc w:val="both"/>
        <w:rPr>
          <w:rFonts w:ascii="Arial" w:hAnsi="Arial" w:cs="Arial"/>
        </w:rPr>
      </w:pPr>
      <w:r w:rsidRPr="00C262EA">
        <w:rPr>
          <w:rFonts w:ascii="Arial" w:hAnsi="Arial" w:cs="Arial"/>
        </w:rPr>
        <w:t xml:space="preserve">Para los servicios de mantenimiento de la línea se podrá utilizar un sistema de comunicación con celulares satelitales, en lugar de un sistema de radio UHF/VHF. </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64" w:lineRule="auto"/>
        <w:ind w:left="709" w:hanging="283"/>
        <w:jc w:val="both"/>
        <w:rPr>
          <w:rFonts w:ascii="Arial" w:hAnsi="Arial" w:cs="Arial"/>
        </w:rPr>
      </w:pPr>
      <w:r w:rsidRPr="00C262EA">
        <w:rPr>
          <w:rFonts w:ascii="Arial" w:hAnsi="Arial" w:cs="Arial"/>
        </w:rPr>
        <w:t>Se podrá utilizar cables tipo ACSR, AAAC o ACAR según la capacidad de transporte, las cargas, vanos y tiros adecuados que presenten la mejor opción de construcción y operación, siempre y cuando se garantice un tiempo de vida útil no menor a 30 años.</w:t>
      </w:r>
    </w:p>
    <w:p w:rsidR="00C262EA" w:rsidRPr="00C262EA" w:rsidRDefault="00C262EA" w:rsidP="00C262EA">
      <w:pPr>
        <w:tabs>
          <w:tab w:val="clear" w:pos="567"/>
          <w:tab w:val="clear" w:pos="1134"/>
          <w:tab w:val="clear" w:pos="1701"/>
          <w:tab w:val="clear" w:pos="2268"/>
          <w:tab w:val="clear" w:pos="2835"/>
        </w:tabs>
        <w:spacing w:before="120" w:line="264" w:lineRule="auto"/>
        <w:ind w:left="709"/>
        <w:jc w:val="both"/>
        <w:rPr>
          <w:rFonts w:ascii="Arial" w:hAnsi="Arial" w:cs="Arial"/>
        </w:rPr>
      </w:pPr>
      <w:r w:rsidRPr="00C262EA">
        <w:rPr>
          <w:rFonts w:ascii="Arial" w:hAnsi="Arial" w:cs="Arial"/>
        </w:rPr>
        <w:t xml:space="preserve">La Sociedad Concesionaria podrá emplear el conductor que considere apropiado, sin exceder el valor de gradiente crítico superficial, de acuerdo con la altitud sobre el nivel del mar, ni el porcentaje de pérdidas por efecto Joule establecidas. </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after="240" w:line="264" w:lineRule="auto"/>
        <w:ind w:left="709" w:hanging="283"/>
        <w:jc w:val="both"/>
        <w:rPr>
          <w:rFonts w:ascii="Arial" w:hAnsi="Arial" w:cs="Arial"/>
        </w:rPr>
      </w:pPr>
      <w:r w:rsidRPr="00C262EA">
        <w:rPr>
          <w:rFonts w:ascii="Arial" w:hAnsi="Arial" w:cs="Arial"/>
        </w:rPr>
        <w:t>Los límites máximos de pérdidas Joule, calculados para un valor de potencia de salida igual a la capacidad nominal de las líneas, con un factor de potencia igual a 1,00, y tensión en la barra de llegada igual a 1,00 p.u., serán los indicados en el siguiente cuadro:</w:t>
      </w:r>
    </w:p>
    <w:tbl>
      <w:tblPr>
        <w:tblW w:w="8363" w:type="dxa"/>
        <w:tblInd w:w="714" w:type="dxa"/>
        <w:tblLayout w:type="fixed"/>
        <w:tblCellMar>
          <w:left w:w="0" w:type="dxa"/>
          <w:right w:w="0" w:type="dxa"/>
        </w:tblCellMar>
        <w:tblLook w:val="0000" w:firstRow="0" w:lastRow="0" w:firstColumn="0" w:lastColumn="0" w:noHBand="0" w:noVBand="0"/>
      </w:tblPr>
      <w:tblGrid>
        <w:gridCol w:w="5103"/>
        <w:gridCol w:w="1134"/>
        <w:gridCol w:w="1134"/>
        <w:gridCol w:w="992"/>
      </w:tblGrid>
      <w:tr w:rsidR="00C262EA" w:rsidRPr="00C262EA" w:rsidTr="002D3411">
        <w:trPr>
          <w:trHeight w:val="255"/>
        </w:trPr>
        <w:tc>
          <w:tcPr>
            <w:tcW w:w="5103" w:type="dxa"/>
            <w:vMerge w:val="restart"/>
            <w:tcBorders>
              <w:top w:val="dotted" w:sz="4" w:space="0" w:color="auto"/>
              <w:left w:val="dotted" w:sz="4" w:space="0" w:color="auto"/>
              <w:right w:val="dotted" w:sz="4" w:space="0" w:color="auto"/>
            </w:tcBorders>
            <w:noWrap/>
            <w:vAlign w:val="center"/>
          </w:tcPr>
          <w:p w:rsidR="00C262EA" w:rsidRPr="00C262EA" w:rsidRDefault="00C262EA" w:rsidP="002D3411">
            <w:pPr>
              <w:spacing w:before="20" w:after="20" w:line="254" w:lineRule="auto"/>
              <w:jc w:val="center"/>
              <w:rPr>
                <w:rFonts w:ascii="Arial" w:hAnsi="Arial" w:cs="Arial"/>
                <w:b/>
                <w:sz w:val="18"/>
                <w:szCs w:val="18"/>
              </w:rPr>
            </w:pPr>
            <w:r w:rsidRPr="00C262EA">
              <w:rPr>
                <w:rFonts w:ascii="Arial" w:hAnsi="Arial" w:cs="Arial"/>
                <w:b/>
                <w:sz w:val="18"/>
                <w:szCs w:val="18"/>
              </w:rPr>
              <w:t>Línea</w:t>
            </w:r>
          </w:p>
        </w:tc>
        <w:tc>
          <w:tcPr>
            <w:tcW w:w="3260" w:type="dxa"/>
            <w:gridSpan w:val="3"/>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20" w:after="20" w:line="254" w:lineRule="auto"/>
              <w:ind w:left="72" w:hanging="9"/>
              <w:jc w:val="center"/>
              <w:rPr>
                <w:rFonts w:ascii="Arial" w:hAnsi="Arial" w:cs="Arial"/>
                <w:b/>
                <w:sz w:val="18"/>
                <w:szCs w:val="18"/>
                <w:lang w:val="pt-BR"/>
              </w:rPr>
            </w:pPr>
            <w:r w:rsidRPr="00C262EA">
              <w:rPr>
                <w:rFonts w:ascii="Arial" w:hAnsi="Arial" w:cs="Arial"/>
                <w:b/>
                <w:sz w:val="18"/>
                <w:szCs w:val="18"/>
                <w:lang w:val="pt-BR"/>
              </w:rPr>
              <w:t xml:space="preserve">% de Pérdidas a </w:t>
            </w:r>
            <w:r w:rsidRPr="00C262EA">
              <w:rPr>
                <w:rFonts w:ascii="Arial" w:hAnsi="Arial" w:cs="Arial"/>
                <w:b/>
                <w:sz w:val="18"/>
                <w:szCs w:val="18"/>
              </w:rPr>
              <w:t>Capacidad</w:t>
            </w:r>
            <w:r w:rsidRPr="00C262EA">
              <w:rPr>
                <w:rFonts w:ascii="Arial" w:hAnsi="Arial" w:cs="Arial"/>
                <w:b/>
                <w:sz w:val="18"/>
                <w:szCs w:val="18"/>
                <w:lang w:val="pt-BR"/>
              </w:rPr>
              <w:t xml:space="preserve"> Nominal /Circuito</w:t>
            </w:r>
          </w:p>
        </w:tc>
      </w:tr>
      <w:tr w:rsidR="00C262EA" w:rsidRPr="00C262EA" w:rsidTr="002D3411">
        <w:trPr>
          <w:trHeight w:val="510"/>
        </w:trPr>
        <w:tc>
          <w:tcPr>
            <w:tcW w:w="5103" w:type="dxa"/>
            <w:vMerge/>
            <w:tcBorders>
              <w:left w:val="dotted" w:sz="4" w:space="0" w:color="auto"/>
              <w:bottom w:val="dotted" w:sz="4" w:space="0" w:color="auto"/>
              <w:right w:val="dotted" w:sz="4" w:space="0" w:color="auto"/>
            </w:tcBorders>
            <w:noWrap/>
            <w:vAlign w:val="center"/>
          </w:tcPr>
          <w:p w:rsidR="00C262EA" w:rsidRPr="00C262EA" w:rsidRDefault="00C262EA" w:rsidP="00C262EA">
            <w:pPr>
              <w:spacing w:before="20" w:after="20" w:line="254" w:lineRule="auto"/>
              <w:ind w:left="992"/>
              <w:jc w:val="center"/>
              <w:rPr>
                <w:rFonts w:ascii="Arial" w:hAnsi="Arial" w:cs="Arial"/>
                <w:b/>
                <w:sz w:val="18"/>
                <w:szCs w:val="18"/>
              </w:rPr>
            </w:pP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20" w:after="20" w:line="254" w:lineRule="auto"/>
              <w:ind w:left="72" w:hanging="9"/>
              <w:jc w:val="center"/>
              <w:rPr>
                <w:rFonts w:ascii="Arial" w:hAnsi="Arial" w:cs="Arial"/>
                <w:b/>
                <w:sz w:val="18"/>
                <w:szCs w:val="18"/>
              </w:rPr>
            </w:pPr>
            <w:r w:rsidRPr="00C262EA">
              <w:rPr>
                <w:rFonts w:ascii="Arial" w:hAnsi="Arial" w:cs="Arial"/>
                <w:b/>
                <w:sz w:val="18"/>
                <w:szCs w:val="18"/>
              </w:rPr>
              <w:t>Longitud aproximada (km)</w:t>
            </w: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20" w:after="20" w:line="254" w:lineRule="auto"/>
              <w:ind w:left="72" w:hanging="9"/>
              <w:jc w:val="center"/>
              <w:rPr>
                <w:rFonts w:ascii="Arial" w:hAnsi="Arial" w:cs="Arial"/>
                <w:b/>
                <w:sz w:val="18"/>
                <w:szCs w:val="18"/>
              </w:rPr>
            </w:pPr>
            <w:r w:rsidRPr="00C262EA">
              <w:rPr>
                <w:rFonts w:ascii="Arial" w:hAnsi="Arial" w:cs="Arial"/>
                <w:b/>
                <w:sz w:val="18"/>
                <w:szCs w:val="18"/>
              </w:rPr>
              <w:t>Capacidad Nominal</w:t>
            </w:r>
          </w:p>
          <w:p w:rsidR="00C262EA" w:rsidRPr="00C262EA" w:rsidRDefault="00C262EA" w:rsidP="002D3411">
            <w:pPr>
              <w:spacing w:before="20" w:after="20" w:line="254" w:lineRule="auto"/>
              <w:ind w:left="72" w:hanging="9"/>
              <w:jc w:val="center"/>
              <w:rPr>
                <w:rFonts w:ascii="Arial" w:hAnsi="Arial" w:cs="Arial"/>
                <w:b/>
                <w:sz w:val="18"/>
                <w:szCs w:val="18"/>
              </w:rPr>
            </w:pPr>
            <w:r w:rsidRPr="00C262EA">
              <w:rPr>
                <w:rFonts w:ascii="Arial" w:hAnsi="Arial" w:cs="Arial"/>
                <w:b/>
                <w:sz w:val="18"/>
                <w:szCs w:val="18"/>
              </w:rPr>
              <w:t>(MVA)</w:t>
            </w:r>
          </w:p>
        </w:tc>
        <w:tc>
          <w:tcPr>
            <w:tcW w:w="992"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20" w:after="20" w:line="254" w:lineRule="auto"/>
              <w:ind w:left="72" w:hanging="9"/>
              <w:jc w:val="center"/>
              <w:rPr>
                <w:rFonts w:ascii="Arial" w:hAnsi="Arial" w:cs="Arial"/>
                <w:b/>
                <w:sz w:val="18"/>
                <w:szCs w:val="18"/>
              </w:rPr>
            </w:pPr>
            <w:r w:rsidRPr="00C262EA">
              <w:rPr>
                <w:rFonts w:ascii="Arial" w:hAnsi="Arial" w:cs="Arial"/>
                <w:b/>
                <w:sz w:val="18"/>
                <w:szCs w:val="18"/>
              </w:rPr>
              <w:t>Pérdidas Máximas</w:t>
            </w:r>
          </w:p>
          <w:p w:rsidR="00C262EA" w:rsidRPr="00C262EA" w:rsidRDefault="00C262EA" w:rsidP="002D3411">
            <w:pPr>
              <w:spacing w:before="20" w:after="20" w:line="254" w:lineRule="auto"/>
              <w:ind w:left="19" w:firstLine="53"/>
              <w:jc w:val="center"/>
              <w:rPr>
                <w:rFonts w:ascii="Arial" w:hAnsi="Arial" w:cs="Arial"/>
                <w:b/>
                <w:sz w:val="18"/>
                <w:szCs w:val="18"/>
              </w:rPr>
            </w:pPr>
            <w:r w:rsidRPr="00C262EA">
              <w:rPr>
                <w:rFonts w:ascii="Arial" w:hAnsi="Arial" w:cs="Arial"/>
                <w:b/>
                <w:sz w:val="18"/>
                <w:szCs w:val="18"/>
              </w:rPr>
              <w:t>(%)</w:t>
            </w:r>
          </w:p>
        </w:tc>
      </w:tr>
      <w:tr w:rsidR="00C262EA" w:rsidRPr="00C262EA" w:rsidTr="002D3411">
        <w:trPr>
          <w:trHeight w:val="255"/>
        </w:trPr>
        <w:tc>
          <w:tcPr>
            <w:tcW w:w="5103"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tabs>
                <w:tab w:val="clear" w:pos="567"/>
                <w:tab w:val="clear" w:pos="1134"/>
              </w:tabs>
              <w:spacing w:before="60" w:after="60" w:line="254" w:lineRule="auto"/>
              <w:ind w:left="142"/>
              <w:rPr>
                <w:rFonts w:ascii="Arial" w:hAnsi="Arial" w:cs="Arial"/>
                <w:sz w:val="18"/>
                <w:szCs w:val="18"/>
              </w:rPr>
            </w:pPr>
            <w:r w:rsidRPr="00C262EA">
              <w:rPr>
                <w:rFonts w:ascii="Arial" w:hAnsi="Arial" w:cs="Arial"/>
                <w:sz w:val="18"/>
                <w:szCs w:val="18"/>
              </w:rPr>
              <w:t>LT 220 kV Machupicchu – Quencoro</w:t>
            </w: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153</w:t>
            </w:r>
          </w:p>
        </w:tc>
        <w:tc>
          <w:tcPr>
            <w:tcW w:w="1134"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250</w:t>
            </w:r>
          </w:p>
        </w:tc>
        <w:tc>
          <w:tcPr>
            <w:tcW w:w="992"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jc w:val="center"/>
              <w:rPr>
                <w:rFonts w:ascii="Arial" w:hAnsi="Arial" w:cs="Arial"/>
                <w:sz w:val="18"/>
                <w:szCs w:val="18"/>
              </w:rPr>
            </w:pPr>
            <w:r w:rsidRPr="00C262EA">
              <w:rPr>
                <w:rFonts w:ascii="Arial" w:hAnsi="Arial" w:cs="Arial"/>
                <w:sz w:val="18"/>
                <w:szCs w:val="18"/>
              </w:rPr>
              <w:t>4,9%</w:t>
            </w:r>
          </w:p>
        </w:tc>
      </w:tr>
      <w:tr w:rsidR="00C262EA" w:rsidRPr="00C262EA" w:rsidTr="002D3411">
        <w:trPr>
          <w:trHeight w:val="255"/>
        </w:trPr>
        <w:tc>
          <w:tcPr>
            <w:tcW w:w="5103"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tabs>
                <w:tab w:val="clear" w:pos="567"/>
                <w:tab w:val="clear" w:pos="1134"/>
              </w:tabs>
              <w:spacing w:before="60" w:after="60" w:line="254" w:lineRule="auto"/>
              <w:ind w:left="142"/>
              <w:rPr>
                <w:rFonts w:ascii="Arial" w:hAnsi="Arial" w:cs="Arial"/>
                <w:sz w:val="18"/>
                <w:szCs w:val="18"/>
              </w:rPr>
            </w:pPr>
            <w:r w:rsidRPr="00C262EA">
              <w:rPr>
                <w:rFonts w:ascii="Arial" w:hAnsi="Arial" w:cs="Arial"/>
                <w:sz w:val="18"/>
                <w:szCs w:val="18"/>
              </w:rPr>
              <w:t xml:space="preserve">LT 220 kV Quencoro - Onocora   </w:t>
            </w: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116</w:t>
            </w:r>
          </w:p>
        </w:tc>
        <w:tc>
          <w:tcPr>
            <w:tcW w:w="1134"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250</w:t>
            </w:r>
          </w:p>
        </w:tc>
        <w:tc>
          <w:tcPr>
            <w:tcW w:w="992"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jc w:val="center"/>
              <w:rPr>
                <w:rFonts w:ascii="Arial" w:hAnsi="Arial" w:cs="Arial"/>
                <w:sz w:val="18"/>
                <w:szCs w:val="18"/>
              </w:rPr>
            </w:pPr>
            <w:r w:rsidRPr="00C262EA">
              <w:rPr>
                <w:rFonts w:ascii="Arial" w:hAnsi="Arial" w:cs="Arial"/>
                <w:sz w:val="18"/>
                <w:szCs w:val="18"/>
              </w:rPr>
              <w:t>3,7%</w:t>
            </w:r>
          </w:p>
        </w:tc>
      </w:tr>
      <w:tr w:rsidR="00C262EA" w:rsidRPr="00C262EA" w:rsidTr="002D3411">
        <w:trPr>
          <w:trHeight w:val="255"/>
        </w:trPr>
        <w:tc>
          <w:tcPr>
            <w:tcW w:w="5103"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tabs>
                <w:tab w:val="clear" w:pos="567"/>
                <w:tab w:val="clear" w:pos="1134"/>
              </w:tabs>
              <w:spacing w:before="60" w:after="60" w:line="254" w:lineRule="auto"/>
              <w:ind w:left="142"/>
              <w:rPr>
                <w:rFonts w:ascii="Arial" w:hAnsi="Arial" w:cs="Arial"/>
                <w:sz w:val="18"/>
                <w:szCs w:val="18"/>
              </w:rPr>
            </w:pPr>
            <w:r w:rsidRPr="00C262EA">
              <w:rPr>
                <w:rFonts w:ascii="Arial" w:hAnsi="Arial" w:cs="Arial"/>
                <w:sz w:val="18"/>
                <w:szCs w:val="18"/>
              </w:rPr>
              <w:t>L.T. 220 kV Onocora – Tintaya</w:t>
            </w: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84,9</w:t>
            </w:r>
          </w:p>
        </w:tc>
        <w:tc>
          <w:tcPr>
            <w:tcW w:w="1134"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250</w:t>
            </w:r>
          </w:p>
        </w:tc>
        <w:tc>
          <w:tcPr>
            <w:tcW w:w="992"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jc w:val="center"/>
              <w:rPr>
                <w:rFonts w:ascii="Arial" w:hAnsi="Arial" w:cs="Arial"/>
                <w:sz w:val="18"/>
                <w:szCs w:val="18"/>
              </w:rPr>
            </w:pPr>
            <w:r w:rsidRPr="00C262EA">
              <w:rPr>
                <w:rFonts w:ascii="Arial" w:hAnsi="Arial" w:cs="Arial"/>
                <w:sz w:val="18"/>
                <w:szCs w:val="18"/>
              </w:rPr>
              <w:t>2,7%</w:t>
            </w:r>
          </w:p>
        </w:tc>
      </w:tr>
      <w:tr w:rsidR="00C262EA" w:rsidRPr="00C262EA" w:rsidTr="002D3411">
        <w:trPr>
          <w:trHeight w:val="255"/>
        </w:trPr>
        <w:tc>
          <w:tcPr>
            <w:tcW w:w="5103"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tabs>
                <w:tab w:val="clear" w:pos="567"/>
                <w:tab w:val="clear" w:pos="1134"/>
              </w:tabs>
              <w:spacing w:before="60" w:after="60" w:line="254" w:lineRule="auto"/>
              <w:ind w:left="142"/>
              <w:rPr>
                <w:rFonts w:ascii="Arial" w:hAnsi="Arial" w:cs="Arial"/>
                <w:sz w:val="18"/>
                <w:szCs w:val="18"/>
              </w:rPr>
            </w:pPr>
            <w:r w:rsidRPr="00C262EA">
              <w:rPr>
                <w:rFonts w:ascii="Arial" w:hAnsi="Arial" w:cs="Arial"/>
                <w:sz w:val="18"/>
                <w:szCs w:val="18"/>
              </w:rPr>
              <w:t>Enlace en 138 kV S.E. Quencoro – S.E. Quencoro Nueva</w:t>
            </w:r>
          </w:p>
        </w:tc>
        <w:tc>
          <w:tcPr>
            <w:tcW w:w="1134" w:type="dxa"/>
            <w:tcBorders>
              <w:top w:val="dotted" w:sz="4" w:space="0" w:color="auto"/>
              <w:left w:val="dotted" w:sz="4" w:space="0" w:color="auto"/>
              <w:bottom w:val="dotted" w:sz="4" w:space="0" w:color="auto"/>
              <w:right w:val="dotted" w:sz="4" w:space="0" w:color="auto"/>
            </w:tcBorders>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1,9</w:t>
            </w:r>
          </w:p>
        </w:tc>
        <w:tc>
          <w:tcPr>
            <w:tcW w:w="1134"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ind w:left="72" w:hanging="9"/>
              <w:jc w:val="center"/>
              <w:rPr>
                <w:rFonts w:ascii="Arial" w:hAnsi="Arial" w:cs="Arial"/>
                <w:sz w:val="18"/>
                <w:szCs w:val="18"/>
              </w:rPr>
            </w:pPr>
            <w:r w:rsidRPr="00C262EA">
              <w:rPr>
                <w:rFonts w:ascii="Arial" w:hAnsi="Arial" w:cs="Arial"/>
                <w:sz w:val="18"/>
                <w:szCs w:val="18"/>
              </w:rPr>
              <w:t>150</w:t>
            </w:r>
          </w:p>
        </w:tc>
        <w:tc>
          <w:tcPr>
            <w:tcW w:w="992" w:type="dxa"/>
            <w:tcBorders>
              <w:top w:val="dotted" w:sz="4" w:space="0" w:color="auto"/>
              <w:left w:val="dotted" w:sz="4" w:space="0" w:color="auto"/>
              <w:bottom w:val="dotted" w:sz="4" w:space="0" w:color="auto"/>
              <w:right w:val="dotted" w:sz="4" w:space="0" w:color="auto"/>
            </w:tcBorders>
            <w:noWrap/>
            <w:vAlign w:val="center"/>
          </w:tcPr>
          <w:p w:rsidR="00C262EA" w:rsidRPr="00C262EA" w:rsidRDefault="00C262EA" w:rsidP="002D3411">
            <w:pPr>
              <w:spacing w:before="60" w:after="60" w:line="254" w:lineRule="auto"/>
              <w:jc w:val="center"/>
              <w:rPr>
                <w:rFonts w:ascii="Arial" w:hAnsi="Arial" w:cs="Arial"/>
                <w:sz w:val="18"/>
                <w:szCs w:val="18"/>
              </w:rPr>
            </w:pPr>
            <w:r w:rsidRPr="00C262EA">
              <w:rPr>
                <w:rFonts w:ascii="Arial" w:hAnsi="Arial" w:cs="Arial"/>
                <w:sz w:val="18"/>
                <w:szCs w:val="18"/>
              </w:rPr>
              <w:t>0,15%</w:t>
            </w:r>
          </w:p>
        </w:tc>
      </w:tr>
    </w:tbl>
    <w:p w:rsidR="00C262EA" w:rsidRPr="00C262EA" w:rsidRDefault="00C262EA" w:rsidP="00C262EA">
      <w:pPr>
        <w:spacing w:before="240" w:line="254" w:lineRule="auto"/>
        <w:ind w:left="709"/>
        <w:jc w:val="both"/>
        <w:rPr>
          <w:rFonts w:ascii="Arial" w:hAnsi="Arial" w:cs="Arial"/>
        </w:rPr>
      </w:pPr>
      <w:r w:rsidRPr="00C262EA">
        <w:rPr>
          <w:rFonts w:ascii="Arial" w:hAnsi="Arial" w:cs="Arial"/>
        </w:rPr>
        <w:t>El cumplimiento de estos niveles de pérdidas será verificado por el Concedente, mediante los cálculos de diseño del conductor, previo a la adquisición de los suministros por la Sociedad Concesionaria. No se autorizará la instalación del conductor en caso de incumplimiento de los valores de pérdidas límites.</w:t>
      </w:r>
    </w:p>
    <w:p w:rsidR="00C262EA" w:rsidRPr="00C262EA" w:rsidRDefault="00C262EA" w:rsidP="00C262EA">
      <w:pPr>
        <w:spacing w:before="120" w:line="254" w:lineRule="auto"/>
        <w:ind w:left="709"/>
        <w:jc w:val="both"/>
        <w:rPr>
          <w:rFonts w:ascii="Arial" w:hAnsi="Arial" w:cs="Arial"/>
        </w:rPr>
      </w:pPr>
      <w:r w:rsidRPr="00C262EA">
        <w:rPr>
          <w:rFonts w:ascii="Arial" w:hAnsi="Arial" w:cs="Arial"/>
        </w:rPr>
        <w:t>La fórmula de cálculo para verificar el nivel de pérdidas Joule será la siguiente:</w:t>
      </w:r>
    </w:p>
    <w:p w:rsidR="00C262EA" w:rsidRPr="00C262EA" w:rsidRDefault="00C262EA" w:rsidP="00C262EA">
      <w:pPr>
        <w:spacing w:before="120" w:line="254" w:lineRule="auto"/>
        <w:ind w:left="709"/>
        <w:jc w:val="center"/>
        <w:rPr>
          <w:rFonts w:ascii="Arial" w:hAnsi="Arial" w:cs="Arial"/>
        </w:rPr>
      </w:pPr>
      <w:r>
        <w:rPr>
          <w:rFonts w:ascii="Eras Bold ITC" w:hAnsi="Eras Bold ITC" w:cs="Arial"/>
          <w:noProof/>
          <w:lang w:eastAsia="es-PE"/>
        </w:rPr>
        <w:lastRenderedPageBreak/>
        <w:drawing>
          <wp:inline distT="0" distB="0" distL="0" distR="0">
            <wp:extent cx="2914650" cy="933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6877" r="28291"/>
                    <a:stretch>
                      <a:fillRect/>
                    </a:stretch>
                  </pic:blipFill>
                  <pic:spPr bwMode="auto">
                    <a:xfrm>
                      <a:off x="0" y="0"/>
                      <a:ext cx="2914650" cy="933450"/>
                    </a:xfrm>
                    <a:prstGeom prst="rect">
                      <a:avLst/>
                    </a:prstGeom>
                    <a:noFill/>
                    <a:ln>
                      <a:noFill/>
                    </a:ln>
                  </pic:spPr>
                </pic:pic>
              </a:graphicData>
            </a:graphic>
          </wp:inline>
        </w:drawing>
      </w:r>
    </w:p>
    <w:p w:rsidR="00C262EA" w:rsidRPr="00C262EA" w:rsidRDefault="00C262EA" w:rsidP="00C262EA">
      <w:pPr>
        <w:ind w:left="1134"/>
        <w:rPr>
          <w:rFonts w:ascii="Arial" w:hAnsi="Arial" w:cs="Arial"/>
          <w:u w:val="single"/>
        </w:rPr>
      </w:pPr>
      <w:bookmarkStart w:id="42" w:name="_Toc272265346"/>
      <w:r w:rsidRPr="00C262EA">
        <w:rPr>
          <w:rFonts w:ascii="Arial" w:hAnsi="Arial" w:cs="Arial"/>
          <w:u w:val="single"/>
        </w:rPr>
        <w:t>Donde:</w:t>
      </w:r>
      <w:bookmarkEnd w:id="42"/>
    </w:p>
    <w:p w:rsidR="00C262EA" w:rsidRPr="00C262EA" w:rsidRDefault="00C262EA" w:rsidP="00C262EA">
      <w:pPr>
        <w:tabs>
          <w:tab w:val="left" w:pos="2552"/>
        </w:tabs>
        <w:spacing w:before="120" w:line="254" w:lineRule="auto"/>
        <w:ind w:left="2835" w:hanging="915"/>
        <w:jc w:val="both"/>
        <w:rPr>
          <w:rFonts w:ascii="Arial" w:hAnsi="Arial" w:cs="Arial"/>
        </w:rPr>
      </w:pPr>
      <w:r w:rsidRPr="00C262EA">
        <w:rPr>
          <w:rFonts w:ascii="Arial" w:hAnsi="Arial" w:cs="Arial"/>
        </w:rPr>
        <w:t>P</w:t>
      </w:r>
      <w:r w:rsidRPr="00C262EA">
        <w:rPr>
          <w:rFonts w:ascii="Arial" w:hAnsi="Arial" w:cs="Arial"/>
          <w:vertAlign w:val="subscript"/>
        </w:rPr>
        <w:t>nom</w:t>
      </w:r>
      <w:r w:rsidRPr="00C262EA">
        <w:rPr>
          <w:rFonts w:ascii="Arial" w:hAnsi="Arial" w:cs="Arial"/>
        </w:rPr>
        <w:t xml:space="preserve"> </w:t>
      </w:r>
      <w:r w:rsidRPr="00C262EA">
        <w:rPr>
          <w:rFonts w:ascii="Arial" w:hAnsi="Arial" w:cs="Arial"/>
        </w:rPr>
        <w:tab/>
        <w:t>=</w:t>
      </w:r>
      <w:r w:rsidRPr="00C262EA">
        <w:rPr>
          <w:rFonts w:ascii="Arial" w:hAnsi="Arial" w:cs="Arial"/>
        </w:rPr>
        <w:tab/>
        <w:t>Capacidad nominal de la línea en MVA</w:t>
      </w:r>
    </w:p>
    <w:p w:rsidR="00C262EA" w:rsidRPr="00C262EA" w:rsidRDefault="00C262EA" w:rsidP="00C262EA">
      <w:pPr>
        <w:tabs>
          <w:tab w:val="clear" w:pos="2268"/>
          <w:tab w:val="left" w:pos="2552"/>
        </w:tabs>
        <w:spacing w:before="120" w:line="254" w:lineRule="auto"/>
        <w:ind w:left="1920"/>
        <w:jc w:val="both"/>
        <w:rPr>
          <w:rFonts w:ascii="Arial" w:hAnsi="Arial" w:cs="Arial"/>
        </w:rPr>
      </w:pPr>
      <w:r w:rsidRPr="00C262EA">
        <w:rPr>
          <w:rFonts w:ascii="Arial" w:hAnsi="Arial" w:cs="Arial"/>
        </w:rPr>
        <w:t>V</w:t>
      </w:r>
      <w:r w:rsidRPr="00C262EA">
        <w:rPr>
          <w:rFonts w:ascii="Arial" w:hAnsi="Arial" w:cs="Arial"/>
          <w:vertAlign w:val="subscript"/>
        </w:rPr>
        <w:t>nom</w:t>
      </w:r>
      <w:r w:rsidRPr="00C262EA">
        <w:rPr>
          <w:rFonts w:ascii="Arial" w:hAnsi="Arial" w:cs="Arial"/>
        </w:rPr>
        <w:t xml:space="preserve"> </w:t>
      </w:r>
      <w:r w:rsidRPr="00C262EA">
        <w:rPr>
          <w:rFonts w:ascii="Arial" w:hAnsi="Arial" w:cs="Arial"/>
        </w:rPr>
        <w:tab/>
        <w:t>=</w:t>
      </w:r>
      <w:r w:rsidRPr="00C262EA">
        <w:rPr>
          <w:rFonts w:ascii="Arial" w:hAnsi="Arial" w:cs="Arial"/>
        </w:rPr>
        <w:tab/>
        <w:t>Tensión nominal de la línea en kV</w:t>
      </w:r>
    </w:p>
    <w:p w:rsidR="00C262EA" w:rsidRPr="00C262EA" w:rsidRDefault="00C262EA" w:rsidP="00C262EA">
      <w:pPr>
        <w:tabs>
          <w:tab w:val="clear" w:pos="2268"/>
          <w:tab w:val="left" w:pos="2552"/>
        </w:tabs>
        <w:spacing w:before="120" w:line="254" w:lineRule="auto"/>
        <w:ind w:left="2835" w:hanging="915"/>
        <w:jc w:val="both"/>
        <w:rPr>
          <w:rFonts w:ascii="Arial" w:hAnsi="Arial" w:cs="Arial"/>
        </w:rPr>
      </w:pPr>
      <w:r w:rsidRPr="00C262EA">
        <w:rPr>
          <w:rFonts w:ascii="Arial" w:hAnsi="Arial" w:cs="Arial"/>
        </w:rPr>
        <w:t>R</w:t>
      </w:r>
      <w:r w:rsidRPr="00C262EA">
        <w:rPr>
          <w:rFonts w:ascii="Arial" w:hAnsi="Arial" w:cs="Arial"/>
          <w:vertAlign w:val="subscript"/>
        </w:rPr>
        <w:t>75ºC</w:t>
      </w:r>
      <w:r w:rsidRPr="00C262EA">
        <w:rPr>
          <w:rFonts w:ascii="Arial" w:hAnsi="Arial" w:cs="Arial"/>
        </w:rPr>
        <w:t xml:space="preserve"> </w:t>
      </w:r>
      <w:r w:rsidRPr="00C262EA">
        <w:rPr>
          <w:rFonts w:ascii="Arial" w:hAnsi="Arial" w:cs="Arial"/>
        </w:rPr>
        <w:tab/>
        <w:t>=</w:t>
      </w:r>
      <w:r w:rsidRPr="00C262EA">
        <w:rPr>
          <w:rFonts w:ascii="Arial" w:hAnsi="Arial" w:cs="Arial"/>
        </w:rPr>
        <w:tab/>
        <w:t>Resistencia total de la línea por fase, a la temperatura de 75 ºC y frecuencia de 60 Hz.</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54" w:lineRule="auto"/>
        <w:ind w:left="709" w:hanging="283"/>
        <w:jc w:val="both"/>
        <w:rPr>
          <w:rFonts w:ascii="Arial" w:hAnsi="Arial" w:cs="Arial"/>
        </w:rPr>
      </w:pPr>
      <w:r w:rsidRPr="00C262EA">
        <w:rPr>
          <w:rFonts w:ascii="Arial" w:hAnsi="Arial" w:cs="Arial"/>
        </w:rPr>
        <w:t>Indisponibilidad por mantenimiento programado: El número de horas por año fuera de servicio por mantenimiento programado de cada línea de transmisión, no deberá exceder de dos jornadas de ocho horas cada una.</w:t>
      </w:r>
    </w:p>
    <w:p w:rsidR="00C262EA" w:rsidRPr="00C262EA" w:rsidRDefault="00C262EA" w:rsidP="004F6B32">
      <w:pPr>
        <w:numPr>
          <w:ilvl w:val="0"/>
          <w:numId w:val="63"/>
        </w:numPr>
        <w:tabs>
          <w:tab w:val="clear" w:pos="567"/>
          <w:tab w:val="clear" w:pos="1134"/>
          <w:tab w:val="clear" w:pos="1701"/>
          <w:tab w:val="clear" w:pos="2268"/>
          <w:tab w:val="clear" w:pos="2835"/>
          <w:tab w:val="num" w:pos="709"/>
        </w:tabs>
        <w:spacing w:before="120" w:line="254" w:lineRule="auto"/>
        <w:ind w:left="709" w:hanging="283"/>
        <w:jc w:val="both"/>
        <w:rPr>
          <w:rFonts w:ascii="Arial" w:hAnsi="Arial" w:cs="Arial"/>
        </w:rPr>
      </w:pPr>
      <w:r w:rsidRPr="00C262EA">
        <w:rPr>
          <w:rFonts w:ascii="Arial" w:hAnsi="Arial" w:cs="Arial"/>
        </w:rPr>
        <w:t>Tiempo máximo de reposición post falla: El tiempo de reposición del tramo de línea que haya tenido una falla fugaz que ocasione desconexión de un circuito, debe ser menor a 30 minutos.</w:t>
      </w:r>
    </w:p>
    <w:p w:rsidR="00C262EA" w:rsidRPr="00C262EA" w:rsidRDefault="00C262EA" w:rsidP="00E1372B">
      <w:pPr>
        <w:spacing w:before="360" w:line="247" w:lineRule="auto"/>
        <w:ind w:left="425" w:hanging="425"/>
        <w:jc w:val="both"/>
        <w:outlineLvl w:val="0"/>
        <w:rPr>
          <w:rFonts w:ascii="Arial" w:hAnsi="Arial" w:cs="Arial"/>
          <w:b/>
          <w:sz w:val="21"/>
          <w:szCs w:val="21"/>
        </w:rPr>
      </w:pPr>
      <w:bookmarkStart w:id="43" w:name="_Toc272265347"/>
      <w:bookmarkStart w:id="44" w:name="_Toc272431140"/>
      <w:bookmarkStart w:id="45" w:name="_Toc306777410"/>
      <w:r w:rsidRPr="00C262EA">
        <w:rPr>
          <w:rFonts w:ascii="Arial" w:hAnsi="Arial" w:cs="Arial"/>
          <w:b/>
          <w:sz w:val="21"/>
          <w:szCs w:val="21"/>
        </w:rPr>
        <w:t>3</w:t>
      </w:r>
      <w:r w:rsidRPr="00C262EA">
        <w:rPr>
          <w:rFonts w:ascii="Arial" w:hAnsi="Arial" w:cs="Arial"/>
          <w:b/>
          <w:sz w:val="21"/>
          <w:szCs w:val="21"/>
        </w:rPr>
        <w:tab/>
        <w:t>SUBESTACIONES</w:t>
      </w:r>
      <w:bookmarkEnd w:id="43"/>
      <w:bookmarkEnd w:id="44"/>
      <w:bookmarkEnd w:id="45"/>
    </w:p>
    <w:p w:rsidR="00C262EA" w:rsidRPr="00C262EA" w:rsidRDefault="00C262EA" w:rsidP="00E1372B">
      <w:pPr>
        <w:keepNext/>
        <w:tabs>
          <w:tab w:val="clear" w:pos="1134"/>
          <w:tab w:val="clear" w:pos="1701"/>
          <w:tab w:val="clear" w:pos="2268"/>
          <w:tab w:val="clear" w:pos="2835"/>
        </w:tabs>
        <w:spacing w:before="240"/>
        <w:ind w:left="425" w:hanging="425"/>
        <w:outlineLvl w:val="1"/>
        <w:rPr>
          <w:rFonts w:ascii="Arial" w:hAnsi="Arial" w:cs="Arial"/>
          <w:b/>
        </w:rPr>
      </w:pPr>
      <w:bookmarkStart w:id="46" w:name="_Toc272265348"/>
      <w:bookmarkStart w:id="47" w:name="_Toc272431141"/>
      <w:bookmarkStart w:id="48" w:name="_Toc306777411"/>
      <w:r w:rsidRPr="00C262EA">
        <w:rPr>
          <w:rFonts w:ascii="Arial" w:hAnsi="Arial" w:cs="Arial"/>
          <w:b/>
        </w:rPr>
        <w:t>3.1</w:t>
      </w:r>
      <w:r w:rsidRPr="00C262EA">
        <w:rPr>
          <w:rFonts w:ascii="Arial" w:hAnsi="Arial" w:cs="Arial"/>
          <w:b/>
        </w:rPr>
        <w:tab/>
        <w:t>ALCANCE DE LA CONFIGURACIÓN</w:t>
      </w:r>
      <w:bookmarkEnd w:id="46"/>
      <w:bookmarkEnd w:id="47"/>
      <w:bookmarkEnd w:id="48"/>
    </w:p>
    <w:p w:rsidR="00C262EA" w:rsidRPr="00C262EA" w:rsidRDefault="00C262EA" w:rsidP="00C262EA">
      <w:pPr>
        <w:spacing w:before="120" w:line="247" w:lineRule="auto"/>
        <w:ind w:left="426"/>
        <w:jc w:val="both"/>
        <w:rPr>
          <w:rFonts w:ascii="Arial" w:hAnsi="Arial" w:cs="Arial"/>
        </w:rPr>
      </w:pPr>
      <w:r w:rsidRPr="00C262EA">
        <w:rPr>
          <w:rFonts w:ascii="Arial" w:hAnsi="Arial" w:cs="Arial"/>
        </w:rPr>
        <w:t>Todas las subestaciones de 220 kV y 138 kV serán diseñadas y proyectadas bajo la configuración de conexiones de tipo doble barra y se preverá los espacios y áreas necesarias para tal configuración de conexiones.  El proyecto comprende las siguientes subestaciones:</w:t>
      </w:r>
    </w:p>
    <w:p w:rsidR="00C262EA" w:rsidRPr="00C262EA" w:rsidRDefault="00C262EA" w:rsidP="00C262EA">
      <w:pPr>
        <w:tabs>
          <w:tab w:val="clear" w:pos="567"/>
          <w:tab w:val="clear" w:pos="1134"/>
          <w:tab w:val="clear" w:pos="1701"/>
          <w:tab w:val="clear" w:pos="2268"/>
          <w:tab w:val="clear" w:pos="2835"/>
        </w:tabs>
        <w:spacing w:before="180" w:line="247" w:lineRule="auto"/>
        <w:ind w:left="709" w:hanging="284"/>
        <w:jc w:val="both"/>
        <w:rPr>
          <w:rFonts w:ascii="Arial" w:hAnsi="Arial" w:cs="Arial"/>
          <w:b/>
        </w:rPr>
      </w:pPr>
      <w:r w:rsidRPr="00C262EA">
        <w:rPr>
          <w:rFonts w:ascii="Arial" w:hAnsi="Arial" w:cs="Arial"/>
          <w:b/>
        </w:rPr>
        <w:t>a)</w:t>
      </w:r>
      <w:r w:rsidRPr="00C262EA">
        <w:rPr>
          <w:rFonts w:ascii="Arial" w:hAnsi="Arial" w:cs="Arial"/>
          <w:b/>
        </w:rPr>
        <w:tab/>
        <w:t>AMPLIACIÓN SUBESTACIÓN SURIRAY</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lang w:eastAsia="es-ES"/>
        </w:rPr>
      </w:pPr>
      <w:r w:rsidRPr="00C262EA">
        <w:rPr>
          <w:rFonts w:ascii="Arial" w:hAnsi="Arial" w:cs="Arial"/>
          <w:lang w:eastAsia="es-ES"/>
        </w:rPr>
        <w:t>La subestación Suriray forma parte del proyecto de la “Línea de Transmisión Machupicchu-Abancay-Cotaruse en 220 kV”, entregado en concesión por el estado peruano al Consorcio Transmantaro S.A. La subestación se ubica próxima a la C.H. Santa Teresa y sus coordenadas UTM aproximadas son las siguientes:</w:t>
      </w:r>
    </w:p>
    <w:tbl>
      <w:tblPr>
        <w:tblW w:w="0" w:type="auto"/>
        <w:jc w:val="center"/>
        <w:tblLook w:val="00A0" w:firstRow="1" w:lastRow="0" w:firstColumn="1" w:lastColumn="0" w:noHBand="0" w:noVBand="0"/>
      </w:tblPr>
      <w:tblGrid>
        <w:gridCol w:w="2401"/>
        <w:gridCol w:w="2276"/>
      </w:tblGrid>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120"/>
              <w:ind w:left="389" w:hanging="284"/>
              <w:rPr>
                <w:rFonts w:ascii="Arial" w:hAnsi="Arial" w:cs="Arial"/>
              </w:rPr>
            </w:pPr>
            <w:r w:rsidRPr="00C262EA">
              <w:rPr>
                <w:rFonts w:ascii="Arial" w:hAnsi="Arial" w:cs="Arial"/>
              </w:rPr>
              <w:t>Zona</w:t>
            </w:r>
          </w:p>
        </w:tc>
        <w:tc>
          <w:tcPr>
            <w:tcW w:w="2276" w:type="dxa"/>
          </w:tcPr>
          <w:p w:rsidR="00C262EA" w:rsidRPr="00C262EA" w:rsidRDefault="00C262EA" w:rsidP="00E1372B">
            <w:pPr>
              <w:spacing w:before="120"/>
              <w:ind w:left="397"/>
              <w:rPr>
                <w:rFonts w:ascii="Arial" w:hAnsi="Arial" w:cs="Arial"/>
              </w:rPr>
            </w:pPr>
            <w:r w:rsidRPr="00C262EA">
              <w:rPr>
                <w:rFonts w:ascii="Arial" w:hAnsi="Arial" w:cs="Arial"/>
              </w:rPr>
              <w:t>18L</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Sur</w:t>
            </w:r>
          </w:p>
        </w:tc>
        <w:tc>
          <w:tcPr>
            <w:tcW w:w="2276" w:type="dxa"/>
          </w:tcPr>
          <w:p w:rsidR="00C262EA" w:rsidRPr="00C262EA" w:rsidRDefault="00C262EA" w:rsidP="00E1372B">
            <w:pPr>
              <w:spacing w:before="80"/>
              <w:ind w:left="397"/>
              <w:rPr>
                <w:rFonts w:ascii="Arial" w:hAnsi="Arial" w:cs="Arial"/>
              </w:rPr>
            </w:pPr>
            <w:r w:rsidRPr="00C262EA">
              <w:rPr>
                <w:rFonts w:ascii="Arial" w:hAnsi="Arial" w:cs="Arial"/>
                <w:lang w:eastAsia="es-ES"/>
              </w:rPr>
              <w:t>8545814</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Este</w:t>
            </w:r>
          </w:p>
        </w:tc>
        <w:tc>
          <w:tcPr>
            <w:tcW w:w="2276" w:type="dxa"/>
          </w:tcPr>
          <w:p w:rsidR="00C262EA" w:rsidRPr="00C262EA" w:rsidRDefault="00C262EA" w:rsidP="00E1372B">
            <w:pPr>
              <w:spacing w:before="80"/>
              <w:ind w:left="397"/>
              <w:rPr>
                <w:rFonts w:ascii="Arial" w:hAnsi="Arial" w:cs="Arial"/>
              </w:rPr>
            </w:pPr>
            <w:r w:rsidRPr="00C262EA">
              <w:rPr>
                <w:rFonts w:ascii="Arial" w:hAnsi="Arial" w:cs="Arial"/>
              </w:rPr>
              <w:t xml:space="preserve">  759586</w:t>
            </w:r>
          </w:p>
        </w:tc>
      </w:tr>
    </w:tbl>
    <w:p w:rsidR="00C262EA" w:rsidRPr="00C262EA" w:rsidRDefault="00C262EA" w:rsidP="00E1372B">
      <w:pPr>
        <w:tabs>
          <w:tab w:val="clear" w:pos="567"/>
          <w:tab w:val="clear" w:pos="1134"/>
          <w:tab w:val="clear" w:pos="1701"/>
          <w:tab w:val="clear" w:pos="2268"/>
          <w:tab w:val="clear" w:pos="2835"/>
        </w:tabs>
        <w:spacing w:before="120" w:line="247" w:lineRule="auto"/>
        <w:ind w:left="425"/>
        <w:jc w:val="both"/>
        <w:rPr>
          <w:rFonts w:ascii="Arial" w:hAnsi="Arial" w:cs="Arial"/>
          <w:lang w:eastAsia="es-ES"/>
        </w:rPr>
      </w:pPr>
      <w:r w:rsidRPr="00C262EA">
        <w:rPr>
          <w:rFonts w:ascii="Arial" w:hAnsi="Arial" w:cs="Arial"/>
          <w:lang w:eastAsia="es-ES"/>
        </w:rPr>
        <w:t xml:space="preserve">Estas coordenadas son referenciales porque la ubicación definitiva será la que establezca el Consorcio Transmantaro S.A. como parte de los estudios definitivos y, en tal sentido, la Sociedad Concesionaria debe actualizar las mismas. </w:t>
      </w:r>
    </w:p>
    <w:p w:rsidR="00C262EA" w:rsidRPr="00C262EA" w:rsidRDefault="00C262EA" w:rsidP="00E1372B">
      <w:pPr>
        <w:tabs>
          <w:tab w:val="clear" w:pos="567"/>
          <w:tab w:val="clear" w:pos="1134"/>
          <w:tab w:val="clear" w:pos="1701"/>
          <w:tab w:val="clear" w:pos="2268"/>
          <w:tab w:val="clear" w:pos="2835"/>
        </w:tabs>
        <w:spacing w:before="120" w:line="247" w:lineRule="auto"/>
        <w:ind w:left="425"/>
        <w:jc w:val="both"/>
        <w:rPr>
          <w:rFonts w:ascii="Arial" w:hAnsi="Arial" w:cs="Arial"/>
          <w:b/>
          <w:lang w:eastAsia="es-ES"/>
        </w:rPr>
      </w:pPr>
      <w:r w:rsidRPr="00C262EA">
        <w:rPr>
          <w:rFonts w:ascii="Arial" w:hAnsi="Arial" w:cs="Arial"/>
          <w:b/>
          <w:lang w:eastAsia="es-ES"/>
        </w:rPr>
        <w:t>a.1</w:t>
      </w:r>
      <w:r w:rsidRPr="00C262EA">
        <w:rPr>
          <w:rFonts w:ascii="Arial" w:hAnsi="Arial" w:cs="Arial"/>
          <w:b/>
          <w:lang w:eastAsia="es-ES"/>
        </w:rPr>
        <w:tab/>
        <w:t>Instalaciones que se encuentran en etapa de construcción</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lang w:eastAsia="es-ES"/>
        </w:rPr>
      </w:pPr>
      <w:r w:rsidRPr="00C262EA">
        <w:rPr>
          <w:rFonts w:ascii="Arial" w:hAnsi="Arial" w:cs="Arial"/>
          <w:lang w:eastAsia="es-ES"/>
        </w:rPr>
        <w:t>De acuerdo con el compromiso asumido por  el Consorcio Transmantaro S.A., el equipamiento que se prevé instalar en esta subestación, es el siguiente:</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 sistema de barra en 220 kV, configuración doble barra.</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Una celda de acoplamiento de barra en 220 kV</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 xml:space="preserve">Un Banco de transformadores de 220/138/22,9 kV (3 unidades mas una de reserva), de 135/180/225 MVA (ONAN/ONAF1/ONAF2). </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lastRenderedPageBreak/>
        <w:t xml:space="preserve">Celdas para la conexión del banco de transformadores en 138 kV y en 220 kV. </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5" w:hanging="284"/>
        <w:jc w:val="both"/>
        <w:rPr>
          <w:rFonts w:ascii="Arial" w:hAnsi="Arial" w:cs="Arial"/>
          <w:lang w:eastAsia="es-ES"/>
        </w:rPr>
      </w:pPr>
      <w:r w:rsidRPr="00C262EA">
        <w:rPr>
          <w:rFonts w:ascii="Arial" w:hAnsi="Arial" w:cs="Arial"/>
          <w:lang w:eastAsia="es-ES"/>
        </w:rPr>
        <w:t xml:space="preserve">Una celda línea en 138 kV para la conexión con Machupicchu II. </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Una celda de línea en 220 kV para la salida a la S.E. Cotaruse 220 kV.</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Una celda de línea de 220 kV para la salida a la S.E. Abancay Nueva.</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 reactor de barra en 220 kV, con equipo de conexión, de 30 MVAR.</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Una celda de reactor de barra en 220 kV.</w:t>
      </w:r>
    </w:p>
    <w:p w:rsidR="00C262EA" w:rsidRPr="00C262EA" w:rsidRDefault="00C262EA" w:rsidP="004F6B32">
      <w:pPr>
        <w:numPr>
          <w:ilvl w:val="0"/>
          <w:numId w:val="97"/>
        </w:numPr>
        <w:tabs>
          <w:tab w:val="clear" w:pos="567"/>
          <w:tab w:val="clear" w:pos="1134"/>
          <w:tab w:val="clear" w:pos="1701"/>
          <w:tab w:val="clear" w:pos="2268"/>
          <w:tab w:val="clear" w:pos="2835"/>
        </w:tabs>
        <w:spacing w:before="120" w:line="247" w:lineRule="auto"/>
        <w:ind w:left="1134" w:hanging="283"/>
        <w:jc w:val="both"/>
        <w:rPr>
          <w:rFonts w:ascii="Arial" w:hAnsi="Arial" w:cs="Arial"/>
          <w:lang w:eastAsia="es-ES"/>
        </w:rPr>
      </w:pPr>
      <w:r w:rsidRPr="00C262EA">
        <w:rPr>
          <w:rFonts w:ascii="Arial" w:hAnsi="Arial" w:cs="Arial"/>
          <w:lang w:eastAsia="es-ES"/>
        </w:rPr>
        <w:t>Como parte de las instalaciones de subestación están previstos los espacios para 6 celdas de línea futuras como mínimo.</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highlight w:val="yellow"/>
          <w:lang w:eastAsia="es-ES"/>
        </w:rPr>
      </w:pPr>
      <w:r w:rsidRPr="00C262EA">
        <w:rPr>
          <w:rFonts w:ascii="Arial" w:hAnsi="Arial" w:cs="Arial"/>
          <w:lang w:eastAsia="es-ES"/>
        </w:rPr>
        <w:t>La Sociedad Concesionaria deberá verificar el equipamiento y las características definitivas de esta subestación, para lo cual debe realizar las coordinaciones resulten necesarias con el Consorcio Transmantaro S.A. a fin de tomar en cuenta la configuración y características finales de la misma, antes de realizar la ampliación correspondiente.</w:t>
      </w:r>
      <w:r w:rsidRPr="00C262EA">
        <w:rPr>
          <w:rFonts w:ascii="Arial" w:hAnsi="Arial" w:cs="Arial"/>
          <w:highlight w:val="yellow"/>
          <w:lang w:eastAsia="es-ES"/>
        </w:rPr>
        <w:t xml:space="preserve"> </w:t>
      </w:r>
    </w:p>
    <w:p w:rsidR="00C262EA" w:rsidRPr="00C262EA" w:rsidRDefault="00C262EA" w:rsidP="00E1372B">
      <w:pPr>
        <w:tabs>
          <w:tab w:val="clear" w:pos="567"/>
          <w:tab w:val="clear" w:pos="1134"/>
          <w:tab w:val="clear" w:pos="1701"/>
          <w:tab w:val="clear" w:pos="2268"/>
          <w:tab w:val="clear" w:pos="2835"/>
        </w:tabs>
        <w:spacing w:before="120" w:line="247" w:lineRule="auto"/>
        <w:ind w:firstLine="425"/>
        <w:jc w:val="both"/>
        <w:rPr>
          <w:rFonts w:ascii="Arial" w:hAnsi="Arial" w:cs="Arial"/>
          <w:b/>
        </w:rPr>
      </w:pPr>
      <w:r w:rsidRPr="00C262EA">
        <w:rPr>
          <w:rFonts w:ascii="Arial" w:hAnsi="Arial" w:cs="Arial"/>
          <w:b/>
        </w:rPr>
        <w:t>a.2</w:t>
      </w:r>
      <w:r w:rsidRPr="00C262EA">
        <w:rPr>
          <w:rFonts w:ascii="Arial" w:hAnsi="Arial" w:cs="Arial"/>
          <w:b/>
        </w:rPr>
        <w:tab/>
        <w:t>Ampliación de la S.E. Suriray</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La ampliación de la S.E. Suriray deberá ser realizada tomando en cuenta los diseños de la ingeniería definitiva desarrollados, o ejecutados, por el Consorcio Transmantaro, debiendo preverse la instalación y equipamiento de la salida de línea en 220 kV hacia la S.E. Quencoro Nueva considerando, entre otros, lo siguiente:</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 xml:space="preserve">Ampliación del sistema de doble barra en 220 kV. </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Equipamiento de una (01) celda de línea en 220 kV, para la L.T. Machupicchu-Quencoro.</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Instalación de pórticos de salida para la línea.</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Sistemas de control, telecomunicaciones, casetas de control y obras civiles asociadas.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De ser pertinente la Sociedad Concesionaria  recomendará las modificaciones y refuerzos adicionales que resulten necesarios, en base a los estudios de Pre- operatividad y Operatividad, aprobados por el COES.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Como parte del anteproyecto de ingeniería se incluye una configuración propuesta para la ampliación; sin embargo la misma tiene carácter referencial, por lo que la configuración y el equipamiento final de la ampliación deberán ser definidos por la Sociedad Concesionaria sobre la base de las características definitivas de la S.E. Suriray.</w:t>
      </w:r>
    </w:p>
    <w:p w:rsidR="00C262EA" w:rsidRPr="00C262EA" w:rsidRDefault="00C262EA" w:rsidP="00E1372B">
      <w:pPr>
        <w:tabs>
          <w:tab w:val="clear" w:pos="567"/>
          <w:tab w:val="clear" w:pos="1134"/>
          <w:tab w:val="clear" w:pos="1701"/>
          <w:tab w:val="clear" w:pos="2268"/>
          <w:tab w:val="clear" w:pos="2835"/>
        </w:tabs>
        <w:spacing w:before="120"/>
        <w:ind w:left="709" w:hanging="284"/>
        <w:jc w:val="both"/>
        <w:rPr>
          <w:rFonts w:ascii="Arial" w:hAnsi="Arial" w:cs="Arial"/>
          <w:b/>
        </w:rPr>
      </w:pPr>
      <w:r w:rsidRPr="00C262EA">
        <w:rPr>
          <w:rFonts w:ascii="Arial" w:hAnsi="Arial" w:cs="Arial"/>
          <w:b/>
        </w:rPr>
        <w:t>b)</w:t>
      </w:r>
      <w:r w:rsidRPr="00C262EA">
        <w:rPr>
          <w:rFonts w:ascii="Arial" w:hAnsi="Arial" w:cs="Arial"/>
          <w:b/>
        </w:rPr>
        <w:tab/>
        <w:t>CONSTRUCCIÓN DE LA SUBESTACIÓN QUENCORO NUEVA</w:t>
      </w:r>
    </w:p>
    <w:p w:rsidR="00C262EA" w:rsidRPr="00C262EA" w:rsidRDefault="00C262EA" w:rsidP="00C262EA">
      <w:pPr>
        <w:tabs>
          <w:tab w:val="clear" w:pos="567"/>
          <w:tab w:val="clear" w:pos="1134"/>
          <w:tab w:val="clear" w:pos="1701"/>
          <w:tab w:val="clear" w:pos="2268"/>
          <w:tab w:val="clear" w:pos="2835"/>
        </w:tabs>
        <w:spacing w:before="120"/>
        <w:ind w:left="426"/>
        <w:jc w:val="both"/>
        <w:rPr>
          <w:rFonts w:ascii="Arial" w:hAnsi="Arial" w:cs="Arial"/>
        </w:rPr>
      </w:pPr>
      <w:r w:rsidRPr="00C262EA">
        <w:rPr>
          <w:rFonts w:ascii="Arial" w:hAnsi="Arial" w:cs="Arial"/>
        </w:rPr>
        <w:t>Se construirá una subestación nueva para la llegada de la L.T. 220 kV Machupicchu-Quencoro y la salida de la L.T. Quencoro-Onocora, así como para la instalación de los equipos de maniobra y compensación reactiva que resulten necesarios.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Esta  Subestación será completamente nueva y, de manera referencial, se ha localizado en un terreno ubicado hacia la zona sur de la ciudad del Cusco, fuera de la zona urbana, aproximadamente sobre los 3360 msnm, en las coordenadas UTM siguientes:</w:t>
      </w:r>
    </w:p>
    <w:tbl>
      <w:tblPr>
        <w:tblW w:w="0" w:type="auto"/>
        <w:jc w:val="center"/>
        <w:tblLook w:val="00A0" w:firstRow="1" w:lastRow="0" w:firstColumn="1" w:lastColumn="0" w:noHBand="0" w:noVBand="0"/>
      </w:tblPr>
      <w:tblGrid>
        <w:gridCol w:w="2401"/>
        <w:gridCol w:w="2276"/>
      </w:tblGrid>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120"/>
              <w:ind w:left="389" w:hanging="284"/>
              <w:rPr>
                <w:rFonts w:ascii="Arial" w:hAnsi="Arial" w:cs="Arial"/>
              </w:rPr>
            </w:pPr>
            <w:r w:rsidRPr="00C262EA">
              <w:rPr>
                <w:rFonts w:ascii="Arial" w:hAnsi="Arial" w:cs="Arial"/>
              </w:rPr>
              <w:t>Zona</w:t>
            </w:r>
          </w:p>
        </w:tc>
        <w:tc>
          <w:tcPr>
            <w:tcW w:w="2276" w:type="dxa"/>
          </w:tcPr>
          <w:p w:rsidR="00C262EA" w:rsidRPr="00C262EA" w:rsidRDefault="00C262EA" w:rsidP="00E1372B">
            <w:pPr>
              <w:spacing w:before="120"/>
              <w:ind w:left="397"/>
              <w:rPr>
                <w:rFonts w:ascii="Arial" w:hAnsi="Arial" w:cs="Arial"/>
              </w:rPr>
            </w:pPr>
            <w:r w:rsidRPr="00C262EA">
              <w:rPr>
                <w:rFonts w:ascii="Arial" w:hAnsi="Arial" w:cs="Arial"/>
              </w:rPr>
              <w:t>19L</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60"/>
              <w:ind w:left="389" w:hanging="284"/>
              <w:rPr>
                <w:rFonts w:ascii="Arial" w:hAnsi="Arial" w:cs="Arial"/>
              </w:rPr>
            </w:pPr>
            <w:r w:rsidRPr="00C262EA">
              <w:rPr>
                <w:rFonts w:ascii="Arial" w:hAnsi="Arial" w:cs="Arial"/>
              </w:rPr>
              <w:t>Coordenada Sur</w:t>
            </w:r>
          </w:p>
        </w:tc>
        <w:tc>
          <w:tcPr>
            <w:tcW w:w="2276" w:type="dxa"/>
          </w:tcPr>
          <w:p w:rsidR="00C262EA" w:rsidRPr="00C262EA" w:rsidRDefault="00C262EA" w:rsidP="00E1372B">
            <w:pPr>
              <w:spacing w:before="60"/>
              <w:ind w:left="397"/>
              <w:rPr>
                <w:rFonts w:ascii="Arial" w:hAnsi="Arial" w:cs="Arial"/>
              </w:rPr>
            </w:pPr>
            <w:r w:rsidRPr="00C262EA">
              <w:rPr>
                <w:rFonts w:ascii="Arial" w:hAnsi="Arial" w:cs="Arial"/>
              </w:rPr>
              <w:t>8499193</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60"/>
              <w:ind w:left="389" w:hanging="284"/>
              <w:rPr>
                <w:rFonts w:ascii="Arial" w:hAnsi="Arial" w:cs="Arial"/>
              </w:rPr>
            </w:pPr>
            <w:r w:rsidRPr="00C262EA">
              <w:rPr>
                <w:rFonts w:ascii="Arial" w:hAnsi="Arial" w:cs="Arial"/>
              </w:rPr>
              <w:t>Coordenada Este</w:t>
            </w:r>
          </w:p>
        </w:tc>
        <w:tc>
          <w:tcPr>
            <w:tcW w:w="2276" w:type="dxa"/>
          </w:tcPr>
          <w:p w:rsidR="00C262EA" w:rsidRPr="00C262EA" w:rsidRDefault="00C262EA" w:rsidP="00E1372B">
            <w:pPr>
              <w:spacing w:before="60"/>
              <w:ind w:left="397"/>
              <w:rPr>
                <w:rFonts w:ascii="Arial" w:hAnsi="Arial" w:cs="Arial"/>
              </w:rPr>
            </w:pPr>
            <w:r w:rsidRPr="00C262EA">
              <w:rPr>
                <w:rFonts w:ascii="Arial" w:hAnsi="Arial" w:cs="Arial"/>
                <w:lang w:eastAsia="es-ES"/>
              </w:rPr>
              <w:t xml:space="preserve">  185580</w:t>
            </w:r>
          </w:p>
        </w:tc>
      </w:tr>
    </w:tbl>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lastRenderedPageBreak/>
        <w:t>La ubicación anterior es referencial y al momento de desarrollar el estudio definitivo, la Sociedad Concesionaria deberá actualizar la ubicación final de la Subestación.</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El equipamiento previsto en esta Subestación, es el siguiente:</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Lado de 220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Sistema de conexiones de doble barra en 220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de línea para la L.T. 220 kV Machupicchu-Quencoro.</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de línea para la L.T. 220 kV Quencoro-Onocora.</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para la conexión de acoplamiento de barras en 220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para la conexión al banco de transformadores en 220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 (01) banco de transformación de 220/138/10,5 kV, de 120/120/13,5 MVA en la condición de operación ONAN  y 150/150/17 MVA en la condición de operación ONAF (con 3 unidades más una de reserva), y grupo de conexión Estrella/Estrella/Delta (Y/Y/</w:t>
      </w:r>
      <w:r w:rsidR="00454A68">
        <w:rPr>
          <w:rFonts w:ascii="Arial" w:hAnsi="Arial" w:cs="Arial"/>
        </w:rPr>
        <w:t>∆</w:t>
      </w:r>
      <w:r w:rsidRPr="00C262EA">
        <w:rPr>
          <w:rFonts w:ascii="Arial" w:hAnsi="Arial" w:cs="Arial"/>
        </w:rPr>
        <w:t xml:space="preserve"> </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 (01) reactor de barra en el lado de 20 MVAR, 220 kV, con equipo de conexión (Ver Nota A).</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de conexión del reactor de barra.</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Previsión de espacio para la implementación de tres (03) celdas de salida adicionales en 220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Pórticos de líneas en 220 kV</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Lado de 138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Una (01) celda de línea-transformador en 138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Pórticos de línea en 138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Previsión de espacio para la implementación de barra en 138 kV.</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Previsión de espacio para dos (02) celdas futuras para la conexión a salidas en 138 kV.</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Lado de 10,5 kV  instalación al interior:</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Celda metálica, blindada tipo metal clad, para la conexión de los bornes del transformador de 10,5 kV con las barras de la misma tensión, enlazados a través de cables aislados unipolares XLPE.</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Celda metálica blindada, del tipo metal clad, para los servicios auxiliares propios de la subestación, incluyendo el transformador seco, de servicios auxiliares.</w:t>
      </w:r>
    </w:p>
    <w:p w:rsidR="00C262EA" w:rsidRPr="00C262EA" w:rsidRDefault="00C262EA" w:rsidP="004F6B32">
      <w:pPr>
        <w:numPr>
          <w:ilvl w:val="2"/>
          <w:numId w:val="100"/>
        </w:numPr>
        <w:tabs>
          <w:tab w:val="clear" w:pos="567"/>
          <w:tab w:val="clear" w:pos="1134"/>
          <w:tab w:val="clear" w:pos="1701"/>
          <w:tab w:val="clear" w:pos="2268"/>
          <w:tab w:val="clear" w:pos="2835"/>
          <w:tab w:val="clear" w:pos="2869"/>
        </w:tabs>
        <w:spacing w:before="60" w:line="247" w:lineRule="auto"/>
        <w:ind w:left="1418" w:hanging="284"/>
        <w:jc w:val="both"/>
        <w:rPr>
          <w:rFonts w:ascii="Arial" w:hAnsi="Arial" w:cs="Arial"/>
        </w:rPr>
      </w:pPr>
      <w:r w:rsidRPr="00C262EA">
        <w:rPr>
          <w:rFonts w:ascii="Arial" w:hAnsi="Arial" w:cs="Arial"/>
        </w:rPr>
        <w:t>Previsión de espacio para un mínimo de cinco (05) nuevas celdas metálicas en 10,5 kV blindadas, del tipo metal-clad.</w:t>
      </w:r>
    </w:p>
    <w:p w:rsidR="00C262EA" w:rsidRPr="00C262EA" w:rsidRDefault="00C262EA" w:rsidP="00C262EA">
      <w:pPr>
        <w:tabs>
          <w:tab w:val="clear" w:pos="567"/>
          <w:tab w:val="clear" w:pos="1134"/>
          <w:tab w:val="clear" w:pos="1701"/>
          <w:tab w:val="clear" w:pos="2268"/>
          <w:tab w:val="clear" w:pos="2835"/>
        </w:tabs>
        <w:spacing w:before="120" w:line="247" w:lineRule="auto"/>
        <w:ind w:left="1134"/>
        <w:jc w:val="both"/>
        <w:rPr>
          <w:rFonts w:ascii="Arial" w:hAnsi="Arial" w:cs="Arial"/>
          <w:b/>
          <w:bCs/>
          <w:sz w:val="18"/>
          <w:szCs w:val="18"/>
        </w:rPr>
      </w:pPr>
      <w:r w:rsidRPr="00C262EA">
        <w:rPr>
          <w:rFonts w:ascii="Arial" w:hAnsi="Arial" w:cs="Arial"/>
          <w:b/>
          <w:i/>
          <w:sz w:val="18"/>
          <w:szCs w:val="18"/>
        </w:rPr>
        <w:t xml:space="preserve">Nota A: </w:t>
      </w:r>
      <w:r w:rsidRPr="00C262EA">
        <w:rPr>
          <w:rFonts w:ascii="Arial" w:hAnsi="Arial" w:cs="Arial"/>
          <w:i/>
          <w:sz w:val="18"/>
          <w:szCs w:val="18"/>
        </w:rPr>
        <w:t>La configuración, el dimensionamiento y las características finales de los equipos de compensación reactiva serán definidos por el Concesionario y aprobados en el Estudio de Pre-Operatividad por el COES-SINAC</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El esquema final de la subestación será definido en los Estudios de Pre operatividad, de tal manera que se garantice la capacidad de transmisión establecida para las líneas de transmisión a las que está asociada la subestación.</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 xml:space="preserve">En general, la Sociedad Concesionaria deberá efectuar las coordinaciones necesarias con las empresas concesionarias cuyas instalaciones se encuentren involucradas con el proyecto y, por lo tanto, constituirá su responsabilidad, efectuar las modificaciones, refuerzos, instalaciones o sustituciones de equipos en las subestaciones a ampliarse, cuando sean necesarias para la </w:t>
      </w:r>
      <w:r w:rsidRPr="00C262EA">
        <w:rPr>
          <w:rFonts w:ascii="Arial" w:hAnsi="Arial" w:cs="Arial"/>
        </w:rPr>
        <w:lastRenderedPageBreak/>
        <w:t>correcta operación de las instalaciones de acuerdo con los requerimientos  del SEIN y los estudios de Pre operatividad y Operatividad, aprobados por el COES.</w:t>
      </w:r>
    </w:p>
    <w:p w:rsidR="00C262EA" w:rsidRPr="00C262EA" w:rsidRDefault="00C262EA" w:rsidP="00D91134">
      <w:pPr>
        <w:tabs>
          <w:tab w:val="clear" w:pos="567"/>
          <w:tab w:val="clear" w:pos="1134"/>
          <w:tab w:val="clear" w:pos="1701"/>
          <w:tab w:val="clear" w:pos="2268"/>
          <w:tab w:val="clear" w:pos="2835"/>
        </w:tabs>
        <w:spacing w:before="120"/>
        <w:ind w:left="709" w:hanging="284"/>
        <w:jc w:val="both"/>
        <w:rPr>
          <w:rFonts w:ascii="Arial" w:hAnsi="Arial" w:cs="Arial"/>
          <w:b/>
        </w:rPr>
      </w:pPr>
      <w:r w:rsidRPr="00C262EA">
        <w:rPr>
          <w:rFonts w:ascii="Arial" w:hAnsi="Arial" w:cs="Arial"/>
          <w:b/>
        </w:rPr>
        <w:t>c)</w:t>
      </w:r>
      <w:r w:rsidRPr="00C262EA">
        <w:rPr>
          <w:rFonts w:ascii="Arial" w:hAnsi="Arial" w:cs="Arial"/>
          <w:b/>
        </w:rPr>
        <w:tab/>
        <w:t>AMPLIACIÓN DE LA SUBESTACIÓN QUENCORO</w:t>
      </w:r>
    </w:p>
    <w:p w:rsidR="00C262EA" w:rsidRPr="00C262EA" w:rsidRDefault="00C262EA" w:rsidP="00C262EA">
      <w:pPr>
        <w:tabs>
          <w:tab w:val="clear" w:pos="567"/>
          <w:tab w:val="clear" w:pos="1134"/>
          <w:tab w:val="clear" w:pos="1701"/>
          <w:tab w:val="clear" w:pos="2268"/>
          <w:tab w:val="clear" w:pos="2835"/>
        </w:tabs>
        <w:spacing w:before="120"/>
        <w:ind w:left="426"/>
        <w:jc w:val="both"/>
        <w:rPr>
          <w:rFonts w:ascii="Arial" w:hAnsi="Arial" w:cs="Arial"/>
        </w:rPr>
      </w:pPr>
      <w:r w:rsidRPr="00C262EA">
        <w:rPr>
          <w:rFonts w:ascii="Arial" w:hAnsi="Arial" w:cs="Arial"/>
        </w:rPr>
        <w:t xml:space="preserve">La subestación Quencoro existente se ubica en la zona sur de la ciudad de Cusco, aproximadamente en las siguientes coordenadas UTM: </w:t>
      </w:r>
    </w:p>
    <w:tbl>
      <w:tblPr>
        <w:tblW w:w="0" w:type="auto"/>
        <w:jc w:val="center"/>
        <w:tblLook w:val="00A0" w:firstRow="1" w:lastRow="0" w:firstColumn="1" w:lastColumn="0" w:noHBand="0" w:noVBand="0"/>
      </w:tblPr>
      <w:tblGrid>
        <w:gridCol w:w="2401"/>
        <w:gridCol w:w="2276"/>
      </w:tblGrid>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Zona</w:t>
            </w:r>
          </w:p>
        </w:tc>
        <w:tc>
          <w:tcPr>
            <w:tcW w:w="2276" w:type="dxa"/>
          </w:tcPr>
          <w:p w:rsidR="00C262EA" w:rsidRPr="00C262EA" w:rsidRDefault="00C262EA" w:rsidP="00D91134">
            <w:pPr>
              <w:spacing w:before="80"/>
              <w:ind w:left="397"/>
              <w:rPr>
                <w:rFonts w:ascii="Arial" w:hAnsi="Arial" w:cs="Arial"/>
              </w:rPr>
            </w:pPr>
            <w:r w:rsidRPr="00C262EA">
              <w:rPr>
                <w:rFonts w:ascii="Arial" w:hAnsi="Arial" w:cs="Arial"/>
              </w:rPr>
              <w:t>19L</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Sur</w:t>
            </w:r>
          </w:p>
        </w:tc>
        <w:tc>
          <w:tcPr>
            <w:tcW w:w="2276" w:type="dxa"/>
          </w:tcPr>
          <w:p w:rsidR="00C262EA" w:rsidRPr="00C262EA" w:rsidRDefault="00C262EA" w:rsidP="00D91134">
            <w:pPr>
              <w:spacing w:before="80"/>
              <w:ind w:left="397"/>
              <w:rPr>
                <w:rFonts w:ascii="Arial" w:hAnsi="Arial" w:cs="Arial"/>
              </w:rPr>
            </w:pPr>
            <w:r w:rsidRPr="00C262EA">
              <w:rPr>
                <w:rFonts w:ascii="Arial" w:hAnsi="Arial" w:cs="Arial"/>
              </w:rPr>
              <w:t>8500554</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Este</w:t>
            </w:r>
          </w:p>
        </w:tc>
        <w:tc>
          <w:tcPr>
            <w:tcW w:w="2276" w:type="dxa"/>
          </w:tcPr>
          <w:p w:rsidR="00C262EA" w:rsidRPr="00C262EA" w:rsidRDefault="00C262EA" w:rsidP="00D91134">
            <w:pPr>
              <w:spacing w:before="80"/>
              <w:ind w:left="397"/>
              <w:rPr>
                <w:rFonts w:ascii="Arial" w:hAnsi="Arial" w:cs="Arial"/>
              </w:rPr>
            </w:pPr>
            <w:r w:rsidRPr="00C262EA">
              <w:rPr>
                <w:rFonts w:ascii="Arial" w:hAnsi="Arial" w:cs="Arial"/>
                <w:lang w:eastAsia="es-ES"/>
              </w:rPr>
              <w:t xml:space="preserve">  185397</w:t>
            </w:r>
          </w:p>
        </w:tc>
      </w:tr>
    </w:tbl>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b/>
          <w:lang w:eastAsia="es-ES"/>
        </w:rPr>
      </w:pPr>
      <w:r w:rsidRPr="00C262EA">
        <w:rPr>
          <w:rFonts w:ascii="Arial" w:hAnsi="Arial" w:cs="Arial"/>
          <w:b/>
          <w:lang w:eastAsia="es-ES"/>
        </w:rPr>
        <w:t>c.1</w:t>
      </w:r>
      <w:r w:rsidRPr="00C262EA">
        <w:rPr>
          <w:rFonts w:ascii="Arial" w:hAnsi="Arial" w:cs="Arial"/>
          <w:b/>
          <w:lang w:eastAsia="es-ES"/>
        </w:rPr>
        <w:tab/>
        <w:t>Instalaciones Existentes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highlight w:val="yellow"/>
        </w:rPr>
      </w:pPr>
      <w:r w:rsidRPr="00C262EA">
        <w:rPr>
          <w:rFonts w:ascii="Arial" w:hAnsi="Arial" w:cs="Arial"/>
        </w:rPr>
        <w:t xml:space="preserve">Esta es una subestación de transformación de 138/34,5/10,5 kV, con una configuración de doble barra en el nivel de 138 kV, con celda de acoplamiento entre barras, y comprende los siguientes equipos de transformación y salidas: </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Transformadores de Potencia</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 (01) Transformador de 20/6/14 MVA (ONAN) y 25/7,5/17,5 MVA (ONAF), con relación de transformación 138/34,5/10,5 kV.</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 (01) Transformador de 10/3/7 MVA (ONAN) con relación de transformación 138/34,5/10,5 kV.</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 (01) Transformador de 7/8/8,5 MVA (ONAF), con relación de transformación 138/33/6 kV.</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Salidas en 138 kV</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Una (01) celda de salida para la línea a Dolorespata (L-1004).</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Una (01) celda de salida para la línea a Machupicchu (L-1002).</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Una (01) celda de salida para la línea a Tintaya (L-1005).</w:t>
      </w:r>
    </w:p>
    <w:p w:rsidR="00C262EA" w:rsidRPr="00C262EA" w:rsidRDefault="00C262EA" w:rsidP="004F6B32">
      <w:pPr>
        <w:numPr>
          <w:ilvl w:val="0"/>
          <w:numId w:val="68"/>
        </w:numPr>
        <w:tabs>
          <w:tab w:val="clear" w:pos="567"/>
          <w:tab w:val="clear" w:pos="1140"/>
          <w:tab w:val="clear" w:pos="1701"/>
          <w:tab w:val="clear" w:pos="2268"/>
          <w:tab w:val="clear" w:pos="2835"/>
          <w:tab w:val="left" w:pos="993"/>
        </w:tabs>
        <w:spacing w:before="120" w:line="247" w:lineRule="auto"/>
        <w:ind w:left="993" w:hanging="284"/>
        <w:jc w:val="both"/>
        <w:rPr>
          <w:rFonts w:ascii="Arial" w:hAnsi="Arial" w:cs="Arial"/>
          <w:b/>
          <w:bCs/>
        </w:rPr>
      </w:pPr>
      <w:r w:rsidRPr="00C262EA">
        <w:rPr>
          <w:rFonts w:ascii="Arial" w:hAnsi="Arial" w:cs="Arial"/>
          <w:b/>
          <w:bCs/>
        </w:rPr>
        <w:t>Salidas en 33 y 10 kV</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Una (01) salida en 33 kV para el Plan Maestro de Agua Potable.</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Una (01) salida en 33 kV hacia Huaro-Oropeza</w:t>
      </w:r>
    </w:p>
    <w:p w:rsidR="00C262EA" w:rsidRPr="00C262EA" w:rsidRDefault="00C262EA" w:rsidP="004F6B32">
      <w:pPr>
        <w:numPr>
          <w:ilvl w:val="1"/>
          <w:numId w:val="99"/>
        </w:numPr>
        <w:tabs>
          <w:tab w:val="clear" w:pos="567"/>
          <w:tab w:val="clear" w:pos="1134"/>
          <w:tab w:val="clear" w:pos="1701"/>
          <w:tab w:val="clear" w:pos="2268"/>
          <w:tab w:val="clear" w:pos="2835"/>
        </w:tabs>
        <w:spacing w:before="60" w:line="247" w:lineRule="auto"/>
        <w:ind w:left="1418" w:hanging="284"/>
        <w:jc w:val="both"/>
        <w:rPr>
          <w:rFonts w:ascii="Arial" w:hAnsi="Arial" w:cs="Arial"/>
        </w:rPr>
      </w:pPr>
      <w:r w:rsidRPr="00C262EA">
        <w:rPr>
          <w:rFonts w:ascii="Arial" w:hAnsi="Arial" w:cs="Arial"/>
        </w:rPr>
        <w:t>Salidas en 10 kV para el suministro de energía a la zona sur de la ciudad del Cusco.</w:t>
      </w:r>
    </w:p>
    <w:p w:rsidR="00C262EA" w:rsidRPr="00C262EA" w:rsidRDefault="00C262EA" w:rsidP="00D91134">
      <w:pPr>
        <w:tabs>
          <w:tab w:val="clear" w:pos="567"/>
          <w:tab w:val="clear" w:pos="1134"/>
          <w:tab w:val="clear" w:pos="1701"/>
          <w:tab w:val="clear" w:pos="2268"/>
          <w:tab w:val="clear" w:pos="2835"/>
        </w:tabs>
        <w:spacing w:before="120" w:line="247" w:lineRule="auto"/>
        <w:ind w:left="425"/>
        <w:jc w:val="both"/>
        <w:rPr>
          <w:rFonts w:ascii="Arial" w:hAnsi="Arial" w:cs="Arial"/>
        </w:rPr>
      </w:pPr>
      <w:r w:rsidRPr="00C262EA">
        <w:rPr>
          <w:rFonts w:ascii="Arial" w:hAnsi="Arial" w:cs="Arial"/>
        </w:rPr>
        <w:t>La información consignada sobre las instalaciones existentes es referencial y debe ser confirmada en el sitio por la Sociedad Concesionaria.</w:t>
      </w:r>
    </w:p>
    <w:p w:rsidR="00C262EA" w:rsidRPr="00C262EA" w:rsidRDefault="00C262EA" w:rsidP="00D91134">
      <w:pPr>
        <w:tabs>
          <w:tab w:val="clear" w:pos="567"/>
          <w:tab w:val="clear" w:pos="1134"/>
          <w:tab w:val="clear" w:pos="1701"/>
          <w:tab w:val="clear" w:pos="2268"/>
          <w:tab w:val="clear" w:pos="2835"/>
        </w:tabs>
        <w:spacing w:before="120" w:line="247" w:lineRule="auto"/>
        <w:ind w:firstLine="425"/>
        <w:jc w:val="both"/>
        <w:rPr>
          <w:rFonts w:ascii="Arial" w:hAnsi="Arial" w:cs="Arial"/>
          <w:b/>
        </w:rPr>
      </w:pPr>
      <w:r w:rsidRPr="00C262EA">
        <w:rPr>
          <w:rFonts w:ascii="Arial" w:hAnsi="Arial" w:cs="Arial"/>
          <w:b/>
        </w:rPr>
        <w:t>c.2</w:t>
      </w:r>
      <w:r w:rsidRPr="00C262EA">
        <w:rPr>
          <w:rFonts w:ascii="Arial" w:hAnsi="Arial" w:cs="Arial"/>
          <w:b/>
        </w:rPr>
        <w:tab/>
        <w:t>Ampliación de la S.E. Quencoro</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 xml:space="preserve">El alcance previsto para la ampliación de la SE Quencoro es el siguiente: </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Implementación de la celda de salida y pórticos de línea en 138 kV para la línea de enlace con la SE Quencoro Nueva.</w:t>
      </w:r>
    </w:p>
    <w:p w:rsidR="00C262EA" w:rsidRPr="00C262EA" w:rsidRDefault="00C262EA" w:rsidP="004F6B32">
      <w:pPr>
        <w:numPr>
          <w:ilvl w:val="0"/>
          <w:numId w:val="98"/>
        </w:numPr>
        <w:tabs>
          <w:tab w:val="clear" w:pos="567"/>
          <w:tab w:val="clear" w:pos="1134"/>
          <w:tab w:val="clear" w:pos="1701"/>
          <w:tab w:val="clear" w:pos="2268"/>
          <w:tab w:val="clear" w:pos="2835"/>
          <w:tab w:val="left" w:pos="993"/>
        </w:tabs>
        <w:spacing w:before="120" w:line="247" w:lineRule="auto"/>
        <w:jc w:val="both"/>
        <w:rPr>
          <w:rFonts w:ascii="Arial" w:hAnsi="Arial" w:cs="Arial"/>
        </w:rPr>
      </w:pPr>
      <w:r w:rsidRPr="00C262EA">
        <w:rPr>
          <w:rFonts w:ascii="Arial" w:hAnsi="Arial" w:cs="Arial"/>
        </w:rPr>
        <w:t>Sistemas de control, telecomunicaciones, casetas de control y obras civiles asociadas.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i/>
          <w:sz w:val="16"/>
          <w:szCs w:val="16"/>
        </w:rPr>
      </w:pPr>
      <w:r w:rsidRPr="00C262EA">
        <w:rPr>
          <w:rFonts w:ascii="Arial" w:hAnsi="Arial" w:cs="Arial"/>
        </w:rPr>
        <w:t xml:space="preserve">Como parte del anteproyecto de ingeniería se incluye una configuración propuesta para la ampliación; sin embargo la misma tiene carácter referencial, por lo que la configuración y el equipamiento final de la ampliación deberán ser definidos por la Sociedad Concesionaria sobre la base de la verificación en campo de las características de las instalaciones existentes. </w:t>
      </w:r>
    </w:p>
    <w:p w:rsidR="00C262EA" w:rsidRPr="00C262EA" w:rsidRDefault="00C262EA" w:rsidP="00C262EA">
      <w:pPr>
        <w:tabs>
          <w:tab w:val="clear" w:pos="567"/>
          <w:tab w:val="clear" w:pos="1134"/>
          <w:tab w:val="clear" w:pos="1701"/>
          <w:tab w:val="clear" w:pos="2268"/>
          <w:tab w:val="clear" w:pos="2835"/>
        </w:tabs>
        <w:spacing w:before="120" w:line="247" w:lineRule="auto"/>
        <w:ind w:left="709" w:hanging="709"/>
        <w:jc w:val="both"/>
        <w:rPr>
          <w:rFonts w:ascii="Arial" w:hAnsi="Arial" w:cs="Arial"/>
          <w:i/>
          <w:sz w:val="16"/>
          <w:szCs w:val="16"/>
        </w:rPr>
      </w:pPr>
    </w:p>
    <w:p w:rsidR="00C262EA" w:rsidRPr="00C262EA" w:rsidRDefault="00C262EA" w:rsidP="00C262EA">
      <w:pPr>
        <w:tabs>
          <w:tab w:val="clear" w:pos="567"/>
          <w:tab w:val="clear" w:pos="1134"/>
          <w:tab w:val="clear" w:pos="1701"/>
          <w:tab w:val="clear" w:pos="2268"/>
          <w:tab w:val="clear" w:pos="2835"/>
        </w:tabs>
        <w:spacing w:before="120"/>
        <w:ind w:left="709" w:hanging="283"/>
        <w:jc w:val="both"/>
        <w:rPr>
          <w:rFonts w:ascii="Arial" w:hAnsi="Arial" w:cs="Arial"/>
          <w:b/>
        </w:rPr>
      </w:pPr>
      <w:r w:rsidRPr="00C262EA">
        <w:rPr>
          <w:rFonts w:ascii="Arial" w:hAnsi="Arial" w:cs="Arial"/>
          <w:b/>
        </w:rPr>
        <w:lastRenderedPageBreak/>
        <w:t>d)</w:t>
      </w:r>
      <w:r w:rsidRPr="00C262EA">
        <w:rPr>
          <w:rFonts w:ascii="Arial" w:hAnsi="Arial" w:cs="Arial"/>
          <w:b/>
        </w:rPr>
        <w:tab/>
        <w:t>CONSTRUCCIÓN DE LA SUBESTACIÓN ONOCORA</w:t>
      </w:r>
    </w:p>
    <w:p w:rsidR="00C262EA" w:rsidRPr="00C262EA" w:rsidRDefault="00C262EA" w:rsidP="00C262EA">
      <w:pPr>
        <w:tabs>
          <w:tab w:val="clear" w:pos="567"/>
          <w:tab w:val="clear" w:pos="1134"/>
          <w:tab w:val="clear" w:pos="1701"/>
          <w:tab w:val="clear" w:pos="2268"/>
          <w:tab w:val="clear" w:pos="2835"/>
        </w:tabs>
        <w:spacing w:before="120"/>
        <w:ind w:left="426"/>
        <w:jc w:val="both"/>
        <w:rPr>
          <w:rFonts w:ascii="Arial" w:hAnsi="Arial" w:cs="Arial"/>
        </w:rPr>
      </w:pPr>
      <w:r w:rsidRPr="00C262EA">
        <w:rPr>
          <w:rFonts w:ascii="Arial" w:hAnsi="Arial" w:cs="Arial"/>
        </w:rPr>
        <w:t>Esta es una subestación completamente nueva que se instalará sobre los 3560 msnm,  cuya ubicación aproximada está dada por las siguientes coordenadas:</w:t>
      </w:r>
    </w:p>
    <w:tbl>
      <w:tblPr>
        <w:tblW w:w="0" w:type="auto"/>
        <w:jc w:val="center"/>
        <w:tblLook w:val="00A0" w:firstRow="1" w:lastRow="0" w:firstColumn="1" w:lastColumn="0" w:noHBand="0" w:noVBand="0"/>
      </w:tblPr>
      <w:tblGrid>
        <w:gridCol w:w="2401"/>
        <w:gridCol w:w="2276"/>
      </w:tblGrid>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120"/>
              <w:ind w:left="389" w:hanging="284"/>
              <w:rPr>
                <w:rFonts w:ascii="Arial" w:hAnsi="Arial" w:cs="Arial"/>
              </w:rPr>
            </w:pPr>
            <w:r w:rsidRPr="00C262EA">
              <w:rPr>
                <w:rFonts w:ascii="Arial" w:hAnsi="Arial" w:cs="Arial"/>
              </w:rPr>
              <w:t>Zona</w:t>
            </w:r>
          </w:p>
        </w:tc>
        <w:tc>
          <w:tcPr>
            <w:tcW w:w="2276" w:type="dxa"/>
          </w:tcPr>
          <w:p w:rsidR="00C262EA" w:rsidRPr="00C262EA" w:rsidRDefault="00C262EA" w:rsidP="005F17E4">
            <w:pPr>
              <w:spacing w:before="120"/>
              <w:ind w:left="397"/>
              <w:rPr>
                <w:rFonts w:ascii="Arial" w:hAnsi="Arial" w:cs="Arial"/>
              </w:rPr>
            </w:pPr>
            <w:r w:rsidRPr="00C262EA">
              <w:rPr>
                <w:rFonts w:ascii="Arial" w:hAnsi="Arial" w:cs="Arial"/>
              </w:rPr>
              <w:t>19L</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Sur</w:t>
            </w:r>
          </w:p>
        </w:tc>
        <w:tc>
          <w:tcPr>
            <w:tcW w:w="2276" w:type="dxa"/>
          </w:tcPr>
          <w:p w:rsidR="00C262EA" w:rsidRPr="00C262EA" w:rsidRDefault="00C262EA" w:rsidP="005F17E4">
            <w:pPr>
              <w:spacing w:before="80"/>
              <w:ind w:left="397"/>
              <w:rPr>
                <w:rFonts w:ascii="Arial" w:hAnsi="Arial" w:cs="Arial"/>
              </w:rPr>
            </w:pPr>
            <w:r w:rsidRPr="00C262EA">
              <w:rPr>
                <w:rFonts w:ascii="Arial" w:hAnsi="Arial" w:cs="Arial"/>
              </w:rPr>
              <w:t>8425243</w:t>
            </w:r>
          </w:p>
        </w:tc>
      </w:tr>
      <w:tr w:rsidR="00C262EA" w:rsidRPr="00C262EA" w:rsidTr="00454A68">
        <w:trPr>
          <w:jc w:val="center"/>
        </w:trPr>
        <w:tc>
          <w:tcPr>
            <w:tcW w:w="2401" w:type="dxa"/>
          </w:tcPr>
          <w:p w:rsidR="00C262EA" w:rsidRPr="00C262EA" w:rsidRDefault="00C262EA" w:rsidP="004F6B32">
            <w:pPr>
              <w:numPr>
                <w:ilvl w:val="0"/>
                <w:numId w:val="97"/>
              </w:numPr>
              <w:tabs>
                <w:tab w:val="clear" w:pos="567"/>
                <w:tab w:val="left" w:pos="389"/>
              </w:tabs>
              <w:spacing w:before="80"/>
              <w:ind w:left="389" w:hanging="284"/>
              <w:rPr>
                <w:rFonts w:ascii="Arial" w:hAnsi="Arial" w:cs="Arial"/>
              </w:rPr>
            </w:pPr>
            <w:r w:rsidRPr="00C262EA">
              <w:rPr>
                <w:rFonts w:ascii="Arial" w:hAnsi="Arial" w:cs="Arial"/>
              </w:rPr>
              <w:t>Coordenada Este</w:t>
            </w:r>
          </w:p>
        </w:tc>
        <w:tc>
          <w:tcPr>
            <w:tcW w:w="2276" w:type="dxa"/>
          </w:tcPr>
          <w:p w:rsidR="00C262EA" w:rsidRPr="00C262EA" w:rsidRDefault="00C262EA" w:rsidP="005F17E4">
            <w:pPr>
              <w:spacing w:before="80"/>
              <w:ind w:left="397"/>
              <w:rPr>
                <w:rFonts w:ascii="Arial" w:hAnsi="Arial" w:cs="Arial"/>
              </w:rPr>
            </w:pPr>
            <w:r w:rsidRPr="00C262EA">
              <w:rPr>
                <w:rFonts w:ascii="Arial" w:hAnsi="Arial" w:cs="Arial"/>
                <w:lang w:eastAsia="es-ES"/>
              </w:rPr>
              <w:t xml:space="preserve">  258194</w:t>
            </w:r>
          </w:p>
        </w:tc>
      </w:tr>
    </w:tbl>
    <w:p w:rsidR="00C262EA" w:rsidRPr="00C262EA" w:rsidRDefault="00C262EA" w:rsidP="005F17E4">
      <w:pPr>
        <w:tabs>
          <w:tab w:val="clear" w:pos="567"/>
          <w:tab w:val="clear" w:pos="1134"/>
          <w:tab w:val="clear" w:pos="1701"/>
          <w:tab w:val="clear" w:pos="2268"/>
          <w:tab w:val="clear" w:pos="2835"/>
        </w:tabs>
        <w:spacing w:before="120" w:line="247" w:lineRule="auto"/>
        <w:ind w:left="425"/>
        <w:jc w:val="both"/>
        <w:rPr>
          <w:rFonts w:ascii="Arial" w:hAnsi="Arial" w:cs="Arial"/>
        </w:rPr>
      </w:pPr>
      <w:r w:rsidRPr="00C262EA">
        <w:rPr>
          <w:rFonts w:ascii="Arial" w:hAnsi="Arial" w:cs="Arial"/>
        </w:rPr>
        <w:t>Al momento de desarrollar el estudio definitivo, la Sociedad Concesionaria deberá actualizar la ubicación final de la Subestación.</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Las instalaciones previstas como parte de esta subestación son las siguientes:</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Sistema de conexiones barras en 220 kV, con configuración doble barra.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línea en 220 kV para la L.T. Quencoro – Onocora.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Dos (02) celdas de línea en 220 kV para la L.T. doble terna Onocora – Tintaya.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acoplamiento de barras en 220 kV.</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Asimismo, se deberán prever los espacios necesarios para  implementación de las siguientes instalaciones:</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línea en 220 kV para la conexión de la C.H. Pucará.</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Tres (03) celdas de línea en 220 kV para la conexión de las L.T. provenientes de las C.H. San Gabán I, III y IV.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 (01) Transformador de potencia.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Celdas de conexión al transformador en 220 kV y 138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reactor de barra en 220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Tres (03) celdas de línea en 220 kV, (para su implementación futura)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Futuro patio de llaves en 138 kV con:</w:t>
      </w:r>
    </w:p>
    <w:p w:rsidR="00C262EA" w:rsidRPr="00C262EA" w:rsidRDefault="00C262EA" w:rsidP="004F6B32">
      <w:pPr>
        <w:numPr>
          <w:ilvl w:val="2"/>
          <w:numId w:val="101"/>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Sistema de conexiones de doble barra en 138 kV.</w:t>
      </w:r>
    </w:p>
    <w:p w:rsidR="00C262EA" w:rsidRPr="00C262EA" w:rsidRDefault="00C262EA" w:rsidP="004F6B32">
      <w:pPr>
        <w:numPr>
          <w:ilvl w:val="2"/>
          <w:numId w:val="101"/>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Una (01) celda de acoplamiento de barras en 138 kV</w:t>
      </w:r>
    </w:p>
    <w:p w:rsidR="00C262EA" w:rsidRPr="00C262EA" w:rsidRDefault="00C262EA" w:rsidP="004F6B32">
      <w:pPr>
        <w:numPr>
          <w:ilvl w:val="2"/>
          <w:numId w:val="101"/>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 xml:space="preserve">Tres (03) celdas de línea en 138 kV </w:t>
      </w:r>
    </w:p>
    <w:p w:rsidR="00C262EA" w:rsidRPr="00C262EA" w:rsidRDefault="00C262EA" w:rsidP="005F17E4">
      <w:pPr>
        <w:tabs>
          <w:tab w:val="clear" w:pos="567"/>
          <w:tab w:val="clear" w:pos="1134"/>
          <w:tab w:val="clear" w:pos="1701"/>
          <w:tab w:val="clear" w:pos="2268"/>
          <w:tab w:val="clear" w:pos="2835"/>
        </w:tabs>
        <w:spacing w:before="240" w:line="247" w:lineRule="auto"/>
        <w:ind w:left="425"/>
        <w:jc w:val="both"/>
        <w:rPr>
          <w:rFonts w:ascii="Arial" w:hAnsi="Arial" w:cs="Arial"/>
        </w:rPr>
      </w:pPr>
      <w:r w:rsidRPr="00C262EA">
        <w:rPr>
          <w:rFonts w:ascii="Arial" w:hAnsi="Arial" w:cs="Arial"/>
        </w:rPr>
        <w:t>El esquema final de la subestación será definido en los Estudios de Pre operatividad, de tal manera que se garantice la capacidad de transmisión establecida para las líneas de transmisión a las que está asociada la subestación.</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En general, la Sociedad Concesionaria deberá efectuar las coordinaciones necesarias con las empresas concesionarias cuyas instalaciones se encuentren involucradas con el proyecto y, por lo tanto, constituirá su responsabilidad, efectuar las modificaciones, refuerzos, instalaciones o sustituciones de equipos en las subestaciones a ampliarse, cuando sean necesarias para la correcta operación de las instalaciones de acuerdo con los requerimientos  del SEIN y los estudios de Pre operatividad y operatividad, aprobados por el COES.</w:t>
      </w:r>
    </w:p>
    <w:p w:rsidR="00C262EA" w:rsidRPr="00C262EA" w:rsidRDefault="005F17E4" w:rsidP="005F17E4">
      <w:pPr>
        <w:tabs>
          <w:tab w:val="clear" w:pos="567"/>
          <w:tab w:val="clear" w:pos="1134"/>
          <w:tab w:val="clear" w:pos="1701"/>
          <w:tab w:val="clear" w:pos="2268"/>
          <w:tab w:val="clear" w:pos="2835"/>
        </w:tabs>
        <w:spacing w:before="120" w:line="247" w:lineRule="auto"/>
        <w:ind w:left="426" w:hanging="426"/>
        <w:jc w:val="both"/>
        <w:rPr>
          <w:rFonts w:ascii="Arial" w:hAnsi="Arial" w:cs="Arial"/>
          <w:b/>
        </w:rPr>
      </w:pPr>
      <w:r>
        <w:rPr>
          <w:rFonts w:ascii="Arial" w:hAnsi="Arial" w:cs="Arial"/>
          <w:i/>
          <w:sz w:val="16"/>
          <w:szCs w:val="16"/>
        </w:rPr>
        <w:br w:type="page"/>
      </w:r>
      <w:r w:rsidR="00C262EA" w:rsidRPr="00C262EA">
        <w:rPr>
          <w:rFonts w:ascii="Arial" w:hAnsi="Arial" w:cs="Arial"/>
          <w:b/>
        </w:rPr>
        <w:lastRenderedPageBreak/>
        <w:t>e)</w:t>
      </w:r>
      <w:r w:rsidR="00C262EA" w:rsidRPr="00C262EA">
        <w:rPr>
          <w:rFonts w:ascii="Arial" w:hAnsi="Arial" w:cs="Arial"/>
          <w:b/>
        </w:rPr>
        <w:tab/>
        <w:t>AMPLIACIÓN DE LA SUBESTACIÓN TINTAYA NUEVA</w:t>
      </w:r>
    </w:p>
    <w:p w:rsidR="00C262EA" w:rsidRPr="00C262EA" w:rsidRDefault="00C262EA" w:rsidP="00C262EA">
      <w:pPr>
        <w:tabs>
          <w:tab w:val="clear" w:pos="567"/>
          <w:tab w:val="clear" w:pos="1134"/>
          <w:tab w:val="clear" w:pos="1701"/>
          <w:tab w:val="clear" w:pos="2268"/>
          <w:tab w:val="clear" w:pos="2835"/>
        </w:tabs>
        <w:spacing w:before="120"/>
        <w:ind w:left="426"/>
        <w:jc w:val="both"/>
        <w:rPr>
          <w:rFonts w:ascii="Arial" w:hAnsi="Arial" w:cs="Arial"/>
        </w:rPr>
      </w:pPr>
      <w:r w:rsidRPr="00C262EA">
        <w:rPr>
          <w:rFonts w:ascii="Arial" w:hAnsi="Arial" w:cs="Arial"/>
        </w:rPr>
        <w:t xml:space="preserve">Esta es una subestación que forma parte del proyecto “Línea de Transmisión Tintaya-Socabaya 220 kV y Subestaciones Asociadas”, y su construcción y operación ha sido concesionada a la empresa Transmisora Eléctrica del Sur, quien es la responsable de establecer su ubicación definitiva; pero la misma se encontrará próxima a la subestación Tintaya existente, a una altitud comprendida entre los 4000 y los 4150 msnm.  </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b/>
          <w:lang w:eastAsia="es-ES"/>
        </w:rPr>
      </w:pPr>
      <w:r w:rsidRPr="00C262EA">
        <w:rPr>
          <w:rFonts w:ascii="Arial" w:hAnsi="Arial" w:cs="Arial"/>
          <w:b/>
          <w:lang w:eastAsia="es-ES"/>
        </w:rPr>
        <w:t>e.1</w:t>
      </w:r>
      <w:r w:rsidRPr="00C262EA">
        <w:rPr>
          <w:rFonts w:ascii="Arial" w:hAnsi="Arial" w:cs="Arial"/>
          <w:b/>
          <w:lang w:eastAsia="es-ES"/>
        </w:rPr>
        <w:tab/>
        <w:t xml:space="preserve">Instalaciones que se encuentran en etapa de construcción </w:t>
      </w:r>
    </w:p>
    <w:p w:rsidR="00C262EA" w:rsidRPr="00C262EA" w:rsidRDefault="00C262EA" w:rsidP="00C262EA">
      <w:pPr>
        <w:tabs>
          <w:tab w:val="clear" w:pos="567"/>
          <w:tab w:val="clear" w:pos="1134"/>
          <w:tab w:val="clear" w:pos="1701"/>
          <w:tab w:val="clear" w:pos="2268"/>
          <w:tab w:val="clear" w:pos="2835"/>
        </w:tabs>
        <w:spacing w:before="120"/>
        <w:ind w:left="426"/>
        <w:jc w:val="both"/>
        <w:rPr>
          <w:rFonts w:ascii="Arial" w:hAnsi="Arial" w:cs="Arial"/>
        </w:rPr>
      </w:pPr>
      <w:r w:rsidRPr="00C262EA">
        <w:rPr>
          <w:rFonts w:ascii="Arial" w:hAnsi="Arial" w:cs="Arial"/>
        </w:rPr>
        <w:t>De acuerdo con lo señalado en el contrato de la concesión otorgada a la empresa Transmisora Eléctrica del Sur (TESUR), las instalaciones que se prevé comprenderá esta subestación son las siguientes:</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Sistema de conexiones de doble barra en 220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acoplamiento de barras en 220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Dos (02) celdas de línea en 220 kV para la L.T. Tintaya-Socabaya.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Transformador de potencia de 75 MVA (ONAN), 100 MVA (ONAF 1) y 125 MVA (ONAF 2), de relación de transformación 220/138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de transformador en 220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Una (01) celda línea-transformador en 138 kV para el enlace con la SE Tintaya existente.</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 xml:space="preserve">Espacio suficiente  para la implementación de ocho (08) celdas de línea adicionales en 220 kV como mínimo. </w:t>
      </w:r>
    </w:p>
    <w:p w:rsidR="00C262EA" w:rsidRPr="00C262EA" w:rsidRDefault="00C262EA" w:rsidP="00CE7815">
      <w:pPr>
        <w:tabs>
          <w:tab w:val="clear" w:pos="567"/>
          <w:tab w:val="clear" w:pos="1134"/>
          <w:tab w:val="clear" w:pos="1701"/>
          <w:tab w:val="clear" w:pos="2268"/>
          <w:tab w:val="clear" w:pos="2835"/>
        </w:tabs>
        <w:spacing w:before="240" w:line="247" w:lineRule="auto"/>
        <w:ind w:left="425"/>
        <w:jc w:val="both"/>
        <w:rPr>
          <w:rFonts w:ascii="Arial" w:hAnsi="Arial" w:cs="Arial"/>
          <w:highlight w:val="yellow"/>
          <w:lang w:eastAsia="es-ES"/>
        </w:rPr>
      </w:pPr>
      <w:r w:rsidRPr="00C262EA">
        <w:rPr>
          <w:rFonts w:ascii="Arial" w:hAnsi="Arial" w:cs="Arial"/>
          <w:lang w:eastAsia="es-ES"/>
        </w:rPr>
        <w:t>La Sociedad Concesionaria deberá verificar la ubicación exacta, el equipamiento y las características definitivas de esta subestación, para lo cual debe realizar las coordinaciones que resulten necesarias con la empresa Transmisora Eléctrica del Sur, a fin de tomar en cuenta la configuración y características finales de la misma, antes de realizar la ampliación correspondiente.</w:t>
      </w:r>
      <w:r w:rsidRPr="00C262EA">
        <w:rPr>
          <w:rFonts w:ascii="Arial" w:hAnsi="Arial" w:cs="Arial"/>
          <w:highlight w:val="yellow"/>
          <w:lang w:eastAsia="es-ES"/>
        </w:rPr>
        <w:t xml:space="preserve"> </w:t>
      </w:r>
    </w:p>
    <w:p w:rsidR="00C262EA" w:rsidRPr="00C262EA" w:rsidRDefault="00C262EA" w:rsidP="00CE7815">
      <w:pPr>
        <w:tabs>
          <w:tab w:val="clear" w:pos="567"/>
          <w:tab w:val="clear" w:pos="1134"/>
          <w:tab w:val="clear" w:pos="1701"/>
          <w:tab w:val="clear" w:pos="2268"/>
          <w:tab w:val="clear" w:pos="2835"/>
        </w:tabs>
        <w:spacing w:before="120" w:line="247" w:lineRule="auto"/>
        <w:ind w:firstLine="425"/>
        <w:jc w:val="both"/>
        <w:rPr>
          <w:rFonts w:ascii="Arial" w:hAnsi="Arial" w:cs="Arial"/>
          <w:b/>
        </w:rPr>
      </w:pPr>
      <w:r w:rsidRPr="00C262EA">
        <w:rPr>
          <w:rFonts w:ascii="Arial" w:hAnsi="Arial" w:cs="Arial"/>
          <w:b/>
        </w:rPr>
        <w:t>e.2</w:t>
      </w:r>
      <w:r w:rsidRPr="00C262EA">
        <w:rPr>
          <w:rFonts w:ascii="Arial" w:hAnsi="Arial" w:cs="Arial"/>
          <w:b/>
        </w:rPr>
        <w:tab/>
        <w:t>Ampliación de la S.E. Tintaya Nueva</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rPr>
      </w:pPr>
      <w:r w:rsidRPr="00C262EA">
        <w:rPr>
          <w:rFonts w:ascii="Arial" w:hAnsi="Arial" w:cs="Arial"/>
        </w:rPr>
        <w:t xml:space="preserve">La ampliación de la S.E. Tintaya Nueva debe ser realizada sobre la base de los diseños de ingeniería definitiva desarrollados, o ejecutados, por </w:t>
      </w:r>
      <w:r w:rsidRPr="00C262EA">
        <w:rPr>
          <w:rFonts w:ascii="Arial" w:hAnsi="Arial" w:cs="Arial"/>
          <w:lang w:eastAsia="es-ES"/>
        </w:rPr>
        <w:t>TESUR</w:t>
      </w:r>
      <w:r w:rsidRPr="00C262EA">
        <w:rPr>
          <w:rFonts w:ascii="Arial" w:hAnsi="Arial" w:cs="Arial"/>
        </w:rPr>
        <w:t xml:space="preserve">, considerando el siguiente equipamiento: </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Ampliación del sistema de doble barra en 220 kV.</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 xml:space="preserve">Implementación de dos (02) celdas de línea en 220 kV para la L.T. doble terna  Onocora-Tintaya. </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Instalación de pórticos de salida para la línea.</w:t>
      </w:r>
    </w:p>
    <w:p w:rsidR="00C262EA" w:rsidRPr="00C262EA" w:rsidRDefault="00C262EA" w:rsidP="004F6B32">
      <w:pPr>
        <w:numPr>
          <w:ilvl w:val="0"/>
          <w:numId w:val="97"/>
        </w:numPr>
        <w:tabs>
          <w:tab w:val="clear" w:pos="567"/>
          <w:tab w:val="clear" w:pos="1134"/>
          <w:tab w:val="clear" w:pos="1701"/>
          <w:tab w:val="clear" w:pos="2268"/>
          <w:tab w:val="clear" w:pos="2835"/>
          <w:tab w:val="left" w:pos="1418"/>
        </w:tabs>
        <w:spacing w:before="120" w:line="247" w:lineRule="auto"/>
        <w:ind w:left="1418" w:hanging="425"/>
        <w:jc w:val="both"/>
        <w:rPr>
          <w:rFonts w:ascii="Arial" w:hAnsi="Arial" w:cs="Arial"/>
        </w:rPr>
      </w:pPr>
      <w:r w:rsidRPr="00C262EA">
        <w:rPr>
          <w:rFonts w:ascii="Arial" w:hAnsi="Arial" w:cs="Arial"/>
        </w:rPr>
        <w:t>Sistemas de control, telecomunicaciones, casetas de control y obras civiles asociadas.</w:t>
      </w:r>
    </w:p>
    <w:p w:rsidR="00C262EA" w:rsidRPr="00C262EA" w:rsidRDefault="00C262EA" w:rsidP="00C262EA">
      <w:pPr>
        <w:tabs>
          <w:tab w:val="clear" w:pos="567"/>
          <w:tab w:val="clear" w:pos="1134"/>
          <w:tab w:val="clear" w:pos="1701"/>
          <w:tab w:val="clear" w:pos="2268"/>
          <w:tab w:val="clear" w:pos="2835"/>
        </w:tabs>
        <w:spacing w:before="120" w:line="247" w:lineRule="auto"/>
        <w:ind w:left="426"/>
        <w:jc w:val="both"/>
        <w:rPr>
          <w:rFonts w:ascii="Arial" w:hAnsi="Arial" w:cs="Arial"/>
          <w:highlight w:val="green"/>
        </w:rPr>
      </w:pPr>
      <w:r w:rsidRPr="00C262EA">
        <w:rPr>
          <w:rFonts w:ascii="Arial" w:hAnsi="Arial" w:cs="Arial"/>
        </w:rPr>
        <w:t>Como parte del anteproyecto de ingeniería se incluye una configuración propuesta para la ampliación; sin embargo la misma tiene carácter referencial, por lo que la configuración y el equipamiento final de la ampliación deberán ser definidos por la Sociedad Concesionaria sobre la base de la verificación de las características de las instalaciones existentes.</w:t>
      </w:r>
    </w:p>
    <w:p w:rsidR="00C262EA" w:rsidRPr="00C262EA" w:rsidRDefault="005F0462" w:rsidP="005F0462">
      <w:pPr>
        <w:tabs>
          <w:tab w:val="clear" w:pos="567"/>
          <w:tab w:val="clear" w:pos="1134"/>
          <w:tab w:val="clear" w:pos="1701"/>
          <w:tab w:val="clear" w:pos="2268"/>
          <w:tab w:val="clear" w:pos="2835"/>
        </w:tabs>
        <w:spacing w:before="120" w:line="247" w:lineRule="auto"/>
        <w:ind w:left="709" w:hanging="709"/>
        <w:jc w:val="both"/>
        <w:rPr>
          <w:rFonts w:ascii="Arial" w:hAnsi="Arial" w:cs="Arial"/>
          <w:b/>
        </w:rPr>
      </w:pPr>
      <w:r>
        <w:rPr>
          <w:rFonts w:ascii="Arial" w:hAnsi="Arial" w:cs="Arial"/>
          <w:i/>
          <w:sz w:val="16"/>
          <w:szCs w:val="16"/>
        </w:rPr>
        <w:br w:type="page"/>
      </w:r>
      <w:bookmarkStart w:id="49" w:name="_Toc272265349"/>
      <w:bookmarkStart w:id="50" w:name="_Toc272431142"/>
      <w:bookmarkStart w:id="51" w:name="_Toc306777412"/>
      <w:r w:rsidR="00C262EA" w:rsidRPr="00C262EA">
        <w:rPr>
          <w:rFonts w:ascii="Arial" w:hAnsi="Arial" w:cs="Arial"/>
          <w:b/>
        </w:rPr>
        <w:lastRenderedPageBreak/>
        <w:t>3.2</w:t>
      </w:r>
      <w:r w:rsidR="00C262EA" w:rsidRPr="00C262EA">
        <w:rPr>
          <w:rFonts w:ascii="Arial" w:hAnsi="Arial" w:cs="Arial"/>
          <w:b/>
        </w:rPr>
        <w:tab/>
        <w:t>REQUERIMIENTOS TÉCNICOS DE LAS SUBESTACIONES</w:t>
      </w:r>
      <w:bookmarkEnd w:id="49"/>
      <w:bookmarkEnd w:id="50"/>
      <w:bookmarkEnd w:id="51"/>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a)</w:t>
      </w:r>
      <w:r w:rsidRPr="00C262EA">
        <w:rPr>
          <w:rFonts w:ascii="Arial" w:hAnsi="Arial" w:cs="Arial"/>
          <w:b/>
          <w:bCs/>
        </w:rPr>
        <w:tab/>
        <w:t>Características técnicas generales</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En el presente acápite se especifican los requerimientos técnicos que deberán soportar y cumplir los equipos de las subestaciones. Sin embargo, durante el desarrollo del estudio definitivo la Sociedad Concesionaria deberá realizar todos aquellos estudios que determinen el correcto comportamiento operativo del sistema propuesto.</w:t>
      </w:r>
    </w:p>
    <w:p w:rsidR="00C262EA" w:rsidRPr="00C262EA" w:rsidRDefault="00C262EA" w:rsidP="004F6B32">
      <w:pPr>
        <w:numPr>
          <w:ilvl w:val="0"/>
          <w:numId w:val="51"/>
        </w:numPr>
        <w:tabs>
          <w:tab w:val="clear" w:pos="567"/>
          <w:tab w:val="clear" w:pos="1134"/>
          <w:tab w:val="clear" w:pos="1701"/>
          <w:tab w:val="clear" w:pos="1920"/>
          <w:tab w:val="clear" w:pos="2268"/>
          <w:tab w:val="clear" w:pos="2835"/>
          <w:tab w:val="left" w:pos="709"/>
        </w:tabs>
        <w:spacing w:before="120" w:line="247" w:lineRule="auto"/>
        <w:ind w:left="709" w:hanging="284"/>
        <w:jc w:val="both"/>
        <w:rPr>
          <w:rFonts w:ascii="Arial" w:hAnsi="Arial" w:cs="Arial"/>
        </w:rPr>
      </w:pPr>
      <w:r w:rsidRPr="00C262EA">
        <w:rPr>
          <w:rFonts w:ascii="Arial" w:hAnsi="Arial" w:cs="Arial"/>
        </w:rPr>
        <w:t>Se deberá instalar equipos de fabricantes que tengan un mínimo de experiencia de fabricación y suministro de quince (15) años.</w:t>
      </w:r>
    </w:p>
    <w:p w:rsidR="00C262EA" w:rsidRPr="00C262EA" w:rsidRDefault="00C262EA" w:rsidP="004F6B32">
      <w:pPr>
        <w:numPr>
          <w:ilvl w:val="0"/>
          <w:numId w:val="51"/>
        </w:numPr>
        <w:tabs>
          <w:tab w:val="clear" w:pos="567"/>
          <w:tab w:val="clear" w:pos="1134"/>
          <w:tab w:val="clear" w:pos="1701"/>
          <w:tab w:val="clear" w:pos="1920"/>
          <w:tab w:val="clear" w:pos="2268"/>
          <w:tab w:val="clear" w:pos="2835"/>
          <w:tab w:val="left" w:pos="709"/>
        </w:tabs>
        <w:spacing w:before="120" w:line="247" w:lineRule="auto"/>
        <w:ind w:left="709" w:hanging="284"/>
        <w:jc w:val="both"/>
        <w:rPr>
          <w:rFonts w:ascii="Arial" w:hAnsi="Arial" w:cs="Arial"/>
        </w:rPr>
      </w:pPr>
      <w:r w:rsidRPr="00C262EA">
        <w:rPr>
          <w:rFonts w:ascii="Arial" w:hAnsi="Arial" w:cs="Arial"/>
        </w:rPr>
        <w:t>Los equipos deberán ser de última tecnología; sin embargo, no se aceptarán equipos con poca experiencia de operación. Se deberán presentar referencias de suministros similares y de referencias acreditadas de operación exitosa de equipos por parte de operadores de sistemas de transmisión.</w:t>
      </w:r>
    </w:p>
    <w:p w:rsidR="00C262EA" w:rsidRPr="00C262EA" w:rsidRDefault="00C262EA" w:rsidP="004F6B32">
      <w:pPr>
        <w:numPr>
          <w:ilvl w:val="0"/>
          <w:numId w:val="51"/>
        </w:numPr>
        <w:tabs>
          <w:tab w:val="clear" w:pos="567"/>
          <w:tab w:val="clear" w:pos="1134"/>
          <w:tab w:val="clear" w:pos="1701"/>
          <w:tab w:val="clear" w:pos="1920"/>
          <w:tab w:val="clear" w:pos="2268"/>
          <w:tab w:val="clear" w:pos="2835"/>
          <w:tab w:val="left" w:pos="709"/>
        </w:tabs>
        <w:spacing w:before="120" w:line="247" w:lineRule="auto"/>
        <w:ind w:left="709" w:hanging="284"/>
        <w:jc w:val="both"/>
        <w:rPr>
          <w:rFonts w:ascii="Arial" w:hAnsi="Arial" w:cs="Arial"/>
        </w:rPr>
      </w:pPr>
      <w:r w:rsidRPr="00C262EA">
        <w:rPr>
          <w:rFonts w:ascii="Arial" w:hAnsi="Arial" w:cs="Arial"/>
        </w:rPr>
        <w:t>Los equipos deberán contar con informes certificados por institutos internacionales reconocidos, que muestren que han pasado exitosamente las Pruebas de Tipo. Todos los equipos serán sometidos a las Pruebas de Rutina.</w:t>
      </w:r>
    </w:p>
    <w:p w:rsidR="00C262EA" w:rsidRPr="00C262EA" w:rsidRDefault="00C262EA" w:rsidP="004F6B32">
      <w:pPr>
        <w:numPr>
          <w:ilvl w:val="0"/>
          <w:numId w:val="51"/>
        </w:numPr>
        <w:tabs>
          <w:tab w:val="clear" w:pos="567"/>
          <w:tab w:val="clear" w:pos="1134"/>
          <w:tab w:val="clear" w:pos="1701"/>
          <w:tab w:val="clear" w:pos="1920"/>
          <w:tab w:val="clear" w:pos="2268"/>
          <w:tab w:val="clear" w:pos="2835"/>
          <w:tab w:val="left" w:pos="709"/>
        </w:tabs>
        <w:spacing w:before="120" w:line="247" w:lineRule="auto"/>
        <w:ind w:left="709" w:hanging="284"/>
        <w:jc w:val="both"/>
        <w:rPr>
          <w:rFonts w:ascii="Arial" w:hAnsi="Arial" w:cs="Arial"/>
        </w:rPr>
      </w:pPr>
      <w:r w:rsidRPr="00C262EA">
        <w:rPr>
          <w:rFonts w:ascii="Arial" w:hAnsi="Arial" w:cs="Arial"/>
        </w:rPr>
        <w:t>Las normas aplicables que deberán cumplir los equipos, serán principalmente las siguientes: ANSI/IEEE, IEC, VDE, NEMA, ASTM, NESC, NFPA ó similares que garanticen un nivel de calidad igual o superior.</w:t>
      </w:r>
    </w:p>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b/>
          <w:bCs/>
        </w:rPr>
      </w:pPr>
      <w:r w:rsidRPr="00C262EA">
        <w:rPr>
          <w:rFonts w:ascii="Arial" w:hAnsi="Arial" w:cs="Arial"/>
          <w:b/>
          <w:bCs/>
        </w:rPr>
        <w:t>b) Ubicación y espacio para ampliaciones futuras</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rPr>
      </w:pPr>
      <w:r w:rsidRPr="00C262EA">
        <w:rPr>
          <w:rFonts w:ascii="Arial" w:hAnsi="Arial" w:cs="Arial"/>
        </w:rPr>
        <w:t>b.1)</w:t>
      </w:r>
      <w:r w:rsidRPr="00C262EA">
        <w:rPr>
          <w:rFonts w:ascii="Arial" w:hAnsi="Arial" w:cs="Arial"/>
        </w:rPr>
        <w:tab/>
        <w:t>Ampliación de subestaciones existentes.</w:t>
      </w:r>
    </w:p>
    <w:p w:rsidR="00C262EA" w:rsidRPr="00C262EA" w:rsidRDefault="00C262EA" w:rsidP="004F6B32">
      <w:pPr>
        <w:numPr>
          <w:ilvl w:val="0"/>
          <w:numId w:val="70"/>
        </w:numPr>
        <w:tabs>
          <w:tab w:val="clear" w:pos="567"/>
          <w:tab w:val="clear" w:pos="1134"/>
          <w:tab w:val="clear" w:pos="1418"/>
          <w:tab w:val="clear" w:pos="1701"/>
          <w:tab w:val="clear" w:pos="2268"/>
          <w:tab w:val="clear" w:pos="2835"/>
        </w:tabs>
        <w:spacing w:before="60" w:line="247" w:lineRule="auto"/>
        <w:ind w:left="1135"/>
        <w:jc w:val="both"/>
        <w:rPr>
          <w:rFonts w:ascii="Arial" w:hAnsi="Arial" w:cs="Arial"/>
        </w:rPr>
      </w:pPr>
      <w:r w:rsidRPr="00C262EA">
        <w:rPr>
          <w:rFonts w:ascii="Arial" w:hAnsi="Arial" w:cs="Arial"/>
        </w:rPr>
        <w:t>Será de responsabilidad de la Sociedad Concesionaria gestionar, coordinar o adquirir bajo cualquier título el derecho a usar los espacios disponibles, estableciendo los acuerdos respectivos con los titulares de las subestaciones, así como coordinar los requerimientos de equipamiento, estandarización, uso de instalaciones comunes y otros.</w:t>
      </w:r>
    </w:p>
    <w:p w:rsidR="00C262EA" w:rsidRPr="00C262EA" w:rsidRDefault="00C262EA" w:rsidP="004F6B32">
      <w:pPr>
        <w:numPr>
          <w:ilvl w:val="0"/>
          <w:numId w:val="70"/>
        </w:numPr>
        <w:tabs>
          <w:tab w:val="clear" w:pos="567"/>
          <w:tab w:val="clear" w:pos="1134"/>
          <w:tab w:val="clear" w:pos="1418"/>
          <w:tab w:val="clear" w:pos="1701"/>
          <w:tab w:val="clear" w:pos="2268"/>
          <w:tab w:val="clear" w:pos="2835"/>
        </w:tabs>
        <w:spacing w:before="60" w:line="247" w:lineRule="auto"/>
        <w:ind w:left="1135"/>
        <w:jc w:val="both"/>
        <w:rPr>
          <w:rFonts w:ascii="Arial" w:hAnsi="Arial" w:cs="Arial"/>
        </w:rPr>
      </w:pPr>
      <w:r w:rsidRPr="00C262EA">
        <w:rPr>
          <w:rFonts w:ascii="Arial" w:hAnsi="Arial" w:cs="Arial"/>
        </w:rPr>
        <w:t>La Sociedad Concesionaria será también la responsable de adquirir los terrenos adyacentes, donde esto resulte necesario o sea requerido, y efectuar las obras de modificación y adecuación de las subestaciones.</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rPr>
      </w:pPr>
      <w:r w:rsidRPr="00C262EA">
        <w:rPr>
          <w:rFonts w:ascii="Arial" w:hAnsi="Arial" w:cs="Arial"/>
        </w:rPr>
        <w:t>b.2)</w:t>
      </w:r>
      <w:r w:rsidRPr="00C262EA">
        <w:rPr>
          <w:rFonts w:ascii="Arial" w:hAnsi="Arial" w:cs="Arial"/>
        </w:rPr>
        <w:tab/>
        <w:t>Subestaciones nuevas.</w:t>
      </w:r>
    </w:p>
    <w:p w:rsidR="00C262EA" w:rsidRPr="00C262EA" w:rsidRDefault="00C262EA" w:rsidP="004F6B32">
      <w:pPr>
        <w:numPr>
          <w:ilvl w:val="0"/>
          <w:numId w:val="70"/>
        </w:numPr>
        <w:tabs>
          <w:tab w:val="clear" w:pos="567"/>
          <w:tab w:val="clear" w:pos="1134"/>
          <w:tab w:val="clear" w:pos="1418"/>
          <w:tab w:val="clear" w:pos="1701"/>
          <w:tab w:val="clear" w:pos="2268"/>
          <w:tab w:val="clear" w:pos="2835"/>
        </w:tabs>
        <w:spacing w:before="60" w:line="247" w:lineRule="auto"/>
        <w:ind w:left="1135"/>
        <w:jc w:val="both"/>
        <w:rPr>
          <w:rFonts w:ascii="Arial" w:hAnsi="Arial" w:cs="Arial"/>
        </w:rPr>
      </w:pPr>
      <w:r w:rsidRPr="00C262EA">
        <w:rPr>
          <w:rFonts w:ascii="Arial" w:hAnsi="Arial" w:cs="Arial"/>
        </w:rPr>
        <w:t>La Sociedad Concesionaria será responsable de seleccionar la ubicación final, determinar el área requerida, adquirir el terreno, habilitarlo y construir la infraestructura necesaria.</w:t>
      </w:r>
    </w:p>
    <w:p w:rsidR="00C262EA" w:rsidRPr="00C262EA" w:rsidRDefault="00C262EA" w:rsidP="004F6B32">
      <w:pPr>
        <w:numPr>
          <w:ilvl w:val="0"/>
          <w:numId w:val="70"/>
        </w:numPr>
        <w:tabs>
          <w:tab w:val="clear" w:pos="567"/>
          <w:tab w:val="clear" w:pos="1134"/>
          <w:tab w:val="clear" w:pos="1418"/>
          <w:tab w:val="clear" w:pos="1701"/>
          <w:tab w:val="clear" w:pos="2268"/>
          <w:tab w:val="clear" w:pos="2835"/>
        </w:tabs>
        <w:spacing w:before="60" w:line="247" w:lineRule="auto"/>
        <w:ind w:left="1135"/>
        <w:jc w:val="both"/>
        <w:rPr>
          <w:rFonts w:ascii="Arial" w:hAnsi="Arial" w:cs="Arial"/>
        </w:rPr>
      </w:pPr>
      <w:r w:rsidRPr="00C262EA">
        <w:rPr>
          <w:rFonts w:ascii="Arial" w:hAnsi="Arial" w:cs="Arial"/>
        </w:rPr>
        <w:t>Deberá preverse el espacio de terreno para ampliaciones futuras, según lo indicado en el apartado 3.1. sobre la base de las coordinaciones que correspondan con las concesionarias involucradas,  bajo la supervisión del OSINERGMIN.</w:t>
      </w:r>
    </w:p>
    <w:p w:rsidR="00C262EA" w:rsidRPr="00C262EA" w:rsidRDefault="00C262EA" w:rsidP="00C262EA">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C262EA">
        <w:rPr>
          <w:rFonts w:ascii="Arial" w:hAnsi="Arial" w:cs="Arial"/>
          <w:b/>
          <w:bCs/>
        </w:rPr>
        <w:t>c)</w:t>
      </w:r>
      <w:r w:rsidRPr="00C262EA">
        <w:rPr>
          <w:rFonts w:ascii="Arial" w:hAnsi="Arial" w:cs="Arial"/>
          <w:b/>
          <w:bCs/>
        </w:rPr>
        <w:tab/>
        <w:t>Niveles de tensión y aislamiento.</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b/>
        </w:rPr>
      </w:pPr>
      <w:r w:rsidRPr="00C262EA">
        <w:rPr>
          <w:rFonts w:ascii="Arial" w:hAnsi="Arial" w:cs="Arial"/>
          <w:b/>
        </w:rPr>
        <w:t>c.1)</w:t>
      </w:r>
      <w:r w:rsidRPr="00C262EA">
        <w:rPr>
          <w:rFonts w:ascii="Arial" w:hAnsi="Arial" w:cs="Arial"/>
          <w:b/>
        </w:rPr>
        <w:tab/>
        <w:t>Nivel de 220 kV</w:t>
      </w:r>
    </w:p>
    <w:p w:rsidR="00C262EA" w:rsidRPr="00C262EA" w:rsidRDefault="00C262EA" w:rsidP="00D155E7">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Tensión nominal</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220</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Máxima tensión de servicio</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245</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tensión de impulso</w:t>
      </w:r>
      <w:r w:rsidRPr="00C262EA">
        <w:rPr>
          <w:rFonts w:ascii="Arial" w:hAnsi="Arial" w:cs="Arial"/>
        </w:rPr>
        <w:tab/>
      </w:r>
      <w:r w:rsidRPr="00C262EA">
        <w:rPr>
          <w:rFonts w:ascii="Arial" w:hAnsi="Arial" w:cs="Arial"/>
        </w:rPr>
        <w:tab/>
      </w:r>
      <w:r w:rsidRPr="00C262EA">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1</w:t>
      </w:r>
      <w:r w:rsidR="00D155E7">
        <w:rPr>
          <w:rFonts w:ascii="Arial" w:hAnsi="Arial" w:cs="Arial"/>
        </w:rPr>
        <w:t xml:space="preserve"> </w:t>
      </w:r>
      <w:r w:rsidRPr="00C262EA">
        <w:rPr>
          <w:rFonts w:ascii="Arial" w:hAnsi="Arial" w:cs="Arial"/>
        </w:rPr>
        <w:t>050</w:t>
      </w:r>
      <w:r w:rsidRPr="00C262EA">
        <w:rPr>
          <w:rFonts w:ascii="Arial" w:hAnsi="Arial" w:cs="Arial"/>
        </w:rPr>
        <w:tab/>
        <w:t>kVpico</w:t>
      </w:r>
    </w:p>
    <w:p w:rsidR="00C262EA" w:rsidRPr="00C262EA" w:rsidRDefault="00C262EA" w:rsidP="008B7F1D">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sobretensión a 60 Hz:</w:t>
      </w:r>
      <w:r w:rsidRPr="00C262EA">
        <w:rPr>
          <w:rFonts w:ascii="Arial" w:hAnsi="Arial" w:cs="Arial"/>
        </w:rPr>
        <w:tab/>
      </w:r>
      <w:r w:rsidRPr="00C262EA">
        <w:rPr>
          <w:rFonts w:ascii="Arial" w:hAnsi="Arial" w:cs="Arial"/>
        </w:rPr>
        <w:tab/>
      </w:r>
      <w:r w:rsidRPr="00C262EA">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460</w:t>
      </w:r>
      <w:r w:rsidRPr="00C262EA">
        <w:rPr>
          <w:rFonts w:ascii="Arial" w:hAnsi="Arial" w:cs="Arial"/>
        </w:rPr>
        <w:tab/>
        <w:t>kV</w:t>
      </w:r>
    </w:p>
    <w:p w:rsidR="00C262EA" w:rsidRPr="00C262EA" w:rsidRDefault="00D155E7" w:rsidP="00C262EA">
      <w:pPr>
        <w:tabs>
          <w:tab w:val="clear" w:pos="567"/>
          <w:tab w:val="clear" w:pos="1701"/>
          <w:tab w:val="clear" w:pos="2268"/>
          <w:tab w:val="clear" w:pos="2835"/>
        </w:tabs>
        <w:spacing w:before="120" w:line="247" w:lineRule="auto"/>
        <w:ind w:left="851" w:right="-57" w:hanging="611"/>
        <w:jc w:val="both"/>
        <w:rPr>
          <w:rFonts w:ascii="Arial" w:hAnsi="Arial" w:cs="Arial"/>
          <w:b/>
        </w:rPr>
      </w:pPr>
      <w:r>
        <w:rPr>
          <w:rFonts w:ascii="Arial" w:hAnsi="Arial" w:cs="Arial"/>
          <w:b/>
        </w:rPr>
        <w:br w:type="page"/>
      </w:r>
      <w:r w:rsidR="00C262EA" w:rsidRPr="00C262EA">
        <w:rPr>
          <w:rFonts w:ascii="Arial" w:hAnsi="Arial" w:cs="Arial"/>
          <w:b/>
        </w:rPr>
        <w:lastRenderedPageBreak/>
        <w:t>c.2)</w:t>
      </w:r>
      <w:r w:rsidR="00C262EA" w:rsidRPr="00C262EA">
        <w:rPr>
          <w:rFonts w:ascii="Arial" w:hAnsi="Arial" w:cs="Arial"/>
          <w:b/>
        </w:rPr>
        <w:tab/>
        <w:t>Nivel de 138 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Tensión nominal</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138</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 w:val="left" w:pos="1843"/>
        </w:tabs>
        <w:spacing w:before="40" w:line="247" w:lineRule="auto"/>
        <w:ind w:left="851"/>
        <w:jc w:val="both"/>
        <w:rPr>
          <w:rFonts w:ascii="Arial" w:hAnsi="Arial" w:cs="Arial"/>
        </w:rPr>
      </w:pPr>
      <w:r w:rsidRPr="00C262EA">
        <w:rPr>
          <w:rFonts w:ascii="Arial" w:hAnsi="Arial" w:cs="Arial"/>
        </w:rPr>
        <w:t>Máxima tensión de servicio</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145</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tensión de impulso</w:t>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650</w:t>
      </w:r>
      <w:r w:rsidRPr="00C262EA">
        <w:rPr>
          <w:rFonts w:ascii="Arial" w:hAnsi="Arial" w:cs="Arial"/>
        </w:rPr>
        <w:tab/>
        <w:t>kVpico</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sobretensión a 60 Hz</w:t>
      </w:r>
      <w:r w:rsidRPr="00C262EA">
        <w:rPr>
          <w:rFonts w:ascii="Arial" w:hAnsi="Arial" w:cs="Arial"/>
        </w:rPr>
        <w:tab/>
      </w:r>
      <w:r w:rsidRPr="00C262EA">
        <w:rPr>
          <w:rFonts w:ascii="Arial" w:hAnsi="Arial" w:cs="Arial"/>
        </w:rPr>
        <w:tab/>
      </w:r>
      <w:r w:rsidRPr="00C262EA">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230</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b/>
        </w:rPr>
      </w:pPr>
      <w:r w:rsidRPr="00C262EA">
        <w:rPr>
          <w:rFonts w:ascii="Arial" w:hAnsi="Arial" w:cs="Arial"/>
          <w:b/>
        </w:rPr>
        <w:t>c.3)</w:t>
      </w:r>
      <w:r w:rsidRPr="00C262EA">
        <w:rPr>
          <w:rFonts w:ascii="Arial" w:hAnsi="Arial" w:cs="Arial"/>
          <w:b/>
        </w:rPr>
        <w:tab/>
        <w:t>Nivel de 10,5 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Tensión nominal</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10,5</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 w:val="left" w:pos="1843"/>
        </w:tabs>
        <w:spacing w:before="40" w:line="247" w:lineRule="auto"/>
        <w:ind w:left="851"/>
        <w:jc w:val="both"/>
        <w:rPr>
          <w:rFonts w:ascii="Arial" w:hAnsi="Arial" w:cs="Arial"/>
        </w:rPr>
      </w:pPr>
      <w:r w:rsidRPr="00C262EA">
        <w:rPr>
          <w:rFonts w:ascii="Arial" w:hAnsi="Arial" w:cs="Arial"/>
        </w:rPr>
        <w:t>Máxima tensión de servicio</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12</w:t>
      </w:r>
      <w:r w:rsidR="00D155E7">
        <w:rPr>
          <w:rFonts w:ascii="Arial" w:hAnsi="Arial" w:cs="Arial"/>
        </w:rPr>
        <w:tab/>
      </w:r>
      <w:r w:rsidR="00D155E7">
        <w:rPr>
          <w:rFonts w:ascii="Arial" w:hAnsi="Arial" w:cs="Arial"/>
        </w:rPr>
        <w:tab/>
      </w:r>
      <w:r w:rsidRPr="00C262EA">
        <w:rPr>
          <w:rFonts w:ascii="Arial" w:hAnsi="Arial" w:cs="Arial"/>
        </w:rPr>
        <w:t>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tensión de impulso</w:t>
      </w:r>
      <w:r w:rsidRPr="00C262EA">
        <w:rPr>
          <w:rFonts w:ascii="Arial" w:hAnsi="Arial" w:cs="Arial"/>
        </w:rPr>
        <w:tab/>
      </w:r>
      <w:r w:rsidRPr="00C262EA">
        <w:rPr>
          <w:rFonts w:ascii="Arial" w:hAnsi="Arial" w:cs="Arial"/>
        </w:rPr>
        <w:tab/>
      </w:r>
      <w:r w:rsidRPr="00C262EA">
        <w:rPr>
          <w:rFonts w:ascii="Arial" w:hAnsi="Arial" w:cs="Arial"/>
        </w:rPr>
        <w:tab/>
      </w:r>
      <w:r w:rsidR="00D155E7">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75</w:t>
      </w:r>
      <w:r w:rsidR="00D155E7">
        <w:rPr>
          <w:rFonts w:ascii="Arial" w:hAnsi="Arial" w:cs="Arial"/>
        </w:rPr>
        <w:tab/>
      </w:r>
      <w:r w:rsidRPr="00C262EA">
        <w:rPr>
          <w:rFonts w:ascii="Arial" w:hAnsi="Arial" w:cs="Arial"/>
        </w:rPr>
        <w:tab/>
        <w:t>kVpico</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Resistencia a sobretensión a 60 Hz</w:t>
      </w:r>
      <w:r w:rsidRPr="00C262EA">
        <w:rPr>
          <w:rFonts w:ascii="Arial" w:hAnsi="Arial" w:cs="Arial"/>
        </w:rPr>
        <w:tab/>
      </w:r>
      <w:r w:rsidRPr="00C262EA">
        <w:rPr>
          <w:rFonts w:ascii="Arial" w:hAnsi="Arial" w:cs="Arial"/>
        </w:rPr>
        <w:tab/>
      </w:r>
      <w:r w:rsidRPr="00C262EA">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28</w:t>
      </w:r>
      <w:r w:rsidR="00D155E7">
        <w:rPr>
          <w:rFonts w:ascii="Arial" w:hAnsi="Arial" w:cs="Arial"/>
        </w:rPr>
        <w:tab/>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b/>
        </w:rPr>
      </w:pPr>
      <w:r w:rsidRPr="00C262EA">
        <w:rPr>
          <w:rFonts w:ascii="Arial" w:hAnsi="Arial" w:cs="Arial"/>
          <w:b/>
        </w:rPr>
        <w:t>c.4)</w:t>
      </w:r>
      <w:r w:rsidRPr="00C262EA">
        <w:rPr>
          <w:rFonts w:ascii="Arial" w:hAnsi="Arial" w:cs="Arial"/>
          <w:b/>
        </w:rPr>
        <w:tab/>
        <w:t>Nivel de Protección</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Línea de fuga</w:t>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Pr="00C262EA">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25</w:t>
      </w:r>
      <w:r w:rsidRPr="00C262EA">
        <w:rPr>
          <w:rFonts w:ascii="Arial" w:hAnsi="Arial" w:cs="Arial"/>
        </w:rPr>
        <w:tab/>
        <w:t>mm/kV</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Protección contra descargas atmosféricas mínimo</w:t>
      </w:r>
      <w:r w:rsidRPr="00C262EA">
        <w:rPr>
          <w:rFonts w:ascii="Arial" w:hAnsi="Arial" w:cs="Arial"/>
        </w:rPr>
        <w:tab/>
      </w:r>
      <w:r w:rsidR="008B7F1D">
        <w:rPr>
          <w:rFonts w:ascii="Arial" w:hAnsi="Arial" w:cs="Arial"/>
        </w:rPr>
        <w:tab/>
      </w:r>
      <w:r w:rsidR="008B7F1D">
        <w:rPr>
          <w:rFonts w:ascii="Arial" w:hAnsi="Arial" w:cs="Arial"/>
        </w:rPr>
        <w:tab/>
      </w:r>
      <w:r w:rsidRPr="00C262EA">
        <w:rPr>
          <w:rFonts w:ascii="Arial" w:hAnsi="Arial" w:cs="Arial"/>
        </w:rPr>
        <w:t xml:space="preserve">Clase </w:t>
      </w:r>
      <w:r w:rsidRPr="00C262EA">
        <w:rPr>
          <w:rFonts w:ascii="Arial" w:hAnsi="Arial" w:cs="Arial"/>
        </w:rPr>
        <w:tab/>
        <w:t>3</w:t>
      </w:r>
    </w:p>
    <w:p w:rsidR="00C262EA" w:rsidRPr="00C262EA" w:rsidRDefault="00C262EA" w:rsidP="00C262EA">
      <w:pPr>
        <w:tabs>
          <w:tab w:val="clear" w:pos="567"/>
          <w:tab w:val="clear" w:pos="1134"/>
          <w:tab w:val="clear" w:pos="1701"/>
          <w:tab w:val="clear" w:pos="2268"/>
          <w:tab w:val="clear" w:pos="2835"/>
        </w:tabs>
        <w:spacing w:before="120" w:line="247" w:lineRule="auto"/>
        <w:ind w:left="851" w:right="-57" w:hanging="611"/>
        <w:jc w:val="both"/>
        <w:rPr>
          <w:rFonts w:ascii="Arial" w:hAnsi="Arial" w:cs="Arial"/>
          <w:b/>
        </w:rPr>
      </w:pPr>
      <w:r w:rsidRPr="00C262EA">
        <w:rPr>
          <w:rFonts w:ascii="Arial" w:hAnsi="Arial" w:cs="Arial"/>
          <w:b/>
        </w:rPr>
        <w:t>c.5)</w:t>
      </w:r>
      <w:r w:rsidRPr="00C262EA">
        <w:rPr>
          <w:rFonts w:ascii="Arial" w:hAnsi="Arial" w:cs="Arial"/>
          <w:b/>
        </w:rPr>
        <w:tab/>
        <w:t>Distancias de seguridad</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Las separaciones mínimas entre fases para conductores y barras desnudas al exterior serán como mínimo las siguientes:</w:t>
      </w:r>
    </w:p>
    <w:p w:rsidR="00C262EA" w:rsidRPr="00C262EA" w:rsidRDefault="00C262EA" w:rsidP="00436943">
      <w:pPr>
        <w:tabs>
          <w:tab w:val="clear" w:pos="567"/>
          <w:tab w:val="clear" w:pos="1134"/>
          <w:tab w:val="clear" w:pos="1701"/>
          <w:tab w:val="clear" w:pos="2268"/>
          <w:tab w:val="clear" w:pos="2835"/>
        </w:tabs>
        <w:spacing w:before="80" w:line="247" w:lineRule="auto"/>
        <w:ind w:left="3119" w:hanging="119"/>
        <w:jc w:val="both"/>
        <w:rPr>
          <w:rFonts w:ascii="Arial" w:hAnsi="Arial" w:cs="Arial"/>
          <w:lang w:val="sv-SE"/>
        </w:rPr>
      </w:pPr>
      <w:r w:rsidRPr="00C262EA">
        <w:rPr>
          <w:rFonts w:ascii="Arial" w:hAnsi="Arial" w:cs="Arial"/>
          <w:lang w:val="sv-SE"/>
        </w:rPr>
        <w:t>- En 220 kV:</w:t>
      </w:r>
      <w:r w:rsidRPr="00C262EA">
        <w:rPr>
          <w:rFonts w:ascii="Arial" w:hAnsi="Arial" w:cs="Arial"/>
          <w:lang w:val="sv-SE"/>
        </w:rPr>
        <w:tab/>
        <w:t>4,00 m.</w:t>
      </w:r>
    </w:p>
    <w:p w:rsidR="00C262EA" w:rsidRPr="00C262EA" w:rsidRDefault="00C262EA" w:rsidP="00436943">
      <w:pPr>
        <w:tabs>
          <w:tab w:val="clear" w:pos="567"/>
          <w:tab w:val="clear" w:pos="1134"/>
          <w:tab w:val="clear" w:pos="1701"/>
          <w:tab w:val="clear" w:pos="2268"/>
          <w:tab w:val="clear" w:pos="2835"/>
        </w:tabs>
        <w:spacing w:before="80" w:line="247" w:lineRule="auto"/>
        <w:ind w:left="3118" w:hanging="119"/>
        <w:jc w:val="both"/>
        <w:rPr>
          <w:rFonts w:ascii="Arial" w:hAnsi="Arial" w:cs="Arial"/>
          <w:lang w:val="sv-SE"/>
        </w:rPr>
      </w:pPr>
      <w:r w:rsidRPr="00C262EA">
        <w:rPr>
          <w:rFonts w:ascii="Arial" w:hAnsi="Arial" w:cs="Arial"/>
          <w:lang w:val="sv-SE"/>
        </w:rPr>
        <w:t>- En 138 kV:</w:t>
      </w:r>
      <w:r w:rsidRPr="00C262EA">
        <w:rPr>
          <w:rFonts w:ascii="Arial" w:hAnsi="Arial" w:cs="Arial"/>
          <w:lang w:val="sv-SE"/>
        </w:rPr>
        <w:tab/>
        <w:t>3,00 m.</w:t>
      </w:r>
    </w:p>
    <w:p w:rsidR="00C262EA" w:rsidRPr="00C262EA" w:rsidRDefault="00C262EA" w:rsidP="00C262EA">
      <w:pPr>
        <w:tabs>
          <w:tab w:val="clear" w:pos="567"/>
          <w:tab w:val="clear" w:pos="1134"/>
          <w:tab w:val="clear" w:pos="1701"/>
          <w:tab w:val="clear" w:pos="2268"/>
          <w:tab w:val="clear" w:pos="2835"/>
        </w:tabs>
        <w:spacing w:before="40" w:line="247" w:lineRule="auto"/>
        <w:ind w:left="851"/>
        <w:jc w:val="both"/>
        <w:rPr>
          <w:rFonts w:ascii="Arial" w:hAnsi="Arial" w:cs="Arial"/>
        </w:rPr>
      </w:pPr>
      <w:r w:rsidRPr="00C262EA">
        <w:rPr>
          <w:rFonts w:ascii="Arial" w:hAnsi="Arial" w:cs="Arial"/>
        </w:rPr>
        <w:t>Todas las distancias deberán cumplir con lo establecido en las normas ANSI/IEEE.</w:t>
      </w:r>
    </w:p>
    <w:p w:rsidR="00C262EA" w:rsidRPr="00C262EA" w:rsidRDefault="00C262EA" w:rsidP="00436943">
      <w:pPr>
        <w:tabs>
          <w:tab w:val="clear" w:pos="567"/>
          <w:tab w:val="clear" w:pos="1134"/>
          <w:tab w:val="clear" w:pos="1701"/>
          <w:tab w:val="clear" w:pos="2268"/>
          <w:tab w:val="clear" w:pos="2835"/>
        </w:tabs>
        <w:spacing w:before="240" w:line="247" w:lineRule="auto"/>
        <w:ind w:left="425"/>
        <w:jc w:val="both"/>
        <w:rPr>
          <w:rFonts w:ascii="Arial" w:hAnsi="Arial" w:cs="Arial"/>
        </w:rPr>
      </w:pPr>
      <w:r w:rsidRPr="00C262EA">
        <w:rPr>
          <w:rFonts w:ascii="Arial" w:hAnsi="Arial" w:cs="Arial"/>
        </w:rPr>
        <w:t>En los casos que corresponda  los niveles de tensión señalados serán corregidos de acuerdo con la altitud de las instalaciones.</w:t>
      </w:r>
    </w:p>
    <w:p w:rsidR="00C262EA" w:rsidRPr="00C262EA" w:rsidRDefault="00C262EA" w:rsidP="00C262EA">
      <w:pPr>
        <w:tabs>
          <w:tab w:val="clear" w:pos="567"/>
          <w:tab w:val="clear" w:pos="1134"/>
          <w:tab w:val="clear" w:pos="1701"/>
          <w:tab w:val="clear" w:pos="2268"/>
          <w:tab w:val="clear" w:pos="2835"/>
          <w:tab w:val="left" w:pos="400"/>
        </w:tabs>
        <w:spacing w:before="120" w:line="247" w:lineRule="auto"/>
        <w:jc w:val="both"/>
        <w:rPr>
          <w:rFonts w:ascii="Arial" w:hAnsi="Arial" w:cs="Arial"/>
          <w:b/>
          <w:bCs/>
        </w:rPr>
      </w:pPr>
      <w:r w:rsidRPr="00C262EA">
        <w:rPr>
          <w:rFonts w:ascii="Arial" w:hAnsi="Arial" w:cs="Arial"/>
          <w:b/>
          <w:bCs/>
        </w:rPr>
        <w:t>d)</w:t>
      </w:r>
      <w:r w:rsidRPr="00C262EA">
        <w:rPr>
          <w:rFonts w:ascii="Arial" w:hAnsi="Arial" w:cs="Arial"/>
          <w:b/>
          <w:bCs/>
        </w:rPr>
        <w:tab/>
        <w:t>Niveles de corriente</w:t>
      </w:r>
    </w:p>
    <w:p w:rsidR="00C262EA" w:rsidRPr="00C262EA" w:rsidRDefault="00C262EA" w:rsidP="00C262EA">
      <w:pPr>
        <w:tabs>
          <w:tab w:val="clear" w:pos="567"/>
          <w:tab w:val="clear" w:pos="1134"/>
          <w:tab w:val="clear" w:pos="1701"/>
          <w:tab w:val="clear" w:pos="2268"/>
          <w:tab w:val="clear" w:pos="2835"/>
        </w:tabs>
        <w:spacing w:before="120" w:line="247" w:lineRule="auto"/>
        <w:ind w:left="357"/>
        <w:jc w:val="both"/>
        <w:rPr>
          <w:rFonts w:ascii="Arial" w:hAnsi="Arial" w:cs="Arial"/>
          <w:lang w:eastAsia="es-ES"/>
        </w:rPr>
      </w:pPr>
      <w:r w:rsidRPr="00C262EA">
        <w:rPr>
          <w:rFonts w:ascii="Arial" w:hAnsi="Arial" w:cs="Arial"/>
          <w:lang w:eastAsia="es-ES"/>
        </w:rPr>
        <w:t>Todos los equipos de maniobra (interruptores y seccionadores), deberán cumplir con las siguientes características:</w:t>
      </w:r>
    </w:p>
    <w:tbl>
      <w:tblPr>
        <w:tblW w:w="0" w:type="auto"/>
        <w:tblInd w:w="357" w:type="dxa"/>
        <w:tblLook w:val="00A0" w:firstRow="1" w:lastRow="0" w:firstColumn="1" w:lastColumn="0" w:noHBand="0" w:noVBand="0"/>
      </w:tblPr>
      <w:tblGrid>
        <w:gridCol w:w="5421"/>
        <w:gridCol w:w="1134"/>
        <w:gridCol w:w="993"/>
        <w:gridCol w:w="1383"/>
      </w:tblGrid>
      <w:tr w:rsidR="00C262EA" w:rsidRPr="00C262EA" w:rsidTr="00454A68">
        <w:tc>
          <w:tcPr>
            <w:tcW w:w="5421" w:type="dxa"/>
          </w:tcPr>
          <w:p w:rsidR="00C262EA" w:rsidRPr="00C262EA" w:rsidRDefault="00C262EA" w:rsidP="00436943">
            <w:pPr>
              <w:tabs>
                <w:tab w:val="clear" w:pos="567"/>
                <w:tab w:val="clear" w:pos="1134"/>
                <w:tab w:val="clear" w:pos="1701"/>
                <w:tab w:val="clear" w:pos="2268"/>
                <w:tab w:val="clear" w:pos="2835"/>
              </w:tabs>
              <w:spacing w:before="240" w:line="247" w:lineRule="auto"/>
              <w:jc w:val="both"/>
              <w:rPr>
                <w:rFonts w:ascii="Arial" w:hAnsi="Arial" w:cs="Arial"/>
                <w:lang w:eastAsia="es-ES"/>
              </w:rPr>
            </w:pPr>
          </w:p>
        </w:tc>
        <w:tc>
          <w:tcPr>
            <w:tcW w:w="1134" w:type="dxa"/>
          </w:tcPr>
          <w:p w:rsidR="00C262EA" w:rsidRPr="00C262EA" w:rsidRDefault="00C262EA" w:rsidP="00436943">
            <w:pPr>
              <w:tabs>
                <w:tab w:val="clear" w:pos="567"/>
                <w:tab w:val="clear" w:pos="1134"/>
                <w:tab w:val="clear" w:pos="1701"/>
                <w:tab w:val="clear" w:pos="2268"/>
                <w:tab w:val="clear" w:pos="2835"/>
              </w:tabs>
              <w:spacing w:before="240" w:line="247" w:lineRule="auto"/>
              <w:jc w:val="both"/>
              <w:rPr>
                <w:rFonts w:ascii="Arial" w:hAnsi="Arial" w:cs="Arial"/>
                <w:lang w:eastAsia="es-ES"/>
              </w:rPr>
            </w:pPr>
            <w:r w:rsidRPr="00C262EA">
              <w:rPr>
                <w:rFonts w:ascii="Arial" w:hAnsi="Arial" w:cs="Arial"/>
                <w:b/>
                <w:lang w:eastAsia="es-ES"/>
              </w:rPr>
              <w:t>220 kV</w:t>
            </w:r>
          </w:p>
        </w:tc>
        <w:tc>
          <w:tcPr>
            <w:tcW w:w="993" w:type="dxa"/>
          </w:tcPr>
          <w:p w:rsidR="00C262EA" w:rsidRPr="00C262EA" w:rsidRDefault="00C262EA" w:rsidP="00436943">
            <w:pPr>
              <w:tabs>
                <w:tab w:val="clear" w:pos="567"/>
                <w:tab w:val="clear" w:pos="1134"/>
                <w:tab w:val="clear" w:pos="1701"/>
                <w:tab w:val="clear" w:pos="2268"/>
                <w:tab w:val="clear" w:pos="2835"/>
              </w:tabs>
              <w:spacing w:before="240" w:line="247" w:lineRule="auto"/>
              <w:jc w:val="both"/>
              <w:rPr>
                <w:rFonts w:ascii="Arial" w:hAnsi="Arial" w:cs="Arial"/>
                <w:lang w:eastAsia="es-ES"/>
              </w:rPr>
            </w:pPr>
            <w:r w:rsidRPr="00C262EA">
              <w:rPr>
                <w:rFonts w:ascii="Arial" w:hAnsi="Arial" w:cs="Arial"/>
                <w:b/>
                <w:lang w:eastAsia="es-ES"/>
              </w:rPr>
              <w:t>138 kV</w:t>
            </w:r>
          </w:p>
        </w:tc>
        <w:tc>
          <w:tcPr>
            <w:tcW w:w="1383" w:type="dxa"/>
          </w:tcPr>
          <w:p w:rsidR="00C262EA" w:rsidRPr="00C262EA" w:rsidRDefault="00C262EA" w:rsidP="00436943">
            <w:pPr>
              <w:tabs>
                <w:tab w:val="clear" w:pos="567"/>
                <w:tab w:val="clear" w:pos="1134"/>
                <w:tab w:val="clear" w:pos="1701"/>
                <w:tab w:val="clear" w:pos="2268"/>
                <w:tab w:val="clear" w:pos="2835"/>
              </w:tabs>
              <w:spacing w:before="240" w:line="247" w:lineRule="auto"/>
              <w:ind w:left="357"/>
              <w:jc w:val="both"/>
              <w:rPr>
                <w:rFonts w:ascii="Arial" w:hAnsi="Arial" w:cs="Arial"/>
                <w:lang w:eastAsia="es-ES"/>
              </w:rPr>
            </w:pPr>
            <w:r w:rsidRPr="00C262EA">
              <w:rPr>
                <w:rFonts w:ascii="Arial" w:hAnsi="Arial" w:cs="Arial"/>
                <w:b/>
                <w:lang w:eastAsia="es-ES"/>
              </w:rPr>
              <w:t>10,5 kV</w:t>
            </w:r>
          </w:p>
        </w:tc>
      </w:tr>
      <w:tr w:rsidR="00C262EA" w:rsidRPr="00C262EA" w:rsidTr="00454A68">
        <w:trPr>
          <w:trHeight w:val="242"/>
        </w:trPr>
        <w:tc>
          <w:tcPr>
            <w:tcW w:w="542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eastAsia="es-ES"/>
              </w:rPr>
            </w:pPr>
            <w:r w:rsidRPr="00C262EA">
              <w:rPr>
                <w:rFonts w:ascii="Arial" w:hAnsi="Arial" w:cs="Arial"/>
                <w:lang w:eastAsia="es-ES"/>
              </w:rPr>
              <w:t>Corriente nominal no menor de; A</w:t>
            </w:r>
          </w:p>
        </w:tc>
        <w:tc>
          <w:tcPr>
            <w:tcW w:w="1134" w:type="dxa"/>
          </w:tcPr>
          <w:p w:rsidR="00C262EA" w:rsidRPr="00C262EA" w:rsidRDefault="00C262EA" w:rsidP="00436943">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2</w:t>
            </w:r>
            <w:r w:rsidR="00436943">
              <w:rPr>
                <w:rFonts w:ascii="Arial" w:hAnsi="Arial" w:cs="Arial"/>
                <w:lang w:eastAsia="es-ES"/>
              </w:rPr>
              <w:t xml:space="preserve"> </w:t>
            </w:r>
            <w:r w:rsidRPr="00C262EA">
              <w:rPr>
                <w:rFonts w:ascii="Arial" w:hAnsi="Arial" w:cs="Arial"/>
                <w:lang w:eastAsia="es-ES"/>
              </w:rPr>
              <w:t>000</w:t>
            </w:r>
          </w:p>
        </w:tc>
        <w:tc>
          <w:tcPr>
            <w:tcW w:w="993" w:type="dxa"/>
          </w:tcPr>
          <w:p w:rsidR="00C262EA" w:rsidRPr="00C262EA" w:rsidRDefault="00C262EA" w:rsidP="00436943">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1</w:t>
            </w:r>
            <w:r w:rsidR="00436943">
              <w:rPr>
                <w:rFonts w:ascii="Arial" w:hAnsi="Arial" w:cs="Arial"/>
                <w:lang w:eastAsia="es-ES"/>
              </w:rPr>
              <w:t xml:space="preserve"> </w:t>
            </w:r>
            <w:r w:rsidRPr="00C262EA">
              <w:rPr>
                <w:rFonts w:ascii="Arial" w:hAnsi="Arial" w:cs="Arial"/>
                <w:lang w:eastAsia="es-ES"/>
              </w:rPr>
              <w:t>200</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800</w:t>
            </w:r>
          </w:p>
        </w:tc>
      </w:tr>
      <w:tr w:rsidR="00C262EA" w:rsidRPr="00C262EA" w:rsidTr="00454A68">
        <w:tc>
          <w:tcPr>
            <w:tcW w:w="542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eastAsia="es-ES"/>
              </w:rPr>
            </w:pPr>
            <w:r w:rsidRPr="00C262EA">
              <w:rPr>
                <w:rFonts w:ascii="Arial" w:hAnsi="Arial" w:cs="Arial"/>
              </w:rPr>
              <w:t>Capacidad de ruptura de cortocircuito trifásico, 1s; KA</w:t>
            </w:r>
          </w:p>
        </w:tc>
        <w:tc>
          <w:tcPr>
            <w:tcW w:w="1134"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40</w:t>
            </w:r>
          </w:p>
        </w:tc>
        <w:tc>
          <w:tcPr>
            <w:tcW w:w="99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31,5</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25</w:t>
            </w:r>
          </w:p>
        </w:tc>
      </w:tr>
      <w:tr w:rsidR="00C262EA" w:rsidRPr="00C262EA" w:rsidTr="00454A68">
        <w:tc>
          <w:tcPr>
            <w:tcW w:w="542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rPr>
            </w:pPr>
            <w:r w:rsidRPr="00C262EA">
              <w:rPr>
                <w:rFonts w:ascii="Arial" w:hAnsi="Arial" w:cs="Arial"/>
              </w:rPr>
              <w:t>Capacidad de ruptura de cortocircuito trifásico; kA</w:t>
            </w:r>
            <w:r w:rsidRPr="00C262EA">
              <w:rPr>
                <w:rFonts w:ascii="Arial" w:hAnsi="Arial" w:cs="Arial"/>
                <w:vertAlign w:val="subscript"/>
              </w:rPr>
              <w:t>pico</w:t>
            </w:r>
          </w:p>
        </w:tc>
        <w:tc>
          <w:tcPr>
            <w:tcW w:w="1134"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104</w:t>
            </w:r>
          </w:p>
        </w:tc>
        <w:tc>
          <w:tcPr>
            <w:tcW w:w="99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82</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lang w:eastAsia="es-ES"/>
              </w:rPr>
            </w:pPr>
            <w:r w:rsidRPr="00C262EA">
              <w:rPr>
                <w:rFonts w:ascii="Arial" w:hAnsi="Arial" w:cs="Arial"/>
                <w:lang w:eastAsia="es-ES"/>
              </w:rPr>
              <w:t>65</w:t>
            </w:r>
          </w:p>
        </w:tc>
      </w:tr>
    </w:tbl>
    <w:p w:rsidR="00C262EA" w:rsidRPr="00C262EA" w:rsidRDefault="00C262EA" w:rsidP="00C262EA">
      <w:pPr>
        <w:tabs>
          <w:tab w:val="clear" w:pos="567"/>
          <w:tab w:val="clear" w:pos="1134"/>
          <w:tab w:val="clear" w:pos="1701"/>
          <w:tab w:val="clear" w:pos="2268"/>
          <w:tab w:val="clear" w:pos="2835"/>
        </w:tabs>
        <w:spacing w:before="240" w:line="247" w:lineRule="auto"/>
        <w:ind w:left="357"/>
        <w:jc w:val="both"/>
        <w:rPr>
          <w:rFonts w:ascii="Arial" w:hAnsi="Arial" w:cs="Arial"/>
          <w:lang w:eastAsia="es-ES"/>
        </w:rPr>
      </w:pPr>
      <w:r w:rsidRPr="00C262EA">
        <w:rPr>
          <w:rFonts w:ascii="Arial" w:hAnsi="Arial" w:cs="Arial"/>
          <w:lang w:eastAsia="es-ES"/>
        </w:rPr>
        <w:t>Los interruptores de conexión de los reactores deberán cumplir con la Norma IEEE Std.C37.015 relacionada con los requerimientos de cierre y apertura de corrientes.</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e)</w:t>
      </w:r>
      <w:r w:rsidRPr="00C262EA">
        <w:rPr>
          <w:rFonts w:ascii="Arial" w:hAnsi="Arial" w:cs="Arial"/>
          <w:b/>
          <w:bCs/>
        </w:rPr>
        <w:tab/>
        <w:t>Transformadores de corriente</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Los transformadores de corriente deberán tener por lo menos cuatro núcleos secundarios:</w:t>
      </w:r>
    </w:p>
    <w:p w:rsidR="00C262EA" w:rsidRPr="00C262EA" w:rsidRDefault="00C262EA" w:rsidP="004F6B32">
      <w:pPr>
        <w:numPr>
          <w:ilvl w:val="0"/>
          <w:numId w:val="51"/>
        </w:numPr>
        <w:tabs>
          <w:tab w:val="clear" w:pos="567"/>
          <w:tab w:val="clear" w:pos="1134"/>
          <w:tab w:val="clear" w:pos="1701"/>
          <w:tab w:val="clear" w:pos="2268"/>
          <w:tab w:val="clear" w:pos="2835"/>
          <w:tab w:val="left" w:pos="1418"/>
        </w:tabs>
        <w:spacing w:before="120" w:line="247" w:lineRule="auto"/>
        <w:ind w:left="1418" w:hanging="283"/>
        <w:jc w:val="both"/>
        <w:rPr>
          <w:rFonts w:ascii="Arial" w:hAnsi="Arial" w:cs="Arial"/>
        </w:rPr>
      </w:pPr>
      <w:r w:rsidRPr="00C262EA">
        <w:rPr>
          <w:rFonts w:ascii="Arial" w:hAnsi="Arial" w:cs="Arial"/>
        </w:rPr>
        <w:t>Tres núcleos de protección 5P20.</w:t>
      </w:r>
    </w:p>
    <w:p w:rsidR="00C262EA" w:rsidRPr="00C262EA" w:rsidRDefault="00C262EA" w:rsidP="004F6B32">
      <w:pPr>
        <w:numPr>
          <w:ilvl w:val="0"/>
          <w:numId w:val="51"/>
        </w:numPr>
        <w:tabs>
          <w:tab w:val="clear" w:pos="567"/>
          <w:tab w:val="clear" w:pos="1134"/>
          <w:tab w:val="clear" w:pos="1701"/>
          <w:tab w:val="clear" w:pos="2268"/>
          <w:tab w:val="clear" w:pos="2835"/>
          <w:tab w:val="left" w:pos="1418"/>
        </w:tabs>
        <w:spacing w:before="60" w:line="247" w:lineRule="auto"/>
        <w:ind w:left="1418" w:hanging="284"/>
        <w:jc w:val="both"/>
        <w:rPr>
          <w:rFonts w:ascii="Arial" w:hAnsi="Arial" w:cs="Arial"/>
        </w:rPr>
      </w:pPr>
      <w:r w:rsidRPr="00C262EA">
        <w:rPr>
          <w:rFonts w:ascii="Arial" w:hAnsi="Arial" w:cs="Arial"/>
        </w:rPr>
        <w:t>Un núcleo de medición clase 0,2.</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f)</w:t>
      </w:r>
      <w:r w:rsidRPr="00C262EA">
        <w:rPr>
          <w:rFonts w:ascii="Arial" w:hAnsi="Arial" w:cs="Arial"/>
          <w:b/>
          <w:bCs/>
        </w:rPr>
        <w:tab/>
        <w:t>Requerimientos sísmicos.</w:t>
      </w:r>
    </w:p>
    <w:p w:rsid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Teniendo en cuenta que el proyecto está localizado en áreas con diferentes características sísmicas, todos los equipos deberán estar diseñados para trabajar bajo las siguientes condiciones sísmicas:</w:t>
      </w:r>
    </w:p>
    <w:p w:rsidR="00436943" w:rsidRPr="00C262EA" w:rsidRDefault="00436943"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p>
    <w:p w:rsidR="00C262EA" w:rsidRPr="00C262EA" w:rsidRDefault="00C262EA" w:rsidP="004F6B32">
      <w:pPr>
        <w:numPr>
          <w:ilvl w:val="0"/>
          <w:numId w:val="51"/>
        </w:numPr>
        <w:tabs>
          <w:tab w:val="clear" w:pos="567"/>
          <w:tab w:val="clear" w:pos="1134"/>
          <w:tab w:val="clear" w:pos="1701"/>
          <w:tab w:val="clear" w:pos="2268"/>
          <w:tab w:val="clear" w:pos="2835"/>
          <w:tab w:val="left" w:pos="1418"/>
          <w:tab w:val="right" w:pos="4395"/>
        </w:tabs>
        <w:spacing w:before="80" w:line="247" w:lineRule="auto"/>
        <w:ind w:left="1418" w:hanging="283"/>
        <w:jc w:val="both"/>
        <w:rPr>
          <w:rFonts w:ascii="Arial" w:hAnsi="Arial" w:cs="Arial"/>
        </w:rPr>
      </w:pPr>
      <w:r w:rsidRPr="00C262EA">
        <w:rPr>
          <w:rFonts w:ascii="Arial" w:hAnsi="Arial" w:cs="Arial"/>
        </w:rPr>
        <w:t>Aceleración horizontal:</w:t>
      </w:r>
      <w:r w:rsidRPr="00C262EA">
        <w:rPr>
          <w:rFonts w:ascii="Arial" w:hAnsi="Arial" w:cs="Arial"/>
        </w:rPr>
        <w:tab/>
        <w:t>0,5 g.</w:t>
      </w:r>
    </w:p>
    <w:p w:rsidR="00C262EA" w:rsidRPr="00C262EA" w:rsidRDefault="00C262EA" w:rsidP="004F6B32">
      <w:pPr>
        <w:numPr>
          <w:ilvl w:val="0"/>
          <w:numId w:val="51"/>
        </w:numPr>
        <w:tabs>
          <w:tab w:val="clear" w:pos="567"/>
          <w:tab w:val="clear" w:pos="1134"/>
          <w:tab w:val="clear" w:pos="1701"/>
          <w:tab w:val="clear" w:pos="2268"/>
          <w:tab w:val="clear" w:pos="2835"/>
          <w:tab w:val="left" w:pos="1418"/>
          <w:tab w:val="right" w:pos="4395"/>
        </w:tabs>
        <w:spacing w:before="80" w:line="247" w:lineRule="auto"/>
        <w:ind w:left="1418" w:hanging="284"/>
        <w:jc w:val="both"/>
        <w:rPr>
          <w:rFonts w:ascii="Arial" w:hAnsi="Arial" w:cs="Arial"/>
        </w:rPr>
      </w:pPr>
      <w:r w:rsidRPr="00C262EA">
        <w:rPr>
          <w:rFonts w:ascii="Arial" w:hAnsi="Arial" w:cs="Arial"/>
        </w:rPr>
        <w:t>Aceleración vertical:</w:t>
      </w:r>
      <w:r w:rsidRPr="00C262EA">
        <w:rPr>
          <w:rFonts w:ascii="Arial" w:hAnsi="Arial" w:cs="Arial"/>
        </w:rPr>
        <w:tab/>
        <w:t>0,3 g.</w:t>
      </w:r>
    </w:p>
    <w:p w:rsidR="00C262EA" w:rsidRPr="00C262EA" w:rsidRDefault="00C262EA" w:rsidP="004F6B32">
      <w:pPr>
        <w:numPr>
          <w:ilvl w:val="0"/>
          <w:numId w:val="51"/>
        </w:numPr>
        <w:tabs>
          <w:tab w:val="clear" w:pos="567"/>
          <w:tab w:val="clear" w:pos="1134"/>
          <w:tab w:val="clear" w:pos="1701"/>
          <w:tab w:val="clear" w:pos="2268"/>
          <w:tab w:val="clear" w:pos="2835"/>
          <w:tab w:val="left" w:pos="1418"/>
          <w:tab w:val="right" w:pos="4395"/>
        </w:tabs>
        <w:spacing w:before="80" w:line="247" w:lineRule="auto"/>
        <w:ind w:left="1418" w:hanging="284"/>
        <w:jc w:val="both"/>
        <w:rPr>
          <w:rFonts w:ascii="Arial" w:hAnsi="Arial" w:cs="Arial"/>
        </w:rPr>
      </w:pPr>
      <w:r w:rsidRPr="00C262EA">
        <w:rPr>
          <w:rFonts w:ascii="Arial" w:hAnsi="Arial" w:cs="Arial"/>
        </w:rPr>
        <w:t>Frecuencia de oscilación:</w:t>
      </w:r>
      <w:r w:rsidRPr="00C262EA">
        <w:rPr>
          <w:rFonts w:ascii="Arial" w:hAnsi="Arial" w:cs="Arial"/>
        </w:rPr>
        <w:tab/>
        <w:t>10 Hz</w:t>
      </w:r>
    </w:p>
    <w:p w:rsidR="00C262EA" w:rsidRPr="00C262EA" w:rsidRDefault="00C262EA" w:rsidP="004F6B32">
      <w:pPr>
        <w:numPr>
          <w:ilvl w:val="0"/>
          <w:numId w:val="51"/>
        </w:numPr>
        <w:tabs>
          <w:tab w:val="clear" w:pos="567"/>
          <w:tab w:val="clear" w:pos="1134"/>
          <w:tab w:val="clear" w:pos="1701"/>
          <w:tab w:val="clear" w:pos="2268"/>
          <w:tab w:val="clear" w:pos="2835"/>
          <w:tab w:val="left" w:pos="1418"/>
          <w:tab w:val="right" w:pos="4395"/>
        </w:tabs>
        <w:spacing w:before="80" w:line="247" w:lineRule="auto"/>
        <w:ind w:left="1418" w:hanging="284"/>
        <w:jc w:val="both"/>
        <w:rPr>
          <w:rFonts w:ascii="Arial" w:hAnsi="Arial" w:cs="Arial"/>
          <w:sz w:val="19"/>
          <w:szCs w:val="19"/>
        </w:rPr>
      </w:pPr>
      <w:r w:rsidRPr="00C262EA">
        <w:rPr>
          <w:rFonts w:ascii="Arial" w:hAnsi="Arial" w:cs="Arial"/>
        </w:rPr>
        <w:t>Calificación sísmica: Alta de acuerdo a normas.</w:t>
      </w:r>
    </w:p>
    <w:p w:rsidR="00C262EA" w:rsidRPr="00C262EA" w:rsidRDefault="00C262EA" w:rsidP="00C262EA">
      <w:pPr>
        <w:spacing w:before="120" w:line="247" w:lineRule="auto"/>
        <w:ind w:left="426" w:hanging="426"/>
        <w:jc w:val="both"/>
        <w:rPr>
          <w:rFonts w:ascii="Arial" w:hAnsi="Arial" w:cs="Arial"/>
          <w:b/>
          <w:bCs/>
        </w:rPr>
      </w:pPr>
      <w:r w:rsidRPr="00C262EA">
        <w:rPr>
          <w:rFonts w:ascii="Arial" w:hAnsi="Arial" w:cs="Arial"/>
          <w:b/>
          <w:bCs/>
        </w:rPr>
        <w:t>g)</w:t>
      </w:r>
      <w:r w:rsidRPr="00C262EA">
        <w:rPr>
          <w:rFonts w:ascii="Arial" w:hAnsi="Arial" w:cs="Arial"/>
          <w:b/>
          <w:bCs/>
        </w:rPr>
        <w:tab/>
        <w:t>Transformadores y Reactores.</w:t>
      </w:r>
    </w:p>
    <w:p w:rsidR="00C262EA" w:rsidRPr="00C262EA" w:rsidRDefault="00C262EA" w:rsidP="00C262EA">
      <w:pPr>
        <w:tabs>
          <w:tab w:val="left" w:pos="840"/>
        </w:tabs>
        <w:spacing w:before="120" w:line="247" w:lineRule="auto"/>
        <w:ind w:left="426"/>
        <w:jc w:val="both"/>
        <w:rPr>
          <w:rFonts w:ascii="Arial" w:hAnsi="Arial" w:cs="Arial"/>
          <w:b/>
        </w:rPr>
      </w:pPr>
      <w:r w:rsidRPr="00C262EA">
        <w:rPr>
          <w:rFonts w:ascii="Arial" w:hAnsi="Arial" w:cs="Arial"/>
          <w:b/>
        </w:rPr>
        <w:t>g.1)</w:t>
      </w:r>
      <w:r w:rsidRPr="00C262EA">
        <w:rPr>
          <w:rFonts w:ascii="Arial" w:hAnsi="Arial" w:cs="Arial"/>
          <w:b/>
        </w:rPr>
        <w:tab/>
        <w:t>Transformadores</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 xml:space="preserve">Para la transformación se empleará un banco de transformadores monofásicos (3 unidades  mas una de reserva) que deberá cumplir con las exigencias establecidas en el apartado </w:t>
      </w:r>
      <w:r w:rsidRPr="00C262EA">
        <w:rPr>
          <w:rFonts w:ascii="Arial" w:hAnsi="Arial" w:cs="Arial"/>
          <w:b/>
        </w:rPr>
        <w:t>3.2 Requerimientos Técnicos de las Subestaciones</w:t>
      </w:r>
      <w:r w:rsidRPr="00C262EA">
        <w:rPr>
          <w:rFonts w:ascii="Arial" w:hAnsi="Arial" w:cs="Arial"/>
        </w:rPr>
        <w:t>.</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Los transformadores deberán ser suministrados con transformadores de corriente incorporados en los aisladores pasatapas (bushings), de tres núcleos de protección 5P20, para las tres fases y en los tres devanados, además de los núcleos correspondientes para regulación y protección de imagen térmica.</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425"/>
        <w:jc w:val="both"/>
        <w:rPr>
          <w:rFonts w:ascii="Arial" w:hAnsi="Arial" w:cs="Arial"/>
        </w:rPr>
      </w:pPr>
      <w:r w:rsidRPr="00C262EA">
        <w:rPr>
          <w:rFonts w:ascii="Arial" w:hAnsi="Arial" w:cs="Arial"/>
        </w:rPr>
        <w:tab/>
        <w:t>La tensión nominal, regulación de tensión y grupo de conexión del transformador serán las siguientes:</w:t>
      </w:r>
    </w:p>
    <w:p w:rsidR="00C262EA" w:rsidRPr="00C262EA" w:rsidRDefault="00C262EA" w:rsidP="004F6B32">
      <w:pPr>
        <w:numPr>
          <w:ilvl w:val="0"/>
          <w:numId w:val="51"/>
        </w:numPr>
        <w:tabs>
          <w:tab w:val="clear" w:pos="567"/>
          <w:tab w:val="clear" w:pos="1134"/>
          <w:tab w:val="clear" w:pos="1701"/>
          <w:tab w:val="clear" w:pos="1920"/>
          <w:tab w:val="clear" w:pos="2268"/>
          <w:tab w:val="clear" w:pos="2835"/>
        </w:tabs>
        <w:spacing w:before="120" w:line="247" w:lineRule="auto"/>
        <w:ind w:left="1135" w:hanging="284"/>
        <w:jc w:val="both"/>
        <w:rPr>
          <w:rFonts w:ascii="Arial" w:hAnsi="Arial" w:cs="Arial"/>
        </w:rPr>
      </w:pPr>
      <w:r w:rsidRPr="00C262EA">
        <w:rPr>
          <w:rFonts w:ascii="Arial" w:hAnsi="Arial" w:cs="Arial"/>
        </w:rPr>
        <w:t>Tensiones</w:t>
      </w:r>
    </w:p>
    <w:p w:rsidR="00C262EA" w:rsidRPr="00C262EA" w:rsidRDefault="00C262EA" w:rsidP="00C262EA">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C262EA">
        <w:rPr>
          <w:rFonts w:ascii="Arial" w:hAnsi="Arial" w:cs="Arial"/>
        </w:rPr>
        <w:t>-</w:t>
      </w:r>
      <w:r w:rsidRPr="00C262EA">
        <w:rPr>
          <w:rFonts w:ascii="Arial" w:hAnsi="Arial" w:cs="Arial"/>
        </w:rPr>
        <w:tab/>
        <w:t>Tensión primaria</w:t>
      </w:r>
      <w:r w:rsidRPr="00C262EA">
        <w:rPr>
          <w:rFonts w:ascii="Arial" w:hAnsi="Arial" w:cs="Arial"/>
        </w:rPr>
        <w:tab/>
        <w:t>220</w:t>
      </w:r>
      <w:r w:rsidRPr="00C262EA">
        <w:rPr>
          <w:rFonts w:ascii="Arial" w:hAnsi="Arial" w:cs="Arial"/>
        </w:rPr>
        <w:tab/>
        <w:t xml:space="preserve">kV </w:t>
      </w:r>
    </w:p>
    <w:p w:rsidR="00C262EA" w:rsidRPr="00C262EA" w:rsidRDefault="00C262EA" w:rsidP="00C262EA">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C262EA">
        <w:rPr>
          <w:rFonts w:ascii="Arial" w:hAnsi="Arial" w:cs="Arial"/>
        </w:rPr>
        <w:t>-</w:t>
      </w:r>
      <w:r w:rsidRPr="00C262EA">
        <w:rPr>
          <w:rFonts w:ascii="Arial" w:hAnsi="Arial" w:cs="Arial"/>
        </w:rPr>
        <w:tab/>
        <w:t>Tensión secundaria</w:t>
      </w:r>
      <w:r w:rsidRPr="00C262EA">
        <w:rPr>
          <w:rFonts w:ascii="Arial" w:hAnsi="Arial" w:cs="Arial"/>
        </w:rPr>
        <w:tab/>
        <w:t>138</w:t>
      </w:r>
      <w:r w:rsidRPr="00C262EA">
        <w:rPr>
          <w:rFonts w:ascii="Arial" w:hAnsi="Arial" w:cs="Arial"/>
        </w:rPr>
        <w:tab/>
        <w:t>kV</w:t>
      </w:r>
    </w:p>
    <w:p w:rsidR="00C262EA" w:rsidRPr="00C262EA" w:rsidRDefault="00C262EA" w:rsidP="00C262EA">
      <w:pPr>
        <w:tabs>
          <w:tab w:val="clear" w:pos="567"/>
          <w:tab w:val="clear" w:pos="1134"/>
          <w:tab w:val="clear" w:pos="1701"/>
          <w:tab w:val="clear" w:pos="2268"/>
          <w:tab w:val="clear" w:pos="2835"/>
          <w:tab w:val="left" w:pos="1276"/>
          <w:tab w:val="left" w:pos="4111"/>
          <w:tab w:val="left" w:pos="5103"/>
        </w:tabs>
        <w:spacing w:before="60" w:line="247" w:lineRule="auto"/>
        <w:ind w:left="5529" w:hanging="4537"/>
        <w:jc w:val="both"/>
        <w:rPr>
          <w:rFonts w:ascii="Arial" w:hAnsi="Arial" w:cs="Arial"/>
        </w:rPr>
      </w:pPr>
      <w:r w:rsidRPr="00C262EA">
        <w:rPr>
          <w:rFonts w:ascii="Arial" w:hAnsi="Arial" w:cs="Arial"/>
        </w:rPr>
        <w:t>-</w:t>
      </w:r>
      <w:r w:rsidRPr="00C262EA">
        <w:rPr>
          <w:rFonts w:ascii="Arial" w:hAnsi="Arial" w:cs="Arial"/>
        </w:rPr>
        <w:tab/>
        <w:t>Tensión terciaria (*)</w:t>
      </w:r>
      <w:r w:rsidRPr="00C262EA">
        <w:rPr>
          <w:rFonts w:ascii="Arial" w:hAnsi="Arial" w:cs="Arial"/>
        </w:rPr>
        <w:tab/>
        <w:t>10,5</w:t>
      </w:r>
      <w:r w:rsidRPr="00C262EA">
        <w:rPr>
          <w:rFonts w:ascii="Arial" w:hAnsi="Arial" w:cs="Arial"/>
        </w:rPr>
        <w:tab/>
        <w:t>kV (para compensación de armónicas, alimentación de los servicios auxiliares y para conectarse a la red de distribución local)</w:t>
      </w:r>
    </w:p>
    <w:p w:rsidR="00C262EA" w:rsidRPr="00C262EA" w:rsidRDefault="00C262EA" w:rsidP="004F6B32">
      <w:pPr>
        <w:numPr>
          <w:ilvl w:val="0"/>
          <w:numId w:val="51"/>
        </w:numPr>
        <w:tabs>
          <w:tab w:val="clear" w:pos="567"/>
          <w:tab w:val="clear" w:pos="1134"/>
          <w:tab w:val="clear" w:pos="1701"/>
          <w:tab w:val="clear" w:pos="1920"/>
          <w:tab w:val="clear" w:pos="2268"/>
          <w:tab w:val="clear" w:pos="2835"/>
        </w:tabs>
        <w:spacing w:before="240"/>
        <w:ind w:left="1135" w:hanging="284"/>
        <w:jc w:val="both"/>
        <w:rPr>
          <w:rFonts w:ascii="Arial" w:hAnsi="Arial" w:cs="Arial"/>
        </w:rPr>
      </w:pPr>
      <w:r w:rsidRPr="00C262EA">
        <w:rPr>
          <w:rFonts w:ascii="Arial" w:hAnsi="Arial" w:cs="Arial"/>
        </w:rPr>
        <w:t>Grupo de conexión</w:t>
      </w:r>
      <w:r w:rsidRPr="00C262EA">
        <w:rPr>
          <w:rFonts w:ascii="Arial" w:hAnsi="Arial" w:cs="Arial"/>
        </w:rPr>
        <w:tab/>
      </w:r>
      <w:r w:rsidRPr="00C262EA">
        <w:rPr>
          <w:rFonts w:ascii="Arial" w:hAnsi="Arial" w:cs="Arial"/>
        </w:rPr>
        <w:tab/>
        <w:t>YN / YN / d(</w:t>
      </w:r>
      <w:r w:rsidRPr="00C262EA">
        <w:rPr>
          <w:rFonts w:ascii="Symbol" w:hAnsi="Symbol" w:cs="Arial"/>
        </w:rPr>
        <w:t></w:t>
      </w:r>
      <w:r w:rsidRPr="00C262EA">
        <w:rPr>
          <w:rFonts w:ascii="Symbol" w:hAnsi="Symbol" w:cs="Arial"/>
        </w:rPr>
        <w:t></w:t>
      </w:r>
    </w:p>
    <w:p w:rsidR="00C262EA" w:rsidRPr="00C262EA" w:rsidRDefault="00C262EA" w:rsidP="00C262EA">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C262EA">
        <w:rPr>
          <w:rFonts w:ascii="Arial" w:hAnsi="Arial" w:cs="Arial"/>
        </w:rPr>
        <w:t>- Lado Primario, 220 kV</w:t>
      </w:r>
      <w:r w:rsidRPr="00C262EA">
        <w:rPr>
          <w:rFonts w:ascii="Arial" w:hAnsi="Arial" w:cs="Arial"/>
        </w:rPr>
        <w:tab/>
      </w:r>
      <w:r w:rsidRPr="00C262EA">
        <w:rPr>
          <w:rFonts w:ascii="Arial" w:hAnsi="Arial" w:cs="Arial"/>
        </w:rPr>
        <w:tab/>
        <w:t>Estrella, neutro sólidamente puesto a tierra</w:t>
      </w:r>
    </w:p>
    <w:p w:rsidR="00C262EA" w:rsidRPr="00C262EA" w:rsidRDefault="00C262EA" w:rsidP="00C262EA">
      <w:pPr>
        <w:tabs>
          <w:tab w:val="clear" w:pos="567"/>
          <w:tab w:val="clear" w:pos="1134"/>
          <w:tab w:val="clear" w:pos="1701"/>
          <w:tab w:val="clear" w:pos="2268"/>
          <w:tab w:val="clear" w:pos="2835"/>
          <w:tab w:val="left" w:pos="1276"/>
        </w:tabs>
        <w:spacing w:before="60" w:line="247" w:lineRule="auto"/>
        <w:ind w:left="4111" w:hanging="3119"/>
        <w:jc w:val="both"/>
        <w:rPr>
          <w:rFonts w:ascii="Arial" w:hAnsi="Arial" w:cs="Arial"/>
        </w:rPr>
      </w:pPr>
      <w:r w:rsidRPr="00C262EA">
        <w:rPr>
          <w:rFonts w:ascii="Arial" w:hAnsi="Arial" w:cs="Arial"/>
        </w:rPr>
        <w:t>- Lado Secundario, 138 kV</w:t>
      </w:r>
      <w:r w:rsidRPr="00C262EA">
        <w:rPr>
          <w:rFonts w:ascii="Arial" w:hAnsi="Arial" w:cs="Arial"/>
        </w:rPr>
        <w:tab/>
      </w:r>
      <w:r w:rsidRPr="00C262EA">
        <w:rPr>
          <w:rFonts w:ascii="Arial" w:hAnsi="Arial" w:cs="Arial"/>
        </w:rPr>
        <w:tab/>
        <w:t>Estrella, neutro sólidamente puesto a tierra</w:t>
      </w:r>
    </w:p>
    <w:p w:rsidR="00C262EA" w:rsidRPr="00C262EA" w:rsidRDefault="00C262EA" w:rsidP="00C262EA">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C262EA">
        <w:rPr>
          <w:rFonts w:ascii="Arial" w:hAnsi="Arial" w:cs="Arial"/>
        </w:rPr>
        <w:t>- Lado terciario, 10,5 kV:</w:t>
      </w:r>
      <w:r w:rsidRPr="00C262EA">
        <w:rPr>
          <w:rFonts w:ascii="Arial" w:hAnsi="Arial" w:cs="Arial"/>
        </w:rPr>
        <w:tab/>
      </w:r>
      <w:r w:rsidRPr="00C262EA">
        <w:rPr>
          <w:rFonts w:ascii="Arial" w:hAnsi="Arial" w:cs="Arial"/>
        </w:rPr>
        <w:tab/>
        <w:t>Delta (∆)</w:t>
      </w:r>
    </w:p>
    <w:p w:rsidR="00C262EA" w:rsidRPr="00C262EA" w:rsidRDefault="00C262EA" w:rsidP="00C262EA">
      <w:pPr>
        <w:tabs>
          <w:tab w:val="clear" w:pos="567"/>
          <w:tab w:val="clear" w:pos="1134"/>
          <w:tab w:val="clear" w:pos="1701"/>
          <w:tab w:val="clear" w:pos="2268"/>
          <w:tab w:val="clear" w:pos="2835"/>
        </w:tabs>
        <w:spacing w:before="60" w:line="247" w:lineRule="auto"/>
        <w:ind w:left="4111" w:hanging="3119"/>
        <w:jc w:val="both"/>
        <w:rPr>
          <w:rFonts w:ascii="Arial" w:hAnsi="Arial" w:cs="Arial"/>
        </w:rPr>
      </w:pPr>
      <w:r w:rsidRPr="00C262EA">
        <w:rPr>
          <w:rFonts w:ascii="Arial" w:hAnsi="Arial" w:cs="Arial"/>
        </w:rPr>
        <w:t>- Regulación de tensión</w:t>
      </w:r>
      <w:r w:rsidRPr="00C262EA">
        <w:rPr>
          <w:rFonts w:ascii="Arial" w:hAnsi="Arial" w:cs="Arial"/>
        </w:rPr>
        <w:tab/>
      </w:r>
      <w:r w:rsidRPr="00C262EA">
        <w:rPr>
          <w:rFonts w:ascii="Arial" w:hAnsi="Arial" w:cs="Arial"/>
        </w:rPr>
        <w:tab/>
        <w:t>Automática, bajo carga</w:t>
      </w:r>
    </w:p>
    <w:p w:rsidR="00C262EA" w:rsidRPr="00C262EA" w:rsidRDefault="00C262EA" w:rsidP="00C262EA">
      <w:pPr>
        <w:tabs>
          <w:tab w:val="clear" w:pos="567"/>
          <w:tab w:val="clear" w:pos="1134"/>
          <w:tab w:val="clear" w:pos="1701"/>
          <w:tab w:val="clear" w:pos="2268"/>
          <w:tab w:val="clear" w:pos="2835"/>
        </w:tabs>
        <w:spacing w:before="60" w:line="247" w:lineRule="auto"/>
        <w:ind w:left="4253" w:hanging="3261"/>
        <w:jc w:val="both"/>
        <w:rPr>
          <w:rFonts w:ascii="Arial" w:hAnsi="Arial" w:cs="Arial"/>
        </w:rPr>
      </w:pPr>
      <w:r w:rsidRPr="00C262EA">
        <w:rPr>
          <w:rFonts w:ascii="Arial" w:hAnsi="Arial" w:cs="Arial"/>
        </w:rPr>
        <w:t>- Potencia nominal</w:t>
      </w:r>
      <w:r w:rsidRPr="00C262EA">
        <w:rPr>
          <w:rFonts w:ascii="Arial" w:hAnsi="Arial" w:cs="Arial"/>
        </w:rPr>
        <w:tab/>
        <w:t>120/120/13,5 MVA (ONAN)</w:t>
      </w:r>
    </w:p>
    <w:p w:rsidR="00C262EA" w:rsidRPr="00C262EA" w:rsidRDefault="00C262EA" w:rsidP="00C262EA">
      <w:pPr>
        <w:tabs>
          <w:tab w:val="clear" w:pos="567"/>
          <w:tab w:val="clear" w:pos="1134"/>
          <w:tab w:val="clear" w:pos="1701"/>
          <w:tab w:val="clear" w:pos="2268"/>
          <w:tab w:val="clear" w:pos="2835"/>
        </w:tabs>
        <w:spacing w:before="60" w:line="247" w:lineRule="auto"/>
        <w:ind w:left="4253"/>
        <w:jc w:val="both"/>
        <w:rPr>
          <w:rFonts w:ascii="Arial" w:hAnsi="Arial" w:cs="Arial"/>
        </w:rPr>
      </w:pPr>
      <w:r w:rsidRPr="00C262EA">
        <w:rPr>
          <w:rFonts w:ascii="Arial" w:hAnsi="Arial" w:cs="Arial"/>
        </w:rPr>
        <w:t>150/150/17 MVA (ONAF)</w:t>
      </w:r>
    </w:p>
    <w:p w:rsidR="00C262EA" w:rsidRPr="00C262EA" w:rsidRDefault="00C262EA" w:rsidP="00436943">
      <w:pPr>
        <w:spacing w:before="120" w:line="276" w:lineRule="auto"/>
        <w:ind w:left="1276" w:hanging="284"/>
        <w:rPr>
          <w:rFonts w:ascii="Arial" w:hAnsi="Arial" w:cs="Arial"/>
          <w:b/>
          <w:bCs/>
          <w:lang w:val="es-MX"/>
        </w:rPr>
      </w:pPr>
      <w:r w:rsidRPr="00C262EA">
        <w:rPr>
          <w:rFonts w:ascii="Arial" w:hAnsi="Arial" w:cs="Arial"/>
          <w:sz w:val="16"/>
          <w:szCs w:val="16"/>
          <w:lang w:val="es-MX" w:eastAsia="es-ES"/>
        </w:rPr>
        <w:t xml:space="preserve">(*) </w:t>
      </w:r>
      <w:r w:rsidRPr="00C262EA">
        <w:rPr>
          <w:rFonts w:ascii="Arial" w:hAnsi="Arial" w:cs="Arial"/>
          <w:sz w:val="16"/>
          <w:szCs w:val="16"/>
          <w:lang w:val="es-MX" w:eastAsia="es-ES"/>
        </w:rPr>
        <w:tab/>
        <w:t>Valores de referencia, los valores finales serán definidos por la Sociedad Concesionaria y aprobados por el COES-SINAC en el Estudio de Pre Operatividad.</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11"/>
        <w:jc w:val="both"/>
        <w:rPr>
          <w:rFonts w:ascii="Arial" w:hAnsi="Arial" w:cs="Arial"/>
        </w:rPr>
      </w:pPr>
      <w:r w:rsidRPr="00C262EA">
        <w:rPr>
          <w:rFonts w:ascii="Arial" w:hAnsi="Arial" w:cs="Arial"/>
        </w:rPr>
        <w:t xml:space="preserve">De manera referencial se recomienda una regulación bajo carga de +/- 10%, en el lado de 220 kV, con pasos de 1%. Sin embargo, la Sociedad Concesionaria deberá definir las tensiones nominales, el número y rango de variación de las tomas (taps), así como los mecanismos de accionamiento y control de los transformadores; de conformidad a lo que sea definido y sustentado en el Estudio de Pre-Operatividad. </w:t>
      </w:r>
    </w:p>
    <w:p w:rsidR="00C262EA" w:rsidRPr="00C262EA" w:rsidRDefault="00436943" w:rsidP="00436943">
      <w:pPr>
        <w:tabs>
          <w:tab w:val="clear" w:pos="567"/>
          <w:tab w:val="clear" w:pos="1134"/>
          <w:tab w:val="clear" w:pos="1701"/>
          <w:tab w:val="clear" w:pos="2268"/>
          <w:tab w:val="clear" w:pos="2835"/>
        </w:tabs>
        <w:spacing w:before="120" w:line="247" w:lineRule="auto"/>
        <w:ind w:left="851" w:hanging="11"/>
        <w:jc w:val="both"/>
        <w:rPr>
          <w:rFonts w:ascii="Arial" w:hAnsi="Arial" w:cs="Arial"/>
          <w:b/>
        </w:rPr>
      </w:pPr>
      <w:r>
        <w:rPr>
          <w:rFonts w:ascii="Arial" w:hAnsi="Arial" w:cs="Arial"/>
        </w:rPr>
        <w:br w:type="page"/>
      </w:r>
      <w:r w:rsidR="00C262EA" w:rsidRPr="00C262EA">
        <w:rPr>
          <w:rFonts w:ascii="Arial" w:hAnsi="Arial" w:cs="Arial"/>
          <w:b/>
        </w:rPr>
        <w:lastRenderedPageBreak/>
        <w:t>g.2)</w:t>
      </w:r>
      <w:r w:rsidR="00C262EA" w:rsidRPr="00C262EA">
        <w:rPr>
          <w:rFonts w:ascii="Arial" w:hAnsi="Arial" w:cs="Arial"/>
          <w:b/>
        </w:rPr>
        <w:tab/>
        <w:t>Reactores</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 xml:space="preserve">Los reactores serán unidades trifásicas con neutro a tierra y cumplirán con los niveles de tensión indicados en el literal </w:t>
      </w:r>
      <w:r w:rsidRPr="00C262EA">
        <w:rPr>
          <w:rFonts w:ascii="Arial" w:hAnsi="Arial" w:cs="Arial"/>
          <w:b/>
        </w:rPr>
        <w:t xml:space="preserve">c) Niveles de Tensión y Aislamiento </w:t>
      </w:r>
      <w:r w:rsidRPr="00C262EA">
        <w:rPr>
          <w:rFonts w:ascii="Arial" w:hAnsi="Arial" w:cs="Arial"/>
        </w:rPr>
        <w:t xml:space="preserve">del apartado 3.2, </w:t>
      </w:r>
    </w:p>
    <w:p w:rsidR="00C262EA" w:rsidRPr="00C262EA" w:rsidRDefault="00C262EA" w:rsidP="00C262EA">
      <w:pPr>
        <w:spacing w:before="120" w:line="247" w:lineRule="auto"/>
        <w:ind w:left="840"/>
        <w:jc w:val="both"/>
        <w:rPr>
          <w:rFonts w:ascii="Arial" w:hAnsi="Arial" w:cs="Arial"/>
        </w:rPr>
      </w:pPr>
      <w:r w:rsidRPr="00C262EA">
        <w:rPr>
          <w:rFonts w:ascii="Arial" w:hAnsi="Arial" w:cs="Arial"/>
        </w:rPr>
        <w:t>Los reactores deberán ser suministrados con transformadores de corriente incorporados en los aisladores pasatapas (bushings), de dos núcleos de protección 5P20, en las tres fases y borne de neutro, además del núcleo correspondientes para protección de imagen térmica.</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Los valores de reactancia, potencia, y las características definitivas de los equipos, serán determinados por la Sociedad Concesionaria, de acuerdo con los resultados del Estudio de Pre operatividad, que debe ser aprobado por el COES-SINAC.</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C262EA">
        <w:rPr>
          <w:rFonts w:ascii="Arial" w:hAnsi="Arial" w:cs="Arial"/>
          <w:b/>
        </w:rPr>
        <w:t>g.3)</w:t>
      </w:r>
      <w:r w:rsidRPr="00C262EA">
        <w:rPr>
          <w:rFonts w:ascii="Arial" w:hAnsi="Arial" w:cs="Arial"/>
          <w:b/>
        </w:rPr>
        <w:tab/>
        <w:t>Pérdidas</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Se deberá garantizar los niveles de pérdidas en los transformadores y reactores, para los siguientes niveles de carga permanente: 100%, 75%, y 50% de la operación normal del sistema.</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Los valores garantizados deberán cumplir con lo establecido en la norma IEC 60076 o su equivalente ANSI/IEEE.</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C262EA">
        <w:rPr>
          <w:rFonts w:ascii="Arial" w:hAnsi="Arial" w:cs="Arial"/>
          <w:b/>
        </w:rPr>
        <w:t>g.4)</w:t>
      </w:r>
      <w:r w:rsidRPr="00C262EA">
        <w:rPr>
          <w:rFonts w:ascii="Arial" w:hAnsi="Arial" w:cs="Arial"/>
          <w:b/>
        </w:rPr>
        <w:tab/>
        <w:t>Protección contra incendios</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Cada transformador y cambiador de derivaciones bajo carga y reactor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C262EA">
        <w:rPr>
          <w:rFonts w:ascii="Arial" w:hAnsi="Arial" w:cs="Arial"/>
          <w:b/>
        </w:rPr>
        <w:t>g.5)</w:t>
      </w:r>
      <w:r w:rsidRPr="00C262EA">
        <w:rPr>
          <w:rFonts w:ascii="Arial" w:hAnsi="Arial" w:cs="Arial"/>
          <w:b/>
        </w:rPr>
        <w:tab/>
        <w:t>Recuperación de aceite</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Todas las unidades de transformación deberán tener un sistema, de captación y recuperación del aceite de los transformadores en caso de falla.</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425"/>
        <w:jc w:val="both"/>
        <w:rPr>
          <w:rFonts w:ascii="Arial" w:hAnsi="Arial" w:cs="Arial"/>
          <w:b/>
        </w:rPr>
      </w:pPr>
      <w:r w:rsidRPr="00C262EA">
        <w:rPr>
          <w:rFonts w:ascii="Arial" w:hAnsi="Arial" w:cs="Arial"/>
          <w:b/>
        </w:rPr>
        <w:t>g.6)</w:t>
      </w:r>
      <w:r w:rsidRPr="00C262EA">
        <w:rPr>
          <w:rFonts w:ascii="Arial" w:hAnsi="Arial" w:cs="Arial"/>
          <w:b/>
        </w:rPr>
        <w:tab/>
        <w:t>Muros Cortafuego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rPr>
      </w:pPr>
      <w:r w:rsidRPr="00C262EA">
        <w:rPr>
          <w:rFonts w:ascii="Arial" w:hAnsi="Arial" w:cs="Arial"/>
        </w:rPr>
        <w:t>En la subestación Quencoro Nueva se construirán muros cortafuego para aislar entre sí cada una de las unidades de transformación que sean instaladas.</w:t>
      </w:r>
    </w:p>
    <w:p w:rsidR="00C262EA" w:rsidRPr="00C262EA" w:rsidRDefault="00436943" w:rsidP="00C262EA">
      <w:pPr>
        <w:tabs>
          <w:tab w:val="left" w:pos="360"/>
        </w:tabs>
        <w:spacing w:before="120" w:line="247" w:lineRule="auto"/>
        <w:jc w:val="both"/>
        <w:rPr>
          <w:rFonts w:ascii="Arial" w:hAnsi="Arial" w:cs="Arial"/>
          <w:b/>
          <w:bCs/>
        </w:rPr>
      </w:pPr>
      <w:r>
        <w:rPr>
          <w:rFonts w:ascii="Arial" w:hAnsi="Arial" w:cs="Arial"/>
          <w:b/>
          <w:bCs/>
        </w:rPr>
        <w:br w:type="page"/>
      </w:r>
      <w:r w:rsidR="00C262EA" w:rsidRPr="00C262EA">
        <w:rPr>
          <w:rFonts w:ascii="Arial" w:hAnsi="Arial" w:cs="Arial"/>
          <w:b/>
          <w:bCs/>
        </w:rPr>
        <w:lastRenderedPageBreak/>
        <w:t>h)</w:t>
      </w:r>
      <w:r w:rsidR="00C262EA" w:rsidRPr="00C262EA">
        <w:rPr>
          <w:rFonts w:ascii="Arial" w:hAnsi="Arial" w:cs="Arial"/>
          <w:b/>
          <w:bCs/>
        </w:rPr>
        <w:tab/>
        <w:t>Equipos de 220 kV</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El equipamiento recomendado de las celdas de conexión a líneas de 220 kV es el siguiente:</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El equipamiento recomendado de las celdas de conexión al banco de transformadores, en el lado de 220 kV, es el siguiente:</w:t>
      </w:r>
    </w:p>
    <w:p w:rsidR="00C262EA" w:rsidRPr="00C262EA" w:rsidRDefault="00C262EA" w:rsidP="00C262EA">
      <w:pPr>
        <w:tabs>
          <w:tab w:val="left" w:pos="1560"/>
        </w:tabs>
        <w:spacing w:before="120" w:line="247" w:lineRule="auto"/>
        <w:ind w:left="709"/>
        <w:jc w:val="both"/>
        <w:rPr>
          <w:rFonts w:ascii="Arial" w:hAnsi="Arial" w:cs="Arial"/>
        </w:rPr>
      </w:pPr>
      <w:r w:rsidRPr="00C262EA">
        <w:rPr>
          <w:rFonts w:ascii="Arial" w:hAnsi="Arial" w:cs="Arial"/>
        </w:rPr>
        <w:t>Convencional del tipo exterior y con pórticos. Estará constituido por lo menos con los siguientes equipos: pararrayos, transformadores de corriente, interruptor de operación uni-tripolar sincronizado y seccionador de barras.</w:t>
      </w:r>
    </w:p>
    <w:p w:rsidR="00C262EA" w:rsidRPr="00C262EA" w:rsidRDefault="00C262EA" w:rsidP="00C262EA">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C262EA">
        <w:rPr>
          <w:rFonts w:ascii="Arial" w:hAnsi="Arial" w:cs="Arial"/>
          <w:b/>
          <w:bCs/>
        </w:rPr>
        <w:t>i)</w:t>
      </w:r>
      <w:r w:rsidRPr="00C262EA">
        <w:rPr>
          <w:rFonts w:ascii="Arial" w:hAnsi="Arial" w:cs="Arial"/>
          <w:b/>
          <w:bCs/>
        </w:rPr>
        <w:tab/>
        <w:t>Equipos de 138 kV</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El equipamiento recomendado de las celdas de conexión a líneas de 138 kV es el siguiente:</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El equipamiento recomendado de las celdas de conexión al banco de  transformadores, en el lado de 138 kV, es el siguiente:</w:t>
      </w:r>
    </w:p>
    <w:p w:rsidR="00C262EA" w:rsidRPr="00C262EA" w:rsidRDefault="00C262EA" w:rsidP="00C262EA">
      <w:pPr>
        <w:tabs>
          <w:tab w:val="clear" w:pos="567"/>
          <w:tab w:val="clear" w:pos="1134"/>
          <w:tab w:val="clear" w:pos="1701"/>
          <w:tab w:val="clear" w:pos="2268"/>
          <w:tab w:val="clear" w:pos="2835"/>
        </w:tabs>
        <w:spacing w:before="120" w:line="247" w:lineRule="auto"/>
        <w:ind w:left="709"/>
        <w:jc w:val="both"/>
        <w:rPr>
          <w:rFonts w:ascii="Arial" w:hAnsi="Arial" w:cs="Arial"/>
        </w:rPr>
      </w:pPr>
      <w:r w:rsidRPr="00C262EA">
        <w:rPr>
          <w:rFonts w:ascii="Arial" w:hAnsi="Arial" w:cs="Arial"/>
          <w:lang w:eastAsia="es-ES"/>
        </w:rPr>
        <w:t>Convencional del tipo exterior y con pórticos. Estará constituido por lo menos con los siguientes equipos: pararrayos, transformadores de corriente, interruptor de operación uni-tripolar sincronizado y seccionador de barras</w:t>
      </w:r>
      <w:r w:rsidRPr="00C262EA">
        <w:rPr>
          <w:rFonts w:ascii="Arial" w:hAnsi="Arial" w:cs="Arial"/>
        </w:rPr>
        <w:t>.</w:t>
      </w:r>
    </w:p>
    <w:p w:rsidR="00C262EA" w:rsidRPr="00C262EA" w:rsidRDefault="00C262EA" w:rsidP="00C262EA">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C262EA">
        <w:rPr>
          <w:rFonts w:ascii="Arial" w:hAnsi="Arial" w:cs="Arial"/>
          <w:b/>
          <w:bCs/>
        </w:rPr>
        <w:t>j)</w:t>
      </w:r>
      <w:r w:rsidRPr="00C262EA">
        <w:rPr>
          <w:rFonts w:ascii="Arial" w:hAnsi="Arial" w:cs="Arial"/>
          <w:b/>
          <w:bCs/>
        </w:rPr>
        <w:tab/>
        <w:t>Equipos de 10,5 kV</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rPr>
      </w:pPr>
      <w:r w:rsidRPr="00C262EA">
        <w:rPr>
          <w:rFonts w:ascii="Arial" w:hAnsi="Arial" w:cs="Arial"/>
          <w:lang w:eastAsia="es-ES"/>
        </w:rPr>
        <w:t xml:space="preserve">El equipamiento recomendado de las celdas de conexión de 10,5 kV </w:t>
      </w:r>
      <w:r w:rsidRPr="00C262EA">
        <w:rPr>
          <w:rFonts w:ascii="Arial" w:hAnsi="Arial" w:cs="Arial"/>
        </w:rPr>
        <w:t>estará constituido por: interruptores tripolares extraíbles, transformadores de tensión inductivos de barras, transformadores de corriente, barras, equipo de medición y protección instalados en celdas metálicas blindadas, tipo metal-clad, instaladas al interior en ambiente cerrado.</w:t>
      </w:r>
    </w:p>
    <w:p w:rsidR="00C262EA" w:rsidRPr="00C262EA" w:rsidRDefault="00C262EA" w:rsidP="00C262EA">
      <w:pPr>
        <w:tabs>
          <w:tab w:val="clear" w:pos="567"/>
          <w:tab w:val="clear" w:pos="1134"/>
        </w:tabs>
        <w:spacing w:before="120" w:line="247" w:lineRule="auto"/>
        <w:ind w:left="851" w:hanging="491"/>
        <w:jc w:val="both"/>
        <w:rPr>
          <w:rFonts w:ascii="Arial" w:hAnsi="Arial" w:cs="Arial"/>
          <w:sz w:val="16"/>
          <w:szCs w:val="16"/>
        </w:rPr>
      </w:pPr>
      <w:r w:rsidRPr="00C262EA">
        <w:rPr>
          <w:rFonts w:ascii="Arial" w:hAnsi="Arial" w:cs="Arial"/>
          <w:b/>
          <w:sz w:val="16"/>
          <w:szCs w:val="16"/>
          <w:u w:val="single"/>
        </w:rPr>
        <w:t>Nota</w:t>
      </w:r>
      <w:r w:rsidRPr="00C262EA">
        <w:rPr>
          <w:rFonts w:ascii="Arial" w:hAnsi="Arial" w:cs="Arial"/>
          <w:sz w:val="16"/>
          <w:szCs w:val="16"/>
        </w:rPr>
        <w:t>: El nivel de tensión señalado (10,5 kV) y el tipo del equipamiento recomendado deberán ser confirmados o modificados por la Sociedad Concesionaria, según los diseños finales de Ingeniería que sean aprobados por el COES-SINAC en el Estudio de Pre Operatividad.</w:t>
      </w:r>
    </w:p>
    <w:p w:rsidR="00C262EA" w:rsidRPr="00C262EA" w:rsidRDefault="00C262EA" w:rsidP="00C262EA">
      <w:pPr>
        <w:tabs>
          <w:tab w:val="clear" w:pos="567"/>
          <w:tab w:val="clear" w:pos="1134"/>
          <w:tab w:val="clear" w:pos="1701"/>
          <w:tab w:val="clear" w:pos="2268"/>
          <w:tab w:val="clear" w:pos="2835"/>
          <w:tab w:val="left" w:pos="360"/>
        </w:tabs>
        <w:spacing w:before="120" w:line="247" w:lineRule="auto"/>
        <w:jc w:val="both"/>
        <w:rPr>
          <w:rFonts w:ascii="Arial" w:hAnsi="Arial" w:cs="Arial"/>
          <w:b/>
          <w:bCs/>
        </w:rPr>
      </w:pPr>
      <w:r w:rsidRPr="00C262EA">
        <w:rPr>
          <w:rFonts w:ascii="Arial" w:hAnsi="Arial" w:cs="Arial"/>
          <w:b/>
          <w:bCs/>
        </w:rPr>
        <w:t>k)</w:t>
      </w:r>
      <w:r w:rsidRPr="00C262EA">
        <w:rPr>
          <w:rFonts w:ascii="Arial" w:hAnsi="Arial" w:cs="Arial"/>
          <w:b/>
          <w:bCs/>
        </w:rPr>
        <w:tab/>
        <w:t>Protección y medición</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La protección del sistema de transmisión deberá contar con sistemas de protección, primaria y secundaria del mismo nivel sin ser excluyentes, a menos que se indique lo contrario. Deberá cumplirse con los Requisitos Mínimos para los Sistemas de Protección del COES establecidos en el documento “Requisitos Mínimos para los Sistemas de Protección del SEIN”.</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b/>
        </w:rPr>
      </w:pPr>
      <w:r w:rsidRPr="00C262EA">
        <w:rPr>
          <w:rFonts w:ascii="Arial" w:hAnsi="Arial" w:cs="Arial"/>
          <w:b/>
        </w:rPr>
        <w:t>k.1)</w:t>
      </w:r>
      <w:r w:rsidRPr="00C262EA">
        <w:rPr>
          <w:rFonts w:ascii="Arial" w:hAnsi="Arial" w:cs="Arial"/>
          <w:b/>
        </w:rPr>
        <w:tab/>
        <w:t>Líneas de transmisión</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La protección de las líneas estará basada en una protección primaria y secundaria, del mismo nivel sin ser excluyentes, así como en protección de respaldo, entre otros, los siguientes:</w:t>
      </w:r>
    </w:p>
    <w:p w:rsidR="00C262EA" w:rsidRPr="00C262EA" w:rsidRDefault="00C262EA" w:rsidP="004F6B32">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C262EA">
        <w:rPr>
          <w:rFonts w:ascii="Arial" w:hAnsi="Arial" w:cs="Arial"/>
        </w:rPr>
        <w:t>Protección primaria:</w:t>
      </w:r>
      <w:r w:rsidRPr="00C262EA">
        <w:rPr>
          <w:rFonts w:ascii="Arial" w:hAnsi="Arial" w:cs="Arial"/>
        </w:rPr>
        <w:tab/>
        <w:t>relés de corriente diferencial</w:t>
      </w:r>
    </w:p>
    <w:p w:rsidR="00C262EA" w:rsidRPr="00C262EA" w:rsidRDefault="00C262EA" w:rsidP="004F6B32">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C262EA">
        <w:rPr>
          <w:rFonts w:ascii="Arial" w:hAnsi="Arial" w:cs="Arial"/>
        </w:rPr>
        <w:t>Protección secundaria:</w:t>
      </w:r>
      <w:r w:rsidRPr="00C262EA">
        <w:rPr>
          <w:rFonts w:ascii="Arial" w:hAnsi="Arial" w:cs="Arial"/>
        </w:rPr>
        <w:tab/>
        <w:t>relés de distancia</w:t>
      </w:r>
    </w:p>
    <w:p w:rsidR="00C262EA" w:rsidRPr="00C262EA" w:rsidRDefault="00C262EA" w:rsidP="004F6B32">
      <w:pPr>
        <w:numPr>
          <w:ilvl w:val="0"/>
          <w:numId w:val="51"/>
        </w:numPr>
        <w:tabs>
          <w:tab w:val="clear" w:pos="567"/>
          <w:tab w:val="clear" w:pos="1134"/>
          <w:tab w:val="clear" w:pos="1701"/>
          <w:tab w:val="clear" w:pos="2268"/>
          <w:tab w:val="clear" w:pos="2835"/>
          <w:tab w:val="left" w:pos="1843"/>
          <w:tab w:val="left" w:pos="4820"/>
        </w:tabs>
        <w:spacing w:before="40" w:line="247" w:lineRule="auto"/>
        <w:ind w:left="1843" w:hanging="283"/>
        <w:jc w:val="both"/>
        <w:rPr>
          <w:rFonts w:ascii="Arial" w:hAnsi="Arial" w:cs="Arial"/>
        </w:rPr>
      </w:pPr>
      <w:r w:rsidRPr="00C262EA">
        <w:rPr>
          <w:rFonts w:ascii="Arial" w:hAnsi="Arial" w:cs="Arial"/>
        </w:rPr>
        <w:t>Protección de respaldo:</w:t>
      </w:r>
      <w:r w:rsidRPr="00C262EA">
        <w:rPr>
          <w:rFonts w:ascii="Arial" w:hAnsi="Arial" w:cs="Arial"/>
        </w:rPr>
        <w:tab/>
        <w:t>relés de sobrecorriente</w:t>
      </w:r>
    </w:p>
    <w:p w:rsidR="00C262EA" w:rsidRPr="00C262EA" w:rsidRDefault="00C262EA" w:rsidP="00C262EA">
      <w:pPr>
        <w:spacing w:before="40" w:line="247" w:lineRule="auto"/>
        <w:ind w:left="4820"/>
        <w:jc w:val="both"/>
        <w:rPr>
          <w:rFonts w:ascii="Arial" w:hAnsi="Arial" w:cs="Arial"/>
        </w:rPr>
      </w:pPr>
      <w:r w:rsidRPr="00C262EA">
        <w:rPr>
          <w:rFonts w:ascii="Arial" w:hAnsi="Arial" w:cs="Arial"/>
        </w:rPr>
        <w:lastRenderedPageBreak/>
        <w:t>relés de sobrecorriente direccional a tierra</w:t>
      </w:r>
    </w:p>
    <w:p w:rsidR="00C262EA" w:rsidRPr="00C262EA" w:rsidRDefault="00C262EA" w:rsidP="00C262EA">
      <w:pPr>
        <w:spacing w:before="40" w:line="247" w:lineRule="auto"/>
        <w:ind w:left="4820"/>
        <w:jc w:val="both"/>
        <w:rPr>
          <w:rFonts w:ascii="Arial" w:hAnsi="Arial" w:cs="Arial"/>
        </w:rPr>
      </w:pPr>
      <w:r w:rsidRPr="00C262EA">
        <w:rPr>
          <w:rFonts w:ascii="Arial" w:hAnsi="Arial" w:cs="Arial"/>
        </w:rPr>
        <w:t>relés de desbalance</w:t>
      </w:r>
    </w:p>
    <w:p w:rsidR="00C262EA" w:rsidRPr="00C262EA" w:rsidRDefault="00C262EA" w:rsidP="00C262EA">
      <w:pPr>
        <w:spacing w:before="40" w:line="247" w:lineRule="auto"/>
        <w:ind w:left="4820"/>
        <w:jc w:val="both"/>
        <w:rPr>
          <w:rFonts w:ascii="Arial" w:hAnsi="Arial" w:cs="Arial"/>
        </w:rPr>
      </w:pPr>
      <w:r w:rsidRPr="00C262EA">
        <w:rPr>
          <w:rFonts w:ascii="Arial" w:hAnsi="Arial" w:cs="Arial"/>
        </w:rPr>
        <w:t>relés de mínima y máxima tensión.</w:t>
      </w:r>
    </w:p>
    <w:p w:rsidR="00C262EA" w:rsidRPr="00C262EA" w:rsidRDefault="00C262EA" w:rsidP="00C262EA">
      <w:pPr>
        <w:spacing w:before="40" w:line="247" w:lineRule="auto"/>
        <w:ind w:left="4820"/>
        <w:jc w:val="both"/>
        <w:rPr>
          <w:rFonts w:ascii="Arial" w:hAnsi="Arial" w:cs="Arial"/>
        </w:rPr>
      </w:pPr>
      <w:r w:rsidRPr="00C262EA">
        <w:rPr>
          <w:rFonts w:ascii="Arial" w:hAnsi="Arial" w:cs="Arial"/>
        </w:rPr>
        <w:t>relé de frecuencia.</w:t>
      </w:r>
    </w:p>
    <w:p w:rsidR="00C262EA" w:rsidRPr="00C262EA" w:rsidRDefault="00C262EA" w:rsidP="00C262EA">
      <w:pPr>
        <w:tabs>
          <w:tab w:val="clear" w:pos="567"/>
          <w:tab w:val="clear" w:pos="1134"/>
          <w:tab w:val="clear" w:pos="1701"/>
          <w:tab w:val="clear" w:pos="2268"/>
          <w:tab w:val="clear" w:pos="2835"/>
        </w:tabs>
        <w:spacing w:before="120" w:line="247" w:lineRule="auto"/>
        <w:ind w:left="840"/>
        <w:jc w:val="both"/>
        <w:rPr>
          <w:rFonts w:ascii="Arial" w:hAnsi="Arial" w:cs="Arial"/>
        </w:rPr>
      </w:pPr>
      <w:r w:rsidRPr="00C262EA">
        <w:rPr>
          <w:rFonts w:ascii="Arial" w:hAnsi="Arial" w:cs="Arial"/>
        </w:rPr>
        <w:t>Todas las líneas deberán contar con relés de recierre monofásico, coordinados por el sistema de teleprotección, que actúen sobre los respectivos interruptores, ubicados a ambos extremos de la línea.</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b/>
        </w:rPr>
      </w:pPr>
      <w:r w:rsidRPr="00C262EA">
        <w:rPr>
          <w:rFonts w:ascii="Arial" w:hAnsi="Arial" w:cs="Arial"/>
          <w:b/>
        </w:rPr>
        <w:t>k.2)</w:t>
      </w:r>
      <w:r w:rsidRPr="00C262EA">
        <w:rPr>
          <w:rFonts w:ascii="Arial" w:hAnsi="Arial" w:cs="Arial"/>
          <w:b/>
        </w:rPr>
        <w:tab/>
        <w:t>Transformador y Reactores</w:t>
      </w:r>
    </w:p>
    <w:p w:rsidR="00C262EA" w:rsidRPr="00C262EA" w:rsidRDefault="00C262EA" w:rsidP="00C262EA">
      <w:pPr>
        <w:spacing w:before="120" w:line="247" w:lineRule="auto"/>
        <w:ind w:left="840"/>
        <w:jc w:val="both"/>
        <w:rPr>
          <w:rFonts w:ascii="Arial" w:hAnsi="Arial" w:cs="Arial"/>
        </w:rPr>
      </w:pPr>
      <w:r w:rsidRPr="00C262EA">
        <w:rPr>
          <w:rFonts w:ascii="Arial" w:hAnsi="Arial" w:cs="Arial"/>
        </w:rPr>
        <w:t>Los transformadores y reactores deberán contar con la siguiente protección, entre otros:</w:t>
      </w:r>
    </w:p>
    <w:p w:rsidR="00C262EA" w:rsidRPr="00C262EA" w:rsidRDefault="00C262EA" w:rsidP="004F6B32">
      <w:pPr>
        <w:numPr>
          <w:ilvl w:val="0"/>
          <w:numId w:val="51"/>
        </w:numPr>
        <w:tabs>
          <w:tab w:val="clear" w:pos="567"/>
          <w:tab w:val="clear" w:pos="1134"/>
          <w:tab w:val="clear" w:pos="1701"/>
          <w:tab w:val="clear" w:pos="2268"/>
          <w:tab w:val="clear" w:pos="2835"/>
          <w:tab w:val="left" w:pos="1843"/>
          <w:tab w:val="left" w:pos="4820"/>
        </w:tabs>
        <w:spacing w:before="60" w:line="247" w:lineRule="auto"/>
        <w:ind w:left="1843" w:hanging="283"/>
        <w:jc w:val="both"/>
        <w:rPr>
          <w:rFonts w:ascii="Arial" w:hAnsi="Arial" w:cs="Arial"/>
        </w:rPr>
      </w:pPr>
      <w:r w:rsidRPr="00C262EA">
        <w:rPr>
          <w:rFonts w:ascii="Arial" w:hAnsi="Arial" w:cs="Arial"/>
        </w:rPr>
        <w:t>Protección principal:</w:t>
      </w:r>
      <w:r w:rsidRPr="00C262EA">
        <w:rPr>
          <w:rFonts w:ascii="Arial" w:hAnsi="Arial" w:cs="Arial"/>
        </w:rPr>
        <w:tab/>
        <w:t>relés de corriente diferencial.</w:t>
      </w:r>
    </w:p>
    <w:p w:rsidR="00C262EA" w:rsidRPr="00C262EA" w:rsidRDefault="00C262EA" w:rsidP="004F6B32">
      <w:pPr>
        <w:numPr>
          <w:ilvl w:val="0"/>
          <w:numId w:val="51"/>
        </w:numPr>
        <w:tabs>
          <w:tab w:val="clear" w:pos="567"/>
          <w:tab w:val="clear" w:pos="1134"/>
          <w:tab w:val="clear" w:pos="1701"/>
          <w:tab w:val="clear" w:pos="2268"/>
          <w:tab w:val="clear" w:pos="2835"/>
          <w:tab w:val="left" w:pos="1843"/>
          <w:tab w:val="left" w:pos="4820"/>
        </w:tabs>
        <w:spacing w:before="60" w:line="247" w:lineRule="auto"/>
        <w:ind w:left="1843" w:hanging="283"/>
        <w:jc w:val="both"/>
        <w:rPr>
          <w:rFonts w:ascii="Arial" w:hAnsi="Arial" w:cs="Arial"/>
        </w:rPr>
      </w:pPr>
      <w:r w:rsidRPr="00C262EA">
        <w:rPr>
          <w:rFonts w:ascii="Arial" w:hAnsi="Arial" w:cs="Arial"/>
        </w:rPr>
        <w:t>Protección secundaria:</w:t>
      </w:r>
      <w:r w:rsidRPr="00C262EA">
        <w:rPr>
          <w:rFonts w:ascii="Arial" w:hAnsi="Arial" w:cs="Arial"/>
        </w:rPr>
        <w:tab/>
        <w:t>relé de bloqueo.</w:t>
      </w:r>
    </w:p>
    <w:p w:rsidR="00C262EA" w:rsidRPr="00C262EA" w:rsidRDefault="00C262EA" w:rsidP="00C262EA">
      <w:pPr>
        <w:spacing w:before="60" w:line="247" w:lineRule="auto"/>
        <w:ind w:left="4820"/>
        <w:jc w:val="both"/>
        <w:rPr>
          <w:rFonts w:ascii="Arial" w:hAnsi="Arial" w:cs="Arial"/>
        </w:rPr>
      </w:pPr>
      <w:r w:rsidRPr="00C262EA">
        <w:rPr>
          <w:rFonts w:ascii="Arial" w:hAnsi="Arial" w:cs="Arial"/>
        </w:rPr>
        <w:t>relé de sobrecorriente.</w:t>
      </w:r>
    </w:p>
    <w:p w:rsidR="00C262EA" w:rsidRPr="00C262EA" w:rsidRDefault="00C262EA" w:rsidP="00C262EA">
      <w:pPr>
        <w:spacing w:before="60" w:line="247" w:lineRule="auto"/>
        <w:ind w:left="4820"/>
        <w:jc w:val="both"/>
        <w:rPr>
          <w:rFonts w:ascii="Arial" w:hAnsi="Arial" w:cs="Arial"/>
        </w:rPr>
      </w:pPr>
      <w:r w:rsidRPr="00C262EA">
        <w:rPr>
          <w:rFonts w:ascii="Arial" w:hAnsi="Arial" w:cs="Arial"/>
        </w:rPr>
        <w:t>relé de sobrecorriente a tierra.</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l)</w:t>
      </w:r>
      <w:r w:rsidRPr="00C262EA">
        <w:rPr>
          <w:rFonts w:ascii="Arial" w:hAnsi="Arial" w:cs="Arial"/>
          <w:b/>
          <w:bCs/>
        </w:rPr>
        <w:tab/>
        <w:t>Telecomunicaciones</w:t>
      </w:r>
    </w:p>
    <w:p w:rsidR="00C262EA" w:rsidRPr="00C262EA" w:rsidRDefault="00C262EA" w:rsidP="00C262EA">
      <w:pPr>
        <w:tabs>
          <w:tab w:val="clear" w:pos="567"/>
          <w:tab w:val="clear" w:pos="1134"/>
          <w:tab w:val="clear" w:pos="1701"/>
          <w:tab w:val="clear" w:pos="2268"/>
          <w:tab w:val="clear" w:pos="2835"/>
        </w:tabs>
        <w:spacing w:before="120" w:line="247" w:lineRule="auto"/>
        <w:ind w:left="360"/>
        <w:jc w:val="both"/>
        <w:rPr>
          <w:rFonts w:ascii="Arial" w:hAnsi="Arial" w:cs="Arial"/>
          <w:lang w:eastAsia="es-ES"/>
        </w:rPr>
      </w:pPr>
      <w:r w:rsidRPr="00C262EA">
        <w:rPr>
          <w:rFonts w:ascii="Arial" w:hAnsi="Arial" w:cs="Arial"/>
          <w:lang w:eastAsia="es-ES"/>
        </w:rPr>
        <w:t>Se deberá contar con un sistema de telecomunicaciones principal (fibra óptica – OPGW) y secundario (onda portadora) en simultáneo y no excluyentes, más un sistema de respaldo (satelital u otro que considere la Sociedad Concesionaria) en situaciones de emergencia, que permitan la comunicación permanente de voz y datos entre las subestaciones.</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 xml:space="preserve">m) </w:t>
      </w:r>
      <w:r w:rsidRPr="00C262EA">
        <w:rPr>
          <w:rFonts w:ascii="Arial" w:hAnsi="Arial" w:cs="Arial"/>
          <w:b/>
          <w:bCs/>
        </w:rPr>
        <w:tab/>
        <w:t>Servicios auxiliares</w:t>
      </w:r>
    </w:p>
    <w:p w:rsidR="00C262EA" w:rsidRPr="00C262EA" w:rsidRDefault="00C262EA" w:rsidP="00C262EA">
      <w:pPr>
        <w:spacing w:before="120" w:line="247" w:lineRule="auto"/>
        <w:ind w:left="360"/>
        <w:jc w:val="both"/>
        <w:rPr>
          <w:rFonts w:ascii="Arial" w:hAnsi="Arial" w:cs="Arial"/>
        </w:rPr>
      </w:pPr>
      <w:r w:rsidRPr="00C262EA">
        <w:rPr>
          <w:rFonts w:ascii="Arial" w:hAnsi="Arial" w:cs="Arial"/>
        </w:rPr>
        <w:t>Para las instalaciones nuevas se recomienda emplear el sistema que se describe a continuación.</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m.1)</w:t>
      </w:r>
      <w:r w:rsidRPr="00C262EA">
        <w:rPr>
          <w:rFonts w:ascii="Arial" w:hAnsi="Arial" w:cs="Arial"/>
        </w:rPr>
        <w:tab/>
        <w:t>En corriente alterna será trifásico 400-230 Vca; 4 conductores, neutro corrido, para atender los servicios de luz y fuerza de la subestación. Las subestaciones nuevas deberán contar con un grupo diesel de emergencia para atender la carga completa de la subestación.</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m.2)</w:t>
      </w:r>
      <w:r w:rsidRPr="00C262EA">
        <w:rPr>
          <w:rFonts w:ascii="Arial" w:hAnsi="Arial" w:cs="Arial"/>
        </w:rPr>
        <w:tab/>
        <w:t>En corriente continua la tensión será 125 V cc, para atender los servicios de control y mando de la subestación.</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m.3)</w:t>
      </w:r>
      <w:r w:rsidRPr="00C262EA">
        <w:rPr>
          <w:rFonts w:ascii="Arial" w:hAnsi="Arial" w:cs="Arial"/>
        </w:rPr>
        <w:tab/>
        <w:t>Para telecomunicaciones se empleará la tensión de 48 V cc.</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m.4)</w:t>
      </w:r>
      <w:r w:rsidRPr="00C262EA">
        <w:rPr>
          <w:rFonts w:ascii="Arial" w:hAnsi="Arial" w:cs="Arial"/>
        </w:rPr>
        <w:tab/>
        <w:t>Los servicios de corriente continua serán alimentados por dobles conjuntos de cargadores-rectificadores individuales de 400 V, 60 Hz, a 125 Vcc y a 48 Vcc, respectivamente, con capacidad cada uno para atender todos los servicios requeridos y al mismo tiempo, la carga de sus respectivos bancos de acumuladores (baterías).</w:t>
      </w:r>
    </w:p>
    <w:p w:rsidR="00C262EA" w:rsidRPr="00C262EA" w:rsidRDefault="00C262EA" w:rsidP="00C262EA">
      <w:pPr>
        <w:spacing w:before="120" w:line="247" w:lineRule="auto"/>
        <w:ind w:left="360"/>
        <w:jc w:val="both"/>
        <w:rPr>
          <w:rFonts w:ascii="Arial" w:hAnsi="Arial" w:cs="Arial"/>
        </w:rPr>
      </w:pPr>
      <w:r w:rsidRPr="00C262EA">
        <w:rPr>
          <w:rFonts w:ascii="Arial" w:hAnsi="Arial" w:cs="Arial"/>
        </w:rPr>
        <w:t>Para el caso de la ampliación de instalaciones existentes, el sistema a emplear deberá ser compatible con el existente.</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n)</w:t>
      </w:r>
      <w:r w:rsidRPr="00C262EA">
        <w:rPr>
          <w:rFonts w:ascii="Arial" w:hAnsi="Arial" w:cs="Arial"/>
          <w:b/>
          <w:bCs/>
        </w:rPr>
        <w:tab/>
        <w:t>Control</w:t>
      </w:r>
    </w:p>
    <w:p w:rsidR="00C262EA" w:rsidRPr="00C262EA" w:rsidRDefault="00C262EA" w:rsidP="00C262EA">
      <w:pPr>
        <w:tabs>
          <w:tab w:val="clear" w:pos="567"/>
          <w:tab w:val="clear" w:pos="1134"/>
          <w:tab w:val="clear" w:pos="1701"/>
          <w:tab w:val="clear" w:pos="2268"/>
          <w:tab w:val="clear" w:pos="2835"/>
        </w:tabs>
        <w:spacing w:before="120" w:line="247" w:lineRule="auto"/>
        <w:ind w:left="960" w:hanging="600"/>
        <w:jc w:val="both"/>
        <w:rPr>
          <w:rFonts w:ascii="Arial" w:hAnsi="Arial" w:cs="Arial"/>
        </w:rPr>
      </w:pPr>
      <w:r w:rsidRPr="00C262EA">
        <w:rPr>
          <w:rFonts w:ascii="Arial" w:hAnsi="Arial" w:cs="Arial"/>
        </w:rPr>
        <w:t>n.1)</w:t>
      </w:r>
      <w:r w:rsidRPr="00C262EA">
        <w:rPr>
          <w:rFonts w:ascii="Arial" w:hAnsi="Arial" w:cs="Arial"/>
        </w:rPr>
        <w:tab/>
        <w:t>Los tableros de protección y medición estarán ubicados al lado de cada bahía de conexión, y se conectarán por fibra óptica radial hasta la sala de control; el control de cada celda o bahía se realizará desde unidades de control de bahía (UCB), una por cada celda en alta tensión. Se proveerán los siguientes niveles de operación y control:</w:t>
      </w:r>
    </w:p>
    <w:p w:rsidR="00C262EA" w:rsidRPr="00C262EA" w:rsidRDefault="00C262EA" w:rsidP="004F6B32">
      <w:pPr>
        <w:numPr>
          <w:ilvl w:val="0"/>
          <w:numId w:val="51"/>
        </w:numPr>
        <w:tabs>
          <w:tab w:val="clear" w:pos="567"/>
          <w:tab w:val="clear" w:pos="1134"/>
          <w:tab w:val="clear" w:pos="1701"/>
          <w:tab w:val="clear" w:pos="2268"/>
          <w:tab w:val="clear" w:pos="2835"/>
        </w:tabs>
        <w:spacing w:before="120" w:line="247" w:lineRule="auto"/>
        <w:ind w:left="1843" w:hanging="243"/>
        <w:jc w:val="both"/>
        <w:rPr>
          <w:rFonts w:ascii="Arial" w:hAnsi="Arial" w:cs="Arial"/>
        </w:rPr>
      </w:pPr>
      <w:r w:rsidRPr="00C262EA">
        <w:rPr>
          <w:rFonts w:ascii="Arial" w:hAnsi="Arial" w:cs="Arial"/>
        </w:rPr>
        <w:t>Local</w:t>
      </w:r>
      <w:r w:rsidRPr="00C262EA">
        <w:rPr>
          <w:rFonts w:ascii="Arial" w:hAnsi="Arial" w:cs="Arial"/>
        </w:rPr>
        <w:tab/>
        <w:t>manual, sobre cada uno de los equipos</w:t>
      </w:r>
    </w:p>
    <w:p w:rsidR="00C262EA" w:rsidRPr="00C262EA" w:rsidRDefault="00C262EA" w:rsidP="004F6B32">
      <w:pPr>
        <w:numPr>
          <w:ilvl w:val="0"/>
          <w:numId w:val="51"/>
        </w:numPr>
        <w:tabs>
          <w:tab w:val="clear" w:pos="567"/>
          <w:tab w:val="clear" w:pos="1134"/>
          <w:tab w:val="clear" w:pos="1701"/>
          <w:tab w:val="clear" w:pos="2268"/>
          <w:tab w:val="clear" w:pos="2835"/>
        </w:tabs>
        <w:spacing w:before="60" w:line="247" w:lineRule="auto"/>
        <w:ind w:left="2280" w:hanging="680"/>
        <w:jc w:val="both"/>
        <w:rPr>
          <w:rFonts w:ascii="Arial" w:hAnsi="Arial" w:cs="Arial"/>
        </w:rPr>
      </w:pPr>
      <w:r w:rsidRPr="00C262EA">
        <w:rPr>
          <w:rFonts w:ascii="Arial" w:hAnsi="Arial" w:cs="Arial"/>
        </w:rPr>
        <w:t>Remoto</w:t>
      </w:r>
      <w:r w:rsidRPr="00C262EA">
        <w:rPr>
          <w:rFonts w:ascii="Arial" w:hAnsi="Arial" w:cs="Arial"/>
        </w:rPr>
        <w:tab/>
        <w:t>automático, desde:</w:t>
      </w:r>
    </w:p>
    <w:p w:rsidR="00C262EA" w:rsidRPr="00C262EA" w:rsidRDefault="00C262EA" w:rsidP="00C262EA">
      <w:pPr>
        <w:tabs>
          <w:tab w:val="clear" w:pos="567"/>
          <w:tab w:val="clear" w:pos="1134"/>
          <w:tab w:val="clear" w:pos="1701"/>
          <w:tab w:val="clear" w:pos="2268"/>
          <w:tab w:val="clear" w:pos="2835"/>
        </w:tabs>
        <w:spacing w:before="60" w:line="247" w:lineRule="auto"/>
        <w:ind w:left="2600"/>
        <w:jc w:val="both"/>
        <w:rPr>
          <w:rFonts w:ascii="Arial" w:hAnsi="Arial" w:cs="Arial"/>
        </w:rPr>
      </w:pPr>
      <w:r w:rsidRPr="00C262EA">
        <w:rPr>
          <w:rFonts w:ascii="Arial" w:hAnsi="Arial" w:cs="Arial"/>
        </w:rPr>
        <w:t>La unidad de control de bahía (UCB)</w:t>
      </w:r>
    </w:p>
    <w:p w:rsidR="00C262EA" w:rsidRPr="00C262EA" w:rsidRDefault="00C262EA" w:rsidP="00C262EA">
      <w:pPr>
        <w:tabs>
          <w:tab w:val="clear" w:pos="567"/>
          <w:tab w:val="clear" w:pos="1134"/>
          <w:tab w:val="clear" w:pos="1701"/>
          <w:tab w:val="clear" w:pos="2268"/>
          <w:tab w:val="clear" w:pos="2835"/>
        </w:tabs>
        <w:spacing w:before="60" w:line="247" w:lineRule="auto"/>
        <w:ind w:left="2600"/>
        <w:jc w:val="both"/>
        <w:rPr>
          <w:rFonts w:ascii="Arial" w:hAnsi="Arial" w:cs="Arial"/>
        </w:rPr>
      </w:pPr>
      <w:r w:rsidRPr="00C262EA">
        <w:rPr>
          <w:rFonts w:ascii="Arial" w:hAnsi="Arial" w:cs="Arial"/>
        </w:rPr>
        <w:t>La sala de control de la subestación</w:t>
      </w:r>
    </w:p>
    <w:p w:rsidR="00C262EA" w:rsidRPr="00C262EA" w:rsidRDefault="00C262EA" w:rsidP="00C262EA">
      <w:pPr>
        <w:tabs>
          <w:tab w:val="clear" w:pos="567"/>
          <w:tab w:val="clear" w:pos="1134"/>
          <w:tab w:val="clear" w:pos="1701"/>
          <w:tab w:val="clear" w:pos="2268"/>
          <w:tab w:val="clear" w:pos="2835"/>
        </w:tabs>
        <w:spacing w:before="60" w:line="247" w:lineRule="auto"/>
        <w:ind w:left="2600"/>
        <w:jc w:val="both"/>
        <w:rPr>
          <w:rFonts w:ascii="Arial" w:hAnsi="Arial" w:cs="Arial"/>
        </w:rPr>
      </w:pPr>
      <w:r w:rsidRPr="00C262EA">
        <w:rPr>
          <w:rFonts w:ascii="Arial" w:hAnsi="Arial" w:cs="Arial"/>
        </w:rPr>
        <w:lastRenderedPageBreak/>
        <w:t>Un centro de control remoto a la subestación</w:t>
      </w:r>
    </w:p>
    <w:p w:rsidR="00C262EA" w:rsidRPr="00C262EA" w:rsidRDefault="00C262EA" w:rsidP="00C262EA">
      <w:pPr>
        <w:spacing w:before="120" w:line="247" w:lineRule="auto"/>
        <w:ind w:left="960" w:hanging="600"/>
        <w:jc w:val="both"/>
        <w:rPr>
          <w:rFonts w:ascii="Arial" w:hAnsi="Arial" w:cs="Arial"/>
        </w:rPr>
      </w:pPr>
      <w:r w:rsidRPr="00C262EA">
        <w:rPr>
          <w:rFonts w:ascii="Arial" w:hAnsi="Arial" w:cs="Arial"/>
        </w:rPr>
        <w:t>n.2)</w:t>
      </w:r>
      <w:r w:rsidRPr="00C262EA">
        <w:rPr>
          <w:rFonts w:ascii="Arial" w:hAnsi="Arial" w:cs="Arial"/>
        </w:rPr>
        <w:tab/>
        <w:t xml:space="preserve">Las subestaciones nuevas deberán contar con un sistema de vigilancia y seguridad externo e interno, que permita el control permanente y la operación de la subestación desde el interior y desde un centro de control remoto. </w:t>
      </w:r>
    </w:p>
    <w:p w:rsidR="00C262EA" w:rsidRPr="00C262EA" w:rsidRDefault="00C262EA" w:rsidP="00C262EA">
      <w:pPr>
        <w:spacing w:before="120" w:line="247" w:lineRule="auto"/>
        <w:ind w:left="958" w:hanging="601"/>
        <w:jc w:val="both"/>
        <w:rPr>
          <w:rFonts w:ascii="Arial" w:hAnsi="Arial" w:cs="Arial"/>
        </w:rPr>
      </w:pPr>
      <w:r w:rsidRPr="00C262EA">
        <w:rPr>
          <w:rFonts w:ascii="Arial" w:hAnsi="Arial" w:cs="Arial"/>
        </w:rPr>
        <w:t>n.3)</w:t>
      </w:r>
      <w:r w:rsidRPr="00C262EA">
        <w:rPr>
          <w:rFonts w:ascii="Arial" w:hAnsi="Arial" w:cs="Arial"/>
        </w:rPr>
        <w:tab/>
        <w:t>Las subestaciones estarán integradas a un sistema SCADA para el control, supervisión y registro de las operaciones en la subestación. Para esto se deberá diseñar un sistema que cumpla con los últimos sistemas tecnológicos de acuerdo con la norma IEC 61850.</w:t>
      </w:r>
    </w:p>
    <w:p w:rsidR="00C262EA" w:rsidRPr="00C262EA" w:rsidRDefault="00C262EA" w:rsidP="00C262EA">
      <w:pPr>
        <w:spacing w:before="120" w:line="247" w:lineRule="auto"/>
        <w:ind w:left="958" w:hanging="601"/>
        <w:jc w:val="both"/>
        <w:rPr>
          <w:rFonts w:ascii="Arial" w:hAnsi="Arial" w:cs="Arial"/>
        </w:rPr>
      </w:pPr>
      <w:r w:rsidRPr="00C262EA">
        <w:rPr>
          <w:rFonts w:ascii="Arial" w:hAnsi="Arial" w:cs="Arial"/>
        </w:rPr>
        <w:t>n.4)</w:t>
      </w:r>
      <w:r w:rsidRPr="00C262EA">
        <w:rPr>
          <w:rFonts w:ascii="Arial" w:hAnsi="Arial" w:cs="Arial"/>
        </w:rPr>
        <w:tab/>
        <w:t>Además deberán estar conectadas al sistema y centro de control operativo del COES SINAC, de conformidad con lo establecido en la Norma Técnica para la Coordinación de la Operación en Tiempo Real de los Sistemas Interconectados, aprobada mediante Resolución Directoral Nº 014-2005-EM/DGE.</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 xml:space="preserve">o) </w:t>
      </w:r>
      <w:r w:rsidRPr="00C262EA">
        <w:rPr>
          <w:rFonts w:ascii="Arial" w:hAnsi="Arial" w:cs="Arial"/>
          <w:b/>
          <w:bCs/>
        </w:rPr>
        <w:tab/>
        <w:t>Malla de tierra.</w:t>
      </w:r>
    </w:p>
    <w:p w:rsidR="00C262EA" w:rsidRPr="00C262EA" w:rsidRDefault="00C262EA" w:rsidP="00C262EA">
      <w:pPr>
        <w:spacing w:before="60" w:line="247" w:lineRule="auto"/>
        <w:ind w:left="960" w:hanging="600"/>
        <w:jc w:val="both"/>
        <w:rPr>
          <w:rFonts w:ascii="Arial" w:hAnsi="Arial" w:cs="Arial"/>
        </w:rPr>
      </w:pPr>
      <w:r w:rsidRPr="00C262EA">
        <w:rPr>
          <w:rFonts w:ascii="Arial" w:hAnsi="Arial" w:cs="Arial"/>
        </w:rPr>
        <w:t>o.1)</w:t>
      </w:r>
      <w:r w:rsidRPr="00C262EA">
        <w:rPr>
          <w:rFonts w:ascii="Arial" w:hAnsi="Arial" w:cs="Arial"/>
        </w:rPr>
        <w:tab/>
        <w:t>Todas la subestaciones nuevas deberán contar con una malla de tierra profunda, que asegure al personal contra tensiones de toque y de paso. Al mismo tiempo, la malla de tierra deberá permitir la descarga segura a tierra de las sobretensiones de origen atmosférico sin que los equipos instalados sean afectados.</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o.2)</w:t>
      </w:r>
      <w:r w:rsidRPr="00C262EA">
        <w:rPr>
          <w:rFonts w:ascii="Arial" w:hAnsi="Arial" w:cs="Arial"/>
        </w:rPr>
        <w:tab/>
        <w:t>El diseño de la malla de tierra se realizará de acuerdo con lo señalado en la norma IEEE Guide for Safety in AC Substation Grounding (IEEE - Std. 80 2000).</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o.3)</w:t>
      </w:r>
      <w:r w:rsidRPr="00C262EA">
        <w:rPr>
          <w:rFonts w:ascii="Arial" w:hAnsi="Arial" w:cs="Arial"/>
        </w:rPr>
        <w:tab/>
        <w:t>Las ampliaciones de subestaciones incluyen dentro de sus alcances la ampliación y conexión a la malla de tierra en las subestaciones existentes.</w:t>
      </w:r>
    </w:p>
    <w:p w:rsidR="00C262EA" w:rsidRPr="00C262EA" w:rsidRDefault="00C262EA" w:rsidP="00C262EA">
      <w:pPr>
        <w:spacing w:before="60" w:line="247" w:lineRule="auto"/>
        <w:ind w:left="960" w:hanging="600"/>
        <w:jc w:val="both"/>
        <w:rPr>
          <w:rFonts w:ascii="Arial" w:hAnsi="Arial" w:cs="Arial"/>
        </w:rPr>
      </w:pPr>
      <w:r w:rsidRPr="00C262EA">
        <w:rPr>
          <w:rFonts w:ascii="Arial" w:hAnsi="Arial" w:cs="Arial"/>
        </w:rPr>
        <w:t>o.4)</w:t>
      </w:r>
      <w:r w:rsidRPr="00C262EA">
        <w:rPr>
          <w:rFonts w:ascii="Arial" w:hAnsi="Arial" w:cs="Arial"/>
        </w:rPr>
        <w:tab/>
        <w:t>A la malla de tierra se conectarán todos los elementos sin tensión de todos los equipos.</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o.5)</w:t>
      </w:r>
      <w:r w:rsidRPr="00C262EA">
        <w:rPr>
          <w:rFonts w:ascii="Arial" w:hAnsi="Arial" w:cs="Arial"/>
        </w:rPr>
        <w:tab/>
        <w:t>Todos los pararrayos serán también conectados a electrodos de tierra individuales.</w:t>
      </w:r>
    </w:p>
    <w:p w:rsidR="00C262EA" w:rsidRPr="00C262EA" w:rsidRDefault="00C262EA" w:rsidP="00C262EA">
      <w:pPr>
        <w:spacing w:before="60" w:line="247" w:lineRule="auto"/>
        <w:ind w:left="958" w:hanging="601"/>
        <w:jc w:val="both"/>
        <w:rPr>
          <w:rFonts w:ascii="Arial" w:hAnsi="Arial" w:cs="Arial"/>
        </w:rPr>
      </w:pPr>
      <w:r w:rsidRPr="00C262EA">
        <w:rPr>
          <w:rFonts w:ascii="Arial" w:hAnsi="Arial" w:cs="Arial"/>
        </w:rPr>
        <w:t>o.6)</w:t>
      </w:r>
      <w:r w:rsidRPr="00C262EA">
        <w:rPr>
          <w:rFonts w:ascii="Arial" w:hAnsi="Arial" w:cs="Arial"/>
        </w:rPr>
        <w:tab/>
        <w:t>Todas las subestaciones contarán con blindaje contra descargas atmosféricas.</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p)</w:t>
      </w:r>
      <w:r w:rsidRPr="00C262EA">
        <w:rPr>
          <w:rFonts w:ascii="Arial" w:hAnsi="Arial" w:cs="Arial"/>
          <w:b/>
          <w:bCs/>
        </w:rPr>
        <w:tab/>
        <w:t>Obras civiles.</w:t>
      </w:r>
    </w:p>
    <w:p w:rsidR="00C262EA" w:rsidRPr="00C262EA" w:rsidRDefault="00C262EA" w:rsidP="00C262EA">
      <w:pPr>
        <w:tabs>
          <w:tab w:val="clear" w:pos="567"/>
          <w:tab w:val="clear" w:pos="1134"/>
        </w:tabs>
        <w:spacing w:before="60" w:line="247" w:lineRule="auto"/>
        <w:ind w:left="851" w:hanging="502"/>
        <w:jc w:val="both"/>
        <w:rPr>
          <w:rFonts w:ascii="Arial" w:hAnsi="Arial" w:cs="Arial"/>
        </w:rPr>
      </w:pPr>
      <w:r w:rsidRPr="00C262EA">
        <w:rPr>
          <w:rFonts w:ascii="Arial" w:hAnsi="Arial" w:cs="Arial"/>
        </w:rPr>
        <w:t>p.1)</w:t>
      </w:r>
      <w:r w:rsidRPr="00C262EA">
        <w:rPr>
          <w:rFonts w:ascii="Arial" w:hAnsi="Arial" w:cs="Arial"/>
        </w:rPr>
        <w:tab/>
        <w:t>Para el caso de subestaciones nuevas, éstas deberán contar con:</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Un cerco perimétrico de ladrillos, con protección por concertina, portones de ingreso y caseta de control.</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Vías de circulación interna y facilidades de transporte, para el mantenimiento y construcción de ampliaciones futuras.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Un edificio, o sala, de control y casetas de control que alojarán a los sistemas de baja tensión, control centralizado local y comunicaciones.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Las obras sanitarias que se requieran.</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Bases y fundaciones de los equipos, pórticos, transformadores, reactores, interruptores, pararrayos; canaletas y ductos de los cables de fuerza y control, entre otros.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Muros corta fuegos.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Pórticos metálicos y soportes de los de los equipos.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Sistema de drenaje interno para la evacuación de las aguas pluviales y sistema de drenaje externo para evitar el ingreso de agua de lluvia.</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Las plataformas de las subestaciones tendrán una pendiente no menor del 1% para el drenaje interno.</w:t>
      </w:r>
    </w:p>
    <w:p w:rsidR="00C262EA" w:rsidRPr="00C262EA" w:rsidRDefault="00C262EA" w:rsidP="00C262EA">
      <w:pPr>
        <w:tabs>
          <w:tab w:val="clear" w:pos="567"/>
          <w:tab w:val="clear" w:pos="1134"/>
        </w:tabs>
        <w:spacing w:before="60" w:line="247" w:lineRule="auto"/>
        <w:ind w:left="851" w:hanging="502"/>
        <w:jc w:val="both"/>
        <w:rPr>
          <w:rFonts w:ascii="Arial" w:hAnsi="Arial" w:cs="Arial"/>
        </w:rPr>
      </w:pPr>
      <w:r w:rsidRPr="00C262EA">
        <w:rPr>
          <w:rFonts w:ascii="Arial" w:hAnsi="Arial" w:cs="Arial"/>
        </w:rPr>
        <w:t>p.2)</w:t>
      </w:r>
      <w:r w:rsidRPr="00C262EA">
        <w:rPr>
          <w:rFonts w:ascii="Arial" w:hAnsi="Arial" w:cs="Arial"/>
        </w:rPr>
        <w:tab/>
        <w:t>Para el caso de ampliación de subestaciones, éstas deberán contar con:</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Bases y fundaciones de los pórticos y equipos que forman parte de la ampliación.</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lastRenderedPageBreak/>
        <w:t>Canaletas y ductos de los cables de fuerza y control para la conexión con los sistemas existentes.</w:t>
      </w:r>
    </w:p>
    <w:p w:rsidR="00C262EA" w:rsidRPr="00C262EA" w:rsidRDefault="00C262EA" w:rsidP="004F6B32">
      <w:pPr>
        <w:numPr>
          <w:ilvl w:val="0"/>
          <w:numId w:val="68"/>
        </w:numPr>
        <w:tabs>
          <w:tab w:val="clear" w:pos="567"/>
        </w:tabs>
        <w:spacing w:before="60" w:line="247" w:lineRule="auto"/>
        <w:jc w:val="both"/>
        <w:rPr>
          <w:rFonts w:ascii="Arial" w:hAnsi="Arial" w:cs="Arial"/>
        </w:rPr>
      </w:pPr>
      <w:r w:rsidRPr="00C262EA">
        <w:rPr>
          <w:rFonts w:ascii="Arial" w:hAnsi="Arial" w:cs="Arial"/>
        </w:rPr>
        <w:t xml:space="preserve">Las adecuaciones que se requieran para la instalación de tableros en las Casetas de Control, Sala de Control y Telecomunicaciones, y otros similares, para lo cual se deberá coordinar con los concesionarios de las subestaciones existentes. </w:t>
      </w:r>
    </w:p>
    <w:p w:rsidR="00C262EA" w:rsidRPr="00C262EA" w:rsidRDefault="00C262EA" w:rsidP="00C262EA">
      <w:pPr>
        <w:tabs>
          <w:tab w:val="left" w:pos="360"/>
        </w:tabs>
        <w:spacing w:before="120" w:line="247" w:lineRule="auto"/>
        <w:jc w:val="both"/>
        <w:rPr>
          <w:rFonts w:ascii="Arial" w:hAnsi="Arial" w:cs="Arial"/>
          <w:b/>
          <w:bCs/>
        </w:rPr>
      </w:pPr>
      <w:r w:rsidRPr="00C262EA">
        <w:rPr>
          <w:rFonts w:ascii="Arial" w:hAnsi="Arial" w:cs="Arial"/>
          <w:b/>
          <w:bCs/>
        </w:rPr>
        <w:t>q)</w:t>
      </w:r>
      <w:r w:rsidRPr="00C262EA">
        <w:rPr>
          <w:rFonts w:ascii="Arial" w:hAnsi="Arial" w:cs="Arial"/>
          <w:b/>
          <w:bCs/>
        </w:rPr>
        <w:tab/>
        <w:t>Grupo Electrógeno</w:t>
      </w:r>
    </w:p>
    <w:p w:rsidR="00C262EA" w:rsidRPr="00C262EA" w:rsidRDefault="00C262EA" w:rsidP="00C262EA">
      <w:pPr>
        <w:spacing w:before="120" w:line="247" w:lineRule="auto"/>
        <w:ind w:left="360"/>
        <w:jc w:val="both"/>
        <w:rPr>
          <w:rFonts w:ascii="Arial" w:hAnsi="Arial" w:cs="Arial"/>
        </w:rPr>
      </w:pPr>
      <w:r w:rsidRPr="00C262EA">
        <w:rPr>
          <w:rFonts w:ascii="Arial" w:hAnsi="Arial" w:cs="Arial"/>
        </w:rPr>
        <w:t>En la subestación Quencoro Nueva y en la subestación Onocora se instalará un grupo electrógeno de emergencia de 100 kW, en cada una, como mínimo que se ubicará adyacente a los edificios de control. La tensión de generación será 400/230 Vac.</w:t>
      </w:r>
    </w:p>
    <w:p w:rsidR="00C262EA" w:rsidRPr="00C262EA" w:rsidRDefault="00C262EA" w:rsidP="00436943">
      <w:pPr>
        <w:spacing w:before="360" w:line="247" w:lineRule="auto"/>
        <w:ind w:left="425" w:hanging="425"/>
        <w:jc w:val="both"/>
        <w:outlineLvl w:val="0"/>
        <w:rPr>
          <w:rFonts w:ascii="Arial" w:hAnsi="Arial" w:cs="Arial"/>
          <w:b/>
          <w:sz w:val="22"/>
          <w:szCs w:val="22"/>
          <w:lang w:val="es-MX"/>
        </w:rPr>
      </w:pPr>
      <w:bookmarkStart w:id="52" w:name="_Toc272265350"/>
      <w:bookmarkStart w:id="53" w:name="_Toc306777413"/>
      <w:r w:rsidRPr="00C262EA">
        <w:rPr>
          <w:rFonts w:ascii="Arial" w:hAnsi="Arial" w:cs="Arial"/>
          <w:b/>
          <w:sz w:val="22"/>
          <w:szCs w:val="22"/>
          <w:lang w:val="es-MX"/>
        </w:rPr>
        <w:t>4</w:t>
      </w:r>
      <w:r w:rsidRPr="00C262EA">
        <w:rPr>
          <w:rFonts w:ascii="Arial" w:hAnsi="Arial" w:cs="Arial"/>
          <w:b/>
          <w:sz w:val="22"/>
          <w:szCs w:val="22"/>
          <w:lang w:val="es-MX"/>
        </w:rPr>
        <w:tab/>
        <w:t>ESPECIFICACIONES TÉCNICAS GENERALES</w:t>
      </w:r>
      <w:bookmarkEnd w:id="52"/>
      <w:bookmarkEnd w:id="53"/>
    </w:p>
    <w:p w:rsidR="00C262EA" w:rsidRPr="00C262EA" w:rsidRDefault="00C262EA" w:rsidP="00C262EA">
      <w:pPr>
        <w:spacing w:before="120" w:line="247" w:lineRule="auto"/>
        <w:ind w:left="425"/>
        <w:jc w:val="both"/>
        <w:rPr>
          <w:rFonts w:ascii="Arial" w:hAnsi="Arial" w:cs="Arial"/>
          <w:bCs/>
          <w:szCs w:val="21"/>
        </w:rPr>
      </w:pPr>
      <w:r w:rsidRPr="00C262EA">
        <w:rPr>
          <w:rFonts w:ascii="Arial" w:hAnsi="Arial" w:cs="Arial"/>
          <w:bCs/>
          <w:szCs w:val="21"/>
        </w:rPr>
        <w:t>Las obras del proyecto deberán cumplir como mínimo con los requerimientos del CNE Suministro vigente y con las especificaciones técnicas que se describen en la presente sección. Sin embargo, el Concedente podrá aceptar modificaciones a estas especificaciones, cuando sean solicitadas o propuestas por la Sociedad Concesionaria con el debido sustento.</w:t>
      </w:r>
    </w:p>
    <w:p w:rsidR="00C262EA" w:rsidRPr="00C262EA" w:rsidRDefault="00C262EA" w:rsidP="00436943">
      <w:pPr>
        <w:keepNext/>
        <w:spacing w:before="240"/>
        <w:ind w:left="425" w:hanging="425"/>
        <w:outlineLvl w:val="1"/>
        <w:rPr>
          <w:rFonts w:ascii="Arial" w:hAnsi="Arial" w:cs="Arial"/>
          <w:bCs/>
        </w:rPr>
      </w:pPr>
      <w:bookmarkStart w:id="54" w:name="_Toc272265351"/>
      <w:bookmarkStart w:id="55" w:name="_Toc306777414"/>
      <w:r w:rsidRPr="00C262EA">
        <w:rPr>
          <w:rFonts w:ascii="Arial" w:hAnsi="Arial" w:cs="Arial"/>
          <w:b/>
        </w:rPr>
        <w:t>4.1</w:t>
      </w:r>
      <w:r w:rsidRPr="00C262EA">
        <w:rPr>
          <w:rFonts w:ascii="Arial" w:hAnsi="Arial" w:cs="Arial"/>
          <w:b/>
        </w:rPr>
        <w:tab/>
        <w:t>LÍNEAS DE TRANSMISIÓN</w:t>
      </w:r>
      <w:bookmarkEnd w:id="54"/>
      <w:bookmarkEnd w:id="55"/>
      <w:r w:rsidRPr="00C262EA">
        <w:rPr>
          <w:rFonts w:ascii="Arial" w:hAnsi="Arial" w:cs="Arial"/>
          <w:lang w:val="es-MX"/>
        </w:rPr>
        <w:t xml:space="preserve"> </w:t>
      </w:r>
    </w:p>
    <w:p w:rsidR="00C262EA" w:rsidRPr="00C262EA" w:rsidRDefault="00C262EA" w:rsidP="004F6B32">
      <w:pPr>
        <w:keepNext/>
        <w:numPr>
          <w:ilvl w:val="2"/>
          <w:numId w:val="72"/>
        </w:numPr>
        <w:tabs>
          <w:tab w:val="clear" w:pos="284"/>
          <w:tab w:val="num" w:pos="0"/>
        </w:tabs>
        <w:spacing w:before="240"/>
        <w:ind w:left="1134"/>
        <w:outlineLvl w:val="2"/>
        <w:rPr>
          <w:rFonts w:ascii="Arial" w:hAnsi="Arial" w:cs="Arial"/>
          <w:b/>
          <w:lang w:val="es-ES_tradnl"/>
        </w:rPr>
      </w:pPr>
      <w:bookmarkStart w:id="56" w:name="_Toc272265352"/>
      <w:bookmarkStart w:id="57" w:name="_Toc306777415"/>
      <w:r w:rsidRPr="00C262EA">
        <w:rPr>
          <w:rFonts w:ascii="Arial" w:hAnsi="Arial" w:cs="Arial"/>
          <w:b/>
          <w:lang w:val="es-ES_tradnl"/>
        </w:rPr>
        <w:t>CONFIGURACIÓN DE LOS SOPORTES</w:t>
      </w:r>
      <w:bookmarkEnd w:id="56"/>
      <w:bookmarkEnd w:id="57"/>
    </w:p>
    <w:p w:rsidR="00C262EA" w:rsidRPr="00C262EA" w:rsidRDefault="00C262EA" w:rsidP="00C262EA">
      <w:pPr>
        <w:tabs>
          <w:tab w:val="clear" w:pos="567"/>
          <w:tab w:val="clear" w:pos="1134"/>
        </w:tabs>
        <w:spacing w:before="120" w:line="264" w:lineRule="auto"/>
        <w:ind w:left="426"/>
        <w:jc w:val="both"/>
        <w:rPr>
          <w:rFonts w:ascii="Arial" w:hAnsi="Arial" w:cs="Arial"/>
        </w:rPr>
      </w:pPr>
      <w:r w:rsidRPr="00C262EA">
        <w:rPr>
          <w:rFonts w:ascii="Arial" w:hAnsi="Arial" w:cs="Arial"/>
        </w:rPr>
        <w:t>Para las líneas de transmisión se han previsto las siguientes configuraciones para la disposición de los conductores en los soportes:</w:t>
      </w:r>
    </w:p>
    <w:p w:rsidR="00C262EA" w:rsidRPr="00C262EA" w:rsidRDefault="00C262EA" w:rsidP="00C262EA">
      <w:pPr>
        <w:tabs>
          <w:tab w:val="clear" w:pos="567"/>
          <w:tab w:val="clear" w:pos="1134"/>
        </w:tabs>
        <w:spacing w:before="120" w:line="264" w:lineRule="auto"/>
        <w:ind w:left="426"/>
        <w:jc w:val="both"/>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851"/>
        <w:gridCol w:w="850"/>
        <w:gridCol w:w="992"/>
        <w:gridCol w:w="1560"/>
        <w:gridCol w:w="1383"/>
      </w:tblGrid>
      <w:tr w:rsidR="00C262EA" w:rsidRPr="00C262EA" w:rsidTr="00454A68">
        <w:tc>
          <w:tcPr>
            <w:tcW w:w="3260" w:type="dxa"/>
            <w:vAlign w:val="center"/>
          </w:tcPr>
          <w:p w:rsidR="00C262EA" w:rsidRPr="00C262EA" w:rsidRDefault="00C262EA" w:rsidP="00C262EA">
            <w:pPr>
              <w:tabs>
                <w:tab w:val="clear" w:pos="567"/>
                <w:tab w:val="clear" w:pos="1134"/>
                <w:tab w:val="clear" w:pos="1701"/>
                <w:tab w:val="clear" w:pos="2268"/>
                <w:tab w:val="clear" w:pos="2835"/>
              </w:tabs>
              <w:spacing w:line="264" w:lineRule="auto"/>
              <w:jc w:val="center"/>
              <w:rPr>
                <w:rFonts w:ascii="Arial" w:hAnsi="Arial" w:cs="Arial"/>
                <w:b/>
                <w:sz w:val="16"/>
                <w:szCs w:val="16"/>
              </w:rPr>
            </w:pPr>
            <w:r w:rsidRPr="00C262EA">
              <w:rPr>
                <w:rFonts w:ascii="Arial" w:hAnsi="Arial" w:cs="Arial"/>
                <w:b/>
                <w:sz w:val="16"/>
                <w:szCs w:val="16"/>
              </w:rPr>
              <w:t>Línea de Transmisión</w:t>
            </w:r>
          </w:p>
        </w:tc>
        <w:tc>
          <w:tcPr>
            <w:tcW w:w="851" w:type="dxa"/>
          </w:tcPr>
          <w:p w:rsidR="00C262EA" w:rsidRPr="00C262EA" w:rsidRDefault="00C262EA" w:rsidP="00C262EA">
            <w:pPr>
              <w:tabs>
                <w:tab w:val="clear" w:pos="567"/>
                <w:tab w:val="clear" w:pos="1134"/>
              </w:tabs>
              <w:spacing w:line="264" w:lineRule="auto"/>
              <w:jc w:val="center"/>
              <w:rPr>
                <w:rFonts w:ascii="Arial" w:hAnsi="Arial" w:cs="Arial"/>
                <w:b/>
                <w:sz w:val="16"/>
                <w:szCs w:val="16"/>
              </w:rPr>
            </w:pPr>
            <w:r w:rsidRPr="00C262EA">
              <w:rPr>
                <w:rFonts w:ascii="Arial" w:hAnsi="Arial" w:cs="Arial"/>
                <w:b/>
                <w:sz w:val="16"/>
                <w:szCs w:val="16"/>
              </w:rPr>
              <w:t>Nº Ternas</w:t>
            </w:r>
          </w:p>
        </w:tc>
        <w:tc>
          <w:tcPr>
            <w:tcW w:w="850" w:type="dxa"/>
            <w:vAlign w:val="center"/>
          </w:tcPr>
          <w:p w:rsidR="00C262EA" w:rsidRPr="00C262EA" w:rsidRDefault="00C262EA" w:rsidP="00C262EA">
            <w:pPr>
              <w:tabs>
                <w:tab w:val="clear" w:pos="567"/>
                <w:tab w:val="clear" w:pos="1134"/>
              </w:tabs>
              <w:spacing w:line="264" w:lineRule="auto"/>
              <w:jc w:val="center"/>
              <w:rPr>
                <w:rFonts w:ascii="Arial" w:hAnsi="Arial" w:cs="Arial"/>
                <w:b/>
                <w:sz w:val="16"/>
                <w:szCs w:val="16"/>
              </w:rPr>
            </w:pPr>
            <w:r w:rsidRPr="00C262EA">
              <w:rPr>
                <w:rFonts w:ascii="Arial" w:hAnsi="Arial" w:cs="Arial"/>
                <w:b/>
                <w:sz w:val="16"/>
                <w:szCs w:val="16"/>
              </w:rPr>
              <w:t>Cond. por fase</w:t>
            </w:r>
          </w:p>
        </w:tc>
        <w:tc>
          <w:tcPr>
            <w:tcW w:w="992" w:type="dxa"/>
          </w:tcPr>
          <w:p w:rsidR="00C262EA" w:rsidRPr="00C262EA" w:rsidRDefault="00C262EA" w:rsidP="00C262EA">
            <w:pPr>
              <w:tabs>
                <w:tab w:val="clear" w:pos="567"/>
                <w:tab w:val="clear" w:pos="1134"/>
              </w:tabs>
              <w:spacing w:line="264" w:lineRule="auto"/>
              <w:jc w:val="center"/>
              <w:rPr>
                <w:rFonts w:ascii="Arial" w:hAnsi="Arial" w:cs="Arial"/>
                <w:b/>
                <w:sz w:val="16"/>
                <w:szCs w:val="16"/>
              </w:rPr>
            </w:pPr>
            <w:r w:rsidRPr="00C262EA">
              <w:rPr>
                <w:rFonts w:ascii="Arial" w:hAnsi="Arial" w:cs="Arial"/>
                <w:b/>
                <w:sz w:val="16"/>
                <w:szCs w:val="16"/>
              </w:rPr>
              <w:t>Cables de Guarda</w:t>
            </w:r>
          </w:p>
        </w:tc>
        <w:tc>
          <w:tcPr>
            <w:tcW w:w="1560" w:type="dxa"/>
            <w:vAlign w:val="center"/>
          </w:tcPr>
          <w:p w:rsidR="00C262EA" w:rsidRPr="00C262EA" w:rsidRDefault="00C262EA" w:rsidP="00C262EA">
            <w:pPr>
              <w:tabs>
                <w:tab w:val="clear" w:pos="567"/>
                <w:tab w:val="clear" w:pos="1134"/>
              </w:tabs>
              <w:spacing w:line="264" w:lineRule="auto"/>
              <w:jc w:val="center"/>
              <w:rPr>
                <w:rFonts w:ascii="Arial" w:hAnsi="Arial" w:cs="Arial"/>
                <w:b/>
                <w:sz w:val="16"/>
                <w:szCs w:val="16"/>
              </w:rPr>
            </w:pPr>
            <w:r w:rsidRPr="00C262EA">
              <w:rPr>
                <w:rFonts w:ascii="Arial" w:hAnsi="Arial" w:cs="Arial"/>
                <w:b/>
                <w:sz w:val="16"/>
                <w:szCs w:val="16"/>
              </w:rPr>
              <w:t>Soportes</w:t>
            </w:r>
          </w:p>
        </w:tc>
        <w:tc>
          <w:tcPr>
            <w:tcW w:w="1383" w:type="dxa"/>
            <w:vAlign w:val="center"/>
          </w:tcPr>
          <w:p w:rsidR="00C262EA" w:rsidRPr="00C262EA" w:rsidRDefault="00C262EA" w:rsidP="00C262EA">
            <w:pPr>
              <w:tabs>
                <w:tab w:val="clear" w:pos="567"/>
                <w:tab w:val="clear" w:pos="1134"/>
              </w:tabs>
              <w:spacing w:line="264" w:lineRule="auto"/>
              <w:jc w:val="center"/>
              <w:rPr>
                <w:rFonts w:ascii="Arial" w:hAnsi="Arial" w:cs="Arial"/>
                <w:b/>
                <w:sz w:val="16"/>
                <w:szCs w:val="16"/>
              </w:rPr>
            </w:pPr>
            <w:r w:rsidRPr="00C262EA">
              <w:rPr>
                <w:rFonts w:ascii="Arial" w:hAnsi="Arial" w:cs="Arial"/>
                <w:b/>
                <w:sz w:val="16"/>
                <w:szCs w:val="16"/>
              </w:rPr>
              <w:t>Disposición de conductores</w:t>
            </w:r>
          </w:p>
        </w:tc>
      </w:tr>
      <w:tr w:rsidR="00C262EA" w:rsidRPr="00C262EA" w:rsidTr="00454A68">
        <w:tc>
          <w:tcPr>
            <w:tcW w:w="3260" w:type="dxa"/>
            <w:vAlign w:val="center"/>
          </w:tcPr>
          <w:p w:rsidR="00C262EA" w:rsidRPr="00C262EA" w:rsidRDefault="00C262EA" w:rsidP="00C262EA">
            <w:pPr>
              <w:tabs>
                <w:tab w:val="clear" w:pos="567"/>
                <w:tab w:val="clear" w:pos="1134"/>
                <w:tab w:val="clear" w:pos="1701"/>
                <w:tab w:val="clear" w:pos="2268"/>
                <w:tab w:val="clear" w:pos="2835"/>
              </w:tabs>
              <w:spacing w:line="264" w:lineRule="auto"/>
              <w:jc w:val="both"/>
              <w:rPr>
                <w:rFonts w:ascii="Arial" w:hAnsi="Arial" w:cs="Arial"/>
                <w:sz w:val="18"/>
                <w:szCs w:val="18"/>
              </w:rPr>
            </w:pPr>
            <w:r w:rsidRPr="00C262EA">
              <w:rPr>
                <w:rFonts w:ascii="Arial" w:hAnsi="Arial" w:cs="Arial"/>
                <w:sz w:val="18"/>
                <w:szCs w:val="18"/>
              </w:rPr>
              <w:t>LT 220 kV Machupicchu – Quencoro</w:t>
            </w:r>
          </w:p>
        </w:tc>
        <w:tc>
          <w:tcPr>
            <w:tcW w:w="851"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1</w:t>
            </w:r>
          </w:p>
        </w:tc>
        <w:tc>
          <w:tcPr>
            <w:tcW w:w="85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992"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156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Torres Autosoportadas</w:t>
            </w:r>
          </w:p>
        </w:tc>
        <w:tc>
          <w:tcPr>
            <w:tcW w:w="1383"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Triangular</w:t>
            </w:r>
          </w:p>
        </w:tc>
      </w:tr>
      <w:tr w:rsidR="00C262EA" w:rsidRPr="00C262EA" w:rsidTr="00454A68">
        <w:tc>
          <w:tcPr>
            <w:tcW w:w="3260" w:type="dxa"/>
            <w:vAlign w:val="center"/>
          </w:tcPr>
          <w:p w:rsidR="00C262EA" w:rsidRPr="00C262EA" w:rsidRDefault="00C262EA" w:rsidP="00C262EA">
            <w:pPr>
              <w:tabs>
                <w:tab w:val="clear" w:pos="567"/>
                <w:tab w:val="clear" w:pos="1134"/>
              </w:tabs>
              <w:spacing w:line="264" w:lineRule="auto"/>
              <w:jc w:val="both"/>
              <w:rPr>
                <w:rFonts w:ascii="Arial" w:hAnsi="Arial" w:cs="Arial"/>
                <w:sz w:val="18"/>
                <w:szCs w:val="18"/>
              </w:rPr>
            </w:pPr>
            <w:r w:rsidRPr="00C262EA">
              <w:rPr>
                <w:rFonts w:ascii="Arial" w:hAnsi="Arial" w:cs="Arial"/>
                <w:sz w:val="18"/>
                <w:szCs w:val="18"/>
              </w:rPr>
              <w:t>LT 220 kV Quencoro - Onocora</w:t>
            </w:r>
          </w:p>
        </w:tc>
        <w:tc>
          <w:tcPr>
            <w:tcW w:w="851"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1</w:t>
            </w:r>
          </w:p>
        </w:tc>
        <w:tc>
          <w:tcPr>
            <w:tcW w:w="85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992"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156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Torres Autosoportadas</w:t>
            </w:r>
          </w:p>
        </w:tc>
        <w:tc>
          <w:tcPr>
            <w:tcW w:w="1383"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Triangular</w:t>
            </w:r>
          </w:p>
        </w:tc>
      </w:tr>
      <w:tr w:rsidR="00C262EA" w:rsidRPr="00C262EA" w:rsidTr="00454A68">
        <w:tc>
          <w:tcPr>
            <w:tcW w:w="3260" w:type="dxa"/>
            <w:vAlign w:val="center"/>
          </w:tcPr>
          <w:p w:rsidR="00C262EA" w:rsidRPr="00C262EA" w:rsidRDefault="00C262EA" w:rsidP="00C262EA">
            <w:pPr>
              <w:tabs>
                <w:tab w:val="clear" w:pos="567"/>
                <w:tab w:val="clear" w:pos="1134"/>
              </w:tabs>
              <w:spacing w:line="264" w:lineRule="auto"/>
              <w:jc w:val="both"/>
              <w:rPr>
                <w:rFonts w:ascii="Arial" w:hAnsi="Arial" w:cs="Arial"/>
                <w:sz w:val="18"/>
                <w:szCs w:val="18"/>
              </w:rPr>
            </w:pPr>
            <w:r w:rsidRPr="00C262EA">
              <w:rPr>
                <w:rFonts w:ascii="Arial" w:hAnsi="Arial" w:cs="Arial"/>
                <w:sz w:val="18"/>
                <w:szCs w:val="18"/>
              </w:rPr>
              <w:t>LT 220 kV Onocora - Tintaya</w:t>
            </w:r>
          </w:p>
        </w:tc>
        <w:tc>
          <w:tcPr>
            <w:tcW w:w="851"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85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992"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156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Torres Autosoportadas</w:t>
            </w:r>
          </w:p>
        </w:tc>
        <w:tc>
          <w:tcPr>
            <w:tcW w:w="1383"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Vertical</w:t>
            </w:r>
          </w:p>
        </w:tc>
      </w:tr>
      <w:tr w:rsidR="00C262EA" w:rsidRPr="00C262EA" w:rsidTr="00454A68">
        <w:tc>
          <w:tcPr>
            <w:tcW w:w="3260" w:type="dxa"/>
            <w:vAlign w:val="center"/>
          </w:tcPr>
          <w:p w:rsidR="00C262EA" w:rsidRPr="00C262EA" w:rsidRDefault="00C262EA" w:rsidP="00C262EA">
            <w:pPr>
              <w:tabs>
                <w:tab w:val="clear" w:pos="567"/>
                <w:tab w:val="clear" w:pos="1134"/>
              </w:tabs>
              <w:spacing w:line="264" w:lineRule="auto"/>
              <w:jc w:val="both"/>
              <w:rPr>
                <w:rFonts w:ascii="Arial" w:hAnsi="Arial" w:cs="Arial"/>
                <w:sz w:val="18"/>
                <w:szCs w:val="18"/>
              </w:rPr>
            </w:pPr>
            <w:r w:rsidRPr="00C262EA">
              <w:rPr>
                <w:rFonts w:ascii="Arial" w:hAnsi="Arial" w:cs="Arial"/>
                <w:sz w:val="18"/>
                <w:szCs w:val="18"/>
              </w:rPr>
              <w:t xml:space="preserve">Enlace en 138 kV Quencoro – Quencoro Nueva </w:t>
            </w:r>
          </w:p>
        </w:tc>
        <w:tc>
          <w:tcPr>
            <w:tcW w:w="851"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1</w:t>
            </w:r>
          </w:p>
        </w:tc>
        <w:tc>
          <w:tcPr>
            <w:tcW w:w="85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2</w:t>
            </w:r>
          </w:p>
        </w:tc>
        <w:tc>
          <w:tcPr>
            <w:tcW w:w="992"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1</w:t>
            </w:r>
          </w:p>
        </w:tc>
        <w:tc>
          <w:tcPr>
            <w:tcW w:w="1560"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Postes Autosoportados</w:t>
            </w:r>
          </w:p>
        </w:tc>
        <w:tc>
          <w:tcPr>
            <w:tcW w:w="1383" w:type="dxa"/>
            <w:vAlign w:val="center"/>
          </w:tcPr>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Vertical/</w:t>
            </w:r>
          </w:p>
          <w:p w:rsidR="00C262EA" w:rsidRPr="00C262EA" w:rsidRDefault="00C262EA" w:rsidP="00C262EA">
            <w:pPr>
              <w:tabs>
                <w:tab w:val="clear" w:pos="567"/>
                <w:tab w:val="clear" w:pos="1134"/>
              </w:tabs>
              <w:spacing w:line="264" w:lineRule="auto"/>
              <w:jc w:val="center"/>
              <w:rPr>
                <w:rFonts w:ascii="Arial" w:hAnsi="Arial" w:cs="Arial"/>
                <w:sz w:val="18"/>
                <w:szCs w:val="18"/>
              </w:rPr>
            </w:pPr>
            <w:r w:rsidRPr="00C262EA">
              <w:rPr>
                <w:rFonts w:ascii="Arial" w:hAnsi="Arial" w:cs="Arial"/>
                <w:sz w:val="18"/>
                <w:szCs w:val="18"/>
              </w:rPr>
              <w:t>triangular</w:t>
            </w:r>
          </w:p>
        </w:tc>
      </w:tr>
    </w:tbl>
    <w:p w:rsidR="00C262EA" w:rsidRPr="00C262EA" w:rsidRDefault="00C262EA" w:rsidP="004F6B32">
      <w:pPr>
        <w:keepNext/>
        <w:numPr>
          <w:ilvl w:val="2"/>
          <w:numId w:val="72"/>
        </w:numPr>
        <w:tabs>
          <w:tab w:val="clear" w:pos="284"/>
          <w:tab w:val="num" w:pos="0"/>
        </w:tabs>
        <w:spacing w:before="360"/>
        <w:ind w:left="1134"/>
        <w:outlineLvl w:val="2"/>
        <w:rPr>
          <w:rFonts w:ascii="Arial" w:hAnsi="Arial" w:cs="Arial"/>
          <w:b/>
          <w:lang w:val="es-ES_tradnl"/>
        </w:rPr>
      </w:pPr>
      <w:bookmarkStart w:id="58" w:name="_Toc272265353"/>
      <w:bookmarkStart w:id="59" w:name="_Toc306777416"/>
      <w:r w:rsidRPr="00C262EA">
        <w:rPr>
          <w:rFonts w:ascii="Arial" w:hAnsi="Arial" w:cs="Arial"/>
          <w:b/>
          <w:lang w:val="es-ES_tradnl"/>
        </w:rPr>
        <w:t>ESTRUCTURAS DE LA LÍNEA</w:t>
      </w:r>
      <w:bookmarkEnd w:id="58"/>
      <w:bookmarkEnd w:id="59"/>
    </w:p>
    <w:p w:rsidR="00C262EA" w:rsidRPr="00C262EA" w:rsidRDefault="00C262EA" w:rsidP="00C262EA">
      <w:pPr>
        <w:tabs>
          <w:tab w:val="clear" w:pos="567"/>
          <w:tab w:val="clear" w:pos="1134"/>
          <w:tab w:val="clear" w:pos="2268"/>
          <w:tab w:val="clear" w:pos="2835"/>
        </w:tabs>
        <w:spacing w:before="120" w:line="264" w:lineRule="auto"/>
        <w:ind w:left="993"/>
        <w:jc w:val="both"/>
        <w:rPr>
          <w:rFonts w:ascii="Arial" w:hAnsi="Arial" w:cs="Arial"/>
          <w:b/>
        </w:rPr>
      </w:pPr>
      <w:r w:rsidRPr="00C262EA">
        <w:rPr>
          <w:rFonts w:ascii="Arial" w:hAnsi="Arial" w:cs="Arial"/>
          <w:b/>
        </w:rPr>
        <w:t>4.1.2.1</w:t>
      </w:r>
      <w:r w:rsidRPr="00C262EA">
        <w:rPr>
          <w:rFonts w:ascii="Arial" w:hAnsi="Arial" w:cs="Arial"/>
          <w:b/>
        </w:rPr>
        <w:tab/>
        <w:t>Alcance</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Estas especificaciones establecen los requerimientos técnicos para el suministro de las estructuras de tipo autosoportado de la línea (torres de celosía y postes), incluyendo el suministro de las fundaciones según el tipo de soporte.</w:t>
      </w:r>
    </w:p>
    <w:p w:rsidR="00C262EA" w:rsidRPr="00C262EA" w:rsidRDefault="00436943" w:rsidP="00436943">
      <w:pPr>
        <w:tabs>
          <w:tab w:val="clear" w:pos="567"/>
          <w:tab w:val="clear" w:pos="1134"/>
          <w:tab w:val="clear" w:pos="2268"/>
          <w:tab w:val="clear" w:pos="2835"/>
        </w:tabs>
        <w:spacing w:before="120" w:line="264" w:lineRule="auto"/>
        <w:ind w:left="993"/>
        <w:jc w:val="both"/>
        <w:rPr>
          <w:rFonts w:ascii="Arial" w:hAnsi="Arial" w:cs="Arial"/>
          <w:b/>
        </w:rPr>
      </w:pPr>
      <w:r>
        <w:rPr>
          <w:rFonts w:ascii="Arial" w:hAnsi="Arial" w:cs="Arial"/>
          <w:b/>
        </w:rPr>
        <w:t>4.1.2.2</w:t>
      </w:r>
      <w:r>
        <w:rPr>
          <w:rFonts w:ascii="Arial" w:hAnsi="Arial" w:cs="Arial"/>
          <w:b/>
        </w:rPr>
        <w:tab/>
      </w:r>
      <w:r w:rsidR="00C262EA" w:rsidRPr="00C262EA">
        <w:rPr>
          <w:rFonts w:ascii="Arial" w:hAnsi="Arial" w:cs="Arial"/>
          <w:b/>
        </w:rPr>
        <w:t>Normas</w:t>
      </w:r>
    </w:p>
    <w:p w:rsidR="00C262EA" w:rsidRPr="00C262EA" w:rsidRDefault="00C262EA" w:rsidP="00C262EA">
      <w:pPr>
        <w:spacing w:before="120" w:line="264" w:lineRule="auto"/>
        <w:ind w:left="964"/>
        <w:jc w:val="both"/>
        <w:rPr>
          <w:rFonts w:ascii="Arial" w:hAnsi="Arial" w:cs="Arial"/>
          <w:bCs/>
          <w:lang w:val="pt-BR"/>
        </w:rPr>
      </w:pPr>
      <w:r w:rsidRPr="00C262EA">
        <w:rPr>
          <w:rFonts w:ascii="Arial" w:hAnsi="Arial" w:cs="Arial"/>
          <w:bCs/>
        </w:rPr>
        <w:t xml:space="preserve">Para el diseño, fabricación, inspección, pruebas, embalaje, transporte y entrega se utilizarán, sin ser limitativas, las versiones vigentes de las siguientes normas: </w:t>
      </w:r>
      <w:r w:rsidRPr="00C262EA">
        <w:rPr>
          <w:rFonts w:ascii="Arial" w:hAnsi="Arial" w:cs="Arial"/>
          <w:bCs/>
          <w:lang w:val="pt-BR"/>
        </w:rPr>
        <w:t xml:space="preserve">CNE Suministro, ASTM A 36, ASTM A572, ASTM A6, ASTM A394, ANSI B18.21.1,  ANSI B18.2.1, ANSI B.18.2.2, ASTM A123, ASTM A153, ASTM B201, ASCE 10-97, IEC 60652. </w:t>
      </w:r>
    </w:p>
    <w:p w:rsidR="00C262EA" w:rsidRPr="00C262EA" w:rsidRDefault="00C262EA" w:rsidP="004F6B32">
      <w:pPr>
        <w:numPr>
          <w:ilvl w:val="3"/>
          <w:numId w:val="73"/>
        </w:numPr>
        <w:tabs>
          <w:tab w:val="clear" w:pos="567"/>
          <w:tab w:val="clear" w:pos="1134"/>
          <w:tab w:val="clear" w:pos="2268"/>
          <w:tab w:val="clear" w:pos="2835"/>
        </w:tabs>
        <w:spacing w:before="120" w:line="264" w:lineRule="auto"/>
        <w:ind w:hanging="1722"/>
        <w:jc w:val="both"/>
        <w:rPr>
          <w:rFonts w:ascii="Arial" w:hAnsi="Arial" w:cs="Arial"/>
          <w:b/>
        </w:rPr>
      </w:pPr>
      <w:r w:rsidRPr="00C262EA">
        <w:rPr>
          <w:rFonts w:ascii="Arial" w:hAnsi="Arial" w:cs="Arial"/>
          <w:b/>
        </w:rPr>
        <w:lastRenderedPageBreak/>
        <w:t>Características principales</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Las estructuras serán diseñadas para las configuraciones señaladas en el apartado 4.1.1. Las estructuras de 220 kV llevarán dos conductores por fase y dos (02) cables de guarda, uno de tipo OPGW y el otro de tipo convencional. Los soportes en 138 kV llevarán dos conductores por fase y un cable de guarda.</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 xml:space="preserve">Para las hipótesis de cálculo y los grados de construcción deberán ceñirse a lo indicado en el CNE Suministro vigente, y en normas o documentos técnicos especializados aplicables para el diseño, fabricación y pruebas, como la ASCE 10-97, “Design of Latticed Steel Transmission Structures”, la ASCE Nº 72 “Design of Steel Transmission Pole Structures”,   y la ASCE Nº 74 “Guidelines for Electrical Trasmission Line Structural Loading”. </w:t>
      </w:r>
    </w:p>
    <w:p w:rsidR="00C262EA" w:rsidRPr="00C262EA" w:rsidRDefault="00C262EA" w:rsidP="00C262EA">
      <w:pPr>
        <w:spacing w:before="120" w:line="264" w:lineRule="auto"/>
        <w:ind w:left="964"/>
        <w:jc w:val="both"/>
        <w:rPr>
          <w:rFonts w:ascii="Arial" w:hAnsi="Arial" w:cs="Arial"/>
          <w:bCs/>
          <w:color w:val="17365D"/>
        </w:rPr>
      </w:pPr>
      <w:r w:rsidRPr="00C262EA">
        <w:rPr>
          <w:rFonts w:ascii="Arial" w:hAnsi="Arial" w:cs="Arial"/>
          <w:bCs/>
        </w:rPr>
        <w:t xml:space="preserve">Para las estructuras metálicas de celosía se utilizarán perfiles angulares de lados iguales y placas de acero estructural o acero de alta resistencia, fabricados según las normas ASTM A-36 y ASTM A572 o normas internacionales equivalentes que aseguren una calidad de fabricación igual o superior.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El espesor mínimo permitido para perfiles y placas será de 6 mm y no se utilizarán perfiles inferiores a 60x60x6 mm para elementos de montantes y crucetas.</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Todos los elementos constitutivos de las estructuras serán galvanizados en caliente de acuerdo con las normas ASTM A123 y ASTM A153, en tanto que los pernos cumplirán con las especificaciones de la norma ASTM A394.</w:t>
      </w:r>
    </w:p>
    <w:p w:rsidR="00C262EA" w:rsidRPr="00C262EA" w:rsidRDefault="00C262EA" w:rsidP="00436943">
      <w:pPr>
        <w:spacing w:before="120" w:line="264" w:lineRule="auto"/>
        <w:ind w:left="964"/>
        <w:jc w:val="both"/>
        <w:rPr>
          <w:rFonts w:ascii="Arial" w:hAnsi="Arial" w:cs="Arial"/>
          <w:bCs/>
        </w:rPr>
      </w:pPr>
      <w:r w:rsidRPr="00C262EA">
        <w:rPr>
          <w:rFonts w:ascii="Arial" w:hAnsi="Arial" w:cs="Arial"/>
          <w:bCs/>
        </w:rPr>
        <w:t>El espesor mínimo de la capa de zinc depositada en el material no deberá ser inferior a 600 gr/m</w:t>
      </w:r>
      <w:r w:rsidRPr="00C262EA">
        <w:rPr>
          <w:rFonts w:ascii="Arial" w:hAnsi="Arial" w:cs="Arial"/>
          <w:bCs/>
          <w:vertAlign w:val="superscript"/>
        </w:rPr>
        <w:t>2</w:t>
      </w:r>
      <w:r w:rsidRPr="00C262EA">
        <w:rPr>
          <w:rFonts w:ascii="Arial" w:hAnsi="Arial" w:cs="Arial"/>
          <w:bCs/>
        </w:rPr>
        <w:t>.</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En el caso que se encontraran perfiles o piezas con formación de “moho blanco” durante el envío o en el almacenamiento en el sitio, OSINERGMIN o el Concedente, tendrá la facultad de:</w:t>
      </w:r>
    </w:p>
    <w:p w:rsidR="00C262EA" w:rsidRPr="00C262EA" w:rsidRDefault="00C262EA" w:rsidP="004F6B32">
      <w:pPr>
        <w:numPr>
          <w:ilvl w:val="0"/>
          <w:numId w:val="53"/>
        </w:numPr>
        <w:tabs>
          <w:tab w:val="clear" w:pos="567"/>
          <w:tab w:val="clear" w:pos="1134"/>
          <w:tab w:val="clear" w:pos="1680"/>
          <w:tab w:val="clear" w:pos="2268"/>
          <w:tab w:val="clear" w:pos="2835"/>
          <w:tab w:val="left" w:pos="1247"/>
        </w:tabs>
        <w:spacing w:before="120" w:line="264" w:lineRule="auto"/>
        <w:ind w:left="1248" w:hanging="284"/>
        <w:jc w:val="both"/>
        <w:rPr>
          <w:rFonts w:ascii="Arial" w:hAnsi="Arial" w:cs="Arial"/>
          <w:bCs/>
        </w:rPr>
      </w:pPr>
      <w:r w:rsidRPr="00C262EA">
        <w:rPr>
          <w:rFonts w:ascii="Arial" w:hAnsi="Arial" w:cs="Arial"/>
          <w:bCs/>
        </w:rPr>
        <w:t>Aprobar un sistema de limpieza y pintura protectora, de probada calidad, a aplicarse en el terreno.</w:t>
      </w:r>
    </w:p>
    <w:p w:rsidR="00C262EA" w:rsidRPr="00C262EA" w:rsidRDefault="00C262EA" w:rsidP="004F6B32">
      <w:pPr>
        <w:numPr>
          <w:ilvl w:val="0"/>
          <w:numId w:val="53"/>
        </w:numPr>
        <w:tabs>
          <w:tab w:val="clear" w:pos="567"/>
          <w:tab w:val="clear" w:pos="1134"/>
          <w:tab w:val="clear" w:pos="1680"/>
          <w:tab w:val="clear" w:pos="2268"/>
          <w:tab w:val="clear" w:pos="2835"/>
          <w:tab w:val="left" w:pos="1247"/>
        </w:tabs>
        <w:spacing w:before="60" w:line="264" w:lineRule="auto"/>
        <w:ind w:left="1248" w:hanging="284"/>
        <w:jc w:val="both"/>
        <w:rPr>
          <w:rFonts w:ascii="Arial" w:hAnsi="Arial" w:cs="Arial"/>
          <w:bCs/>
        </w:rPr>
      </w:pPr>
      <w:r w:rsidRPr="00C262EA">
        <w:rPr>
          <w:rFonts w:ascii="Arial" w:hAnsi="Arial" w:cs="Arial"/>
          <w:bCs/>
        </w:rPr>
        <w:t>Ordenar inmediatamente la prohibición del empleo de las partes afectadas, y que todos los futuros embarques reciban un tratamiento especial mediante pulverización a baño de los elementos individuales, antes del despacho.</w:t>
      </w:r>
    </w:p>
    <w:p w:rsidR="00C262EA" w:rsidRPr="00C262EA" w:rsidRDefault="00C262EA" w:rsidP="00436943">
      <w:pPr>
        <w:tabs>
          <w:tab w:val="clear" w:pos="567"/>
          <w:tab w:val="clear" w:pos="1134"/>
          <w:tab w:val="clear" w:pos="1701"/>
          <w:tab w:val="clear" w:pos="2268"/>
          <w:tab w:val="clear" w:pos="2835"/>
          <w:tab w:val="left" w:pos="1247"/>
        </w:tabs>
        <w:spacing w:before="120" w:line="264" w:lineRule="auto"/>
        <w:ind w:left="964"/>
        <w:jc w:val="both"/>
        <w:rPr>
          <w:rFonts w:ascii="Arial" w:hAnsi="Arial" w:cs="Arial"/>
          <w:bCs/>
        </w:rPr>
      </w:pPr>
      <w:r w:rsidRPr="00C262EA">
        <w:rPr>
          <w:rFonts w:ascii="Arial" w:hAnsi="Arial" w:cs="Arial"/>
          <w:bCs/>
        </w:rPr>
        <w:t>Los postes deberán ser diseñados para soportar las cargas previstas en las hipótesis de cálculo sin que fallen, experimenten distorsiones  permanentes o excedan las limitaciones de deflexión permitidas.  Asimismo, su diseño debe considerar el menor número posible de uniones, o junturas, y como parte del mismo no se permitirán soldaduras en campo. Se preverán elementos para el escalamiento, para la puesta a tierra y otros que se requieran según las condiciones ambientales del área donde serán instalados. Los materiales de fabricación cumplirán con los requerimientos de las normas ASTM aplicables, o normas equivalentes que garanticen una calidad  de fabricación igual o superior.  El acabado será galvanizado según las normas ASTM A123 o ASTM A153.</w:t>
      </w:r>
    </w:p>
    <w:p w:rsidR="00C262EA" w:rsidRPr="00C262EA" w:rsidRDefault="00C262EA" w:rsidP="004F6B32">
      <w:pPr>
        <w:numPr>
          <w:ilvl w:val="3"/>
          <w:numId w:val="73"/>
        </w:numPr>
        <w:tabs>
          <w:tab w:val="clear" w:pos="567"/>
          <w:tab w:val="clear" w:pos="1134"/>
          <w:tab w:val="clear" w:pos="2268"/>
          <w:tab w:val="clear" w:pos="2835"/>
        </w:tabs>
        <w:spacing w:before="120" w:line="264" w:lineRule="auto"/>
        <w:ind w:left="1701" w:hanging="737"/>
        <w:jc w:val="both"/>
        <w:rPr>
          <w:rFonts w:ascii="Arial" w:hAnsi="Arial" w:cs="Arial"/>
          <w:b/>
        </w:rPr>
      </w:pPr>
      <w:r w:rsidRPr="00C262EA">
        <w:rPr>
          <w:rFonts w:ascii="Arial" w:hAnsi="Arial" w:cs="Arial"/>
          <w:b/>
        </w:rPr>
        <w:t>Accesorios</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Cada soporte será completado con los accesorios siguientes:</w:t>
      </w:r>
    </w:p>
    <w:p w:rsidR="00C262EA" w:rsidRPr="00C262EA" w:rsidRDefault="00C262EA" w:rsidP="004F6B32">
      <w:pPr>
        <w:numPr>
          <w:ilvl w:val="1"/>
          <w:numId w:val="52"/>
        </w:numPr>
        <w:tabs>
          <w:tab w:val="clear" w:pos="567"/>
          <w:tab w:val="clear" w:pos="1701"/>
          <w:tab w:val="clear" w:pos="2268"/>
          <w:tab w:val="clear" w:pos="2835"/>
        </w:tabs>
        <w:spacing w:before="60" w:line="264" w:lineRule="auto"/>
        <w:ind w:left="1134" w:hanging="170"/>
        <w:jc w:val="both"/>
        <w:rPr>
          <w:rFonts w:ascii="Arial" w:hAnsi="Arial" w:cs="Arial"/>
          <w:bCs/>
        </w:rPr>
      </w:pPr>
      <w:r w:rsidRPr="00C262EA">
        <w:rPr>
          <w:rFonts w:ascii="Arial" w:hAnsi="Arial" w:cs="Arial"/>
          <w:bCs/>
        </w:rPr>
        <w:t>Pernos de escalamiento ubicados a 5 m del nivel del suelo.</w:t>
      </w:r>
    </w:p>
    <w:p w:rsidR="00C262EA" w:rsidRPr="00C262EA" w:rsidRDefault="00C262EA" w:rsidP="004F6B32">
      <w:pPr>
        <w:numPr>
          <w:ilvl w:val="1"/>
          <w:numId w:val="52"/>
        </w:numPr>
        <w:tabs>
          <w:tab w:val="clear" w:pos="567"/>
          <w:tab w:val="clear" w:pos="1701"/>
          <w:tab w:val="clear" w:pos="2268"/>
          <w:tab w:val="clear" w:pos="2835"/>
        </w:tabs>
        <w:spacing w:before="60" w:line="264" w:lineRule="auto"/>
        <w:ind w:left="1134" w:hanging="170"/>
        <w:jc w:val="both"/>
        <w:rPr>
          <w:rFonts w:ascii="Arial" w:hAnsi="Arial" w:cs="Arial"/>
          <w:bCs/>
        </w:rPr>
      </w:pPr>
      <w:r w:rsidRPr="00C262EA">
        <w:rPr>
          <w:rFonts w:ascii="Arial" w:hAnsi="Arial" w:cs="Arial"/>
          <w:bCs/>
        </w:rPr>
        <w:lastRenderedPageBreak/>
        <w:t>Dispositivos anti escalamiento.</w:t>
      </w:r>
    </w:p>
    <w:p w:rsidR="00C262EA" w:rsidRPr="00C262EA" w:rsidRDefault="00C262EA" w:rsidP="004F6B32">
      <w:pPr>
        <w:numPr>
          <w:ilvl w:val="1"/>
          <w:numId w:val="52"/>
        </w:numPr>
        <w:tabs>
          <w:tab w:val="clear" w:pos="567"/>
          <w:tab w:val="clear" w:pos="1701"/>
          <w:tab w:val="clear" w:pos="2268"/>
          <w:tab w:val="clear" w:pos="2835"/>
        </w:tabs>
        <w:spacing w:before="60" w:line="264" w:lineRule="auto"/>
        <w:ind w:left="1134" w:hanging="170"/>
        <w:jc w:val="both"/>
        <w:rPr>
          <w:rFonts w:ascii="Arial" w:hAnsi="Arial" w:cs="Arial"/>
          <w:bCs/>
        </w:rPr>
      </w:pPr>
      <w:r w:rsidRPr="00C262EA">
        <w:rPr>
          <w:rFonts w:ascii="Arial" w:hAnsi="Arial" w:cs="Arial"/>
          <w:bCs/>
        </w:rPr>
        <w:t xml:space="preserve">Placas de indicación del número de soporte (torre o poste), de alta tensión y peligro, nombre de la línea, disposición de fases y código de la línea. </w:t>
      </w:r>
    </w:p>
    <w:p w:rsidR="00C262EA" w:rsidRPr="00C262EA" w:rsidRDefault="00C262EA" w:rsidP="004F6B32">
      <w:pPr>
        <w:numPr>
          <w:ilvl w:val="1"/>
          <w:numId w:val="52"/>
        </w:numPr>
        <w:tabs>
          <w:tab w:val="clear" w:pos="567"/>
          <w:tab w:val="clear" w:pos="1701"/>
          <w:tab w:val="clear" w:pos="2268"/>
          <w:tab w:val="clear" w:pos="2835"/>
        </w:tabs>
        <w:spacing w:before="60" w:line="264" w:lineRule="auto"/>
        <w:ind w:left="1134" w:hanging="170"/>
        <w:jc w:val="both"/>
        <w:rPr>
          <w:rFonts w:ascii="Arial" w:hAnsi="Arial" w:cs="Arial"/>
          <w:bCs/>
        </w:rPr>
      </w:pPr>
      <w:r w:rsidRPr="00C262EA">
        <w:rPr>
          <w:rFonts w:ascii="Arial" w:hAnsi="Arial" w:cs="Arial"/>
          <w:bCs/>
        </w:rPr>
        <w:t>Todas las placas serán de aluminio anodizado.</w:t>
      </w:r>
    </w:p>
    <w:p w:rsidR="00C262EA" w:rsidRPr="00C262EA" w:rsidRDefault="00C262EA" w:rsidP="004F6B32">
      <w:pPr>
        <w:numPr>
          <w:ilvl w:val="1"/>
          <w:numId w:val="52"/>
        </w:numPr>
        <w:tabs>
          <w:tab w:val="clear" w:pos="567"/>
          <w:tab w:val="clear" w:pos="1701"/>
          <w:tab w:val="clear" w:pos="2268"/>
          <w:tab w:val="clear" w:pos="2835"/>
        </w:tabs>
        <w:spacing w:before="60" w:line="264" w:lineRule="auto"/>
        <w:ind w:left="1134" w:hanging="170"/>
        <w:jc w:val="both"/>
        <w:rPr>
          <w:rFonts w:ascii="Arial" w:hAnsi="Arial" w:cs="Arial"/>
          <w:bCs/>
        </w:rPr>
      </w:pPr>
      <w:r w:rsidRPr="00C262EA">
        <w:rPr>
          <w:rFonts w:ascii="Arial" w:hAnsi="Arial" w:cs="Arial"/>
          <w:bCs/>
        </w:rPr>
        <w:t>Estribos del tipo y dimensiones adecuadas para la conexión de las cadenas de aisladores de suspensión y de anclaje.</w:t>
      </w:r>
    </w:p>
    <w:p w:rsidR="00C262EA" w:rsidRPr="00C262EA" w:rsidRDefault="00C262EA" w:rsidP="004F6B32">
      <w:pPr>
        <w:keepNext/>
        <w:numPr>
          <w:ilvl w:val="2"/>
          <w:numId w:val="72"/>
        </w:numPr>
        <w:tabs>
          <w:tab w:val="clear" w:pos="284"/>
          <w:tab w:val="num" w:pos="0"/>
        </w:tabs>
        <w:spacing w:before="240"/>
        <w:ind w:left="1134"/>
        <w:outlineLvl w:val="2"/>
        <w:rPr>
          <w:rFonts w:ascii="Arial" w:hAnsi="Arial" w:cs="Arial"/>
          <w:b/>
          <w:lang w:val="es-ES_tradnl"/>
        </w:rPr>
      </w:pPr>
      <w:bookmarkStart w:id="60" w:name="_Toc272265354"/>
      <w:bookmarkStart w:id="61" w:name="_Toc306777417"/>
      <w:r w:rsidRPr="00C262EA">
        <w:rPr>
          <w:rFonts w:ascii="Arial" w:hAnsi="Arial" w:cs="Arial"/>
          <w:b/>
          <w:lang w:val="es-ES_tradnl"/>
        </w:rPr>
        <w:t>CONDUCTORES DE FASE</w:t>
      </w:r>
      <w:bookmarkEnd w:id="60"/>
      <w:bookmarkEnd w:id="61"/>
    </w:p>
    <w:p w:rsidR="00C262EA" w:rsidRPr="00C262EA" w:rsidRDefault="00C262EA" w:rsidP="00C262EA">
      <w:pPr>
        <w:tabs>
          <w:tab w:val="clear" w:pos="567"/>
          <w:tab w:val="clear" w:pos="1134"/>
          <w:tab w:val="clear" w:pos="2268"/>
          <w:tab w:val="clear" w:pos="2835"/>
        </w:tabs>
        <w:spacing w:before="120" w:line="264" w:lineRule="auto"/>
        <w:ind w:left="993"/>
        <w:jc w:val="both"/>
        <w:rPr>
          <w:rFonts w:ascii="Arial" w:hAnsi="Arial" w:cs="Arial"/>
          <w:b/>
        </w:rPr>
      </w:pPr>
      <w:r w:rsidRPr="00C262EA">
        <w:rPr>
          <w:rFonts w:ascii="Arial" w:hAnsi="Arial" w:cs="Arial"/>
          <w:b/>
        </w:rPr>
        <w:t>4.1.3.1</w:t>
      </w:r>
      <w:r w:rsidRPr="00C262EA">
        <w:rPr>
          <w:rFonts w:ascii="Arial" w:hAnsi="Arial" w:cs="Arial"/>
          <w:b/>
        </w:rPr>
        <w:tab/>
        <w:t>Alcance</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Estas especificaciones establecen las características técnicas para el suministro de  conductores para las líneas de transmisión, seleccionados de acuerdo con los criterios técnicos especificados en los apartados 1 y 2 del presente anexo.</w:t>
      </w:r>
    </w:p>
    <w:p w:rsidR="00C262EA" w:rsidRPr="00C262EA" w:rsidRDefault="00C262EA" w:rsidP="004F6B32">
      <w:pPr>
        <w:numPr>
          <w:ilvl w:val="3"/>
          <w:numId w:val="74"/>
        </w:numPr>
        <w:tabs>
          <w:tab w:val="clear" w:pos="567"/>
          <w:tab w:val="clear" w:pos="1134"/>
          <w:tab w:val="clear" w:pos="2268"/>
          <w:tab w:val="clear" w:pos="2835"/>
        </w:tabs>
        <w:spacing w:before="120" w:line="264" w:lineRule="auto"/>
        <w:ind w:hanging="1722"/>
        <w:jc w:val="both"/>
        <w:rPr>
          <w:rFonts w:ascii="Arial" w:hAnsi="Arial" w:cs="Arial"/>
          <w:b/>
        </w:rPr>
      </w:pPr>
      <w:r w:rsidRPr="00C262EA">
        <w:rPr>
          <w:rFonts w:ascii="Arial" w:hAnsi="Arial" w:cs="Arial"/>
          <w:b/>
        </w:rPr>
        <w:t xml:space="preserve">Normas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Para el diseño, fabricación y transporte de los conductores (de acuerdo con su tipo) se utilizarán, sin ser limitativas, las versiones vigentes de las siguiente normas: CNE Suministro, ASTM B398/B398M, ASTM B399/B399M, ASTM B524/524M,</w:t>
      </w:r>
      <w:r w:rsidRPr="00C262EA">
        <w:rPr>
          <w:rFonts w:ascii="Arial" w:hAnsi="Arial" w:cs="Arial"/>
          <w:bCs/>
          <w:color w:val="00B050"/>
        </w:rPr>
        <w:t xml:space="preserve"> </w:t>
      </w:r>
      <w:r w:rsidRPr="00C262EA">
        <w:rPr>
          <w:rFonts w:ascii="Arial" w:hAnsi="Arial" w:cs="Arial"/>
          <w:bCs/>
        </w:rPr>
        <w:t>ASTM B-230/B230M, ASTM B232/B232M, ASTM B-498/B498M, ASTM B-500/B500M</w:t>
      </w:r>
      <w:r w:rsidRPr="00C262EA">
        <w:rPr>
          <w:rFonts w:ascii="Arial" w:hAnsi="Arial" w:cs="Arial"/>
          <w:bCs/>
          <w:color w:val="00B050"/>
        </w:rPr>
        <w:t xml:space="preserve">, </w:t>
      </w:r>
      <w:r w:rsidRPr="00C262EA">
        <w:rPr>
          <w:rFonts w:ascii="Arial" w:hAnsi="Arial" w:cs="Arial"/>
          <w:bCs/>
        </w:rPr>
        <w:t>ASTM B401, ASTM B-233-97, IEC 1597.</w:t>
      </w:r>
    </w:p>
    <w:p w:rsidR="00C262EA" w:rsidRPr="00C262EA" w:rsidRDefault="00C262EA" w:rsidP="004F6B32">
      <w:pPr>
        <w:numPr>
          <w:ilvl w:val="3"/>
          <w:numId w:val="74"/>
        </w:numPr>
        <w:tabs>
          <w:tab w:val="clear" w:pos="567"/>
          <w:tab w:val="clear" w:pos="1134"/>
          <w:tab w:val="clear" w:pos="2268"/>
          <w:tab w:val="clear" w:pos="2835"/>
        </w:tabs>
        <w:spacing w:before="120" w:line="264" w:lineRule="auto"/>
        <w:ind w:left="1701" w:hanging="737"/>
        <w:jc w:val="both"/>
        <w:rPr>
          <w:rFonts w:ascii="Arial" w:hAnsi="Arial" w:cs="Arial"/>
          <w:b/>
        </w:rPr>
      </w:pPr>
      <w:r w:rsidRPr="00C262EA">
        <w:rPr>
          <w:rFonts w:ascii="Arial" w:hAnsi="Arial" w:cs="Arial"/>
          <w:b/>
        </w:rPr>
        <w:t xml:space="preserve">Características de los conductores de fase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La Sociedad Concesionaria seleccionará el tipo de cable que garantice el cumplimiento de los requerimientos técnicos establecidos en los apartados 1 y 2 del presente anexo. Para este fin podrá evaluar los tipos de cable  ACSR, ACAR ó AAAC, según la capacidad de transporte, el número de conductores por fase,  las cargas mecánicas de diseño, la longitud de los vanos y las condiciones climáticas propias de las distintas áreas que atraviesan las líneas, de tal manera que la alternativa seleccionada constituya la mejor opción final de construcción.</w:t>
      </w:r>
    </w:p>
    <w:p w:rsidR="00C262EA" w:rsidRPr="00C262EA" w:rsidRDefault="00C262EA" w:rsidP="004F6B32">
      <w:pPr>
        <w:keepNext/>
        <w:numPr>
          <w:ilvl w:val="2"/>
          <w:numId w:val="72"/>
        </w:numPr>
        <w:tabs>
          <w:tab w:val="clear" w:pos="284"/>
          <w:tab w:val="num" w:pos="0"/>
        </w:tabs>
        <w:spacing w:before="240"/>
        <w:ind w:left="1134"/>
        <w:outlineLvl w:val="2"/>
        <w:rPr>
          <w:rFonts w:ascii="Arial" w:hAnsi="Arial" w:cs="Arial"/>
          <w:b/>
          <w:lang w:val="es-ES_tradnl"/>
        </w:rPr>
      </w:pPr>
      <w:bookmarkStart w:id="62" w:name="_Toc272265355"/>
      <w:bookmarkStart w:id="63" w:name="_Toc306777418"/>
      <w:r w:rsidRPr="00C262EA">
        <w:rPr>
          <w:rFonts w:ascii="Arial" w:hAnsi="Arial" w:cs="Arial"/>
          <w:b/>
          <w:lang w:val="es-ES_tradnl"/>
        </w:rPr>
        <w:t>CABLE DE GUARDA TIPO CONVENCIONAL</w:t>
      </w:r>
      <w:bookmarkEnd w:id="62"/>
      <w:bookmarkEnd w:id="63"/>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El cable de guarda de tipo convencional previsto de manera preliminar, para las líneas de 220 kV, es de acero galvanizado de alta resistencia (EHS) de sección nominal 70 mm² (11,11 mm de diámetro) para todos los casos; sin embargo corresponde a la Sociedad Concesionaria seleccionar el tipo y sección de cable más conveniente, de manera tal que se garantice cumplir con los requerimientos técnicos establecidos para la línea.</w:t>
      </w:r>
      <w:r w:rsidRPr="00C262EA">
        <w:rPr>
          <w:rFonts w:ascii="Arial" w:hAnsi="Arial" w:cs="Arial"/>
        </w:rPr>
        <w:t xml:space="preserve"> </w:t>
      </w:r>
      <w:r w:rsidRPr="00C262EA">
        <w:rPr>
          <w:rFonts w:ascii="Arial" w:hAnsi="Arial" w:cs="Arial"/>
          <w:bCs/>
        </w:rPr>
        <w:t>Los cables de guarda deberán ser capaces de soportar el cortocircuito a tierra hasta el año 2035; valor que será sustentado por la Sociedad Concesionaria.</w:t>
      </w:r>
    </w:p>
    <w:p w:rsidR="00C262EA" w:rsidRPr="00C262EA" w:rsidRDefault="00C262EA" w:rsidP="004F6B32">
      <w:pPr>
        <w:keepNext/>
        <w:numPr>
          <w:ilvl w:val="2"/>
          <w:numId w:val="72"/>
        </w:numPr>
        <w:tabs>
          <w:tab w:val="clear" w:pos="284"/>
          <w:tab w:val="num" w:pos="0"/>
        </w:tabs>
        <w:spacing w:before="240"/>
        <w:ind w:left="1134"/>
        <w:outlineLvl w:val="2"/>
        <w:rPr>
          <w:rFonts w:ascii="Arial" w:hAnsi="Arial" w:cs="Arial"/>
          <w:b/>
          <w:lang w:val="es-ES_tradnl"/>
        </w:rPr>
      </w:pPr>
      <w:bookmarkStart w:id="64" w:name="_Toc272265356"/>
      <w:bookmarkStart w:id="65" w:name="_Toc306777419"/>
      <w:r w:rsidRPr="00C262EA">
        <w:rPr>
          <w:rFonts w:ascii="Arial" w:hAnsi="Arial" w:cs="Arial"/>
          <w:b/>
          <w:lang w:val="es-ES_tradnl"/>
        </w:rPr>
        <w:t>CABLE DE GUARDA OPGW</w:t>
      </w:r>
      <w:bookmarkEnd w:id="64"/>
      <w:bookmarkEnd w:id="65"/>
    </w:p>
    <w:p w:rsidR="00C262EA" w:rsidRPr="00C262EA" w:rsidRDefault="00C262EA" w:rsidP="003F735B">
      <w:pPr>
        <w:tabs>
          <w:tab w:val="clear" w:pos="567"/>
          <w:tab w:val="clear" w:pos="1134"/>
          <w:tab w:val="clear" w:pos="2268"/>
          <w:tab w:val="clear" w:pos="2835"/>
        </w:tabs>
        <w:spacing w:before="240"/>
        <w:ind w:left="992"/>
        <w:jc w:val="both"/>
        <w:rPr>
          <w:rFonts w:ascii="Arial" w:hAnsi="Arial" w:cs="Arial"/>
          <w:b/>
        </w:rPr>
      </w:pPr>
      <w:r w:rsidRPr="00C262EA">
        <w:rPr>
          <w:rFonts w:ascii="Arial" w:hAnsi="Arial" w:cs="Arial"/>
          <w:b/>
        </w:rPr>
        <w:t>4.1.5.1</w:t>
      </w:r>
      <w:r w:rsidRPr="00C262EA">
        <w:rPr>
          <w:rFonts w:ascii="Arial" w:hAnsi="Arial" w:cs="Arial"/>
          <w:b/>
        </w:rPr>
        <w:tab/>
        <w:t>Alcance</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Estas especificaciones establecen los requerimientos técnicos mínimos para el suministro del cable OPGW (Optical Power Ground Wire), con el fin de asegurar que el mismo funcione satisfactoriamente como un transmisor óptico y como un cable de guarda, durante toda la vida útil de la línea de transmisión.</w:t>
      </w:r>
    </w:p>
    <w:p w:rsidR="00C262EA" w:rsidRPr="00C262EA" w:rsidRDefault="00C262EA" w:rsidP="004F6B32">
      <w:pPr>
        <w:numPr>
          <w:ilvl w:val="3"/>
          <w:numId w:val="75"/>
        </w:numPr>
        <w:tabs>
          <w:tab w:val="clear" w:pos="567"/>
          <w:tab w:val="clear" w:pos="1134"/>
          <w:tab w:val="clear" w:pos="2268"/>
          <w:tab w:val="clear" w:pos="2835"/>
        </w:tabs>
        <w:spacing w:before="240" w:line="264" w:lineRule="auto"/>
        <w:ind w:left="1361" w:hanging="369"/>
        <w:jc w:val="both"/>
        <w:rPr>
          <w:rFonts w:ascii="Arial" w:hAnsi="Arial" w:cs="Arial"/>
          <w:b/>
        </w:rPr>
      </w:pPr>
      <w:r w:rsidRPr="00C262EA">
        <w:rPr>
          <w:rFonts w:ascii="Arial" w:hAnsi="Arial" w:cs="Arial"/>
          <w:b/>
        </w:rPr>
        <w:lastRenderedPageBreak/>
        <w:t>Constitución básica</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El cable OPGW estará compuesto por fibras ópticas para telecomunicaciones, contenidas en una unidad central de protección de fibra óptica, rodeada de una o varias capas de cables metálicos trenzados concéntricamente.</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 xml:space="preserve"> La unidad óptica deberá ser diseñada para contener y proteger las fibras ópticas de posibles daños originados por esfuerzos mecánicos ocasionados por la tracción, flexión, torsión, compresión o por la humedad. La configuración del cable debe ser del tipo “loose” y deberá ser sellado longitudinalmente contra el ingreso de agua.</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El cable debe poseer las características eléctricas y mecánicas requeridas para el diseño de las líneas de transmisión y debe garantizar que las fibras ópticas no sufran esfuerzos durante la vida útil del cable.</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Corresponde a la Sociedad Concesionaria determinar las características técnicas y especificaciones finales  del cable OPGW, para lo cual debe tomar en cuenta normas como la IEEE 1138, la ITU-T G.652, o equivalentes, que garanticen una selección con los niveles de calidad requeridos para el SEIN.</w:t>
      </w:r>
    </w:p>
    <w:p w:rsidR="00C262EA" w:rsidRPr="00C262EA" w:rsidRDefault="00C262EA" w:rsidP="003F735B">
      <w:pPr>
        <w:tabs>
          <w:tab w:val="clear" w:pos="567"/>
          <w:tab w:val="clear" w:pos="1134"/>
          <w:tab w:val="clear" w:pos="2268"/>
          <w:tab w:val="clear" w:pos="2835"/>
        </w:tabs>
        <w:spacing w:before="240"/>
        <w:ind w:left="992"/>
        <w:jc w:val="both"/>
        <w:rPr>
          <w:rFonts w:ascii="Arial" w:hAnsi="Arial" w:cs="Arial"/>
          <w:b/>
        </w:rPr>
      </w:pPr>
      <w:bookmarkStart w:id="66" w:name="_Toc272265357"/>
      <w:r w:rsidRPr="00C262EA">
        <w:rPr>
          <w:rFonts w:ascii="Arial" w:hAnsi="Arial" w:cs="Arial"/>
          <w:b/>
        </w:rPr>
        <w:t>4.1.5.3 Fibras ópticas</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La fibra óptica debe cumplir con las características siguientes:</w:t>
      </w:r>
    </w:p>
    <w:p w:rsidR="00C262EA" w:rsidRPr="00C262EA" w:rsidRDefault="00C262EA" w:rsidP="004F6B32">
      <w:pPr>
        <w:numPr>
          <w:ilvl w:val="0"/>
          <w:numId w:val="60"/>
        </w:numPr>
        <w:tabs>
          <w:tab w:val="clear" w:pos="567"/>
          <w:tab w:val="clear" w:pos="1134"/>
          <w:tab w:val="clear" w:pos="1701"/>
          <w:tab w:val="clear" w:pos="2268"/>
          <w:tab w:val="clear" w:pos="2835"/>
        </w:tabs>
        <w:spacing w:before="120" w:line="264" w:lineRule="auto"/>
        <w:ind w:left="1248" w:hanging="284"/>
        <w:jc w:val="both"/>
        <w:rPr>
          <w:rFonts w:ascii="Arial" w:hAnsi="Arial" w:cs="Arial"/>
          <w:b/>
          <w:bCs/>
        </w:rPr>
      </w:pPr>
      <w:r w:rsidRPr="00C262EA">
        <w:rPr>
          <w:rFonts w:ascii="Arial" w:hAnsi="Arial" w:cs="Arial"/>
          <w:b/>
          <w:bCs/>
        </w:rPr>
        <w:t>Cable Completo</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Características Generales</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Tipo</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OPGW</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Regulaciones de Fabricación</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ITU-T G.652</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Características de Dimensión</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531" w:hanging="284"/>
        <w:jc w:val="both"/>
        <w:rPr>
          <w:rFonts w:ascii="Arial" w:hAnsi="Arial" w:cs="Arial"/>
          <w:bCs/>
        </w:rPr>
      </w:pPr>
      <w:r w:rsidRPr="00C262EA">
        <w:rPr>
          <w:rFonts w:ascii="Arial" w:hAnsi="Arial" w:cs="Arial"/>
          <w:bCs/>
        </w:rPr>
        <w:t>Diámetro nominal del cable</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14,70 mm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531" w:hanging="284"/>
        <w:jc w:val="both"/>
        <w:rPr>
          <w:rFonts w:ascii="Arial" w:hAnsi="Arial" w:cs="Arial"/>
          <w:bCs/>
        </w:rPr>
      </w:pPr>
      <w:r w:rsidRPr="00C262EA">
        <w:rPr>
          <w:rFonts w:ascii="Arial" w:hAnsi="Arial" w:cs="Arial"/>
          <w:bCs/>
        </w:rPr>
        <w:t>Aproximación total de la sección</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106 mm</w:t>
      </w:r>
      <w:r w:rsidRPr="00C262EA">
        <w:rPr>
          <w:rFonts w:ascii="Arial" w:hAnsi="Arial" w:cs="Arial"/>
          <w:bCs/>
          <w:vertAlign w:val="superscript"/>
        </w:rPr>
        <w:t>2</w:t>
      </w:r>
      <w:r w:rsidRPr="00C262EA">
        <w:rPr>
          <w:rFonts w:ascii="Arial" w:hAnsi="Arial" w:cs="Arial"/>
          <w:bCs/>
        </w:rPr>
        <w:t xml:space="preserve"> (*)</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Características mecánicas</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Peso aproximado del cable</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457 kg/km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Carga de rotura mínima a la tracción</w:t>
      </w:r>
      <w:r w:rsidRPr="00C262EA">
        <w:rPr>
          <w:rFonts w:ascii="Arial" w:hAnsi="Arial" w:cs="Arial"/>
          <w:bCs/>
        </w:rPr>
        <w:tab/>
      </w:r>
      <w:r w:rsidRPr="00C262EA">
        <w:rPr>
          <w:rFonts w:ascii="Arial" w:hAnsi="Arial" w:cs="Arial"/>
          <w:bCs/>
        </w:rPr>
        <w:tab/>
      </w:r>
      <w:r w:rsidR="003F735B">
        <w:rPr>
          <w:rFonts w:ascii="Arial" w:hAnsi="Arial" w:cs="Arial"/>
          <w:bCs/>
        </w:rPr>
        <w:tab/>
      </w:r>
      <w:r w:rsidRPr="00C262EA">
        <w:rPr>
          <w:rFonts w:ascii="Arial" w:hAnsi="Arial" w:cs="Arial"/>
          <w:bCs/>
        </w:rPr>
        <w:t>≥ 6 370 kgf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Módulo de elasticidad (E)</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11 500 – 12 700 kg/mm2</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Coeficiente de expansión térmica lineal</w:t>
      </w:r>
      <w:r w:rsidRPr="00C262EA">
        <w:rPr>
          <w:rFonts w:ascii="Arial" w:hAnsi="Arial" w:cs="Arial"/>
          <w:bCs/>
        </w:rPr>
        <w:tab/>
      </w:r>
      <w:r w:rsidRPr="00C262EA">
        <w:rPr>
          <w:rFonts w:ascii="Arial" w:hAnsi="Arial" w:cs="Arial"/>
          <w:bCs/>
        </w:rPr>
        <w:tab/>
        <w:t xml:space="preserve">14x10 </w:t>
      </w:r>
      <w:r w:rsidRPr="00C262EA">
        <w:rPr>
          <w:rFonts w:ascii="Arial" w:hAnsi="Arial" w:cs="Arial"/>
          <w:bCs/>
          <w:sz w:val="22"/>
          <w:vertAlign w:val="superscript"/>
        </w:rPr>
        <w:t>-6</w:t>
      </w:r>
      <w:r w:rsidRPr="00C262EA">
        <w:rPr>
          <w:rFonts w:ascii="Arial" w:hAnsi="Arial" w:cs="Arial"/>
          <w:bCs/>
        </w:rPr>
        <w:t xml:space="preserve">  - 16x10 </w:t>
      </w:r>
      <w:r w:rsidRPr="00C262EA">
        <w:rPr>
          <w:rFonts w:ascii="Arial" w:hAnsi="Arial" w:cs="Arial"/>
          <w:bCs/>
          <w:sz w:val="22"/>
          <w:vertAlign w:val="superscript"/>
        </w:rPr>
        <w:t>-6</w:t>
      </w:r>
      <w:r w:rsidRPr="00C262EA">
        <w:rPr>
          <w:rFonts w:ascii="Arial" w:hAnsi="Arial" w:cs="Arial"/>
          <w:bCs/>
        </w:rPr>
        <w:t xml:space="preserve"> 1/°C</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Radio de curvatura mínimo</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≤12 Mn (*)</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Características térmicas y eléctricas</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Resistencia eléctrica 20°C</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0,37 Ohm/km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Capacidad de corriente de cortocircuito</w:t>
      </w:r>
      <w:r w:rsidRPr="00C262EA">
        <w:rPr>
          <w:rFonts w:ascii="Arial" w:hAnsi="Arial" w:cs="Arial"/>
          <w:bCs/>
        </w:rPr>
        <w:tab/>
      </w:r>
      <w:r w:rsidRPr="00C262EA">
        <w:rPr>
          <w:rFonts w:ascii="Arial" w:hAnsi="Arial" w:cs="Arial"/>
          <w:bCs/>
        </w:rPr>
        <w:tab/>
        <w:t>≥ 60 kA²s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Temperatura máxima del cable</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210 °C (*)</w:t>
      </w:r>
    </w:p>
    <w:p w:rsidR="00C262EA" w:rsidRPr="00C262EA" w:rsidRDefault="00C262EA" w:rsidP="004F6B32">
      <w:pPr>
        <w:numPr>
          <w:ilvl w:val="0"/>
          <w:numId w:val="60"/>
        </w:numPr>
        <w:tabs>
          <w:tab w:val="clear" w:pos="567"/>
          <w:tab w:val="clear" w:pos="1134"/>
          <w:tab w:val="clear" w:pos="1701"/>
          <w:tab w:val="clear" w:pos="2268"/>
          <w:tab w:val="clear" w:pos="2835"/>
        </w:tabs>
        <w:spacing w:before="60" w:line="264" w:lineRule="auto"/>
        <w:ind w:left="1248" w:hanging="284"/>
        <w:jc w:val="both"/>
        <w:rPr>
          <w:rFonts w:ascii="Arial" w:hAnsi="Arial" w:cs="Arial"/>
          <w:b/>
          <w:bCs/>
        </w:rPr>
      </w:pPr>
      <w:r w:rsidRPr="00C262EA">
        <w:rPr>
          <w:rFonts w:ascii="Arial" w:hAnsi="Arial" w:cs="Arial"/>
          <w:b/>
          <w:bCs/>
        </w:rPr>
        <w:t>Tubo De Protección</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Material</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Aluminio</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Construcción</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Extruido</w:t>
      </w:r>
    </w:p>
    <w:p w:rsidR="00C262EA" w:rsidRPr="00C262EA" w:rsidRDefault="003F735B" w:rsidP="004F6B32">
      <w:pPr>
        <w:numPr>
          <w:ilvl w:val="0"/>
          <w:numId w:val="60"/>
        </w:numPr>
        <w:tabs>
          <w:tab w:val="clear" w:pos="567"/>
          <w:tab w:val="clear" w:pos="1134"/>
          <w:tab w:val="clear" w:pos="1701"/>
          <w:tab w:val="clear" w:pos="2268"/>
          <w:tab w:val="clear" w:pos="2835"/>
        </w:tabs>
        <w:spacing w:before="60" w:line="264" w:lineRule="auto"/>
        <w:ind w:left="1248" w:hanging="284"/>
        <w:jc w:val="both"/>
        <w:rPr>
          <w:rFonts w:ascii="Arial" w:hAnsi="Arial" w:cs="Arial"/>
          <w:b/>
          <w:bCs/>
        </w:rPr>
      </w:pPr>
      <w:r>
        <w:rPr>
          <w:rFonts w:ascii="Arial" w:hAnsi="Arial" w:cs="Arial"/>
          <w:b/>
          <w:bCs/>
        </w:rPr>
        <w:br w:type="page"/>
      </w:r>
      <w:r w:rsidR="00C262EA" w:rsidRPr="00C262EA">
        <w:rPr>
          <w:rFonts w:ascii="Arial" w:hAnsi="Arial" w:cs="Arial"/>
          <w:b/>
          <w:bCs/>
        </w:rPr>
        <w:lastRenderedPageBreak/>
        <w:t>Núcleo Óptico</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Número de unidades ópticas</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Número de fibras por unidad óptica</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24</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Construcción</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Holgado</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Llenado de tubo</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Gel anti humedad</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Barrera térmica</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Incorporada</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Protección mecánica</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Incorporada</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Máxima temperatura soportable por</w:t>
      </w:r>
    </w:p>
    <w:p w:rsidR="00C262EA" w:rsidRPr="00C262EA" w:rsidRDefault="00C262EA" w:rsidP="00C262EA">
      <w:pPr>
        <w:spacing w:before="60" w:line="264" w:lineRule="auto"/>
        <w:ind w:left="1440"/>
        <w:jc w:val="both"/>
        <w:rPr>
          <w:rFonts w:ascii="Arial" w:hAnsi="Arial" w:cs="Arial"/>
          <w:bCs/>
        </w:rPr>
      </w:pPr>
      <w:r w:rsidRPr="00C262EA">
        <w:rPr>
          <w:rFonts w:ascii="Arial" w:hAnsi="Arial" w:cs="Arial"/>
          <w:bCs/>
        </w:rPr>
        <w:t>la fibra y sus recubrimientos</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140 °C</w:t>
      </w:r>
    </w:p>
    <w:p w:rsidR="00C262EA" w:rsidRPr="00C262EA" w:rsidRDefault="00C262EA" w:rsidP="004F6B32">
      <w:pPr>
        <w:numPr>
          <w:ilvl w:val="0"/>
          <w:numId w:val="60"/>
        </w:numPr>
        <w:tabs>
          <w:tab w:val="clear" w:pos="567"/>
          <w:tab w:val="clear" w:pos="1134"/>
          <w:tab w:val="clear" w:pos="1701"/>
          <w:tab w:val="clear" w:pos="2268"/>
          <w:tab w:val="clear" w:pos="2835"/>
        </w:tabs>
        <w:spacing w:before="240" w:line="264" w:lineRule="auto"/>
        <w:ind w:left="1248" w:hanging="284"/>
        <w:jc w:val="both"/>
        <w:rPr>
          <w:rFonts w:ascii="Arial" w:hAnsi="Arial" w:cs="Arial"/>
          <w:b/>
          <w:bCs/>
        </w:rPr>
      </w:pPr>
      <w:r w:rsidRPr="00C262EA">
        <w:rPr>
          <w:rFonts w:ascii="Arial" w:hAnsi="Arial" w:cs="Arial"/>
          <w:b/>
          <w:bCs/>
        </w:rPr>
        <w:t>Fibra Óptica</w:t>
      </w:r>
    </w:p>
    <w:p w:rsidR="00C262EA" w:rsidRPr="00C262EA" w:rsidRDefault="00C262EA" w:rsidP="00C262EA">
      <w:pPr>
        <w:spacing w:before="120" w:line="264" w:lineRule="auto"/>
        <w:ind w:left="1200"/>
        <w:jc w:val="both"/>
        <w:rPr>
          <w:rFonts w:ascii="Arial" w:hAnsi="Arial" w:cs="Arial"/>
          <w:b/>
          <w:bCs/>
        </w:rPr>
      </w:pPr>
      <w:r w:rsidRPr="00C262EA">
        <w:rPr>
          <w:rFonts w:ascii="Arial" w:hAnsi="Arial" w:cs="Arial"/>
          <w:b/>
          <w:bCs/>
        </w:rPr>
        <w:t>Características Geométricas y Ópticas</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Diámetro del campo monomodo</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9 a 10 ± 10% µm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Diámetro del revestimiento</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125 ± 2,4% µm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 xml:space="preserve">Error de concentricidad del campo </w:t>
      </w:r>
    </w:p>
    <w:p w:rsidR="00C262EA" w:rsidRPr="00C262EA" w:rsidRDefault="00C262EA" w:rsidP="00C262EA">
      <w:pPr>
        <w:spacing w:before="60" w:line="264" w:lineRule="auto"/>
        <w:ind w:left="1417" w:firstLine="23"/>
        <w:jc w:val="both"/>
        <w:rPr>
          <w:rFonts w:ascii="Arial" w:hAnsi="Arial" w:cs="Arial"/>
          <w:bCs/>
        </w:rPr>
      </w:pPr>
      <w:r w:rsidRPr="00C262EA">
        <w:rPr>
          <w:rFonts w:ascii="Arial" w:hAnsi="Arial" w:cs="Arial"/>
          <w:bCs/>
        </w:rPr>
        <w:t>monomodal</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1 µm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No circularidad del revestimiento</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&lt; 2%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lang w:val="pt-BR"/>
        </w:rPr>
      </w:pPr>
      <w:r w:rsidRPr="00C262EA">
        <w:rPr>
          <w:rFonts w:ascii="Arial" w:hAnsi="Arial" w:cs="Arial"/>
          <w:bCs/>
          <w:lang w:val="pt-BR"/>
        </w:rPr>
        <w:t>Longitud de onda de corte</w:t>
      </w:r>
      <w:r w:rsidRPr="00C262EA">
        <w:rPr>
          <w:rFonts w:ascii="Arial" w:hAnsi="Arial" w:cs="Arial"/>
          <w:bCs/>
          <w:lang w:val="pt-BR"/>
        </w:rPr>
        <w:tab/>
      </w:r>
      <w:r w:rsidRPr="00C262EA">
        <w:rPr>
          <w:rFonts w:ascii="Arial" w:hAnsi="Arial" w:cs="Arial"/>
          <w:bCs/>
          <w:lang w:val="pt-BR"/>
        </w:rPr>
        <w:tab/>
      </w:r>
      <w:r w:rsidRPr="00C262EA">
        <w:rPr>
          <w:rFonts w:ascii="Arial" w:hAnsi="Arial" w:cs="Arial"/>
          <w:bCs/>
          <w:lang w:val="pt-BR"/>
        </w:rPr>
        <w:tab/>
      </w:r>
      <w:r w:rsidR="003F735B">
        <w:rPr>
          <w:rFonts w:ascii="Arial" w:hAnsi="Arial" w:cs="Arial"/>
          <w:bCs/>
          <w:lang w:val="pt-BR"/>
        </w:rPr>
        <w:tab/>
      </w:r>
      <w:r w:rsidR="003F735B">
        <w:rPr>
          <w:rFonts w:ascii="Arial" w:hAnsi="Arial" w:cs="Arial"/>
          <w:bCs/>
          <w:lang w:val="pt-BR"/>
        </w:rPr>
        <w:tab/>
      </w:r>
      <w:r w:rsidR="003F735B">
        <w:rPr>
          <w:rFonts w:ascii="Arial" w:hAnsi="Arial" w:cs="Arial"/>
          <w:bCs/>
          <w:lang w:val="pt-BR"/>
        </w:rPr>
        <w:tab/>
      </w:r>
      <w:r w:rsidRPr="00C262EA">
        <w:rPr>
          <w:rFonts w:ascii="Arial" w:hAnsi="Arial" w:cs="Arial"/>
          <w:bCs/>
          <w:lang w:val="pt-BR"/>
        </w:rPr>
        <w:t>1 100 – 1 280 nm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Proof test</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1%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Código de colores</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Estándar</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Características de Transmisión</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Atenuación para λ = 1 310 nm</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0,28 dB/km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Atenuación para λ = 1 550 nm</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0,40 dB/km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Dispersión total para λ = 1 310 nm</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3,50 ps/km.nm (*)</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Dispersión total para λ = 1 550 nm</w:t>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 18,0 ps/km.nm (*)</w:t>
      </w:r>
    </w:p>
    <w:p w:rsidR="00C262EA" w:rsidRPr="00C262EA" w:rsidRDefault="00C262EA" w:rsidP="00C262EA">
      <w:pPr>
        <w:spacing w:before="60" w:line="264" w:lineRule="auto"/>
        <w:ind w:left="1247"/>
        <w:jc w:val="both"/>
        <w:rPr>
          <w:rFonts w:ascii="Arial" w:hAnsi="Arial" w:cs="Arial"/>
          <w:b/>
          <w:bCs/>
        </w:rPr>
      </w:pPr>
      <w:r w:rsidRPr="00C262EA">
        <w:rPr>
          <w:rFonts w:ascii="Arial" w:hAnsi="Arial" w:cs="Arial"/>
          <w:b/>
          <w:bCs/>
        </w:rPr>
        <w:t>Condiciones Ambientales</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Humedad relativa mínima</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75% a 40 °C</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Humedad relativa máxima</w:t>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99% a 40 °C</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Rango de temperatura de funcionando</w:t>
      </w:r>
      <w:r w:rsidRPr="00C262EA">
        <w:rPr>
          <w:rFonts w:ascii="Arial" w:hAnsi="Arial" w:cs="Arial"/>
          <w:bCs/>
        </w:rPr>
        <w:tab/>
      </w:r>
      <w:r w:rsidRPr="00C262EA">
        <w:rPr>
          <w:rFonts w:ascii="Arial" w:hAnsi="Arial" w:cs="Arial"/>
          <w:bCs/>
        </w:rPr>
        <w:tab/>
        <w:t>5 – 50 °C</w:t>
      </w:r>
    </w:p>
    <w:p w:rsidR="00C262EA" w:rsidRPr="00C262EA" w:rsidRDefault="00C262EA" w:rsidP="004F6B32">
      <w:pPr>
        <w:numPr>
          <w:ilvl w:val="0"/>
          <w:numId w:val="59"/>
        </w:numPr>
        <w:tabs>
          <w:tab w:val="clear" w:pos="567"/>
          <w:tab w:val="clear" w:pos="1134"/>
          <w:tab w:val="clear" w:pos="1701"/>
          <w:tab w:val="clear" w:pos="2268"/>
          <w:tab w:val="clear" w:pos="2835"/>
        </w:tabs>
        <w:spacing w:before="60" w:line="264" w:lineRule="auto"/>
        <w:ind w:left="1417" w:hanging="170"/>
        <w:jc w:val="both"/>
        <w:rPr>
          <w:rFonts w:ascii="Arial" w:hAnsi="Arial" w:cs="Arial"/>
          <w:bCs/>
        </w:rPr>
      </w:pPr>
      <w:r w:rsidRPr="00C262EA">
        <w:rPr>
          <w:rFonts w:ascii="Arial" w:hAnsi="Arial" w:cs="Arial"/>
          <w:bCs/>
        </w:rPr>
        <w:t>Instalación</w:t>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Pr="00C262EA">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003F735B">
        <w:rPr>
          <w:rFonts w:ascii="Arial" w:hAnsi="Arial" w:cs="Arial"/>
          <w:bCs/>
        </w:rPr>
        <w:tab/>
      </w:r>
      <w:r w:rsidRPr="00C262EA">
        <w:rPr>
          <w:rFonts w:ascii="Arial" w:hAnsi="Arial" w:cs="Arial"/>
          <w:bCs/>
        </w:rPr>
        <w:t>Intemperie</w:t>
      </w:r>
    </w:p>
    <w:p w:rsidR="00C262EA" w:rsidRPr="00C262EA" w:rsidRDefault="00C262EA" w:rsidP="00C262EA">
      <w:pPr>
        <w:spacing w:before="120" w:line="257" w:lineRule="auto"/>
        <w:ind w:left="709"/>
        <w:jc w:val="both"/>
        <w:rPr>
          <w:rFonts w:ascii="Arial" w:hAnsi="Arial" w:cs="Arial"/>
          <w:bCs/>
          <w:sz w:val="16"/>
          <w:szCs w:val="16"/>
        </w:rPr>
      </w:pPr>
      <w:r w:rsidRPr="00C262EA">
        <w:rPr>
          <w:rFonts w:ascii="Arial" w:hAnsi="Arial" w:cs="Arial"/>
          <w:b/>
          <w:bCs/>
          <w:sz w:val="16"/>
          <w:szCs w:val="16"/>
        </w:rPr>
        <w:t>Nota</w:t>
      </w:r>
      <w:r w:rsidRPr="00C262EA">
        <w:rPr>
          <w:rFonts w:ascii="Arial" w:hAnsi="Arial" w:cs="Arial"/>
          <w:bCs/>
          <w:sz w:val="16"/>
          <w:szCs w:val="16"/>
        </w:rPr>
        <w:t xml:space="preserve"> (*): Valores referenciales, a ser definidos por la Sociedad Concesionaria previa aprobación del Concedente.</w:t>
      </w:r>
    </w:p>
    <w:p w:rsidR="00C262EA" w:rsidRPr="00C262EA" w:rsidRDefault="00C262EA" w:rsidP="004F6B32">
      <w:pPr>
        <w:keepNext/>
        <w:numPr>
          <w:ilvl w:val="2"/>
          <w:numId w:val="72"/>
        </w:numPr>
        <w:tabs>
          <w:tab w:val="clear" w:pos="284"/>
          <w:tab w:val="num" w:pos="0"/>
        </w:tabs>
        <w:spacing w:before="240"/>
        <w:ind w:left="1134"/>
        <w:outlineLvl w:val="2"/>
        <w:rPr>
          <w:rFonts w:ascii="Arial" w:hAnsi="Arial" w:cs="Arial"/>
          <w:b/>
          <w:lang w:val="es-ES_tradnl"/>
        </w:rPr>
      </w:pPr>
      <w:bookmarkStart w:id="67" w:name="_Toc306777420"/>
      <w:r w:rsidRPr="00C262EA">
        <w:rPr>
          <w:rFonts w:ascii="Arial" w:hAnsi="Arial" w:cs="Arial"/>
          <w:b/>
          <w:lang w:val="es-ES_tradnl"/>
        </w:rPr>
        <w:t>AISLADORES</w:t>
      </w:r>
      <w:bookmarkEnd w:id="66"/>
      <w:bookmarkEnd w:id="67"/>
    </w:p>
    <w:p w:rsidR="00C262EA" w:rsidRPr="00C262EA" w:rsidRDefault="00C262EA" w:rsidP="004F6B32">
      <w:pPr>
        <w:numPr>
          <w:ilvl w:val="3"/>
          <w:numId w:val="80"/>
        </w:numPr>
        <w:tabs>
          <w:tab w:val="clear" w:pos="567"/>
          <w:tab w:val="clear" w:pos="1134"/>
          <w:tab w:val="clear" w:pos="2268"/>
          <w:tab w:val="clear" w:pos="2835"/>
        </w:tabs>
        <w:spacing w:before="120" w:line="264" w:lineRule="auto"/>
        <w:ind w:left="1701" w:hanging="708"/>
        <w:jc w:val="both"/>
        <w:rPr>
          <w:rFonts w:ascii="Arial" w:hAnsi="Arial" w:cs="Arial"/>
          <w:b/>
        </w:rPr>
      </w:pPr>
      <w:r w:rsidRPr="00C262EA">
        <w:rPr>
          <w:rFonts w:ascii="Arial" w:hAnsi="Arial" w:cs="Arial"/>
          <w:b/>
        </w:rPr>
        <w:t>Alcance</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Estas especificaciones establecen las características técnicas de los aisladores que serán suministrados para la línea de transmisión.</w:t>
      </w:r>
    </w:p>
    <w:p w:rsidR="00C262EA" w:rsidRPr="00C262EA" w:rsidRDefault="00273420" w:rsidP="004F6B32">
      <w:pPr>
        <w:numPr>
          <w:ilvl w:val="3"/>
          <w:numId w:val="80"/>
        </w:numPr>
        <w:tabs>
          <w:tab w:val="clear" w:pos="567"/>
          <w:tab w:val="clear" w:pos="1134"/>
          <w:tab w:val="clear" w:pos="2268"/>
          <w:tab w:val="clear" w:pos="2835"/>
        </w:tabs>
        <w:spacing w:before="120" w:line="264" w:lineRule="auto"/>
        <w:ind w:left="1701" w:hanging="708"/>
        <w:jc w:val="both"/>
        <w:rPr>
          <w:rFonts w:ascii="Arial" w:hAnsi="Arial" w:cs="Arial"/>
          <w:b/>
        </w:rPr>
      </w:pPr>
      <w:r>
        <w:rPr>
          <w:rFonts w:ascii="Arial" w:hAnsi="Arial" w:cs="Arial"/>
          <w:b/>
        </w:rPr>
        <w:br w:type="page"/>
      </w:r>
      <w:r w:rsidR="00C262EA" w:rsidRPr="00C262EA">
        <w:rPr>
          <w:rFonts w:ascii="Arial" w:hAnsi="Arial" w:cs="Arial"/>
          <w:b/>
        </w:rPr>
        <w:lastRenderedPageBreak/>
        <w:t xml:space="preserve">Normas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Para el diseño, fabricación y transporte de los aisladores y sus accesorios,  se utilizarán, sin ser limitativas y según correspondan, las versiones vigentes de las normas siguientes: CNE Suministro, IEC60120, IEC 60305, IEC 60372, IEC 60383, IEC 60437, IEC 60507, IEC 60815, IEC 61109  ANSI C29.1, ANSI C29.2, ANSI C29.11, ANSI C29.17, ASTM A 153.</w:t>
      </w:r>
    </w:p>
    <w:p w:rsidR="00C262EA" w:rsidRPr="00C262EA" w:rsidRDefault="00C262EA" w:rsidP="004F6B32">
      <w:pPr>
        <w:numPr>
          <w:ilvl w:val="3"/>
          <w:numId w:val="80"/>
        </w:numPr>
        <w:tabs>
          <w:tab w:val="clear" w:pos="567"/>
          <w:tab w:val="clear" w:pos="1134"/>
          <w:tab w:val="clear" w:pos="2268"/>
          <w:tab w:val="clear" w:pos="2835"/>
        </w:tabs>
        <w:spacing w:before="120" w:line="264" w:lineRule="auto"/>
        <w:ind w:left="1701" w:hanging="708"/>
        <w:jc w:val="both"/>
        <w:rPr>
          <w:rFonts w:ascii="Arial" w:hAnsi="Arial" w:cs="Arial"/>
          <w:b/>
        </w:rPr>
      </w:pPr>
      <w:r w:rsidRPr="00C262EA">
        <w:rPr>
          <w:rFonts w:ascii="Arial" w:hAnsi="Arial" w:cs="Arial"/>
          <w:b/>
        </w:rPr>
        <w:t>Características de los Aisladores</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De manera general, el tipo y material de los aisladores será seleccionado de acuerdo a las características de las zonas que atraviesen las líneas, y tomarán en cuenta las buenas prácticas y experiencias de líneas de transmisión construidas en zonas similares del Perú.</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Los aisladores de las líneas en 220 kV podrán ser de vidrio templado de estructura homogénea, o porcelana de superficie exterior vidriada, de tipo estándar, con partes metálicas de acero forjado o hierro maleable galvanizado, provistos de pasadores de bloqueo fabricados con material resistente a la corrosión.</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Las cadenas de aisladores incluirán el número necesario de unidades para garantizar una longitud de fuga adecuada según el nivel de contaminación de las áreas por las que atraviesen las líneas, la altitud de las mismas sobre el nivel del mar y el máximo nivel de tensión del sistema.</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Del mismo modo estas cadenas deben garantizar el nivel de aislamiento requerido frente a sobretensiones de origen atmosférico, sobretensiones de maniobra y sobretensiones a   frecuencia industrial, para las mismas condiciones de altitud señaladas previamente y los niveles de aislamiento definidos en el apartado 2.5 del presente anexo.</w:t>
      </w:r>
    </w:p>
    <w:p w:rsidR="00C262EA" w:rsidRPr="00C262EA" w:rsidRDefault="00C262EA" w:rsidP="00C262EA">
      <w:pPr>
        <w:spacing w:before="60" w:line="264" w:lineRule="auto"/>
        <w:ind w:left="964"/>
        <w:jc w:val="both"/>
        <w:rPr>
          <w:rFonts w:ascii="Arial" w:hAnsi="Arial" w:cs="Arial"/>
          <w:bCs/>
        </w:rPr>
      </w:pPr>
      <w:r w:rsidRPr="00C262EA">
        <w:rPr>
          <w:rFonts w:ascii="Arial" w:hAnsi="Arial" w:cs="Arial"/>
          <w:bCs/>
        </w:rPr>
        <w:t>El número de aisladores y la longitud de fuga a considerar por cadena de suspensión, según la altitud y nivel de tensión de las instalaciones, es el que se indica a continuación:</w:t>
      </w:r>
    </w:p>
    <w:p w:rsidR="00C262EA" w:rsidRPr="00C262EA" w:rsidRDefault="00C262EA" w:rsidP="00C262EA">
      <w:pPr>
        <w:spacing w:before="60" w:line="264" w:lineRule="auto"/>
        <w:ind w:left="964"/>
        <w:jc w:val="both"/>
        <w:rPr>
          <w:rFonts w:ascii="Arial" w:hAnsi="Arial" w:cs="Arial"/>
          <w:bCs/>
        </w:rPr>
      </w:pPr>
    </w:p>
    <w:tbl>
      <w:tblPr>
        <w:tblW w:w="7762" w:type="dxa"/>
        <w:tblInd w:w="13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693"/>
        <w:gridCol w:w="1268"/>
        <w:gridCol w:w="1250"/>
        <w:gridCol w:w="1276"/>
        <w:gridCol w:w="1275"/>
      </w:tblGrid>
      <w:tr w:rsidR="00C262EA" w:rsidRPr="00C262EA" w:rsidTr="00273420">
        <w:trPr>
          <w:tblHeader/>
        </w:trPr>
        <w:tc>
          <w:tcPr>
            <w:tcW w:w="2693" w:type="dxa"/>
            <w:vMerge w:val="restart"/>
            <w:vAlign w:val="center"/>
          </w:tcPr>
          <w:p w:rsidR="00C262EA" w:rsidRPr="00C262EA" w:rsidRDefault="00C262EA" w:rsidP="00273420">
            <w:pPr>
              <w:spacing w:line="264" w:lineRule="auto"/>
              <w:jc w:val="center"/>
              <w:rPr>
                <w:rFonts w:ascii="Arial" w:hAnsi="Arial" w:cs="Arial"/>
                <w:b/>
                <w:bCs/>
                <w:sz w:val="18"/>
                <w:szCs w:val="18"/>
              </w:rPr>
            </w:pPr>
            <w:r w:rsidRPr="00C262EA">
              <w:rPr>
                <w:rFonts w:ascii="Arial" w:hAnsi="Arial" w:cs="Arial"/>
                <w:b/>
                <w:bCs/>
                <w:sz w:val="18"/>
                <w:szCs w:val="18"/>
              </w:rPr>
              <w:t>Altitud</w:t>
            </w:r>
          </w:p>
        </w:tc>
        <w:tc>
          <w:tcPr>
            <w:tcW w:w="2518" w:type="dxa"/>
            <w:gridSpan w:val="2"/>
            <w:vAlign w:val="center"/>
          </w:tcPr>
          <w:p w:rsidR="00C262EA" w:rsidRPr="00C262EA" w:rsidRDefault="00C262EA" w:rsidP="00273420">
            <w:pPr>
              <w:spacing w:line="264" w:lineRule="auto"/>
              <w:jc w:val="center"/>
              <w:rPr>
                <w:rFonts w:ascii="Arial" w:hAnsi="Arial" w:cs="Arial"/>
                <w:b/>
                <w:bCs/>
                <w:sz w:val="18"/>
                <w:szCs w:val="18"/>
                <w:lang w:val="pt-BR"/>
              </w:rPr>
            </w:pPr>
            <w:r w:rsidRPr="00C262EA">
              <w:rPr>
                <w:rFonts w:ascii="Arial" w:hAnsi="Arial" w:cs="Arial"/>
                <w:b/>
                <w:bCs/>
                <w:sz w:val="18"/>
                <w:szCs w:val="18"/>
                <w:lang w:val="pt-BR"/>
              </w:rPr>
              <w:t>220 kV</w:t>
            </w:r>
          </w:p>
        </w:tc>
        <w:tc>
          <w:tcPr>
            <w:tcW w:w="2551" w:type="dxa"/>
            <w:gridSpan w:val="2"/>
            <w:vAlign w:val="center"/>
          </w:tcPr>
          <w:p w:rsidR="00C262EA" w:rsidRPr="00C262EA" w:rsidRDefault="00C262EA" w:rsidP="00273420">
            <w:pPr>
              <w:spacing w:line="264" w:lineRule="auto"/>
              <w:jc w:val="center"/>
              <w:rPr>
                <w:rFonts w:ascii="Arial" w:hAnsi="Arial" w:cs="Arial"/>
                <w:b/>
                <w:bCs/>
                <w:sz w:val="18"/>
                <w:szCs w:val="18"/>
                <w:lang w:val="pt-BR"/>
              </w:rPr>
            </w:pPr>
            <w:r w:rsidRPr="00C262EA">
              <w:rPr>
                <w:rFonts w:ascii="Arial" w:hAnsi="Arial" w:cs="Arial"/>
                <w:b/>
                <w:bCs/>
                <w:sz w:val="18"/>
                <w:szCs w:val="18"/>
                <w:lang w:val="pt-BR"/>
              </w:rPr>
              <w:t>138 kV</w:t>
            </w:r>
          </w:p>
        </w:tc>
      </w:tr>
      <w:tr w:rsidR="00C262EA" w:rsidRPr="00C262EA" w:rsidTr="00273420">
        <w:tc>
          <w:tcPr>
            <w:tcW w:w="2693" w:type="dxa"/>
            <w:vMerge/>
            <w:vAlign w:val="center"/>
          </w:tcPr>
          <w:p w:rsidR="00C262EA" w:rsidRPr="00C262EA" w:rsidRDefault="00C262EA" w:rsidP="00C262EA">
            <w:pPr>
              <w:spacing w:line="264" w:lineRule="auto"/>
              <w:jc w:val="both"/>
              <w:rPr>
                <w:rFonts w:ascii="Arial" w:hAnsi="Arial" w:cs="Arial"/>
                <w:bCs/>
                <w:sz w:val="18"/>
                <w:szCs w:val="18"/>
              </w:rPr>
            </w:pPr>
          </w:p>
        </w:tc>
        <w:tc>
          <w:tcPr>
            <w:tcW w:w="1268"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
                <w:bCs/>
                <w:sz w:val="18"/>
                <w:szCs w:val="18"/>
              </w:rPr>
              <w:t>Unidades por cadena de suspensión</w:t>
            </w:r>
          </w:p>
        </w:tc>
        <w:tc>
          <w:tcPr>
            <w:tcW w:w="1250"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
                <w:bCs/>
                <w:sz w:val="18"/>
                <w:szCs w:val="18"/>
                <w:lang w:val="pt-BR"/>
              </w:rPr>
              <w:t>Longitud de Fuga       mínima                         (mm)</w:t>
            </w:r>
          </w:p>
        </w:tc>
        <w:tc>
          <w:tcPr>
            <w:tcW w:w="1276"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
                <w:bCs/>
                <w:sz w:val="18"/>
                <w:szCs w:val="18"/>
              </w:rPr>
              <w:t>Unidades por cadena de suspensión</w:t>
            </w:r>
          </w:p>
        </w:tc>
        <w:tc>
          <w:tcPr>
            <w:tcW w:w="1275"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
                <w:bCs/>
                <w:sz w:val="18"/>
                <w:szCs w:val="18"/>
                <w:lang w:val="pt-BR"/>
              </w:rPr>
              <w:t>Longitud de Fuga       mínima                         (mm)</w:t>
            </w:r>
          </w:p>
        </w:tc>
      </w:tr>
      <w:tr w:rsidR="00C262EA" w:rsidRPr="00C262EA" w:rsidTr="00273420">
        <w:tc>
          <w:tcPr>
            <w:tcW w:w="2693" w:type="dxa"/>
            <w:vAlign w:val="center"/>
          </w:tcPr>
          <w:p w:rsidR="00C262EA" w:rsidRPr="00C262EA" w:rsidRDefault="00C262EA" w:rsidP="00273420">
            <w:pPr>
              <w:spacing w:line="264" w:lineRule="auto"/>
              <w:rPr>
                <w:rFonts w:ascii="Arial" w:hAnsi="Arial" w:cs="Arial"/>
                <w:bCs/>
                <w:sz w:val="18"/>
                <w:szCs w:val="18"/>
              </w:rPr>
            </w:pPr>
            <w:r w:rsidRPr="00C262EA">
              <w:rPr>
                <w:rFonts w:ascii="Arial" w:hAnsi="Arial" w:cs="Arial"/>
                <w:bCs/>
                <w:sz w:val="18"/>
                <w:szCs w:val="18"/>
              </w:rPr>
              <w:t>Hasta 3500 msnm</w:t>
            </w:r>
            <w:r w:rsidRPr="00C262EA">
              <w:rPr>
                <w:rFonts w:ascii="Arial" w:hAnsi="Arial" w:cs="Arial"/>
                <w:bCs/>
                <w:sz w:val="18"/>
                <w:szCs w:val="18"/>
              </w:rPr>
              <w:tab/>
            </w:r>
          </w:p>
        </w:tc>
        <w:tc>
          <w:tcPr>
            <w:tcW w:w="1268"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Cs/>
                <w:sz w:val="18"/>
                <w:szCs w:val="18"/>
              </w:rPr>
              <w:t>20</w:t>
            </w:r>
          </w:p>
        </w:tc>
        <w:tc>
          <w:tcPr>
            <w:tcW w:w="1250"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Cs/>
                <w:sz w:val="18"/>
                <w:szCs w:val="18"/>
              </w:rPr>
              <w:t>6300</w:t>
            </w:r>
          </w:p>
        </w:tc>
        <w:tc>
          <w:tcPr>
            <w:tcW w:w="1276"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Cs/>
                <w:sz w:val="18"/>
                <w:szCs w:val="18"/>
              </w:rPr>
              <w:t>13</w:t>
            </w:r>
          </w:p>
        </w:tc>
        <w:tc>
          <w:tcPr>
            <w:tcW w:w="1275"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Cs/>
                <w:sz w:val="18"/>
                <w:szCs w:val="18"/>
              </w:rPr>
              <w:t>4095</w:t>
            </w:r>
          </w:p>
        </w:tc>
      </w:tr>
      <w:tr w:rsidR="00C262EA" w:rsidRPr="00C262EA" w:rsidTr="00273420">
        <w:tc>
          <w:tcPr>
            <w:tcW w:w="2693" w:type="dxa"/>
            <w:vAlign w:val="center"/>
          </w:tcPr>
          <w:p w:rsidR="00C262EA" w:rsidRPr="00C262EA" w:rsidRDefault="00C262EA" w:rsidP="00273420">
            <w:pPr>
              <w:spacing w:line="264" w:lineRule="auto"/>
              <w:rPr>
                <w:rFonts w:ascii="Arial" w:hAnsi="Arial" w:cs="Arial"/>
                <w:bCs/>
                <w:sz w:val="18"/>
                <w:szCs w:val="18"/>
              </w:rPr>
            </w:pPr>
            <w:r w:rsidRPr="00C262EA">
              <w:rPr>
                <w:rFonts w:ascii="Arial" w:hAnsi="Arial" w:cs="Arial"/>
                <w:bCs/>
                <w:sz w:val="18"/>
                <w:szCs w:val="18"/>
              </w:rPr>
              <w:t>De 3501 msnm  a 4500 msnm</w:t>
            </w:r>
            <w:r w:rsidRPr="00C262EA">
              <w:rPr>
                <w:rFonts w:ascii="Arial" w:hAnsi="Arial" w:cs="Arial"/>
                <w:bCs/>
                <w:sz w:val="18"/>
                <w:szCs w:val="18"/>
              </w:rPr>
              <w:tab/>
            </w:r>
          </w:p>
        </w:tc>
        <w:tc>
          <w:tcPr>
            <w:tcW w:w="1268" w:type="dxa"/>
            <w:vAlign w:val="center"/>
          </w:tcPr>
          <w:p w:rsidR="00C262EA" w:rsidRPr="00C262EA" w:rsidRDefault="00C262EA" w:rsidP="00273420">
            <w:pPr>
              <w:spacing w:line="264" w:lineRule="auto"/>
              <w:jc w:val="center"/>
              <w:rPr>
                <w:rFonts w:ascii="Arial" w:hAnsi="Arial" w:cs="Arial"/>
                <w:bCs/>
                <w:sz w:val="18"/>
                <w:szCs w:val="18"/>
              </w:rPr>
            </w:pPr>
            <w:r w:rsidRPr="00C262EA">
              <w:rPr>
                <w:rFonts w:ascii="Arial" w:hAnsi="Arial" w:cs="Arial"/>
                <w:bCs/>
                <w:sz w:val="18"/>
                <w:szCs w:val="18"/>
                <w:lang w:val="pt-BR"/>
              </w:rPr>
              <w:t>22</w:t>
            </w:r>
          </w:p>
        </w:tc>
        <w:tc>
          <w:tcPr>
            <w:tcW w:w="1250" w:type="dxa"/>
            <w:vAlign w:val="center"/>
          </w:tcPr>
          <w:p w:rsidR="00C262EA" w:rsidRPr="00C262EA" w:rsidRDefault="00C262EA" w:rsidP="00273420">
            <w:pPr>
              <w:spacing w:line="264" w:lineRule="auto"/>
              <w:jc w:val="center"/>
              <w:rPr>
                <w:rFonts w:ascii="Arial" w:hAnsi="Arial" w:cs="Arial"/>
                <w:bCs/>
                <w:sz w:val="18"/>
                <w:szCs w:val="18"/>
                <w:lang w:val="pt-BR"/>
              </w:rPr>
            </w:pPr>
            <w:r w:rsidRPr="00C262EA">
              <w:rPr>
                <w:rFonts w:ascii="Arial" w:hAnsi="Arial" w:cs="Arial"/>
                <w:bCs/>
                <w:sz w:val="18"/>
                <w:szCs w:val="18"/>
                <w:lang w:val="pt-BR"/>
              </w:rPr>
              <w:t>6930</w:t>
            </w:r>
          </w:p>
        </w:tc>
        <w:tc>
          <w:tcPr>
            <w:tcW w:w="1276" w:type="dxa"/>
            <w:vAlign w:val="center"/>
          </w:tcPr>
          <w:p w:rsidR="00C262EA" w:rsidRPr="00C262EA" w:rsidRDefault="00C262EA" w:rsidP="00273420">
            <w:pPr>
              <w:spacing w:line="264" w:lineRule="auto"/>
              <w:jc w:val="center"/>
              <w:rPr>
                <w:rFonts w:ascii="Arial" w:hAnsi="Arial" w:cs="Arial"/>
                <w:bCs/>
                <w:sz w:val="18"/>
                <w:szCs w:val="18"/>
                <w:lang w:val="pt-BR"/>
              </w:rPr>
            </w:pPr>
            <w:r w:rsidRPr="00C262EA">
              <w:rPr>
                <w:rFonts w:ascii="Arial" w:hAnsi="Arial" w:cs="Arial"/>
                <w:bCs/>
                <w:sz w:val="18"/>
                <w:szCs w:val="18"/>
                <w:lang w:val="pt-BR"/>
              </w:rPr>
              <w:t>-</w:t>
            </w:r>
          </w:p>
        </w:tc>
        <w:tc>
          <w:tcPr>
            <w:tcW w:w="1275" w:type="dxa"/>
            <w:vAlign w:val="center"/>
          </w:tcPr>
          <w:p w:rsidR="00C262EA" w:rsidRPr="00C262EA" w:rsidRDefault="00C262EA" w:rsidP="00273420">
            <w:pPr>
              <w:spacing w:line="264" w:lineRule="auto"/>
              <w:jc w:val="center"/>
              <w:rPr>
                <w:rFonts w:ascii="Arial" w:hAnsi="Arial" w:cs="Arial"/>
                <w:bCs/>
                <w:sz w:val="18"/>
                <w:szCs w:val="18"/>
                <w:lang w:val="pt-BR"/>
              </w:rPr>
            </w:pPr>
            <w:r w:rsidRPr="00C262EA">
              <w:rPr>
                <w:rFonts w:ascii="Arial" w:hAnsi="Arial" w:cs="Arial"/>
                <w:bCs/>
                <w:sz w:val="18"/>
                <w:szCs w:val="18"/>
                <w:lang w:val="pt-BR"/>
              </w:rPr>
              <w:t>-</w:t>
            </w:r>
          </w:p>
        </w:tc>
      </w:tr>
    </w:tbl>
    <w:p w:rsidR="00C262EA" w:rsidRPr="00C262EA" w:rsidRDefault="00C262EA" w:rsidP="00273420">
      <w:pPr>
        <w:spacing w:before="240" w:line="264" w:lineRule="auto"/>
        <w:ind w:left="964"/>
        <w:jc w:val="both"/>
        <w:rPr>
          <w:rFonts w:ascii="Arial" w:hAnsi="Arial" w:cs="Arial"/>
          <w:bCs/>
        </w:rPr>
      </w:pPr>
      <w:r w:rsidRPr="00C262EA">
        <w:rPr>
          <w:rFonts w:ascii="Arial" w:hAnsi="Arial" w:cs="Arial"/>
          <w:bCs/>
        </w:rPr>
        <w:t xml:space="preserve">En el caso de estructuras de ángulos mayores, terminales y de anclaje las cadenas emplearán un (01) aislador adicional a los utilizados en las cadenas de suspensión.  </w:t>
      </w:r>
    </w:p>
    <w:p w:rsidR="00C262EA" w:rsidRPr="00C262EA" w:rsidRDefault="00C262EA" w:rsidP="00273420">
      <w:pPr>
        <w:spacing w:before="240" w:line="264" w:lineRule="auto"/>
        <w:ind w:left="964"/>
        <w:jc w:val="both"/>
        <w:rPr>
          <w:rFonts w:ascii="Arial" w:hAnsi="Arial" w:cs="Arial"/>
          <w:bCs/>
        </w:rPr>
      </w:pPr>
      <w:r w:rsidRPr="00C262EA">
        <w:rPr>
          <w:rFonts w:ascii="Arial" w:hAnsi="Arial" w:cs="Arial"/>
          <w:bCs/>
        </w:rPr>
        <w:t xml:space="preserve">En el caso de la línea en 138 kV se podrán emplear aisladores tipo Line Post cuyo diseño debe estar basado en datos de su desempeño y experiencia de uso en instalaciones existentes, de tal manera que se garantice una performance satisfactoria durante su operación; sin una disminución de sus propiedades mecánicas o eléctricas con el transcurso del tiempo. En este caso los aisladores estarán compuestos de un núcleo, sólido o hueco, adecuado para  el nivel de tensión y la altitud de trabajo de la línea y estará libre de grietas, orificios u otros defectos que afecten de manera adversa al aislador. Las campanas aislantes podrán ser fabricadas con materiales elastoméricos, compuestos por </w:t>
      </w:r>
      <w:r w:rsidRPr="00C262EA">
        <w:rPr>
          <w:rFonts w:ascii="Arial" w:hAnsi="Arial" w:cs="Arial"/>
          <w:bCs/>
        </w:rPr>
        <w:lastRenderedPageBreak/>
        <w:t xml:space="preserve">rellenos inorgánicos y agentes de composición, según sean requeridos, para obtener las características aislantes deseadas, con una longitud de fuga igual o mayor a la indicada previamente para este nivel de tensión. </w:t>
      </w:r>
    </w:p>
    <w:p w:rsidR="00C262EA" w:rsidRPr="00C262EA" w:rsidRDefault="00C262EA" w:rsidP="00273420">
      <w:pPr>
        <w:spacing w:before="60" w:after="240" w:line="264" w:lineRule="auto"/>
        <w:ind w:left="964"/>
        <w:jc w:val="both"/>
        <w:rPr>
          <w:rFonts w:ascii="Arial" w:hAnsi="Arial" w:cs="Arial"/>
          <w:bCs/>
        </w:rPr>
      </w:pPr>
      <w:r w:rsidRPr="00C262EA">
        <w:rPr>
          <w:rFonts w:ascii="Arial" w:hAnsi="Arial" w:cs="Arial"/>
          <w:bCs/>
        </w:rPr>
        <w:t>Corresponde a la Sociedad Concesionaria establecer las características técnicas de los aisladores que serán utilizados en las líneas, de tal manera que se garanticen los niveles de aislamiento adecuados; sin embargo de manera referencial se ha previsto el empleo de aisladores con las características que se indican a continuación:</w:t>
      </w:r>
    </w:p>
    <w:tbl>
      <w:tblPr>
        <w:tblW w:w="0" w:type="auto"/>
        <w:jc w:val="center"/>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85"/>
        <w:gridCol w:w="2127"/>
      </w:tblGrid>
      <w:tr w:rsidR="00C262EA" w:rsidRPr="00C262EA" w:rsidTr="00454A68">
        <w:trPr>
          <w:tblHeader/>
          <w:jc w:val="center"/>
        </w:trPr>
        <w:tc>
          <w:tcPr>
            <w:tcW w:w="3685" w:type="dxa"/>
            <w:shd w:val="clear" w:color="auto" w:fill="CCFFCC"/>
          </w:tcPr>
          <w:p w:rsidR="00C262EA" w:rsidRPr="00C262EA" w:rsidRDefault="00C262EA" w:rsidP="00C262EA">
            <w:pPr>
              <w:spacing w:before="60" w:after="60" w:line="264" w:lineRule="auto"/>
              <w:jc w:val="center"/>
              <w:rPr>
                <w:rFonts w:ascii="Arial" w:hAnsi="Arial" w:cs="Arial"/>
                <w:b/>
                <w:bCs/>
                <w:sz w:val="18"/>
                <w:szCs w:val="18"/>
              </w:rPr>
            </w:pPr>
            <w:r w:rsidRPr="00C262EA">
              <w:rPr>
                <w:rFonts w:ascii="Arial" w:hAnsi="Arial" w:cs="Arial"/>
                <w:b/>
                <w:bCs/>
                <w:sz w:val="18"/>
                <w:szCs w:val="18"/>
              </w:rPr>
              <w:t>Características</w:t>
            </w:r>
          </w:p>
        </w:tc>
        <w:tc>
          <w:tcPr>
            <w:tcW w:w="2127" w:type="dxa"/>
            <w:shd w:val="clear" w:color="auto" w:fill="CCFFCC"/>
          </w:tcPr>
          <w:p w:rsidR="00C262EA" w:rsidRPr="00C262EA" w:rsidRDefault="00C262EA" w:rsidP="00C262EA">
            <w:pPr>
              <w:spacing w:before="60" w:after="60" w:line="264" w:lineRule="auto"/>
              <w:jc w:val="center"/>
              <w:rPr>
                <w:rFonts w:ascii="Arial" w:hAnsi="Arial" w:cs="Arial"/>
                <w:b/>
                <w:bCs/>
                <w:sz w:val="18"/>
                <w:szCs w:val="18"/>
              </w:rPr>
            </w:pPr>
            <w:r w:rsidRPr="00C262EA">
              <w:rPr>
                <w:rFonts w:ascii="Arial" w:hAnsi="Arial" w:cs="Arial"/>
                <w:b/>
                <w:bCs/>
                <w:sz w:val="18"/>
                <w:szCs w:val="18"/>
              </w:rPr>
              <w:t>Valor</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Tipo de aislador</w:t>
            </w:r>
            <w:r w:rsidRPr="00C262EA">
              <w:rPr>
                <w:rFonts w:ascii="Arial" w:hAnsi="Arial" w:cs="Arial"/>
                <w:bCs/>
                <w:sz w:val="18"/>
                <w:szCs w:val="18"/>
              </w:rPr>
              <w:tab/>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rPr>
              <w:t>Estándar</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lang w:val="pt-BR"/>
              </w:rPr>
              <w:t>Material aislante</w:t>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lang w:val="pt-BR"/>
              </w:rPr>
              <w:t>Vidrio templado o porcelana</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Norma de Fabricación</w:t>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rPr>
              <w:t>IEC -60305</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Diámetro del disco</w:t>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rPr>
              <w:t>255 mm</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Espaciamiento por aislador</w:t>
            </w:r>
            <w:r w:rsidRPr="00C262EA">
              <w:rPr>
                <w:rFonts w:ascii="Arial" w:hAnsi="Arial" w:cs="Arial"/>
                <w:bCs/>
                <w:sz w:val="18"/>
                <w:szCs w:val="18"/>
              </w:rPr>
              <w:tab/>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rPr>
              <w:t>146 mm</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Longitud de línea de fuga</w:t>
            </w:r>
            <w:r w:rsidRPr="00C262EA">
              <w:rPr>
                <w:rFonts w:ascii="Arial" w:hAnsi="Arial" w:cs="Arial"/>
                <w:bCs/>
                <w:sz w:val="18"/>
                <w:szCs w:val="18"/>
              </w:rPr>
              <w:tab/>
            </w:r>
          </w:p>
        </w:tc>
        <w:tc>
          <w:tcPr>
            <w:tcW w:w="2127" w:type="dxa"/>
          </w:tcPr>
          <w:p w:rsidR="00C262EA" w:rsidRPr="00C262EA" w:rsidRDefault="00C262EA" w:rsidP="00C262EA">
            <w:pPr>
              <w:spacing w:before="60" w:after="60" w:line="264" w:lineRule="auto"/>
              <w:jc w:val="center"/>
              <w:rPr>
                <w:rFonts w:ascii="Arial" w:hAnsi="Arial" w:cs="Arial"/>
                <w:bCs/>
                <w:sz w:val="18"/>
                <w:szCs w:val="18"/>
              </w:rPr>
            </w:pPr>
            <w:r w:rsidRPr="00C262EA">
              <w:rPr>
                <w:rFonts w:ascii="Arial" w:hAnsi="Arial" w:cs="Arial"/>
                <w:bCs/>
                <w:sz w:val="18"/>
                <w:szCs w:val="18"/>
              </w:rPr>
              <w:t>315 mm</w:t>
            </w:r>
          </w:p>
        </w:tc>
      </w:tr>
      <w:tr w:rsidR="00C262EA" w:rsidRPr="00C262EA" w:rsidTr="00454A68">
        <w:trPr>
          <w:jc w:val="center"/>
        </w:trPr>
        <w:tc>
          <w:tcPr>
            <w:tcW w:w="3685" w:type="dxa"/>
          </w:tcPr>
          <w:p w:rsidR="00C262EA" w:rsidRPr="00C262EA" w:rsidRDefault="00C262EA" w:rsidP="00C262EA">
            <w:pPr>
              <w:spacing w:before="60" w:after="60" w:line="264" w:lineRule="auto"/>
              <w:jc w:val="both"/>
              <w:rPr>
                <w:rFonts w:ascii="Arial" w:hAnsi="Arial" w:cs="Arial"/>
                <w:bCs/>
                <w:sz w:val="18"/>
                <w:szCs w:val="18"/>
              </w:rPr>
            </w:pPr>
            <w:r w:rsidRPr="00C262EA">
              <w:rPr>
                <w:rFonts w:ascii="Arial" w:hAnsi="Arial" w:cs="Arial"/>
                <w:bCs/>
                <w:sz w:val="18"/>
                <w:szCs w:val="18"/>
              </w:rPr>
              <w:t>Carga de rotura</w:t>
            </w:r>
          </w:p>
        </w:tc>
        <w:tc>
          <w:tcPr>
            <w:tcW w:w="2127" w:type="dxa"/>
          </w:tcPr>
          <w:p w:rsidR="00C262EA" w:rsidRPr="00C262EA" w:rsidRDefault="00C262EA" w:rsidP="00C262EA">
            <w:pPr>
              <w:spacing w:before="60" w:after="60" w:line="264" w:lineRule="auto"/>
              <w:ind w:left="70"/>
              <w:jc w:val="center"/>
              <w:rPr>
                <w:rFonts w:ascii="Arial" w:hAnsi="Arial" w:cs="Arial"/>
                <w:bCs/>
                <w:sz w:val="18"/>
                <w:szCs w:val="18"/>
              </w:rPr>
            </w:pPr>
            <w:r w:rsidRPr="00C262EA">
              <w:rPr>
                <w:rFonts w:ascii="Arial" w:hAnsi="Arial" w:cs="Arial"/>
                <w:bCs/>
                <w:sz w:val="18"/>
                <w:szCs w:val="18"/>
              </w:rPr>
              <w:t>120 kN</w:t>
            </w:r>
          </w:p>
        </w:tc>
      </w:tr>
    </w:tbl>
    <w:p w:rsidR="00C262EA" w:rsidRPr="00C262EA" w:rsidRDefault="00C262EA" w:rsidP="00C262EA">
      <w:pPr>
        <w:spacing w:before="120" w:line="264" w:lineRule="auto"/>
        <w:ind w:left="964"/>
        <w:jc w:val="both"/>
        <w:rPr>
          <w:rFonts w:ascii="Arial" w:hAnsi="Arial" w:cs="Arial"/>
          <w:bCs/>
          <w:color w:val="1F497D"/>
        </w:rPr>
      </w:pPr>
      <w:r w:rsidRPr="00C262EA">
        <w:rPr>
          <w:rFonts w:ascii="Arial" w:hAnsi="Arial" w:cs="Arial"/>
          <w:bCs/>
        </w:rPr>
        <w:t>En todos los casos deberá verificarse que la resistencia mecánica del  los aisladores sea la adecuada, de acuerdo con las condiciones de trabajo a las que se encuentren sometidas; evaluando, de ser necesario, el empleo  cadenas dobles o aisladores con mayor carga de rotura.</w:t>
      </w:r>
    </w:p>
    <w:p w:rsidR="00C262EA" w:rsidRPr="00C262EA" w:rsidRDefault="00C262EA" w:rsidP="00273420">
      <w:pPr>
        <w:keepNext/>
        <w:spacing w:before="240"/>
        <w:ind w:left="425"/>
        <w:outlineLvl w:val="2"/>
        <w:rPr>
          <w:rFonts w:ascii="Arial" w:hAnsi="Arial" w:cs="Arial"/>
          <w:b/>
          <w:lang w:val="es-ES_tradnl"/>
        </w:rPr>
      </w:pPr>
      <w:bookmarkStart w:id="68" w:name="_Toc272265358"/>
      <w:bookmarkStart w:id="69" w:name="_Toc306777421"/>
      <w:r w:rsidRPr="00C262EA">
        <w:rPr>
          <w:rFonts w:ascii="Arial" w:hAnsi="Arial" w:cs="Arial"/>
          <w:b/>
          <w:lang w:val="es-ES_tradnl"/>
        </w:rPr>
        <w:t>4.1.7</w:t>
      </w:r>
      <w:r w:rsidRPr="00C262EA">
        <w:rPr>
          <w:rFonts w:ascii="Arial" w:hAnsi="Arial" w:cs="Arial"/>
          <w:b/>
          <w:lang w:val="es-ES_tradnl"/>
        </w:rPr>
        <w:tab/>
        <w:t>ACCESORIOS DEL CONDUCTOR</w:t>
      </w:r>
      <w:bookmarkEnd w:id="68"/>
      <w:bookmarkEnd w:id="69"/>
    </w:p>
    <w:p w:rsidR="00C262EA" w:rsidRPr="00C262EA" w:rsidRDefault="00C262EA" w:rsidP="00273420">
      <w:pPr>
        <w:tabs>
          <w:tab w:val="clear" w:pos="567"/>
          <w:tab w:val="clear" w:pos="1134"/>
          <w:tab w:val="clear" w:pos="2268"/>
          <w:tab w:val="clear" w:pos="2835"/>
        </w:tabs>
        <w:spacing w:before="120" w:line="264" w:lineRule="auto"/>
        <w:ind w:left="992"/>
        <w:jc w:val="both"/>
        <w:rPr>
          <w:rFonts w:ascii="Arial" w:hAnsi="Arial" w:cs="Arial"/>
          <w:b/>
          <w:bCs/>
          <w:lang w:val="es-MX"/>
        </w:rPr>
      </w:pPr>
      <w:r w:rsidRPr="00C262EA">
        <w:rPr>
          <w:rFonts w:ascii="Arial" w:hAnsi="Arial" w:cs="Arial"/>
          <w:b/>
          <w:bCs/>
          <w:lang w:val="es-MX"/>
        </w:rPr>
        <w:t>4.1.7.1</w:t>
      </w:r>
      <w:r w:rsidRPr="00C262EA">
        <w:rPr>
          <w:rFonts w:ascii="Arial" w:hAnsi="Arial" w:cs="Arial"/>
          <w:b/>
          <w:bCs/>
          <w:lang w:val="es-MX"/>
        </w:rPr>
        <w:tab/>
        <w:t>Alcance</w:t>
      </w:r>
    </w:p>
    <w:p w:rsidR="00C262EA" w:rsidRPr="00C262EA" w:rsidRDefault="00C262EA" w:rsidP="00C262EA">
      <w:pPr>
        <w:spacing w:before="80" w:line="264" w:lineRule="auto"/>
        <w:ind w:left="964"/>
        <w:jc w:val="both"/>
        <w:rPr>
          <w:rFonts w:ascii="Arial" w:hAnsi="Arial" w:cs="Arial"/>
          <w:bCs/>
        </w:rPr>
      </w:pPr>
      <w:r w:rsidRPr="00C262EA">
        <w:rPr>
          <w:rFonts w:ascii="Arial" w:hAnsi="Arial" w:cs="Arial"/>
          <w:bCs/>
        </w:rPr>
        <w:t>Estas especificaciones establecen los requerimientos técnicos para el suministro de los accesorios de los conductores, tales como: varillas de armar, manguitos de empalme, manguitos de reparación y herramientas para su aplicación, espaciadores, amortiguadores, y otros a ser utilizados con el conductor seleccionado.</w:t>
      </w:r>
    </w:p>
    <w:p w:rsidR="00C262EA" w:rsidRPr="00C262EA" w:rsidRDefault="00C262EA" w:rsidP="004F6B32">
      <w:pPr>
        <w:numPr>
          <w:ilvl w:val="3"/>
          <w:numId w:val="76"/>
        </w:numPr>
        <w:tabs>
          <w:tab w:val="clear" w:pos="567"/>
          <w:tab w:val="clear" w:pos="1134"/>
          <w:tab w:val="clear" w:pos="2268"/>
          <w:tab w:val="clear" w:pos="2835"/>
        </w:tabs>
        <w:spacing w:before="120" w:line="264" w:lineRule="auto"/>
        <w:ind w:left="1361" w:hanging="369"/>
        <w:jc w:val="both"/>
        <w:rPr>
          <w:rFonts w:ascii="Arial" w:hAnsi="Arial" w:cs="Arial"/>
          <w:b/>
          <w:bCs/>
          <w:lang w:val="es-MX"/>
        </w:rPr>
      </w:pPr>
      <w:r w:rsidRPr="00C262EA">
        <w:rPr>
          <w:rFonts w:ascii="Arial" w:hAnsi="Arial" w:cs="Arial"/>
          <w:b/>
          <w:bCs/>
          <w:lang w:val="es-MX"/>
        </w:rPr>
        <w:t xml:space="preserve">Normas </w:t>
      </w:r>
    </w:p>
    <w:p w:rsidR="00C262EA" w:rsidRPr="00C262EA" w:rsidRDefault="00C262EA" w:rsidP="00C262EA">
      <w:pPr>
        <w:spacing w:before="80" w:line="264" w:lineRule="auto"/>
        <w:ind w:left="964"/>
        <w:jc w:val="both"/>
        <w:rPr>
          <w:rFonts w:ascii="Arial" w:hAnsi="Arial" w:cs="Arial"/>
          <w:bCs/>
        </w:rPr>
      </w:pPr>
      <w:r w:rsidRPr="00C262EA">
        <w:rPr>
          <w:rFonts w:ascii="Arial" w:hAnsi="Arial" w:cs="Arial"/>
          <w:bCs/>
        </w:rPr>
        <w:t>Para el diseño, fabricación y transporte de los accesorios se utilizarán, sin ser limitativas, las versiones vigentes de las normas siguientes: CNE Suministro vigente, ASTM A 36, ASTM A 153, ASTM B201, ASTM B230, ASTM B398, IEC 61284, UNE 207009:2002.</w:t>
      </w:r>
    </w:p>
    <w:p w:rsidR="00C262EA" w:rsidRPr="00C262EA" w:rsidRDefault="00C262EA" w:rsidP="004F6B32">
      <w:pPr>
        <w:numPr>
          <w:ilvl w:val="3"/>
          <w:numId w:val="76"/>
        </w:numPr>
        <w:tabs>
          <w:tab w:val="clear" w:pos="567"/>
          <w:tab w:val="clear" w:pos="1134"/>
          <w:tab w:val="clear" w:pos="2268"/>
          <w:tab w:val="clear" w:pos="2835"/>
        </w:tabs>
        <w:spacing w:before="120" w:line="264" w:lineRule="auto"/>
        <w:ind w:left="1701" w:hanging="737"/>
        <w:jc w:val="both"/>
        <w:rPr>
          <w:rFonts w:ascii="Arial" w:hAnsi="Arial" w:cs="Arial"/>
          <w:b/>
          <w:bCs/>
          <w:lang w:val="es-MX"/>
        </w:rPr>
      </w:pPr>
      <w:r w:rsidRPr="00C262EA">
        <w:rPr>
          <w:rFonts w:ascii="Arial" w:hAnsi="Arial" w:cs="Arial"/>
          <w:b/>
          <w:bCs/>
          <w:lang w:val="es-MX"/>
        </w:rPr>
        <w:t>Características Técnicas</w:t>
      </w:r>
    </w:p>
    <w:p w:rsidR="00C262EA" w:rsidRPr="00C262EA" w:rsidRDefault="00C262EA" w:rsidP="004F6B32">
      <w:pPr>
        <w:numPr>
          <w:ilvl w:val="0"/>
          <w:numId w:val="57"/>
        </w:numPr>
        <w:tabs>
          <w:tab w:val="clear" w:pos="567"/>
          <w:tab w:val="clear" w:pos="1134"/>
          <w:tab w:val="clear" w:pos="1410"/>
          <w:tab w:val="clear" w:pos="1701"/>
          <w:tab w:val="clear" w:pos="2268"/>
          <w:tab w:val="clear" w:pos="2835"/>
          <w:tab w:val="left" w:pos="1418"/>
        </w:tabs>
        <w:spacing w:before="80" w:line="264" w:lineRule="auto"/>
        <w:ind w:left="1418" w:hanging="454"/>
        <w:jc w:val="both"/>
        <w:rPr>
          <w:rFonts w:ascii="Arial" w:hAnsi="Arial" w:cs="Arial"/>
          <w:bCs/>
          <w:lang w:val="es-MX"/>
        </w:rPr>
      </w:pPr>
      <w:r w:rsidRPr="00C262EA">
        <w:rPr>
          <w:rFonts w:ascii="Arial" w:hAnsi="Arial" w:cs="Arial"/>
          <w:bCs/>
          <w:lang w:val="es-MX"/>
        </w:rPr>
        <w:t>Varillas de armar: serán de aleación de aluminio de forma helicoidal y del tipo preformado, para ser montadas fácilmente sobre los conductores. Las dimensiones de las varillas de armar serán apropiadas para las secciones de los conductores seleccionados.</w:t>
      </w:r>
    </w:p>
    <w:p w:rsidR="00C262EA" w:rsidRPr="00C262EA" w:rsidRDefault="00C262EA" w:rsidP="00273420">
      <w:pPr>
        <w:spacing w:before="120" w:line="264" w:lineRule="auto"/>
        <w:ind w:left="1418"/>
        <w:jc w:val="both"/>
        <w:rPr>
          <w:rFonts w:ascii="Arial" w:hAnsi="Arial" w:cs="Arial"/>
          <w:bCs/>
          <w:lang w:val="es-MX"/>
        </w:rPr>
      </w:pPr>
      <w:r w:rsidRPr="00C262EA">
        <w:rPr>
          <w:rFonts w:ascii="Arial" w:hAnsi="Arial" w:cs="Arial"/>
          <w:bCs/>
          <w:lang w:val="es-MX"/>
        </w:rPr>
        <w:t>Una vez montadas, las varillas deberán proveer una capa protectora uniforme, sin intersticios y con una presión adecuada para evitar aflojamiento debido a envejecimiento</w:t>
      </w:r>
    </w:p>
    <w:p w:rsidR="00C262EA" w:rsidRPr="00C262EA" w:rsidRDefault="00C262EA" w:rsidP="004F6B32">
      <w:pPr>
        <w:numPr>
          <w:ilvl w:val="0"/>
          <w:numId w:val="57"/>
        </w:numPr>
        <w:tabs>
          <w:tab w:val="clear" w:pos="567"/>
          <w:tab w:val="clear" w:pos="1134"/>
          <w:tab w:val="clear" w:pos="1410"/>
          <w:tab w:val="clear" w:pos="1701"/>
          <w:tab w:val="clear" w:pos="2268"/>
          <w:tab w:val="clear" w:pos="2835"/>
          <w:tab w:val="left" w:pos="1418"/>
        </w:tabs>
        <w:spacing w:before="120" w:line="264" w:lineRule="auto"/>
        <w:ind w:left="1418" w:hanging="454"/>
        <w:jc w:val="both"/>
        <w:rPr>
          <w:rFonts w:ascii="Arial" w:hAnsi="Arial" w:cs="Arial"/>
          <w:bCs/>
          <w:lang w:val="es-MX"/>
        </w:rPr>
      </w:pPr>
      <w:r w:rsidRPr="00C262EA">
        <w:rPr>
          <w:rFonts w:ascii="Arial" w:hAnsi="Arial" w:cs="Arial"/>
          <w:bCs/>
          <w:lang w:val="es-MX"/>
        </w:rPr>
        <w:lastRenderedPageBreak/>
        <w:t>Manguitos de empalme: serán del tipo compresión, del material y diámetro apropiados para el conductor seleccionado. La carga de rotura mínima será de 95% de la del conductor correspondiente.</w:t>
      </w:r>
    </w:p>
    <w:p w:rsidR="00C262EA" w:rsidRPr="00C262EA" w:rsidRDefault="00C262EA" w:rsidP="004F6B32">
      <w:pPr>
        <w:numPr>
          <w:ilvl w:val="0"/>
          <w:numId w:val="57"/>
        </w:numPr>
        <w:tabs>
          <w:tab w:val="clear" w:pos="567"/>
          <w:tab w:val="clear" w:pos="1134"/>
          <w:tab w:val="clear" w:pos="1410"/>
          <w:tab w:val="clear" w:pos="1701"/>
          <w:tab w:val="clear" w:pos="2268"/>
          <w:tab w:val="clear" w:pos="2835"/>
          <w:tab w:val="left" w:pos="1418"/>
        </w:tabs>
        <w:spacing w:before="120" w:line="264" w:lineRule="auto"/>
        <w:ind w:left="1418" w:hanging="454"/>
        <w:jc w:val="both"/>
        <w:rPr>
          <w:rFonts w:ascii="Arial" w:hAnsi="Arial" w:cs="Arial"/>
          <w:bCs/>
          <w:lang w:val="es-MX"/>
        </w:rPr>
      </w:pPr>
      <w:r w:rsidRPr="00C262EA">
        <w:rPr>
          <w:rFonts w:ascii="Arial" w:hAnsi="Arial" w:cs="Arial"/>
          <w:bCs/>
          <w:lang w:val="es-MX"/>
        </w:rPr>
        <w:t>Manguitos de reparación: serán del tipo compresión. Su utilización será solamente en casos de daños leves en la capa externa del conductor. Las características mecánicas serán similares a las de los manguitos de empalme.</w:t>
      </w:r>
    </w:p>
    <w:p w:rsidR="00C262EA" w:rsidRPr="00C262EA" w:rsidRDefault="00C262EA" w:rsidP="004F6B32">
      <w:pPr>
        <w:numPr>
          <w:ilvl w:val="0"/>
          <w:numId w:val="57"/>
        </w:numPr>
        <w:tabs>
          <w:tab w:val="clear" w:pos="567"/>
          <w:tab w:val="clear" w:pos="1134"/>
          <w:tab w:val="clear" w:pos="1410"/>
          <w:tab w:val="clear" w:pos="1701"/>
          <w:tab w:val="clear" w:pos="2268"/>
          <w:tab w:val="clear" w:pos="2835"/>
          <w:tab w:val="left" w:pos="1418"/>
        </w:tabs>
        <w:spacing w:before="120" w:line="264" w:lineRule="auto"/>
        <w:ind w:left="1418" w:hanging="454"/>
        <w:jc w:val="both"/>
        <w:rPr>
          <w:rFonts w:ascii="Arial" w:hAnsi="Arial" w:cs="Arial"/>
          <w:bCs/>
          <w:lang w:val="es-MX"/>
        </w:rPr>
      </w:pPr>
      <w:r w:rsidRPr="00C262EA">
        <w:rPr>
          <w:rFonts w:ascii="Arial" w:hAnsi="Arial" w:cs="Arial"/>
          <w:bCs/>
          <w:lang w:val="es-MX"/>
        </w:rPr>
        <w:t xml:space="preserve">Espaciadores-amortiguadores: deberán mantener el espaciamiento de diseño de los conductores de fase en las distintas condiciones de operación de los mismos, además de controlar los niveles de vibración eólica dentro de los límites de seguridad permitidos; conservando sus propiedades mecánicas y de amortiguamiento a lo largo de la vida útil de la línea.  </w:t>
      </w:r>
    </w:p>
    <w:p w:rsidR="00C262EA" w:rsidRPr="00C262EA" w:rsidRDefault="00C262EA" w:rsidP="004F6B32">
      <w:pPr>
        <w:keepNext/>
        <w:numPr>
          <w:ilvl w:val="2"/>
          <w:numId w:val="76"/>
        </w:numPr>
        <w:spacing w:before="240"/>
        <w:ind w:left="1145"/>
        <w:outlineLvl w:val="2"/>
        <w:rPr>
          <w:rFonts w:ascii="Arial" w:hAnsi="Arial" w:cs="Arial"/>
          <w:b/>
          <w:lang w:val="es-ES_tradnl"/>
        </w:rPr>
      </w:pPr>
      <w:bookmarkStart w:id="70" w:name="_Toc272265359"/>
      <w:bookmarkStart w:id="71" w:name="_Toc306777422"/>
      <w:r w:rsidRPr="00C262EA">
        <w:rPr>
          <w:rFonts w:ascii="Arial" w:hAnsi="Arial" w:cs="Arial"/>
          <w:b/>
          <w:lang w:val="es-ES_tradnl"/>
        </w:rPr>
        <w:t>ACCESORIOS PARA CADENAS DE AISLADORES</w:t>
      </w:r>
      <w:bookmarkEnd w:id="70"/>
      <w:bookmarkEnd w:id="71"/>
    </w:p>
    <w:p w:rsidR="00C262EA" w:rsidRPr="00C262EA" w:rsidRDefault="00C262EA" w:rsidP="00273420">
      <w:pPr>
        <w:tabs>
          <w:tab w:val="clear" w:pos="567"/>
          <w:tab w:val="clear" w:pos="1134"/>
          <w:tab w:val="clear" w:pos="2268"/>
          <w:tab w:val="clear" w:pos="2835"/>
        </w:tabs>
        <w:spacing w:before="120" w:line="264" w:lineRule="auto"/>
        <w:ind w:left="992"/>
        <w:jc w:val="both"/>
        <w:rPr>
          <w:rFonts w:ascii="Arial" w:hAnsi="Arial" w:cs="Arial"/>
          <w:b/>
          <w:bCs/>
          <w:lang w:val="es-MX"/>
        </w:rPr>
      </w:pPr>
      <w:r w:rsidRPr="00C262EA">
        <w:rPr>
          <w:rFonts w:ascii="Arial" w:hAnsi="Arial" w:cs="Arial"/>
          <w:b/>
          <w:bCs/>
          <w:lang w:val="es-MX"/>
        </w:rPr>
        <w:t>4.1.8.1</w:t>
      </w:r>
      <w:r w:rsidRPr="00C262EA">
        <w:rPr>
          <w:rFonts w:ascii="Arial" w:hAnsi="Arial" w:cs="Arial"/>
          <w:b/>
          <w:bCs/>
          <w:lang w:val="es-MX"/>
        </w:rPr>
        <w:tab/>
        <w:t>Alcance</w:t>
      </w:r>
    </w:p>
    <w:p w:rsidR="00C262EA" w:rsidRPr="00C262EA" w:rsidRDefault="00C262EA" w:rsidP="00273420">
      <w:pPr>
        <w:spacing w:before="120" w:line="264" w:lineRule="auto"/>
        <w:ind w:left="964"/>
        <w:jc w:val="both"/>
        <w:rPr>
          <w:rFonts w:ascii="Arial" w:hAnsi="Arial" w:cs="Arial"/>
          <w:bCs/>
        </w:rPr>
      </w:pPr>
      <w:r w:rsidRPr="00C262EA">
        <w:rPr>
          <w:rFonts w:ascii="Arial" w:hAnsi="Arial" w:cs="Arial"/>
          <w:bCs/>
        </w:rPr>
        <w:t>Estas especificaciones establecen los requerimientos para el diseño y fabricación de los accesorios de ensamble de las cadenas de aisladores, tanto en suspensión como en anclaje, incluyendo adaptadores, grilletes, grapas de suspensión y anclaje, contrapesos, descargadores, etc.</w:t>
      </w:r>
    </w:p>
    <w:p w:rsidR="00C262EA" w:rsidRPr="00C262EA" w:rsidRDefault="00C262EA" w:rsidP="004F6B32">
      <w:pPr>
        <w:numPr>
          <w:ilvl w:val="3"/>
          <w:numId w:val="106"/>
        </w:numPr>
        <w:tabs>
          <w:tab w:val="clear" w:pos="567"/>
          <w:tab w:val="clear" w:pos="1134"/>
          <w:tab w:val="clear" w:pos="2268"/>
          <w:tab w:val="clear" w:pos="2835"/>
        </w:tabs>
        <w:spacing w:before="120" w:line="264" w:lineRule="auto"/>
        <w:ind w:hanging="366"/>
        <w:jc w:val="both"/>
        <w:rPr>
          <w:rFonts w:ascii="Arial" w:hAnsi="Arial" w:cs="Arial"/>
          <w:b/>
          <w:bCs/>
          <w:lang w:val="es-MX"/>
        </w:rPr>
      </w:pPr>
      <w:r w:rsidRPr="00C262EA">
        <w:rPr>
          <w:rFonts w:ascii="Arial" w:hAnsi="Arial" w:cs="Arial"/>
          <w:b/>
          <w:bCs/>
          <w:lang w:val="es-MX"/>
        </w:rPr>
        <w:t xml:space="preserve">Normas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Para el diseño, fabricación y transporte de los accesorios se utilizarán, sin ser limitativas, las versiones vigentes de las normas siguientes: CNE Suministro, ASTM B6, ASTM A153, ASTM B201, ASTM B230.</w:t>
      </w:r>
    </w:p>
    <w:p w:rsidR="00C262EA" w:rsidRPr="00C262EA" w:rsidRDefault="00C262EA" w:rsidP="004F6B32">
      <w:pPr>
        <w:numPr>
          <w:ilvl w:val="3"/>
          <w:numId w:val="106"/>
        </w:numPr>
        <w:tabs>
          <w:tab w:val="clear" w:pos="567"/>
          <w:tab w:val="clear" w:pos="1134"/>
          <w:tab w:val="clear" w:pos="2268"/>
          <w:tab w:val="clear" w:pos="2835"/>
        </w:tabs>
        <w:spacing w:before="120" w:line="264" w:lineRule="auto"/>
        <w:ind w:left="1701" w:hanging="737"/>
        <w:jc w:val="both"/>
        <w:rPr>
          <w:rFonts w:ascii="Arial" w:hAnsi="Arial" w:cs="Arial"/>
          <w:b/>
          <w:bCs/>
          <w:lang w:val="es-MX"/>
        </w:rPr>
      </w:pPr>
      <w:r w:rsidRPr="00C262EA">
        <w:rPr>
          <w:rFonts w:ascii="Arial" w:hAnsi="Arial" w:cs="Arial"/>
          <w:b/>
          <w:bCs/>
          <w:lang w:val="es-MX"/>
        </w:rPr>
        <w:t>Características Técnicas</w:t>
      </w:r>
    </w:p>
    <w:p w:rsidR="00C262EA" w:rsidRPr="00C262EA" w:rsidRDefault="00C262EA" w:rsidP="004F6B32">
      <w:pPr>
        <w:numPr>
          <w:ilvl w:val="0"/>
          <w:numId w:val="54"/>
        </w:numPr>
        <w:tabs>
          <w:tab w:val="clear" w:pos="567"/>
          <w:tab w:val="clear" w:pos="1134"/>
          <w:tab w:val="clear" w:pos="1701"/>
          <w:tab w:val="clear" w:pos="2081"/>
          <w:tab w:val="clear" w:pos="2268"/>
          <w:tab w:val="clear" w:pos="2835"/>
        </w:tabs>
        <w:spacing w:before="120" w:line="264" w:lineRule="auto"/>
        <w:ind w:left="1418" w:hanging="454"/>
        <w:jc w:val="both"/>
        <w:rPr>
          <w:rFonts w:ascii="Arial" w:hAnsi="Arial" w:cs="Arial"/>
          <w:bCs/>
          <w:lang w:val="es-MX"/>
        </w:rPr>
      </w:pPr>
      <w:r w:rsidRPr="00C262EA">
        <w:rPr>
          <w:rFonts w:ascii="Arial" w:hAnsi="Arial" w:cs="Arial"/>
          <w:bCs/>
          <w:lang w:val="es-MX"/>
        </w:rPr>
        <w:t>Mecánicas: las grapas de suspensión no permitirán ningún deslizamiento ni deformación o daño al conductor activo y deben tener la capacidad de soportar de manera apropiada las cargas de trabajo asociadas a la instalación y mantenimiento de las líneas</w:t>
      </w:r>
    </w:p>
    <w:p w:rsidR="00C262EA" w:rsidRPr="00C262EA" w:rsidRDefault="00C262EA" w:rsidP="004F6B32">
      <w:pPr>
        <w:numPr>
          <w:ilvl w:val="0"/>
          <w:numId w:val="54"/>
        </w:numPr>
        <w:tabs>
          <w:tab w:val="clear" w:pos="567"/>
          <w:tab w:val="clear" w:pos="1134"/>
          <w:tab w:val="clear" w:pos="1701"/>
          <w:tab w:val="clear" w:pos="2081"/>
          <w:tab w:val="clear" w:pos="2268"/>
          <w:tab w:val="clear" w:pos="2835"/>
        </w:tabs>
        <w:spacing w:before="120" w:line="264" w:lineRule="auto"/>
        <w:ind w:left="1418" w:hanging="454"/>
        <w:jc w:val="both"/>
        <w:rPr>
          <w:rFonts w:ascii="Arial" w:hAnsi="Arial" w:cs="Arial"/>
          <w:bCs/>
          <w:lang w:val="es-MX"/>
        </w:rPr>
      </w:pPr>
      <w:r w:rsidRPr="00C262EA">
        <w:rPr>
          <w:rFonts w:ascii="Arial" w:hAnsi="Arial" w:cs="Arial"/>
          <w:bCs/>
          <w:lang w:val="es-MX"/>
        </w:rPr>
        <w:t xml:space="preserve">Eléctricas: ningún accesorio atravesado por corriente eléctrica deberá alcanzar una temperatura superior al conductor respectivo en las mismas condiciones y deberá tener la capacidad suficiente para soportar las corrientes de cortocircuito, así como las condiciones de operación del mismo, además de presentar un efecto corona limitado </w:t>
      </w:r>
    </w:p>
    <w:p w:rsidR="00C262EA" w:rsidRPr="00C262EA" w:rsidRDefault="00C262EA" w:rsidP="00C262EA">
      <w:pPr>
        <w:spacing w:before="120" w:line="264" w:lineRule="auto"/>
        <w:ind w:left="1418"/>
        <w:jc w:val="both"/>
        <w:rPr>
          <w:rFonts w:ascii="Arial" w:hAnsi="Arial" w:cs="Arial"/>
          <w:bCs/>
          <w:lang w:val="es-MX"/>
        </w:rPr>
      </w:pPr>
      <w:r w:rsidRPr="00C262EA">
        <w:rPr>
          <w:rFonts w:ascii="Arial" w:hAnsi="Arial" w:cs="Arial"/>
          <w:bCs/>
          <w:lang w:val="es-MX"/>
        </w:rPr>
        <w:t>La resistencia eléctrica de los empalmes y de las grapas de anclaje no será superior al 80% correspondiente a la longitud equivalente del conductor.</w:t>
      </w:r>
    </w:p>
    <w:p w:rsidR="00C262EA" w:rsidRPr="00C262EA" w:rsidRDefault="00C262EA" w:rsidP="00273420">
      <w:pPr>
        <w:spacing w:before="120" w:line="264" w:lineRule="auto"/>
        <w:ind w:left="1418"/>
        <w:jc w:val="both"/>
        <w:rPr>
          <w:rFonts w:ascii="Arial" w:hAnsi="Arial" w:cs="Arial"/>
          <w:bCs/>
          <w:lang w:val="es-MX"/>
        </w:rPr>
      </w:pPr>
      <w:r w:rsidRPr="00C262EA">
        <w:rPr>
          <w:rFonts w:ascii="Arial" w:hAnsi="Arial" w:cs="Arial"/>
          <w:bCs/>
          <w:lang w:val="es-MX"/>
        </w:rPr>
        <w:t>Para evitar descargas parciales por efecto corona, la forma y el diseño de todas las piezas bajo tensión será tal que evite esquinas agudas o resaltos que produzcan un excesivo gradiente de potencial eléctrico.</w:t>
      </w:r>
    </w:p>
    <w:p w:rsidR="00C262EA" w:rsidRPr="00C262EA" w:rsidRDefault="00C70D82" w:rsidP="004F6B32">
      <w:pPr>
        <w:numPr>
          <w:ilvl w:val="0"/>
          <w:numId w:val="54"/>
        </w:numPr>
        <w:tabs>
          <w:tab w:val="clear" w:pos="567"/>
          <w:tab w:val="clear" w:pos="1134"/>
          <w:tab w:val="clear" w:pos="1701"/>
          <w:tab w:val="clear" w:pos="2081"/>
          <w:tab w:val="clear" w:pos="2268"/>
          <w:tab w:val="clear" w:pos="2835"/>
        </w:tabs>
        <w:spacing w:before="120" w:line="264" w:lineRule="auto"/>
        <w:ind w:left="1418" w:hanging="454"/>
        <w:jc w:val="both"/>
        <w:rPr>
          <w:rFonts w:ascii="Arial" w:hAnsi="Arial" w:cs="Arial"/>
          <w:bCs/>
          <w:lang w:val="es-MX"/>
        </w:rPr>
      </w:pPr>
      <w:r>
        <w:rPr>
          <w:rFonts w:ascii="Arial" w:hAnsi="Arial" w:cs="Arial"/>
          <w:bCs/>
          <w:lang w:val="es-MX"/>
        </w:rPr>
        <w:tab/>
      </w:r>
      <w:r w:rsidR="00C262EA" w:rsidRPr="00C262EA">
        <w:rPr>
          <w:rFonts w:ascii="Arial" w:hAnsi="Arial" w:cs="Arial"/>
          <w:bCs/>
          <w:lang w:val="es-MX"/>
        </w:rPr>
        <w:t>Se recomienda la utilización de cadenas provistas de descargador y anillos de campo.</w:t>
      </w:r>
    </w:p>
    <w:p w:rsidR="00C262EA" w:rsidRPr="00C262EA" w:rsidRDefault="00C70D82" w:rsidP="004F6B32">
      <w:pPr>
        <w:numPr>
          <w:ilvl w:val="3"/>
          <w:numId w:val="106"/>
        </w:numPr>
        <w:tabs>
          <w:tab w:val="clear" w:pos="567"/>
          <w:tab w:val="clear" w:pos="1134"/>
          <w:tab w:val="clear" w:pos="2268"/>
          <w:tab w:val="clear" w:pos="2835"/>
        </w:tabs>
        <w:spacing w:before="120" w:line="264" w:lineRule="auto"/>
        <w:ind w:left="1701" w:hanging="737"/>
        <w:jc w:val="both"/>
        <w:rPr>
          <w:rFonts w:ascii="Arial" w:hAnsi="Arial" w:cs="Arial"/>
          <w:b/>
          <w:bCs/>
          <w:lang w:val="es-MX"/>
        </w:rPr>
      </w:pPr>
      <w:r>
        <w:rPr>
          <w:rFonts w:ascii="Arial" w:hAnsi="Arial" w:cs="Arial"/>
          <w:b/>
          <w:bCs/>
          <w:lang w:val="es-MX"/>
        </w:rPr>
        <w:br w:type="page"/>
      </w:r>
      <w:r w:rsidR="00C262EA" w:rsidRPr="00C262EA">
        <w:rPr>
          <w:rFonts w:ascii="Arial" w:hAnsi="Arial" w:cs="Arial"/>
          <w:b/>
          <w:bCs/>
          <w:lang w:val="es-MX"/>
        </w:rPr>
        <w:lastRenderedPageBreak/>
        <w:t>Prescripciones constructivas</w:t>
      </w:r>
    </w:p>
    <w:p w:rsidR="00C262EA" w:rsidRPr="00C262EA" w:rsidRDefault="00C262EA" w:rsidP="004F6B32">
      <w:pPr>
        <w:numPr>
          <w:ilvl w:val="0"/>
          <w:numId w:val="55"/>
        </w:numPr>
        <w:tabs>
          <w:tab w:val="clear" w:pos="567"/>
          <w:tab w:val="clear" w:pos="1134"/>
          <w:tab w:val="clear" w:pos="1701"/>
          <w:tab w:val="clear" w:pos="2268"/>
          <w:tab w:val="clear" w:pos="2835"/>
          <w:tab w:val="left" w:pos="1418"/>
        </w:tabs>
        <w:spacing w:before="120" w:line="264" w:lineRule="auto"/>
        <w:ind w:left="1418" w:hanging="454"/>
        <w:jc w:val="both"/>
        <w:rPr>
          <w:rFonts w:ascii="Arial" w:hAnsi="Arial" w:cs="Arial"/>
          <w:bCs/>
          <w:lang w:val="es-MX"/>
        </w:rPr>
      </w:pPr>
      <w:r w:rsidRPr="00C262EA">
        <w:rPr>
          <w:rFonts w:ascii="Arial" w:hAnsi="Arial" w:cs="Arial"/>
          <w:bCs/>
          <w:lang w:val="es-MX"/>
        </w:rPr>
        <w:t>Piezas bajo tensión mecánica: serán fabricadas en acero forjado, o en hierro maleable, adecuadamente tratado para aumentar su resistencia a impactos y a rozamientos.</w:t>
      </w:r>
    </w:p>
    <w:p w:rsidR="00C262EA" w:rsidRPr="00C262EA" w:rsidRDefault="00C262EA" w:rsidP="004F6B32">
      <w:pPr>
        <w:numPr>
          <w:ilvl w:val="0"/>
          <w:numId w:val="55"/>
        </w:numPr>
        <w:tabs>
          <w:tab w:val="clear" w:pos="567"/>
          <w:tab w:val="clear" w:pos="1134"/>
          <w:tab w:val="clear" w:pos="1701"/>
          <w:tab w:val="clear" w:pos="2268"/>
          <w:tab w:val="clear" w:pos="2835"/>
          <w:tab w:val="left" w:pos="1418"/>
        </w:tabs>
        <w:spacing w:before="60" w:line="264" w:lineRule="auto"/>
        <w:ind w:left="1418" w:hanging="454"/>
        <w:jc w:val="both"/>
        <w:rPr>
          <w:rFonts w:ascii="Arial" w:hAnsi="Arial" w:cs="Arial"/>
          <w:bCs/>
          <w:lang w:val="es-MX"/>
        </w:rPr>
      </w:pPr>
      <w:r w:rsidRPr="00C262EA">
        <w:rPr>
          <w:rFonts w:ascii="Arial" w:hAnsi="Arial" w:cs="Arial"/>
          <w:bCs/>
          <w:lang w:val="es-MX"/>
        </w:rPr>
        <w:t>Piezas bajo tensión eléctrica: los accesorios y piezas normalmente bajo tensión eléctrica serán fabricados de material antimagnético.</w:t>
      </w:r>
    </w:p>
    <w:p w:rsidR="00C262EA" w:rsidRPr="00C262EA" w:rsidRDefault="00C262EA" w:rsidP="004F6B32">
      <w:pPr>
        <w:numPr>
          <w:ilvl w:val="0"/>
          <w:numId w:val="55"/>
        </w:numPr>
        <w:tabs>
          <w:tab w:val="clear" w:pos="567"/>
          <w:tab w:val="clear" w:pos="1134"/>
          <w:tab w:val="clear" w:pos="1701"/>
          <w:tab w:val="clear" w:pos="2268"/>
          <w:tab w:val="clear" w:pos="2835"/>
          <w:tab w:val="left" w:pos="1418"/>
        </w:tabs>
        <w:spacing w:before="60" w:line="264" w:lineRule="auto"/>
        <w:ind w:left="1418" w:hanging="454"/>
        <w:jc w:val="both"/>
        <w:rPr>
          <w:rFonts w:ascii="Arial" w:hAnsi="Arial" w:cs="Arial"/>
          <w:bCs/>
          <w:lang w:val="es-MX"/>
        </w:rPr>
      </w:pPr>
      <w:r w:rsidRPr="00C262EA">
        <w:rPr>
          <w:rFonts w:ascii="Arial" w:hAnsi="Arial" w:cs="Arial"/>
          <w:bCs/>
          <w:lang w:val="es-MX"/>
        </w:rPr>
        <w:t>Resistencia a la corrosión: los accesorios serán fabricados con materiales compatibles que no den origen a reacciones electrolíticas, bajo cualquier condición de servicio.</w:t>
      </w:r>
    </w:p>
    <w:p w:rsidR="00C262EA" w:rsidRPr="00C262EA" w:rsidRDefault="00C262EA" w:rsidP="004F6B32">
      <w:pPr>
        <w:numPr>
          <w:ilvl w:val="0"/>
          <w:numId w:val="55"/>
        </w:numPr>
        <w:tabs>
          <w:tab w:val="clear" w:pos="567"/>
          <w:tab w:val="clear" w:pos="1134"/>
          <w:tab w:val="clear" w:pos="1701"/>
          <w:tab w:val="clear" w:pos="2268"/>
          <w:tab w:val="clear" w:pos="2835"/>
          <w:tab w:val="left" w:pos="1418"/>
        </w:tabs>
        <w:spacing w:before="60" w:line="264" w:lineRule="auto"/>
        <w:ind w:left="1418" w:hanging="454"/>
        <w:jc w:val="both"/>
        <w:rPr>
          <w:rFonts w:ascii="Arial" w:hAnsi="Arial" w:cs="Arial"/>
          <w:bCs/>
          <w:lang w:val="es-MX"/>
        </w:rPr>
      </w:pPr>
      <w:r w:rsidRPr="00C262EA">
        <w:rPr>
          <w:rFonts w:ascii="Arial" w:hAnsi="Arial" w:cs="Arial"/>
          <w:bCs/>
          <w:lang w:val="es-MX"/>
        </w:rPr>
        <w:t>Galvanizado: una vez terminado el maquinado y marcado, todas las partes de hierro y acero de los accesorios serán galvanizados mediante inmersión en caliente según Norma ASTM A 153.</w:t>
      </w:r>
    </w:p>
    <w:p w:rsidR="00C262EA" w:rsidRPr="00C262EA" w:rsidRDefault="00C262EA" w:rsidP="00C262EA">
      <w:pPr>
        <w:spacing w:before="60" w:line="264" w:lineRule="auto"/>
        <w:ind w:left="1418"/>
        <w:jc w:val="both"/>
        <w:rPr>
          <w:rFonts w:ascii="Arial" w:hAnsi="Arial" w:cs="Arial"/>
          <w:bCs/>
          <w:lang w:val="es-MX"/>
        </w:rPr>
      </w:pPr>
      <w:r w:rsidRPr="00C262EA">
        <w:rPr>
          <w:rFonts w:ascii="Arial" w:hAnsi="Arial" w:cs="Arial"/>
          <w:bCs/>
          <w:lang w:val="es-MX"/>
        </w:rPr>
        <w:t>El galvanizado tendrá textura lisa, uniforme, limpia y de un espesor uniforme en toda la superficie. La preparación del material para el galvanizado y el proceso mismo del galvanizado no afectarán las propiedades mecánicas de las piezas trabajadas. La capa de zinc tendrá un espesor mínimo de 600 gr/m</w:t>
      </w:r>
      <w:r w:rsidRPr="00C262EA">
        <w:rPr>
          <w:rFonts w:ascii="Arial" w:hAnsi="Arial" w:cs="Arial"/>
          <w:bCs/>
          <w:vertAlign w:val="superscript"/>
          <w:lang w:val="es-MX"/>
        </w:rPr>
        <w:t>2</w:t>
      </w:r>
      <w:r w:rsidRPr="00C262EA">
        <w:rPr>
          <w:rFonts w:ascii="Arial" w:hAnsi="Arial" w:cs="Arial"/>
          <w:bCs/>
          <w:lang w:val="es-MX"/>
        </w:rPr>
        <w:t>.</w:t>
      </w:r>
    </w:p>
    <w:p w:rsidR="00C262EA" w:rsidRPr="00C262EA" w:rsidRDefault="00C262EA" w:rsidP="004F6B32">
      <w:pPr>
        <w:keepNext/>
        <w:numPr>
          <w:ilvl w:val="2"/>
          <w:numId w:val="106"/>
        </w:numPr>
        <w:spacing w:before="240"/>
        <w:ind w:left="1145"/>
        <w:outlineLvl w:val="2"/>
        <w:rPr>
          <w:rFonts w:ascii="Arial" w:hAnsi="Arial" w:cs="Arial"/>
          <w:b/>
          <w:lang w:val="es-ES_tradnl"/>
        </w:rPr>
      </w:pPr>
      <w:bookmarkStart w:id="72" w:name="_Toc272265360"/>
      <w:bookmarkStart w:id="73" w:name="_Toc306777423"/>
      <w:r w:rsidRPr="00C262EA">
        <w:rPr>
          <w:rFonts w:ascii="Arial" w:hAnsi="Arial" w:cs="Arial"/>
          <w:b/>
          <w:lang w:val="es-ES_tradnl"/>
        </w:rPr>
        <w:t>PUESTAS A TIERRA</w:t>
      </w:r>
      <w:bookmarkEnd w:id="72"/>
      <w:bookmarkEnd w:id="73"/>
    </w:p>
    <w:p w:rsidR="00C262EA" w:rsidRPr="00C262EA" w:rsidRDefault="00C262EA" w:rsidP="00C262EA">
      <w:pPr>
        <w:tabs>
          <w:tab w:val="clear" w:pos="567"/>
          <w:tab w:val="clear" w:pos="1134"/>
          <w:tab w:val="clear" w:pos="2268"/>
          <w:tab w:val="clear" w:pos="2835"/>
        </w:tabs>
        <w:spacing w:before="120" w:line="264" w:lineRule="auto"/>
        <w:ind w:left="993"/>
        <w:jc w:val="both"/>
        <w:rPr>
          <w:rFonts w:ascii="Arial" w:hAnsi="Arial" w:cs="Arial"/>
          <w:b/>
          <w:bCs/>
          <w:lang w:val="es-MX"/>
        </w:rPr>
      </w:pPr>
      <w:r w:rsidRPr="00C262EA">
        <w:rPr>
          <w:rFonts w:ascii="Arial" w:hAnsi="Arial" w:cs="Arial"/>
          <w:b/>
          <w:bCs/>
          <w:lang w:val="es-MX"/>
        </w:rPr>
        <w:t>4.1.9.1</w:t>
      </w:r>
      <w:r w:rsidRPr="00C262EA">
        <w:rPr>
          <w:rFonts w:ascii="Arial" w:hAnsi="Arial" w:cs="Arial"/>
          <w:b/>
          <w:bCs/>
          <w:lang w:val="es-MX"/>
        </w:rPr>
        <w:tab/>
        <w:t>Alcance</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 xml:space="preserve">Estas especificaciones establecen los requerimientos mínimos para el diseño y fabricación de los  accesorios necesarios para el sistema de puesta a tierra de las estructuras de la línea de transmisión. </w:t>
      </w:r>
    </w:p>
    <w:p w:rsidR="00C262EA" w:rsidRPr="00C262EA" w:rsidRDefault="00C262EA" w:rsidP="004F6B32">
      <w:pPr>
        <w:numPr>
          <w:ilvl w:val="3"/>
          <w:numId w:val="106"/>
        </w:numPr>
        <w:tabs>
          <w:tab w:val="clear" w:pos="567"/>
          <w:tab w:val="clear" w:pos="1134"/>
          <w:tab w:val="clear" w:pos="2268"/>
          <w:tab w:val="clear" w:pos="2835"/>
        </w:tabs>
        <w:spacing w:before="120" w:line="264" w:lineRule="auto"/>
        <w:ind w:left="1701" w:hanging="737"/>
        <w:jc w:val="both"/>
        <w:rPr>
          <w:rFonts w:ascii="Arial" w:hAnsi="Arial" w:cs="Arial"/>
          <w:b/>
          <w:bCs/>
          <w:lang w:val="es-MX"/>
        </w:rPr>
      </w:pPr>
      <w:r w:rsidRPr="00C262EA">
        <w:rPr>
          <w:rFonts w:ascii="Arial" w:hAnsi="Arial" w:cs="Arial"/>
          <w:b/>
          <w:bCs/>
          <w:lang w:val="es-MX"/>
        </w:rPr>
        <w:t xml:space="preserve">Normas </w:t>
      </w:r>
    </w:p>
    <w:p w:rsidR="00C262EA" w:rsidRPr="00C262EA" w:rsidRDefault="00C262EA" w:rsidP="00C262EA">
      <w:pPr>
        <w:spacing w:before="120" w:line="264" w:lineRule="auto"/>
        <w:ind w:left="964"/>
        <w:jc w:val="both"/>
        <w:rPr>
          <w:rFonts w:ascii="Arial" w:hAnsi="Arial" w:cs="Arial"/>
          <w:bCs/>
        </w:rPr>
      </w:pPr>
      <w:r w:rsidRPr="00C262EA">
        <w:rPr>
          <w:rFonts w:ascii="Arial" w:hAnsi="Arial" w:cs="Arial"/>
          <w:bCs/>
        </w:rPr>
        <w:t>Para el diseño, fabricación y transporte de los accesorios se utilizarán, sin ser limitativas, las versiones vigentes de las normas siguientes: CNE Suministro, ASTM B910, ASTM B228, ANSI C33.8, UNE 21056.</w:t>
      </w:r>
    </w:p>
    <w:p w:rsidR="00C262EA" w:rsidRPr="00C262EA" w:rsidRDefault="00C262EA" w:rsidP="004F6B32">
      <w:pPr>
        <w:numPr>
          <w:ilvl w:val="3"/>
          <w:numId w:val="106"/>
        </w:numPr>
        <w:tabs>
          <w:tab w:val="clear" w:pos="567"/>
          <w:tab w:val="clear" w:pos="1134"/>
          <w:tab w:val="clear" w:pos="2268"/>
          <w:tab w:val="clear" w:pos="2835"/>
        </w:tabs>
        <w:spacing w:before="120" w:line="264" w:lineRule="auto"/>
        <w:ind w:left="1701" w:hanging="737"/>
        <w:jc w:val="both"/>
        <w:rPr>
          <w:rFonts w:ascii="Arial" w:hAnsi="Arial" w:cs="Arial"/>
          <w:b/>
          <w:bCs/>
          <w:lang w:val="es-MX"/>
        </w:rPr>
      </w:pPr>
      <w:r w:rsidRPr="00C262EA">
        <w:rPr>
          <w:rFonts w:ascii="Arial" w:hAnsi="Arial" w:cs="Arial"/>
          <w:b/>
          <w:bCs/>
          <w:lang w:val="es-MX"/>
        </w:rPr>
        <w:t>Materiales a utilizarse</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Cable de puesta a tierra: de preferencia será un cable con alma de acero y recubrimiento de cobre, de 70mm</w:t>
      </w:r>
      <w:r w:rsidRPr="00C262EA">
        <w:rPr>
          <w:rFonts w:ascii="Arial" w:hAnsi="Arial" w:cs="Arial"/>
          <w:vertAlign w:val="superscript"/>
          <w:lang w:val="es-MX"/>
        </w:rPr>
        <w:t>2</w:t>
      </w:r>
      <w:r w:rsidRPr="00C262EA">
        <w:rPr>
          <w:rFonts w:ascii="Arial" w:hAnsi="Arial" w:cs="Arial"/>
          <w:lang w:val="es-MX"/>
        </w:rPr>
        <w:t xml:space="preserve"> de sección mínima y una conductividad aproximada del 30 %.</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Electrodos o varillas: serán con núcleo de acero recubierto de cobre con una conductividad aproximada del 30%.</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Conector electrodo-cable: será de bronce y unirá el cable con el electrodo.</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Conector doble vía: será de cobre estañado para el empalme de los cables de puesta a tierra.</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Cemento conductivo: se usará como alternativa para mejorar la resistencia de puesta a tierra de las estructuras.</w:t>
      </w:r>
    </w:p>
    <w:p w:rsidR="00C262EA" w:rsidRPr="00C262EA" w:rsidRDefault="00C262EA" w:rsidP="004F6B32">
      <w:pPr>
        <w:numPr>
          <w:ilvl w:val="0"/>
          <w:numId w:val="56"/>
        </w:numPr>
        <w:tabs>
          <w:tab w:val="clear" w:pos="567"/>
          <w:tab w:val="clear" w:pos="1134"/>
          <w:tab w:val="clear" w:pos="1701"/>
          <w:tab w:val="clear" w:pos="2268"/>
          <w:tab w:val="clear" w:pos="2835"/>
          <w:tab w:val="left" w:pos="1418"/>
        </w:tabs>
        <w:spacing w:before="40" w:line="264" w:lineRule="auto"/>
        <w:ind w:left="1418" w:hanging="454"/>
        <w:jc w:val="both"/>
        <w:rPr>
          <w:rFonts w:ascii="Arial" w:hAnsi="Arial" w:cs="Arial"/>
          <w:lang w:val="es-MX"/>
        </w:rPr>
      </w:pPr>
      <w:r w:rsidRPr="00C262EA">
        <w:rPr>
          <w:rFonts w:ascii="Arial" w:hAnsi="Arial" w:cs="Arial"/>
          <w:lang w:val="es-MX"/>
        </w:rPr>
        <w:t xml:space="preserve">En aquellos casos donde la resistividad del terreno sea muy alta se podrán utilizar otros medios para lograr un valor aceptable de resistencia de puesta a tierra, como el uso de puestas a tierra capacitivas. </w:t>
      </w:r>
    </w:p>
    <w:p w:rsidR="00C262EA" w:rsidRPr="00C262EA" w:rsidRDefault="00C70D82" w:rsidP="00C70D82">
      <w:pPr>
        <w:tabs>
          <w:tab w:val="clear" w:pos="567"/>
          <w:tab w:val="clear" w:pos="1134"/>
          <w:tab w:val="clear" w:pos="1701"/>
          <w:tab w:val="clear" w:pos="2268"/>
          <w:tab w:val="clear" w:pos="2835"/>
        </w:tabs>
        <w:spacing w:before="40" w:line="264" w:lineRule="auto"/>
        <w:jc w:val="both"/>
        <w:rPr>
          <w:rFonts w:ascii="Arial" w:hAnsi="Arial" w:cs="Arial"/>
          <w:b/>
          <w:sz w:val="22"/>
          <w:szCs w:val="22"/>
        </w:rPr>
      </w:pPr>
      <w:r>
        <w:rPr>
          <w:rFonts w:ascii="Arial" w:hAnsi="Arial" w:cs="Arial"/>
          <w:lang w:val="es-MX"/>
        </w:rPr>
        <w:br w:type="page"/>
      </w:r>
      <w:bookmarkStart w:id="74" w:name="_Toc272265361"/>
      <w:bookmarkStart w:id="75" w:name="_Toc272431154"/>
      <w:bookmarkStart w:id="76" w:name="_Toc306777424"/>
      <w:r w:rsidR="00C262EA" w:rsidRPr="00C262EA">
        <w:rPr>
          <w:rFonts w:ascii="Arial" w:hAnsi="Arial" w:cs="Arial"/>
          <w:b/>
          <w:sz w:val="22"/>
          <w:szCs w:val="22"/>
        </w:rPr>
        <w:lastRenderedPageBreak/>
        <w:t>4.2</w:t>
      </w:r>
      <w:r w:rsidR="00C262EA" w:rsidRPr="00C262EA">
        <w:rPr>
          <w:rFonts w:ascii="Arial" w:hAnsi="Arial" w:cs="Arial"/>
          <w:b/>
          <w:sz w:val="22"/>
          <w:szCs w:val="22"/>
        </w:rPr>
        <w:tab/>
        <w:t>SUBESTACIONES</w:t>
      </w:r>
      <w:bookmarkEnd w:id="74"/>
      <w:bookmarkEnd w:id="75"/>
      <w:bookmarkEnd w:id="76"/>
      <w:r w:rsidR="00C262EA" w:rsidRPr="00C262EA">
        <w:rPr>
          <w:rFonts w:ascii="Arial" w:hAnsi="Arial" w:cs="Arial"/>
          <w:b/>
          <w:sz w:val="22"/>
          <w:szCs w:val="22"/>
        </w:rPr>
        <w:t xml:space="preserve"> </w:t>
      </w:r>
    </w:p>
    <w:p w:rsidR="00C262EA" w:rsidRPr="00C262EA" w:rsidRDefault="00C262EA" w:rsidP="00C70D82">
      <w:pPr>
        <w:keepNext/>
        <w:tabs>
          <w:tab w:val="clear" w:pos="567"/>
          <w:tab w:val="clear" w:pos="1134"/>
          <w:tab w:val="clear" w:pos="1701"/>
          <w:tab w:val="clear" w:pos="2268"/>
          <w:tab w:val="clear" w:pos="2835"/>
        </w:tabs>
        <w:spacing w:before="240"/>
        <w:outlineLvl w:val="2"/>
        <w:rPr>
          <w:rFonts w:ascii="Arial" w:hAnsi="Arial" w:cs="Arial"/>
          <w:b/>
          <w:bCs/>
          <w:lang w:val="es-ES_tradnl"/>
        </w:rPr>
      </w:pPr>
      <w:bookmarkStart w:id="77" w:name="_Toc272265362"/>
      <w:bookmarkStart w:id="78" w:name="_Toc272431155"/>
      <w:bookmarkStart w:id="79" w:name="_Toc306777425"/>
      <w:r w:rsidRPr="00C262EA">
        <w:rPr>
          <w:rFonts w:ascii="Arial" w:hAnsi="Arial" w:cs="Arial"/>
          <w:b/>
          <w:bCs/>
          <w:lang w:val="es-ES_tradnl"/>
        </w:rPr>
        <w:t>4.2.1</w:t>
      </w:r>
      <w:r w:rsidRPr="00C262EA">
        <w:rPr>
          <w:rFonts w:ascii="Arial" w:hAnsi="Arial" w:cs="Arial"/>
          <w:b/>
          <w:bCs/>
          <w:lang w:val="es-ES_tradnl"/>
        </w:rPr>
        <w:tab/>
        <w:t>INTERRUPTORES DE POTENCIA</w:t>
      </w:r>
      <w:bookmarkEnd w:id="77"/>
      <w:bookmarkEnd w:id="78"/>
      <w:bookmarkEnd w:id="79"/>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C262EA">
        <w:rPr>
          <w:rFonts w:ascii="Arial" w:hAnsi="Arial" w:cs="Arial"/>
          <w:b/>
          <w:bCs/>
        </w:rPr>
        <w:t>4.2.1.1 Alcance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 xml:space="preserve">Estas especificaciones cubren los requerimientos mínimos para el diseño, fabricación y ensayos de los interruptores, en los distintos niveles de tensión, incluyendo los equipos auxiliares necesarios  para su correcto funcionamiento y operación.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4.2.1.2  Normas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Para el diseño, fabricación y transporte de los interruptores se utilizarán, sin ser limitativas, las versiones vigentes de las normas siguientes: IEC 62271-100, IEC 60158-1, IEC 60376, IEC 60480, IEC 60694, ANSI C37.04, ANSI C37.90A, ANSI C37.06.</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4.2.1.3 Características Técnicas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Los interruptores a utilizar serán de preferencia del tipo tanque vivo, con extinción del arco en SF6, con accionamiento uni-tripolar para la maniobra de las líneas de transmisión y tripolares sincronizados para la maniobra de transformadores y reactores, y tendrán mando local y remoto.</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De considerarse conveniente se podrán emplear interruptores de tanque muerto; pero en este caso se presentará el sustento técnico que esta elección.</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Los interruptores de tanque vivo deberán ser suministrados con amortiguadores contra sismos. Serán del tipo a presión única con auto soplado del arco.</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Todos los interruptores deberán poder soportar el valor pico de la componente asimétrica subtransitoria de la corriente máxima y deberán poder interrumpir la componente asimétrica de la corriente de ruptura.</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También deberán ser capaces de interrumpir pequeñas corrientes inductivas y soportar sin re-encendido las tensiones de recuperación (Transient Recovery Voltage - TRV).</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 xml:space="preserve">Los interruptores serán diseñados para efectuar reenganches automáticos ultrarrápidos, y poseerán mando independiente por polo contando con dispositivos propios para detección de discordancia, en caso de mal funcionamiento de los mecanismos de apertura y cierre. </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Los equipos tendrán las siguientes características generales:</w:t>
      </w:r>
    </w:p>
    <w:tbl>
      <w:tblPr>
        <w:tblW w:w="0" w:type="auto"/>
        <w:tblInd w:w="993" w:type="dxa"/>
        <w:tblLook w:val="00A0" w:firstRow="1" w:lastRow="0" w:firstColumn="1" w:lastColumn="0" w:noHBand="0" w:noVBand="0"/>
      </w:tblPr>
      <w:tblGrid>
        <w:gridCol w:w="3226"/>
        <w:gridCol w:w="1843"/>
        <w:gridCol w:w="1843"/>
        <w:gridCol w:w="1383"/>
      </w:tblGrid>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b/>
                <w:bCs/>
              </w:rPr>
              <w:t>Descripción</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
                <w:bCs/>
              </w:rPr>
            </w:pPr>
            <w:r w:rsidRPr="00C262EA">
              <w:rPr>
                <w:rFonts w:ascii="Arial" w:hAnsi="Arial" w:cs="Arial"/>
                <w:b/>
                <w:bCs/>
              </w:rPr>
              <w:t>220 kV</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
                <w:bCs/>
              </w:rPr>
            </w:pPr>
            <w:r w:rsidRPr="00C262EA">
              <w:rPr>
                <w:rFonts w:ascii="Arial" w:hAnsi="Arial" w:cs="Arial"/>
                <w:b/>
                <w:bCs/>
              </w:rPr>
              <w:t>138 kV</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
                <w:bCs/>
              </w:rPr>
            </w:pPr>
            <w:r w:rsidRPr="00C262EA">
              <w:rPr>
                <w:rFonts w:ascii="Arial" w:hAnsi="Arial" w:cs="Arial"/>
                <w:b/>
                <w:bCs/>
              </w:rPr>
              <w:t>10,5 kV</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bCs/>
              </w:rPr>
              <w:t>Medio de extinción</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SF6</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SF6</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Vacío</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bCs/>
              </w:rPr>
              <w:t>Tensión  nominal</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220 kV</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138 kV</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10,5 kV</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rPr>
              <w:t>Máxima tensión de servicio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245 kV</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145 kV</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12 kV</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rPr>
              <w:t>Corriente en servicio continuo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2000 A</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1200 A</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800 A</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rPr>
              <w:t>Poder de ruptura kA asimétrica</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40 kA</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31,5 kA</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25 kA</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rPr>
              <w:t>Duración del cortocircuito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1”</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b/>
                <w:bCs/>
              </w:rPr>
            </w:pPr>
            <w:r w:rsidRPr="00C262EA">
              <w:rPr>
                <w:rFonts w:ascii="Arial" w:hAnsi="Arial" w:cs="Arial"/>
              </w:rPr>
              <w:t>Tiempo total de apertura</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50 ms</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50 ms</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50 ms</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rPr>
            </w:pPr>
            <w:r w:rsidRPr="00C262EA">
              <w:rPr>
                <w:rFonts w:ascii="Arial" w:hAnsi="Arial" w:cs="Arial"/>
              </w:rPr>
              <w:t>Secuencia de operación:</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ind w:left="141"/>
              <w:jc w:val="both"/>
              <w:rPr>
                <w:rFonts w:ascii="Arial" w:hAnsi="Arial" w:cs="Arial"/>
              </w:rPr>
            </w:pPr>
            <w:r w:rsidRPr="00C262EA">
              <w:rPr>
                <w:rFonts w:ascii="Arial" w:hAnsi="Arial" w:cs="Arial"/>
              </w:rPr>
              <w:t>a) Maniobra de transformadores</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CO-15'’-CO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CO-15'’-CO</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CO-15'’-CO</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ind w:left="141"/>
              <w:jc w:val="both"/>
              <w:rPr>
                <w:rFonts w:ascii="Arial" w:hAnsi="Arial" w:cs="Arial"/>
              </w:rPr>
            </w:pPr>
            <w:r w:rsidRPr="00C262EA">
              <w:rPr>
                <w:rFonts w:ascii="Arial" w:hAnsi="Arial" w:cs="Arial"/>
                <w:lang w:val="es-ES"/>
              </w:rPr>
              <w:t>b) Maniobra de líneas</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lang w:val="es-ES"/>
              </w:rPr>
              <w:t>O-0,3’’-CO-3’-CO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lang w:val="es-ES"/>
              </w:rPr>
              <w:t>O-0,3’’-CO-3’-CO</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CO-15’’-CO</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before="60" w:line="247" w:lineRule="auto"/>
              <w:jc w:val="both"/>
              <w:rPr>
                <w:rFonts w:ascii="Arial" w:hAnsi="Arial" w:cs="Arial"/>
                <w:lang w:val="es-ES"/>
              </w:rPr>
            </w:pPr>
            <w:r w:rsidRPr="00C262EA">
              <w:rPr>
                <w:rFonts w:ascii="Arial" w:hAnsi="Arial" w:cs="Arial"/>
              </w:rPr>
              <w:t>Tipo</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Exterior</w:t>
            </w:r>
          </w:p>
        </w:tc>
        <w:tc>
          <w:tcPr>
            <w:tcW w:w="184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rPr>
              <w:t>Exterior</w:t>
            </w:r>
          </w:p>
        </w:tc>
        <w:tc>
          <w:tcPr>
            <w:tcW w:w="1383" w:type="dxa"/>
          </w:tcPr>
          <w:p w:rsidR="00C262EA" w:rsidRPr="00C262EA" w:rsidRDefault="00C262EA" w:rsidP="00C262EA">
            <w:pPr>
              <w:tabs>
                <w:tab w:val="clear" w:pos="567"/>
                <w:tab w:val="clear" w:pos="1134"/>
                <w:tab w:val="clear" w:pos="1701"/>
                <w:tab w:val="clear" w:pos="2268"/>
                <w:tab w:val="clear" w:pos="2835"/>
              </w:tabs>
              <w:spacing w:before="60" w:line="247" w:lineRule="auto"/>
              <w:jc w:val="center"/>
              <w:rPr>
                <w:rFonts w:ascii="Arial" w:hAnsi="Arial" w:cs="Arial"/>
                <w:bCs/>
              </w:rPr>
            </w:pPr>
            <w:r w:rsidRPr="00C262EA">
              <w:rPr>
                <w:rFonts w:ascii="Arial" w:hAnsi="Arial" w:cs="Arial"/>
                <w:bCs/>
              </w:rPr>
              <w:t>Extraíble al interior</w:t>
            </w:r>
          </w:p>
        </w:tc>
      </w:tr>
    </w:tbl>
    <w:p w:rsidR="00C262EA" w:rsidRPr="00C262EA" w:rsidRDefault="00C262EA" w:rsidP="00C262EA">
      <w:pPr>
        <w:spacing w:before="120" w:line="247" w:lineRule="auto"/>
        <w:ind w:left="851"/>
        <w:jc w:val="both"/>
        <w:rPr>
          <w:rFonts w:ascii="Arial" w:hAnsi="Arial" w:cs="Arial"/>
          <w:b/>
          <w:bCs/>
          <w:lang w:val="es-MX"/>
        </w:rPr>
      </w:pPr>
      <w:r w:rsidRPr="00C262EA">
        <w:rPr>
          <w:rFonts w:ascii="Arial" w:hAnsi="Arial" w:cs="Arial"/>
          <w:b/>
          <w:bCs/>
          <w:lang w:val="es-MX"/>
        </w:rPr>
        <w:lastRenderedPageBreak/>
        <w:t>4.2.1.4 Características constructivas</w:t>
      </w:r>
    </w:p>
    <w:p w:rsidR="00C262EA" w:rsidRPr="00C262EA" w:rsidRDefault="00C262EA" w:rsidP="004F6B32">
      <w:pPr>
        <w:numPr>
          <w:ilvl w:val="0"/>
          <w:numId w:val="58"/>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Cámaras de extinción: serán diseñadas con factores de seguridad adecuados, de forma de obtener una solidez mecánica y eléctrica que permita la interrupción de cualquier corriente comprendida entre cero y el valor nominal de la corriente de cortocircuito y todas las operaciones  previstas  en  las Normas IEC y ANSI.</w:t>
      </w:r>
    </w:p>
    <w:p w:rsidR="00C262EA" w:rsidRPr="00C262EA" w:rsidRDefault="00C262EA" w:rsidP="004F6B32">
      <w:pPr>
        <w:numPr>
          <w:ilvl w:val="0"/>
          <w:numId w:val="58"/>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Contactos: deberán cumplir con los requerimientos de la Norma ANSI C37.04, en lo que respecta a apertura y conducción de corrientes nominales y de cortocircuito.</w:t>
      </w:r>
    </w:p>
    <w:p w:rsidR="00C262EA" w:rsidRPr="00C262EA" w:rsidRDefault="00C262EA" w:rsidP="004F6B32">
      <w:pPr>
        <w:numPr>
          <w:ilvl w:val="0"/>
          <w:numId w:val="58"/>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Soportes y anclajes: todos los interruptores contarán con soportes de columnas de fase de las dimensiones y alturas apropiadas para los niveles de tensión, que serán galvanizados en caliente.</w:t>
      </w:r>
    </w:p>
    <w:p w:rsidR="00C262EA" w:rsidRPr="00C262EA" w:rsidRDefault="00C262EA" w:rsidP="00C262EA">
      <w:pPr>
        <w:tabs>
          <w:tab w:val="clear" w:pos="567"/>
          <w:tab w:val="clear" w:pos="1134"/>
          <w:tab w:val="clear" w:pos="1701"/>
          <w:tab w:val="clear" w:pos="2268"/>
          <w:tab w:val="clear" w:pos="2835"/>
        </w:tabs>
        <w:spacing w:before="120" w:line="247" w:lineRule="auto"/>
        <w:ind w:left="1418"/>
        <w:jc w:val="both"/>
        <w:rPr>
          <w:rFonts w:ascii="Arial" w:hAnsi="Arial" w:cs="Arial"/>
        </w:rPr>
      </w:pPr>
      <w:r w:rsidRPr="00C262EA">
        <w:rPr>
          <w:rFonts w:ascii="Arial" w:hAnsi="Arial" w:cs="Arial"/>
        </w:rPr>
        <w:t>Los pernos de anclaje contaran con tuercas de nivelación que quedarán embebidas en el “grouting” de las fundaciones, luego de realizado el nivelado de los soportes.</w:t>
      </w:r>
    </w:p>
    <w:p w:rsidR="00C262EA" w:rsidRPr="00C262EA" w:rsidRDefault="00C262EA" w:rsidP="004F6B32">
      <w:pPr>
        <w:numPr>
          <w:ilvl w:val="0"/>
          <w:numId w:val="58"/>
        </w:num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Los armarios y cajas de control serán de un grado de protección IP-54.</w:t>
      </w:r>
    </w:p>
    <w:p w:rsidR="00C262EA" w:rsidRPr="00C262EA" w:rsidRDefault="00C262EA" w:rsidP="00C70D82">
      <w:pPr>
        <w:keepNext/>
        <w:tabs>
          <w:tab w:val="clear" w:pos="567"/>
          <w:tab w:val="clear" w:pos="1134"/>
          <w:tab w:val="clear" w:pos="1701"/>
          <w:tab w:val="clear" w:pos="2268"/>
          <w:tab w:val="clear" w:pos="2835"/>
        </w:tabs>
        <w:spacing w:before="240"/>
        <w:ind w:left="-102"/>
        <w:outlineLvl w:val="2"/>
        <w:rPr>
          <w:rFonts w:ascii="Arial" w:hAnsi="Arial" w:cs="Arial"/>
          <w:b/>
          <w:bCs/>
          <w:lang w:val="es-ES_tradnl"/>
        </w:rPr>
      </w:pPr>
      <w:bookmarkStart w:id="80" w:name="_Toc272265363"/>
      <w:bookmarkStart w:id="81" w:name="_Toc272431156"/>
      <w:bookmarkStart w:id="82" w:name="_Toc306777426"/>
      <w:r w:rsidRPr="00C262EA">
        <w:rPr>
          <w:rFonts w:ascii="Arial" w:hAnsi="Arial" w:cs="Arial"/>
          <w:b/>
          <w:bCs/>
          <w:lang w:val="es-ES_tradnl"/>
        </w:rPr>
        <w:t>4.2.2</w:t>
      </w:r>
      <w:r w:rsidRPr="00C262EA">
        <w:rPr>
          <w:rFonts w:ascii="Arial" w:hAnsi="Arial" w:cs="Arial"/>
          <w:b/>
          <w:bCs/>
          <w:lang w:val="es-ES_tradnl"/>
        </w:rPr>
        <w:tab/>
        <w:t>SECCIONADORES Y AISLADORES SOPORTE</w:t>
      </w:r>
      <w:bookmarkEnd w:id="80"/>
      <w:bookmarkEnd w:id="81"/>
      <w:bookmarkEnd w:id="82"/>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C262EA">
        <w:rPr>
          <w:rFonts w:ascii="Arial" w:hAnsi="Arial" w:cs="Arial"/>
          <w:b/>
          <w:bCs/>
        </w:rPr>
        <w:t>4.2.2.1 Alcance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 xml:space="preserve">Estas especificaciones cubren los requerimientos mínimos para el diseño, fabricación y ensayos de los seccionadores y aisladores soporte en todos los niveles de tensión, incluyendo los equipos auxiliares necesarios  para su correcto funcionamiento y operación. </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11"/>
        <w:jc w:val="both"/>
        <w:rPr>
          <w:rFonts w:ascii="Arial" w:hAnsi="Arial" w:cs="Arial"/>
          <w:b/>
        </w:rPr>
      </w:pPr>
      <w:r w:rsidRPr="00C262EA">
        <w:rPr>
          <w:rFonts w:ascii="Arial" w:hAnsi="Arial" w:cs="Arial"/>
          <w:b/>
        </w:rPr>
        <w:t>4.2.2.2  Normas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 xml:space="preserve">Para el diseño, fabricación y transporte de los seccionadores se utilizarán, sin ser limitativas, las versiones vigentes de las normas siguientes: CNE Suministro, IEC 62271-102, IEC 60168, IEC 60273, IEC 60694, IEC 60158-1, IEC 60255-4, ANSI C37.90a.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Para los aisladores soporte son de aplicación las normas IEC 60168 e IEC 60273 antes citadas, y además la IEC 60437.</w:t>
      </w:r>
    </w:p>
    <w:p w:rsidR="00C262EA" w:rsidRPr="00C262EA" w:rsidRDefault="00C262EA" w:rsidP="00C262EA">
      <w:pPr>
        <w:tabs>
          <w:tab w:val="clear" w:pos="567"/>
          <w:tab w:val="clear" w:pos="1134"/>
          <w:tab w:val="clear" w:pos="1701"/>
          <w:tab w:val="clear" w:pos="2268"/>
          <w:tab w:val="clear" w:pos="2835"/>
        </w:tabs>
        <w:spacing w:before="120" w:line="247" w:lineRule="auto"/>
        <w:ind w:left="851" w:hanging="11"/>
        <w:jc w:val="both"/>
        <w:rPr>
          <w:rFonts w:ascii="Arial" w:hAnsi="Arial" w:cs="Arial"/>
          <w:b/>
          <w:bCs/>
          <w:lang w:val="es-MX"/>
        </w:rPr>
      </w:pPr>
      <w:r w:rsidRPr="00C262EA">
        <w:rPr>
          <w:rFonts w:ascii="Arial" w:hAnsi="Arial" w:cs="Arial"/>
          <w:b/>
          <w:bCs/>
          <w:lang w:val="es-MX"/>
        </w:rPr>
        <w:t>4.2.2.3 Características Técnicas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Los seccionadores serán para montaje al exterior, de tres columnas, de apertura central, motorizados, con mando local y remoto.</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El diseño será el adecuado  para conducir en forma permanente la corriente nominal para la cual han sido diseñados y deberá ser posible su operación bajo tensión. Sin embargo, no se requerirá que interrumpan corrientes mayores que la de carga de las barras colectoras y conexiones, a circuito ya abierto por el interruptor que corresponda.</w:t>
      </w:r>
    </w:p>
    <w:p w:rsidR="00C262EA" w:rsidRPr="00C262EA" w:rsidRDefault="00C262EA" w:rsidP="00C70D82">
      <w:pPr>
        <w:tabs>
          <w:tab w:val="clear" w:pos="567"/>
          <w:tab w:val="clear" w:pos="1134"/>
          <w:tab w:val="clear" w:pos="1701"/>
          <w:tab w:val="clear" w:pos="2268"/>
          <w:tab w:val="clear" w:pos="2835"/>
        </w:tabs>
        <w:spacing w:before="80" w:line="247" w:lineRule="auto"/>
        <w:ind w:left="851"/>
        <w:jc w:val="both"/>
        <w:rPr>
          <w:rFonts w:ascii="Arial" w:hAnsi="Arial" w:cs="Arial"/>
          <w:bCs/>
        </w:rPr>
      </w:pPr>
      <w:r w:rsidRPr="00C262EA">
        <w:rPr>
          <w:rFonts w:ascii="Arial" w:hAnsi="Arial" w:cs="Arial"/>
          <w:bCs/>
        </w:rPr>
        <w:t>En el caso particular de las cuchillas de puesta a tierra deberán ser capaces de establecer o interrumpir las corrientes indicadas que puedan existir, como consecuencia de una línea conectada a un campo adyacente al considerado.</w:t>
      </w:r>
    </w:p>
    <w:p w:rsidR="00C262EA" w:rsidRPr="00C262EA" w:rsidRDefault="00C262EA" w:rsidP="00C70D82">
      <w:pPr>
        <w:tabs>
          <w:tab w:val="clear" w:pos="567"/>
          <w:tab w:val="clear" w:pos="1134"/>
          <w:tab w:val="clear" w:pos="1701"/>
          <w:tab w:val="clear" w:pos="2268"/>
          <w:tab w:val="clear" w:pos="2835"/>
        </w:tabs>
        <w:spacing w:before="80" w:after="80" w:line="247" w:lineRule="auto"/>
        <w:ind w:left="851"/>
        <w:jc w:val="both"/>
        <w:rPr>
          <w:rFonts w:ascii="Arial" w:hAnsi="Arial" w:cs="Arial"/>
          <w:bCs/>
        </w:rPr>
      </w:pPr>
      <w:r w:rsidRPr="00C262EA">
        <w:rPr>
          <w:rFonts w:ascii="Arial" w:hAnsi="Arial" w:cs="Arial"/>
          <w:bCs/>
        </w:rPr>
        <w:t>Las características principales de los seccionadores serán las siguientes:</w:t>
      </w:r>
    </w:p>
    <w:tbl>
      <w:tblPr>
        <w:tblW w:w="0" w:type="auto"/>
        <w:tblInd w:w="993" w:type="dxa"/>
        <w:tblLook w:val="00A0" w:firstRow="1" w:lastRow="0" w:firstColumn="1" w:lastColumn="0" w:noHBand="0" w:noVBand="0"/>
      </w:tblPr>
      <w:tblGrid>
        <w:gridCol w:w="3226"/>
        <w:gridCol w:w="1843"/>
        <w:gridCol w:w="1843"/>
        <w:gridCol w:w="1383"/>
      </w:tblGrid>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b/>
                <w:bCs/>
              </w:rPr>
              <w:t>Descripción</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220 kV</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138 kV</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10,5 kV</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val="es-ES"/>
              </w:rPr>
            </w:pPr>
            <w:r w:rsidRPr="00C262EA">
              <w:rPr>
                <w:rFonts w:ascii="Arial" w:hAnsi="Arial" w:cs="Arial"/>
              </w:rPr>
              <w:t>Tipo de instalación</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Extraíble al interior</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Máxima tensión de servicio</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245 kV</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145 kV</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12 kV</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Corriente en servicio continuo</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2000 A</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1200 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800 A</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Poder de ruptura kA asimétrica</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40 kA</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31,5 kA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25 kA</w:t>
            </w:r>
          </w:p>
        </w:tc>
      </w:tr>
      <w:tr w:rsidR="00C262EA" w:rsidRPr="00C262EA" w:rsidTr="00454A68">
        <w:tc>
          <w:tcPr>
            <w:tcW w:w="3226"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Duración del cortocircuito</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w:t>
            </w:r>
          </w:p>
        </w:tc>
        <w:tc>
          <w:tcPr>
            <w:tcW w:w="184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w:t>
            </w:r>
          </w:p>
        </w:tc>
      </w:tr>
    </w:tbl>
    <w:p w:rsidR="00C262EA" w:rsidRPr="00C262EA" w:rsidRDefault="00C262EA" w:rsidP="00C262EA">
      <w:pPr>
        <w:spacing w:before="120" w:line="247" w:lineRule="auto"/>
        <w:ind w:left="862" w:hanging="11"/>
        <w:jc w:val="both"/>
        <w:rPr>
          <w:rFonts w:ascii="Arial" w:hAnsi="Arial" w:cs="Arial"/>
          <w:b/>
          <w:bCs/>
          <w:lang w:val="es-MX"/>
        </w:rPr>
      </w:pPr>
      <w:r w:rsidRPr="00C262EA">
        <w:rPr>
          <w:rFonts w:ascii="Arial" w:hAnsi="Arial" w:cs="Arial"/>
          <w:b/>
          <w:bCs/>
          <w:lang w:val="es-MX"/>
        </w:rPr>
        <w:lastRenderedPageBreak/>
        <w:t>4.2.2.4 Bloqueos y enclavamientos</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Para el caso de la cuchilla se puesta a tierra se deberá proveer un mecanismo que impida:</w:t>
      </w:r>
    </w:p>
    <w:p w:rsidR="00C262EA" w:rsidRPr="00C262EA" w:rsidRDefault="00C262EA" w:rsidP="004F6B32">
      <w:pPr>
        <w:numPr>
          <w:ilvl w:val="1"/>
          <w:numId w:val="52"/>
        </w:numPr>
        <w:tabs>
          <w:tab w:val="clear" w:pos="567"/>
          <w:tab w:val="clear" w:pos="1134"/>
          <w:tab w:val="clear" w:pos="1701"/>
          <w:tab w:val="clear" w:pos="2268"/>
          <w:tab w:val="clear" w:pos="2835"/>
        </w:tabs>
        <w:spacing w:before="120" w:line="247" w:lineRule="auto"/>
        <w:jc w:val="both"/>
        <w:rPr>
          <w:rFonts w:ascii="Arial" w:hAnsi="Arial" w:cs="Arial"/>
          <w:lang w:val="es-MX"/>
        </w:rPr>
      </w:pPr>
      <w:r w:rsidRPr="00C262EA">
        <w:rPr>
          <w:rFonts w:ascii="Arial" w:hAnsi="Arial" w:cs="Arial"/>
          <w:lang w:val="es-MX"/>
        </w:rPr>
        <w:t>Cerrar las cuchillas si el seccionador principal está cerrado.</w:t>
      </w:r>
    </w:p>
    <w:p w:rsidR="00C262EA" w:rsidRPr="00C262EA" w:rsidRDefault="00C262EA" w:rsidP="004F6B32">
      <w:pPr>
        <w:numPr>
          <w:ilvl w:val="1"/>
          <w:numId w:val="52"/>
        </w:numPr>
        <w:tabs>
          <w:tab w:val="clear" w:pos="567"/>
          <w:tab w:val="clear" w:pos="1134"/>
          <w:tab w:val="clear" w:pos="1701"/>
          <w:tab w:val="clear" w:pos="2268"/>
          <w:tab w:val="clear" w:pos="2835"/>
        </w:tabs>
        <w:spacing w:before="60" w:line="247" w:lineRule="auto"/>
        <w:jc w:val="both"/>
        <w:rPr>
          <w:rFonts w:ascii="Arial" w:hAnsi="Arial" w:cs="Arial"/>
          <w:lang w:val="es-MX"/>
        </w:rPr>
      </w:pPr>
      <w:r w:rsidRPr="00C262EA">
        <w:rPr>
          <w:rFonts w:ascii="Arial" w:hAnsi="Arial" w:cs="Arial"/>
          <w:lang w:val="es-MX"/>
        </w:rPr>
        <w:t>Cerrar el seccionador principal si las cuchillas de puesta a tierra están cerradas.</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Para todos los seccionadores y cuchillas de puesta a tierra existirá un bloqueo eléctrico que será necesario liberar para efectuar la operación manual de apertura o cierre o para efectuar la apertura o cierre de las cuchillas de puesta a tierra.</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Para los seccionadores de línea, se dispondrá un bloqueo por cerradura de mando local, tanto manual como eléctrico.</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Se proveerá un enclavamiento mecánico automático para impedir cualquier movimiento intempestivo del seccionador en sus posiciones extremas de apertura o cierre.</w:t>
      </w:r>
    </w:p>
    <w:p w:rsidR="00C262EA" w:rsidRPr="00C262EA" w:rsidRDefault="00C262EA" w:rsidP="00C262EA">
      <w:pPr>
        <w:spacing w:before="120" w:line="247" w:lineRule="auto"/>
        <w:ind w:left="862" w:hanging="11"/>
        <w:jc w:val="both"/>
        <w:rPr>
          <w:rFonts w:ascii="Arial" w:hAnsi="Arial" w:cs="Arial"/>
          <w:b/>
          <w:bCs/>
          <w:lang w:val="es-MX"/>
        </w:rPr>
      </w:pPr>
      <w:r w:rsidRPr="00C262EA">
        <w:rPr>
          <w:rFonts w:ascii="Arial" w:hAnsi="Arial" w:cs="Arial"/>
          <w:b/>
          <w:bCs/>
          <w:lang w:val="es-MX"/>
        </w:rPr>
        <w:t>4.2.2.5 Aisladores soporte</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Serán de piezas torneadas ensamblables, no se aceptarán aisladores del tipo multicono; serán del tipo de alma llena (solid core) y serán calculados para soportar las cargas requeridas, incluyendo los respectivos coeficientes de seguridad.</w:t>
      </w:r>
    </w:p>
    <w:p w:rsidR="00C262EA" w:rsidRPr="00C262EA" w:rsidRDefault="00C262EA" w:rsidP="00C262EA">
      <w:pPr>
        <w:spacing w:before="120" w:line="247" w:lineRule="auto"/>
        <w:ind w:left="862"/>
        <w:jc w:val="both"/>
        <w:rPr>
          <w:rFonts w:ascii="Arial" w:hAnsi="Arial" w:cs="Arial"/>
          <w:bCs/>
        </w:rPr>
      </w:pPr>
      <w:r w:rsidRPr="00C262EA">
        <w:rPr>
          <w:rFonts w:ascii="Arial" w:hAnsi="Arial" w:cs="Arial"/>
          <w:bCs/>
        </w:rPr>
        <w:t>Los aisladores soporte cumplirán con lo especificado en el apartado 3.2, literal c) Niveles de tensión y aislamiento.</w:t>
      </w:r>
    </w:p>
    <w:p w:rsidR="00C262EA" w:rsidRPr="00C262EA" w:rsidRDefault="00C262EA" w:rsidP="00C70D82">
      <w:pPr>
        <w:keepNext/>
        <w:tabs>
          <w:tab w:val="clear" w:pos="567"/>
          <w:tab w:val="clear" w:pos="1134"/>
          <w:tab w:val="clear" w:pos="1701"/>
          <w:tab w:val="clear" w:pos="2268"/>
          <w:tab w:val="clear" w:pos="2835"/>
        </w:tabs>
        <w:spacing w:before="240"/>
        <w:outlineLvl w:val="2"/>
        <w:rPr>
          <w:rFonts w:ascii="Arial" w:hAnsi="Arial" w:cs="Arial"/>
          <w:b/>
          <w:bCs/>
          <w:lang w:val="es-ES_tradnl"/>
        </w:rPr>
      </w:pPr>
      <w:bookmarkStart w:id="83" w:name="_Toc272265364"/>
      <w:bookmarkStart w:id="84" w:name="_Toc272431157"/>
      <w:bookmarkStart w:id="85" w:name="_Toc306777427"/>
      <w:r w:rsidRPr="00C262EA">
        <w:rPr>
          <w:rFonts w:ascii="Arial" w:hAnsi="Arial" w:cs="Arial"/>
          <w:b/>
          <w:bCs/>
          <w:lang w:val="es-ES_tradnl"/>
        </w:rPr>
        <w:t>4.2.3</w:t>
      </w:r>
      <w:r w:rsidRPr="00C262EA">
        <w:rPr>
          <w:rFonts w:ascii="Arial" w:hAnsi="Arial" w:cs="Arial"/>
          <w:b/>
          <w:bCs/>
          <w:lang w:val="es-ES_tradnl"/>
        </w:rPr>
        <w:tab/>
        <w:t>TRANSFORMADORES DE CORRIENTE Y DE TENSIÓN</w:t>
      </w:r>
      <w:bookmarkEnd w:id="83"/>
      <w:bookmarkEnd w:id="84"/>
      <w:bookmarkEnd w:id="85"/>
    </w:p>
    <w:p w:rsidR="00C262EA" w:rsidRPr="00C262EA" w:rsidRDefault="00C262EA" w:rsidP="00C262EA">
      <w:pPr>
        <w:spacing w:before="120" w:line="247" w:lineRule="auto"/>
        <w:ind w:left="851"/>
        <w:jc w:val="both"/>
        <w:rPr>
          <w:rFonts w:ascii="Arial" w:hAnsi="Arial" w:cs="Arial"/>
          <w:b/>
          <w:bCs/>
        </w:rPr>
      </w:pPr>
      <w:r w:rsidRPr="00C262EA">
        <w:rPr>
          <w:rFonts w:ascii="Arial" w:hAnsi="Arial" w:cs="Arial"/>
          <w:b/>
          <w:bCs/>
        </w:rPr>
        <w:t>4.2.3.1 Alcance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 xml:space="preserve">Estas especificaciones cubren los requerimientos mínimos para el diseño, fabricación y ensayos de los transformadores de medida en todos los niveles de tensión, incluyendo los elementos auxiliares necesarios  para su correcto funcionamiento y operación.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4.2.3.2  Normas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Para el diseño, fabricación y transporte de los transformadores de medida se utilizarán, sin ser limitativas, las versiones vigentes de las normas siguientes: CNE Suministro, IEC 60044 (Partes 1, 2, 3 y 5), IEC 60137, IEC 60168, IEC 60233, IEC 60270, IEC 60358, IEC 61264.</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4.2.3.3 Características Técnicas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Los transformadores de medida serán monofásicos, para montaje a la intemperie, en posición vertical, del tipo aislamiento en baño de aceite o gas SF6 y estarán herméticamente sellados.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La cuba será de acero soldado o de fundición de aluminio, hermética, con suficiente resistencia para soportar las condiciones de operación y serán provistas de orejas y orificios para permitir el izaje del transformador completo.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Todas las uniones empernadas y tapas tendrán empaquetaduras de goma sintética resistente al aceite.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 xml:space="preserve">La caja de conexiones será de acero galvanizado de 2,5 mm de espesor como mínimo o de fundición de aleación de aluminio, apta para instalación al exterior del aparato.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La tapa de la caja será empernada o abisagrada y el cierre con junta de neopreno. El acceso de cables será por la parte inferior.</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La caja de conexiones tendrá un grado de protección IP54 según IEC-60259.</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lastRenderedPageBreak/>
        <w:t>4.2.3.4 Transformadores de corriente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Deberán poder conducir la corriente nominal primaria y la de rango extendido durante un minuto, estando abierto el circuito secundario.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Los núcleos de protección serán utilizados con un sistema de protecciones ultrarrápido, serán aptos para dar respuesta al régimen transitorio.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El núcleo será toroidal y estará formado por láminas magnéticas de acero de muy bajas pérdidas específicas.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Todas las partes metálicas serán galvanizadas en caliente según Normas ASTM o VDE, y los arrollamientos serán de cobre aislado.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Cs/>
        </w:rPr>
      </w:pPr>
      <w:r w:rsidRPr="00C262EA">
        <w:rPr>
          <w:rFonts w:ascii="Arial" w:hAnsi="Arial" w:cs="Arial"/>
          <w:bCs/>
        </w:rPr>
        <w:t>Para los transformadores que trabajan asociados a seccionadores se deben tener en cuenta las corrientes y tensiones de alta frecuencia transferibles a los circuitos secundarios y de tierra durante las maniobras de los seccionadores adyacentes bajo tensión. El diseño constructivo del fabricante será tal que impida:</w:t>
      </w:r>
    </w:p>
    <w:p w:rsidR="00C262EA" w:rsidRPr="00C262EA" w:rsidRDefault="00C262EA" w:rsidP="004F6B32">
      <w:pPr>
        <w:numPr>
          <w:ilvl w:val="0"/>
          <w:numId w:val="71"/>
        </w:numPr>
        <w:tabs>
          <w:tab w:val="clear" w:pos="567"/>
          <w:tab w:val="clear" w:pos="1134"/>
          <w:tab w:val="clear" w:pos="1701"/>
          <w:tab w:val="clear" w:pos="2268"/>
          <w:tab w:val="clear" w:pos="2835"/>
        </w:tabs>
        <w:spacing w:before="120" w:line="247" w:lineRule="auto"/>
        <w:jc w:val="both"/>
        <w:rPr>
          <w:rFonts w:ascii="Arial" w:hAnsi="Arial" w:cs="Arial"/>
          <w:lang w:val="es-MX"/>
        </w:rPr>
      </w:pPr>
      <w:r w:rsidRPr="00C262EA">
        <w:rPr>
          <w:rFonts w:ascii="Arial" w:hAnsi="Arial" w:cs="Arial"/>
          <w:bCs/>
        </w:rPr>
        <w:t>Que l</w:t>
      </w:r>
      <w:r w:rsidRPr="00C262EA">
        <w:rPr>
          <w:rFonts w:ascii="Arial" w:hAnsi="Arial" w:cs="Arial"/>
          <w:lang w:val="es-MX"/>
        </w:rPr>
        <w:t>a elevada densidad de corriente en ciertos puntos del equipo provoque sobrecalentamientos localizados.</w:t>
      </w:r>
    </w:p>
    <w:p w:rsidR="00C262EA" w:rsidRPr="00C262EA" w:rsidRDefault="00C262EA" w:rsidP="004F6B32">
      <w:pPr>
        <w:numPr>
          <w:ilvl w:val="0"/>
          <w:numId w:val="71"/>
        </w:numPr>
        <w:tabs>
          <w:tab w:val="clear" w:pos="567"/>
          <w:tab w:val="clear" w:pos="1134"/>
          <w:tab w:val="clear" w:pos="1701"/>
          <w:tab w:val="clear" w:pos="2268"/>
          <w:tab w:val="clear" w:pos="2835"/>
        </w:tabs>
        <w:spacing w:before="120" w:line="247" w:lineRule="auto"/>
        <w:jc w:val="both"/>
        <w:rPr>
          <w:rFonts w:ascii="Arial" w:hAnsi="Arial" w:cs="Arial"/>
          <w:bCs/>
        </w:rPr>
      </w:pPr>
      <w:r w:rsidRPr="00C262EA">
        <w:rPr>
          <w:rFonts w:ascii="Arial" w:hAnsi="Arial" w:cs="Arial"/>
          <w:bCs/>
        </w:rPr>
        <w:t>Sobretensiones internas de muy breve duración que ocasione rupturas dieléctricas en los aislantes líquidos y sólidos.</w:t>
      </w:r>
    </w:p>
    <w:p w:rsidR="00C262EA" w:rsidRPr="00C262EA" w:rsidRDefault="00C262EA" w:rsidP="00C262EA">
      <w:pPr>
        <w:spacing w:before="120" w:line="247" w:lineRule="auto"/>
        <w:ind w:left="958"/>
        <w:jc w:val="both"/>
        <w:rPr>
          <w:rFonts w:ascii="Arial" w:hAnsi="Arial" w:cs="Arial"/>
          <w:bCs/>
        </w:rPr>
      </w:pPr>
      <w:r w:rsidRPr="00C262EA">
        <w:rPr>
          <w:rFonts w:ascii="Arial" w:hAnsi="Arial" w:cs="Arial"/>
          <w:bCs/>
        </w:rPr>
        <w:t>Los transformadores de corriente tendrán las características principales siguientes:</w:t>
      </w:r>
    </w:p>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val="es-MX"/>
        </w:rPr>
      </w:pPr>
    </w:p>
    <w:tbl>
      <w:tblPr>
        <w:tblW w:w="0" w:type="auto"/>
        <w:tblInd w:w="993" w:type="dxa"/>
        <w:tblLook w:val="00A0" w:firstRow="1" w:lastRow="0" w:firstColumn="1" w:lastColumn="0" w:noHBand="0" w:noVBand="0"/>
      </w:tblPr>
      <w:tblGrid>
        <w:gridCol w:w="3651"/>
        <w:gridCol w:w="1560"/>
        <w:gridCol w:w="1701"/>
        <w:gridCol w:w="1383"/>
      </w:tblGrid>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b/>
                <w:bCs/>
              </w:rPr>
              <w:t>Descripción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220 kV</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138 kV</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10,5 kV</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val="es-ES"/>
              </w:rPr>
            </w:pPr>
            <w:r w:rsidRPr="00C262EA">
              <w:rPr>
                <w:rFonts w:ascii="Arial" w:hAnsi="Arial" w:cs="Arial"/>
              </w:rPr>
              <w:t>Tipo de instalación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interior</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Máxima tensión de servicio</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245 kV</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145 kV</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12 kV</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Corriente en servicio continuo</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2 000-1 000 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1200-600 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800-400 A</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Corriente secundaria</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 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 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 A</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bCs/>
              </w:rPr>
              <w:t>Características de núcleos de medida</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r>
      <w:tr w:rsidR="00C262EA" w:rsidRPr="00C262EA" w:rsidTr="00454A68">
        <w:tc>
          <w:tcPr>
            <w:tcW w:w="3651" w:type="dxa"/>
          </w:tcPr>
          <w:p w:rsidR="00C262EA" w:rsidRPr="00C262EA" w:rsidRDefault="00C262EA" w:rsidP="004F6B32">
            <w:pPr>
              <w:numPr>
                <w:ilvl w:val="0"/>
                <w:numId w:val="102"/>
              </w:num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Clase de precisión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r>
      <w:tr w:rsidR="00C262EA" w:rsidRPr="00C262EA" w:rsidTr="00454A68">
        <w:tc>
          <w:tcPr>
            <w:tcW w:w="3651" w:type="dxa"/>
          </w:tcPr>
          <w:p w:rsidR="00C262EA" w:rsidRPr="00C262EA" w:rsidRDefault="00C262EA" w:rsidP="004F6B32">
            <w:pPr>
              <w:numPr>
                <w:ilvl w:val="0"/>
                <w:numId w:val="102"/>
              </w:num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Potencia</w:t>
            </w:r>
            <w:r w:rsidRPr="00C262EA">
              <w:rPr>
                <w:rFonts w:ascii="Arial" w:hAnsi="Arial" w:cs="Arial"/>
              </w:rPr>
              <w:tab/>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Características núcleos de protección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r>
      <w:tr w:rsidR="00C262EA" w:rsidRPr="00C262EA" w:rsidTr="00454A68">
        <w:tc>
          <w:tcPr>
            <w:tcW w:w="3651" w:type="dxa"/>
          </w:tcPr>
          <w:p w:rsidR="00C262EA" w:rsidRPr="00C262EA" w:rsidRDefault="00C262EA" w:rsidP="004F6B32">
            <w:pPr>
              <w:numPr>
                <w:ilvl w:val="0"/>
                <w:numId w:val="103"/>
              </w:numPr>
              <w:tabs>
                <w:tab w:val="clear" w:pos="567"/>
                <w:tab w:val="clear" w:pos="1134"/>
                <w:tab w:val="clear" w:pos="1701"/>
                <w:tab w:val="clear" w:pos="2268"/>
                <w:tab w:val="clear" w:pos="2835"/>
              </w:tabs>
              <w:spacing w:line="247" w:lineRule="auto"/>
              <w:jc w:val="both"/>
              <w:rPr>
                <w:rFonts w:ascii="Arial" w:hAnsi="Arial" w:cs="Arial"/>
              </w:rPr>
            </w:pPr>
            <w:r w:rsidRPr="00C262EA">
              <w:rPr>
                <w:rFonts w:ascii="Arial" w:hAnsi="Arial" w:cs="Arial"/>
              </w:rPr>
              <w:t>Clase de precisión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5P20</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5P20</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5P20</w:t>
            </w:r>
          </w:p>
        </w:tc>
      </w:tr>
      <w:tr w:rsidR="00C262EA" w:rsidRPr="00C262EA" w:rsidTr="00454A68">
        <w:tc>
          <w:tcPr>
            <w:tcW w:w="3651" w:type="dxa"/>
          </w:tcPr>
          <w:p w:rsidR="00C262EA" w:rsidRPr="00C262EA" w:rsidRDefault="00C262EA" w:rsidP="004F6B32">
            <w:pPr>
              <w:numPr>
                <w:ilvl w:val="0"/>
                <w:numId w:val="103"/>
              </w:numPr>
              <w:tabs>
                <w:tab w:val="clear" w:pos="567"/>
                <w:tab w:val="clear" w:pos="1134"/>
                <w:tab w:val="clear" w:pos="1701"/>
                <w:tab w:val="clear" w:pos="2268"/>
                <w:tab w:val="clear" w:pos="2835"/>
              </w:tabs>
              <w:spacing w:line="247" w:lineRule="auto"/>
              <w:jc w:val="both"/>
              <w:rPr>
                <w:rFonts w:ascii="Arial" w:hAnsi="Arial" w:cs="Arial"/>
              </w:rPr>
            </w:pPr>
            <w:r w:rsidRPr="00C262EA">
              <w:rPr>
                <w:rFonts w:ascii="Arial" w:hAnsi="Arial" w:cs="Arial"/>
              </w:rPr>
              <w:t>Potencia</w:t>
            </w:r>
            <w:r w:rsidRPr="00C262EA">
              <w:rPr>
                <w:rFonts w:ascii="Arial" w:hAnsi="Arial" w:cs="Arial"/>
              </w:rPr>
              <w:tab/>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r>
    </w:tbl>
    <w:p w:rsidR="00C262EA" w:rsidRPr="00C262EA" w:rsidRDefault="00C262EA" w:rsidP="00C262EA">
      <w:pPr>
        <w:spacing w:line="247" w:lineRule="auto"/>
        <w:ind w:left="862" w:hanging="11"/>
        <w:jc w:val="both"/>
        <w:rPr>
          <w:rFonts w:ascii="Arial" w:hAnsi="Arial" w:cs="Arial"/>
          <w:b/>
          <w:bCs/>
          <w:lang w:val="es-MX"/>
        </w:rPr>
      </w:pPr>
    </w:p>
    <w:p w:rsidR="00C262EA" w:rsidRPr="00C262EA" w:rsidRDefault="00C262EA" w:rsidP="00C262EA">
      <w:pPr>
        <w:tabs>
          <w:tab w:val="clear" w:pos="567"/>
          <w:tab w:val="clear" w:pos="1134"/>
          <w:tab w:val="clear" w:pos="1701"/>
          <w:tab w:val="clear" w:pos="2268"/>
          <w:tab w:val="clear" w:pos="2835"/>
        </w:tabs>
        <w:spacing w:line="247" w:lineRule="auto"/>
        <w:ind w:left="862" w:hanging="11"/>
        <w:jc w:val="both"/>
        <w:rPr>
          <w:rFonts w:ascii="Arial" w:hAnsi="Arial" w:cs="Arial"/>
          <w:b/>
          <w:bCs/>
          <w:lang w:val="es-MX"/>
        </w:rPr>
      </w:pPr>
      <w:r w:rsidRPr="00C262EA">
        <w:rPr>
          <w:rFonts w:ascii="Arial" w:hAnsi="Arial" w:cs="Arial"/>
          <w:b/>
          <w:bCs/>
          <w:lang w:val="es-MX"/>
        </w:rPr>
        <w:t>4.2.3.5 Transformadores de tensión</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Para el nivel 220 kV  y 138  kV se proveerán transformadores del tipo inductivo y capacitivo según su aplicación, y para 10,5 kV serán siempre del tipo inductivo.</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Se deberá tener en cuenta que los transformadores no deben producir efectos ferro resonancia asociados a las capacidades de las líneas aéreas.</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Todas las partes metálicas serán galvanizadas en caliente según Normas ASTM o VDE, y los arrollamientos serán de cobre, aislados con papel impregnado en aceite, según corresponda.</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 xml:space="preserve">Los transformadores serán diseñados para soportar los esfuerzos térmicos y mecánicos debidos a un cortocircuito en los terminales secundarios durante periodo de un segundo con plena tensión mantenida en el primario. Los transformadores no presentarán daños visibles y seguirán cumpliendo con los requerimientos de esta especificación. La temperatura en el </w:t>
      </w:r>
      <w:r w:rsidRPr="00C262EA">
        <w:rPr>
          <w:rFonts w:ascii="Arial" w:hAnsi="Arial" w:cs="Arial"/>
        </w:rPr>
        <w:lastRenderedPageBreak/>
        <w:t>cobre de los arrollamientos no excederá los 250 ° C bajo estas condiciones de cortocircuito (para una condición inicial de 95°C en el punto más caliente).</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bCs/>
        </w:rPr>
        <w:t xml:space="preserve">Los elementos del divisor capacitivo para los transformadores de 220 y 138 kV contenidos </w:t>
      </w:r>
      <w:r w:rsidRPr="00C262EA">
        <w:rPr>
          <w:rFonts w:ascii="Arial" w:hAnsi="Arial" w:cs="Arial"/>
        </w:rPr>
        <w:t>en aisladores de porcelana marrón, constituyendo una columna auto-soportada. Las bobinas de divisor capacitivo serán de hoja de aluminio con aislamiento de papel impregnado o film poliéster y del tipo anti inductivo para mejorar la respuesta a los transitorios.</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La reactancia podrá ser aislada en aceite, en aire o gas SF6.</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b/>
          <w:bCs/>
          <w:lang w:val="es-MX"/>
        </w:rPr>
      </w:pPr>
      <w:r w:rsidRPr="00C262EA">
        <w:rPr>
          <w:rFonts w:ascii="Arial" w:hAnsi="Arial" w:cs="Arial"/>
        </w:rPr>
        <w:t>Los transformadores de tensión tendrán las características principales siguientes:</w:t>
      </w:r>
      <w:r w:rsidRPr="00C262EA">
        <w:rPr>
          <w:rFonts w:ascii="Arial" w:hAnsi="Arial" w:cs="Arial"/>
          <w:b/>
          <w:bCs/>
          <w:lang w:val="es-MX"/>
        </w:rPr>
        <w:t xml:space="preserve"> </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b/>
          <w:bCs/>
          <w:lang w:val="es-MX"/>
        </w:rPr>
      </w:pPr>
    </w:p>
    <w:tbl>
      <w:tblPr>
        <w:tblW w:w="0" w:type="auto"/>
        <w:tblInd w:w="993" w:type="dxa"/>
        <w:tblLook w:val="00A0" w:firstRow="1" w:lastRow="0" w:firstColumn="1" w:lastColumn="0" w:noHBand="0" w:noVBand="0"/>
      </w:tblPr>
      <w:tblGrid>
        <w:gridCol w:w="3651"/>
        <w:gridCol w:w="1560"/>
        <w:gridCol w:w="1701"/>
        <w:gridCol w:w="1383"/>
      </w:tblGrid>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b/>
                <w:bCs/>
              </w:rPr>
              <w:t>Descripción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220 kV</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138 kV</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
                <w:bCs/>
              </w:rPr>
            </w:pPr>
            <w:r w:rsidRPr="00C262EA">
              <w:rPr>
                <w:rFonts w:ascii="Arial" w:hAnsi="Arial" w:cs="Arial"/>
                <w:b/>
                <w:bCs/>
              </w:rPr>
              <w:t>10,5 kV</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lang w:val="es-ES"/>
              </w:rPr>
            </w:pPr>
            <w:r w:rsidRPr="00C262EA">
              <w:rPr>
                <w:rFonts w:ascii="Arial" w:hAnsi="Arial" w:cs="Arial"/>
              </w:rPr>
              <w:t>Tipo de instalación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Exterior</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interior</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
                <w:bCs/>
              </w:rPr>
            </w:pPr>
            <w:r w:rsidRPr="00C262EA">
              <w:rPr>
                <w:rFonts w:ascii="Arial" w:hAnsi="Arial" w:cs="Arial"/>
              </w:rPr>
              <w:t>Tensión secundaria</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110/</w:t>
            </w:r>
            <w:r w:rsidRPr="00C262EA">
              <w:rPr>
                <w:rFonts w:ascii="Arial" w:hAnsi="Arial" w:cs="Arial"/>
              </w:rPr>
              <w:t>√</w:t>
            </w:r>
            <w:r w:rsidRPr="00C262EA">
              <w:rPr>
                <w:rFonts w:ascii="Arial" w:hAnsi="Arial" w:cs="Arial"/>
                <w:bCs/>
              </w:rPr>
              <w:t>3 V</w:t>
            </w:r>
            <w:r w:rsidRPr="00C262EA">
              <w:rPr>
                <w:rFonts w:ascii="Arial" w:hAnsi="Arial" w:cs="Arial"/>
                <w:bCs/>
              </w:rPr>
              <w:tab/>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110/</w:t>
            </w:r>
            <w:r w:rsidRPr="00C262EA">
              <w:rPr>
                <w:rFonts w:ascii="Arial" w:hAnsi="Arial" w:cs="Arial"/>
              </w:rPr>
              <w:t>√</w:t>
            </w:r>
            <w:r w:rsidRPr="00C262EA">
              <w:rPr>
                <w:rFonts w:ascii="Arial" w:hAnsi="Arial" w:cs="Arial"/>
                <w:bCs/>
              </w:rPr>
              <w:t>3 V</w:t>
            </w:r>
            <w:r w:rsidRPr="00C262EA">
              <w:rPr>
                <w:rFonts w:ascii="Arial" w:hAnsi="Arial" w:cs="Arial"/>
                <w:bCs/>
              </w:rPr>
              <w:tab/>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bCs/>
              </w:rPr>
              <w:t>110/</w:t>
            </w:r>
            <w:r w:rsidRPr="00C262EA">
              <w:rPr>
                <w:rFonts w:ascii="Arial" w:hAnsi="Arial" w:cs="Arial"/>
              </w:rPr>
              <w:t>√</w:t>
            </w:r>
            <w:r w:rsidRPr="00C262EA">
              <w:rPr>
                <w:rFonts w:ascii="Arial" w:hAnsi="Arial" w:cs="Arial"/>
                <w:bCs/>
              </w:rPr>
              <w:t>3 V</w:t>
            </w:r>
            <w:r w:rsidRPr="00C262EA">
              <w:rPr>
                <w:rFonts w:ascii="Arial" w:hAnsi="Arial" w:cs="Arial"/>
                <w:bCs/>
              </w:rPr>
              <w:tab/>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bCs/>
              </w:rPr>
              <w:t>Características de núcleos de medida</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r>
      <w:tr w:rsidR="00C262EA" w:rsidRPr="00C262EA" w:rsidTr="00454A68">
        <w:tc>
          <w:tcPr>
            <w:tcW w:w="3651" w:type="dxa"/>
          </w:tcPr>
          <w:p w:rsidR="00C262EA" w:rsidRPr="00C262EA" w:rsidRDefault="00C262EA" w:rsidP="004F6B32">
            <w:pPr>
              <w:numPr>
                <w:ilvl w:val="0"/>
                <w:numId w:val="104"/>
              </w:num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Clase de precisión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0,2 %</w:t>
            </w:r>
          </w:p>
        </w:tc>
      </w:tr>
      <w:tr w:rsidR="00C262EA" w:rsidRPr="00C262EA" w:rsidTr="00454A68">
        <w:tc>
          <w:tcPr>
            <w:tcW w:w="3651" w:type="dxa"/>
          </w:tcPr>
          <w:p w:rsidR="00C262EA" w:rsidRPr="00C262EA" w:rsidRDefault="00C262EA" w:rsidP="004F6B32">
            <w:pPr>
              <w:numPr>
                <w:ilvl w:val="0"/>
                <w:numId w:val="104"/>
              </w:num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Potencia</w:t>
            </w:r>
            <w:r w:rsidRPr="00C262EA">
              <w:rPr>
                <w:rFonts w:ascii="Arial" w:hAnsi="Arial" w:cs="Arial"/>
              </w:rPr>
              <w:tab/>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r>
      <w:tr w:rsidR="00C262EA" w:rsidRPr="00C262EA" w:rsidTr="00454A68">
        <w:tc>
          <w:tcPr>
            <w:tcW w:w="3651" w:type="dxa"/>
          </w:tcPr>
          <w:p w:rsidR="00C262EA" w:rsidRPr="00C262EA" w:rsidRDefault="00C262EA" w:rsidP="00C262EA">
            <w:pPr>
              <w:tabs>
                <w:tab w:val="clear" w:pos="567"/>
                <w:tab w:val="clear" w:pos="1134"/>
                <w:tab w:val="clear" w:pos="1701"/>
                <w:tab w:val="clear" w:pos="2268"/>
                <w:tab w:val="clear" w:pos="2835"/>
              </w:tabs>
              <w:spacing w:line="247" w:lineRule="auto"/>
              <w:jc w:val="both"/>
              <w:rPr>
                <w:rFonts w:ascii="Arial" w:hAnsi="Arial" w:cs="Arial"/>
                <w:bCs/>
              </w:rPr>
            </w:pPr>
            <w:r w:rsidRPr="00C262EA">
              <w:rPr>
                <w:rFonts w:ascii="Arial" w:hAnsi="Arial" w:cs="Arial"/>
              </w:rPr>
              <w:t>Características núcleos de protección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p>
        </w:tc>
      </w:tr>
      <w:tr w:rsidR="00C262EA" w:rsidRPr="00C262EA" w:rsidTr="00454A68">
        <w:tc>
          <w:tcPr>
            <w:tcW w:w="3651" w:type="dxa"/>
          </w:tcPr>
          <w:p w:rsidR="00C262EA" w:rsidRPr="00C262EA" w:rsidRDefault="00C262EA" w:rsidP="004F6B32">
            <w:pPr>
              <w:numPr>
                <w:ilvl w:val="0"/>
                <w:numId w:val="105"/>
              </w:numPr>
              <w:tabs>
                <w:tab w:val="clear" w:pos="567"/>
                <w:tab w:val="clear" w:pos="1134"/>
                <w:tab w:val="clear" w:pos="1701"/>
                <w:tab w:val="clear" w:pos="2268"/>
                <w:tab w:val="clear" w:pos="2835"/>
              </w:tabs>
              <w:spacing w:line="247" w:lineRule="auto"/>
              <w:jc w:val="both"/>
              <w:rPr>
                <w:rFonts w:ascii="Arial" w:hAnsi="Arial" w:cs="Arial"/>
              </w:rPr>
            </w:pPr>
            <w:r w:rsidRPr="00C262EA">
              <w:rPr>
                <w:rFonts w:ascii="Arial" w:hAnsi="Arial" w:cs="Arial"/>
              </w:rPr>
              <w:t>Clase de precisión</w:t>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3P</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3P</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3P</w:t>
            </w:r>
          </w:p>
        </w:tc>
      </w:tr>
      <w:tr w:rsidR="00C262EA" w:rsidRPr="00C262EA" w:rsidTr="00454A68">
        <w:tc>
          <w:tcPr>
            <w:tcW w:w="3651" w:type="dxa"/>
          </w:tcPr>
          <w:p w:rsidR="00C262EA" w:rsidRPr="00C262EA" w:rsidRDefault="00C262EA" w:rsidP="004F6B32">
            <w:pPr>
              <w:numPr>
                <w:ilvl w:val="0"/>
                <w:numId w:val="105"/>
              </w:numPr>
              <w:tabs>
                <w:tab w:val="clear" w:pos="567"/>
                <w:tab w:val="clear" w:pos="1134"/>
                <w:tab w:val="clear" w:pos="1701"/>
                <w:tab w:val="clear" w:pos="2268"/>
                <w:tab w:val="clear" w:pos="2835"/>
              </w:tabs>
              <w:spacing w:line="247" w:lineRule="auto"/>
              <w:jc w:val="both"/>
              <w:rPr>
                <w:rFonts w:ascii="Arial" w:hAnsi="Arial" w:cs="Arial"/>
              </w:rPr>
            </w:pPr>
            <w:r w:rsidRPr="00C262EA">
              <w:rPr>
                <w:rFonts w:ascii="Arial" w:hAnsi="Arial" w:cs="Arial"/>
              </w:rPr>
              <w:t>Potencia</w:t>
            </w:r>
            <w:r w:rsidRPr="00C262EA">
              <w:rPr>
                <w:rFonts w:ascii="Arial" w:hAnsi="Arial" w:cs="Arial"/>
              </w:rPr>
              <w:tab/>
            </w:r>
          </w:p>
        </w:tc>
        <w:tc>
          <w:tcPr>
            <w:tcW w:w="1560"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701"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c>
          <w:tcPr>
            <w:tcW w:w="1383" w:type="dxa"/>
          </w:tcPr>
          <w:p w:rsidR="00C262EA" w:rsidRPr="00C262EA" w:rsidRDefault="00C262EA" w:rsidP="00C262EA">
            <w:pPr>
              <w:tabs>
                <w:tab w:val="clear" w:pos="567"/>
                <w:tab w:val="clear" w:pos="1134"/>
                <w:tab w:val="clear" w:pos="1701"/>
                <w:tab w:val="clear" w:pos="2268"/>
                <w:tab w:val="clear" w:pos="2835"/>
              </w:tabs>
              <w:spacing w:line="247" w:lineRule="auto"/>
              <w:jc w:val="center"/>
              <w:rPr>
                <w:rFonts w:ascii="Arial" w:hAnsi="Arial" w:cs="Arial"/>
                <w:bCs/>
              </w:rPr>
            </w:pPr>
            <w:r w:rsidRPr="00C262EA">
              <w:rPr>
                <w:rFonts w:ascii="Arial" w:hAnsi="Arial" w:cs="Arial"/>
              </w:rPr>
              <w:t>30 VA</w:t>
            </w:r>
          </w:p>
        </w:tc>
      </w:tr>
    </w:tbl>
    <w:p w:rsidR="00C262EA" w:rsidRPr="00C262EA" w:rsidRDefault="00C262EA" w:rsidP="00026A9B">
      <w:pPr>
        <w:keepNext/>
        <w:tabs>
          <w:tab w:val="clear" w:pos="567"/>
          <w:tab w:val="clear" w:pos="1134"/>
          <w:tab w:val="clear" w:pos="1701"/>
          <w:tab w:val="clear" w:pos="2268"/>
          <w:tab w:val="clear" w:pos="2835"/>
        </w:tabs>
        <w:spacing w:before="240"/>
        <w:outlineLvl w:val="2"/>
        <w:rPr>
          <w:rFonts w:ascii="Arial" w:hAnsi="Arial" w:cs="Arial"/>
          <w:b/>
          <w:bCs/>
          <w:lang w:val="es-ES_tradnl"/>
        </w:rPr>
      </w:pPr>
      <w:bookmarkStart w:id="86" w:name="_Toc272265365"/>
      <w:bookmarkStart w:id="87" w:name="_Toc272431158"/>
      <w:bookmarkStart w:id="88" w:name="_Toc306777428"/>
      <w:r w:rsidRPr="00C262EA">
        <w:rPr>
          <w:rFonts w:ascii="Arial" w:hAnsi="Arial" w:cs="Arial"/>
          <w:b/>
          <w:bCs/>
          <w:lang w:val="es-MX"/>
        </w:rPr>
        <w:t>4.2.4</w:t>
      </w:r>
      <w:r w:rsidRPr="00C262EA">
        <w:rPr>
          <w:rFonts w:ascii="Arial" w:hAnsi="Arial" w:cs="Arial"/>
          <w:b/>
          <w:bCs/>
          <w:lang w:val="es-MX"/>
        </w:rPr>
        <w:tab/>
        <w:t>T</w:t>
      </w:r>
      <w:r w:rsidRPr="00C262EA">
        <w:rPr>
          <w:rFonts w:ascii="Arial" w:hAnsi="Arial" w:cs="Arial"/>
          <w:b/>
          <w:bCs/>
          <w:lang w:val="es-ES_tradnl"/>
        </w:rPr>
        <w:t>RANSFORMADOR</w:t>
      </w:r>
      <w:bookmarkEnd w:id="86"/>
      <w:bookmarkEnd w:id="87"/>
      <w:r w:rsidRPr="00C262EA">
        <w:rPr>
          <w:rFonts w:ascii="Arial" w:hAnsi="Arial" w:cs="Arial"/>
          <w:b/>
          <w:bCs/>
          <w:lang w:val="es-ES_tradnl"/>
        </w:rPr>
        <w:t xml:space="preserve"> DE POTENCIA</w:t>
      </w:r>
      <w:bookmarkEnd w:id="88"/>
    </w:p>
    <w:p w:rsidR="00C262EA" w:rsidRPr="00C262EA" w:rsidRDefault="00C262EA" w:rsidP="00C262EA">
      <w:pPr>
        <w:tabs>
          <w:tab w:val="clear" w:pos="567"/>
          <w:tab w:val="clear" w:pos="1134"/>
          <w:tab w:val="clear" w:pos="1701"/>
          <w:tab w:val="clear" w:pos="2268"/>
          <w:tab w:val="clear" w:pos="2835"/>
        </w:tabs>
        <w:spacing w:before="120" w:line="247" w:lineRule="auto"/>
        <w:ind w:left="862" w:hanging="11"/>
        <w:jc w:val="both"/>
        <w:rPr>
          <w:rFonts w:ascii="Arial" w:hAnsi="Arial" w:cs="Arial"/>
          <w:b/>
          <w:bCs/>
        </w:rPr>
      </w:pPr>
      <w:r w:rsidRPr="00C262EA">
        <w:rPr>
          <w:rFonts w:ascii="Arial" w:hAnsi="Arial" w:cs="Arial"/>
          <w:b/>
          <w:bCs/>
        </w:rPr>
        <w:t>4.2.4.1</w:t>
      </w:r>
      <w:r w:rsidRPr="00C262EA">
        <w:rPr>
          <w:rFonts w:ascii="Arial" w:hAnsi="Arial" w:cs="Arial"/>
          <w:b/>
          <w:bCs/>
        </w:rPr>
        <w:tab/>
        <w:t>Alcance</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Estas especificaciones cubren el alcance de las características mínimas a considerar para el diseño, fabricación y ensayos de los transformadores de potencia, incluyendo los elementos auxiliares necesarios  para su correcto funcionamiento y operación.</w:t>
      </w:r>
    </w:p>
    <w:p w:rsidR="00C262EA" w:rsidRPr="00C262EA" w:rsidRDefault="00C262EA" w:rsidP="00C262EA">
      <w:pPr>
        <w:tabs>
          <w:tab w:val="clear" w:pos="567"/>
          <w:tab w:val="clear" w:pos="1134"/>
          <w:tab w:val="clear" w:pos="1701"/>
          <w:tab w:val="clear" w:pos="2268"/>
          <w:tab w:val="clear" w:pos="2835"/>
        </w:tabs>
        <w:spacing w:before="120" w:line="247" w:lineRule="auto"/>
        <w:ind w:left="862" w:hanging="11"/>
        <w:jc w:val="both"/>
        <w:rPr>
          <w:rFonts w:ascii="Arial" w:hAnsi="Arial" w:cs="Arial"/>
          <w:b/>
        </w:rPr>
      </w:pPr>
      <w:r w:rsidRPr="00C262EA">
        <w:rPr>
          <w:rFonts w:ascii="Arial" w:hAnsi="Arial" w:cs="Arial"/>
          <w:b/>
        </w:rPr>
        <w:t>4.2.4.2</w:t>
      </w:r>
      <w:r w:rsidRPr="00C262EA">
        <w:rPr>
          <w:rFonts w:ascii="Arial" w:hAnsi="Arial" w:cs="Arial"/>
          <w:b/>
        </w:rPr>
        <w:tab/>
        <w:t>Normas</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Para el diseño, fabricación y transporte de los transformadores se utilizarán, sin ser limitativas, las Normas siguientes: CNE Suministro 2001, IEC 60076-1, IEC 60076-2, IEC 60076-3, IEC 60076-3-1, IEC- 60076-4, IEC 60076-5, IEC 60137, IEC 60214, IEC 60354, IEC 60551, IEC 60044, IEC-60296, IEC 60542.</w:t>
      </w:r>
    </w:p>
    <w:p w:rsidR="00C262EA" w:rsidRPr="00C262EA" w:rsidRDefault="00C262EA" w:rsidP="004F6B32">
      <w:pPr>
        <w:numPr>
          <w:ilvl w:val="3"/>
          <w:numId w:val="77"/>
        </w:numPr>
        <w:tabs>
          <w:tab w:val="clear" w:pos="567"/>
          <w:tab w:val="clear" w:pos="1134"/>
          <w:tab w:val="clear" w:pos="1701"/>
          <w:tab w:val="clear" w:pos="2268"/>
          <w:tab w:val="clear" w:pos="2835"/>
        </w:tabs>
        <w:spacing w:before="120" w:line="247" w:lineRule="auto"/>
        <w:ind w:left="862" w:firstLine="38"/>
        <w:jc w:val="both"/>
        <w:rPr>
          <w:rFonts w:ascii="Arial" w:hAnsi="Arial" w:cs="Arial"/>
          <w:b/>
          <w:bCs/>
          <w:lang w:val="es-MX"/>
        </w:rPr>
      </w:pPr>
      <w:r w:rsidRPr="00C262EA">
        <w:rPr>
          <w:rFonts w:ascii="Arial" w:hAnsi="Arial" w:cs="Arial"/>
          <w:b/>
          <w:bCs/>
          <w:lang w:val="es-MX"/>
        </w:rPr>
        <w:t>Características constructivas</w:t>
      </w:r>
    </w:p>
    <w:p w:rsidR="00C262EA" w:rsidRPr="00C262EA" w:rsidRDefault="00C262EA" w:rsidP="00C262EA">
      <w:pPr>
        <w:tabs>
          <w:tab w:val="clear" w:pos="567"/>
          <w:tab w:val="clear" w:pos="1134"/>
          <w:tab w:val="clear" w:pos="1701"/>
          <w:tab w:val="clear" w:pos="2268"/>
          <w:tab w:val="clear" w:pos="2835"/>
        </w:tabs>
        <w:spacing w:before="120" w:line="247" w:lineRule="auto"/>
        <w:ind w:left="862"/>
        <w:jc w:val="both"/>
        <w:rPr>
          <w:rFonts w:ascii="Arial" w:hAnsi="Arial" w:cs="Arial"/>
        </w:rPr>
      </w:pPr>
      <w:r w:rsidRPr="00C262EA">
        <w:rPr>
          <w:rFonts w:ascii="Arial" w:hAnsi="Arial" w:cs="Arial"/>
        </w:rPr>
        <w:t>En forma general se suministrarán transformadores del tipo sumergido en aceite, refrigerados por circulación natural del aceite y aire (ONAN) y su diseño debe permitir incrementar su capacidad mediante ventilación forzada (ONAF).</w:t>
      </w:r>
    </w:p>
    <w:p w:rsidR="00C262EA" w:rsidRPr="00C262EA" w:rsidRDefault="00C262EA" w:rsidP="00C262EA">
      <w:pPr>
        <w:tabs>
          <w:tab w:val="clear" w:pos="567"/>
          <w:tab w:val="clear" w:pos="1134"/>
          <w:tab w:val="clear" w:pos="1701"/>
          <w:tab w:val="clear" w:pos="2268"/>
          <w:tab w:val="clear" w:pos="2835"/>
          <w:tab w:val="left" w:pos="1276"/>
        </w:tabs>
        <w:spacing w:before="120" w:line="247" w:lineRule="auto"/>
        <w:ind w:left="862"/>
        <w:jc w:val="both"/>
        <w:rPr>
          <w:rFonts w:ascii="Arial" w:hAnsi="Arial" w:cs="Arial"/>
          <w:b/>
          <w:bCs/>
          <w:lang w:val="es-MX"/>
        </w:rPr>
      </w:pPr>
      <w:r w:rsidRPr="00C262EA">
        <w:rPr>
          <w:rFonts w:ascii="Arial" w:hAnsi="Arial" w:cs="Arial"/>
          <w:b/>
          <w:bCs/>
          <w:lang w:val="es-MX"/>
        </w:rPr>
        <w:t>a)</w:t>
      </w:r>
      <w:r w:rsidRPr="00C262EA">
        <w:rPr>
          <w:rFonts w:ascii="Arial" w:hAnsi="Arial" w:cs="Arial"/>
          <w:b/>
          <w:bCs/>
          <w:lang w:val="es-MX"/>
        </w:rPr>
        <w:tab/>
        <w:t>Núcleos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rPr>
        <w:t xml:space="preserve">Los </w:t>
      </w:r>
      <w:r w:rsidRPr="00C262EA">
        <w:rPr>
          <w:rFonts w:ascii="Arial" w:hAnsi="Arial" w:cs="Arial"/>
          <w:lang w:val="es-MX"/>
        </w:rPr>
        <w:t>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lang w:val="es-MX"/>
        </w:rPr>
        <w:t>El circuito</w:t>
      </w:r>
      <w:r w:rsidRPr="00C262EA">
        <w:rPr>
          <w:rFonts w:ascii="Arial" w:hAnsi="Arial" w:cs="Arial"/>
        </w:rPr>
        <w:t xml:space="preserve"> magnético estará sólidamente puesto a tierra con las estructuras de ajuste del núcleo y con el tanque, de una forma segura, de tal manera que permita una fácil desconexión a tierra, cuando se necesite retirar el núcleo del tanque.</w:t>
      </w:r>
    </w:p>
    <w:p w:rsidR="00C262EA" w:rsidRPr="00C262EA" w:rsidRDefault="00026A9B" w:rsidP="004F6B32">
      <w:pPr>
        <w:numPr>
          <w:ilvl w:val="0"/>
          <w:numId w:val="107"/>
        </w:numPr>
        <w:tabs>
          <w:tab w:val="clear" w:pos="567"/>
          <w:tab w:val="clear" w:pos="720"/>
          <w:tab w:val="clear" w:pos="1134"/>
          <w:tab w:val="clear" w:pos="1701"/>
          <w:tab w:val="clear" w:pos="2268"/>
          <w:tab w:val="clear" w:pos="2835"/>
          <w:tab w:val="num" w:pos="1276"/>
        </w:tabs>
        <w:spacing w:before="120" w:line="247" w:lineRule="auto"/>
        <w:ind w:left="1276" w:hanging="425"/>
        <w:jc w:val="both"/>
        <w:rPr>
          <w:rFonts w:ascii="Arial" w:hAnsi="Arial" w:cs="Arial"/>
          <w:b/>
          <w:bCs/>
          <w:lang w:val="es-MX"/>
        </w:rPr>
      </w:pPr>
      <w:r>
        <w:rPr>
          <w:rFonts w:ascii="Arial" w:hAnsi="Arial" w:cs="Arial"/>
          <w:b/>
          <w:bCs/>
          <w:lang w:val="es-MX"/>
        </w:rPr>
        <w:br w:type="page"/>
      </w:r>
      <w:r w:rsidR="00C262EA" w:rsidRPr="00C262EA">
        <w:rPr>
          <w:rFonts w:ascii="Arial" w:hAnsi="Arial" w:cs="Arial"/>
          <w:b/>
          <w:bCs/>
          <w:lang w:val="es-MX"/>
        </w:rPr>
        <w:lastRenderedPageBreak/>
        <w:t>Arrollamientos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Todos los cables, barras o conductores que se utilicen para los arrollamientos serán de cobre electrolítico de alta calidad y pureza.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aislamiento de los conductores será de papel de alta estabilidad térmica y resistente al envejecimiento, podrán darse un baño de barniz para mejorar la resistencia mecánica.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b/>
          <w:bCs/>
          <w:lang w:val="es-MX"/>
        </w:rPr>
      </w:pPr>
      <w:r w:rsidRPr="00C262EA">
        <w:rPr>
          <w:rFonts w:ascii="Arial" w:hAnsi="Arial" w:cs="Arial"/>
          <w:lang w:val="es-MX"/>
        </w:rPr>
        <w:t>El conjunto de arrollamientos y  núcleo, completamente ensamblado deberá secarse al vacío para asegurar la extracción de la humedad y después ser impregnado y sumergido en aceite dieléctrico</w:t>
      </w:r>
      <w:r w:rsidRPr="00C262EA">
        <w:rPr>
          <w:rFonts w:ascii="Arial" w:hAnsi="Arial" w:cs="Arial"/>
          <w:b/>
          <w:bCs/>
          <w:lang w:val="es-MX"/>
        </w:rPr>
        <w:t>.</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t>Tanque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tanque será construido con planchas de acero estructural de alta resistencia, reforzado con perfiles de acero.</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aceptarán empaquetaduras de goma sintética resistente al aceite.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tanque estará provisto de dos tomas de puesta a tierra con sus respectivos conectores ubicados en los extremos opuestos de la parte inferior del tanque. Asimismo, estará provisto de las válvulas y accesorios siguientes (la lista no es limitativa), y de ser necesario el fabricante implementará los accesorios necesarios para la óptima operación del transformador:</w:t>
      </w:r>
    </w:p>
    <w:p w:rsidR="00C262EA" w:rsidRPr="00C262EA" w:rsidRDefault="00C262EA" w:rsidP="004F6B32">
      <w:pPr>
        <w:numPr>
          <w:ilvl w:val="1"/>
          <w:numId w:val="69"/>
        </w:numPr>
        <w:tabs>
          <w:tab w:val="clear" w:pos="567"/>
          <w:tab w:val="clear" w:pos="1134"/>
          <w:tab w:val="clear" w:pos="1701"/>
          <w:tab w:val="clear" w:pos="1920"/>
          <w:tab w:val="clear" w:pos="2268"/>
          <w:tab w:val="clear" w:pos="2835"/>
          <w:tab w:val="left" w:pos="1560"/>
        </w:tabs>
        <w:spacing w:before="80" w:line="247" w:lineRule="auto"/>
        <w:ind w:left="1560" w:hanging="284"/>
        <w:jc w:val="both"/>
        <w:rPr>
          <w:rFonts w:ascii="Arial" w:hAnsi="Arial" w:cs="Arial"/>
          <w:lang w:val="es-MX"/>
        </w:rPr>
      </w:pPr>
      <w:r w:rsidRPr="00C262EA">
        <w:rPr>
          <w:rFonts w:ascii="Arial" w:hAnsi="Arial" w:cs="Arial"/>
          <w:lang w:val="es-MX"/>
        </w:rPr>
        <w:t>Válvula de descarga de sobrepresión interna, ajustada para 0,5 kg/cm</w:t>
      </w:r>
      <w:r w:rsidRPr="00C262EA">
        <w:rPr>
          <w:rFonts w:ascii="Arial" w:hAnsi="Arial" w:cs="Arial"/>
          <w:vertAlign w:val="superscript"/>
          <w:lang w:val="es-MX"/>
        </w:rPr>
        <w:t>2</w:t>
      </w:r>
      <w:r w:rsidRPr="00C262EA">
        <w:rPr>
          <w:rFonts w:ascii="Arial" w:hAnsi="Arial" w:cs="Arial"/>
          <w:lang w:val="es-MX"/>
        </w:rPr>
        <w:t xml:space="preserve"> de sobrepresión interna.</w:t>
      </w:r>
    </w:p>
    <w:p w:rsidR="00C262EA" w:rsidRPr="00C262EA" w:rsidRDefault="00C262EA" w:rsidP="004F6B32">
      <w:pPr>
        <w:numPr>
          <w:ilvl w:val="1"/>
          <w:numId w:val="69"/>
        </w:numPr>
        <w:tabs>
          <w:tab w:val="clear" w:pos="567"/>
          <w:tab w:val="clear" w:pos="1134"/>
          <w:tab w:val="clear" w:pos="1701"/>
          <w:tab w:val="clear" w:pos="1920"/>
          <w:tab w:val="clear" w:pos="2268"/>
          <w:tab w:val="clear" w:pos="2835"/>
          <w:tab w:val="left" w:pos="1560"/>
        </w:tabs>
        <w:spacing w:before="80" w:line="247" w:lineRule="auto"/>
        <w:ind w:left="1560" w:hanging="284"/>
        <w:jc w:val="both"/>
        <w:rPr>
          <w:rFonts w:ascii="Arial" w:hAnsi="Arial" w:cs="Arial"/>
          <w:lang w:val="es-MX"/>
        </w:rPr>
      </w:pPr>
      <w:r w:rsidRPr="00C262EA">
        <w:rPr>
          <w:rFonts w:ascii="Arial" w:hAnsi="Arial" w:cs="Arial"/>
          <w:lang w:val="es-MX"/>
        </w:rPr>
        <w:t>Válvulas para las conexiones de filtración del aceite, situadas una en la parte superior y otra en la parte inferior del tanque.</w:t>
      </w:r>
    </w:p>
    <w:p w:rsidR="00C262EA" w:rsidRPr="00C262EA" w:rsidRDefault="00C262EA" w:rsidP="004F6B32">
      <w:pPr>
        <w:numPr>
          <w:ilvl w:val="1"/>
          <w:numId w:val="69"/>
        </w:numPr>
        <w:tabs>
          <w:tab w:val="clear" w:pos="567"/>
          <w:tab w:val="clear" w:pos="1134"/>
          <w:tab w:val="clear" w:pos="1701"/>
          <w:tab w:val="clear" w:pos="1920"/>
          <w:tab w:val="clear" w:pos="2268"/>
          <w:tab w:val="clear" w:pos="2835"/>
          <w:tab w:val="left" w:pos="1560"/>
        </w:tabs>
        <w:spacing w:before="80" w:line="247" w:lineRule="auto"/>
        <w:ind w:left="1560" w:hanging="284"/>
        <w:jc w:val="both"/>
        <w:rPr>
          <w:rFonts w:ascii="Arial" w:hAnsi="Arial" w:cs="Arial"/>
          <w:lang w:val="es-MX"/>
        </w:rPr>
      </w:pPr>
      <w:r w:rsidRPr="00C262EA">
        <w:rPr>
          <w:rFonts w:ascii="Arial" w:hAnsi="Arial" w:cs="Arial"/>
          <w:lang w:val="es-MX"/>
        </w:rPr>
        <w:t>Válvula de tres vías para la conexión de la tubería de conexión al relé Buchholz.</w:t>
      </w:r>
    </w:p>
    <w:p w:rsidR="00C262EA" w:rsidRPr="00C262EA" w:rsidRDefault="00C262EA" w:rsidP="004F6B32">
      <w:pPr>
        <w:numPr>
          <w:ilvl w:val="1"/>
          <w:numId w:val="69"/>
        </w:numPr>
        <w:tabs>
          <w:tab w:val="clear" w:pos="567"/>
          <w:tab w:val="clear" w:pos="1134"/>
          <w:tab w:val="clear" w:pos="1701"/>
          <w:tab w:val="clear" w:pos="1920"/>
          <w:tab w:val="clear" w:pos="2268"/>
          <w:tab w:val="clear" w:pos="2835"/>
          <w:tab w:val="left" w:pos="1560"/>
        </w:tabs>
        <w:spacing w:before="80" w:line="247" w:lineRule="auto"/>
        <w:ind w:left="1560" w:hanging="284"/>
        <w:jc w:val="both"/>
        <w:rPr>
          <w:rFonts w:ascii="Arial" w:hAnsi="Arial" w:cs="Arial"/>
          <w:lang w:val="es-MX"/>
        </w:rPr>
      </w:pPr>
      <w:r w:rsidRPr="00C262EA">
        <w:rPr>
          <w:rFonts w:ascii="Arial" w:hAnsi="Arial" w:cs="Arial"/>
          <w:lang w:val="es-MX"/>
        </w:rPr>
        <w:t>Válvulas de cierre (separación) de aceite para cada tubería del sistema de enfriamiento.</w:t>
      </w:r>
    </w:p>
    <w:p w:rsidR="00C262EA" w:rsidRPr="00C262EA" w:rsidRDefault="00C262EA" w:rsidP="004F6B32">
      <w:pPr>
        <w:numPr>
          <w:ilvl w:val="1"/>
          <w:numId w:val="69"/>
        </w:numPr>
        <w:tabs>
          <w:tab w:val="clear" w:pos="567"/>
          <w:tab w:val="clear" w:pos="1134"/>
          <w:tab w:val="clear" w:pos="1701"/>
          <w:tab w:val="clear" w:pos="1920"/>
          <w:tab w:val="clear" w:pos="2268"/>
          <w:tab w:val="clear" w:pos="2835"/>
          <w:tab w:val="left" w:pos="1560"/>
        </w:tabs>
        <w:spacing w:before="80" w:line="247" w:lineRule="auto"/>
        <w:ind w:left="1560" w:hanging="284"/>
        <w:jc w:val="both"/>
        <w:rPr>
          <w:rFonts w:ascii="Arial" w:hAnsi="Arial" w:cs="Arial"/>
          <w:lang w:val="es-MX"/>
        </w:rPr>
      </w:pPr>
      <w:r w:rsidRPr="00C262EA">
        <w:rPr>
          <w:rFonts w:ascii="Arial" w:hAnsi="Arial" w:cs="Arial"/>
          <w:lang w:val="es-MX"/>
        </w:rPr>
        <w:t>Grifos de toma de aceite y de purga.</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t>Aisladores pasatapas y cajas terminales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Los aisladores pasatapas serán del tipo condensador y de acuerdo a la Norma IEC 60137.</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Deberán ser diseñados para un ambiente de alta contaminación, y con línea de fuga no menor a 25 mm/kV. La porcelana empleada en los pasatapas deberá ser homogénea, libre de cavidades, protuberancias, exfoliaciones o resquebrajaduras y deberán ser impermeables a la humedad.</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Todas las piezas de los pasatapas  que sean expuestas a la acción de la atmósfera deberán ser fabricadas de material no higroscópico.</w:t>
      </w:r>
    </w:p>
    <w:p w:rsidR="00C262EA" w:rsidRPr="00C262EA" w:rsidRDefault="00631F9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Pr>
          <w:rFonts w:ascii="Arial" w:hAnsi="Arial" w:cs="Arial"/>
          <w:b/>
          <w:bCs/>
          <w:lang w:val="es-MX"/>
        </w:rPr>
        <w:br w:type="page"/>
      </w:r>
      <w:r w:rsidR="00C262EA" w:rsidRPr="00C262EA">
        <w:rPr>
          <w:rFonts w:ascii="Arial" w:hAnsi="Arial" w:cs="Arial"/>
          <w:b/>
          <w:bCs/>
          <w:lang w:val="es-MX"/>
        </w:rPr>
        <w:lastRenderedPageBreak/>
        <w:t>Sistema de enfriamiento</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sistema de enfriamiento será por circulación natural de aceite y aire (ONAN), el que operará de acuerdo al régimen de carga del mismo y su diseño debe permitir incrementar su capacidad mediante ventilación forzada (ONAF).</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La construcción de los radiadores deberá permitir facilidades de acceso para su inspección y limpieza con un mínimo de interrupciones.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Cada uno de los radiadores contará con válvulas dispuestas convenientemente, de tal forma que el radiador pueda colocarse o sacarse fuera de servicio sin afectar la operación del transformador.</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t>Aceite aislante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transformador será suministrado con su dotación completa de aceite aislante más una reserva de mínimo 5% del volumen neto, los cuales serán embarcados separadamente en recipientes de acero herméticamente cerrados.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transformador será embarcado sin aceite y en su lugar será llenado con gas nitrógeno para su transporte.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aceite dieléctrico a proveerse será aceite mineral refinado, que en su composición química no contenga sustancias inhibidoras y deberá cumplir con las Normas IEC 60354 e IEC 60296.</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t>Sistema de regulación</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transformador deberá contar con un sistema de regulación bajo carga con mando local y remoto. El rango de regulación sugerido de ±10%,  en pasos de 1%.</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conmutador de tomas cumplirá con las Norma IEC 60214 y será de un fabricante de reconocida calidad y experiencia.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motor y sus mecanismos de control se instalarán en un gabinete hermético para instalación a la intemperie clase IP 55, y será montado en el exterior de la cuba del transformador.</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La información del indicador de posiciones del conmutador deberá ser visualizada en los siguientes puntos: localmente en la caja de mando, en el tablero de mando ubicado en la sala de control, y adicionalmente señales para ser integrado al sistema SCADA y para su envío al Centro de Control (COES).</w:t>
      </w:r>
    </w:p>
    <w:p w:rsidR="00C262EA" w:rsidRPr="00C262EA" w:rsidRDefault="00C262EA" w:rsidP="00C262EA">
      <w:pPr>
        <w:spacing w:line="276" w:lineRule="auto"/>
        <w:ind w:left="1276"/>
        <w:rPr>
          <w:rFonts w:ascii="Arial" w:hAnsi="Arial" w:cs="Arial"/>
          <w:b/>
          <w:bCs/>
          <w:lang w:val="es-MX"/>
        </w:rPr>
      </w:pPr>
    </w:p>
    <w:p w:rsidR="00C262EA" w:rsidRPr="00C262EA" w:rsidRDefault="00C262EA" w:rsidP="00C262EA">
      <w:pPr>
        <w:spacing w:line="276" w:lineRule="auto"/>
        <w:ind w:left="1276"/>
        <w:rPr>
          <w:rFonts w:ascii="Arial" w:hAnsi="Arial" w:cs="Arial"/>
          <w:b/>
          <w:bCs/>
          <w:lang w:val="es-MX"/>
        </w:rPr>
      </w:pPr>
      <w:r w:rsidRPr="00C262EA">
        <w:rPr>
          <w:rFonts w:ascii="Arial" w:hAnsi="Arial" w:cs="Arial"/>
          <w:b/>
          <w:bCs/>
          <w:lang w:val="es-MX"/>
        </w:rPr>
        <w:t>Características Técnicas</w:t>
      </w:r>
      <w:r w:rsidRPr="00C262EA">
        <w:rPr>
          <w:rFonts w:ascii="Arial" w:hAnsi="Arial" w:cs="Arial"/>
          <w:b/>
          <w:bCs/>
          <w:lang w:val="es-MX"/>
        </w:rPr>
        <w:tab/>
      </w:r>
      <w:r w:rsidRPr="00C262EA">
        <w:rPr>
          <w:rFonts w:ascii="Arial" w:hAnsi="Arial" w:cs="Arial"/>
          <w:b/>
          <w:bCs/>
          <w:lang w:val="es-MX"/>
        </w:rPr>
        <w:tab/>
      </w:r>
      <w:r w:rsidR="007802B0">
        <w:rPr>
          <w:rFonts w:ascii="Arial" w:hAnsi="Arial" w:cs="Arial"/>
          <w:b/>
          <w:bCs/>
          <w:lang w:val="es-MX"/>
        </w:rPr>
        <w:tab/>
      </w:r>
      <w:r w:rsidR="007802B0">
        <w:rPr>
          <w:rFonts w:ascii="Arial" w:hAnsi="Arial" w:cs="Arial"/>
          <w:b/>
          <w:bCs/>
          <w:lang w:val="es-MX"/>
        </w:rPr>
        <w:tab/>
      </w:r>
      <w:r w:rsidR="007802B0">
        <w:rPr>
          <w:rFonts w:ascii="Arial" w:hAnsi="Arial" w:cs="Arial"/>
          <w:b/>
          <w:bCs/>
          <w:lang w:val="es-MX"/>
        </w:rPr>
        <w:tab/>
      </w:r>
      <w:r w:rsidR="007802B0">
        <w:rPr>
          <w:rFonts w:ascii="Arial" w:hAnsi="Arial" w:cs="Arial"/>
          <w:b/>
          <w:bCs/>
          <w:lang w:val="es-MX"/>
        </w:rPr>
        <w:tab/>
      </w:r>
      <w:r w:rsidR="007802B0">
        <w:rPr>
          <w:rFonts w:ascii="Arial" w:hAnsi="Arial" w:cs="Arial"/>
          <w:b/>
          <w:bCs/>
          <w:lang w:val="es-MX"/>
        </w:rPr>
        <w:tab/>
      </w:r>
      <w:r w:rsidRPr="00C262EA">
        <w:rPr>
          <w:rFonts w:ascii="Arial" w:hAnsi="Arial" w:cs="Arial"/>
          <w:b/>
          <w:bCs/>
          <w:lang w:val="es-MX"/>
        </w:rPr>
        <w:t>Descripción</w:t>
      </w:r>
    </w:p>
    <w:p w:rsidR="00C262EA" w:rsidRPr="00C262EA" w:rsidRDefault="00C262EA" w:rsidP="00C262EA">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C262EA">
        <w:rPr>
          <w:rFonts w:ascii="Arial" w:hAnsi="Arial" w:cs="Arial"/>
          <w:lang w:val="es-MX"/>
        </w:rPr>
        <w:t>Potencia de transformación requerida</w:t>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120/120/13,5 MVA (ONAN)</w:t>
      </w:r>
    </w:p>
    <w:p w:rsidR="00C262EA" w:rsidRPr="00C262EA" w:rsidRDefault="007802B0" w:rsidP="007802B0">
      <w:pPr>
        <w:tabs>
          <w:tab w:val="clear" w:pos="567"/>
          <w:tab w:val="clear" w:pos="1134"/>
          <w:tab w:val="clear" w:pos="1701"/>
          <w:tab w:val="clear" w:pos="2268"/>
          <w:tab w:val="clear" w:pos="2835"/>
          <w:tab w:val="left" w:pos="5387"/>
        </w:tabs>
        <w:spacing w:line="247" w:lineRule="auto"/>
        <w:ind w:left="5529" w:hanging="133"/>
        <w:jc w:val="both"/>
        <w:rPr>
          <w:rFonts w:ascii="Arial" w:hAnsi="Arial" w:cs="Arial"/>
          <w:lang w:val="es-MX"/>
        </w:rPr>
      </w:pPr>
      <w:r>
        <w:rPr>
          <w:rFonts w:ascii="Arial" w:hAnsi="Arial" w:cs="Arial"/>
          <w:lang w:val="es-MX"/>
        </w:rPr>
        <w:tab/>
      </w:r>
      <w:r w:rsidR="00C262EA" w:rsidRPr="00C262EA">
        <w:rPr>
          <w:rFonts w:ascii="Arial" w:hAnsi="Arial" w:cs="Arial"/>
          <w:lang w:val="es-MX"/>
        </w:rPr>
        <w:t>150/150/17 MVA (ONAF)</w:t>
      </w:r>
    </w:p>
    <w:p w:rsidR="00C262EA" w:rsidRPr="00C262EA" w:rsidRDefault="00C262EA" w:rsidP="00C262EA">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C262EA">
        <w:rPr>
          <w:rFonts w:ascii="Arial" w:hAnsi="Arial" w:cs="Arial"/>
          <w:lang w:val="es-MX"/>
        </w:rPr>
        <w:t>Tensión devanado primario</w:t>
      </w:r>
      <w:r w:rsidRPr="00C262EA">
        <w:rPr>
          <w:rFonts w:ascii="Arial" w:hAnsi="Arial" w:cs="Arial"/>
          <w:lang w:val="es-MX"/>
        </w:rPr>
        <w:tab/>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220 kV   Estrella, neutro a tierra</w:t>
      </w:r>
    </w:p>
    <w:p w:rsidR="00C262EA" w:rsidRPr="00C262EA" w:rsidRDefault="00C262EA" w:rsidP="00C262EA">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C262EA">
        <w:rPr>
          <w:rFonts w:ascii="Arial" w:hAnsi="Arial" w:cs="Arial"/>
          <w:lang w:val="es-MX"/>
        </w:rPr>
        <w:t>Tensión devanado secundario</w:t>
      </w:r>
      <w:r w:rsidRPr="00C262EA">
        <w:rPr>
          <w:rFonts w:ascii="Arial" w:hAnsi="Arial" w:cs="Arial"/>
          <w:lang w:val="es-MX"/>
        </w:rPr>
        <w:tab/>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138 kV   Estrella, neutro a tierra</w:t>
      </w:r>
    </w:p>
    <w:p w:rsidR="00C262EA" w:rsidRPr="00C262EA" w:rsidRDefault="00C262EA" w:rsidP="00C262EA">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C262EA">
        <w:rPr>
          <w:rFonts w:ascii="Arial" w:hAnsi="Arial" w:cs="Arial"/>
          <w:lang w:val="es-MX"/>
        </w:rPr>
        <w:t>Tensión devanado terciario</w:t>
      </w:r>
      <w:r w:rsidRPr="00C262EA">
        <w:rPr>
          <w:rFonts w:ascii="Arial" w:hAnsi="Arial" w:cs="Arial"/>
          <w:lang w:val="es-MX"/>
        </w:rPr>
        <w:tab/>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10,5 kV (*) Delta, Δ</w:t>
      </w:r>
    </w:p>
    <w:p w:rsidR="00C262EA" w:rsidRPr="00C262EA" w:rsidRDefault="00C262EA" w:rsidP="00C262EA">
      <w:pPr>
        <w:tabs>
          <w:tab w:val="clear" w:pos="567"/>
          <w:tab w:val="clear" w:pos="1134"/>
          <w:tab w:val="clear" w:pos="1701"/>
          <w:tab w:val="clear" w:pos="2268"/>
          <w:tab w:val="clear" w:pos="2835"/>
        </w:tabs>
        <w:spacing w:line="247" w:lineRule="auto"/>
        <w:ind w:left="1276"/>
        <w:jc w:val="both"/>
        <w:rPr>
          <w:rFonts w:ascii="Arial" w:hAnsi="Arial" w:cs="Arial"/>
          <w:lang w:val="es-MX"/>
        </w:rPr>
      </w:pPr>
      <w:r w:rsidRPr="00C262EA">
        <w:rPr>
          <w:rFonts w:ascii="Arial" w:hAnsi="Arial" w:cs="Arial"/>
          <w:lang w:val="es-MX"/>
        </w:rPr>
        <w:t>Refrigeración</w:t>
      </w:r>
      <w:r w:rsidRPr="00C262EA">
        <w:rPr>
          <w:rFonts w:ascii="Arial" w:hAnsi="Arial" w:cs="Arial"/>
          <w:lang w:val="es-MX"/>
        </w:rPr>
        <w:tab/>
      </w:r>
      <w:r w:rsidRPr="00C262EA">
        <w:rPr>
          <w:rFonts w:ascii="Arial" w:hAnsi="Arial" w:cs="Arial"/>
          <w:lang w:val="es-MX"/>
        </w:rPr>
        <w:tab/>
      </w:r>
      <w:r w:rsidRPr="00C262EA">
        <w:rPr>
          <w:rFonts w:ascii="Arial" w:hAnsi="Arial" w:cs="Arial"/>
          <w:lang w:val="es-MX"/>
        </w:rPr>
        <w:tab/>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ONAN/ONAF</w:t>
      </w:r>
    </w:p>
    <w:p w:rsidR="00C262EA" w:rsidRPr="00C262EA" w:rsidRDefault="00C262EA" w:rsidP="00C262EA">
      <w:pPr>
        <w:tabs>
          <w:tab w:val="clear" w:pos="567"/>
          <w:tab w:val="clear" w:pos="1134"/>
          <w:tab w:val="clear" w:pos="1701"/>
          <w:tab w:val="clear" w:pos="2268"/>
          <w:tab w:val="clear" w:pos="2835"/>
        </w:tabs>
        <w:ind w:left="1276"/>
        <w:rPr>
          <w:rFonts w:ascii="Arial" w:hAnsi="Arial" w:cs="Arial"/>
        </w:rPr>
      </w:pPr>
      <w:r w:rsidRPr="00C262EA">
        <w:rPr>
          <w:rFonts w:ascii="Arial" w:hAnsi="Arial" w:cs="Arial"/>
        </w:rPr>
        <w:t>Grupo de conexión</w:t>
      </w:r>
      <w:r w:rsidRPr="00C262EA">
        <w:rPr>
          <w:rFonts w:ascii="Arial" w:hAnsi="Arial" w:cs="Arial"/>
        </w:rPr>
        <w:tab/>
      </w:r>
      <w:r w:rsidRPr="00C262EA">
        <w:rPr>
          <w:rFonts w:ascii="Arial" w:hAnsi="Arial" w:cs="Arial"/>
        </w:rPr>
        <w:tab/>
      </w:r>
      <w:r w:rsidRPr="00C262EA">
        <w:rPr>
          <w:rFonts w:ascii="Arial" w:hAnsi="Arial" w:cs="Arial"/>
        </w:rPr>
        <w:tab/>
      </w:r>
      <w:r w:rsidR="007802B0">
        <w:rPr>
          <w:rFonts w:ascii="Arial" w:hAnsi="Arial" w:cs="Arial"/>
        </w:rPr>
        <w:tab/>
      </w:r>
      <w:r w:rsidR="007802B0">
        <w:rPr>
          <w:rFonts w:ascii="Arial" w:hAnsi="Arial" w:cs="Arial"/>
        </w:rPr>
        <w:tab/>
      </w:r>
      <w:r w:rsidR="007802B0">
        <w:rPr>
          <w:rFonts w:ascii="Arial" w:hAnsi="Arial" w:cs="Arial"/>
        </w:rPr>
        <w:tab/>
      </w:r>
      <w:r w:rsidR="007802B0">
        <w:rPr>
          <w:rFonts w:ascii="Arial" w:hAnsi="Arial" w:cs="Arial"/>
        </w:rPr>
        <w:tab/>
      </w:r>
      <w:r w:rsidR="007802B0">
        <w:rPr>
          <w:rFonts w:ascii="Arial" w:hAnsi="Arial" w:cs="Arial"/>
        </w:rPr>
        <w:tab/>
      </w:r>
      <w:r w:rsidR="007802B0">
        <w:rPr>
          <w:rFonts w:ascii="Arial" w:hAnsi="Arial" w:cs="Arial"/>
        </w:rPr>
        <w:tab/>
      </w:r>
      <w:r w:rsidRPr="00C262EA">
        <w:rPr>
          <w:rFonts w:ascii="Arial" w:hAnsi="Arial" w:cs="Arial"/>
        </w:rPr>
        <w:t>: YN/yn/Δ</w:t>
      </w:r>
    </w:p>
    <w:p w:rsidR="00C262EA" w:rsidRPr="00C262EA" w:rsidRDefault="00C262EA" w:rsidP="00C262EA">
      <w:pPr>
        <w:tabs>
          <w:tab w:val="clear" w:pos="567"/>
          <w:tab w:val="clear" w:pos="1134"/>
          <w:tab w:val="clear" w:pos="1701"/>
          <w:tab w:val="clear" w:pos="2268"/>
          <w:tab w:val="clear" w:pos="2835"/>
        </w:tabs>
        <w:ind w:left="1276"/>
        <w:rPr>
          <w:rFonts w:ascii="Arial" w:hAnsi="Arial" w:cs="Arial"/>
        </w:rPr>
      </w:pPr>
      <w:r w:rsidRPr="00C262EA">
        <w:rPr>
          <w:rFonts w:ascii="Arial" w:hAnsi="Arial" w:cs="Arial"/>
        </w:rPr>
        <w:t>Regulación de tensión</w:t>
      </w:r>
    </w:p>
    <w:p w:rsidR="00C262EA" w:rsidRPr="00C262EA" w:rsidRDefault="00C262EA" w:rsidP="00C262EA">
      <w:pPr>
        <w:tabs>
          <w:tab w:val="clear" w:pos="567"/>
          <w:tab w:val="clear" w:pos="1134"/>
          <w:tab w:val="clear" w:pos="1701"/>
          <w:tab w:val="clear" w:pos="2268"/>
          <w:tab w:val="clear" w:pos="2835"/>
        </w:tabs>
        <w:spacing w:line="247" w:lineRule="auto"/>
        <w:ind w:left="1702" w:firstLine="851"/>
        <w:jc w:val="both"/>
        <w:rPr>
          <w:rFonts w:ascii="Arial" w:hAnsi="Arial" w:cs="Arial"/>
          <w:lang w:val="es-MX" w:eastAsia="es-ES"/>
        </w:rPr>
      </w:pPr>
      <w:r w:rsidRPr="00C262EA">
        <w:rPr>
          <w:rFonts w:ascii="Arial" w:hAnsi="Arial" w:cs="Arial"/>
          <w:lang w:val="es-MX" w:eastAsia="es-ES"/>
        </w:rPr>
        <w:t>- Tipo</w:t>
      </w:r>
      <w:r w:rsidRPr="00C262EA">
        <w:rPr>
          <w:rFonts w:ascii="Arial" w:hAnsi="Arial" w:cs="Arial"/>
          <w:lang w:val="es-MX" w:eastAsia="es-ES"/>
        </w:rPr>
        <w:tab/>
      </w:r>
      <w:r w:rsidRPr="00C262EA">
        <w:rPr>
          <w:rFonts w:ascii="Arial" w:hAnsi="Arial" w:cs="Arial"/>
          <w:lang w:val="es-MX" w:eastAsia="es-ES"/>
        </w:rPr>
        <w:tab/>
      </w:r>
      <w:r w:rsidRPr="00C262EA">
        <w:rPr>
          <w:rFonts w:ascii="Arial" w:hAnsi="Arial" w:cs="Arial"/>
          <w:lang w:val="es-MX" w:eastAsia="es-ES"/>
        </w:rPr>
        <w:tab/>
      </w:r>
      <w:r w:rsidR="007802B0">
        <w:rPr>
          <w:rFonts w:ascii="Arial" w:hAnsi="Arial" w:cs="Arial"/>
          <w:lang w:val="es-MX" w:eastAsia="es-ES"/>
        </w:rPr>
        <w:tab/>
      </w:r>
      <w:r w:rsidR="007802B0">
        <w:rPr>
          <w:rFonts w:ascii="Arial" w:hAnsi="Arial" w:cs="Arial"/>
          <w:lang w:val="es-MX" w:eastAsia="es-ES"/>
        </w:rPr>
        <w:tab/>
      </w:r>
      <w:r w:rsidR="007802B0">
        <w:rPr>
          <w:rFonts w:ascii="Arial" w:hAnsi="Arial" w:cs="Arial"/>
          <w:lang w:val="es-MX" w:eastAsia="es-ES"/>
        </w:rPr>
        <w:tab/>
      </w:r>
      <w:r w:rsidR="007802B0">
        <w:rPr>
          <w:rFonts w:ascii="Arial" w:hAnsi="Arial" w:cs="Arial"/>
          <w:lang w:val="es-MX" w:eastAsia="es-ES"/>
        </w:rPr>
        <w:tab/>
      </w:r>
      <w:r w:rsidR="007802B0">
        <w:rPr>
          <w:rFonts w:ascii="Arial" w:hAnsi="Arial" w:cs="Arial"/>
          <w:lang w:val="es-MX" w:eastAsia="es-ES"/>
        </w:rPr>
        <w:tab/>
      </w:r>
      <w:r w:rsidR="007802B0">
        <w:rPr>
          <w:rFonts w:ascii="Arial" w:hAnsi="Arial" w:cs="Arial"/>
          <w:lang w:val="es-MX" w:eastAsia="es-ES"/>
        </w:rPr>
        <w:tab/>
      </w:r>
      <w:r w:rsidRPr="00C262EA">
        <w:rPr>
          <w:rFonts w:ascii="Arial" w:hAnsi="Arial" w:cs="Arial"/>
          <w:lang w:val="es-MX" w:eastAsia="es-ES"/>
        </w:rPr>
        <w:t>: automática, bajo carga</w:t>
      </w:r>
    </w:p>
    <w:p w:rsidR="00C262EA" w:rsidRPr="00C262EA" w:rsidRDefault="00C262EA" w:rsidP="00C262EA">
      <w:pPr>
        <w:tabs>
          <w:tab w:val="clear" w:pos="567"/>
          <w:tab w:val="clear" w:pos="1134"/>
          <w:tab w:val="clear" w:pos="1701"/>
          <w:tab w:val="clear" w:pos="2268"/>
          <w:tab w:val="clear" w:pos="2835"/>
        </w:tabs>
        <w:spacing w:line="247" w:lineRule="auto"/>
        <w:ind w:left="1702" w:firstLine="851"/>
        <w:rPr>
          <w:rFonts w:ascii="Arial" w:hAnsi="Arial" w:cs="Arial"/>
          <w:lang w:val="es-MX"/>
        </w:rPr>
      </w:pPr>
      <w:r w:rsidRPr="00C262EA">
        <w:rPr>
          <w:rFonts w:ascii="Arial" w:hAnsi="Arial" w:cs="Arial"/>
          <w:lang w:val="es-MX"/>
        </w:rPr>
        <w:t>- Rango</w:t>
      </w:r>
      <w:r w:rsidRPr="00C262EA">
        <w:rPr>
          <w:rFonts w:ascii="Arial" w:hAnsi="Arial" w:cs="Arial"/>
          <w:lang w:val="es-MX"/>
        </w:rPr>
        <w:tab/>
      </w:r>
      <w:r w:rsidRPr="00C262EA">
        <w:rPr>
          <w:rFonts w:ascii="Arial" w:hAnsi="Arial" w:cs="Arial"/>
          <w:lang w:val="es-MX"/>
        </w:rPr>
        <w:tab/>
      </w:r>
      <w:r w:rsidRPr="00C262EA">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007802B0">
        <w:rPr>
          <w:rFonts w:ascii="Arial" w:hAnsi="Arial" w:cs="Arial"/>
          <w:lang w:val="es-MX"/>
        </w:rPr>
        <w:tab/>
      </w:r>
      <w:r w:rsidRPr="00C262EA">
        <w:rPr>
          <w:rFonts w:ascii="Arial" w:hAnsi="Arial" w:cs="Arial"/>
          <w:lang w:val="es-MX"/>
        </w:rPr>
        <w:t>: ±10%, en pasos de 1%.(*)</w:t>
      </w:r>
    </w:p>
    <w:p w:rsidR="00C262EA" w:rsidRPr="00C262EA" w:rsidRDefault="00C262EA" w:rsidP="007802B0">
      <w:pPr>
        <w:spacing w:before="40" w:line="276" w:lineRule="auto"/>
        <w:ind w:left="1560" w:hanging="284"/>
        <w:rPr>
          <w:rFonts w:ascii="Arial" w:hAnsi="Arial" w:cs="Arial"/>
          <w:b/>
          <w:bCs/>
          <w:lang w:val="es-MX"/>
        </w:rPr>
      </w:pPr>
      <w:r w:rsidRPr="00C262EA">
        <w:rPr>
          <w:rFonts w:ascii="Arial" w:hAnsi="Arial" w:cs="Arial"/>
          <w:sz w:val="16"/>
          <w:szCs w:val="16"/>
          <w:lang w:val="es-MX" w:eastAsia="es-ES"/>
        </w:rPr>
        <w:t xml:space="preserve">(*) </w:t>
      </w:r>
      <w:r w:rsidRPr="00C262EA">
        <w:rPr>
          <w:rFonts w:ascii="Arial" w:hAnsi="Arial" w:cs="Arial"/>
          <w:sz w:val="16"/>
          <w:szCs w:val="16"/>
          <w:lang w:val="es-MX" w:eastAsia="es-ES"/>
        </w:rPr>
        <w:tab/>
        <w:t>Valores de referencia, los valores finales serán definidos por la Sociedad Concesionaria y aprobados por el COES-SINAC en el Estudio de Pre Operatividad.</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lastRenderedPageBreak/>
        <w:t>Transformadores de corriente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transformador será suministrado con transformadores de corriente incorporados en los aisladores pasatapas (bushings), de dos núcleos, ambos para protección, en todos los devanados y en las tres fases.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Aparte el transformador contará con los transformadores de corriente para regulación y protección de imagen térmica.</w:t>
      </w:r>
    </w:p>
    <w:p w:rsidR="00C262EA" w:rsidRPr="00C262EA" w:rsidRDefault="00C262EA" w:rsidP="004F6B32">
      <w:pPr>
        <w:numPr>
          <w:ilvl w:val="0"/>
          <w:numId w:val="107"/>
        </w:numPr>
        <w:tabs>
          <w:tab w:val="clear" w:pos="567"/>
          <w:tab w:val="clear" w:pos="1134"/>
          <w:tab w:val="clear" w:pos="1701"/>
          <w:tab w:val="clear" w:pos="2268"/>
          <w:tab w:val="clear" w:pos="2835"/>
          <w:tab w:val="left" w:pos="1276"/>
        </w:tabs>
        <w:spacing w:before="120" w:line="247" w:lineRule="auto"/>
        <w:ind w:left="862" w:firstLine="38"/>
        <w:jc w:val="both"/>
        <w:rPr>
          <w:rFonts w:ascii="Arial" w:hAnsi="Arial" w:cs="Arial"/>
          <w:b/>
          <w:bCs/>
          <w:lang w:val="es-MX"/>
        </w:rPr>
      </w:pPr>
      <w:r w:rsidRPr="00C262EA">
        <w:rPr>
          <w:rFonts w:ascii="Arial" w:hAnsi="Arial" w:cs="Arial"/>
          <w:b/>
          <w:bCs/>
          <w:lang w:val="es-MX"/>
        </w:rPr>
        <w:t>Protección contra Incendio</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Cada transformador y cambiador de derivaciones bajo carga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C262EA" w:rsidRPr="00C262EA" w:rsidRDefault="00C262EA" w:rsidP="007802B0">
      <w:pPr>
        <w:keepNext/>
        <w:tabs>
          <w:tab w:val="clear" w:pos="567"/>
          <w:tab w:val="clear" w:pos="1134"/>
          <w:tab w:val="clear" w:pos="1701"/>
          <w:tab w:val="clear" w:pos="2268"/>
          <w:tab w:val="clear" w:pos="2835"/>
        </w:tabs>
        <w:spacing w:before="240"/>
        <w:outlineLvl w:val="2"/>
        <w:rPr>
          <w:rFonts w:ascii="Arial" w:hAnsi="Arial" w:cs="Arial"/>
          <w:b/>
          <w:bCs/>
          <w:lang w:val="es-ES_tradnl"/>
        </w:rPr>
      </w:pPr>
      <w:bookmarkStart w:id="89" w:name="_Toc272265369"/>
      <w:bookmarkStart w:id="90" w:name="_Toc272431159"/>
      <w:bookmarkStart w:id="91" w:name="_Toc306777429"/>
      <w:r w:rsidRPr="00C262EA">
        <w:rPr>
          <w:rFonts w:ascii="Arial" w:hAnsi="Arial" w:cs="Arial"/>
          <w:b/>
          <w:bCs/>
          <w:lang w:val="es-ES_tradnl"/>
        </w:rPr>
        <w:t>4.2.5</w:t>
      </w:r>
      <w:r w:rsidRPr="00C262EA">
        <w:rPr>
          <w:rFonts w:ascii="Arial" w:hAnsi="Arial" w:cs="Arial"/>
          <w:b/>
          <w:bCs/>
          <w:lang w:val="es-ES_tradnl"/>
        </w:rPr>
        <w:tab/>
        <w:t>REACTORES</w:t>
      </w:r>
      <w:bookmarkEnd w:id="89"/>
      <w:bookmarkEnd w:id="90"/>
      <w:bookmarkEnd w:id="91"/>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C262EA">
        <w:rPr>
          <w:rFonts w:ascii="Arial" w:hAnsi="Arial" w:cs="Arial"/>
          <w:b/>
          <w:bCs/>
        </w:rPr>
        <w:t>4.2.5.1 Alcance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C262EA">
        <w:rPr>
          <w:rFonts w:ascii="Arial" w:hAnsi="Arial" w:cs="Arial"/>
          <w:lang w:val="es-MX"/>
        </w:rPr>
        <w:t>Estas especificaciones cubren el alcance de las características mínimas a considerar para el diseño, fabricación y ensayos de los reactores trifásicos de barra de 220 kV incluyendo los elementos auxiliares necesarios para su correcto funcionamiento y operación.</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4.2.5.2 Normas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C262EA">
        <w:rPr>
          <w:rFonts w:ascii="Arial" w:hAnsi="Arial" w:cs="Arial"/>
          <w:lang w:val="es-MX"/>
        </w:rPr>
        <w:t>Para el diseño, fabricación y transporte de los reactores se utilizarán, sin ser limitativas, las Normas siguientes: IEC 60289, IEC 600076-1, IEC 60076-2, IEC 60076-3, IEC 60076-3-1, IEC-60076-5, IEC-60551, IEC-60722, Publicación C57.21.</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 xml:space="preserve">4.2.5.3 Características constructivas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lang w:val="es-MX"/>
        </w:rPr>
      </w:pPr>
      <w:r w:rsidRPr="00C262EA">
        <w:rPr>
          <w:rFonts w:ascii="Arial" w:hAnsi="Arial" w:cs="Arial"/>
          <w:lang w:val="es-MX"/>
        </w:rPr>
        <w:t>En forma general se suministrarán reactores para servicio exterior, devanado sumergido en aceite, diseñado para circulación natural de aceite y aire (ONAN).</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a) Núcleos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Los 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lastRenderedPageBreak/>
        <w:t>El circuito magnético estará sólidamente puesto a tierra con las estructuras de ajuste del núcleo y con el tanque de una forma segura, de tal manera que permita una fácil desconexión a tierra, cuando se necesite retirar el núcleo del tanque.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b) Arrollamientos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Todos los cables, barras o conductores que se utilicen para los arrollamientos serán de cobre electrolítico de alta calidad y pureza.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aislamiento de los conductores será de papel de alta estabilidad térmica y resistente al envejecimiento, podrán darse un baño de barniz para mejorar la resistencia mecánica.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lang w:val="es-MX"/>
        </w:rPr>
        <w:t>El conjunto de arrollamientos y  núcleo, completamente ensamblado deberá secarse al vacío para asegurar la extracción</w:t>
      </w:r>
      <w:r w:rsidRPr="00C262EA">
        <w:rPr>
          <w:rFonts w:ascii="Arial" w:hAnsi="Arial" w:cs="Arial"/>
        </w:rPr>
        <w:t xml:space="preserve"> de la humedad y después ser impregnado y sumergido en aceite dieléctrico.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c) Tanque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tanque será construido con planchas de acero estructural de alta resistencia, reforzado con perfiles de acero.</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aceptaran empaquetaduras de goma sintética resistente al aceite.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tanque estará provisto de dos tomas de puesta a tierra con sus respectivos conectores ubicados en los extremos opuestos de la parte  inferior del tanque.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tanque estará provisto de las válvulas y accesorios siguientes (la lista no es limitativa), y de ser necesario el fabricante implementará los accesorios necesarios para la óptima operación del reactor:</w:t>
      </w:r>
    </w:p>
    <w:p w:rsidR="00C262EA" w:rsidRPr="00C262EA" w:rsidRDefault="00C262EA" w:rsidP="004F6B32">
      <w:pPr>
        <w:numPr>
          <w:ilvl w:val="0"/>
          <w:numId w:val="79"/>
        </w:numPr>
        <w:tabs>
          <w:tab w:val="clear" w:pos="567"/>
          <w:tab w:val="clear" w:pos="1134"/>
          <w:tab w:val="clear" w:pos="1701"/>
          <w:tab w:val="clear" w:pos="2268"/>
          <w:tab w:val="clear" w:pos="2835"/>
        </w:tabs>
        <w:spacing w:before="120" w:line="247" w:lineRule="auto"/>
        <w:jc w:val="both"/>
        <w:rPr>
          <w:rFonts w:ascii="Arial" w:hAnsi="Arial" w:cs="Arial"/>
          <w:lang w:val="es-MX"/>
        </w:rPr>
      </w:pPr>
      <w:r w:rsidRPr="00C262EA">
        <w:rPr>
          <w:rFonts w:ascii="Arial" w:hAnsi="Arial" w:cs="Arial"/>
          <w:lang w:val="es-MX"/>
        </w:rPr>
        <w:t>Válvula de descarga de sobrepresión interna, ajustada para 0,5 kg/cm2 de sobrepresión interna.</w:t>
      </w:r>
    </w:p>
    <w:p w:rsidR="00C262EA" w:rsidRPr="00C262EA" w:rsidRDefault="00C262EA" w:rsidP="004F6B32">
      <w:pPr>
        <w:numPr>
          <w:ilvl w:val="0"/>
          <w:numId w:val="79"/>
        </w:numPr>
        <w:tabs>
          <w:tab w:val="clear" w:pos="567"/>
          <w:tab w:val="clear" w:pos="1134"/>
          <w:tab w:val="clear" w:pos="1701"/>
          <w:tab w:val="clear" w:pos="2268"/>
          <w:tab w:val="clear" w:pos="2835"/>
        </w:tabs>
        <w:spacing w:before="120" w:line="247" w:lineRule="auto"/>
        <w:ind w:left="1701" w:hanging="207"/>
        <w:jc w:val="both"/>
        <w:rPr>
          <w:rFonts w:ascii="Arial" w:hAnsi="Arial" w:cs="Arial"/>
          <w:lang w:val="es-MX"/>
        </w:rPr>
      </w:pPr>
      <w:r w:rsidRPr="00C262EA">
        <w:rPr>
          <w:rFonts w:ascii="Arial" w:hAnsi="Arial" w:cs="Arial"/>
          <w:lang w:val="es-MX"/>
        </w:rPr>
        <w:t>Válvulas para las conexiones de filtración del aceite, situadas una en la parte superior y otra en la parte inferior del tanque.</w:t>
      </w:r>
    </w:p>
    <w:p w:rsidR="00C262EA" w:rsidRPr="00C262EA" w:rsidRDefault="00C262EA" w:rsidP="004F6B32">
      <w:pPr>
        <w:numPr>
          <w:ilvl w:val="0"/>
          <w:numId w:val="79"/>
        </w:numPr>
        <w:tabs>
          <w:tab w:val="clear" w:pos="567"/>
          <w:tab w:val="clear" w:pos="1134"/>
          <w:tab w:val="clear" w:pos="1701"/>
          <w:tab w:val="clear" w:pos="2268"/>
          <w:tab w:val="clear" w:pos="2835"/>
        </w:tabs>
        <w:spacing w:before="120" w:line="247" w:lineRule="auto"/>
        <w:jc w:val="both"/>
        <w:rPr>
          <w:rFonts w:ascii="Arial" w:hAnsi="Arial" w:cs="Arial"/>
          <w:lang w:val="es-MX"/>
        </w:rPr>
      </w:pPr>
      <w:r w:rsidRPr="00C262EA">
        <w:rPr>
          <w:rFonts w:ascii="Arial" w:hAnsi="Arial" w:cs="Arial"/>
          <w:lang w:val="es-MX"/>
        </w:rPr>
        <w:t>Válvula de tres vías para la conexión de la tubería de conexión al relé Buchholz.</w:t>
      </w:r>
    </w:p>
    <w:p w:rsidR="00C262EA" w:rsidRPr="00C262EA" w:rsidRDefault="00C262EA" w:rsidP="004F6B32">
      <w:pPr>
        <w:numPr>
          <w:ilvl w:val="0"/>
          <w:numId w:val="79"/>
        </w:numPr>
        <w:tabs>
          <w:tab w:val="clear" w:pos="567"/>
          <w:tab w:val="clear" w:pos="1134"/>
          <w:tab w:val="clear" w:pos="1701"/>
          <w:tab w:val="clear" w:pos="2268"/>
          <w:tab w:val="clear" w:pos="2835"/>
        </w:tabs>
        <w:spacing w:before="120" w:line="247" w:lineRule="auto"/>
        <w:jc w:val="both"/>
        <w:rPr>
          <w:rFonts w:ascii="Arial" w:hAnsi="Arial" w:cs="Arial"/>
          <w:lang w:val="es-MX"/>
        </w:rPr>
      </w:pPr>
      <w:r w:rsidRPr="00C262EA">
        <w:rPr>
          <w:rFonts w:ascii="Arial" w:hAnsi="Arial" w:cs="Arial"/>
          <w:lang w:val="es-MX"/>
        </w:rPr>
        <w:t>Grifos de toma de aceite y de purga.</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d) Aisladores pasatapas y cajas terminales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Los aisladores pasatapas serán del tipo condensador y de acuerdo a la Norma IEC 60137.</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Deberán ser diseñados para un ambiente de alta contaminación, y con una línea de fuga no menor a 25 mm/kV. La porcelana empleada en los pasatapas deberá ser homogénea, libre de cavidades, protuberancias, exfoliaciones o resquebrajaduras y deberán ser impermeables a la humedad.</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Todas las piezas de los pasatapas  que sean expuestas a la acción de la atmósfera deberán ser fabricadas de material no higroscópico.</w:t>
      </w:r>
    </w:p>
    <w:p w:rsidR="00C262EA" w:rsidRPr="00C262EA" w:rsidRDefault="007802B0"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Pr>
          <w:rFonts w:ascii="Arial" w:hAnsi="Arial" w:cs="Arial"/>
          <w:b/>
          <w:bCs/>
          <w:lang w:val="es-MX"/>
        </w:rPr>
        <w:br w:type="page"/>
      </w:r>
      <w:r w:rsidR="00C262EA" w:rsidRPr="00C262EA">
        <w:rPr>
          <w:rFonts w:ascii="Arial" w:hAnsi="Arial" w:cs="Arial"/>
          <w:b/>
          <w:bCs/>
          <w:lang w:val="es-MX"/>
        </w:rPr>
        <w:lastRenderedPageBreak/>
        <w:t>e) Aceite aislante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reactor será suministrado con su dotación completa de aceite aislante más una reserva de mínimo 5% del volumen neto, los cuales serán embarcados separadamente en recipientes de acero herméticamente cerrados.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reactor será embarcado sin aceite y en su lugar será llenado con gas nitrógeno para su transporte.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El aceite dieléctrico a proveerse será aceite mineral refinado, que en su composición química no contenga sustancias inhibidoras y deberá cumplir con las Normas IEC 60354 e IEC 60296.</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f) Características Técnicas</w:t>
      </w:r>
    </w:p>
    <w:p w:rsidR="00C262EA" w:rsidRPr="00C262EA" w:rsidRDefault="00C262EA" w:rsidP="00C262EA">
      <w:pPr>
        <w:tabs>
          <w:tab w:val="clear" w:pos="567"/>
          <w:tab w:val="clear" w:pos="1134"/>
          <w:tab w:val="clear" w:pos="1701"/>
          <w:tab w:val="clear" w:pos="2268"/>
          <w:tab w:val="clear" w:pos="2835"/>
        </w:tabs>
        <w:spacing w:before="120" w:line="276" w:lineRule="auto"/>
        <w:ind w:left="1276"/>
        <w:jc w:val="both"/>
        <w:rPr>
          <w:rFonts w:ascii="Arial" w:hAnsi="Arial" w:cs="Arial"/>
          <w:lang w:val="es-MX"/>
        </w:rPr>
      </w:pPr>
      <w:r w:rsidRPr="00C262EA">
        <w:rPr>
          <w:rFonts w:ascii="Arial" w:hAnsi="Arial" w:cs="Arial"/>
          <w:lang w:val="es-MX"/>
        </w:rPr>
        <w:t>Los reactores serán trifásicos, para instalación exterior, sumergidos en aceite aislante y de las características principales siguientes:</w:t>
      </w:r>
    </w:p>
    <w:p w:rsidR="00C262EA" w:rsidRPr="00C262EA" w:rsidRDefault="00C262EA" w:rsidP="00617AD3">
      <w:pPr>
        <w:tabs>
          <w:tab w:val="clear" w:pos="567"/>
          <w:tab w:val="clear" w:pos="1134"/>
          <w:tab w:val="clear" w:pos="1701"/>
          <w:tab w:val="clear" w:pos="2268"/>
          <w:tab w:val="clear" w:pos="2835"/>
        </w:tabs>
        <w:spacing w:line="276" w:lineRule="auto"/>
        <w:ind w:left="2127"/>
        <w:rPr>
          <w:rFonts w:ascii="Arial" w:hAnsi="Arial" w:cs="Arial"/>
          <w:b/>
          <w:bCs/>
        </w:rPr>
      </w:pPr>
      <w:bookmarkStart w:id="92" w:name="_Toc272265370"/>
      <w:r w:rsidRPr="00C262EA">
        <w:rPr>
          <w:rFonts w:ascii="Arial" w:hAnsi="Arial" w:cs="Arial"/>
          <w:b/>
          <w:bCs/>
        </w:rPr>
        <w:t>Descripción</w:t>
      </w:r>
      <w:bookmarkEnd w:id="92"/>
    </w:p>
    <w:p w:rsidR="00C262EA" w:rsidRPr="00C262EA" w:rsidRDefault="00C262EA" w:rsidP="00C262EA">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C262EA">
        <w:rPr>
          <w:rFonts w:ascii="Arial" w:hAnsi="Arial" w:cs="Arial"/>
          <w:lang w:val="es-MX"/>
        </w:rPr>
        <w:t>Tensión devanado primario</w:t>
      </w:r>
      <w:r w:rsidRPr="00C262EA">
        <w:rPr>
          <w:rFonts w:ascii="Arial" w:hAnsi="Arial" w:cs="Arial"/>
          <w:lang w:val="es-MX"/>
        </w:rPr>
        <w:tab/>
      </w:r>
      <w:r w:rsidR="00617AD3">
        <w:rPr>
          <w:rFonts w:ascii="Arial" w:hAnsi="Arial" w:cs="Arial"/>
          <w:lang w:val="es-MX"/>
        </w:rPr>
        <w:tab/>
      </w:r>
      <w:r w:rsidR="00617AD3">
        <w:rPr>
          <w:rFonts w:ascii="Arial" w:hAnsi="Arial" w:cs="Arial"/>
          <w:lang w:val="es-MX"/>
        </w:rPr>
        <w:tab/>
      </w:r>
      <w:r w:rsidRPr="00C262EA">
        <w:rPr>
          <w:rFonts w:ascii="Arial" w:hAnsi="Arial" w:cs="Arial"/>
          <w:lang w:val="es-MX"/>
        </w:rPr>
        <w:t>:</w:t>
      </w:r>
      <w:r w:rsidR="00617AD3">
        <w:rPr>
          <w:rFonts w:ascii="Arial" w:hAnsi="Arial" w:cs="Arial"/>
          <w:lang w:val="es-MX"/>
        </w:rPr>
        <w:t xml:space="preserve"> </w:t>
      </w:r>
      <w:r w:rsidRPr="00C262EA">
        <w:rPr>
          <w:rFonts w:ascii="Arial" w:hAnsi="Arial" w:cs="Arial"/>
          <w:lang w:val="es-MX"/>
        </w:rPr>
        <w:t>220 kV</w:t>
      </w:r>
    </w:p>
    <w:p w:rsidR="00C262EA" w:rsidRPr="00C262EA" w:rsidRDefault="00C262EA" w:rsidP="00C262EA">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C262EA">
        <w:rPr>
          <w:rFonts w:ascii="Arial" w:hAnsi="Arial" w:cs="Arial"/>
          <w:lang w:val="es-MX"/>
        </w:rPr>
        <w:t>Tipo</w:t>
      </w:r>
      <w:r w:rsidRPr="00C262EA">
        <w:rPr>
          <w:rFonts w:ascii="Arial" w:hAnsi="Arial" w:cs="Arial"/>
          <w:lang w:val="es-MX"/>
        </w:rPr>
        <w:tab/>
      </w:r>
      <w:r w:rsidRPr="00C262EA">
        <w:rPr>
          <w:rFonts w:ascii="Arial" w:hAnsi="Arial" w:cs="Arial"/>
          <w:lang w:val="es-MX"/>
        </w:rPr>
        <w:tab/>
      </w:r>
      <w:r w:rsidRPr="00C262EA">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Pr="00C262EA">
        <w:rPr>
          <w:rFonts w:ascii="Arial" w:hAnsi="Arial" w:cs="Arial"/>
          <w:lang w:val="es-MX"/>
        </w:rPr>
        <w:t>: Derivación (Reactor Shunt)</w:t>
      </w:r>
    </w:p>
    <w:p w:rsidR="00C262EA" w:rsidRPr="00C262EA" w:rsidRDefault="00C262EA" w:rsidP="00C262EA">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C262EA">
        <w:rPr>
          <w:rFonts w:ascii="Arial" w:hAnsi="Arial" w:cs="Arial"/>
          <w:lang w:val="es-MX"/>
        </w:rPr>
        <w:t>Potencia Nominal (*)</w:t>
      </w:r>
      <w:r w:rsidRPr="00C262EA">
        <w:rPr>
          <w:rFonts w:ascii="Arial" w:hAnsi="Arial" w:cs="Arial"/>
          <w:lang w:val="es-MX"/>
        </w:rPr>
        <w:tab/>
      </w:r>
      <w:r w:rsidRPr="00C262EA">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Pr="00C262EA">
        <w:rPr>
          <w:rFonts w:ascii="Arial" w:hAnsi="Arial" w:cs="Arial"/>
          <w:lang w:val="es-MX"/>
        </w:rPr>
        <w:t>:</w:t>
      </w:r>
      <w:r w:rsidR="00617AD3">
        <w:rPr>
          <w:rFonts w:ascii="Arial" w:hAnsi="Arial" w:cs="Arial"/>
          <w:lang w:val="es-MX"/>
        </w:rPr>
        <w:t xml:space="preserve"> </w:t>
      </w:r>
      <w:r w:rsidRPr="00C262EA">
        <w:rPr>
          <w:rFonts w:ascii="Arial" w:hAnsi="Arial" w:cs="Arial"/>
          <w:lang w:val="es-MX"/>
        </w:rPr>
        <w:t>20 MVAR (*)</w:t>
      </w:r>
    </w:p>
    <w:p w:rsidR="00C262EA" w:rsidRPr="00C262EA" w:rsidRDefault="00C262EA" w:rsidP="00C262EA">
      <w:pPr>
        <w:tabs>
          <w:tab w:val="clear" w:pos="567"/>
          <w:tab w:val="clear" w:pos="1134"/>
          <w:tab w:val="clear" w:pos="1701"/>
          <w:tab w:val="clear" w:pos="2268"/>
          <w:tab w:val="clear" w:pos="2835"/>
        </w:tabs>
        <w:spacing w:line="247" w:lineRule="auto"/>
        <w:ind w:left="1418"/>
        <w:jc w:val="both"/>
        <w:rPr>
          <w:rFonts w:ascii="Arial" w:hAnsi="Arial" w:cs="Arial"/>
          <w:lang w:val="es-MX"/>
        </w:rPr>
      </w:pPr>
      <w:r w:rsidRPr="00C262EA">
        <w:rPr>
          <w:rFonts w:ascii="Arial" w:hAnsi="Arial" w:cs="Arial"/>
          <w:lang w:val="es-MX"/>
        </w:rPr>
        <w:t>Refrigeración</w:t>
      </w:r>
      <w:r w:rsidRPr="00C262EA">
        <w:rPr>
          <w:rFonts w:ascii="Arial" w:hAnsi="Arial" w:cs="Arial"/>
          <w:lang w:val="es-MX"/>
        </w:rPr>
        <w:tab/>
      </w:r>
      <w:r w:rsidRPr="00C262EA">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00617AD3">
        <w:rPr>
          <w:rFonts w:ascii="Arial" w:hAnsi="Arial" w:cs="Arial"/>
          <w:lang w:val="es-MX"/>
        </w:rPr>
        <w:tab/>
      </w:r>
      <w:r w:rsidRPr="00C262EA">
        <w:rPr>
          <w:rFonts w:ascii="Arial" w:hAnsi="Arial" w:cs="Arial"/>
          <w:lang w:val="es-MX"/>
        </w:rPr>
        <w:t>: ONAN</w:t>
      </w:r>
    </w:p>
    <w:p w:rsidR="00C262EA" w:rsidRPr="00C262EA" w:rsidRDefault="00C262EA" w:rsidP="00C262EA">
      <w:pPr>
        <w:tabs>
          <w:tab w:val="clear" w:pos="567"/>
          <w:tab w:val="clear" w:pos="1134"/>
          <w:tab w:val="clear" w:pos="1701"/>
          <w:tab w:val="clear" w:pos="2268"/>
          <w:tab w:val="clear" w:pos="2835"/>
        </w:tabs>
        <w:ind w:left="1418"/>
        <w:rPr>
          <w:rFonts w:ascii="Arial" w:hAnsi="Arial" w:cs="Arial"/>
        </w:rPr>
      </w:pPr>
      <w:bookmarkStart w:id="93" w:name="_Toc272265371"/>
      <w:r w:rsidRPr="00C262EA">
        <w:rPr>
          <w:rFonts w:ascii="Arial" w:hAnsi="Arial" w:cs="Arial"/>
        </w:rPr>
        <w:t>Conexión de neutro</w:t>
      </w:r>
      <w:r w:rsidRPr="00C262EA">
        <w:rPr>
          <w:rFonts w:ascii="Arial" w:hAnsi="Arial" w:cs="Arial"/>
        </w:rPr>
        <w:tab/>
      </w:r>
      <w:r w:rsidRPr="00C262EA">
        <w:rPr>
          <w:rFonts w:ascii="Arial" w:hAnsi="Arial" w:cs="Arial"/>
        </w:rPr>
        <w:tab/>
      </w:r>
      <w:r w:rsidR="00617AD3">
        <w:rPr>
          <w:rFonts w:ascii="Arial" w:hAnsi="Arial" w:cs="Arial"/>
        </w:rPr>
        <w:tab/>
      </w:r>
      <w:r w:rsidR="00617AD3">
        <w:rPr>
          <w:rFonts w:ascii="Arial" w:hAnsi="Arial" w:cs="Arial"/>
        </w:rPr>
        <w:tab/>
      </w:r>
      <w:r w:rsidR="00617AD3">
        <w:rPr>
          <w:rFonts w:ascii="Arial" w:hAnsi="Arial" w:cs="Arial"/>
        </w:rPr>
        <w:tab/>
      </w:r>
      <w:r w:rsidRPr="00C262EA">
        <w:rPr>
          <w:rFonts w:ascii="Arial" w:hAnsi="Arial" w:cs="Arial"/>
        </w:rPr>
        <w:t>: A tierra a través de reactancia de neutro</w:t>
      </w:r>
      <w:bookmarkEnd w:id="93"/>
    </w:p>
    <w:p w:rsidR="00C262EA" w:rsidRPr="00C262EA" w:rsidRDefault="00C262EA" w:rsidP="00C262EA">
      <w:pPr>
        <w:tabs>
          <w:tab w:val="clear" w:pos="567"/>
          <w:tab w:val="clear" w:pos="1134"/>
          <w:tab w:val="clear" w:pos="1701"/>
          <w:tab w:val="clear" w:pos="2268"/>
          <w:tab w:val="clear" w:pos="2835"/>
        </w:tabs>
        <w:spacing w:line="247" w:lineRule="auto"/>
        <w:ind w:left="1418"/>
        <w:jc w:val="both"/>
        <w:rPr>
          <w:rFonts w:ascii="Arial" w:hAnsi="Arial" w:cs="Arial"/>
        </w:rPr>
      </w:pPr>
      <w:r w:rsidRPr="00C262EA">
        <w:rPr>
          <w:rFonts w:ascii="Arial" w:hAnsi="Arial" w:cs="Arial"/>
        </w:rPr>
        <w:t>Accesorios</w:t>
      </w:r>
      <w:r w:rsidRPr="00C262EA">
        <w:rPr>
          <w:rFonts w:ascii="Arial" w:hAnsi="Arial" w:cs="Arial"/>
        </w:rPr>
        <w:tab/>
      </w:r>
      <w:r w:rsidRPr="00C262EA">
        <w:rPr>
          <w:rFonts w:ascii="Arial" w:hAnsi="Arial" w:cs="Arial"/>
        </w:rPr>
        <w:tab/>
      </w:r>
      <w:r w:rsidRPr="00C262EA">
        <w:rPr>
          <w:rFonts w:ascii="Arial" w:hAnsi="Arial" w:cs="Arial"/>
        </w:rPr>
        <w:tab/>
      </w:r>
      <w:r w:rsidR="00617AD3">
        <w:rPr>
          <w:rFonts w:ascii="Arial" w:hAnsi="Arial" w:cs="Arial"/>
        </w:rPr>
        <w:tab/>
      </w:r>
      <w:r w:rsidR="00617AD3">
        <w:rPr>
          <w:rFonts w:ascii="Arial" w:hAnsi="Arial" w:cs="Arial"/>
        </w:rPr>
        <w:tab/>
      </w:r>
      <w:r w:rsidR="00617AD3">
        <w:rPr>
          <w:rFonts w:ascii="Arial" w:hAnsi="Arial" w:cs="Arial"/>
        </w:rPr>
        <w:tab/>
      </w:r>
      <w:r w:rsidR="00617AD3">
        <w:rPr>
          <w:rFonts w:ascii="Arial" w:hAnsi="Arial" w:cs="Arial"/>
        </w:rPr>
        <w:tab/>
      </w:r>
      <w:r w:rsidR="00617AD3">
        <w:rPr>
          <w:rFonts w:ascii="Arial" w:hAnsi="Arial" w:cs="Arial"/>
        </w:rPr>
        <w:tab/>
      </w:r>
      <w:r w:rsidRPr="00C262EA">
        <w:rPr>
          <w:rFonts w:ascii="Arial" w:hAnsi="Arial" w:cs="Arial"/>
        </w:rPr>
        <w:t>:</w:t>
      </w:r>
      <w:r w:rsidR="00617AD3">
        <w:rPr>
          <w:rFonts w:ascii="Arial" w:hAnsi="Arial" w:cs="Arial"/>
        </w:rPr>
        <w:t xml:space="preserve"> </w:t>
      </w:r>
      <w:r w:rsidRPr="00C262EA">
        <w:rPr>
          <w:rFonts w:ascii="Arial" w:hAnsi="Arial" w:cs="Arial"/>
        </w:rPr>
        <w:t>Transformadores de corriente (BCT)</w:t>
      </w:r>
    </w:p>
    <w:p w:rsidR="00C262EA" w:rsidRPr="00C262EA" w:rsidRDefault="00C262EA" w:rsidP="00C262EA">
      <w:pPr>
        <w:tabs>
          <w:tab w:val="clear" w:pos="567"/>
          <w:tab w:val="clear" w:pos="1134"/>
          <w:tab w:val="clear" w:pos="1701"/>
          <w:tab w:val="clear" w:pos="2268"/>
          <w:tab w:val="clear" w:pos="2835"/>
        </w:tabs>
        <w:spacing w:before="240" w:line="247" w:lineRule="auto"/>
        <w:ind w:left="993" w:hanging="142"/>
        <w:jc w:val="both"/>
        <w:rPr>
          <w:rFonts w:ascii="Arial" w:hAnsi="Arial" w:cs="Arial"/>
          <w:sz w:val="16"/>
          <w:szCs w:val="16"/>
          <w:lang w:val="es-MX" w:eastAsia="es-ES"/>
        </w:rPr>
      </w:pPr>
      <w:r w:rsidRPr="00C262EA">
        <w:rPr>
          <w:rFonts w:ascii="Arial" w:hAnsi="Arial" w:cs="Arial"/>
          <w:b/>
          <w:bCs/>
          <w:sz w:val="16"/>
          <w:szCs w:val="16"/>
          <w:lang w:val="es-MX"/>
        </w:rPr>
        <w:t xml:space="preserve">(*) </w:t>
      </w:r>
      <w:r w:rsidRPr="00C262EA">
        <w:rPr>
          <w:rFonts w:ascii="Arial" w:hAnsi="Arial" w:cs="Arial"/>
          <w:sz w:val="16"/>
          <w:szCs w:val="16"/>
          <w:lang w:val="es-MX"/>
        </w:rPr>
        <w:t xml:space="preserve">Valores  de  referencia. Los  valores  finales  serán  definidos   por  la  Sociedad Concesionaria y aprobados en el COES-SINAC </w:t>
      </w:r>
      <w:r w:rsidRPr="00C262EA">
        <w:rPr>
          <w:rFonts w:ascii="Arial" w:hAnsi="Arial" w:cs="Arial"/>
          <w:sz w:val="16"/>
          <w:szCs w:val="16"/>
          <w:lang w:val="es-MX" w:eastAsia="es-ES"/>
        </w:rPr>
        <w:t>en el Estudio de Pre Operatividad.</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h) Transformadores de corriente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Los reactores serán suministrados con transformadores de corriente incorporados en los aisladores pasatapas (bushings), de dos núcleos, ambos para protección, en las tres fases.</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lang w:val="es-MX"/>
        </w:rPr>
        <w:t>Aparte, los reactores contarán con los transformadores de corriente para protección de imagen térmica.</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 xml:space="preserve">i) Protección contra Incendio </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Cada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rPr>
      </w:pPr>
      <w:r w:rsidRPr="00C262EA">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C262EA" w:rsidRPr="00C262EA" w:rsidRDefault="00C262EA" w:rsidP="00C262EA">
      <w:pPr>
        <w:tabs>
          <w:tab w:val="clear" w:pos="567"/>
          <w:tab w:val="clear" w:pos="1134"/>
          <w:tab w:val="clear" w:pos="1701"/>
          <w:tab w:val="clear" w:pos="2268"/>
          <w:tab w:val="clear" w:pos="2835"/>
        </w:tabs>
        <w:spacing w:before="120" w:line="247" w:lineRule="auto"/>
        <w:ind w:left="1276"/>
        <w:jc w:val="both"/>
        <w:rPr>
          <w:rFonts w:ascii="Arial" w:hAnsi="Arial" w:cs="Arial"/>
          <w:lang w:val="es-MX"/>
        </w:rPr>
      </w:pPr>
      <w:r w:rsidRPr="00C262EA">
        <w:rPr>
          <w:rFonts w:ascii="Arial" w:hAnsi="Arial" w:cs="Arial"/>
        </w:rPr>
        <w:t xml:space="preserve">El equipo estará provisto de un dispositivo de Eliminación de Gases Explosivos para garantizar la seguridad de las personas y evitar el efecto bazuca causado por el contacto del gas explosivo con el aire al abrir el tanque después del incidente. Se </w:t>
      </w:r>
      <w:r w:rsidRPr="00C262EA">
        <w:rPr>
          <w:rFonts w:ascii="Arial" w:hAnsi="Arial" w:cs="Arial"/>
        </w:rPr>
        <w:lastRenderedPageBreak/>
        <w:t>puede emplear dos tipos de inyección de nitrógeno: la inyección manual y/o la automática.</w:t>
      </w:r>
    </w:p>
    <w:p w:rsidR="00C262EA" w:rsidRPr="00C262EA" w:rsidRDefault="00C262EA" w:rsidP="00A014F7">
      <w:pPr>
        <w:keepNext/>
        <w:tabs>
          <w:tab w:val="clear" w:pos="567"/>
          <w:tab w:val="clear" w:pos="1134"/>
          <w:tab w:val="clear" w:pos="1701"/>
          <w:tab w:val="clear" w:pos="2268"/>
          <w:tab w:val="clear" w:pos="2835"/>
        </w:tabs>
        <w:spacing w:before="240"/>
        <w:outlineLvl w:val="2"/>
        <w:rPr>
          <w:rFonts w:ascii="Arial" w:hAnsi="Arial" w:cs="Arial"/>
          <w:b/>
          <w:bCs/>
          <w:lang w:val="es-MX"/>
        </w:rPr>
      </w:pPr>
      <w:bookmarkStart w:id="94" w:name="_Toc272265372"/>
      <w:bookmarkStart w:id="95" w:name="_Toc272431160"/>
      <w:bookmarkStart w:id="96" w:name="_Toc306777430"/>
      <w:r w:rsidRPr="00C262EA">
        <w:rPr>
          <w:rFonts w:ascii="Arial" w:hAnsi="Arial" w:cs="Arial"/>
          <w:b/>
          <w:bCs/>
          <w:lang w:val="es-MX"/>
        </w:rPr>
        <w:t>4.2.6</w:t>
      </w:r>
      <w:r w:rsidRPr="00C262EA">
        <w:rPr>
          <w:rFonts w:ascii="Arial" w:hAnsi="Arial" w:cs="Arial"/>
          <w:b/>
          <w:bCs/>
          <w:lang w:val="es-MX"/>
        </w:rPr>
        <w:tab/>
        <w:t>REACTANCIAS DE NEUTRO</w:t>
      </w:r>
      <w:bookmarkEnd w:id="94"/>
      <w:bookmarkEnd w:id="95"/>
      <w:bookmarkEnd w:id="96"/>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C262EA">
        <w:rPr>
          <w:rFonts w:ascii="Arial" w:hAnsi="Arial" w:cs="Arial"/>
          <w:b/>
          <w:bCs/>
        </w:rPr>
        <w:t>4.2.6.1 Alcance</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rPr>
      </w:pPr>
      <w:r w:rsidRPr="00C262EA">
        <w:rPr>
          <w:rFonts w:ascii="Arial" w:hAnsi="Arial" w:cs="Arial"/>
        </w:rPr>
        <w:t xml:space="preserve">Estas especificaciones cubren el alcance de las características mínimas a considerar para el diseño, fabricación y ensayos de los reactores de neutro incluyendo los elementos auxiliares necesarios  para su  correcto funcionamiento y operación.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4.2.6.2 Normas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rPr>
      </w:pPr>
      <w:r w:rsidRPr="00C262EA">
        <w:rPr>
          <w:rFonts w:ascii="Arial" w:hAnsi="Arial" w:cs="Arial"/>
        </w:rPr>
        <w:t xml:space="preserve">Para el diseño, fabricación y transporte de los reactores de neutro se utilizarán, sin ser limitativas, las Normas siguientes: IEC 60289, IEC 60076-1, IEC 60076-2, IEC 60076-3, IEC 60076-3-1, IEC- IEC 60076-5, IEC 60772, IEC 60156, IEC 60354, IEC 60551, IEC 60044, IEC-60296, IEC 60542. </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4.2.6.3 Características constructivas</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rPr>
      </w:pPr>
      <w:r w:rsidRPr="00C262EA">
        <w:rPr>
          <w:rFonts w:ascii="Arial" w:hAnsi="Arial" w:cs="Arial"/>
        </w:rPr>
        <w:t>Se suministrarán reactancias de neutro supresor de arco monofásico, para instalación exterior, sumergido en aceite aislante refrigerado por circulación natural del aceite y aire (ONAN).</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rPr>
      </w:pPr>
      <w:r w:rsidRPr="00C262EA">
        <w:rPr>
          <w:rFonts w:ascii="Arial" w:hAnsi="Arial" w:cs="Arial"/>
        </w:rPr>
        <w:t>Formarán parte del suministro:</w:t>
      </w:r>
    </w:p>
    <w:p w:rsidR="00C262EA" w:rsidRPr="00C262EA" w:rsidRDefault="00C262EA" w:rsidP="00A014F7">
      <w:pPr>
        <w:tabs>
          <w:tab w:val="clear" w:pos="567"/>
          <w:tab w:val="clear" w:pos="1134"/>
          <w:tab w:val="clear" w:pos="1701"/>
          <w:tab w:val="clear" w:pos="2268"/>
          <w:tab w:val="clear" w:pos="2835"/>
          <w:tab w:val="left" w:pos="1200"/>
        </w:tabs>
        <w:spacing w:line="247" w:lineRule="auto"/>
        <w:ind w:left="851"/>
        <w:jc w:val="both"/>
        <w:rPr>
          <w:rFonts w:ascii="Arial" w:hAnsi="Arial" w:cs="Arial"/>
          <w:lang w:val="es-MX"/>
        </w:rPr>
      </w:pPr>
      <w:r w:rsidRPr="00C262EA">
        <w:rPr>
          <w:rFonts w:ascii="Arial" w:hAnsi="Arial" w:cs="Arial"/>
          <w:lang w:val="es-MX"/>
        </w:rPr>
        <w:tab/>
        <w:t>Aceite aislante para el primer llenado, con una reserva mínima de 5% para reposición.</w:t>
      </w:r>
    </w:p>
    <w:p w:rsidR="00C262EA" w:rsidRPr="00C262EA" w:rsidRDefault="00C262EA" w:rsidP="00C262EA">
      <w:pPr>
        <w:tabs>
          <w:tab w:val="clear" w:pos="567"/>
          <w:tab w:val="clear" w:pos="1134"/>
          <w:tab w:val="clear" w:pos="1701"/>
          <w:tab w:val="clear" w:pos="2268"/>
          <w:tab w:val="clear" w:pos="2835"/>
          <w:tab w:val="left" w:pos="1200"/>
        </w:tabs>
        <w:spacing w:line="247" w:lineRule="auto"/>
        <w:ind w:left="851"/>
        <w:jc w:val="both"/>
        <w:rPr>
          <w:rFonts w:ascii="Arial" w:hAnsi="Arial" w:cs="Arial"/>
          <w:lang w:val="es-MX"/>
        </w:rPr>
      </w:pPr>
      <w:r w:rsidRPr="00C262EA">
        <w:rPr>
          <w:rFonts w:ascii="Arial" w:hAnsi="Arial" w:cs="Arial"/>
          <w:lang w:val="es-MX"/>
        </w:rPr>
        <w:t>-</w:t>
      </w:r>
      <w:r w:rsidRPr="00C262EA">
        <w:rPr>
          <w:rFonts w:ascii="Arial" w:hAnsi="Arial" w:cs="Arial"/>
          <w:lang w:val="es-MX"/>
        </w:rPr>
        <w:tab/>
        <w:t>Placas aislantes para apoyo de los equipos.</w:t>
      </w:r>
    </w:p>
    <w:p w:rsidR="00C262EA" w:rsidRPr="00C262EA" w:rsidRDefault="00C262EA" w:rsidP="00A014F7">
      <w:pPr>
        <w:keepNext/>
        <w:tabs>
          <w:tab w:val="clear" w:pos="567"/>
          <w:tab w:val="clear" w:pos="1134"/>
          <w:tab w:val="clear" w:pos="1701"/>
          <w:tab w:val="clear" w:pos="2268"/>
          <w:tab w:val="clear" w:pos="2835"/>
        </w:tabs>
        <w:spacing w:before="240"/>
        <w:outlineLvl w:val="2"/>
        <w:rPr>
          <w:rFonts w:ascii="Arial" w:hAnsi="Arial" w:cs="Arial"/>
          <w:b/>
          <w:bCs/>
          <w:lang w:val="es-MX"/>
        </w:rPr>
      </w:pPr>
      <w:bookmarkStart w:id="97" w:name="_Toc272265373"/>
      <w:bookmarkStart w:id="98" w:name="_Toc272431161"/>
      <w:bookmarkStart w:id="99" w:name="_Toc306777431"/>
      <w:r w:rsidRPr="00C262EA">
        <w:rPr>
          <w:rFonts w:ascii="Arial" w:hAnsi="Arial" w:cs="Arial"/>
          <w:b/>
          <w:bCs/>
          <w:lang w:val="es-MX"/>
        </w:rPr>
        <w:t>4.2.7</w:t>
      </w:r>
      <w:r w:rsidRPr="00C262EA">
        <w:rPr>
          <w:rFonts w:ascii="Arial" w:hAnsi="Arial" w:cs="Arial"/>
          <w:b/>
          <w:bCs/>
          <w:lang w:val="es-MX"/>
        </w:rPr>
        <w:tab/>
        <w:t>PARARRAYOS</w:t>
      </w:r>
      <w:bookmarkEnd w:id="97"/>
      <w:bookmarkEnd w:id="98"/>
      <w:bookmarkEnd w:id="99"/>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rPr>
      </w:pPr>
      <w:r w:rsidRPr="00C262EA">
        <w:rPr>
          <w:rFonts w:ascii="Arial" w:hAnsi="Arial" w:cs="Arial"/>
          <w:b/>
          <w:bCs/>
        </w:rPr>
        <w:t>4.2.7.1 Alcance</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rPr>
      </w:pPr>
      <w:r w:rsidRPr="00C262EA">
        <w:rPr>
          <w:rFonts w:ascii="Arial" w:hAnsi="Arial" w:cs="Arial"/>
        </w:rPr>
        <w:t xml:space="preserve">Estas especificaciones cubren el alcance de las características mínimas requeridas para el </w:t>
      </w:r>
      <w:r w:rsidRPr="00C262EA">
        <w:rPr>
          <w:rFonts w:ascii="Arial" w:hAnsi="Arial" w:cs="Arial"/>
          <w:lang w:val="es-MX"/>
        </w:rPr>
        <w:t>diseño</w:t>
      </w:r>
      <w:r w:rsidRPr="00C262EA">
        <w:rPr>
          <w:rFonts w:ascii="Arial" w:hAnsi="Arial" w:cs="Arial"/>
        </w:rPr>
        <w:t>, fabricación y ensayos de los descargadores de sobretensiones en todos los niveles de tensión, incluyendo los elementos auxiliares necesarios para su correcto montaje y funcionamiento.</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rPr>
      </w:pPr>
      <w:r w:rsidRPr="00C262EA">
        <w:rPr>
          <w:rFonts w:ascii="Arial" w:hAnsi="Arial" w:cs="Arial"/>
          <w:b/>
        </w:rPr>
        <w:t>4.2.7.2 Normas</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rPr>
      </w:pPr>
      <w:r w:rsidRPr="00C262EA">
        <w:rPr>
          <w:rFonts w:ascii="Arial" w:hAnsi="Arial" w:cs="Arial"/>
        </w:rPr>
        <w:t>Para el diseño, fabricación y transporte de los reactores se utilizarán, sin ser limitativas, las versiones vigentes de las normas siguientes: CNE Suministro, IEC 60099, IEC 60099-4, ANSI C.62.11.</w:t>
      </w:r>
    </w:p>
    <w:p w:rsidR="00C262EA" w:rsidRPr="00C262EA" w:rsidRDefault="00C262EA" w:rsidP="00C262EA">
      <w:pPr>
        <w:tabs>
          <w:tab w:val="clear" w:pos="567"/>
          <w:tab w:val="clear" w:pos="1134"/>
          <w:tab w:val="clear" w:pos="1701"/>
          <w:tab w:val="clear" w:pos="2268"/>
          <w:tab w:val="clear" w:pos="2835"/>
        </w:tabs>
        <w:spacing w:before="120" w:line="247" w:lineRule="auto"/>
        <w:ind w:left="851"/>
        <w:jc w:val="both"/>
        <w:rPr>
          <w:rFonts w:ascii="Arial" w:hAnsi="Arial" w:cs="Arial"/>
          <w:b/>
          <w:bCs/>
          <w:lang w:val="es-MX"/>
        </w:rPr>
      </w:pPr>
      <w:r w:rsidRPr="00C262EA">
        <w:rPr>
          <w:rFonts w:ascii="Arial" w:hAnsi="Arial" w:cs="Arial"/>
          <w:b/>
          <w:bCs/>
          <w:lang w:val="es-MX"/>
        </w:rPr>
        <w:t>4.2.7.3 Características constructivas</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C262EA">
        <w:rPr>
          <w:rFonts w:ascii="Arial" w:hAnsi="Arial" w:cs="Arial"/>
        </w:rPr>
        <w:t xml:space="preserve">En forma general se suministrarán descargadores de Oxido de zinc (ZnO) para instalación </w:t>
      </w:r>
      <w:r w:rsidRPr="00C262EA">
        <w:rPr>
          <w:rFonts w:ascii="Arial" w:hAnsi="Arial" w:cs="Arial"/>
          <w:lang w:val="es-MX"/>
        </w:rPr>
        <w:t>exterior.</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C262EA">
        <w:rPr>
          <w:rFonts w:ascii="Arial" w:hAnsi="Arial" w:cs="Arial"/>
          <w:lang w:val="es-MX"/>
        </w:rPr>
        <w:t>Serán adecuados para protección de los equipos contra sobretensiones atmosféricas y sobretensiones de maniobra. La corriente permanente deberá retornar a un valor constante no creciente luego de la disipación del transitorio producido por una descarga.</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C262EA">
        <w:rPr>
          <w:rFonts w:ascii="Arial" w:hAnsi="Arial" w:cs="Arial"/>
          <w:lang w:val="es-MX"/>
        </w:rPr>
        <w:t>Los descargadores serán aptos para sistemas con neutro sólidamente puesto a tierra, la tensión residual de las corrientes de impulso debe ser lo más baja posible.</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lang w:val="es-MX"/>
        </w:rPr>
      </w:pPr>
      <w:r w:rsidRPr="00C262EA">
        <w:rPr>
          <w:rFonts w:ascii="Arial" w:hAnsi="Arial" w:cs="Arial"/>
          <w:lang w:val="es-MX"/>
        </w:rPr>
        <w:t>No deberá presentar descargas por efecto corona. Los puntos agudos en terminales, etc, deberán ser adecuadamente blindados mediante el uso de anillos anticorona,  para cumplir con los requerimientos de radio interferencia y efecto corona.</w:t>
      </w:r>
    </w:p>
    <w:p w:rsidR="00C262EA" w:rsidRPr="00C262EA" w:rsidRDefault="00C262EA" w:rsidP="00C262EA">
      <w:pPr>
        <w:tabs>
          <w:tab w:val="clear" w:pos="567"/>
          <w:tab w:val="clear" w:pos="1134"/>
          <w:tab w:val="clear" w:pos="1701"/>
          <w:tab w:val="clear" w:pos="2268"/>
          <w:tab w:val="clear" w:pos="2835"/>
        </w:tabs>
        <w:spacing w:before="60" w:line="247" w:lineRule="auto"/>
        <w:ind w:left="851"/>
        <w:jc w:val="both"/>
        <w:rPr>
          <w:rFonts w:ascii="Arial" w:hAnsi="Arial" w:cs="Arial"/>
        </w:rPr>
      </w:pPr>
      <w:r w:rsidRPr="00C262EA">
        <w:rPr>
          <w:rFonts w:ascii="Arial" w:hAnsi="Arial" w:cs="Arial"/>
          <w:lang w:val="es-MX"/>
        </w:rPr>
        <w:lastRenderedPageBreak/>
        <w:t>El material</w:t>
      </w:r>
      <w:r w:rsidRPr="00C262EA">
        <w:rPr>
          <w:rFonts w:ascii="Arial" w:hAnsi="Arial" w:cs="Arial"/>
        </w:rPr>
        <w:t xml:space="preserve"> de la unidad resistiva será óxido de zinc, y cada descargador podrá estar constituido por una o varias unidades, debiendo ser cada una de ellas un descargador en sí misma. Estarán provistos de contadores de descarga.</w:t>
      </w:r>
    </w:p>
    <w:p w:rsidR="00C262EA" w:rsidRPr="00C262EA" w:rsidRDefault="00C262EA" w:rsidP="00CE65ED">
      <w:pPr>
        <w:keepNext/>
        <w:spacing w:before="360"/>
        <w:ind w:left="425" w:hanging="425"/>
        <w:outlineLvl w:val="0"/>
        <w:rPr>
          <w:rFonts w:ascii="Arial" w:hAnsi="Arial" w:cs="Arial"/>
          <w:b/>
          <w:sz w:val="21"/>
          <w:szCs w:val="21"/>
          <w:lang w:val="es-ES_tradnl"/>
        </w:rPr>
      </w:pPr>
      <w:bookmarkStart w:id="100" w:name="_Toc306777432"/>
      <w:r w:rsidRPr="00C262EA">
        <w:rPr>
          <w:rFonts w:ascii="Arial" w:hAnsi="Arial" w:cs="Arial"/>
          <w:b/>
          <w:sz w:val="21"/>
          <w:szCs w:val="21"/>
          <w:lang w:val="es-ES_tradnl"/>
        </w:rPr>
        <w:t>5</w:t>
      </w:r>
      <w:r w:rsidRPr="00C262EA">
        <w:rPr>
          <w:rFonts w:ascii="Arial" w:hAnsi="Arial" w:cs="Arial"/>
          <w:b/>
          <w:sz w:val="21"/>
          <w:szCs w:val="21"/>
          <w:lang w:val="es-ES_tradnl"/>
        </w:rPr>
        <w:tab/>
        <w:t>CONTROL DE CONTAMINACIÓN DE CONDUCTORES Y AISLADORES</w:t>
      </w:r>
      <w:bookmarkEnd w:id="100"/>
    </w:p>
    <w:p w:rsidR="00C262EA" w:rsidRPr="00C262EA" w:rsidRDefault="00C262EA" w:rsidP="00C262EA">
      <w:pPr>
        <w:spacing w:before="120" w:line="264" w:lineRule="auto"/>
        <w:ind w:left="425"/>
        <w:jc w:val="both"/>
        <w:rPr>
          <w:rFonts w:ascii="Arial" w:hAnsi="Arial" w:cs="Arial"/>
        </w:rPr>
      </w:pPr>
      <w:r w:rsidRPr="00C262EA">
        <w:rPr>
          <w:rFonts w:ascii="Arial" w:hAnsi="Arial" w:cs="Arial"/>
        </w:rPr>
        <w:t>La Sociedad Concesionaria programará actividades periódicas de inspección y limpieza de los conductores y aisladores de la línea, a fin de controlar la acumulación de contaminación y garantizar adecuados niveles de pérdidas transversales (por efecto corona y corrientes de fuga), así como el  efecto de radio interferencia.</w:t>
      </w:r>
    </w:p>
    <w:p w:rsidR="00C262EA" w:rsidRPr="00C262EA" w:rsidRDefault="00C262EA" w:rsidP="00C262EA">
      <w:pPr>
        <w:spacing w:before="120" w:line="264" w:lineRule="auto"/>
        <w:ind w:left="425"/>
        <w:jc w:val="both"/>
        <w:rPr>
          <w:rFonts w:ascii="Arial" w:hAnsi="Arial" w:cs="Arial"/>
        </w:rPr>
      </w:pPr>
      <w:r w:rsidRPr="00C262EA">
        <w:rPr>
          <w:rFonts w:ascii="Arial" w:hAnsi="Arial" w:cs="Arial"/>
        </w:rPr>
        <w:t>A partir del quinto año de Operación Comercial de la Línea Eléctrica, la Sociedad Concesionaria efectuará las siguientes actividades:</w:t>
      </w:r>
    </w:p>
    <w:p w:rsidR="00C262EA" w:rsidRPr="00C262EA" w:rsidRDefault="00C262EA" w:rsidP="004F6B32">
      <w:pPr>
        <w:numPr>
          <w:ilvl w:val="0"/>
          <w:numId w:val="65"/>
        </w:numPr>
        <w:tabs>
          <w:tab w:val="clear" w:pos="567"/>
          <w:tab w:val="clear" w:pos="1134"/>
          <w:tab w:val="clear" w:pos="1701"/>
          <w:tab w:val="clear" w:pos="2268"/>
          <w:tab w:val="clear" w:pos="2835"/>
        </w:tabs>
        <w:spacing w:before="120" w:line="264" w:lineRule="auto"/>
        <w:jc w:val="both"/>
        <w:rPr>
          <w:rFonts w:ascii="Arial" w:hAnsi="Arial" w:cs="Arial"/>
        </w:rPr>
      </w:pPr>
      <w:r w:rsidRPr="00C262EA">
        <w:rPr>
          <w:rFonts w:ascii="Arial" w:hAnsi="Arial" w:cs="Arial"/>
        </w:rPr>
        <w:t>Inspecciones visuales periódicas.</w:t>
      </w:r>
    </w:p>
    <w:p w:rsidR="00C262EA" w:rsidRPr="00C262EA" w:rsidRDefault="00C262EA" w:rsidP="004F6B32">
      <w:pPr>
        <w:numPr>
          <w:ilvl w:val="0"/>
          <w:numId w:val="65"/>
        </w:numPr>
        <w:tabs>
          <w:tab w:val="clear" w:pos="567"/>
          <w:tab w:val="clear" w:pos="1134"/>
          <w:tab w:val="clear" w:pos="1701"/>
          <w:tab w:val="clear" w:pos="2268"/>
          <w:tab w:val="clear" w:pos="2835"/>
          <w:tab w:val="left" w:pos="709"/>
        </w:tabs>
        <w:spacing w:before="120" w:line="264" w:lineRule="auto"/>
        <w:rPr>
          <w:rFonts w:ascii="Arial" w:hAnsi="Arial" w:cs="Arial"/>
          <w:lang w:val="es-ES"/>
        </w:rPr>
      </w:pPr>
      <w:r w:rsidRPr="00C262EA">
        <w:rPr>
          <w:rFonts w:ascii="Arial" w:hAnsi="Arial" w:cs="Arial"/>
          <w:lang w:val="es-ES"/>
        </w:rPr>
        <w:t xml:space="preserve">Toma de muestras de contaminación. </w:t>
      </w:r>
    </w:p>
    <w:p w:rsidR="00C262EA" w:rsidRPr="00C262EA" w:rsidRDefault="00C262EA" w:rsidP="004F6B32">
      <w:pPr>
        <w:numPr>
          <w:ilvl w:val="0"/>
          <w:numId w:val="65"/>
        </w:numPr>
        <w:tabs>
          <w:tab w:val="clear" w:pos="567"/>
          <w:tab w:val="clear" w:pos="1134"/>
          <w:tab w:val="clear" w:pos="1701"/>
          <w:tab w:val="clear" w:pos="2268"/>
          <w:tab w:val="clear" w:pos="2835"/>
          <w:tab w:val="left" w:pos="709"/>
        </w:tabs>
        <w:spacing w:before="120" w:line="264" w:lineRule="auto"/>
        <w:rPr>
          <w:rFonts w:ascii="Arial" w:hAnsi="Arial" w:cs="Arial"/>
          <w:lang w:val="es-ES"/>
        </w:rPr>
      </w:pPr>
      <w:r w:rsidRPr="00C262EA">
        <w:rPr>
          <w:rFonts w:ascii="Arial" w:hAnsi="Arial" w:cs="Arial"/>
          <w:lang w:val="es-ES"/>
        </w:rPr>
        <w:t>Limpieza de conductores.</w:t>
      </w:r>
    </w:p>
    <w:p w:rsidR="00C262EA" w:rsidRPr="00C262EA" w:rsidRDefault="00C262EA" w:rsidP="004F6B32">
      <w:pPr>
        <w:numPr>
          <w:ilvl w:val="0"/>
          <w:numId w:val="65"/>
        </w:numPr>
        <w:tabs>
          <w:tab w:val="clear" w:pos="567"/>
          <w:tab w:val="clear" w:pos="1134"/>
          <w:tab w:val="clear" w:pos="1701"/>
          <w:tab w:val="clear" w:pos="2268"/>
          <w:tab w:val="clear" w:pos="2835"/>
          <w:tab w:val="left" w:pos="709"/>
        </w:tabs>
        <w:spacing w:before="120" w:line="264" w:lineRule="auto"/>
        <w:rPr>
          <w:rFonts w:ascii="Arial" w:hAnsi="Arial" w:cs="Arial"/>
          <w:lang w:val="es-ES"/>
        </w:rPr>
      </w:pPr>
      <w:r w:rsidRPr="00C262EA">
        <w:rPr>
          <w:rFonts w:ascii="Arial" w:hAnsi="Arial" w:cs="Arial"/>
          <w:lang w:val="es-ES"/>
        </w:rPr>
        <w:t>Limpieza de aisladores</w:t>
      </w:r>
    </w:p>
    <w:p w:rsidR="00C262EA" w:rsidRPr="00C262EA" w:rsidRDefault="00C262EA" w:rsidP="00C262EA">
      <w:pPr>
        <w:spacing w:before="120" w:line="264" w:lineRule="auto"/>
        <w:ind w:left="425"/>
        <w:jc w:val="both"/>
        <w:rPr>
          <w:rFonts w:ascii="Arial" w:hAnsi="Arial" w:cs="Arial"/>
        </w:rPr>
      </w:pPr>
      <w:r w:rsidRPr="00C262EA">
        <w:rPr>
          <w:rFonts w:ascii="Arial" w:hAnsi="Arial" w:cs="Arial"/>
        </w:rPr>
        <w:t>Antes de concluir el cuarto año de Operación Comercial, la Sociedad presentará al OSINERGMIN, los procedimientos detallados y específicos, así como los programas de inspección y limpieza.</w:t>
      </w:r>
    </w:p>
    <w:p w:rsidR="00C262EA" w:rsidRPr="00C262EA" w:rsidRDefault="00C262EA" w:rsidP="00CE65ED">
      <w:pPr>
        <w:keepNext/>
        <w:spacing w:before="240"/>
        <w:outlineLvl w:val="1"/>
        <w:rPr>
          <w:rFonts w:ascii="Arial" w:hAnsi="Arial" w:cs="Arial"/>
          <w:b/>
        </w:rPr>
      </w:pPr>
      <w:bookmarkStart w:id="101" w:name="_Toc306777433"/>
      <w:r w:rsidRPr="00C262EA">
        <w:rPr>
          <w:rFonts w:ascii="Arial" w:hAnsi="Arial" w:cs="Arial"/>
          <w:b/>
        </w:rPr>
        <w:t>5.1</w:t>
      </w:r>
      <w:r w:rsidRPr="00C262EA">
        <w:rPr>
          <w:rFonts w:ascii="Arial" w:hAnsi="Arial" w:cs="Arial"/>
          <w:b/>
        </w:rPr>
        <w:tab/>
        <w:t>INSPECCIONES VISUALES PERIÓDICAS</w:t>
      </w:r>
      <w:bookmarkEnd w:id="101"/>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La Sociedad Concesionaria efectuará inspecciones visuales con el objeto de identificar los tramos de línea que presenten niveles altos de contaminación superficial de los conductores y de las cadenas de aisladores.</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Las inspecciones abarcan a toda la longitud de la línea y se efectuará por lo menos según la frecuencia que se indica en el Cuadro Nº 1.</w:t>
      </w:r>
    </w:p>
    <w:p w:rsidR="00C262EA" w:rsidRPr="00C262EA" w:rsidRDefault="00C262EA" w:rsidP="00CE65ED">
      <w:pPr>
        <w:tabs>
          <w:tab w:val="clear" w:pos="567"/>
          <w:tab w:val="clear" w:pos="1134"/>
          <w:tab w:val="clear" w:pos="1701"/>
          <w:tab w:val="clear" w:pos="2268"/>
          <w:tab w:val="clear" w:pos="2835"/>
        </w:tabs>
        <w:spacing w:before="120" w:after="120"/>
        <w:ind w:left="2694"/>
        <w:rPr>
          <w:rFonts w:ascii="Arial" w:hAnsi="Arial" w:cs="Arial"/>
          <w:b/>
        </w:rPr>
      </w:pPr>
      <w:r w:rsidRPr="00C262EA">
        <w:rPr>
          <w:rFonts w:ascii="Arial" w:hAnsi="Arial" w:cs="Arial"/>
          <w:b/>
        </w:rPr>
        <w:t>Cuadro Nº 1 Frecuencia de Inspección de líneas</w:t>
      </w:r>
    </w:p>
    <w:tbl>
      <w:tblPr>
        <w:tblW w:w="0" w:type="auto"/>
        <w:tblInd w:w="2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2640"/>
      </w:tblGrid>
      <w:tr w:rsidR="00C262EA" w:rsidRPr="00C262EA" w:rsidTr="00454A68">
        <w:tc>
          <w:tcPr>
            <w:tcW w:w="3120" w:type="dxa"/>
            <w:shd w:val="clear" w:color="auto" w:fill="CCFFCC"/>
            <w:vAlign w:val="center"/>
          </w:tcPr>
          <w:p w:rsidR="00C262EA" w:rsidRPr="00C262EA" w:rsidRDefault="00C262EA" w:rsidP="00C262EA">
            <w:pPr>
              <w:spacing w:line="264" w:lineRule="auto"/>
              <w:ind w:left="74"/>
              <w:jc w:val="center"/>
              <w:rPr>
                <w:rFonts w:ascii="Arial" w:hAnsi="Arial" w:cs="Arial"/>
                <w:b/>
                <w:bCs/>
              </w:rPr>
            </w:pPr>
            <w:r w:rsidRPr="00C262EA">
              <w:rPr>
                <w:rFonts w:ascii="Arial" w:hAnsi="Arial" w:cs="Arial"/>
                <w:b/>
                <w:bCs/>
              </w:rPr>
              <w:t>Altitud</w:t>
            </w:r>
          </w:p>
        </w:tc>
        <w:tc>
          <w:tcPr>
            <w:tcW w:w="2640" w:type="dxa"/>
            <w:shd w:val="clear" w:color="auto" w:fill="CCFFCC"/>
            <w:vAlign w:val="center"/>
          </w:tcPr>
          <w:p w:rsidR="00C262EA" w:rsidRPr="00C262EA" w:rsidRDefault="00C262EA" w:rsidP="00C262EA">
            <w:pPr>
              <w:spacing w:line="264" w:lineRule="auto"/>
              <w:ind w:left="74"/>
              <w:jc w:val="center"/>
              <w:rPr>
                <w:rFonts w:ascii="Arial" w:hAnsi="Arial" w:cs="Arial"/>
                <w:b/>
                <w:bCs/>
              </w:rPr>
            </w:pPr>
            <w:r w:rsidRPr="00C262EA">
              <w:rPr>
                <w:rFonts w:ascii="Arial" w:hAnsi="Arial" w:cs="Arial"/>
                <w:b/>
                <w:bCs/>
              </w:rPr>
              <w:t>Frecuencia</w:t>
            </w:r>
          </w:p>
        </w:tc>
      </w:tr>
      <w:tr w:rsidR="00C262EA" w:rsidRPr="00C262EA" w:rsidTr="00454A68">
        <w:tc>
          <w:tcPr>
            <w:tcW w:w="3120" w:type="dxa"/>
            <w:vAlign w:val="center"/>
          </w:tcPr>
          <w:p w:rsidR="00C262EA" w:rsidRPr="00C262EA" w:rsidRDefault="00C262EA" w:rsidP="00C262EA">
            <w:pPr>
              <w:spacing w:line="264" w:lineRule="auto"/>
              <w:ind w:left="74"/>
              <w:jc w:val="center"/>
              <w:rPr>
                <w:rFonts w:ascii="Arial" w:hAnsi="Arial" w:cs="Arial"/>
                <w:bCs/>
              </w:rPr>
            </w:pPr>
            <w:r w:rsidRPr="00C262EA">
              <w:rPr>
                <w:rFonts w:ascii="Arial" w:hAnsi="Arial" w:cs="Arial"/>
                <w:bCs/>
              </w:rPr>
              <w:t>Superior a 1500 msnm</w:t>
            </w:r>
          </w:p>
        </w:tc>
        <w:tc>
          <w:tcPr>
            <w:tcW w:w="2640" w:type="dxa"/>
            <w:vAlign w:val="center"/>
          </w:tcPr>
          <w:p w:rsidR="00C262EA" w:rsidRPr="00C262EA" w:rsidRDefault="00C262EA" w:rsidP="00C262EA">
            <w:pPr>
              <w:spacing w:line="264" w:lineRule="auto"/>
              <w:ind w:left="74"/>
              <w:jc w:val="center"/>
              <w:rPr>
                <w:rFonts w:ascii="Arial" w:hAnsi="Arial" w:cs="Arial"/>
                <w:bCs/>
              </w:rPr>
            </w:pPr>
            <w:r w:rsidRPr="00C262EA">
              <w:rPr>
                <w:rFonts w:ascii="Arial" w:hAnsi="Arial" w:cs="Arial"/>
                <w:bCs/>
              </w:rPr>
              <w:t>Cada 5 años</w:t>
            </w:r>
          </w:p>
        </w:tc>
      </w:tr>
    </w:tbl>
    <w:p w:rsidR="00C262EA" w:rsidRPr="00C262EA" w:rsidRDefault="00C262EA" w:rsidP="00C262EA">
      <w:pPr>
        <w:tabs>
          <w:tab w:val="clear" w:pos="567"/>
        </w:tabs>
        <w:spacing w:before="240" w:line="264" w:lineRule="auto"/>
        <w:ind w:left="426"/>
        <w:jc w:val="both"/>
        <w:rPr>
          <w:rFonts w:ascii="Arial" w:hAnsi="Arial" w:cs="Arial"/>
        </w:rPr>
      </w:pPr>
      <w:r w:rsidRPr="00C262EA">
        <w:rPr>
          <w:rFonts w:ascii="Arial" w:hAnsi="Arial" w:cs="Arial"/>
        </w:rPr>
        <w:t>Los tramos cercanos a centros donde se realicen actividades mineras  serán inspeccionados cada 3 años.</w:t>
      </w:r>
    </w:p>
    <w:p w:rsidR="00C262EA" w:rsidRPr="00C262EA" w:rsidRDefault="00C262EA" w:rsidP="00C262EA">
      <w:pPr>
        <w:tabs>
          <w:tab w:val="clear" w:pos="567"/>
        </w:tabs>
        <w:spacing w:before="240" w:line="264" w:lineRule="auto"/>
        <w:ind w:left="426"/>
        <w:jc w:val="both"/>
        <w:rPr>
          <w:rFonts w:ascii="Arial" w:hAnsi="Arial" w:cs="Arial"/>
        </w:rPr>
      </w:pPr>
      <w:r w:rsidRPr="00C262EA">
        <w:rPr>
          <w:rFonts w:ascii="Arial" w:hAnsi="Arial" w:cs="Arial"/>
        </w:rPr>
        <w:t>Los tramos cuyos conductores o aisladores han sido objeto de limpieza previa ó han sido sustituidos por causa de contaminación severa,  serán inspeccionados cada 2 años.</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OSINERGMIN tiene la facultad de presenciar las inspecciones y solicitar la repetición, en caso necesario, con la finalidad de verificar el nivel de contaminación reportado.</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Los niveles de contaminación de los conductores y aisladores serán calificados como Bajo, Medio y Alto, aplicando los criterios indicados en el Cuadro N° 2.</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El procedimiento para realizar las inspecciones visuales es el siguiente:</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lastRenderedPageBreak/>
        <w:t>Las inspecciones serán efectuadas por técnicos especialistas en líneas de transmisión, equipados con implementos de seguridad, binoculares y cámara fotográfica digital con fechador.</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Las inspecciones se realizarán únicamente durante el día, con presencia de luz de solar, ausencia de lluvia, baja humedad y sin viento fuerte.</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El técnico encargado de la inspección se ubicará en el suelo a una distancia entre 30 a 50 metros del eje de la línea; utilizando binoculares observará la acumulación de la contaminación, en la superficie de los conductores y de los aisladores de las tres fases del vano. En caso resulte necesario realizará la inspección con escalamiento a la estructura de la línea.</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Deberá tenerse especial atención en los puntos de instalación de los espaciadores y amortiguadores, a fin de verificar el estado de los conductores en los puntos de sujeción.</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Utilizando los criterios indicados en el Cuadro N° 2, el técnico calificará y registrará en el cuaderno de inspecciones el nivel de contaminación de los conductores y aisladores.</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Si el nivel de contaminación corresponde a los niveles Medio o Alto, el técnico tomará un registro fotográfico.</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Los pasos indicados en los numerales c) al f), serán repetidos para cada uno de los demás vanos de la línea inspeccionada, hasta completar el 100% de los tramos a inspeccionar.</w:t>
      </w:r>
    </w:p>
    <w:p w:rsidR="00C262EA" w:rsidRPr="00C262EA" w:rsidRDefault="00C262EA" w:rsidP="004F6B32">
      <w:pPr>
        <w:numPr>
          <w:ilvl w:val="0"/>
          <w:numId w:val="64"/>
        </w:numPr>
        <w:tabs>
          <w:tab w:val="clear" w:pos="567"/>
          <w:tab w:val="clear" w:pos="1134"/>
          <w:tab w:val="clear" w:pos="1440"/>
          <w:tab w:val="clear" w:pos="1701"/>
          <w:tab w:val="clear" w:pos="2268"/>
          <w:tab w:val="clear" w:pos="2835"/>
          <w:tab w:val="left" w:pos="-426"/>
          <w:tab w:val="left" w:pos="851"/>
        </w:tabs>
        <w:spacing w:before="120" w:line="264" w:lineRule="auto"/>
        <w:ind w:left="851" w:hanging="284"/>
        <w:jc w:val="both"/>
        <w:rPr>
          <w:rFonts w:ascii="Arial" w:hAnsi="Arial" w:cs="Arial"/>
          <w:lang w:val="es-ES"/>
        </w:rPr>
      </w:pPr>
      <w:r w:rsidRPr="00C262EA">
        <w:rPr>
          <w:rFonts w:ascii="Arial" w:hAnsi="Arial" w:cs="Arial"/>
          <w:lang w:val="es-ES"/>
        </w:rPr>
        <w:t>La Sociedad Concesionaria verificará los reportes de calificación del nivel de contaminación y agrupará los tramos por niveles de contaminación. En caso de existir observaciones a la calificación, reasignará la calificación correcta mediante la fotografía o, de ser el caso, se efectuará una nueva inspección de campo.</w:t>
      </w:r>
    </w:p>
    <w:p w:rsidR="00C262EA" w:rsidRPr="00C262EA" w:rsidRDefault="00C262EA" w:rsidP="00195672">
      <w:pPr>
        <w:tabs>
          <w:tab w:val="clear" w:pos="567"/>
          <w:tab w:val="clear" w:pos="1134"/>
          <w:tab w:val="clear" w:pos="1701"/>
          <w:tab w:val="clear" w:pos="2268"/>
          <w:tab w:val="clear" w:pos="2835"/>
        </w:tabs>
        <w:spacing w:before="240" w:after="120"/>
        <w:ind w:left="851"/>
        <w:jc w:val="center"/>
        <w:rPr>
          <w:rFonts w:ascii="Arial" w:hAnsi="Arial" w:cs="Arial"/>
          <w:b/>
          <w:lang w:val="es-ES"/>
        </w:rPr>
      </w:pPr>
      <w:r w:rsidRPr="00C262EA">
        <w:rPr>
          <w:rFonts w:ascii="Arial" w:hAnsi="Arial" w:cs="Arial"/>
          <w:b/>
          <w:lang w:val="es-ES"/>
        </w:rPr>
        <w:t>Cuadro N° 2: Criterios para calificar los Niveles de Contaminación</w:t>
      </w:r>
    </w:p>
    <w:tbl>
      <w:tblPr>
        <w:tblW w:w="0" w:type="auto"/>
        <w:tblInd w:w="16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6"/>
        <w:gridCol w:w="3153"/>
        <w:gridCol w:w="2976"/>
      </w:tblGrid>
      <w:tr w:rsidR="00C262EA" w:rsidRPr="00C262EA" w:rsidTr="00454A68">
        <w:tc>
          <w:tcPr>
            <w:tcW w:w="816" w:type="dxa"/>
            <w:shd w:val="clear" w:color="auto" w:fill="CCFFCC"/>
            <w:vAlign w:val="center"/>
          </w:tcPr>
          <w:p w:rsidR="00C262EA" w:rsidRPr="00C262EA" w:rsidRDefault="00C262EA" w:rsidP="00C262EA">
            <w:pPr>
              <w:spacing w:before="60" w:after="60"/>
              <w:jc w:val="center"/>
              <w:rPr>
                <w:rFonts w:ascii="Arial" w:hAnsi="Arial" w:cs="Arial"/>
                <w:b/>
                <w:sz w:val="18"/>
                <w:szCs w:val="18"/>
              </w:rPr>
            </w:pPr>
            <w:r w:rsidRPr="00C262EA">
              <w:rPr>
                <w:rFonts w:ascii="Arial" w:hAnsi="Arial" w:cs="Arial"/>
                <w:b/>
                <w:sz w:val="18"/>
                <w:szCs w:val="18"/>
              </w:rPr>
              <w:t>Nivel</w:t>
            </w:r>
          </w:p>
        </w:tc>
        <w:tc>
          <w:tcPr>
            <w:tcW w:w="3153" w:type="dxa"/>
            <w:shd w:val="clear" w:color="auto" w:fill="CCFFCC"/>
            <w:vAlign w:val="center"/>
          </w:tcPr>
          <w:p w:rsidR="00C262EA" w:rsidRPr="00C262EA" w:rsidRDefault="00C262EA" w:rsidP="00C262EA">
            <w:pPr>
              <w:spacing w:before="60" w:after="60"/>
              <w:jc w:val="center"/>
              <w:rPr>
                <w:rFonts w:ascii="Arial" w:hAnsi="Arial" w:cs="Arial"/>
                <w:b/>
                <w:sz w:val="18"/>
                <w:szCs w:val="18"/>
              </w:rPr>
            </w:pPr>
            <w:r w:rsidRPr="00C262EA">
              <w:rPr>
                <w:rFonts w:ascii="Arial" w:hAnsi="Arial" w:cs="Arial"/>
                <w:b/>
                <w:sz w:val="18"/>
                <w:szCs w:val="18"/>
              </w:rPr>
              <w:t>Aspecto Visual</w:t>
            </w:r>
          </w:p>
        </w:tc>
        <w:tc>
          <w:tcPr>
            <w:tcW w:w="2976" w:type="dxa"/>
            <w:shd w:val="clear" w:color="auto" w:fill="CCFFCC"/>
            <w:vAlign w:val="center"/>
          </w:tcPr>
          <w:p w:rsidR="00C262EA" w:rsidRPr="00C262EA" w:rsidRDefault="00C262EA" w:rsidP="00C262EA">
            <w:pPr>
              <w:spacing w:before="60" w:after="60"/>
              <w:jc w:val="center"/>
              <w:rPr>
                <w:rFonts w:ascii="Arial" w:hAnsi="Arial" w:cs="Arial"/>
                <w:b/>
                <w:sz w:val="18"/>
                <w:szCs w:val="18"/>
              </w:rPr>
            </w:pPr>
            <w:r w:rsidRPr="00C262EA">
              <w:rPr>
                <w:rFonts w:ascii="Arial" w:hAnsi="Arial" w:cs="Arial"/>
                <w:b/>
                <w:sz w:val="18"/>
                <w:szCs w:val="18"/>
              </w:rPr>
              <w:t>Descripción</w:t>
            </w:r>
          </w:p>
        </w:tc>
      </w:tr>
      <w:tr w:rsidR="00C262EA" w:rsidRPr="00C262EA" w:rsidTr="00454A68">
        <w:tc>
          <w:tcPr>
            <w:tcW w:w="816" w:type="dxa"/>
            <w:vAlign w:val="center"/>
          </w:tcPr>
          <w:p w:rsidR="00C262EA" w:rsidRPr="00C262EA" w:rsidRDefault="00C262EA" w:rsidP="00C262EA">
            <w:pPr>
              <w:tabs>
                <w:tab w:val="clear" w:pos="567"/>
                <w:tab w:val="clear" w:pos="1134"/>
                <w:tab w:val="clear" w:pos="1701"/>
                <w:tab w:val="clear" w:pos="2268"/>
                <w:tab w:val="clear" w:pos="2835"/>
              </w:tabs>
              <w:spacing w:before="480" w:after="480"/>
              <w:jc w:val="center"/>
              <w:rPr>
                <w:rFonts w:ascii="Arial" w:hAnsi="Arial" w:cs="Arial"/>
                <w:b/>
                <w:sz w:val="18"/>
                <w:szCs w:val="18"/>
                <w:lang w:val="es-ES"/>
              </w:rPr>
            </w:pPr>
            <w:r w:rsidRPr="00C262EA">
              <w:rPr>
                <w:rFonts w:ascii="Arial" w:hAnsi="Arial" w:cs="Arial"/>
                <w:bCs/>
                <w:i/>
                <w:iCs/>
                <w:sz w:val="18"/>
                <w:szCs w:val="18"/>
              </w:rPr>
              <w:t>Bajo</w:t>
            </w:r>
          </w:p>
        </w:tc>
        <w:tc>
          <w:tcPr>
            <w:tcW w:w="3153" w:type="dxa"/>
            <w:vAlign w:val="center"/>
          </w:tcPr>
          <w:p w:rsidR="00C262EA" w:rsidRPr="00C262EA" w:rsidRDefault="00C262EA" w:rsidP="00C262EA">
            <w:pPr>
              <w:tabs>
                <w:tab w:val="clear" w:pos="567"/>
                <w:tab w:val="clear" w:pos="1134"/>
                <w:tab w:val="clear" w:pos="1701"/>
                <w:tab w:val="clear" w:pos="2268"/>
                <w:tab w:val="clear" w:pos="2835"/>
              </w:tabs>
              <w:spacing w:before="60" w:after="60"/>
              <w:jc w:val="center"/>
              <w:rPr>
                <w:rFonts w:ascii="Arial" w:hAnsi="Arial" w:cs="Arial"/>
                <w:b/>
                <w:sz w:val="18"/>
                <w:szCs w:val="18"/>
                <w:lang w:val="es-ES"/>
              </w:rPr>
            </w:pPr>
            <w:r>
              <w:rPr>
                <w:noProof/>
                <w:sz w:val="22"/>
                <w:lang w:eastAsia="es-PE"/>
              </w:rPr>
              <w:drawing>
                <wp:anchor distT="0" distB="0" distL="114300" distR="114300" simplePos="0" relativeHeight="251661312" behindDoc="0" locked="0" layoutInCell="1" allowOverlap="1">
                  <wp:simplePos x="0" y="0"/>
                  <wp:positionH relativeFrom="column">
                    <wp:posOffset>-78105</wp:posOffset>
                  </wp:positionH>
                  <wp:positionV relativeFrom="paragraph">
                    <wp:posOffset>684530</wp:posOffset>
                  </wp:positionV>
                  <wp:extent cx="1009650" cy="791845"/>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91845"/>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eastAsia="es-PE"/>
              </w:rPr>
              <w:drawing>
                <wp:anchor distT="0" distB="0" distL="114300" distR="114300" simplePos="0" relativeHeight="251664384" behindDoc="0" locked="0" layoutInCell="1" allowOverlap="1">
                  <wp:simplePos x="0" y="0"/>
                  <wp:positionH relativeFrom="column">
                    <wp:posOffset>-74930</wp:posOffset>
                  </wp:positionH>
                  <wp:positionV relativeFrom="paragraph">
                    <wp:posOffset>12700</wp:posOffset>
                  </wp:positionV>
                  <wp:extent cx="999490" cy="7810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810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eastAsia="es-PE"/>
              </w:rPr>
              <w:drawing>
                <wp:anchor distT="0" distB="0" distL="114300" distR="114300" simplePos="0" relativeHeight="251659264" behindDoc="0" locked="0" layoutInCell="1" allowOverlap="1">
                  <wp:simplePos x="0" y="0"/>
                  <wp:positionH relativeFrom="column">
                    <wp:posOffset>934085</wp:posOffset>
                  </wp:positionH>
                  <wp:positionV relativeFrom="paragraph">
                    <wp:posOffset>15875</wp:posOffset>
                  </wp:positionV>
                  <wp:extent cx="982980" cy="76835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768350"/>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C262EA" w:rsidRPr="00C262EA" w:rsidRDefault="00C262EA" w:rsidP="00C262EA">
            <w:pPr>
              <w:tabs>
                <w:tab w:val="clear" w:pos="567"/>
                <w:tab w:val="clear" w:pos="1134"/>
                <w:tab w:val="clear" w:pos="1701"/>
                <w:tab w:val="clear" w:pos="2268"/>
                <w:tab w:val="clear" w:pos="2835"/>
              </w:tabs>
              <w:spacing w:before="120" w:after="120"/>
              <w:jc w:val="center"/>
              <w:rPr>
                <w:rFonts w:ascii="Arial" w:hAnsi="Arial" w:cs="Arial"/>
                <w:sz w:val="18"/>
                <w:szCs w:val="18"/>
              </w:rPr>
            </w:pPr>
            <w:r w:rsidRPr="00C262EA">
              <w:rPr>
                <w:rFonts w:ascii="Arial" w:hAnsi="Arial" w:cs="Arial"/>
                <w:sz w:val="18"/>
                <w:szCs w:val="18"/>
              </w:rPr>
              <w:t>Contaminación mínima, no existe puntas de acumulación</w:t>
            </w:r>
          </w:p>
        </w:tc>
      </w:tr>
      <w:tr w:rsidR="00C262EA" w:rsidRPr="00C262EA" w:rsidTr="00454A68">
        <w:tc>
          <w:tcPr>
            <w:tcW w:w="816" w:type="dxa"/>
            <w:vAlign w:val="center"/>
          </w:tcPr>
          <w:p w:rsidR="00C262EA" w:rsidRPr="00C262EA" w:rsidRDefault="00C262EA" w:rsidP="00C262EA">
            <w:pPr>
              <w:tabs>
                <w:tab w:val="clear" w:pos="567"/>
                <w:tab w:val="clear" w:pos="1134"/>
                <w:tab w:val="clear" w:pos="1701"/>
                <w:tab w:val="clear" w:pos="2268"/>
                <w:tab w:val="clear" w:pos="2835"/>
              </w:tabs>
              <w:spacing w:before="480" w:after="480"/>
              <w:jc w:val="center"/>
              <w:rPr>
                <w:rFonts w:ascii="Arial" w:hAnsi="Arial" w:cs="Arial"/>
                <w:b/>
                <w:sz w:val="18"/>
                <w:szCs w:val="18"/>
                <w:lang w:val="es-ES"/>
              </w:rPr>
            </w:pPr>
            <w:r w:rsidRPr="00C262EA">
              <w:rPr>
                <w:rFonts w:ascii="Arial" w:hAnsi="Arial" w:cs="Arial"/>
                <w:bCs/>
                <w:i/>
                <w:iCs/>
                <w:sz w:val="18"/>
                <w:szCs w:val="18"/>
              </w:rPr>
              <w:t>Medio</w:t>
            </w:r>
          </w:p>
        </w:tc>
        <w:tc>
          <w:tcPr>
            <w:tcW w:w="3153" w:type="dxa"/>
            <w:vAlign w:val="center"/>
          </w:tcPr>
          <w:p w:rsidR="00C262EA" w:rsidRPr="00C262EA" w:rsidRDefault="00C262EA" w:rsidP="00C262EA">
            <w:pPr>
              <w:tabs>
                <w:tab w:val="clear" w:pos="567"/>
                <w:tab w:val="clear" w:pos="1134"/>
                <w:tab w:val="clear" w:pos="1701"/>
                <w:tab w:val="clear" w:pos="2268"/>
                <w:tab w:val="clear" w:pos="2835"/>
              </w:tabs>
              <w:spacing w:before="60" w:after="60"/>
              <w:jc w:val="center"/>
              <w:rPr>
                <w:rFonts w:ascii="Arial" w:hAnsi="Arial" w:cs="Arial"/>
                <w:b/>
                <w:sz w:val="18"/>
                <w:szCs w:val="18"/>
                <w:lang w:val="es-ES"/>
              </w:rPr>
            </w:pPr>
            <w:r>
              <w:rPr>
                <w:noProof/>
                <w:sz w:val="22"/>
                <w:lang w:eastAsia="es-PE"/>
              </w:rPr>
              <w:drawing>
                <wp:anchor distT="0" distB="0" distL="114300" distR="114300" simplePos="0" relativeHeight="251662336" behindDoc="0" locked="0" layoutInCell="1" allowOverlap="1">
                  <wp:simplePos x="0" y="0"/>
                  <wp:positionH relativeFrom="column">
                    <wp:posOffset>-71755</wp:posOffset>
                  </wp:positionH>
                  <wp:positionV relativeFrom="paragraph">
                    <wp:posOffset>713105</wp:posOffset>
                  </wp:positionV>
                  <wp:extent cx="1008380" cy="788670"/>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380" cy="788670"/>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eastAsia="es-PE"/>
              </w:rPr>
              <w:drawing>
                <wp:anchor distT="0" distB="0" distL="114300" distR="114300" simplePos="0" relativeHeight="251663360" behindDoc="0" locked="0" layoutInCell="1" allowOverlap="1">
                  <wp:simplePos x="0" y="0"/>
                  <wp:positionH relativeFrom="column">
                    <wp:posOffset>922020</wp:posOffset>
                  </wp:positionH>
                  <wp:positionV relativeFrom="paragraph">
                    <wp:posOffset>718185</wp:posOffset>
                  </wp:positionV>
                  <wp:extent cx="988695" cy="780415"/>
                  <wp:effectExtent l="0" t="0" r="190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95" cy="780415"/>
                          </a:xfrm>
                          <a:prstGeom prst="rect">
                            <a:avLst/>
                          </a:prstGeom>
                          <a:noFill/>
                        </pic:spPr>
                      </pic:pic>
                    </a:graphicData>
                  </a:graphic>
                  <wp14:sizeRelH relativeFrom="page">
                    <wp14:pctWidth>0</wp14:pctWidth>
                  </wp14:sizeRelH>
                  <wp14:sizeRelV relativeFrom="page">
                    <wp14:pctHeight>0</wp14:pctHeight>
                  </wp14:sizeRelV>
                </wp:anchor>
              </w:drawing>
            </w:r>
            <w:r>
              <w:rPr>
                <w:noProof/>
                <w:sz w:val="22"/>
                <w:lang w:eastAsia="es-PE"/>
              </w:rPr>
              <w:drawing>
                <wp:anchor distT="0" distB="0" distL="114300" distR="114300" simplePos="0" relativeHeight="251660288" behindDoc="0" locked="0" layoutInCell="1" allowOverlap="1">
                  <wp:simplePos x="0" y="0"/>
                  <wp:positionH relativeFrom="column">
                    <wp:posOffset>934085</wp:posOffset>
                  </wp:positionH>
                  <wp:positionV relativeFrom="paragraph">
                    <wp:posOffset>34925</wp:posOffset>
                  </wp:positionV>
                  <wp:extent cx="985520" cy="794385"/>
                  <wp:effectExtent l="0" t="0" r="508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5520" cy="794385"/>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C262EA" w:rsidRPr="00C262EA" w:rsidRDefault="00C262EA" w:rsidP="00C262EA">
            <w:pPr>
              <w:tabs>
                <w:tab w:val="clear" w:pos="567"/>
                <w:tab w:val="clear" w:pos="1134"/>
                <w:tab w:val="clear" w:pos="1701"/>
                <w:tab w:val="clear" w:pos="2268"/>
                <w:tab w:val="clear" w:pos="2835"/>
              </w:tabs>
              <w:spacing w:before="60" w:after="60"/>
              <w:jc w:val="center"/>
              <w:rPr>
                <w:rFonts w:ascii="Arial" w:hAnsi="Arial" w:cs="Arial"/>
                <w:b/>
                <w:sz w:val="18"/>
                <w:szCs w:val="18"/>
                <w:lang w:val="es-ES"/>
              </w:rPr>
            </w:pPr>
            <w:r w:rsidRPr="00C262EA">
              <w:rPr>
                <w:rFonts w:ascii="Arial" w:hAnsi="Arial" w:cs="Arial"/>
                <w:bCs/>
                <w:sz w:val="18"/>
                <w:szCs w:val="18"/>
                <w:lang w:val="es-ES"/>
              </w:rPr>
              <w:t>Contaminación visible con presencia de pequeñas puntas de acumulación a lo largo del conductor</w:t>
            </w:r>
          </w:p>
        </w:tc>
      </w:tr>
      <w:tr w:rsidR="00C262EA" w:rsidRPr="00C262EA" w:rsidTr="00454A68">
        <w:tc>
          <w:tcPr>
            <w:tcW w:w="816" w:type="dxa"/>
            <w:vAlign w:val="center"/>
          </w:tcPr>
          <w:p w:rsidR="00C262EA" w:rsidRPr="00C262EA" w:rsidRDefault="00C262EA" w:rsidP="00C262EA">
            <w:pPr>
              <w:tabs>
                <w:tab w:val="clear" w:pos="567"/>
                <w:tab w:val="clear" w:pos="1134"/>
                <w:tab w:val="clear" w:pos="1701"/>
                <w:tab w:val="clear" w:pos="2268"/>
                <w:tab w:val="clear" w:pos="2835"/>
              </w:tabs>
              <w:spacing w:before="480" w:after="480"/>
              <w:jc w:val="center"/>
              <w:rPr>
                <w:rFonts w:ascii="Arial" w:hAnsi="Arial" w:cs="Arial"/>
                <w:b/>
                <w:sz w:val="18"/>
                <w:szCs w:val="18"/>
                <w:lang w:val="es-ES"/>
              </w:rPr>
            </w:pPr>
            <w:r w:rsidRPr="00C262EA">
              <w:rPr>
                <w:rFonts w:ascii="Arial" w:hAnsi="Arial" w:cs="Arial"/>
                <w:bCs/>
                <w:i/>
                <w:iCs/>
                <w:sz w:val="18"/>
                <w:szCs w:val="18"/>
              </w:rPr>
              <w:t>Alto</w:t>
            </w:r>
          </w:p>
        </w:tc>
        <w:tc>
          <w:tcPr>
            <w:tcW w:w="3153" w:type="dxa"/>
            <w:vAlign w:val="center"/>
          </w:tcPr>
          <w:p w:rsidR="00C262EA" w:rsidRPr="00C262EA" w:rsidRDefault="00C262EA" w:rsidP="00C262EA">
            <w:pPr>
              <w:tabs>
                <w:tab w:val="clear" w:pos="567"/>
                <w:tab w:val="clear" w:pos="1134"/>
                <w:tab w:val="clear" w:pos="1701"/>
                <w:tab w:val="clear" w:pos="2268"/>
                <w:tab w:val="clear" w:pos="2835"/>
              </w:tabs>
              <w:spacing w:before="60" w:after="60"/>
              <w:jc w:val="center"/>
              <w:rPr>
                <w:rFonts w:ascii="Arial" w:hAnsi="Arial" w:cs="Arial"/>
                <w:b/>
                <w:sz w:val="18"/>
                <w:szCs w:val="18"/>
                <w:lang w:val="es-ES"/>
              </w:rPr>
            </w:pPr>
          </w:p>
        </w:tc>
        <w:tc>
          <w:tcPr>
            <w:tcW w:w="2976" w:type="dxa"/>
            <w:vAlign w:val="center"/>
          </w:tcPr>
          <w:p w:rsidR="00C262EA" w:rsidRPr="00C262EA" w:rsidRDefault="00C262EA" w:rsidP="00C262EA">
            <w:pPr>
              <w:tabs>
                <w:tab w:val="clear" w:pos="567"/>
                <w:tab w:val="clear" w:pos="1134"/>
                <w:tab w:val="clear" w:pos="1701"/>
                <w:tab w:val="clear" w:pos="2268"/>
                <w:tab w:val="clear" w:pos="2835"/>
              </w:tabs>
              <w:spacing w:before="60" w:after="60"/>
              <w:jc w:val="center"/>
              <w:rPr>
                <w:rFonts w:ascii="Arial" w:hAnsi="Arial" w:cs="Arial"/>
                <w:bCs/>
                <w:sz w:val="18"/>
                <w:szCs w:val="18"/>
                <w:lang w:val="es-ES"/>
              </w:rPr>
            </w:pPr>
            <w:r w:rsidRPr="00C262EA">
              <w:rPr>
                <w:rFonts w:ascii="Arial" w:hAnsi="Arial" w:cs="Arial"/>
                <w:bCs/>
                <w:sz w:val="18"/>
                <w:szCs w:val="18"/>
                <w:lang w:val="es-ES"/>
              </w:rPr>
              <w:t>Contaminación visible con presencia de grandes puntas de acumulación</w:t>
            </w:r>
          </w:p>
        </w:tc>
      </w:tr>
    </w:tbl>
    <w:p w:rsidR="00C262EA" w:rsidRPr="00C262EA" w:rsidRDefault="00C262EA" w:rsidP="00C262EA">
      <w:pPr>
        <w:tabs>
          <w:tab w:val="clear" w:pos="567"/>
          <w:tab w:val="clear" w:pos="1134"/>
          <w:tab w:val="clear" w:pos="1701"/>
          <w:tab w:val="clear" w:pos="2268"/>
          <w:tab w:val="clear" w:pos="2835"/>
          <w:tab w:val="left" w:pos="-426"/>
        </w:tabs>
        <w:spacing w:before="240" w:line="264" w:lineRule="auto"/>
        <w:ind w:left="425"/>
        <w:jc w:val="both"/>
        <w:rPr>
          <w:rFonts w:ascii="Arial" w:hAnsi="Arial" w:cs="Arial"/>
          <w:lang w:val="es-ES"/>
        </w:rPr>
      </w:pPr>
      <w:r w:rsidRPr="00C262EA">
        <w:rPr>
          <w:rFonts w:ascii="Arial" w:hAnsi="Arial" w:cs="Arial"/>
          <w:lang w:val="es-ES"/>
        </w:rPr>
        <w:t>Los informes de las inspecciones visuales se remitirán a OSINERGMIN.</w:t>
      </w:r>
    </w:p>
    <w:p w:rsidR="00C262EA" w:rsidRPr="00C262EA" w:rsidRDefault="00C262EA" w:rsidP="00195672">
      <w:pPr>
        <w:keepNext/>
        <w:spacing w:before="240"/>
        <w:outlineLvl w:val="1"/>
        <w:rPr>
          <w:rFonts w:ascii="Arial" w:hAnsi="Arial" w:cs="Arial"/>
          <w:b/>
        </w:rPr>
      </w:pPr>
      <w:bookmarkStart w:id="102" w:name="_Toc306777434"/>
      <w:r w:rsidRPr="00C262EA">
        <w:rPr>
          <w:rFonts w:ascii="Arial" w:hAnsi="Arial" w:cs="Arial"/>
          <w:b/>
        </w:rPr>
        <w:lastRenderedPageBreak/>
        <w:t>5.2</w:t>
      </w:r>
      <w:r w:rsidRPr="00C262EA">
        <w:rPr>
          <w:rFonts w:ascii="Arial" w:hAnsi="Arial" w:cs="Arial"/>
          <w:b/>
        </w:rPr>
        <w:tab/>
        <w:t>TOMA DE MUESTRAS DE CONTAMINACIÓN</w:t>
      </w:r>
      <w:bookmarkEnd w:id="102"/>
      <w:r w:rsidRPr="00C262EA">
        <w:rPr>
          <w:rFonts w:ascii="Arial" w:hAnsi="Arial" w:cs="Arial"/>
          <w:b/>
        </w:rPr>
        <w:t xml:space="preserve"> </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Según los resultados de las inspecciones visuales, la Sociedad Concesionaria elaborará un programa de verificación del nivel de contaminación mediante toma de muestras para todos aquellos tramos calificados como nivel Medio o Alto, o en los tramos en los cuales la inspección visual no haya resultado determinante.</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Las labores de toma de muestras se realizarán con las líneas des energizadas, por lo que la Sociedad Concesionaria deberá coordinar con el COES el programa de salida del servicio de las líneas, de preferencia coincidiendo con los periodos de salida por mantenimiento programado.</w:t>
      </w:r>
    </w:p>
    <w:p w:rsidR="00C262EA" w:rsidRPr="00C262EA" w:rsidRDefault="00C262EA" w:rsidP="00C262EA">
      <w:pPr>
        <w:tabs>
          <w:tab w:val="clear" w:pos="567"/>
        </w:tabs>
        <w:spacing w:before="120" w:line="264" w:lineRule="auto"/>
        <w:ind w:left="426"/>
        <w:jc w:val="both"/>
        <w:rPr>
          <w:rFonts w:ascii="Arial" w:hAnsi="Arial" w:cs="Arial"/>
        </w:rPr>
      </w:pPr>
      <w:r w:rsidRPr="00C262EA">
        <w:rPr>
          <w:rFonts w:ascii="Arial" w:hAnsi="Arial" w:cs="Arial"/>
        </w:rPr>
        <w:t>El procedimiento de toma de muestras será el siguiente:</w:t>
      </w:r>
    </w:p>
    <w:p w:rsidR="00C262EA" w:rsidRPr="00C262EA" w:rsidRDefault="00C262EA" w:rsidP="004F6B32">
      <w:pPr>
        <w:numPr>
          <w:ilvl w:val="0"/>
          <w:numId w:val="67"/>
        </w:numPr>
        <w:tabs>
          <w:tab w:val="clear" w:pos="567"/>
          <w:tab w:val="clear" w:pos="1134"/>
          <w:tab w:val="clear" w:pos="1701"/>
          <w:tab w:val="clear" w:pos="2268"/>
          <w:tab w:val="clear" w:pos="2835"/>
          <w:tab w:val="left" w:pos="-426"/>
          <w:tab w:val="left" w:pos="960"/>
        </w:tabs>
        <w:spacing w:before="60" w:line="264" w:lineRule="auto"/>
        <w:ind w:left="958" w:hanging="357"/>
        <w:jc w:val="both"/>
        <w:rPr>
          <w:rFonts w:ascii="Arial" w:hAnsi="Arial" w:cs="Arial"/>
          <w:lang w:val="es-ES"/>
        </w:rPr>
      </w:pPr>
      <w:r w:rsidRPr="00C262EA">
        <w:rPr>
          <w:rFonts w:ascii="Arial" w:hAnsi="Arial" w:cs="Arial"/>
          <w:lang w:val="es-ES"/>
        </w:rPr>
        <w:t>La toma de muestras se realiza con la línea de transmisión fuera de servicio, con presencia de luz de solar, ausencia de lluvia, baja humedad y sin viento fuerte.</w:t>
      </w:r>
    </w:p>
    <w:p w:rsidR="00C262EA" w:rsidRPr="00C262EA" w:rsidRDefault="00C262EA" w:rsidP="004F6B32">
      <w:pPr>
        <w:numPr>
          <w:ilvl w:val="0"/>
          <w:numId w:val="67"/>
        </w:numPr>
        <w:tabs>
          <w:tab w:val="clear" w:pos="567"/>
          <w:tab w:val="clear" w:pos="1134"/>
          <w:tab w:val="clear" w:pos="1701"/>
          <w:tab w:val="clear" w:pos="2268"/>
          <w:tab w:val="clear" w:pos="2835"/>
          <w:tab w:val="left" w:pos="-426"/>
          <w:tab w:val="left" w:pos="960"/>
        </w:tabs>
        <w:spacing w:before="60" w:line="264" w:lineRule="auto"/>
        <w:ind w:left="958" w:hanging="357"/>
        <w:jc w:val="both"/>
        <w:rPr>
          <w:rFonts w:ascii="Arial" w:hAnsi="Arial" w:cs="Arial"/>
          <w:lang w:val="es-ES"/>
        </w:rPr>
      </w:pPr>
      <w:r w:rsidRPr="00C262EA">
        <w:rPr>
          <w:rFonts w:ascii="Arial" w:hAnsi="Arial" w:cs="Arial"/>
          <w:lang w:val="es-ES"/>
        </w:rPr>
        <w:t>Las muestras se toman en porciones de 60 á 100 m de conductor, de una de las tres fases del tramo seleccionado.</w:t>
      </w:r>
    </w:p>
    <w:p w:rsidR="00C262EA" w:rsidRPr="00C262EA" w:rsidRDefault="00C262EA" w:rsidP="004F6B32">
      <w:pPr>
        <w:numPr>
          <w:ilvl w:val="0"/>
          <w:numId w:val="67"/>
        </w:numPr>
        <w:tabs>
          <w:tab w:val="clear" w:pos="567"/>
          <w:tab w:val="clear" w:pos="1134"/>
          <w:tab w:val="clear" w:pos="1701"/>
          <w:tab w:val="clear" w:pos="2268"/>
          <w:tab w:val="clear" w:pos="2835"/>
          <w:tab w:val="left" w:pos="-426"/>
          <w:tab w:val="left" w:pos="960"/>
        </w:tabs>
        <w:spacing w:before="60" w:line="264" w:lineRule="auto"/>
        <w:ind w:left="958" w:hanging="357"/>
        <w:jc w:val="both"/>
        <w:rPr>
          <w:rFonts w:ascii="Arial" w:hAnsi="Arial" w:cs="Arial"/>
          <w:lang w:val="es-ES"/>
        </w:rPr>
      </w:pPr>
      <w:r w:rsidRPr="00C262EA">
        <w:rPr>
          <w:rFonts w:ascii="Arial" w:hAnsi="Arial" w:cs="Arial"/>
          <w:lang w:val="es-ES"/>
        </w:rPr>
        <w:t>Con el equipo de limpieza de conductores se recolecta la contaminación existente en la superficie del conductor.</w:t>
      </w:r>
    </w:p>
    <w:p w:rsidR="00C262EA" w:rsidRPr="00C262EA" w:rsidRDefault="00C262EA" w:rsidP="004F6B32">
      <w:pPr>
        <w:numPr>
          <w:ilvl w:val="0"/>
          <w:numId w:val="67"/>
        </w:numPr>
        <w:tabs>
          <w:tab w:val="clear" w:pos="567"/>
          <w:tab w:val="clear" w:pos="1134"/>
          <w:tab w:val="clear" w:pos="1701"/>
          <w:tab w:val="clear" w:pos="2268"/>
          <w:tab w:val="clear" w:pos="2835"/>
          <w:tab w:val="left" w:pos="-426"/>
          <w:tab w:val="left" w:pos="960"/>
        </w:tabs>
        <w:spacing w:before="60" w:line="264" w:lineRule="auto"/>
        <w:ind w:left="958" w:hanging="357"/>
        <w:jc w:val="both"/>
        <w:rPr>
          <w:rFonts w:ascii="Arial" w:hAnsi="Arial" w:cs="Arial"/>
          <w:lang w:val="es-ES"/>
        </w:rPr>
      </w:pPr>
      <w:r w:rsidRPr="00C262EA">
        <w:rPr>
          <w:rFonts w:ascii="Arial" w:hAnsi="Arial" w:cs="Arial"/>
          <w:lang w:val="es-ES"/>
        </w:rPr>
        <w:t>La contaminación recolectada se pesa en una balanza de precisión expresada en miligramos.</w:t>
      </w:r>
    </w:p>
    <w:p w:rsidR="00C262EA" w:rsidRPr="00C262EA" w:rsidRDefault="00C262EA" w:rsidP="004F6B32">
      <w:pPr>
        <w:numPr>
          <w:ilvl w:val="0"/>
          <w:numId w:val="67"/>
        </w:numPr>
        <w:tabs>
          <w:tab w:val="clear" w:pos="567"/>
          <w:tab w:val="clear" w:pos="1134"/>
          <w:tab w:val="clear" w:pos="1701"/>
          <w:tab w:val="clear" w:pos="2268"/>
          <w:tab w:val="clear" w:pos="2835"/>
          <w:tab w:val="left" w:pos="-426"/>
          <w:tab w:val="left" w:pos="960"/>
        </w:tabs>
        <w:spacing w:before="60" w:line="264" w:lineRule="auto"/>
        <w:ind w:left="958" w:hanging="357"/>
        <w:jc w:val="both"/>
        <w:rPr>
          <w:rFonts w:ascii="Arial" w:hAnsi="Arial" w:cs="Arial"/>
          <w:lang w:val="es-ES"/>
        </w:rPr>
      </w:pPr>
      <w:r w:rsidRPr="00C262EA">
        <w:rPr>
          <w:rFonts w:ascii="Arial" w:hAnsi="Arial" w:cs="Arial"/>
          <w:lang w:val="es-ES"/>
        </w:rPr>
        <w:t>Se determina el nivel de contaminación (NC) en mg/cm</w:t>
      </w:r>
      <w:r w:rsidRPr="00C262EA">
        <w:rPr>
          <w:rFonts w:ascii="Arial" w:hAnsi="Arial" w:cs="Arial"/>
        </w:rPr>
        <w:t>²</w:t>
      </w:r>
      <w:r w:rsidRPr="00C262EA">
        <w:rPr>
          <w:rFonts w:ascii="Arial" w:hAnsi="Arial" w:cs="Arial"/>
          <w:lang w:val="es-ES"/>
        </w:rPr>
        <w:t>, aplicando la fórmula:</w:t>
      </w:r>
    </w:p>
    <w:p w:rsidR="00C262EA" w:rsidRPr="00C262EA" w:rsidRDefault="00C262EA" w:rsidP="00C262EA">
      <w:pPr>
        <w:tabs>
          <w:tab w:val="left" w:pos="1287"/>
        </w:tabs>
        <w:spacing w:before="240" w:after="120" w:line="264" w:lineRule="auto"/>
        <w:ind w:left="1134" w:hanging="709"/>
        <w:jc w:val="center"/>
        <w:rPr>
          <w:rFonts w:ascii="Arial" w:hAnsi="Arial" w:cs="Arial"/>
          <w:b/>
          <w:i/>
          <w:iCs/>
        </w:rPr>
      </w:pPr>
      <w:r w:rsidRPr="00C262EA">
        <w:rPr>
          <w:rFonts w:ascii="Arial" w:hAnsi="Arial" w:cs="Arial"/>
          <w:b/>
          <w:i/>
          <w:iCs/>
        </w:rPr>
        <w:t>NC = Peso de la contaminación [mg] / Superficie del conductor [cm</w:t>
      </w:r>
      <w:r w:rsidRPr="00C262EA">
        <w:rPr>
          <w:rFonts w:ascii="Arial" w:hAnsi="Arial" w:cs="Arial"/>
          <w:b/>
          <w:i/>
        </w:rPr>
        <w:t>²</w:t>
      </w:r>
      <w:r w:rsidRPr="00C262EA">
        <w:rPr>
          <w:rFonts w:ascii="Arial" w:hAnsi="Arial" w:cs="Arial"/>
          <w:b/>
          <w:i/>
          <w:iCs/>
        </w:rPr>
        <w:t>]</w:t>
      </w:r>
    </w:p>
    <w:p w:rsidR="00C262EA" w:rsidRPr="00C262EA" w:rsidRDefault="00C262EA" w:rsidP="00C262EA">
      <w:pPr>
        <w:tabs>
          <w:tab w:val="left" w:pos="1287"/>
        </w:tabs>
        <w:spacing w:line="264" w:lineRule="auto"/>
        <w:ind w:left="1701" w:hanging="709"/>
        <w:jc w:val="both"/>
        <w:rPr>
          <w:rFonts w:ascii="Arial" w:hAnsi="Arial" w:cs="Arial"/>
          <w:i/>
          <w:iCs/>
          <w:sz w:val="18"/>
          <w:szCs w:val="18"/>
        </w:rPr>
      </w:pPr>
      <w:r w:rsidRPr="00C262EA">
        <w:rPr>
          <w:rFonts w:ascii="Arial" w:hAnsi="Arial" w:cs="Arial"/>
          <w:i/>
          <w:iCs/>
          <w:sz w:val="18"/>
          <w:szCs w:val="18"/>
          <w:u w:val="single"/>
        </w:rPr>
        <w:t>Donde</w:t>
      </w:r>
      <w:r w:rsidRPr="00C262EA">
        <w:rPr>
          <w:rFonts w:ascii="Arial" w:hAnsi="Arial" w:cs="Arial"/>
          <w:i/>
          <w:iCs/>
          <w:sz w:val="18"/>
          <w:szCs w:val="18"/>
        </w:rPr>
        <w:t xml:space="preserve">: </w:t>
      </w:r>
    </w:p>
    <w:p w:rsidR="00C262EA" w:rsidRPr="00C262EA" w:rsidRDefault="00C262EA" w:rsidP="00C262EA">
      <w:pPr>
        <w:tabs>
          <w:tab w:val="left" w:pos="1287"/>
        </w:tabs>
        <w:spacing w:line="264" w:lineRule="auto"/>
        <w:ind w:left="2127" w:hanging="709"/>
        <w:jc w:val="both"/>
        <w:rPr>
          <w:rFonts w:ascii="Arial" w:hAnsi="Arial" w:cs="Arial"/>
          <w:i/>
          <w:iCs/>
          <w:sz w:val="18"/>
          <w:szCs w:val="18"/>
        </w:rPr>
      </w:pPr>
      <w:r w:rsidRPr="00C262EA">
        <w:rPr>
          <w:rFonts w:ascii="Arial" w:hAnsi="Arial" w:cs="Arial"/>
          <w:i/>
          <w:iCs/>
          <w:sz w:val="18"/>
          <w:szCs w:val="18"/>
        </w:rPr>
        <w:t>la superficie del conductor es 2</w:t>
      </w:r>
      <w:r w:rsidRPr="00C262EA">
        <w:rPr>
          <w:rFonts w:ascii="Arial" w:hAnsi="Arial" w:cs="Arial"/>
          <w:i/>
          <w:iCs/>
          <w:sz w:val="18"/>
          <w:szCs w:val="18"/>
        </w:rPr>
        <w:sym w:font="Symbol" w:char="F070"/>
      </w:r>
      <w:r w:rsidRPr="00C262EA">
        <w:rPr>
          <w:rFonts w:ascii="Arial" w:hAnsi="Arial" w:cs="Arial"/>
          <w:i/>
          <w:iCs/>
          <w:sz w:val="18"/>
          <w:szCs w:val="18"/>
        </w:rPr>
        <w:t xml:space="preserve"> r L, </w:t>
      </w:r>
    </w:p>
    <w:p w:rsidR="00C262EA" w:rsidRPr="00C262EA" w:rsidRDefault="00C262EA" w:rsidP="00C262EA">
      <w:pPr>
        <w:tabs>
          <w:tab w:val="left" w:pos="1287"/>
        </w:tabs>
        <w:spacing w:line="264" w:lineRule="auto"/>
        <w:ind w:left="2127" w:hanging="709"/>
        <w:jc w:val="both"/>
        <w:rPr>
          <w:rFonts w:ascii="Arial" w:hAnsi="Arial" w:cs="Arial"/>
          <w:i/>
          <w:iCs/>
          <w:sz w:val="18"/>
          <w:szCs w:val="18"/>
        </w:rPr>
      </w:pPr>
      <w:r w:rsidRPr="00C262EA">
        <w:rPr>
          <w:rFonts w:ascii="Arial" w:hAnsi="Arial" w:cs="Arial"/>
          <w:i/>
          <w:iCs/>
          <w:sz w:val="18"/>
          <w:szCs w:val="18"/>
        </w:rPr>
        <w:t xml:space="preserve">r es el radio del conductor en cm y </w:t>
      </w:r>
    </w:p>
    <w:p w:rsidR="00C262EA" w:rsidRPr="00C262EA" w:rsidRDefault="00C262EA" w:rsidP="00C262EA">
      <w:pPr>
        <w:tabs>
          <w:tab w:val="left" w:pos="1287"/>
        </w:tabs>
        <w:spacing w:line="264" w:lineRule="auto"/>
        <w:ind w:left="2127" w:hanging="709"/>
        <w:jc w:val="both"/>
        <w:rPr>
          <w:rFonts w:ascii="Arial" w:hAnsi="Arial" w:cs="Arial"/>
          <w:i/>
          <w:iCs/>
          <w:sz w:val="18"/>
          <w:szCs w:val="18"/>
        </w:rPr>
      </w:pPr>
      <w:r w:rsidRPr="00C262EA">
        <w:rPr>
          <w:rFonts w:ascii="Arial" w:hAnsi="Arial" w:cs="Arial"/>
          <w:i/>
          <w:iCs/>
          <w:sz w:val="18"/>
          <w:szCs w:val="18"/>
        </w:rPr>
        <w:t>L es la longitud de la porción del conductor donde se tomó la muestra, en cm.</w:t>
      </w:r>
    </w:p>
    <w:p w:rsidR="00C262EA" w:rsidRPr="00C262EA" w:rsidRDefault="00C262EA" w:rsidP="004F6B32">
      <w:pPr>
        <w:numPr>
          <w:ilvl w:val="0"/>
          <w:numId w:val="67"/>
        </w:numPr>
        <w:tabs>
          <w:tab w:val="clear" w:pos="567"/>
          <w:tab w:val="clear" w:pos="1134"/>
          <w:tab w:val="clear" w:pos="1701"/>
          <w:tab w:val="clear" w:pos="2268"/>
          <w:tab w:val="clear" w:pos="2835"/>
          <w:tab w:val="left" w:pos="-426"/>
        </w:tabs>
        <w:spacing w:before="60" w:line="257" w:lineRule="auto"/>
        <w:ind w:hanging="357"/>
        <w:jc w:val="both"/>
        <w:rPr>
          <w:rFonts w:ascii="Arial" w:hAnsi="Arial" w:cs="Arial"/>
          <w:lang w:val="es-ES"/>
        </w:rPr>
      </w:pPr>
      <w:r w:rsidRPr="00C262EA">
        <w:rPr>
          <w:rFonts w:ascii="Arial" w:hAnsi="Arial" w:cs="Arial"/>
          <w:lang w:val="es-ES"/>
        </w:rPr>
        <w:t>Para las cadenas de aisladores se tomará la muestra de una de las campanas, la que visualmente tenga la mayor contaminación. Se determina el nivel de contaminación (NC) en mg/cm</w:t>
      </w:r>
      <w:r w:rsidRPr="00C262EA">
        <w:rPr>
          <w:rFonts w:ascii="Arial" w:hAnsi="Arial" w:cs="Arial"/>
        </w:rPr>
        <w:t>²</w:t>
      </w:r>
      <w:r w:rsidRPr="00C262EA">
        <w:rPr>
          <w:rFonts w:ascii="Arial" w:hAnsi="Arial" w:cs="Arial"/>
          <w:lang w:val="es-ES"/>
        </w:rPr>
        <w:t>, aplicando la fórmula:</w:t>
      </w:r>
    </w:p>
    <w:p w:rsidR="00C262EA" w:rsidRPr="00C262EA" w:rsidRDefault="00C262EA" w:rsidP="00C262EA">
      <w:pPr>
        <w:tabs>
          <w:tab w:val="num" w:pos="960"/>
          <w:tab w:val="left" w:pos="1287"/>
        </w:tabs>
        <w:spacing w:before="240" w:after="120" w:line="257" w:lineRule="auto"/>
        <w:ind w:left="1134" w:hanging="357"/>
        <w:jc w:val="center"/>
        <w:rPr>
          <w:rFonts w:ascii="Arial" w:hAnsi="Arial" w:cs="Arial"/>
          <w:b/>
          <w:i/>
          <w:iCs/>
        </w:rPr>
      </w:pPr>
      <w:r w:rsidRPr="00C262EA">
        <w:rPr>
          <w:rFonts w:ascii="Arial" w:hAnsi="Arial" w:cs="Arial"/>
          <w:b/>
          <w:i/>
          <w:iCs/>
        </w:rPr>
        <w:t>NC = Peso de la contaminación [mg] / Superficie exterior de la campana [cm</w:t>
      </w:r>
      <w:r w:rsidRPr="00C262EA">
        <w:rPr>
          <w:rFonts w:ascii="Arial" w:hAnsi="Arial" w:cs="Arial"/>
          <w:b/>
          <w:i/>
        </w:rPr>
        <w:t>²</w:t>
      </w:r>
      <w:r w:rsidRPr="00C262EA">
        <w:rPr>
          <w:rFonts w:ascii="Arial" w:hAnsi="Arial" w:cs="Arial"/>
          <w:b/>
          <w:i/>
          <w:iCs/>
        </w:rPr>
        <w:t>]</w:t>
      </w:r>
    </w:p>
    <w:p w:rsidR="00C262EA" w:rsidRPr="00C262EA" w:rsidRDefault="00C262EA" w:rsidP="004F6B32">
      <w:pPr>
        <w:numPr>
          <w:ilvl w:val="0"/>
          <w:numId w:val="67"/>
        </w:numPr>
        <w:tabs>
          <w:tab w:val="clear" w:pos="567"/>
          <w:tab w:val="clear" w:pos="1134"/>
          <w:tab w:val="clear" w:pos="1701"/>
          <w:tab w:val="clear" w:pos="2268"/>
          <w:tab w:val="clear" w:pos="2835"/>
          <w:tab w:val="left" w:pos="-426"/>
        </w:tabs>
        <w:spacing w:before="60" w:line="257" w:lineRule="auto"/>
        <w:ind w:hanging="357"/>
        <w:jc w:val="both"/>
        <w:rPr>
          <w:rFonts w:ascii="Arial" w:hAnsi="Arial" w:cs="Arial"/>
          <w:lang w:val="es-ES"/>
        </w:rPr>
      </w:pPr>
      <w:r w:rsidRPr="00C262EA">
        <w:rPr>
          <w:rFonts w:ascii="Arial" w:hAnsi="Arial" w:cs="Arial"/>
          <w:lang w:val="es-ES"/>
        </w:rPr>
        <w:t>El valor de NC se compara con los valores del Cuadro N° 3 y se determina el nivel de contaminación en los conductores.</w:t>
      </w:r>
    </w:p>
    <w:p w:rsidR="00C262EA" w:rsidRPr="00C262EA" w:rsidRDefault="00C262EA" w:rsidP="00C262EA">
      <w:pPr>
        <w:tabs>
          <w:tab w:val="clear" w:pos="567"/>
          <w:tab w:val="clear" w:pos="1134"/>
          <w:tab w:val="clear" w:pos="1701"/>
          <w:tab w:val="clear" w:pos="2268"/>
          <w:tab w:val="clear" w:pos="2835"/>
        </w:tabs>
        <w:spacing w:before="240" w:after="120"/>
        <w:ind w:left="851"/>
        <w:jc w:val="center"/>
        <w:rPr>
          <w:rFonts w:ascii="Arial" w:hAnsi="Arial" w:cs="Arial"/>
          <w:b/>
          <w:lang w:val="es-ES"/>
        </w:rPr>
      </w:pPr>
      <w:r w:rsidRPr="00C262EA">
        <w:rPr>
          <w:rFonts w:ascii="Arial" w:hAnsi="Arial" w:cs="Arial"/>
          <w:b/>
          <w:lang w:val="es-ES"/>
        </w:rPr>
        <w:t>Cuadro N° 3: Niveles de Contaminación</w:t>
      </w:r>
    </w:p>
    <w:tbl>
      <w:tblPr>
        <w:tblW w:w="0" w:type="auto"/>
        <w:tblInd w:w="2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63"/>
        <w:gridCol w:w="1706"/>
      </w:tblGrid>
      <w:tr w:rsidR="00C262EA" w:rsidRPr="00C262EA" w:rsidTr="00454A68">
        <w:trPr>
          <w:trHeight w:val="20"/>
        </w:trPr>
        <w:tc>
          <w:tcPr>
            <w:tcW w:w="2263" w:type="dxa"/>
            <w:shd w:val="clear" w:color="auto" w:fill="CCFFCC"/>
            <w:vAlign w:val="center"/>
          </w:tcPr>
          <w:p w:rsidR="00C262EA" w:rsidRPr="00C262EA" w:rsidRDefault="00C262EA" w:rsidP="00C262EA">
            <w:pPr>
              <w:spacing w:before="40" w:after="40" w:line="257" w:lineRule="auto"/>
              <w:jc w:val="center"/>
              <w:rPr>
                <w:rFonts w:ascii="Arial" w:hAnsi="Arial" w:cs="Arial"/>
                <w:b/>
                <w:bCs/>
                <w:sz w:val="18"/>
                <w:szCs w:val="18"/>
              </w:rPr>
            </w:pPr>
            <w:r w:rsidRPr="00C262EA">
              <w:rPr>
                <w:rFonts w:ascii="Arial" w:hAnsi="Arial" w:cs="Arial"/>
                <w:b/>
                <w:bCs/>
                <w:sz w:val="18"/>
                <w:szCs w:val="18"/>
              </w:rPr>
              <w:t>Nivel de contaminación</w:t>
            </w:r>
          </w:p>
        </w:tc>
        <w:tc>
          <w:tcPr>
            <w:tcW w:w="1706" w:type="dxa"/>
            <w:shd w:val="clear" w:color="auto" w:fill="CCFFCC"/>
            <w:noWrap/>
            <w:vAlign w:val="center"/>
          </w:tcPr>
          <w:p w:rsidR="00C262EA" w:rsidRPr="00C262EA" w:rsidRDefault="00C262EA" w:rsidP="00C262EA">
            <w:pPr>
              <w:spacing w:before="40" w:after="40" w:line="257" w:lineRule="auto"/>
              <w:jc w:val="center"/>
              <w:rPr>
                <w:rFonts w:ascii="Arial" w:hAnsi="Arial" w:cs="Arial"/>
                <w:b/>
                <w:bCs/>
                <w:sz w:val="18"/>
                <w:szCs w:val="18"/>
              </w:rPr>
            </w:pPr>
            <w:r w:rsidRPr="00C262EA">
              <w:rPr>
                <w:rFonts w:ascii="Arial" w:hAnsi="Arial" w:cs="Arial"/>
                <w:b/>
                <w:bCs/>
                <w:sz w:val="18"/>
                <w:szCs w:val="18"/>
              </w:rPr>
              <w:t>Peso (mg / cm</w:t>
            </w:r>
            <w:r w:rsidRPr="00C262EA">
              <w:rPr>
                <w:rFonts w:ascii="Arial" w:hAnsi="Arial" w:cs="Arial"/>
                <w:b/>
                <w:sz w:val="18"/>
                <w:szCs w:val="18"/>
              </w:rPr>
              <w:t>²</w:t>
            </w:r>
            <w:r w:rsidRPr="00C262EA">
              <w:rPr>
                <w:rFonts w:ascii="Arial" w:hAnsi="Arial" w:cs="Arial"/>
                <w:b/>
                <w:bCs/>
                <w:sz w:val="18"/>
                <w:szCs w:val="18"/>
              </w:rPr>
              <w:t>)</w:t>
            </w:r>
          </w:p>
        </w:tc>
      </w:tr>
      <w:tr w:rsidR="00C262EA" w:rsidRPr="00C262EA" w:rsidTr="00454A68">
        <w:trPr>
          <w:trHeight w:val="20"/>
        </w:trPr>
        <w:tc>
          <w:tcPr>
            <w:tcW w:w="2263"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Bajo</w:t>
            </w:r>
          </w:p>
        </w:tc>
        <w:tc>
          <w:tcPr>
            <w:tcW w:w="1706"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5 – 20</w:t>
            </w:r>
          </w:p>
        </w:tc>
      </w:tr>
      <w:tr w:rsidR="00C262EA" w:rsidRPr="00C262EA" w:rsidTr="00454A68">
        <w:trPr>
          <w:trHeight w:val="20"/>
        </w:trPr>
        <w:tc>
          <w:tcPr>
            <w:tcW w:w="2263"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Medio</w:t>
            </w:r>
          </w:p>
        </w:tc>
        <w:tc>
          <w:tcPr>
            <w:tcW w:w="1706"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20 – 45</w:t>
            </w:r>
          </w:p>
        </w:tc>
      </w:tr>
      <w:tr w:rsidR="00C262EA" w:rsidRPr="00C262EA" w:rsidTr="00454A68">
        <w:trPr>
          <w:trHeight w:val="20"/>
        </w:trPr>
        <w:tc>
          <w:tcPr>
            <w:tcW w:w="2263"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Alto</w:t>
            </w:r>
          </w:p>
        </w:tc>
        <w:tc>
          <w:tcPr>
            <w:tcW w:w="1706" w:type="dxa"/>
            <w:vAlign w:val="center"/>
          </w:tcPr>
          <w:p w:rsidR="00C262EA" w:rsidRPr="00C262EA" w:rsidRDefault="00C262EA" w:rsidP="00C262EA">
            <w:pPr>
              <w:spacing w:before="40" w:after="40" w:line="257" w:lineRule="auto"/>
              <w:jc w:val="center"/>
              <w:rPr>
                <w:rFonts w:ascii="Arial" w:hAnsi="Arial" w:cs="Arial"/>
                <w:bCs/>
              </w:rPr>
            </w:pPr>
            <w:r w:rsidRPr="00C262EA">
              <w:rPr>
                <w:rFonts w:ascii="Arial" w:hAnsi="Arial" w:cs="Arial"/>
                <w:bCs/>
              </w:rPr>
              <w:t>&gt; 45</w:t>
            </w:r>
          </w:p>
        </w:tc>
      </w:tr>
    </w:tbl>
    <w:p w:rsidR="00C262EA" w:rsidRPr="00C262EA" w:rsidRDefault="00C262EA" w:rsidP="004F6B32">
      <w:pPr>
        <w:numPr>
          <w:ilvl w:val="0"/>
          <w:numId w:val="67"/>
        </w:numPr>
        <w:tabs>
          <w:tab w:val="clear" w:pos="567"/>
          <w:tab w:val="clear" w:pos="1134"/>
          <w:tab w:val="clear" w:pos="1701"/>
          <w:tab w:val="clear" w:pos="2268"/>
          <w:tab w:val="clear" w:pos="2835"/>
          <w:tab w:val="left" w:pos="-426"/>
        </w:tabs>
        <w:spacing w:before="240" w:line="257" w:lineRule="auto"/>
        <w:ind w:left="958" w:hanging="357"/>
        <w:jc w:val="both"/>
        <w:rPr>
          <w:rFonts w:ascii="Arial" w:hAnsi="Arial" w:cs="Arial"/>
          <w:lang w:val="es-ES"/>
        </w:rPr>
      </w:pPr>
      <w:r w:rsidRPr="00C262EA">
        <w:rPr>
          <w:rFonts w:ascii="Arial" w:hAnsi="Arial" w:cs="Arial"/>
          <w:lang w:val="es-ES"/>
        </w:rPr>
        <w:t>Los pasos indicados en los literales c) a g) son repetidos para los demás tramos de la línea que requieran toma de muestra.</w:t>
      </w:r>
    </w:p>
    <w:p w:rsidR="00C262EA" w:rsidRPr="00C262EA" w:rsidRDefault="00C262EA" w:rsidP="00C262EA">
      <w:pPr>
        <w:tabs>
          <w:tab w:val="clear" w:pos="567"/>
          <w:tab w:val="clear" w:pos="1134"/>
          <w:tab w:val="clear" w:pos="1701"/>
          <w:tab w:val="clear" w:pos="2268"/>
          <w:tab w:val="clear" w:pos="2835"/>
          <w:tab w:val="left" w:pos="-426"/>
        </w:tabs>
        <w:spacing w:before="120" w:line="257" w:lineRule="auto"/>
        <w:ind w:left="958"/>
        <w:jc w:val="both"/>
        <w:rPr>
          <w:rFonts w:ascii="Arial" w:hAnsi="Arial" w:cs="Arial"/>
          <w:lang w:val="es-ES"/>
        </w:rPr>
      </w:pPr>
      <w:r w:rsidRPr="00C262EA">
        <w:rPr>
          <w:rFonts w:ascii="Arial" w:hAnsi="Arial" w:cs="Arial"/>
          <w:lang w:val="es-ES"/>
        </w:rPr>
        <w:t>Los informes de las tomas de muestra se remitirán a OSINERGMIN.</w:t>
      </w:r>
    </w:p>
    <w:p w:rsidR="00C262EA" w:rsidRPr="00C262EA" w:rsidRDefault="00C262EA" w:rsidP="00C262EA">
      <w:pPr>
        <w:tabs>
          <w:tab w:val="clear" w:pos="567"/>
          <w:tab w:val="clear" w:pos="1134"/>
          <w:tab w:val="clear" w:pos="1701"/>
          <w:tab w:val="clear" w:pos="2268"/>
          <w:tab w:val="clear" w:pos="2835"/>
          <w:tab w:val="left" w:pos="-426"/>
        </w:tabs>
        <w:spacing w:before="120" w:line="257" w:lineRule="auto"/>
        <w:ind w:left="958"/>
        <w:jc w:val="both"/>
        <w:rPr>
          <w:rFonts w:ascii="Arial" w:hAnsi="Arial" w:cs="Arial"/>
          <w:lang w:val="es-ES"/>
        </w:rPr>
      </w:pPr>
      <w:r w:rsidRPr="00C262EA">
        <w:rPr>
          <w:rFonts w:ascii="Arial" w:hAnsi="Arial" w:cs="Arial"/>
          <w:lang w:val="es-ES"/>
        </w:rPr>
        <w:lastRenderedPageBreak/>
        <w:t>A solicitud de OSINERGMIN y de común acuerdo con la Sociedad Concesionaria, se podrán revisar los valores de Niveles de Contaminación establecidos en los Cuadros N° 2 y N° 3.</w:t>
      </w:r>
    </w:p>
    <w:p w:rsidR="00C262EA" w:rsidRPr="00C262EA" w:rsidRDefault="00C262EA" w:rsidP="00195672">
      <w:pPr>
        <w:tabs>
          <w:tab w:val="left" w:pos="480"/>
        </w:tabs>
        <w:spacing w:before="240" w:line="257" w:lineRule="auto"/>
        <w:jc w:val="both"/>
        <w:rPr>
          <w:rFonts w:ascii="Arial" w:hAnsi="Arial" w:cs="Arial"/>
          <w:b/>
        </w:rPr>
      </w:pPr>
      <w:r w:rsidRPr="00C262EA">
        <w:rPr>
          <w:rFonts w:ascii="Arial" w:hAnsi="Arial" w:cs="Arial"/>
          <w:b/>
        </w:rPr>
        <w:t>5.3</w:t>
      </w:r>
      <w:r w:rsidRPr="00C262EA">
        <w:rPr>
          <w:rFonts w:ascii="Arial" w:hAnsi="Arial" w:cs="Arial"/>
          <w:b/>
        </w:rPr>
        <w:tab/>
        <w:t>LIMPIEZA DE CONDUCTORES</w:t>
      </w:r>
    </w:p>
    <w:p w:rsidR="00C262EA" w:rsidRPr="00C262EA" w:rsidRDefault="00C262EA" w:rsidP="00C262EA">
      <w:pPr>
        <w:tabs>
          <w:tab w:val="clear" w:pos="567"/>
        </w:tabs>
        <w:spacing w:before="120" w:line="257" w:lineRule="auto"/>
        <w:ind w:left="426"/>
        <w:jc w:val="both"/>
        <w:rPr>
          <w:rFonts w:ascii="Arial" w:hAnsi="Arial" w:cs="Arial"/>
        </w:rPr>
      </w:pPr>
      <w:r w:rsidRPr="00C262EA">
        <w:rPr>
          <w:rFonts w:ascii="Arial" w:hAnsi="Arial" w:cs="Arial"/>
        </w:rPr>
        <w:t>La limpieza de conductores se efectuará en todos los tramos calificados con nivel Medio y Alto de contaminación.</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Las labores de limpieza se efectuarán coincidiendo con la salida de servicio de la línea de transmisión, de acuerdo con el programa de intervenciones aprobado por el COES a solicitud de la Sociedad Concesionaria.</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El procedimiento para efectuar la limpieza de los conductores es el siguiente:</w:t>
      </w:r>
    </w:p>
    <w:p w:rsidR="00C262EA" w:rsidRPr="00C262EA" w:rsidRDefault="00C262EA" w:rsidP="004F6B32">
      <w:pPr>
        <w:numPr>
          <w:ilvl w:val="0"/>
          <w:numId w:val="66"/>
        </w:numPr>
        <w:tabs>
          <w:tab w:val="clear" w:pos="567"/>
          <w:tab w:val="clear" w:pos="1134"/>
          <w:tab w:val="clear" w:pos="1701"/>
          <w:tab w:val="clear" w:pos="2268"/>
          <w:tab w:val="clear" w:pos="2835"/>
          <w:tab w:val="left" w:pos="840"/>
        </w:tabs>
        <w:spacing w:before="60" w:line="257" w:lineRule="auto"/>
        <w:ind w:left="840"/>
        <w:jc w:val="both"/>
        <w:rPr>
          <w:rFonts w:ascii="Arial" w:hAnsi="Arial" w:cs="Arial"/>
          <w:lang w:val="es-ES"/>
        </w:rPr>
      </w:pPr>
      <w:r w:rsidRPr="00C262EA">
        <w:rPr>
          <w:rFonts w:ascii="Arial" w:hAnsi="Arial" w:cs="Arial"/>
          <w:lang w:val="es-ES"/>
        </w:rPr>
        <w:t>La limpieza de conductores se realizará en los tramos programados, con la línea de transmisión fuera de servicio, en presencia de luz solar, ausencia de lluvia, baja humedad y sin viento fuerte.</w:t>
      </w:r>
    </w:p>
    <w:p w:rsidR="00C262EA" w:rsidRPr="00C262EA" w:rsidRDefault="00C262EA" w:rsidP="004F6B32">
      <w:pPr>
        <w:numPr>
          <w:ilvl w:val="0"/>
          <w:numId w:val="66"/>
        </w:numPr>
        <w:tabs>
          <w:tab w:val="clear" w:pos="567"/>
          <w:tab w:val="clear" w:pos="1134"/>
          <w:tab w:val="clear" w:pos="1701"/>
          <w:tab w:val="clear" w:pos="2268"/>
          <w:tab w:val="clear" w:pos="2835"/>
          <w:tab w:val="left" w:pos="840"/>
        </w:tabs>
        <w:spacing w:before="60" w:line="257" w:lineRule="auto"/>
        <w:ind w:left="840"/>
        <w:jc w:val="both"/>
        <w:rPr>
          <w:rFonts w:ascii="Arial" w:hAnsi="Arial" w:cs="Arial"/>
          <w:lang w:val="es-ES"/>
        </w:rPr>
      </w:pPr>
      <w:r w:rsidRPr="00C262EA">
        <w:rPr>
          <w:rFonts w:ascii="Arial" w:hAnsi="Arial" w:cs="Arial"/>
          <w:lang w:val="es-ES"/>
        </w:rPr>
        <w:t>La limpieza de conductores será efectuada por técnicos especialistas en líneas de transmisión, equipados con implementos de seguridad, equipo de limpieza de conductores, equipos de maniobras especializados y deberá cumplirse con las normas de seguridad establecidas.</w:t>
      </w:r>
    </w:p>
    <w:p w:rsidR="00C262EA" w:rsidRPr="00C262EA" w:rsidRDefault="00C262EA" w:rsidP="00C262EA">
      <w:pPr>
        <w:tabs>
          <w:tab w:val="clear" w:pos="567"/>
          <w:tab w:val="clear" w:pos="1134"/>
          <w:tab w:val="clear" w:pos="1701"/>
          <w:tab w:val="clear" w:pos="2268"/>
          <w:tab w:val="clear" w:pos="2835"/>
        </w:tabs>
        <w:spacing w:before="80" w:line="257" w:lineRule="auto"/>
        <w:ind w:left="426"/>
        <w:jc w:val="both"/>
        <w:rPr>
          <w:rFonts w:ascii="Arial" w:hAnsi="Arial" w:cs="Arial"/>
          <w:lang w:val="es-ES"/>
        </w:rPr>
      </w:pPr>
      <w:r w:rsidRPr="00C262EA">
        <w:rPr>
          <w:rFonts w:ascii="Arial" w:hAnsi="Arial" w:cs="Arial"/>
          <w:lang w:val="es-ES"/>
        </w:rPr>
        <w:t>La Sociedad Concesionaria elaborará el procedimiento de limpieza del haz de conductores, para la aprobación del OSINERGMIN.</w:t>
      </w:r>
    </w:p>
    <w:p w:rsidR="00C262EA" w:rsidRPr="00C262EA" w:rsidRDefault="00C262EA" w:rsidP="00C262EA">
      <w:pPr>
        <w:tabs>
          <w:tab w:val="clear" w:pos="567"/>
          <w:tab w:val="clear" w:pos="1134"/>
          <w:tab w:val="clear" w:pos="1701"/>
          <w:tab w:val="clear" w:pos="2268"/>
          <w:tab w:val="clear" w:pos="2835"/>
        </w:tabs>
        <w:spacing w:before="80" w:line="257" w:lineRule="auto"/>
        <w:ind w:left="426"/>
        <w:jc w:val="both"/>
        <w:rPr>
          <w:rFonts w:ascii="Arial" w:hAnsi="Arial" w:cs="Arial"/>
          <w:lang w:val="es-ES"/>
        </w:rPr>
      </w:pPr>
      <w:r w:rsidRPr="00C262EA">
        <w:rPr>
          <w:rFonts w:ascii="Arial" w:hAnsi="Arial" w:cs="Arial"/>
          <w:lang w:val="es-ES"/>
        </w:rPr>
        <w:t>Los informes de la limpieza de conductores se remitirán a OSINERGMIN.</w:t>
      </w:r>
    </w:p>
    <w:p w:rsidR="00C262EA" w:rsidRPr="00C262EA" w:rsidRDefault="00C262EA" w:rsidP="00C262EA">
      <w:pPr>
        <w:tabs>
          <w:tab w:val="left" w:pos="480"/>
        </w:tabs>
        <w:spacing w:before="240" w:line="257" w:lineRule="auto"/>
        <w:jc w:val="both"/>
        <w:rPr>
          <w:rFonts w:ascii="Arial" w:hAnsi="Arial" w:cs="Arial"/>
          <w:b/>
        </w:rPr>
      </w:pPr>
      <w:r w:rsidRPr="00C262EA">
        <w:rPr>
          <w:rFonts w:ascii="Arial" w:hAnsi="Arial" w:cs="Arial"/>
          <w:b/>
        </w:rPr>
        <w:t>5.4</w:t>
      </w:r>
      <w:r w:rsidRPr="00C262EA">
        <w:rPr>
          <w:rFonts w:ascii="Arial" w:hAnsi="Arial" w:cs="Arial"/>
          <w:b/>
        </w:rPr>
        <w:tab/>
        <w:t>LIMPIEZA DE AISLADORES</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Se programará para efectuarse de manera simultánea con la limpieza de conductores.</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En general se seguirá el mismo procedimiento que el indicado para la limpieza de los conductores.</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La Sociedad Concesionaria podrá, de considerarlo conveniente, efectuar las labores de limpieza en caliente.</w:t>
      </w:r>
    </w:p>
    <w:p w:rsidR="00C262EA" w:rsidRPr="00C262EA" w:rsidRDefault="00C262EA" w:rsidP="00C262EA">
      <w:pPr>
        <w:tabs>
          <w:tab w:val="clear" w:pos="567"/>
        </w:tabs>
        <w:spacing w:before="60" w:line="257" w:lineRule="auto"/>
        <w:ind w:left="426"/>
        <w:jc w:val="both"/>
        <w:rPr>
          <w:rFonts w:ascii="Arial" w:hAnsi="Arial" w:cs="Arial"/>
        </w:rPr>
      </w:pPr>
      <w:r w:rsidRPr="00C262EA">
        <w:rPr>
          <w:rFonts w:ascii="Arial" w:hAnsi="Arial" w:cs="Arial"/>
        </w:rPr>
        <w:t>La Sociedad Concesionaria elaborará los procedimientos y protocolos de verificación del nivel de limpieza de los aisladores y los niveles de referencia. Los informes de limpieza de aisladores deberán ser remitidos a OSINERGMIN, el mismo que podrá verificarlos en campo.</w:t>
      </w:r>
    </w:p>
    <w:p w:rsidR="00C262EA" w:rsidRPr="00C262EA" w:rsidRDefault="00C262EA" w:rsidP="00C262EA">
      <w:pPr>
        <w:jc w:val="center"/>
        <w:rPr>
          <w:rFonts w:ascii="Arial" w:hAnsi="Arial" w:cs="Arial"/>
          <w:b/>
          <w:sz w:val="24"/>
          <w:szCs w:val="24"/>
          <w:u w:val="wave"/>
        </w:rPr>
      </w:pPr>
      <w:r w:rsidRPr="00C262EA">
        <w:rPr>
          <w:rFonts w:ascii="Arial" w:hAnsi="Arial" w:cs="Arial"/>
          <w:b/>
          <w:u w:val="wave"/>
        </w:rPr>
        <w:br w:type="page"/>
      </w:r>
      <w:bookmarkStart w:id="103" w:name="_Toc272265374"/>
      <w:r w:rsidRPr="00C262EA">
        <w:rPr>
          <w:rFonts w:ascii="Arial" w:hAnsi="Arial" w:cs="Arial"/>
          <w:b/>
          <w:sz w:val="24"/>
          <w:szCs w:val="24"/>
          <w:u w:val="wave"/>
        </w:rPr>
        <w:lastRenderedPageBreak/>
        <w:t>Diagrama Unifilar N° 1</w:t>
      </w:r>
      <w:bookmarkEnd w:id="103"/>
    </w:p>
    <w:p w:rsidR="00C262EA" w:rsidRPr="00C262EA" w:rsidRDefault="00C262EA" w:rsidP="00C262EA">
      <w:pPr>
        <w:jc w:val="center"/>
      </w:pPr>
      <w:r>
        <w:rPr>
          <w:noProof/>
          <w:lang w:eastAsia="es-PE"/>
        </w:rPr>
        <w:drawing>
          <wp:inline distT="0" distB="0" distL="0" distR="0">
            <wp:extent cx="5810250" cy="6943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687" r="6583"/>
                    <a:stretch>
                      <a:fillRect/>
                    </a:stretch>
                  </pic:blipFill>
                  <pic:spPr bwMode="auto">
                    <a:xfrm>
                      <a:off x="0" y="0"/>
                      <a:ext cx="5810250" cy="6943725"/>
                    </a:xfrm>
                    <a:prstGeom prst="rect">
                      <a:avLst/>
                    </a:prstGeom>
                    <a:noFill/>
                    <a:ln>
                      <a:noFill/>
                    </a:ln>
                  </pic:spPr>
                </pic:pic>
              </a:graphicData>
            </a:graphic>
          </wp:inline>
        </w:drawing>
      </w:r>
    </w:p>
    <w:p w:rsidR="00C262EA" w:rsidRPr="00C262EA" w:rsidRDefault="00C262EA" w:rsidP="00C262EA">
      <w:pPr>
        <w:jc w:val="center"/>
      </w:pPr>
    </w:p>
    <w:p w:rsidR="00C262EA" w:rsidRPr="00C262EA" w:rsidRDefault="00C262EA" w:rsidP="00C262EA">
      <w:pPr>
        <w:jc w:val="center"/>
      </w:pPr>
    </w:p>
    <w:p w:rsidR="00C262EA" w:rsidRPr="00C262EA" w:rsidRDefault="00C262EA" w:rsidP="00C262EA">
      <w:pPr>
        <w:jc w:val="center"/>
      </w:pPr>
    </w:p>
    <w:p w:rsidR="00C262EA" w:rsidRPr="00C262EA" w:rsidRDefault="00C262EA" w:rsidP="00C262EA">
      <w:pPr>
        <w:jc w:val="center"/>
      </w:pPr>
    </w:p>
    <w:p w:rsidR="00C262EA" w:rsidRPr="00C262EA" w:rsidRDefault="00C262EA" w:rsidP="00C262EA">
      <w:pPr>
        <w:jc w:val="center"/>
      </w:pPr>
    </w:p>
    <w:p w:rsidR="00C262EA" w:rsidRPr="00C262EA" w:rsidRDefault="00C262EA" w:rsidP="00C262EA">
      <w:pPr>
        <w:jc w:val="center"/>
        <w:rPr>
          <w:rFonts w:ascii="Arial" w:hAnsi="Arial" w:cs="Arial"/>
          <w:b/>
          <w:u w:val="wave"/>
        </w:rPr>
      </w:pPr>
      <w:bookmarkStart w:id="104" w:name="_Toc272265375"/>
      <w:r w:rsidRPr="00C262EA">
        <w:rPr>
          <w:rFonts w:ascii="Arial" w:hAnsi="Arial" w:cs="Arial"/>
          <w:b/>
          <w:u w:val="wave"/>
        </w:rPr>
        <w:t>Tabla 2.1 – Distancias de Seguridad</w:t>
      </w:r>
      <w:bookmarkEnd w:id="104"/>
    </w:p>
    <w:p w:rsidR="00C262EA" w:rsidRPr="00C262EA" w:rsidRDefault="00C262EA" w:rsidP="00C262EA">
      <w:pPr>
        <w:jc w:val="center"/>
        <w:rPr>
          <w:rFonts w:ascii="Arial" w:hAnsi="Arial" w:cs="Arial"/>
          <w:b/>
          <w:u w:val="wave"/>
        </w:rPr>
      </w:pPr>
    </w:p>
    <w:p w:rsidR="00C262EA" w:rsidRPr="00C262EA" w:rsidRDefault="00C262EA" w:rsidP="00C262EA">
      <w:pPr>
        <w:spacing w:line="247" w:lineRule="auto"/>
        <w:jc w:val="center"/>
        <w:rPr>
          <w:rFonts w:ascii="Arial" w:hAnsi="Arial" w:cs="Arial"/>
          <w:lang w:val="es-MX"/>
        </w:rPr>
      </w:pPr>
      <w:r w:rsidRPr="00C262EA">
        <w:rPr>
          <w:rFonts w:ascii="Arial" w:hAnsi="Arial" w:cs="Arial"/>
          <w:b/>
          <w:lang w:val="es-MX"/>
        </w:rPr>
        <w:t>Mínimas Distancias Verticales de Seguridad de alambres, conductores y cables sobre el nivel del piso, camino, riel o superficie de agua</w:t>
      </w:r>
      <w:r w:rsidRPr="00C262EA">
        <w:rPr>
          <w:rFonts w:ascii="Arial" w:hAnsi="Arial" w:cs="Arial"/>
          <w:lang w:val="es-MX"/>
        </w:rPr>
        <w:t xml:space="preserve"> </w:t>
      </w:r>
    </w:p>
    <w:p w:rsidR="00C262EA" w:rsidRPr="00C262EA" w:rsidRDefault="00C262EA" w:rsidP="00C262EA">
      <w:pPr>
        <w:spacing w:line="247" w:lineRule="auto"/>
        <w:jc w:val="center"/>
        <w:rPr>
          <w:rFonts w:ascii="Arial" w:hAnsi="Arial" w:cs="Arial"/>
          <w:b/>
          <w:sz w:val="16"/>
          <w:lang w:val="es-MX"/>
        </w:rPr>
      </w:pPr>
      <w:r w:rsidRPr="00C262EA">
        <w:rPr>
          <w:rFonts w:ascii="Arial" w:hAnsi="Arial" w:cs="Arial"/>
          <w:b/>
          <w:lang w:val="es-MX"/>
        </w:rPr>
        <w:t>(en metros)</w:t>
      </w:r>
    </w:p>
    <w:p w:rsidR="00C262EA" w:rsidRPr="00C262EA" w:rsidRDefault="00C262EA" w:rsidP="00C262EA">
      <w:pPr>
        <w:rPr>
          <w:rFonts w:ascii="Arial" w:hAnsi="Arial" w:cs="Arial"/>
          <w:b/>
          <w:sz w:val="16"/>
          <w:szCs w:val="16"/>
        </w:rPr>
      </w:pPr>
    </w:p>
    <w:tbl>
      <w:tblPr>
        <w:tblW w:w="8500" w:type="dxa"/>
        <w:tblInd w:w="56" w:type="dxa"/>
        <w:tblCellMar>
          <w:left w:w="70" w:type="dxa"/>
          <w:right w:w="70" w:type="dxa"/>
        </w:tblCellMar>
        <w:tblLook w:val="00A0" w:firstRow="1" w:lastRow="0" w:firstColumn="1" w:lastColumn="0" w:noHBand="0" w:noVBand="0"/>
      </w:tblPr>
      <w:tblGrid>
        <w:gridCol w:w="5260"/>
        <w:gridCol w:w="1620"/>
        <w:gridCol w:w="1620"/>
      </w:tblGrid>
      <w:tr w:rsidR="00C262EA" w:rsidRPr="00C262EA" w:rsidTr="00454A68">
        <w:trPr>
          <w:trHeight w:val="240"/>
        </w:trPr>
        <w:tc>
          <w:tcPr>
            <w:tcW w:w="5260" w:type="dxa"/>
            <w:vMerge w:val="restart"/>
            <w:tcBorders>
              <w:top w:val="single" w:sz="4" w:space="0" w:color="auto"/>
              <w:left w:val="single" w:sz="4" w:space="0" w:color="auto"/>
              <w:bottom w:val="single" w:sz="4" w:space="0" w:color="000000"/>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b/>
                <w:bCs/>
                <w:color w:val="000000"/>
                <w:sz w:val="18"/>
                <w:szCs w:val="18"/>
                <w:lang w:eastAsia="es-PE"/>
              </w:rPr>
            </w:pPr>
            <w:r w:rsidRPr="00C262EA">
              <w:rPr>
                <w:rFonts w:ascii="Arial" w:hAnsi="Arial" w:cs="Arial"/>
                <w:b/>
                <w:bCs/>
                <w:color w:val="000000"/>
                <w:sz w:val="18"/>
                <w:szCs w:val="18"/>
                <w:lang w:eastAsia="es-PE"/>
              </w:rPr>
              <w:t>Descripción</w:t>
            </w:r>
          </w:p>
        </w:tc>
        <w:tc>
          <w:tcPr>
            <w:tcW w:w="3240" w:type="dxa"/>
            <w:gridSpan w:val="2"/>
            <w:tcBorders>
              <w:top w:val="single" w:sz="4" w:space="0" w:color="auto"/>
              <w:left w:val="single" w:sz="4" w:space="0" w:color="auto"/>
              <w:bottom w:val="single" w:sz="4" w:space="0" w:color="auto"/>
              <w:right w:val="single" w:sz="4" w:space="0" w:color="000000"/>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b/>
                <w:bCs/>
                <w:color w:val="000000"/>
                <w:sz w:val="18"/>
                <w:szCs w:val="18"/>
                <w:lang w:eastAsia="es-PE"/>
              </w:rPr>
            </w:pPr>
            <w:r w:rsidRPr="00C262EA">
              <w:rPr>
                <w:rFonts w:ascii="Arial" w:hAnsi="Arial" w:cs="Arial"/>
                <w:b/>
                <w:bCs/>
                <w:color w:val="000000"/>
                <w:sz w:val="18"/>
                <w:szCs w:val="18"/>
                <w:lang w:eastAsia="es-PE"/>
              </w:rPr>
              <w:t>Nivel de Tensión del Sistema</w:t>
            </w:r>
          </w:p>
        </w:tc>
      </w:tr>
      <w:tr w:rsidR="00C262EA" w:rsidRPr="00C262EA" w:rsidTr="00454A68">
        <w:trPr>
          <w:trHeight w:val="240"/>
        </w:trPr>
        <w:tc>
          <w:tcPr>
            <w:tcW w:w="5260" w:type="dxa"/>
            <w:vMerge/>
            <w:tcBorders>
              <w:top w:val="single" w:sz="4" w:space="0" w:color="auto"/>
              <w:left w:val="single" w:sz="4" w:space="0" w:color="auto"/>
              <w:bottom w:val="single" w:sz="4" w:space="0" w:color="000000"/>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b/>
                <w:bCs/>
                <w:color w:val="000000"/>
                <w:sz w:val="18"/>
                <w:szCs w:val="18"/>
                <w:lang w:eastAsia="es-PE"/>
              </w:rPr>
            </w:pPr>
          </w:p>
        </w:tc>
        <w:tc>
          <w:tcPr>
            <w:tcW w:w="1620" w:type="dxa"/>
            <w:tcBorders>
              <w:top w:val="nil"/>
              <w:left w:val="single" w:sz="4" w:space="0" w:color="auto"/>
              <w:bottom w:val="nil"/>
              <w:right w:val="nil"/>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b/>
                <w:bCs/>
                <w:color w:val="000000"/>
                <w:sz w:val="18"/>
                <w:szCs w:val="18"/>
                <w:lang w:eastAsia="es-PE"/>
              </w:rPr>
            </w:pPr>
            <w:r w:rsidRPr="00C262EA">
              <w:rPr>
                <w:rFonts w:ascii="Arial" w:hAnsi="Arial" w:cs="Arial"/>
                <w:b/>
                <w:bCs/>
                <w:color w:val="000000"/>
                <w:sz w:val="18"/>
                <w:szCs w:val="18"/>
                <w:lang w:eastAsia="es-PE"/>
              </w:rPr>
              <w:t>138 kV</w:t>
            </w:r>
          </w:p>
        </w:tc>
        <w:tc>
          <w:tcPr>
            <w:tcW w:w="1620" w:type="dxa"/>
            <w:tcBorders>
              <w:top w:val="nil"/>
              <w:left w:val="single" w:sz="4" w:space="0" w:color="auto"/>
              <w:bottom w:val="nil"/>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b/>
                <w:bCs/>
                <w:color w:val="000000"/>
                <w:sz w:val="18"/>
                <w:szCs w:val="18"/>
                <w:lang w:eastAsia="es-PE"/>
              </w:rPr>
            </w:pPr>
            <w:r w:rsidRPr="00C262EA">
              <w:rPr>
                <w:rFonts w:ascii="Arial" w:hAnsi="Arial" w:cs="Arial"/>
                <w:b/>
                <w:bCs/>
                <w:color w:val="000000"/>
                <w:sz w:val="18"/>
                <w:szCs w:val="18"/>
                <w:lang w:eastAsia="es-PE"/>
              </w:rPr>
              <w:t>220 kV</w:t>
            </w:r>
          </w:p>
        </w:tc>
      </w:tr>
      <w:tr w:rsidR="00C262EA" w:rsidRPr="00C262EA" w:rsidTr="00454A68">
        <w:trPr>
          <w:trHeight w:val="240"/>
        </w:trPr>
        <w:tc>
          <w:tcPr>
            <w:tcW w:w="5260" w:type="dxa"/>
            <w:vMerge/>
            <w:tcBorders>
              <w:top w:val="single" w:sz="4" w:space="0" w:color="auto"/>
              <w:left w:val="single" w:sz="4" w:space="0" w:color="auto"/>
              <w:bottom w:val="single" w:sz="4" w:space="0" w:color="000000"/>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b/>
                <w:bCs/>
                <w:color w:val="000000"/>
                <w:sz w:val="18"/>
                <w:szCs w:val="18"/>
                <w:lang w:eastAsia="es-PE"/>
              </w:rPr>
            </w:pPr>
          </w:p>
        </w:tc>
        <w:tc>
          <w:tcPr>
            <w:tcW w:w="3240" w:type="dxa"/>
            <w:gridSpan w:val="2"/>
            <w:tcBorders>
              <w:top w:val="single" w:sz="4" w:space="0" w:color="auto"/>
              <w:left w:val="single" w:sz="4" w:space="0" w:color="auto"/>
              <w:bottom w:val="single" w:sz="4" w:space="0" w:color="auto"/>
              <w:right w:val="single" w:sz="4" w:space="0" w:color="000000"/>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b/>
                <w:bCs/>
                <w:color w:val="000000"/>
                <w:sz w:val="18"/>
                <w:szCs w:val="18"/>
                <w:lang w:eastAsia="es-PE"/>
              </w:rPr>
            </w:pPr>
            <w:r w:rsidRPr="00C262EA">
              <w:rPr>
                <w:rFonts w:ascii="Arial" w:hAnsi="Arial" w:cs="Arial"/>
                <w:b/>
                <w:bCs/>
                <w:color w:val="000000"/>
                <w:sz w:val="18"/>
                <w:szCs w:val="18"/>
                <w:lang w:eastAsia="es-PE"/>
              </w:rPr>
              <w:t>Altitud 3000 m.s.n.m.</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Al cruce de vías de ferrocarril al canto superior del riel</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10,50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11,00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Al cruce de carreteras y avenidas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Al cruce de calles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Al cruce de calles y caminos rurales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 lo largo de carreteras y avenidas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 lo largo de calles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A lo largo de calles y caminos rurales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A áreas no transitadas por vehículo</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6,60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7,00</w:t>
            </w:r>
          </w:p>
        </w:tc>
      </w:tr>
      <w:tr w:rsidR="00C262EA" w:rsidRPr="00C262EA" w:rsidTr="00454A68">
        <w:trPr>
          <w:trHeight w:val="24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 xml:space="preserve">Sobre el nivel más alto de río no navegable </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7,50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8,00</w:t>
            </w:r>
          </w:p>
        </w:tc>
      </w:tr>
      <w:tr w:rsidR="00C262EA" w:rsidRPr="00C262EA" w:rsidTr="00454A68">
        <w:trPr>
          <w:trHeight w:val="480"/>
        </w:trPr>
        <w:tc>
          <w:tcPr>
            <w:tcW w:w="5260" w:type="dxa"/>
            <w:tcBorders>
              <w:top w:val="nil"/>
              <w:left w:val="single" w:sz="4" w:space="0" w:color="auto"/>
              <w:bottom w:val="single" w:sz="4" w:space="0" w:color="auto"/>
              <w:right w:val="single" w:sz="4" w:space="0" w:color="auto"/>
            </w:tcBorders>
            <w:vAlign w:val="center"/>
          </w:tcPr>
          <w:p w:rsidR="00C262EA" w:rsidRPr="00C262EA" w:rsidRDefault="00C262EA" w:rsidP="00C262EA">
            <w:pPr>
              <w:tabs>
                <w:tab w:val="clear" w:pos="567"/>
                <w:tab w:val="clear" w:pos="1134"/>
                <w:tab w:val="clear" w:pos="1701"/>
                <w:tab w:val="clear" w:pos="2268"/>
                <w:tab w:val="clear" w:pos="2835"/>
              </w:tabs>
              <w:rPr>
                <w:rFonts w:ascii="Arial" w:hAnsi="Arial" w:cs="Arial"/>
                <w:color w:val="000000"/>
                <w:sz w:val="18"/>
                <w:szCs w:val="18"/>
                <w:lang w:eastAsia="es-PE"/>
              </w:rPr>
            </w:pPr>
            <w:r w:rsidRPr="00C262EA">
              <w:rPr>
                <w:rFonts w:ascii="Arial" w:hAnsi="Arial" w:cs="Arial"/>
                <w:color w:val="000000"/>
                <w:sz w:val="18"/>
                <w:szCs w:val="18"/>
                <w:lang w:eastAsia="es-PE"/>
              </w:rPr>
              <w:t>A terrenos recorridos por vehículos, tales como cultivos, pastos, bosques, huertos,</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8,10</w:t>
            </w:r>
          </w:p>
        </w:tc>
        <w:tc>
          <w:tcPr>
            <w:tcW w:w="1620" w:type="dxa"/>
            <w:tcBorders>
              <w:top w:val="nil"/>
              <w:left w:val="nil"/>
              <w:bottom w:val="single" w:sz="4" w:space="0" w:color="auto"/>
              <w:right w:val="single" w:sz="4" w:space="0" w:color="auto"/>
            </w:tcBorders>
            <w:noWrap/>
            <w:vAlign w:val="center"/>
          </w:tcPr>
          <w:p w:rsidR="00C262EA" w:rsidRPr="00C262EA" w:rsidRDefault="00C262EA" w:rsidP="00C262EA">
            <w:pPr>
              <w:tabs>
                <w:tab w:val="clear" w:pos="567"/>
                <w:tab w:val="clear" w:pos="1134"/>
                <w:tab w:val="clear" w:pos="1701"/>
                <w:tab w:val="clear" w:pos="2268"/>
                <w:tab w:val="clear" w:pos="2835"/>
              </w:tabs>
              <w:jc w:val="center"/>
              <w:rPr>
                <w:rFonts w:ascii="Arial" w:hAnsi="Arial" w:cs="Arial"/>
                <w:color w:val="000000"/>
                <w:sz w:val="18"/>
                <w:szCs w:val="18"/>
                <w:lang w:eastAsia="es-PE"/>
              </w:rPr>
            </w:pPr>
            <w:r w:rsidRPr="00C262EA">
              <w:rPr>
                <w:rFonts w:ascii="Arial" w:hAnsi="Arial" w:cs="Arial"/>
                <w:color w:val="000000"/>
                <w:sz w:val="18"/>
                <w:szCs w:val="18"/>
                <w:lang w:eastAsia="es-PE"/>
              </w:rPr>
              <w:t>8,50</w:t>
            </w:r>
          </w:p>
        </w:tc>
      </w:tr>
    </w:tbl>
    <w:p w:rsidR="00C262EA" w:rsidRPr="00C262EA" w:rsidRDefault="00C262EA" w:rsidP="00195672">
      <w:pPr>
        <w:spacing w:before="240"/>
        <w:rPr>
          <w:rFonts w:ascii="Arial" w:hAnsi="Arial" w:cs="Arial"/>
          <w:b/>
          <w:sz w:val="16"/>
          <w:szCs w:val="16"/>
        </w:rPr>
      </w:pPr>
      <w:r w:rsidRPr="00C262EA">
        <w:rPr>
          <w:rFonts w:ascii="Arial" w:hAnsi="Arial" w:cs="Arial"/>
          <w:b/>
          <w:sz w:val="16"/>
          <w:szCs w:val="16"/>
        </w:rPr>
        <w:t>Notas</w:t>
      </w:r>
    </w:p>
    <w:p w:rsidR="00C262EA" w:rsidRPr="00C262EA" w:rsidRDefault="00C262EA" w:rsidP="004F6B32">
      <w:pPr>
        <w:numPr>
          <w:ilvl w:val="0"/>
          <w:numId w:val="95"/>
        </w:numPr>
        <w:tabs>
          <w:tab w:val="clear" w:pos="567"/>
          <w:tab w:val="clear" w:pos="1134"/>
          <w:tab w:val="clear" w:pos="1701"/>
          <w:tab w:val="clear" w:pos="2268"/>
          <w:tab w:val="clear" w:pos="2835"/>
        </w:tabs>
        <w:spacing w:after="200"/>
        <w:contextualSpacing/>
        <w:jc w:val="both"/>
        <w:rPr>
          <w:rFonts w:ascii="Arial" w:hAnsi="Arial" w:cs="Arial"/>
          <w:sz w:val="16"/>
          <w:szCs w:val="16"/>
        </w:rPr>
      </w:pPr>
      <w:r w:rsidRPr="00C262EA">
        <w:rPr>
          <w:rFonts w:ascii="Arial" w:hAnsi="Arial" w:cs="Arial"/>
          <w:sz w:val="16"/>
          <w:szCs w:val="16"/>
        </w:rPr>
        <w:t>Los valores en esta Tabla son los de la Tabla 232-1a del CNE Suministro. Para su aplicación véase lo indicado en la Regla 232.B.1.</w:t>
      </w:r>
    </w:p>
    <w:p w:rsidR="00C262EA" w:rsidRPr="00C262EA" w:rsidRDefault="00C262EA" w:rsidP="004F6B32">
      <w:pPr>
        <w:numPr>
          <w:ilvl w:val="0"/>
          <w:numId w:val="95"/>
        </w:numPr>
        <w:tabs>
          <w:tab w:val="clear" w:pos="567"/>
          <w:tab w:val="clear" w:pos="1134"/>
          <w:tab w:val="clear" w:pos="1701"/>
          <w:tab w:val="clear" w:pos="2268"/>
          <w:tab w:val="clear" w:pos="2835"/>
        </w:tabs>
        <w:spacing w:after="200"/>
        <w:contextualSpacing/>
        <w:jc w:val="both"/>
        <w:rPr>
          <w:rFonts w:ascii="Arial" w:hAnsi="Arial" w:cs="Arial"/>
          <w:sz w:val="16"/>
          <w:szCs w:val="16"/>
        </w:rPr>
      </w:pPr>
      <w:r w:rsidRPr="00C262EA">
        <w:rPr>
          <w:rFonts w:ascii="Arial" w:hAnsi="Arial" w:cs="Arial"/>
          <w:sz w:val="16"/>
          <w:szCs w:val="16"/>
        </w:rPr>
        <w:t>Los valores de esta la Tabla son las distancias mínimas que deben emplearse, sin embargo, si al aplicar los demás criterios indicados en la Regla 232 del CNE Suministro para determinar las distancias, se obtuvieran valores distintos a los indicados, deberá utilizarse el valor mayor.</w:t>
      </w:r>
    </w:p>
    <w:p w:rsidR="00C262EA" w:rsidRPr="00C262EA" w:rsidRDefault="00C262EA" w:rsidP="004F6B32">
      <w:pPr>
        <w:numPr>
          <w:ilvl w:val="0"/>
          <w:numId w:val="95"/>
        </w:numPr>
        <w:tabs>
          <w:tab w:val="clear" w:pos="567"/>
          <w:tab w:val="clear" w:pos="1134"/>
          <w:tab w:val="clear" w:pos="1701"/>
          <w:tab w:val="clear" w:pos="2268"/>
          <w:tab w:val="clear" w:pos="2835"/>
        </w:tabs>
        <w:spacing w:after="200"/>
        <w:contextualSpacing/>
        <w:jc w:val="both"/>
        <w:rPr>
          <w:rFonts w:ascii="Arial" w:hAnsi="Arial" w:cs="Arial"/>
          <w:sz w:val="16"/>
          <w:szCs w:val="16"/>
        </w:rPr>
      </w:pPr>
      <w:r w:rsidRPr="00C262EA">
        <w:rPr>
          <w:rFonts w:ascii="Arial" w:hAnsi="Arial" w:cs="Arial"/>
          <w:sz w:val="16"/>
          <w:szCs w:val="16"/>
        </w:rPr>
        <w:t>Los valores de esta Tabla son válidos hasta los 3 000 m.s.n.m. Para elevaciones mayores se deben aplicar los criterios correspondientes señalados en la Regla 232 del CNE Suministro.</w:t>
      </w:r>
    </w:p>
    <w:p w:rsidR="00C262EA" w:rsidRPr="00C262EA" w:rsidRDefault="00C262EA" w:rsidP="00C262EA">
      <w:pPr>
        <w:tabs>
          <w:tab w:val="clear" w:pos="567"/>
          <w:tab w:val="clear" w:pos="1134"/>
          <w:tab w:val="clear" w:pos="1701"/>
          <w:tab w:val="clear" w:pos="2268"/>
          <w:tab w:val="clear" w:pos="2835"/>
        </w:tabs>
        <w:spacing w:before="120" w:line="247" w:lineRule="auto"/>
        <w:jc w:val="center"/>
        <w:rPr>
          <w:rFonts w:ascii="Arial" w:hAnsi="Arial" w:cs="Arial"/>
          <w:b/>
          <w:u w:val="wave"/>
        </w:rPr>
      </w:pPr>
      <w:r w:rsidRPr="00C262EA">
        <w:rPr>
          <w:rFonts w:ascii="Arial" w:hAnsi="Arial" w:cs="Arial"/>
          <w:b/>
          <w:sz w:val="16"/>
          <w:szCs w:val="16"/>
        </w:rPr>
        <w:br w:type="page"/>
      </w:r>
      <w:r w:rsidRPr="00C262EA">
        <w:rPr>
          <w:rFonts w:ascii="Arial" w:hAnsi="Arial" w:cs="Arial"/>
          <w:b/>
          <w:u w:val="wave"/>
        </w:rPr>
        <w:lastRenderedPageBreak/>
        <w:t>Tabla 2.2</w:t>
      </w:r>
    </w:p>
    <w:p w:rsidR="00C262EA" w:rsidRPr="00C262EA" w:rsidRDefault="00C262EA" w:rsidP="00C262EA">
      <w:pPr>
        <w:tabs>
          <w:tab w:val="clear" w:pos="567"/>
          <w:tab w:val="clear" w:pos="1134"/>
          <w:tab w:val="clear" w:pos="1701"/>
          <w:tab w:val="clear" w:pos="2268"/>
          <w:tab w:val="clear" w:pos="2835"/>
        </w:tabs>
        <w:spacing w:before="120" w:line="247" w:lineRule="auto"/>
        <w:jc w:val="center"/>
        <w:rPr>
          <w:rFonts w:ascii="Arial" w:hAnsi="Arial" w:cs="Arial"/>
          <w:b/>
          <w:lang w:val="es-MX"/>
        </w:rPr>
      </w:pPr>
      <w:r w:rsidRPr="00C262EA">
        <w:rPr>
          <w:rFonts w:ascii="Arial" w:hAnsi="Arial" w:cs="Arial"/>
          <w:b/>
          <w:lang w:val="es-MX"/>
        </w:rPr>
        <w:t>Exposición a Campos Eléctricos y Magnéticos</w:t>
      </w:r>
    </w:p>
    <w:p w:rsidR="00C262EA" w:rsidRPr="00C262EA" w:rsidRDefault="00C262EA" w:rsidP="00C262EA">
      <w:pPr>
        <w:tabs>
          <w:tab w:val="clear" w:pos="567"/>
          <w:tab w:val="clear" w:pos="1134"/>
          <w:tab w:val="clear" w:pos="1701"/>
          <w:tab w:val="clear" w:pos="2268"/>
          <w:tab w:val="clear" w:pos="2835"/>
        </w:tabs>
        <w:spacing w:before="120" w:line="247" w:lineRule="auto"/>
        <w:jc w:val="both"/>
        <w:rPr>
          <w:rFonts w:ascii="Arial" w:hAnsi="Arial" w:cs="Arial"/>
        </w:rPr>
      </w:pPr>
      <w:r w:rsidRPr="00C262EA">
        <w:rPr>
          <w:rFonts w:ascii="Arial" w:hAnsi="Arial" w:cs="Arial"/>
        </w:rPr>
        <w:t>Esta tabla establece los valores máximos de radiaciones no ionizantes referidas a campos eléctricos y magnéticos (Intensidad de Campo Eléctrico y Densidad de Flujo Magnético), los cuales se han adoptado de las recomendaciones del ICNIRP (International Commission on Non - Ionizing Radiation Protección) y del IARC (International Agency for Research on Cancer) para exposición ocupacional de día completo o exposición de público.</w:t>
      </w:r>
    </w:p>
    <w:p w:rsidR="00C262EA" w:rsidRPr="00C262EA" w:rsidRDefault="00C262EA" w:rsidP="004F6B3F">
      <w:pPr>
        <w:tabs>
          <w:tab w:val="clear" w:pos="567"/>
          <w:tab w:val="clear" w:pos="1134"/>
          <w:tab w:val="clear" w:pos="1701"/>
          <w:tab w:val="clear" w:pos="2268"/>
          <w:tab w:val="clear" w:pos="2835"/>
        </w:tabs>
        <w:spacing w:before="120" w:after="240" w:line="247" w:lineRule="auto"/>
        <w:jc w:val="both"/>
        <w:rPr>
          <w:rFonts w:ascii="Arial" w:hAnsi="Arial" w:cs="Arial"/>
        </w:rPr>
      </w:pPr>
      <w:r w:rsidRPr="00C262EA">
        <w:rPr>
          <w:rFonts w:ascii="Arial" w:hAnsi="Arial" w:cs="Arial"/>
        </w:rPr>
        <w:t>En zonas de trabajo (exposición ocupacional), así como en lugares públicos (exposición poblacional), no se debe superar los Valores Máximos de Exposición a Campos Eléctricos y Magnéticos a 60 Hz dados en la siguiente tabla:</w:t>
      </w:r>
    </w:p>
    <w:tbl>
      <w:tblPr>
        <w:tblW w:w="0" w:type="auto"/>
        <w:jc w:val="center"/>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37"/>
        <w:gridCol w:w="2402"/>
        <w:gridCol w:w="2402"/>
      </w:tblGrid>
      <w:tr w:rsidR="00C262EA" w:rsidRPr="00C262EA" w:rsidTr="00454A68">
        <w:trPr>
          <w:jc w:val="center"/>
        </w:trPr>
        <w:tc>
          <w:tcPr>
            <w:tcW w:w="2637" w:type="dxa"/>
            <w:vAlign w:val="center"/>
          </w:tcPr>
          <w:p w:rsidR="00C262EA" w:rsidRPr="00C262EA" w:rsidRDefault="00C262EA" w:rsidP="00C262EA">
            <w:pPr>
              <w:pBdr>
                <w:left w:val="single" w:sz="24" w:space="31" w:color="0000FF"/>
              </w:pBdr>
              <w:spacing w:before="40" w:after="40" w:line="247" w:lineRule="auto"/>
              <w:jc w:val="center"/>
              <w:rPr>
                <w:rFonts w:ascii="Arial" w:hAnsi="Arial" w:cs="Arial"/>
                <w:b/>
                <w:sz w:val="18"/>
                <w:szCs w:val="18"/>
              </w:rPr>
            </w:pPr>
            <w:r w:rsidRPr="00C262EA">
              <w:rPr>
                <w:rFonts w:ascii="Arial" w:hAnsi="Arial" w:cs="Arial"/>
                <w:b/>
                <w:sz w:val="18"/>
                <w:szCs w:val="18"/>
              </w:rPr>
              <w:t>Tipo de Exposición</w:t>
            </w:r>
          </w:p>
        </w:tc>
        <w:tc>
          <w:tcPr>
            <w:tcW w:w="2402" w:type="dxa"/>
            <w:vAlign w:val="center"/>
          </w:tcPr>
          <w:p w:rsidR="00C262EA" w:rsidRPr="00C262EA" w:rsidRDefault="00C262EA" w:rsidP="00C262EA">
            <w:pPr>
              <w:pBdr>
                <w:left w:val="single" w:sz="24" w:space="31" w:color="0000FF"/>
              </w:pBdr>
              <w:spacing w:before="40" w:after="40" w:line="247" w:lineRule="auto"/>
              <w:jc w:val="center"/>
              <w:rPr>
                <w:rFonts w:ascii="Arial" w:hAnsi="Arial" w:cs="Arial"/>
                <w:b/>
                <w:sz w:val="18"/>
                <w:szCs w:val="18"/>
              </w:rPr>
            </w:pPr>
            <w:r w:rsidRPr="00C262EA">
              <w:rPr>
                <w:rFonts w:ascii="Arial" w:hAnsi="Arial" w:cs="Arial"/>
                <w:b/>
                <w:sz w:val="18"/>
                <w:szCs w:val="18"/>
              </w:rPr>
              <w:t>Intensidad de Campo Eléctrico</w:t>
            </w:r>
          </w:p>
          <w:p w:rsidR="00C262EA" w:rsidRPr="00C262EA" w:rsidRDefault="00C262EA" w:rsidP="00C262EA">
            <w:pPr>
              <w:pBdr>
                <w:left w:val="single" w:sz="24" w:space="31" w:color="0000FF"/>
              </w:pBdr>
              <w:spacing w:before="40" w:after="40" w:line="247" w:lineRule="auto"/>
              <w:jc w:val="center"/>
              <w:rPr>
                <w:rFonts w:ascii="Arial" w:hAnsi="Arial" w:cs="Arial"/>
                <w:b/>
                <w:sz w:val="18"/>
                <w:szCs w:val="18"/>
              </w:rPr>
            </w:pPr>
            <w:r w:rsidRPr="00C262EA">
              <w:rPr>
                <w:rFonts w:ascii="Arial" w:hAnsi="Arial" w:cs="Arial"/>
                <w:b/>
                <w:sz w:val="18"/>
                <w:szCs w:val="18"/>
              </w:rPr>
              <w:t>(kV/m)</w:t>
            </w:r>
          </w:p>
        </w:tc>
        <w:tc>
          <w:tcPr>
            <w:tcW w:w="2402" w:type="dxa"/>
            <w:vAlign w:val="center"/>
          </w:tcPr>
          <w:p w:rsidR="00C262EA" w:rsidRPr="00C262EA" w:rsidRDefault="00C262EA" w:rsidP="00C262EA">
            <w:pPr>
              <w:pBdr>
                <w:left w:val="single" w:sz="24" w:space="31" w:color="0000FF"/>
              </w:pBdr>
              <w:spacing w:before="40" w:after="40" w:line="247" w:lineRule="auto"/>
              <w:jc w:val="center"/>
              <w:rPr>
                <w:rFonts w:ascii="Arial" w:hAnsi="Arial" w:cs="Arial"/>
                <w:b/>
                <w:sz w:val="18"/>
                <w:szCs w:val="18"/>
              </w:rPr>
            </w:pPr>
            <w:r w:rsidRPr="00C262EA">
              <w:rPr>
                <w:rFonts w:ascii="Arial" w:hAnsi="Arial" w:cs="Arial"/>
                <w:b/>
                <w:sz w:val="18"/>
                <w:szCs w:val="18"/>
              </w:rPr>
              <w:t>Densidad de Flujo Magnético</w:t>
            </w:r>
          </w:p>
          <w:p w:rsidR="00C262EA" w:rsidRPr="00C262EA" w:rsidRDefault="00C262EA" w:rsidP="00C262EA">
            <w:pPr>
              <w:pBdr>
                <w:left w:val="single" w:sz="24" w:space="31" w:color="0000FF"/>
              </w:pBdr>
              <w:spacing w:before="40" w:after="40" w:line="247" w:lineRule="auto"/>
              <w:jc w:val="center"/>
              <w:rPr>
                <w:rFonts w:ascii="Arial" w:hAnsi="Arial" w:cs="Arial"/>
                <w:b/>
                <w:sz w:val="18"/>
                <w:szCs w:val="18"/>
              </w:rPr>
            </w:pPr>
            <w:r w:rsidRPr="00C262EA">
              <w:rPr>
                <w:rFonts w:ascii="Arial" w:hAnsi="Arial" w:cs="Arial"/>
                <w:b/>
                <w:sz w:val="18"/>
                <w:szCs w:val="18"/>
              </w:rPr>
              <w:t>( μT)</w:t>
            </w:r>
          </w:p>
        </w:tc>
      </w:tr>
      <w:tr w:rsidR="00C262EA" w:rsidRPr="00C262EA" w:rsidTr="00454A68">
        <w:trPr>
          <w:jc w:val="center"/>
        </w:trPr>
        <w:tc>
          <w:tcPr>
            <w:tcW w:w="2637" w:type="dxa"/>
          </w:tcPr>
          <w:p w:rsidR="00C262EA" w:rsidRPr="00C262EA" w:rsidRDefault="00C262EA" w:rsidP="00C262EA">
            <w:pPr>
              <w:pBdr>
                <w:left w:val="single" w:sz="24" w:space="31" w:color="0000FF"/>
              </w:pBdr>
              <w:spacing w:before="40" w:after="40" w:line="247" w:lineRule="auto"/>
              <w:jc w:val="both"/>
              <w:rPr>
                <w:rFonts w:ascii="Arial" w:hAnsi="Arial" w:cs="Arial"/>
              </w:rPr>
            </w:pPr>
            <w:r w:rsidRPr="00C262EA">
              <w:rPr>
                <w:rFonts w:ascii="Arial" w:hAnsi="Arial" w:cs="Arial"/>
              </w:rPr>
              <w:t>- Poblacional</w:t>
            </w:r>
          </w:p>
        </w:tc>
        <w:tc>
          <w:tcPr>
            <w:tcW w:w="2402" w:type="dxa"/>
          </w:tcPr>
          <w:p w:rsidR="00C262EA" w:rsidRPr="00C262EA" w:rsidRDefault="00C262EA" w:rsidP="00C262EA">
            <w:pPr>
              <w:pBdr>
                <w:left w:val="single" w:sz="24" w:space="31" w:color="0000FF"/>
              </w:pBdr>
              <w:spacing w:before="40" w:after="40" w:line="247" w:lineRule="auto"/>
              <w:jc w:val="center"/>
              <w:rPr>
                <w:rFonts w:ascii="Arial" w:hAnsi="Arial" w:cs="Arial"/>
              </w:rPr>
            </w:pPr>
            <w:r w:rsidRPr="00C262EA">
              <w:rPr>
                <w:rFonts w:ascii="Arial" w:hAnsi="Arial" w:cs="Arial"/>
              </w:rPr>
              <w:t>4,2</w:t>
            </w:r>
          </w:p>
        </w:tc>
        <w:tc>
          <w:tcPr>
            <w:tcW w:w="2402" w:type="dxa"/>
          </w:tcPr>
          <w:p w:rsidR="00C262EA" w:rsidRPr="00C262EA" w:rsidRDefault="00C262EA" w:rsidP="00C262EA">
            <w:pPr>
              <w:pBdr>
                <w:left w:val="single" w:sz="24" w:space="31" w:color="0000FF"/>
              </w:pBdr>
              <w:spacing w:before="40" w:after="40" w:line="247" w:lineRule="auto"/>
              <w:jc w:val="center"/>
              <w:rPr>
                <w:rFonts w:ascii="Arial" w:hAnsi="Arial" w:cs="Arial"/>
              </w:rPr>
            </w:pPr>
            <w:r w:rsidRPr="00C262EA">
              <w:rPr>
                <w:rFonts w:ascii="Arial" w:hAnsi="Arial" w:cs="Arial"/>
              </w:rPr>
              <w:t>83,3</w:t>
            </w:r>
          </w:p>
        </w:tc>
      </w:tr>
      <w:tr w:rsidR="00C262EA" w:rsidRPr="00C262EA" w:rsidTr="00454A68">
        <w:trPr>
          <w:jc w:val="center"/>
        </w:trPr>
        <w:tc>
          <w:tcPr>
            <w:tcW w:w="2637" w:type="dxa"/>
          </w:tcPr>
          <w:p w:rsidR="00C262EA" w:rsidRPr="00C262EA" w:rsidRDefault="00C262EA" w:rsidP="00C262EA">
            <w:pPr>
              <w:pBdr>
                <w:left w:val="single" w:sz="24" w:space="31" w:color="0000FF"/>
              </w:pBdr>
              <w:spacing w:before="40" w:after="40" w:line="247" w:lineRule="auto"/>
              <w:jc w:val="both"/>
              <w:rPr>
                <w:rFonts w:ascii="Arial" w:hAnsi="Arial" w:cs="Arial"/>
              </w:rPr>
            </w:pPr>
            <w:r w:rsidRPr="00C262EA">
              <w:rPr>
                <w:rFonts w:ascii="Arial" w:hAnsi="Arial" w:cs="Arial"/>
              </w:rPr>
              <w:t>- Ocupacional</w:t>
            </w:r>
          </w:p>
        </w:tc>
        <w:tc>
          <w:tcPr>
            <w:tcW w:w="2402" w:type="dxa"/>
          </w:tcPr>
          <w:p w:rsidR="00C262EA" w:rsidRPr="00C262EA" w:rsidRDefault="00C262EA" w:rsidP="00C262EA">
            <w:pPr>
              <w:pBdr>
                <w:left w:val="single" w:sz="24" w:space="31" w:color="0000FF"/>
              </w:pBdr>
              <w:spacing w:before="40" w:after="40" w:line="247" w:lineRule="auto"/>
              <w:jc w:val="center"/>
              <w:rPr>
                <w:rFonts w:ascii="Arial" w:hAnsi="Arial" w:cs="Arial"/>
              </w:rPr>
            </w:pPr>
            <w:r w:rsidRPr="00C262EA">
              <w:rPr>
                <w:rFonts w:ascii="Arial" w:hAnsi="Arial" w:cs="Arial"/>
              </w:rPr>
              <w:t>8,3</w:t>
            </w:r>
          </w:p>
        </w:tc>
        <w:tc>
          <w:tcPr>
            <w:tcW w:w="2402" w:type="dxa"/>
          </w:tcPr>
          <w:p w:rsidR="00C262EA" w:rsidRPr="00C262EA" w:rsidRDefault="00C262EA" w:rsidP="00C262EA">
            <w:pPr>
              <w:pBdr>
                <w:left w:val="single" w:sz="24" w:space="31" w:color="0000FF"/>
              </w:pBdr>
              <w:spacing w:before="40" w:after="40" w:line="247" w:lineRule="auto"/>
              <w:jc w:val="center"/>
              <w:rPr>
                <w:rFonts w:ascii="Arial" w:hAnsi="Arial" w:cs="Arial"/>
              </w:rPr>
            </w:pPr>
            <w:r w:rsidRPr="00C262EA">
              <w:rPr>
                <w:rFonts w:ascii="Arial" w:hAnsi="Arial" w:cs="Arial"/>
              </w:rPr>
              <w:t>416,7</w:t>
            </w:r>
          </w:p>
        </w:tc>
      </w:tr>
    </w:tbl>
    <w:p w:rsidR="00C262EA" w:rsidRPr="00C262EA" w:rsidRDefault="00C262EA" w:rsidP="004F6B3F">
      <w:pPr>
        <w:tabs>
          <w:tab w:val="clear" w:pos="567"/>
          <w:tab w:val="clear" w:pos="1134"/>
          <w:tab w:val="clear" w:pos="1701"/>
          <w:tab w:val="clear" w:pos="2268"/>
          <w:tab w:val="clear" w:pos="2835"/>
        </w:tabs>
        <w:spacing w:before="240" w:after="120" w:line="247" w:lineRule="auto"/>
        <w:jc w:val="both"/>
        <w:rPr>
          <w:rFonts w:ascii="Arial" w:hAnsi="Arial" w:cs="Arial"/>
        </w:rPr>
      </w:pPr>
      <w:r w:rsidRPr="00C262EA">
        <w:rPr>
          <w:rFonts w:ascii="Arial" w:hAnsi="Arial" w:cs="Arial"/>
        </w:rPr>
        <w:t>En el caso de Exposición Ocupacional, la medición bajo las líneas eléctricas se debe realizar a un metro de altura sobre el nivel del piso, en sentido transversal al eje de la línea hasta el límite de la faja de servidumbre.</w:t>
      </w:r>
    </w:p>
    <w:p w:rsidR="00C262EA" w:rsidRPr="00C262EA" w:rsidRDefault="00C262EA" w:rsidP="00C262EA">
      <w:pPr>
        <w:tabs>
          <w:tab w:val="clear" w:pos="567"/>
          <w:tab w:val="clear" w:pos="1134"/>
          <w:tab w:val="clear" w:pos="1701"/>
          <w:tab w:val="clear" w:pos="2268"/>
          <w:tab w:val="clear" w:pos="2835"/>
        </w:tabs>
        <w:spacing w:before="120" w:after="120" w:line="247" w:lineRule="auto"/>
        <w:jc w:val="both"/>
        <w:rPr>
          <w:rFonts w:ascii="Arial" w:hAnsi="Arial" w:cs="Arial"/>
        </w:rPr>
      </w:pPr>
      <w:r w:rsidRPr="00C262EA">
        <w:rPr>
          <w:rFonts w:ascii="Arial" w:hAnsi="Arial" w:cs="Arial"/>
        </w:rPr>
        <w:t>En el caso de Exposición Poblacional, para la medición se debe tomar en cuenta las distancias de seguridad o los puntos críticos, tales como  lugares habitados o edificaciones cercanas a la línea eléctrica.</w:t>
      </w:r>
    </w:p>
    <w:p w:rsidR="00785758" w:rsidRPr="00FD52FD" w:rsidRDefault="00376B5A" w:rsidP="00BD3E64">
      <w:pPr>
        <w:spacing w:before="240" w:line="257" w:lineRule="auto"/>
        <w:jc w:val="center"/>
        <w:rPr>
          <w:rFonts w:ascii="Arial" w:hAnsi="Arial" w:cs="Arial"/>
          <w:b/>
          <w:sz w:val="26"/>
          <w:szCs w:val="26"/>
          <w:u w:val="single"/>
        </w:rPr>
      </w:pPr>
      <w:r>
        <w:rPr>
          <w:rFonts w:ascii="Arial" w:hAnsi="Arial" w:cs="Arial"/>
          <w:b/>
          <w:sz w:val="26"/>
          <w:szCs w:val="26"/>
        </w:rPr>
        <w:br w:type="page"/>
      </w:r>
      <w:r w:rsidR="00785758" w:rsidRPr="00FD52FD">
        <w:rPr>
          <w:rFonts w:ascii="Arial" w:hAnsi="Arial" w:cs="Arial"/>
          <w:b/>
          <w:sz w:val="26"/>
          <w:szCs w:val="26"/>
          <w:u w:val="single"/>
        </w:rPr>
        <w:lastRenderedPageBreak/>
        <w:t>Anexo Nº 2</w:t>
      </w:r>
    </w:p>
    <w:p w:rsidR="00785758" w:rsidRPr="00FD52FD" w:rsidRDefault="00785758" w:rsidP="00D4498D">
      <w:pPr>
        <w:tabs>
          <w:tab w:val="left" w:pos="0"/>
          <w:tab w:val="left" w:pos="1276"/>
        </w:tabs>
        <w:spacing w:before="240" w:after="360" w:line="257" w:lineRule="auto"/>
        <w:jc w:val="center"/>
        <w:outlineLvl w:val="0"/>
        <w:rPr>
          <w:rFonts w:ascii="Arial" w:hAnsi="Arial" w:cs="Arial"/>
          <w:b/>
          <w:sz w:val="26"/>
          <w:szCs w:val="26"/>
        </w:rPr>
      </w:pPr>
      <w:r w:rsidRPr="00FD52FD">
        <w:rPr>
          <w:rFonts w:ascii="Arial" w:hAnsi="Arial" w:cs="Arial"/>
          <w:b/>
          <w:sz w:val="26"/>
          <w:szCs w:val="26"/>
        </w:rPr>
        <w:t>Procedimiento de verificación de la Línea Eléctrica</w:t>
      </w:r>
    </w:p>
    <w:p w:rsidR="00785758" w:rsidRPr="00AC3861" w:rsidRDefault="00785758" w:rsidP="00D4498D">
      <w:pPr>
        <w:numPr>
          <w:ilvl w:val="0"/>
          <w:numId w:val="35"/>
        </w:numPr>
        <w:tabs>
          <w:tab w:val="clear" w:pos="567"/>
          <w:tab w:val="clear" w:pos="930"/>
          <w:tab w:val="left" w:pos="0"/>
          <w:tab w:val="num" w:pos="360"/>
        </w:tabs>
        <w:suppressAutoHyphens/>
        <w:spacing w:before="240" w:line="257" w:lineRule="auto"/>
        <w:ind w:left="357" w:hanging="357"/>
        <w:jc w:val="both"/>
        <w:rPr>
          <w:rFonts w:ascii="Arial" w:hAnsi="Arial"/>
          <w:spacing w:val="-2"/>
        </w:rPr>
      </w:pPr>
      <w:r w:rsidRPr="00AC3861">
        <w:rPr>
          <w:rFonts w:ascii="Arial" w:hAnsi="Arial"/>
          <w:b/>
          <w:spacing w:val="-2"/>
        </w:rPr>
        <w:t>Propósito del anexo.-</w:t>
      </w:r>
      <w:r w:rsidRPr="00AC3861">
        <w:rPr>
          <w:rFonts w:ascii="Arial" w:hAnsi="Arial"/>
          <w:spacing w:val="-2"/>
        </w:rPr>
        <w:t xml:space="preserve"> Este </w:t>
      </w:r>
      <w:r w:rsidR="00C04CD3" w:rsidRPr="00AC3861">
        <w:rPr>
          <w:rFonts w:ascii="Arial" w:hAnsi="Arial"/>
          <w:spacing w:val="-2"/>
        </w:rPr>
        <w:t>A</w:t>
      </w:r>
      <w:r w:rsidRPr="00AC3861">
        <w:rPr>
          <w:rFonts w:ascii="Arial" w:hAnsi="Arial"/>
          <w:spacing w:val="-2"/>
        </w:rPr>
        <w:t>nexo describe el procedimiento que han de seguir las Partes</w:t>
      </w:r>
      <w:r w:rsidR="00EF6116" w:rsidRPr="00AC3861">
        <w:rPr>
          <w:rFonts w:ascii="Arial" w:hAnsi="Arial"/>
          <w:spacing w:val="-2"/>
        </w:rPr>
        <w:t xml:space="preserve"> y</w:t>
      </w:r>
      <w:r w:rsidRPr="00AC3861">
        <w:rPr>
          <w:rFonts w:ascii="Arial" w:hAnsi="Arial"/>
          <w:spacing w:val="-2"/>
        </w:rPr>
        <w:t xml:space="preserve"> el </w:t>
      </w:r>
      <w:r w:rsidR="00A75204">
        <w:rPr>
          <w:rFonts w:ascii="Arial" w:hAnsi="Arial"/>
          <w:spacing w:val="-2"/>
        </w:rPr>
        <w:t>Inspector</w:t>
      </w:r>
      <w:r w:rsidRPr="00AC3861">
        <w:rPr>
          <w:rFonts w:ascii="Arial" w:hAnsi="Arial"/>
          <w:spacing w:val="-2"/>
        </w:rPr>
        <w:t xml:space="preserve">, para comprobar antes del inicio de </w:t>
      </w:r>
      <w:r w:rsidR="00E84B1F" w:rsidRPr="00AC3861">
        <w:rPr>
          <w:rFonts w:ascii="Arial" w:hAnsi="Arial"/>
          <w:spacing w:val="-2"/>
        </w:rPr>
        <w:t>la</w:t>
      </w:r>
      <w:r w:rsidRPr="00AC3861">
        <w:rPr>
          <w:rFonts w:ascii="Arial" w:hAnsi="Arial"/>
          <w:spacing w:val="-2"/>
        </w:rPr>
        <w:t xml:space="preserve"> operación </w:t>
      </w:r>
      <w:r w:rsidR="00E84B1F" w:rsidRPr="00AC3861">
        <w:rPr>
          <w:rFonts w:ascii="Arial" w:hAnsi="Arial"/>
          <w:spacing w:val="-2"/>
        </w:rPr>
        <w:t>experimental</w:t>
      </w:r>
      <w:r w:rsidRPr="00AC3861">
        <w:rPr>
          <w:rFonts w:ascii="Arial" w:hAnsi="Arial"/>
          <w:spacing w:val="-2"/>
        </w:rPr>
        <w:t xml:space="preserve">, </w:t>
      </w:r>
      <w:r w:rsidR="005A5220" w:rsidRPr="00AC3861">
        <w:rPr>
          <w:rFonts w:ascii="Arial" w:hAnsi="Arial"/>
          <w:spacing w:val="-2"/>
        </w:rPr>
        <w:t>que</w:t>
      </w:r>
      <w:r w:rsidR="002D4E65" w:rsidRPr="00AC3861">
        <w:rPr>
          <w:rFonts w:ascii="Arial" w:hAnsi="Arial"/>
          <w:spacing w:val="-2"/>
        </w:rPr>
        <w:t xml:space="preserve"> la </w:t>
      </w:r>
      <w:r w:rsidRPr="00AC3861">
        <w:rPr>
          <w:rFonts w:ascii="Arial" w:hAnsi="Arial"/>
          <w:spacing w:val="-2"/>
        </w:rPr>
        <w:t xml:space="preserve">Línea Eléctrica cumple los requisitos establecidos en </w:t>
      </w:r>
      <w:r w:rsidR="00F94A45" w:rsidRPr="00AC3861">
        <w:rPr>
          <w:rFonts w:ascii="Arial" w:hAnsi="Arial"/>
          <w:spacing w:val="-2"/>
        </w:rPr>
        <w:t>e</w:t>
      </w:r>
      <w:r w:rsidR="0069514E" w:rsidRPr="00AC3861">
        <w:rPr>
          <w:rFonts w:ascii="Arial" w:hAnsi="Arial"/>
          <w:spacing w:val="-2"/>
        </w:rPr>
        <w:t>l</w:t>
      </w:r>
      <w:r w:rsidRPr="00AC3861">
        <w:rPr>
          <w:rFonts w:ascii="Arial" w:hAnsi="Arial"/>
          <w:spacing w:val="-2"/>
        </w:rPr>
        <w:t xml:space="preserve"> </w:t>
      </w:r>
      <w:r w:rsidR="00435C80" w:rsidRPr="00AC3861">
        <w:rPr>
          <w:rFonts w:ascii="Arial" w:hAnsi="Arial"/>
          <w:spacing w:val="-2"/>
        </w:rPr>
        <w:t>A</w:t>
      </w:r>
      <w:r w:rsidRPr="00AC3861">
        <w:rPr>
          <w:rFonts w:ascii="Arial" w:hAnsi="Arial"/>
          <w:spacing w:val="-2"/>
        </w:rPr>
        <w:t xml:space="preserve">nexo </w:t>
      </w:r>
      <w:r w:rsidR="00435C80" w:rsidRPr="00AC3861">
        <w:rPr>
          <w:rFonts w:ascii="Arial" w:hAnsi="Arial"/>
          <w:spacing w:val="-2"/>
        </w:rPr>
        <w:t>N</w:t>
      </w:r>
      <w:r w:rsidR="00917BA6" w:rsidRPr="00AC3861">
        <w:rPr>
          <w:rFonts w:ascii="Arial" w:hAnsi="Arial"/>
          <w:spacing w:val="-2"/>
        </w:rPr>
        <w:t>°</w:t>
      </w:r>
      <w:r w:rsidR="00435C80" w:rsidRPr="00AC3861">
        <w:rPr>
          <w:rFonts w:ascii="Arial" w:hAnsi="Arial"/>
          <w:spacing w:val="-2"/>
        </w:rPr>
        <w:t xml:space="preserve"> </w:t>
      </w:r>
      <w:r w:rsidRPr="00AC3861">
        <w:rPr>
          <w:rFonts w:ascii="Arial" w:hAnsi="Arial"/>
          <w:spacing w:val="-2"/>
        </w:rPr>
        <w:t>1.</w:t>
      </w:r>
    </w:p>
    <w:p w:rsidR="00785758" w:rsidRPr="00AC3861" w:rsidRDefault="00785758" w:rsidP="000D64A3">
      <w:pPr>
        <w:numPr>
          <w:ilvl w:val="0"/>
          <w:numId w:val="35"/>
        </w:numPr>
        <w:tabs>
          <w:tab w:val="clear" w:pos="567"/>
          <w:tab w:val="clear" w:pos="930"/>
          <w:tab w:val="left" w:pos="0"/>
          <w:tab w:val="num" w:pos="360"/>
        </w:tabs>
        <w:suppressAutoHyphens/>
        <w:spacing w:before="240" w:line="257" w:lineRule="auto"/>
        <w:ind w:left="357" w:hanging="357"/>
        <w:jc w:val="both"/>
        <w:rPr>
          <w:rFonts w:ascii="Arial" w:hAnsi="Arial"/>
          <w:spacing w:val="-2"/>
        </w:rPr>
      </w:pPr>
      <w:r w:rsidRPr="00AC3861">
        <w:rPr>
          <w:rFonts w:ascii="Arial" w:hAnsi="Arial"/>
          <w:b/>
          <w:spacing w:val="-2"/>
        </w:rPr>
        <w:t>Organización de las pruebas.-</w:t>
      </w:r>
      <w:r w:rsidRPr="00AC3861">
        <w:rPr>
          <w:rFonts w:ascii="Arial" w:hAnsi="Arial"/>
          <w:spacing w:val="-2"/>
        </w:rPr>
        <w:t xml:space="preserve"> Las pruebas serán organizadas con arreglo a las siguientes reglas:</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rPr>
      </w:pPr>
      <w:r w:rsidRPr="00AC3861">
        <w:rPr>
          <w:rFonts w:ascii="Arial" w:hAnsi="Arial"/>
          <w:spacing w:val="-2"/>
        </w:rPr>
        <w:t>La Sociedad Concesionaria elegirá una norma internacional reconocida. Se utilizará las unidades del sistema métrico internacional.</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 xml:space="preserve">La Sociedad Concesionaria comunicará </w:t>
      </w:r>
      <w:r w:rsidR="00792EC2" w:rsidRPr="00AC3861">
        <w:rPr>
          <w:rFonts w:ascii="Arial" w:hAnsi="Arial"/>
          <w:spacing w:val="-2"/>
        </w:rPr>
        <w:t xml:space="preserve">al Concedente, al </w:t>
      </w:r>
      <w:r w:rsidR="00A75204">
        <w:rPr>
          <w:rFonts w:ascii="Arial" w:hAnsi="Arial"/>
          <w:spacing w:val="-2"/>
        </w:rPr>
        <w:t>Inspector</w:t>
      </w:r>
      <w:r w:rsidR="00792EC2" w:rsidRPr="00AC3861">
        <w:rPr>
          <w:rFonts w:ascii="Arial" w:hAnsi="Arial"/>
          <w:spacing w:val="-2"/>
        </w:rPr>
        <w:t>, a</w:t>
      </w:r>
      <w:r w:rsidR="004501CF" w:rsidRPr="00AC3861">
        <w:rPr>
          <w:rFonts w:ascii="Arial" w:hAnsi="Arial"/>
          <w:spacing w:val="-2"/>
        </w:rPr>
        <w:t>l</w:t>
      </w:r>
      <w:r w:rsidR="00792EC2" w:rsidRPr="00AC3861">
        <w:rPr>
          <w:rFonts w:ascii="Arial" w:hAnsi="Arial"/>
          <w:spacing w:val="-2"/>
        </w:rPr>
        <w:t xml:space="preserve"> OSINERGMIN y a</w:t>
      </w:r>
      <w:r w:rsidR="004501CF" w:rsidRPr="00AC3861">
        <w:rPr>
          <w:rFonts w:ascii="Arial" w:hAnsi="Arial"/>
          <w:spacing w:val="-2"/>
        </w:rPr>
        <w:t>l</w:t>
      </w:r>
      <w:r w:rsidR="00792EC2" w:rsidRPr="00AC3861">
        <w:rPr>
          <w:rFonts w:ascii="Arial" w:hAnsi="Arial"/>
          <w:spacing w:val="-2"/>
        </w:rPr>
        <w:t xml:space="preserve"> COES, </w:t>
      </w:r>
      <w:r w:rsidRPr="00AC3861">
        <w:rPr>
          <w:rFonts w:ascii="Arial" w:hAnsi="Arial"/>
          <w:spacing w:val="-2"/>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Aparejados a la comunicación a que se refiere el literal b), la Sociedad Concesionaria entregará:</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 xml:space="preserve">El programa general y los protocolos a seguir, para consideración y aprobación del </w:t>
      </w:r>
      <w:r w:rsidR="00A75204">
        <w:rPr>
          <w:rFonts w:ascii="Arial" w:hAnsi="Arial"/>
        </w:rPr>
        <w:t>Inspector</w:t>
      </w:r>
      <w:r w:rsidRPr="00AC3861">
        <w:rPr>
          <w:rFonts w:ascii="Arial" w:hAnsi="Arial"/>
        </w:rPr>
        <w:t>.</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La aprobación y autorización del COES para efectuar las pruebas especificadas, según lo especificado en su Procedimiento Técnico PR-21 (o el que lo sustituya) indicando las fechas y horas de ejecución.</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 xml:space="preserve">Todos los diseños de importancia para la prueba, los datos afines, documentos y especificaciones, así como los certificados e informes sobre las condiciones de operación; para la consideración del </w:t>
      </w:r>
      <w:r w:rsidR="00A75204">
        <w:rPr>
          <w:rFonts w:ascii="Arial" w:hAnsi="Arial"/>
        </w:rPr>
        <w:t>Inspector</w:t>
      </w:r>
      <w:r w:rsidRPr="00AC3861">
        <w:rPr>
          <w:rFonts w:ascii="Arial" w:hAnsi="Arial"/>
        </w:rPr>
        <w:t>.</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Los estudios de operatividad que requiere el COES para aprobar la incorporación de la Línea Eléctrica al SEIN (flujo de potencia, corto circuito, estabilidad, sobretensiones, etc.), así como el estudio sobre descargas atmosféricas en cuya virtud se espere que la tasa de fallas por este motivo no exceda el valor especificado.</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rPr>
      </w:pPr>
      <w:r w:rsidRPr="00AC3861">
        <w:rPr>
          <w:rFonts w:ascii="Arial" w:hAnsi="Arial"/>
          <w:spacing w:val="-2"/>
        </w:rPr>
        <w:t xml:space="preserve">La Sociedad Concesionaria designará y destacará al </w:t>
      </w:r>
      <w:r w:rsidR="00792EC2" w:rsidRPr="00AC3861">
        <w:rPr>
          <w:rFonts w:ascii="Arial" w:hAnsi="Arial"/>
          <w:spacing w:val="-2"/>
        </w:rPr>
        <w:t>J</w:t>
      </w:r>
      <w:r w:rsidRPr="00AC3861">
        <w:rPr>
          <w:rFonts w:ascii="Arial" w:hAnsi="Arial"/>
          <w:spacing w:val="-2"/>
        </w:rPr>
        <w:t xml:space="preserve">efe de </w:t>
      </w:r>
      <w:r w:rsidR="00792EC2" w:rsidRPr="00AC3861">
        <w:rPr>
          <w:rFonts w:ascii="Arial" w:hAnsi="Arial"/>
          <w:spacing w:val="-2"/>
        </w:rPr>
        <w:t>P</w:t>
      </w:r>
      <w:r w:rsidRPr="00AC3861">
        <w:rPr>
          <w:rFonts w:ascii="Arial" w:hAnsi="Arial"/>
          <w:spacing w:val="-2"/>
        </w:rPr>
        <w:t xml:space="preserve">ruebas y al personal de apoyo necesario suministrando todos los equipos e instrumentos, debidamente calibrados para la ejecución de las pruebas. El </w:t>
      </w:r>
      <w:r w:rsidR="00A75204">
        <w:rPr>
          <w:rFonts w:ascii="Arial" w:hAnsi="Arial"/>
          <w:spacing w:val="-2"/>
        </w:rPr>
        <w:t>Inspector</w:t>
      </w:r>
      <w:r w:rsidR="00A75204" w:rsidRPr="00AC3861">
        <w:rPr>
          <w:rFonts w:ascii="Arial" w:hAnsi="Arial"/>
          <w:spacing w:val="-2"/>
        </w:rPr>
        <w:t xml:space="preserve"> </w:t>
      </w:r>
      <w:r w:rsidRPr="00AC3861">
        <w:rPr>
          <w:rFonts w:ascii="Arial" w:hAnsi="Arial"/>
          <w:spacing w:val="-2"/>
        </w:rPr>
        <w:t xml:space="preserve">destacará el personal que indique su contrato de servicio de inspección, y </w:t>
      </w:r>
      <w:r w:rsidR="00EF6116" w:rsidRPr="00AC3861">
        <w:rPr>
          <w:rFonts w:ascii="Arial" w:hAnsi="Arial"/>
          <w:spacing w:val="-2"/>
        </w:rPr>
        <w:t>el Concedente</w:t>
      </w:r>
      <w:r w:rsidRPr="00AC3861">
        <w:rPr>
          <w:rFonts w:ascii="Arial" w:hAnsi="Arial"/>
          <w:spacing w:val="-2"/>
        </w:rPr>
        <w:t xml:space="preserve"> destacará el personal que juzgue necesario.</w:t>
      </w:r>
    </w:p>
    <w:p w:rsidR="00937999"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Personal de los fabricantes de los equipos podrán participar como observadores</w:t>
      </w:r>
      <w:r w:rsidR="00792EC2" w:rsidRPr="00AC3861">
        <w:rPr>
          <w:rFonts w:ascii="Arial" w:hAnsi="Arial"/>
          <w:spacing w:val="-2"/>
        </w:rPr>
        <w:t xml:space="preserve"> </w:t>
      </w:r>
      <w:r w:rsidR="00792EC2" w:rsidRPr="00AC3861">
        <w:rPr>
          <w:rFonts w:ascii="Arial" w:hAnsi="Arial"/>
        </w:rPr>
        <w:t>o como personal de apoyo a las maniobras.</w:t>
      </w:r>
    </w:p>
    <w:p w:rsidR="00785758" w:rsidRPr="00AC3861" w:rsidRDefault="00785758" w:rsidP="000D64A3">
      <w:pPr>
        <w:numPr>
          <w:ilvl w:val="0"/>
          <w:numId w:val="35"/>
        </w:numPr>
        <w:tabs>
          <w:tab w:val="clear" w:pos="567"/>
          <w:tab w:val="clear" w:pos="930"/>
          <w:tab w:val="left" w:pos="0"/>
          <w:tab w:val="num" w:pos="360"/>
        </w:tabs>
        <w:suppressAutoHyphens/>
        <w:spacing w:before="240" w:line="257" w:lineRule="auto"/>
        <w:ind w:left="357" w:hanging="357"/>
        <w:jc w:val="both"/>
        <w:rPr>
          <w:rFonts w:ascii="Arial" w:hAnsi="Arial"/>
          <w:spacing w:val="-2"/>
        </w:rPr>
      </w:pPr>
      <w:r w:rsidRPr="00AC3861">
        <w:rPr>
          <w:rFonts w:ascii="Arial" w:hAnsi="Arial"/>
          <w:b/>
          <w:spacing w:val="-2"/>
        </w:rPr>
        <w:t>Ejecución de las pruebas.-</w:t>
      </w:r>
      <w:r w:rsidRPr="00AC3861">
        <w:rPr>
          <w:rFonts w:ascii="Arial" w:hAnsi="Arial"/>
          <w:spacing w:val="-2"/>
        </w:rPr>
        <w:t xml:space="preserve"> La ejecución de las pruebas se sujetarán a las reglas siguientes:</w:t>
      </w:r>
    </w:p>
    <w:p w:rsidR="00785758" w:rsidRPr="00AC3861" w:rsidRDefault="00785758" w:rsidP="00D4498D">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El </w:t>
      </w:r>
      <w:r w:rsidR="00B22039" w:rsidRPr="00AC3861">
        <w:rPr>
          <w:rFonts w:ascii="Arial" w:hAnsi="Arial"/>
        </w:rPr>
        <w:t>J</w:t>
      </w:r>
      <w:r w:rsidRPr="00AC3861">
        <w:rPr>
          <w:rFonts w:ascii="Arial" w:hAnsi="Arial"/>
        </w:rPr>
        <w:t xml:space="preserve">efe de </w:t>
      </w:r>
      <w:r w:rsidR="00B22039" w:rsidRPr="00AC3861">
        <w:rPr>
          <w:rFonts w:ascii="Arial" w:hAnsi="Arial"/>
        </w:rPr>
        <w:t>P</w:t>
      </w:r>
      <w:r w:rsidRPr="00AC3861">
        <w:rPr>
          <w:rFonts w:ascii="Arial" w:hAnsi="Arial"/>
        </w:rPr>
        <w:t>ruebas conducirá y supervisará las pruebas e informará sobre las condiciones de la misma. Será asimismo responsable de todas las mediciones, el cómputo de los resultados y la preparación del informe final. Su decisión será determinante ante cualquier pregunta concerniente a la prueba o su ejecución.</w:t>
      </w:r>
    </w:p>
    <w:p w:rsidR="00785758" w:rsidRPr="00AC3861" w:rsidRDefault="00785758" w:rsidP="00281A3F">
      <w:pPr>
        <w:tabs>
          <w:tab w:val="clear" w:pos="567"/>
          <w:tab w:val="clear" w:pos="1134"/>
          <w:tab w:val="clear" w:pos="1701"/>
          <w:tab w:val="clear" w:pos="2268"/>
          <w:tab w:val="clear" w:pos="2835"/>
        </w:tabs>
        <w:spacing w:line="257" w:lineRule="auto"/>
        <w:ind w:left="709"/>
        <w:jc w:val="both"/>
        <w:rPr>
          <w:rFonts w:ascii="Arial" w:hAnsi="Arial"/>
        </w:rPr>
      </w:pPr>
      <w:r w:rsidRPr="00AC3861">
        <w:rPr>
          <w:rFonts w:ascii="Arial" w:hAnsi="Arial"/>
        </w:rPr>
        <w:t>Las pruebas se efectuarán de conformidad a los procedimientos e instrucciones del COES</w:t>
      </w:r>
      <w:r w:rsidR="001C5008" w:rsidRPr="00AC3861">
        <w:rPr>
          <w:rFonts w:ascii="Arial" w:hAnsi="Arial"/>
        </w:rPr>
        <w:t>.</w:t>
      </w:r>
      <w:r w:rsidR="008759F7" w:rsidRPr="00AC3861">
        <w:rPr>
          <w:rFonts w:ascii="Arial" w:hAnsi="Arial"/>
        </w:rPr>
        <w:t xml:space="preserve"> Las pruebas del sistema de fibra óptica seguirán las especificaciones técnicas establecidas en el Anexo 5, Telecomunicaciones, del presente Contrato. </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spacing w:val="-2"/>
        </w:rPr>
        <w:t xml:space="preserve">La Sociedad Concesionaria deberá dar todas las facilidades razonables al </w:t>
      </w:r>
      <w:r w:rsidR="00A75204">
        <w:rPr>
          <w:rFonts w:ascii="Arial" w:hAnsi="Arial"/>
          <w:spacing w:val="-2"/>
        </w:rPr>
        <w:t>Inspector</w:t>
      </w:r>
      <w:r w:rsidR="00A75204" w:rsidRPr="00AC3861">
        <w:rPr>
          <w:rFonts w:ascii="Arial" w:hAnsi="Arial"/>
          <w:spacing w:val="-2"/>
        </w:rPr>
        <w:t xml:space="preserve"> </w:t>
      </w:r>
      <w:r w:rsidRPr="00AC3861">
        <w:rPr>
          <w:rFonts w:ascii="Arial" w:hAnsi="Arial"/>
          <w:spacing w:val="-2"/>
        </w:rPr>
        <w:t xml:space="preserve">para obtener datos reales, completos y aceptables con respecto a todas las partes del equipo relacionados con la transmisión de energía eléctrica en la Línea </w:t>
      </w:r>
      <w:r w:rsidR="00B22039" w:rsidRPr="00AC3861">
        <w:rPr>
          <w:rFonts w:ascii="Arial" w:hAnsi="Arial"/>
          <w:spacing w:val="-2"/>
        </w:rPr>
        <w:t>Eléctrica</w:t>
      </w:r>
      <w:r w:rsidRPr="00AC3861">
        <w:rPr>
          <w:rFonts w:ascii="Arial" w:hAnsi="Arial"/>
          <w:spacing w:val="-2"/>
        </w:rPr>
        <w:t xml:space="preserve">. Asimismo, el </w:t>
      </w:r>
      <w:r w:rsidR="00A75204">
        <w:rPr>
          <w:rFonts w:ascii="Arial" w:hAnsi="Arial"/>
          <w:spacing w:val="-2"/>
        </w:rPr>
        <w:t>Inspector</w:t>
      </w:r>
      <w:r w:rsidR="00A75204" w:rsidRPr="00AC3861">
        <w:rPr>
          <w:rFonts w:ascii="Arial" w:hAnsi="Arial"/>
          <w:spacing w:val="-2"/>
        </w:rPr>
        <w:t xml:space="preserve"> </w:t>
      </w:r>
      <w:r w:rsidRPr="00AC3861">
        <w:rPr>
          <w:rFonts w:ascii="Arial" w:hAnsi="Arial"/>
          <w:spacing w:val="-2"/>
        </w:rPr>
        <w:t>deberá tener acceso a todos los mecanismos relacionados con el equipamiento electromecánico de</w:t>
      </w:r>
      <w:r w:rsidR="002D4E65" w:rsidRPr="00AC3861">
        <w:rPr>
          <w:rFonts w:ascii="Arial" w:hAnsi="Arial"/>
          <w:spacing w:val="-2"/>
        </w:rPr>
        <w:t xml:space="preserve"> </w:t>
      </w:r>
      <w:r w:rsidRPr="00AC3861">
        <w:rPr>
          <w:rFonts w:ascii="Arial" w:hAnsi="Arial"/>
          <w:spacing w:val="-2"/>
        </w:rPr>
        <w:t>l</w:t>
      </w:r>
      <w:r w:rsidR="002D4E65" w:rsidRPr="00AC3861">
        <w:rPr>
          <w:rFonts w:ascii="Arial" w:hAnsi="Arial"/>
          <w:spacing w:val="-2"/>
        </w:rPr>
        <w:t>a Línea Eléctrica</w:t>
      </w:r>
      <w:r w:rsidRPr="00AC3861">
        <w:rPr>
          <w:rFonts w:ascii="Arial" w:hAnsi="Arial"/>
          <w:spacing w:val="-2"/>
        </w:rPr>
        <w:t>.</w:t>
      </w:r>
    </w:p>
    <w:p w:rsidR="00785758" w:rsidRPr="00AC3861" w:rsidRDefault="00785758" w:rsidP="00D4498D">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Los principales componentes constitutivos de la Línea </w:t>
      </w:r>
      <w:r w:rsidR="00B22039" w:rsidRPr="00AC3861">
        <w:rPr>
          <w:rFonts w:ascii="Arial" w:hAnsi="Arial"/>
        </w:rPr>
        <w:t>Eléctrica</w:t>
      </w:r>
      <w:r w:rsidRPr="00AC3861">
        <w:rPr>
          <w:rFonts w:ascii="Arial" w:hAnsi="Arial"/>
        </w:rPr>
        <w:t xml:space="preserve"> serán sometidos a inspección a requerimiento del </w:t>
      </w:r>
      <w:r w:rsidR="007D065F" w:rsidRPr="0053213B">
        <w:rPr>
          <w:rFonts w:ascii="Arial" w:hAnsi="Arial"/>
          <w:highlight w:val="green"/>
        </w:rPr>
        <w:t>Supervisor</w:t>
      </w:r>
      <w:r w:rsidRPr="00AC3861">
        <w:rPr>
          <w:rFonts w:ascii="Arial" w:hAnsi="Arial"/>
        </w:rPr>
        <w:t xml:space="preserve"> antes del inicio de la prueba.</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rPr>
        <w:t>A la finalización de cada prueba y de encontrarse dentro de los niveles de aceptación, se extenderá el acta correspondiente a dicha prueba, dándola por concluida. Cada acta contendrá: i) la relación del personal de las Partes</w:t>
      </w:r>
      <w:r w:rsidR="00537F31" w:rsidRPr="00AC3861">
        <w:rPr>
          <w:rFonts w:ascii="Arial" w:hAnsi="Arial"/>
        </w:rPr>
        <w:t>, de los representantes del OSINERGMIN</w:t>
      </w:r>
      <w:r w:rsidR="00542270" w:rsidRPr="00AC3861">
        <w:rPr>
          <w:rFonts w:ascii="Arial" w:hAnsi="Arial"/>
        </w:rPr>
        <w:t>,</w:t>
      </w:r>
      <w:r w:rsidR="00EF6116" w:rsidRPr="00AC3861">
        <w:rPr>
          <w:rFonts w:ascii="Arial" w:hAnsi="Arial"/>
        </w:rPr>
        <w:t xml:space="preserve"> y</w:t>
      </w:r>
      <w:r w:rsidRPr="00AC3861">
        <w:rPr>
          <w:rFonts w:ascii="Arial" w:hAnsi="Arial"/>
        </w:rPr>
        <w:t xml:space="preserve"> el </w:t>
      </w:r>
      <w:r w:rsidR="007D065F" w:rsidRPr="00B06967">
        <w:rPr>
          <w:rFonts w:ascii="Arial" w:hAnsi="Arial"/>
          <w:highlight w:val="green"/>
        </w:rPr>
        <w:t>Supervisor</w:t>
      </w:r>
      <w:r w:rsidRPr="00AC3861">
        <w:rPr>
          <w:rFonts w:ascii="Arial" w:hAnsi="Arial"/>
        </w:rPr>
        <w:t xml:space="preserve"> que participó en las pruebas, ii) el protocolo de las pruebas efectuadas en el cual se indican los resultados obtenidos, iii) la lista de pruebas no efectuadas con el descargo correspondiente; y, iv) </w:t>
      </w:r>
      <w:r w:rsidRPr="00AC3861">
        <w:rPr>
          <w:rFonts w:ascii="Arial" w:hAnsi="Arial"/>
          <w:spacing w:val="-2"/>
        </w:rPr>
        <w:t>Otra información que la Sociedad Concesionaria</w:t>
      </w:r>
      <w:r w:rsidR="00537F31" w:rsidRPr="00AC3861">
        <w:rPr>
          <w:rFonts w:ascii="Arial" w:hAnsi="Arial"/>
          <w:spacing w:val="-2"/>
        </w:rPr>
        <w:t>, el OSINERGMIN y/</w:t>
      </w:r>
      <w:r w:rsidRPr="00AC3861">
        <w:rPr>
          <w:rFonts w:ascii="Arial" w:hAnsi="Arial"/>
          <w:spacing w:val="-2"/>
        </w:rPr>
        <w:t xml:space="preserve">o el </w:t>
      </w:r>
      <w:r w:rsidR="007D065F" w:rsidRPr="00323357">
        <w:rPr>
          <w:rFonts w:ascii="Arial" w:hAnsi="Arial"/>
          <w:spacing w:val="-2"/>
          <w:highlight w:val="green"/>
        </w:rPr>
        <w:t>Superviso</w:t>
      </w:r>
      <w:r w:rsidR="007D065F" w:rsidRPr="00AC3861">
        <w:rPr>
          <w:rFonts w:ascii="Arial" w:hAnsi="Arial"/>
          <w:spacing w:val="-2"/>
        </w:rPr>
        <w:t>r</w:t>
      </w:r>
      <w:r w:rsidRPr="00AC3861">
        <w:rPr>
          <w:rFonts w:ascii="Arial" w:hAnsi="Arial"/>
          <w:spacing w:val="-2"/>
        </w:rPr>
        <w:t xml:space="preserve"> considere pertinente.</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spacing w:val="-2"/>
        </w:rPr>
        <w:t xml:space="preserve">En caso que el </w:t>
      </w:r>
      <w:r w:rsidR="00A75204">
        <w:rPr>
          <w:rFonts w:ascii="Arial" w:hAnsi="Arial"/>
          <w:spacing w:val="-2"/>
        </w:rPr>
        <w:t xml:space="preserve">Inspector </w:t>
      </w:r>
      <w:r w:rsidR="00A75204" w:rsidRPr="00AC3861">
        <w:rPr>
          <w:rFonts w:ascii="Arial" w:hAnsi="Arial"/>
          <w:spacing w:val="-2"/>
        </w:rPr>
        <w:t xml:space="preserve"> </w:t>
      </w:r>
      <w:r w:rsidR="005F6AB6" w:rsidRPr="00AC3861">
        <w:rPr>
          <w:rFonts w:ascii="Arial" w:hAnsi="Arial"/>
          <w:spacing w:val="-2"/>
        </w:rPr>
        <w:t>y/o el OSINERGMIN,</w:t>
      </w:r>
      <w:r w:rsidR="000B5466" w:rsidRPr="00AC3861">
        <w:rPr>
          <w:rFonts w:ascii="Arial" w:hAnsi="Arial"/>
          <w:spacing w:val="-2"/>
        </w:rPr>
        <w:t xml:space="preserve"> </w:t>
      </w:r>
      <w:r w:rsidRPr="00AC3861">
        <w:rPr>
          <w:rFonts w:ascii="Arial" w:hAnsi="Arial"/>
          <w:spacing w:val="-2"/>
        </w:rPr>
        <w:t>considere que el resultado no es satisfactorio de acuerdo a lo establecido en las actas de pruebas, la Sociedad Concesionaria procederá a efectuar la subsanación correspondiente. La nueva prueba se hará únicamente en el punto o en los puntos que no resultaron satisfactorios.</w:t>
      </w:r>
    </w:p>
    <w:p w:rsidR="00785758" w:rsidRPr="00AC3861" w:rsidRDefault="00EF6116" w:rsidP="00D4498D">
      <w:pPr>
        <w:spacing w:before="120" w:line="257" w:lineRule="auto"/>
        <w:ind w:left="709"/>
        <w:jc w:val="both"/>
        <w:rPr>
          <w:rFonts w:ascii="Arial" w:hAnsi="Arial"/>
        </w:rPr>
      </w:pPr>
      <w:r w:rsidRPr="00AC3861">
        <w:rPr>
          <w:rFonts w:ascii="Arial" w:hAnsi="Arial"/>
        </w:rPr>
        <w:t>El Concedente</w:t>
      </w:r>
      <w:r w:rsidR="00501B94" w:rsidRPr="00AC3861">
        <w:rPr>
          <w:rFonts w:ascii="Arial" w:hAnsi="Arial"/>
        </w:rPr>
        <w:t xml:space="preserve"> y/o el OSINERGMIN</w:t>
      </w:r>
      <w:r w:rsidR="00785758" w:rsidRPr="00AC3861">
        <w:rPr>
          <w:rFonts w:ascii="Arial" w:hAnsi="Arial"/>
        </w:rPr>
        <w:t xml:space="preserve"> no podrá</w:t>
      </w:r>
      <w:r w:rsidR="00501B94" w:rsidRPr="00AC3861">
        <w:rPr>
          <w:rFonts w:ascii="Arial" w:hAnsi="Arial"/>
        </w:rPr>
        <w:t>n</w:t>
      </w:r>
      <w:r w:rsidR="00785758" w:rsidRPr="00AC3861">
        <w:rPr>
          <w:rFonts w:ascii="Arial" w:hAnsi="Arial"/>
        </w:rPr>
        <w:t xml:space="preserve"> solicitar nuevas pruebas o inspecciones ni observar o rechazar sus resultados, en caso que sus representantes no </w:t>
      </w:r>
      <w:r w:rsidR="00B22039" w:rsidRPr="00AC3861">
        <w:rPr>
          <w:rFonts w:ascii="Arial" w:hAnsi="Arial"/>
        </w:rPr>
        <w:t xml:space="preserve">hayan asistido </w:t>
      </w:r>
      <w:r w:rsidR="00785758" w:rsidRPr="00AC3861">
        <w:rPr>
          <w:rFonts w:ascii="Arial" w:hAnsi="Arial"/>
        </w:rPr>
        <w:t>a dichas pruebas o inspecciones.</w:t>
      </w:r>
    </w:p>
    <w:p w:rsidR="00501B94" w:rsidRPr="00AC3861" w:rsidRDefault="00501B94" w:rsidP="00D4498D">
      <w:pPr>
        <w:spacing w:before="120" w:line="257" w:lineRule="auto"/>
        <w:ind w:left="709"/>
        <w:jc w:val="both"/>
        <w:rPr>
          <w:rFonts w:ascii="Arial" w:hAnsi="Arial"/>
        </w:rPr>
      </w:pPr>
      <w:r w:rsidRPr="00AC3861">
        <w:rPr>
          <w:rFonts w:ascii="Arial" w:hAnsi="Arial"/>
        </w:rPr>
        <w:t xml:space="preserve">Finalizadas las pruebas, el Jefe de Pruebas remitirá al COES, las actas correspondientes debidamente aprobadas por el </w:t>
      </w:r>
      <w:r w:rsidR="00A75204">
        <w:rPr>
          <w:rFonts w:ascii="Arial" w:hAnsi="Arial"/>
        </w:rPr>
        <w:t>Inspector</w:t>
      </w:r>
      <w:r w:rsidRPr="00AC3861">
        <w:rPr>
          <w:rFonts w:ascii="Arial" w:hAnsi="Arial"/>
        </w:rPr>
        <w:t>, para que éste proceda a dar inicio con el programa de puesta en servicio de cada componente de la Línea Eléctrica.</w:t>
      </w:r>
    </w:p>
    <w:p w:rsidR="00785758" w:rsidRPr="00AC3861" w:rsidRDefault="00785758" w:rsidP="00D4498D">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Concluidas todas las pruebas, el </w:t>
      </w:r>
      <w:r w:rsidR="00B22039" w:rsidRPr="00AC3861">
        <w:rPr>
          <w:rFonts w:ascii="Arial" w:hAnsi="Arial"/>
        </w:rPr>
        <w:t>J</w:t>
      </w:r>
      <w:r w:rsidRPr="00AC3861">
        <w:rPr>
          <w:rFonts w:ascii="Arial" w:hAnsi="Arial"/>
        </w:rPr>
        <w:t xml:space="preserve">efe de </w:t>
      </w:r>
      <w:r w:rsidR="00B22039" w:rsidRPr="00AC3861">
        <w:rPr>
          <w:rFonts w:ascii="Arial" w:hAnsi="Arial"/>
        </w:rPr>
        <w:t>P</w:t>
      </w:r>
      <w:r w:rsidRPr="00AC3861">
        <w:rPr>
          <w:rFonts w:ascii="Arial" w:hAnsi="Arial"/>
        </w:rPr>
        <w:t xml:space="preserve">ruebas elaborará y entregará al </w:t>
      </w:r>
      <w:r w:rsidR="00A75204">
        <w:rPr>
          <w:rFonts w:ascii="Arial" w:hAnsi="Arial"/>
        </w:rPr>
        <w:t>Inspector</w:t>
      </w:r>
      <w:r w:rsidR="00501B94" w:rsidRPr="00AC3861">
        <w:rPr>
          <w:rFonts w:ascii="Arial" w:hAnsi="Arial"/>
        </w:rPr>
        <w:t>, al OSINERGMIN</w:t>
      </w:r>
      <w:r w:rsidR="00EF6116" w:rsidRPr="00AC3861">
        <w:rPr>
          <w:rFonts w:ascii="Arial" w:hAnsi="Arial"/>
        </w:rPr>
        <w:t xml:space="preserve"> y </w:t>
      </w:r>
      <w:r w:rsidR="002E7461" w:rsidRPr="00AC3861">
        <w:rPr>
          <w:rFonts w:ascii="Arial" w:hAnsi="Arial"/>
        </w:rPr>
        <w:t>a</w:t>
      </w:r>
      <w:r w:rsidR="000B5466" w:rsidRPr="00AC3861">
        <w:rPr>
          <w:rFonts w:ascii="Arial" w:hAnsi="Arial"/>
        </w:rPr>
        <w:t>l Concedente</w:t>
      </w:r>
      <w:r w:rsidRPr="00AC3861">
        <w:rPr>
          <w:rFonts w:ascii="Arial" w:hAnsi="Arial"/>
        </w:rPr>
        <w:t xml:space="preserve">, un informe final, con los detalles de cálculo y la presentación de resultados. </w:t>
      </w:r>
      <w:r w:rsidR="00EF6116" w:rsidRPr="00AC3861">
        <w:rPr>
          <w:rFonts w:ascii="Arial" w:hAnsi="Arial"/>
        </w:rPr>
        <w:t xml:space="preserve">El </w:t>
      </w:r>
      <w:r w:rsidR="00A75204">
        <w:rPr>
          <w:rFonts w:ascii="Arial" w:hAnsi="Arial"/>
        </w:rPr>
        <w:t>Inspector</w:t>
      </w:r>
      <w:r w:rsidR="00A75204" w:rsidRPr="00AC3861">
        <w:rPr>
          <w:rFonts w:ascii="Arial" w:hAnsi="Arial"/>
        </w:rPr>
        <w:t xml:space="preserve"> </w:t>
      </w:r>
      <w:r w:rsidR="002E7461" w:rsidRPr="00AC3861">
        <w:rPr>
          <w:rFonts w:ascii="Arial" w:hAnsi="Arial"/>
        </w:rPr>
        <w:t xml:space="preserve">deberá aprobar el informe final en un plazo de Diez (10) Días de entregado dicho documento. </w:t>
      </w:r>
      <w:r w:rsidRPr="00AC3861">
        <w:rPr>
          <w:rFonts w:ascii="Arial" w:hAnsi="Arial"/>
        </w:rPr>
        <w:t xml:space="preserve">El procedimiento de verificación a que se refiere este anexo, se entenderá cumplido cuando </w:t>
      </w:r>
      <w:r w:rsidR="000B5466" w:rsidRPr="00AC3861">
        <w:rPr>
          <w:rFonts w:ascii="Arial" w:hAnsi="Arial"/>
        </w:rPr>
        <w:t xml:space="preserve">el </w:t>
      </w:r>
      <w:r w:rsidR="00501B94" w:rsidRPr="00AC3861">
        <w:rPr>
          <w:rFonts w:ascii="Arial" w:hAnsi="Arial"/>
        </w:rPr>
        <w:t xml:space="preserve">OSINERGMIN </w:t>
      </w:r>
      <w:r w:rsidRPr="00AC3861">
        <w:rPr>
          <w:rFonts w:ascii="Arial" w:hAnsi="Arial"/>
        </w:rPr>
        <w:t>apruebe el citado informe final, lo cual ocurrirá en el plazo</w:t>
      </w:r>
      <w:r w:rsidR="00B22039" w:rsidRPr="00AC3861">
        <w:rPr>
          <w:rFonts w:ascii="Arial" w:hAnsi="Arial"/>
        </w:rPr>
        <w:t xml:space="preserve"> máximo</w:t>
      </w:r>
      <w:r w:rsidRPr="00AC3861">
        <w:rPr>
          <w:rFonts w:ascii="Arial" w:hAnsi="Arial"/>
        </w:rPr>
        <w:t xml:space="preserve"> de </w:t>
      </w:r>
      <w:r w:rsidR="00B22039" w:rsidRPr="00AC3861">
        <w:rPr>
          <w:rFonts w:ascii="Arial" w:hAnsi="Arial"/>
        </w:rPr>
        <w:t>Diez (</w:t>
      </w:r>
      <w:r w:rsidRPr="00AC3861">
        <w:rPr>
          <w:rFonts w:ascii="Arial" w:hAnsi="Arial"/>
        </w:rPr>
        <w:t>10</w:t>
      </w:r>
      <w:r w:rsidR="00B22039" w:rsidRPr="00AC3861">
        <w:rPr>
          <w:rFonts w:ascii="Arial" w:hAnsi="Arial"/>
        </w:rPr>
        <w:t>)</w:t>
      </w:r>
      <w:r w:rsidRPr="00AC3861">
        <w:rPr>
          <w:rFonts w:ascii="Arial" w:hAnsi="Arial"/>
        </w:rPr>
        <w:t xml:space="preserve"> Días de </w:t>
      </w:r>
      <w:r w:rsidR="000B5466" w:rsidRPr="00AC3861">
        <w:rPr>
          <w:rFonts w:ascii="Arial" w:hAnsi="Arial"/>
        </w:rPr>
        <w:t xml:space="preserve">la </w:t>
      </w:r>
      <w:r w:rsidR="00EF6116" w:rsidRPr="00AC3861">
        <w:rPr>
          <w:rFonts w:ascii="Arial" w:hAnsi="Arial"/>
        </w:rPr>
        <w:t xml:space="preserve">entrega del informe final por parte del </w:t>
      </w:r>
      <w:r w:rsidR="00A75204">
        <w:rPr>
          <w:rFonts w:ascii="Arial" w:hAnsi="Arial"/>
        </w:rPr>
        <w:t>Inspector</w:t>
      </w:r>
      <w:r w:rsidR="00EF6116" w:rsidRPr="00AC3861">
        <w:rPr>
          <w:rFonts w:ascii="Arial" w:hAnsi="Arial"/>
        </w:rPr>
        <w:t>.</w:t>
      </w:r>
      <w:r w:rsidRPr="00AC3861">
        <w:rPr>
          <w:rFonts w:ascii="Arial" w:hAnsi="Arial"/>
        </w:rPr>
        <w:t xml:space="preserve"> El silencio comportará aprobación del informe.</w:t>
      </w:r>
    </w:p>
    <w:p w:rsidR="005A5220" w:rsidRPr="00FD52FD" w:rsidRDefault="00785758" w:rsidP="00D4498D">
      <w:pPr>
        <w:tabs>
          <w:tab w:val="left" w:pos="0"/>
          <w:tab w:val="left" w:pos="1276"/>
        </w:tabs>
        <w:spacing w:line="257" w:lineRule="auto"/>
        <w:jc w:val="center"/>
        <w:outlineLvl w:val="0"/>
        <w:rPr>
          <w:rFonts w:ascii="Arial" w:hAnsi="Arial" w:cs="Arial"/>
          <w:b/>
          <w:sz w:val="26"/>
          <w:szCs w:val="26"/>
          <w:u w:val="single"/>
        </w:rPr>
      </w:pPr>
      <w:r w:rsidRPr="004E5745">
        <w:rPr>
          <w:rFonts w:ascii="Arial" w:hAnsi="Arial"/>
          <w:sz w:val="22"/>
          <w:szCs w:val="22"/>
        </w:rPr>
        <w:br w:type="page"/>
      </w:r>
      <w:r w:rsidRPr="00FD52FD">
        <w:rPr>
          <w:rFonts w:ascii="Arial" w:hAnsi="Arial" w:cs="Arial"/>
          <w:b/>
          <w:sz w:val="26"/>
          <w:szCs w:val="26"/>
          <w:u w:val="single"/>
        </w:rPr>
        <w:t>Anexo Nº 3</w:t>
      </w:r>
    </w:p>
    <w:p w:rsidR="008C1402" w:rsidRPr="00FD52FD" w:rsidRDefault="008C1402" w:rsidP="00D4498D">
      <w:pPr>
        <w:tabs>
          <w:tab w:val="left" w:pos="0"/>
          <w:tab w:val="left" w:pos="1276"/>
        </w:tabs>
        <w:spacing w:before="240" w:after="360" w:line="257" w:lineRule="auto"/>
        <w:jc w:val="center"/>
        <w:outlineLvl w:val="0"/>
        <w:rPr>
          <w:rFonts w:ascii="Arial" w:hAnsi="Arial" w:cs="Arial"/>
          <w:b/>
          <w:sz w:val="26"/>
          <w:szCs w:val="26"/>
        </w:rPr>
      </w:pPr>
      <w:r w:rsidRPr="00FD52FD">
        <w:rPr>
          <w:rFonts w:ascii="Arial" w:hAnsi="Arial" w:cs="Arial"/>
          <w:b/>
          <w:sz w:val="26"/>
          <w:szCs w:val="26"/>
        </w:rPr>
        <w:t>Definiciones</w:t>
      </w:r>
    </w:p>
    <w:p w:rsidR="00AD1E09" w:rsidRPr="00D4498D" w:rsidRDefault="00EA7359"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color w:val="000000"/>
          <w:u w:val="single"/>
        </w:rPr>
      </w:pPr>
      <w:r w:rsidRPr="00D4498D">
        <w:rPr>
          <w:rFonts w:ascii="Arial" w:hAnsi="Arial"/>
          <w:color w:val="000000"/>
          <w:u w:val="single"/>
        </w:rPr>
        <w:t>Acreedores Permitidos:</w:t>
      </w:r>
    </w:p>
    <w:p w:rsidR="00BA5A45" w:rsidRPr="002773F6" w:rsidRDefault="00BA5A45" w:rsidP="00D4498D">
      <w:pPr>
        <w:tabs>
          <w:tab w:val="clear" w:pos="567"/>
          <w:tab w:val="clear" w:pos="1134"/>
          <w:tab w:val="clear" w:pos="1701"/>
          <w:tab w:val="clear" w:pos="2268"/>
          <w:tab w:val="clear" w:pos="2835"/>
          <w:tab w:val="left" w:pos="426"/>
        </w:tabs>
        <w:spacing w:before="60" w:line="257" w:lineRule="auto"/>
        <w:ind w:left="425"/>
        <w:jc w:val="both"/>
        <w:rPr>
          <w:rFonts w:ascii="Arial" w:hAnsi="Arial"/>
          <w:color w:val="000000"/>
        </w:rPr>
      </w:pPr>
      <w:r w:rsidRPr="00D4498D">
        <w:rPr>
          <w:rFonts w:ascii="Arial" w:hAnsi="Arial"/>
          <w:color w:val="000000"/>
        </w:rPr>
        <w:t xml:space="preserve">El concepto de Acreedores Permitidos es sólo aplicable a </w:t>
      </w:r>
      <w:r w:rsidR="00127A57" w:rsidRPr="00D4498D">
        <w:rPr>
          <w:rFonts w:ascii="Arial" w:hAnsi="Arial"/>
          <w:color w:val="000000"/>
        </w:rPr>
        <w:t>la deuda garantizada descrita</w:t>
      </w:r>
      <w:r w:rsidR="00125E0E" w:rsidRPr="00D4498D">
        <w:rPr>
          <w:rFonts w:ascii="Arial" w:hAnsi="Arial"/>
          <w:color w:val="000000"/>
        </w:rPr>
        <w:t xml:space="preserve"> en la Cláusula 9 del Contrato</w:t>
      </w:r>
      <w:r w:rsidRPr="00D4498D">
        <w:rPr>
          <w:rFonts w:ascii="Arial" w:hAnsi="Arial"/>
          <w:color w:val="000000"/>
        </w:rPr>
        <w:t xml:space="preserve">. Para tales efectos, Acreedor Permitido </w:t>
      </w:r>
      <w:r w:rsidR="00A303EA" w:rsidRPr="00D4498D">
        <w:rPr>
          <w:rFonts w:ascii="Arial" w:hAnsi="Arial"/>
          <w:color w:val="000000"/>
        </w:rPr>
        <w:t xml:space="preserve">podrá </w:t>
      </w:r>
      <w:r w:rsidRPr="00D4498D">
        <w:rPr>
          <w:rFonts w:ascii="Arial" w:hAnsi="Arial"/>
          <w:color w:val="000000"/>
        </w:rPr>
        <w:t>ser</w:t>
      </w:r>
      <w:r w:rsidR="00533171" w:rsidRPr="002773F6">
        <w:rPr>
          <w:rFonts w:ascii="Arial" w:hAnsi="Arial"/>
          <w:color w:val="000000"/>
        </w:rPr>
        <w:t>:</w:t>
      </w:r>
    </w:p>
    <w:p w:rsidR="00EA7359" w:rsidRPr="002773F6"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9B02C0">
        <w:rPr>
          <w:rFonts w:ascii="Arial" w:hAnsi="Arial"/>
          <w:color w:val="000000"/>
        </w:rPr>
        <w:t>(i)</w:t>
      </w:r>
      <w:r w:rsidRPr="009B02C0">
        <w:rPr>
          <w:rFonts w:ascii="Arial" w:hAnsi="Arial"/>
          <w:color w:val="000000"/>
        </w:rPr>
        <w:tab/>
        <w:t>cualquier institución multilateral de crédito de la cual el Estado de la República del Perú sea miembro;</w:t>
      </w:r>
    </w:p>
    <w:p w:rsidR="00EA7359" w:rsidRPr="002773F6"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2773F6">
        <w:rPr>
          <w:rFonts w:ascii="Arial" w:hAnsi="Arial"/>
          <w:color w:val="000000"/>
        </w:rPr>
        <w:t>(ii)</w:t>
      </w:r>
      <w:r w:rsidRPr="002773F6">
        <w:rPr>
          <w:rFonts w:ascii="Arial" w:hAnsi="Arial"/>
          <w:color w:val="000000"/>
        </w:rPr>
        <w:tab/>
        <w:t>cualquier institución o cualquier agencia gubernamental de cualquier país con el cual el Estado de la República del Perú mantenga relaciones diplomáticas;</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2773F6">
        <w:rPr>
          <w:rFonts w:ascii="Arial" w:hAnsi="Arial"/>
          <w:color w:val="000000"/>
        </w:rPr>
        <w:t>(iii)</w:t>
      </w:r>
      <w:r w:rsidRPr="002773F6">
        <w:rPr>
          <w:rFonts w:ascii="Arial" w:hAnsi="Arial"/>
          <w:color w:val="000000"/>
        </w:rPr>
        <w:tab/>
        <w:t>cualquier institución financiera aprobada por el Estado de la República del Perú y designada como Banco Extranjero de Primera Categoría en la Circular N°</w:t>
      </w:r>
      <w:r w:rsidR="006A1B3A">
        <w:rPr>
          <w:rFonts w:ascii="Arial" w:hAnsi="Arial"/>
          <w:color w:val="000000"/>
        </w:rPr>
        <w:t xml:space="preserve"> 014-2012-BCRP</w:t>
      </w:r>
      <w:r w:rsidRPr="00D4498D">
        <w:rPr>
          <w:rFonts w:ascii="Arial" w:hAnsi="Arial"/>
          <w:color w:val="000000"/>
        </w:rPr>
        <w:t>, emitida por el Banco Central de Reserva del Perú, o cualquier otra circular que</w:t>
      </w:r>
      <w:r w:rsidR="00A303EA" w:rsidRPr="00D4498D">
        <w:rPr>
          <w:rFonts w:ascii="Arial" w:hAnsi="Arial"/>
          <w:color w:val="000000"/>
        </w:rPr>
        <w:t xml:space="preserve"> posteriormente</w:t>
      </w:r>
      <w:r w:rsidRPr="00D4498D">
        <w:rPr>
          <w:rFonts w:ascii="Arial" w:hAnsi="Arial"/>
          <w:color w:val="000000"/>
        </w:rPr>
        <w:t xml:space="preserve"> la modifique, </w:t>
      </w:r>
      <w:r w:rsidR="00A303EA" w:rsidRPr="00D4498D">
        <w:rPr>
          <w:rFonts w:ascii="Arial" w:hAnsi="Arial"/>
          <w:color w:val="000000"/>
        </w:rPr>
        <w:t>o sustituya, pero sólo</w:t>
      </w:r>
      <w:r w:rsidRPr="00D4498D">
        <w:rPr>
          <w:rFonts w:ascii="Arial" w:hAnsi="Arial"/>
          <w:color w:val="000000"/>
        </w:rPr>
        <w:t xml:space="preserve">, en el extremo </w:t>
      </w:r>
      <w:r w:rsidR="00466B8F" w:rsidRPr="00D4498D">
        <w:rPr>
          <w:rFonts w:ascii="Arial" w:hAnsi="Arial"/>
          <w:color w:val="000000"/>
        </w:rPr>
        <w:t>d</w:t>
      </w:r>
      <w:r w:rsidRPr="00D4498D">
        <w:rPr>
          <w:rFonts w:ascii="Arial" w:hAnsi="Arial"/>
          <w:color w:val="000000"/>
        </w:rPr>
        <w:t>e que incorpore nuevas instituciones</w:t>
      </w:r>
      <w:r w:rsidR="00A012CD" w:rsidRPr="00D4498D">
        <w:rPr>
          <w:rFonts w:ascii="Arial" w:hAnsi="Arial"/>
          <w:color w:val="000000"/>
        </w:rPr>
        <w:t>.</w:t>
      </w:r>
      <w:r w:rsidR="00057D0E" w:rsidRPr="00D4498D">
        <w:rPr>
          <w:rFonts w:ascii="Arial" w:hAnsi="Arial"/>
          <w:color w:val="000000"/>
        </w:rPr>
        <w:t xml:space="preserve"> Se incluye también a las instituciones financieras (bancarias o no bancarias) que sean subsidiarias de tales bancos, en tanto cumplan con los requisitos de participación accionaria señaladas en dicha circular</w:t>
      </w:r>
      <w:r w:rsidR="00A012CD"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(iv)</w:t>
      </w:r>
      <w:r w:rsidRPr="00D4498D">
        <w:rPr>
          <w:rFonts w:ascii="Arial" w:hAnsi="Arial"/>
          <w:color w:val="000000"/>
        </w:rPr>
        <w:tab/>
        <w:t xml:space="preserve">cualquier otra institución financiera internacional que tenga una clasificación de riesgo no menor a (“A”), </w:t>
      </w:r>
      <w:r w:rsidR="00A303EA" w:rsidRPr="00D4498D">
        <w:rPr>
          <w:rFonts w:ascii="Arial" w:hAnsi="Arial"/>
          <w:color w:val="000000"/>
        </w:rPr>
        <w:t xml:space="preserve">en su país de origen, emitida </w:t>
      </w:r>
      <w:r w:rsidRPr="00D4498D">
        <w:rPr>
          <w:rFonts w:ascii="Arial" w:hAnsi="Arial"/>
          <w:color w:val="000000"/>
        </w:rPr>
        <w:t xml:space="preserve">por una </w:t>
      </w:r>
      <w:r w:rsidR="00A303EA" w:rsidRPr="00D4498D">
        <w:rPr>
          <w:rFonts w:ascii="Arial" w:hAnsi="Arial"/>
          <w:color w:val="000000"/>
        </w:rPr>
        <w:t>clasificadora de riesgo</w:t>
      </w:r>
      <w:r w:rsidRPr="00D4498D">
        <w:rPr>
          <w:rFonts w:ascii="Arial" w:hAnsi="Arial"/>
          <w:color w:val="000000"/>
        </w:rPr>
        <w:t xml:space="preserve"> de reconocido prestigio</w:t>
      </w:r>
      <w:r w:rsidR="00A303EA" w:rsidRPr="00D4498D">
        <w:rPr>
          <w:rFonts w:ascii="Arial" w:hAnsi="Arial"/>
          <w:color w:val="000000"/>
        </w:rPr>
        <w:t>, internacional o nacional del país de la institución prestamista</w:t>
      </w:r>
      <w:r w:rsidRPr="00D4498D">
        <w:rPr>
          <w:rFonts w:ascii="Arial" w:hAnsi="Arial"/>
          <w:color w:val="000000"/>
        </w:rPr>
        <w:t>;</w:t>
      </w:r>
    </w:p>
    <w:p w:rsidR="00681A62"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w:t>
      </w:r>
      <w:r w:rsidRPr="00D4498D">
        <w:rPr>
          <w:rFonts w:ascii="Arial" w:hAnsi="Arial"/>
          <w:color w:val="000000"/>
        </w:rPr>
        <w:tab/>
        <w:t xml:space="preserve">cualquier institución financiera nacional que tenga una clasificación de riesgo no menor a (“A”) </w:t>
      </w:r>
      <w:r w:rsidR="00A303EA" w:rsidRPr="00D4498D">
        <w:rPr>
          <w:rFonts w:ascii="Arial" w:hAnsi="Arial"/>
          <w:color w:val="000000"/>
        </w:rPr>
        <w:t xml:space="preserve">emitida </w:t>
      </w:r>
      <w:r w:rsidRPr="00D4498D">
        <w:rPr>
          <w:rFonts w:ascii="Arial" w:hAnsi="Arial"/>
          <w:color w:val="000000"/>
        </w:rPr>
        <w:t>por una empresa clasificadora de riesgo  de reconocido prestigio</w:t>
      </w:r>
      <w:r w:rsidR="00A303EA" w:rsidRPr="00D4498D">
        <w:rPr>
          <w:rFonts w:ascii="Arial" w:hAnsi="Arial"/>
          <w:color w:val="000000"/>
        </w:rPr>
        <w:t xml:space="preserve"> internacional o nacional, aceptada por la Superintendencia del Mercado de Valores</w:t>
      </w:r>
      <w:r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w:t>
      </w:r>
      <w:r w:rsidRPr="00D4498D">
        <w:rPr>
          <w:rFonts w:ascii="Arial" w:hAnsi="Arial"/>
          <w:color w:val="000000"/>
        </w:rPr>
        <w:tab/>
        <w:t>todos los inversionistas institucionales así considerados por las normas legales vigentes o bancos extranjeros de primera categoría</w:t>
      </w:r>
      <w:r w:rsidR="002558AE" w:rsidRPr="00D4498D">
        <w:rPr>
          <w:rFonts w:ascii="Arial" w:hAnsi="Arial"/>
          <w:color w:val="000000"/>
        </w:rPr>
        <w:t xml:space="preserve">, </w:t>
      </w:r>
      <w:r w:rsidRPr="00D4498D">
        <w:rPr>
          <w:rFonts w:ascii="Arial" w:hAnsi="Arial"/>
          <w:color w:val="000000"/>
        </w:rPr>
        <w:t>según lo indicado en el literal (iii) anterior</w:t>
      </w:r>
      <w:r w:rsidR="002558AE" w:rsidRPr="00D4498D">
        <w:rPr>
          <w:rFonts w:ascii="Arial" w:hAnsi="Arial"/>
          <w:color w:val="000000"/>
        </w:rPr>
        <w:t>,</w:t>
      </w:r>
      <w:r w:rsidRPr="00D4498D">
        <w:rPr>
          <w:rFonts w:ascii="Arial" w:hAnsi="Arial"/>
          <w:color w:val="000000"/>
        </w:rPr>
        <w:t xml:space="preserve"> que (a) adquieran directa o indirectamente; (b) sean titulares; o, (c) sean tenedores, de cualquier tipo de valor mobiliario o título de deuda emitido directa o indirectamente por </w:t>
      </w:r>
      <w:r w:rsidR="00681A62" w:rsidRPr="00D4498D">
        <w:rPr>
          <w:rFonts w:ascii="Arial" w:hAnsi="Arial"/>
          <w:color w:val="000000"/>
        </w:rPr>
        <w:t>la Sociedad Concesionaria</w:t>
      </w:r>
      <w:r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(vii)</w:t>
      </w:r>
      <w:r w:rsidRPr="00D4498D">
        <w:rPr>
          <w:rFonts w:ascii="Arial" w:hAnsi="Arial"/>
          <w:color w:val="000000"/>
        </w:rPr>
        <w:tab/>
        <w:t>cualquier patrimonio fideicometido o sociedad titulizadora constituida en el Perú o en el extranjero;</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(viii)</w:t>
      </w:r>
      <w:r w:rsidRPr="00D4498D">
        <w:rPr>
          <w:rFonts w:ascii="Arial" w:hAnsi="Arial"/>
          <w:color w:val="000000"/>
        </w:rPr>
        <w:tab/>
        <w:t xml:space="preserve">cualquier persona natural o jurídica que adquiera directa o indirectamente cualquier tipo de valor mobiliario o título de deuda emitido directa o indirectamente por </w:t>
      </w:r>
      <w:r w:rsidR="0093269A" w:rsidRPr="00D4498D">
        <w:rPr>
          <w:rFonts w:ascii="Arial" w:hAnsi="Arial"/>
          <w:color w:val="000000"/>
        </w:rPr>
        <w:t>la Sociedad Concesionaria</w:t>
      </w:r>
      <w:r w:rsidRPr="00D4498D">
        <w:rPr>
          <w:rFonts w:ascii="Arial" w:hAnsi="Arial"/>
          <w:color w:val="000000"/>
        </w:rPr>
        <w:t xml:space="preserve"> mediante oferta pública o privada; o</w:t>
      </w:r>
    </w:p>
    <w:p w:rsidR="00EA7359" w:rsidRPr="00D4498D" w:rsidRDefault="00EA7359" w:rsidP="00D4498D">
      <w:pPr>
        <w:numPr>
          <w:ilvl w:val="2"/>
          <w:numId w:val="36"/>
        </w:numPr>
        <w:tabs>
          <w:tab w:val="clear" w:pos="567"/>
          <w:tab w:val="clear" w:pos="1134"/>
          <w:tab w:val="clear" w:pos="1701"/>
          <w:tab w:val="clear" w:pos="2268"/>
          <w:tab w:val="clear" w:pos="2835"/>
          <w:tab w:val="clear" w:pos="3060"/>
          <w:tab w:val="num" w:pos="851"/>
        </w:tabs>
        <w:spacing w:before="40" w:line="257" w:lineRule="auto"/>
        <w:ind w:leftChars="223" w:left="872" w:hangingChars="213" w:hanging="426"/>
        <w:jc w:val="both"/>
        <w:rPr>
          <w:rFonts w:ascii="Arial" w:hAnsi="Arial"/>
          <w:color w:val="000000"/>
        </w:rPr>
      </w:pPr>
      <w:r w:rsidRPr="00D4498D">
        <w:rPr>
          <w:rFonts w:ascii="Arial" w:hAnsi="Arial"/>
          <w:color w:val="000000"/>
        </w:rPr>
        <w:t xml:space="preserve">cualquier representante de obligacionistas, agente fideicomisario o “trustee” que actúe en representación de titulares de valores mobiliarios o títulos de deuda emitidos directa o indirectamente por </w:t>
      </w:r>
      <w:r w:rsidR="0093269A" w:rsidRPr="00D4498D">
        <w:rPr>
          <w:rFonts w:ascii="Arial" w:hAnsi="Arial"/>
          <w:color w:val="000000"/>
        </w:rPr>
        <w:t>la Sociedad Concesionaria</w:t>
      </w:r>
      <w:r w:rsidRPr="00D4498D">
        <w:rPr>
          <w:rFonts w:ascii="Arial" w:hAnsi="Arial"/>
          <w:color w:val="000000"/>
        </w:rPr>
        <w:t>.</w:t>
      </w:r>
    </w:p>
    <w:p w:rsidR="00C31429" w:rsidRPr="00D4498D" w:rsidRDefault="00C31429" w:rsidP="00D4498D">
      <w:pPr>
        <w:tabs>
          <w:tab w:val="clear" w:pos="567"/>
          <w:tab w:val="clear" w:pos="1134"/>
          <w:tab w:val="clear" w:pos="1701"/>
          <w:tab w:val="clear" w:pos="2268"/>
          <w:tab w:val="clear" w:pos="2835"/>
        </w:tabs>
        <w:spacing w:before="60" w:line="257" w:lineRule="auto"/>
        <w:ind w:left="426"/>
        <w:jc w:val="both"/>
        <w:rPr>
          <w:rFonts w:ascii="Arial" w:hAnsi="Arial"/>
          <w:color w:val="000000"/>
        </w:rPr>
      </w:pPr>
      <w:r w:rsidRPr="00D4498D">
        <w:rPr>
          <w:rFonts w:ascii="Arial" w:hAnsi="Arial"/>
          <w:color w:val="000000"/>
        </w:rPr>
        <w:t>Los Acreedores Permitidos no deberán tener ningún tipo de vinculación con la Sociedad Concesionaria, conforme a las definiciones previstas en la Resolución CONASEV N° 090-2005-EF-94.10, modificada por la Resolución CONASEV N° 005-2006-EF/94.10, o norma que la sustituya, salvo que se trate de inversionistas institucionales.</w:t>
      </w:r>
    </w:p>
    <w:p w:rsidR="004635AD" w:rsidRPr="00D4498D" w:rsidRDefault="00433D8F" w:rsidP="00D4498D">
      <w:pPr>
        <w:tabs>
          <w:tab w:val="clear" w:pos="567"/>
          <w:tab w:val="clear" w:pos="1134"/>
          <w:tab w:val="clear" w:pos="1701"/>
          <w:tab w:val="clear" w:pos="2268"/>
          <w:tab w:val="clear" w:pos="2835"/>
        </w:tabs>
        <w:spacing w:before="60" w:line="257" w:lineRule="auto"/>
        <w:ind w:left="426"/>
        <w:jc w:val="both"/>
        <w:rPr>
          <w:rFonts w:ascii="Arial" w:hAnsi="Arial"/>
          <w:color w:val="000000"/>
        </w:rPr>
      </w:pPr>
      <w:r w:rsidRPr="00D4498D">
        <w:rPr>
          <w:rFonts w:ascii="Arial" w:hAnsi="Arial"/>
          <w:color w:val="000000"/>
        </w:rPr>
        <w:t>En los casos de los literales (i) al (v), p</w:t>
      </w:r>
      <w:r w:rsidR="00CD3736" w:rsidRPr="00D4498D">
        <w:rPr>
          <w:rFonts w:ascii="Arial" w:hAnsi="Arial"/>
          <w:color w:val="000000"/>
        </w:rPr>
        <w:t>ara ser considerado Acreedor Permitido deberá tener tal condición a la fecha de suscripción de su respectivo contrato de financiamiento.</w:t>
      </w:r>
    </w:p>
    <w:p w:rsidR="00AD1E09" w:rsidRPr="00D4498D" w:rsidRDefault="00445E8D" w:rsidP="004F6B32">
      <w:pPr>
        <w:numPr>
          <w:ilvl w:val="0"/>
          <w:numId w:val="45"/>
        </w:numPr>
        <w:tabs>
          <w:tab w:val="clear" w:pos="567"/>
          <w:tab w:val="clear" w:pos="930"/>
          <w:tab w:val="clear" w:pos="1134"/>
          <w:tab w:val="clear" w:pos="1701"/>
          <w:tab w:val="clear" w:pos="2268"/>
          <w:tab w:val="clear" w:pos="2835"/>
        </w:tabs>
        <w:spacing w:before="120" w:line="257" w:lineRule="auto"/>
        <w:ind w:left="425" w:hanging="425"/>
        <w:jc w:val="both"/>
        <w:rPr>
          <w:rFonts w:ascii="Arial" w:hAnsi="Arial"/>
          <w:u w:val="single"/>
        </w:rPr>
      </w:pPr>
      <w:r w:rsidRPr="00D4498D">
        <w:rPr>
          <w:rFonts w:ascii="Arial" w:hAnsi="Arial"/>
          <w:u w:val="single"/>
        </w:rPr>
        <w:br w:type="page"/>
      </w:r>
      <w:r w:rsidR="008C1402" w:rsidRPr="00D4498D">
        <w:rPr>
          <w:rFonts w:ascii="Arial" w:hAnsi="Arial"/>
          <w:u w:val="single"/>
        </w:rPr>
        <w:t>Autoridad Gubernamental:</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 xml:space="preserve">Base </w:t>
      </w:r>
      <w:r w:rsidR="0031311B" w:rsidRPr="00D4498D">
        <w:rPr>
          <w:rFonts w:ascii="Arial" w:hAnsi="Arial"/>
          <w:u w:val="single"/>
        </w:rPr>
        <w:t>T</w:t>
      </w:r>
      <w:r w:rsidRPr="00D4498D">
        <w:rPr>
          <w:rFonts w:ascii="Arial" w:hAnsi="Arial"/>
          <w:u w:val="single"/>
        </w:rPr>
        <w:t>arifaria:</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Tiene el significado establecido en la Ley N° 28832 o la que haga sus veces.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Bienes de la Concesión:</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la Línea Eléctrica, bajo los términos del presente Contrato y para el cumplimiento del objeto de la Concesión. Incluye los Refuerzos, si los hubiese ejecutado la Sociedad Concesionaria de conformidad con las Leyes Aplicables.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Bienes de la Sociedad Concesionaria:</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Son todos los bienes de propiedad de la Sociedad Concesionaria que no califican como Bienes de la Concesión y son de su libre disposición.</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Cierre:</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 xml:space="preserve">Es el </w:t>
      </w:r>
      <w:r w:rsidR="00DF3AB8" w:rsidRPr="00D4498D">
        <w:rPr>
          <w:rFonts w:ascii="Arial" w:hAnsi="Arial"/>
        </w:rPr>
        <w:t xml:space="preserve">acto </w:t>
      </w:r>
      <w:r w:rsidRPr="00D4498D">
        <w:rPr>
          <w:rFonts w:ascii="Arial" w:hAnsi="Arial"/>
        </w:rPr>
        <w:t xml:space="preserve">en que el Concedente </w:t>
      </w:r>
      <w:r w:rsidR="00576C3D" w:rsidRPr="00D4498D">
        <w:rPr>
          <w:rFonts w:ascii="Arial" w:hAnsi="Arial"/>
        </w:rPr>
        <w:t xml:space="preserve">y la Sociedad Concesionaria </w:t>
      </w:r>
      <w:r w:rsidRPr="00D4498D">
        <w:rPr>
          <w:rFonts w:ascii="Arial" w:hAnsi="Arial"/>
        </w:rPr>
        <w:t>suscribe</w:t>
      </w:r>
      <w:r w:rsidR="00576C3D" w:rsidRPr="00D4498D">
        <w:rPr>
          <w:rFonts w:ascii="Arial" w:hAnsi="Arial"/>
        </w:rPr>
        <w:t>n</w:t>
      </w:r>
      <w:r w:rsidRPr="00D4498D">
        <w:rPr>
          <w:rFonts w:ascii="Arial" w:hAnsi="Arial"/>
        </w:rPr>
        <w:t xml:space="preserve"> el Contrato.</w:t>
      </w:r>
    </w:p>
    <w:p w:rsidR="007D7E22" w:rsidRPr="00D4498D" w:rsidRDefault="00533171"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cs="Arial"/>
          <w:u w:val="single"/>
        </w:rPr>
      </w:pPr>
      <w:r w:rsidRPr="00D4498D">
        <w:rPr>
          <w:rFonts w:ascii="Arial" w:hAnsi="Arial" w:cs="Arial"/>
          <w:u w:val="single"/>
        </w:rPr>
        <w:t>Cierre Financiero:</w:t>
      </w:r>
    </w:p>
    <w:p w:rsidR="00A47E67" w:rsidRPr="00D4498D" w:rsidRDefault="00533171" w:rsidP="00D4498D">
      <w:pPr>
        <w:tabs>
          <w:tab w:val="clear" w:pos="567"/>
          <w:tab w:val="clear" w:pos="1134"/>
          <w:tab w:val="clear" w:pos="1701"/>
          <w:tab w:val="clear" w:pos="2268"/>
          <w:tab w:val="clear" w:pos="2835"/>
        </w:tabs>
        <w:spacing w:before="60" w:line="257" w:lineRule="auto"/>
        <w:ind w:left="426"/>
        <w:jc w:val="both"/>
        <w:rPr>
          <w:rFonts w:ascii="Arial" w:hAnsi="Arial" w:cs="Arial"/>
        </w:rPr>
      </w:pPr>
      <w:r w:rsidRPr="00D4498D">
        <w:rPr>
          <w:rFonts w:ascii="Arial" w:hAnsi="Arial" w:cs="Arial"/>
        </w:rPr>
        <w:t>Es la fecha en la que la Sociedad Concesionaria, a satisfacción del Concedente, demuestra la disponibilidad del paquete de financiamiento completo que cubre las necesidades para la construcción y equipamiento del proyecto.</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COES:</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el Comité de Operación Económica del Sistema Eléctrico Interconectado Nacional.</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Concedente:</w:t>
      </w:r>
    </w:p>
    <w:p w:rsidR="00937999"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la República del Perú, representada por el Ministerio de Energía y Minas.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Concesión:</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el Acto Administrativo mediante el cual el Estado Peruano otorga a la Sociedad Concesionaria el derecho de diseñar, construir, financiar, operar y mantener la Línea Eléctrica, y de la explotación de los Bienes de la Concesión, conforme a los términos del Contrato y las Leyes Aplicables.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Contrato:</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 xml:space="preserve">Es el Contrato de Concesión SGT resultante del Concurso, que establece los compromisos relativos a la construcción, propiedad, operación, régimen tarifario y </w:t>
      </w:r>
      <w:r w:rsidR="00DF3AB8" w:rsidRPr="00D4498D">
        <w:rPr>
          <w:rFonts w:ascii="Arial" w:hAnsi="Arial"/>
        </w:rPr>
        <w:t xml:space="preserve">transferencia </w:t>
      </w:r>
      <w:r w:rsidRPr="00D4498D">
        <w:rPr>
          <w:rFonts w:ascii="Arial" w:hAnsi="Arial"/>
        </w:rPr>
        <w:t xml:space="preserve">al Estado de la Línea Eléctrica (Anexo </w:t>
      </w:r>
      <w:r w:rsidR="00137F2F" w:rsidRPr="00D4498D">
        <w:rPr>
          <w:rFonts w:ascii="Arial" w:hAnsi="Arial"/>
        </w:rPr>
        <w:t>7</w:t>
      </w:r>
      <w:r w:rsidRPr="00D4498D">
        <w:rPr>
          <w:rFonts w:ascii="Arial" w:hAnsi="Arial"/>
        </w:rPr>
        <w:t xml:space="preserve"> de las Bases).</w:t>
      </w:r>
    </w:p>
    <w:p w:rsidR="00AD1E09" w:rsidRPr="00D4498D" w:rsidRDefault="00281A3F"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D4498D">
        <w:rPr>
          <w:rFonts w:ascii="Arial" w:hAnsi="Arial"/>
          <w:u w:val="single"/>
        </w:rPr>
        <w:t>Contrato de Seguridades y Garantías: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Contrato a que se refiere el artículo 4° de la Ley 26885 y el artículo 2º del D.L. 25570, modificado por el artículo 6º de la Ley Nº 26438, por el cual se otorga la garantía del Estado en respaldo de las declaraciones, obligaciones</w:t>
      </w:r>
      <w:r w:rsidR="00DF3AB8" w:rsidRPr="00D4498D">
        <w:rPr>
          <w:rFonts w:ascii="Arial" w:hAnsi="Arial"/>
        </w:rPr>
        <w:t xml:space="preserve"> y</w:t>
      </w:r>
      <w:r w:rsidRPr="00D4498D">
        <w:rPr>
          <w:rFonts w:ascii="Arial" w:hAnsi="Arial"/>
        </w:rPr>
        <w:t xml:space="preserve"> seguridades del Concedente estipuladas en el Contrato de Concesión.</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Costo de Servicio Total:</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 xml:space="preserve">Es </w:t>
      </w:r>
      <w:r w:rsidR="00576C3D" w:rsidRPr="00D4498D">
        <w:rPr>
          <w:rFonts w:ascii="Arial" w:hAnsi="Arial"/>
        </w:rPr>
        <w:t>la suma d</w:t>
      </w:r>
      <w:r w:rsidRPr="00D4498D">
        <w:rPr>
          <w:rFonts w:ascii="Arial" w:hAnsi="Arial"/>
        </w:rPr>
        <w:t xml:space="preserve">el costo </w:t>
      </w:r>
      <w:r w:rsidR="00576C3D" w:rsidRPr="00D4498D">
        <w:rPr>
          <w:rFonts w:ascii="Arial" w:hAnsi="Arial"/>
        </w:rPr>
        <w:t xml:space="preserve">anual </w:t>
      </w:r>
      <w:r w:rsidRPr="00D4498D">
        <w:rPr>
          <w:rFonts w:ascii="Arial" w:hAnsi="Arial"/>
        </w:rPr>
        <w:t xml:space="preserve">de </w:t>
      </w:r>
      <w:r w:rsidR="00576C3D" w:rsidRPr="00D4498D">
        <w:rPr>
          <w:rFonts w:ascii="Arial" w:hAnsi="Arial"/>
        </w:rPr>
        <w:t>operación y mantenimiento más la anualidad de</w:t>
      </w:r>
      <w:r w:rsidRPr="00D4498D">
        <w:rPr>
          <w:rFonts w:ascii="Arial" w:hAnsi="Arial"/>
        </w:rPr>
        <w:t>l</w:t>
      </w:r>
      <w:r w:rsidR="00576C3D" w:rsidRPr="00D4498D">
        <w:rPr>
          <w:rFonts w:ascii="Arial" w:hAnsi="Arial"/>
        </w:rPr>
        <w:t xml:space="preserve"> costo de</w:t>
      </w:r>
      <w:r w:rsidRPr="00D4498D">
        <w:rPr>
          <w:rFonts w:ascii="Arial" w:hAnsi="Arial"/>
        </w:rPr>
        <w:t xml:space="preserve"> inversión </w:t>
      </w:r>
      <w:r w:rsidR="00576C3D" w:rsidRPr="00D4498D">
        <w:rPr>
          <w:rFonts w:ascii="Arial" w:hAnsi="Arial"/>
        </w:rPr>
        <w:t>calculada con la tasa del 12% y un periodo</w:t>
      </w:r>
      <w:r w:rsidRPr="00D4498D">
        <w:rPr>
          <w:rFonts w:ascii="Arial" w:hAnsi="Arial"/>
        </w:rPr>
        <w:t xml:space="preserve"> de </w:t>
      </w:r>
      <w:r w:rsidR="00034FE9" w:rsidRPr="00D4498D">
        <w:rPr>
          <w:rFonts w:ascii="Arial" w:hAnsi="Arial"/>
        </w:rPr>
        <w:t>treinta (</w:t>
      </w:r>
      <w:r w:rsidRPr="00D4498D">
        <w:rPr>
          <w:rFonts w:ascii="Arial" w:hAnsi="Arial"/>
        </w:rPr>
        <w:t>30</w:t>
      </w:r>
      <w:r w:rsidR="00034FE9" w:rsidRPr="00D4498D">
        <w:rPr>
          <w:rFonts w:ascii="Arial" w:hAnsi="Arial"/>
        </w:rPr>
        <w:t>)</w:t>
      </w:r>
      <w:r w:rsidRPr="00D4498D">
        <w:rPr>
          <w:rFonts w:ascii="Arial" w:hAnsi="Arial"/>
        </w:rPr>
        <w:t xml:space="preserve"> años</w:t>
      </w:r>
      <w:r w:rsidR="00CC5D7A" w:rsidRPr="00D4498D">
        <w:rPr>
          <w:rFonts w:ascii="Arial" w:hAnsi="Arial"/>
        </w:rPr>
        <w:t>.</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Destrucción Total:</w:t>
      </w:r>
    </w:p>
    <w:p w:rsidR="002B238B" w:rsidRPr="00D4498D" w:rsidRDefault="008C1402" w:rsidP="00281A3F">
      <w:pPr>
        <w:tabs>
          <w:tab w:val="clear" w:pos="567"/>
          <w:tab w:val="left" w:pos="708"/>
        </w:tabs>
        <w:spacing w:before="60" w:line="250" w:lineRule="auto"/>
        <w:ind w:left="426"/>
        <w:jc w:val="both"/>
        <w:rPr>
          <w:rFonts w:ascii="Arial" w:hAnsi="Arial"/>
        </w:rPr>
      </w:pPr>
      <w:r w:rsidRPr="00D4498D">
        <w:rPr>
          <w:rFonts w:ascii="Arial" w:hAnsi="Arial"/>
        </w:rPr>
        <w:t>Aquella situación producida por cualquier causa que provoque daños a la Línea Eléctrica estimados en</w:t>
      </w:r>
      <w:r w:rsidR="002B238B" w:rsidRPr="00D4498D">
        <w:rPr>
          <w:rFonts w:ascii="Arial" w:hAnsi="Arial"/>
        </w:rPr>
        <w:t xml:space="preserve"> </w:t>
      </w:r>
      <w:r w:rsidR="002B238B" w:rsidRPr="00D4498D">
        <w:rPr>
          <w:rFonts w:ascii="Arial" w:hAnsi="Arial" w:cs="Arial"/>
        </w:rPr>
        <w:t>el mayor</w:t>
      </w:r>
      <w:r w:rsidR="002B238B" w:rsidRPr="00D4498D">
        <w:rPr>
          <w:rFonts w:ascii="Arial" w:hAnsi="Arial"/>
        </w:rPr>
        <w:t xml:space="preserve"> de</w:t>
      </w:r>
      <w:r w:rsidR="002B238B" w:rsidRPr="00D4498D">
        <w:rPr>
          <w:rFonts w:ascii="Arial" w:hAnsi="Arial" w:cs="Arial"/>
        </w:rPr>
        <w:t xml:space="preserve">: </w:t>
      </w:r>
    </w:p>
    <w:p w:rsidR="002B238B" w:rsidRPr="00D4498D" w:rsidRDefault="002B238B" w:rsidP="00281A3F">
      <w:pPr>
        <w:tabs>
          <w:tab w:val="clear" w:pos="567"/>
          <w:tab w:val="left" w:pos="708"/>
        </w:tabs>
        <w:spacing w:before="60" w:line="250" w:lineRule="auto"/>
        <w:ind w:left="426"/>
        <w:jc w:val="both"/>
        <w:rPr>
          <w:rFonts w:ascii="Arial" w:hAnsi="Arial" w:cs="Arial"/>
        </w:rPr>
      </w:pPr>
      <w:r w:rsidRPr="00D4498D">
        <w:rPr>
          <w:rFonts w:ascii="Arial" w:hAnsi="Arial" w:cs="Arial"/>
        </w:rPr>
        <w:t>(a)</w:t>
      </w:r>
      <w:r w:rsidR="00AB2FC7" w:rsidRPr="00D4498D">
        <w:rPr>
          <w:rFonts w:ascii="Arial" w:hAnsi="Arial" w:cs="Arial"/>
        </w:rPr>
        <w:t xml:space="preserve"> </w:t>
      </w:r>
      <w:r w:rsidR="00CD2997" w:rsidRPr="00D4498D">
        <w:rPr>
          <w:rFonts w:ascii="Arial" w:hAnsi="Arial" w:cs="Arial"/>
        </w:rPr>
        <w:t xml:space="preserve">treinta por ciento (30%) </w:t>
      </w:r>
      <w:r w:rsidRPr="00D4498D">
        <w:rPr>
          <w:rFonts w:ascii="Arial" w:hAnsi="Arial" w:cs="Arial"/>
        </w:rPr>
        <w:t>de</w:t>
      </w:r>
      <w:r w:rsidR="00CD2997" w:rsidRPr="00D4498D">
        <w:rPr>
          <w:rFonts w:ascii="Arial" w:hAnsi="Arial" w:cs="Arial"/>
        </w:rPr>
        <w:t xml:space="preserve"> su </w:t>
      </w:r>
      <w:r w:rsidR="0060766B" w:rsidRPr="00D4498D">
        <w:rPr>
          <w:rFonts w:ascii="Arial" w:hAnsi="Arial" w:cs="Arial"/>
        </w:rPr>
        <w:t>v</w:t>
      </w:r>
      <w:r w:rsidR="00CD2997" w:rsidRPr="00D4498D">
        <w:rPr>
          <w:rFonts w:ascii="Arial" w:hAnsi="Arial" w:cs="Arial"/>
        </w:rPr>
        <w:t xml:space="preserve">alor de </w:t>
      </w:r>
      <w:r w:rsidR="0060766B" w:rsidRPr="00D4498D">
        <w:rPr>
          <w:rFonts w:ascii="Arial" w:hAnsi="Arial" w:cs="Arial"/>
        </w:rPr>
        <w:t>r</w:t>
      </w:r>
      <w:r w:rsidR="00CD2997" w:rsidRPr="00D4498D">
        <w:rPr>
          <w:rFonts w:ascii="Arial" w:hAnsi="Arial" w:cs="Arial"/>
        </w:rPr>
        <w:t>eposición</w:t>
      </w:r>
      <w:r w:rsidRPr="00D4498D">
        <w:rPr>
          <w:rFonts w:ascii="Arial" w:hAnsi="Arial" w:cs="Arial"/>
        </w:rPr>
        <w:t xml:space="preserve"> llevado</w:t>
      </w:r>
      <w:r w:rsidR="00CD2997" w:rsidRPr="00D4498D">
        <w:rPr>
          <w:rFonts w:ascii="Arial" w:hAnsi="Arial" w:cs="Arial"/>
        </w:rPr>
        <w:t xml:space="preserve"> a nuev</w:t>
      </w:r>
      <w:r w:rsidR="0060766B" w:rsidRPr="00D4498D">
        <w:rPr>
          <w:rFonts w:ascii="Arial" w:hAnsi="Arial" w:cs="Arial"/>
        </w:rPr>
        <w:t>o</w:t>
      </w:r>
      <w:r w:rsidR="00CD2997" w:rsidRPr="00D4498D">
        <w:rPr>
          <w:rFonts w:ascii="Arial" w:hAnsi="Arial" w:cs="Arial"/>
        </w:rPr>
        <w:t xml:space="preserve">, o </w:t>
      </w:r>
    </w:p>
    <w:p w:rsidR="00CD2997" w:rsidRPr="00D4498D" w:rsidRDefault="00CD2997" w:rsidP="00281A3F">
      <w:pPr>
        <w:tabs>
          <w:tab w:val="clear" w:pos="567"/>
          <w:tab w:val="left" w:pos="708"/>
        </w:tabs>
        <w:spacing w:before="60" w:line="250" w:lineRule="auto"/>
        <w:ind w:left="426"/>
        <w:jc w:val="both"/>
        <w:rPr>
          <w:rFonts w:ascii="Arial" w:hAnsi="Arial" w:cs="Arial"/>
        </w:rPr>
      </w:pPr>
      <w:r w:rsidRPr="00D4498D">
        <w:rPr>
          <w:rFonts w:ascii="Arial" w:hAnsi="Arial" w:cs="Arial"/>
        </w:rPr>
        <w:t xml:space="preserve">(b) la pérdida máxima probable (PMP) a que se refiere el Numeral 7.1.b. </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Días: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 xml:space="preserve">Salvo disposición expresa en sentido contrario, las referencias a “Días” deberán entenderse efectuadas a los días </w:t>
      </w:r>
      <w:r w:rsidR="00A7067C" w:rsidRPr="00D4498D">
        <w:rPr>
          <w:rFonts w:ascii="Arial" w:hAnsi="Arial"/>
        </w:rPr>
        <w:t xml:space="preserve">hábiles, es decir, </w:t>
      </w:r>
      <w:r w:rsidRPr="00D4498D">
        <w:rPr>
          <w:rFonts w:ascii="Arial" w:hAnsi="Arial"/>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Dólar o US$: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moneda o el signo monetario de curso legal en los Estados Unidos de América.</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Empresa Bancaria:</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Para los efectos del Concurso son las listadas en el Anexo 6 de las Bases.</w:t>
      </w:r>
    </w:p>
    <w:p w:rsidR="00AD1E09" w:rsidRPr="00D4498D"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Estado:</w:t>
      </w:r>
    </w:p>
    <w:p w:rsidR="008C1402" w:rsidRPr="00D4498D" w:rsidRDefault="008C1402" w:rsidP="00281A3F">
      <w:pPr>
        <w:tabs>
          <w:tab w:val="clear" w:pos="567"/>
          <w:tab w:val="clear" w:pos="1134"/>
          <w:tab w:val="clear" w:pos="1701"/>
          <w:tab w:val="clear" w:pos="2268"/>
          <w:tab w:val="clear" w:pos="2835"/>
        </w:tabs>
        <w:spacing w:before="60" w:line="250" w:lineRule="auto"/>
        <w:ind w:left="425"/>
        <w:jc w:val="both"/>
        <w:rPr>
          <w:rFonts w:ascii="Arial" w:hAnsi="Arial"/>
        </w:rPr>
      </w:pPr>
      <w:r w:rsidRPr="00D4498D">
        <w:rPr>
          <w:rFonts w:ascii="Arial" w:hAnsi="Arial"/>
        </w:rPr>
        <w:t>Es el Estado de la República del Perú.</w:t>
      </w:r>
    </w:p>
    <w:p w:rsidR="00AD1E09" w:rsidRPr="00D4498D" w:rsidRDefault="00584F24"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rPr>
      </w:pPr>
      <w:r w:rsidRPr="00D4498D">
        <w:rPr>
          <w:rFonts w:ascii="Arial" w:hAnsi="Arial"/>
          <w:u w:val="single"/>
        </w:rPr>
        <w:t>Garantía</w:t>
      </w:r>
      <w:r w:rsidRPr="00D4498D">
        <w:rPr>
          <w:rFonts w:ascii="Arial" w:hAnsi="Arial"/>
        </w:rPr>
        <w:t>:</w:t>
      </w:r>
    </w:p>
    <w:p w:rsidR="00584F24" w:rsidRPr="00D4498D" w:rsidRDefault="00584F24" w:rsidP="00281A3F">
      <w:pPr>
        <w:tabs>
          <w:tab w:val="clear" w:pos="567"/>
          <w:tab w:val="clear" w:pos="1134"/>
          <w:tab w:val="clear" w:pos="1701"/>
          <w:tab w:val="clear" w:pos="2268"/>
          <w:tab w:val="clear" w:pos="2835"/>
        </w:tabs>
        <w:spacing w:before="60" w:line="250" w:lineRule="auto"/>
        <w:ind w:left="425"/>
        <w:jc w:val="both"/>
        <w:rPr>
          <w:rFonts w:ascii="Arial" w:hAnsi="Arial"/>
        </w:rPr>
      </w:pPr>
      <w:r w:rsidRPr="00D4498D">
        <w:rPr>
          <w:rFonts w:ascii="Arial" w:hAnsi="Arial"/>
        </w:rPr>
        <w:t>Es una fianza emitida por una Empresa Bancaria, siguiendo los formatos establecidos en las Bases o en el Contrato. Si la Empresa Bancaria es extranjera, la fianza deberá estar confirmada por una Empresa Bancaria local.</w:t>
      </w:r>
    </w:p>
    <w:p w:rsidR="00AD1E09" w:rsidRPr="00D4498D" w:rsidRDefault="00191743"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Garantía de Fiel Cumplimiento:</w:t>
      </w:r>
    </w:p>
    <w:p w:rsidR="00191743" w:rsidRPr="00D4498D" w:rsidRDefault="00191743"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Garantía que respalda el pago de las penalidades estipuladas en el Contrato. Se emite siguiendo el formato del Anexo Nº 4 del Contrato.</w:t>
      </w:r>
    </w:p>
    <w:p w:rsidR="00AD1E09" w:rsidRPr="00D4498D" w:rsidRDefault="00191743" w:rsidP="004F6B32">
      <w:pPr>
        <w:numPr>
          <w:ilvl w:val="0"/>
          <w:numId w:val="45"/>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Garantía de Operación:</w:t>
      </w:r>
    </w:p>
    <w:p w:rsidR="00191743" w:rsidRPr="00D4498D" w:rsidRDefault="00191743"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Garantía que respalda el cumplimiento de las obligaciones según el Contrato. Se emite siguiendo el formato del Anexo 4-A del Contrato.</w:t>
      </w:r>
    </w:p>
    <w:p w:rsidR="00AD1E09" w:rsidRPr="00D4498D" w:rsidRDefault="00E14EAA"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L</w:t>
      </w:r>
      <w:r w:rsidR="008C1402" w:rsidRPr="00D4498D">
        <w:rPr>
          <w:rFonts w:ascii="Arial" w:hAnsi="Arial"/>
          <w:u w:val="single"/>
        </w:rPr>
        <w:t>ey de Concesiones o LCE:</w:t>
      </w:r>
    </w:p>
    <w:p w:rsidR="008C1402" w:rsidRPr="00D4498D"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D4498D">
        <w:rPr>
          <w:rFonts w:ascii="Arial" w:hAnsi="Arial"/>
        </w:rPr>
        <w:t>Es el Decreto Ley N° 25844, Ley de Concesiones Eléctricas y sus normas complementarias y modificatorias.</w:t>
      </w:r>
    </w:p>
    <w:p w:rsidR="00AD1E09" w:rsidRPr="002773F6" w:rsidRDefault="00281A3F"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2773F6">
        <w:rPr>
          <w:rFonts w:ascii="Arial" w:hAnsi="Arial"/>
          <w:u w:val="single"/>
        </w:rPr>
        <w:t>Leyes Aplicables:</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Todas las normas jurídicas que conforman el Derecho </w:t>
      </w:r>
      <w:r w:rsidR="00393E3A" w:rsidRPr="002773F6">
        <w:rPr>
          <w:rFonts w:ascii="Arial" w:hAnsi="Arial"/>
        </w:rPr>
        <w:t>i</w:t>
      </w:r>
      <w:r w:rsidRPr="002773F6">
        <w:rPr>
          <w:rFonts w:ascii="Arial" w:hAnsi="Arial"/>
        </w:rPr>
        <w:t>nterno del Perú, así como sus normas complementarias, supletorias y modificatorias.</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Línea Eléctrica</w:t>
      </w:r>
      <w:r w:rsidR="00F94A45" w:rsidRPr="002773F6">
        <w:rPr>
          <w:rFonts w:ascii="Arial" w:hAnsi="Arial"/>
          <w:u w:val="single"/>
        </w:rPr>
        <w:t xml:space="preserve"> o LT</w:t>
      </w:r>
      <w:r w:rsidRPr="002773F6">
        <w:rPr>
          <w:rFonts w:ascii="Arial" w:hAnsi="Arial"/>
          <w:u w:val="single"/>
        </w:rPr>
        <w:t>:</w:t>
      </w:r>
    </w:p>
    <w:p w:rsidR="008C1402" w:rsidRPr="002773F6" w:rsidRDefault="00264EA0"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Es la LT </w:t>
      </w:r>
      <w:r w:rsidR="000B123D" w:rsidRPr="002773F6">
        <w:rPr>
          <w:rFonts w:ascii="Arial" w:hAnsi="Arial"/>
        </w:rPr>
        <w:t xml:space="preserve">220 kV </w:t>
      </w:r>
      <w:r w:rsidR="009A4BA7">
        <w:rPr>
          <w:rFonts w:ascii="Arial" w:hAnsi="Arial"/>
        </w:rPr>
        <w:t>Machupicchu-Quencoro-Onocora-Tintaya</w:t>
      </w:r>
      <w:r w:rsidRPr="002773F6">
        <w:rPr>
          <w:rFonts w:ascii="Arial" w:hAnsi="Arial"/>
        </w:rPr>
        <w:t>, cuya i</w:t>
      </w:r>
      <w:r w:rsidR="008C1402" w:rsidRPr="002773F6">
        <w:rPr>
          <w:rFonts w:ascii="Arial" w:hAnsi="Arial"/>
        </w:rPr>
        <w:t xml:space="preserve">nfraestructura eléctrica </w:t>
      </w:r>
      <w:r w:rsidRPr="002773F6">
        <w:rPr>
          <w:rFonts w:ascii="Arial" w:hAnsi="Arial"/>
        </w:rPr>
        <w:t xml:space="preserve">está </w:t>
      </w:r>
      <w:r w:rsidR="008C1402" w:rsidRPr="002773F6">
        <w:rPr>
          <w:rFonts w:ascii="Arial" w:hAnsi="Arial"/>
        </w:rPr>
        <w:t xml:space="preserve">descrita en </w:t>
      </w:r>
      <w:r w:rsidR="00F94A45" w:rsidRPr="002773F6">
        <w:rPr>
          <w:rFonts w:ascii="Arial" w:hAnsi="Arial"/>
        </w:rPr>
        <w:t>el</w:t>
      </w:r>
      <w:r w:rsidR="008C1402" w:rsidRPr="002773F6">
        <w:rPr>
          <w:rFonts w:ascii="Arial" w:hAnsi="Arial"/>
        </w:rPr>
        <w:t xml:space="preserve"> </w:t>
      </w:r>
      <w:r w:rsidR="00A7067C" w:rsidRPr="002773F6">
        <w:rPr>
          <w:rFonts w:ascii="Arial" w:hAnsi="Arial"/>
        </w:rPr>
        <w:t>A</w:t>
      </w:r>
      <w:r w:rsidR="008C1402" w:rsidRPr="002773F6">
        <w:rPr>
          <w:rFonts w:ascii="Arial" w:hAnsi="Arial"/>
        </w:rPr>
        <w:t xml:space="preserve">nexo </w:t>
      </w:r>
      <w:r w:rsidR="00A7067C" w:rsidRPr="002773F6">
        <w:rPr>
          <w:rFonts w:ascii="Arial" w:hAnsi="Arial"/>
        </w:rPr>
        <w:t>N</w:t>
      </w:r>
      <w:r w:rsidR="00917BA6" w:rsidRPr="002773F6">
        <w:rPr>
          <w:rFonts w:ascii="Arial" w:hAnsi="Arial"/>
        </w:rPr>
        <w:t>°</w:t>
      </w:r>
      <w:r w:rsidR="00A7067C" w:rsidRPr="002773F6">
        <w:rPr>
          <w:rFonts w:ascii="Arial" w:hAnsi="Arial"/>
        </w:rPr>
        <w:t xml:space="preserve"> </w:t>
      </w:r>
      <w:r w:rsidR="008C1402" w:rsidRPr="002773F6">
        <w:rPr>
          <w:rFonts w:ascii="Arial" w:hAnsi="Arial"/>
        </w:rPr>
        <w:t>1.</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Oferta:</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la oferta presentada por el Postor a través del Formulario N° 4 de las Bases.</w:t>
      </w:r>
    </w:p>
    <w:p w:rsidR="00AD1E09" w:rsidRPr="002773F6" w:rsidRDefault="0082002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Operador Técnico:</w:t>
      </w:r>
    </w:p>
    <w:p w:rsidR="00820022" w:rsidRPr="002773F6" w:rsidRDefault="0082002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el Operador Calificado en el Concurso, o quien lo suceda conforme al Contrato. Es titular de la Participación Mínima.</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OSINERGMIN:</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el Organismo Supervisor de la Inversión en Energía y Minería, o la persona de derecho público o privado que lo suceda o que sea designada por éste para realizar la inspección y evaluación de las actividades de la Sociedad Concesionaria.</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Parte:</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según sea el caso, el Concedente o la Sociedad Concesionaria.</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Partes:</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Son, conjuntamente, el Concedente y la Sociedad Concesionaria.</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Participación Mínima:</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Es el </w:t>
      </w:r>
      <w:r w:rsidR="001E3E2F" w:rsidRPr="002773F6">
        <w:rPr>
          <w:rFonts w:ascii="Arial" w:hAnsi="Arial"/>
        </w:rPr>
        <w:t>veinticinco por ciento (</w:t>
      </w:r>
      <w:r w:rsidRPr="002773F6">
        <w:rPr>
          <w:rFonts w:ascii="Arial" w:hAnsi="Arial"/>
        </w:rPr>
        <w:t>25%</w:t>
      </w:r>
      <w:r w:rsidR="001E3E2F" w:rsidRPr="002773F6">
        <w:rPr>
          <w:rFonts w:ascii="Arial" w:hAnsi="Arial"/>
        </w:rPr>
        <w:t>)</w:t>
      </w:r>
      <w:r w:rsidRPr="002773F6">
        <w:rPr>
          <w:rFonts w:ascii="Arial" w:hAnsi="Arial"/>
        </w:rPr>
        <w:t xml:space="preserve"> del capital social suscrito y pagado de la Sociedad Concesionaria que corresponde al Operador Calificado. El Operador Calificado no puede ceder a terceros los derechos políticos y patrimoniales derivados de su </w:t>
      </w:r>
      <w:r w:rsidR="00D568F0" w:rsidRPr="002773F6">
        <w:rPr>
          <w:rFonts w:ascii="Arial" w:hAnsi="Arial" w:cs="Arial"/>
        </w:rPr>
        <w:t>P</w:t>
      </w:r>
      <w:r w:rsidRPr="002773F6">
        <w:rPr>
          <w:rFonts w:ascii="Arial" w:hAnsi="Arial" w:cs="Arial"/>
        </w:rPr>
        <w:t>articipación</w:t>
      </w:r>
      <w:r w:rsidR="00D568F0" w:rsidRPr="002773F6">
        <w:rPr>
          <w:rFonts w:ascii="Arial" w:hAnsi="Arial" w:cs="Arial"/>
        </w:rPr>
        <w:t xml:space="preserve"> Mínima</w:t>
      </w:r>
      <w:r w:rsidRPr="002773F6">
        <w:rPr>
          <w:rFonts w:ascii="Arial" w:hAnsi="Arial"/>
        </w:rPr>
        <w:t xml:space="preserve"> ni limitar su ejercicio. El referido porcentaje debe mantenerse en el caso de aumentos de capital.</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Persona:</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cualquier persona jurídica, nacional o extranjera, que puede realizar actos jurídicos y asumir obligaciones en el Perú.</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Puesta en Operación Comercial o “POC”:</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la fecha a partir de la cual la Sociedad Concesionaria comienza a prestar el Servicio y está autorizada a cobrar la Base Tarifaria.</w:t>
      </w:r>
      <w:r w:rsidR="00393E3A" w:rsidRPr="002773F6">
        <w:rPr>
          <w:rFonts w:ascii="Arial" w:hAnsi="Arial"/>
        </w:rPr>
        <w:t xml:space="preserve"> Dicha fecha será la consignada en el Acta a que se refiere la Cláusula 5.4</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Reglamento: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Reglamento de Transmisión aprobado por Decreto Supremo Nº 027-2007-EM</w:t>
      </w:r>
      <w:r w:rsidR="00A7067C" w:rsidRPr="002773F6">
        <w:rPr>
          <w:rFonts w:ascii="Arial" w:hAnsi="Arial"/>
        </w:rPr>
        <w:t>,</w:t>
      </w:r>
      <w:r w:rsidRPr="002773F6">
        <w:rPr>
          <w:rFonts w:ascii="Arial" w:hAnsi="Arial"/>
        </w:rPr>
        <w:t xml:space="preserve"> así como sus normas complementarias y modificatorias.</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SEIN:</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Sistema Eléctrico Interconectado Nacional.</w:t>
      </w:r>
    </w:p>
    <w:p w:rsidR="00AD1E09" w:rsidRPr="002773F6" w:rsidRDefault="003A68C8"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2773F6">
        <w:rPr>
          <w:rFonts w:ascii="Arial" w:hAnsi="Arial"/>
          <w:u w:val="single"/>
        </w:rPr>
        <w:t>Servicio: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servicio público de transmisión de energía eléctrica a ser prestado por la Sociedad Concesionaria a través de la Línea Eléctrica bajo los términos del Contrato y las Leyes Aplicables.</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Sociedad Concesionaria:</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la persona jurídica pre-existente o una sociedad constituida al efecto en la que el Operador Calificado es titular de la Participación Mínima. Suscribirá el Contrato con el Concedente.</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TUO: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Norma aprobada por Decreto Supremo N° 059-96-PCM y sus normas complementarias y modificatorias.</w:t>
      </w:r>
    </w:p>
    <w:p w:rsidR="00AD1E09" w:rsidRPr="002773F6" w:rsidRDefault="008C1402" w:rsidP="004F6B32">
      <w:pPr>
        <w:numPr>
          <w:ilvl w:val="0"/>
          <w:numId w:val="45"/>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 xml:space="preserve">Valor Contable: </w:t>
      </w:r>
    </w:p>
    <w:p w:rsidR="008C1402" w:rsidRPr="003A68C8"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 xml:space="preserve">Independientemente del valor establecido para fines tributarios o para cualquier otro fin, para el Contrato “valor contable” es el valor en libros </w:t>
      </w:r>
      <w:r w:rsidR="00624CE9" w:rsidRPr="002773F6">
        <w:rPr>
          <w:rFonts w:ascii="Arial" w:hAnsi="Arial"/>
        </w:rPr>
        <w:t xml:space="preserve">de los Bienes de la Concesión </w:t>
      </w:r>
      <w:r w:rsidRPr="002773F6">
        <w:rPr>
          <w:rFonts w:ascii="Arial" w:hAnsi="Arial"/>
        </w:rPr>
        <w:t xml:space="preserve">expresado en </w:t>
      </w:r>
      <w:r w:rsidR="003E210F" w:rsidRPr="002773F6">
        <w:rPr>
          <w:rFonts w:ascii="Arial" w:hAnsi="Arial" w:cs="Arial"/>
        </w:rPr>
        <w:t>D</w:t>
      </w:r>
      <w:r w:rsidR="00624CE9" w:rsidRPr="002773F6">
        <w:rPr>
          <w:rFonts w:ascii="Arial" w:hAnsi="Arial" w:cs="Arial"/>
        </w:rPr>
        <w:t>ólares</w:t>
      </w:r>
      <w:r w:rsidRPr="003A68C8">
        <w:rPr>
          <w:rFonts w:ascii="Arial" w:hAnsi="Arial"/>
        </w:rPr>
        <w:t xml:space="preserve"> (de acuerdo a Estados Financieros elaborados conforme a las normas y principios generalmente aceptados en Perú), neto de depreciaciones y amortizaciones acumuladas al momento de realizar el cálculo. </w:t>
      </w:r>
      <w:r w:rsidR="00624CE9" w:rsidRPr="003A68C8">
        <w:rPr>
          <w:rFonts w:ascii="Arial" w:hAnsi="Arial"/>
        </w:rPr>
        <w:t>Para estos efectos, la depreciación se calculará bajo el método de línea recta, para un período de treinta (30) años.</w:t>
      </w:r>
      <w:r w:rsidR="00042CDA" w:rsidRPr="003A68C8">
        <w:rPr>
          <w:rFonts w:ascii="Arial" w:hAnsi="Arial"/>
        </w:rPr>
        <w:t xml:space="preserve"> </w:t>
      </w:r>
      <w:r w:rsidRPr="003A68C8">
        <w:rPr>
          <w:rFonts w:ascii="Arial" w:hAnsi="Arial"/>
        </w:rPr>
        <w:t xml:space="preserve">Si la depreciación para efectos tributarios es mayor que la </w:t>
      </w:r>
      <w:r w:rsidR="00624CE9" w:rsidRPr="003A68C8">
        <w:rPr>
          <w:rFonts w:ascii="Arial" w:hAnsi="Arial"/>
        </w:rPr>
        <w:t>definida en este párrafo, se descontará del valor en libros resultante la diferencia entre (1) el impuesto a la renta que se hubiera pagado bajo el método de depreciación de línea recta descrito y (2) el impuesto a la renta resultante del método de depreciación utilizado por la Sociedad Concesionaria</w:t>
      </w:r>
      <w:r w:rsidRPr="003A68C8">
        <w:rPr>
          <w:rFonts w:ascii="Arial" w:hAnsi="Arial"/>
        </w:rPr>
        <w:t xml:space="preserve">. El valor contable no comprenderá </w:t>
      </w:r>
      <w:r w:rsidR="00624CE9" w:rsidRPr="003A68C8">
        <w:rPr>
          <w:rFonts w:ascii="Arial" w:hAnsi="Arial"/>
        </w:rPr>
        <w:t>revaluaciones</w:t>
      </w:r>
      <w:r w:rsidRPr="003A68C8">
        <w:rPr>
          <w:rFonts w:ascii="Arial" w:hAnsi="Arial"/>
        </w:rPr>
        <w:t xml:space="preserve"> de naturaleza alguna, para efectos de lo dispuesto en el Contrato.</w:t>
      </w:r>
    </w:p>
    <w:p w:rsidR="008C1402" w:rsidRPr="00F840F9" w:rsidRDefault="008C1402" w:rsidP="00D4498D">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b/>
          <w:sz w:val="26"/>
          <w:szCs w:val="26"/>
          <w:lang w:val="es-ES"/>
        </w:rPr>
        <w:br w:type="page"/>
      </w:r>
      <w:r w:rsidRPr="00F840F9">
        <w:rPr>
          <w:rFonts w:ascii="Arial" w:hAnsi="Arial"/>
          <w:b/>
          <w:sz w:val="26"/>
          <w:szCs w:val="26"/>
          <w:u w:val="single"/>
          <w:lang w:val="es-ES"/>
        </w:rPr>
        <w:t>Anexo Nº 4</w:t>
      </w:r>
    </w:p>
    <w:p w:rsidR="00785758" w:rsidRPr="009518B5" w:rsidRDefault="00785758" w:rsidP="00D4498D">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Fiel Cumplimiento</w:t>
      </w:r>
    </w:p>
    <w:p w:rsidR="00785758" w:rsidRPr="004E5745" w:rsidRDefault="00785758" w:rsidP="00D4498D">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b/>
        </w:rPr>
      </w:pPr>
      <w:r w:rsidRPr="004E5745">
        <w:rPr>
          <w:rFonts w:ascii="Arial" w:hAnsi="Arial"/>
          <w:b/>
        </w:rPr>
        <w:t>MINISTERIO DE ENERGÍA Y MINAS</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 xml:space="preserve">Av. de las Artes </w:t>
      </w:r>
      <w:r w:rsidR="007D570B" w:rsidRPr="004E5745">
        <w:rPr>
          <w:rFonts w:ascii="Arial" w:hAnsi="Arial"/>
        </w:rPr>
        <w:t xml:space="preserve">Sur </w:t>
      </w:r>
      <w:r w:rsidRPr="004E5745">
        <w:rPr>
          <w:rFonts w:ascii="Arial" w:hAnsi="Arial"/>
        </w:rPr>
        <w:t>Nº 260, San Borja</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Perú.-</w:t>
      </w:r>
    </w:p>
    <w:p w:rsidR="00785758" w:rsidRPr="004E5745" w:rsidRDefault="00785758" w:rsidP="00D4498D">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sidR="00951306">
        <w:rPr>
          <w:rFonts w:ascii="Arial" w:hAnsi="Arial"/>
        </w:rPr>
        <w:tab/>
      </w:r>
      <w:r w:rsidRPr="004E5745">
        <w:rPr>
          <w:rFonts w:ascii="Arial" w:hAnsi="Arial"/>
        </w:rPr>
        <w:t xml:space="preserve">Contrato de Concesión </w:t>
      </w:r>
      <w:r w:rsidR="0029503C" w:rsidRPr="004E5745">
        <w:rPr>
          <w:rFonts w:ascii="Arial" w:hAnsi="Arial"/>
        </w:rPr>
        <w:t xml:space="preserve">SGT </w:t>
      </w:r>
      <w:r w:rsidR="00191743">
        <w:rPr>
          <w:rFonts w:ascii="Arial" w:hAnsi="Arial"/>
        </w:rPr>
        <w:t>“</w:t>
      </w:r>
      <w:r w:rsidRPr="004E5745">
        <w:rPr>
          <w:rFonts w:ascii="Arial" w:hAnsi="Arial"/>
        </w:rPr>
        <w:t xml:space="preserve">LT </w:t>
      </w:r>
      <w:r w:rsidR="000B123D">
        <w:rPr>
          <w:rFonts w:ascii="Arial" w:hAnsi="Arial"/>
        </w:rPr>
        <w:t xml:space="preserve">220 kV </w:t>
      </w:r>
      <w:r w:rsidR="009A4BA7">
        <w:rPr>
          <w:rFonts w:ascii="Arial" w:hAnsi="Arial"/>
        </w:rPr>
        <w:t xml:space="preserve">Machupicchu-Quencoro-Onocora-Tintaya </w:t>
      </w:r>
      <w:r w:rsidR="000B123D">
        <w:rPr>
          <w:rFonts w:ascii="Arial" w:hAnsi="Arial"/>
        </w:rPr>
        <w:t>y Subestaciones Asociadas</w:t>
      </w:r>
      <w:r w:rsidR="00191743">
        <w:rPr>
          <w:rFonts w:ascii="Arial" w:hAnsi="Arial"/>
        </w:rPr>
        <w:t>”</w:t>
      </w:r>
      <w:r w:rsidR="00F17D05">
        <w:rPr>
          <w:rFonts w:ascii="Arial" w:hAnsi="Arial"/>
        </w:rPr>
        <w:t>.</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Por la </w:t>
      </w:r>
      <w:r w:rsidRPr="00C10945">
        <w:rPr>
          <w:rFonts w:ascii="Arial" w:hAnsi="Arial"/>
        </w:rPr>
        <w:t>presente</w:t>
      </w:r>
      <w:r w:rsidR="00C95C28" w:rsidRPr="00C10945">
        <w:rPr>
          <w:rFonts w:ascii="Arial" w:hAnsi="Arial"/>
          <w:color w:val="000000"/>
        </w:rPr>
        <w:t>,</w:t>
      </w:r>
      <w:r w:rsidRPr="00C10945">
        <w:rPr>
          <w:rFonts w:ascii="Arial" w:hAnsi="Arial"/>
        </w:rPr>
        <w:t xml:space="preserve"> y a solicitud de nuestros clientes, señores __________, constituimos esta fianza solidaria, irrevocable, incondicional, sin beneficio de excusión y de realización automática, por la suma de </w:t>
      </w:r>
      <w:r w:rsidR="0045183C" w:rsidRPr="00C10945">
        <w:rPr>
          <w:rFonts w:ascii="Arial" w:hAnsi="Arial"/>
        </w:rPr>
        <w:t>nueve</w:t>
      </w:r>
      <w:r w:rsidR="00D12A85" w:rsidRPr="00C10945">
        <w:rPr>
          <w:rFonts w:ascii="Arial" w:hAnsi="Arial"/>
        </w:rPr>
        <w:t xml:space="preserve"> </w:t>
      </w:r>
      <w:r w:rsidR="00974D4C" w:rsidRPr="00C10945">
        <w:rPr>
          <w:rFonts w:ascii="Arial" w:hAnsi="Arial"/>
        </w:rPr>
        <w:t>m</w:t>
      </w:r>
      <w:r w:rsidRPr="00C10945">
        <w:rPr>
          <w:rFonts w:ascii="Arial" w:hAnsi="Arial"/>
        </w:rPr>
        <w:t xml:space="preserve">illones </w:t>
      </w:r>
      <w:r w:rsidR="00DB5BC6" w:rsidRPr="00C10945">
        <w:rPr>
          <w:rFonts w:ascii="Arial" w:hAnsi="Arial"/>
        </w:rPr>
        <w:t>de</w:t>
      </w:r>
      <w:r w:rsidRPr="00C10945">
        <w:rPr>
          <w:rFonts w:ascii="Arial" w:hAnsi="Arial"/>
        </w:rPr>
        <w:t xml:space="preserve"> Dólares (US$ </w:t>
      </w:r>
      <w:r w:rsidR="0045183C" w:rsidRPr="00C10945">
        <w:rPr>
          <w:rFonts w:ascii="Arial" w:hAnsi="Arial"/>
        </w:rPr>
        <w:t>9</w:t>
      </w:r>
      <w:r w:rsidR="004E053D" w:rsidRPr="00C10945">
        <w:rPr>
          <w:rFonts w:ascii="Arial" w:hAnsi="Arial"/>
        </w:rPr>
        <w:t>’</w:t>
      </w:r>
      <w:r w:rsidR="00DB5BC6" w:rsidRPr="00C10945">
        <w:rPr>
          <w:rFonts w:ascii="Arial" w:hAnsi="Arial"/>
        </w:rPr>
        <w:t>0</w:t>
      </w:r>
      <w:r w:rsidR="002A74C3" w:rsidRPr="00C10945">
        <w:rPr>
          <w:rFonts w:ascii="Arial" w:hAnsi="Arial"/>
        </w:rPr>
        <w:t>00</w:t>
      </w:r>
      <w:r w:rsidR="004E053D" w:rsidRPr="00C10945">
        <w:rPr>
          <w:rFonts w:ascii="Arial" w:hAnsi="Arial"/>
        </w:rPr>
        <w:t>,</w:t>
      </w:r>
      <w:r w:rsidRPr="00C10945">
        <w:rPr>
          <w:rFonts w:ascii="Arial" w:hAnsi="Arial"/>
        </w:rPr>
        <w:t xml:space="preserve">000.00) a favor de ustedes, para garantizar que ____ (la Sociedad Concesionaria)____, cumpla con </w:t>
      </w:r>
      <w:r w:rsidR="000F516D" w:rsidRPr="00C10945">
        <w:rPr>
          <w:rFonts w:ascii="Arial" w:hAnsi="Arial"/>
        </w:rPr>
        <w:t xml:space="preserve">el oportuno y correcto cumplimiento de </w:t>
      </w:r>
      <w:r w:rsidR="007A079D" w:rsidRPr="00C10945">
        <w:rPr>
          <w:rFonts w:ascii="Arial" w:hAnsi="Arial"/>
        </w:rPr>
        <w:t xml:space="preserve">todas y cada una de las obligaciones </w:t>
      </w:r>
      <w:r w:rsidR="000F516D" w:rsidRPr="00C10945">
        <w:rPr>
          <w:rFonts w:ascii="Arial" w:hAnsi="Arial"/>
        </w:rPr>
        <w:t xml:space="preserve">a cargo de </w:t>
      </w:r>
      <w:r w:rsidR="007A079D" w:rsidRPr="00C10945">
        <w:rPr>
          <w:rFonts w:ascii="Arial" w:hAnsi="Arial"/>
        </w:rPr>
        <w:t>ésta</w:t>
      </w:r>
      <w:r w:rsidR="000F516D" w:rsidRPr="00C10945">
        <w:rPr>
          <w:rFonts w:ascii="Arial" w:hAnsi="Arial"/>
        </w:rPr>
        <w:t>, según el Contrato de la referencia, así como que efectúe el</w:t>
      </w:r>
      <w:r w:rsidR="007A079D" w:rsidRPr="00C10945">
        <w:rPr>
          <w:rFonts w:ascii="Arial" w:hAnsi="Arial"/>
        </w:rPr>
        <w:t xml:space="preserve"> </w:t>
      </w:r>
      <w:r w:rsidRPr="00C10945">
        <w:rPr>
          <w:rFonts w:ascii="Arial" w:hAnsi="Arial"/>
        </w:rPr>
        <w:t>pag</w:t>
      </w:r>
      <w:r w:rsidR="000F516D" w:rsidRPr="00C10945">
        <w:rPr>
          <w:rFonts w:ascii="Arial" w:hAnsi="Arial"/>
        </w:rPr>
        <w:t>o</w:t>
      </w:r>
      <w:r w:rsidRPr="00C10945">
        <w:rPr>
          <w:rFonts w:ascii="Arial" w:hAnsi="Arial"/>
        </w:rPr>
        <w:t xml:space="preserve"> </w:t>
      </w:r>
      <w:r w:rsidR="000F516D" w:rsidRPr="00C10945">
        <w:rPr>
          <w:rFonts w:ascii="Arial" w:hAnsi="Arial"/>
        </w:rPr>
        <w:t xml:space="preserve">de </w:t>
      </w:r>
      <w:r w:rsidRPr="00C10945">
        <w:rPr>
          <w:rFonts w:ascii="Arial" w:hAnsi="Arial"/>
        </w:rPr>
        <w:t>las sanciones que</w:t>
      </w:r>
      <w:r w:rsidRPr="004E5745">
        <w:rPr>
          <w:rFonts w:ascii="Arial" w:hAnsi="Arial"/>
        </w:rPr>
        <w:t xml:space="preserve"> estipula el </w:t>
      </w:r>
      <w:r w:rsidR="000F516D" w:rsidRPr="004E5745">
        <w:rPr>
          <w:rFonts w:ascii="Arial" w:hAnsi="Arial"/>
        </w:rPr>
        <w:t xml:space="preserve">mismo </w:t>
      </w:r>
      <w:r w:rsidR="006F113B" w:rsidRPr="004E5745">
        <w:rPr>
          <w:rFonts w:ascii="Arial" w:hAnsi="Arial"/>
        </w:rPr>
        <w:t>C</w:t>
      </w:r>
      <w:r w:rsidRPr="004E5745">
        <w:rPr>
          <w:rFonts w:ascii="Arial" w:hAnsi="Arial"/>
        </w:rPr>
        <w:t>ontrato.</w:t>
      </w:r>
      <w:r w:rsidR="00112E74" w:rsidRPr="004E5745">
        <w:rPr>
          <w:rFonts w:ascii="Arial" w:hAnsi="Arial"/>
        </w:rPr>
        <w:t xml:space="preserve"> </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B46221" w:rsidRPr="00D74F99">
        <w:rPr>
          <w:rFonts w:ascii="Arial" w:hAnsi="Arial" w:cs="Arial"/>
        </w:rPr>
        <w:t>la cual deberá estar firmada por</w:t>
      </w:r>
      <w:r w:rsidR="00B46221">
        <w:rPr>
          <w:rFonts w:ascii="Arial" w:hAnsi="Arial"/>
        </w:rPr>
        <w:t xml:space="preserve"> </w:t>
      </w:r>
      <w:r w:rsidRPr="004E5745">
        <w:rPr>
          <w:rFonts w:ascii="Arial" w:hAnsi="Arial"/>
        </w:rPr>
        <w:t xml:space="preserve">el Director </w:t>
      </w:r>
      <w:r w:rsidR="006F113B" w:rsidRPr="004E5745">
        <w:rPr>
          <w:rFonts w:ascii="Arial" w:hAnsi="Arial"/>
        </w:rPr>
        <w:t>General de Electricidad</w:t>
      </w:r>
      <w:r w:rsidRPr="004E5745">
        <w:rPr>
          <w:rFonts w:ascii="Arial" w:hAnsi="Arial"/>
        </w:rPr>
        <w:t xml:space="preserve">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Nuestras obligaciones bajo la presente garantía, incluyendo el pago del monto garantizado, no se verán afectadas por cualquier disputa entre ustedes, nuestros clientes, _____ (la Sociedad Concesionaria)___ o cualquier otra persona, relativa al </w:t>
      </w:r>
      <w:r w:rsidR="006F113B" w:rsidRPr="004E5745">
        <w:rPr>
          <w:rFonts w:ascii="Arial" w:hAnsi="Arial"/>
        </w:rPr>
        <w:t>C</w:t>
      </w:r>
      <w:r w:rsidRPr="004E5745">
        <w:rPr>
          <w:rFonts w:ascii="Arial" w:hAnsi="Arial"/>
        </w:rPr>
        <w:t xml:space="preserve">ontrato de la referencia o a cualquier otro asunto o </w:t>
      </w:r>
      <w:r w:rsidR="006F113B" w:rsidRPr="004E5745">
        <w:rPr>
          <w:rFonts w:ascii="Arial" w:hAnsi="Arial"/>
        </w:rPr>
        <w:t>C</w:t>
      </w:r>
      <w:r w:rsidRPr="004E5745">
        <w:rPr>
          <w:rFonts w:ascii="Arial" w:hAnsi="Arial"/>
        </w:rPr>
        <w:t>ontrato.</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006F113B" w:rsidRPr="004E5745">
        <w:rPr>
          <w:rFonts w:ascii="Arial" w:hAnsi="Arial"/>
        </w:rPr>
        <w:t>)</w:t>
      </w:r>
      <w:r w:rsidRPr="004E5745">
        <w:rPr>
          <w:rFonts w:ascii="Arial" w:hAnsi="Arial"/>
        </w:rPr>
        <w:t xml:space="preserve"> meses, contado a partir de </w:t>
      </w:r>
      <w:r w:rsidR="004866F5" w:rsidRPr="004E5745">
        <w:rPr>
          <w:rFonts w:ascii="Arial" w:hAnsi="Arial"/>
        </w:rPr>
        <w:t>_______(</w:t>
      </w:r>
      <w:r w:rsidRPr="004E5745">
        <w:rPr>
          <w:rFonts w:ascii="Arial" w:hAnsi="Arial"/>
        </w:rPr>
        <w:t xml:space="preserve">la </w:t>
      </w:r>
      <w:r w:rsidR="000F6FFA" w:rsidRPr="004E5745">
        <w:rPr>
          <w:rFonts w:ascii="Arial" w:hAnsi="Arial"/>
        </w:rPr>
        <w:t xml:space="preserve">fecha </w:t>
      </w:r>
      <w:r w:rsidRPr="004E5745">
        <w:rPr>
          <w:rFonts w:ascii="Arial" w:hAnsi="Arial"/>
        </w:rPr>
        <w:t>de Cierre</w:t>
      </w:r>
      <w:r w:rsidR="004866F5" w:rsidRPr="004E5745">
        <w:rPr>
          <w:rFonts w:ascii="Arial" w:hAnsi="Arial"/>
        </w:rPr>
        <w:t>)_________</w:t>
      </w:r>
      <w:r w:rsidR="008C0F90">
        <w:rPr>
          <w:rFonts w:ascii="Arial" w:hAnsi="Arial"/>
        </w:rPr>
        <w:t>y su vencimiento es el ………………………………….</w:t>
      </w:r>
      <w:r w:rsidRPr="004E5745">
        <w:rPr>
          <w:rFonts w:ascii="Arial" w:hAnsi="Arial"/>
        </w:rPr>
        <w:t>.</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D4498D">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50834" w:rsidRPr="004E5745" w:rsidRDefault="00750834" w:rsidP="00D4498D">
      <w:pPr>
        <w:tabs>
          <w:tab w:val="clear" w:pos="567"/>
          <w:tab w:val="clear" w:pos="1134"/>
          <w:tab w:val="clear" w:pos="1701"/>
          <w:tab w:val="clear" w:pos="2268"/>
          <w:tab w:val="clear" w:pos="2835"/>
        </w:tabs>
        <w:spacing w:before="120" w:line="257" w:lineRule="auto"/>
        <w:jc w:val="both"/>
        <w:rPr>
          <w:rFonts w:ascii="Arial" w:hAnsi="Arial"/>
          <w:color w:val="000000"/>
        </w:rPr>
      </w:pPr>
    </w:p>
    <w:p w:rsidR="00785758" w:rsidRPr="00F840F9"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F840F9">
        <w:rPr>
          <w:rFonts w:ascii="Arial" w:hAnsi="Arial"/>
          <w:lang w:val="es-ES"/>
        </w:rPr>
        <w:t>Atentamente,</w:t>
      </w:r>
    </w:p>
    <w:p w:rsidR="00785758" w:rsidRPr="00F840F9" w:rsidRDefault="00785758" w:rsidP="00D4498D">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lang w:val="es-ES"/>
        </w:rPr>
        <w:br w:type="page"/>
      </w:r>
      <w:r w:rsidRPr="00F840F9">
        <w:rPr>
          <w:rFonts w:ascii="Arial" w:hAnsi="Arial"/>
          <w:b/>
          <w:sz w:val="26"/>
          <w:szCs w:val="26"/>
          <w:u w:val="single"/>
          <w:lang w:val="es-ES"/>
        </w:rPr>
        <w:t xml:space="preserve">Anexo Nº </w:t>
      </w:r>
      <w:r w:rsidR="008C1402" w:rsidRPr="00F840F9">
        <w:rPr>
          <w:rFonts w:ascii="Arial" w:hAnsi="Arial"/>
          <w:b/>
          <w:sz w:val="26"/>
          <w:szCs w:val="26"/>
          <w:u w:val="single"/>
          <w:lang w:val="es-ES"/>
        </w:rPr>
        <w:t>4</w:t>
      </w:r>
      <w:r w:rsidRPr="00F840F9">
        <w:rPr>
          <w:rFonts w:ascii="Arial" w:hAnsi="Arial"/>
          <w:b/>
          <w:sz w:val="26"/>
          <w:szCs w:val="26"/>
          <w:u w:val="single"/>
          <w:lang w:val="es-ES"/>
        </w:rPr>
        <w:t>-A</w:t>
      </w:r>
    </w:p>
    <w:p w:rsidR="00785758" w:rsidRPr="009518B5" w:rsidRDefault="00785758" w:rsidP="00D4498D">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Operación</w:t>
      </w:r>
    </w:p>
    <w:p w:rsidR="00785758" w:rsidRPr="004E5745" w:rsidRDefault="00785758" w:rsidP="00D4498D">
      <w:pPr>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D4498D">
      <w:pPr>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D4498D">
      <w:pPr>
        <w:spacing w:line="257" w:lineRule="auto"/>
        <w:jc w:val="both"/>
        <w:rPr>
          <w:rFonts w:ascii="Arial" w:hAnsi="Arial"/>
          <w:b/>
        </w:rPr>
      </w:pPr>
      <w:r w:rsidRPr="004E5745">
        <w:rPr>
          <w:rFonts w:ascii="Arial" w:hAnsi="Arial"/>
          <w:b/>
        </w:rPr>
        <w:t>MINISTERIO DE ENERGÍA Y MINAS</w:t>
      </w:r>
    </w:p>
    <w:p w:rsidR="00785758" w:rsidRPr="004E5745" w:rsidRDefault="00785758" w:rsidP="00D4498D">
      <w:pPr>
        <w:spacing w:line="257" w:lineRule="auto"/>
        <w:jc w:val="both"/>
        <w:rPr>
          <w:rFonts w:ascii="Arial" w:hAnsi="Arial"/>
        </w:rPr>
      </w:pPr>
      <w:r w:rsidRPr="004E5745">
        <w:rPr>
          <w:rFonts w:ascii="Arial" w:hAnsi="Arial"/>
        </w:rPr>
        <w:t>Av. de las Artes</w:t>
      </w:r>
      <w:r w:rsidR="00206577" w:rsidRPr="004E5745">
        <w:rPr>
          <w:rFonts w:ascii="Arial" w:hAnsi="Arial"/>
        </w:rPr>
        <w:t xml:space="preserve"> Sur</w:t>
      </w:r>
      <w:r w:rsidRPr="004E5745">
        <w:rPr>
          <w:rFonts w:ascii="Arial" w:hAnsi="Arial"/>
        </w:rPr>
        <w:t xml:space="preserve"> Nº 260, San Borja</w:t>
      </w:r>
    </w:p>
    <w:p w:rsidR="00785758" w:rsidRPr="004E5745" w:rsidRDefault="00785758" w:rsidP="00D4498D">
      <w:pPr>
        <w:spacing w:line="257" w:lineRule="auto"/>
        <w:jc w:val="both"/>
        <w:rPr>
          <w:rFonts w:ascii="Arial" w:hAnsi="Arial"/>
        </w:rPr>
      </w:pPr>
      <w:r w:rsidRPr="004E5745">
        <w:rPr>
          <w:rFonts w:ascii="Arial" w:hAnsi="Arial"/>
        </w:rPr>
        <w:t>Perú.-</w:t>
      </w:r>
    </w:p>
    <w:p w:rsidR="00974D4C" w:rsidRPr="004E5745" w:rsidRDefault="00974D4C" w:rsidP="00D4498D">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Pr>
          <w:rFonts w:ascii="Arial" w:hAnsi="Arial"/>
        </w:rPr>
        <w:tab/>
      </w:r>
      <w:r w:rsidRPr="004E5745">
        <w:rPr>
          <w:rFonts w:ascii="Arial" w:hAnsi="Arial"/>
        </w:rPr>
        <w:t xml:space="preserve">Contrato de Concesión SGT </w:t>
      </w:r>
      <w:r>
        <w:rPr>
          <w:rFonts w:ascii="Arial" w:hAnsi="Arial"/>
        </w:rPr>
        <w:t>“</w:t>
      </w:r>
      <w:r w:rsidRPr="004E5745">
        <w:rPr>
          <w:rFonts w:ascii="Arial" w:hAnsi="Arial"/>
        </w:rPr>
        <w:t xml:space="preserve">LT </w:t>
      </w:r>
      <w:r w:rsidR="00C563BB">
        <w:rPr>
          <w:rFonts w:ascii="Arial" w:hAnsi="Arial"/>
        </w:rPr>
        <w:t xml:space="preserve">220 kV </w:t>
      </w:r>
      <w:r w:rsidR="009A4BA7">
        <w:rPr>
          <w:rFonts w:ascii="Arial" w:hAnsi="Arial"/>
        </w:rPr>
        <w:t>Machupicchu-Quencoro-Onocora-Tintaya</w:t>
      </w:r>
      <w:r>
        <w:rPr>
          <w:rFonts w:ascii="Arial" w:hAnsi="Arial"/>
        </w:rPr>
        <w:t xml:space="preserve"> </w:t>
      </w:r>
      <w:r w:rsidR="00C563BB">
        <w:rPr>
          <w:rFonts w:ascii="Arial" w:hAnsi="Arial"/>
        </w:rPr>
        <w:t>y Subestaciones Asociadas</w:t>
      </w:r>
      <w:r>
        <w:rPr>
          <w:rFonts w:ascii="Arial" w:hAnsi="Arial"/>
        </w:rPr>
        <w:t>”.</w:t>
      </w:r>
    </w:p>
    <w:p w:rsidR="00785758" w:rsidRPr="004E5745" w:rsidRDefault="00785758" w:rsidP="00D4498D">
      <w:pPr>
        <w:spacing w:before="120" w:line="257" w:lineRule="auto"/>
        <w:jc w:val="both"/>
        <w:rPr>
          <w:rFonts w:ascii="Arial" w:hAnsi="Arial"/>
        </w:rPr>
      </w:pPr>
      <w:r w:rsidRPr="004E5745">
        <w:rPr>
          <w:rFonts w:ascii="Arial" w:hAnsi="Arial"/>
        </w:rPr>
        <w:t>Por la presente</w:t>
      </w:r>
      <w:r w:rsidR="00750834"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BF2059">
        <w:rPr>
          <w:rFonts w:ascii="Arial" w:hAnsi="Arial"/>
        </w:rPr>
        <w:t>dos</w:t>
      </w:r>
      <w:r w:rsidR="00BF2059" w:rsidRPr="004E5745">
        <w:rPr>
          <w:rFonts w:ascii="Arial" w:hAnsi="Arial"/>
        </w:rPr>
        <w:t xml:space="preserve"> </w:t>
      </w:r>
      <w:r w:rsidR="00974D4C">
        <w:rPr>
          <w:rFonts w:ascii="Arial" w:hAnsi="Arial"/>
        </w:rPr>
        <w:t>m</w:t>
      </w:r>
      <w:r w:rsidRPr="004E5745">
        <w:rPr>
          <w:rFonts w:ascii="Arial" w:hAnsi="Arial"/>
        </w:rPr>
        <w:t>ill</w:t>
      </w:r>
      <w:r w:rsidR="00F775F1" w:rsidRPr="004E5745">
        <w:rPr>
          <w:rFonts w:ascii="Arial" w:hAnsi="Arial"/>
        </w:rPr>
        <w:t>o</w:t>
      </w:r>
      <w:r w:rsidRPr="004E5745">
        <w:rPr>
          <w:rFonts w:ascii="Arial" w:hAnsi="Arial"/>
        </w:rPr>
        <w:t>n</w:t>
      </w:r>
      <w:r w:rsidR="00F775F1" w:rsidRPr="004E5745">
        <w:rPr>
          <w:rFonts w:ascii="Arial" w:hAnsi="Arial"/>
        </w:rPr>
        <w:t>es</w:t>
      </w:r>
      <w:r w:rsidRPr="004E5745">
        <w:rPr>
          <w:rFonts w:ascii="Arial" w:hAnsi="Arial"/>
        </w:rPr>
        <w:t xml:space="preserve"> de Dólares (US$ </w:t>
      </w:r>
      <w:r w:rsidR="00BF2059">
        <w:rPr>
          <w:rFonts w:ascii="Arial" w:hAnsi="Arial"/>
        </w:rPr>
        <w:t>2</w:t>
      </w:r>
      <w:r w:rsidR="00282C98">
        <w:rPr>
          <w:rFonts w:ascii="Arial" w:hAnsi="Arial"/>
        </w:rPr>
        <w:t>’0</w:t>
      </w:r>
      <w:r w:rsidRPr="004E5745">
        <w:rPr>
          <w:rFonts w:ascii="Arial" w:hAnsi="Arial"/>
        </w:rPr>
        <w:t>00</w:t>
      </w:r>
      <w:r w:rsidR="00891056">
        <w:rPr>
          <w:rFonts w:ascii="Arial" w:hAnsi="Arial"/>
        </w:rPr>
        <w:t>,</w:t>
      </w:r>
      <w:r w:rsidRPr="004E5745">
        <w:rPr>
          <w:rFonts w:ascii="Arial" w:hAnsi="Arial"/>
        </w:rPr>
        <w:t xml:space="preserve">000.00) a favor de ustedes, para garantizar que ____ (la Sociedad Concesionaria)____, cumpla </w:t>
      </w:r>
      <w:r w:rsidR="000F516D" w:rsidRPr="004E5745">
        <w:rPr>
          <w:rFonts w:ascii="Arial" w:hAnsi="Arial"/>
        </w:rPr>
        <w:t xml:space="preserve">con el oportuno y correcto cumplimiento de todas y cada una de </w:t>
      </w:r>
      <w:r w:rsidRPr="004E5745">
        <w:rPr>
          <w:rFonts w:ascii="Arial" w:hAnsi="Arial"/>
        </w:rPr>
        <w:t xml:space="preserve">las obligaciones que a ésta corresponden según el </w:t>
      </w:r>
      <w:r w:rsidR="005D4CF4" w:rsidRPr="004E5745">
        <w:rPr>
          <w:rFonts w:ascii="Arial" w:hAnsi="Arial"/>
        </w:rPr>
        <w:t>C</w:t>
      </w:r>
      <w:r w:rsidRPr="004E5745">
        <w:rPr>
          <w:rFonts w:ascii="Arial" w:hAnsi="Arial"/>
        </w:rPr>
        <w:t>ontrato de la referencia.</w:t>
      </w:r>
    </w:p>
    <w:p w:rsidR="00785758" w:rsidRPr="004E5745" w:rsidRDefault="00785758" w:rsidP="00D4498D">
      <w:pPr>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E8564B" w:rsidRPr="00D74F99">
        <w:rPr>
          <w:rFonts w:ascii="Arial" w:hAnsi="Arial" w:cs="Arial"/>
        </w:rPr>
        <w:t>la cual deberá estar firmada por</w:t>
      </w:r>
      <w:r w:rsidR="00E8564B">
        <w:rPr>
          <w:rFonts w:ascii="Arial" w:hAnsi="Arial"/>
        </w:rPr>
        <w:t xml:space="preserve"> </w:t>
      </w:r>
      <w:r w:rsidRPr="004E5745">
        <w:rPr>
          <w:rFonts w:ascii="Arial" w:hAnsi="Arial"/>
        </w:rPr>
        <w:t xml:space="preserve">el Director General de Electricidad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D4498D">
      <w:pPr>
        <w:spacing w:before="120" w:line="257" w:lineRule="auto"/>
        <w:jc w:val="both"/>
        <w:rPr>
          <w:rFonts w:ascii="Arial" w:hAnsi="Arial"/>
        </w:rPr>
      </w:pPr>
      <w:r w:rsidRPr="004E5745">
        <w:rPr>
          <w:rFonts w:ascii="Arial" w:hAnsi="Arial"/>
        </w:rPr>
        <w:t xml:space="preserve">Nuestras obligaciones bajo la presente garantía, incluyendo el pago del monto garantizado, no se verán afectadas por cualquier disputa entre ustedes, nuestros clientes, _____ (la Sociedad Concesionaria)___ o cualquier otra persona, relativa al </w:t>
      </w:r>
      <w:r w:rsidR="005D4CF4" w:rsidRPr="004E5745">
        <w:rPr>
          <w:rFonts w:ascii="Arial" w:hAnsi="Arial"/>
        </w:rPr>
        <w:t>C</w:t>
      </w:r>
      <w:r w:rsidRPr="004E5745">
        <w:rPr>
          <w:rFonts w:ascii="Arial" w:hAnsi="Arial"/>
        </w:rPr>
        <w:t xml:space="preserve">ontrato de la referencia o a cualquier otro asunto o </w:t>
      </w:r>
      <w:r w:rsidR="005D4CF4" w:rsidRPr="004E5745">
        <w:rPr>
          <w:rFonts w:ascii="Arial" w:hAnsi="Arial"/>
        </w:rPr>
        <w:t>C</w:t>
      </w:r>
      <w:r w:rsidRPr="004E5745">
        <w:rPr>
          <w:rFonts w:ascii="Arial" w:hAnsi="Arial"/>
        </w:rPr>
        <w:t>ontrato.</w:t>
      </w:r>
    </w:p>
    <w:p w:rsidR="00785758" w:rsidRPr="004E5745" w:rsidRDefault="00785758" w:rsidP="00D4498D">
      <w:pPr>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Pr="004E5745">
        <w:rPr>
          <w:rFonts w:ascii="Arial" w:hAnsi="Arial"/>
        </w:rPr>
        <w:t xml:space="preserve"> meses, contado a partir de </w:t>
      </w:r>
      <w:r w:rsidR="00750834" w:rsidRPr="004E5745">
        <w:rPr>
          <w:rFonts w:ascii="Arial" w:hAnsi="Arial"/>
        </w:rPr>
        <w:t xml:space="preserve">la </w:t>
      </w:r>
      <w:r w:rsidR="004866F5" w:rsidRPr="004E5745">
        <w:rPr>
          <w:rFonts w:ascii="Arial" w:hAnsi="Arial"/>
        </w:rPr>
        <w:t xml:space="preserve">______(fecha de la </w:t>
      </w:r>
      <w:r w:rsidR="00750834" w:rsidRPr="004E5745">
        <w:rPr>
          <w:rFonts w:ascii="Arial" w:hAnsi="Arial"/>
        </w:rPr>
        <w:t>Puesta en Operación Comercial de la Línea Eléctrica</w:t>
      </w:r>
      <w:r w:rsidR="004866F5" w:rsidRPr="004E5745">
        <w:rPr>
          <w:rFonts w:ascii="Arial" w:hAnsi="Arial"/>
        </w:rPr>
        <w:t>)_______</w:t>
      </w:r>
      <w:r w:rsidR="008C0F90">
        <w:rPr>
          <w:rFonts w:ascii="Arial" w:hAnsi="Arial"/>
        </w:rPr>
        <w:t>y su vencimiento es el …………….</w:t>
      </w:r>
      <w:r w:rsidRPr="004E5745">
        <w:rPr>
          <w:rFonts w:ascii="Arial" w:hAnsi="Arial"/>
        </w:rPr>
        <w:t>.</w:t>
      </w:r>
    </w:p>
    <w:p w:rsidR="00785758" w:rsidRPr="004E5745" w:rsidRDefault="00785758" w:rsidP="00D4498D">
      <w:pPr>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D4498D">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85758" w:rsidRPr="004E5745" w:rsidRDefault="00785758" w:rsidP="00D4498D">
      <w:pPr>
        <w:spacing w:before="120" w:line="257" w:lineRule="auto"/>
        <w:ind w:left="567" w:hanging="567"/>
        <w:jc w:val="both"/>
        <w:rPr>
          <w:rFonts w:ascii="Arial" w:hAnsi="Arial"/>
        </w:rPr>
      </w:pPr>
      <w:r w:rsidRPr="004E5745">
        <w:rPr>
          <w:rFonts w:ascii="Arial" w:hAnsi="Arial"/>
        </w:rPr>
        <w:t>Atentamente,</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E95C50" w:rsidRDefault="00785758" w:rsidP="00D4498D">
      <w:pPr>
        <w:tabs>
          <w:tab w:val="left" w:pos="0"/>
          <w:tab w:val="left" w:pos="1276"/>
        </w:tabs>
        <w:spacing w:before="240" w:after="120" w:line="257" w:lineRule="auto"/>
        <w:ind w:left="567" w:hanging="567"/>
        <w:jc w:val="center"/>
        <w:outlineLvl w:val="0"/>
        <w:rPr>
          <w:rFonts w:ascii="Arial" w:hAnsi="Arial"/>
          <w:b/>
          <w:sz w:val="26"/>
          <w:u w:val="single"/>
          <w:lang w:val="es-ES"/>
        </w:rPr>
      </w:pPr>
      <w:r w:rsidRPr="004E5745">
        <w:rPr>
          <w:rFonts w:ascii="Arial" w:hAnsi="Arial"/>
        </w:rPr>
        <w:br w:type="page"/>
      </w:r>
      <w:r w:rsidRPr="00E95C50">
        <w:rPr>
          <w:rFonts w:ascii="Arial" w:hAnsi="Arial"/>
          <w:b/>
          <w:sz w:val="26"/>
          <w:u w:val="single"/>
          <w:lang w:val="es-ES"/>
        </w:rPr>
        <w:t xml:space="preserve">Anexo Nº </w:t>
      </w:r>
      <w:r w:rsidR="008C1402" w:rsidRPr="00E95C50">
        <w:rPr>
          <w:rFonts w:ascii="Arial" w:hAnsi="Arial"/>
          <w:b/>
          <w:sz w:val="26"/>
          <w:u w:val="single"/>
          <w:lang w:val="es-ES"/>
        </w:rPr>
        <w:t>5</w:t>
      </w:r>
    </w:p>
    <w:p w:rsidR="006B73A1" w:rsidRPr="00E95C50" w:rsidRDefault="00B40D9B" w:rsidP="00D4498D">
      <w:pPr>
        <w:tabs>
          <w:tab w:val="left" w:pos="0"/>
          <w:tab w:val="left" w:pos="1276"/>
        </w:tabs>
        <w:spacing w:before="120" w:after="480" w:line="257" w:lineRule="auto"/>
        <w:ind w:left="567" w:hanging="567"/>
        <w:jc w:val="center"/>
        <w:outlineLvl w:val="0"/>
        <w:rPr>
          <w:rFonts w:ascii="Arial" w:hAnsi="Arial"/>
          <w:b/>
          <w:sz w:val="26"/>
          <w:lang w:val="es-ES"/>
        </w:rPr>
      </w:pPr>
      <w:r w:rsidRPr="00E95C50">
        <w:rPr>
          <w:rFonts w:ascii="Arial" w:hAnsi="Arial"/>
          <w:b/>
          <w:sz w:val="26"/>
          <w:lang w:val="es-ES"/>
        </w:rPr>
        <w:t>Telecomunicaciones</w:t>
      </w:r>
    </w:p>
    <w:p w:rsidR="006B73A1" w:rsidRPr="00D41238" w:rsidRDefault="006B73A1" w:rsidP="00D4498D">
      <w:pPr>
        <w:pStyle w:val="Prrafodelista1"/>
        <w:tabs>
          <w:tab w:val="clear" w:pos="567"/>
          <w:tab w:val="clear" w:pos="1134"/>
          <w:tab w:val="clear" w:pos="1701"/>
          <w:tab w:val="clear" w:pos="2268"/>
          <w:tab w:val="clear" w:pos="2835"/>
          <w:tab w:val="left" w:pos="426"/>
        </w:tabs>
        <w:spacing w:before="120" w:line="257" w:lineRule="auto"/>
        <w:ind w:left="29"/>
        <w:contextualSpacing w:val="0"/>
        <w:jc w:val="both"/>
        <w:rPr>
          <w:rFonts w:ascii="Arial" w:hAnsi="Arial"/>
        </w:rPr>
      </w:pPr>
      <w:r w:rsidRPr="00D41238">
        <w:rPr>
          <w:rFonts w:ascii="Arial" w:hAnsi="Arial"/>
        </w:rPr>
        <w:t>Conforme al Anexo N° 1 (numeral 3.2, literal l) del Contrato, la L</w:t>
      </w:r>
      <w:r w:rsidRPr="00D41238" w:rsidDel="009E7E29">
        <w:rPr>
          <w:rFonts w:ascii="Arial" w:hAnsi="Arial"/>
        </w:rPr>
        <w:t>í</w:t>
      </w:r>
      <w:r w:rsidRPr="00D41238">
        <w:rPr>
          <w:rFonts w:ascii="Arial" w:hAnsi="Arial"/>
        </w:rPr>
        <w:t>nea Eléctrica deberá contar con un sistema de telecomunicaciones principal (fibra óptica - OPGW), respecto de las cuales se pacta lo siguiente:</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cable de fibra óptica a instalarse deberá cumplir las "Especificaciones del Proyecto" recogidas en el numeral 4.1.5 del Anexo N° 1, entre ellas, contar como mínimo con veinticuatro (24) hilos.</w:t>
      </w:r>
    </w:p>
    <w:p w:rsidR="00A34BA7" w:rsidRPr="00A34BA7"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A34BA7">
        <w:rPr>
          <w:rFonts w:ascii="Arial" w:hAnsi="Arial"/>
        </w:rPr>
        <w:t>El Estado adquiere la titularidad de dieciocho (18) hilos oscuros del cable de fibra óptica instalado por la Sociedad Concesionaria en toda la longitud de la Línea Eléctrica, conforme a lo establecido en el Decreto Supremo No. 034-2010-MTC, lo que le da derecho exclusivo para disponer de dicha fibra sin limitaciones.</w:t>
      </w:r>
      <w:r w:rsidR="00A34BA7" w:rsidRPr="00A34BA7">
        <w:rPr>
          <w:rFonts w:ascii="Arial" w:hAnsi="Arial"/>
        </w:rPr>
        <w:t xml:space="preserve"> </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Sociedad Concesionaria</w:t>
      </w:r>
      <w:r w:rsidR="00A34BA7">
        <w:rPr>
          <w:rFonts w:ascii="Arial" w:hAnsi="Arial"/>
        </w:rPr>
        <w:t xml:space="preserve"> </w:t>
      </w:r>
      <w:r w:rsidRPr="00D41238">
        <w:rPr>
          <w:rFonts w:ascii="Arial" w:hAnsi="Arial"/>
        </w:rPr>
        <w:t>utilizará los hilos de fibra óptica restantes, para sus propias necesidades de comunicación.</w:t>
      </w:r>
    </w:p>
    <w:p w:rsidR="00AD1E09" w:rsidRPr="00D41238" w:rsidRDefault="00A34BA7"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Pr>
          <w:rFonts w:ascii="Arial" w:hAnsi="Arial"/>
        </w:rPr>
        <w:t xml:space="preserve">La transferencia </w:t>
      </w:r>
      <w:r w:rsidR="00E52FCA">
        <w:rPr>
          <w:rFonts w:ascii="Arial" w:hAnsi="Arial"/>
        </w:rPr>
        <w:t xml:space="preserve">de los </w:t>
      </w:r>
      <w:r w:rsidR="00E52FCA" w:rsidRPr="00D41238">
        <w:rPr>
          <w:rFonts w:ascii="Arial" w:hAnsi="Arial"/>
        </w:rPr>
        <w:t>dieciocho (18) hilos de fibra óptica de titularidad del Estado</w:t>
      </w:r>
      <w:r w:rsidR="00E52FCA">
        <w:rPr>
          <w:rFonts w:ascii="Arial" w:hAnsi="Arial"/>
        </w:rPr>
        <w:t xml:space="preserve"> </w:t>
      </w:r>
      <w:r>
        <w:rPr>
          <w:rFonts w:ascii="Arial" w:hAnsi="Arial"/>
        </w:rPr>
        <w:t>se realizará según el procedimiento que determine el Ministerio de Transportes y Comunicaciones</w:t>
      </w:r>
      <w:r w:rsidR="00E52FCA">
        <w:rPr>
          <w:rFonts w:ascii="Arial" w:hAnsi="Arial"/>
        </w:rPr>
        <w:t xml:space="preserve">, quien  a será el encargado de </w:t>
      </w:r>
      <w:r w:rsidR="006B73A1" w:rsidRPr="00D41238">
        <w:rPr>
          <w:rFonts w:ascii="Arial" w:hAnsi="Arial"/>
        </w:rPr>
        <w:t>entrega</w:t>
      </w:r>
      <w:r w:rsidR="00E52FCA">
        <w:rPr>
          <w:rFonts w:ascii="Arial" w:hAnsi="Arial"/>
        </w:rPr>
        <w:t>rlos</w:t>
      </w:r>
      <w:r w:rsidR="006B73A1" w:rsidRPr="00D41238">
        <w:rPr>
          <w:rFonts w:ascii="Arial" w:hAnsi="Arial"/>
        </w:rPr>
        <w:t xml:space="preserve"> en concesión.</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Es obligación de la Sociedad Concesionaria instalar el cable de fibra óptica del sistema de telecomunicaciones principal, observando como mínimo, las siguientes consideraciones técnicas:</w:t>
      </w:r>
    </w:p>
    <w:p w:rsidR="00AD1E09" w:rsidRPr="00D41238" w:rsidRDefault="006B73A1" w:rsidP="004F6B32">
      <w:pPr>
        <w:pStyle w:val="Prrafodelista1"/>
        <w:numPr>
          <w:ilvl w:val="4"/>
          <w:numId w:val="82"/>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cable de fibra óptica deberá ser nuevo y estar garantizado contra cualquier defecto de fabricación.</w:t>
      </w:r>
    </w:p>
    <w:p w:rsidR="00AD1E09" w:rsidRPr="00D41238" w:rsidRDefault="009E45D6" w:rsidP="004F6B32">
      <w:pPr>
        <w:pStyle w:val="Prrafodelista1"/>
        <w:numPr>
          <w:ilvl w:val="4"/>
          <w:numId w:val="82"/>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tipo de fibra óptica a ser implementado será Monomodo, cuyas características geométricas, ópticas, mecánicas y de transmisión deberán cumplir como mínimo con la Recomendación UIT –T G.652.D de la Unión Internacional de Telecomunicaciones (en adelante UIT)</w:t>
      </w:r>
    </w:p>
    <w:p w:rsidR="009E45D6" w:rsidRPr="00D41238" w:rsidRDefault="009E45D6" w:rsidP="004F6B32">
      <w:pPr>
        <w:pStyle w:val="Prrafodelista1"/>
        <w:numPr>
          <w:ilvl w:val="4"/>
          <w:numId w:val="82"/>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Para realizar la instalación, empalmes y pruebas de la fibra óptica, el mantenimiento del cable de fibra óptica, así como la identificación de los hilos, se deberán observar las recomendaciones UIT-T de la Unión Internacional de Telecomunicaciones, así como los estándares ANSI EIA/TIA e IEC que sean aplicables.</w:t>
      </w:r>
    </w:p>
    <w:p w:rsidR="006B73A1" w:rsidRPr="00D41238" w:rsidRDefault="00401293"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w:t>
      </w:r>
      <w:r w:rsidR="006B73A1" w:rsidRPr="00D41238">
        <w:rPr>
          <w:rFonts w:ascii="Arial" w:hAnsi="Arial"/>
        </w:rPr>
        <w:t xml:space="preserve">l mantenimiento del cable de fibra lo realizará </w:t>
      </w:r>
      <w:r w:rsidRPr="00D41238">
        <w:rPr>
          <w:rFonts w:ascii="Arial" w:hAnsi="Arial"/>
        </w:rPr>
        <w:t xml:space="preserve">la Sociedad Concesionaria, </w:t>
      </w:r>
      <w:r w:rsidR="006B73A1" w:rsidRPr="00D41238">
        <w:rPr>
          <w:rFonts w:ascii="Arial" w:hAnsi="Arial"/>
        </w:rPr>
        <w:t>según las pautas señaladas en la Recomendación de UIT-T L.25: "Mantenimiento de redes de cables de fibra óptica", con el fin de conservarla en buen estado</w:t>
      </w:r>
      <w:r w:rsidRPr="00D41238">
        <w:rPr>
          <w:rFonts w:ascii="Arial" w:hAnsi="Arial"/>
        </w:rPr>
        <w:t xml:space="preserve">, hasta que los hilos de titularidad del Estado sean efectivamente utilizados para la prestación de los servicios de telecomunicaciones, a partir del cual, el </w:t>
      </w:r>
      <w:r w:rsidR="00F30983" w:rsidRPr="00D41238">
        <w:rPr>
          <w:rFonts w:ascii="Arial" w:hAnsi="Arial"/>
        </w:rPr>
        <w:t>mantenimiento</w:t>
      </w:r>
      <w:r w:rsidRPr="00D41238">
        <w:rPr>
          <w:rFonts w:ascii="Arial" w:hAnsi="Arial"/>
        </w:rPr>
        <w:t xml:space="preserve"> al cable de fibra óptica sea compartido con los concesionarios de telecomunicaciones que designe el Estado</w:t>
      </w:r>
      <w:r w:rsidR="006B73A1" w:rsidRPr="00D41238">
        <w:rPr>
          <w:rFonts w:ascii="Arial" w:hAnsi="Arial"/>
        </w:rPr>
        <w:t>.</w:t>
      </w:r>
    </w:p>
    <w:p w:rsidR="009050FD"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 xml:space="preserve">La Sociedad Concesionaria brindará facilidades para el alojamiento de equipamiento óptico necesario para iluminar la fibra óptica de titularidad del Estado, incluyendo el uso compartido de espacios. </w:t>
      </w:r>
    </w:p>
    <w:p w:rsidR="009050FD" w:rsidRPr="00D41238" w:rsidRDefault="006B73A1"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w:t>
      </w:r>
      <w:r w:rsidR="009E45D6" w:rsidRPr="00D41238">
        <w:rPr>
          <w:rFonts w:ascii="Arial" w:hAnsi="Arial"/>
        </w:rPr>
        <w:t xml:space="preserve"> </w:t>
      </w:r>
    </w:p>
    <w:p w:rsidR="009050FD" w:rsidRPr="00D41238" w:rsidRDefault="00A51FC0"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Pr>
          <w:rFonts w:ascii="Arial" w:hAnsi="Arial"/>
        </w:rPr>
        <w:br w:type="page"/>
      </w:r>
      <w:r w:rsidR="009E45D6" w:rsidRPr="00D41238">
        <w:rPr>
          <w:rFonts w:ascii="Arial" w:hAnsi="Arial"/>
        </w:rPr>
        <w:t xml:space="preserve">En ese sentido, la Sociedad Concesionaria deberá dejar un distribuidor de fibra óptica (ODF) en el cuarto de telecomunicaciones que construirá en cada </w:t>
      </w:r>
      <w:r w:rsidR="009050FD" w:rsidRPr="00D41238">
        <w:rPr>
          <w:rFonts w:ascii="Arial" w:hAnsi="Arial"/>
        </w:rPr>
        <w:t xml:space="preserve">subestación, listo para el acceso a los 18 hilos de titularidad del Estado. Asimismo, deberá otorgar como mínimo, energía eléctrica con alimentación de 220 Vac y una potencia no menor de tres (3) kilovatios; espacio suficientes para instalar y operar cuatro (4) racks de telecomunicaciones, así como para acomodar equipos de climatización y de energía, y espacio para instalar una antena de telecomunicaciones, teniendo en cuenta, además las distancias mínimas de seguridad. </w:t>
      </w:r>
    </w:p>
    <w:p w:rsidR="00AD1E09" w:rsidRPr="00D41238" w:rsidRDefault="009050FD"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Para todo lo anterior, no se requerirá realizar contraprestación alguna a favor de la Sociedad Concesionaria por parte del Estado o de los terceros que éste designe. En caso, existan requerimientos técnicos adicionales para el aprovechamiento de los hilos de fibra óptica de titularidad del Estado, la Sociedad Concesionaria deberá acordar dentro de un plazo de 10 días, los términos económicos y técnicos con el Estado o los terceros que éste designe.</w:t>
      </w:r>
      <w:r w:rsidR="00354999">
        <w:rPr>
          <w:rFonts w:ascii="Arial" w:hAnsi="Arial"/>
        </w:rPr>
        <w:t xml:space="preserve"> Este plazo podrá ser prorrogado por el Estado, hasta por 45 días adicionales, por causas debidamente justificadas y comunicadas a la Sociedad Concesionaria. </w:t>
      </w:r>
      <w:r w:rsidRPr="00D41238">
        <w:rPr>
          <w:rFonts w:ascii="Arial" w:hAnsi="Arial"/>
        </w:rPr>
        <w:t xml:space="preserve">De existir alguna controversia, esta será resuelta con arreglo a la Cláusula 14 del presente contrato. </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la Sociedad Concesionaria, esta última estará exenta de responsabilidad administrativa, civil y/o penal</w:t>
      </w:r>
      <w:r w:rsidR="00E52FCA">
        <w:rPr>
          <w:rFonts w:ascii="Arial" w:hAnsi="Arial"/>
        </w:rPr>
        <w:t>; correspondiéndole al concesionario de telecomunicaciones que tendrá a cargo la operación de la fibra óptica, asumir las res</w:t>
      </w:r>
      <w:r w:rsidR="00B711AF">
        <w:rPr>
          <w:rFonts w:ascii="Arial" w:hAnsi="Arial"/>
        </w:rPr>
        <w:t>ponsabilidades que correspondan.</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w:t>
      </w:r>
      <w:r w:rsidR="009050FD" w:rsidRPr="00D41238">
        <w:rPr>
          <w:rFonts w:ascii="Arial" w:hAnsi="Arial"/>
        </w:rPr>
        <w:t xml:space="preserve"> En caso se ponga en riesgo la infraestructura eléctrica y/o la prestación del servicio eléctrico, la Sociedad Concesionaria podrá ordenar la suspensión de las citadas actividades por razones debidamente sustentadas, las cuales deberá informar por escrito al Ministerio de Transportes y Comunicaciones</w:t>
      </w:r>
      <w:r w:rsidR="00086904" w:rsidRPr="00D41238">
        <w:rPr>
          <w:rFonts w:ascii="Arial" w:hAnsi="Arial"/>
        </w:rPr>
        <w:t>,</w:t>
      </w:r>
      <w:r w:rsidR="009050FD" w:rsidRPr="00D41238">
        <w:rPr>
          <w:rFonts w:ascii="Arial" w:hAnsi="Arial"/>
        </w:rPr>
        <w:t xml:space="preserve"> y al Ministerio de Energía y Minas, </w:t>
      </w:r>
      <w:r w:rsidR="00086904" w:rsidRPr="00D41238">
        <w:rPr>
          <w:rFonts w:ascii="Arial" w:hAnsi="Arial"/>
        </w:rPr>
        <w:t>dentro de</w:t>
      </w:r>
      <w:r w:rsidR="009050FD" w:rsidRPr="00D41238">
        <w:rPr>
          <w:rFonts w:ascii="Arial" w:hAnsi="Arial"/>
        </w:rPr>
        <w:t xml:space="preserve"> un plazo no mayor a 48 horas de efectuada la suspensión. Las actividades deberán reanudarse en un plazo má</w:t>
      </w:r>
      <w:r w:rsidR="00086904" w:rsidRPr="00D41238">
        <w:rPr>
          <w:rFonts w:ascii="Arial" w:hAnsi="Arial"/>
        </w:rPr>
        <w:t xml:space="preserve">ximo de 10 días, salvo acuerdo </w:t>
      </w:r>
      <w:r w:rsidR="009050FD" w:rsidRPr="00D41238">
        <w:rPr>
          <w:rFonts w:ascii="Arial" w:hAnsi="Arial"/>
        </w:rPr>
        <w:t xml:space="preserve">entre las partes. De no llegarse a un acuerdo, la controversia será resuelta con arreglo a la Cláusula 14 del presente contrato. </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Los hilos de fibra óptica que no son de titularidad del Estado así como los equipos y servicios complementarios o conexos, forman parte de los Bienes de la Concesión.</w:t>
      </w:r>
    </w:p>
    <w:p w:rsidR="00AD1E09" w:rsidRPr="00D41238" w:rsidRDefault="006B73A1" w:rsidP="004F6B32">
      <w:pPr>
        <w:pStyle w:val="Prrafodelista1"/>
        <w:numPr>
          <w:ilvl w:val="1"/>
          <w:numId w:val="82"/>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 establecido en el presente anexo no afectará la Base Tarifaria. En caso se haga uso de las instalaciones de la concesión para desarrollar negocios de telecomunicaciones, se compensará a los usuarios del servicio eléctrico conforme lo establezca la autoridad sectorial</w:t>
      </w:r>
      <w:r w:rsidR="009E45D6" w:rsidRPr="00D41238">
        <w:rPr>
          <w:rFonts w:ascii="Arial" w:hAnsi="Arial"/>
        </w:rPr>
        <w:t>. En este caso, la explotación comercial de los hilos de la fibra óptica de la Sociedad Concesionaria deberá ser efectuada por una empresa concesionaria de telecomunicaciones, que deberá ofrecer sus servicios a todos los concesionarios de telecomunicaciones que lo soliciten en condiciones no discriminatorias, y que se sujetará a las demás leyes y normas de telecomunicaciones.</w:t>
      </w:r>
    </w:p>
    <w:p w:rsidR="00CA42F4" w:rsidRPr="00F840F9" w:rsidRDefault="00CA42F4" w:rsidP="00D4498D">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E95C50">
        <w:rPr>
          <w:rFonts w:ascii="Arial" w:hAnsi="Arial"/>
          <w:lang w:val="es-ES"/>
        </w:rPr>
        <w:br w:type="page"/>
      </w:r>
      <w:r w:rsidRPr="00F840F9">
        <w:rPr>
          <w:rFonts w:ascii="Arial" w:hAnsi="Arial"/>
          <w:b/>
          <w:sz w:val="26"/>
          <w:szCs w:val="26"/>
          <w:u w:val="single"/>
          <w:lang w:val="pt-BR"/>
        </w:rPr>
        <w:t xml:space="preserve">Anexo </w:t>
      </w:r>
      <w:r w:rsidR="00C11524" w:rsidRPr="00F840F9">
        <w:rPr>
          <w:rFonts w:ascii="Arial" w:hAnsi="Arial"/>
          <w:b/>
          <w:sz w:val="26"/>
          <w:szCs w:val="26"/>
          <w:u w:val="single"/>
          <w:lang w:val="pt-BR"/>
        </w:rPr>
        <w:t xml:space="preserve">N° </w:t>
      </w:r>
      <w:r w:rsidRPr="00F840F9">
        <w:rPr>
          <w:rFonts w:ascii="Arial" w:hAnsi="Arial"/>
          <w:b/>
          <w:sz w:val="26"/>
          <w:szCs w:val="26"/>
          <w:u w:val="single"/>
          <w:lang w:val="pt-BR"/>
        </w:rPr>
        <w:t>6</w:t>
      </w:r>
    </w:p>
    <w:p w:rsidR="00CA42F4" w:rsidRPr="00F840F9" w:rsidRDefault="00CA42F4" w:rsidP="00D4498D">
      <w:pPr>
        <w:tabs>
          <w:tab w:val="left" w:pos="0"/>
          <w:tab w:val="left" w:pos="1276"/>
        </w:tabs>
        <w:spacing w:before="120" w:after="480" w:line="257" w:lineRule="auto"/>
        <w:ind w:left="567" w:hanging="567"/>
        <w:jc w:val="center"/>
        <w:outlineLvl w:val="0"/>
        <w:rPr>
          <w:rFonts w:ascii="Arial" w:hAnsi="Arial"/>
          <w:b/>
          <w:sz w:val="26"/>
          <w:szCs w:val="26"/>
          <w:lang w:val="pt-BR"/>
        </w:rPr>
      </w:pPr>
      <w:r w:rsidRPr="00387974">
        <w:rPr>
          <w:rFonts w:ascii="Arial" w:hAnsi="Arial"/>
          <w:b/>
          <w:sz w:val="26"/>
          <w:szCs w:val="26"/>
        </w:rPr>
        <w:t>Formulario</w:t>
      </w:r>
      <w:r w:rsidR="008D35F4" w:rsidRPr="00387974">
        <w:rPr>
          <w:rFonts w:ascii="Arial" w:hAnsi="Arial"/>
          <w:b/>
          <w:sz w:val="26"/>
          <w:szCs w:val="26"/>
        </w:rPr>
        <w:t>s</w:t>
      </w:r>
      <w:r w:rsidR="008D35F4" w:rsidRPr="00F840F9">
        <w:rPr>
          <w:rFonts w:ascii="Arial" w:hAnsi="Arial"/>
          <w:b/>
          <w:sz w:val="26"/>
          <w:szCs w:val="26"/>
          <w:lang w:val="pt-BR"/>
        </w:rPr>
        <w:t xml:space="preserve"> </w:t>
      </w:r>
      <w:r w:rsidRPr="00F840F9">
        <w:rPr>
          <w:rFonts w:ascii="Arial" w:hAnsi="Arial"/>
          <w:b/>
          <w:sz w:val="26"/>
          <w:szCs w:val="26"/>
          <w:lang w:val="pt-BR"/>
        </w:rPr>
        <w:t>4</w:t>
      </w:r>
      <w:r w:rsidR="008D35F4" w:rsidRPr="00F840F9">
        <w:rPr>
          <w:rFonts w:ascii="Arial" w:hAnsi="Arial"/>
          <w:b/>
          <w:sz w:val="26"/>
          <w:szCs w:val="26"/>
          <w:lang w:val="pt-BR"/>
        </w:rPr>
        <w:t>, 4-A</w:t>
      </w:r>
      <w:r w:rsidR="0089395D" w:rsidRPr="00F840F9">
        <w:rPr>
          <w:rFonts w:ascii="Arial" w:hAnsi="Arial"/>
          <w:b/>
          <w:sz w:val="26"/>
          <w:szCs w:val="26"/>
          <w:lang w:val="pt-BR"/>
        </w:rPr>
        <w:t xml:space="preserve"> y</w:t>
      </w:r>
      <w:r w:rsidR="008D35F4" w:rsidRPr="00F840F9">
        <w:rPr>
          <w:rFonts w:ascii="Arial" w:hAnsi="Arial"/>
          <w:b/>
          <w:sz w:val="26"/>
          <w:szCs w:val="26"/>
          <w:lang w:val="pt-BR"/>
        </w:rPr>
        <w:t xml:space="preserve"> 4-B</w:t>
      </w:r>
      <w:r w:rsidR="0089395D" w:rsidRPr="00F840F9">
        <w:rPr>
          <w:rFonts w:ascii="Arial" w:hAnsi="Arial"/>
          <w:b/>
          <w:sz w:val="26"/>
          <w:szCs w:val="26"/>
          <w:lang w:val="pt-BR"/>
        </w:rPr>
        <w:t>.</w:t>
      </w:r>
    </w:p>
    <w:p w:rsidR="00B65442" w:rsidRPr="00F840F9" w:rsidRDefault="00202620" w:rsidP="00D4498D">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F840F9">
        <w:rPr>
          <w:rFonts w:ascii="Arial" w:hAnsi="Arial"/>
          <w:lang w:val="pt-BR"/>
        </w:rPr>
        <w:t xml:space="preserve">    </w:t>
      </w:r>
      <w:r w:rsidR="00B65442" w:rsidRPr="00F840F9">
        <w:rPr>
          <w:rFonts w:ascii="Arial" w:hAnsi="Arial"/>
          <w:lang w:val="pt-BR"/>
        </w:rPr>
        <w:br w:type="page"/>
      </w:r>
      <w:r w:rsidR="00B65442" w:rsidRPr="00F840F9">
        <w:rPr>
          <w:rFonts w:ascii="Arial" w:hAnsi="Arial"/>
          <w:b/>
          <w:sz w:val="26"/>
          <w:szCs w:val="26"/>
          <w:u w:val="single"/>
          <w:lang w:val="pt-BR"/>
        </w:rPr>
        <w:t xml:space="preserve">Anexo </w:t>
      </w:r>
      <w:r w:rsidR="00C11524" w:rsidRPr="00F840F9">
        <w:rPr>
          <w:rFonts w:ascii="Arial" w:hAnsi="Arial"/>
          <w:b/>
          <w:sz w:val="26"/>
          <w:szCs w:val="26"/>
          <w:u w:val="single"/>
          <w:lang w:val="pt-BR"/>
        </w:rPr>
        <w:t xml:space="preserve">N° </w:t>
      </w:r>
      <w:r w:rsidR="00B65442" w:rsidRPr="00F840F9">
        <w:rPr>
          <w:rFonts w:ascii="Arial" w:hAnsi="Arial"/>
          <w:b/>
          <w:sz w:val="26"/>
          <w:szCs w:val="26"/>
          <w:u w:val="single"/>
          <w:lang w:val="pt-BR"/>
        </w:rPr>
        <w:t>7</w:t>
      </w:r>
    </w:p>
    <w:p w:rsidR="00B65442" w:rsidRPr="004E5745" w:rsidRDefault="00B65442" w:rsidP="00D4498D">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4E5745">
        <w:rPr>
          <w:rFonts w:ascii="Arial" w:hAnsi="Arial"/>
          <w:b/>
          <w:sz w:val="26"/>
          <w:szCs w:val="26"/>
        </w:rPr>
        <w:t>Plazos para el desarrollo del proyecto</w:t>
      </w:r>
    </w:p>
    <w:p w:rsidR="00B65442" w:rsidRPr="00AC3861" w:rsidRDefault="00B65442" w:rsidP="00D4498D">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cs="Arial"/>
          <w:sz w:val="21"/>
          <w:szCs w:val="21"/>
          <w:lang w:eastAsia="es-ES"/>
        </w:rPr>
      </w:pPr>
      <w:r w:rsidRPr="00AC3861">
        <w:rPr>
          <w:rFonts w:ascii="Arial" w:hAnsi="Arial" w:cs="Arial"/>
          <w:sz w:val="21"/>
          <w:szCs w:val="21"/>
          <w:lang w:eastAsia="es-ES"/>
        </w:rPr>
        <w:t xml:space="preserve">Los siguientes </w:t>
      </w:r>
      <w:r w:rsidR="00A20CD4" w:rsidRPr="00AC3861">
        <w:rPr>
          <w:rFonts w:ascii="Arial" w:hAnsi="Arial" w:cs="Arial"/>
          <w:sz w:val="21"/>
          <w:szCs w:val="21"/>
          <w:lang w:eastAsia="es-ES"/>
        </w:rPr>
        <w:t>hitos</w:t>
      </w:r>
      <w:r w:rsidRPr="00AC3861">
        <w:rPr>
          <w:rFonts w:ascii="Arial" w:hAnsi="Arial" w:cs="Arial"/>
          <w:sz w:val="21"/>
          <w:szCs w:val="21"/>
          <w:lang w:eastAsia="es-ES"/>
        </w:rPr>
        <w:t xml:space="preserve"> deberán cumplirse en los plazos que se indican a continuación (todos contados a partir de la </w:t>
      </w:r>
      <w:r w:rsidR="000F6FFA" w:rsidRPr="00AC3861">
        <w:rPr>
          <w:rFonts w:ascii="Arial" w:hAnsi="Arial" w:cs="Arial"/>
          <w:sz w:val="21"/>
          <w:szCs w:val="21"/>
          <w:lang w:eastAsia="es-ES"/>
        </w:rPr>
        <w:t>f</w:t>
      </w:r>
      <w:r w:rsidRPr="00AC3861">
        <w:rPr>
          <w:rFonts w:ascii="Arial" w:hAnsi="Arial" w:cs="Arial"/>
          <w:sz w:val="21"/>
          <w:szCs w:val="21"/>
          <w:lang w:eastAsia="es-ES"/>
        </w:rPr>
        <w:t>echa de Cierre):</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2977"/>
      </w:tblGrid>
      <w:tr w:rsidR="009D4052" w:rsidRPr="00AC3861" w:rsidTr="00281A3F">
        <w:tc>
          <w:tcPr>
            <w:tcW w:w="5812" w:type="dxa"/>
            <w:shd w:val="clear" w:color="auto" w:fill="E5DFEC" w:themeFill="accent4" w:themeFillTint="33"/>
          </w:tcPr>
          <w:p w:rsidR="009D4052" w:rsidRPr="00AC3861" w:rsidRDefault="00412687" w:rsidP="00D4498D">
            <w:pPr>
              <w:tabs>
                <w:tab w:val="clear" w:pos="567"/>
                <w:tab w:val="clear" w:pos="1134"/>
                <w:tab w:val="clear" w:pos="1701"/>
                <w:tab w:val="clear" w:pos="2268"/>
                <w:tab w:val="clear" w:pos="2835"/>
              </w:tabs>
              <w:spacing w:before="120" w:after="120" w:line="257" w:lineRule="auto"/>
              <w:jc w:val="center"/>
              <w:rPr>
                <w:rFonts w:ascii="Arial" w:hAnsi="Arial" w:cs="Arial"/>
                <w:b/>
                <w:sz w:val="21"/>
                <w:szCs w:val="21"/>
              </w:rPr>
            </w:pPr>
            <w:r w:rsidRPr="00AC3861">
              <w:rPr>
                <w:rFonts w:ascii="Arial" w:hAnsi="Arial" w:cs="Arial"/>
                <w:b/>
                <w:sz w:val="21"/>
                <w:szCs w:val="21"/>
              </w:rPr>
              <w:t>Hitos</w:t>
            </w:r>
          </w:p>
        </w:tc>
        <w:tc>
          <w:tcPr>
            <w:tcW w:w="2977" w:type="dxa"/>
            <w:shd w:val="clear" w:color="auto" w:fill="E5DFEC" w:themeFill="accent4" w:themeFillTint="33"/>
          </w:tcPr>
          <w:p w:rsidR="009D4052" w:rsidRPr="00AC3861" w:rsidRDefault="009D4052" w:rsidP="00D4498D">
            <w:pPr>
              <w:tabs>
                <w:tab w:val="clear" w:pos="567"/>
                <w:tab w:val="clear" w:pos="1134"/>
                <w:tab w:val="clear" w:pos="1701"/>
                <w:tab w:val="clear" w:pos="2268"/>
                <w:tab w:val="clear" w:pos="2835"/>
              </w:tabs>
              <w:spacing w:before="120" w:after="120" w:line="257" w:lineRule="auto"/>
              <w:jc w:val="center"/>
              <w:rPr>
                <w:rFonts w:ascii="Arial" w:hAnsi="Arial" w:cs="Arial"/>
                <w:b/>
                <w:sz w:val="21"/>
                <w:szCs w:val="21"/>
              </w:rPr>
            </w:pPr>
            <w:r w:rsidRPr="00AC3861">
              <w:rPr>
                <w:rFonts w:ascii="Arial" w:hAnsi="Arial" w:cs="Arial"/>
                <w:b/>
                <w:sz w:val="21"/>
                <w:szCs w:val="21"/>
              </w:rPr>
              <w:t>Plazo</w:t>
            </w:r>
          </w:p>
        </w:tc>
      </w:tr>
      <w:tr w:rsidR="009D4052" w:rsidRPr="00AC3861" w:rsidTr="00281A3F">
        <w:trPr>
          <w:trHeight w:val="709"/>
        </w:trPr>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1.-</w:t>
            </w:r>
            <w:r w:rsidRPr="00AC3861">
              <w:rPr>
                <w:rFonts w:ascii="Arial" w:hAnsi="Arial" w:cs="Arial"/>
                <w:sz w:val="21"/>
                <w:szCs w:val="21"/>
              </w:rPr>
              <w:tab/>
              <w:t>Estudio de Impacto Ambiental aprobado por la Autoridad Gubernamental competente</w:t>
            </w:r>
            <w:r w:rsidR="007B724F" w:rsidRPr="00AC3861">
              <w:rPr>
                <w:rFonts w:ascii="Arial" w:hAnsi="Arial" w:cs="Arial"/>
                <w:color w:val="000000"/>
                <w:sz w:val="21"/>
                <w:szCs w:val="21"/>
              </w:rPr>
              <w:t>.</w:t>
            </w:r>
          </w:p>
        </w:tc>
        <w:tc>
          <w:tcPr>
            <w:tcW w:w="2977" w:type="dxa"/>
            <w:vAlign w:val="center"/>
          </w:tcPr>
          <w:p w:rsidR="009D4052" w:rsidRPr="00AC3861" w:rsidRDefault="002B238B"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Veintidós</w:t>
            </w:r>
            <w:r w:rsidR="00D54619" w:rsidRPr="00AC3861">
              <w:rPr>
                <w:rFonts w:ascii="Arial" w:hAnsi="Arial" w:cs="Arial"/>
                <w:sz w:val="21"/>
                <w:szCs w:val="21"/>
              </w:rPr>
              <w:t xml:space="preserve"> </w:t>
            </w:r>
            <w:r w:rsidR="00A70388" w:rsidRPr="00AC3861">
              <w:rPr>
                <w:rFonts w:ascii="Arial" w:hAnsi="Arial" w:cs="Arial"/>
                <w:sz w:val="21"/>
                <w:szCs w:val="21"/>
              </w:rPr>
              <w:t>(</w:t>
            </w:r>
            <w:r w:rsidR="00D54619" w:rsidRPr="00AC3861">
              <w:rPr>
                <w:rFonts w:ascii="Arial" w:hAnsi="Arial" w:cs="Arial"/>
                <w:sz w:val="21"/>
                <w:szCs w:val="21"/>
              </w:rPr>
              <w:t>22</w:t>
            </w:r>
            <w:r w:rsidR="00A70388" w:rsidRPr="00AC3861">
              <w:rPr>
                <w:rFonts w:ascii="Arial" w:hAnsi="Arial" w:cs="Arial"/>
                <w:sz w:val="21"/>
                <w:szCs w:val="21"/>
              </w:rPr>
              <w:t xml:space="preserve">) </w:t>
            </w:r>
            <w:r w:rsidR="009D4052" w:rsidRPr="00AC3861">
              <w:rPr>
                <w:rFonts w:ascii="Arial" w:hAnsi="Arial" w:cs="Arial"/>
                <w:sz w:val="21"/>
                <w:szCs w:val="21"/>
              </w:rPr>
              <w:t>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2.-</w:t>
            </w:r>
            <w:r w:rsidRPr="00AC3861">
              <w:rPr>
                <w:rFonts w:ascii="Arial" w:hAnsi="Arial" w:cs="Arial"/>
                <w:sz w:val="21"/>
                <w:szCs w:val="21"/>
              </w:rPr>
              <w:tab/>
              <w:t xml:space="preserve">Cierre </w:t>
            </w:r>
            <w:r w:rsidR="007D7E22" w:rsidRPr="00AC3861">
              <w:rPr>
                <w:rFonts w:ascii="Arial" w:hAnsi="Arial" w:cs="Arial"/>
                <w:sz w:val="21"/>
                <w:szCs w:val="21"/>
              </w:rPr>
              <w:t>F</w:t>
            </w:r>
            <w:r w:rsidRPr="00AC3861">
              <w:rPr>
                <w:rFonts w:ascii="Arial" w:hAnsi="Arial" w:cs="Arial"/>
                <w:sz w:val="21"/>
                <w:szCs w:val="21"/>
              </w:rPr>
              <w:t>inanciero del proyecto</w:t>
            </w:r>
            <w:r w:rsidR="007B724F" w:rsidRPr="00AC3861">
              <w:rPr>
                <w:rFonts w:ascii="Arial" w:hAnsi="Arial" w:cs="Arial"/>
                <w:color w:val="000000"/>
                <w:sz w:val="21"/>
                <w:szCs w:val="21"/>
              </w:rPr>
              <w:t>.</w:t>
            </w:r>
          </w:p>
        </w:tc>
        <w:tc>
          <w:tcPr>
            <w:tcW w:w="2977" w:type="dxa"/>
            <w:vAlign w:val="center"/>
          </w:tcPr>
          <w:p w:rsidR="009D4052" w:rsidRPr="00AC3861" w:rsidRDefault="00D54619"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 xml:space="preserve">Veinticuatro </w:t>
            </w:r>
            <w:r w:rsidR="009D4052" w:rsidRPr="00AC3861">
              <w:rPr>
                <w:rFonts w:ascii="Arial" w:hAnsi="Arial" w:cs="Arial"/>
                <w:sz w:val="21"/>
                <w:szCs w:val="21"/>
              </w:rPr>
              <w:t>(</w:t>
            </w:r>
            <w:r w:rsidRPr="00AC3861">
              <w:rPr>
                <w:rFonts w:ascii="Arial" w:hAnsi="Arial" w:cs="Arial"/>
                <w:sz w:val="21"/>
                <w:szCs w:val="21"/>
              </w:rPr>
              <w:t>24</w:t>
            </w:r>
            <w:r w:rsidR="009D4052" w:rsidRPr="00AC3861">
              <w:rPr>
                <w:rFonts w:ascii="Arial" w:hAnsi="Arial" w:cs="Arial"/>
                <w:sz w:val="21"/>
                <w:szCs w:val="21"/>
              </w:rPr>
              <w:t>) 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3.-</w:t>
            </w:r>
            <w:r w:rsidRPr="00AC3861">
              <w:rPr>
                <w:rFonts w:ascii="Arial" w:hAnsi="Arial" w:cs="Arial"/>
                <w:sz w:val="21"/>
                <w:szCs w:val="21"/>
              </w:rPr>
              <w:tab/>
              <w:t xml:space="preserve">Llegada a los correspondientes sitios de obra de los reactores y transformadores a que se refiere el acápite 3.1 del </w:t>
            </w:r>
            <w:r w:rsidR="00F94A45" w:rsidRPr="00AC3861">
              <w:rPr>
                <w:rFonts w:ascii="Arial" w:hAnsi="Arial" w:cs="Arial"/>
                <w:sz w:val="21"/>
                <w:szCs w:val="21"/>
              </w:rPr>
              <w:t>A</w:t>
            </w:r>
            <w:r w:rsidRPr="00AC3861">
              <w:rPr>
                <w:rFonts w:ascii="Arial" w:hAnsi="Arial" w:cs="Arial"/>
                <w:sz w:val="21"/>
                <w:szCs w:val="21"/>
              </w:rPr>
              <w:t>nexo N° 1 del Contrato</w:t>
            </w:r>
          </w:p>
        </w:tc>
        <w:tc>
          <w:tcPr>
            <w:tcW w:w="2977" w:type="dxa"/>
            <w:vAlign w:val="center"/>
          </w:tcPr>
          <w:p w:rsidR="009D4052" w:rsidRPr="00AC3861" w:rsidRDefault="00387974" w:rsidP="00387974">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Pr>
                <w:rFonts w:ascii="Arial" w:hAnsi="Arial" w:cs="Arial"/>
                <w:sz w:val="21"/>
                <w:szCs w:val="21"/>
              </w:rPr>
              <w:t>Treinta y tres</w:t>
            </w:r>
            <w:r w:rsidR="00AD41D5" w:rsidRPr="00AC3861">
              <w:rPr>
                <w:rFonts w:ascii="Arial" w:hAnsi="Arial" w:cs="Arial"/>
                <w:sz w:val="21"/>
                <w:szCs w:val="21"/>
              </w:rPr>
              <w:t xml:space="preserve"> </w:t>
            </w:r>
            <w:r w:rsidR="003468E0" w:rsidRPr="00AC3861">
              <w:rPr>
                <w:rFonts w:ascii="Arial" w:hAnsi="Arial" w:cs="Arial"/>
                <w:sz w:val="21"/>
                <w:szCs w:val="21"/>
              </w:rPr>
              <w:t xml:space="preserve"> </w:t>
            </w:r>
            <w:r w:rsidR="009D4052" w:rsidRPr="00AC3861">
              <w:rPr>
                <w:rFonts w:ascii="Arial" w:hAnsi="Arial" w:cs="Arial"/>
                <w:sz w:val="21"/>
                <w:szCs w:val="21"/>
              </w:rPr>
              <w:t>(</w:t>
            </w:r>
            <w:r>
              <w:rPr>
                <w:rFonts w:ascii="Arial" w:hAnsi="Arial" w:cs="Arial"/>
                <w:sz w:val="21"/>
                <w:szCs w:val="21"/>
              </w:rPr>
              <w:t>33</w:t>
            </w:r>
            <w:r w:rsidRPr="00AC3861">
              <w:rPr>
                <w:rFonts w:ascii="Arial" w:hAnsi="Arial" w:cs="Arial"/>
                <w:sz w:val="21"/>
                <w:szCs w:val="21"/>
              </w:rPr>
              <w:t xml:space="preserve"> </w:t>
            </w:r>
            <w:r w:rsidR="009D4052" w:rsidRPr="00AC3861">
              <w:rPr>
                <w:rFonts w:ascii="Arial" w:hAnsi="Arial" w:cs="Arial"/>
                <w:sz w:val="21"/>
                <w:szCs w:val="21"/>
              </w:rPr>
              <w:t>) 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5" w:hanging="317"/>
              <w:rPr>
                <w:rFonts w:ascii="Arial" w:hAnsi="Arial" w:cs="Arial"/>
                <w:sz w:val="21"/>
                <w:szCs w:val="21"/>
              </w:rPr>
            </w:pPr>
            <w:r w:rsidRPr="00AC3861">
              <w:rPr>
                <w:rFonts w:ascii="Arial" w:hAnsi="Arial" w:cs="Arial"/>
                <w:sz w:val="21"/>
                <w:szCs w:val="21"/>
              </w:rPr>
              <w:t>4.-</w:t>
            </w:r>
            <w:r w:rsidRPr="00AC3861">
              <w:rPr>
                <w:rFonts w:ascii="Arial" w:hAnsi="Arial" w:cs="Arial"/>
                <w:sz w:val="21"/>
                <w:szCs w:val="21"/>
              </w:rPr>
              <w:tab/>
              <w:t>POC</w:t>
            </w:r>
          </w:p>
        </w:tc>
        <w:tc>
          <w:tcPr>
            <w:tcW w:w="2977" w:type="dxa"/>
            <w:vAlign w:val="center"/>
          </w:tcPr>
          <w:p w:rsidR="009D4052" w:rsidRPr="00AC3861" w:rsidRDefault="00387974" w:rsidP="00387974">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Pr>
                <w:rFonts w:ascii="Arial" w:hAnsi="Arial" w:cs="Arial"/>
                <w:sz w:val="21"/>
                <w:szCs w:val="21"/>
              </w:rPr>
              <w:t>Treinta y ocho</w:t>
            </w:r>
            <w:r w:rsidR="00AD41D5" w:rsidRPr="00AC3861">
              <w:rPr>
                <w:rFonts w:ascii="Arial" w:hAnsi="Arial" w:cs="Arial"/>
                <w:sz w:val="21"/>
                <w:szCs w:val="21"/>
              </w:rPr>
              <w:t xml:space="preserve"> </w:t>
            </w:r>
            <w:r w:rsidR="00D54619" w:rsidRPr="00AC3861">
              <w:rPr>
                <w:rFonts w:ascii="Arial" w:hAnsi="Arial" w:cs="Arial"/>
                <w:sz w:val="21"/>
                <w:szCs w:val="21"/>
              </w:rPr>
              <w:t xml:space="preserve"> </w:t>
            </w:r>
            <w:r w:rsidR="009D4052" w:rsidRPr="00AC3861">
              <w:rPr>
                <w:rFonts w:ascii="Arial" w:hAnsi="Arial" w:cs="Arial"/>
                <w:sz w:val="21"/>
                <w:szCs w:val="21"/>
              </w:rPr>
              <w:t>(</w:t>
            </w:r>
            <w:r>
              <w:rPr>
                <w:rFonts w:ascii="Arial" w:hAnsi="Arial" w:cs="Arial"/>
                <w:sz w:val="21"/>
                <w:szCs w:val="21"/>
              </w:rPr>
              <w:t>38</w:t>
            </w:r>
            <w:r w:rsidR="009D4052" w:rsidRPr="00AC3861">
              <w:rPr>
                <w:rFonts w:ascii="Arial" w:hAnsi="Arial" w:cs="Arial"/>
                <w:sz w:val="21"/>
                <w:szCs w:val="21"/>
              </w:rPr>
              <w:t>) meses</w:t>
            </w:r>
          </w:p>
        </w:tc>
      </w:tr>
    </w:tbl>
    <w:p w:rsidR="00393E3A" w:rsidRPr="00AC3861" w:rsidRDefault="00393E3A" w:rsidP="00D4498D">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sz w:val="21"/>
          <w:szCs w:val="21"/>
          <w:lang w:eastAsia="es-ES"/>
        </w:rPr>
      </w:pPr>
      <w:r w:rsidRPr="00AC3861">
        <w:rPr>
          <w:rFonts w:ascii="Arial" w:hAnsi="Arial" w:cs="Arial"/>
          <w:sz w:val="21"/>
          <w:szCs w:val="21"/>
          <w:lang w:eastAsia="es-ES"/>
        </w:rPr>
        <w:t xml:space="preserve">La fecha de Puesta en Operación Comercial será la consignada en el </w:t>
      </w:r>
      <w:r w:rsidR="007D7E22" w:rsidRPr="00AC3861">
        <w:rPr>
          <w:rFonts w:ascii="Arial" w:hAnsi="Arial" w:cs="Arial"/>
          <w:sz w:val="21"/>
          <w:szCs w:val="21"/>
          <w:lang w:eastAsia="es-ES"/>
        </w:rPr>
        <w:t>a</w:t>
      </w:r>
      <w:r w:rsidRPr="00AC3861">
        <w:rPr>
          <w:rFonts w:ascii="Arial" w:hAnsi="Arial" w:cs="Arial"/>
          <w:sz w:val="21"/>
          <w:szCs w:val="21"/>
          <w:lang w:eastAsia="es-ES"/>
        </w:rPr>
        <w:t>cta a que se refiere la Cláusula 5.</w:t>
      </w:r>
      <w:r w:rsidR="00EC29F2" w:rsidRPr="00AC3861">
        <w:rPr>
          <w:rFonts w:ascii="Arial" w:hAnsi="Arial" w:cs="Arial"/>
          <w:sz w:val="21"/>
          <w:szCs w:val="21"/>
          <w:lang w:eastAsia="es-ES"/>
        </w:rPr>
        <w:t>3</w:t>
      </w:r>
      <w:r w:rsidRPr="00AC3861">
        <w:rPr>
          <w:rFonts w:ascii="Arial" w:hAnsi="Arial" w:cs="Arial"/>
          <w:sz w:val="21"/>
          <w:szCs w:val="21"/>
          <w:lang w:eastAsia="es-ES"/>
        </w:rPr>
        <w:t>.</w:t>
      </w:r>
    </w:p>
    <w:p w:rsidR="00842406" w:rsidRPr="00E95C50" w:rsidRDefault="00842406" w:rsidP="00D4498D">
      <w:pPr>
        <w:tabs>
          <w:tab w:val="clear" w:pos="567"/>
          <w:tab w:val="left" w:pos="0"/>
          <w:tab w:val="left" w:pos="1276"/>
        </w:tabs>
        <w:spacing w:before="240" w:after="120" w:line="257" w:lineRule="auto"/>
        <w:jc w:val="center"/>
        <w:outlineLvl w:val="0"/>
        <w:rPr>
          <w:rFonts w:ascii="Arial" w:hAnsi="Arial"/>
          <w:b/>
          <w:sz w:val="26"/>
          <w:u w:val="single"/>
        </w:rPr>
      </w:pPr>
      <w:r w:rsidRPr="004E5745">
        <w:rPr>
          <w:rFonts w:ascii="Arial" w:hAnsi="Arial" w:cs="Arial"/>
          <w:sz w:val="21"/>
          <w:szCs w:val="21"/>
          <w:lang w:eastAsia="es-ES"/>
        </w:rPr>
        <w:br w:type="page"/>
      </w:r>
      <w:r w:rsidRPr="00E95C50">
        <w:rPr>
          <w:rFonts w:ascii="Arial" w:hAnsi="Arial"/>
          <w:b/>
          <w:sz w:val="26"/>
          <w:u w:val="single"/>
        </w:rPr>
        <w:t>Anexo 8</w:t>
      </w:r>
    </w:p>
    <w:p w:rsidR="00842406" w:rsidRPr="007E21EA" w:rsidRDefault="00842406" w:rsidP="00D4498D">
      <w:pPr>
        <w:tabs>
          <w:tab w:val="clear" w:pos="567"/>
          <w:tab w:val="clear" w:pos="1134"/>
          <w:tab w:val="clear" w:pos="1701"/>
          <w:tab w:val="clear" w:pos="2268"/>
          <w:tab w:val="clear" w:pos="2835"/>
        </w:tabs>
        <w:spacing w:before="120" w:after="360" w:line="257" w:lineRule="auto"/>
        <w:jc w:val="center"/>
        <w:outlineLvl w:val="0"/>
        <w:rPr>
          <w:rFonts w:ascii="Arial" w:hAnsi="Arial"/>
          <w:b/>
          <w:sz w:val="26"/>
          <w:szCs w:val="26"/>
        </w:rPr>
      </w:pPr>
      <w:r w:rsidRPr="007E21EA">
        <w:rPr>
          <w:rFonts w:ascii="Arial" w:hAnsi="Arial"/>
          <w:b/>
          <w:sz w:val="26"/>
          <w:szCs w:val="26"/>
        </w:rPr>
        <w:t>Memoria Descriptiva de la Línea Eléctrica</w:t>
      </w:r>
    </w:p>
    <w:p w:rsidR="00842406" w:rsidRPr="004E5745" w:rsidRDefault="00842406" w:rsidP="00D4498D">
      <w:pPr>
        <w:tabs>
          <w:tab w:val="left" w:pos="426"/>
        </w:tabs>
        <w:spacing w:after="240" w:line="257" w:lineRule="auto"/>
        <w:ind w:left="425" w:hanging="425"/>
        <w:jc w:val="both"/>
        <w:rPr>
          <w:rFonts w:ascii="Arial" w:hAnsi="Arial" w:cs="Arial"/>
          <w:b/>
          <w:sz w:val="21"/>
          <w:szCs w:val="21"/>
        </w:rPr>
      </w:pPr>
      <w:r w:rsidRPr="004E5745">
        <w:rPr>
          <w:rFonts w:ascii="Arial" w:hAnsi="Arial" w:cs="Arial"/>
          <w:b/>
          <w:sz w:val="21"/>
          <w:szCs w:val="21"/>
        </w:rPr>
        <w:t>A.</w:t>
      </w:r>
      <w:r w:rsidRPr="004E5745">
        <w:rPr>
          <w:rFonts w:ascii="Arial" w:hAnsi="Arial" w:cs="Arial"/>
          <w:b/>
          <w:sz w:val="21"/>
          <w:szCs w:val="21"/>
        </w:rPr>
        <w:tab/>
        <w:t>Línea de transmisión.</w:t>
      </w:r>
    </w:p>
    <w:p w:rsidR="00AD1E09" w:rsidRDefault="00842406" w:rsidP="004F6B32">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Descripción general del proyecto.</w:t>
      </w:r>
    </w:p>
    <w:p w:rsidR="00AD1E09" w:rsidRDefault="00842406" w:rsidP="004F6B32">
      <w:pPr>
        <w:numPr>
          <w:ilvl w:val="0"/>
          <w:numId w:val="46"/>
        </w:numPr>
        <w:tabs>
          <w:tab w:val="clear" w:pos="567"/>
          <w:tab w:val="clear" w:pos="1134"/>
          <w:tab w:val="clear" w:pos="1701"/>
          <w:tab w:val="clear" w:pos="2268"/>
          <w:tab w:val="clear" w:pos="2835"/>
        </w:tabs>
        <w:spacing w:after="120" w:line="257" w:lineRule="auto"/>
        <w:ind w:hanging="295"/>
        <w:jc w:val="both"/>
        <w:rPr>
          <w:rFonts w:ascii="Arial" w:hAnsi="Arial" w:cs="Arial"/>
        </w:rPr>
      </w:pPr>
      <w:r w:rsidRPr="004E5745">
        <w:rPr>
          <w:rFonts w:ascii="Arial" w:hAnsi="Arial" w:cs="Arial"/>
        </w:rPr>
        <w:t>Descripción del recorrido de la línea.</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 xml:space="preserve">Incluir puntos de inicio y fin con altitud en msnm, así como planos geográficos y de planimetría a escala apropiada. Se deberá describir el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destacando los vértices del trazo, el cruce con otras líneas y el paso por zonas pobladas y arqueológicas.</w:t>
      </w:r>
    </w:p>
    <w:p w:rsidR="00AD1E09" w:rsidRDefault="00842406" w:rsidP="004F6B32">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Normas de diseño y construcción empleadas.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4F6B32">
      <w:pPr>
        <w:numPr>
          <w:ilvl w:val="0"/>
          <w:numId w:val="46"/>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Características técnicas.</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Longitud de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(Km).</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Nivel de aislamiento a 60 Hz y BIL corregidos por altura.</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Capacidad de transmisión. Deberá sustentarse que se cumple las capacidades de transmisión especificadas en el Anexo Nº 1 del Contrato.</w:t>
      </w:r>
    </w:p>
    <w:p w:rsidR="00AD1E09" w:rsidRDefault="00842406" w:rsidP="004F6B32">
      <w:pPr>
        <w:numPr>
          <w:ilvl w:val="0"/>
          <w:numId w:val="47"/>
        </w:numPr>
        <w:tabs>
          <w:tab w:val="clear" w:pos="567"/>
          <w:tab w:val="clear" w:pos="1134"/>
          <w:tab w:val="clear" w:pos="1160"/>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Tasa de falla esperada de salida de servicio de toda la Línea, en N° de salidas /100 km-año, según lo requerido en el respectivo Anexo N° 1.</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de conductores por fase.</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características de los aisladores. Incluir número de unidades por cadena de suspensión y ángulo.</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Tipos de estructuras. Incluir diagramas típicos de las estructuras (suspensión, ángulo y terminal).</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Fundaciones. Incluir tipo (concreto o metálica).</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y características de los cables de guarda.</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cables de guarda.</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Puesta a tierra. Incluir sistema a emplear (electrodos, contrapesos u otro), así como dimensiones y sección de los elementos a emplear. </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Otras características o información relevante.</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Servidumbre utilizada.</w:t>
      </w:r>
    </w:p>
    <w:p w:rsidR="00AD1E09" w:rsidRDefault="00842406" w:rsidP="004F6B32">
      <w:pPr>
        <w:numPr>
          <w:ilvl w:val="0"/>
          <w:numId w:val="47"/>
        </w:numPr>
        <w:tabs>
          <w:tab w:val="clear" w:pos="567"/>
          <w:tab w:val="clear" w:pos="1134"/>
          <w:tab w:val="clear" w:pos="1701"/>
          <w:tab w:val="clear" w:pos="2268"/>
          <w:tab w:val="clear" w:pos="2835"/>
          <w:tab w:val="left" w:pos="1100"/>
        </w:tabs>
        <w:spacing w:after="50" w:line="257" w:lineRule="auto"/>
        <w:ind w:left="1100" w:hanging="300"/>
        <w:jc w:val="both"/>
        <w:rPr>
          <w:rFonts w:ascii="Arial" w:hAnsi="Arial" w:cs="Arial"/>
          <w:bCs/>
        </w:rPr>
      </w:pPr>
      <w:r w:rsidRPr="004E5745">
        <w:rPr>
          <w:rFonts w:ascii="Arial" w:hAnsi="Arial" w:cs="Arial"/>
          <w:bCs/>
        </w:rPr>
        <w:t>Accesos e infraestructura.</w:t>
      </w:r>
    </w:p>
    <w:p w:rsidR="00842406" w:rsidRPr="004E5745" w:rsidRDefault="007E21EA" w:rsidP="00D4498D">
      <w:pPr>
        <w:tabs>
          <w:tab w:val="clear" w:pos="567"/>
          <w:tab w:val="clear" w:pos="1134"/>
          <w:tab w:val="clear" w:pos="1701"/>
          <w:tab w:val="clear" w:pos="2268"/>
          <w:tab w:val="clear" w:pos="2835"/>
        </w:tabs>
        <w:spacing w:line="257" w:lineRule="auto"/>
        <w:rPr>
          <w:rFonts w:ascii="Arial" w:hAnsi="Arial" w:cs="Arial"/>
          <w:b/>
          <w:sz w:val="21"/>
          <w:szCs w:val="21"/>
        </w:rPr>
      </w:pPr>
      <w:r>
        <w:rPr>
          <w:rFonts w:ascii="Arial" w:hAnsi="Arial" w:cs="Arial"/>
          <w:b/>
          <w:sz w:val="21"/>
          <w:szCs w:val="21"/>
        </w:rPr>
        <w:br w:type="page"/>
      </w:r>
      <w:r w:rsidR="00842406" w:rsidRPr="004E5745">
        <w:rPr>
          <w:rFonts w:ascii="Arial" w:hAnsi="Arial" w:cs="Arial"/>
          <w:b/>
          <w:sz w:val="21"/>
          <w:szCs w:val="21"/>
        </w:rPr>
        <w:t>B.</w:t>
      </w:r>
      <w:r w:rsidR="00842406" w:rsidRPr="004E5745">
        <w:rPr>
          <w:rFonts w:ascii="Arial" w:hAnsi="Arial" w:cs="Arial"/>
          <w:b/>
          <w:sz w:val="21"/>
          <w:szCs w:val="21"/>
        </w:rPr>
        <w:tab/>
        <w:t>Subestaciones.</w:t>
      </w:r>
    </w:p>
    <w:p w:rsidR="00AD1E09" w:rsidRDefault="00842406" w:rsidP="004F6B32">
      <w:pPr>
        <w:numPr>
          <w:ilvl w:val="0"/>
          <w:numId w:val="48"/>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Descripción general del proyecto.</w:t>
      </w:r>
    </w:p>
    <w:p w:rsidR="00AD1E09" w:rsidRDefault="00842406" w:rsidP="004F6B32">
      <w:pPr>
        <w:numPr>
          <w:ilvl w:val="0"/>
          <w:numId w:val="48"/>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Ubicación de las subestaciones.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Incluir plano geográfico y altitud en msnm. de cada una de las subestaciones. Se deberá describir el terreno seleccionado y los accidentes cercanos que hubiese.</w:t>
      </w:r>
    </w:p>
    <w:p w:rsidR="00AD1E09" w:rsidRDefault="00842406" w:rsidP="004F6B32">
      <w:pPr>
        <w:numPr>
          <w:ilvl w:val="0"/>
          <w:numId w:val="48"/>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Normas de diseño y construcción empleadas.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4F6B32">
      <w:pPr>
        <w:numPr>
          <w:ilvl w:val="0"/>
          <w:numId w:val="48"/>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4E5745">
        <w:rPr>
          <w:rFonts w:ascii="Arial" w:hAnsi="Arial" w:cs="Arial"/>
        </w:rPr>
        <w:t>Características técnicas de cada Subestación.</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998" w:hanging="301"/>
        <w:jc w:val="both"/>
        <w:rPr>
          <w:rFonts w:ascii="Arial" w:hAnsi="Arial" w:cs="Arial"/>
          <w:bCs/>
        </w:rPr>
      </w:pPr>
      <w:r w:rsidRPr="004E5745">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Nivel de aislamiento a 60 Hz y BIL corregidos por altura.</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tipo de equipamiento propuesto en cada subestación:</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Convencional</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Encapsulado (GIS)</w:t>
      </w:r>
    </w:p>
    <w:p w:rsidR="00842406" w:rsidRPr="004E5745" w:rsidRDefault="00842406" w:rsidP="00D4498D">
      <w:pPr>
        <w:tabs>
          <w:tab w:val="num" w:pos="1000"/>
        </w:tabs>
        <w:spacing w:after="40" w:line="257" w:lineRule="auto"/>
        <w:ind w:left="1000"/>
        <w:jc w:val="both"/>
        <w:rPr>
          <w:rFonts w:ascii="Arial" w:hAnsi="Arial" w:cs="Arial"/>
          <w:bCs/>
        </w:rPr>
      </w:pPr>
      <w:r w:rsidRPr="004E5745">
        <w:rPr>
          <w:rFonts w:ascii="Arial" w:hAnsi="Arial" w:cs="Arial"/>
          <w:bCs/>
        </w:rPr>
        <w:t>Con indicación del número de celdas en 220 kV</w:t>
      </w:r>
      <w:r w:rsidR="00191743">
        <w:rPr>
          <w:rFonts w:ascii="Arial" w:hAnsi="Arial" w:cs="Arial"/>
          <w:bCs/>
        </w:rPr>
        <w:t>, 138 kV</w:t>
      </w:r>
      <w:r w:rsidRPr="004E5745">
        <w:rPr>
          <w:rFonts w:ascii="Arial" w:hAnsi="Arial" w:cs="Arial"/>
          <w:bCs/>
        </w:rPr>
        <w:t>, y otra tensión:</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línea</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transformador</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acoplamiento</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compensación reactiva</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interruptores:</w:t>
      </w:r>
    </w:p>
    <w:p w:rsidR="00AD1E09" w:rsidRDefault="00842406" w:rsidP="004F6B32">
      <w:pPr>
        <w:numPr>
          <w:ilvl w:val="0"/>
          <w:numId w:val="50"/>
        </w:numPr>
        <w:tabs>
          <w:tab w:val="clear" w:pos="567"/>
          <w:tab w:val="clear" w:pos="1134"/>
          <w:tab w:val="clear" w:pos="1701"/>
          <w:tab w:val="clear" w:pos="2280"/>
          <w:tab w:val="clear" w:pos="2835"/>
        </w:tabs>
        <w:spacing w:after="40" w:line="257" w:lineRule="auto"/>
        <w:ind w:left="1200" w:hanging="200"/>
        <w:jc w:val="both"/>
        <w:rPr>
          <w:rFonts w:ascii="Arial" w:hAnsi="Arial" w:cs="Arial"/>
          <w:bCs/>
        </w:rPr>
      </w:pPr>
      <w:r w:rsidRPr="004E5745">
        <w:rPr>
          <w:rFonts w:ascii="Arial" w:hAnsi="Arial" w:cs="Arial"/>
          <w:bCs/>
        </w:rPr>
        <w:t>tipo: tanque muerto o vivo, en SF6 u otro, accionamiento, mando: local y/o remoto, etc.</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100" w:hanging="100"/>
        <w:jc w:val="both"/>
        <w:rPr>
          <w:rFonts w:ascii="Arial" w:hAnsi="Arial" w:cs="Arial"/>
          <w:bCs/>
        </w:rPr>
      </w:pPr>
      <w:r w:rsidRPr="004E5745">
        <w:rPr>
          <w:rFonts w:ascii="Arial" w:hAnsi="Arial" w:cs="Arial"/>
          <w:bCs/>
        </w:rPr>
        <w:t>corriente nominal y de cortocircuito, capacidad de ruptura (MVA).</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seccionadores de línea y barra:</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accionamiento, mando: local y/o remoto, etc.</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corriente nominal y de cortocircuito.</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medida.</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pararrayos.</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potencia.</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Relación de transformación.</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(MVA) con ventilación normal (AN/ON) y forzada</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Taps y sistema de cambiador de taps.</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del sistema de compensación reactiva:</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del reactor, SVC. o banco de capacitores.</w:t>
      </w:r>
    </w:p>
    <w:p w:rsidR="00AD1E09" w:rsidRDefault="00842406" w:rsidP="004F6B32">
      <w:pPr>
        <w:numPr>
          <w:ilvl w:val="0"/>
          <w:numId w:val="50"/>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Forma de accionamiento: continua o por escalones (discreta).</w:t>
      </w:r>
    </w:p>
    <w:p w:rsidR="00AD1E09" w:rsidRDefault="00281A3F"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Pr>
          <w:rFonts w:ascii="Arial" w:hAnsi="Arial" w:cs="Arial"/>
          <w:bCs/>
        </w:rPr>
        <w:br w:type="page"/>
      </w:r>
      <w:r w:rsidR="00842406" w:rsidRPr="004E5745">
        <w:rPr>
          <w:rFonts w:ascii="Arial" w:hAnsi="Arial" w:cs="Arial"/>
          <w:bCs/>
        </w:rPr>
        <w:t>Descripción de los sistemas de protección, medición, control y maniobra. Demostrar que se cumple con los requisitos del COES.</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telecontrol, telemando, adquisición de datos y su enlace con el sistema del COES.</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sistema de comunicaciones.</w:t>
      </w:r>
    </w:p>
    <w:p w:rsidR="00AD1E09" w:rsidRDefault="00842406" w:rsidP="004F6B32">
      <w:pPr>
        <w:numPr>
          <w:ilvl w:val="0"/>
          <w:numId w:val="49"/>
        </w:numPr>
        <w:tabs>
          <w:tab w:val="clear" w:pos="567"/>
          <w:tab w:val="clear" w:pos="1134"/>
          <w:tab w:val="clear" w:pos="1485"/>
          <w:tab w:val="clear" w:pos="1701"/>
          <w:tab w:val="clear" w:pos="2268"/>
          <w:tab w:val="clear" w:pos="2835"/>
          <w:tab w:val="num" w:pos="1000"/>
        </w:tabs>
        <w:spacing w:line="257" w:lineRule="auto"/>
        <w:ind w:left="998" w:hanging="301"/>
        <w:jc w:val="both"/>
        <w:rPr>
          <w:rFonts w:ascii="Arial" w:hAnsi="Arial" w:cs="Arial"/>
          <w:bCs/>
        </w:rPr>
      </w:pPr>
      <w:r w:rsidRPr="004E5745">
        <w:rPr>
          <w:rFonts w:ascii="Arial" w:hAnsi="Arial" w:cs="Arial"/>
          <w:bCs/>
        </w:rPr>
        <w:t>Puesta a tierra. Incluir sistema a emplear (electrodos, malla de tierra profunda u otro), así como dimensiones y sección de los elementos a emplear.</w:t>
      </w:r>
    </w:p>
    <w:p w:rsidR="00842406" w:rsidRPr="004E5745" w:rsidRDefault="00842406" w:rsidP="00D4498D">
      <w:pPr>
        <w:tabs>
          <w:tab w:val="left" w:pos="426"/>
        </w:tabs>
        <w:spacing w:before="240" w:after="240" w:line="257" w:lineRule="auto"/>
        <w:ind w:left="425" w:hanging="425"/>
        <w:jc w:val="both"/>
        <w:rPr>
          <w:rFonts w:ascii="Arial" w:hAnsi="Arial" w:cs="Arial"/>
          <w:b/>
          <w:sz w:val="21"/>
          <w:szCs w:val="21"/>
        </w:rPr>
      </w:pPr>
      <w:r w:rsidRPr="004E5745">
        <w:rPr>
          <w:rFonts w:ascii="Arial" w:hAnsi="Arial" w:cs="Arial"/>
          <w:b/>
          <w:sz w:val="21"/>
          <w:szCs w:val="21"/>
        </w:rPr>
        <w:t>C.</w:t>
      </w:r>
      <w:r w:rsidRPr="004E5745">
        <w:rPr>
          <w:rFonts w:ascii="Arial" w:hAnsi="Arial" w:cs="Arial"/>
          <w:b/>
          <w:sz w:val="21"/>
          <w:szCs w:val="21"/>
        </w:rPr>
        <w:tab/>
        <w:t>Estudio de pre operatividad del sistema eléctrico.</w:t>
      </w:r>
    </w:p>
    <w:p w:rsidR="00842406" w:rsidRPr="004E5745" w:rsidRDefault="00842406" w:rsidP="00D4498D">
      <w:pPr>
        <w:spacing w:line="257" w:lineRule="auto"/>
        <w:ind w:left="425"/>
        <w:jc w:val="both"/>
        <w:rPr>
          <w:rFonts w:ascii="Arial" w:hAnsi="Arial" w:cs="Arial"/>
          <w:bCs/>
        </w:rPr>
      </w:pPr>
      <w:r w:rsidRPr="004E5745">
        <w:rPr>
          <w:rFonts w:ascii="Arial" w:hAnsi="Arial" w:cs="Arial"/>
          <w:bCs/>
        </w:rPr>
        <w:t>El estudio tiene por objeto verificar que el esquema final de las instalaciones permitirá una operación adecuada del SEIN, de conformidad con los requisitos establecidos por el COES.</w:t>
      </w:r>
    </w:p>
    <w:p w:rsidR="00842406" w:rsidRPr="004E5745" w:rsidRDefault="00842406" w:rsidP="00D4498D">
      <w:pPr>
        <w:spacing w:before="80" w:line="257" w:lineRule="auto"/>
        <w:ind w:left="426"/>
        <w:jc w:val="both"/>
        <w:rPr>
          <w:rFonts w:ascii="Arial" w:hAnsi="Arial" w:cs="Arial"/>
          <w:bCs/>
        </w:rPr>
      </w:pPr>
      <w:r w:rsidRPr="004E5745">
        <w:rPr>
          <w:rFonts w:ascii="Arial" w:hAnsi="Arial" w:cs="Arial"/>
          <w:bCs/>
        </w:rPr>
        <w:t>El estudio de pre operatividad abarcará un horizonte no menor de 10 años y comprende el estudio, entre otros, de los siguientes aspectos:</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Pr>
          <w:rFonts w:ascii="Arial" w:hAnsi="Arial" w:cs="Arial"/>
          <w:bCs/>
        </w:rPr>
        <w:t>de Control</w:t>
      </w:r>
      <w:r w:rsidRPr="004E5745">
        <w:rPr>
          <w:rFonts w:ascii="Arial" w:hAnsi="Arial" w:cs="Arial"/>
          <w:bCs/>
        </w:rPr>
        <w:t xml:space="preserve"> del COES adopte medidas correctivas.</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respuesta transitoria post disturbio y verificación de la adecuada respuesta de los dispositivos control, regulación, protección y recierre de acción rápida.</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sobre tensiones y coordinación del aislamiento.</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 de tensiones y corrientes armónicas, su efecto en el SEIN y requerimientos de filtros.</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Diseño de los sistemas de protección y coordinación de protección con el resto de instalaciones del SEIN, de conformidad con las normas del COES.</w:t>
      </w:r>
    </w:p>
    <w:p w:rsidR="00AD1E09" w:rsidRDefault="00842406" w:rsidP="004F6B32">
      <w:pPr>
        <w:numPr>
          <w:ilvl w:val="0"/>
          <w:numId w:val="50"/>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4E5745" w:rsidRDefault="00842406" w:rsidP="00D4498D">
      <w:pPr>
        <w:spacing w:line="257" w:lineRule="auto"/>
        <w:rPr>
          <w:rFonts w:ascii="Arial" w:hAnsi="Arial" w:cs="Arial"/>
          <w:bCs/>
        </w:rPr>
      </w:pPr>
    </w:p>
    <w:p w:rsidR="00454423" w:rsidRDefault="00842406" w:rsidP="00D4498D">
      <w:pPr>
        <w:spacing w:line="257" w:lineRule="auto"/>
        <w:rPr>
          <w:rFonts w:ascii="Arial" w:hAnsi="Arial" w:cs="Arial"/>
          <w:bCs/>
        </w:rPr>
      </w:pPr>
      <w:r w:rsidRPr="004E5745">
        <w:rPr>
          <w:rFonts w:ascii="Arial" w:hAnsi="Arial" w:cs="Arial"/>
          <w:bCs/>
        </w:rPr>
        <w:t>El detalle y alcance del estudio de pre operatividad deberá ser coordinado con el COES.</w:t>
      </w:r>
    </w:p>
    <w:p w:rsidR="00DA19DB" w:rsidRPr="005B69EF" w:rsidRDefault="00DA19DB" w:rsidP="00D4498D">
      <w:pPr>
        <w:tabs>
          <w:tab w:val="left" w:pos="0"/>
          <w:tab w:val="left" w:pos="1276"/>
        </w:tabs>
        <w:spacing w:before="240" w:after="120" w:line="257" w:lineRule="auto"/>
        <w:jc w:val="center"/>
        <w:outlineLvl w:val="0"/>
        <w:rPr>
          <w:rFonts w:ascii="Arial" w:hAnsi="Arial"/>
          <w:b/>
          <w:sz w:val="26"/>
          <w:szCs w:val="26"/>
          <w:u w:val="single"/>
          <w:lang w:val="pt-BR"/>
        </w:rPr>
      </w:pPr>
      <w:r>
        <w:rPr>
          <w:rFonts w:ascii="Arial" w:hAnsi="Arial" w:cs="Arial"/>
          <w:bCs/>
        </w:rPr>
        <w:br w:type="page"/>
      </w:r>
      <w:r w:rsidRPr="005B69EF">
        <w:rPr>
          <w:rFonts w:ascii="Arial" w:hAnsi="Arial"/>
          <w:b/>
          <w:sz w:val="26"/>
          <w:szCs w:val="26"/>
          <w:u w:val="single"/>
          <w:lang w:val="pt-BR"/>
        </w:rPr>
        <w:t>Anexo 9</w:t>
      </w:r>
    </w:p>
    <w:p w:rsidR="00DA19DB" w:rsidRPr="005B69EF" w:rsidRDefault="00DA19DB" w:rsidP="00D4498D">
      <w:pPr>
        <w:spacing w:before="120" w:after="360" w:line="257" w:lineRule="auto"/>
        <w:jc w:val="center"/>
        <w:outlineLvl w:val="0"/>
        <w:rPr>
          <w:rFonts w:ascii="Arial" w:hAnsi="Arial"/>
          <w:b/>
          <w:sz w:val="26"/>
          <w:szCs w:val="26"/>
        </w:rPr>
      </w:pPr>
      <w:r w:rsidRPr="005B69EF">
        <w:rPr>
          <w:rFonts w:ascii="Arial" w:hAnsi="Arial"/>
          <w:b/>
          <w:sz w:val="26"/>
          <w:szCs w:val="26"/>
        </w:rPr>
        <w:t>Consulta Previa</w:t>
      </w:r>
    </w:p>
    <w:p w:rsidR="00DA19DB" w:rsidRPr="005B69EF" w:rsidRDefault="00DA19DB" w:rsidP="00D4498D">
      <w:pPr>
        <w:spacing w:before="360" w:line="257" w:lineRule="auto"/>
        <w:jc w:val="both"/>
        <w:rPr>
          <w:rFonts w:ascii="Arial" w:hAnsi="Arial" w:cs="Arial"/>
        </w:rPr>
      </w:pPr>
      <w:r w:rsidRPr="005B69EF">
        <w:rPr>
          <w:rFonts w:ascii="Arial" w:hAnsi="Arial" w:cs="Arial"/>
        </w:rPr>
        <w:t>El presente anexo tendrá como finalidad regular la realización de la Consulta Previa, de acuerdo a la Ley Nº</w:t>
      </w:r>
      <w:r w:rsidR="005D4A90">
        <w:rPr>
          <w:rFonts w:ascii="Arial" w:hAnsi="Arial" w:cs="Arial"/>
        </w:rPr>
        <w:t xml:space="preserve"> </w:t>
      </w:r>
      <w:r w:rsidRPr="005B69EF">
        <w:rPr>
          <w:rFonts w:ascii="Arial" w:hAnsi="Arial" w:cs="Arial"/>
        </w:rPr>
        <w:t>29785</w:t>
      </w:r>
      <w:r>
        <w:rPr>
          <w:rFonts w:ascii="Arial" w:hAnsi="Arial" w:cs="Arial"/>
        </w:rPr>
        <w:t xml:space="preserve"> y su Reglamento aprobado por D.S. 001-2012-MC, así como sus modificatorias</w:t>
      </w:r>
      <w:r w:rsidR="00D2293F">
        <w:rPr>
          <w:rFonts w:ascii="Arial" w:hAnsi="Arial" w:cs="Arial"/>
        </w:rPr>
        <w:t>, ampliatorias o sustitutorias</w:t>
      </w:r>
      <w:r w:rsidRPr="005B69EF">
        <w:rPr>
          <w:rFonts w:ascii="Arial" w:hAnsi="Arial" w:cs="Arial"/>
        </w:rPr>
        <w:t>.</w:t>
      </w:r>
    </w:p>
    <w:p w:rsidR="00DA19DB" w:rsidRPr="005B69EF" w:rsidRDefault="00DA19DB" w:rsidP="004F6B32">
      <w:pPr>
        <w:numPr>
          <w:ilvl w:val="0"/>
          <w:numId w:val="93"/>
        </w:numPr>
        <w:tabs>
          <w:tab w:val="clear" w:pos="567"/>
          <w:tab w:val="clear" w:pos="1134"/>
          <w:tab w:val="clear" w:pos="1701"/>
          <w:tab w:val="clear" w:pos="2268"/>
          <w:tab w:val="clear" w:pos="2835"/>
          <w:tab w:val="left" w:pos="425"/>
        </w:tabs>
        <w:spacing w:before="360" w:line="257" w:lineRule="auto"/>
        <w:ind w:left="425" w:hanging="425"/>
        <w:jc w:val="both"/>
        <w:rPr>
          <w:rFonts w:ascii="Arial" w:hAnsi="Arial" w:cs="Arial"/>
        </w:rPr>
      </w:pPr>
      <w:r w:rsidRPr="005B69EF">
        <w:rPr>
          <w:rFonts w:ascii="Arial" w:hAnsi="Arial" w:cs="Arial"/>
          <w:b/>
        </w:rPr>
        <w:t>Definiciones</w:t>
      </w:r>
      <w:r w:rsidRPr="005B69EF">
        <w:rPr>
          <w:rFonts w:ascii="Arial" w:hAnsi="Arial" w:cs="Arial"/>
        </w:rPr>
        <w:t>.- Para los efectos del Contrato y est</w:t>
      </w:r>
      <w:r w:rsidR="005D4A90">
        <w:rPr>
          <w:rFonts w:ascii="Arial" w:hAnsi="Arial" w:cs="Arial"/>
        </w:rPr>
        <w:t>e</w:t>
      </w:r>
      <w:r w:rsidRPr="005B69EF">
        <w:rPr>
          <w:rFonts w:ascii="Arial" w:hAnsi="Arial" w:cs="Arial"/>
        </w:rPr>
        <w:t xml:space="preserve"> anexo en particular, entiéndase por:</w:t>
      </w:r>
    </w:p>
    <w:p w:rsidR="00DA19DB" w:rsidRPr="00731FCC"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Acuerdos</w:t>
      </w:r>
      <w:r w:rsidRPr="007D51C3">
        <w:rPr>
          <w:rFonts w:ascii="Arial" w:hAnsi="Arial" w:cs="Arial"/>
        </w:rPr>
        <w:t xml:space="preserve">: </w:t>
      </w:r>
      <w:r w:rsidRPr="005B69EF">
        <w:rPr>
          <w:rFonts w:ascii="Arial" w:hAnsi="Arial" w:cs="Arial"/>
        </w:rPr>
        <w:t xml:space="preserve">son los </w:t>
      </w:r>
      <w:r w:rsidRPr="00541DE3">
        <w:rPr>
          <w:rFonts w:ascii="Arial" w:hAnsi="Arial" w:cs="Arial"/>
        </w:rPr>
        <w:t xml:space="preserve">acuerdos resultantes de la Consulta Previa celebrados por el Concedente, que tenga por </w:t>
      </w:r>
      <w:r w:rsidRPr="008C7F9D">
        <w:rPr>
          <w:rFonts w:ascii="Arial" w:hAnsi="Arial" w:cs="Arial"/>
        </w:rPr>
        <w:t>objeto o efecto directo regular las Compensaciones o la localización de la Infraestructura.</w:t>
      </w:r>
    </w:p>
    <w:p w:rsidR="00DA19DB" w:rsidRPr="008C7F9D"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8C7F9D">
        <w:rPr>
          <w:rFonts w:ascii="Arial" w:hAnsi="Arial" w:cs="Arial"/>
          <w:u w:val="single"/>
        </w:rPr>
        <w:t>Áreas Excluidas</w:t>
      </w:r>
      <w:r w:rsidRPr="008C7F9D">
        <w:rPr>
          <w:rFonts w:ascii="Arial" w:hAnsi="Arial" w:cs="Arial"/>
        </w:rPr>
        <w:t>: Son los espacios geográficos que no pueden ser utilizados para instalar la Infraestructura o construirla</w:t>
      </w:r>
      <w:r w:rsidR="00731FCC">
        <w:rPr>
          <w:rFonts w:ascii="Arial" w:hAnsi="Arial" w:cs="Arial"/>
        </w:rPr>
        <w:t>, según lo indicado en el Anexo 1</w:t>
      </w:r>
      <w:r w:rsidR="00DA13B4">
        <w:rPr>
          <w:rFonts w:ascii="Arial" w:hAnsi="Arial" w:cs="Arial"/>
        </w:rPr>
        <w:t>0</w:t>
      </w:r>
      <w:r w:rsidRPr="008C7F9D">
        <w:rPr>
          <w:rFonts w:ascii="Arial" w:hAnsi="Arial" w:cs="Arial"/>
        </w:rPr>
        <w:t>.</w:t>
      </w:r>
    </w:p>
    <w:p w:rsidR="00DA19DB" w:rsidRPr="00541DE3"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41DE3">
        <w:rPr>
          <w:rFonts w:ascii="Arial" w:hAnsi="Arial" w:cs="Arial"/>
          <w:u w:val="single"/>
        </w:rPr>
        <w:t>Compensaciones:</w:t>
      </w:r>
      <w:r w:rsidRPr="00541DE3">
        <w:rPr>
          <w:rFonts w:ascii="Arial" w:hAnsi="Arial" w:cs="Arial"/>
        </w:rPr>
        <w:t xml:space="preserve"> son los precios, retribuciones, remuneraciones, indemnizaciones y en general las contraprestaciones y pagos que, bajo cualquier denominación, periodicidad o característica; el Concesionario pague a los pueblos indígenas u originarios o a sus miembros, que resulten de la implementación de los Acuerdos o las Restricciones.</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Consulta Previa</w:t>
      </w:r>
      <w:r w:rsidRPr="005B69EF">
        <w:rPr>
          <w:rFonts w:ascii="Arial" w:hAnsi="Arial" w:cs="Arial"/>
        </w:rPr>
        <w:t>: el proceso de consulta a pueblos indígenas u originarios que el Concedente debe efectuar conforme a la Ley N° 29785 y su reglamentación.</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Diferencia por Localización</w:t>
      </w:r>
      <w:r w:rsidRPr="00D12117">
        <w:rPr>
          <w:rFonts w:ascii="Arial" w:hAnsi="Arial" w:cs="Arial"/>
        </w:rPr>
        <w:t xml:space="preserve">: </w:t>
      </w:r>
      <w:r w:rsidRPr="005B69EF">
        <w:rPr>
          <w:rFonts w:ascii="Arial" w:hAnsi="Arial" w:cs="Arial"/>
        </w:rPr>
        <w:t xml:space="preserve">es </w:t>
      </w:r>
      <w:r>
        <w:rPr>
          <w:rFonts w:ascii="Arial" w:hAnsi="Arial" w:cs="Arial"/>
        </w:rPr>
        <w:t>el incremento de la inversión efectuada en la Infraestructura como consecuencia de las Variantes</w:t>
      </w:r>
      <w:r w:rsidRPr="005B69EF">
        <w:rPr>
          <w:rFonts w:ascii="Arial" w:hAnsi="Arial" w:cs="Arial"/>
        </w:rPr>
        <w:t>.</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Infraestructura:</w:t>
      </w:r>
      <w:r w:rsidRPr="005B69EF">
        <w:rPr>
          <w:rFonts w:ascii="Arial" w:hAnsi="Arial" w:cs="Arial"/>
        </w:rPr>
        <w:t xml:space="preserve"> es cualquier infraestructura temporal o definitiva, que deba ser construida </w:t>
      </w:r>
      <w:r>
        <w:rPr>
          <w:rFonts w:ascii="Arial" w:hAnsi="Arial" w:cs="Arial"/>
        </w:rPr>
        <w:t>para</w:t>
      </w:r>
      <w:r w:rsidRPr="005B69EF">
        <w:rPr>
          <w:rFonts w:ascii="Arial" w:hAnsi="Arial" w:cs="Arial"/>
        </w:rPr>
        <w:t xml:space="preserve"> prestar el Servicio en los términos de este Contrato. Incluye carreteras o trochas de acceso necesarios para el proceso constructivo o para la operación y mantenimiento posterior a la Puesta en Operación Comercial.</w:t>
      </w:r>
    </w:p>
    <w:p w:rsidR="00DA19DB" w:rsidRPr="00541DE3"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41DE3">
        <w:rPr>
          <w:rFonts w:ascii="Arial" w:hAnsi="Arial" w:cs="Arial"/>
          <w:u w:val="single"/>
        </w:rPr>
        <w:t>Medida Administrativa:</w:t>
      </w:r>
      <w:r w:rsidRPr="00541DE3">
        <w:rPr>
          <w:rFonts w:ascii="Arial" w:hAnsi="Arial" w:cs="Arial"/>
        </w:rPr>
        <w:t xml:space="preserve"> Es la resolución que aprueb</w:t>
      </w:r>
      <w:r w:rsidR="002F168E">
        <w:rPr>
          <w:rFonts w:ascii="Arial" w:hAnsi="Arial" w:cs="Arial"/>
        </w:rPr>
        <w:t>a la Concesión Definitiva de la Línea Eléctrica.</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Memoria Descriptiva Indígena</w:t>
      </w:r>
      <w:r w:rsidRPr="00000697">
        <w:rPr>
          <w:rFonts w:ascii="Arial" w:hAnsi="Arial" w:cs="Arial"/>
        </w:rPr>
        <w:t>:</w:t>
      </w:r>
      <w:r w:rsidRPr="005B69EF">
        <w:rPr>
          <w:rFonts w:ascii="Arial" w:hAnsi="Arial" w:cs="Arial"/>
        </w:rPr>
        <w:t xml:space="preserve"> es el documento elaborado por el Concesionario que éste entregará al Concedente y la DGAAE conjuntamente con su Plan de Participación Ciudadana, conteniendo la siguiente información:</w:t>
      </w:r>
    </w:p>
    <w:p w:rsidR="00DA19DB" w:rsidRPr="005B69EF" w:rsidRDefault="00DA19DB" w:rsidP="004F6B32">
      <w:pPr>
        <w:numPr>
          <w:ilvl w:val="0"/>
          <w:numId w:val="91"/>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Los planos de ubicación de los terrenos o territorios poseídos u ocupados con o sin título por los pueblos indígenas u originarios, que serían en todo o en parte, utilizados o afectados por la Infraestructura o su operación o mantenimiento.</w:t>
      </w:r>
    </w:p>
    <w:p w:rsidR="00DA19DB" w:rsidRPr="005B69EF" w:rsidRDefault="00DA19DB" w:rsidP="004F6B32">
      <w:pPr>
        <w:numPr>
          <w:ilvl w:val="0"/>
          <w:numId w:val="91"/>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La denominación de los referidos pueblos y la identidad y forma de localizar a las personas naturales que serían sus representantes, tengan o no poderes formalmente establecidos. Se indicará asimismo la población estimada por cada pueblo, la lengua local y las vías de acceso. Se considerarán tod</w:t>
      </w:r>
      <w:r>
        <w:rPr>
          <w:rFonts w:ascii="Arial" w:hAnsi="Arial" w:cs="Arial"/>
        </w:rPr>
        <w:t>o</w:t>
      </w:r>
      <w:r w:rsidRPr="005B69EF">
        <w:rPr>
          <w:rFonts w:ascii="Arial" w:hAnsi="Arial" w:cs="Arial"/>
        </w:rPr>
        <w:t>s los pueblos indígenas u originarios que califiquen como tal en los términos de la Ley N° 29785, su reglamento y otras normas aplicables.</w:t>
      </w:r>
    </w:p>
    <w:p w:rsidR="00DA19DB" w:rsidRDefault="00DA19DB" w:rsidP="004F6B32">
      <w:pPr>
        <w:numPr>
          <w:ilvl w:val="0"/>
          <w:numId w:val="91"/>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 xml:space="preserve">La forma o medida en que, a juicio del Concesionario, la construcción o existencia de la Infraestructura tendría la </w:t>
      </w:r>
      <w:r w:rsidRPr="003808E8">
        <w:rPr>
          <w:rFonts w:ascii="Arial" w:hAnsi="Arial" w:cs="Arial"/>
        </w:rPr>
        <w:t>potencialidad de afectar directamente derechos colectivos de las comunidades campesinas y nativas, de ser el caso.</w:t>
      </w:r>
    </w:p>
    <w:p w:rsidR="00FE0C50" w:rsidRPr="003808E8" w:rsidRDefault="00FE0C50" w:rsidP="00387974">
      <w:pPr>
        <w:tabs>
          <w:tab w:val="clear" w:pos="567"/>
          <w:tab w:val="clear" w:pos="1701"/>
          <w:tab w:val="clear" w:pos="2268"/>
          <w:tab w:val="clear" w:pos="2835"/>
        </w:tabs>
        <w:spacing w:before="80" w:line="257" w:lineRule="auto"/>
        <w:ind w:left="851"/>
        <w:jc w:val="both"/>
        <w:rPr>
          <w:rFonts w:ascii="Arial" w:hAnsi="Arial" w:cs="Arial"/>
        </w:rPr>
      </w:pPr>
      <w:r>
        <w:rPr>
          <w:rFonts w:ascii="Arial" w:hAnsi="Arial" w:cs="Arial"/>
        </w:rPr>
        <w:t>La Memoria Descriptiva Indígena no será pasible de observaciones por parte del Concedente, dado su carácter referencial.</w:t>
      </w:r>
    </w:p>
    <w:p w:rsidR="00DA19DB" w:rsidRPr="003808E8"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3808E8">
        <w:rPr>
          <w:rFonts w:ascii="Arial" w:hAnsi="Arial" w:cs="Arial"/>
          <w:u w:val="single"/>
        </w:rPr>
        <w:t>Participación Ciudadana:</w:t>
      </w:r>
      <w:r w:rsidRPr="003808E8">
        <w:rPr>
          <w:rFonts w:ascii="Arial" w:hAnsi="Arial" w:cs="Arial"/>
        </w:rPr>
        <w:t xml:space="preserve"> el proceso de participación ciudadana a que se refieren la Resolución Ministerial </w:t>
      </w:r>
      <w:r w:rsidR="00C10945">
        <w:rPr>
          <w:rFonts w:ascii="Arial" w:hAnsi="Arial" w:cs="Arial"/>
        </w:rPr>
        <w:t xml:space="preserve">Nº </w:t>
      </w:r>
      <w:r w:rsidRPr="003808E8">
        <w:rPr>
          <w:rFonts w:ascii="Arial" w:hAnsi="Arial" w:cs="Arial"/>
        </w:rPr>
        <w:t>535-2004-MEM-DM y la Resolución Ministerial</w:t>
      </w:r>
      <w:r w:rsidR="00C10945">
        <w:rPr>
          <w:rFonts w:ascii="Arial" w:hAnsi="Arial" w:cs="Arial"/>
        </w:rPr>
        <w:t xml:space="preserve"> Nº</w:t>
      </w:r>
      <w:r w:rsidRPr="003808E8">
        <w:rPr>
          <w:rFonts w:ascii="Arial" w:hAnsi="Arial" w:cs="Arial"/>
        </w:rPr>
        <w:t xml:space="preserve"> 223-2010-MEM-DM, o las normas que en el futuro hagan sus veces.</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3808E8">
        <w:rPr>
          <w:rFonts w:ascii="Arial" w:hAnsi="Arial" w:cs="Arial"/>
          <w:u w:val="single"/>
        </w:rPr>
        <w:t>Planteo</w:t>
      </w:r>
      <w:r w:rsidRPr="003808E8">
        <w:rPr>
          <w:rFonts w:ascii="Arial" w:hAnsi="Arial" w:cs="Arial"/>
        </w:rPr>
        <w:t>: es la localización de todos los componentes de la Infraestructura propuesta inicialmente por el Concesionario. Los planos detallados</w:t>
      </w:r>
      <w:r w:rsidRPr="005B69EF">
        <w:rPr>
          <w:rFonts w:ascii="Arial" w:hAnsi="Arial" w:cs="Arial"/>
        </w:rPr>
        <w:t xml:space="preserve"> que permiten conocer el Planteo, son entregados por el Concesionario al Concedente y la DGAAE, conjuntamente con su Plan de Participación Ciudadana</w:t>
      </w:r>
      <w:r>
        <w:rPr>
          <w:rFonts w:ascii="Arial" w:hAnsi="Arial" w:cs="Arial"/>
        </w:rPr>
        <w:t>.</w:t>
      </w:r>
    </w:p>
    <w:p w:rsidR="00DA19DB" w:rsidRPr="005B69EF"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Restricciones:</w:t>
      </w:r>
      <w:r w:rsidRPr="005B69EF">
        <w:rPr>
          <w:rFonts w:ascii="Arial" w:hAnsi="Arial" w:cs="Arial"/>
        </w:rPr>
        <w:t xml:space="preserve"> son las medidas que a juicio del Concedente resultaran necesarias para garantizar los derechos colectivos de los pueblos indígenas u originarios. Estas medidas pueden decidirse debido a que el Concedente no pudo celebrar Acuerdos o los que celebró son insuficientes o incompletos a juicio del propio Concedente. </w:t>
      </w:r>
      <w:r>
        <w:rPr>
          <w:rFonts w:ascii="Arial" w:hAnsi="Arial" w:cs="Arial"/>
        </w:rPr>
        <w:t xml:space="preserve">Las Restricciones serán notificadas </w:t>
      </w:r>
      <w:r w:rsidRPr="005B69EF">
        <w:rPr>
          <w:rFonts w:ascii="Arial" w:hAnsi="Arial" w:cs="Arial"/>
        </w:rPr>
        <w:t>conjuntamente con la aprobación de la medida administrativa objeto de Consulta Previa</w:t>
      </w:r>
      <w:r>
        <w:rPr>
          <w:rFonts w:ascii="Arial" w:hAnsi="Arial" w:cs="Arial"/>
        </w:rPr>
        <w:t xml:space="preserve">, o excepcionalmente </w:t>
      </w:r>
      <w:r w:rsidR="00731FCC">
        <w:rPr>
          <w:rFonts w:ascii="Arial" w:hAnsi="Arial" w:cs="Arial"/>
        </w:rPr>
        <w:t>hasta la POC</w:t>
      </w:r>
      <w:r w:rsidRPr="005B69EF">
        <w:rPr>
          <w:rFonts w:ascii="Arial" w:hAnsi="Arial" w:cs="Arial"/>
        </w:rPr>
        <w:t>.</w:t>
      </w:r>
    </w:p>
    <w:p w:rsidR="00DA19DB" w:rsidRPr="00F90674" w:rsidRDefault="00DA19DB" w:rsidP="004F6B32">
      <w:pPr>
        <w:numPr>
          <w:ilvl w:val="0"/>
          <w:numId w:val="90"/>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Variante:</w:t>
      </w:r>
      <w:r w:rsidRPr="005B69EF">
        <w:rPr>
          <w:rFonts w:ascii="Arial" w:hAnsi="Arial" w:cs="Arial"/>
        </w:rPr>
        <w:t xml:space="preserve"> es la variación en la localización de la Infraestructura como consecuencia de los Acuerdos</w:t>
      </w:r>
      <w:r>
        <w:rPr>
          <w:rFonts w:ascii="Arial" w:hAnsi="Arial" w:cs="Arial"/>
        </w:rPr>
        <w:t xml:space="preserve"> y Restricciones</w:t>
      </w:r>
      <w:r w:rsidRPr="005B69EF">
        <w:rPr>
          <w:rFonts w:ascii="Arial" w:hAnsi="Arial" w:cs="Arial"/>
        </w:rPr>
        <w:t>, respecto al Planteo.</w:t>
      </w:r>
    </w:p>
    <w:p w:rsidR="00DA19DB" w:rsidRPr="005B69EF" w:rsidRDefault="00DA19DB" w:rsidP="004F6B32">
      <w:pPr>
        <w:numPr>
          <w:ilvl w:val="0"/>
          <w:numId w:val="93"/>
        </w:numPr>
        <w:tabs>
          <w:tab w:val="clear" w:pos="567"/>
          <w:tab w:val="clear" w:pos="1134"/>
          <w:tab w:val="clear" w:pos="1701"/>
          <w:tab w:val="clear" w:pos="2268"/>
          <w:tab w:val="clear" w:pos="2835"/>
          <w:tab w:val="left" w:pos="425"/>
        </w:tabs>
        <w:spacing w:before="360" w:after="120" w:line="257" w:lineRule="auto"/>
        <w:ind w:left="425" w:hanging="425"/>
        <w:jc w:val="both"/>
        <w:rPr>
          <w:rFonts w:ascii="Arial" w:hAnsi="Arial" w:cs="Arial"/>
        </w:rPr>
      </w:pPr>
      <w:r w:rsidRPr="005B69EF">
        <w:rPr>
          <w:rFonts w:ascii="Arial" w:hAnsi="Arial" w:cs="Arial"/>
          <w:b/>
        </w:rPr>
        <w:t xml:space="preserve">Reglas.- </w:t>
      </w:r>
      <w:r w:rsidRPr="005B69EF">
        <w:rPr>
          <w:rFonts w:ascii="Arial" w:hAnsi="Arial" w:cs="Arial"/>
        </w:rPr>
        <w:t>Se aplicarán las reglas siguientes:</w:t>
      </w:r>
    </w:p>
    <w:p w:rsidR="00DA19DB" w:rsidRPr="005B69EF" w:rsidRDefault="00DA19DB" w:rsidP="004F6B32">
      <w:pPr>
        <w:numPr>
          <w:ilvl w:val="0"/>
          <w:numId w:val="92"/>
        </w:numPr>
        <w:tabs>
          <w:tab w:val="clear" w:pos="567"/>
          <w:tab w:val="clear" w:pos="1134"/>
          <w:tab w:val="clear" w:pos="1701"/>
          <w:tab w:val="clear" w:pos="2268"/>
          <w:tab w:val="clear" w:pos="2835"/>
        </w:tabs>
        <w:spacing w:line="257" w:lineRule="auto"/>
        <w:ind w:left="850" w:hanging="425"/>
        <w:jc w:val="both"/>
        <w:rPr>
          <w:rFonts w:ascii="Arial" w:hAnsi="Arial" w:cs="Arial"/>
        </w:rPr>
      </w:pPr>
      <w:r w:rsidRPr="005B69EF">
        <w:rPr>
          <w:rFonts w:ascii="Arial" w:hAnsi="Arial" w:cs="Arial"/>
          <w:u w:val="single"/>
        </w:rPr>
        <w:t>Oportunidad de la Consulta Previa</w:t>
      </w:r>
      <w:r w:rsidRPr="005B69EF">
        <w:rPr>
          <w:rFonts w:ascii="Arial" w:hAnsi="Arial" w:cs="Arial"/>
        </w:rPr>
        <w:t>.-</w:t>
      </w:r>
    </w:p>
    <w:p w:rsidR="00DA19DB" w:rsidRPr="008C7F9D" w:rsidRDefault="00DA19DB" w:rsidP="00D4498D">
      <w:pPr>
        <w:spacing w:before="120" w:line="257" w:lineRule="auto"/>
        <w:ind w:left="851"/>
        <w:jc w:val="both"/>
        <w:rPr>
          <w:rFonts w:ascii="Arial" w:hAnsi="Arial" w:cs="Arial"/>
        </w:rPr>
      </w:pPr>
      <w:r>
        <w:rPr>
          <w:rFonts w:ascii="Arial" w:hAnsi="Arial" w:cs="Arial"/>
        </w:rPr>
        <w:t>D</w:t>
      </w:r>
      <w:r w:rsidRPr="005B69EF">
        <w:rPr>
          <w:rFonts w:ascii="Arial" w:hAnsi="Arial" w:cs="Arial"/>
        </w:rPr>
        <w:t>e considerar el Concedente que la Consulta Previa es legalmente necesaria, dicha consulta será ejecutada en paralelo a la Participación Ciudadana. Es obligación del Concedente, organizar y ejecutar la Consulta Previa, de maner</w:t>
      </w:r>
      <w:r w:rsidRPr="008C7F9D">
        <w:rPr>
          <w:rFonts w:ascii="Arial" w:hAnsi="Arial" w:cs="Arial"/>
        </w:rPr>
        <w:t xml:space="preserve">a que ésta concluya </w:t>
      </w:r>
      <w:r w:rsidR="008C7F9D" w:rsidRPr="008C7F9D">
        <w:rPr>
          <w:rFonts w:ascii="Arial" w:hAnsi="Arial" w:cs="Arial"/>
        </w:rPr>
        <w:t>según lo indicado en el artículo 23º del Decreto Supremo Nº 001-2012-MC</w:t>
      </w:r>
      <w:r w:rsidR="008C7F9D">
        <w:rPr>
          <w:rFonts w:ascii="Arial" w:hAnsi="Arial" w:cs="Arial"/>
        </w:rPr>
        <w:t>.</w:t>
      </w:r>
    </w:p>
    <w:p w:rsidR="00DA19DB" w:rsidRPr="005B69EF" w:rsidRDefault="00DA19DB" w:rsidP="00D4498D">
      <w:pPr>
        <w:spacing w:before="120" w:line="257" w:lineRule="auto"/>
        <w:ind w:left="851"/>
        <w:jc w:val="both"/>
        <w:rPr>
          <w:rFonts w:ascii="Arial" w:hAnsi="Arial" w:cs="Arial"/>
        </w:rPr>
      </w:pPr>
      <w:r w:rsidRPr="008C7F9D">
        <w:rPr>
          <w:rFonts w:ascii="Arial" w:hAnsi="Arial" w:cs="Arial"/>
        </w:rPr>
        <w:t>El Concedente declara que para efectos del desarrollo</w:t>
      </w:r>
      <w:r>
        <w:rPr>
          <w:rFonts w:ascii="Arial" w:hAnsi="Arial" w:cs="Arial"/>
        </w:rPr>
        <w:t xml:space="preserve"> de la Concesión</w:t>
      </w:r>
      <w:r w:rsidRPr="005B69EF">
        <w:rPr>
          <w:rFonts w:ascii="Arial" w:hAnsi="Arial" w:cs="Arial"/>
        </w:rPr>
        <w:t>, no se</w:t>
      </w:r>
      <w:r>
        <w:rPr>
          <w:rFonts w:ascii="Arial" w:hAnsi="Arial" w:cs="Arial"/>
        </w:rPr>
        <w:t xml:space="preserve"> requeri</w:t>
      </w:r>
      <w:r w:rsidRPr="005B69EF">
        <w:rPr>
          <w:rFonts w:ascii="Arial" w:hAnsi="Arial" w:cs="Arial"/>
        </w:rPr>
        <w:t xml:space="preserve">rá Consulta Previa </w:t>
      </w:r>
      <w:r>
        <w:rPr>
          <w:rFonts w:ascii="Arial" w:hAnsi="Arial" w:cs="Arial"/>
        </w:rPr>
        <w:t xml:space="preserve">respecto de ningún otro acto o medida </w:t>
      </w:r>
      <w:r w:rsidRPr="005B69EF">
        <w:rPr>
          <w:rFonts w:ascii="Arial" w:hAnsi="Arial" w:cs="Arial"/>
        </w:rPr>
        <w:t xml:space="preserve">distinta a la </w:t>
      </w:r>
      <w:r>
        <w:rPr>
          <w:rFonts w:ascii="Arial" w:hAnsi="Arial" w:cs="Arial"/>
        </w:rPr>
        <w:t>Medida Administrativa.</w:t>
      </w:r>
    </w:p>
    <w:p w:rsidR="00DA19DB" w:rsidRPr="005B69EF" w:rsidRDefault="00DA19DB" w:rsidP="004F6B32">
      <w:pPr>
        <w:numPr>
          <w:ilvl w:val="0"/>
          <w:numId w:val="92"/>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Función de la Memoria Descriptiva Indígena.</w:t>
      </w:r>
    </w:p>
    <w:p w:rsidR="00DA19DB" w:rsidRPr="005B69EF"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La Memoria Descriptiva Indígena será considerada por ambas Partes como referencial, de manera que la falta de exactitud o plenitud de dicha memoria no ocasionará ningún perjuicio para el Concesionario ni relevará al Concedente de su obligación de evaluar si corresponde efectuar una Consulta Previa y en su caso, de efectuar dicha consulta en los términos establecidos por las Leyes Aplicables.</w:t>
      </w:r>
    </w:p>
    <w:p w:rsidR="00DA19DB" w:rsidRPr="005B69EF"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 xml:space="preserve">No obstante su carácter referencial, el Concesionario </w:t>
      </w:r>
      <w:r>
        <w:rPr>
          <w:rFonts w:ascii="Arial" w:hAnsi="Arial" w:cs="Arial"/>
        </w:rPr>
        <w:t>deberá realizar s</w:t>
      </w:r>
      <w:r w:rsidRPr="005B69EF">
        <w:rPr>
          <w:rFonts w:ascii="Arial" w:hAnsi="Arial" w:cs="Arial"/>
        </w:rPr>
        <w:t>us mejores esfuerzos para conseguir y presentar la Memoria Descriptiva Indígena con información suficiente y útil, que permita al Concedente decidir si corresponde o no la Consulta Previa, respecto de quiénes y cómo ejecutarla de manera ordenada, sencilla y eficiente.</w:t>
      </w:r>
    </w:p>
    <w:p w:rsidR="00DA19DB" w:rsidRPr="005B69EF" w:rsidRDefault="00387974" w:rsidP="004F6B32">
      <w:pPr>
        <w:numPr>
          <w:ilvl w:val="0"/>
          <w:numId w:val="92"/>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Pr>
          <w:rFonts w:ascii="Arial" w:hAnsi="Arial" w:cs="Arial"/>
          <w:u w:val="single"/>
        </w:rPr>
        <w:br w:type="page"/>
      </w:r>
      <w:r w:rsidR="00DA19DB" w:rsidRPr="005B69EF">
        <w:rPr>
          <w:rFonts w:ascii="Arial" w:hAnsi="Arial" w:cs="Arial"/>
          <w:u w:val="single"/>
        </w:rPr>
        <w:t>Efectos de los Acuerdos sobre el Contrato.</w:t>
      </w:r>
    </w:p>
    <w:p w:rsidR="00DA19DB" w:rsidRPr="005B69EF"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La aprobac</w:t>
      </w:r>
      <w:r>
        <w:rPr>
          <w:rFonts w:ascii="Arial" w:hAnsi="Arial" w:cs="Arial"/>
        </w:rPr>
        <w:t xml:space="preserve">ión de la Medida Administrativa, la suscripción de </w:t>
      </w:r>
      <w:r w:rsidRPr="005B69EF">
        <w:rPr>
          <w:rFonts w:ascii="Arial" w:hAnsi="Arial" w:cs="Arial"/>
        </w:rPr>
        <w:t>los Acuerdos</w:t>
      </w:r>
      <w:r>
        <w:rPr>
          <w:rFonts w:ascii="Arial" w:hAnsi="Arial" w:cs="Arial"/>
        </w:rPr>
        <w:t xml:space="preserve"> y las Restricciones</w:t>
      </w:r>
      <w:r w:rsidRPr="005B69EF">
        <w:rPr>
          <w:rFonts w:ascii="Arial" w:hAnsi="Arial" w:cs="Arial"/>
        </w:rPr>
        <w:t>, comporta</w:t>
      </w:r>
      <w:r>
        <w:rPr>
          <w:rFonts w:ascii="Arial" w:hAnsi="Arial" w:cs="Arial"/>
        </w:rPr>
        <w:t>n</w:t>
      </w:r>
      <w:r w:rsidRPr="005B69EF">
        <w:rPr>
          <w:rFonts w:ascii="Arial" w:hAnsi="Arial" w:cs="Arial"/>
        </w:rPr>
        <w:t xml:space="preserve"> lo siguiente:</w:t>
      </w:r>
    </w:p>
    <w:p w:rsidR="00DA19DB" w:rsidRPr="005B69EF" w:rsidRDefault="00DA19DB" w:rsidP="004F6B32">
      <w:pPr>
        <w:numPr>
          <w:ilvl w:val="1"/>
          <w:numId w:val="92"/>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Pr>
          <w:rFonts w:ascii="Arial" w:hAnsi="Arial" w:cs="Arial"/>
        </w:rPr>
        <w:t xml:space="preserve">El Costo de Inversión a que se refiere el literal b) de la Cláusula 8.1 será incrementado en el monto de las </w:t>
      </w:r>
      <w:r w:rsidRPr="005B69EF">
        <w:rPr>
          <w:rFonts w:ascii="Arial" w:hAnsi="Arial" w:cs="Arial"/>
        </w:rPr>
        <w:t xml:space="preserve">Compensaciones </w:t>
      </w:r>
      <w:r>
        <w:rPr>
          <w:rFonts w:ascii="Arial" w:hAnsi="Arial" w:cs="Arial"/>
        </w:rPr>
        <w:t>y</w:t>
      </w:r>
      <w:r w:rsidRPr="005B69EF">
        <w:rPr>
          <w:rFonts w:ascii="Arial" w:hAnsi="Arial" w:cs="Arial"/>
        </w:rPr>
        <w:t xml:space="preserve"> </w:t>
      </w:r>
      <w:r>
        <w:rPr>
          <w:rFonts w:ascii="Arial" w:hAnsi="Arial" w:cs="Arial"/>
        </w:rPr>
        <w:t xml:space="preserve">el de </w:t>
      </w:r>
      <w:r w:rsidRPr="005B69EF">
        <w:rPr>
          <w:rFonts w:ascii="Arial" w:hAnsi="Arial" w:cs="Arial"/>
        </w:rPr>
        <w:t>la Diferencia por Localización</w:t>
      </w:r>
      <w:r>
        <w:rPr>
          <w:rFonts w:ascii="Arial" w:hAnsi="Arial" w:cs="Arial"/>
        </w:rPr>
        <w:t>, cuando sean desembolsadas o se produzca la POC, respectivamente</w:t>
      </w:r>
      <w:r w:rsidRPr="005B69EF">
        <w:rPr>
          <w:rFonts w:ascii="Arial" w:hAnsi="Arial" w:cs="Arial"/>
        </w:rPr>
        <w:t xml:space="preserve">. </w:t>
      </w:r>
      <w:r w:rsidR="00FE0C50">
        <w:rPr>
          <w:rFonts w:ascii="Arial" w:hAnsi="Arial" w:cs="Arial"/>
        </w:rPr>
        <w:t xml:space="preserve">Dicho </w:t>
      </w:r>
      <w:r w:rsidR="008D18E5">
        <w:rPr>
          <w:rFonts w:ascii="Arial" w:hAnsi="Arial" w:cs="Arial"/>
        </w:rPr>
        <w:t>incremento</w:t>
      </w:r>
      <w:r w:rsidR="00FE0C50">
        <w:rPr>
          <w:rFonts w:ascii="Arial" w:hAnsi="Arial" w:cs="Arial"/>
        </w:rPr>
        <w:t xml:space="preserve"> será formalizado mediante adenda al Contrato.</w:t>
      </w:r>
    </w:p>
    <w:p w:rsidR="00DA19DB" w:rsidRPr="005B69EF" w:rsidRDefault="00DA19DB" w:rsidP="004F6B32">
      <w:pPr>
        <w:numPr>
          <w:ilvl w:val="1"/>
          <w:numId w:val="92"/>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w:t>
      </w:r>
      <w:r>
        <w:rPr>
          <w:rFonts w:ascii="Arial" w:hAnsi="Arial" w:cs="Arial"/>
        </w:rPr>
        <w:t>l</w:t>
      </w:r>
      <w:r w:rsidRPr="005B69EF">
        <w:rPr>
          <w:rFonts w:ascii="Arial" w:hAnsi="Arial" w:cs="Arial"/>
        </w:rPr>
        <w:t xml:space="preserve"> Concesionario continuar con el proyecto y ejecutarlo conforme a los términos del Contrato</w:t>
      </w:r>
      <w:r>
        <w:rPr>
          <w:rFonts w:ascii="Arial" w:hAnsi="Arial" w:cs="Arial"/>
        </w:rPr>
        <w:t>,</w:t>
      </w:r>
      <w:r w:rsidRPr="005B69EF">
        <w:rPr>
          <w:rFonts w:ascii="Arial" w:hAnsi="Arial" w:cs="Arial"/>
        </w:rPr>
        <w:t xml:space="preserve"> los Acuerdos</w:t>
      </w:r>
      <w:r>
        <w:rPr>
          <w:rFonts w:ascii="Arial" w:hAnsi="Arial" w:cs="Arial"/>
        </w:rPr>
        <w:t xml:space="preserve"> y las Restricciones</w:t>
      </w:r>
      <w:r w:rsidRPr="005B69EF">
        <w:rPr>
          <w:rFonts w:ascii="Arial" w:hAnsi="Arial" w:cs="Arial"/>
        </w:rPr>
        <w:t>. La existencia de Variantes,  Compensaciones o Diferencias por Localización, o de controversias sobre alguna de ellas, no permite ni supone la suspensión de obligaciones o prestaciones, recíprocas o no, que a cada Parte correspond</w:t>
      </w:r>
      <w:r>
        <w:rPr>
          <w:rFonts w:ascii="Arial" w:hAnsi="Arial" w:cs="Arial"/>
        </w:rPr>
        <w:t>a</w:t>
      </w:r>
      <w:r w:rsidRPr="005B69EF">
        <w:rPr>
          <w:rFonts w:ascii="Arial" w:hAnsi="Arial" w:cs="Arial"/>
        </w:rPr>
        <w:t xml:space="preserve"> según este Contrato.</w:t>
      </w:r>
    </w:p>
    <w:p w:rsidR="00DA19DB" w:rsidRPr="005B69EF" w:rsidRDefault="00DA19DB" w:rsidP="004F6B32">
      <w:pPr>
        <w:numPr>
          <w:ilvl w:val="1"/>
          <w:numId w:val="92"/>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del Concedente cumplir y hacer cumplir los Acuerdos, estando obligado a tomar las medidas normativas, administrativas o ejecutivas que resulten necesarias o convenientes. Estas medidas incluyen, a solicitud del Concesionario, la imposición forzosa de servidumbres y el auxilio necesario para ejercer y utilizar las servidumbres impuestas.</w:t>
      </w:r>
    </w:p>
    <w:p w:rsidR="00DA19DB" w:rsidRPr="005B69EF" w:rsidRDefault="00DA19DB" w:rsidP="004F6B32">
      <w:pPr>
        <w:numPr>
          <w:ilvl w:val="0"/>
          <w:numId w:val="92"/>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Otros temas.</w:t>
      </w:r>
    </w:p>
    <w:p w:rsidR="00DA19DB" w:rsidRPr="005B69EF" w:rsidRDefault="00C76847"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00DA19DB" w:rsidRPr="005B69EF">
        <w:rPr>
          <w:rFonts w:ascii="Arial" w:hAnsi="Arial" w:cs="Arial"/>
        </w:rPr>
        <w:t>1</w:t>
      </w:r>
      <w:r w:rsidR="00DA19DB" w:rsidRPr="005B69EF">
        <w:rPr>
          <w:rFonts w:ascii="Arial" w:hAnsi="Arial" w:cs="Arial"/>
        </w:rPr>
        <w:tab/>
        <w:t>Aprobad</w:t>
      </w:r>
      <w:r w:rsidR="00DA19DB">
        <w:rPr>
          <w:rFonts w:ascii="Arial" w:hAnsi="Arial" w:cs="Arial"/>
        </w:rPr>
        <w:t>a la Medida Administrativa</w:t>
      </w:r>
      <w:r w:rsidR="00DA19DB" w:rsidRPr="005B69EF">
        <w:rPr>
          <w:rFonts w:ascii="Arial" w:hAnsi="Arial" w:cs="Arial"/>
        </w:rPr>
        <w:t>, el Concesionario tiene derecho a introducir variantes unilaterales respecto al Planteo, por cualquier motivo y sin que haga falta adenda o consentimiento posterior, en la medida que no comporten un</w:t>
      </w:r>
      <w:r w:rsidR="00DA19DB">
        <w:rPr>
          <w:rFonts w:ascii="Arial" w:hAnsi="Arial" w:cs="Arial"/>
        </w:rPr>
        <w:t xml:space="preserve"> incumplimiento d</w:t>
      </w:r>
      <w:r w:rsidR="00DA19DB" w:rsidRPr="005B69EF">
        <w:rPr>
          <w:rFonts w:ascii="Arial" w:hAnsi="Arial" w:cs="Arial"/>
        </w:rPr>
        <w:t>e lo establecido en los Acuerdos</w:t>
      </w:r>
      <w:r w:rsidR="00DA19DB">
        <w:rPr>
          <w:rFonts w:ascii="Arial" w:hAnsi="Arial" w:cs="Arial"/>
        </w:rPr>
        <w:t xml:space="preserve"> o las Restricciones</w:t>
      </w:r>
      <w:r w:rsidR="00DA19DB" w:rsidRPr="005B69EF">
        <w:rPr>
          <w:rFonts w:ascii="Arial" w:hAnsi="Arial" w:cs="Arial"/>
        </w:rPr>
        <w:t>.</w:t>
      </w:r>
    </w:p>
    <w:p w:rsidR="00DA19DB" w:rsidRPr="005B69EF" w:rsidRDefault="00DA19DB" w:rsidP="00D4498D">
      <w:pPr>
        <w:tabs>
          <w:tab w:val="clear" w:pos="567"/>
          <w:tab w:val="clear" w:pos="1134"/>
          <w:tab w:val="clear" w:pos="1701"/>
          <w:tab w:val="clear" w:pos="2268"/>
          <w:tab w:val="clear" w:pos="2835"/>
        </w:tabs>
        <w:spacing w:before="120" w:line="257" w:lineRule="auto"/>
        <w:ind w:left="1418"/>
        <w:jc w:val="both"/>
        <w:rPr>
          <w:rFonts w:ascii="Arial" w:hAnsi="Arial" w:cs="Arial"/>
        </w:rPr>
      </w:pPr>
      <w:r w:rsidRPr="005B69EF">
        <w:rPr>
          <w:rFonts w:ascii="Arial" w:hAnsi="Arial" w:cs="Arial"/>
        </w:rPr>
        <w:t xml:space="preserve">Sin embargo, estas variantes unilaterales no darán lugar a </w:t>
      </w:r>
      <w:r>
        <w:rPr>
          <w:rFonts w:ascii="Arial" w:hAnsi="Arial" w:cs="Arial"/>
        </w:rPr>
        <w:t>incrementos en el Costo de Inversión</w:t>
      </w:r>
      <w:r w:rsidRPr="005B69EF">
        <w:rPr>
          <w:rFonts w:ascii="Arial" w:hAnsi="Arial" w:cs="Arial"/>
        </w:rPr>
        <w:t>. Es responsabilidad del Concesionario evaluar si las referidas variantes unilaterales requieren aprobación adicional de las autoridades ambientales.</w:t>
      </w:r>
    </w:p>
    <w:p w:rsidR="00DA19DB" w:rsidRPr="005B69EF" w:rsidRDefault="00C76847"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00DA19DB" w:rsidRPr="005B69EF">
        <w:rPr>
          <w:rFonts w:ascii="Arial" w:hAnsi="Arial" w:cs="Arial"/>
        </w:rPr>
        <w:t>.2</w:t>
      </w:r>
      <w:r w:rsidR="00DA19DB" w:rsidRPr="005B69EF">
        <w:rPr>
          <w:rFonts w:ascii="Arial" w:hAnsi="Arial" w:cs="Arial"/>
        </w:rPr>
        <w:tab/>
        <w:t>Será tratada como Controversia Técnica, toda controversia asociada a la Consulta Previa, incluyendo pero sin limitarse a lo siguiente:</w:t>
      </w:r>
    </w:p>
    <w:p w:rsidR="00DA19DB" w:rsidRPr="005B69EF" w:rsidRDefault="00DA19DB" w:rsidP="004F6B32">
      <w:pPr>
        <w:numPr>
          <w:ilvl w:val="2"/>
          <w:numId w:val="92"/>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 existencia, alcance o magnitud de Variantes</w:t>
      </w:r>
      <w:r>
        <w:rPr>
          <w:rFonts w:ascii="Arial" w:hAnsi="Arial" w:cs="Arial"/>
        </w:rPr>
        <w:t>, Compensaciones, Restricciones</w:t>
      </w:r>
      <w:r w:rsidRPr="005B69EF">
        <w:rPr>
          <w:rFonts w:ascii="Arial" w:hAnsi="Arial" w:cs="Arial"/>
        </w:rPr>
        <w:t xml:space="preserve"> o Diferencias</w:t>
      </w:r>
      <w:r>
        <w:rPr>
          <w:rFonts w:ascii="Arial" w:hAnsi="Arial" w:cs="Arial"/>
        </w:rPr>
        <w:t xml:space="preserve"> por Localización</w:t>
      </w:r>
      <w:r w:rsidRPr="005B69EF">
        <w:rPr>
          <w:rFonts w:ascii="Arial" w:hAnsi="Arial" w:cs="Arial"/>
        </w:rPr>
        <w:t>.</w:t>
      </w:r>
    </w:p>
    <w:p w:rsidR="00DA19DB" w:rsidRPr="005B69EF" w:rsidRDefault="00DA19DB" w:rsidP="004F6B32">
      <w:pPr>
        <w:numPr>
          <w:ilvl w:val="2"/>
          <w:numId w:val="92"/>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 xml:space="preserve">La forma o tiempo en que las </w:t>
      </w:r>
      <w:r>
        <w:rPr>
          <w:rFonts w:ascii="Arial" w:hAnsi="Arial" w:cs="Arial"/>
        </w:rPr>
        <w:t xml:space="preserve">Compensaciones o </w:t>
      </w:r>
      <w:r w:rsidRPr="005B69EF">
        <w:rPr>
          <w:rFonts w:ascii="Arial" w:hAnsi="Arial" w:cs="Arial"/>
        </w:rPr>
        <w:t xml:space="preserve">Diferencias </w:t>
      </w:r>
      <w:r>
        <w:rPr>
          <w:rFonts w:ascii="Arial" w:hAnsi="Arial" w:cs="Arial"/>
        </w:rPr>
        <w:t xml:space="preserve">por Localización </w:t>
      </w:r>
      <w:r w:rsidRPr="005B69EF">
        <w:rPr>
          <w:rFonts w:ascii="Arial" w:hAnsi="Arial" w:cs="Arial"/>
        </w:rPr>
        <w:t>deben ser agregadas a las retribuciones a las que tiene derecho el Concesionario o sobre la forma de recaudarlas y transferirlas a los usuarios de la Infraestructura.</w:t>
      </w:r>
    </w:p>
    <w:p w:rsidR="00DA19DB" w:rsidRPr="005B69EF" w:rsidRDefault="00DA19DB" w:rsidP="004F6B32">
      <w:pPr>
        <w:numPr>
          <w:ilvl w:val="2"/>
          <w:numId w:val="92"/>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Las consecuencias respecto al Contrato, del incumplimiento o el cumplimiento parcial, tardío o defectuoso de la Consulta Previa o de los Acuerdos o Restricciones por parte de los Pueblos Indígenas u Originarios  o las Partes.</w:t>
      </w:r>
    </w:p>
    <w:p w:rsidR="00454423" w:rsidRDefault="00454423"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bCs/>
        </w:rPr>
      </w:pPr>
    </w:p>
    <w:sectPr w:rsidR="00454423" w:rsidSect="00F35007">
      <w:headerReference w:type="default" r:id="rId17"/>
      <w:footerReference w:type="default" r:id="rId18"/>
      <w:headerReference w:type="first" r:id="rId19"/>
      <w:footerReference w:type="first" r:id="rId20"/>
      <w:footnotePr>
        <w:numFmt w:val="chicago"/>
      </w:footnotePr>
      <w:pgSz w:w="11907" w:h="16840" w:code="9"/>
      <w:pgMar w:top="3402" w:right="1134" w:bottom="1134" w:left="1701" w:header="1134" w:footer="6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915" w:rsidRDefault="00BA2915">
      <w:r>
        <w:separator/>
      </w:r>
    </w:p>
  </w:endnote>
  <w:endnote w:type="continuationSeparator" w:id="0">
    <w:p w:rsidR="00BA2915" w:rsidRDefault="00BA2915">
      <w:r>
        <w:continuationSeparator/>
      </w:r>
    </w:p>
  </w:endnote>
  <w:endnote w:type="continuationNotice" w:id="1">
    <w:p w:rsidR="00BA2915" w:rsidRDefault="00BA2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68" w:rsidRPr="00551606" w:rsidRDefault="00454A68">
    <w:pPr>
      <w:pStyle w:val="Piedepgina"/>
      <w:pBdr>
        <w:bottom w:val="dotted" w:sz="4" w:space="1" w:color="auto"/>
      </w:pBdr>
      <w:tabs>
        <w:tab w:val="right" w:pos="8760"/>
      </w:tabs>
      <w:jc w:val="both"/>
      <w:rPr>
        <w:rFonts w:cs="Arial"/>
        <w:b/>
        <w:bCs/>
        <w:smallCaps/>
        <w:sz w:val="24"/>
        <w:szCs w:val="24"/>
      </w:rPr>
    </w:pPr>
  </w:p>
  <w:p w:rsidR="00454A68" w:rsidRPr="00551606" w:rsidRDefault="00454A68">
    <w:pPr>
      <w:pStyle w:val="Piedepgina"/>
      <w:tabs>
        <w:tab w:val="right" w:pos="8760"/>
      </w:tabs>
      <w:jc w:val="both"/>
      <w:rPr>
        <w:rFonts w:cs="Arial"/>
        <w:b/>
        <w:bCs/>
        <w:smallCaps/>
        <w:sz w:val="4"/>
      </w:rPr>
    </w:pPr>
  </w:p>
  <w:p w:rsidR="00454A68" w:rsidRPr="000C5FC4" w:rsidRDefault="00454A68"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i/>
        <w:sz w:val="16"/>
        <w:szCs w:val="16"/>
      </w:rPr>
    </w:pPr>
    <w:r w:rsidRPr="000C5FC4">
      <w:rPr>
        <w:rFonts w:cs="Arial"/>
        <w:b/>
        <w:bCs/>
        <w:i/>
        <w:smallCaps/>
        <w:sz w:val="16"/>
        <w:szCs w:val="16"/>
      </w:rPr>
      <w:t xml:space="preserve">Contrato de Concesión – LT 220 kV Machupicchu-Quencoro-Onocora-Tintaya </w:t>
    </w:r>
    <w:r w:rsidRPr="000C5FC4">
      <w:rPr>
        <w:rFonts w:cs="Arial"/>
        <w:b/>
        <w:bCs/>
        <w:i/>
        <w:smallCaps/>
        <w:sz w:val="16"/>
        <w:szCs w:val="16"/>
      </w:rPr>
      <w:tab/>
    </w:r>
    <w:r w:rsidRPr="000C5FC4">
      <w:rPr>
        <w:rFonts w:cs="Arial"/>
        <w:b/>
        <w:bCs/>
        <w:i/>
        <w:sz w:val="16"/>
        <w:szCs w:val="16"/>
      </w:rPr>
      <w:t>Pág</w:t>
    </w:r>
    <w:r w:rsidRPr="000C5FC4">
      <w:rPr>
        <w:rFonts w:cs="Arial"/>
        <w:b/>
        <w:bCs/>
        <w:i/>
        <w:smallCaps/>
        <w:sz w:val="16"/>
        <w:szCs w:val="16"/>
      </w:rPr>
      <w:t xml:space="preserve">. </w:t>
    </w:r>
    <w:r w:rsidRPr="000C5FC4">
      <w:rPr>
        <w:rStyle w:val="Nmerodepgina"/>
        <w:rFonts w:cs="Arial"/>
        <w:b/>
        <w:bCs/>
        <w:i/>
        <w:sz w:val="16"/>
        <w:szCs w:val="16"/>
      </w:rPr>
      <w:fldChar w:fldCharType="begin"/>
    </w:r>
    <w:r w:rsidRPr="000C5FC4">
      <w:rPr>
        <w:rStyle w:val="Nmerodepgina"/>
        <w:rFonts w:cs="Arial"/>
        <w:b/>
        <w:bCs/>
        <w:i/>
        <w:sz w:val="16"/>
        <w:szCs w:val="16"/>
      </w:rPr>
      <w:instrText xml:space="preserve"> PAGE </w:instrText>
    </w:r>
    <w:r w:rsidRPr="000C5FC4">
      <w:rPr>
        <w:rStyle w:val="Nmerodepgina"/>
        <w:rFonts w:cs="Arial"/>
        <w:b/>
        <w:bCs/>
        <w:i/>
        <w:sz w:val="16"/>
        <w:szCs w:val="16"/>
      </w:rPr>
      <w:fldChar w:fldCharType="separate"/>
    </w:r>
    <w:r w:rsidR="009606E1">
      <w:rPr>
        <w:rStyle w:val="Nmerodepgina"/>
        <w:rFonts w:cs="Arial"/>
        <w:b/>
        <w:bCs/>
        <w:i/>
        <w:noProof/>
        <w:sz w:val="16"/>
        <w:szCs w:val="16"/>
      </w:rPr>
      <w:t>81</w:t>
    </w:r>
    <w:r w:rsidRPr="000C5FC4">
      <w:rPr>
        <w:rStyle w:val="Nmerodepgina"/>
        <w:rFonts w:cs="Arial"/>
        <w:b/>
        <w:bCs/>
        <w:i/>
        <w:sz w:val="16"/>
        <w:szCs w:val="16"/>
      </w:rPr>
      <w:fldChar w:fldCharType="end"/>
    </w:r>
    <w:r w:rsidRPr="000C5FC4">
      <w:rPr>
        <w:rStyle w:val="Nmerodepgina"/>
        <w:rFonts w:cs="Arial"/>
        <w:b/>
        <w:bCs/>
        <w:i/>
        <w:sz w:val="16"/>
        <w:szCs w:val="16"/>
      </w:rPr>
      <w:t xml:space="preserve"> de </w:t>
    </w:r>
    <w:r w:rsidRPr="000C5FC4">
      <w:rPr>
        <w:rStyle w:val="Nmerodepgina"/>
        <w:rFonts w:cs="Arial"/>
        <w:b/>
        <w:bCs/>
        <w:i/>
        <w:sz w:val="16"/>
        <w:szCs w:val="16"/>
      </w:rPr>
      <w:fldChar w:fldCharType="begin"/>
    </w:r>
    <w:r w:rsidRPr="000C5FC4">
      <w:rPr>
        <w:rStyle w:val="Nmerodepgina"/>
        <w:rFonts w:cs="Arial"/>
        <w:b/>
        <w:bCs/>
        <w:i/>
        <w:sz w:val="16"/>
        <w:szCs w:val="16"/>
      </w:rPr>
      <w:instrText xml:space="preserve"> NUMPAGES </w:instrText>
    </w:r>
    <w:r w:rsidRPr="000C5FC4">
      <w:rPr>
        <w:rStyle w:val="Nmerodepgina"/>
        <w:rFonts w:cs="Arial"/>
        <w:b/>
        <w:bCs/>
        <w:i/>
        <w:sz w:val="16"/>
        <w:szCs w:val="16"/>
      </w:rPr>
      <w:fldChar w:fldCharType="separate"/>
    </w:r>
    <w:r w:rsidR="009606E1">
      <w:rPr>
        <w:rStyle w:val="Nmerodepgina"/>
        <w:rFonts w:cs="Arial"/>
        <w:b/>
        <w:bCs/>
        <w:i/>
        <w:noProof/>
        <w:sz w:val="16"/>
        <w:szCs w:val="16"/>
      </w:rPr>
      <w:t>81</w:t>
    </w:r>
    <w:r w:rsidRPr="000C5FC4">
      <w:rPr>
        <w:rStyle w:val="Nmerodepgina"/>
        <w:rFonts w:cs="Arial"/>
        <w:b/>
        <w:bCs/>
        <w:i/>
        <w:sz w:val="16"/>
        <w:szCs w:val="16"/>
      </w:rPr>
      <w:fldChar w:fldCharType="end"/>
    </w:r>
  </w:p>
  <w:p w:rsidR="00454A68" w:rsidRPr="000C5FC4" w:rsidRDefault="00454A68" w:rsidP="00BA4224">
    <w:pPr>
      <w:pStyle w:val="Piedepgina"/>
      <w:tabs>
        <w:tab w:val="right" w:pos="8760"/>
      </w:tabs>
      <w:jc w:val="both"/>
      <w:rPr>
        <w:b/>
        <w:i/>
        <w:sz w:val="16"/>
        <w:szCs w:val="16"/>
        <w:lang w:val="es-MX"/>
      </w:rPr>
    </w:pPr>
    <w:r w:rsidRPr="000C5FC4">
      <w:rPr>
        <w:rFonts w:cs="Arial"/>
        <w:b/>
        <w:bCs/>
        <w:i/>
        <w:smallCaps/>
        <w:sz w:val="16"/>
        <w:szCs w:val="16"/>
      </w:rPr>
      <w:t>Segunda Versión  19-06-12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68" w:rsidRPr="00780352" w:rsidRDefault="00454A68" w:rsidP="00780352">
    <w:pPr>
      <w:pStyle w:val="Piedepgina"/>
      <w:tabs>
        <w:tab w:val="right" w:pos="8760"/>
      </w:tabs>
      <w:jc w:val="both"/>
      <w:rPr>
        <w:b/>
        <w:i/>
        <w:sz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915" w:rsidRDefault="00BA2915">
      <w:r>
        <w:separator/>
      </w:r>
    </w:p>
  </w:footnote>
  <w:footnote w:type="continuationSeparator" w:id="0">
    <w:p w:rsidR="00BA2915" w:rsidRDefault="00BA2915">
      <w:r>
        <w:continuationSeparator/>
      </w:r>
    </w:p>
  </w:footnote>
  <w:footnote w:type="continuationNotice" w:id="1">
    <w:p w:rsidR="00BA2915" w:rsidRDefault="00BA29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68" w:rsidRPr="00EC3B18" w:rsidRDefault="00BA2915" w:rsidP="00780352">
    <w:pPr>
      <w:pStyle w:val="Encabezado"/>
      <w:tabs>
        <w:tab w:val="right" w:pos="9072"/>
      </w:tabs>
    </w:pPr>
    <w:r>
      <w:rPr>
        <w:noProof/>
        <w:lang w:val="es-PE" w:eastAsia="es-PE"/>
      </w:rPr>
      <w:pict>
        <v:shapetype id="_x0000_t202" coordsize="21600,21600" o:spt="202" path="m,l,21600r21600,l21600,xe">
          <v:stroke joinstyle="miter"/>
          <v:path gradientshapeok="t" o:connecttype="rect"/>
        </v:shapetype>
        <v:shape id="Text Box 1" o:spid="_x0000_s2050" type="#_x0000_t202" style="position:absolute;margin-left:318.15pt;margin-top:32.6pt;width:111.15pt;height:1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H+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" filled="f" stroked="f">
          <v:textbox>
            <w:txbxContent>
              <w:p w:rsidR="00454A68" w:rsidRPr="004F308C" w:rsidRDefault="00454A68"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sidR="009606E1">
      <w:rPr>
        <w:noProof/>
        <w:lang w:val="es-PE" w:eastAsia="es-PE"/>
      </w:rPr>
      <w:pict w14:anchorId="74D73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encabezado 2012" style="width:452.95pt;height:91.25pt;visibility:visible">
          <v:imagedata r:id="rId1" o:title="encabezado 201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A68" w:rsidRPr="00EC3B18" w:rsidRDefault="00BA2915" w:rsidP="00416414">
    <w:pPr>
      <w:pStyle w:val="Encabezado"/>
    </w:pPr>
    <w:r>
      <w:rPr>
        <w:noProof/>
        <w:lang w:val="es-PE" w:eastAsia="es-PE"/>
      </w:rPr>
      <w:pict>
        <v:shapetype id="_x0000_t202" coordsize="21600,21600" o:spt="202" path="m,l,21600r21600,l21600,xe">
          <v:stroke joinstyle="miter"/>
          <v:path gradientshapeok="t" o:connecttype="rect"/>
        </v:shapetype>
        <v:shape id="Text Box 2" o:spid="_x0000_s2049" type="#_x0000_t202" style="position:absolute;margin-left:318.55pt;margin-top:33.15pt;width:112.3pt;height:2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Iy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" filled="f" stroked="f">
          <v:textbox>
            <w:txbxContent>
              <w:p w:rsidR="00454A68" w:rsidRPr="004F308C" w:rsidRDefault="00454A68"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Pr>
        <w:noProof/>
        <w:lang w:val="es-PE" w:eastAsia="es-PE"/>
      </w:rPr>
      <w:pict w14:anchorId="7FC5D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ncabezado 2012" style="width:453.75pt;height:89.6pt;visibility:visible">
          <v:imagedata r:id="rId1" o:title="encabezado 201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0B"/>
    <w:multiLevelType w:val="hybridMultilevel"/>
    <w:tmpl w:val="73C01156"/>
    <w:lvl w:ilvl="0" w:tplc="69BE00C4">
      <w:start w:val="1"/>
      <w:numFmt w:val="lowerLetter"/>
      <w:lvlText w:val="%1)"/>
      <w:lvlJc w:val="left"/>
      <w:pPr>
        <w:tabs>
          <w:tab w:val="num" w:pos="1442"/>
        </w:tabs>
        <w:ind w:left="1442" w:hanging="360"/>
      </w:pPr>
      <w:rPr>
        <w:rFonts w:hint="default"/>
      </w:rPr>
    </w:lvl>
    <w:lvl w:ilvl="1" w:tplc="0C0A0019">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1">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7D74E6"/>
    <w:multiLevelType w:val="hybridMultilevel"/>
    <w:tmpl w:val="26666512"/>
    <w:lvl w:ilvl="0" w:tplc="BB12429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nsid w:val="08345501"/>
    <w:multiLevelType w:val="hybridMultilevel"/>
    <w:tmpl w:val="F9BAFCD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950743A"/>
    <w:multiLevelType w:val="hybridMultilevel"/>
    <w:tmpl w:val="346C993A"/>
    <w:lvl w:ilvl="0" w:tplc="81F2C81A">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294D39"/>
    <w:multiLevelType w:val="hybridMultilevel"/>
    <w:tmpl w:val="D61CAED8"/>
    <w:lvl w:ilvl="0" w:tplc="69BE00C4">
      <w:start w:val="1"/>
      <w:numFmt w:val="lowerLetter"/>
      <w:lvlText w:val="%1)"/>
      <w:lvlJc w:val="left"/>
      <w:pPr>
        <w:tabs>
          <w:tab w:val="num" w:pos="1440"/>
        </w:tabs>
        <w:ind w:left="1440" w:hanging="360"/>
      </w:pPr>
      <w:rPr>
        <w:rFonts w:hint="default"/>
      </w:r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696443"/>
    <w:multiLevelType w:val="hybridMultilevel"/>
    <w:tmpl w:val="3EEC4F18"/>
    <w:lvl w:ilvl="0" w:tplc="0C0A0001">
      <w:start w:val="1"/>
      <w:numFmt w:val="bullet"/>
      <w:lvlText w:val=""/>
      <w:lvlJc w:val="left"/>
      <w:pPr>
        <w:tabs>
          <w:tab w:val="num" w:pos="1140"/>
        </w:tabs>
        <w:ind w:left="1140" w:hanging="360"/>
      </w:pPr>
      <w:rPr>
        <w:rFonts w:ascii="Symbol" w:hAnsi="Symbol" w:hint="default"/>
      </w:rPr>
    </w:lvl>
    <w:lvl w:ilvl="1" w:tplc="0C0A0003">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9">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E214D81"/>
    <w:multiLevelType w:val="hybridMultilevel"/>
    <w:tmpl w:val="AB5A2190"/>
    <w:lvl w:ilvl="0" w:tplc="E80E17FC">
      <w:start w:val="2"/>
      <w:numFmt w:val="lowerLetter"/>
      <w:lvlText w:val="%1)"/>
      <w:lvlJc w:val="left"/>
      <w:pPr>
        <w:tabs>
          <w:tab w:val="num" w:pos="1069"/>
        </w:tabs>
        <w:ind w:left="1069" w:hanging="360"/>
      </w:pPr>
      <w:rPr>
        <w:rFonts w:hint="default"/>
      </w:rPr>
    </w:lvl>
    <w:lvl w:ilvl="1" w:tplc="DC60F384">
      <w:start w:val="14"/>
      <w:numFmt w:val="bullet"/>
      <w:lvlText w:val="-"/>
      <w:lvlJc w:val="left"/>
      <w:pPr>
        <w:tabs>
          <w:tab w:val="num" w:pos="1789"/>
        </w:tabs>
        <w:ind w:left="1789" w:hanging="360"/>
      </w:pPr>
      <w:rPr>
        <w:rFonts w:ascii="Times New Roman" w:eastAsia="Times New Roman" w:hAnsi="Times New Roman" w:cs="Times New Roman" w:hint="default"/>
      </w:rPr>
    </w:lvl>
    <w:lvl w:ilvl="2" w:tplc="0C0A001B">
      <w:start w:val="1"/>
      <w:numFmt w:val="lowerRoman"/>
      <w:lvlText w:val="%3."/>
      <w:lvlJc w:val="right"/>
      <w:pPr>
        <w:tabs>
          <w:tab w:val="num" w:pos="2509"/>
        </w:tabs>
        <w:ind w:left="2509" w:hanging="180"/>
      </w:pPr>
    </w:lvl>
    <w:lvl w:ilvl="3" w:tplc="E146F64E">
      <w:start w:val="5"/>
      <w:numFmt w:val="decimal"/>
      <w:lvlText w:val="%4"/>
      <w:lvlJc w:val="left"/>
      <w:pPr>
        <w:tabs>
          <w:tab w:val="num" w:pos="3229"/>
        </w:tabs>
        <w:ind w:left="3229" w:hanging="360"/>
      </w:pPr>
      <w:rPr>
        <w:rFonts w:hint="default"/>
      </w:r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nsid w:val="11743C81"/>
    <w:multiLevelType w:val="hybridMultilevel"/>
    <w:tmpl w:val="D94E47BE"/>
    <w:lvl w:ilvl="0" w:tplc="0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8535E8E"/>
    <w:multiLevelType w:val="hybridMultilevel"/>
    <w:tmpl w:val="28B4EFF8"/>
    <w:lvl w:ilvl="0" w:tplc="F3BE492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6">
    <w:nsid w:val="1B432088"/>
    <w:multiLevelType w:val="hybridMultilevel"/>
    <w:tmpl w:val="AAB20752"/>
    <w:lvl w:ilvl="0" w:tplc="3B4AD9BE">
      <w:start w:val="1"/>
      <w:numFmt w:val="lowerRoman"/>
      <w:lvlText w:val="%1)"/>
      <w:lvlJc w:val="left"/>
      <w:pPr>
        <w:tabs>
          <w:tab w:val="num" w:pos="1825"/>
        </w:tabs>
        <w:ind w:left="1825" w:hanging="720"/>
      </w:pPr>
      <w:rPr>
        <w:rFonts w:hint="default"/>
        <w:sz w:val="21"/>
        <w:szCs w:val="21"/>
      </w:rPr>
    </w:lvl>
    <w:lvl w:ilvl="1" w:tplc="0C0A0003">
      <w:start w:val="1"/>
      <w:numFmt w:val="bullet"/>
      <w:lvlText w:val="o"/>
      <w:lvlJc w:val="left"/>
      <w:pPr>
        <w:tabs>
          <w:tab w:val="num" w:pos="2185"/>
        </w:tabs>
        <w:ind w:left="2185" w:hanging="360"/>
      </w:pPr>
      <w:rPr>
        <w:rFonts w:ascii="Courier New" w:hAnsi="Courier New" w:hint="default"/>
      </w:rPr>
    </w:lvl>
    <w:lvl w:ilvl="2" w:tplc="0C0A0005" w:tentative="1">
      <w:start w:val="1"/>
      <w:numFmt w:val="bullet"/>
      <w:lvlText w:val=""/>
      <w:lvlJc w:val="left"/>
      <w:pPr>
        <w:tabs>
          <w:tab w:val="num" w:pos="2905"/>
        </w:tabs>
        <w:ind w:left="2905" w:hanging="360"/>
      </w:pPr>
      <w:rPr>
        <w:rFonts w:ascii="Wingdings" w:hAnsi="Wingdings" w:hint="default"/>
      </w:rPr>
    </w:lvl>
    <w:lvl w:ilvl="3" w:tplc="0C0A0001" w:tentative="1">
      <w:start w:val="1"/>
      <w:numFmt w:val="bullet"/>
      <w:lvlText w:val=""/>
      <w:lvlJc w:val="left"/>
      <w:pPr>
        <w:tabs>
          <w:tab w:val="num" w:pos="3625"/>
        </w:tabs>
        <w:ind w:left="3625" w:hanging="360"/>
      </w:pPr>
      <w:rPr>
        <w:rFonts w:ascii="Symbol" w:hAnsi="Symbol" w:hint="default"/>
      </w:rPr>
    </w:lvl>
    <w:lvl w:ilvl="4" w:tplc="0C0A0003" w:tentative="1">
      <w:start w:val="1"/>
      <w:numFmt w:val="bullet"/>
      <w:lvlText w:val="o"/>
      <w:lvlJc w:val="left"/>
      <w:pPr>
        <w:tabs>
          <w:tab w:val="num" w:pos="4345"/>
        </w:tabs>
        <w:ind w:left="4345" w:hanging="360"/>
      </w:pPr>
      <w:rPr>
        <w:rFonts w:ascii="Courier New" w:hAnsi="Courier New" w:hint="default"/>
      </w:rPr>
    </w:lvl>
    <w:lvl w:ilvl="5" w:tplc="0C0A0005" w:tentative="1">
      <w:start w:val="1"/>
      <w:numFmt w:val="bullet"/>
      <w:lvlText w:val=""/>
      <w:lvlJc w:val="left"/>
      <w:pPr>
        <w:tabs>
          <w:tab w:val="num" w:pos="5065"/>
        </w:tabs>
        <w:ind w:left="5065" w:hanging="360"/>
      </w:pPr>
      <w:rPr>
        <w:rFonts w:ascii="Wingdings" w:hAnsi="Wingdings" w:hint="default"/>
      </w:rPr>
    </w:lvl>
    <w:lvl w:ilvl="6" w:tplc="0C0A0001" w:tentative="1">
      <w:start w:val="1"/>
      <w:numFmt w:val="bullet"/>
      <w:lvlText w:val=""/>
      <w:lvlJc w:val="left"/>
      <w:pPr>
        <w:tabs>
          <w:tab w:val="num" w:pos="5785"/>
        </w:tabs>
        <w:ind w:left="5785" w:hanging="360"/>
      </w:pPr>
      <w:rPr>
        <w:rFonts w:ascii="Symbol" w:hAnsi="Symbol" w:hint="default"/>
      </w:rPr>
    </w:lvl>
    <w:lvl w:ilvl="7" w:tplc="0C0A0003" w:tentative="1">
      <w:start w:val="1"/>
      <w:numFmt w:val="bullet"/>
      <w:lvlText w:val="o"/>
      <w:lvlJc w:val="left"/>
      <w:pPr>
        <w:tabs>
          <w:tab w:val="num" w:pos="6505"/>
        </w:tabs>
        <w:ind w:left="6505" w:hanging="360"/>
      </w:pPr>
      <w:rPr>
        <w:rFonts w:ascii="Courier New" w:hAnsi="Courier New" w:hint="default"/>
      </w:rPr>
    </w:lvl>
    <w:lvl w:ilvl="8" w:tplc="0C0A0005" w:tentative="1">
      <w:start w:val="1"/>
      <w:numFmt w:val="bullet"/>
      <w:lvlText w:val=""/>
      <w:lvlJc w:val="left"/>
      <w:pPr>
        <w:tabs>
          <w:tab w:val="num" w:pos="7225"/>
        </w:tabs>
        <w:ind w:left="7225" w:hanging="360"/>
      </w:pPr>
      <w:rPr>
        <w:rFonts w:ascii="Wingdings" w:hAnsi="Wingdings" w:hint="default"/>
      </w:rPr>
    </w:lvl>
  </w:abstractNum>
  <w:abstractNum w:abstractNumId="17">
    <w:nsid w:val="1C1041D5"/>
    <w:multiLevelType w:val="multilevel"/>
    <w:tmpl w:val="DC6E1098"/>
    <w:lvl w:ilvl="0">
      <w:start w:val="4"/>
      <w:numFmt w:val="decimal"/>
      <w:lvlText w:val="%1"/>
      <w:lvlJc w:val="left"/>
      <w:pPr>
        <w:tabs>
          <w:tab w:val="num" w:pos="0"/>
        </w:tabs>
        <w:ind w:left="600" w:hanging="600"/>
      </w:pPr>
      <w:rPr>
        <w:rFonts w:hint="default"/>
      </w:rPr>
    </w:lvl>
    <w:lvl w:ilvl="1">
      <w:start w:val="1"/>
      <w:numFmt w:val="decimal"/>
      <w:lvlText w:val="%1.%2"/>
      <w:lvlJc w:val="left"/>
      <w:pPr>
        <w:tabs>
          <w:tab w:val="num" w:pos="0"/>
        </w:tabs>
        <w:ind w:left="813" w:hanging="600"/>
      </w:pPr>
      <w:rPr>
        <w:rFonts w:hint="default"/>
      </w:rPr>
    </w:lvl>
    <w:lvl w:ilvl="2">
      <w:start w:val="6"/>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144" w:hanging="1440"/>
      </w:pPr>
      <w:rPr>
        <w:rFonts w:hint="default"/>
      </w:rPr>
    </w:lvl>
  </w:abstractNum>
  <w:abstractNum w:abstractNumId="18">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9">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1EA011A6"/>
    <w:multiLevelType w:val="multilevel"/>
    <w:tmpl w:val="5BE82B7A"/>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2"/>
      <w:numFmt w:val="decimal"/>
      <w:lvlText w:val="%1.%2.%3"/>
      <w:lvlJc w:val="left"/>
      <w:pPr>
        <w:ind w:left="2050" w:hanging="720"/>
      </w:pPr>
      <w:rPr>
        <w:rFonts w:hint="default"/>
      </w:rPr>
    </w:lvl>
    <w:lvl w:ilvl="3">
      <w:start w:val="3"/>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21">
    <w:nsid w:val="1F524765"/>
    <w:multiLevelType w:val="hybridMultilevel"/>
    <w:tmpl w:val="54607574"/>
    <w:lvl w:ilvl="0" w:tplc="C962668A">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2">
    <w:nsid w:val="1F7D3175"/>
    <w:multiLevelType w:val="multilevel"/>
    <w:tmpl w:val="BD38978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8"/>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3">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4BB4C11"/>
    <w:multiLevelType w:val="hybridMultilevel"/>
    <w:tmpl w:val="17FCA6E0"/>
    <w:lvl w:ilvl="0" w:tplc="E430C2B6">
      <w:start w:val="1"/>
      <w:numFmt w:val="lowerLetter"/>
      <w:lvlText w:val="%1)"/>
      <w:lvlJc w:val="left"/>
      <w:pPr>
        <w:tabs>
          <w:tab w:val="num" w:pos="1440"/>
        </w:tabs>
        <w:ind w:left="1440" w:hanging="360"/>
      </w:pPr>
      <w:rPr>
        <w:rFonts w:hint="default"/>
      </w:rPr>
    </w:lvl>
    <w:lvl w:ilvl="1" w:tplc="78085AC4">
      <w:start w:val="2"/>
      <w:numFmt w:val="bullet"/>
      <w:lvlText w:val="-"/>
      <w:lvlJc w:val="left"/>
      <w:pPr>
        <w:tabs>
          <w:tab w:val="num" w:pos="2160"/>
        </w:tabs>
        <w:ind w:left="2160" w:hanging="360"/>
      </w:pPr>
      <w:rPr>
        <w:rFonts w:ascii="Times New Roman" w:eastAsia="Times New Roman" w:hAnsi="Times New Roman" w:cs="Times New Roman"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nsid w:val="2860126E"/>
    <w:multiLevelType w:val="multilevel"/>
    <w:tmpl w:val="A0DCB63A"/>
    <w:lvl w:ilvl="0">
      <w:start w:val="11"/>
      <w:numFmt w:val="decimal"/>
      <w:lvlText w:val="%1"/>
      <w:lvlJc w:val="left"/>
      <w:pPr>
        <w:tabs>
          <w:tab w:val="num" w:pos="570"/>
        </w:tabs>
        <w:ind w:left="570" w:hanging="570"/>
      </w:pPr>
      <w:rPr>
        <w:rFonts w:hint="default"/>
      </w:rPr>
    </w:lvl>
    <w:lvl w:ilvl="1">
      <w:start w:val="1"/>
      <w:numFmt w:val="decimal"/>
      <w:lvlText w:val="12.%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C07551E"/>
    <w:multiLevelType w:val="hybridMultilevel"/>
    <w:tmpl w:val="BCD85F86"/>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28">
    <w:nsid w:val="2C11316D"/>
    <w:multiLevelType w:val="hybridMultilevel"/>
    <w:tmpl w:val="E2FA4676"/>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9">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0556156"/>
    <w:multiLevelType w:val="multilevel"/>
    <w:tmpl w:val="B2A04180"/>
    <w:lvl w:ilvl="0">
      <w:start w:val="14"/>
      <w:numFmt w:val="decimal"/>
      <w:lvlText w:val="%1"/>
      <w:lvlJc w:val="left"/>
      <w:pPr>
        <w:tabs>
          <w:tab w:val="num" w:pos="360"/>
        </w:tabs>
        <w:ind w:left="360" w:hanging="360"/>
      </w:pPr>
      <w:rPr>
        <w:rFonts w:hint="default"/>
      </w:rPr>
    </w:lvl>
    <w:lvl w:ilvl="1">
      <w:start w:val="1"/>
      <w:numFmt w:val="decimal"/>
      <w:lvlText w:val="16.%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0E033B9"/>
    <w:multiLevelType w:val="hybridMultilevel"/>
    <w:tmpl w:val="CE9CC0A6"/>
    <w:lvl w:ilvl="0" w:tplc="387C4A66">
      <w:start w:val="1"/>
      <w:numFmt w:val="upperLetter"/>
      <w:lvlText w:val="%1."/>
      <w:lvlJc w:val="left"/>
      <w:pPr>
        <w:ind w:left="786" w:hanging="360"/>
      </w:pPr>
      <w:rPr>
        <w:rFonts w:hint="default"/>
      </w:rPr>
    </w:lvl>
    <w:lvl w:ilvl="1" w:tplc="280A001B">
      <w:start w:val="1"/>
      <w:numFmt w:val="lowerRoman"/>
      <w:lvlText w:val="%2."/>
      <w:lvlJc w:val="righ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3">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69C3FA4"/>
    <w:multiLevelType w:val="multilevel"/>
    <w:tmpl w:val="714E28B6"/>
    <w:lvl w:ilvl="0">
      <w:start w:val="13"/>
      <w:numFmt w:val="decimal"/>
      <w:lvlText w:val="%1"/>
      <w:lvlJc w:val="left"/>
      <w:pPr>
        <w:ind w:left="540" w:hanging="540"/>
      </w:pPr>
      <w:rPr>
        <w:rFonts w:hint="default"/>
      </w:rPr>
    </w:lvl>
    <w:lvl w:ilvl="1">
      <w:start w:val="11"/>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37">
    <w:nsid w:val="38C52124"/>
    <w:multiLevelType w:val="multilevel"/>
    <w:tmpl w:val="F6C6CE74"/>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9AD5508"/>
    <w:multiLevelType w:val="hybridMultilevel"/>
    <w:tmpl w:val="986614FC"/>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9">
    <w:nsid w:val="3A064672"/>
    <w:multiLevelType w:val="multilevel"/>
    <w:tmpl w:val="6B60C552"/>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CCF7FC5"/>
    <w:multiLevelType w:val="hybridMultilevel"/>
    <w:tmpl w:val="0E2609BE"/>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hint="default"/>
      </w:rPr>
    </w:lvl>
    <w:lvl w:ilvl="2" w:tplc="080A0003">
      <w:start w:val="1"/>
      <w:numFmt w:val="bullet"/>
      <w:lvlText w:val="o"/>
      <w:lvlJc w:val="left"/>
      <w:pPr>
        <w:tabs>
          <w:tab w:val="num" w:pos="2869"/>
        </w:tabs>
        <w:ind w:left="2869" w:hanging="360"/>
      </w:pPr>
      <w:rPr>
        <w:rFonts w:ascii="Courier New" w:hAnsi="Courier New"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3">
    <w:nsid w:val="3CDF6635"/>
    <w:multiLevelType w:val="multilevel"/>
    <w:tmpl w:val="B0F2A756"/>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4">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42644385"/>
    <w:multiLevelType w:val="hybridMultilevel"/>
    <w:tmpl w:val="62249420"/>
    <w:lvl w:ilvl="0" w:tplc="0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9">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1">
    <w:nsid w:val="43EE5170"/>
    <w:multiLevelType w:val="hybridMultilevel"/>
    <w:tmpl w:val="98D0F420"/>
    <w:lvl w:ilvl="0" w:tplc="D8D892C6">
      <w:start w:val="1"/>
      <w:numFmt w:val="lowerLetter"/>
      <w:lvlText w:val="%1)"/>
      <w:lvlJc w:val="left"/>
      <w:pPr>
        <w:tabs>
          <w:tab w:val="num" w:pos="1211"/>
        </w:tabs>
        <w:ind w:left="1211" w:hanging="360"/>
      </w:pPr>
      <w:rPr>
        <w:rFonts w:hint="default"/>
      </w:rPr>
    </w:lvl>
    <w:lvl w:ilvl="1" w:tplc="387C4A66">
      <w:start w:val="1"/>
      <w:numFmt w:val="upperLetter"/>
      <w:lvlText w:val="%2."/>
      <w:lvlJc w:val="left"/>
      <w:pPr>
        <w:tabs>
          <w:tab w:val="num" w:pos="2276"/>
        </w:tabs>
        <w:ind w:left="2276" w:hanging="705"/>
      </w:pPr>
      <w:rPr>
        <w:rFonts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2">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53">
    <w:nsid w:val="442510F7"/>
    <w:multiLevelType w:val="hybridMultilevel"/>
    <w:tmpl w:val="D12E7BD2"/>
    <w:lvl w:ilvl="0" w:tplc="9B745394">
      <w:start w:val="1"/>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4">
    <w:nsid w:val="45825651"/>
    <w:multiLevelType w:val="hybridMultilevel"/>
    <w:tmpl w:val="11AA0DB6"/>
    <w:lvl w:ilvl="0" w:tplc="A5F8950E">
      <w:start w:val="1"/>
      <w:numFmt w:val="decimal"/>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46A02367"/>
    <w:multiLevelType w:val="hybridMultilevel"/>
    <w:tmpl w:val="BDE0B966"/>
    <w:lvl w:ilvl="0" w:tplc="DA64AC04">
      <w:start w:val="2"/>
      <w:numFmt w:val="lowerLetter"/>
      <w:lvlText w:val="%1)"/>
      <w:lvlJc w:val="left"/>
      <w:pPr>
        <w:tabs>
          <w:tab w:val="num" w:pos="720"/>
        </w:tabs>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A45040E"/>
    <w:multiLevelType w:val="hybridMultilevel"/>
    <w:tmpl w:val="81B2264C"/>
    <w:lvl w:ilvl="0" w:tplc="3C1EB944">
      <w:start w:val="1"/>
      <w:numFmt w:val="bullet"/>
      <w:lvlText w:val=""/>
      <w:lvlJc w:val="left"/>
      <w:pPr>
        <w:tabs>
          <w:tab w:val="num" w:pos="1418"/>
        </w:tabs>
        <w:ind w:left="1418" w:hanging="284"/>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58">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59">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4DBD0E7B"/>
    <w:multiLevelType w:val="hybridMultilevel"/>
    <w:tmpl w:val="B858A280"/>
    <w:lvl w:ilvl="0" w:tplc="AA261C2A">
      <w:start w:val="4"/>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61">
    <w:nsid w:val="4EAA238B"/>
    <w:multiLevelType w:val="multilevel"/>
    <w:tmpl w:val="947007F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2">
    <w:nsid w:val="4ED7544A"/>
    <w:multiLevelType w:val="hybridMultilevel"/>
    <w:tmpl w:val="A55E883A"/>
    <w:lvl w:ilvl="0" w:tplc="0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3">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51101708"/>
    <w:multiLevelType w:val="hybridMultilevel"/>
    <w:tmpl w:val="E8CEB466"/>
    <w:lvl w:ilvl="0" w:tplc="19507848">
      <w:start w:val="1"/>
      <w:numFmt w:val="decimal"/>
      <w:lvlText w:val="11.%1."/>
      <w:lvlJc w:val="left"/>
      <w:pPr>
        <w:ind w:left="1283"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nsid w:val="511B336A"/>
    <w:multiLevelType w:val="hybridMultilevel"/>
    <w:tmpl w:val="3ACAB628"/>
    <w:lvl w:ilvl="0" w:tplc="4CA028C2">
      <w:start w:val="1"/>
      <w:numFmt w:val="bullet"/>
      <w:lvlText w:val=""/>
      <w:lvlJc w:val="left"/>
      <w:pPr>
        <w:ind w:left="1713" w:hanging="360"/>
      </w:pPr>
      <w:rPr>
        <w:rFonts w:ascii="Symbol" w:hAnsi="Symbol" w:hint="default"/>
      </w:rPr>
    </w:lvl>
    <w:lvl w:ilvl="1" w:tplc="280A0003">
      <w:start w:val="1"/>
      <w:numFmt w:val="bullet"/>
      <w:lvlText w:val="o"/>
      <w:lvlJc w:val="left"/>
      <w:pPr>
        <w:ind w:left="2433" w:hanging="360"/>
      </w:pPr>
      <w:rPr>
        <w:rFonts w:ascii="Courier New" w:hAnsi="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66">
    <w:nsid w:val="533E3235"/>
    <w:multiLevelType w:val="hybridMultilevel"/>
    <w:tmpl w:val="F3C20BE6"/>
    <w:lvl w:ilvl="0" w:tplc="3E92DC82">
      <w:start w:val="4"/>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67">
    <w:nsid w:val="5933457F"/>
    <w:multiLevelType w:val="hybridMultilevel"/>
    <w:tmpl w:val="B2702044"/>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68">
    <w:nsid w:val="59F42398"/>
    <w:multiLevelType w:val="hybridMultilevel"/>
    <w:tmpl w:val="734CA410"/>
    <w:lvl w:ilvl="0" w:tplc="A5BC9C22">
      <w:start w:val="1"/>
      <w:numFmt w:val="lowerLetter"/>
      <w:lvlText w:val="%1)"/>
      <w:lvlJc w:val="left"/>
      <w:pPr>
        <w:tabs>
          <w:tab w:val="num" w:pos="1372"/>
        </w:tabs>
        <w:ind w:left="1372" w:hanging="360"/>
      </w:pPr>
      <w:rPr>
        <w:rFonts w:hint="default"/>
      </w:rPr>
    </w:lvl>
    <w:lvl w:ilvl="1" w:tplc="0C0A0019" w:tentative="1">
      <w:start w:val="1"/>
      <w:numFmt w:val="lowerLetter"/>
      <w:lvlText w:val="%2."/>
      <w:lvlJc w:val="left"/>
      <w:pPr>
        <w:tabs>
          <w:tab w:val="num" w:pos="2092"/>
        </w:tabs>
        <w:ind w:left="2092" w:hanging="360"/>
      </w:pPr>
    </w:lvl>
    <w:lvl w:ilvl="2" w:tplc="0C0A001B" w:tentative="1">
      <w:start w:val="1"/>
      <w:numFmt w:val="lowerRoman"/>
      <w:lvlText w:val="%3."/>
      <w:lvlJc w:val="right"/>
      <w:pPr>
        <w:tabs>
          <w:tab w:val="num" w:pos="2812"/>
        </w:tabs>
        <w:ind w:left="2812" w:hanging="180"/>
      </w:pPr>
    </w:lvl>
    <w:lvl w:ilvl="3" w:tplc="0C0A000F" w:tentative="1">
      <w:start w:val="1"/>
      <w:numFmt w:val="decimal"/>
      <w:lvlText w:val="%4."/>
      <w:lvlJc w:val="left"/>
      <w:pPr>
        <w:tabs>
          <w:tab w:val="num" w:pos="3532"/>
        </w:tabs>
        <w:ind w:left="3532" w:hanging="360"/>
      </w:pPr>
    </w:lvl>
    <w:lvl w:ilvl="4" w:tplc="0C0A0019" w:tentative="1">
      <w:start w:val="1"/>
      <w:numFmt w:val="lowerLetter"/>
      <w:lvlText w:val="%5."/>
      <w:lvlJc w:val="left"/>
      <w:pPr>
        <w:tabs>
          <w:tab w:val="num" w:pos="4252"/>
        </w:tabs>
        <w:ind w:left="4252" w:hanging="360"/>
      </w:pPr>
    </w:lvl>
    <w:lvl w:ilvl="5" w:tplc="0C0A001B" w:tentative="1">
      <w:start w:val="1"/>
      <w:numFmt w:val="lowerRoman"/>
      <w:lvlText w:val="%6."/>
      <w:lvlJc w:val="right"/>
      <w:pPr>
        <w:tabs>
          <w:tab w:val="num" w:pos="4972"/>
        </w:tabs>
        <w:ind w:left="4972" w:hanging="180"/>
      </w:pPr>
    </w:lvl>
    <w:lvl w:ilvl="6" w:tplc="0C0A000F" w:tentative="1">
      <w:start w:val="1"/>
      <w:numFmt w:val="decimal"/>
      <w:lvlText w:val="%7."/>
      <w:lvlJc w:val="left"/>
      <w:pPr>
        <w:tabs>
          <w:tab w:val="num" w:pos="5692"/>
        </w:tabs>
        <w:ind w:left="5692" w:hanging="360"/>
      </w:pPr>
    </w:lvl>
    <w:lvl w:ilvl="7" w:tplc="0C0A0019" w:tentative="1">
      <w:start w:val="1"/>
      <w:numFmt w:val="lowerLetter"/>
      <w:lvlText w:val="%8."/>
      <w:lvlJc w:val="left"/>
      <w:pPr>
        <w:tabs>
          <w:tab w:val="num" w:pos="6412"/>
        </w:tabs>
        <w:ind w:left="6412" w:hanging="360"/>
      </w:pPr>
    </w:lvl>
    <w:lvl w:ilvl="8" w:tplc="0C0A001B" w:tentative="1">
      <w:start w:val="1"/>
      <w:numFmt w:val="lowerRoman"/>
      <w:lvlText w:val="%9."/>
      <w:lvlJc w:val="right"/>
      <w:pPr>
        <w:tabs>
          <w:tab w:val="num" w:pos="7132"/>
        </w:tabs>
        <w:ind w:left="7132" w:hanging="180"/>
      </w:pPr>
    </w:lvl>
  </w:abstractNum>
  <w:abstractNum w:abstractNumId="69">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5B71592E"/>
    <w:multiLevelType w:val="multilevel"/>
    <w:tmpl w:val="F282211A"/>
    <w:lvl w:ilvl="0">
      <w:start w:val="4"/>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3"/>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71">
    <w:nsid w:val="5BD4178D"/>
    <w:multiLevelType w:val="multilevel"/>
    <w:tmpl w:val="CE063E54"/>
    <w:lvl w:ilvl="0">
      <w:start w:val="12"/>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5C1B32AE"/>
    <w:multiLevelType w:val="hybridMultilevel"/>
    <w:tmpl w:val="DDA23A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3">
    <w:nsid w:val="5C671261"/>
    <w:multiLevelType w:val="hybridMultilevel"/>
    <w:tmpl w:val="601686A0"/>
    <w:lvl w:ilvl="0" w:tplc="B7A26E28">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74">
    <w:nsid w:val="5C6B3E5A"/>
    <w:multiLevelType w:val="hybridMultilevel"/>
    <w:tmpl w:val="1BC0DCEA"/>
    <w:lvl w:ilvl="0" w:tplc="8C762FAA">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75">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77">
    <w:nsid w:val="60C7037A"/>
    <w:multiLevelType w:val="multilevel"/>
    <w:tmpl w:val="5508A9D4"/>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79">
    <w:nsid w:val="6315706A"/>
    <w:multiLevelType w:val="hybridMultilevel"/>
    <w:tmpl w:val="CBD6566A"/>
    <w:lvl w:ilvl="0" w:tplc="BCFCADEC">
      <w:start w:val="1"/>
      <w:numFmt w:val="lowerLetter"/>
      <w:lvlText w:val="%1)"/>
      <w:lvlJc w:val="left"/>
      <w:pPr>
        <w:tabs>
          <w:tab w:val="num" w:pos="1440"/>
        </w:tabs>
        <w:ind w:left="1440" w:hanging="360"/>
      </w:pPr>
      <w:rPr>
        <w:rFonts w:ascii="Times New Roman" w:hAnsi="Times New Roman" w:hint="default"/>
        <w:b w:val="0"/>
        <w:i w:val="0"/>
        <w:sz w:val="22"/>
        <w:szCs w:val="22"/>
        <w:effect w:val="none"/>
      </w:rPr>
    </w:lvl>
    <w:lvl w:ilvl="1" w:tplc="0C0A0017">
      <w:start w:val="1"/>
      <w:numFmt w:val="lowerLetter"/>
      <w:lvlText w:val="%2)"/>
      <w:lvlJc w:val="left"/>
      <w:pPr>
        <w:tabs>
          <w:tab w:val="num" w:pos="1440"/>
        </w:tabs>
        <w:ind w:left="1440" w:hanging="360"/>
      </w:pPr>
      <w:rPr>
        <w:rFonts w:hint="default"/>
        <w:b w:val="0"/>
        <w:i w:val="0"/>
        <w:sz w:val="22"/>
        <w:szCs w:val="22"/>
        <w:effect w:val="none"/>
      </w:rPr>
    </w:lvl>
    <w:lvl w:ilvl="2" w:tplc="64E050AA">
      <w:start w:val="1"/>
      <w:numFmt w:val="bullet"/>
      <w:lvlText w:val=""/>
      <w:lvlJc w:val="left"/>
      <w:pPr>
        <w:tabs>
          <w:tab w:val="num" w:pos="2340"/>
        </w:tabs>
        <w:ind w:left="2340" w:hanging="360"/>
      </w:pPr>
      <w:rPr>
        <w:rFonts w:ascii="Wingdings" w:hAnsi="Wingdings" w:hint="default"/>
        <w:b w:val="0"/>
        <w:i w:val="0"/>
        <w:sz w:val="20"/>
        <w:szCs w:val="22"/>
        <w:effect w:val="none"/>
      </w:rPr>
    </w:lvl>
    <w:lvl w:ilvl="3" w:tplc="0C0A000F">
      <w:start w:val="1"/>
      <w:numFmt w:val="decimal"/>
      <w:lvlText w:val="%4."/>
      <w:lvlJc w:val="left"/>
      <w:pPr>
        <w:tabs>
          <w:tab w:val="num" w:pos="2880"/>
        </w:tabs>
        <w:ind w:left="2880" w:hanging="360"/>
      </w:pPr>
      <w:rPr>
        <w:rFonts w:hint="default"/>
        <w:b w:val="0"/>
        <w:i w:val="0"/>
        <w:sz w:val="22"/>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64DB7FE2"/>
    <w:multiLevelType w:val="hybridMultilevel"/>
    <w:tmpl w:val="9000B39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1">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657C2416"/>
    <w:multiLevelType w:val="hybridMultilevel"/>
    <w:tmpl w:val="CEA8908C"/>
    <w:lvl w:ilvl="0" w:tplc="24B48BB2">
      <w:start w:val="1"/>
      <w:numFmt w:val="lowerLetter"/>
      <w:lvlText w:val="%1)"/>
      <w:lvlJc w:val="left"/>
      <w:pPr>
        <w:tabs>
          <w:tab w:val="num" w:pos="1680"/>
        </w:tabs>
        <w:ind w:left="1680" w:hanging="360"/>
      </w:pPr>
      <w:rPr>
        <w:rFonts w:hint="default"/>
      </w:r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84">
    <w:nsid w:val="6A4A6C8B"/>
    <w:multiLevelType w:val="multilevel"/>
    <w:tmpl w:val="37263244"/>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284"/>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85">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8">
    <w:nsid w:val="6E656AA0"/>
    <w:multiLevelType w:val="hybridMultilevel"/>
    <w:tmpl w:val="62249420"/>
    <w:lvl w:ilvl="0" w:tplc="0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89">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91">
    <w:nsid w:val="70E84734"/>
    <w:multiLevelType w:val="hybridMultilevel"/>
    <w:tmpl w:val="CC905ACC"/>
    <w:lvl w:ilvl="0" w:tplc="0C0A0001">
      <w:start w:val="1"/>
      <w:numFmt w:val="bullet"/>
      <w:lvlText w:val=""/>
      <w:lvlJc w:val="left"/>
      <w:pPr>
        <w:ind w:left="1865" w:hanging="360"/>
      </w:pPr>
      <w:rPr>
        <w:rFonts w:ascii="Symbol" w:hAnsi="Symbol"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92">
    <w:nsid w:val="718538A3"/>
    <w:multiLevelType w:val="hybridMultilevel"/>
    <w:tmpl w:val="F566EC3E"/>
    <w:lvl w:ilvl="0" w:tplc="C60EB442">
      <w:start w:val="1"/>
      <w:numFmt w:val="lowerLetter"/>
      <w:lvlText w:val="%1)"/>
      <w:lvlJc w:val="left"/>
      <w:pPr>
        <w:tabs>
          <w:tab w:val="num" w:pos="1410"/>
        </w:tabs>
        <w:ind w:left="1410" w:hanging="45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93">
    <w:nsid w:val="75545D33"/>
    <w:multiLevelType w:val="multilevel"/>
    <w:tmpl w:val="7968FACE"/>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3"/>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94">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5">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96">
    <w:nsid w:val="7A321A86"/>
    <w:multiLevelType w:val="hybridMultilevel"/>
    <w:tmpl w:val="9FAE635A"/>
    <w:lvl w:ilvl="0" w:tplc="EE7483F6">
      <w:start w:val="1"/>
      <w:numFmt w:val="lowerLetter"/>
      <w:lvlText w:val="%1)"/>
      <w:lvlJc w:val="left"/>
      <w:pPr>
        <w:tabs>
          <w:tab w:val="num" w:pos="2329"/>
        </w:tabs>
        <w:ind w:left="23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99">
    <w:nsid w:val="7B815ADB"/>
    <w:multiLevelType w:val="hybridMultilevel"/>
    <w:tmpl w:val="AD169E22"/>
    <w:lvl w:ilvl="0" w:tplc="3A9CF40A">
      <w:start w:val="1"/>
      <w:numFmt w:val="lowerLetter"/>
      <w:lvlText w:val="%1)"/>
      <w:lvlJc w:val="left"/>
      <w:pPr>
        <w:tabs>
          <w:tab w:val="num" w:pos="2081"/>
        </w:tabs>
        <w:ind w:left="2081" w:hanging="360"/>
      </w:pPr>
      <w:rPr>
        <w:rFonts w:hint="default"/>
      </w:rPr>
    </w:lvl>
    <w:lvl w:ilvl="1" w:tplc="0C0A0019">
      <w:start w:val="1"/>
      <w:numFmt w:val="lowerLetter"/>
      <w:lvlText w:val="%2."/>
      <w:lvlJc w:val="left"/>
      <w:pPr>
        <w:tabs>
          <w:tab w:val="num" w:pos="2801"/>
        </w:tabs>
        <w:ind w:left="2801" w:hanging="360"/>
      </w:pPr>
    </w:lvl>
    <w:lvl w:ilvl="2" w:tplc="0C0A001B" w:tentative="1">
      <w:start w:val="1"/>
      <w:numFmt w:val="lowerRoman"/>
      <w:lvlText w:val="%3."/>
      <w:lvlJc w:val="right"/>
      <w:pPr>
        <w:tabs>
          <w:tab w:val="num" w:pos="3521"/>
        </w:tabs>
        <w:ind w:left="3521" w:hanging="180"/>
      </w:pPr>
    </w:lvl>
    <w:lvl w:ilvl="3" w:tplc="0C0A000F" w:tentative="1">
      <w:start w:val="1"/>
      <w:numFmt w:val="decimal"/>
      <w:lvlText w:val="%4."/>
      <w:lvlJc w:val="left"/>
      <w:pPr>
        <w:tabs>
          <w:tab w:val="num" w:pos="4241"/>
        </w:tabs>
        <w:ind w:left="4241" w:hanging="360"/>
      </w:pPr>
    </w:lvl>
    <w:lvl w:ilvl="4" w:tplc="0C0A0019" w:tentative="1">
      <w:start w:val="1"/>
      <w:numFmt w:val="lowerLetter"/>
      <w:lvlText w:val="%5."/>
      <w:lvlJc w:val="left"/>
      <w:pPr>
        <w:tabs>
          <w:tab w:val="num" w:pos="4961"/>
        </w:tabs>
        <w:ind w:left="4961" w:hanging="360"/>
      </w:pPr>
    </w:lvl>
    <w:lvl w:ilvl="5" w:tplc="0C0A001B" w:tentative="1">
      <w:start w:val="1"/>
      <w:numFmt w:val="lowerRoman"/>
      <w:lvlText w:val="%6."/>
      <w:lvlJc w:val="right"/>
      <w:pPr>
        <w:tabs>
          <w:tab w:val="num" w:pos="5681"/>
        </w:tabs>
        <w:ind w:left="5681" w:hanging="180"/>
      </w:pPr>
    </w:lvl>
    <w:lvl w:ilvl="6" w:tplc="0C0A000F" w:tentative="1">
      <w:start w:val="1"/>
      <w:numFmt w:val="decimal"/>
      <w:lvlText w:val="%7."/>
      <w:lvlJc w:val="left"/>
      <w:pPr>
        <w:tabs>
          <w:tab w:val="num" w:pos="6401"/>
        </w:tabs>
        <w:ind w:left="6401" w:hanging="360"/>
      </w:pPr>
    </w:lvl>
    <w:lvl w:ilvl="7" w:tplc="0C0A0019" w:tentative="1">
      <w:start w:val="1"/>
      <w:numFmt w:val="lowerLetter"/>
      <w:lvlText w:val="%8."/>
      <w:lvlJc w:val="left"/>
      <w:pPr>
        <w:tabs>
          <w:tab w:val="num" w:pos="7121"/>
        </w:tabs>
        <w:ind w:left="7121" w:hanging="360"/>
      </w:pPr>
    </w:lvl>
    <w:lvl w:ilvl="8" w:tplc="0C0A001B" w:tentative="1">
      <w:start w:val="1"/>
      <w:numFmt w:val="lowerRoman"/>
      <w:lvlText w:val="%9."/>
      <w:lvlJc w:val="right"/>
      <w:pPr>
        <w:tabs>
          <w:tab w:val="num" w:pos="7841"/>
        </w:tabs>
        <w:ind w:left="7841" w:hanging="180"/>
      </w:pPr>
    </w:lvl>
  </w:abstractNum>
  <w:abstractNum w:abstractNumId="100">
    <w:nsid w:val="7CC85F05"/>
    <w:multiLevelType w:val="hybridMultilevel"/>
    <w:tmpl w:val="23B08410"/>
    <w:lvl w:ilvl="0" w:tplc="B83C86CE">
      <w:start w:val="1"/>
      <w:numFmt w:val="decimal"/>
      <w:lvlText w:val="1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D297227"/>
    <w:multiLevelType w:val="hybridMultilevel"/>
    <w:tmpl w:val="A55E883A"/>
    <w:lvl w:ilvl="0" w:tplc="080A0017">
      <w:start w:val="1"/>
      <w:numFmt w:val="low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2">
    <w:nsid w:val="7ECB7759"/>
    <w:multiLevelType w:val="multilevel"/>
    <w:tmpl w:val="A5A679D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7F15279E"/>
    <w:multiLevelType w:val="hybridMultilevel"/>
    <w:tmpl w:val="066A51A0"/>
    <w:lvl w:ilvl="0" w:tplc="D8D892C6">
      <w:start w:val="1"/>
      <w:numFmt w:val="lowerLetter"/>
      <w:lvlText w:val="%1)"/>
      <w:lvlJc w:val="left"/>
      <w:pPr>
        <w:tabs>
          <w:tab w:val="num" w:pos="1211"/>
        </w:tabs>
        <w:ind w:left="1211" w:hanging="360"/>
      </w:pPr>
      <w:rPr>
        <w:rFonts w:hint="default"/>
      </w:rPr>
    </w:lvl>
    <w:lvl w:ilvl="1" w:tplc="0C0A0001">
      <w:start w:val="1"/>
      <w:numFmt w:val="bullet"/>
      <w:lvlText w:val=""/>
      <w:lvlJc w:val="left"/>
      <w:pPr>
        <w:tabs>
          <w:tab w:val="num" w:pos="1920"/>
        </w:tabs>
        <w:ind w:left="1920" w:hanging="360"/>
      </w:pPr>
      <w:rPr>
        <w:rFonts w:ascii="Symbol" w:hAnsi="Symbol"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05">
    <w:nsid w:val="7F1637A3"/>
    <w:multiLevelType w:val="hybridMultilevel"/>
    <w:tmpl w:val="8132ED92"/>
    <w:lvl w:ilvl="0" w:tplc="31E221E4">
      <w:start w:val="1"/>
      <w:numFmt w:val="lowerLetter"/>
      <w:lvlText w:val="%1)"/>
      <w:lvlJc w:val="left"/>
      <w:pPr>
        <w:tabs>
          <w:tab w:val="num" w:pos="1565"/>
        </w:tabs>
        <w:ind w:left="1565" w:hanging="360"/>
      </w:pPr>
      <w:rPr>
        <w:rFonts w:hint="default"/>
      </w:rPr>
    </w:lvl>
    <w:lvl w:ilvl="1" w:tplc="0C0A0019">
      <w:start w:val="1"/>
      <w:numFmt w:val="lowerLetter"/>
      <w:lvlText w:val="%2."/>
      <w:lvlJc w:val="left"/>
      <w:pPr>
        <w:tabs>
          <w:tab w:val="num" w:pos="2285"/>
        </w:tabs>
        <w:ind w:left="2285" w:hanging="360"/>
      </w:pPr>
    </w:lvl>
    <w:lvl w:ilvl="2" w:tplc="0C0A001B">
      <w:start w:val="1"/>
      <w:numFmt w:val="lowerRoman"/>
      <w:lvlText w:val="%3."/>
      <w:lvlJc w:val="right"/>
      <w:pPr>
        <w:tabs>
          <w:tab w:val="num" w:pos="3005"/>
        </w:tabs>
        <w:ind w:left="3005" w:hanging="180"/>
      </w:pPr>
    </w:lvl>
    <w:lvl w:ilvl="3" w:tplc="0C0A000F">
      <w:start w:val="1"/>
      <w:numFmt w:val="decimal"/>
      <w:lvlText w:val="%4."/>
      <w:lvlJc w:val="left"/>
      <w:pPr>
        <w:tabs>
          <w:tab w:val="num" w:pos="3725"/>
        </w:tabs>
        <w:ind w:left="3725" w:hanging="360"/>
      </w:pPr>
    </w:lvl>
    <w:lvl w:ilvl="4" w:tplc="0C0A0019" w:tentative="1">
      <w:start w:val="1"/>
      <w:numFmt w:val="lowerLetter"/>
      <w:lvlText w:val="%5."/>
      <w:lvlJc w:val="left"/>
      <w:pPr>
        <w:tabs>
          <w:tab w:val="num" w:pos="4445"/>
        </w:tabs>
        <w:ind w:left="4445" w:hanging="360"/>
      </w:pPr>
    </w:lvl>
    <w:lvl w:ilvl="5" w:tplc="0C0A001B" w:tentative="1">
      <w:start w:val="1"/>
      <w:numFmt w:val="lowerRoman"/>
      <w:lvlText w:val="%6."/>
      <w:lvlJc w:val="right"/>
      <w:pPr>
        <w:tabs>
          <w:tab w:val="num" w:pos="5165"/>
        </w:tabs>
        <w:ind w:left="5165" w:hanging="180"/>
      </w:pPr>
    </w:lvl>
    <w:lvl w:ilvl="6" w:tplc="0C0A000F" w:tentative="1">
      <w:start w:val="1"/>
      <w:numFmt w:val="decimal"/>
      <w:lvlText w:val="%7."/>
      <w:lvlJc w:val="left"/>
      <w:pPr>
        <w:tabs>
          <w:tab w:val="num" w:pos="5885"/>
        </w:tabs>
        <w:ind w:left="5885" w:hanging="360"/>
      </w:pPr>
    </w:lvl>
    <w:lvl w:ilvl="7" w:tplc="0C0A0019" w:tentative="1">
      <w:start w:val="1"/>
      <w:numFmt w:val="lowerLetter"/>
      <w:lvlText w:val="%8."/>
      <w:lvlJc w:val="left"/>
      <w:pPr>
        <w:tabs>
          <w:tab w:val="num" w:pos="6605"/>
        </w:tabs>
        <w:ind w:left="6605" w:hanging="360"/>
      </w:pPr>
    </w:lvl>
    <w:lvl w:ilvl="8" w:tplc="0C0A001B" w:tentative="1">
      <w:start w:val="1"/>
      <w:numFmt w:val="lowerRoman"/>
      <w:lvlText w:val="%9."/>
      <w:lvlJc w:val="right"/>
      <w:pPr>
        <w:tabs>
          <w:tab w:val="num" w:pos="7325"/>
        </w:tabs>
        <w:ind w:left="7325" w:hanging="180"/>
      </w:pPr>
    </w:lvl>
  </w:abstractNum>
  <w:abstractNum w:abstractNumId="106">
    <w:nsid w:val="7FBF1E81"/>
    <w:multiLevelType w:val="hybridMultilevel"/>
    <w:tmpl w:val="CE9853F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hint="default"/>
      </w:rPr>
    </w:lvl>
    <w:lvl w:ilvl="2" w:tplc="080A0003">
      <w:start w:val="1"/>
      <w:numFmt w:val="bullet"/>
      <w:lvlText w:val="o"/>
      <w:lvlJc w:val="left"/>
      <w:pPr>
        <w:ind w:left="2160" w:hanging="360"/>
      </w:pPr>
      <w:rPr>
        <w:rFonts w:ascii="Courier New" w:hAnsi="Courier New"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58"/>
  </w:num>
  <w:num w:numId="2">
    <w:abstractNumId w:val="81"/>
  </w:num>
  <w:num w:numId="3">
    <w:abstractNumId w:val="46"/>
  </w:num>
  <w:num w:numId="4">
    <w:abstractNumId w:val="14"/>
  </w:num>
  <w:num w:numId="5">
    <w:abstractNumId w:val="98"/>
  </w:num>
  <w:num w:numId="6">
    <w:abstractNumId w:val="47"/>
  </w:num>
  <w:num w:numId="7">
    <w:abstractNumId w:val="41"/>
  </w:num>
  <w:num w:numId="8">
    <w:abstractNumId w:val="29"/>
  </w:num>
  <w:num w:numId="9">
    <w:abstractNumId w:val="75"/>
  </w:num>
  <w:num w:numId="10">
    <w:abstractNumId w:val="23"/>
  </w:num>
  <w:num w:numId="11">
    <w:abstractNumId w:val="19"/>
  </w:num>
  <w:num w:numId="12">
    <w:abstractNumId w:val="6"/>
  </w:num>
  <w:num w:numId="13">
    <w:abstractNumId w:val="37"/>
  </w:num>
  <w:num w:numId="14">
    <w:abstractNumId w:val="40"/>
  </w:num>
  <w:num w:numId="15">
    <w:abstractNumId w:val="45"/>
  </w:num>
  <w:num w:numId="16">
    <w:abstractNumId w:val="76"/>
  </w:num>
  <w:num w:numId="17">
    <w:abstractNumId w:val="95"/>
  </w:num>
  <w:num w:numId="18">
    <w:abstractNumId w:val="25"/>
  </w:num>
  <w:num w:numId="19">
    <w:abstractNumId w:val="31"/>
  </w:num>
  <w:num w:numId="20">
    <w:abstractNumId w:val="77"/>
  </w:num>
  <w:num w:numId="21">
    <w:abstractNumId w:val="52"/>
  </w:num>
  <w:num w:numId="22">
    <w:abstractNumId w:val="89"/>
  </w:num>
  <w:num w:numId="23">
    <w:abstractNumId w:val="34"/>
  </w:num>
  <w:num w:numId="24">
    <w:abstractNumId w:val="103"/>
  </w:num>
  <w:num w:numId="25">
    <w:abstractNumId w:val="36"/>
  </w:num>
  <w:num w:numId="26">
    <w:abstractNumId w:val="71"/>
  </w:num>
  <w:num w:numId="27">
    <w:abstractNumId w:val="5"/>
  </w:num>
  <w:num w:numId="28">
    <w:abstractNumId w:val="69"/>
  </w:num>
  <w:num w:numId="29">
    <w:abstractNumId w:val="1"/>
  </w:num>
  <w:num w:numId="30">
    <w:abstractNumId w:val="16"/>
  </w:num>
  <w:num w:numId="31">
    <w:abstractNumId w:val="12"/>
  </w:num>
  <w:num w:numId="32">
    <w:abstractNumId w:val="30"/>
  </w:num>
  <w:num w:numId="33">
    <w:abstractNumId w:val="26"/>
  </w:num>
  <w:num w:numId="34">
    <w:abstractNumId w:val="56"/>
  </w:num>
  <w:num w:numId="35">
    <w:abstractNumId w:val="9"/>
  </w:num>
  <w:num w:numId="36">
    <w:abstractNumId w:val="87"/>
  </w:num>
  <w:num w:numId="37">
    <w:abstractNumId w:val="97"/>
  </w:num>
  <w:num w:numId="38">
    <w:abstractNumId w:val="33"/>
  </w:num>
  <w:num w:numId="39">
    <w:abstractNumId w:val="18"/>
  </w:num>
  <w:num w:numId="40">
    <w:abstractNumId w:val="50"/>
  </w:num>
  <w:num w:numId="41">
    <w:abstractNumId w:val="78"/>
  </w:num>
  <w:num w:numId="42">
    <w:abstractNumId w:val="8"/>
  </w:num>
  <w:num w:numId="43">
    <w:abstractNumId w:val="90"/>
  </w:num>
  <w:num w:numId="44">
    <w:abstractNumId w:val="44"/>
  </w:num>
  <w:num w:numId="45">
    <w:abstractNumId w:val="13"/>
  </w:num>
  <w:num w:numId="46">
    <w:abstractNumId w:val="59"/>
  </w:num>
  <w:num w:numId="47">
    <w:abstractNumId w:val="85"/>
  </w:num>
  <w:num w:numId="48">
    <w:abstractNumId w:val="82"/>
  </w:num>
  <w:num w:numId="49">
    <w:abstractNumId w:val="63"/>
  </w:num>
  <w:num w:numId="50">
    <w:abstractNumId w:val="49"/>
  </w:num>
  <w:num w:numId="51">
    <w:abstractNumId w:val="28"/>
  </w:num>
  <w:num w:numId="52">
    <w:abstractNumId w:val="10"/>
  </w:num>
  <w:num w:numId="53">
    <w:abstractNumId w:val="83"/>
  </w:num>
  <w:num w:numId="54">
    <w:abstractNumId w:val="99"/>
  </w:num>
  <w:num w:numId="55">
    <w:abstractNumId w:val="105"/>
  </w:num>
  <w:num w:numId="56">
    <w:abstractNumId w:val="73"/>
  </w:num>
  <w:num w:numId="57">
    <w:abstractNumId w:val="92"/>
  </w:num>
  <w:num w:numId="58">
    <w:abstractNumId w:val="68"/>
  </w:num>
  <w:num w:numId="59">
    <w:abstractNumId w:val="80"/>
  </w:num>
  <w:num w:numId="60">
    <w:abstractNumId w:val="4"/>
  </w:num>
  <w:num w:numId="61">
    <w:abstractNumId w:val="66"/>
  </w:num>
  <w:num w:numId="62">
    <w:abstractNumId w:val="79"/>
  </w:num>
  <w:num w:numId="63">
    <w:abstractNumId w:val="51"/>
  </w:num>
  <w:num w:numId="64">
    <w:abstractNumId w:val="21"/>
  </w:num>
  <w:num w:numId="65">
    <w:abstractNumId w:val="24"/>
  </w:num>
  <w:num w:numId="66">
    <w:abstractNumId w:val="96"/>
  </w:num>
  <w:num w:numId="67">
    <w:abstractNumId w:val="2"/>
  </w:num>
  <w:num w:numId="68">
    <w:abstractNumId w:val="7"/>
  </w:num>
  <w:num w:numId="69">
    <w:abstractNumId w:val="104"/>
  </w:num>
  <w:num w:numId="70">
    <w:abstractNumId w:val="57"/>
  </w:num>
  <w:num w:numId="71">
    <w:abstractNumId w:val="74"/>
  </w:num>
  <w:num w:numId="72">
    <w:abstractNumId w:val="84"/>
  </w:num>
  <w:num w:numId="73">
    <w:abstractNumId w:val="20"/>
  </w:num>
  <w:num w:numId="74">
    <w:abstractNumId w:val="93"/>
  </w:num>
  <w:num w:numId="75">
    <w:abstractNumId w:val="61"/>
  </w:num>
  <w:num w:numId="76">
    <w:abstractNumId w:val="43"/>
  </w:num>
  <w:num w:numId="77">
    <w:abstractNumId w:val="70"/>
  </w:num>
  <w:num w:numId="78">
    <w:abstractNumId w:val="72"/>
  </w:num>
  <w:num w:numId="79">
    <w:abstractNumId w:val="11"/>
  </w:num>
  <w:num w:numId="80">
    <w:abstractNumId w:val="17"/>
  </w:num>
  <w:num w:numId="81">
    <w:abstractNumId w:val="60"/>
  </w:num>
  <w:num w:numId="82">
    <w:abstractNumId w:val="94"/>
  </w:num>
  <w:num w:numId="83">
    <w:abstractNumId w:val="86"/>
  </w:num>
  <w:num w:numId="84">
    <w:abstractNumId w:val="64"/>
  </w:num>
  <w:num w:numId="85">
    <w:abstractNumId w:val="100"/>
  </w:num>
  <w:num w:numId="86">
    <w:abstractNumId w:val="35"/>
  </w:num>
  <w:num w:numId="87">
    <w:abstractNumId w:val="39"/>
  </w:num>
  <w:num w:numId="88">
    <w:abstractNumId w:val="102"/>
  </w:num>
  <w:num w:numId="89">
    <w:abstractNumId w:val="15"/>
  </w:num>
  <w:num w:numId="90">
    <w:abstractNumId w:val="27"/>
  </w:num>
  <w:num w:numId="91">
    <w:abstractNumId w:val="91"/>
  </w:num>
  <w:num w:numId="92">
    <w:abstractNumId w:val="32"/>
  </w:num>
  <w:num w:numId="93">
    <w:abstractNumId w:val="54"/>
  </w:num>
  <w:num w:numId="94">
    <w:abstractNumId w:val="0"/>
  </w:num>
  <w:num w:numId="95">
    <w:abstractNumId w:val="53"/>
  </w:num>
  <w:num w:numId="96">
    <w:abstractNumId w:val="38"/>
  </w:num>
  <w:num w:numId="97">
    <w:abstractNumId w:val="3"/>
  </w:num>
  <w:num w:numId="98">
    <w:abstractNumId w:val="67"/>
  </w:num>
  <w:num w:numId="99">
    <w:abstractNumId w:val="65"/>
  </w:num>
  <w:num w:numId="100">
    <w:abstractNumId w:val="42"/>
  </w:num>
  <w:num w:numId="101">
    <w:abstractNumId w:val="106"/>
  </w:num>
  <w:num w:numId="102">
    <w:abstractNumId w:val="48"/>
  </w:num>
  <w:num w:numId="103">
    <w:abstractNumId w:val="101"/>
  </w:num>
  <w:num w:numId="104">
    <w:abstractNumId w:val="88"/>
  </w:num>
  <w:num w:numId="105">
    <w:abstractNumId w:val="62"/>
  </w:num>
  <w:num w:numId="106">
    <w:abstractNumId w:val="22"/>
  </w:num>
  <w:num w:numId="107">
    <w:abstractNumId w:val="5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8DF"/>
    <w:rsid w:val="000004E3"/>
    <w:rsid w:val="00000716"/>
    <w:rsid w:val="00002655"/>
    <w:rsid w:val="00002C08"/>
    <w:rsid w:val="00002DE3"/>
    <w:rsid w:val="000032F2"/>
    <w:rsid w:val="00003AB0"/>
    <w:rsid w:val="00003FDA"/>
    <w:rsid w:val="0000513B"/>
    <w:rsid w:val="00005623"/>
    <w:rsid w:val="000056AE"/>
    <w:rsid w:val="00005A14"/>
    <w:rsid w:val="00005CD9"/>
    <w:rsid w:val="00006CAF"/>
    <w:rsid w:val="00010130"/>
    <w:rsid w:val="000120A4"/>
    <w:rsid w:val="000142B1"/>
    <w:rsid w:val="0001438F"/>
    <w:rsid w:val="000151DD"/>
    <w:rsid w:val="000162D4"/>
    <w:rsid w:val="000175BE"/>
    <w:rsid w:val="00020345"/>
    <w:rsid w:val="00020360"/>
    <w:rsid w:val="000204AF"/>
    <w:rsid w:val="000205AE"/>
    <w:rsid w:val="00020D49"/>
    <w:rsid w:val="000210C7"/>
    <w:rsid w:val="00024D15"/>
    <w:rsid w:val="00024FD1"/>
    <w:rsid w:val="00025B24"/>
    <w:rsid w:val="00026A9B"/>
    <w:rsid w:val="0002701D"/>
    <w:rsid w:val="000272B5"/>
    <w:rsid w:val="0003093A"/>
    <w:rsid w:val="000323E0"/>
    <w:rsid w:val="00032F52"/>
    <w:rsid w:val="00033953"/>
    <w:rsid w:val="0003461E"/>
    <w:rsid w:val="000348E3"/>
    <w:rsid w:val="00034FE9"/>
    <w:rsid w:val="0003565C"/>
    <w:rsid w:val="00040036"/>
    <w:rsid w:val="00042CDA"/>
    <w:rsid w:val="00042FB5"/>
    <w:rsid w:val="00043619"/>
    <w:rsid w:val="000440C0"/>
    <w:rsid w:val="00046481"/>
    <w:rsid w:val="00046557"/>
    <w:rsid w:val="00046584"/>
    <w:rsid w:val="000466AF"/>
    <w:rsid w:val="00046F86"/>
    <w:rsid w:val="00047650"/>
    <w:rsid w:val="00047A25"/>
    <w:rsid w:val="00050707"/>
    <w:rsid w:val="00051239"/>
    <w:rsid w:val="0005126A"/>
    <w:rsid w:val="00052595"/>
    <w:rsid w:val="00052A70"/>
    <w:rsid w:val="00052EAB"/>
    <w:rsid w:val="00055323"/>
    <w:rsid w:val="00056B8A"/>
    <w:rsid w:val="000570EE"/>
    <w:rsid w:val="000578D1"/>
    <w:rsid w:val="00057902"/>
    <w:rsid w:val="00057D0E"/>
    <w:rsid w:val="00060F98"/>
    <w:rsid w:val="00061326"/>
    <w:rsid w:val="000613EF"/>
    <w:rsid w:val="00061523"/>
    <w:rsid w:val="00061620"/>
    <w:rsid w:val="0006319F"/>
    <w:rsid w:val="00063AB3"/>
    <w:rsid w:val="000650C4"/>
    <w:rsid w:val="000656DB"/>
    <w:rsid w:val="00065884"/>
    <w:rsid w:val="0006637F"/>
    <w:rsid w:val="000664F8"/>
    <w:rsid w:val="00067839"/>
    <w:rsid w:val="000702A0"/>
    <w:rsid w:val="000702F0"/>
    <w:rsid w:val="000702F5"/>
    <w:rsid w:val="00070F13"/>
    <w:rsid w:val="00071440"/>
    <w:rsid w:val="0007183D"/>
    <w:rsid w:val="00072F93"/>
    <w:rsid w:val="00073FE0"/>
    <w:rsid w:val="0007427D"/>
    <w:rsid w:val="00074ECF"/>
    <w:rsid w:val="00075E00"/>
    <w:rsid w:val="00076EA0"/>
    <w:rsid w:val="000804EB"/>
    <w:rsid w:val="00080E8F"/>
    <w:rsid w:val="00080EE0"/>
    <w:rsid w:val="000810AC"/>
    <w:rsid w:val="00084862"/>
    <w:rsid w:val="00084930"/>
    <w:rsid w:val="00084D66"/>
    <w:rsid w:val="00084E73"/>
    <w:rsid w:val="00084EE0"/>
    <w:rsid w:val="0008633F"/>
    <w:rsid w:val="00086904"/>
    <w:rsid w:val="00090361"/>
    <w:rsid w:val="0009052F"/>
    <w:rsid w:val="000907F1"/>
    <w:rsid w:val="00093258"/>
    <w:rsid w:val="00093DE3"/>
    <w:rsid w:val="0009464C"/>
    <w:rsid w:val="00097355"/>
    <w:rsid w:val="000A0273"/>
    <w:rsid w:val="000A0D0F"/>
    <w:rsid w:val="000A1433"/>
    <w:rsid w:val="000A25AC"/>
    <w:rsid w:val="000A2998"/>
    <w:rsid w:val="000A4941"/>
    <w:rsid w:val="000A4E71"/>
    <w:rsid w:val="000A6FA4"/>
    <w:rsid w:val="000B05FE"/>
    <w:rsid w:val="000B0ACF"/>
    <w:rsid w:val="000B0CF9"/>
    <w:rsid w:val="000B0EC4"/>
    <w:rsid w:val="000B123D"/>
    <w:rsid w:val="000B1392"/>
    <w:rsid w:val="000B2F84"/>
    <w:rsid w:val="000B3291"/>
    <w:rsid w:val="000B465B"/>
    <w:rsid w:val="000B4C87"/>
    <w:rsid w:val="000B5466"/>
    <w:rsid w:val="000B68B7"/>
    <w:rsid w:val="000B6E01"/>
    <w:rsid w:val="000B7EA3"/>
    <w:rsid w:val="000C1579"/>
    <w:rsid w:val="000C1A83"/>
    <w:rsid w:val="000C1D1D"/>
    <w:rsid w:val="000C26A7"/>
    <w:rsid w:val="000C2EB4"/>
    <w:rsid w:val="000C341B"/>
    <w:rsid w:val="000C3AEE"/>
    <w:rsid w:val="000C462F"/>
    <w:rsid w:val="000C4651"/>
    <w:rsid w:val="000C4C36"/>
    <w:rsid w:val="000C5FC4"/>
    <w:rsid w:val="000C6049"/>
    <w:rsid w:val="000C77BC"/>
    <w:rsid w:val="000C7F38"/>
    <w:rsid w:val="000D041A"/>
    <w:rsid w:val="000D1A7D"/>
    <w:rsid w:val="000D1BDA"/>
    <w:rsid w:val="000D45AB"/>
    <w:rsid w:val="000D524C"/>
    <w:rsid w:val="000D5890"/>
    <w:rsid w:val="000D6362"/>
    <w:rsid w:val="000D64A3"/>
    <w:rsid w:val="000D6A1D"/>
    <w:rsid w:val="000D6B9D"/>
    <w:rsid w:val="000D7CB9"/>
    <w:rsid w:val="000E19FE"/>
    <w:rsid w:val="000E27DE"/>
    <w:rsid w:val="000E537E"/>
    <w:rsid w:val="000E5A2B"/>
    <w:rsid w:val="000E5B4A"/>
    <w:rsid w:val="000E5D53"/>
    <w:rsid w:val="000E66F0"/>
    <w:rsid w:val="000E6C0B"/>
    <w:rsid w:val="000E71EC"/>
    <w:rsid w:val="000F0EA9"/>
    <w:rsid w:val="000F2E03"/>
    <w:rsid w:val="000F33EF"/>
    <w:rsid w:val="000F3566"/>
    <w:rsid w:val="000F4755"/>
    <w:rsid w:val="000F4BEB"/>
    <w:rsid w:val="000F516D"/>
    <w:rsid w:val="000F56BB"/>
    <w:rsid w:val="000F5913"/>
    <w:rsid w:val="000F5A3B"/>
    <w:rsid w:val="000F5E42"/>
    <w:rsid w:val="000F6B17"/>
    <w:rsid w:val="000F6FFA"/>
    <w:rsid w:val="00101C92"/>
    <w:rsid w:val="00101F13"/>
    <w:rsid w:val="0010271A"/>
    <w:rsid w:val="00103563"/>
    <w:rsid w:val="0010413E"/>
    <w:rsid w:val="0010423E"/>
    <w:rsid w:val="00104EC6"/>
    <w:rsid w:val="0010563E"/>
    <w:rsid w:val="00106897"/>
    <w:rsid w:val="0010764F"/>
    <w:rsid w:val="00107678"/>
    <w:rsid w:val="0011034B"/>
    <w:rsid w:val="00111491"/>
    <w:rsid w:val="00111D41"/>
    <w:rsid w:val="001124AE"/>
    <w:rsid w:val="00112E74"/>
    <w:rsid w:val="00112ED4"/>
    <w:rsid w:val="00113FD1"/>
    <w:rsid w:val="00114CA5"/>
    <w:rsid w:val="0011744E"/>
    <w:rsid w:val="00117DE6"/>
    <w:rsid w:val="00117E24"/>
    <w:rsid w:val="00120880"/>
    <w:rsid w:val="001208FC"/>
    <w:rsid w:val="0012444B"/>
    <w:rsid w:val="00124B9C"/>
    <w:rsid w:val="0012500C"/>
    <w:rsid w:val="00125E0E"/>
    <w:rsid w:val="001261D9"/>
    <w:rsid w:val="00127A57"/>
    <w:rsid w:val="00127D64"/>
    <w:rsid w:val="001302E2"/>
    <w:rsid w:val="00131E9E"/>
    <w:rsid w:val="0013243E"/>
    <w:rsid w:val="001331B0"/>
    <w:rsid w:val="00133C20"/>
    <w:rsid w:val="00133E4B"/>
    <w:rsid w:val="00136278"/>
    <w:rsid w:val="00136B55"/>
    <w:rsid w:val="001373CE"/>
    <w:rsid w:val="0013787F"/>
    <w:rsid w:val="00137F2F"/>
    <w:rsid w:val="00142583"/>
    <w:rsid w:val="001430AD"/>
    <w:rsid w:val="001433B0"/>
    <w:rsid w:val="00145177"/>
    <w:rsid w:val="001452F4"/>
    <w:rsid w:val="00145771"/>
    <w:rsid w:val="00145CA9"/>
    <w:rsid w:val="001461B2"/>
    <w:rsid w:val="001466E3"/>
    <w:rsid w:val="00146973"/>
    <w:rsid w:val="00147261"/>
    <w:rsid w:val="00151B0E"/>
    <w:rsid w:val="001530A8"/>
    <w:rsid w:val="00155411"/>
    <w:rsid w:val="00155B27"/>
    <w:rsid w:val="00157401"/>
    <w:rsid w:val="00160710"/>
    <w:rsid w:val="001608D8"/>
    <w:rsid w:val="00160BE5"/>
    <w:rsid w:val="00161771"/>
    <w:rsid w:val="00161D7A"/>
    <w:rsid w:val="0016203D"/>
    <w:rsid w:val="00162AA4"/>
    <w:rsid w:val="00163688"/>
    <w:rsid w:val="00164296"/>
    <w:rsid w:val="00164E5E"/>
    <w:rsid w:val="0016539E"/>
    <w:rsid w:val="001659B5"/>
    <w:rsid w:val="00166A67"/>
    <w:rsid w:val="001672E3"/>
    <w:rsid w:val="00167450"/>
    <w:rsid w:val="00170D86"/>
    <w:rsid w:val="00171053"/>
    <w:rsid w:val="00171BFF"/>
    <w:rsid w:val="00172ED2"/>
    <w:rsid w:val="00174366"/>
    <w:rsid w:val="0017627D"/>
    <w:rsid w:val="001766E7"/>
    <w:rsid w:val="00176B22"/>
    <w:rsid w:val="00176B92"/>
    <w:rsid w:val="0018046C"/>
    <w:rsid w:val="00181793"/>
    <w:rsid w:val="00181802"/>
    <w:rsid w:val="00181E84"/>
    <w:rsid w:val="00182460"/>
    <w:rsid w:val="00183948"/>
    <w:rsid w:val="0018397F"/>
    <w:rsid w:val="00185538"/>
    <w:rsid w:val="00185D8B"/>
    <w:rsid w:val="00186412"/>
    <w:rsid w:val="00186D7B"/>
    <w:rsid w:val="001907CE"/>
    <w:rsid w:val="001913AE"/>
    <w:rsid w:val="00191743"/>
    <w:rsid w:val="00191913"/>
    <w:rsid w:val="00191A42"/>
    <w:rsid w:val="00191F6C"/>
    <w:rsid w:val="0019304F"/>
    <w:rsid w:val="00193FCD"/>
    <w:rsid w:val="00195179"/>
    <w:rsid w:val="001952E3"/>
    <w:rsid w:val="001953A0"/>
    <w:rsid w:val="00195672"/>
    <w:rsid w:val="00195D5F"/>
    <w:rsid w:val="00197E59"/>
    <w:rsid w:val="001A170A"/>
    <w:rsid w:val="001A1B94"/>
    <w:rsid w:val="001A35F6"/>
    <w:rsid w:val="001A3966"/>
    <w:rsid w:val="001A44F6"/>
    <w:rsid w:val="001A5A8C"/>
    <w:rsid w:val="001A5C4E"/>
    <w:rsid w:val="001A5F02"/>
    <w:rsid w:val="001A6501"/>
    <w:rsid w:val="001A75EA"/>
    <w:rsid w:val="001A791E"/>
    <w:rsid w:val="001B0021"/>
    <w:rsid w:val="001B0BDB"/>
    <w:rsid w:val="001B0DE7"/>
    <w:rsid w:val="001B0EC7"/>
    <w:rsid w:val="001B3230"/>
    <w:rsid w:val="001B41CE"/>
    <w:rsid w:val="001B4285"/>
    <w:rsid w:val="001B6097"/>
    <w:rsid w:val="001B6375"/>
    <w:rsid w:val="001B6758"/>
    <w:rsid w:val="001B67B6"/>
    <w:rsid w:val="001B7572"/>
    <w:rsid w:val="001B790F"/>
    <w:rsid w:val="001B7C3C"/>
    <w:rsid w:val="001C0299"/>
    <w:rsid w:val="001C215D"/>
    <w:rsid w:val="001C2266"/>
    <w:rsid w:val="001C3A32"/>
    <w:rsid w:val="001C47CC"/>
    <w:rsid w:val="001C4C72"/>
    <w:rsid w:val="001C5008"/>
    <w:rsid w:val="001C5124"/>
    <w:rsid w:val="001C6C04"/>
    <w:rsid w:val="001C7375"/>
    <w:rsid w:val="001D1215"/>
    <w:rsid w:val="001D1B9D"/>
    <w:rsid w:val="001D49F2"/>
    <w:rsid w:val="001D5859"/>
    <w:rsid w:val="001D5DCD"/>
    <w:rsid w:val="001D5EC6"/>
    <w:rsid w:val="001D6B47"/>
    <w:rsid w:val="001D798F"/>
    <w:rsid w:val="001E068A"/>
    <w:rsid w:val="001E2152"/>
    <w:rsid w:val="001E2B97"/>
    <w:rsid w:val="001E2C69"/>
    <w:rsid w:val="001E31C6"/>
    <w:rsid w:val="001E3E2F"/>
    <w:rsid w:val="001E4D65"/>
    <w:rsid w:val="001E509C"/>
    <w:rsid w:val="001E69E6"/>
    <w:rsid w:val="001E6A6F"/>
    <w:rsid w:val="001F0B16"/>
    <w:rsid w:val="001F1033"/>
    <w:rsid w:val="001F242B"/>
    <w:rsid w:val="001F24CE"/>
    <w:rsid w:val="001F255F"/>
    <w:rsid w:val="001F3F38"/>
    <w:rsid w:val="001F3FA9"/>
    <w:rsid w:val="001F44EA"/>
    <w:rsid w:val="001F65CE"/>
    <w:rsid w:val="001F746A"/>
    <w:rsid w:val="001F78DD"/>
    <w:rsid w:val="001F7D9C"/>
    <w:rsid w:val="001F7E77"/>
    <w:rsid w:val="0020030A"/>
    <w:rsid w:val="00200486"/>
    <w:rsid w:val="002006A9"/>
    <w:rsid w:val="00202620"/>
    <w:rsid w:val="002029FB"/>
    <w:rsid w:val="00202C74"/>
    <w:rsid w:val="00204C4B"/>
    <w:rsid w:val="00205478"/>
    <w:rsid w:val="00206577"/>
    <w:rsid w:val="00206838"/>
    <w:rsid w:val="0020706C"/>
    <w:rsid w:val="00207A04"/>
    <w:rsid w:val="00211324"/>
    <w:rsid w:val="0021238A"/>
    <w:rsid w:val="00212FF2"/>
    <w:rsid w:val="00213199"/>
    <w:rsid w:val="002137B1"/>
    <w:rsid w:val="00214311"/>
    <w:rsid w:val="002156CB"/>
    <w:rsid w:val="002209EF"/>
    <w:rsid w:val="00221373"/>
    <w:rsid w:val="00221B21"/>
    <w:rsid w:val="0022588A"/>
    <w:rsid w:val="0022588E"/>
    <w:rsid w:val="00227268"/>
    <w:rsid w:val="00227891"/>
    <w:rsid w:val="00230E03"/>
    <w:rsid w:val="002323EE"/>
    <w:rsid w:val="002331E1"/>
    <w:rsid w:val="002332A5"/>
    <w:rsid w:val="00233B13"/>
    <w:rsid w:val="00234696"/>
    <w:rsid w:val="00234FD2"/>
    <w:rsid w:val="00235556"/>
    <w:rsid w:val="00235AD1"/>
    <w:rsid w:val="00235B62"/>
    <w:rsid w:val="00235D62"/>
    <w:rsid w:val="00236822"/>
    <w:rsid w:val="0023689B"/>
    <w:rsid w:val="00237B6A"/>
    <w:rsid w:val="00240137"/>
    <w:rsid w:val="00240266"/>
    <w:rsid w:val="00241991"/>
    <w:rsid w:val="00241CC9"/>
    <w:rsid w:val="00243B39"/>
    <w:rsid w:val="00244143"/>
    <w:rsid w:val="002445F9"/>
    <w:rsid w:val="00245582"/>
    <w:rsid w:val="002474FC"/>
    <w:rsid w:val="0024794D"/>
    <w:rsid w:val="002506CB"/>
    <w:rsid w:val="0025081F"/>
    <w:rsid w:val="00250CA1"/>
    <w:rsid w:val="002528D2"/>
    <w:rsid w:val="002529AB"/>
    <w:rsid w:val="0025372F"/>
    <w:rsid w:val="00253906"/>
    <w:rsid w:val="0025473F"/>
    <w:rsid w:val="0025505A"/>
    <w:rsid w:val="002554CA"/>
    <w:rsid w:val="002558AE"/>
    <w:rsid w:val="00255A64"/>
    <w:rsid w:val="002574A8"/>
    <w:rsid w:val="00262E37"/>
    <w:rsid w:val="00262E56"/>
    <w:rsid w:val="00262F7F"/>
    <w:rsid w:val="0026331B"/>
    <w:rsid w:val="00263363"/>
    <w:rsid w:val="00263849"/>
    <w:rsid w:val="002641B5"/>
    <w:rsid w:val="00264EA0"/>
    <w:rsid w:val="00264F1A"/>
    <w:rsid w:val="00265909"/>
    <w:rsid w:val="00266776"/>
    <w:rsid w:val="0026692D"/>
    <w:rsid w:val="00266E84"/>
    <w:rsid w:val="00266FCC"/>
    <w:rsid w:val="002708FA"/>
    <w:rsid w:val="00270C70"/>
    <w:rsid w:val="002715FF"/>
    <w:rsid w:val="00273420"/>
    <w:rsid w:val="002748F0"/>
    <w:rsid w:val="0027592E"/>
    <w:rsid w:val="00275B09"/>
    <w:rsid w:val="00275D3C"/>
    <w:rsid w:val="00276953"/>
    <w:rsid w:val="0027708C"/>
    <w:rsid w:val="00277286"/>
    <w:rsid w:val="002772EC"/>
    <w:rsid w:val="002773F6"/>
    <w:rsid w:val="00277C8D"/>
    <w:rsid w:val="00280232"/>
    <w:rsid w:val="00281A3F"/>
    <w:rsid w:val="00282BE4"/>
    <w:rsid w:val="00282C98"/>
    <w:rsid w:val="00282F62"/>
    <w:rsid w:val="00283271"/>
    <w:rsid w:val="002835CD"/>
    <w:rsid w:val="0028625A"/>
    <w:rsid w:val="00286408"/>
    <w:rsid w:val="0029016D"/>
    <w:rsid w:val="00291EBD"/>
    <w:rsid w:val="0029210A"/>
    <w:rsid w:val="002924F9"/>
    <w:rsid w:val="00292F19"/>
    <w:rsid w:val="00294B90"/>
    <w:rsid w:val="0029503C"/>
    <w:rsid w:val="00295648"/>
    <w:rsid w:val="00296109"/>
    <w:rsid w:val="00296329"/>
    <w:rsid w:val="00296443"/>
    <w:rsid w:val="00297378"/>
    <w:rsid w:val="002977D0"/>
    <w:rsid w:val="002A11D1"/>
    <w:rsid w:val="002A1489"/>
    <w:rsid w:val="002A2D1E"/>
    <w:rsid w:val="002A39D8"/>
    <w:rsid w:val="002A3C0A"/>
    <w:rsid w:val="002A3CF3"/>
    <w:rsid w:val="002A6776"/>
    <w:rsid w:val="002A6870"/>
    <w:rsid w:val="002A74C3"/>
    <w:rsid w:val="002A7C7D"/>
    <w:rsid w:val="002B0843"/>
    <w:rsid w:val="002B1120"/>
    <w:rsid w:val="002B238B"/>
    <w:rsid w:val="002B3744"/>
    <w:rsid w:val="002B48F9"/>
    <w:rsid w:val="002B53C2"/>
    <w:rsid w:val="002B5881"/>
    <w:rsid w:val="002B6C1D"/>
    <w:rsid w:val="002B708D"/>
    <w:rsid w:val="002B727D"/>
    <w:rsid w:val="002B752A"/>
    <w:rsid w:val="002C1089"/>
    <w:rsid w:val="002C2A55"/>
    <w:rsid w:val="002C37E8"/>
    <w:rsid w:val="002C3DE9"/>
    <w:rsid w:val="002C3F4B"/>
    <w:rsid w:val="002C4730"/>
    <w:rsid w:val="002C4CD1"/>
    <w:rsid w:val="002C52F2"/>
    <w:rsid w:val="002C57E3"/>
    <w:rsid w:val="002C6523"/>
    <w:rsid w:val="002C6D53"/>
    <w:rsid w:val="002C6E1E"/>
    <w:rsid w:val="002C71AF"/>
    <w:rsid w:val="002C7F2E"/>
    <w:rsid w:val="002D05B5"/>
    <w:rsid w:val="002D2958"/>
    <w:rsid w:val="002D2DEB"/>
    <w:rsid w:val="002D2E87"/>
    <w:rsid w:val="002D30F7"/>
    <w:rsid w:val="002D3411"/>
    <w:rsid w:val="002D36F0"/>
    <w:rsid w:val="002D3AA3"/>
    <w:rsid w:val="002D44F2"/>
    <w:rsid w:val="002D4E65"/>
    <w:rsid w:val="002D588C"/>
    <w:rsid w:val="002D5ACC"/>
    <w:rsid w:val="002D6457"/>
    <w:rsid w:val="002D6F5E"/>
    <w:rsid w:val="002D7132"/>
    <w:rsid w:val="002D7218"/>
    <w:rsid w:val="002E3E83"/>
    <w:rsid w:val="002E5D1C"/>
    <w:rsid w:val="002E670D"/>
    <w:rsid w:val="002E67BB"/>
    <w:rsid w:val="002E69D8"/>
    <w:rsid w:val="002E7461"/>
    <w:rsid w:val="002E7B58"/>
    <w:rsid w:val="002F0D84"/>
    <w:rsid w:val="002F168E"/>
    <w:rsid w:val="002F18E4"/>
    <w:rsid w:val="002F23A1"/>
    <w:rsid w:val="002F2C5B"/>
    <w:rsid w:val="002F4239"/>
    <w:rsid w:val="002F4B18"/>
    <w:rsid w:val="002F4BA6"/>
    <w:rsid w:val="002F50F1"/>
    <w:rsid w:val="002F626A"/>
    <w:rsid w:val="002F665D"/>
    <w:rsid w:val="002F67B4"/>
    <w:rsid w:val="002F7210"/>
    <w:rsid w:val="002F7807"/>
    <w:rsid w:val="0030011B"/>
    <w:rsid w:val="0030023B"/>
    <w:rsid w:val="00300E8A"/>
    <w:rsid w:val="00301539"/>
    <w:rsid w:val="00301F79"/>
    <w:rsid w:val="0030246D"/>
    <w:rsid w:val="0030295C"/>
    <w:rsid w:val="00303326"/>
    <w:rsid w:val="00303433"/>
    <w:rsid w:val="00303D3A"/>
    <w:rsid w:val="00305004"/>
    <w:rsid w:val="003065DE"/>
    <w:rsid w:val="00307AE4"/>
    <w:rsid w:val="00310957"/>
    <w:rsid w:val="0031161A"/>
    <w:rsid w:val="00311B97"/>
    <w:rsid w:val="003121F2"/>
    <w:rsid w:val="00312D33"/>
    <w:rsid w:val="0031311B"/>
    <w:rsid w:val="00313CD6"/>
    <w:rsid w:val="00313D11"/>
    <w:rsid w:val="003175E7"/>
    <w:rsid w:val="00317BC7"/>
    <w:rsid w:val="00320A23"/>
    <w:rsid w:val="00320B3A"/>
    <w:rsid w:val="003217FD"/>
    <w:rsid w:val="00322121"/>
    <w:rsid w:val="00323357"/>
    <w:rsid w:val="00323657"/>
    <w:rsid w:val="00323B73"/>
    <w:rsid w:val="003240D5"/>
    <w:rsid w:val="003246D1"/>
    <w:rsid w:val="003248D8"/>
    <w:rsid w:val="00324909"/>
    <w:rsid w:val="00326A84"/>
    <w:rsid w:val="00326CAC"/>
    <w:rsid w:val="0032759E"/>
    <w:rsid w:val="00327A70"/>
    <w:rsid w:val="00331575"/>
    <w:rsid w:val="003317FD"/>
    <w:rsid w:val="003334A0"/>
    <w:rsid w:val="003346E2"/>
    <w:rsid w:val="003348A0"/>
    <w:rsid w:val="00334BF7"/>
    <w:rsid w:val="00334C8F"/>
    <w:rsid w:val="0033590B"/>
    <w:rsid w:val="00336B3C"/>
    <w:rsid w:val="003401B7"/>
    <w:rsid w:val="00343984"/>
    <w:rsid w:val="0034429B"/>
    <w:rsid w:val="003468E0"/>
    <w:rsid w:val="00346946"/>
    <w:rsid w:val="003475BD"/>
    <w:rsid w:val="0035006E"/>
    <w:rsid w:val="0035040A"/>
    <w:rsid w:val="003505D6"/>
    <w:rsid w:val="003506F3"/>
    <w:rsid w:val="00350B02"/>
    <w:rsid w:val="00350F5C"/>
    <w:rsid w:val="0035173F"/>
    <w:rsid w:val="00351EF9"/>
    <w:rsid w:val="00354354"/>
    <w:rsid w:val="00354841"/>
    <w:rsid w:val="00354999"/>
    <w:rsid w:val="003550FF"/>
    <w:rsid w:val="0035554B"/>
    <w:rsid w:val="00355E1B"/>
    <w:rsid w:val="00356244"/>
    <w:rsid w:val="00356941"/>
    <w:rsid w:val="00356D48"/>
    <w:rsid w:val="00356DB1"/>
    <w:rsid w:val="003604DE"/>
    <w:rsid w:val="0036218C"/>
    <w:rsid w:val="003625DB"/>
    <w:rsid w:val="00362FFE"/>
    <w:rsid w:val="0036370D"/>
    <w:rsid w:val="0036376F"/>
    <w:rsid w:val="00364596"/>
    <w:rsid w:val="003649B0"/>
    <w:rsid w:val="00365619"/>
    <w:rsid w:val="00365824"/>
    <w:rsid w:val="00365846"/>
    <w:rsid w:val="00365D8D"/>
    <w:rsid w:val="0036741F"/>
    <w:rsid w:val="003708C0"/>
    <w:rsid w:val="00370A5E"/>
    <w:rsid w:val="00370A65"/>
    <w:rsid w:val="00370DB5"/>
    <w:rsid w:val="00370EEA"/>
    <w:rsid w:val="0037188C"/>
    <w:rsid w:val="00371C65"/>
    <w:rsid w:val="003724A3"/>
    <w:rsid w:val="00374727"/>
    <w:rsid w:val="003748A9"/>
    <w:rsid w:val="00376B5A"/>
    <w:rsid w:val="00380120"/>
    <w:rsid w:val="00380E31"/>
    <w:rsid w:val="00381A5B"/>
    <w:rsid w:val="00381A94"/>
    <w:rsid w:val="003830D5"/>
    <w:rsid w:val="00384FE6"/>
    <w:rsid w:val="003855BA"/>
    <w:rsid w:val="00386E1E"/>
    <w:rsid w:val="0038729F"/>
    <w:rsid w:val="00387974"/>
    <w:rsid w:val="00387ABB"/>
    <w:rsid w:val="00391244"/>
    <w:rsid w:val="00392DAC"/>
    <w:rsid w:val="00392F14"/>
    <w:rsid w:val="00393092"/>
    <w:rsid w:val="00393165"/>
    <w:rsid w:val="00393526"/>
    <w:rsid w:val="00393E3A"/>
    <w:rsid w:val="00394E7F"/>
    <w:rsid w:val="0039505A"/>
    <w:rsid w:val="00395959"/>
    <w:rsid w:val="00395B60"/>
    <w:rsid w:val="00396D12"/>
    <w:rsid w:val="003A1E68"/>
    <w:rsid w:val="003A1E97"/>
    <w:rsid w:val="003A21BA"/>
    <w:rsid w:val="003A3894"/>
    <w:rsid w:val="003A68C8"/>
    <w:rsid w:val="003A6AFB"/>
    <w:rsid w:val="003A7646"/>
    <w:rsid w:val="003B1B8D"/>
    <w:rsid w:val="003B1F3C"/>
    <w:rsid w:val="003B2933"/>
    <w:rsid w:val="003B326B"/>
    <w:rsid w:val="003B452C"/>
    <w:rsid w:val="003B4CE3"/>
    <w:rsid w:val="003B51E6"/>
    <w:rsid w:val="003B5D9D"/>
    <w:rsid w:val="003B784F"/>
    <w:rsid w:val="003C0CD7"/>
    <w:rsid w:val="003C0D22"/>
    <w:rsid w:val="003C2977"/>
    <w:rsid w:val="003C301D"/>
    <w:rsid w:val="003C3C8F"/>
    <w:rsid w:val="003C40C9"/>
    <w:rsid w:val="003C525A"/>
    <w:rsid w:val="003C73C1"/>
    <w:rsid w:val="003C7A44"/>
    <w:rsid w:val="003D01E3"/>
    <w:rsid w:val="003D024C"/>
    <w:rsid w:val="003D038A"/>
    <w:rsid w:val="003D12FC"/>
    <w:rsid w:val="003D1949"/>
    <w:rsid w:val="003D2639"/>
    <w:rsid w:val="003D2675"/>
    <w:rsid w:val="003D2A22"/>
    <w:rsid w:val="003D3121"/>
    <w:rsid w:val="003D3C56"/>
    <w:rsid w:val="003D414C"/>
    <w:rsid w:val="003D5467"/>
    <w:rsid w:val="003D556F"/>
    <w:rsid w:val="003D5A73"/>
    <w:rsid w:val="003D5B42"/>
    <w:rsid w:val="003D6701"/>
    <w:rsid w:val="003D6AA5"/>
    <w:rsid w:val="003D6BAB"/>
    <w:rsid w:val="003D7038"/>
    <w:rsid w:val="003D7C2B"/>
    <w:rsid w:val="003E1F26"/>
    <w:rsid w:val="003E210F"/>
    <w:rsid w:val="003E28AD"/>
    <w:rsid w:val="003E3278"/>
    <w:rsid w:val="003E45A8"/>
    <w:rsid w:val="003E5A13"/>
    <w:rsid w:val="003E5E59"/>
    <w:rsid w:val="003E7D38"/>
    <w:rsid w:val="003F0100"/>
    <w:rsid w:val="003F0563"/>
    <w:rsid w:val="003F2104"/>
    <w:rsid w:val="003F26D4"/>
    <w:rsid w:val="003F2BCA"/>
    <w:rsid w:val="003F3515"/>
    <w:rsid w:val="003F41F6"/>
    <w:rsid w:val="003F49E5"/>
    <w:rsid w:val="003F4CFD"/>
    <w:rsid w:val="003F6A90"/>
    <w:rsid w:val="003F735B"/>
    <w:rsid w:val="003F75E2"/>
    <w:rsid w:val="003F7E9C"/>
    <w:rsid w:val="00401293"/>
    <w:rsid w:val="00401373"/>
    <w:rsid w:val="004017AE"/>
    <w:rsid w:val="00402284"/>
    <w:rsid w:val="004026B4"/>
    <w:rsid w:val="004035EC"/>
    <w:rsid w:val="0040459F"/>
    <w:rsid w:val="00404E7F"/>
    <w:rsid w:val="00405207"/>
    <w:rsid w:val="00405725"/>
    <w:rsid w:val="00407BB6"/>
    <w:rsid w:val="00411F07"/>
    <w:rsid w:val="00411F3E"/>
    <w:rsid w:val="0041227F"/>
    <w:rsid w:val="004125EE"/>
    <w:rsid w:val="00412687"/>
    <w:rsid w:val="004140CB"/>
    <w:rsid w:val="004142E1"/>
    <w:rsid w:val="00414E7C"/>
    <w:rsid w:val="0041598E"/>
    <w:rsid w:val="00415A55"/>
    <w:rsid w:val="00416414"/>
    <w:rsid w:val="00416FB4"/>
    <w:rsid w:val="00417DCA"/>
    <w:rsid w:val="00420254"/>
    <w:rsid w:val="00420808"/>
    <w:rsid w:val="0042205B"/>
    <w:rsid w:val="004228E4"/>
    <w:rsid w:val="00423FAE"/>
    <w:rsid w:val="00425083"/>
    <w:rsid w:val="00426233"/>
    <w:rsid w:val="004276E4"/>
    <w:rsid w:val="004277E7"/>
    <w:rsid w:val="004278B8"/>
    <w:rsid w:val="00427C14"/>
    <w:rsid w:val="0043061C"/>
    <w:rsid w:val="00430B29"/>
    <w:rsid w:val="00430D89"/>
    <w:rsid w:val="0043247C"/>
    <w:rsid w:val="0043280B"/>
    <w:rsid w:val="0043335D"/>
    <w:rsid w:val="00433519"/>
    <w:rsid w:val="00433954"/>
    <w:rsid w:val="00433D8F"/>
    <w:rsid w:val="004345BC"/>
    <w:rsid w:val="004359C6"/>
    <w:rsid w:val="00435C80"/>
    <w:rsid w:val="00436943"/>
    <w:rsid w:val="00436F43"/>
    <w:rsid w:val="00437047"/>
    <w:rsid w:val="004376A9"/>
    <w:rsid w:val="004379D9"/>
    <w:rsid w:val="00437A09"/>
    <w:rsid w:val="00440626"/>
    <w:rsid w:val="00441538"/>
    <w:rsid w:val="004429B8"/>
    <w:rsid w:val="0044302F"/>
    <w:rsid w:val="0044473D"/>
    <w:rsid w:val="00444ACC"/>
    <w:rsid w:val="00444AEC"/>
    <w:rsid w:val="0044522F"/>
    <w:rsid w:val="00445278"/>
    <w:rsid w:val="00445E8D"/>
    <w:rsid w:val="00445FE7"/>
    <w:rsid w:val="00447970"/>
    <w:rsid w:val="004501CF"/>
    <w:rsid w:val="00450409"/>
    <w:rsid w:val="004512F4"/>
    <w:rsid w:val="0045183C"/>
    <w:rsid w:val="00451E91"/>
    <w:rsid w:val="00452DFE"/>
    <w:rsid w:val="00453278"/>
    <w:rsid w:val="00454423"/>
    <w:rsid w:val="00454A68"/>
    <w:rsid w:val="0045555B"/>
    <w:rsid w:val="00455976"/>
    <w:rsid w:val="00455CCE"/>
    <w:rsid w:val="00456618"/>
    <w:rsid w:val="0045792C"/>
    <w:rsid w:val="00457ADD"/>
    <w:rsid w:val="004635AD"/>
    <w:rsid w:val="00464C02"/>
    <w:rsid w:val="00464E13"/>
    <w:rsid w:val="00465299"/>
    <w:rsid w:val="00465896"/>
    <w:rsid w:val="00466B8F"/>
    <w:rsid w:val="00467A3F"/>
    <w:rsid w:val="004701E3"/>
    <w:rsid w:val="00470281"/>
    <w:rsid w:val="00470A34"/>
    <w:rsid w:val="00471CE3"/>
    <w:rsid w:val="0047265A"/>
    <w:rsid w:val="0047328F"/>
    <w:rsid w:val="00474565"/>
    <w:rsid w:val="00474FDF"/>
    <w:rsid w:val="004756F2"/>
    <w:rsid w:val="00475838"/>
    <w:rsid w:val="004764CC"/>
    <w:rsid w:val="00477EAF"/>
    <w:rsid w:val="00480169"/>
    <w:rsid w:val="004809C7"/>
    <w:rsid w:val="00481FC8"/>
    <w:rsid w:val="0048258A"/>
    <w:rsid w:val="00482F64"/>
    <w:rsid w:val="00483BA5"/>
    <w:rsid w:val="0048431E"/>
    <w:rsid w:val="0048444C"/>
    <w:rsid w:val="00484634"/>
    <w:rsid w:val="00484F66"/>
    <w:rsid w:val="004866F5"/>
    <w:rsid w:val="004879BD"/>
    <w:rsid w:val="00487ED0"/>
    <w:rsid w:val="0049096A"/>
    <w:rsid w:val="00490AA3"/>
    <w:rsid w:val="004913D8"/>
    <w:rsid w:val="00491952"/>
    <w:rsid w:val="00491A7D"/>
    <w:rsid w:val="00491B37"/>
    <w:rsid w:val="00491B72"/>
    <w:rsid w:val="00491D07"/>
    <w:rsid w:val="004922EE"/>
    <w:rsid w:val="0049241D"/>
    <w:rsid w:val="00493261"/>
    <w:rsid w:val="0049344F"/>
    <w:rsid w:val="00493830"/>
    <w:rsid w:val="004943E1"/>
    <w:rsid w:val="00496B87"/>
    <w:rsid w:val="00496BAF"/>
    <w:rsid w:val="004A12B5"/>
    <w:rsid w:val="004A42D3"/>
    <w:rsid w:val="004A598E"/>
    <w:rsid w:val="004A60CC"/>
    <w:rsid w:val="004A7465"/>
    <w:rsid w:val="004A77BB"/>
    <w:rsid w:val="004A7FB5"/>
    <w:rsid w:val="004B0968"/>
    <w:rsid w:val="004B0ABF"/>
    <w:rsid w:val="004B1A9B"/>
    <w:rsid w:val="004B322C"/>
    <w:rsid w:val="004B3691"/>
    <w:rsid w:val="004B4050"/>
    <w:rsid w:val="004B55A8"/>
    <w:rsid w:val="004B69A7"/>
    <w:rsid w:val="004C0F45"/>
    <w:rsid w:val="004C2064"/>
    <w:rsid w:val="004C2365"/>
    <w:rsid w:val="004C454C"/>
    <w:rsid w:val="004C4ACE"/>
    <w:rsid w:val="004C5910"/>
    <w:rsid w:val="004C607F"/>
    <w:rsid w:val="004C79D2"/>
    <w:rsid w:val="004C7DF5"/>
    <w:rsid w:val="004D127D"/>
    <w:rsid w:val="004D1A25"/>
    <w:rsid w:val="004D24A9"/>
    <w:rsid w:val="004D2C22"/>
    <w:rsid w:val="004D3328"/>
    <w:rsid w:val="004D3AD3"/>
    <w:rsid w:val="004D4B1D"/>
    <w:rsid w:val="004D66D9"/>
    <w:rsid w:val="004D72C5"/>
    <w:rsid w:val="004E053D"/>
    <w:rsid w:val="004E1F0F"/>
    <w:rsid w:val="004E289C"/>
    <w:rsid w:val="004E29A4"/>
    <w:rsid w:val="004E3F09"/>
    <w:rsid w:val="004E4B13"/>
    <w:rsid w:val="004E5745"/>
    <w:rsid w:val="004E58DB"/>
    <w:rsid w:val="004E5E99"/>
    <w:rsid w:val="004E646C"/>
    <w:rsid w:val="004E6A0F"/>
    <w:rsid w:val="004E7BB3"/>
    <w:rsid w:val="004F1028"/>
    <w:rsid w:val="004F35AE"/>
    <w:rsid w:val="004F4751"/>
    <w:rsid w:val="004F6B32"/>
    <w:rsid w:val="004F6B3F"/>
    <w:rsid w:val="00500AA9"/>
    <w:rsid w:val="00500EE7"/>
    <w:rsid w:val="00501B94"/>
    <w:rsid w:val="0050525B"/>
    <w:rsid w:val="00505DCF"/>
    <w:rsid w:val="00506A13"/>
    <w:rsid w:val="0050752A"/>
    <w:rsid w:val="00507AB6"/>
    <w:rsid w:val="00507D46"/>
    <w:rsid w:val="005101A5"/>
    <w:rsid w:val="005107DC"/>
    <w:rsid w:val="00510C95"/>
    <w:rsid w:val="00511030"/>
    <w:rsid w:val="0051156C"/>
    <w:rsid w:val="00511FF7"/>
    <w:rsid w:val="005125A2"/>
    <w:rsid w:val="00514582"/>
    <w:rsid w:val="00515880"/>
    <w:rsid w:val="00515990"/>
    <w:rsid w:val="00515B11"/>
    <w:rsid w:val="0051680B"/>
    <w:rsid w:val="00516D29"/>
    <w:rsid w:val="005233DB"/>
    <w:rsid w:val="00523BCA"/>
    <w:rsid w:val="00524D29"/>
    <w:rsid w:val="00524E8F"/>
    <w:rsid w:val="005254BA"/>
    <w:rsid w:val="005255FF"/>
    <w:rsid w:val="00530E9D"/>
    <w:rsid w:val="00531D09"/>
    <w:rsid w:val="00531DF9"/>
    <w:rsid w:val="0053213B"/>
    <w:rsid w:val="005325D5"/>
    <w:rsid w:val="00532738"/>
    <w:rsid w:val="00532DD4"/>
    <w:rsid w:val="00533171"/>
    <w:rsid w:val="0053380C"/>
    <w:rsid w:val="00534D1A"/>
    <w:rsid w:val="0053507B"/>
    <w:rsid w:val="005352DD"/>
    <w:rsid w:val="00535596"/>
    <w:rsid w:val="00535795"/>
    <w:rsid w:val="00535869"/>
    <w:rsid w:val="00535B1C"/>
    <w:rsid w:val="00535C0B"/>
    <w:rsid w:val="00535D71"/>
    <w:rsid w:val="00536490"/>
    <w:rsid w:val="00536A61"/>
    <w:rsid w:val="00536B4E"/>
    <w:rsid w:val="0053764C"/>
    <w:rsid w:val="00537F31"/>
    <w:rsid w:val="0054000A"/>
    <w:rsid w:val="0054028F"/>
    <w:rsid w:val="00540439"/>
    <w:rsid w:val="005405ED"/>
    <w:rsid w:val="00540E08"/>
    <w:rsid w:val="00542270"/>
    <w:rsid w:val="0054323E"/>
    <w:rsid w:val="00545148"/>
    <w:rsid w:val="00546584"/>
    <w:rsid w:val="005471DA"/>
    <w:rsid w:val="00547636"/>
    <w:rsid w:val="00550FF3"/>
    <w:rsid w:val="00551606"/>
    <w:rsid w:val="005530A2"/>
    <w:rsid w:val="00553E60"/>
    <w:rsid w:val="005565B2"/>
    <w:rsid w:val="00556620"/>
    <w:rsid w:val="00560606"/>
    <w:rsid w:val="005607F5"/>
    <w:rsid w:val="00560C04"/>
    <w:rsid w:val="00561A33"/>
    <w:rsid w:val="005621BA"/>
    <w:rsid w:val="0056338E"/>
    <w:rsid w:val="00563934"/>
    <w:rsid w:val="00565B57"/>
    <w:rsid w:val="00567258"/>
    <w:rsid w:val="005673ED"/>
    <w:rsid w:val="00567721"/>
    <w:rsid w:val="00571ADF"/>
    <w:rsid w:val="00571B29"/>
    <w:rsid w:val="00572517"/>
    <w:rsid w:val="0057267F"/>
    <w:rsid w:val="00572728"/>
    <w:rsid w:val="00572E12"/>
    <w:rsid w:val="005730F0"/>
    <w:rsid w:val="00573C67"/>
    <w:rsid w:val="00574A12"/>
    <w:rsid w:val="005757AB"/>
    <w:rsid w:val="00576307"/>
    <w:rsid w:val="00576C3D"/>
    <w:rsid w:val="00577008"/>
    <w:rsid w:val="00580877"/>
    <w:rsid w:val="005817DB"/>
    <w:rsid w:val="00581A8D"/>
    <w:rsid w:val="00582417"/>
    <w:rsid w:val="00582AF1"/>
    <w:rsid w:val="00582BDA"/>
    <w:rsid w:val="0058366E"/>
    <w:rsid w:val="00584A36"/>
    <w:rsid w:val="00584F24"/>
    <w:rsid w:val="00586E89"/>
    <w:rsid w:val="00587D5B"/>
    <w:rsid w:val="00590D41"/>
    <w:rsid w:val="00590E37"/>
    <w:rsid w:val="005911AC"/>
    <w:rsid w:val="00593982"/>
    <w:rsid w:val="0059499C"/>
    <w:rsid w:val="00594AC4"/>
    <w:rsid w:val="00596573"/>
    <w:rsid w:val="005965BD"/>
    <w:rsid w:val="00597191"/>
    <w:rsid w:val="00597771"/>
    <w:rsid w:val="005A2BCC"/>
    <w:rsid w:val="005A2EA7"/>
    <w:rsid w:val="005A4024"/>
    <w:rsid w:val="005A4B4C"/>
    <w:rsid w:val="005A5220"/>
    <w:rsid w:val="005B05F6"/>
    <w:rsid w:val="005B0667"/>
    <w:rsid w:val="005B0F43"/>
    <w:rsid w:val="005B1B9C"/>
    <w:rsid w:val="005B1DF2"/>
    <w:rsid w:val="005B23B7"/>
    <w:rsid w:val="005B49E2"/>
    <w:rsid w:val="005B4FEF"/>
    <w:rsid w:val="005B586D"/>
    <w:rsid w:val="005B5AE1"/>
    <w:rsid w:val="005B6894"/>
    <w:rsid w:val="005C00AC"/>
    <w:rsid w:val="005C215F"/>
    <w:rsid w:val="005C274D"/>
    <w:rsid w:val="005C31AD"/>
    <w:rsid w:val="005C3D47"/>
    <w:rsid w:val="005C422D"/>
    <w:rsid w:val="005C4CCA"/>
    <w:rsid w:val="005C74A4"/>
    <w:rsid w:val="005D1A91"/>
    <w:rsid w:val="005D1BB1"/>
    <w:rsid w:val="005D2552"/>
    <w:rsid w:val="005D4A54"/>
    <w:rsid w:val="005D4A7F"/>
    <w:rsid w:val="005D4A90"/>
    <w:rsid w:val="005D4CF4"/>
    <w:rsid w:val="005D55D4"/>
    <w:rsid w:val="005D731F"/>
    <w:rsid w:val="005E0191"/>
    <w:rsid w:val="005E0C53"/>
    <w:rsid w:val="005E1609"/>
    <w:rsid w:val="005E1B0F"/>
    <w:rsid w:val="005E1C80"/>
    <w:rsid w:val="005E1D81"/>
    <w:rsid w:val="005E1F7B"/>
    <w:rsid w:val="005E28B5"/>
    <w:rsid w:val="005E3624"/>
    <w:rsid w:val="005E4089"/>
    <w:rsid w:val="005E40EB"/>
    <w:rsid w:val="005E52B9"/>
    <w:rsid w:val="005E5FDE"/>
    <w:rsid w:val="005E69DA"/>
    <w:rsid w:val="005E7B47"/>
    <w:rsid w:val="005F0462"/>
    <w:rsid w:val="005F0571"/>
    <w:rsid w:val="005F062A"/>
    <w:rsid w:val="005F0B80"/>
    <w:rsid w:val="005F0E41"/>
    <w:rsid w:val="005F12A3"/>
    <w:rsid w:val="005F17E4"/>
    <w:rsid w:val="005F1D8A"/>
    <w:rsid w:val="005F2E36"/>
    <w:rsid w:val="005F5707"/>
    <w:rsid w:val="005F6AB6"/>
    <w:rsid w:val="005F6D6A"/>
    <w:rsid w:val="006008A3"/>
    <w:rsid w:val="006009EB"/>
    <w:rsid w:val="00600E19"/>
    <w:rsid w:val="00601169"/>
    <w:rsid w:val="0060146D"/>
    <w:rsid w:val="00601ADD"/>
    <w:rsid w:val="00604BA9"/>
    <w:rsid w:val="00606AC8"/>
    <w:rsid w:val="00606D36"/>
    <w:rsid w:val="0060766B"/>
    <w:rsid w:val="00607BF8"/>
    <w:rsid w:val="00610490"/>
    <w:rsid w:val="0061146D"/>
    <w:rsid w:val="0061185F"/>
    <w:rsid w:val="006139D8"/>
    <w:rsid w:val="0061468D"/>
    <w:rsid w:val="00615278"/>
    <w:rsid w:val="00615B52"/>
    <w:rsid w:val="0061641A"/>
    <w:rsid w:val="006178FD"/>
    <w:rsid w:val="00617A4D"/>
    <w:rsid w:val="00617AD3"/>
    <w:rsid w:val="00620074"/>
    <w:rsid w:val="0062056A"/>
    <w:rsid w:val="006207FB"/>
    <w:rsid w:val="006215C6"/>
    <w:rsid w:val="0062173B"/>
    <w:rsid w:val="0062221F"/>
    <w:rsid w:val="00623114"/>
    <w:rsid w:val="00623252"/>
    <w:rsid w:val="00623920"/>
    <w:rsid w:val="00623E4E"/>
    <w:rsid w:val="00624243"/>
    <w:rsid w:val="006242C4"/>
    <w:rsid w:val="0062448A"/>
    <w:rsid w:val="00624626"/>
    <w:rsid w:val="00624CE9"/>
    <w:rsid w:val="00625074"/>
    <w:rsid w:val="00625F55"/>
    <w:rsid w:val="0062605C"/>
    <w:rsid w:val="0062761A"/>
    <w:rsid w:val="00627E5B"/>
    <w:rsid w:val="00627EBD"/>
    <w:rsid w:val="00630048"/>
    <w:rsid w:val="00630A87"/>
    <w:rsid w:val="006312B8"/>
    <w:rsid w:val="006312DC"/>
    <w:rsid w:val="00631DEC"/>
    <w:rsid w:val="00631F9A"/>
    <w:rsid w:val="00632D4C"/>
    <w:rsid w:val="0063333A"/>
    <w:rsid w:val="0063339E"/>
    <w:rsid w:val="006333E8"/>
    <w:rsid w:val="00633EDF"/>
    <w:rsid w:val="00640230"/>
    <w:rsid w:val="00640BDE"/>
    <w:rsid w:val="00644EAC"/>
    <w:rsid w:val="00647510"/>
    <w:rsid w:val="0065041A"/>
    <w:rsid w:val="006508F5"/>
    <w:rsid w:val="00650E45"/>
    <w:rsid w:val="0065143E"/>
    <w:rsid w:val="00651A07"/>
    <w:rsid w:val="00651AA2"/>
    <w:rsid w:val="00651E43"/>
    <w:rsid w:val="006520B3"/>
    <w:rsid w:val="00652890"/>
    <w:rsid w:val="006539DF"/>
    <w:rsid w:val="00656E13"/>
    <w:rsid w:val="006604C8"/>
    <w:rsid w:val="006604DB"/>
    <w:rsid w:val="00660BB2"/>
    <w:rsid w:val="0066108F"/>
    <w:rsid w:val="00661210"/>
    <w:rsid w:val="00661329"/>
    <w:rsid w:val="00665185"/>
    <w:rsid w:val="00665C18"/>
    <w:rsid w:val="00666730"/>
    <w:rsid w:val="00667E76"/>
    <w:rsid w:val="00670AEF"/>
    <w:rsid w:val="00671B3D"/>
    <w:rsid w:val="00671B6D"/>
    <w:rsid w:val="00671ECF"/>
    <w:rsid w:val="0067242F"/>
    <w:rsid w:val="006734EB"/>
    <w:rsid w:val="006736B2"/>
    <w:rsid w:val="006741A2"/>
    <w:rsid w:val="0067449D"/>
    <w:rsid w:val="0067490B"/>
    <w:rsid w:val="006753B2"/>
    <w:rsid w:val="0067546F"/>
    <w:rsid w:val="0067649D"/>
    <w:rsid w:val="00677343"/>
    <w:rsid w:val="00680094"/>
    <w:rsid w:val="00681748"/>
    <w:rsid w:val="00681A62"/>
    <w:rsid w:val="00681BF9"/>
    <w:rsid w:val="00681D6E"/>
    <w:rsid w:val="0068258F"/>
    <w:rsid w:val="00682D13"/>
    <w:rsid w:val="00684C99"/>
    <w:rsid w:val="00684E7B"/>
    <w:rsid w:val="00685A23"/>
    <w:rsid w:val="00685DD6"/>
    <w:rsid w:val="006872B8"/>
    <w:rsid w:val="006875DB"/>
    <w:rsid w:val="00692ABD"/>
    <w:rsid w:val="00693F0D"/>
    <w:rsid w:val="00693F43"/>
    <w:rsid w:val="00694334"/>
    <w:rsid w:val="00694572"/>
    <w:rsid w:val="00694919"/>
    <w:rsid w:val="00694C9E"/>
    <w:rsid w:val="0069514E"/>
    <w:rsid w:val="00695FE3"/>
    <w:rsid w:val="006A0497"/>
    <w:rsid w:val="006A0779"/>
    <w:rsid w:val="006A0C27"/>
    <w:rsid w:val="006A1B3A"/>
    <w:rsid w:val="006A32AF"/>
    <w:rsid w:val="006A3A02"/>
    <w:rsid w:val="006A418F"/>
    <w:rsid w:val="006A4BA3"/>
    <w:rsid w:val="006A4C77"/>
    <w:rsid w:val="006A6CEC"/>
    <w:rsid w:val="006A737D"/>
    <w:rsid w:val="006B05AB"/>
    <w:rsid w:val="006B4162"/>
    <w:rsid w:val="006B442B"/>
    <w:rsid w:val="006B67A0"/>
    <w:rsid w:val="006B73A1"/>
    <w:rsid w:val="006C147E"/>
    <w:rsid w:val="006C17CC"/>
    <w:rsid w:val="006C1A14"/>
    <w:rsid w:val="006C2705"/>
    <w:rsid w:val="006C33A7"/>
    <w:rsid w:val="006C46A9"/>
    <w:rsid w:val="006C4B06"/>
    <w:rsid w:val="006C4B0E"/>
    <w:rsid w:val="006C4B61"/>
    <w:rsid w:val="006C5AE5"/>
    <w:rsid w:val="006D173D"/>
    <w:rsid w:val="006D1C0F"/>
    <w:rsid w:val="006D39AD"/>
    <w:rsid w:val="006D3A37"/>
    <w:rsid w:val="006D3E22"/>
    <w:rsid w:val="006D4650"/>
    <w:rsid w:val="006D54BC"/>
    <w:rsid w:val="006D6626"/>
    <w:rsid w:val="006D6CD1"/>
    <w:rsid w:val="006D7188"/>
    <w:rsid w:val="006D79E5"/>
    <w:rsid w:val="006D7B02"/>
    <w:rsid w:val="006E02A0"/>
    <w:rsid w:val="006E0BA9"/>
    <w:rsid w:val="006E10B9"/>
    <w:rsid w:val="006E16C3"/>
    <w:rsid w:val="006E21C6"/>
    <w:rsid w:val="006E22FB"/>
    <w:rsid w:val="006E299B"/>
    <w:rsid w:val="006E3032"/>
    <w:rsid w:val="006E30E5"/>
    <w:rsid w:val="006E3308"/>
    <w:rsid w:val="006E46BD"/>
    <w:rsid w:val="006E6AA1"/>
    <w:rsid w:val="006E7319"/>
    <w:rsid w:val="006E7833"/>
    <w:rsid w:val="006E7AD3"/>
    <w:rsid w:val="006F0936"/>
    <w:rsid w:val="006F113B"/>
    <w:rsid w:val="006F17B9"/>
    <w:rsid w:val="006F3159"/>
    <w:rsid w:val="006F77E3"/>
    <w:rsid w:val="006F7B14"/>
    <w:rsid w:val="00700004"/>
    <w:rsid w:val="00700007"/>
    <w:rsid w:val="00700649"/>
    <w:rsid w:val="0070087D"/>
    <w:rsid w:val="0070144D"/>
    <w:rsid w:val="00702473"/>
    <w:rsid w:val="00702B52"/>
    <w:rsid w:val="0070348F"/>
    <w:rsid w:val="00703ADF"/>
    <w:rsid w:val="00704E6E"/>
    <w:rsid w:val="00704F55"/>
    <w:rsid w:val="0070542A"/>
    <w:rsid w:val="00706899"/>
    <w:rsid w:val="00706E78"/>
    <w:rsid w:val="00711620"/>
    <w:rsid w:val="00711D41"/>
    <w:rsid w:val="007129D0"/>
    <w:rsid w:val="00712D22"/>
    <w:rsid w:val="00713251"/>
    <w:rsid w:val="0071346A"/>
    <w:rsid w:val="007135D3"/>
    <w:rsid w:val="0071597D"/>
    <w:rsid w:val="00715ECB"/>
    <w:rsid w:val="00716841"/>
    <w:rsid w:val="00716FC3"/>
    <w:rsid w:val="007172E5"/>
    <w:rsid w:val="00717312"/>
    <w:rsid w:val="0071794B"/>
    <w:rsid w:val="00717BDF"/>
    <w:rsid w:val="007200F6"/>
    <w:rsid w:val="00722353"/>
    <w:rsid w:val="00722A7F"/>
    <w:rsid w:val="00723215"/>
    <w:rsid w:val="00723F7E"/>
    <w:rsid w:val="0072548A"/>
    <w:rsid w:val="007260D8"/>
    <w:rsid w:val="00726F6D"/>
    <w:rsid w:val="00727BCD"/>
    <w:rsid w:val="00730747"/>
    <w:rsid w:val="00730E04"/>
    <w:rsid w:val="0073155C"/>
    <w:rsid w:val="00731FCC"/>
    <w:rsid w:val="00733070"/>
    <w:rsid w:val="00734090"/>
    <w:rsid w:val="0073568F"/>
    <w:rsid w:val="00736328"/>
    <w:rsid w:val="0073759E"/>
    <w:rsid w:val="007375FA"/>
    <w:rsid w:val="007404D7"/>
    <w:rsid w:val="007406CD"/>
    <w:rsid w:val="00742458"/>
    <w:rsid w:val="007429CD"/>
    <w:rsid w:val="00743BAC"/>
    <w:rsid w:val="00745929"/>
    <w:rsid w:val="007464B3"/>
    <w:rsid w:val="0074659F"/>
    <w:rsid w:val="007465A0"/>
    <w:rsid w:val="00746975"/>
    <w:rsid w:val="007471AC"/>
    <w:rsid w:val="007478C4"/>
    <w:rsid w:val="00747DAE"/>
    <w:rsid w:val="00750834"/>
    <w:rsid w:val="00750B63"/>
    <w:rsid w:val="007515A7"/>
    <w:rsid w:val="00751701"/>
    <w:rsid w:val="00752CF6"/>
    <w:rsid w:val="007537F0"/>
    <w:rsid w:val="007564AD"/>
    <w:rsid w:val="007567AF"/>
    <w:rsid w:val="00756F4F"/>
    <w:rsid w:val="00757737"/>
    <w:rsid w:val="00757CC9"/>
    <w:rsid w:val="007600FA"/>
    <w:rsid w:val="007604EA"/>
    <w:rsid w:val="00760C4E"/>
    <w:rsid w:val="0076277A"/>
    <w:rsid w:val="00762F05"/>
    <w:rsid w:val="00763236"/>
    <w:rsid w:val="007637E3"/>
    <w:rsid w:val="00772089"/>
    <w:rsid w:val="00775231"/>
    <w:rsid w:val="007755D8"/>
    <w:rsid w:val="00776496"/>
    <w:rsid w:val="007766B4"/>
    <w:rsid w:val="007770CE"/>
    <w:rsid w:val="007772A8"/>
    <w:rsid w:val="00780034"/>
    <w:rsid w:val="007802B0"/>
    <w:rsid w:val="00780352"/>
    <w:rsid w:val="00780393"/>
    <w:rsid w:val="00780C5C"/>
    <w:rsid w:val="007823F5"/>
    <w:rsid w:val="00784E22"/>
    <w:rsid w:val="00785758"/>
    <w:rsid w:val="00787A82"/>
    <w:rsid w:val="00787C16"/>
    <w:rsid w:val="00791F64"/>
    <w:rsid w:val="007920E2"/>
    <w:rsid w:val="00792658"/>
    <w:rsid w:val="0079278D"/>
    <w:rsid w:val="00792EC2"/>
    <w:rsid w:val="007934E0"/>
    <w:rsid w:val="00794133"/>
    <w:rsid w:val="00794B36"/>
    <w:rsid w:val="00794BF3"/>
    <w:rsid w:val="00796EFF"/>
    <w:rsid w:val="007A079D"/>
    <w:rsid w:val="007A1F8F"/>
    <w:rsid w:val="007A288E"/>
    <w:rsid w:val="007A3BE5"/>
    <w:rsid w:val="007A481C"/>
    <w:rsid w:val="007A6915"/>
    <w:rsid w:val="007A750B"/>
    <w:rsid w:val="007A7A9D"/>
    <w:rsid w:val="007A7D0D"/>
    <w:rsid w:val="007A7F7E"/>
    <w:rsid w:val="007B1F26"/>
    <w:rsid w:val="007B4513"/>
    <w:rsid w:val="007B54FC"/>
    <w:rsid w:val="007B6240"/>
    <w:rsid w:val="007B645B"/>
    <w:rsid w:val="007B67E2"/>
    <w:rsid w:val="007B724F"/>
    <w:rsid w:val="007B7AD4"/>
    <w:rsid w:val="007B7CD6"/>
    <w:rsid w:val="007C00FB"/>
    <w:rsid w:val="007C3428"/>
    <w:rsid w:val="007C4118"/>
    <w:rsid w:val="007C4396"/>
    <w:rsid w:val="007C44A2"/>
    <w:rsid w:val="007C44AB"/>
    <w:rsid w:val="007C4A7F"/>
    <w:rsid w:val="007C5C67"/>
    <w:rsid w:val="007C5D44"/>
    <w:rsid w:val="007C7E5D"/>
    <w:rsid w:val="007D065F"/>
    <w:rsid w:val="007D0784"/>
    <w:rsid w:val="007D36E2"/>
    <w:rsid w:val="007D41A0"/>
    <w:rsid w:val="007D4685"/>
    <w:rsid w:val="007D570B"/>
    <w:rsid w:val="007D578F"/>
    <w:rsid w:val="007D6345"/>
    <w:rsid w:val="007D7B3F"/>
    <w:rsid w:val="007D7E22"/>
    <w:rsid w:val="007E0715"/>
    <w:rsid w:val="007E0D2D"/>
    <w:rsid w:val="007E1652"/>
    <w:rsid w:val="007E17CD"/>
    <w:rsid w:val="007E20C2"/>
    <w:rsid w:val="007E21EA"/>
    <w:rsid w:val="007E27CE"/>
    <w:rsid w:val="007E346F"/>
    <w:rsid w:val="007E463A"/>
    <w:rsid w:val="007E4967"/>
    <w:rsid w:val="007E4973"/>
    <w:rsid w:val="007E4DB2"/>
    <w:rsid w:val="007E5110"/>
    <w:rsid w:val="007E5C7B"/>
    <w:rsid w:val="007F25E3"/>
    <w:rsid w:val="007F2EC0"/>
    <w:rsid w:val="007F3365"/>
    <w:rsid w:val="007F38D4"/>
    <w:rsid w:val="007F4C0B"/>
    <w:rsid w:val="007F513A"/>
    <w:rsid w:val="007F632A"/>
    <w:rsid w:val="007F75F3"/>
    <w:rsid w:val="007F7C57"/>
    <w:rsid w:val="00800874"/>
    <w:rsid w:val="008018DE"/>
    <w:rsid w:val="00801F93"/>
    <w:rsid w:val="0080221C"/>
    <w:rsid w:val="0080308F"/>
    <w:rsid w:val="0080317F"/>
    <w:rsid w:val="00803A03"/>
    <w:rsid w:val="00804098"/>
    <w:rsid w:val="00805C18"/>
    <w:rsid w:val="0080657A"/>
    <w:rsid w:val="00806BAB"/>
    <w:rsid w:val="00806CA7"/>
    <w:rsid w:val="0080718E"/>
    <w:rsid w:val="0080732D"/>
    <w:rsid w:val="0081015B"/>
    <w:rsid w:val="00810717"/>
    <w:rsid w:val="00810B82"/>
    <w:rsid w:val="00811896"/>
    <w:rsid w:val="00813146"/>
    <w:rsid w:val="00816C5B"/>
    <w:rsid w:val="00817240"/>
    <w:rsid w:val="00817E2B"/>
    <w:rsid w:val="00820022"/>
    <w:rsid w:val="008229FD"/>
    <w:rsid w:val="00822F53"/>
    <w:rsid w:val="00823C27"/>
    <w:rsid w:val="008250CF"/>
    <w:rsid w:val="0082533B"/>
    <w:rsid w:val="00825E24"/>
    <w:rsid w:val="008275EA"/>
    <w:rsid w:val="008275F6"/>
    <w:rsid w:val="00830322"/>
    <w:rsid w:val="008317B9"/>
    <w:rsid w:val="00832A44"/>
    <w:rsid w:val="0083324B"/>
    <w:rsid w:val="00833478"/>
    <w:rsid w:val="00833CED"/>
    <w:rsid w:val="00834640"/>
    <w:rsid w:val="008353F9"/>
    <w:rsid w:val="008357C6"/>
    <w:rsid w:val="00835A65"/>
    <w:rsid w:val="008362E1"/>
    <w:rsid w:val="0083663D"/>
    <w:rsid w:val="00837E20"/>
    <w:rsid w:val="0084030E"/>
    <w:rsid w:val="008409C5"/>
    <w:rsid w:val="00840C9F"/>
    <w:rsid w:val="008422FC"/>
    <w:rsid w:val="00842406"/>
    <w:rsid w:val="008433E9"/>
    <w:rsid w:val="00844126"/>
    <w:rsid w:val="00845AAD"/>
    <w:rsid w:val="00845F2E"/>
    <w:rsid w:val="00846161"/>
    <w:rsid w:val="008462E3"/>
    <w:rsid w:val="00846A08"/>
    <w:rsid w:val="00846AB5"/>
    <w:rsid w:val="0084786E"/>
    <w:rsid w:val="00847FE7"/>
    <w:rsid w:val="008506D6"/>
    <w:rsid w:val="00852A27"/>
    <w:rsid w:val="00852CC5"/>
    <w:rsid w:val="00853967"/>
    <w:rsid w:val="00854875"/>
    <w:rsid w:val="0085504D"/>
    <w:rsid w:val="00856E71"/>
    <w:rsid w:val="0085780B"/>
    <w:rsid w:val="008601E5"/>
    <w:rsid w:val="00860635"/>
    <w:rsid w:val="00860CE2"/>
    <w:rsid w:val="0086176E"/>
    <w:rsid w:val="00862271"/>
    <w:rsid w:val="008624A3"/>
    <w:rsid w:val="0086340E"/>
    <w:rsid w:val="008639E9"/>
    <w:rsid w:val="0086488D"/>
    <w:rsid w:val="00864897"/>
    <w:rsid w:val="00865A29"/>
    <w:rsid w:val="00866035"/>
    <w:rsid w:val="00867E1B"/>
    <w:rsid w:val="00870897"/>
    <w:rsid w:val="00870D3F"/>
    <w:rsid w:val="00871A01"/>
    <w:rsid w:val="00871EEB"/>
    <w:rsid w:val="00872613"/>
    <w:rsid w:val="00872CFC"/>
    <w:rsid w:val="008733F0"/>
    <w:rsid w:val="008753C4"/>
    <w:rsid w:val="0087552D"/>
    <w:rsid w:val="008759F7"/>
    <w:rsid w:val="00875E70"/>
    <w:rsid w:val="00876259"/>
    <w:rsid w:val="00876352"/>
    <w:rsid w:val="00880470"/>
    <w:rsid w:val="008821AC"/>
    <w:rsid w:val="008823C5"/>
    <w:rsid w:val="0088261C"/>
    <w:rsid w:val="008844E7"/>
    <w:rsid w:val="008866C7"/>
    <w:rsid w:val="00886C3F"/>
    <w:rsid w:val="00887CF5"/>
    <w:rsid w:val="00890191"/>
    <w:rsid w:val="00890795"/>
    <w:rsid w:val="008909C5"/>
    <w:rsid w:val="00891056"/>
    <w:rsid w:val="008922E8"/>
    <w:rsid w:val="008925BD"/>
    <w:rsid w:val="00892F7E"/>
    <w:rsid w:val="0089395D"/>
    <w:rsid w:val="0089459A"/>
    <w:rsid w:val="008948BC"/>
    <w:rsid w:val="00894A0A"/>
    <w:rsid w:val="00895C3D"/>
    <w:rsid w:val="00897986"/>
    <w:rsid w:val="008A2505"/>
    <w:rsid w:val="008A2E70"/>
    <w:rsid w:val="008A333C"/>
    <w:rsid w:val="008A358A"/>
    <w:rsid w:val="008A4465"/>
    <w:rsid w:val="008A454A"/>
    <w:rsid w:val="008A4EEA"/>
    <w:rsid w:val="008A545A"/>
    <w:rsid w:val="008A5580"/>
    <w:rsid w:val="008A558A"/>
    <w:rsid w:val="008A5C31"/>
    <w:rsid w:val="008A62DC"/>
    <w:rsid w:val="008A7F14"/>
    <w:rsid w:val="008B01A2"/>
    <w:rsid w:val="008B0B84"/>
    <w:rsid w:val="008B1C0D"/>
    <w:rsid w:val="008B3F6C"/>
    <w:rsid w:val="008B40F4"/>
    <w:rsid w:val="008B4BBA"/>
    <w:rsid w:val="008B5D26"/>
    <w:rsid w:val="008B5E0E"/>
    <w:rsid w:val="008B61E4"/>
    <w:rsid w:val="008B63E1"/>
    <w:rsid w:val="008B7F1D"/>
    <w:rsid w:val="008C0627"/>
    <w:rsid w:val="008C0F90"/>
    <w:rsid w:val="008C1402"/>
    <w:rsid w:val="008C1468"/>
    <w:rsid w:val="008C20E7"/>
    <w:rsid w:val="008C2650"/>
    <w:rsid w:val="008C294D"/>
    <w:rsid w:val="008C2EDB"/>
    <w:rsid w:val="008C36E6"/>
    <w:rsid w:val="008C3760"/>
    <w:rsid w:val="008C4FB2"/>
    <w:rsid w:val="008C5221"/>
    <w:rsid w:val="008C58C6"/>
    <w:rsid w:val="008C69BC"/>
    <w:rsid w:val="008C7609"/>
    <w:rsid w:val="008C7F9D"/>
    <w:rsid w:val="008D0536"/>
    <w:rsid w:val="008D18E5"/>
    <w:rsid w:val="008D1BD5"/>
    <w:rsid w:val="008D25E9"/>
    <w:rsid w:val="008D2741"/>
    <w:rsid w:val="008D2902"/>
    <w:rsid w:val="008D2CA7"/>
    <w:rsid w:val="008D31D9"/>
    <w:rsid w:val="008D35F4"/>
    <w:rsid w:val="008D4671"/>
    <w:rsid w:val="008D5BB6"/>
    <w:rsid w:val="008D7208"/>
    <w:rsid w:val="008D76B9"/>
    <w:rsid w:val="008E0C07"/>
    <w:rsid w:val="008E1908"/>
    <w:rsid w:val="008E2184"/>
    <w:rsid w:val="008E21F0"/>
    <w:rsid w:val="008E2576"/>
    <w:rsid w:val="008E2F23"/>
    <w:rsid w:val="008E3E83"/>
    <w:rsid w:val="008E4016"/>
    <w:rsid w:val="008E47AD"/>
    <w:rsid w:val="008E5358"/>
    <w:rsid w:val="008E6C80"/>
    <w:rsid w:val="008E73E6"/>
    <w:rsid w:val="008E77F8"/>
    <w:rsid w:val="008E7C19"/>
    <w:rsid w:val="008E7FC7"/>
    <w:rsid w:val="008F01F2"/>
    <w:rsid w:val="008F0306"/>
    <w:rsid w:val="008F07AA"/>
    <w:rsid w:val="008F100C"/>
    <w:rsid w:val="008F2325"/>
    <w:rsid w:val="008F266D"/>
    <w:rsid w:val="008F3055"/>
    <w:rsid w:val="008F3C4D"/>
    <w:rsid w:val="008F56AB"/>
    <w:rsid w:val="00900A10"/>
    <w:rsid w:val="00901496"/>
    <w:rsid w:val="00901632"/>
    <w:rsid w:val="00901BFE"/>
    <w:rsid w:val="0090224B"/>
    <w:rsid w:val="00902382"/>
    <w:rsid w:val="00902D05"/>
    <w:rsid w:val="009050FD"/>
    <w:rsid w:val="009057AF"/>
    <w:rsid w:val="00905896"/>
    <w:rsid w:val="00906F50"/>
    <w:rsid w:val="00907565"/>
    <w:rsid w:val="009126EB"/>
    <w:rsid w:val="009163D5"/>
    <w:rsid w:val="00916C4B"/>
    <w:rsid w:val="00917BA6"/>
    <w:rsid w:val="00917C45"/>
    <w:rsid w:val="00917E68"/>
    <w:rsid w:val="009200C7"/>
    <w:rsid w:val="00920916"/>
    <w:rsid w:val="00920BA6"/>
    <w:rsid w:val="00920C72"/>
    <w:rsid w:val="00921563"/>
    <w:rsid w:val="00921655"/>
    <w:rsid w:val="00922082"/>
    <w:rsid w:val="009245C4"/>
    <w:rsid w:val="009245E9"/>
    <w:rsid w:val="009245FA"/>
    <w:rsid w:val="00924659"/>
    <w:rsid w:val="00924B2C"/>
    <w:rsid w:val="0092699B"/>
    <w:rsid w:val="009270E7"/>
    <w:rsid w:val="00927C08"/>
    <w:rsid w:val="009316AF"/>
    <w:rsid w:val="009321D4"/>
    <w:rsid w:val="0093269A"/>
    <w:rsid w:val="0093374B"/>
    <w:rsid w:val="00934810"/>
    <w:rsid w:val="00935019"/>
    <w:rsid w:val="009354B7"/>
    <w:rsid w:val="00935925"/>
    <w:rsid w:val="00935934"/>
    <w:rsid w:val="009360C7"/>
    <w:rsid w:val="00936498"/>
    <w:rsid w:val="009371D5"/>
    <w:rsid w:val="00937999"/>
    <w:rsid w:val="00940368"/>
    <w:rsid w:val="00941ADC"/>
    <w:rsid w:val="00942275"/>
    <w:rsid w:val="00942322"/>
    <w:rsid w:val="00943E7A"/>
    <w:rsid w:val="00943EC3"/>
    <w:rsid w:val="00944334"/>
    <w:rsid w:val="00944683"/>
    <w:rsid w:val="00944C70"/>
    <w:rsid w:val="00944EC2"/>
    <w:rsid w:val="009451DF"/>
    <w:rsid w:val="0094530B"/>
    <w:rsid w:val="00946069"/>
    <w:rsid w:val="00947BD5"/>
    <w:rsid w:val="009508AB"/>
    <w:rsid w:val="00950D22"/>
    <w:rsid w:val="00951306"/>
    <w:rsid w:val="009518A8"/>
    <w:rsid w:val="009518B5"/>
    <w:rsid w:val="00951F50"/>
    <w:rsid w:val="00952BD2"/>
    <w:rsid w:val="00953F2F"/>
    <w:rsid w:val="00954A7A"/>
    <w:rsid w:val="009556BE"/>
    <w:rsid w:val="00955B8A"/>
    <w:rsid w:val="00956614"/>
    <w:rsid w:val="0095761E"/>
    <w:rsid w:val="0096026E"/>
    <w:rsid w:val="009605A8"/>
    <w:rsid w:val="00960661"/>
    <w:rsid w:val="009606E1"/>
    <w:rsid w:val="009612CC"/>
    <w:rsid w:val="0096214F"/>
    <w:rsid w:val="00963169"/>
    <w:rsid w:val="00963500"/>
    <w:rsid w:val="00963D9D"/>
    <w:rsid w:val="009640B3"/>
    <w:rsid w:val="00965DD0"/>
    <w:rsid w:val="00966AAD"/>
    <w:rsid w:val="00967118"/>
    <w:rsid w:val="009674F1"/>
    <w:rsid w:val="00967F95"/>
    <w:rsid w:val="00970038"/>
    <w:rsid w:val="00971147"/>
    <w:rsid w:val="00971808"/>
    <w:rsid w:val="00972453"/>
    <w:rsid w:val="00972FC9"/>
    <w:rsid w:val="0097314A"/>
    <w:rsid w:val="00973C42"/>
    <w:rsid w:val="00974A7B"/>
    <w:rsid w:val="00974D4C"/>
    <w:rsid w:val="0097523E"/>
    <w:rsid w:val="00976459"/>
    <w:rsid w:val="00976E89"/>
    <w:rsid w:val="00976EBD"/>
    <w:rsid w:val="00977931"/>
    <w:rsid w:val="00977A3E"/>
    <w:rsid w:val="00980891"/>
    <w:rsid w:val="00981047"/>
    <w:rsid w:val="009814B4"/>
    <w:rsid w:val="00981F22"/>
    <w:rsid w:val="00983CC9"/>
    <w:rsid w:val="0098409B"/>
    <w:rsid w:val="009844CE"/>
    <w:rsid w:val="00984765"/>
    <w:rsid w:val="0098656C"/>
    <w:rsid w:val="00987885"/>
    <w:rsid w:val="00991899"/>
    <w:rsid w:val="00991A4B"/>
    <w:rsid w:val="009930A6"/>
    <w:rsid w:val="009931A2"/>
    <w:rsid w:val="00993482"/>
    <w:rsid w:val="0099428D"/>
    <w:rsid w:val="0099457B"/>
    <w:rsid w:val="00995053"/>
    <w:rsid w:val="00997030"/>
    <w:rsid w:val="009970CB"/>
    <w:rsid w:val="009A1B0B"/>
    <w:rsid w:val="009A20B6"/>
    <w:rsid w:val="009A2A59"/>
    <w:rsid w:val="009A2CE3"/>
    <w:rsid w:val="009A316D"/>
    <w:rsid w:val="009A3310"/>
    <w:rsid w:val="009A33C9"/>
    <w:rsid w:val="009A3D10"/>
    <w:rsid w:val="009A4322"/>
    <w:rsid w:val="009A4BA7"/>
    <w:rsid w:val="009A4C12"/>
    <w:rsid w:val="009A5C36"/>
    <w:rsid w:val="009A6A4D"/>
    <w:rsid w:val="009A7A20"/>
    <w:rsid w:val="009A7B0C"/>
    <w:rsid w:val="009B0042"/>
    <w:rsid w:val="009B02C0"/>
    <w:rsid w:val="009B11B8"/>
    <w:rsid w:val="009B2E09"/>
    <w:rsid w:val="009B2E1F"/>
    <w:rsid w:val="009B35FB"/>
    <w:rsid w:val="009B4835"/>
    <w:rsid w:val="009B5915"/>
    <w:rsid w:val="009B6773"/>
    <w:rsid w:val="009B6CEE"/>
    <w:rsid w:val="009B7227"/>
    <w:rsid w:val="009B7D4E"/>
    <w:rsid w:val="009C10AE"/>
    <w:rsid w:val="009C1670"/>
    <w:rsid w:val="009C1E67"/>
    <w:rsid w:val="009C2F43"/>
    <w:rsid w:val="009C2FB1"/>
    <w:rsid w:val="009C36C7"/>
    <w:rsid w:val="009C3C29"/>
    <w:rsid w:val="009C4403"/>
    <w:rsid w:val="009C4835"/>
    <w:rsid w:val="009C4B0B"/>
    <w:rsid w:val="009C5656"/>
    <w:rsid w:val="009C5B47"/>
    <w:rsid w:val="009C736E"/>
    <w:rsid w:val="009C74CF"/>
    <w:rsid w:val="009D0164"/>
    <w:rsid w:val="009D1620"/>
    <w:rsid w:val="009D4052"/>
    <w:rsid w:val="009D5028"/>
    <w:rsid w:val="009D6A77"/>
    <w:rsid w:val="009D71A0"/>
    <w:rsid w:val="009E0A4D"/>
    <w:rsid w:val="009E16DD"/>
    <w:rsid w:val="009E2C59"/>
    <w:rsid w:val="009E3821"/>
    <w:rsid w:val="009E3B60"/>
    <w:rsid w:val="009E3E06"/>
    <w:rsid w:val="009E4278"/>
    <w:rsid w:val="009E45D6"/>
    <w:rsid w:val="009E5E8F"/>
    <w:rsid w:val="009E6631"/>
    <w:rsid w:val="009E6966"/>
    <w:rsid w:val="009E6E90"/>
    <w:rsid w:val="009E7458"/>
    <w:rsid w:val="009E7707"/>
    <w:rsid w:val="009E7A4F"/>
    <w:rsid w:val="009E7E8E"/>
    <w:rsid w:val="009F03AB"/>
    <w:rsid w:val="009F0E57"/>
    <w:rsid w:val="009F4162"/>
    <w:rsid w:val="009F4434"/>
    <w:rsid w:val="009F5780"/>
    <w:rsid w:val="009F62D5"/>
    <w:rsid w:val="009F776F"/>
    <w:rsid w:val="00A00052"/>
    <w:rsid w:val="00A012CD"/>
    <w:rsid w:val="00A014F7"/>
    <w:rsid w:val="00A02E67"/>
    <w:rsid w:val="00A03A6C"/>
    <w:rsid w:val="00A0502C"/>
    <w:rsid w:val="00A054F9"/>
    <w:rsid w:val="00A056ED"/>
    <w:rsid w:val="00A06F0F"/>
    <w:rsid w:val="00A103F5"/>
    <w:rsid w:val="00A108F2"/>
    <w:rsid w:val="00A11D0D"/>
    <w:rsid w:val="00A11F1D"/>
    <w:rsid w:val="00A11FA2"/>
    <w:rsid w:val="00A20CD4"/>
    <w:rsid w:val="00A21596"/>
    <w:rsid w:val="00A215FB"/>
    <w:rsid w:val="00A234A7"/>
    <w:rsid w:val="00A236C0"/>
    <w:rsid w:val="00A23D28"/>
    <w:rsid w:val="00A243AF"/>
    <w:rsid w:val="00A24904"/>
    <w:rsid w:val="00A24B33"/>
    <w:rsid w:val="00A263D7"/>
    <w:rsid w:val="00A26A42"/>
    <w:rsid w:val="00A26E7B"/>
    <w:rsid w:val="00A303EA"/>
    <w:rsid w:val="00A30E12"/>
    <w:rsid w:val="00A30F39"/>
    <w:rsid w:val="00A314DC"/>
    <w:rsid w:val="00A317A1"/>
    <w:rsid w:val="00A31873"/>
    <w:rsid w:val="00A3271C"/>
    <w:rsid w:val="00A3391A"/>
    <w:rsid w:val="00A33F3F"/>
    <w:rsid w:val="00A3418C"/>
    <w:rsid w:val="00A346D8"/>
    <w:rsid w:val="00A34BA7"/>
    <w:rsid w:val="00A35666"/>
    <w:rsid w:val="00A35C68"/>
    <w:rsid w:val="00A375FB"/>
    <w:rsid w:val="00A40AAA"/>
    <w:rsid w:val="00A40CC7"/>
    <w:rsid w:val="00A40F34"/>
    <w:rsid w:val="00A43B37"/>
    <w:rsid w:val="00A441EB"/>
    <w:rsid w:val="00A4630E"/>
    <w:rsid w:val="00A4679D"/>
    <w:rsid w:val="00A473EB"/>
    <w:rsid w:val="00A47A60"/>
    <w:rsid w:val="00A47E67"/>
    <w:rsid w:val="00A503B2"/>
    <w:rsid w:val="00A51FC0"/>
    <w:rsid w:val="00A52817"/>
    <w:rsid w:val="00A52BAB"/>
    <w:rsid w:val="00A53BE7"/>
    <w:rsid w:val="00A56C15"/>
    <w:rsid w:val="00A56FAE"/>
    <w:rsid w:val="00A57FAA"/>
    <w:rsid w:val="00A606A1"/>
    <w:rsid w:val="00A60D1E"/>
    <w:rsid w:val="00A60E90"/>
    <w:rsid w:val="00A63102"/>
    <w:rsid w:val="00A63366"/>
    <w:rsid w:val="00A63422"/>
    <w:rsid w:val="00A64217"/>
    <w:rsid w:val="00A647DF"/>
    <w:rsid w:val="00A64D4E"/>
    <w:rsid w:val="00A6544B"/>
    <w:rsid w:val="00A66D0B"/>
    <w:rsid w:val="00A700C9"/>
    <w:rsid w:val="00A70388"/>
    <w:rsid w:val="00A7067C"/>
    <w:rsid w:val="00A75204"/>
    <w:rsid w:val="00A76264"/>
    <w:rsid w:val="00A76883"/>
    <w:rsid w:val="00A76D23"/>
    <w:rsid w:val="00A77C13"/>
    <w:rsid w:val="00A81FEF"/>
    <w:rsid w:val="00A826AA"/>
    <w:rsid w:val="00A826B6"/>
    <w:rsid w:val="00A87636"/>
    <w:rsid w:val="00A87ED7"/>
    <w:rsid w:val="00A9073E"/>
    <w:rsid w:val="00A91AE9"/>
    <w:rsid w:val="00A92C8C"/>
    <w:rsid w:val="00A93B92"/>
    <w:rsid w:val="00A93EAA"/>
    <w:rsid w:val="00A9470B"/>
    <w:rsid w:val="00A94720"/>
    <w:rsid w:val="00A96306"/>
    <w:rsid w:val="00A9665B"/>
    <w:rsid w:val="00A9734B"/>
    <w:rsid w:val="00A97E1D"/>
    <w:rsid w:val="00AA0990"/>
    <w:rsid w:val="00AA0A66"/>
    <w:rsid w:val="00AA3454"/>
    <w:rsid w:val="00AA4744"/>
    <w:rsid w:val="00AA47BF"/>
    <w:rsid w:val="00AA495F"/>
    <w:rsid w:val="00AA57DB"/>
    <w:rsid w:val="00AA5C41"/>
    <w:rsid w:val="00AA73DE"/>
    <w:rsid w:val="00AA76F6"/>
    <w:rsid w:val="00AA7AF6"/>
    <w:rsid w:val="00AA7DA8"/>
    <w:rsid w:val="00AB073E"/>
    <w:rsid w:val="00AB0BB1"/>
    <w:rsid w:val="00AB0F5B"/>
    <w:rsid w:val="00AB111D"/>
    <w:rsid w:val="00AB1368"/>
    <w:rsid w:val="00AB2BE3"/>
    <w:rsid w:val="00AB2FC7"/>
    <w:rsid w:val="00AB7256"/>
    <w:rsid w:val="00AB7449"/>
    <w:rsid w:val="00AC0BC9"/>
    <w:rsid w:val="00AC0BD1"/>
    <w:rsid w:val="00AC1164"/>
    <w:rsid w:val="00AC2D6C"/>
    <w:rsid w:val="00AC3581"/>
    <w:rsid w:val="00AC37C8"/>
    <w:rsid w:val="00AC3861"/>
    <w:rsid w:val="00AC46E2"/>
    <w:rsid w:val="00AC6208"/>
    <w:rsid w:val="00AC6DD4"/>
    <w:rsid w:val="00AC73C2"/>
    <w:rsid w:val="00AC7ECD"/>
    <w:rsid w:val="00AD07AE"/>
    <w:rsid w:val="00AD1E09"/>
    <w:rsid w:val="00AD32F2"/>
    <w:rsid w:val="00AD3E85"/>
    <w:rsid w:val="00AD3FDB"/>
    <w:rsid w:val="00AD41D5"/>
    <w:rsid w:val="00AD43DF"/>
    <w:rsid w:val="00AD4F07"/>
    <w:rsid w:val="00AD4F3C"/>
    <w:rsid w:val="00AD5D9D"/>
    <w:rsid w:val="00AD67C5"/>
    <w:rsid w:val="00AD77BA"/>
    <w:rsid w:val="00AE1D14"/>
    <w:rsid w:val="00AE22C4"/>
    <w:rsid w:val="00AE2406"/>
    <w:rsid w:val="00AE28F1"/>
    <w:rsid w:val="00AE2B39"/>
    <w:rsid w:val="00AE307B"/>
    <w:rsid w:val="00AE43AF"/>
    <w:rsid w:val="00AE4FD6"/>
    <w:rsid w:val="00AE5D9A"/>
    <w:rsid w:val="00AE6262"/>
    <w:rsid w:val="00AE6512"/>
    <w:rsid w:val="00AE7338"/>
    <w:rsid w:val="00AF07AA"/>
    <w:rsid w:val="00AF2831"/>
    <w:rsid w:val="00AF3137"/>
    <w:rsid w:val="00AF3B96"/>
    <w:rsid w:val="00AF4054"/>
    <w:rsid w:val="00AF42B9"/>
    <w:rsid w:val="00AF663F"/>
    <w:rsid w:val="00AF76CD"/>
    <w:rsid w:val="00B003FD"/>
    <w:rsid w:val="00B0045C"/>
    <w:rsid w:val="00B0065D"/>
    <w:rsid w:val="00B03411"/>
    <w:rsid w:val="00B04C74"/>
    <w:rsid w:val="00B0683E"/>
    <w:rsid w:val="00B06967"/>
    <w:rsid w:val="00B06CAB"/>
    <w:rsid w:val="00B11322"/>
    <w:rsid w:val="00B12B4A"/>
    <w:rsid w:val="00B133DC"/>
    <w:rsid w:val="00B13497"/>
    <w:rsid w:val="00B13CA6"/>
    <w:rsid w:val="00B143E6"/>
    <w:rsid w:val="00B151E7"/>
    <w:rsid w:val="00B15CEE"/>
    <w:rsid w:val="00B20963"/>
    <w:rsid w:val="00B21419"/>
    <w:rsid w:val="00B217CF"/>
    <w:rsid w:val="00B218B4"/>
    <w:rsid w:val="00B22039"/>
    <w:rsid w:val="00B221C0"/>
    <w:rsid w:val="00B22A75"/>
    <w:rsid w:val="00B243A3"/>
    <w:rsid w:val="00B24FA2"/>
    <w:rsid w:val="00B250AA"/>
    <w:rsid w:val="00B256B5"/>
    <w:rsid w:val="00B25D83"/>
    <w:rsid w:val="00B26C6B"/>
    <w:rsid w:val="00B26F3C"/>
    <w:rsid w:val="00B3156C"/>
    <w:rsid w:val="00B3165D"/>
    <w:rsid w:val="00B32E8F"/>
    <w:rsid w:val="00B335B6"/>
    <w:rsid w:val="00B34235"/>
    <w:rsid w:val="00B34460"/>
    <w:rsid w:val="00B36064"/>
    <w:rsid w:val="00B363EB"/>
    <w:rsid w:val="00B36BC2"/>
    <w:rsid w:val="00B371D8"/>
    <w:rsid w:val="00B40101"/>
    <w:rsid w:val="00B4053B"/>
    <w:rsid w:val="00B407B2"/>
    <w:rsid w:val="00B40D9B"/>
    <w:rsid w:val="00B41F0C"/>
    <w:rsid w:val="00B44476"/>
    <w:rsid w:val="00B45568"/>
    <w:rsid w:val="00B46221"/>
    <w:rsid w:val="00B4718B"/>
    <w:rsid w:val="00B47521"/>
    <w:rsid w:val="00B47B16"/>
    <w:rsid w:val="00B47ED1"/>
    <w:rsid w:val="00B47F8B"/>
    <w:rsid w:val="00B47F93"/>
    <w:rsid w:val="00B500A7"/>
    <w:rsid w:val="00B50934"/>
    <w:rsid w:val="00B50D62"/>
    <w:rsid w:val="00B50DCB"/>
    <w:rsid w:val="00B52105"/>
    <w:rsid w:val="00B52543"/>
    <w:rsid w:val="00B528DF"/>
    <w:rsid w:val="00B52D40"/>
    <w:rsid w:val="00B54A5D"/>
    <w:rsid w:val="00B54FEC"/>
    <w:rsid w:val="00B5531E"/>
    <w:rsid w:val="00B55629"/>
    <w:rsid w:val="00B55FFD"/>
    <w:rsid w:val="00B56124"/>
    <w:rsid w:val="00B565A8"/>
    <w:rsid w:val="00B56BC9"/>
    <w:rsid w:val="00B56E8B"/>
    <w:rsid w:val="00B603CC"/>
    <w:rsid w:val="00B60484"/>
    <w:rsid w:val="00B619B5"/>
    <w:rsid w:val="00B62B76"/>
    <w:rsid w:val="00B62CCB"/>
    <w:rsid w:val="00B62FD8"/>
    <w:rsid w:val="00B63749"/>
    <w:rsid w:val="00B63AC7"/>
    <w:rsid w:val="00B64CF0"/>
    <w:rsid w:val="00B64DE5"/>
    <w:rsid w:val="00B65442"/>
    <w:rsid w:val="00B65777"/>
    <w:rsid w:val="00B657C5"/>
    <w:rsid w:val="00B6599D"/>
    <w:rsid w:val="00B65DDF"/>
    <w:rsid w:val="00B66ECA"/>
    <w:rsid w:val="00B671FA"/>
    <w:rsid w:val="00B67351"/>
    <w:rsid w:val="00B6735E"/>
    <w:rsid w:val="00B67547"/>
    <w:rsid w:val="00B70054"/>
    <w:rsid w:val="00B70437"/>
    <w:rsid w:val="00B7067C"/>
    <w:rsid w:val="00B711AF"/>
    <w:rsid w:val="00B7153D"/>
    <w:rsid w:val="00B71891"/>
    <w:rsid w:val="00B721F0"/>
    <w:rsid w:val="00B72A8E"/>
    <w:rsid w:val="00B72D8B"/>
    <w:rsid w:val="00B73F73"/>
    <w:rsid w:val="00B74686"/>
    <w:rsid w:val="00B74C70"/>
    <w:rsid w:val="00B7534C"/>
    <w:rsid w:val="00B75BC7"/>
    <w:rsid w:val="00B76B58"/>
    <w:rsid w:val="00B774EB"/>
    <w:rsid w:val="00B77CA2"/>
    <w:rsid w:val="00B803DF"/>
    <w:rsid w:val="00B81601"/>
    <w:rsid w:val="00B81BCC"/>
    <w:rsid w:val="00B82064"/>
    <w:rsid w:val="00B8344C"/>
    <w:rsid w:val="00B85DEF"/>
    <w:rsid w:val="00B877B2"/>
    <w:rsid w:val="00B87FC0"/>
    <w:rsid w:val="00B91A7E"/>
    <w:rsid w:val="00B91B14"/>
    <w:rsid w:val="00B92D26"/>
    <w:rsid w:val="00B938F4"/>
    <w:rsid w:val="00B94B43"/>
    <w:rsid w:val="00B95710"/>
    <w:rsid w:val="00B95C49"/>
    <w:rsid w:val="00B96C02"/>
    <w:rsid w:val="00BA00E4"/>
    <w:rsid w:val="00BA0966"/>
    <w:rsid w:val="00BA0F80"/>
    <w:rsid w:val="00BA13A4"/>
    <w:rsid w:val="00BA160B"/>
    <w:rsid w:val="00BA1B34"/>
    <w:rsid w:val="00BA1BB4"/>
    <w:rsid w:val="00BA1BED"/>
    <w:rsid w:val="00BA1E0D"/>
    <w:rsid w:val="00BA2915"/>
    <w:rsid w:val="00BA2D4A"/>
    <w:rsid w:val="00BA334B"/>
    <w:rsid w:val="00BA3969"/>
    <w:rsid w:val="00BA4224"/>
    <w:rsid w:val="00BA5A45"/>
    <w:rsid w:val="00BB0278"/>
    <w:rsid w:val="00BB0A1B"/>
    <w:rsid w:val="00BB0A3A"/>
    <w:rsid w:val="00BB0B5E"/>
    <w:rsid w:val="00BB24CB"/>
    <w:rsid w:val="00BB2707"/>
    <w:rsid w:val="00BB4EE9"/>
    <w:rsid w:val="00BB5CD7"/>
    <w:rsid w:val="00BB5FB4"/>
    <w:rsid w:val="00BB62C3"/>
    <w:rsid w:val="00BB659D"/>
    <w:rsid w:val="00BB672D"/>
    <w:rsid w:val="00BB6C34"/>
    <w:rsid w:val="00BB702D"/>
    <w:rsid w:val="00BB70C0"/>
    <w:rsid w:val="00BB7314"/>
    <w:rsid w:val="00BB7E27"/>
    <w:rsid w:val="00BB7E79"/>
    <w:rsid w:val="00BB7EA2"/>
    <w:rsid w:val="00BC01B7"/>
    <w:rsid w:val="00BC02CC"/>
    <w:rsid w:val="00BC056E"/>
    <w:rsid w:val="00BC0C7F"/>
    <w:rsid w:val="00BC23AE"/>
    <w:rsid w:val="00BC2846"/>
    <w:rsid w:val="00BC28D8"/>
    <w:rsid w:val="00BC29F7"/>
    <w:rsid w:val="00BC3D90"/>
    <w:rsid w:val="00BC49BB"/>
    <w:rsid w:val="00BC543D"/>
    <w:rsid w:val="00BC59F4"/>
    <w:rsid w:val="00BC5A3C"/>
    <w:rsid w:val="00BC6FF0"/>
    <w:rsid w:val="00BC78E2"/>
    <w:rsid w:val="00BD052A"/>
    <w:rsid w:val="00BD0E42"/>
    <w:rsid w:val="00BD0FDE"/>
    <w:rsid w:val="00BD3418"/>
    <w:rsid w:val="00BD3E64"/>
    <w:rsid w:val="00BD4257"/>
    <w:rsid w:val="00BD5033"/>
    <w:rsid w:val="00BD5399"/>
    <w:rsid w:val="00BD6465"/>
    <w:rsid w:val="00BD6A2F"/>
    <w:rsid w:val="00BD7266"/>
    <w:rsid w:val="00BD749F"/>
    <w:rsid w:val="00BD792E"/>
    <w:rsid w:val="00BE181E"/>
    <w:rsid w:val="00BE2864"/>
    <w:rsid w:val="00BE46E0"/>
    <w:rsid w:val="00BE4B5F"/>
    <w:rsid w:val="00BE4E64"/>
    <w:rsid w:val="00BE5CD5"/>
    <w:rsid w:val="00BE6C75"/>
    <w:rsid w:val="00BE6E7C"/>
    <w:rsid w:val="00BE70D0"/>
    <w:rsid w:val="00BF0642"/>
    <w:rsid w:val="00BF0691"/>
    <w:rsid w:val="00BF0A5F"/>
    <w:rsid w:val="00BF2059"/>
    <w:rsid w:val="00BF2165"/>
    <w:rsid w:val="00BF29DE"/>
    <w:rsid w:val="00BF3061"/>
    <w:rsid w:val="00BF33FB"/>
    <w:rsid w:val="00BF4CDE"/>
    <w:rsid w:val="00BF4D9A"/>
    <w:rsid w:val="00BF583C"/>
    <w:rsid w:val="00BF61D1"/>
    <w:rsid w:val="00BF71B8"/>
    <w:rsid w:val="00C0145F"/>
    <w:rsid w:val="00C022A3"/>
    <w:rsid w:val="00C02361"/>
    <w:rsid w:val="00C027AF"/>
    <w:rsid w:val="00C03A1E"/>
    <w:rsid w:val="00C03B2F"/>
    <w:rsid w:val="00C04211"/>
    <w:rsid w:val="00C04CD3"/>
    <w:rsid w:val="00C057BC"/>
    <w:rsid w:val="00C06579"/>
    <w:rsid w:val="00C10225"/>
    <w:rsid w:val="00C10945"/>
    <w:rsid w:val="00C1113C"/>
    <w:rsid w:val="00C11524"/>
    <w:rsid w:val="00C127F4"/>
    <w:rsid w:val="00C12C14"/>
    <w:rsid w:val="00C12F8B"/>
    <w:rsid w:val="00C1363C"/>
    <w:rsid w:val="00C1426A"/>
    <w:rsid w:val="00C1460F"/>
    <w:rsid w:val="00C1485A"/>
    <w:rsid w:val="00C14D78"/>
    <w:rsid w:val="00C15590"/>
    <w:rsid w:val="00C164A3"/>
    <w:rsid w:val="00C16D0A"/>
    <w:rsid w:val="00C17B2C"/>
    <w:rsid w:val="00C2069D"/>
    <w:rsid w:val="00C221E3"/>
    <w:rsid w:val="00C23CAB"/>
    <w:rsid w:val="00C262EA"/>
    <w:rsid w:val="00C2668B"/>
    <w:rsid w:val="00C30375"/>
    <w:rsid w:val="00C3039F"/>
    <w:rsid w:val="00C305BD"/>
    <w:rsid w:val="00C30B14"/>
    <w:rsid w:val="00C3120B"/>
    <w:rsid w:val="00C31429"/>
    <w:rsid w:val="00C33659"/>
    <w:rsid w:val="00C33A1D"/>
    <w:rsid w:val="00C33A55"/>
    <w:rsid w:val="00C34A7F"/>
    <w:rsid w:val="00C351BA"/>
    <w:rsid w:val="00C35B56"/>
    <w:rsid w:val="00C36F40"/>
    <w:rsid w:val="00C373FA"/>
    <w:rsid w:val="00C408E8"/>
    <w:rsid w:val="00C40A4E"/>
    <w:rsid w:val="00C41BFA"/>
    <w:rsid w:val="00C41C7D"/>
    <w:rsid w:val="00C425EE"/>
    <w:rsid w:val="00C42785"/>
    <w:rsid w:val="00C4369F"/>
    <w:rsid w:val="00C43A4E"/>
    <w:rsid w:val="00C442EB"/>
    <w:rsid w:val="00C457BA"/>
    <w:rsid w:val="00C50927"/>
    <w:rsid w:val="00C51395"/>
    <w:rsid w:val="00C51526"/>
    <w:rsid w:val="00C5212A"/>
    <w:rsid w:val="00C52EF1"/>
    <w:rsid w:val="00C53654"/>
    <w:rsid w:val="00C55457"/>
    <w:rsid w:val="00C563BB"/>
    <w:rsid w:val="00C56794"/>
    <w:rsid w:val="00C56BFA"/>
    <w:rsid w:val="00C57574"/>
    <w:rsid w:val="00C57DED"/>
    <w:rsid w:val="00C606E1"/>
    <w:rsid w:val="00C60E3D"/>
    <w:rsid w:val="00C611F4"/>
    <w:rsid w:val="00C63064"/>
    <w:rsid w:val="00C63449"/>
    <w:rsid w:val="00C64F65"/>
    <w:rsid w:val="00C64F73"/>
    <w:rsid w:val="00C65A70"/>
    <w:rsid w:val="00C66090"/>
    <w:rsid w:val="00C6640C"/>
    <w:rsid w:val="00C6646A"/>
    <w:rsid w:val="00C66B71"/>
    <w:rsid w:val="00C67F76"/>
    <w:rsid w:val="00C70D82"/>
    <w:rsid w:val="00C71C81"/>
    <w:rsid w:val="00C755AE"/>
    <w:rsid w:val="00C755D7"/>
    <w:rsid w:val="00C75BDC"/>
    <w:rsid w:val="00C75C5F"/>
    <w:rsid w:val="00C766F5"/>
    <w:rsid w:val="00C76847"/>
    <w:rsid w:val="00C77EB0"/>
    <w:rsid w:val="00C81192"/>
    <w:rsid w:val="00C8237A"/>
    <w:rsid w:val="00C8270E"/>
    <w:rsid w:val="00C82FD8"/>
    <w:rsid w:val="00C83377"/>
    <w:rsid w:val="00C84F04"/>
    <w:rsid w:val="00C85ACE"/>
    <w:rsid w:val="00C85CFE"/>
    <w:rsid w:val="00C867D9"/>
    <w:rsid w:val="00C86D23"/>
    <w:rsid w:val="00C8730E"/>
    <w:rsid w:val="00C874D8"/>
    <w:rsid w:val="00C904B8"/>
    <w:rsid w:val="00C907FE"/>
    <w:rsid w:val="00C90A2A"/>
    <w:rsid w:val="00C90AA9"/>
    <w:rsid w:val="00C918DB"/>
    <w:rsid w:val="00C94388"/>
    <w:rsid w:val="00C952A3"/>
    <w:rsid w:val="00C95C28"/>
    <w:rsid w:val="00C96758"/>
    <w:rsid w:val="00C9740C"/>
    <w:rsid w:val="00CA02E4"/>
    <w:rsid w:val="00CA02EA"/>
    <w:rsid w:val="00CA1299"/>
    <w:rsid w:val="00CA1347"/>
    <w:rsid w:val="00CA21BA"/>
    <w:rsid w:val="00CA2354"/>
    <w:rsid w:val="00CA25FF"/>
    <w:rsid w:val="00CA35C2"/>
    <w:rsid w:val="00CA4035"/>
    <w:rsid w:val="00CA42F4"/>
    <w:rsid w:val="00CA4AF9"/>
    <w:rsid w:val="00CA58DF"/>
    <w:rsid w:val="00CB086F"/>
    <w:rsid w:val="00CB0E3F"/>
    <w:rsid w:val="00CB2AC2"/>
    <w:rsid w:val="00CB33CC"/>
    <w:rsid w:val="00CB3497"/>
    <w:rsid w:val="00CB4944"/>
    <w:rsid w:val="00CB6533"/>
    <w:rsid w:val="00CB7708"/>
    <w:rsid w:val="00CC2039"/>
    <w:rsid w:val="00CC2573"/>
    <w:rsid w:val="00CC2B1E"/>
    <w:rsid w:val="00CC352D"/>
    <w:rsid w:val="00CC4916"/>
    <w:rsid w:val="00CC521A"/>
    <w:rsid w:val="00CC5D7A"/>
    <w:rsid w:val="00CC61EC"/>
    <w:rsid w:val="00CC75D3"/>
    <w:rsid w:val="00CC76A0"/>
    <w:rsid w:val="00CC7704"/>
    <w:rsid w:val="00CD0271"/>
    <w:rsid w:val="00CD047C"/>
    <w:rsid w:val="00CD13F7"/>
    <w:rsid w:val="00CD2081"/>
    <w:rsid w:val="00CD216F"/>
    <w:rsid w:val="00CD2997"/>
    <w:rsid w:val="00CD3613"/>
    <w:rsid w:val="00CD3736"/>
    <w:rsid w:val="00CD3F0F"/>
    <w:rsid w:val="00CD4962"/>
    <w:rsid w:val="00CD6091"/>
    <w:rsid w:val="00CD7733"/>
    <w:rsid w:val="00CD7761"/>
    <w:rsid w:val="00CD7D6B"/>
    <w:rsid w:val="00CE0383"/>
    <w:rsid w:val="00CE2F39"/>
    <w:rsid w:val="00CE3E36"/>
    <w:rsid w:val="00CE55E2"/>
    <w:rsid w:val="00CE5C93"/>
    <w:rsid w:val="00CE61DE"/>
    <w:rsid w:val="00CE65ED"/>
    <w:rsid w:val="00CE6D8D"/>
    <w:rsid w:val="00CE7815"/>
    <w:rsid w:val="00CF1419"/>
    <w:rsid w:val="00CF1803"/>
    <w:rsid w:val="00CF1935"/>
    <w:rsid w:val="00CF28FC"/>
    <w:rsid w:val="00CF2F16"/>
    <w:rsid w:val="00CF3016"/>
    <w:rsid w:val="00CF3907"/>
    <w:rsid w:val="00CF4F29"/>
    <w:rsid w:val="00CF5764"/>
    <w:rsid w:val="00CF5B71"/>
    <w:rsid w:val="00CF7DC7"/>
    <w:rsid w:val="00D006DD"/>
    <w:rsid w:val="00D027F6"/>
    <w:rsid w:val="00D02C8F"/>
    <w:rsid w:val="00D0308D"/>
    <w:rsid w:val="00D03205"/>
    <w:rsid w:val="00D041EF"/>
    <w:rsid w:val="00D04841"/>
    <w:rsid w:val="00D052C6"/>
    <w:rsid w:val="00D05E47"/>
    <w:rsid w:val="00D112C9"/>
    <w:rsid w:val="00D11790"/>
    <w:rsid w:val="00D119C6"/>
    <w:rsid w:val="00D12A85"/>
    <w:rsid w:val="00D133A3"/>
    <w:rsid w:val="00D13413"/>
    <w:rsid w:val="00D13768"/>
    <w:rsid w:val="00D13B33"/>
    <w:rsid w:val="00D155E7"/>
    <w:rsid w:val="00D16581"/>
    <w:rsid w:val="00D16C61"/>
    <w:rsid w:val="00D16DF8"/>
    <w:rsid w:val="00D1710E"/>
    <w:rsid w:val="00D176DE"/>
    <w:rsid w:val="00D200B0"/>
    <w:rsid w:val="00D200DD"/>
    <w:rsid w:val="00D208A3"/>
    <w:rsid w:val="00D20E02"/>
    <w:rsid w:val="00D20EA9"/>
    <w:rsid w:val="00D21271"/>
    <w:rsid w:val="00D212C5"/>
    <w:rsid w:val="00D21B53"/>
    <w:rsid w:val="00D21C80"/>
    <w:rsid w:val="00D222B0"/>
    <w:rsid w:val="00D2293F"/>
    <w:rsid w:val="00D2323D"/>
    <w:rsid w:val="00D2355D"/>
    <w:rsid w:val="00D23565"/>
    <w:rsid w:val="00D236F2"/>
    <w:rsid w:val="00D2373B"/>
    <w:rsid w:val="00D2502A"/>
    <w:rsid w:val="00D253E7"/>
    <w:rsid w:val="00D257F7"/>
    <w:rsid w:val="00D3040F"/>
    <w:rsid w:val="00D308DF"/>
    <w:rsid w:val="00D32C8F"/>
    <w:rsid w:val="00D32ED9"/>
    <w:rsid w:val="00D33130"/>
    <w:rsid w:val="00D35E43"/>
    <w:rsid w:val="00D35F75"/>
    <w:rsid w:val="00D366B1"/>
    <w:rsid w:val="00D37DCC"/>
    <w:rsid w:val="00D41238"/>
    <w:rsid w:val="00D419D8"/>
    <w:rsid w:val="00D42190"/>
    <w:rsid w:val="00D42328"/>
    <w:rsid w:val="00D42452"/>
    <w:rsid w:val="00D431A0"/>
    <w:rsid w:val="00D4498D"/>
    <w:rsid w:val="00D44A6E"/>
    <w:rsid w:val="00D45587"/>
    <w:rsid w:val="00D46106"/>
    <w:rsid w:val="00D468F2"/>
    <w:rsid w:val="00D46E50"/>
    <w:rsid w:val="00D47E81"/>
    <w:rsid w:val="00D50739"/>
    <w:rsid w:val="00D5099A"/>
    <w:rsid w:val="00D50AC7"/>
    <w:rsid w:val="00D51BC6"/>
    <w:rsid w:val="00D53EFB"/>
    <w:rsid w:val="00D542A2"/>
    <w:rsid w:val="00D54583"/>
    <w:rsid w:val="00D54619"/>
    <w:rsid w:val="00D54788"/>
    <w:rsid w:val="00D549A4"/>
    <w:rsid w:val="00D54CCA"/>
    <w:rsid w:val="00D54D87"/>
    <w:rsid w:val="00D568F0"/>
    <w:rsid w:val="00D56A7F"/>
    <w:rsid w:val="00D5783F"/>
    <w:rsid w:val="00D602A7"/>
    <w:rsid w:val="00D60B14"/>
    <w:rsid w:val="00D60F58"/>
    <w:rsid w:val="00D63831"/>
    <w:rsid w:val="00D64D80"/>
    <w:rsid w:val="00D65719"/>
    <w:rsid w:val="00D6605A"/>
    <w:rsid w:val="00D663E2"/>
    <w:rsid w:val="00D6644D"/>
    <w:rsid w:val="00D677C9"/>
    <w:rsid w:val="00D704B3"/>
    <w:rsid w:val="00D70FB3"/>
    <w:rsid w:val="00D71634"/>
    <w:rsid w:val="00D75543"/>
    <w:rsid w:val="00D80CFD"/>
    <w:rsid w:val="00D81E3A"/>
    <w:rsid w:val="00D827AB"/>
    <w:rsid w:val="00D830BB"/>
    <w:rsid w:val="00D83C55"/>
    <w:rsid w:val="00D85BE6"/>
    <w:rsid w:val="00D86369"/>
    <w:rsid w:val="00D86C22"/>
    <w:rsid w:val="00D91134"/>
    <w:rsid w:val="00D91736"/>
    <w:rsid w:val="00D929E7"/>
    <w:rsid w:val="00D944FB"/>
    <w:rsid w:val="00D94732"/>
    <w:rsid w:val="00D950F5"/>
    <w:rsid w:val="00D955BE"/>
    <w:rsid w:val="00D95824"/>
    <w:rsid w:val="00D96544"/>
    <w:rsid w:val="00D969A9"/>
    <w:rsid w:val="00D97054"/>
    <w:rsid w:val="00DA02F0"/>
    <w:rsid w:val="00DA08AA"/>
    <w:rsid w:val="00DA13B4"/>
    <w:rsid w:val="00DA19DB"/>
    <w:rsid w:val="00DA2D1C"/>
    <w:rsid w:val="00DA335E"/>
    <w:rsid w:val="00DA37E3"/>
    <w:rsid w:val="00DA53C7"/>
    <w:rsid w:val="00DA5513"/>
    <w:rsid w:val="00DA56DE"/>
    <w:rsid w:val="00DA6554"/>
    <w:rsid w:val="00DA66FB"/>
    <w:rsid w:val="00DA67A9"/>
    <w:rsid w:val="00DA6A62"/>
    <w:rsid w:val="00DA77EE"/>
    <w:rsid w:val="00DA788B"/>
    <w:rsid w:val="00DA7F0C"/>
    <w:rsid w:val="00DB26D3"/>
    <w:rsid w:val="00DB5056"/>
    <w:rsid w:val="00DB521D"/>
    <w:rsid w:val="00DB59BD"/>
    <w:rsid w:val="00DB5A9B"/>
    <w:rsid w:val="00DB5BC6"/>
    <w:rsid w:val="00DB5E10"/>
    <w:rsid w:val="00DB71C1"/>
    <w:rsid w:val="00DB7FB5"/>
    <w:rsid w:val="00DC0F38"/>
    <w:rsid w:val="00DC2266"/>
    <w:rsid w:val="00DC32A0"/>
    <w:rsid w:val="00DC3EDD"/>
    <w:rsid w:val="00DC3F90"/>
    <w:rsid w:val="00DC4A7A"/>
    <w:rsid w:val="00DC649D"/>
    <w:rsid w:val="00DC682A"/>
    <w:rsid w:val="00DC6D8C"/>
    <w:rsid w:val="00DC79F3"/>
    <w:rsid w:val="00DC7A5F"/>
    <w:rsid w:val="00DD119D"/>
    <w:rsid w:val="00DD16AE"/>
    <w:rsid w:val="00DD1C91"/>
    <w:rsid w:val="00DD23D9"/>
    <w:rsid w:val="00DD2419"/>
    <w:rsid w:val="00DD4362"/>
    <w:rsid w:val="00DD5630"/>
    <w:rsid w:val="00DD6554"/>
    <w:rsid w:val="00DD6D13"/>
    <w:rsid w:val="00DD6DCC"/>
    <w:rsid w:val="00DE09D4"/>
    <w:rsid w:val="00DE16C2"/>
    <w:rsid w:val="00DE1DE1"/>
    <w:rsid w:val="00DE26CA"/>
    <w:rsid w:val="00DE6BE3"/>
    <w:rsid w:val="00DE6F39"/>
    <w:rsid w:val="00DE78D4"/>
    <w:rsid w:val="00DF2460"/>
    <w:rsid w:val="00DF2A11"/>
    <w:rsid w:val="00DF2D8A"/>
    <w:rsid w:val="00DF3682"/>
    <w:rsid w:val="00DF3AB8"/>
    <w:rsid w:val="00DF4D7E"/>
    <w:rsid w:val="00DF4D91"/>
    <w:rsid w:val="00DF7A18"/>
    <w:rsid w:val="00E000BA"/>
    <w:rsid w:val="00E02DD4"/>
    <w:rsid w:val="00E02E92"/>
    <w:rsid w:val="00E04805"/>
    <w:rsid w:val="00E04F48"/>
    <w:rsid w:val="00E0536C"/>
    <w:rsid w:val="00E05514"/>
    <w:rsid w:val="00E05767"/>
    <w:rsid w:val="00E05A66"/>
    <w:rsid w:val="00E05B22"/>
    <w:rsid w:val="00E0689D"/>
    <w:rsid w:val="00E06FFF"/>
    <w:rsid w:val="00E072D1"/>
    <w:rsid w:val="00E0739B"/>
    <w:rsid w:val="00E07D97"/>
    <w:rsid w:val="00E108D5"/>
    <w:rsid w:val="00E119CB"/>
    <w:rsid w:val="00E11F2B"/>
    <w:rsid w:val="00E12014"/>
    <w:rsid w:val="00E12D15"/>
    <w:rsid w:val="00E1372B"/>
    <w:rsid w:val="00E13C81"/>
    <w:rsid w:val="00E13DDB"/>
    <w:rsid w:val="00E1406F"/>
    <w:rsid w:val="00E14951"/>
    <w:rsid w:val="00E14EAA"/>
    <w:rsid w:val="00E15633"/>
    <w:rsid w:val="00E16691"/>
    <w:rsid w:val="00E16890"/>
    <w:rsid w:val="00E17862"/>
    <w:rsid w:val="00E17DEF"/>
    <w:rsid w:val="00E17F62"/>
    <w:rsid w:val="00E20474"/>
    <w:rsid w:val="00E2048D"/>
    <w:rsid w:val="00E2072E"/>
    <w:rsid w:val="00E20B3F"/>
    <w:rsid w:val="00E225CE"/>
    <w:rsid w:val="00E23BF6"/>
    <w:rsid w:val="00E23D39"/>
    <w:rsid w:val="00E245C6"/>
    <w:rsid w:val="00E246D1"/>
    <w:rsid w:val="00E247CA"/>
    <w:rsid w:val="00E2515A"/>
    <w:rsid w:val="00E264CF"/>
    <w:rsid w:val="00E269A9"/>
    <w:rsid w:val="00E26D2A"/>
    <w:rsid w:val="00E3076D"/>
    <w:rsid w:val="00E3120E"/>
    <w:rsid w:val="00E32C95"/>
    <w:rsid w:val="00E33C52"/>
    <w:rsid w:val="00E345BB"/>
    <w:rsid w:val="00E35049"/>
    <w:rsid w:val="00E372AF"/>
    <w:rsid w:val="00E37F25"/>
    <w:rsid w:val="00E40CDC"/>
    <w:rsid w:val="00E41034"/>
    <w:rsid w:val="00E422AF"/>
    <w:rsid w:val="00E4438A"/>
    <w:rsid w:val="00E445A6"/>
    <w:rsid w:val="00E455D1"/>
    <w:rsid w:val="00E45FF1"/>
    <w:rsid w:val="00E460AB"/>
    <w:rsid w:val="00E46AC4"/>
    <w:rsid w:val="00E47410"/>
    <w:rsid w:val="00E51606"/>
    <w:rsid w:val="00E52FCA"/>
    <w:rsid w:val="00E54EF0"/>
    <w:rsid w:val="00E5543B"/>
    <w:rsid w:val="00E55A0E"/>
    <w:rsid w:val="00E57843"/>
    <w:rsid w:val="00E57BA3"/>
    <w:rsid w:val="00E60182"/>
    <w:rsid w:val="00E6070D"/>
    <w:rsid w:val="00E60927"/>
    <w:rsid w:val="00E60D2C"/>
    <w:rsid w:val="00E61287"/>
    <w:rsid w:val="00E62544"/>
    <w:rsid w:val="00E62620"/>
    <w:rsid w:val="00E62641"/>
    <w:rsid w:val="00E62732"/>
    <w:rsid w:val="00E63D86"/>
    <w:rsid w:val="00E646CD"/>
    <w:rsid w:val="00E64893"/>
    <w:rsid w:val="00E65DBF"/>
    <w:rsid w:val="00E66092"/>
    <w:rsid w:val="00E66FD0"/>
    <w:rsid w:val="00E671C6"/>
    <w:rsid w:val="00E703ED"/>
    <w:rsid w:val="00E71A0E"/>
    <w:rsid w:val="00E72187"/>
    <w:rsid w:val="00E7230D"/>
    <w:rsid w:val="00E73503"/>
    <w:rsid w:val="00E738CC"/>
    <w:rsid w:val="00E74C02"/>
    <w:rsid w:val="00E7510E"/>
    <w:rsid w:val="00E757F2"/>
    <w:rsid w:val="00E75BD7"/>
    <w:rsid w:val="00E75BEA"/>
    <w:rsid w:val="00E75C04"/>
    <w:rsid w:val="00E75D19"/>
    <w:rsid w:val="00E76970"/>
    <w:rsid w:val="00E76C49"/>
    <w:rsid w:val="00E77898"/>
    <w:rsid w:val="00E77F31"/>
    <w:rsid w:val="00E80CB7"/>
    <w:rsid w:val="00E80D38"/>
    <w:rsid w:val="00E8202F"/>
    <w:rsid w:val="00E82B6E"/>
    <w:rsid w:val="00E839F1"/>
    <w:rsid w:val="00E8488D"/>
    <w:rsid w:val="00E84B1F"/>
    <w:rsid w:val="00E84E2D"/>
    <w:rsid w:val="00E8564B"/>
    <w:rsid w:val="00E85B43"/>
    <w:rsid w:val="00E85EB2"/>
    <w:rsid w:val="00E86180"/>
    <w:rsid w:val="00E869F5"/>
    <w:rsid w:val="00E871D2"/>
    <w:rsid w:val="00E87748"/>
    <w:rsid w:val="00E879F8"/>
    <w:rsid w:val="00E87ECF"/>
    <w:rsid w:val="00E90520"/>
    <w:rsid w:val="00E91B9D"/>
    <w:rsid w:val="00E92200"/>
    <w:rsid w:val="00E922D2"/>
    <w:rsid w:val="00E9284E"/>
    <w:rsid w:val="00E93329"/>
    <w:rsid w:val="00E93B04"/>
    <w:rsid w:val="00E94EBA"/>
    <w:rsid w:val="00E95C50"/>
    <w:rsid w:val="00E95D37"/>
    <w:rsid w:val="00E96024"/>
    <w:rsid w:val="00E9790A"/>
    <w:rsid w:val="00E97E63"/>
    <w:rsid w:val="00EA0215"/>
    <w:rsid w:val="00EA0916"/>
    <w:rsid w:val="00EA12D8"/>
    <w:rsid w:val="00EA1318"/>
    <w:rsid w:val="00EA22F5"/>
    <w:rsid w:val="00EA284A"/>
    <w:rsid w:val="00EA2C3D"/>
    <w:rsid w:val="00EA30A3"/>
    <w:rsid w:val="00EA346F"/>
    <w:rsid w:val="00EA3755"/>
    <w:rsid w:val="00EA5595"/>
    <w:rsid w:val="00EA5876"/>
    <w:rsid w:val="00EA6E98"/>
    <w:rsid w:val="00EA7359"/>
    <w:rsid w:val="00EA7FFD"/>
    <w:rsid w:val="00EB1B42"/>
    <w:rsid w:val="00EB3E9A"/>
    <w:rsid w:val="00EB5021"/>
    <w:rsid w:val="00EB6477"/>
    <w:rsid w:val="00EB7D11"/>
    <w:rsid w:val="00EC06EA"/>
    <w:rsid w:val="00EC26F6"/>
    <w:rsid w:val="00EC29F2"/>
    <w:rsid w:val="00EC2E84"/>
    <w:rsid w:val="00EC41A5"/>
    <w:rsid w:val="00EC41F9"/>
    <w:rsid w:val="00EC446D"/>
    <w:rsid w:val="00EC5C96"/>
    <w:rsid w:val="00EC6584"/>
    <w:rsid w:val="00EC7CBB"/>
    <w:rsid w:val="00EC7D44"/>
    <w:rsid w:val="00ED146E"/>
    <w:rsid w:val="00ED1B0C"/>
    <w:rsid w:val="00ED2532"/>
    <w:rsid w:val="00ED2E1E"/>
    <w:rsid w:val="00ED6323"/>
    <w:rsid w:val="00EE059D"/>
    <w:rsid w:val="00EE0B37"/>
    <w:rsid w:val="00EE1B44"/>
    <w:rsid w:val="00EE258E"/>
    <w:rsid w:val="00EE2A9D"/>
    <w:rsid w:val="00EE3EDA"/>
    <w:rsid w:val="00EE69F9"/>
    <w:rsid w:val="00EE78AF"/>
    <w:rsid w:val="00EF17B9"/>
    <w:rsid w:val="00EF2119"/>
    <w:rsid w:val="00EF2311"/>
    <w:rsid w:val="00EF23A6"/>
    <w:rsid w:val="00EF30C9"/>
    <w:rsid w:val="00EF3D32"/>
    <w:rsid w:val="00EF5014"/>
    <w:rsid w:val="00EF60F7"/>
    <w:rsid w:val="00EF6116"/>
    <w:rsid w:val="00EF654F"/>
    <w:rsid w:val="00EF6AFC"/>
    <w:rsid w:val="00EF7637"/>
    <w:rsid w:val="00F00F97"/>
    <w:rsid w:val="00F0157B"/>
    <w:rsid w:val="00F03B04"/>
    <w:rsid w:val="00F047FD"/>
    <w:rsid w:val="00F04FA9"/>
    <w:rsid w:val="00F05F7B"/>
    <w:rsid w:val="00F06A63"/>
    <w:rsid w:val="00F07DED"/>
    <w:rsid w:val="00F10187"/>
    <w:rsid w:val="00F1144B"/>
    <w:rsid w:val="00F11E43"/>
    <w:rsid w:val="00F15879"/>
    <w:rsid w:val="00F17D05"/>
    <w:rsid w:val="00F20113"/>
    <w:rsid w:val="00F2013C"/>
    <w:rsid w:val="00F2023F"/>
    <w:rsid w:val="00F20FDB"/>
    <w:rsid w:val="00F21C69"/>
    <w:rsid w:val="00F21CC4"/>
    <w:rsid w:val="00F222BB"/>
    <w:rsid w:val="00F22731"/>
    <w:rsid w:val="00F2370E"/>
    <w:rsid w:val="00F23BDF"/>
    <w:rsid w:val="00F24B97"/>
    <w:rsid w:val="00F26D6F"/>
    <w:rsid w:val="00F275DB"/>
    <w:rsid w:val="00F27AFB"/>
    <w:rsid w:val="00F30983"/>
    <w:rsid w:val="00F31280"/>
    <w:rsid w:val="00F31F83"/>
    <w:rsid w:val="00F338C6"/>
    <w:rsid w:val="00F342E3"/>
    <w:rsid w:val="00F343B2"/>
    <w:rsid w:val="00F35007"/>
    <w:rsid w:val="00F3560C"/>
    <w:rsid w:val="00F402D5"/>
    <w:rsid w:val="00F40395"/>
    <w:rsid w:val="00F41C02"/>
    <w:rsid w:val="00F422BA"/>
    <w:rsid w:val="00F422DA"/>
    <w:rsid w:val="00F42DCC"/>
    <w:rsid w:val="00F4486F"/>
    <w:rsid w:val="00F44BD8"/>
    <w:rsid w:val="00F44F61"/>
    <w:rsid w:val="00F47DC8"/>
    <w:rsid w:val="00F5148D"/>
    <w:rsid w:val="00F516E2"/>
    <w:rsid w:val="00F51CAF"/>
    <w:rsid w:val="00F52DA5"/>
    <w:rsid w:val="00F530C3"/>
    <w:rsid w:val="00F536FC"/>
    <w:rsid w:val="00F53E4C"/>
    <w:rsid w:val="00F53F83"/>
    <w:rsid w:val="00F54D9A"/>
    <w:rsid w:val="00F5638E"/>
    <w:rsid w:val="00F57888"/>
    <w:rsid w:val="00F57A52"/>
    <w:rsid w:val="00F57D35"/>
    <w:rsid w:val="00F57F39"/>
    <w:rsid w:val="00F61346"/>
    <w:rsid w:val="00F6220D"/>
    <w:rsid w:val="00F624BB"/>
    <w:rsid w:val="00F632F5"/>
    <w:rsid w:val="00F6516B"/>
    <w:rsid w:val="00F6749C"/>
    <w:rsid w:val="00F7063D"/>
    <w:rsid w:val="00F71AB1"/>
    <w:rsid w:val="00F7251D"/>
    <w:rsid w:val="00F72CE2"/>
    <w:rsid w:val="00F737D4"/>
    <w:rsid w:val="00F73D79"/>
    <w:rsid w:val="00F75D81"/>
    <w:rsid w:val="00F7692D"/>
    <w:rsid w:val="00F77591"/>
    <w:rsid w:val="00F775F1"/>
    <w:rsid w:val="00F77FAE"/>
    <w:rsid w:val="00F8022E"/>
    <w:rsid w:val="00F80E58"/>
    <w:rsid w:val="00F81781"/>
    <w:rsid w:val="00F81FD0"/>
    <w:rsid w:val="00F822DC"/>
    <w:rsid w:val="00F83290"/>
    <w:rsid w:val="00F840F9"/>
    <w:rsid w:val="00F85A26"/>
    <w:rsid w:val="00F85D7B"/>
    <w:rsid w:val="00F86833"/>
    <w:rsid w:val="00F86FF1"/>
    <w:rsid w:val="00F91308"/>
    <w:rsid w:val="00F91316"/>
    <w:rsid w:val="00F9440D"/>
    <w:rsid w:val="00F94A45"/>
    <w:rsid w:val="00F96DD9"/>
    <w:rsid w:val="00F976AC"/>
    <w:rsid w:val="00FA0F6B"/>
    <w:rsid w:val="00FA11F8"/>
    <w:rsid w:val="00FA208A"/>
    <w:rsid w:val="00FA2176"/>
    <w:rsid w:val="00FA2913"/>
    <w:rsid w:val="00FA31BB"/>
    <w:rsid w:val="00FA384E"/>
    <w:rsid w:val="00FA402C"/>
    <w:rsid w:val="00FA48A7"/>
    <w:rsid w:val="00FA4DCB"/>
    <w:rsid w:val="00FA7422"/>
    <w:rsid w:val="00FB02E2"/>
    <w:rsid w:val="00FB0B54"/>
    <w:rsid w:val="00FB3CB3"/>
    <w:rsid w:val="00FB42A9"/>
    <w:rsid w:val="00FB46AD"/>
    <w:rsid w:val="00FB5099"/>
    <w:rsid w:val="00FB5161"/>
    <w:rsid w:val="00FB52C7"/>
    <w:rsid w:val="00FB567D"/>
    <w:rsid w:val="00FB64CF"/>
    <w:rsid w:val="00FB6522"/>
    <w:rsid w:val="00FC087C"/>
    <w:rsid w:val="00FC0E34"/>
    <w:rsid w:val="00FC12EA"/>
    <w:rsid w:val="00FC1364"/>
    <w:rsid w:val="00FC28AF"/>
    <w:rsid w:val="00FC34D4"/>
    <w:rsid w:val="00FC3675"/>
    <w:rsid w:val="00FC43F7"/>
    <w:rsid w:val="00FC4C86"/>
    <w:rsid w:val="00FC518F"/>
    <w:rsid w:val="00FC51FD"/>
    <w:rsid w:val="00FC6DF0"/>
    <w:rsid w:val="00FD0345"/>
    <w:rsid w:val="00FD0411"/>
    <w:rsid w:val="00FD2283"/>
    <w:rsid w:val="00FD31F9"/>
    <w:rsid w:val="00FD48E1"/>
    <w:rsid w:val="00FD52FD"/>
    <w:rsid w:val="00FD752D"/>
    <w:rsid w:val="00FD7F18"/>
    <w:rsid w:val="00FE0C50"/>
    <w:rsid w:val="00FE0CFA"/>
    <w:rsid w:val="00FE0DBC"/>
    <w:rsid w:val="00FE161D"/>
    <w:rsid w:val="00FE1DE4"/>
    <w:rsid w:val="00FE2D95"/>
    <w:rsid w:val="00FE4AE1"/>
    <w:rsid w:val="00FE6993"/>
    <w:rsid w:val="00FE7CBC"/>
    <w:rsid w:val="00FF0E3E"/>
    <w:rsid w:val="00FF1486"/>
    <w:rsid w:val="00FF22C0"/>
    <w:rsid w:val="00FF547C"/>
    <w:rsid w:val="00FF553C"/>
    <w:rsid w:val="00FF71D8"/>
    <w:rsid w:val="00FF7F30"/>
    <w:rsid w:val="00FF7FA0"/>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link w:val="Ttulo1Car"/>
    <w:uiPriority w:val="99"/>
    <w:qFormat/>
    <w:rsid w:val="00540439"/>
    <w:pPr>
      <w:keepNext/>
      <w:jc w:val="center"/>
      <w:outlineLvl w:val="0"/>
    </w:pPr>
    <w:rPr>
      <w:b/>
      <w:sz w:val="32"/>
      <w:lang w:val="es-ES_tradnl"/>
    </w:rPr>
  </w:style>
  <w:style w:type="paragraph" w:styleId="Ttulo2">
    <w:name w:val="heading 2"/>
    <w:basedOn w:val="Normal"/>
    <w:next w:val="Normal"/>
    <w:link w:val="Ttulo2Car"/>
    <w:uiPriority w:val="99"/>
    <w:qFormat/>
    <w:rsid w:val="00540439"/>
    <w:pPr>
      <w:keepNext/>
      <w:jc w:val="center"/>
      <w:outlineLvl w:val="1"/>
    </w:pPr>
    <w:rPr>
      <w:b/>
      <w:sz w:val="24"/>
    </w:rPr>
  </w:style>
  <w:style w:type="paragraph" w:styleId="Ttulo3">
    <w:name w:val="heading 3"/>
    <w:basedOn w:val="Normal"/>
    <w:next w:val="Normal"/>
    <w:link w:val="Ttulo3Car"/>
    <w:uiPriority w:val="99"/>
    <w:qFormat/>
    <w:rsid w:val="00540439"/>
    <w:pPr>
      <w:keepNext/>
      <w:jc w:val="center"/>
      <w:outlineLvl w:val="2"/>
    </w:pPr>
    <w:rPr>
      <w:b/>
      <w:sz w:val="24"/>
      <w:lang w:val="es-ES_tradnl"/>
    </w:rPr>
  </w:style>
  <w:style w:type="paragraph" w:styleId="Ttulo4">
    <w:name w:val="heading 4"/>
    <w:basedOn w:val="Normal"/>
    <w:next w:val="Normal"/>
    <w:link w:val="Ttulo4Car"/>
    <w:uiPriority w:val="99"/>
    <w:qFormat/>
    <w:rsid w:val="00540439"/>
    <w:pPr>
      <w:keepNext/>
      <w:jc w:val="both"/>
      <w:outlineLvl w:val="3"/>
    </w:pPr>
    <w:rPr>
      <w:b/>
      <w:sz w:val="28"/>
    </w:rPr>
  </w:style>
  <w:style w:type="paragraph" w:styleId="Ttulo5">
    <w:name w:val="heading 5"/>
    <w:basedOn w:val="Normal"/>
    <w:next w:val="Normal"/>
    <w:link w:val="Ttulo5Car"/>
    <w:uiPriority w:val="99"/>
    <w:qFormat/>
    <w:rsid w:val="00540439"/>
    <w:pPr>
      <w:keepNext/>
      <w:jc w:val="both"/>
      <w:outlineLvl w:val="4"/>
    </w:pPr>
    <w:rPr>
      <w:sz w:val="24"/>
    </w:rPr>
  </w:style>
  <w:style w:type="paragraph" w:styleId="Ttulo6">
    <w:name w:val="heading 6"/>
    <w:basedOn w:val="Normal"/>
    <w:next w:val="Normal"/>
    <w:link w:val="Ttulo6Car"/>
    <w:uiPriority w:val="99"/>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link w:val="Ttulo7Car"/>
    <w:uiPriority w:val="99"/>
    <w:qFormat/>
    <w:rsid w:val="00540439"/>
    <w:pPr>
      <w:keepNext/>
      <w:jc w:val="both"/>
      <w:outlineLvl w:val="6"/>
    </w:pPr>
  </w:style>
  <w:style w:type="paragraph" w:styleId="Ttulo8">
    <w:name w:val="heading 8"/>
    <w:basedOn w:val="Normal"/>
    <w:next w:val="Normal"/>
    <w:link w:val="Ttulo8Car"/>
    <w:uiPriority w:val="99"/>
    <w:qFormat/>
    <w:rsid w:val="00540439"/>
    <w:pPr>
      <w:keepNext/>
      <w:ind w:left="1701" w:hanging="567"/>
      <w:outlineLvl w:val="7"/>
    </w:pPr>
  </w:style>
  <w:style w:type="paragraph" w:styleId="Ttulo9">
    <w:name w:val="heading 9"/>
    <w:basedOn w:val="Normal"/>
    <w:next w:val="Normal"/>
    <w:link w:val="Ttulo9Car"/>
    <w:uiPriority w:val="99"/>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uiPriority w:val="99"/>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link w:val="TextoindependienteCar"/>
    <w:uiPriority w:val="99"/>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uiPriority w:val="99"/>
    <w:rsid w:val="00540439"/>
    <w:pPr>
      <w:ind w:left="2268" w:hanging="425"/>
      <w:jc w:val="both"/>
    </w:pPr>
    <w:rPr>
      <w:sz w:val="22"/>
    </w:rPr>
  </w:style>
  <w:style w:type="paragraph" w:customStyle="1" w:styleId="Sangra3detindependiente1">
    <w:name w:val="Sangría 3 de t. independiente1"/>
    <w:basedOn w:val="Normal"/>
    <w:uiPriority w:val="99"/>
    <w:rsid w:val="00540439"/>
    <w:pPr>
      <w:ind w:left="2552"/>
      <w:jc w:val="both"/>
    </w:pPr>
    <w:rPr>
      <w:sz w:val="22"/>
    </w:rPr>
  </w:style>
  <w:style w:type="character" w:styleId="Nmerodepgina">
    <w:name w:val="page number"/>
    <w:basedOn w:val="Fuentedeprrafopredeter"/>
    <w:uiPriority w:val="99"/>
    <w:rsid w:val="00540439"/>
  </w:style>
  <w:style w:type="paragraph" w:styleId="Encabezado">
    <w:name w:val="header"/>
    <w:basedOn w:val="Normal"/>
    <w:link w:val="EncabezadoCar"/>
    <w:uiPriority w:val="99"/>
    <w:rsid w:val="00540439"/>
    <w:pPr>
      <w:tabs>
        <w:tab w:val="center" w:pos="4252"/>
        <w:tab w:val="right" w:pos="8504"/>
      </w:tabs>
    </w:pPr>
    <w:rPr>
      <w:rFonts w:ascii="Arial" w:hAnsi="Arial"/>
      <w:sz w:val="22"/>
      <w:lang w:val="es-ES_tradnl"/>
    </w:rPr>
  </w:style>
  <w:style w:type="character" w:customStyle="1" w:styleId="EncabezadoCar">
    <w:name w:val="Encabezado Car"/>
    <w:link w:val="Encabezado"/>
    <w:uiPriority w:val="99"/>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uiPriority w:val="99"/>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uiPriority w:val="99"/>
    <w:rsid w:val="00540439"/>
    <w:pPr>
      <w:shd w:val="clear" w:color="auto" w:fill="000080"/>
    </w:pPr>
    <w:rPr>
      <w:rFonts w:ascii="Tahoma" w:hAnsi="Tahoma"/>
    </w:rPr>
  </w:style>
  <w:style w:type="paragraph" w:styleId="TDC1">
    <w:name w:val="toc 1"/>
    <w:basedOn w:val="Normal"/>
    <w:next w:val="Normal"/>
    <w:uiPriority w:val="99"/>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uiPriority w:val="99"/>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uiPriority w:val="99"/>
    <w:rsid w:val="00540439"/>
    <w:pPr>
      <w:tabs>
        <w:tab w:val="clear" w:pos="567"/>
        <w:tab w:val="clear" w:pos="1134"/>
        <w:tab w:val="clear" w:pos="1701"/>
        <w:tab w:val="clear" w:pos="2268"/>
        <w:tab w:val="clear" w:pos="2835"/>
      </w:tabs>
      <w:ind w:left="400"/>
    </w:pPr>
  </w:style>
  <w:style w:type="paragraph" w:styleId="TDC4">
    <w:name w:val="toc 4"/>
    <w:basedOn w:val="Normal"/>
    <w:next w:val="Normal"/>
    <w:uiPriority w:val="99"/>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uiPriority w:val="99"/>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uiPriority w:val="99"/>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uiPriority w:val="99"/>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uiPriority w:val="99"/>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uiPriority w:val="99"/>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uiPriority w:val="99"/>
    <w:rsid w:val="00540439"/>
    <w:pPr>
      <w:jc w:val="both"/>
    </w:pPr>
    <w:rPr>
      <w:sz w:val="24"/>
    </w:rPr>
  </w:style>
  <w:style w:type="paragraph" w:customStyle="1" w:styleId="Textoindependiente31">
    <w:name w:val="Texto independiente 31"/>
    <w:basedOn w:val="Normal"/>
    <w:uiPriority w:val="99"/>
    <w:rsid w:val="00540439"/>
    <w:rPr>
      <w:sz w:val="24"/>
    </w:rPr>
  </w:style>
  <w:style w:type="paragraph" w:customStyle="1" w:styleId="Textosinformato1">
    <w:name w:val="Texto sin formato1"/>
    <w:basedOn w:val="Normal"/>
    <w:uiPriority w:val="99"/>
    <w:rsid w:val="00540439"/>
    <w:rPr>
      <w:rFonts w:ascii="Courier New" w:hAnsi="Courier New"/>
      <w:lang w:val="en-GB"/>
    </w:rPr>
  </w:style>
  <w:style w:type="paragraph" w:styleId="ndice1">
    <w:name w:val="index 1"/>
    <w:basedOn w:val="Normal"/>
    <w:next w:val="Normal"/>
    <w:uiPriority w:val="99"/>
    <w:semiHidden/>
    <w:rsid w:val="00540439"/>
    <w:pPr>
      <w:ind w:left="200" w:hanging="200"/>
    </w:pPr>
    <w:rPr>
      <w:sz w:val="18"/>
    </w:rPr>
  </w:style>
  <w:style w:type="paragraph" w:styleId="ndice2">
    <w:name w:val="index 2"/>
    <w:basedOn w:val="Normal"/>
    <w:next w:val="Normal"/>
    <w:uiPriority w:val="99"/>
    <w:semiHidden/>
    <w:rsid w:val="00540439"/>
    <w:pPr>
      <w:ind w:left="400" w:hanging="200"/>
    </w:pPr>
    <w:rPr>
      <w:sz w:val="18"/>
    </w:rPr>
  </w:style>
  <w:style w:type="paragraph" w:styleId="ndice3">
    <w:name w:val="index 3"/>
    <w:basedOn w:val="Normal"/>
    <w:next w:val="Normal"/>
    <w:uiPriority w:val="99"/>
    <w:semiHidden/>
    <w:rsid w:val="00540439"/>
    <w:pPr>
      <w:ind w:left="600" w:hanging="200"/>
    </w:pPr>
    <w:rPr>
      <w:sz w:val="18"/>
    </w:rPr>
  </w:style>
  <w:style w:type="paragraph" w:styleId="ndice4">
    <w:name w:val="index 4"/>
    <w:basedOn w:val="Normal"/>
    <w:next w:val="Normal"/>
    <w:uiPriority w:val="99"/>
    <w:semiHidden/>
    <w:rsid w:val="00540439"/>
    <w:pPr>
      <w:ind w:left="800" w:hanging="200"/>
    </w:pPr>
    <w:rPr>
      <w:sz w:val="18"/>
    </w:rPr>
  </w:style>
  <w:style w:type="paragraph" w:styleId="ndice5">
    <w:name w:val="index 5"/>
    <w:basedOn w:val="Normal"/>
    <w:next w:val="Normal"/>
    <w:uiPriority w:val="99"/>
    <w:semiHidden/>
    <w:rsid w:val="00540439"/>
    <w:pPr>
      <w:ind w:left="1000" w:hanging="200"/>
    </w:pPr>
    <w:rPr>
      <w:sz w:val="18"/>
    </w:rPr>
  </w:style>
  <w:style w:type="paragraph" w:styleId="ndice6">
    <w:name w:val="index 6"/>
    <w:basedOn w:val="Normal"/>
    <w:next w:val="Normal"/>
    <w:uiPriority w:val="99"/>
    <w:semiHidden/>
    <w:rsid w:val="00540439"/>
    <w:pPr>
      <w:ind w:left="1200" w:hanging="200"/>
    </w:pPr>
    <w:rPr>
      <w:sz w:val="18"/>
    </w:rPr>
  </w:style>
  <w:style w:type="paragraph" w:styleId="ndice7">
    <w:name w:val="index 7"/>
    <w:basedOn w:val="Normal"/>
    <w:next w:val="Normal"/>
    <w:uiPriority w:val="99"/>
    <w:semiHidden/>
    <w:rsid w:val="00540439"/>
    <w:pPr>
      <w:ind w:left="1400" w:hanging="200"/>
    </w:pPr>
    <w:rPr>
      <w:sz w:val="18"/>
    </w:rPr>
  </w:style>
  <w:style w:type="paragraph" w:styleId="ndice8">
    <w:name w:val="index 8"/>
    <w:basedOn w:val="Normal"/>
    <w:next w:val="Normal"/>
    <w:uiPriority w:val="99"/>
    <w:semiHidden/>
    <w:rsid w:val="00540439"/>
    <w:pPr>
      <w:ind w:left="1600" w:hanging="200"/>
    </w:pPr>
    <w:rPr>
      <w:sz w:val="18"/>
    </w:rPr>
  </w:style>
  <w:style w:type="paragraph" w:styleId="ndice9">
    <w:name w:val="index 9"/>
    <w:basedOn w:val="Normal"/>
    <w:next w:val="Normal"/>
    <w:uiPriority w:val="99"/>
    <w:semiHidden/>
    <w:rsid w:val="00540439"/>
    <w:pPr>
      <w:ind w:left="1800" w:hanging="200"/>
    </w:pPr>
    <w:rPr>
      <w:sz w:val="18"/>
    </w:rPr>
  </w:style>
  <w:style w:type="paragraph" w:styleId="Ttulodendice">
    <w:name w:val="index heading"/>
    <w:basedOn w:val="Normal"/>
    <w:next w:val="ndice1"/>
    <w:uiPriority w:val="99"/>
    <w:semiHidden/>
    <w:rsid w:val="00540439"/>
    <w:pPr>
      <w:spacing w:before="240" w:after="120"/>
      <w:jc w:val="center"/>
    </w:pPr>
    <w:rPr>
      <w:b/>
      <w:sz w:val="26"/>
    </w:rPr>
  </w:style>
  <w:style w:type="paragraph" w:styleId="Sangradetextonormal">
    <w:name w:val="Body Text Indent"/>
    <w:basedOn w:val="Normal"/>
    <w:link w:val="SangradetextonormalCar"/>
    <w:uiPriority w:val="99"/>
    <w:rsid w:val="00540439"/>
    <w:pPr>
      <w:ind w:left="567" w:hanging="567"/>
      <w:jc w:val="both"/>
    </w:pPr>
    <w:rPr>
      <w:sz w:val="22"/>
    </w:rPr>
  </w:style>
  <w:style w:type="character" w:customStyle="1" w:styleId="SangradetextonormalCar">
    <w:name w:val="Sangría de texto normal Car"/>
    <w:link w:val="Sangradetextonormal"/>
    <w:uiPriority w:val="99"/>
    <w:semiHidden/>
    <w:rsid w:val="00411F07"/>
    <w:rPr>
      <w:sz w:val="22"/>
      <w:lang w:val="es-PE" w:eastAsia="zh-CN" w:bidi="ar-SA"/>
    </w:rPr>
  </w:style>
  <w:style w:type="paragraph" w:styleId="Sangra2detindependiente">
    <w:name w:val="Body Text Indent 2"/>
    <w:basedOn w:val="Normal"/>
    <w:link w:val="Sangra2detindependienteCar"/>
    <w:uiPriority w:val="99"/>
    <w:rsid w:val="00540439"/>
    <w:pPr>
      <w:ind w:left="1134"/>
      <w:jc w:val="both"/>
    </w:pPr>
    <w:rPr>
      <w:sz w:val="22"/>
    </w:rPr>
  </w:style>
  <w:style w:type="paragraph" w:styleId="Sangra3detindependiente">
    <w:name w:val="Body Text Indent 3"/>
    <w:basedOn w:val="Normal"/>
    <w:link w:val="Sangra3detindependienteCar"/>
    <w:uiPriority w:val="99"/>
    <w:rsid w:val="00540439"/>
    <w:pPr>
      <w:tabs>
        <w:tab w:val="left" w:pos="1287"/>
      </w:tabs>
      <w:ind w:left="1276" w:hanging="709"/>
      <w:jc w:val="both"/>
    </w:pPr>
    <w:rPr>
      <w:sz w:val="22"/>
    </w:rPr>
  </w:style>
  <w:style w:type="paragraph" w:styleId="Textodebloque">
    <w:name w:val="Block Text"/>
    <w:basedOn w:val="Normal"/>
    <w:uiPriority w:val="99"/>
    <w:rsid w:val="00540439"/>
    <w:pPr>
      <w:ind w:left="851" w:right="652"/>
      <w:jc w:val="center"/>
    </w:pPr>
    <w:rPr>
      <w:b/>
      <w:sz w:val="24"/>
    </w:rPr>
  </w:style>
  <w:style w:type="paragraph" w:styleId="Textoindependiente2">
    <w:name w:val="Body Text 2"/>
    <w:basedOn w:val="Normal"/>
    <w:link w:val="Textoindependiente2Car"/>
    <w:uiPriority w:val="99"/>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link w:val="MapadeldocumentoCar"/>
    <w:uiPriority w:val="99"/>
    <w:semiHidden/>
    <w:rsid w:val="00540439"/>
    <w:pPr>
      <w:shd w:val="clear" w:color="auto" w:fill="000080"/>
    </w:pPr>
    <w:rPr>
      <w:rFonts w:ascii="Tahoma" w:hAnsi="Tahoma" w:cs="Tahoma"/>
    </w:rPr>
  </w:style>
  <w:style w:type="paragraph" w:styleId="Textodeglobo">
    <w:name w:val="Balloon Text"/>
    <w:basedOn w:val="Normal"/>
    <w:link w:val="TextodegloboCar"/>
    <w:uiPriority w:val="99"/>
    <w:semiHidden/>
    <w:rsid w:val="00540439"/>
    <w:rPr>
      <w:rFonts w:ascii="Tahoma" w:hAnsi="Tahoma" w:cs="Tahoma"/>
      <w:sz w:val="16"/>
      <w:szCs w:val="16"/>
    </w:rPr>
  </w:style>
  <w:style w:type="paragraph" w:styleId="Textoindependiente3">
    <w:name w:val="Body Text 3"/>
    <w:basedOn w:val="Normal"/>
    <w:link w:val="Textoindependiente3Car"/>
    <w:uiPriority w:val="99"/>
    <w:rsid w:val="00540439"/>
    <w:pPr>
      <w:spacing w:after="120"/>
    </w:pPr>
    <w:rPr>
      <w:sz w:val="16"/>
      <w:szCs w:val="16"/>
    </w:rPr>
  </w:style>
  <w:style w:type="character" w:customStyle="1" w:styleId="Textoindependiente3Car">
    <w:name w:val="Texto independiente 3 Car"/>
    <w:link w:val="Textoindependiente3"/>
    <w:uiPriority w:val="99"/>
    <w:semiHidden/>
    <w:rsid w:val="00411F07"/>
    <w:rPr>
      <w:sz w:val="16"/>
      <w:szCs w:val="16"/>
      <w:lang w:val="es-PE" w:eastAsia="zh-CN" w:bidi="ar-SA"/>
    </w:rPr>
  </w:style>
  <w:style w:type="paragraph" w:styleId="Textosinformato">
    <w:name w:val="Plain Text"/>
    <w:basedOn w:val="Normal"/>
    <w:link w:val="TextosinformatoCar"/>
    <w:uiPriority w:val="99"/>
    <w:rsid w:val="00540439"/>
    <w:rPr>
      <w:rFonts w:ascii="Courier New" w:hAnsi="Courier New"/>
      <w:lang w:val="en-GB" w:eastAsia="en-US"/>
    </w:rPr>
  </w:style>
  <w:style w:type="paragraph" w:styleId="Ttulo">
    <w:name w:val="Title"/>
    <w:basedOn w:val="Normal"/>
    <w:link w:val="TtuloCar"/>
    <w:uiPriority w:val="99"/>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uiPriority w:val="99"/>
    <w:semiHidden/>
    <w:rsid w:val="00540439"/>
    <w:rPr>
      <w:sz w:val="16"/>
      <w:szCs w:val="16"/>
    </w:rPr>
  </w:style>
  <w:style w:type="paragraph" w:styleId="Textocomentario">
    <w:name w:val="annotation text"/>
    <w:basedOn w:val="Normal"/>
    <w:link w:val="TextocomentarioCar"/>
    <w:uiPriority w:val="99"/>
    <w:semiHidden/>
    <w:rsid w:val="00540439"/>
  </w:style>
  <w:style w:type="paragraph" w:styleId="Asuntodelcomentario">
    <w:name w:val="annotation subject"/>
    <w:basedOn w:val="Textocomentario"/>
    <w:next w:val="Textocomentario"/>
    <w:link w:val="AsuntodelcomentarioCar"/>
    <w:uiPriority w:val="99"/>
    <w:semiHidden/>
    <w:rsid w:val="00540439"/>
    <w:rPr>
      <w:b/>
      <w:bCs/>
    </w:rPr>
  </w:style>
  <w:style w:type="paragraph" w:styleId="Textonotapie">
    <w:name w:val="footnote text"/>
    <w:basedOn w:val="Normal"/>
    <w:link w:val="TextonotapieCar"/>
    <w:uiPriority w:val="99"/>
    <w:rsid w:val="00540439"/>
  </w:style>
  <w:style w:type="character" w:styleId="Refdenotaalpie">
    <w:name w:val="footnote reference"/>
    <w:uiPriority w:val="99"/>
    <w:semiHidden/>
    <w:rsid w:val="00540439"/>
    <w:rPr>
      <w:vertAlign w:val="superscript"/>
    </w:rPr>
  </w:style>
  <w:style w:type="paragraph" w:customStyle="1" w:styleId="Pelota">
    <w:name w:val="Pelota"/>
    <w:basedOn w:val="Normal"/>
    <w:uiPriority w:val="99"/>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uiPriority w:val="99"/>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uiPriority w:val="99"/>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uiPriority w:val="99"/>
    <w:qFormat/>
    <w:rsid w:val="00D96544"/>
    <w:pPr>
      <w:ind w:left="708"/>
    </w:pPr>
  </w:style>
  <w:style w:type="paragraph" w:styleId="Revisin">
    <w:name w:val="Revision"/>
    <w:hidden/>
    <w:uiPriority w:val="99"/>
    <w:semiHidden/>
    <w:rsid w:val="00D96544"/>
    <w:rPr>
      <w:lang w:eastAsia="zh-CN"/>
    </w:rPr>
  </w:style>
  <w:style w:type="character" w:styleId="Hipervnculo">
    <w:name w:val="Hyperlink"/>
    <w:uiPriority w:val="99"/>
    <w:unhideWhenUsed/>
    <w:rsid w:val="001F1033"/>
    <w:rPr>
      <w:color w:val="0000FF"/>
      <w:u w:val="single"/>
    </w:rPr>
  </w:style>
  <w:style w:type="character" w:styleId="Hipervnculovisitado">
    <w:name w:val="FollowedHyperlink"/>
    <w:uiPriority w:val="99"/>
    <w:rsid w:val="001F1033"/>
    <w:rPr>
      <w:color w:val="800080"/>
      <w:u w:val="single"/>
    </w:rPr>
  </w:style>
  <w:style w:type="paragraph" w:styleId="TtulodeTDC">
    <w:name w:val="TOC Heading"/>
    <w:basedOn w:val="Ttulo1"/>
    <w:next w:val="Normal"/>
    <w:uiPriority w:val="99"/>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83"/>
      </w:numPr>
    </w:pPr>
  </w:style>
  <w:style w:type="numbering" w:customStyle="1" w:styleId="Sinlista1">
    <w:name w:val="Sin lista1"/>
    <w:next w:val="Sinlista"/>
    <w:semiHidden/>
    <w:rsid w:val="002773F6"/>
  </w:style>
  <w:style w:type="paragraph" w:customStyle="1" w:styleId="Textoindependiente22">
    <w:name w:val="Texto independiente 22"/>
    <w:basedOn w:val="Normal"/>
    <w:rsid w:val="002773F6"/>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2773F6"/>
    <w:pPr>
      <w:ind w:left="2268" w:hanging="425"/>
      <w:jc w:val="both"/>
    </w:pPr>
    <w:rPr>
      <w:sz w:val="22"/>
    </w:rPr>
  </w:style>
  <w:style w:type="paragraph" w:customStyle="1" w:styleId="Sangra3detindependiente2">
    <w:name w:val="Sangría 3 de t. independiente2"/>
    <w:basedOn w:val="Normal"/>
    <w:rsid w:val="002773F6"/>
    <w:pPr>
      <w:ind w:left="2552"/>
      <w:jc w:val="both"/>
    </w:pPr>
    <w:rPr>
      <w:sz w:val="22"/>
    </w:rPr>
  </w:style>
  <w:style w:type="paragraph" w:customStyle="1" w:styleId="Mapadeldocumento2">
    <w:name w:val="Mapa del documento2"/>
    <w:basedOn w:val="Normal"/>
    <w:rsid w:val="002773F6"/>
    <w:pPr>
      <w:shd w:val="clear" w:color="auto" w:fill="000080"/>
    </w:pPr>
    <w:rPr>
      <w:rFonts w:ascii="Tahoma" w:hAnsi="Tahoma"/>
    </w:rPr>
  </w:style>
  <w:style w:type="paragraph" w:customStyle="1" w:styleId="Textoindependiente32">
    <w:name w:val="Texto independiente 32"/>
    <w:basedOn w:val="Normal"/>
    <w:rsid w:val="002773F6"/>
    <w:rPr>
      <w:sz w:val="24"/>
    </w:rPr>
  </w:style>
  <w:style w:type="paragraph" w:customStyle="1" w:styleId="Textosinformato2">
    <w:name w:val="Texto sin formato2"/>
    <w:basedOn w:val="Normal"/>
    <w:rsid w:val="002773F6"/>
    <w:rPr>
      <w:rFonts w:ascii="Courier New" w:hAnsi="Courier New"/>
      <w:lang w:val="en-GB"/>
    </w:rPr>
  </w:style>
  <w:style w:type="table" w:customStyle="1" w:styleId="Tablaconcuadrcula1">
    <w:name w:val="Tabla con cuadrícula1"/>
    <w:basedOn w:val="Tablanormal"/>
    <w:next w:val="Tablaconcuadrcula"/>
    <w:rsid w:val="002773F6"/>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basedOn w:val="Fuentedeprrafopredeter"/>
    <w:uiPriority w:val="99"/>
    <w:rsid w:val="002773F6"/>
    <w:rPr>
      <w:rFonts w:ascii="Arial" w:hAnsi="Arial"/>
      <w:sz w:val="22"/>
      <w:lang w:val="es-ES_tradnl" w:eastAsia="zh-CN" w:bidi="ar-SA"/>
    </w:rPr>
  </w:style>
  <w:style w:type="paragraph" w:customStyle="1" w:styleId="Prrafodelista3">
    <w:name w:val="Párrafo de lista3"/>
    <w:basedOn w:val="Normal"/>
    <w:qFormat/>
    <w:rsid w:val="002773F6"/>
    <w:pPr>
      <w:ind w:left="720"/>
      <w:contextualSpacing/>
    </w:pPr>
  </w:style>
  <w:style w:type="character" w:customStyle="1" w:styleId="TextonotapieCar">
    <w:name w:val="Texto nota pie Car"/>
    <w:basedOn w:val="Fuentedeprrafopredeter"/>
    <w:link w:val="Textonotapie"/>
    <w:uiPriority w:val="99"/>
    <w:rsid w:val="002773F6"/>
    <w:rPr>
      <w:lang w:eastAsia="zh-CN"/>
    </w:rPr>
  </w:style>
  <w:style w:type="character" w:customStyle="1" w:styleId="FooterChar">
    <w:name w:val="Footer Char"/>
    <w:basedOn w:val="Fuentedeprrafopredeter"/>
    <w:locked/>
    <w:rsid w:val="002773F6"/>
    <w:rPr>
      <w:rFonts w:ascii="Arial" w:hAnsi="Arial" w:cs="Times New Roman"/>
      <w:sz w:val="22"/>
      <w:lang w:val="es-ES_tradnl" w:eastAsia="zh-CN" w:bidi="ar-SA"/>
    </w:rPr>
  </w:style>
  <w:style w:type="character" w:customStyle="1" w:styleId="Ttulo1Car">
    <w:name w:val="Título 1 Car"/>
    <w:basedOn w:val="Fuentedeprrafopredeter"/>
    <w:link w:val="Ttulo1"/>
    <w:uiPriority w:val="99"/>
    <w:locked/>
    <w:rsid w:val="00C262EA"/>
    <w:rPr>
      <w:b/>
      <w:sz w:val="32"/>
      <w:lang w:val="es-ES_tradnl" w:eastAsia="zh-CN"/>
    </w:rPr>
  </w:style>
  <w:style w:type="character" w:customStyle="1" w:styleId="Ttulo2Car">
    <w:name w:val="Título 2 Car"/>
    <w:basedOn w:val="Fuentedeprrafopredeter"/>
    <w:link w:val="Ttulo2"/>
    <w:uiPriority w:val="99"/>
    <w:locked/>
    <w:rsid w:val="00C262EA"/>
    <w:rPr>
      <w:b/>
      <w:sz w:val="24"/>
      <w:lang w:eastAsia="zh-CN"/>
    </w:rPr>
  </w:style>
  <w:style w:type="character" w:customStyle="1" w:styleId="Ttulo3Car">
    <w:name w:val="Título 3 Car"/>
    <w:basedOn w:val="Fuentedeprrafopredeter"/>
    <w:link w:val="Ttulo3"/>
    <w:uiPriority w:val="99"/>
    <w:locked/>
    <w:rsid w:val="00C262EA"/>
    <w:rPr>
      <w:b/>
      <w:sz w:val="24"/>
      <w:lang w:val="es-ES_tradnl" w:eastAsia="zh-CN"/>
    </w:rPr>
  </w:style>
  <w:style w:type="character" w:customStyle="1" w:styleId="Ttulo4Car">
    <w:name w:val="Título 4 Car"/>
    <w:basedOn w:val="Fuentedeprrafopredeter"/>
    <w:link w:val="Ttulo4"/>
    <w:uiPriority w:val="99"/>
    <w:locked/>
    <w:rsid w:val="00C262EA"/>
    <w:rPr>
      <w:b/>
      <w:sz w:val="28"/>
      <w:lang w:eastAsia="zh-CN"/>
    </w:rPr>
  </w:style>
  <w:style w:type="character" w:customStyle="1" w:styleId="Ttulo5Car">
    <w:name w:val="Título 5 Car"/>
    <w:basedOn w:val="Fuentedeprrafopredeter"/>
    <w:link w:val="Ttulo5"/>
    <w:uiPriority w:val="99"/>
    <w:locked/>
    <w:rsid w:val="00C262EA"/>
    <w:rPr>
      <w:sz w:val="24"/>
      <w:lang w:eastAsia="zh-CN"/>
    </w:rPr>
  </w:style>
  <w:style w:type="character" w:customStyle="1" w:styleId="Ttulo6Car">
    <w:name w:val="Título 6 Car"/>
    <w:basedOn w:val="Fuentedeprrafopredeter"/>
    <w:link w:val="Ttulo6"/>
    <w:uiPriority w:val="99"/>
    <w:locked/>
    <w:rsid w:val="00C262EA"/>
    <w:rPr>
      <w:lang w:eastAsia="zh-CN"/>
    </w:rPr>
  </w:style>
  <w:style w:type="character" w:customStyle="1" w:styleId="Ttulo7Car">
    <w:name w:val="Título 7 Car"/>
    <w:basedOn w:val="Fuentedeprrafopredeter"/>
    <w:link w:val="Ttulo7"/>
    <w:uiPriority w:val="99"/>
    <w:locked/>
    <w:rsid w:val="00C262EA"/>
    <w:rPr>
      <w:lang w:eastAsia="zh-CN"/>
    </w:rPr>
  </w:style>
  <w:style w:type="character" w:customStyle="1" w:styleId="Ttulo8Car">
    <w:name w:val="Título 8 Car"/>
    <w:basedOn w:val="Fuentedeprrafopredeter"/>
    <w:link w:val="Ttulo8"/>
    <w:uiPriority w:val="99"/>
    <w:locked/>
    <w:rsid w:val="00C262EA"/>
    <w:rPr>
      <w:lang w:eastAsia="zh-CN"/>
    </w:rPr>
  </w:style>
  <w:style w:type="character" w:customStyle="1" w:styleId="Ttulo9Car">
    <w:name w:val="Título 9 Car"/>
    <w:basedOn w:val="Fuentedeprrafopredeter"/>
    <w:link w:val="Ttulo9"/>
    <w:uiPriority w:val="99"/>
    <w:locked/>
    <w:rsid w:val="00C262EA"/>
    <w:rPr>
      <w:lang w:eastAsia="zh-CN"/>
    </w:rPr>
  </w:style>
  <w:style w:type="character" w:customStyle="1" w:styleId="TextoindependienteCar">
    <w:name w:val="Texto independiente Car"/>
    <w:aliases w:val="Body Text 31 Car"/>
    <w:basedOn w:val="Fuentedeprrafopredeter"/>
    <w:link w:val="Textoindependiente"/>
    <w:uiPriority w:val="99"/>
    <w:locked/>
    <w:rsid w:val="00C262EA"/>
    <w:rPr>
      <w:rFonts w:ascii="Arial" w:hAnsi="Arial"/>
      <w:sz w:val="22"/>
      <w:lang w:val="es-ES_tradnl" w:eastAsia="zh-CN"/>
    </w:rPr>
  </w:style>
  <w:style w:type="character" w:customStyle="1" w:styleId="HeaderChar">
    <w:name w:val="Header Char"/>
    <w:basedOn w:val="Fuentedeprrafopredeter"/>
    <w:uiPriority w:val="99"/>
    <w:semiHidden/>
    <w:locked/>
    <w:rsid w:val="00C262EA"/>
    <w:rPr>
      <w:rFonts w:cs="Times New Roman"/>
    </w:rPr>
  </w:style>
  <w:style w:type="character" w:customStyle="1" w:styleId="Sangra2detindependienteCar">
    <w:name w:val="Sangría 2 de t. independiente Car"/>
    <w:basedOn w:val="Fuentedeprrafopredeter"/>
    <w:link w:val="Sangra2detindependiente"/>
    <w:uiPriority w:val="99"/>
    <w:locked/>
    <w:rsid w:val="00C262EA"/>
    <w:rPr>
      <w:sz w:val="22"/>
      <w:lang w:eastAsia="zh-CN"/>
    </w:rPr>
  </w:style>
  <w:style w:type="character" w:customStyle="1" w:styleId="Sangra3detindependienteCar">
    <w:name w:val="Sangría 3 de t. independiente Car"/>
    <w:basedOn w:val="Fuentedeprrafopredeter"/>
    <w:link w:val="Sangra3detindependiente"/>
    <w:uiPriority w:val="99"/>
    <w:locked/>
    <w:rsid w:val="00C262EA"/>
    <w:rPr>
      <w:sz w:val="22"/>
      <w:lang w:eastAsia="zh-CN"/>
    </w:rPr>
  </w:style>
  <w:style w:type="character" w:customStyle="1" w:styleId="Textoindependiente2Car">
    <w:name w:val="Texto independiente 2 Car"/>
    <w:basedOn w:val="Fuentedeprrafopredeter"/>
    <w:link w:val="Textoindependiente2"/>
    <w:uiPriority w:val="99"/>
    <w:locked/>
    <w:rsid w:val="00C262EA"/>
    <w:rPr>
      <w:rFonts w:ascii="Arial" w:hAnsi="Arial"/>
      <w:b/>
      <w:sz w:val="48"/>
      <w:shd w:val="clear" w:color="0000FF" w:fill="auto"/>
      <w:lang w:eastAsia="zh-CN"/>
    </w:rPr>
  </w:style>
  <w:style w:type="character" w:customStyle="1" w:styleId="MapadeldocumentoCar">
    <w:name w:val="Mapa del documento Car"/>
    <w:basedOn w:val="Fuentedeprrafopredeter"/>
    <w:link w:val="Mapadeldocumento"/>
    <w:uiPriority w:val="99"/>
    <w:semiHidden/>
    <w:locked/>
    <w:rsid w:val="00C262EA"/>
    <w:rPr>
      <w:rFonts w:ascii="Tahoma" w:hAnsi="Tahoma" w:cs="Tahoma"/>
      <w:shd w:val="clear" w:color="auto" w:fill="000080"/>
      <w:lang w:eastAsia="zh-CN"/>
    </w:rPr>
  </w:style>
  <w:style w:type="character" w:customStyle="1" w:styleId="TextodegloboCar">
    <w:name w:val="Texto de globo Car"/>
    <w:basedOn w:val="Fuentedeprrafopredeter"/>
    <w:link w:val="Textodeglobo"/>
    <w:uiPriority w:val="99"/>
    <w:semiHidden/>
    <w:locked/>
    <w:rsid w:val="00C262EA"/>
    <w:rPr>
      <w:rFonts w:ascii="Tahoma" w:hAnsi="Tahoma" w:cs="Tahoma"/>
      <w:sz w:val="16"/>
      <w:szCs w:val="16"/>
      <w:lang w:eastAsia="zh-CN"/>
    </w:rPr>
  </w:style>
  <w:style w:type="character" w:customStyle="1" w:styleId="TextosinformatoCar">
    <w:name w:val="Texto sin formato Car"/>
    <w:basedOn w:val="Fuentedeprrafopredeter"/>
    <w:link w:val="Textosinformato"/>
    <w:uiPriority w:val="99"/>
    <w:locked/>
    <w:rsid w:val="00C262EA"/>
    <w:rPr>
      <w:rFonts w:ascii="Courier New" w:hAnsi="Courier New"/>
      <w:lang w:val="en-GB" w:eastAsia="en-US"/>
    </w:rPr>
  </w:style>
  <w:style w:type="character" w:customStyle="1" w:styleId="TtuloCar">
    <w:name w:val="Título Car"/>
    <w:basedOn w:val="Fuentedeprrafopredeter"/>
    <w:link w:val="Ttulo"/>
    <w:uiPriority w:val="99"/>
    <w:locked/>
    <w:rsid w:val="00C262EA"/>
    <w:rPr>
      <w:rFonts w:ascii="Arial" w:hAnsi="Arial"/>
      <w:b/>
      <w:sz w:val="32"/>
      <w:lang w:eastAsia="en-US"/>
    </w:rPr>
  </w:style>
  <w:style w:type="character" w:customStyle="1" w:styleId="TextocomentarioCar">
    <w:name w:val="Texto comentario Car"/>
    <w:basedOn w:val="Fuentedeprrafopredeter"/>
    <w:link w:val="Textocomentario"/>
    <w:uiPriority w:val="99"/>
    <w:semiHidden/>
    <w:locked/>
    <w:rsid w:val="00C262EA"/>
    <w:rPr>
      <w:lang w:eastAsia="zh-CN"/>
    </w:rPr>
  </w:style>
  <w:style w:type="character" w:customStyle="1" w:styleId="AsuntodelcomentarioCar">
    <w:name w:val="Asunto del comentario Car"/>
    <w:basedOn w:val="TextocomentarioCar"/>
    <w:link w:val="Asuntodelcomentario"/>
    <w:uiPriority w:val="99"/>
    <w:semiHidden/>
    <w:locked/>
    <w:rsid w:val="00C262EA"/>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page number" w:uiPriority="99"/>
    <w:lsdException w:name="Title" w:uiPriority="99" w:qFormat="1"/>
    <w:lsdException w:name="Default Paragraph Font" w:uiPriority="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link w:val="Ttulo1Car"/>
    <w:uiPriority w:val="99"/>
    <w:qFormat/>
    <w:rsid w:val="00540439"/>
    <w:pPr>
      <w:keepNext/>
      <w:jc w:val="center"/>
      <w:outlineLvl w:val="0"/>
    </w:pPr>
    <w:rPr>
      <w:b/>
      <w:sz w:val="32"/>
      <w:lang w:val="es-ES_tradnl"/>
    </w:rPr>
  </w:style>
  <w:style w:type="paragraph" w:styleId="Ttulo2">
    <w:name w:val="heading 2"/>
    <w:basedOn w:val="Normal"/>
    <w:next w:val="Normal"/>
    <w:link w:val="Ttulo2Car"/>
    <w:uiPriority w:val="99"/>
    <w:qFormat/>
    <w:rsid w:val="00540439"/>
    <w:pPr>
      <w:keepNext/>
      <w:jc w:val="center"/>
      <w:outlineLvl w:val="1"/>
    </w:pPr>
    <w:rPr>
      <w:b/>
      <w:sz w:val="24"/>
    </w:rPr>
  </w:style>
  <w:style w:type="paragraph" w:styleId="Ttulo3">
    <w:name w:val="heading 3"/>
    <w:basedOn w:val="Normal"/>
    <w:next w:val="Normal"/>
    <w:link w:val="Ttulo3Car"/>
    <w:uiPriority w:val="99"/>
    <w:qFormat/>
    <w:rsid w:val="00540439"/>
    <w:pPr>
      <w:keepNext/>
      <w:jc w:val="center"/>
      <w:outlineLvl w:val="2"/>
    </w:pPr>
    <w:rPr>
      <w:b/>
      <w:sz w:val="24"/>
      <w:lang w:val="es-ES_tradnl"/>
    </w:rPr>
  </w:style>
  <w:style w:type="paragraph" w:styleId="Ttulo4">
    <w:name w:val="heading 4"/>
    <w:basedOn w:val="Normal"/>
    <w:next w:val="Normal"/>
    <w:link w:val="Ttulo4Car"/>
    <w:uiPriority w:val="99"/>
    <w:qFormat/>
    <w:rsid w:val="00540439"/>
    <w:pPr>
      <w:keepNext/>
      <w:jc w:val="both"/>
      <w:outlineLvl w:val="3"/>
    </w:pPr>
    <w:rPr>
      <w:b/>
      <w:sz w:val="28"/>
    </w:rPr>
  </w:style>
  <w:style w:type="paragraph" w:styleId="Ttulo5">
    <w:name w:val="heading 5"/>
    <w:basedOn w:val="Normal"/>
    <w:next w:val="Normal"/>
    <w:link w:val="Ttulo5Car"/>
    <w:uiPriority w:val="99"/>
    <w:qFormat/>
    <w:rsid w:val="00540439"/>
    <w:pPr>
      <w:keepNext/>
      <w:jc w:val="both"/>
      <w:outlineLvl w:val="4"/>
    </w:pPr>
    <w:rPr>
      <w:sz w:val="24"/>
    </w:rPr>
  </w:style>
  <w:style w:type="paragraph" w:styleId="Ttulo6">
    <w:name w:val="heading 6"/>
    <w:basedOn w:val="Normal"/>
    <w:next w:val="Normal"/>
    <w:link w:val="Ttulo6Car"/>
    <w:uiPriority w:val="99"/>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link w:val="Ttulo7Car"/>
    <w:uiPriority w:val="99"/>
    <w:qFormat/>
    <w:rsid w:val="00540439"/>
    <w:pPr>
      <w:keepNext/>
      <w:jc w:val="both"/>
      <w:outlineLvl w:val="6"/>
    </w:pPr>
  </w:style>
  <w:style w:type="paragraph" w:styleId="Ttulo8">
    <w:name w:val="heading 8"/>
    <w:basedOn w:val="Normal"/>
    <w:next w:val="Normal"/>
    <w:link w:val="Ttulo8Car"/>
    <w:uiPriority w:val="99"/>
    <w:qFormat/>
    <w:rsid w:val="00540439"/>
    <w:pPr>
      <w:keepNext/>
      <w:ind w:left="1701" w:hanging="567"/>
      <w:outlineLvl w:val="7"/>
    </w:pPr>
  </w:style>
  <w:style w:type="paragraph" w:styleId="Ttulo9">
    <w:name w:val="heading 9"/>
    <w:basedOn w:val="Normal"/>
    <w:next w:val="Normal"/>
    <w:link w:val="Ttulo9Car"/>
    <w:uiPriority w:val="99"/>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uiPriority w:val="99"/>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link w:val="TextoindependienteCar"/>
    <w:uiPriority w:val="99"/>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uiPriority w:val="99"/>
    <w:rsid w:val="00540439"/>
    <w:pPr>
      <w:ind w:left="2268" w:hanging="425"/>
      <w:jc w:val="both"/>
    </w:pPr>
    <w:rPr>
      <w:sz w:val="22"/>
    </w:rPr>
  </w:style>
  <w:style w:type="paragraph" w:customStyle="1" w:styleId="Sangra3detindependiente1">
    <w:name w:val="Sangría 3 de t. independiente1"/>
    <w:basedOn w:val="Normal"/>
    <w:uiPriority w:val="99"/>
    <w:rsid w:val="00540439"/>
    <w:pPr>
      <w:ind w:left="2552"/>
      <w:jc w:val="both"/>
    </w:pPr>
    <w:rPr>
      <w:sz w:val="22"/>
    </w:rPr>
  </w:style>
  <w:style w:type="character" w:styleId="Nmerodepgina">
    <w:name w:val="page number"/>
    <w:basedOn w:val="Fuentedeprrafopredeter"/>
    <w:uiPriority w:val="99"/>
    <w:rsid w:val="00540439"/>
  </w:style>
  <w:style w:type="paragraph" w:styleId="Encabezado">
    <w:name w:val="header"/>
    <w:basedOn w:val="Normal"/>
    <w:link w:val="EncabezadoCar"/>
    <w:uiPriority w:val="99"/>
    <w:rsid w:val="00540439"/>
    <w:pPr>
      <w:tabs>
        <w:tab w:val="center" w:pos="4252"/>
        <w:tab w:val="right" w:pos="8504"/>
      </w:tabs>
    </w:pPr>
    <w:rPr>
      <w:rFonts w:ascii="Arial" w:hAnsi="Arial"/>
      <w:sz w:val="22"/>
      <w:lang w:val="es-ES_tradnl"/>
    </w:rPr>
  </w:style>
  <w:style w:type="character" w:customStyle="1" w:styleId="EncabezadoCar">
    <w:name w:val="Encabezado Car"/>
    <w:link w:val="Encabezado"/>
    <w:uiPriority w:val="99"/>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uiPriority w:val="99"/>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uiPriority w:val="99"/>
    <w:rsid w:val="00540439"/>
    <w:pPr>
      <w:shd w:val="clear" w:color="auto" w:fill="000080"/>
    </w:pPr>
    <w:rPr>
      <w:rFonts w:ascii="Tahoma" w:hAnsi="Tahoma"/>
    </w:rPr>
  </w:style>
  <w:style w:type="paragraph" w:styleId="TDC1">
    <w:name w:val="toc 1"/>
    <w:basedOn w:val="Normal"/>
    <w:next w:val="Normal"/>
    <w:uiPriority w:val="99"/>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uiPriority w:val="99"/>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uiPriority w:val="99"/>
    <w:rsid w:val="00540439"/>
    <w:pPr>
      <w:tabs>
        <w:tab w:val="clear" w:pos="567"/>
        <w:tab w:val="clear" w:pos="1134"/>
        <w:tab w:val="clear" w:pos="1701"/>
        <w:tab w:val="clear" w:pos="2268"/>
        <w:tab w:val="clear" w:pos="2835"/>
      </w:tabs>
      <w:ind w:left="400"/>
    </w:pPr>
  </w:style>
  <w:style w:type="paragraph" w:styleId="TDC4">
    <w:name w:val="toc 4"/>
    <w:basedOn w:val="Normal"/>
    <w:next w:val="Normal"/>
    <w:uiPriority w:val="99"/>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uiPriority w:val="99"/>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uiPriority w:val="99"/>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uiPriority w:val="99"/>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uiPriority w:val="99"/>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uiPriority w:val="99"/>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uiPriority w:val="99"/>
    <w:rsid w:val="00540439"/>
    <w:pPr>
      <w:jc w:val="both"/>
    </w:pPr>
    <w:rPr>
      <w:sz w:val="24"/>
    </w:rPr>
  </w:style>
  <w:style w:type="paragraph" w:customStyle="1" w:styleId="Textoindependiente31">
    <w:name w:val="Texto independiente 31"/>
    <w:basedOn w:val="Normal"/>
    <w:uiPriority w:val="99"/>
    <w:rsid w:val="00540439"/>
    <w:rPr>
      <w:sz w:val="24"/>
    </w:rPr>
  </w:style>
  <w:style w:type="paragraph" w:customStyle="1" w:styleId="Textosinformato1">
    <w:name w:val="Texto sin formato1"/>
    <w:basedOn w:val="Normal"/>
    <w:uiPriority w:val="99"/>
    <w:rsid w:val="00540439"/>
    <w:rPr>
      <w:rFonts w:ascii="Courier New" w:hAnsi="Courier New"/>
      <w:lang w:val="en-GB"/>
    </w:rPr>
  </w:style>
  <w:style w:type="paragraph" w:styleId="ndice1">
    <w:name w:val="index 1"/>
    <w:basedOn w:val="Normal"/>
    <w:next w:val="Normal"/>
    <w:uiPriority w:val="99"/>
    <w:semiHidden/>
    <w:rsid w:val="00540439"/>
    <w:pPr>
      <w:ind w:left="200" w:hanging="200"/>
    </w:pPr>
    <w:rPr>
      <w:sz w:val="18"/>
    </w:rPr>
  </w:style>
  <w:style w:type="paragraph" w:styleId="ndice2">
    <w:name w:val="index 2"/>
    <w:basedOn w:val="Normal"/>
    <w:next w:val="Normal"/>
    <w:uiPriority w:val="99"/>
    <w:semiHidden/>
    <w:rsid w:val="00540439"/>
    <w:pPr>
      <w:ind w:left="400" w:hanging="200"/>
    </w:pPr>
    <w:rPr>
      <w:sz w:val="18"/>
    </w:rPr>
  </w:style>
  <w:style w:type="paragraph" w:styleId="ndice3">
    <w:name w:val="index 3"/>
    <w:basedOn w:val="Normal"/>
    <w:next w:val="Normal"/>
    <w:uiPriority w:val="99"/>
    <w:semiHidden/>
    <w:rsid w:val="00540439"/>
    <w:pPr>
      <w:ind w:left="600" w:hanging="200"/>
    </w:pPr>
    <w:rPr>
      <w:sz w:val="18"/>
    </w:rPr>
  </w:style>
  <w:style w:type="paragraph" w:styleId="ndice4">
    <w:name w:val="index 4"/>
    <w:basedOn w:val="Normal"/>
    <w:next w:val="Normal"/>
    <w:uiPriority w:val="99"/>
    <w:semiHidden/>
    <w:rsid w:val="00540439"/>
    <w:pPr>
      <w:ind w:left="800" w:hanging="200"/>
    </w:pPr>
    <w:rPr>
      <w:sz w:val="18"/>
    </w:rPr>
  </w:style>
  <w:style w:type="paragraph" w:styleId="ndice5">
    <w:name w:val="index 5"/>
    <w:basedOn w:val="Normal"/>
    <w:next w:val="Normal"/>
    <w:uiPriority w:val="99"/>
    <w:semiHidden/>
    <w:rsid w:val="00540439"/>
    <w:pPr>
      <w:ind w:left="1000" w:hanging="200"/>
    </w:pPr>
    <w:rPr>
      <w:sz w:val="18"/>
    </w:rPr>
  </w:style>
  <w:style w:type="paragraph" w:styleId="ndice6">
    <w:name w:val="index 6"/>
    <w:basedOn w:val="Normal"/>
    <w:next w:val="Normal"/>
    <w:uiPriority w:val="99"/>
    <w:semiHidden/>
    <w:rsid w:val="00540439"/>
    <w:pPr>
      <w:ind w:left="1200" w:hanging="200"/>
    </w:pPr>
    <w:rPr>
      <w:sz w:val="18"/>
    </w:rPr>
  </w:style>
  <w:style w:type="paragraph" w:styleId="ndice7">
    <w:name w:val="index 7"/>
    <w:basedOn w:val="Normal"/>
    <w:next w:val="Normal"/>
    <w:uiPriority w:val="99"/>
    <w:semiHidden/>
    <w:rsid w:val="00540439"/>
    <w:pPr>
      <w:ind w:left="1400" w:hanging="200"/>
    </w:pPr>
    <w:rPr>
      <w:sz w:val="18"/>
    </w:rPr>
  </w:style>
  <w:style w:type="paragraph" w:styleId="ndice8">
    <w:name w:val="index 8"/>
    <w:basedOn w:val="Normal"/>
    <w:next w:val="Normal"/>
    <w:uiPriority w:val="99"/>
    <w:semiHidden/>
    <w:rsid w:val="00540439"/>
    <w:pPr>
      <w:ind w:left="1600" w:hanging="200"/>
    </w:pPr>
    <w:rPr>
      <w:sz w:val="18"/>
    </w:rPr>
  </w:style>
  <w:style w:type="paragraph" w:styleId="ndice9">
    <w:name w:val="index 9"/>
    <w:basedOn w:val="Normal"/>
    <w:next w:val="Normal"/>
    <w:uiPriority w:val="99"/>
    <w:semiHidden/>
    <w:rsid w:val="00540439"/>
    <w:pPr>
      <w:ind w:left="1800" w:hanging="200"/>
    </w:pPr>
    <w:rPr>
      <w:sz w:val="18"/>
    </w:rPr>
  </w:style>
  <w:style w:type="paragraph" w:styleId="Ttulodendice">
    <w:name w:val="index heading"/>
    <w:basedOn w:val="Normal"/>
    <w:next w:val="ndice1"/>
    <w:uiPriority w:val="99"/>
    <w:semiHidden/>
    <w:rsid w:val="00540439"/>
    <w:pPr>
      <w:spacing w:before="240" w:after="120"/>
      <w:jc w:val="center"/>
    </w:pPr>
    <w:rPr>
      <w:b/>
      <w:sz w:val="26"/>
    </w:rPr>
  </w:style>
  <w:style w:type="paragraph" w:styleId="Sangradetextonormal">
    <w:name w:val="Body Text Indent"/>
    <w:basedOn w:val="Normal"/>
    <w:link w:val="SangradetextonormalCar"/>
    <w:uiPriority w:val="99"/>
    <w:rsid w:val="00540439"/>
    <w:pPr>
      <w:ind w:left="567" w:hanging="567"/>
      <w:jc w:val="both"/>
    </w:pPr>
    <w:rPr>
      <w:sz w:val="22"/>
    </w:rPr>
  </w:style>
  <w:style w:type="character" w:customStyle="1" w:styleId="SangradetextonormalCar">
    <w:name w:val="Sangría de texto normal Car"/>
    <w:link w:val="Sangradetextonormal"/>
    <w:uiPriority w:val="99"/>
    <w:semiHidden/>
    <w:rsid w:val="00411F07"/>
    <w:rPr>
      <w:sz w:val="22"/>
      <w:lang w:val="es-PE" w:eastAsia="zh-CN" w:bidi="ar-SA"/>
    </w:rPr>
  </w:style>
  <w:style w:type="paragraph" w:styleId="Sangra2detindependiente">
    <w:name w:val="Body Text Indent 2"/>
    <w:basedOn w:val="Normal"/>
    <w:link w:val="Sangra2detindependienteCar"/>
    <w:uiPriority w:val="99"/>
    <w:rsid w:val="00540439"/>
    <w:pPr>
      <w:ind w:left="1134"/>
      <w:jc w:val="both"/>
    </w:pPr>
    <w:rPr>
      <w:sz w:val="22"/>
    </w:rPr>
  </w:style>
  <w:style w:type="paragraph" w:styleId="Sangra3detindependiente">
    <w:name w:val="Body Text Indent 3"/>
    <w:basedOn w:val="Normal"/>
    <w:link w:val="Sangra3detindependienteCar"/>
    <w:uiPriority w:val="99"/>
    <w:rsid w:val="00540439"/>
    <w:pPr>
      <w:tabs>
        <w:tab w:val="left" w:pos="1287"/>
      </w:tabs>
      <w:ind w:left="1276" w:hanging="709"/>
      <w:jc w:val="both"/>
    </w:pPr>
    <w:rPr>
      <w:sz w:val="22"/>
    </w:rPr>
  </w:style>
  <w:style w:type="paragraph" w:styleId="Textodebloque">
    <w:name w:val="Block Text"/>
    <w:basedOn w:val="Normal"/>
    <w:uiPriority w:val="99"/>
    <w:rsid w:val="00540439"/>
    <w:pPr>
      <w:ind w:left="851" w:right="652"/>
      <w:jc w:val="center"/>
    </w:pPr>
    <w:rPr>
      <w:b/>
      <w:sz w:val="24"/>
    </w:rPr>
  </w:style>
  <w:style w:type="paragraph" w:styleId="Textoindependiente2">
    <w:name w:val="Body Text 2"/>
    <w:basedOn w:val="Normal"/>
    <w:link w:val="Textoindependiente2Car"/>
    <w:uiPriority w:val="99"/>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link w:val="MapadeldocumentoCar"/>
    <w:uiPriority w:val="99"/>
    <w:semiHidden/>
    <w:rsid w:val="00540439"/>
    <w:pPr>
      <w:shd w:val="clear" w:color="auto" w:fill="000080"/>
    </w:pPr>
    <w:rPr>
      <w:rFonts w:ascii="Tahoma" w:hAnsi="Tahoma" w:cs="Tahoma"/>
    </w:rPr>
  </w:style>
  <w:style w:type="paragraph" w:styleId="Textodeglobo">
    <w:name w:val="Balloon Text"/>
    <w:basedOn w:val="Normal"/>
    <w:link w:val="TextodegloboCar"/>
    <w:uiPriority w:val="99"/>
    <w:semiHidden/>
    <w:rsid w:val="00540439"/>
    <w:rPr>
      <w:rFonts w:ascii="Tahoma" w:hAnsi="Tahoma" w:cs="Tahoma"/>
      <w:sz w:val="16"/>
      <w:szCs w:val="16"/>
    </w:rPr>
  </w:style>
  <w:style w:type="paragraph" w:styleId="Textoindependiente3">
    <w:name w:val="Body Text 3"/>
    <w:basedOn w:val="Normal"/>
    <w:link w:val="Textoindependiente3Car"/>
    <w:uiPriority w:val="99"/>
    <w:rsid w:val="00540439"/>
    <w:pPr>
      <w:spacing w:after="120"/>
    </w:pPr>
    <w:rPr>
      <w:sz w:val="16"/>
      <w:szCs w:val="16"/>
    </w:rPr>
  </w:style>
  <w:style w:type="character" w:customStyle="1" w:styleId="Textoindependiente3Car">
    <w:name w:val="Texto independiente 3 Car"/>
    <w:link w:val="Textoindependiente3"/>
    <w:uiPriority w:val="99"/>
    <w:semiHidden/>
    <w:rsid w:val="00411F07"/>
    <w:rPr>
      <w:sz w:val="16"/>
      <w:szCs w:val="16"/>
      <w:lang w:val="es-PE" w:eastAsia="zh-CN" w:bidi="ar-SA"/>
    </w:rPr>
  </w:style>
  <w:style w:type="paragraph" w:styleId="Textosinformato">
    <w:name w:val="Plain Text"/>
    <w:basedOn w:val="Normal"/>
    <w:link w:val="TextosinformatoCar"/>
    <w:uiPriority w:val="99"/>
    <w:rsid w:val="00540439"/>
    <w:rPr>
      <w:rFonts w:ascii="Courier New" w:hAnsi="Courier New"/>
      <w:lang w:val="en-GB" w:eastAsia="en-US"/>
    </w:rPr>
  </w:style>
  <w:style w:type="paragraph" w:styleId="Ttulo">
    <w:name w:val="Title"/>
    <w:basedOn w:val="Normal"/>
    <w:link w:val="TtuloCar"/>
    <w:uiPriority w:val="99"/>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uiPriority w:val="99"/>
    <w:semiHidden/>
    <w:rsid w:val="00540439"/>
    <w:rPr>
      <w:sz w:val="16"/>
      <w:szCs w:val="16"/>
    </w:rPr>
  </w:style>
  <w:style w:type="paragraph" w:styleId="Textocomentario">
    <w:name w:val="annotation text"/>
    <w:basedOn w:val="Normal"/>
    <w:link w:val="TextocomentarioCar"/>
    <w:uiPriority w:val="99"/>
    <w:semiHidden/>
    <w:rsid w:val="00540439"/>
  </w:style>
  <w:style w:type="paragraph" w:styleId="Asuntodelcomentario">
    <w:name w:val="annotation subject"/>
    <w:basedOn w:val="Textocomentario"/>
    <w:next w:val="Textocomentario"/>
    <w:link w:val="AsuntodelcomentarioCar"/>
    <w:uiPriority w:val="99"/>
    <w:semiHidden/>
    <w:rsid w:val="00540439"/>
    <w:rPr>
      <w:b/>
      <w:bCs/>
    </w:rPr>
  </w:style>
  <w:style w:type="paragraph" w:styleId="Textonotapie">
    <w:name w:val="footnote text"/>
    <w:basedOn w:val="Normal"/>
    <w:link w:val="TextonotapieCar"/>
    <w:uiPriority w:val="99"/>
    <w:rsid w:val="00540439"/>
  </w:style>
  <w:style w:type="character" w:styleId="Refdenotaalpie">
    <w:name w:val="footnote reference"/>
    <w:uiPriority w:val="99"/>
    <w:semiHidden/>
    <w:rsid w:val="00540439"/>
    <w:rPr>
      <w:vertAlign w:val="superscript"/>
    </w:rPr>
  </w:style>
  <w:style w:type="paragraph" w:customStyle="1" w:styleId="Pelota">
    <w:name w:val="Pelota"/>
    <w:basedOn w:val="Normal"/>
    <w:uiPriority w:val="99"/>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uiPriority w:val="99"/>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uiPriority w:val="99"/>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uiPriority w:val="99"/>
    <w:qFormat/>
    <w:rsid w:val="00D96544"/>
    <w:pPr>
      <w:ind w:left="708"/>
    </w:pPr>
  </w:style>
  <w:style w:type="paragraph" w:styleId="Revisin">
    <w:name w:val="Revision"/>
    <w:hidden/>
    <w:uiPriority w:val="99"/>
    <w:semiHidden/>
    <w:rsid w:val="00D96544"/>
    <w:rPr>
      <w:lang w:eastAsia="zh-CN"/>
    </w:rPr>
  </w:style>
  <w:style w:type="character" w:styleId="Hipervnculo">
    <w:name w:val="Hyperlink"/>
    <w:uiPriority w:val="99"/>
    <w:unhideWhenUsed/>
    <w:rsid w:val="001F1033"/>
    <w:rPr>
      <w:color w:val="0000FF"/>
      <w:u w:val="single"/>
    </w:rPr>
  </w:style>
  <w:style w:type="character" w:styleId="Hipervnculovisitado">
    <w:name w:val="FollowedHyperlink"/>
    <w:uiPriority w:val="99"/>
    <w:rsid w:val="001F1033"/>
    <w:rPr>
      <w:color w:val="800080"/>
      <w:u w:val="single"/>
    </w:rPr>
  </w:style>
  <w:style w:type="paragraph" w:styleId="TtulodeTDC">
    <w:name w:val="TOC Heading"/>
    <w:basedOn w:val="Ttulo1"/>
    <w:next w:val="Normal"/>
    <w:uiPriority w:val="99"/>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83"/>
      </w:numPr>
    </w:pPr>
  </w:style>
  <w:style w:type="numbering" w:customStyle="1" w:styleId="Sinlista1">
    <w:name w:val="Sin lista1"/>
    <w:next w:val="Sinlista"/>
    <w:semiHidden/>
    <w:rsid w:val="002773F6"/>
  </w:style>
  <w:style w:type="paragraph" w:customStyle="1" w:styleId="Textoindependiente22">
    <w:name w:val="Texto independiente 22"/>
    <w:basedOn w:val="Normal"/>
    <w:rsid w:val="002773F6"/>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2773F6"/>
    <w:pPr>
      <w:ind w:left="2268" w:hanging="425"/>
      <w:jc w:val="both"/>
    </w:pPr>
    <w:rPr>
      <w:sz w:val="22"/>
    </w:rPr>
  </w:style>
  <w:style w:type="paragraph" w:customStyle="1" w:styleId="Sangra3detindependiente2">
    <w:name w:val="Sangría 3 de t. independiente2"/>
    <w:basedOn w:val="Normal"/>
    <w:rsid w:val="002773F6"/>
    <w:pPr>
      <w:ind w:left="2552"/>
      <w:jc w:val="both"/>
    </w:pPr>
    <w:rPr>
      <w:sz w:val="22"/>
    </w:rPr>
  </w:style>
  <w:style w:type="paragraph" w:customStyle="1" w:styleId="Mapadeldocumento2">
    <w:name w:val="Mapa del documento2"/>
    <w:basedOn w:val="Normal"/>
    <w:rsid w:val="002773F6"/>
    <w:pPr>
      <w:shd w:val="clear" w:color="auto" w:fill="000080"/>
    </w:pPr>
    <w:rPr>
      <w:rFonts w:ascii="Tahoma" w:hAnsi="Tahoma"/>
    </w:rPr>
  </w:style>
  <w:style w:type="paragraph" w:customStyle="1" w:styleId="Textoindependiente32">
    <w:name w:val="Texto independiente 32"/>
    <w:basedOn w:val="Normal"/>
    <w:rsid w:val="002773F6"/>
    <w:rPr>
      <w:sz w:val="24"/>
    </w:rPr>
  </w:style>
  <w:style w:type="paragraph" w:customStyle="1" w:styleId="Textosinformato2">
    <w:name w:val="Texto sin formato2"/>
    <w:basedOn w:val="Normal"/>
    <w:rsid w:val="002773F6"/>
    <w:rPr>
      <w:rFonts w:ascii="Courier New" w:hAnsi="Courier New"/>
      <w:lang w:val="en-GB"/>
    </w:rPr>
  </w:style>
  <w:style w:type="table" w:customStyle="1" w:styleId="Tablaconcuadrcula1">
    <w:name w:val="Tabla con cuadrícula1"/>
    <w:basedOn w:val="Tablanormal"/>
    <w:next w:val="Tablaconcuadrcula"/>
    <w:rsid w:val="002773F6"/>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basedOn w:val="Fuentedeprrafopredeter"/>
    <w:uiPriority w:val="99"/>
    <w:rsid w:val="002773F6"/>
    <w:rPr>
      <w:rFonts w:ascii="Arial" w:hAnsi="Arial"/>
      <w:sz w:val="22"/>
      <w:lang w:val="es-ES_tradnl" w:eastAsia="zh-CN" w:bidi="ar-SA"/>
    </w:rPr>
  </w:style>
  <w:style w:type="paragraph" w:customStyle="1" w:styleId="Prrafodelista3">
    <w:name w:val="Párrafo de lista3"/>
    <w:basedOn w:val="Normal"/>
    <w:qFormat/>
    <w:rsid w:val="002773F6"/>
    <w:pPr>
      <w:ind w:left="720"/>
      <w:contextualSpacing/>
    </w:pPr>
  </w:style>
  <w:style w:type="character" w:customStyle="1" w:styleId="TextonotapieCar">
    <w:name w:val="Texto nota pie Car"/>
    <w:basedOn w:val="Fuentedeprrafopredeter"/>
    <w:link w:val="Textonotapie"/>
    <w:uiPriority w:val="99"/>
    <w:rsid w:val="002773F6"/>
    <w:rPr>
      <w:lang w:eastAsia="zh-CN"/>
    </w:rPr>
  </w:style>
  <w:style w:type="character" w:customStyle="1" w:styleId="FooterChar">
    <w:name w:val="Footer Char"/>
    <w:basedOn w:val="Fuentedeprrafopredeter"/>
    <w:locked/>
    <w:rsid w:val="002773F6"/>
    <w:rPr>
      <w:rFonts w:ascii="Arial" w:hAnsi="Arial" w:cs="Times New Roman"/>
      <w:sz w:val="22"/>
      <w:lang w:val="es-ES_tradnl" w:eastAsia="zh-CN" w:bidi="ar-SA"/>
    </w:rPr>
  </w:style>
  <w:style w:type="character" w:customStyle="1" w:styleId="Ttulo1Car">
    <w:name w:val="Título 1 Car"/>
    <w:basedOn w:val="Fuentedeprrafopredeter"/>
    <w:link w:val="Ttulo1"/>
    <w:uiPriority w:val="99"/>
    <w:locked/>
    <w:rsid w:val="00C262EA"/>
    <w:rPr>
      <w:b/>
      <w:sz w:val="32"/>
      <w:lang w:val="es-ES_tradnl" w:eastAsia="zh-CN"/>
    </w:rPr>
  </w:style>
  <w:style w:type="character" w:customStyle="1" w:styleId="Ttulo2Car">
    <w:name w:val="Título 2 Car"/>
    <w:basedOn w:val="Fuentedeprrafopredeter"/>
    <w:link w:val="Ttulo2"/>
    <w:uiPriority w:val="99"/>
    <w:locked/>
    <w:rsid w:val="00C262EA"/>
    <w:rPr>
      <w:b/>
      <w:sz w:val="24"/>
      <w:lang w:eastAsia="zh-CN"/>
    </w:rPr>
  </w:style>
  <w:style w:type="character" w:customStyle="1" w:styleId="Ttulo3Car">
    <w:name w:val="Título 3 Car"/>
    <w:basedOn w:val="Fuentedeprrafopredeter"/>
    <w:link w:val="Ttulo3"/>
    <w:uiPriority w:val="99"/>
    <w:locked/>
    <w:rsid w:val="00C262EA"/>
    <w:rPr>
      <w:b/>
      <w:sz w:val="24"/>
      <w:lang w:val="es-ES_tradnl" w:eastAsia="zh-CN"/>
    </w:rPr>
  </w:style>
  <w:style w:type="character" w:customStyle="1" w:styleId="Ttulo4Car">
    <w:name w:val="Título 4 Car"/>
    <w:basedOn w:val="Fuentedeprrafopredeter"/>
    <w:link w:val="Ttulo4"/>
    <w:uiPriority w:val="99"/>
    <w:locked/>
    <w:rsid w:val="00C262EA"/>
    <w:rPr>
      <w:b/>
      <w:sz w:val="28"/>
      <w:lang w:eastAsia="zh-CN"/>
    </w:rPr>
  </w:style>
  <w:style w:type="character" w:customStyle="1" w:styleId="Ttulo5Car">
    <w:name w:val="Título 5 Car"/>
    <w:basedOn w:val="Fuentedeprrafopredeter"/>
    <w:link w:val="Ttulo5"/>
    <w:uiPriority w:val="99"/>
    <w:locked/>
    <w:rsid w:val="00C262EA"/>
    <w:rPr>
      <w:sz w:val="24"/>
      <w:lang w:eastAsia="zh-CN"/>
    </w:rPr>
  </w:style>
  <w:style w:type="character" w:customStyle="1" w:styleId="Ttulo6Car">
    <w:name w:val="Título 6 Car"/>
    <w:basedOn w:val="Fuentedeprrafopredeter"/>
    <w:link w:val="Ttulo6"/>
    <w:uiPriority w:val="99"/>
    <w:locked/>
    <w:rsid w:val="00C262EA"/>
    <w:rPr>
      <w:lang w:eastAsia="zh-CN"/>
    </w:rPr>
  </w:style>
  <w:style w:type="character" w:customStyle="1" w:styleId="Ttulo7Car">
    <w:name w:val="Título 7 Car"/>
    <w:basedOn w:val="Fuentedeprrafopredeter"/>
    <w:link w:val="Ttulo7"/>
    <w:uiPriority w:val="99"/>
    <w:locked/>
    <w:rsid w:val="00C262EA"/>
    <w:rPr>
      <w:lang w:eastAsia="zh-CN"/>
    </w:rPr>
  </w:style>
  <w:style w:type="character" w:customStyle="1" w:styleId="Ttulo8Car">
    <w:name w:val="Título 8 Car"/>
    <w:basedOn w:val="Fuentedeprrafopredeter"/>
    <w:link w:val="Ttulo8"/>
    <w:uiPriority w:val="99"/>
    <w:locked/>
    <w:rsid w:val="00C262EA"/>
    <w:rPr>
      <w:lang w:eastAsia="zh-CN"/>
    </w:rPr>
  </w:style>
  <w:style w:type="character" w:customStyle="1" w:styleId="Ttulo9Car">
    <w:name w:val="Título 9 Car"/>
    <w:basedOn w:val="Fuentedeprrafopredeter"/>
    <w:link w:val="Ttulo9"/>
    <w:uiPriority w:val="99"/>
    <w:locked/>
    <w:rsid w:val="00C262EA"/>
    <w:rPr>
      <w:lang w:eastAsia="zh-CN"/>
    </w:rPr>
  </w:style>
  <w:style w:type="character" w:customStyle="1" w:styleId="TextoindependienteCar">
    <w:name w:val="Texto independiente Car"/>
    <w:aliases w:val="Body Text 31 Car"/>
    <w:basedOn w:val="Fuentedeprrafopredeter"/>
    <w:link w:val="Textoindependiente"/>
    <w:uiPriority w:val="99"/>
    <w:locked/>
    <w:rsid w:val="00C262EA"/>
    <w:rPr>
      <w:rFonts w:ascii="Arial" w:hAnsi="Arial"/>
      <w:sz w:val="22"/>
      <w:lang w:val="es-ES_tradnl" w:eastAsia="zh-CN"/>
    </w:rPr>
  </w:style>
  <w:style w:type="character" w:customStyle="1" w:styleId="HeaderChar">
    <w:name w:val="Header Char"/>
    <w:basedOn w:val="Fuentedeprrafopredeter"/>
    <w:uiPriority w:val="99"/>
    <w:semiHidden/>
    <w:locked/>
    <w:rsid w:val="00C262EA"/>
    <w:rPr>
      <w:rFonts w:cs="Times New Roman"/>
    </w:rPr>
  </w:style>
  <w:style w:type="character" w:customStyle="1" w:styleId="Sangra2detindependienteCar">
    <w:name w:val="Sangría 2 de t. independiente Car"/>
    <w:basedOn w:val="Fuentedeprrafopredeter"/>
    <w:link w:val="Sangra2detindependiente"/>
    <w:uiPriority w:val="99"/>
    <w:locked/>
    <w:rsid w:val="00C262EA"/>
    <w:rPr>
      <w:sz w:val="22"/>
      <w:lang w:eastAsia="zh-CN"/>
    </w:rPr>
  </w:style>
  <w:style w:type="character" w:customStyle="1" w:styleId="Sangra3detindependienteCar">
    <w:name w:val="Sangría 3 de t. independiente Car"/>
    <w:basedOn w:val="Fuentedeprrafopredeter"/>
    <w:link w:val="Sangra3detindependiente"/>
    <w:uiPriority w:val="99"/>
    <w:locked/>
    <w:rsid w:val="00C262EA"/>
    <w:rPr>
      <w:sz w:val="22"/>
      <w:lang w:eastAsia="zh-CN"/>
    </w:rPr>
  </w:style>
  <w:style w:type="character" w:customStyle="1" w:styleId="Textoindependiente2Car">
    <w:name w:val="Texto independiente 2 Car"/>
    <w:basedOn w:val="Fuentedeprrafopredeter"/>
    <w:link w:val="Textoindependiente2"/>
    <w:uiPriority w:val="99"/>
    <w:locked/>
    <w:rsid w:val="00C262EA"/>
    <w:rPr>
      <w:rFonts w:ascii="Arial" w:hAnsi="Arial"/>
      <w:b/>
      <w:sz w:val="48"/>
      <w:shd w:val="clear" w:color="0000FF" w:fill="auto"/>
      <w:lang w:eastAsia="zh-CN"/>
    </w:rPr>
  </w:style>
  <w:style w:type="character" w:customStyle="1" w:styleId="MapadeldocumentoCar">
    <w:name w:val="Mapa del documento Car"/>
    <w:basedOn w:val="Fuentedeprrafopredeter"/>
    <w:link w:val="Mapadeldocumento"/>
    <w:uiPriority w:val="99"/>
    <w:semiHidden/>
    <w:locked/>
    <w:rsid w:val="00C262EA"/>
    <w:rPr>
      <w:rFonts w:ascii="Tahoma" w:hAnsi="Tahoma" w:cs="Tahoma"/>
      <w:shd w:val="clear" w:color="auto" w:fill="000080"/>
      <w:lang w:eastAsia="zh-CN"/>
    </w:rPr>
  </w:style>
  <w:style w:type="character" w:customStyle="1" w:styleId="TextodegloboCar">
    <w:name w:val="Texto de globo Car"/>
    <w:basedOn w:val="Fuentedeprrafopredeter"/>
    <w:link w:val="Textodeglobo"/>
    <w:uiPriority w:val="99"/>
    <w:semiHidden/>
    <w:locked/>
    <w:rsid w:val="00C262EA"/>
    <w:rPr>
      <w:rFonts w:ascii="Tahoma" w:hAnsi="Tahoma" w:cs="Tahoma"/>
      <w:sz w:val="16"/>
      <w:szCs w:val="16"/>
      <w:lang w:eastAsia="zh-CN"/>
    </w:rPr>
  </w:style>
  <w:style w:type="character" w:customStyle="1" w:styleId="TextosinformatoCar">
    <w:name w:val="Texto sin formato Car"/>
    <w:basedOn w:val="Fuentedeprrafopredeter"/>
    <w:link w:val="Textosinformato"/>
    <w:uiPriority w:val="99"/>
    <w:locked/>
    <w:rsid w:val="00C262EA"/>
    <w:rPr>
      <w:rFonts w:ascii="Courier New" w:hAnsi="Courier New"/>
      <w:lang w:val="en-GB" w:eastAsia="en-US"/>
    </w:rPr>
  </w:style>
  <w:style w:type="character" w:customStyle="1" w:styleId="TtuloCar">
    <w:name w:val="Título Car"/>
    <w:basedOn w:val="Fuentedeprrafopredeter"/>
    <w:link w:val="Ttulo"/>
    <w:uiPriority w:val="99"/>
    <w:locked/>
    <w:rsid w:val="00C262EA"/>
    <w:rPr>
      <w:rFonts w:ascii="Arial" w:hAnsi="Arial"/>
      <w:b/>
      <w:sz w:val="32"/>
      <w:lang w:eastAsia="en-US"/>
    </w:rPr>
  </w:style>
  <w:style w:type="character" w:customStyle="1" w:styleId="TextocomentarioCar">
    <w:name w:val="Texto comentario Car"/>
    <w:basedOn w:val="Fuentedeprrafopredeter"/>
    <w:link w:val="Textocomentario"/>
    <w:uiPriority w:val="99"/>
    <w:semiHidden/>
    <w:locked/>
    <w:rsid w:val="00C262EA"/>
    <w:rPr>
      <w:lang w:eastAsia="zh-CN"/>
    </w:rPr>
  </w:style>
  <w:style w:type="character" w:customStyle="1" w:styleId="AsuntodelcomentarioCar">
    <w:name w:val="Asunto del comentario Car"/>
    <w:basedOn w:val="TextocomentarioCar"/>
    <w:link w:val="Asuntodelcomentario"/>
    <w:uiPriority w:val="99"/>
    <w:semiHidden/>
    <w:locked/>
    <w:rsid w:val="00C262EA"/>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505">
      <w:bodyDiv w:val="1"/>
      <w:marLeft w:val="0"/>
      <w:marRight w:val="0"/>
      <w:marTop w:val="0"/>
      <w:marBottom w:val="0"/>
      <w:divBdr>
        <w:top w:val="none" w:sz="0" w:space="0" w:color="auto"/>
        <w:left w:val="none" w:sz="0" w:space="0" w:color="auto"/>
        <w:bottom w:val="none" w:sz="0" w:space="0" w:color="auto"/>
        <w:right w:val="none" w:sz="0" w:space="0" w:color="auto"/>
      </w:divBdr>
    </w:div>
    <w:div w:id="971981781">
      <w:bodyDiv w:val="1"/>
      <w:marLeft w:val="0"/>
      <w:marRight w:val="0"/>
      <w:marTop w:val="0"/>
      <w:marBottom w:val="0"/>
      <w:divBdr>
        <w:top w:val="none" w:sz="0" w:space="0" w:color="auto"/>
        <w:left w:val="none" w:sz="0" w:space="0" w:color="auto"/>
        <w:bottom w:val="none" w:sz="0" w:space="0" w:color="auto"/>
        <w:right w:val="none" w:sz="0" w:space="0" w:color="auto"/>
      </w:divBdr>
    </w:div>
    <w:div w:id="1145009466">
      <w:bodyDiv w:val="1"/>
      <w:marLeft w:val="0"/>
      <w:marRight w:val="0"/>
      <w:marTop w:val="0"/>
      <w:marBottom w:val="0"/>
      <w:divBdr>
        <w:top w:val="none" w:sz="0" w:space="0" w:color="auto"/>
        <w:left w:val="none" w:sz="0" w:space="0" w:color="auto"/>
        <w:bottom w:val="none" w:sz="0" w:space="0" w:color="auto"/>
        <w:right w:val="none" w:sz="0" w:space="0" w:color="auto"/>
      </w:divBdr>
    </w:div>
    <w:div w:id="1657610797">
      <w:bodyDiv w:val="1"/>
      <w:marLeft w:val="0"/>
      <w:marRight w:val="0"/>
      <w:marTop w:val="0"/>
      <w:marBottom w:val="0"/>
      <w:divBdr>
        <w:top w:val="none" w:sz="0" w:space="0" w:color="auto"/>
        <w:left w:val="none" w:sz="0" w:space="0" w:color="auto"/>
        <w:bottom w:val="none" w:sz="0" w:space="0" w:color="auto"/>
        <w:right w:val="none" w:sz="0" w:space="0" w:color="auto"/>
      </w:divBdr>
    </w:div>
    <w:div w:id="1659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6300-36EF-473B-8BD3-3626EBB90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37012</Words>
  <Characters>203567</Characters>
  <Application>Microsoft Office Word</Application>
  <DocSecurity>0</DocSecurity>
  <Lines>1696</Lines>
  <Paragraphs>480</Paragraphs>
  <ScaleCrop>false</ScaleCrop>
  <HeadingPairs>
    <vt:vector size="2" baseType="variant">
      <vt:variant>
        <vt:lpstr>Título</vt:lpstr>
      </vt:variant>
      <vt:variant>
        <vt:i4>1</vt:i4>
      </vt:variant>
    </vt:vector>
  </HeadingPairs>
  <TitlesOfParts>
    <vt:vector size="1" baseType="lpstr">
      <vt:lpstr>Contrato de Concesión LT CAR-CN-C-M+Anexo 1 DGE</vt:lpstr>
    </vt:vector>
  </TitlesOfParts>
  <Company>Hewlett-Packard Company</Company>
  <LinksUpToDate>false</LinksUpToDate>
  <CharactersWithSpaces>240099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CAR-CN-C-M+Anexo 1 DGE</dc:title>
  <dc:subject>Segunda Versión al 20-09-11</dc:subject>
  <dc:creator>loc-mch-vaa</dc:creator>
  <cp:lastModifiedBy>whuambachano</cp:lastModifiedBy>
  <cp:revision>2</cp:revision>
  <cp:lastPrinted>2012-06-19T15:13:00Z</cp:lastPrinted>
  <dcterms:created xsi:type="dcterms:W3CDTF">2012-06-22T16:24:00Z</dcterms:created>
  <dcterms:modified xsi:type="dcterms:W3CDTF">2012-06-22T16:24:00Z</dcterms:modified>
</cp:coreProperties>
</file>