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B1" w:rsidRDefault="00B07EB1" w:rsidP="00B07EB1">
      <w:pPr>
        <w:spacing w:line="257" w:lineRule="auto"/>
        <w:jc w:val="center"/>
        <w:rPr>
          <w:rFonts w:ascii="Arial" w:eastAsia="Times New Roman" w:hAnsi="Arial" w:cs="Arial"/>
          <w:b/>
          <w:sz w:val="36"/>
          <w:szCs w:val="36"/>
          <w:u w:val="single"/>
          <w:lang w:val="es-ES" w:eastAsia="es-ES"/>
        </w:rPr>
      </w:pPr>
    </w:p>
    <w:p w:rsidR="00B07EB1" w:rsidRDefault="00B07EB1" w:rsidP="00B07EB1">
      <w:pPr>
        <w:spacing w:line="257" w:lineRule="auto"/>
        <w:jc w:val="center"/>
        <w:rPr>
          <w:rFonts w:ascii="Arial" w:eastAsia="Times New Roman" w:hAnsi="Arial" w:cs="Arial"/>
          <w:b/>
          <w:sz w:val="36"/>
          <w:szCs w:val="36"/>
          <w:u w:val="single"/>
          <w:lang w:val="es-ES" w:eastAsia="es-ES"/>
        </w:rPr>
      </w:pPr>
    </w:p>
    <w:p w:rsidR="00B07EB1" w:rsidRDefault="00B07EB1" w:rsidP="00B07EB1">
      <w:pPr>
        <w:spacing w:line="257" w:lineRule="auto"/>
        <w:jc w:val="center"/>
        <w:rPr>
          <w:rFonts w:ascii="Arial" w:eastAsia="Times New Roman" w:hAnsi="Arial" w:cs="Arial"/>
          <w:b/>
          <w:sz w:val="36"/>
          <w:szCs w:val="36"/>
          <w:u w:val="single"/>
          <w:lang w:val="es-ES" w:eastAsia="es-ES"/>
        </w:rPr>
      </w:pPr>
    </w:p>
    <w:p w:rsidR="00B07EB1" w:rsidRDefault="00B07EB1" w:rsidP="00B07EB1">
      <w:pPr>
        <w:spacing w:line="257" w:lineRule="auto"/>
        <w:jc w:val="center"/>
        <w:rPr>
          <w:rFonts w:ascii="Arial" w:eastAsia="Times New Roman" w:hAnsi="Arial" w:cs="Arial"/>
          <w:b/>
          <w:sz w:val="36"/>
          <w:szCs w:val="36"/>
          <w:u w:val="single"/>
          <w:lang w:val="es-ES" w:eastAsia="es-ES"/>
        </w:rPr>
      </w:pPr>
    </w:p>
    <w:p w:rsidR="00B07EB1" w:rsidRDefault="00B07EB1" w:rsidP="00B07EB1">
      <w:pPr>
        <w:spacing w:line="257" w:lineRule="auto"/>
        <w:jc w:val="center"/>
        <w:rPr>
          <w:rFonts w:ascii="Arial" w:eastAsia="Times New Roman" w:hAnsi="Arial" w:cs="Arial"/>
          <w:b/>
          <w:sz w:val="36"/>
          <w:szCs w:val="36"/>
          <w:u w:val="single"/>
          <w:lang w:val="es-ES" w:eastAsia="es-ES"/>
        </w:rPr>
      </w:pPr>
    </w:p>
    <w:p w:rsidR="00B07EB1" w:rsidRDefault="00B07EB1" w:rsidP="00B07EB1">
      <w:pPr>
        <w:spacing w:line="257" w:lineRule="auto"/>
        <w:jc w:val="center"/>
        <w:rPr>
          <w:rFonts w:ascii="Arial" w:eastAsia="Times New Roman" w:hAnsi="Arial" w:cs="Arial"/>
          <w:b/>
          <w:sz w:val="36"/>
          <w:szCs w:val="36"/>
          <w:u w:val="single"/>
          <w:lang w:val="es-ES" w:eastAsia="es-ES"/>
        </w:rPr>
      </w:pPr>
    </w:p>
    <w:p w:rsidR="006F657A" w:rsidRPr="00B07EB1" w:rsidRDefault="006F657A" w:rsidP="00B07EB1">
      <w:pPr>
        <w:spacing w:line="257" w:lineRule="auto"/>
        <w:jc w:val="center"/>
        <w:rPr>
          <w:rFonts w:ascii="Arial" w:eastAsia="Times New Roman" w:hAnsi="Arial" w:cs="Arial"/>
          <w:b/>
          <w:sz w:val="36"/>
          <w:szCs w:val="36"/>
          <w:u w:val="single"/>
          <w:lang w:val="es-ES" w:eastAsia="es-ES"/>
        </w:rPr>
      </w:pPr>
      <w:r w:rsidRPr="00B07EB1">
        <w:rPr>
          <w:rFonts w:ascii="Arial" w:eastAsia="Times New Roman" w:hAnsi="Arial" w:cs="Arial"/>
          <w:b/>
          <w:sz w:val="36"/>
          <w:szCs w:val="36"/>
          <w:u w:val="single"/>
          <w:lang w:val="es-ES" w:eastAsia="es-ES"/>
        </w:rPr>
        <w:t>Anexo N° 7</w:t>
      </w:r>
    </w:p>
    <w:p w:rsidR="000A5709" w:rsidRPr="00B07EB1" w:rsidRDefault="000A5709" w:rsidP="00B07EB1">
      <w:pPr>
        <w:spacing w:line="257" w:lineRule="auto"/>
        <w:jc w:val="center"/>
        <w:rPr>
          <w:rFonts w:ascii="Arial" w:eastAsia="Times New Roman" w:hAnsi="Arial" w:cs="Arial"/>
          <w:b/>
          <w:sz w:val="36"/>
          <w:szCs w:val="36"/>
          <w:u w:val="single"/>
          <w:lang w:val="es-ES" w:eastAsia="es-ES"/>
        </w:rPr>
      </w:pPr>
    </w:p>
    <w:p w:rsidR="000A5709" w:rsidRPr="00B07EB1" w:rsidRDefault="000A5709" w:rsidP="00B07EB1">
      <w:pPr>
        <w:spacing w:line="257" w:lineRule="auto"/>
        <w:jc w:val="center"/>
        <w:rPr>
          <w:rFonts w:ascii="Arial" w:eastAsia="Times New Roman" w:hAnsi="Arial" w:cs="Arial"/>
          <w:b/>
          <w:sz w:val="36"/>
          <w:szCs w:val="36"/>
          <w:u w:val="single"/>
          <w:lang w:val="es-ES" w:eastAsia="es-ES"/>
        </w:rPr>
      </w:pPr>
    </w:p>
    <w:p w:rsidR="006F657A" w:rsidRPr="00B07EB1" w:rsidRDefault="006F657A" w:rsidP="00B07EB1">
      <w:pPr>
        <w:spacing w:line="257" w:lineRule="auto"/>
        <w:jc w:val="center"/>
        <w:rPr>
          <w:rFonts w:ascii="Arial" w:eastAsia="Times New Roman" w:hAnsi="Arial" w:cs="Arial"/>
          <w:b/>
          <w:sz w:val="32"/>
          <w:szCs w:val="32"/>
          <w:lang w:val="es-ES" w:eastAsia="es-ES"/>
        </w:rPr>
      </w:pPr>
      <w:r w:rsidRPr="00B07EB1">
        <w:rPr>
          <w:rFonts w:ascii="Arial" w:eastAsia="Times New Roman" w:hAnsi="Arial" w:cs="Arial"/>
          <w:b/>
          <w:sz w:val="32"/>
          <w:szCs w:val="32"/>
          <w:lang w:val="es-ES" w:eastAsia="es-ES"/>
        </w:rPr>
        <w:t>Contrato de Concesión SCT</w:t>
      </w:r>
    </w:p>
    <w:p w:rsidR="006F657A" w:rsidRPr="00B07EB1" w:rsidRDefault="006F657A" w:rsidP="00B07EB1">
      <w:pPr>
        <w:spacing w:line="257" w:lineRule="auto"/>
        <w:jc w:val="center"/>
        <w:rPr>
          <w:rFonts w:ascii="Arial" w:eastAsia="Times New Roman" w:hAnsi="Arial" w:cs="Arial"/>
          <w:b/>
          <w:sz w:val="32"/>
          <w:szCs w:val="32"/>
          <w:lang w:val="es-ES" w:eastAsia="es-ES"/>
        </w:rPr>
      </w:pPr>
      <w:r w:rsidRPr="00B07EB1">
        <w:rPr>
          <w:rFonts w:ascii="Arial" w:eastAsia="Times New Roman" w:hAnsi="Arial" w:cs="Arial"/>
          <w:b/>
          <w:sz w:val="32"/>
          <w:szCs w:val="32"/>
          <w:lang w:val="es-ES" w:eastAsia="es-ES"/>
        </w:rPr>
        <w:t>“Línea de Transmisión 220 kV La Planicie-Industriales y Subestaciones Asociadas”</w:t>
      </w:r>
    </w:p>
    <w:p w:rsidR="00B07EB1" w:rsidRDefault="00B07EB1" w:rsidP="00B07EB1">
      <w:pPr>
        <w:spacing w:line="257" w:lineRule="auto"/>
        <w:jc w:val="center"/>
        <w:rPr>
          <w:rFonts w:ascii="Arial" w:eastAsia="Times New Roman" w:hAnsi="Arial" w:cs="Arial"/>
          <w:b/>
          <w:sz w:val="32"/>
          <w:szCs w:val="32"/>
          <w:lang w:val="es-ES" w:eastAsia="es-ES"/>
        </w:rPr>
      </w:pPr>
    </w:p>
    <w:p w:rsidR="00B07EB1" w:rsidRDefault="00B07EB1" w:rsidP="00B07EB1">
      <w:pPr>
        <w:spacing w:line="257" w:lineRule="auto"/>
        <w:jc w:val="center"/>
        <w:rPr>
          <w:rFonts w:ascii="Arial" w:eastAsia="Times New Roman" w:hAnsi="Arial" w:cs="Arial"/>
          <w:b/>
          <w:sz w:val="32"/>
          <w:szCs w:val="32"/>
          <w:lang w:val="es-ES" w:eastAsia="es-ES"/>
        </w:rPr>
      </w:pPr>
    </w:p>
    <w:p w:rsidR="006F657A" w:rsidRPr="00B07EB1" w:rsidRDefault="006F657A" w:rsidP="00B07EB1">
      <w:pPr>
        <w:spacing w:line="257" w:lineRule="auto"/>
        <w:jc w:val="center"/>
        <w:rPr>
          <w:rFonts w:ascii="Arial" w:eastAsia="Times New Roman" w:hAnsi="Arial" w:cs="Arial"/>
          <w:b/>
          <w:sz w:val="32"/>
          <w:szCs w:val="32"/>
          <w:lang w:val="es-ES" w:eastAsia="es-ES"/>
        </w:rPr>
      </w:pPr>
      <w:r w:rsidRPr="00B07EB1">
        <w:rPr>
          <w:rFonts w:ascii="Arial" w:eastAsia="Times New Roman" w:hAnsi="Arial" w:cs="Arial"/>
          <w:b/>
          <w:sz w:val="32"/>
          <w:szCs w:val="32"/>
          <w:lang w:val="es-ES" w:eastAsia="es-ES"/>
        </w:rPr>
        <w:t>(Primera Versión)</w:t>
      </w:r>
    </w:p>
    <w:p w:rsidR="00B07EB1" w:rsidRDefault="00B07EB1" w:rsidP="00B07EB1">
      <w:pPr>
        <w:spacing w:line="257" w:lineRule="auto"/>
        <w:jc w:val="center"/>
        <w:rPr>
          <w:rFonts w:ascii="Arial" w:eastAsia="Times New Roman" w:hAnsi="Arial" w:cs="Arial"/>
          <w:b/>
          <w:sz w:val="24"/>
          <w:szCs w:val="24"/>
          <w:lang w:val="es-ES" w:eastAsia="es-ES"/>
        </w:rPr>
      </w:pPr>
    </w:p>
    <w:p w:rsidR="00B07EB1" w:rsidRDefault="00B07EB1" w:rsidP="00B07EB1">
      <w:pPr>
        <w:spacing w:line="257" w:lineRule="auto"/>
        <w:jc w:val="center"/>
        <w:rPr>
          <w:rFonts w:ascii="Arial" w:eastAsia="Times New Roman" w:hAnsi="Arial" w:cs="Arial"/>
          <w:b/>
          <w:sz w:val="24"/>
          <w:szCs w:val="24"/>
          <w:lang w:val="es-ES" w:eastAsia="es-ES"/>
        </w:rPr>
      </w:pPr>
    </w:p>
    <w:p w:rsidR="00B07EB1" w:rsidRDefault="00B07EB1" w:rsidP="00B07EB1">
      <w:pPr>
        <w:spacing w:line="257" w:lineRule="auto"/>
        <w:jc w:val="center"/>
        <w:rPr>
          <w:rFonts w:ascii="Arial" w:eastAsia="Times New Roman" w:hAnsi="Arial" w:cs="Arial"/>
          <w:b/>
          <w:sz w:val="24"/>
          <w:szCs w:val="24"/>
          <w:lang w:val="es-ES" w:eastAsia="es-ES"/>
        </w:rPr>
      </w:pPr>
    </w:p>
    <w:p w:rsidR="00B07EB1" w:rsidRDefault="00B07EB1" w:rsidP="00B07EB1">
      <w:pPr>
        <w:spacing w:line="257" w:lineRule="auto"/>
        <w:jc w:val="center"/>
        <w:rPr>
          <w:rFonts w:ascii="Arial" w:eastAsia="Times New Roman" w:hAnsi="Arial" w:cs="Arial"/>
          <w:b/>
          <w:sz w:val="24"/>
          <w:szCs w:val="24"/>
          <w:lang w:val="es-ES" w:eastAsia="es-ES"/>
        </w:rPr>
      </w:pPr>
      <w:bookmarkStart w:id="0" w:name="_GoBack"/>
      <w:bookmarkEnd w:id="0"/>
    </w:p>
    <w:p w:rsidR="00B07EB1" w:rsidRDefault="00B07EB1" w:rsidP="00B07EB1">
      <w:pPr>
        <w:spacing w:line="257" w:lineRule="auto"/>
        <w:jc w:val="center"/>
        <w:rPr>
          <w:rFonts w:ascii="Arial" w:eastAsia="Times New Roman" w:hAnsi="Arial" w:cs="Arial"/>
          <w:b/>
          <w:sz w:val="24"/>
          <w:szCs w:val="24"/>
          <w:lang w:val="es-ES" w:eastAsia="es-ES"/>
        </w:rPr>
      </w:pPr>
    </w:p>
    <w:p w:rsidR="006F657A" w:rsidRPr="00B07EB1" w:rsidRDefault="009805D4" w:rsidP="00B07EB1">
      <w:pPr>
        <w:spacing w:line="257"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12</w:t>
      </w:r>
      <w:r w:rsidR="00DB73B6" w:rsidRPr="00B07EB1">
        <w:rPr>
          <w:rFonts w:ascii="Arial" w:eastAsia="Times New Roman" w:hAnsi="Arial" w:cs="Arial"/>
          <w:b/>
          <w:sz w:val="24"/>
          <w:szCs w:val="24"/>
          <w:lang w:val="es-ES" w:eastAsia="es-ES"/>
        </w:rPr>
        <w:t xml:space="preserve"> </w:t>
      </w:r>
      <w:r w:rsidR="006F657A" w:rsidRPr="00B07EB1">
        <w:rPr>
          <w:rFonts w:ascii="Arial" w:eastAsia="Times New Roman" w:hAnsi="Arial" w:cs="Arial"/>
          <w:b/>
          <w:sz w:val="24"/>
          <w:szCs w:val="24"/>
          <w:lang w:val="es-ES" w:eastAsia="es-ES"/>
        </w:rPr>
        <w:t xml:space="preserve">de </w:t>
      </w:r>
      <w:r w:rsidR="009C71B7" w:rsidRPr="00B07EB1">
        <w:rPr>
          <w:rFonts w:ascii="Arial" w:eastAsia="Times New Roman" w:hAnsi="Arial" w:cs="Arial"/>
          <w:b/>
          <w:sz w:val="24"/>
          <w:szCs w:val="24"/>
          <w:lang w:val="es-ES" w:eastAsia="es-ES"/>
        </w:rPr>
        <w:t xml:space="preserve">noviembre </w:t>
      </w:r>
      <w:r w:rsidR="006F657A" w:rsidRPr="00B07EB1">
        <w:rPr>
          <w:rFonts w:ascii="Arial" w:eastAsia="Times New Roman" w:hAnsi="Arial" w:cs="Arial"/>
          <w:b/>
          <w:sz w:val="24"/>
          <w:szCs w:val="24"/>
          <w:lang w:val="es-ES" w:eastAsia="es-ES"/>
        </w:rPr>
        <w:t>de 2013</w:t>
      </w:r>
    </w:p>
    <w:p w:rsidR="00076DCD" w:rsidRPr="00076DCD" w:rsidRDefault="00076DCD" w:rsidP="00B07EB1">
      <w:pPr>
        <w:spacing w:line="257" w:lineRule="auto"/>
        <w:rPr>
          <w:rFonts w:ascii="Arial" w:eastAsia="Times New Roman" w:hAnsi="Arial" w:cs="Arial"/>
          <w:b/>
          <w:sz w:val="28"/>
          <w:szCs w:val="28"/>
          <w:lang w:eastAsia="zh-CN"/>
        </w:rPr>
      </w:pPr>
      <w:r w:rsidRPr="00076DCD">
        <w:rPr>
          <w:rFonts w:ascii="Arial" w:eastAsia="Times New Roman" w:hAnsi="Arial" w:cs="Arial"/>
          <w:b/>
          <w:sz w:val="28"/>
          <w:szCs w:val="28"/>
          <w:lang w:eastAsia="zh-CN"/>
        </w:rPr>
        <w:br w:type="page"/>
      </w:r>
    </w:p>
    <w:p w:rsidR="006F657A" w:rsidRPr="00B07EB1" w:rsidRDefault="006F657A" w:rsidP="00B07EB1">
      <w:pPr>
        <w:spacing w:line="257" w:lineRule="auto"/>
        <w:jc w:val="center"/>
        <w:rPr>
          <w:rFonts w:ascii="Arial Negrita" w:eastAsia="Times New Roman" w:hAnsi="Arial Negrita" w:cs="Arial"/>
          <w:b/>
          <w:sz w:val="32"/>
          <w:szCs w:val="32"/>
          <w:u w:val="wave"/>
          <w:lang w:val="es-ES" w:eastAsia="es-ES"/>
        </w:rPr>
      </w:pPr>
      <w:r w:rsidRPr="00B07EB1">
        <w:rPr>
          <w:rFonts w:ascii="Arial Negrita" w:eastAsia="Times New Roman" w:hAnsi="Arial Negrita" w:cs="Arial"/>
          <w:b/>
          <w:sz w:val="32"/>
          <w:szCs w:val="32"/>
          <w:u w:val="wave"/>
          <w:lang w:val="es-ES" w:eastAsia="es-ES"/>
        </w:rPr>
        <w:lastRenderedPageBreak/>
        <w:t>Índice</w:t>
      </w:r>
    </w:p>
    <w:tbl>
      <w:tblPr>
        <w:tblW w:w="0" w:type="auto"/>
        <w:jc w:val="center"/>
        <w:tblLook w:val="01E0" w:firstRow="1" w:lastRow="1" w:firstColumn="1" w:lastColumn="1" w:noHBand="0" w:noVBand="0"/>
      </w:tblPr>
      <w:tblGrid>
        <w:gridCol w:w="650"/>
        <w:gridCol w:w="6785"/>
        <w:gridCol w:w="1402"/>
      </w:tblGrid>
      <w:tr w:rsidR="006F657A" w:rsidRPr="00B07EB1" w:rsidTr="007F50F8">
        <w:trPr>
          <w:trHeight w:val="20"/>
          <w:jc w:val="center"/>
        </w:trPr>
        <w:tc>
          <w:tcPr>
            <w:tcW w:w="7435" w:type="dxa"/>
            <w:gridSpan w:val="2"/>
            <w:vAlign w:val="center"/>
          </w:tcPr>
          <w:p w:rsidR="006F657A" w:rsidRPr="00B07EB1" w:rsidRDefault="006F657A" w:rsidP="00B07EB1">
            <w:pPr>
              <w:spacing w:before="60" w:after="60" w:line="257" w:lineRule="auto"/>
              <w:rPr>
                <w:rFonts w:ascii="Arial" w:eastAsia="Times New Roman" w:hAnsi="Arial" w:cs="Arial"/>
                <w:b/>
                <w:sz w:val="21"/>
                <w:szCs w:val="21"/>
                <w:lang w:val="es-ES" w:eastAsia="es-ES"/>
              </w:rPr>
            </w:pPr>
            <w:r w:rsidRPr="00B07EB1">
              <w:rPr>
                <w:rFonts w:ascii="Arial" w:eastAsia="Times New Roman" w:hAnsi="Arial" w:cs="Arial"/>
                <w:b/>
                <w:sz w:val="21"/>
                <w:szCs w:val="21"/>
                <w:lang w:val="es-ES" w:eastAsia="es-ES"/>
              </w:rPr>
              <w:t>Pliego de firmas</w:t>
            </w:r>
          </w:p>
        </w:tc>
        <w:tc>
          <w:tcPr>
            <w:tcW w:w="1402" w:type="dxa"/>
            <w:vAlign w:val="center"/>
          </w:tcPr>
          <w:p w:rsidR="006F657A" w:rsidRPr="00B07EB1" w:rsidRDefault="006F657A" w:rsidP="00B07EB1">
            <w:pPr>
              <w:spacing w:before="60" w:after="60" w:line="257" w:lineRule="auto"/>
              <w:rPr>
                <w:rFonts w:ascii="Arial" w:eastAsia="Times New Roman" w:hAnsi="Arial" w:cs="Arial"/>
                <w:b/>
                <w:sz w:val="21"/>
                <w:szCs w:val="21"/>
                <w:lang w:val="es-ES" w:eastAsia="es-ES"/>
              </w:rPr>
            </w:pPr>
            <w:r w:rsidRPr="00B07EB1">
              <w:rPr>
                <w:rFonts w:ascii="Arial" w:eastAsia="Times New Roman" w:hAnsi="Arial" w:cs="Arial"/>
                <w:b/>
                <w:sz w:val="21"/>
                <w:szCs w:val="21"/>
                <w:lang w:val="es-ES" w:eastAsia="es-ES"/>
              </w:rPr>
              <w:t>Pág.</w:t>
            </w: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Disposiciones preliminares.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2.</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Declaraciones de las Partes.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3.</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Objeto, vigencia y plazo del Contrato.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4.</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Construcción.</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5.</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Operación comercial.</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6.</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Contratos con terceros.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7.</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Contratos de seguro.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8.</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Régimen tarifario.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9.</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Financiamiento de la Concesión.</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10.</w:t>
            </w:r>
          </w:p>
        </w:tc>
        <w:tc>
          <w:tcPr>
            <w:tcW w:w="6785" w:type="dxa"/>
            <w:vAlign w:val="bottom"/>
          </w:tcPr>
          <w:p w:rsidR="006F657A" w:rsidRPr="00B07EB1" w:rsidRDefault="0053101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Fuerza Mayor</w:t>
            </w:r>
            <w:r w:rsidR="0027708C" w:rsidRPr="00B07EB1">
              <w:rPr>
                <w:rFonts w:ascii="Arial" w:eastAsia="Times New Roman" w:hAnsi="Arial" w:cs="Arial"/>
                <w:sz w:val="21"/>
                <w:szCs w:val="21"/>
                <w:lang w:val="es-ES" w:eastAsia="es-ES"/>
              </w:rPr>
              <w:t>.</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11.</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Penalidades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12.</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Garantías.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13.</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Terminación del Contrato.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14.</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Solución de controversias.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15.</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Equilibrio económico-financiero.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vAlign w:val="bottom"/>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16.</w:t>
            </w:r>
          </w:p>
        </w:tc>
        <w:tc>
          <w:tcPr>
            <w:tcW w:w="6785" w:type="dxa"/>
            <w:vAlign w:val="bottom"/>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Miscelánea.</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8837" w:type="dxa"/>
            <w:gridSpan w:val="3"/>
          </w:tcPr>
          <w:p w:rsidR="006F657A" w:rsidRPr="00B07EB1" w:rsidRDefault="006F657A" w:rsidP="00B07EB1">
            <w:pPr>
              <w:spacing w:before="60" w:after="60" w:line="257" w:lineRule="auto"/>
              <w:rPr>
                <w:rFonts w:ascii="Arial" w:eastAsia="Times New Roman" w:hAnsi="Arial" w:cs="Arial"/>
                <w:b/>
                <w:sz w:val="21"/>
                <w:szCs w:val="21"/>
                <w:lang w:val="es-ES" w:eastAsia="es-ES"/>
              </w:rPr>
            </w:pPr>
            <w:r w:rsidRPr="00B07EB1">
              <w:rPr>
                <w:rFonts w:ascii="Arial" w:eastAsia="Times New Roman" w:hAnsi="Arial" w:cs="Arial"/>
                <w:b/>
                <w:sz w:val="21"/>
                <w:szCs w:val="21"/>
                <w:lang w:val="es-ES" w:eastAsia="es-ES"/>
              </w:rPr>
              <w:t>Anexos</w:t>
            </w: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1</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Especificaciones del proyecto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2</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Procedimiento de verificación de la Línea Eléctrica.</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3</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Definiciones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4</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Formato de Garantía de Fiel Cumplimiento.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4-A</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Formato de Garantía de Operación.</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5</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Telecomunicaciones.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6</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Formularios 4, 4-A y 4-B.</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7</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Plazos para el desarrollo del proyecto.</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8</w:t>
            </w:r>
          </w:p>
        </w:tc>
        <w:tc>
          <w:tcPr>
            <w:tcW w:w="6785" w:type="dxa"/>
          </w:tcPr>
          <w:p w:rsidR="006F657A" w:rsidRPr="00B07EB1" w:rsidRDefault="006F657A"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Memoria Descriptiva de la Línea Eléctrica</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r w:rsidR="006F657A" w:rsidRPr="00B07EB1" w:rsidTr="007F50F8">
        <w:trPr>
          <w:trHeight w:val="20"/>
          <w:jc w:val="center"/>
        </w:trPr>
        <w:tc>
          <w:tcPr>
            <w:tcW w:w="650"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9</w:t>
            </w:r>
          </w:p>
        </w:tc>
        <w:tc>
          <w:tcPr>
            <w:tcW w:w="6785" w:type="dxa"/>
          </w:tcPr>
          <w:p w:rsidR="006F657A" w:rsidRPr="00B07EB1" w:rsidRDefault="00076DCD" w:rsidP="00B07EB1">
            <w:pPr>
              <w:spacing w:before="60" w:after="60" w:line="257" w:lineRule="auto"/>
              <w:rPr>
                <w:rFonts w:ascii="Arial" w:eastAsia="Times New Roman" w:hAnsi="Arial" w:cs="Arial"/>
                <w:sz w:val="21"/>
                <w:szCs w:val="21"/>
                <w:lang w:val="es-ES" w:eastAsia="es-ES"/>
              </w:rPr>
            </w:pPr>
            <w:r w:rsidRPr="00B07EB1">
              <w:rPr>
                <w:rFonts w:ascii="Arial" w:eastAsia="Times New Roman" w:hAnsi="Arial" w:cs="Arial"/>
                <w:sz w:val="21"/>
                <w:szCs w:val="21"/>
                <w:lang w:val="es-ES" w:eastAsia="es-ES"/>
              </w:rPr>
              <w:t>Términos de Referencia - Supervisión de Ingeniería, Suministro y construcción de la L.T. SCT 220 kV La Planicie-Industriales y Subestaciones Asociadas</w:t>
            </w:r>
          </w:p>
        </w:tc>
        <w:tc>
          <w:tcPr>
            <w:tcW w:w="1402" w:type="dxa"/>
          </w:tcPr>
          <w:p w:rsidR="006F657A" w:rsidRPr="00B07EB1" w:rsidRDefault="006F657A" w:rsidP="00B07EB1">
            <w:pPr>
              <w:spacing w:before="60" w:after="60" w:line="257" w:lineRule="auto"/>
              <w:jc w:val="center"/>
              <w:rPr>
                <w:rFonts w:ascii="Arial" w:eastAsia="Times New Roman" w:hAnsi="Arial" w:cs="Arial"/>
                <w:sz w:val="21"/>
                <w:szCs w:val="21"/>
                <w:lang w:val="es-ES" w:eastAsia="es-ES"/>
              </w:rPr>
            </w:pPr>
          </w:p>
        </w:tc>
      </w:tr>
    </w:tbl>
    <w:p w:rsidR="006F657A" w:rsidRPr="00076DCD" w:rsidRDefault="006F657A" w:rsidP="00B07EB1">
      <w:pPr>
        <w:widowControl w:val="0"/>
        <w:suppressLineNumbers/>
        <w:suppressAutoHyphens/>
        <w:spacing w:after="0" w:line="257" w:lineRule="auto"/>
        <w:jc w:val="center"/>
        <w:rPr>
          <w:rFonts w:ascii="Arial" w:eastAsia="Times New Roman" w:hAnsi="Arial" w:cs="Arial"/>
          <w:b/>
          <w:sz w:val="28"/>
          <w:szCs w:val="28"/>
          <w:lang w:eastAsia="zh-CN"/>
        </w:rPr>
      </w:pPr>
      <w:bookmarkStart w:id="1" w:name="_Toc400867054"/>
      <w:bookmarkStart w:id="2" w:name="_Toc401465902"/>
      <w:r w:rsidRPr="00076DCD">
        <w:rPr>
          <w:rFonts w:ascii="Arial" w:hAnsi="Arial" w:cs="Arial"/>
          <w:b/>
          <w:sz w:val="20"/>
        </w:rPr>
        <w:br w:type="page"/>
      </w:r>
      <w:r w:rsidRPr="00076DCD">
        <w:rPr>
          <w:rFonts w:ascii="Arial" w:eastAsia="Times New Roman" w:hAnsi="Arial" w:cs="Arial"/>
          <w:b/>
          <w:sz w:val="28"/>
          <w:szCs w:val="28"/>
          <w:lang w:eastAsia="zh-CN"/>
        </w:rPr>
        <w:lastRenderedPageBreak/>
        <w:t>Pliego de firmas</w:t>
      </w: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before="480" w:after="0" w:line="257" w:lineRule="auto"/>
        <w:jc w:val="center"/>
        <w:rPr>
          <w:rFonts w:ascii="Arial" w:eastAsia="Times New Roman" w:hAnsi="Arial" w:cs="Arial"/>
          <w:b/>
          <w:sz w:val="24"/>
          <w:szCs w:val="24"/>
          <w:lang w:eastAsia="zh-CN"/>
        </w:rPr>
      </w:pPr>
      <w:r w:rsidRPr="00076DCD">
        <w:rPr>
          <w:rFonts w:ascii="Arial" w:eastAsia="Times New Roman" w:hAnsi="Arial" w:cs="Arial"/>
          <w:b/>
          <w:sz w:val="24"/>
          <w:szCs w:val="24"/>
          <w:lang w:eastAsia="zh-CN"/>
        </w:rPr>
        <w:t>Suscripciones que se realizan antes de la fecha de Cierre</w:t>
      </w: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480" w:line="257" w:lineRule="auto"/>
        <w:jc w:val="center"/>
        <w:rPr>
          <w:rFonts w:ascii="Arial" w:eastAsia="Times New Roman" w:hAnsi="Arial" w:cs="Arial"/>
          <w:b/>
          <w:sz w:val="24"/>
          <w:szCs w:val="24"/>
          <w:lang w:eastAsia="zh-CN"/>
        </w:rPr>
      </w:pPr>
      <w:r w:rsidRPr="00076DCD">
        <w:rPr>
          <w:rFonts w:ascii="Arial" w:eastAsia="Times New Roman" w:hAnsi="Arial" w:cs="Arial"/>
          <w:b/>
          <w:sz w:val="24"/>
          <w:szCs w:val="24"/>
          <w:lang w:eastAsia="zh-CN"/>
        </w:rPr>
        <w:t xml:space="preserve">(para presentar </w:t>
      </w:r>
      <w:r w:rsidR="00182400" w:rsidRPr="00076DCD">
        <w:rPr>
          <w:rFonts w:ascii="Arial" w:eastAsia="Times New Roman" w:hAnsi="Arial" w:cs="Arial"/>
          <w:b/>
          <w:sz w:val="24"/>
          <w:szCs w:val="24"/>
          <w:lang w:eastAsia="zh-CN"/>
        </w:rPr>
        <w:t>S</w:t>
      </w:r>
      <w:r w:rsidRPr="00076DCD">
        <w:rPr>
          <w:rFonts w:ascii="Arial" w:eastAsia="Times New Roman" w:hAnsi="Arial" w:cs="Arial"/>
          <w:b/>
          <w:sz w:val="24"/>
          <w:szCs w:val="24"/>
          <w:lang w:eastAsia="zh-CN"/>
        </w:rPr>
        <w:t>obres 1 y 2):</w:t>
      </w:r>
    </w:p>
    <w:tbl>
      <w:tblPr>
        <w:tblW w:w="8413" w:type="dxa"/>
        <w:tblInd w:w="501" w:type="dxa"/>
        <w:tblLook w:val="01E0" w:firstRow="1" w:lastRow="1" w:firstColumn="1" w:lastColumn="1" w:noHBand="0" w:noVBand="0"/>
      </w:tblPr>
      <w:tblGrid>
        <w:gridCol w:w="3860"/>
        <w:gridCol w:w="567"/>
        <w:gridCol w:w="3986"/>
      </w:tblGrid>
      <w:tr w:rsidR="006F657A" w:rsidRPr="00076DCD" w:rsidTr="00474399">
        <w:tc>
          <w:tcPr>
            <w:tcW w:w="3860"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Por el Operador Calificado:</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 xml:space="preserve">Por </w:t>
            </w:r>
            <w:r w:rsidR="00D86B3A" w:rsidRPr="00076DCD">
              <w:rPr>
                <w:rFonts w:ascii="Arial" w:hAnsi="Arial" w:cs="Arial"/>
                <w:sz w:val="20"/>
              </w:rPr>
              <w:t xml:space="preserve">la </w:t>
            </w:r>
            <w:r w:rsidRPr="00076DCD">
              <w:rPr>
                <w:rFonts w:ascii="Arial" w:hAnsi="Arial" w:cs="Arial"/>
                <w:sz w:val="20"/>
              </w:rPr>
              <w:t xml:space="preserve">empresa </w:t>
            </w:r>
            <w:r w:rsidR="00D86B3A" w:rsidRPr="00076DCD">
              <w:rPr>
                <w:rFonts w:ascii="Arial" w:hAnsi="Arial" w:cs="Arial"/>
                <w:sz w:val="20"/>
              </w:rPr>
              <w:t xml:space="preserve">o por </w:t>
            </w:r>
            <w:r w:rsidRPr="00076DCD">
              <w:rPr>
                <w:rFonts w:ascii="Arial" w:hAnsi="Arial" w:cs="Arial"/>
                <w:sz w:val="20"/>
              </w:rPr>
              <w:t>el Consorcio:</w:t>
            </w:r>
          </w:p>
        </w:tc>
      </w:tr>
      <w:tr w:rsidR="006F657A" w:rsidRPr="00076DCD" w:rsidTr="00474399">
        <w:tc>
          <w:tcPr>
            <w:tcW w:w="3860"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r>
      <w:tr w:rsidR="006F657A" w:rsidRPr="00076DCD" w:rsidTr="00474399">
        <w:tc>
          <w:tcPr>
            <w:tcW w:w="3860"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eastAsia="Times New Roman" w:hAnsi="Arial" w:cs="Arial"/>
                <w:szCs w:val="20"/>
                <w:lang w:eastAsia="zh-CN"/>
              </w:rPr>
            </w:pPr>
            <w:r w:rsidRPr="00076DCD">
              <w:rPr>
                <w:rFonts w:ascii="Arial" w:hAnsi="Arial" w:cs="Arial"/>
                <w:sz w:val="20"/>
              </w:rPr>
              <w:t>Firma del Representante</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eastAsia="Times New Roman" w:hAnsi="Arial" w:cs="Arial"/>
                <w:szCs w:val="20"/>
                <w:lang w:eastAsia="zh-CN"/>
              </w:rPr>
            </w:pPr>
            <w:r w:rsidRPr="00076DCD">
              <w:rPr>
                <w:rFonts w:ascii="Arial" w:hAnsi="Arial" w:cs="Arial"/>
                <w:sz w:val="20"/>
              </w:rPr>
              <w:t>Firma del Representante</w:t>
            </w:r>
          </w:p>
        </w:tc>
      </w:tr>
      <w:tr w:rsidR="006F657A" w:rsidRPr="00076DCD" w:rsidTr="00474399">
        <w:tc>
          <w:tcPr>
            <w:tcW w:w="3860"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Razón social del Operador:</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Razón social:</w:t>
            </w:r>
          </w:p>
        </w:tc>
      </w:tr>
      <w:tr w:rsidR="006F657A" w:rsidRPr="00076DCD" w:rsidTr="00474399">
        <w:tc>
          <w:tcPr>
            <w:tcW w:w="3860"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r>
      <w:tr w:rsidR="006F657A" w:rsidRPr="00076DCD" w:rsidTr="00474399">
        <w:tc>
          <w:tcPr>
            <w:tcW w:w="3860"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Nombre del Representante:</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Nombre del Representante:</w:t>
            </w:r>
          </w:p>
        </w:tc>
      </w:tr>
      <w:tr w:rsidR="006F657A" w:rsidRPr="00076DCD" w:rsidTr="00474399">
        <w:tc>
          <w:tcPr>
            <w:tcW w:w="3860"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r>
      <w:tr w:rsidR="006F657A" w:rsidRPr="00076DCD" w:rsidTr="00474399">
        <w:tc>
          <w:tcPr>
            <w:tcW w:w="3860"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Fecha de firma: ____ / ____ /</w:t>
            </w:r>
            <w:r w:rsidRPr="00076DCD">
              <w:rPr>
                <w:rFonts w:ascii="Arial" w:eastAsia="Times New Roman" w:hAnsi="Arial" w:cs="Arial"/>
                <w:sz w:val="20"/>
                <w:szCs w:val="20"/>
                <w:lang w:eastAsia="zh-CN"/>
              </w:rPr>
              <w:t>201</w:t>
            </w:r>
            <w:r w:rsidR="00182400" w:rsidRPr="00076DCD">
              <w:rPr>
                <w:rFonts w:ascii="Arial" w:eastAsia="Times New Roman" w:hAnsi="Arial" w:cs="Arial"/>
                <w:sz w:val="20"/>
                <w:szCs w:val="20"/>
                <w:lang w:eastAsia="zh-CN"/>
              </w:rPr>
              <w:t>4</w:t>
            </w:r>
            <w:r w:rsidRPr="00076DCD">
              <w:rPr>
                <w:rFonts w:ascii="Arial" w:hAnsi="Arial" w:cs="Arial"/>
                <w:sz w:val="20"/>
              </w:rPr>
              <w:t>.</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Fecha de firma: ____ / ____ /</w:t>
            </w:r>
            <w:r w:rsidRPr="00076DCD">
              <w:rPr>
                <w:rFonts w:ascii="Arial" w:eastAsia="Times New Roman" w:hAnsi="Arial" w:cs="Arial"/>
                <w:sz w:val="20"/>
                <w:szCs w:val="20"/>
                <w:lang w:eastAsia="zh-CN"/>
              </w:rPr>
              <w:t>201</w:t>
            </w:r>
            <w:r w:rsidR="00182400" w:rsidRPr="00076DCD">
              <w:rPr>
                <w:rFonts w:ascii="Arial" w:eastAsia="Times New Roman" w:hAnsi="Arial" w:cs="Arial"/>
                <w:sz w:val="20"/>
                <w:szCs w:val="20"/>
                <w:lang w:eastAsia="zh-CN"/>
              </w:rPr>
              <w:t>4</w:t>
            </w:r>
            <w:r w:rsidRPr="00076DCD">
              <w:rPr>
                <w:rFonts w:ascii="Arial" w:hAnsi="Arial" w:cs="Arial"/>
                <w:sz w:val="20"/>
              </w:rPr>
              <w:t>.</w:t>
            </w:r>
          </w:p>
        </w:tc>
      </w:tr>
      <w:tr w:rsidR="006F657A" w:rsidRPr="00076DCD" w:rsidTr="00474399">
        <w:tc>
          <w:tcPr>
            <w:tcW w:w="3860"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3986"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r>
    </w:tbl>
    <w:p w:rsidR="006F657A" w:rsidRPr="00076DCD" w:rsidRDefault="006F657A" w:rsidP="00B07EB1">
      <w:pPr>
        <w:widowControl w:val="0"/>
        <w:suppressLineNumbers/>
        <w:tabs>
          <w:tab w:val="left" w:pos="567"/>
          <w:tab w:val="left" w:pos="1134"/>
          <w:tab w:val="left" w:pos="1701"/>
          <w:tab w:val="left" w:pos="2268"/>
          <w:tab w:val="left" w:pos="2835"/>
        </w:tabs>
        <w:suppressAutoHyphens/>
        <w:spacing w:before="720" w:after="360" w:line="257" w:lineRule="auto"/>
        <w:jc w:val="center"/>
        <w:rPr>
          <w:rFonts w:ascii="Arial" w:eastAsia="Times New Roman" w:hAnsi="Arial" w:cs="Arial"/>
          <w:b/>
          <w:sz w:val="24"/>
          <w:szCs w:val="24"/>
          <w:lang w:eastAsia="zh-CN"/>
        </w:rPr>
      </w:pPr>
      <w:r w:rsidRPr="00076DCD">
        <w:rPr>
          <w:rFonts w:ascii="Arial" w:eastAsia="Times New Roman" w:hAnsi="Arial" w:cs="Arial"/>
          <w:b/>
          <w:sz w:val="24"/>
          <w:szCs w:val="24"/>
          <w:lang w:eastAsia="zh-CN"/>
        </w:rPr>
        <w:t>Suscripciones que se realizan en la fecha de Cierre:</w:t>
      </w:r>
    </w:p>
    <w:tbl>
      <w:tblPr>
        <w:tblW w:w="8450" w:type="dxa"/>
        <w:jc w:val="center"/>
        <w:tblInd w:w="181" w:type="dxa"/>
        <w:tblLook w:val="01E0" w:firstRow="1" w:lastRow="1" w:firstColumn="1" w:lastColumn="1" w:noHBand="0" w:noVBand="0"/>
      </w:tblPr>
      <w:tblGrid>
        <w:gridCol w:w="3801"/>
        <w:gridCol w:w="567"/>
        <w:gridCol w:w="4082"/>
      </w:tblGrid>
      <w:tr w:rsidR="00474399" w:rsidRPr="00076DCD" w:rsidTr="00474399">
        <w:trPr>
          <w:jc w:val="center"/>
        </w:trPr>
        <w:tc>
          <w:tcPr>
            <w:tcW w:w="3801" w:type="dxa"/>
          </w:tcPr>
          <w:p w:rsidR="00474399" w:rsidRPr="00076DCD" w:rsidRDefault="00474399"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eastAsia="Times New Roman" w:hAnsi="Arial" w:cs="Arial"/>
                <w:sz w:val="21"/>
                <w:szCs w:val="21"/>
                <w:lang w:eastAsia="zh-CN"/>
              </w:rPr>
              <w:br w:type="page"/>
            </w:r>
            <w:r w:rsidRPr="00076DCD">
              <w:rPr>
                <w:rFonts w:ascii="Arial" w:hAnsi="Arial" w:cs="Arial"/>
                <w:sz w:val="20"/>
              </w:rPr>
              <w:t>Por la Sociedad Concesionaria:</w:t>
            </w:r>
          </w:p>
        </w:tc>
        <w:tc>
          <w:tcPr>
            <w:tcW w:w="567" w:type="dxa"/>
          </w:tcPr>
          <w:p w:rsidR="00474399" w:rsidRPr="00076DCD" w:rsidRDefault="00474399"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eastAsia="Times New Roman" w:hAnsi="Arial" w:cs="Arial"/>
                <w:sz w:val="21"/>
                <w:szCs w:val="21"/>
                <w:lang w:eastAsia="zh-CN"/>
              </w:rPr>
              <w:br w:type="page"/>
            </w:r>
          </w:p>
        </w:tc>
        <w:tc>
          <w:tcPr>
            <w:tcW w:w="4082" w:type="dxa"/>
          </w:tcPr>
          <w:p w:rsidR="00474399" w:rsidRPr="00076DCD" w:rsidRDefault="00474399"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eastAsia="Times New Roman" w:hAnsi="Arial" w:cs="Arial"/>
                <w:sz w:val="21"/>
                <w:szCs w:val="21"/>
                <w:lang w:eastAsia="zh-CN"/>
              </w:rPr>
              <w:br w:type="page"/>
            </w:r>
            <w:r w:rsidRPr="00076DCD">
              <w:rPr>
                <w:rFonts w:ascii="Arial" w:hAnsi="Arial" w:cs="Arial"/>
                <w:sz w:val="20"/>
              </w:rPr>
              <w:t>Por el Concedente:</w:t>
            </w:r>
          </w:p>
        </w:tc>
      </w:tr>
      <w:tr w:rsidR="006F657A" w:rsidRPr="00076DCD" w:rsidTr="00474399">
        <w:trPr>
          <w:jc w:val="center"/>
        </w:trPr>
        <w:tc>
          <w:tcPr>
            <w:tcW w:w="3801"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r>
      <w:tr w:rsidR="006F657A" w:rsidRPr="00076DCD" w:rsidTr="00474399">
        <w:trPr>
          <w:jc w:val="center"/>
        </w:trPr>
        <w:tc>
          <w:tcPr>
            <w:tcW w:w="3801"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eastAsia="Times New Roman" w:hAnsi="Arial" w:cs="Arial"/>
                <w:szCs w:val="20"/>
                <w:lang w:eastAsia="zh-CN"/>
              </w:rPr>
            </w:pPr>
            <w:r w:rsidRPr="00076DCD">
              <w:rPr>
                <w:rFonts w:ascii="Arial" w:hAnsi="Arial" w:cs="Arial"/>
                <w:sz w:val="20"/>
              </w:rPr>
              <w:t>Firma del Representante</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eastAsia="Times New Roman" w:hAnsi="Arial" w:cs="Arial"/>
                <w:szCs w:val="20"/>
                <w:lang w:eastAsia="zh-CN"/>
              </w:rPr>
            </w:pPr>
            <w:r w:rsidRPr="00076DCD">
              <w:rPr>
                <w:rFonts w:ascii="Arial" w:hAnsi="Arial" w:cs="Arial"/>
                <w:sz w:val="20"/>
              </w:rPr>
              <w:t>Firma del Representante</w:t>
            </w:r>
          </w:p>
        </w:tc>
      </w:tr>
      <w:tr w:rsidR="006F657A" w:rsidRPr="00076DCD" w:rsidTr="00474399">
        <w:trPr>
          <w:jc w:val="center"/>
        </w:trPr>
        <w:tc>
          <w:tcPr>
            <w:tcW w:w="3801"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Razón social:</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Razón social del Concedente:</w:t>
            </w:r>
          </w:p>
        </w:tc>
      </w:tr>
      <w:tr w:rsidR="006F657A" w:rsidRPr="00076DCD" w:rsidTr="00474399">
        <w:trPr>
          <w:jc w:val="center"/>
        </w:trPr>
        <w:tc>
          <w:tcPr>
            <w:tcW w:w="3801"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Estado de la República del Perú</w:t>
            </w:r>
          </w:p>
        </w:tc>
      </w:tr>
      <w:tr w:rsidR="006F657A" w:rsidRPr="00076DCD" w:rsidTr="00474399">
        <w:trPr>
          <w:jc w:val="center"/>
        </w:trPr>
        <w:tc>
          <w:tcPr>
            <w:tcW w:w="3801"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Nombre del Representante:</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Nombre del Representante:</w:t>
            </w:r>
          </w:p>
        </w:tc>
      </w:tr>
      <w:tr w:rsidR="006F657A" w:rsidRPr="00076DCD" w:rsidTr="00474399">
        <w:trPr>
          <w:jc w:val="center"/>
        </w:trPr>
        <w:tc>
          <w:tcPr>
            <w:tcW w:w="3801"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Borders>
              <w:bottom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r>
      <w:tr w:rsidR="006F657A" w:rsidRPr="00076DCD" w:rsidTr="00474399">
        <w:trPr>
          <w:jc w:val="center"/>
        </w:trPr>
        <w:tc>
          <w:tcPr>
            <w:tcW w:w="3801"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Fecha de firma: ____ / ____ /</w:t>
            </w:r>
            <w:r w:rsidRPr="00076DCD">
              <w:rPr>
                <w:rFonts w:ascii="Arial" w:eastAsia="Times New Roman" w:hAnsi="Arial" w:cs="Arial"/>
                <w:sz w:val="20"/>
                <w:szCs w:val="20"/>
                <w:lang w:eastAsia="zh-CN"/>
              </w:rPr>
              <w:t>201</w:t>
            </w:r>
            <w:r w:rsidR="00182400" w:rsidRPr="00076DCD">
              <w:rPr>
                <w:rFonts w:ascii="Arial" w:eastAsia="Times New Roman" w:hAnsi="Arial" w:cs="Arial"/>
                <w:sz w:val="20"/>
                <w:szCs w:val="20"/>
                <w:lang w:eastAsia="zh-CN"/>
              </w:rPr>
              <w:t>4</w:t>
            </w:r>
            <w:r w:rsidRPr="00076DCD">
              <w:rPr>
                <w:rFonts w:ascii="Arial" w:hAnsi="Arial" w:cs="Arial"/>
                <w:sz w:val="20"/>
              </w:rPr>
              <w:t>.</w:t>
            </w:r>
          </w:p>
        </w:tc>
        <w:tc>
          <w:tcPr>
            <w:tcW w:w="567" w:type="dxa"/>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tc>
        <w:tc>
          <w:tcPr>
            <w:tcW w:w="4082" w:type="dxa"/>
            <w:tcBorders>
              <w:top w:val="single" w:sz="12" w:space="0" w:color="auto"/>
            </w:tcBorders>
          </w:tcPr>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p>
          <w:p w:rsidR="006F657A" w:rsidRPr="00076DCD" w:rsidRDefault="006F657A"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Fecha de firma: ____ / ____ /</w:t>
            </w:r>
            <w:r w:rsidRPr="00076DCD">
              <w:rPr>
                <w:rFonts w:ascii="Arial" w:eastAsia="Times New Roman" w:hAnsi="Arial" w:cs="Arial"/>
                <w:sz w:val="20"/>
                <w:szCs w:val="20"/>
                <w:lang w:eastAsia="zh-CN"/>
              </w:rPr>
              <w:t>201</w:t>
            </w:r>
            <w:r w:rsidR="00182400" w:rsidRPr="00076DCD">
              <w:rPr>
                <w:rFonts w:ascii="Arial" w:eastAsia="Times New Roman" w:hAnsi="Arial" w:cs="Arial"/>
                <w:sz w:val="20"/>
                <w:szCs w:val="20"/>
                <w:lang w:eastAsia="zh-CN"/>
              </w:rPr>
              <w:t>4</w:t>
            </w:r>
            <w:r w:rsidRPr="00076DCD">
              <w:rPr>
                <w:rFonts w:ascii="Arial" w:hAnsi="Arial" w:cs="Arial"/>
                <w:sz w:val="20"/>
              </w:rPr>
              <w:t>.</w:t>
            </w:r>
          </w:p>
        </w:tc>
      </w:tr>
    </w:tbl>
    <w:p w:rsidR="00F84B26" w:rsidRPr="00076DCD" w:rsidRDefault="00F84B26" w:rsidP="00B07EB1">
      <w:pPr>
        <w:widowControl w:val="0"/>
        <w:suppressLineNumbers/>
        <w:suppressAutoHyphens/>
        <w:spacing w:after="0" w:line="257" w:lineRule="auto"/>
        <w:jc w:val="center"/>
        <w:rPr>
          <w:rFonts w:ascii="Arial" w:hAnsi="Arial" w:cs="Arial"/>
          <w:sz w:val="20"/>
          <w:u w:val="single"/>
        </w:rPr>
      </w:pPr>
    </w:p>
    <w:p w:rsidR="006F657A" w:rsidRPr="00076DCD" w:rsidRDefault="006F657A" w:rsidP="00B07EB1">
      <w:pPr>
        <w:widowControl w:val="0"/>
        <w:suppressLineNumbers/>
        <w:suppressAutoHyphens/>
        <w:spacing w:after="0" w:line="257" w:lineRule="auto"/>
        <w:jc w:val="center"/>
        <w:rPr>
          <w:rFonts w:ascii="Arial" w:eastAsia="Times New Roman" w:hAnsi="Arial" w:cs="Arial"/>
          <w:b/>
          <w:sz w:val="26"/>
          <w:szCs w:val="26"/>
          <w:u w:val="single"/>
          <w:lang w:eastAsia="zh-CN"/>
        </w:rPr>
      </w:pPr>
      <w:r w:rsidRPr="00076DCD">
        <w:rPr>
          <w:rFonts w:ascii="Arial" w:hAnsi="Arial" w:cs="Arial"/>
          <w:sz w:val="20"/>
        </w:rPr>
        <w:br w:type="page"/>
      </w: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bookmarkEnd w:id="1"/>
      <w:bookmarkEnd w:id="2"/>
      <w:r w:rsidRPr="00076DCD">
        <w:rPr>
          <w:rFonts w:ascii="Arial" w:eastAsia="Times New Roman" w:hAnsi="Arial" w:cs="Arial"/>
          <w:b/>
          <w:sz w:val="26"/>
          <w:szCs w:val="26"/>
          <w:u w:val="single"/>
          <w:lang w:eastAsia="zh-CN"/>
        </w:rPr>
        <w:lastRenderedPageBreak/>
        <w:t>Contrato de Concesión SCT del Proyecto</w:t>
      </w:r>
    </w:p>
    <w:p w:rsidR="006F657A" w:rsidRPr="00076DCD" w:rsidRDefault="006F657A" w:rsidP="00B07EB1">
      <w:pPr>
        <w:widowControl w:val="0"/>
        <w:suppressLineNumbers/>
        <w:suppressAutoHyphens/>
        <w:spacing w:after="0" w:line="257" w:lineRule="auto"/>
        <w:jc w:val="center"/>
        <w:rPr>
          <w:rFonts w:ascii="Arial" w:eastAsia="Times New Roman" w:hAnsi="Arial" w:cs="Arial"/>
          <w:b/>
          <w:sz w:val="26"/>
          <w:szCs w:val="26"/>
          <w:u w:val="single"/>
          <w:lang w:eastAsia="zh-CN"/>
        </w:rPr>
      </w:pPr>
      <w:r w:rsidRPr="00076DCD">
        <w:rPr>
          <w:rFonts w:ascii="Arial" w:eastAsia="Times New Roman" w:hAnsi="Arial" w:cs="Arial"/>
          <w:b/>
          <w:sz w:val="26"/>
          <w:szCs w:val="26"/>
          <w:lang w:eastAsia="zh-CN"/>
        </w:rPr>
        <w:t>“</w:t>
      </w:r>
      <w:r w:rsidRPr="00076DCD">
        <w:rPr>
          <w:rFonts w:ascii="Arial" w:eastAsia="Times New Roman" w:hAnsi="Arial" w:cs="Arial"/>
          <w:b/>
          <w:sz w:val="26"/>
          <w:szCs w:val="26"/>
          <w:u w:val="single"/>
          <w:lang w:eastAsia="zh-CN"/>
        </w:rPr>
        <w:t xml:space="preserve">Línea de Transmisión 220 kV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76DCD">
        <w:rPr>
          <w:rFonts w:ascii="Arial" w:eastAsia="Times New Roman" w:hAnsi="Arial" w:cs="Arial"/>
          <w:b/>
          <w:sz w:val="26"/>
          <w:szCs w:val="26"/>
          <w:u w:val="single"/>
          <w:lang w:eastAsia="zh-CN"/>
        </w:rPr>
        <w:t>La Planicie-Industriales</w:t>
      </w:r>
    </w:p>
    <w:p w:rsidR="006F657A" w:rsidRPr="00076DCD" w:rsidRDefault="006F657A" w:rsidP="00B07EB1">
      <w:pPr>
        <w:widowControl w:val="0"/>
        <w:suppressLineNumbers/>
        <w:suppressAutoHyphens/>
        <w:spacing w:after="0" w:line="257" w:lineRule="auto"/>
        <w:jc w:val="center"/>
        <w:rPr>
          <w:rFonts w:ascii="Arial" w:eastAsia="Times New Roman" w:hAnsi="Arial" w:cs="Arial"/>
          <w:b/>
          <w:sz w:val="26"/>
          <w:szCs w:val="26"/>
          <w:u w:val="single"/>
          <w:lang w:eastAsia="zh-CN"/>
        </w:rPr>
      </w:pPr>
      <w:r w:rsidRPr="00076DCD">
        <w:rPr>
          <w:rFonts w:ascii="Arial" w:eastAsia="Times New Roman" w:hAnsi="Arial" w:cs="Arial"/>
          <w:b/>
          <w:sz w:val="26"/>
          <w:szCs w:val="26"/>
          <w:u w:val="single"/>
          <w:lang w:eastAsia="zh-CN"/>
        </w:rPr>
        <w:t>y Subestaciones Asociadas</w:t>
      </w:r>
      <w:r w:rsidRPr="00076DCD">
        <w:rPr>
          <w:rFonts w:ascii="Arial" w:eastAsia="Times New Roman" w:hAnsi="Arial" w:cs="Arial"/>
          <w:b/>
          <w:sz w:val="26"/>
          <w:szCs w:val="26"/>
          <w:lang w:eastAsia="zh-CN"/>
        </w:rPr>
        <w:t>”</w:t>
      </w:r>
    </w:p>
    <w:p w:rsidR="006F657A" w:rsidRPr="00076DCD" w:rsidRDefault="006F657A" w:rsidP="00B07EB1">
      <w:pPr>
        <w:widowControl w:val="0"/>
        <w:suppressLineNumbers/>
        <w:suppressAutoHyphens/>
        <w:autoSpaceDE w:val="0"/>
        <w:autoSpaceDN w:val="0"/>
        <w:adjustRightInd w:val="0"/>
        <w:spacing w:before="480" w:after="0" w:line="257" w:lineRule="auto"/>
        <w:jc w:val="both"/>
        <w:rPr>
          <w:rFonts w:ascii="Arial" w:eastAsia="MS Mincho" w:hAnsi="Arial" w:cs="Arial"/>
          <w:sz w:val="21"/>
          <w:szCs w:val="21"/>
          <w:lang w:eastAsia="zh-CN"/>
        </w:rPr>
      </w:pPr>
      <w:r w:rsidRPr="00076DCD">
        <w:rPr>
          <w:rFonts w:ascii="Arial" w:eastAsia="MS Mincho" w:hAnsi="Arial" w:cs="Arial"/>
          <w:sz w:val="21"/>
          <w:szCs w:val="21"/>
          <w:lang w:eastAsia="zh-CN"/>
        </w:rPr>
        <w:t xml:space="preserve">Conste por el presente documento, el Contrato de Concesión de Sistema Complementario de Transmisión del Proyecto “Línea de Transmisión 220 kV La Planicie-Industriales y Subestaciones Asociadas” (en adelante, “Contrato”), que celebran el Estado de la República del Perú, que actúa a través del Ministerio de Energía y Minas (en adelante, el Concedente), y la empresa </w:t>
      </w:r>
      <w:r w:rsidRPr="00076DCD">
        <w:rPr>
          <w:rFonts w:ascii="Arial" w:eastAsia="Times New Roman" w:hAnsi="Arial" w:cs="Arial"/>
          <w:sz w:val="21"/>
          <w:szCs w:val="21"/>
          <w:lang w:eastAsia="es-ES"/>
        </w:rPr>
        <w:t xml:space="preserve">__________________________________________________________________ </w:t>
      </w:r>
      <w:r w:rsidRPr="00076DCD">
        <w:rPr>
          <w:rFonts w:ascii="Arial" w:eastAsia="MS Mincho" w:hAnsi="Arial" w:cs="Arial"/>
          <w:sz w:val="21"/>
          <w:szCs w:val="21"/>
          <w:lang w:eastAsia="zh-CN"/>
        </w:rPr>
        <w:t>(en adelante, la Sociedad Concesionaria); en los términos y condiciones siguientes:</w:t>
      </w:r>
    </w:p>
    <w:p w:rsidR="006F657A" w:rsidRPr="00076DCD" w:rsidRDefault="006F657A"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1.</w:t>
      </w:r>
      <w:r w:rsidRPr="00076DCD">
        <w:rPr>
          <w:rFonts w:ascii="Arial" w:eastAsia="Times New Roman" w:hAnsi="Arial" w:cs="Arial"/>
          <w:b/>
          <w:sz w:val="24"/>
          <w:szCs w:val="24"/>
          <w:lang w:eastAsia="zh-CN"/>
        </w:rPr>
        <w:tab/>
        <w:t>Disposiciones preliminares</w:t>
      </w:r>
    </w:p>
    <w:p w:rsidR="006F657A" w:rsidRPr="00076DCD" w:rsidRDefault="006F657A" w:rsidP="00B07EB1">
      <w:pPr>
        <w:widowControl w:val="0"/>
        <w:suppressLineNumbers/>
        <w:tabs>
          <w:tab w:val="left" w:pos="567"/>
        </w:tabs>
        <w:suppressAutoHyphens/>
        <w:spacing w:before="120" w:after="0" w:line="257" w:lineRule="auto"/>
        <w:ind w:left="567" w:hanging="567"/>
        <w:jc w:val="both"/>
        <w:rPr>
          <w:rFonts w:ascii="Arial" w:eastAsia="Times New Roman" w:hAnsi="Arial" w:cs="Arial"/>
          <w:sz w:val="21"/>
          <w:szCs w:val="21"/>
          <w:lang w:eastAsia="es-ES"/>
        </w:rPr>
      </w:pPr>
      <w:r w:rsidRPr="00076DCD">
        <w:rPr>
          <w:rFonts w:ascii="Arial" w:eastAsia="Times New Roman" w:hAnsi="Arial" w:cs="Arial"/>
          <w:sz w:val="21"/>
          <w:szCs w:val="21"/>
          <w:lang w:eastAsia="es-ES"/>
        </w:rPr>
        <w:t>1.1</w:t>
      </w:r>
      <w:r w:rsidRPr="00076DCD">
        <w:rPr>
          <w:rFonts w:ascii="Arial" w:eastAsia="Times New Roman" w:hAnsi="Arial" w:cs="Arial"/>
          <w:sz w:val="21"/>
          <w:szCs w:val="21"/>
          <w:lang w:eastAsia="es-ES"/>
        </w:rPr>
        <w:tab/>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Leg. N° 1012) y su reglamento (D.S. 146-2008-EF) y otras Leyes Aplicables, así como las disposiciones y actos siguientes:</w:t>
      </w:r>
    </w:p>
    <w:p w:rsidR="006F657A" w:rsidRPr="00076DCD" w:rsidRDefault="006F657A" w:rsidP="003B11E7">
      <w:pPr>
        <w:widowControl w:val="0"/>
        <w:numPr>
          <w:ilvl w:val="0"/>
          <w:numId w:val="1"/>
        </w:numPr>
        <w:suppressLineNumbers/>
        <w:tabs>
          <w:tab w:val="clear" w:pos="927"/>
          <w:tab w:val="left" w:pos="993"/>
        </w:tabs>
        <w:suppressAutoHyphens/>
        <w:spacing w:before="80" w:after="0" w:line="257" w:lineRule="auto"/>
        <w:ind w:left="992" w:hanging="425"/>
        <w:jc w:val="both"/>
        <w:rPr>
          <w:rFonts w:ascii="Arial" w:eastAsia="Times New Roman" w:hAnsi="Arial" w:cs="Arial"/>
          <w:sz w:val="21"/>
          <w:szCs w:val="21"/>
          <w:lang w:eastAsia="es-ES"/>
        </w:rPr>
      </w:pPr>
      <w:r w:rsidRPr="00076DCD">
        <w:rPr>
          <w:rFonts w:ascii="Arial" w:eastAsia="Times New Roman" w:hAnsi="Arial" w:cs="Arial"/>
          <w:sz w:val="21"/>
          <w:szCs w:val="21"/>
          <w:lang w:eastAsia="es-ES"/>
        </w:rPr>
        <w:t>La Resolución Ministerial Nº 270-2013-MEM/DM, del Ministerio de Energía y Minas publicada el 13 de julio de 2013, que encarga a PROINVERSIÓN la conducción del proceso de licitación necesario hasta la Adjudicación de la Buena Pro del Proyecto “Línea de Transmisión 220 kV La Planicie – Industriales y Subestaciones Asociadas”.</w:t>
      </w:r>
    </w:p>
    <w:p w:rsidR="006F657A" w:rsidRPr="00076DCD" w:rsidRDefault="006F657A" w:rsidP="003B11E7">
      <w:pPr>
        <w:widowControl w:val="0"/>
        <w:numPr>
          <w:ilvl w:val="0"/>
          <w:numId w:val="1"/>
        </w:numPr>
        <w:suppressLineNumbers/>
        <w:tabs>
          <w:tab w:val="clear" w:pos="927"/>
          <w:tab w:val="left" w:pos="993"/>
        </w:tabs>
        <w:suppressAutoHyphens/>
        <w:spacing w:before="80" w:after="0" w:line="257" w:lineRule="auto"/>
        <w:ind w:left="992" w:hanging="425"/>
        <w:jc w:val="both"/>
        <w:rPr>
          <w:rFonts w:ascii="Arial" w:eastAsia="Times New Roman" w:hAnsi="Arial" w:cs="Arial"/>
          <w:sz w:val="21"/>
          <w:szCs w:val="21"/>
          <w:lang w:eastAsia="es-ES"/>
        </w:rPr>
      </w:pPr>
      <w:r w:rsidRPr="00076DCD">
        <w:rPr>
          <w:rFonts w:ascii="Arial" w:eastAsia="Times New Roman" w:hAnsi="Arial" w:cs="Arial"/>
          <w:sz w:val="21"/>
          <w:szCs w:val="21"/>
          <w:lang w:eastAsia="es-ES"/>
        </w:rPr>
        <w:t xml:space="preserve">La Resolución Suprema N° </w:t>
      </w:r>
      <w:r w:rsidR="00155F62" w:rsidRPr="00076DCD">
        <w:rPr>
          <w:rFonts w:ascii="Arial" w:eastAsia="Times New Roman" w:hAnsi="Arial" w:cs="Arial"/>
          <w:sz w:val="21"/>
          <w:szCs w:val="21"/>
          <w:lang w:eastAsia="es-ES"/>
        </w:rPr>
        <w:t>059</w:t>
      </w:r>
      <w:r w:rsidRPr="00076DCD">
        <w:rPr>
          <w:rFonts w:ascii="Arial" w:eastAsia="Times New Roman" w:hAnsi="Arial" w:cs="Arial"/>
          <w:sz w:val="21"/>
          <w:szCs w:val="21"/>
          <w:lang w:eastAsia="es-ES"/>
        </w:rPr>
        <w:t xml:space="preserve">-2013-EF, publicada el </w:t>
      </w:r>
      <w:r w:rsidR="00155F62" w:rsidRPr="00076DCD">
        <w:rPr>
          <w:rFonts w:ascii="Arial" w:eastAsia="Times New Roman" w:hAnsi="Arial" w:cs="Arial"/>
          <w:sz w:val="21"/>
          <w:szCs w:val="21"/>
          <w:lang w:eastAsia="es-ES"/>
        </w:rPr>
        <w:t>16</w:t>
      </w:r>
      <w:r w:rsidRPr="00076DCD">
        <w:rPr>
          <w:rFonts w:ascii="Arial" w:eastAsia="Times New Roman" w:hAnsi="Arial" w:cs="Arial"/>
          <w:sz w:val="21"/>
          <w:szCs w:val="21"/>
          <w:lang w:eastAsia="es-ES"/>
        </w:rPr>
        <w:t xml:space="preserve"> de </w:t>
      </w:r>
      <w:r w:rsidR="00155F62" w:rsidRPr="00076DCD">
        <w:rPr>
          <w:rFonts w:ascii="Arial" w:eastAsia="Times New Roman" w:hAnsi="Arial" w:cs="Arial"/>
          <w:sz w:val="21"/>
          <w:szCs w:val="21"/>
          <w:lang w:eastAsia="es-ES"/>
        </w:rPr>
        <w:t xml:space="preserve">octubre </w:t>
      </w:r>
      <w:r w:rsidRPr="00076DCD">
        <w:rPr>
          <w:rFonts w:ascii="Arial" w:eastAsia="Times New Roman" w:hAnsi="Arial" w:cs="Arial"/>
          <w:sz w:val="21"/>
          <w:szCs w:val="21"/>
          <w:lang w:eastAsia="es-ES"/>
        </w:rPr>
        <w:t>de 2013, mediante la cual se ratifica el acuerdo del Consejo Directivo de PROINVERSIÓN adoptado en su sesión de fecha</w:t>
      </w:r>
      <w:r w:rsidR="00155F62" w:rsidRPr="00076DCD">
        <w:rPr>
          <w:rFonts w:ascii="Arial" w:eastAsia="Times New Roman" w:hAnsi="Arial" w:cs="Arial"/>
          <w:sz w:val="21"/>
          <w:szCs w:val="21"/>
          <w:lang w:eastAsia="es-ES"/>
        </w:rPr>
        <w:t xml:space="preserve"> 09</w:t>
      </w:r>
      <w:r w:rsidRPr="00076DCD">
        <w:rPr>
          <w:rFonts w:ascii="Arial" w:eastAsia="Times New Roman" w:hAnsi="Arial" w:cs="Arial"/>
          <w:sz w:val="21"/>
          <w:szCs w:val="21"/>
          <w:lang w:eastAsia="es-ES"/>
        </w:rPr>
        <w:t xml:space="preserve"> de </w:t>
      </w:r>
      <w:r w:rsidR="00155F62" w:rsidRPr="00076DCD">
        <w:rPr>
          <w:rFonts w:ascii="Arial" w:eastAsia="Times New Roman" w:hAnsi="Arial" w:cs="Arial"/>
          <w:sz w:val="21"/>
          <w:szCs w:val="21"/>
          <w:lang w:eastAsia="es-ES"/>
        </w:rPr>
        <w:t>agosto</w:t>
      </w:r>
      <w:r w:rsidRPr="00076DCD">
        <w:rPr>
          <w:rFonts w:ascii="Arial" w:eastAsia="Times New Roman" w:hAnsi="Arial" w:cs="Arial"/>
          <w:sz w:val="21"/>
          <w:szCs w:val="21"/>
          <w:lang w:eastAsia="es-ES"/>
        </w:rPr>
        <w:t xml:space="preserve"> de 2013, que aprueba la incorporación al proceso de promoción de la inversión privada del proyecto “Línea de Transmisión 220 kV La Planicie-Industriales y Subestaciones Asociadas”; y acuerdo del Consejo Directivo de PROINVERSIÓN adoptado en su sesión de fecha</w:t>
      </w:r>
      <w:r w:rsidR="00155F62" w:rsidRPr="00076DCD">
        <w:rPr>
          <w:rFonts w:ascii="Arial" w:eastAsia="Times New Roman" w:hAnsi="Arial" w:cs="Arial"/>
          <w:sz w:val="21"/>
          <w:szCs w:val="21"/>
          <w:lang w:eastAsia="es-ES"/>
        </w:rPr>
        <w:t xml:space="preserve"> 05</w:t>
      </w:r>
      <w:r w:rsidRPr="00076DCD">
        <w:rPr>
          <w:rFonts w:ascii="Arial" w:eastAsia="Times New Roman" w:hAnsi="Arial" w:cs="Arial"/>
          <w:sz w:val="21"/>
          <w:szCs w:val="21"/>
          <w:lang w:eastAsia="es-ES"/>
        </w:rPr>
        <w:t xml:space="preserve"> de </w:t>
      </w:r>
      <w:r w:rsidR="00155F62" w:rsidRPr="00076DCD">
        <w:rPr>
          <w:rFonts w:ascii="Arial" w:eastAsia="Times New Roman" w:hAnsi="Arial" w:cs="Arial"/>
          <w:sz w:val="21"/>
          <w:szCs w:val="21"/>
          <w:lang w:eastAsia="es-ES"/>
        </w:rPr>
        <w:t>setiembre</w:t>
      </w:r>
      <w:r w:rsidRPr="00076DCD">
        <w:rPr>
          <w:rFonts w:ascii="Arial" w:eastAsia="Times New Roman" w:hAnsi="Arial" w:cs="Arial"/>
          <w:sz w:val="21"/>
          <w:szCs w:val="21"/>
          <w:lang w:eastAsia="es-ES"/>
        </w:rPr>
        <w:t xml:space="preserve"> de 2013, que aprueba el Plan de Promoción que regirá el Concurso.</w:t>
      </w:r>
    </w:p>
    <w:p w:rsidR="006F657A" w:rsidRPr="00076DCD" w:rsidRDefault="006F657A" w:rsidP="003B11E7">
      <w:pPr>
        <w:widowControl w:val="0"/>
        <w:numPr>
          <w:ilvl w:val="0"/>
          <w:numId w:val="1"/>
        </w:numPr>
        <w:suppressLineNumbers/>
        <w:tabs>
          <w:tab w:val="clear" w:pos="927"/>
          <w:tab w:val="left" w:pos="993"/>
        </w:tabs>
        <w:suppressAutoHyphens/>
        <w:spacing w:before="80" w:after="0" w:line="257" w:lineRule="auto"/>
        <w:ind w:left="992" w:hanging="425"/>
        <w:jc w:val="both"/>
        <w:rPr>
          <w:rFonts w:ascii="Arial" w:eastAsia="Times New Roman" w:hAnsi="Arial" w:cs="Arial"/>
          <w:sz w:val="21"/>
          <w:szCs w:val="21"/>
          <w:lang w:eastAsia="es-ES"/>
        </w:rPr>
      </w:pPr>
      <w:r w:rsidRPr="00076DCD">
        <w:rPr>
          <w:rFonts w:ascii="Arial" w:eastAsia="Times New Roman" w:hAnsi="Arial" w:cs="Arial"/>
          <w:sz w:val="21"/>
          <w:szCs w:val="21"/>
          <w:lang w:eastAsia="es-ES"/>
        </w:rPr>
        <w:t>La decisión de fecha ____/____/___ adoptada por el Comité declarando la buena pro.</w:t>
      </w:r>
    </w:p>
    <w:p w:rsidR="006F657A" w:rsidRPr="00076DCD" w:rsidRDefault="006F657A" w:rsidP="003B11E7">
      <w:pPr>
        <w:widowControl w:val="0"/>
        <w:numPr>
          <w:ilvl w:val="0"/>
          <w:numId w:val="1"/>
        </w:numPr>
        <w:suppressLineNumbers/>
        <w:tabs>
          <w:tab w:val="clear" w:pos="927"/>
          <w:tab w:val="left" w:pos="993"/>
        </w:tabs>
        <w:suppressAutoHyphens/>
        <w:spacing w:before="80" w:after="0" w:line="257" w:lineRule="auto"/>
        <w:ind w:left="992" w:hanging="425"/>
        <w:jc w:val="both"/>
        <w:rPr>
          <w:rFonts w:ascii="Arial" w:eastAsia="Times New Roman" w:hAnsi="Arial" w:cs="Arial"/>
          <w:sz w:val="21"/>
          <w:szCs w:val="21"/>
          <w:lang w:eastAsia="es-ES"/>
        </w:rPr>
      </w:pPr>
      <w:r w:rsidRPr="00076DCD">
        <w:rPr>
          <w:rFonts w:ascii="Arial" w:eastAsia="Times New Roman" w:hAnsi="Arial" w:cs="Arial"/>
          <w:sz w:val="21"/>
          <w:szCs w:val="21"/>
          <w:lang w:eastAsia="es-ES"/>
        </w:rPr>
        <w:t>La Resolución Ministerial Nº ______________ -MEM/DM, que autorizó al ______ ____________________________________________________________ a suscribir el Contrato.</w:t>
      </w:r>
    </w:p>
    <w:p w:rsidR="006F657A" w:rsidRPr="00076DCD" w:rsidRDefault="006F657A" w:rsidP="00B07EB1">
      <w:pPr>
        <w:widowControl w:val="0"/>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1.2</w:t>
      </w:r>
      <w:r w:rsidRPr="00076DCD">
        <w:rPr>
          <w:rFonts w:ascii="Arial" w:eastAsia="Times New Roman" w:hAnsi="Arial" w:cs="Arial"/>
          <w:sz w:val="21"/>
          <w:szCs w:val="21"/>
          <w:lang w:eastAsia="zh-CN"/>
        </w:rPr>
        <w:tab/>
        <w:t>El Contrato se ha negociado, redactado y suscrito con arreglo al derecho interno del Perú; y su contenido, ejecución y demás consecuencias que de él se originen se regirán por dicho derecho.</w:t>
      </w:r>
    </w:p>
    <w:p w:rsidR="006F657A" w:rsidRPr="00076DCD" w:rsidRDefault="006F657A" w:rsidP="00B07EB1">
      <w:pPr>
        <w:widowControl w:val="0"/>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1.3</w:t>
      </w:r>
      <w:r w:rsidRPr="00076DCD">
        <w:rPr>
          <w:rFonts w:ascii="Arial" w:eastAsia="Times New Roman" w:hAnsi="Arial" w:cs="Arial"/>
          <w:sz w:val="21"/>
          <w:szCs w:val="21"/>
          <w:lang w:eastAsia="zh-CN"/>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6F657A" w:rsidRPr="00076DCD" w:rsidRDefault="006F657A" w:rsidP="00B07EB1">
      <w:pPr>
        <w:widowControl w:val="0"/>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1.4</w:t>
      </w:r>
      <w:r w:rsidRPr="00076DCD">
        <w:rPr>
          <w:rFonts w:ascii="Arial" w:eastAsia="Times New Roman" w:hAnsi="Arial" w:cs="Arial"/>
          <w:sz w:val="21"/>
          <w:szCs w:val="21"/>
          <w:lang w:eastAsia="zh-CN"/>
        </w:rPr>
        <w:tab/>
        <w:t>En el Contrato:</w:t>
      </w:r>
    </w:p>
    <w:p w:rsidR="006F657A" w:rsidRPr="00076DCD" w:rsidRDefault="006F657A" w:rsidP="003B11E7">
      <w:pPr>
        <w:pStyle w:val="Prrafodelista"/>
        <w:widowControl w:val="0"/>
        <w:numPr>
          <w:ilvl w:val="0"/>
          <w:numId w:val="45"/>
        </w:numPr>
        <w:suppressLineNumbers/>
        <w:tabs>
          <w:tab w:val="clear" w:pos="567"/>
          <w:tab w:val="clear" w:pos="1134"/>
          <w:tab w:val="clear" w:pos="1701"/>
          <w:tab w:val="clear" w:pos="2268"/>
          <w:tab w:val="clear" w:pos="2835"/>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Los términos que se inician con mayúscula ya sea que se usen en singular o plural, tienen los significados que se indican en el Anexo Nº 3.</w:t>
      </w:r>
    </w:p>
    <w:p w:rsidR="006F657A" w:rsidRPr="00076DCD" w:rsidRDefault="006F657A" w:rsidP="003B11E7">
      <w:pPr>
        <w:pStyle w:val="Prrafodelista"/>
        <w:widowControl w:val="0"/>
        <w:numPr>
          <w:ilvl w:val="0"/>
          <w:numId w:val="45"/>
        </w:numPr>
        <w:suppressLineNumbers/>
        <w:tabs>
          <w:tab w:val="clear" w:pos="567"/>
          <w:tab w:val="clear" w:pos="1134"/>
          <w:tab w:val="clear" w:pos="1701"/>
          <w:tab w:val="clear" w:pos="2268"/>
          <w:tab w:val="clear" w:pos="2835"/>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Los términos que se inician con mayúscula, ya sea que se usen en singular o plural, que no están definidos en el Anexo Nº 3 u otras secciones del Contrato, tendrán los significados que les atribuyen las Bases o las Leyes Aplicables, o corresponden a términos que por lo común son empleados con mayúsculas.</w:t>
      </w:r>
    </w:p>
    <w:p w:rsidR="006F657A" w:rsidRPr="00076DCD" w:rsidRDefault="006F657A" w:rsidP="003B11E7">
      <w:pPr>
        <w:pStyle w:val="Prrafodelista"/>
        <w:widowControl w:val="0"/>
        <w:numPr>
          <w:ilvl w:val="0"/>
          <w:numId w:val="45"/>
        </w:numPr>
        <w:suppressLineNumbers/>
        <w:tabs>
          <w:tab w:val="clear" w:pos="567"/>
          <w:tab w:val="clear" w:pos="1134"/>
          <w:tab w:val="clear" w:pos="1701"/>
          <w:tab w:val="clear" w:pos="2268"/>
          <w:tab w:val="clear" w:pos="2835"/>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Toda referencia efectuada en el Contrato a “cláusula” o “anexo” se deberá entender efectuada a cláusulas o anexos del Contrato, salvo indicación expresa en sentido contrario.</w:t>
      </w:r>
    </w:p>
    <w:p w:rsidR="006F657A" w:rsidRPr="00076DCD" w:rsidRDefault="006F657A" w:rsidP="003B11E7">
      <w:pPr>
        <w:pStyle w:val="Prrafodelista"/>
        <w:widowControl w:val="0"/>
        <w:numPr>
          <w:ilvl w:val="0"/>
          <w:numId w:val="45"/>
        </w:numPr>
        <w:suppressLineNumbers/>
        <w:tabs>
          <w:tab w:val="clear" w:pos="567"/>
          <w:tab w:val="clear" w:pos="1134"/>
          <w:tab w:val="clear" w:pos="1701"/>
          <w:tab w:val="clear" w:pos="2268"/>
          <w:tab w:val="clear" w:pos="2835"/>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6F657A" w:rsidRPr="00076DCD" w:rsidRDefault="006F657A" w:rsidP="003B11E7">
      <w:pPr>
        <w:pStyle w:val="Prrafodelista"/>
        <w:widowControl w:val="0"/>
        <w:numPr>
          <w:ilvl w:val="0"/>
          <w:numId w:val="45"/>
        </w:numPr>
        <w:suppressLineNumbers/>
        <w:tabs>
          <w:tab w:val="clear" w:pos="567"/>
          <w:tab w:val="clear" w:pos="1134"/>
          <w:tab w:val="clear" w:pos="1701"/>
          <w:tab w:val="clear" w:pos="2268"/>
          <w:tab w:val="clear" w:pos="2835"/>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Los términos en singular incluirán los mismos términos en plural y viceversa. Los términos en masculino incluyen al femenino y viceversa.</w:t>
      </w:r>
    </w:p>
    <w:p w:rsidR="006F657A" w:rsidRPr="00076DCD" w:rsidRDefault="006F657A"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2.</w:t>
      </w:r>
      <w:r w:rsidRPr="00076DCD">
        <w:rPr>
          <w:rFonts w:ascii="Arial" w:eastAsia="Times New Roman" w:hAnsi="Arial" w:cs="Arial"/>
          <w:b/>
          <w:sz w:val="24"/>
          <w:szCs w:val="24"/>
          <w:lang w:eastAsia="zh-CN"/>
        </w:rPr>
        <w:tab/>
        <w:t>Declaraciones de las Partes</w:t>
      </w:r>
    </w:p>
    <w:p w:rsidR="006F657A" w:rsidRPr="00076DCD" w:rsidRDefault="006F657A" w:rsidP="00B07EB1">
      <w:pPr>
        <w:pStyle w:val="Prrafodelista"/>
        <w:widowControl w:val="0"/>
        <w:numPr>
          <w:ilvl w:val="0"/>
          <w:numId w:val="46"/>
        </w:numPr>
        <w:suppressLineNumbers/>
        <w:tabs>
          <w:tab w:val="clear" w:pos="1134"/>
          <w:tab w:val="clear" w:pos="1701"/>
          <w:tab w:val="clear" w:pos="2268"/>
          <w:tab w:val="clear" w:pos="2835"/>
        </w:tabs>
        <w:suppressAutoHyphens/>
        <w:spacing w:before="120" w:line="257" w:lineRule="auto"/>
        <w:ind w:left="567" w:hanging="567"/>
        <w:jc w:val="both"/>
        <w:rPr>
          <w:rFonts w:ascii="Arial" w:hAnsi="Arial" w:cs="Arial"/>
          <w:sz w:val="21"/>
          <w:szCs w:val="21"/>
        </w:rPr>
      </w:pPr>
      <w:r w:rsidRPr="00076DCD">
        <w:rPr>
          <w:rFonts w:ascii="Arial" w:hAnsi="Arial" w:cs="Arial"/>
          <w:sz w:val="21"/>
          <w:szCs w:val="21"/>
        </w:rPr>
        <w:t>La Sociedad Concesionaria garantiza al Concedente, en la fecha de Cierre, la veracidad y exactitud de las declaraciones siguientes:</w:t>
      </w:r>
    </w:p>
    <w:p w:rsidR="006F657A" w:rsidRPr="00076DCD" w:rsidRDefault="006F657A" w:rsidP="003B11E7">
      <w:pPr>
        <w:pStyle w:val="Prrafodelista"/>
        <w:widowControl w:val="0"/>
        <w:numPr>
          <w:ilvl w:val="0"/>
          <w:numId w:val="47"/>
        </w:numPr>
        <w:suppressLineNumbers/>
        <w:tabs>
          <w:tab w:val="clear" w:pos="567"/>
          <w:tab w:val="clear" w:pos="1134"/>
          <w:tab w:val="clear" w:pos="1701"/>
          <w:tab w:val="clear" w:pos="2268"/>
          <w:tab w:val="clear" w:pos="2835"/>
          <w:tab w:val="left" w:pos="993"/>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 xml:space="preserve">La Sociedad Concesionaria y el </w:t>
      </w:r>
      <w:r w:rsidR="0054392C" w:rsidRPr="00076DCD">
        <w:rPr>
          <w:rFonts w:ascii="Arial" w:hAnsi="Arial" w:cs="Arial"/>
          <w:sz w:val="21"/>
          <w:szCs w:val="21"/>
        </w:rPr>
        <w:t>Operador Calificado</w:t>
      </w:r>
      <w:r w:rsidRPr="00076DCD">
        <w:rPr>
          <w:rFonts w:ascii="Arial" w:hAnsi="Arial" w:cs="Arial"/>
          <w:sz w:val="21"/>
          <w:szCs w:val="21"/>
        </w:rPr>
        <w:t xml:space="preserve">: (i) </w:t>
      </w:r>
      <w:r w:rsidRPr="00076DCD">
        <w:rPr>
          <w:rFonts w:ascii="Arial" w:hAnsi="Arial" w:cs="Arial"/>
          <w:color w:val="000000"/>
          <w:sz w:val="21"/>
          <w:szCs w:val="21"/>
        </w:rPr>
        <w:t>La Sociedad Concesionaria se encuentra</w:t>
      </w:r>
      <w:r w:rsidRPr="00076DCD">
        <w:rPr>
          <w:rFonts w:ascii="Arial" w:hAnsi="Arial" w:cs="Arial"/>
          <w:sz w:val="21"/>
          <w:szCs w:val="21"/>
        </w:rPr>
        <w:t xml:space="preserve"> debidamente </w:t>
      </w:r>
      <w:r w:rsidRPr="00076DCD">
        <w:rPr>
          <w:rFonts w:ascii="Arial" w:hAnsi="Arial" w:cs="Arial"/>
          <w:color w:val="000000"/>
          <w:sz w:val="21"/>
          <w:szCs w:val="21"/>
        </w:rPr>
        <w:t>constituida</w:t>
      </w:r>
      <w:r w:rsidRPr="00076DCD">
        <w:rPr>
          <w:rFonts w:ascii="Arial" w:hAnsi="Arial" w:cs="Arial"/>
          <w:sz w:val="21"/>
          <w:szCs w:val="21"/>
        </w:rPr>
        <w:t xml:space="preserve"> y válidamente </w:t>
      </w:r>
      <w:r w:rsidRPr="00076DCD">
        <w:rPr>
          <w:rFonts w:ascii="Arial" w:hAnsi="Arial" w:cs="Arial"/>
          <w:color w:val="000000"/>
          <w:sz w:val="21"/>
          <w:szCs w:val="21"/>
        </w:rPr>
        <w:t>existente</w:t>
      </w:r>
      <w:r w:rsidRPr="00076DCD">
        <w:rPr>
          <w:rFonts w:ascii="Arial" w:hAnsi="Arial" w:cs="Arial"/>
          <w:sz w:val="21"/>
          <w:szCs w:val="21"/>
        </w:rPr>
        <w:t xml:space="preserve"> conforme a las Leyes Aplicables</w:t>
      </w:r>
      <w:r w:rsidRPr="00076DCD">
        <w:rPr>
          <w:rFonts w:ascii="Arial" w:hAnsi="Arial" w:cs="Arial"/>
          <w:color w:val="000000"/>
          <w:sz w:val="21"/>
          <w:szCs w:val="21"/>
        </w:rPr>
        <w:t xml:space="preserve">, y el </w:t>
      </w:r>
      <w:r w:rsidR="0054392C" w:rsidRPr="00076DCD">
        <w:rPr>
          <w:rFonts w:ascii="Arial" w:hAnsi="Arial" w:cs="Arial"/>
          <w:color w:val="000000"/>
          <w:sz w:val="21"/>
          <w:szCs w:val="21"/>
        </w:rPr>
        <w:t>Operador Calificado</w:t>
      </w:r>
      <w:r w:rsidRPr="00076DCD">
        <w:rPr>
          <w:rFonts w:ascii="Arial" w:hAnsi="Arial" w:cs="Arial"/>
          <w:color w:val="000000"/>
          <w:sz w:val="21"/>
          <w:szCs w:val="21"/>
        </w:rPr>
        <w:t xml:space="preserve"> es una sociedad debidamente constituida y válidamente existente conforme a las leyes del país o lugar de su constitución</w:t>
      </w:r>
      <w:r w:rsidRPr="00076DCD">
        <w:rPr>
          <w:rFonts w:ascii="Arial" w:hAnsi="Arial" w:cs="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6F657A" w:rsidRPr="00076DCD" w:rsidRDefault="006F657A" w:rsidP="003B11E7">
      <w:pPr>
        <w:pStyle w:val="Prrafodelista"/>
        <w:widowControl w:val="0"/>
        <w:numPr>
          <w:ilvl w:val="0"/>
          <w:numId w:val="47"/>
        </w:numPr>
        <w:suppressLineNumbers/>
        <w:tabs>
          <w:tab w:val="clear" w:pos="567"/>
          <w:tab w:val="clear" w:pos="1134"/>
          <w:tab w:val="clear" w:pos="1701"/>
          <w:tab w:val="clear" w:pos="2268"/>
          <w:tab w:val="clear" w:pos="2835"/>
          <w:tab w:val="left" w:pos="993"/>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 xml:space="preserve">La firma, entrega y cumplimiento del Contrato, por parte de la Sociedad Concesionaria y el </w:t>
      </w:r>
      <w:r w:rsidR="0054392C" w:rsidRPr="00076DCD">
        <w:rPr>
          <w:rFonts w:ascii="Arial" w:hAnsi="Arial" w:cs="Arial"/>
          <w:sz w:val="21"/>
          <w:szCs w:val="21"/>
        </w:rPr>
        <w:t>Operador Calificado</w:t>
      </w:r>
      <w:r w:rsidRPr="00076DCD">
        <w:rPr>
          <w:rFonts w:ascii="Arial" w:hAnsi="Arial" w:cs="Arial"/>
          <w:sz w:val="21"/>
          <w:szCs w:val="21"/>
        </w:rPr>
        <w:t>, están comprendidos dentro de sus facultades y han sido debidamente autorizados por los respectivos directorios u otros órganos similares.</w:t>
      </w:r>
    </w:p>
    <w:p w:rsidR="006F657A" w:rsidRPr="00076DCD" w:rsidRDefault="006F657A" w:rsidP="003B11E7">
      <w:pPr>
        <w:pStyle w:val="Prrafodelista"/>
        <w:widowControl w:val="0"/>
        <w:numPr>
          <w:ilvl w:val="0"/>
          <w:numId w:val="47"/>
        </w:numPr>
        <w:suppressLineNumbers/>
        <w:tabs>
          <w:tab w:val="clear" w:pos="567"/>
          <w:tab w:val="clear" w:pos="1134"/>
          <w:tab w:val="clear" w:pos="1701"/>
          <w:tab w:val="clear" w:pos="2268"/>
          <w:tab w:val="clear" w:pos="2835"/>
          <w:tab w:val="left" w:pos="993"/>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 xml:space="preserve">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w:t>
      </w:r>
      <w:r w:rsidR="0054392C" w:rsidRPr="00076DCD">
        <w:rPr>
          <w:rFonts w:ascii="Arial" w:hAnsi="Arial" w:cs="Arial"/>
          <w:sz w:val="21"/>
          <w:szCs w:val="21"/>
        </w:rPr>
        <w:t>Operador Calificado</w:t>
      </w:r>
      <w:r w:rsidRPr="00076DCD">
        <w:rPr>
          <w:rFonts w:ascii="Arial" w:hAnsi="Arial" w:cs="Arial"/>
          <w:sz w:val="21"/>
          <w:szCs w:val="21"/>
        </w:rPr>
        <w:t xml:space="preserve"> conforme a sus términos.</w:t>
      </w:r>
    </w:p>
    <w:p w:rsidR="006F657A" w:rsidRPr="00076DCD" w:rsidRDefault="006F657A" w:rsidP="003B11E7">
      <w:pPr>
        <w:pStyle w:val="Prrafodelista"/>
        <w:widowControl w:val="0"/>
        <w:numPr>
          <w:ilvl w:val="0"/>
          <w:numId w:val="47"/>
        </w:numPr>
        <w:suppressLineNumbers/>
        <w:tabs>
          <w:tab w:val="clear" w:pos="567"/>
          <w:tab w:val="clear" w:pos="1134"/>
          <w:tab w:val="clear" w:pos="1701"/>
          <w:tab w:val="clear" w:pos="2268"/>
          <w:tab w:val="clear" w:pos="2835"/>
          <w:tab w:val="left" w:pos="993"/>
        </w:tabs>
        <w:suppressAutoHyphens/>
        <w:spacing w:before="80" w:line="257" w:lineRule="auto"/>
        <w:ind w:left="992" w:hanging="425"/>
        <w:jc w:val="both"/>
        <w:rPr>
          <w:rFonts w:ascii="Arial" w:hAnsi="Arial" w:cs="Arial"/>
          <w:sz w:val="21"/>
          <w:szCs w:val="21"/>
        </w:rPr>
      </w:pPr>
      <w:r w:rsidRPr="00076DCD">
        <w:rPr>
          <w:rFonts w:ascii="Arial" w:hAnsi="Arial" w:cs="Arial"/>
          <w:sz w:val="21"/>
          <w:szCs w:val="21"/>
        </w:rPr>
        <w:t xml:space="preserve">No existen acciones, juicios, arbitrajes u otros procedimientos legales en curso, ni sentencias, ni decisiones de cualquier clase no ejecutadas, contra la Sociedad Concesionaria, el </w:t>
      </w:r>
      <w:r w:rsidR="0054392C" w:rsidRPr="00076DCD">
        <w:rPr>
          <w:rFonts w:ascii="Arial" w:hAnsi="Arial" w:cs="Arial"/>
          <w:sz w:val="21"/>
          <w:szCs w:val="21"/>
        </w:rPr>
        <w:t>Operador Calificado</w:t>
      </w:r>
      <w:r w:rsidRPr="00076DCD">
        <w:rPr>
          <w:rFonts w:ascii="Arial" w:hAnsi="Arial" w:cs="Arial"/>
          <w:sz w:val="21"/>
          <w:szCs w:val="21"/>
        </w:rPr>
        <w:t xml:space="preserve"> o cualquier socio principal de ambos, que tengan por objeto prohibir, impedir o limitar el cumplimiento de los compromisos u obligaciones contemplados en el Contrato.</w:t>
      </w:r>
    </w:p>
    <w:p w:rsidR="006F657A" w:rsidRPr="00076DCD" w:rsidRDefault="006F657A" w:rsidP="003B11E7">
      <w:pPr>
        <w:pStyle w:val="Prrafodelista"/>
        <w:widowControl w:val="0"/>
        <w:numPr>
          <w:ilvl w:val="0"/>
          <w:numId w:val="46"/>
        </w:numPr>
        <w:suppressLineNumbers/>
        <w:tabs>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lastRenderedPageBreak/>
        <w:t>El Concedente garantiza a la Sociedad Concesionaria, en la fecha de Cierre, la veracidad y exactitud de las siguientes declaraciones:</w:t>
      </w:r>
    </w:p>
    <w:p w:rsidR="006F657A" w:rsidRPr="00076DCD" w:rsidRDefault="006F657A" w:rsidP="003B11E7">
      <w:pPr>
        <w:pStyle w:val="Prrafodelista"/>
        <w:widowControl w:val="0"/>
        <w:numPr>
          <w:ilvl w:val="0"/>
          <w:numId w:val="48"/>
        </w:numPr>
        <w:suppressLineNumbers/>
        <w:tabs>
          <w:tab w:val="clear" w:pos="567"/>
          <w:tab w:val="clear" w:pos="1134"/>
          <w:tab w:val="clear" w:pos="1701"/>
          <w:tab w:val="clear" w:pos="2268"/>
          <w:tab w:val="clear" w:pos="2835"/>
          <w:tab w:val="left" w:pos="993"/>
        </w:tabs>
        <w:suppressAutoHyphens/>
        <w:spacing w:before="80" w:line="250" w:lineRule="auto"/>
        <w:ind w:left="992" w:hanging="425"/>
        <w:jc w:val="both"/>
        <w:rPr>
          <w:rFonts w:ascii="Arial" w:hAnsi="Arial" w:cs="Arial"/>
          <w:sz w:val="21"/>
          <w:szCs w:val="21"/>
        </w:rPr>
      </w:pPr>
      <w:r w:rsidRPr="00076DCD">
        <w:rPr>
          <w:rFonts w:ascii="Arial" w:hAnsi="Arial" w:cs="Arial"/>
          <w:sz w:val="21"/>
          <w:szCs w:val="21"/>
        </w:rPr>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6F657A" w:rsidRPr="00076DCD" w:rsidRDefault="006F657A" w:rsidP="003B11E7">
      <w:pPr>
        <w:pStyle w:val="Prrafodelista"/>
        <w:widowControl w:val="0"/>
        <w:numPr>
          <w:ilvl w:val="0"/>
          <w:numId w:val="48"/>
        </w:numPr>
        <w:suppressLineNumbers/>
        <w:tabs>
          <w:tab w:val="clear" w:pos="567"/>
          <w:tab w:val="clear" w:pos="1134"/>
          <w:tab w:val="clear" w:pos="1701"/>
          <w:tab w:val="clear" w:pos="2268"/>
          <w:tab w:val="clear" w:pos="2835"/>
          <w:tab w:val="left" w:pos="993"/>
        </w:tabs>
        <w:suppressAutoHyphens/>
        <w:spacing w:before="80" w:line="250" w:lineRule="auto"/>
        <w:ind w:left="992" w:hanging="425"/>
        <w:jc w:val="both"/>
        <w:rPr>
          <w:rFonts w:ascii="Arial" w:hAnsi="Arial" w:cs="Arial"/>
          <w:sz w:val="21"/>
          <w:szCs w:val="21"/>
        </w:rPr>
      </w:pPr>
      <w:r w:rsidRPr="00076DCD">
        <w:rPr>
          <w:rFonts w:ascii="Arial" w:hAnsi="Arial" w:cs="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6F657A" w:rsidRPr="00076DCD" w:rsidRDefault="006F657A" w:rsidP="003B11E7">
      <w:pPr>
        <w:pStyle w:val="Prrafodelista"/>
        <w:widowControl w:val="0"/>
        <w:numPr>
          <w:ilvl w:val="0"/>
          <w:numId w:val="48"/>
        </w:numPr>
        <w:suppressLineNumbers/>
        <w:tabs>
          <w:tab w:val="clear" w:pos="567"/>
          <w:tab w:val="clear" w:pos="1134"/>
          <w:tab w:val="clear" w:pos="1701"/>
          <w:tab w:val="clear" w:pos="2268"/>
          <w:tab w:val="clear" w:pos="2835"/>
          <w:tab w:val="left" w:pos="993"/>
        </w:tabs>
        <w:suppressAutoHyphens/>
        <w:spacing w:before="80" w:line="250" w:lineRule="auto"/>
        <w:ind w:left="992" w:hanging="425"/>
        <w:jc w:val="both"/>
        <w:rPr>
          <w:rFonts w:ascii="Arial" w:hAnsi="Arial" w:cs="Arial"/>
          <w:color w:val="000000"/>
          <w:sz w:val="21"/>
          <w:szCs w:val="21"/>
        </w:rPr>
      </w:pPr>
      <w:r w:rsidRPr="00076DCD">
        <w:rPr>
          <w:rFonts w:ascii="Arial" w:hAnsi="Arial" w:cs="Arial"/>
          <w:color w:val="000000"/>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6F657A" w:rsidRPr="00076DCD" w:rsidRDefault="006F657A" w:rsidP="003B11E7">
      <w:pPr>
        <w:pStyle w:val="Prrafodelista"/>
        <w:widowControl w:val="0"/>
        <w:numPr>
          <w:ilvl w:val="0"/>
          <w:numId w:val="46"/>
        </w:numPr>
        <w:suppressLineNumbers/>
        <w:tabs>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 xml:space="preserve">La Sociedad Concesionaria garantiza al Concedente, que durante un período comprendido desde la fecha de Cierre y hasta que se cumpla diez (10) años de Operación Comercial de la Línea Eléctrica, el </w:t>
      </w:r>
      <w:r w:rsidR="0054392C" w:rsidRPr="00076DCD">
        <w:rPr>
          <w:rFonts w:ascii="Arial" w:hAnsi="Arial" w:cs="Arial"/>
          <w:sz w:val="21"/>
          <w:szCs w:val="21"/>
        </w:rPr>
        <w:t>Operador Calificado</w:t>
      </w:r>
      <w:r w:rsidRPr="00076DCD">
        <w:rPr>
          <w:rFonts w:ascii="Arial" w:hAnsi="Arial" w:cs="Arial"/>
          <w:sz w:val="21"/>
          <w:szCs w:val="21"/>
        </w:rPr>
        <w:t xml:space="preserve"> será titular de la Participación Mínima, y el responsable de las operaciones técnicas de la Concesión desde el diseño mismo de la Línea Eléctrica hasta la conclusión de dicho plazo.</w:t>
      </w:r>
    </w:p>
    <w:p w:rsidR="006502EF" w:rsidRPr="00076DCD" w:rsidRDefault="006F657A" w:rsidP="003B11E7">
      <w:pPr>
        <w:widowControl w:val="0"/>
        <w:suppressLineNumbers/>
        <w:suppressAutoHyphens/>
        <w:spacing w:before="80" w:after="0" w:line="250"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A solicitud de la Sociedad Concesionaria, el Concedente aceptará que el </w:t>
      </w:r>
      <w:r w:rsidR="0054392C" w:rsidRPr="00076DCD">
        <w:rPr>
          <w:rFonts w:ascii="Arial" w:eastAsia="Times New Roman" w:hAnsi="Arial" w:cs="Arial"/>
          <w:sz w:val="21"/>
          <w:szCs w:val="21"/>
          <w:lang w:eastAsia="zh-CN"/>
        </w:rPr>
        <w:t>Operador Calificado</w:t>
      </w:r>
      <w:r w:rsidRPr="00076DCD">
        <w:rPr>
          <w:rFonts w:ascii="Arial" w:eastAsia="Times New Roman" w:hAnsi="Arial" w:cs="Arial"/>
          <w:sz w:val="21"/>
          <w:szCs w:val="21"/>
          <w:lang w:eastAsia="zh-CN"/>
        </w:rPr>
        <w:t xml:space="preserve"> sea remplazado por otra Persona antes del periodo indicado siempre que dicha persona cumpla los requisitos mínimos de calificación previstos en las Bases del Concurso. Si el Concedente no responde la solicitud en </w:t>
      </w:r>
      <w:r w:rsidR="00E1029C" w:rsidRPr="00076DCD">
        <w:rPr>
          <w:rFonts w:ascii="Arial" w:hAnsi="Arial" w:cs="Arial"/>
          <w:sz w:val="21"/>
          <w:szCs w:val="21"/>
        </w:rPr>
        <w:t xml:space="preserve">sesenta </w:t>
      </w:r>
      <w:r w:rsidR="00785758" w:rsidRPr="00076DCD">
        <w:rPr>
          <w:rFonts w:ascii="Arial" w:hAnsi="Arial" w:cs="Arial"/>
          <w:sz w:val="21"/>
          <w:szCs w:val="21"/>
        </w:rPr>
        <w:t>(</w:t>
      </w:r>
      <w:r w:rsidR="00E1029C" w:rsidRPr="00076DCD">
        <w:rPr>
          <w:rFonts w:ascii="Arial" w:hAnsi="Arial" w:cs="Arial"/>
          <w:sz w:val="21"/>
          <w:szCs w:val="21"/>
        </w:rPr>
        <w:t>6</w:t>
      </w:r>
      <w:r w:rsidR="00785758" w:rsidRPr="00076DCD">
        <w:rPr>
          <w:rFonts w:ascii="Arial" w:hAnsi="Arial" w:cs="Arial"/>
          <w:sz w:val="21"/>
          <w:szCs w:val="21"/>
        </w:rPr>
        <w:t>0</w:t>
      </w:r>
      <w:r w:rsidRPr="00076DCD">
        <w:rPr>
          <w:rFonts w:ascii="Arial" w:eastAsia="Times New Roman" w:hAnsi="Arial" w:cs="Arial"/>
          <w:sz w:val="21"/>
          <w:szCs w:val="21"/>
          <w:lang w:eastAsia="zh-CN"/>
        </w:rPr>
        <w:t xml:space="preserve">) Días, la solicitud se entenderá aceptada. </w:t>
      </w:r>
      <w:r w:rsidR="006502EF" w:rsidRPr="00076DCD">
        <w:rPr>
          <w:rFonts w:ascii="Arial" w:eastAsia="Times New Roman" w:hAnsi="Arial" w:cs="Arial"/>
          <w:sz w:val="21"/>
          <w:szCs w:val="21"/>
          <w:lang w:eastAsia="zh-CN"/>
        </w:rPr>
        <w:t>El Costo Medio Anual incorpora los conceptos dispuestos en la definición 13 del Anexo 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6F657A" w:rsidRPr="00076DCD" w:rsidRDefault="006F657A" w:rsidP="003B11E7">
      <w:pPr>
        <w:widowControl w:val="0"/>
        <w:suppressLineNumbers/>
        <w:suppressAutoHyphens/>
        <w:spacing w:before="360" w:after="240" w:line="250"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3.</w:t>
      </w:r>
      <w:r w:rsidRPr="00076DCD">
        <w:rPr>
          <w:rFonts w:ascii="Arial" w:eastAsia="Times New Roman" w:hAnsi="Arial" w:cs="Arial"/>
          <w:b/>
          <w:sz w:val="24"/>
          <w:szCs w:val="24"/>
          <w:lang w:eastAsia="zh-CN"/>
        </w:rPr>
        <w:tab/>
        <w:t>Objeto, vigencia y plazo del Contrato</w:t>
      </w:r>
    </w:p>
    <w:p w:rsidR="006F657A" w:rsidRPr="00076DCD" w:rsidRDefault="006F657A" w:rsidP="003B11E7">
      <w:pPr>
        <w:pStyle w:val="Prrafodelista"/>
        <w:widowControl w:val="0"/>
        <w:numPr>
          <w:ilvl w:val="0"/>
          <w:numId w:val="49"/>
        </w:numPr>
        <w:suppressLineNumbers/>
        <w:tabs>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descrita en el Anexo 1 tiene carácter referencial.</w:t>
      </w:r>
    </w:p>
    <w:p w:rsidR="006F657A" w:rsidRPr="00076DCD" w:rsidRDefault="006F657A" w:rsidP="003B11E7">
      <w:pPr>
        <w:pStyle w:val="Prrafodelista"/>
        <w:widowControl w:val="0"/>
        <w:numPr>
          <w:ilvl w:val="0"/>
          <w:numId w:val="49"/>
        </w:numPr>
        <w:suppressLineNumbers/>
        <w:tabs>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84676A" w:rsidRPr="00076DCD">
        <w:rPr>
          <w:rFonts w:ascii="Arial" w:hAnsi="Arial" w:cs="Arial"/>
          <w:sz w:val="21"/>
          <w:szCs w:val="21"/>
        </w:rPr>
        <w:t>, salvo lo dispuesto en el Numeral 4 del Anexo 5 de las Bases del Concurso.</w:t>
      </w:r>
    </w:p>
    <w:p w:rsidR="00495C56" w:rsidRPr="00076DCD" w:rsidRDefault="006F657A" w:rsidP="003B11E7">
      <w:pPr>
        <w:pStyle w:val="Prrafodelista"/>
        <w:widowControl w:val="0"/>
        <w:numPr>
          <w:ilvl w:val="0"/>
          <w:numId w:val="49"/>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sz w:val="21"/>
          <w:szCs w:val="21"/>
        </w:rPr>
      </w:pPr>
      <w:r w:rsidRPr="00076DCD">
        <w:rPr>
          <w:rFonts w:ascii="Arial" w:hAnsi="Arial" w:cs="Arial"/>
          <w:sz w:val="21"/>
          <w:szCs w:val="21"/>
        </w:rPr>
        <w:lastRenderedPageBreak/>
        <w:t>Mientras esté vigente el Contrato, la Sociedad Concesionaria será la propietaria de los Bienes de la Concesión y deberá usarlos para la prestación del Servicio.</w:t>
      </w:r>
    </w:p>
    <w:p w:rsidR="006F657A" w:rsidRPr="00076DCD" w:rsidRDefault="006F657A" w:rsidP="003B11E7">
      <w:pPr>
        <w:pStyle w:val="Prrafodelista"/>
        <w:widowControl w:val="0"/>
        <w:numPr>
          <w:ilvl w:val="0"/>
          <w:numId w:val="49"/>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sz w:val="21"/>
          <w:szCs w:val="21"/>
        </w:rPr>
      </w:pPr>
      <w:r w:rsidRPr="00076DCD">
        <w:rPr>
          <w:rFonts w:ascii="Arial" w:hAnsi="Arial" w:cs="Arial"/>
          <w:sz w:val="21"/>
          <w:szCs w:val="21"/>
        </w:rPr>
        <w:t>El plazo del Contrato comprende, tanto el periodo construcción que se inicia en la fecha de Cierre, como el periodo de Operación Comercial que dura treinta (30) años a partir de la Puesta en Operación Comercial.</w:t>
      </w:r>
    </w:p>
    <w:p w:rsidR="006F657A" w:rsidRPr="00076DCD" w:rsidRDefault="006F657A" w:rsidP="003B11E7">
      <w:pPr>
        <w:widowControl w:val="0"/>
        <w:suppressLineNumbers/>
        <w:suppressAutoHyphens/>
        <w:spacing w:before="360" w:after="240" w:line="252"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4.</w:t>
      </w:r>
      <w:r w:rsidRPr="00076DCD">
        <w:rPr>
          <w:rFonts w:ascii="Arial" w:eastAsia="Times New Roman" w:hAnsi="Arial" w:cs="Arial"/>
          <w:b/>
          <w:sz w:val="24"/>
          <w:szCs w:val="24"/>
          <w:lang w:eastAsia="zh-CN"/>
        </w:rPr>
        <w:tab/>
        <w:t>Construcción</w:t>
      </w:r>
    </w:p>
    <w:p w:rsidR="006F657A" w:rsidRPr="00076DCD" w:rsidRDefault="006F657A" w:rsidP="003B11E7">
      <w:pPr>
        <w:pStyle w:val="Prrafodelista"/>
        <w:widowControl w:val="0"/>
        <w:numPr>
          <w:ilvl w:val="0"/>
          <w:numId w:val="50"/>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sz w:val="21"/>
          <w:szCs w:val="21"/>
        </w:rPr>
      </w:pPr>
      <w:r w:rsidRPr="00076DCD">
        <w:rPr>
          <w:rFonts w:ascii="Arial" w:hAnsi="Arial" w:cs="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Concedente impondrá las servidumbres que sean requeridas de acuerdo a lo establecido en las Leyes Aplicables, pero no asumirá los costos incurridos para obtener  o conservar dichas servidumbres.</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6F657A" w:rsidRPr="00076DCD" w:rsidRDefault="006F657A" w:rsidP="003B11E7">
      <w:pPr>
        <w:pStyle w:val="Prrafodelista"/>
        <w:widowControl w:val="0"/>
        <w:numPr>
          <w:ilvl w:val="0"/>
          <w:numId w:val="50"/>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sz w:val="21"/>
          <w:szCs w:val="21"/>
        </w:rPr>
      </w:pPr>
      <w:r w:rsidRPr="00076DCD">
        <w:rPr>
          <w:rFonts w:ascii="Arial" w:hAnsi="Arial" w:cs="Arial"/>
          <w:sz w:val="21"/>
          <w:szCs w:val="21"/>
        </w:rPr>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w:t>
      </w:r>
      <w:r w:rsidRPr="00076DCD">
        <w:rPr>
          <w:rFonts w:ascii="Arial" w:hAnsi="Arial" w:cs="Arial"/>
          <w:color w:val="000000"/>
          <w:sz w:val="21"/>
          <w:szCs w:val="21"/>
        </w:rPr>
        <w:t xml:space="preserve"> Tales fabricantes deberán poseer certificación ISO 9001</w:t>
      </w:r>
      <w:r w:rsidR="009B5915" w:rsidRPr="00076DCD">
        <w:rPr>
          <w:rFonts w:ascii="Arial" w:hAnsi="Arial" w:cs="Arial"/>
          <w:color w:val="000000"/>
          <w:sz w:val="21"/>
          <w:szCs w:val="21"/>
        </w:rPr>
        <w:t>.</w:t>
      </w:r>
      <w:r w:rsidR="00EA19B6" w:rsidRPr="00076DCD">
        <w:rPr>
          <w:rFonts w:ascii="Arial" w:hAnsi="Arial" w:cs="Arial"/>
          <w:sz w:val="21"/>
          <w:szCs w:val="21"/>
        </w:rPr>
        <w:t>Deben entenderse como nuevos, aquellos cuya fecha de fabricación sea posterior a julio del 2012 y no hayan tenido uso</w:t>
      </w:r>
      <w:r w:rsidRPr="00076DCD">
        <w:rPr>
          <w:rFonts w:ascii="Arial" w:hAnsi="Arial" w:cs="Arial"/>
          <w:color w:val="000000"/>
          <w:sz w:val="21"/>
        </w:rPr>
        <w:t>.</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r w:rsidR="00EA19B6" w:rsidRPr="00076DCD">
        <w:rPr>
          <w:rFonts w:ascii="Arial" w:hAnsi="Arial" w:cs="Arial"/>
          <w:sz w:val="21"/>
          <w:szCs w:val="21"/>
        </w:rPr>
        <w:t xml:space="preserve"> Estas decisiones se comunicarán al OSINERGMIN</w:t>
      </w:r>
      <w:r w:rsidR="00E1029C" w:rsidRPr="00076DCD">
        <w:rPr>
          <w:rFonts w:ascii="Arial" w:hAnsi="Arial" w:cs="Arial"/>
          <w:sz w:val="21"/>
          <w:szCs w:val="21"/>
        </w:rPr>
        <w:t>, quien realizará la debida supervisión</w:t>
      </w:r>
      <w:r w:rsidR="00A429E9" w:rsidRPr="00076DCD">
        <w:rPr>
          <w:rFonts w:ascii="Arial" w:hAnsi="Arial" w:cs="Arial"/>
          <w:sz w:val="21"/>
          <w:szCs w:val="21"/>
        </w:rPr>
        <w:t>,</w:t>
      </w:r>
      <w:r w:rsidR="00E1029C" w:rsidRPr="00076DCD">
        <w:rPr>
          <w:rFonts w:ascii="Arial" w:hAnsi="Arial" w:cs="Arial"/>
          <w:sz w:val="21"/>
          <w:szCs w:val="21"/>
        </w:rPr>
        <w:t xml:space="preserve"> de acuerdo con el procedimiento que apruebe para dicho efecto</w:t>
      </w:r>
      <w:r w:rsidR="00EA19B6" w:rsidRPr="00076DCD">
        <w:rPr>
          <w:rFonts w:ascii="Arial" w:hAnsi="Arial" w:cs="Arial"/>
          <w:sz w:val="21"/>
          <w:szCs w:val="21"/>
        </w:rPr>
        <w:t>.</w:t>
      </w:r>
    </w:p>
    <w:p w:rsidR="006F657A" w:rsidRPr="00076DCD" w:rsidRDefault="006F657A" w:rsidP="003B11E7">
      <w:pPr>
        <w:pStyle w:val="Prrafodelista"/>
        <w:widowControl w:val="0"/>
        <w:numPr>
          <w:ilvl w:val="0"/>
          <w:numId w:val="50"/>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sz w:val="21"/>
          <w:szCs w:val="21"/>
        </w:rPr>
      </w:pPr>
      <w:r w:rsidRPr="00076DCD">
        <w:rPr>
          <w:rFonts w:ascii="Arial" w:hAnsi="Arial" w:cs="Arial"/>
          <w:sz w:val="21"/>
          <w:szCs w:val="21"/>
        </w:rPr>
        <w:t>La Puesta en Operación Comercial de la Línea Eléctrica y los demás eventos que se indican en el Anexo 7, deberán producirse en los plazos indicados en dicho anexo.</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Cuando el incumplimiento de dichos plazos obedeciera a acción indebida u omisión de una Autoridad Gubernamental</w:t>
      </w:r>
      <w:r w:rsidRPr="00076DCD">
        <w:rPr>
          <w:rFonts w:ascii="Arial" w:eastAsia="Times New Roman" w:hAnsi="Arial" w:cs="Arial"/>
          <w:color w:val="000000"/>
          <w:sz w:val="21"/>
          <w:szCs w:val="21"/>
          <w:lang w:eastAsia="zh-CN"/>
        </w:rPr>
        <w:t xml:space="preserve"> o demoras en la aprobación del estudio de pre operatividad</w:t>
      </w:r>
      <w:r w:rsidRPr="00076DCD">
        <w:rPr>
          <w:rFonts w:ascii="Arial" w:eastAsia="Times New Roman" w:hAnsi="Arial" w:cs="Arial"/>
          <w:sz w:val="21"/>
          <w:szCs w:val="21"/>
          <w:lang w:eastAsia="zh-CN"/>
        </w:rPr>
        <w:t>,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Previo al inicio de la construcción, la Sociedad Concesionaria deberá presentar al COES para su aprobación, el Estudio de Pre Operatividad, según los requisitos y procedimientos de dicha entidad.</w:t>
      </w:r>
    </w:p>
    <w:p w:rsidR="006F657A" w:rsidRPr="00076DCD" w:rsidRDefault="006F657A" w:rsidP="00B07EB1">
      <w:pPr>
        <w:pStyle w:val="Prrafodelista"/>
        <w:widowControl w:val="0"/>
        <w:numPr>
          <w:ilvl w:val="0"/>
          <w:numId w:val="50"/>
        </w:numPr>
        <w:suppressLineNumbers/>
        <w:tabs>
          <w:tab w:val="clear" w:pos="1134"/>
          <w:tab w:val="clear" w:pos="1701"/>
          <w:tab w:val="clear" w:pos="2268"/>
          <w:tab w:val="clear" w:pos="2835"/>
        </w:tabs>
        <w:suppressAutoHyphens/>
        <w:spacing w:before="120" w:line="257" w:lineRule="auto"/>
        <w:ind w:left="567" w:hanging="567"/>
        <w:jc w:val="both"/>
        <w:rPr>
          <w:rFonts w:ascii="Arial" w:hAnsi="Arial" w:cs="Arial"/>
          <w:sz w:val="21"/>
          <w:szCs w:val="21"/>
        </w:rPr>
      </w:pPr>
      <w:r w:rsidRPr="00076DCD">
        <w:rPr>
          <w:rFonts w:ascii="Arial" w:hAnsi="Arial" w:cs="Arial"/>
          <w:sz w:val="21"/>
          <w:szCs w:val="21"/>
        </w:rPr>
        <w:lastRenderedPageBreak/>
        <w:t xml:space="preserve">Para los efectos de la Cláusula 5.4, la operación </w:t>
      </w:r>
      <w:r w:rsidRPr="00076DCD">
        <w:rPr>
          <w:rFonts w:ascii="Arial" w:hAnsi="Arial" w:cs="Arial"/>
          <w:color w:val="000000"/>
          <w:sz w:val="21"/>
          <w:szCs w:val="21"/>
        </w:rPr>
        <w:t>experimental</w:t>
      </w:r>
      <w:r w:rsidRPr="00076DCD">
        <w:rPr>
          <w:rFonts w:ascii="Arial" w:hAnsi="Arial" w:cs="Arial"/>
          <w:sz w:val="21"/>
          <w:szCs w:val="21"/>
        </w:rPr>
        <w:t xml:space="preserve"> se inicia después que:</w:t>
      </w:r>
    </w:p>
    <w:p w:rsidR="006F657A" w:rsidRPr="00076DCD" w:rsidRDefault="006F657A" w:rsidP="00B07EB1">
      <w:pPr>
        <w:pStyle w:val="Prrafodelista"/>
        <w:widowControl w:val="0"/>
        <w:numPr>
          <w:ilvl w:val="0"/>
          <w:numId w:val="51"/>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rPr>
          <w:rFonts w:ascii="Arial" w:hAnsi="Arial" w:cs="Arial"/>
          <w:sz w:val="21"/>
          <w:szCs w:val="21"/>
        </w:rPr>
      </w:pPr>
      <w:r w:rsidRPr="00076DCD">
        <w:rPr>
          <w:rFonts w:ascii="Arial" w:hAnsi="Arial" w:cs="Arial"/>
          <w:sz w:val="21"/>
          <w:szCs w:val="21"/>
        </w:rPr>
        <w:t>El OSINERGMIN apruebe el informe final a que se refiere la Cláusula 5.</w:t>
      </w:r>
      <w:r w:rsidRPr="00076DCD">
        <w:rPr>
          <w:rFonts w:ascii="Arial" w:hAnsi="Arial" w:cs="Arial"/>
          <w:color w:val="000000"/>
          <w:sz w:val="21"/>
        </w:rPr>
        <w:t>3</w:t>
      </w:r>
      <w:r w:rsidRPr="00076DCD">
        <w:rPr>
          <w:rFonts w:ascii="Arial" w:hAnsi="Arial" w:cs="Arial"/>
          <w:sz w:val="21"/>
          <w:szCs w:val="21"/>
        </w:rPr>
        <w:t>.</w:t>
      </w:r>
    </w:p>
    <w:p w:rsidR="006F657A" w:rsidRPr="00076DCD" w:rsidRDefault="006F657A" w:rsidP="00B07EB1">
      <w:pPr>
        <w:pStyle w:val="Prrafodelista"/>
        <w:widowControl w:val="0"/>
        <w:numPr>
          <w:ilvl w:val="0"/>
          <w:numId w:val="51"/>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rPr>
          <w:rFonts w:ascii="Arial" w:hAnsi="Arial" w:cs="Arial"/>
          <w:sz w:val="21"/>
          <w:szCs w:val="21"/>
        </w:rPr>
      </w:pPr>
      <w:r w:rsidRPr="00076DCD">
        <w:rPr>
          <w:rFonts w:ascii="Arial" w:hAnsi="Arial" w:cs="Arial"/>
          <w:sz w:val="21"/>
          <w:szCs w:val="21"/>
        </w:rPr>
        <w:t>El COES apruebe la integración de la Línea Eléctrica al SEIN, conforme al Procedimiento Nº 21 de COES o el que haga sus veces y las Leyes Aplicables.</w:t>
      </w:r>
    </w:p>
    <w:p w:rsidR="006F657A" w:rsidRPr="00076DCD" w:rsidRDefault="006F657A" w:rsidP="00B07EB1">
      <w:pPr>
        <w:pStyle w:val="Prrafodelista"/>
        <w:widowControl w:val="0"/>
        <w:numPr>
          <w:ilvl w:val="0"/>
          <w:numId w:val="50"/>
        </w:numPr>
        <w:suppressLineNumbers/>
        <w:tabs>
          <w:tab w:val="clear" w:pos="1134"/>
          <w:tab w:val="clear" w:pos="1701"/>
          <w:tab w:val="clear" w:pos="2268"/>
          <w:tab w:val="clear" w:pos="2835"/>
        </w:tabs>
        <w:suppressAutoHyphens/>
        <w:spacing w:before="120" w:line="257" w:lineRule="auto"/>
        <w:ind w:left="567" w:hanging="567"/>
        <w:jc w:val="both"/>
        <w:rPr>
          <w:rFonts w:ascii="Arial" w:hAnsi="Arial" w:cs="Arial"/>
          <w:sz w:val="21"/>
          <w:szCs w:val="21"/>
        </w:rPr>
      </w:pPr>
      <w:r w:rsidRPr="00076DCD">
        <w:rPr>
          <w:rFonts w:ascii="Arial" w:hAnsi="Arial" w:cs="Arial"/>
          <w:sz w:val="21"/>
          <w:szCs w:val="21"/>
        </w:rPr>
        <w:t xml:space="preserve">El cronograma de actividades que la Sociedad Concesionaria planea seguir para la ejecución de las obras, será entregado por la Sociedad Concesionaria al OSINERGMIN y al Concedente, en el plazo de ocho (8) meses contado a partir de la fecha de Cierre. El cronograma deberá </w:t>
      </w:r>
      <w:r w:rsidR="00B00031" w:rsidRPr="00076DCD">
        <w:rPr>
          <w:rFonts w:ascii="Arial" w:hAnsi="Arial" w:cs="Arial"/>
          <w:sz w:val="21"/>
          <w:szCs w:val="21"/>
        </w:rPr>
        <w:t xml:space="preserve">contener los hitos detallados en el Anexo </w:t>
      </w:r>
      <w:r w:rsidR="004733E3" w:rsidRPr="00076DCD">
        <w:rPr>
          <w:rFonts w:ascii="Arial" w:hAnsi="Arial" w:cs="Arial"/>
          <w:sz w:val="21"/>
          <w:szCs w:val="21"/>
        </w:rPr>
        <w:t xml:space="preserve">N° </w:t>
      </w:r>
      <w:r w:rsidR="00B00031" w:rsidRPr="00076DCD">
        <w:rPr>
          <w:rFonts w:ascii="Arial" w:hAnsi="Arial" w:cs="Arial"/>
          <w:sz w:val="21"/>
          <w:szCs w:val="21"/>
        </w:rPr>
        <w:t>7</w:t>
      </w:r>
      <w:r w:rsidR="00C269DF" w:rsidRPr="00076DCD">
        <w:rPr>
          <w:rFonts w:ascii="Arial" w:hAnsi="Arial" w:cs="Arial"/>
          <w:sz w:val="21"/>
          <w:szCs w:val="21"/>
        </w:rPr>
        <w:t xml:space="preserve"> del Contrato</w:t>
      </w:r>
      <w:r w:rsidR="00B00031" w:rsidRPr="00076DCD">
        <w:rPr>
          <w:rFonts w:ascii="Arial" w:hAnsi="Arial" w:cs="Arial"/>
          <w:sz w:val="21"/>
          <w:szCs w:val="21"/>
        </w:rPr>
        <w:t xml:space="preserve">, debiendo </w:t>
      </w:r>
      <w:r w:rsidRPr="00076DCD">
        <w:rPr>
          <w:rFonts w:ascii="Arial" w:hAnsi="Arial" w:cs="Arial"/>
          <w:sz w:val="21"/>
          <w:szCs w:val="21"/>
        </w:rPr>
        <w:t>ser suministrado en material impreso y archivos magnéticos MS Project.</w:t>
      </w:r>
    </w:p>
    <w:p w:rsidR="006F657A" w:rsidRPr="00076DCD" w:rsidRDefault="006F657A" w:rsidP="00B07EB1">
      <w:pPr>
        <w:widowControl w:val="0"/>
        <w:suppressLineNumbers/>
        <w:suppressAutoHyphens/>
        <w:spacing w:before="120" w:after="0" w:line="257"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En el mismo plazo, entregará también, en impresos y archivos magnéticos fuente, el proyecto de ingeniería </w:t>
      </w:r>
      <w:r w:rsidRPr="00076DCD">
        <w:rPr>
          <w:rFonts w:ascii="Arial" w:eastAsia="Times New Roman" w:hAnsi="Arial" w:cs="Arial"/>
          <w:color w:val="000000"/>
          <w:sz w:val="21"/>
          <w:szCs w:val="21"/>
          <w:lang w:eastAsia="zh-CN"/>
        </w:rPr>
        <w:t xml:space="preserve">a nivel definitivo </w:t>
      </w:r>
      <w:r w:rsidRPr="00076DCD">
        <w:rPr>
          <w:rFonts w:ascii="Arial" w:eastAsia="Times New Roman" w:hAnsi="Arial" w:cs="Arial"/>
          <w:sz w:val="21"/>
          <w:szCs w:val="21"/>
          <w:lang w:eastAsia="zh-CN"/>
        </w:rPr>
        <w:t>de la Línea Eléctrica que deberá incluir la Memoria Descriptiva indicada en el Anexo N° 8, conteniendo además las siguientes secciones: Cálculos Justificativos, Metrados, Especificaciones de Suministro y Montaje, y Planos en formato Autocad.</w:t>
      </w:r>
    </w:p>
    <w:p w:rsidR="009B18D9" w:rsidRPr="00076DCD" w:rsidRDefault="009B18D9" w:rsidP="00B07EB1">
      <w:pPr>
        <w:widowControl w:val="0"/>
        <w:tabs>
          <w:tab w:val="left" w:pos="567"/>
        </w:tabs>
        <w:spacing w:before="120" w:after="0" w:line="257" w:lineRule="auto"/>
        <w:ind w:left="567"/>
        <w:jc w:val="both"/>
        <w:rPr>
          <w:rFonts w:ascii="Arial" w:eastAsia="Times New Roman" w:hAnsi="Arial" w:cs="Arial"/>
          <w:color w:val="000000"/>
          <w:sz w:val="21"/>
          <w:szCs w:val="21"/>
          <w:lang w:eastAsia="zh-CN"/>
        </w:rPr>
      </w:pPr>
      <w:r w:rsidRPr="00076DCD">
        <w:rPr>
          <w:rFonts w:ascii="Arial" w:eastAsia="Times New Roman" w:hAnsi="Arial" w:cs="Arial"/>
          <w:sz w:val="21"/>
          <w:szCs w:val="21"/>
          <w:lang w:eastAsia="zh-CN"/>
        </w:rPr>
        <w:t>Previo al inicio de la construcción de las obras, el Concedente verificará</w:t>
      </w:r>
      <w:r w:rsidRPr="00076DCD">
        <w:rPr>
          <w:rFonts w:ascii="Arial" w:eastAsia="Times New Roman" w:hAnsi="Arial" w:cs="Arial"/>
          <w:color w:val="000000"/>
          <w:sz w:val="21"/>
          <w:szCs w:val="21"/>
          <w:lang w:eastAsia="zh-CN"/>
        </w:rPr>
        <w:t>, dentro</w:t>
      </w:r>
      <w:r w:rsidRPr="00076DCD">
        <w:rPr>
          <w:rFonts w:ascii="Arial" w:eastAsia="Times New Roman" w:hAnsi="Arial" w:cs="Arial"/>
          <w:sz w:val="21"/>
          <w:szCs w:val="21"/>
          <w:lang w:eastAsia="zh-CN"/>
        </w:rPr>
        <w:t xml:space="preserve"> de </w:t>
      </w:r>
      <w:r w:rsidRPr="00076DCD">
        <w:rPr>
          <w:rFonts w:ascii="Arial" w:eastAsia="Times New Roman" w:hAnsi="Arial" w:cs="Arial"/>
          <w:color w:val="000000"/>
          <w:sz w:val="21"/>
          <w:szCs w:val="21"/>
          <w:lang w:eastAsia="zh-CN"/>
        </w:rPr>
        <w:t>un plazo de quince (1</w:t>
      </w:r>
      <w:r w:rsidRPr="00076DCD" w:rsidDel="003A5460">
        <w:rPr>
          <w:rFonts w:ascii="Arial" w:eastAsia="Times New Roman" w:hAnsi="Arial" w:cs="Arial"/>
          <w:color w:val="000000"/>
          <w:sz w:val="21"/>
          <w:szCs w:val="21"/>
          <w:lang w:eastAsia="zh-CN"/>
        </w:rPr>
        <w:t>5</w:t>
      </w:r>
      <w:r w:rsidRPr="00076DCD">
        <w:rPr>
          <w:rFonts w:ascii="Arial" w:eastAsia="Times New Roman" w:hAnsi="Arial" w:cs="Arial"/>
          <w:color w:val="000000"/>
          <w:sz w:val="21"/>
          <w:szCs w:val="21"/>
          <w:lang w:eastAsia="zh-CN"/>
        </w:rPr>
        <w:t xml:space="preserve">) Días de recibido el documento, que el proyecto de ingeniería a nivel definitivo cumpla </w:t>
      </w:r>
      <w:r w:rsidRPr="00076DCD">
        <w:rPr>
          <w:rFonts w:ascii="Arial" w:eastAsia="Times New Roman" w:hAnsi="Arial" w:cs="Arial"/>
          <w:sz w:val="21"/>
          <w:szCs w:val="21"/>
          <w:lang w:eastAsia="zh-CN"/>
        </w:rPr>
        <w:t>las características técnicas que se especifican en el Anexo Nº 1.</w:t>
      </w:r>
      <w:r w:rsidRPr="00076DCD">
        <w:rPr>
          <w:rFonts w:ascii="Arial" w:eastAsia="Times New Roman" w:hAnsi="Arial" w:cs="Arial"/>
          <w:color w:val="000000"/>
          <w:sz w:val="21"/>
          <w:szCs w:val="21"/>
          <w:lang w:eastAsia="zh-CN"/>
        </w:rPr>
        <w:t xml:space="preserve"> Dicha verificación no implicará responsabilidad alguna por parte del Concedente respecto a la ejecución del proyecto en la etapa de operación.</w:t>
      </w:r>
    </w:p>
    <w:p w:rsidR="006F657A" w:rsidRPr="00076DCD" w:rsidRDefault="006F657A" w:rsidP="00B07EB1">
      <w:pPr>
        <w:pStyle w:val="Prrafodelista"/>
        <w:widowControl w:val="0"/>
        <w:numPr>
          <w:ilvl w:val="0"/>
          <w:numId w:val="50"/>
        </w:numPr>
        <w:suppressLineNumbers/>
        <w:tabs>
          <w:tab w:val="clear" w:pos="1134"/>
          <w:tab w:val="clear" w:pos="1701"/>
          <w:tab w:val="clear" w:pos="2268"/>
          <w:tab w:val="clear" w:pos="2835"/>
        </w:tabs>
        <w:suppressAutoHyphens/>
        <w:spacing w:before="120" w:line="257" w:lineRule="auto"/>
        <w:ind w:left="567" w:hanging="567"/>
        <w:jc w:val="both"/>
        <w:rPr>
          <w:rFonts w:ascii="Arial" w:hAnsi="Arial" w:cs="Arial"/>
          <w:sz w:val="21"/>
          <w:szCs w:val="21"/>
        </w:rPr>
      </w:pPr>
      <w:r w:rsidRPr="00076DCD">
        <w:rPr>
          <w:rFonts w:ascii="Arial" w:hAnsi="Arial" w:cs="Arial"/>
          <w:sz w:val="21"/>
          <w:szCs w:val="21"/>
        </w:rPr>
        <w:t xml:space="preserve">El cronograma a que se refiere la Cláusula 4.5, deberá presentarse valorizado en Dólares, considerando períodos mensuales, en versión impresa y en versión digital (MS Project). La versión digital deberá permitir </w:t>
      </w:r>
      <w:r w:rsidR="006508F5" w:rsidRPr="00076DCD">
        <w:rPr>
          <w:rFonts w:ascii="Arial" w:hAnsi="Arial" w:cs="Arial"/>
          <w:sz w:val="21"/>
          <w:szCs w:val="21"/>
        </w:rPr>
        <w:t>a</w:t>
      </w:r>
      <w:r w:rsidR="00EE6906" w:rsidRPr="00076DCD">
        <w:rPr>
          <w:rFonts w:ascii="Arial" w:hAnsi="Arial" w:cs="Arial"/>
          <w:sz w:val="21"/>
          <w:szCs w:val="21"/>
        </w:rPr>
        <w:t>l</w:t>
      </w:r>
      <w:r w:rsidRPr="00076DCD">
        <w:rPr>
          <w:rFonts w:ascii="Arial" w:hAnsi="Arial" w:cs="Arial"/>
          <w:sz w:val="21"/>
          <w:szCs w:val="21"/>
        </w:rPr>
        <w:t xml:space="preserve">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días siguientes a la ocurrencia de tal hecho, donde se detallen los correctivos que se han implementado.</w:t>
      </w:r>
    </w:p>
    <w:p w:rsidR="006F657A" w:rsidRPr="00076DCD" w:rsidRDefault="006F657A" w:rsidP="00B07EB1">
      <w:pPr>
        <w:pStyle w:val="Prrafodelista"/>
        <w:widowControl w:val="0"/>
        <w:numPr>
          <w:ilvl w:val="0"/>
          <w:numId w:val="50"/>
        </w:numPr>
        <w:suppressLineNumbers/>
        <w:tabs>
          <w:tab w:val="clear" w:pos="1134"/>
          <w:tab w:val="clear" w:pos="1701"/>
          <w:tab w:val="clear" w:pos="2268"/>
          <w:tab w:val="clear" w:pos="2835"/>
        </w:tabs>
        <w:suppressAutoHyphens/>
        <w:spacing w:before="120" w:line="257" w:lineRule="auto"/>
        <w:ind w:left="567" w:hanging="567"/>
        <w:jc w:val="both"/>
        <w:rPr>
          <w:rFonts w:ascii="Arial" w:hAnsi="Arial" w:cs="Arial"/>
          <w:sz w:val="21"/>
          <w:szCs w:val="21"/>
        </w:rPr>
      </w:pPr>
      <w:r w:rsidRPr="00076DCD">
        <w:rPr>
          <w:rFonts w:ascii="Arial" w:hAnsi="Arial" w:cs="Arial"/>
          <w:sz w:val="21"/>
          <w:szCs w:val="21"/>
        </w:rPr>
        <w:t>La Sociedad Concesionaria deberá remitir al OSINERGMIN y al Concedente, una versión actualizada del cronograma a que se refiere la Cláusula 4.5, a los dieciocho (18) meses después de la fecha de Cierre.</w:t>
      </w:r>
    </w:p>
    <w:p w:rsidR="006F657A" w:rsidRPr="00076DCD" w:rsidRDefault="006F657A" w:rsidP="00B07EB1">
      <w:pPr>
        <w:pStyle w:val="Prrafodelista"/>
        <w:widowControl w:val="0"/>
        <w:numPr>
          <w:ilvl w:val="0"/>
          <w:numId w:val="50"/>
        </w:numPr>
        <w:suppressLineNumbers/>
        <w:tabs>
          <w:tab w:val="clear" w:pos="1134"/>
          <w:tab w:val="clear" w:pos="1701"/>
          <w:tab w:val="clear" w:pos="2268"/>
          <w:tab w:val="clear" w:pos="2835"/>
        </w:tabs>
        <w:suppressAutoHyphens/>
        <w:spacing w:before="120" w:line="257" w:lineRule="auto"/>
        <w:ind w:left="567" w:hanging="567"/>
        <w:jc w:val="both"/>
        <w:rPr>
          <w:rFonts w:ascii="Arial" w:hAnsi="Arial" w:cs="Arial"/>
          <w:sz w:val="21"/>
        </w:rPr>
      </w:pPr>
      <w:r w:rsidRPr="00076DCD">
        <w:rPr>
          <w:rFonts w:ascii="Arial" w:hAnsi="Arial" w:cs="Arial"/>
          <w:sz w:val="21"/>
          <w:szCs w:val="21"/>
        </w:rPr>
        <w:t>La Sociedad Concesionaria se obliga a contratar y a solventar los gastos que demande la supervisión de la obra.</w:t>
      </w:r>
      <w:r w:rsidRPr="00076DCD">
        <w:rPr>
          <w:rFonts w:ascii="Arial" w:hAnsi="Arial" w:cs="Arial"/>
          <w:color w:val="000000"/>
          <w:sz w:val="21"/>
          <w:szCs w:val="21"/>
        </w:rPr>
        <w:t xml:space="preserve"> Se contratará a una empresa especializada en la supervisión de líneas de transmisión de alta tensión, </w:t>
      </w:r>
      <w:r w:rsidR="004733E3" w:rsidRPr="00076DCD">
        <w:rPr>
          <w:rFonts w:ascii="Arial" w:hAnsi="Arial" w:cs="Arial"/>
          <w:color w:val="000000"/>
          <w:sz w:val="21"/>
        </w:rPr>
        <w:t xml:space="preserve">la misma que no debe estar vinculada a la Sociedad Concesionaria, y </w:t>
      </w:r>
      <w:r w:rsidRPr="00076DCD">
        <w:rPr>
          <w:rFonts w:ascii="Arial" w:hAnsi="Arial" w:cs="Arial"/>
          <w:color w:val="000000"/>
          <w:sz w:val="21"/>
          <w:szCs w:val="21"/>
        </w:rPr>
        <w:t xml:space="preserve">cuya selección deberá </w:t>
      </w:r>
      <w:r w:rsidR="00056BF0" w:rsidRPr="00076DCD">
        <w:rPr>
          <w:rFonts w:ascii="Arial" w:hAnsi="Arial" w:cs="Arial"/>
          <w:color w:val="000000"/>
          <w:sz w:val="21"/>
          <w:szCs w:val="21"/>
        </w:rPr>
        <w:t xml:space="preserve">adecuarse a los Términos de Referencia señalados en el Anexo N° </w:t>
      </w:r>
      <w:r w:rsidR="00D41E0E" w:rsidRPr="00076DCD">
        <w:rPr>
          <w:rFonts w:ascii="Arial" w:hAnsi="Arial" w:cs="Arial"/>
          <w:color w:val="000000"/>
          <w:sz w:val="21"/>
          <w:szCs w:val="21"/>
        </w:rPr>
        <w:t>9</w:t>
      </w:r>
      <w:r w:rsidR="00056BF0" w:rsidRPr="00076DCD">
        <w:rPr>
          <w:rFonts w:ascii="Arial" w:hAnsi="Arial" w:cs="Arial"/>
          <w:color w:val="000000"/>
          <w:sz w:val="21"/>
          <w:szCs w:val="21"/>
        </w:rPr>
        <w:t xml:space="preserve"> del Contrato, y </w:t>
      </w:r>
      <w:r w:rsidRPr="00076DCD">
        <w:rPr>
          <w:rFonts w:ascii="Arial" w:hAnsi="Arial" w:cs="Arial"/>
          <w:color w:val="000000"/>
          <w:sz w:val="21"/>
          <w:szCs w:val="21"/>
        </w:rPr>
        <w:t xml:space="preserve">contar con la conformidad del OSINERGMIN. </w:t>
      </w:r>
      <w:r w:rsidRPr="00076DCD">
        <w:rPr>
          <w:rFonts w:ascii="Arial" w:hAnsi="Arial" w:cs="Arial"/>
          <w:color w:val="000000"/>
          <w:sz w:val="21"/>
        </w:rPr>
        <w:t>Los gastos que demande dicha supervisión forman parte de la propuesta de inversión de la Sociedad Concesionaria</w:t>
      </w:r>
      <w:r w:rsidRPr="00076DCD">
        <w:rPr>
          <w:rFonts w:ascii="Arial" w:hAnsi="Arial" w:cs="Arial"/>
          <w:sz w:val="21"/>
          <w:szCs w:val="21"/>
        </w:rPr>
        <w:t>.</w:t>
      </w:r>
    </w:p>
    <w:p w:rsidR="006F657A" w:rsidRPr="00076DCD" w:rsidRDefault="006F657A" w:rsidP="00B07EB1">
      <w:pPr>
        <w:widowControl w:val="0"/>
        <w:suppressLineNumbers/>
        <w:suppressAutoHyphens/>
        <w:spacing w:before="120" w:after="0" w:line="257" w:lineRule="auto"/>
        <w:ind w:left="567"/>
        <w:jc w:val="both"/>
        <w:rPr>
          <w:rFonts w:ascii="Arial" w:eastAsia="Times New Roman" w:hAnsi="Arial" w:cs="Arial"/>
          <w:sz w:val="21"/>
          <w:szCs w:val="21"/>
          <w:lang w:eastAsia="zh-CN"/>
        </w:rPr>
      </w:pPr>
      <w:r w:rsidRPr="00076DCD">
        <w:rPr>
          <w:rFonts w:ascii="Arial" w:hAnsi="Arial" w:cs="Arial"/>
          <w:color w:val="000000"/>
          <w:sz w:val="21"/>
        </w:rPr>
        <w:t xml:space="preserve">La </w:t>
      </w:r>
      <w:r w:rsidR="00B721A5" w:rsidRPr="00076DCD">
        <w:rPr>
          <w:rFonts w:ascii="Arial" w:hAnsi="Arial" w:cs="Arial"/>
          <w:color w:val="000000"/>
          <w:sz w:val="21"/>
        </w:rPr>
        <w:t>E</w:t>
      </w:r>
      <w:r w:rsidRPr="00076DCD">
        <w:rPr>
          <w:rFonts w:ascii="Arial" w:hAnsi="Arial" w:cs="Arial"/>
          <w:color w:val="000000"/>
          <w:sz w:val="21"/>
        </w:rPr>
        <w:t xml:space="preserve">mpresa </w:t>
      </w:r>
      <w:r w:rsidR="00B721A5" w:rsidRPr="00076DCD">
        <w:rPr>
          <w:rFonts w:ascii="Arial" w:hAnsi="Arial" w:cs="Arial"/>
          <w:color w:val="000000"/>
          <w:sz w:val="21"/>
        </w:rPr>
        <w:t>S</w:t>
      </w:r>
      <w:r w:rsidRPr="00076DCD">
        <w:rPr>
          <w:rFonts w:ascii="Arial" w:hAnsi="Arial" w:cs="Arial"/>
          <w:color w:val="000000"/>
          <w:sz w:val="21"/>
        </w:rPr>
        <w:t xml:space="preserve">upervisora deberá </w:t>
      </w:r>
      <w:r w:rsidR="00571E6E" w:rsidRPr="00076DCD">
        <w:rPr>
          <w:rFonts w:ascii="Arial" w:hAnsi="Arial" w:cs="Arial"/>
          <w:sz w:val="21"/>
          <w:szCs w:val="21"/>
        </w:rPr>
        <w:t>empezar</w:t>
      </w:r>
      <w:r w:rsidRPr="00076DCD">
        <w:rPr>
          <w:rFonts w:ascii="Arial" w:hAnsi="Arial" w:cs="Arial"/>
          <w:color w:val="000000"/>
          <w:sz w:val="21"/>
        </w:rPr>
        <w:t xml:space="preserve"> sus labores desde el inicio del proyecto de ingeniería de la Línea Eléctrica.</w:t>
      </w:r>
    </w:p>
    <w:p w:rsidR="003B11E7" w:rsidRDefault="003B11E7">
      <w:pPr>
        <w:rPr>
          <w:rFonts w:ascii="Arial" w:eastAsia="Times New Roman" w:hAnsi="Arial" w:cs="Arial"/>
          <w:sz w:val="21"/>
          <w:szCs w:val="21"/>
          <w:lang w:eastAsia="zh-CN"/>
        </w:rPr>
      </w:pPr>
      <w:bookmarkStart w:id="28" w:name="_Toc400867064"/>
      <w:r>
        <w:rPr>
          <w:rFonts w:ascii="Arial" w:hAnsi="Arial" w:cs="Arial"/>
          <w:sz w:val="21"/>
          <w:szCs w:val="21"/>
        </w:rPr>
        <w:br w:type="page"/>
      </w:r>
    </w:p>
    <w:p w:rsidR="006F657A" w:rsidRPr="00076DCD" w:rsidRDefault="006F657A" w:rsidP="003B11E7">
      <w:pPr>
        <w:pStyle w:val="Prrafodelista"/>
        <w:widowControl w:val="0"/>
        <w:numPr>
          <w:ilvl w:val="0"/>
          <w:numId w:val="50"/>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sz w:val="21"/>
          <w:szCs w:val="21"/>
        </w:rPr>
      </w:pPr>
      <w:r w:rsidRPr="00076DCD">
        <w:rPr>
          <w:rFonts w:ascii="Arial" w:hAnsi="Arial" w:cs="Arial"/>
          <w:sz w:val="21"/>
          <w:szCs w:val="21"/>
        </w:rPr>
        <w:lastRenderedPageBreak/>
        <w:t>Una copia de los informes elaborados por</w:t>
      </w:r>
      <w:r w:rsidR="00B721A5" w:rsidRPr="00076DCD">
        <w:rPr>
          <w:rFonts w:ascii="Arial" w:hAnsi="Arial" w:cs="Arial"/>
          <w:sz w:val="21"/>
          <w:szCs w:val="21"/>
        </w:rPr>
        <w:t xml:space="preserve"> la Empresa Supervisora</w:t>
      </w:r>
      <w:r w:rsidRPr="00076DCD">
        <w:rPr>
          <w:rFonts w:ascii="Arial" w:hAnsi="Arial" w:cs="Arial"/>
          <w:sz w:val="21"/>
          <w:szCs w:val="21"/>
        </w:rPr>
        <w:t xml:space="preserve"> indicado en el numeral anterior, deberá ser </w:t>
      </w:r>
      <w:r w:rsidR="0050580B" w:rsidRPr="00076DCD">
        <w:rPr>
          <w:rFonts w:ascii="Arial" w:hAnsi="Arial" w:cs="Arial"/>
          <w:sz w:val="21"/>
          <w:szCs w:val="21"/>
        </w:rPr>
        <w:t>entregad</w:t>
      </w:r>
      <w:r w:rsidR="00495C56" w:rsidRPr="00076DCD">
        <w:rPr>
          <w:rFonts w:ascii="Arial" w:hAnsi="Arial" w:cs="Arial"/>
          <w:sz w:val="21"/>
          <w:szCs w:val="21"/>
        </w:rPr>
        <w:t>a</w:t>
      </w:r>
      <w:r w:rsidR="00EA19B6" w:rsidRPr="00076DCD">
        <w:rPr>
          <w:rFonts w:ascii="Arial" w:hAnsi="Arial" w:cs="Arial"/>
          <w:sz w:val="21"/>
          <w:szCs w:val="21"/>
        </w:rPr>
        <w:t xml:space="preserve"> mensualmente</w:t>
      </w:r>
      <w:r w:rsidRPr="00076DCD">
        <w:rPr>
          <w:rFonts w:ascii="Arial" w:hAnsi="Arial" w:cs="Arial"/>
          <w:sz w:val="21"/>
          <w:szCs w:val="21"/>
        </w:rPr>
        <w:t xml:space="preserve"> al OSINERGMIN y al Concedente. Sin perjuicio de ello, </w:t>
      </w:r>
      <w:r w:rsidR="00EE6906" w:rsidRPr="00076DCD">
        <w:rPr>
          <w:rFonts w:ascii="Arial" w:hAnsi="Arial" w:cs="Arial"/>
          <w:sz w:val="21"/>
          <w:szCs w:val="21"/>
        </w:rPr>
        <w:t>el</w:t>
      </w:r>
      <w:r w:rsidR="0050580B" w:rsidRPr="00076DCD">
        <w:rPr>
          <w:rFonts w:ascii="Arial" w:hAnsi="Arial" w:cs="Arial"/>
          <w:sz w:val="21"/>
          <w:szCs w:val="21"/>
        </w:rPr>
        <w:t xml:space="preserve"> </w:t>
      </w:r>
      <w:r w:rsidRPr="00076DCD">
        <w:rPr>
          <w:rFonts w:ascii="Arial" w:hAnsi="Arial" w:cs="Arial"/>
          <w:sz w:val="21"/>
          <w:szCs w:val="21"/>
        </w:rPr>
        <w:t>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 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6F657A" w:rsidRPr="00076DCD" w:rsidRDefault="006F657A" w:rsidP="003B11E7">
      <w:pPr>
        <w:pStyle w:val="Prrafodelista"/>
        <w:widowControl w:val="0"/>
        <w:numPr>
          <w:ilvl w:val="0"/>
          <w:numId w:val="50"/>
        </w:numPr>
        <w:suppressLineNumbers/>
        <w:tabs>
          <w:tab w:val="clear" w:pos="1134"/>
          <w:tab w:val="clear" w:pos="1701"/>
          <w:tab w:val="clear" w:pos="2268"/>
          <w:tab w:val="clear" w:pos="2835"/>
        </w:tabs>
        <w:suppressAutoHyphens/>
        <w:spacing w:before="120" w:line="252" w:lineRule="auto"/>
        <w:ind w:left="567" w:hanging="567"/>
        <w:jc w:val="both"/>
        <w:rPr>
          <w:rFonts w:ascii="Arial" w:hAnsi="Arial" w:cs="Arial"/>
          <w:b/>
          <w:sz w:val="24"/>
        </w:rPr>
      </w:pPr>
      <w:r w:rsidRPr="00076DCD">
        <w:rPr>
          <w:rFonts w:ascii="Arial" w:hAnsi="Arial" w:cs="Arial"/>
          <w:sz w:val="21"/>
          <w:szCs w:val="21"/>
        </w:rPr>
        <w:t xml:space="preserve">A partir del sexto mes de la fecha de Cierre, la Sociedad Concesionaria tendrá la obligación de informar mensualmente al Concedente </w:t>
      </w:r>
      <w:r w:rsidRPr="00076DCD">
        <w:rPr>
          <w:rFonts w:ascii="Arial" w:hAnsi="Arial" w:cs="Arial"/>
          <w:color w:val="000000"/>
          <w:sz w:val="21"/>
          <w:szCs w:val="21"/>
        </w:rPr>
        <w:t xml:space="preserve">y al OSINERGMIN, dentro de los primeros quince (15) días siguientes de concluido el mes que se informa, sobre </w:t>
      </w:r>
      <w:r w:rsidRPr="00076DCD">
        <w:rPr>
          <w:rFonts w:ascii="Arial" w:hAnsi="Arial" w:cs="Arial"/>
          <w:sz w:val="21"/>
          <w:szCs w:val="21"/>
        </w:rPr>
        <w:t xml:space="preserve">el avance de los proyectos, incluyendo el desarrollo de la ingeniería, adquisición de equipos y materiales, la construcción de las obras y otros aspectos relevantes que requiera el Concedente y/o el OSINERGMIN. La estructura del mencionado informe será establecida por </w:t>
      </w:r>
      <w:r w:rsidR="00EE6906" w:rsidRPr="00076DCD">
        <w:rPr>
          <w:rFonts w:ascii="Arial" w:hAnsi="Arial" w:cs="Arial"/>
          <w:sz w:val="21"/>
          <w:szCs w:val="21"/>
        </w:rPr>
        <w:t xml:space="preserve">el </w:t>
      </w:r>
      <w:r w:rsidRPr="00076DCD">
        <w:rPr>
          <w:rFonts w:ascii="Arial" w:hAnsi="Arial" w:cs="Arial"/>
          <w:sz w:val="21"/>
          <w:szCs w:val="21"/>
        </w:rPr>
        <w:t>OSINERGMIN.</w:t>
      </w:r>
      <w:bookmarkEnd w:id="28"/>
    </w:p>
    <w:p w:rsidR="006F657A" w:rsidRPr="00076DCD" w:rsidRDefault="006F657A" w:rsidP="003B11E7">
      <w:pPr>
        <w:widowControl w:val="0"/>
        <w:suppressLineNumbers/>
        <w:suppressAutoHyphens/>
        <w:spacing w:before="360" w:after="240" w:line="252"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5.</w:t>
      </w:r>
      <w:r w:rsidRPr="00076DCD">
        <w:rPr>
          <w:rFonts w:ascii="Arial" w:eastAsia="Times New Roman" w:hAnsi="Arial" w:cs="Arial"/>
          <w:b/>
          <w:sz w:val="24"/>
          <w:szCs w:val="24"/>
          <w:lang w:eastAsia="zh-CN"/>
        </w:rPr>
        <w:tab/>
        <w:t>Operación Comercial</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2" w:lineRule="auto"/>
        <w:ind w:left="567" w:hanging="567"/>
        <w:jc w:val="both"/>
        <w:rPr>
          <w:rFonts w:ascii="Arial" w:hAnsi="Arial" w:cs="Arial"/>
          <w:color w:val="000000"/>
          <w:sz w:val="21"/>
          <w:szCs w:val="21"/>
        </w:rPr>
      </w:pPr>
      <w:r w:rsidRPr="00076DCD">
        <w:rPr>
          <w:rFonts w:ascii="Arial" w:hAnsi="Arial" w:cs="Arial"/>
          <w:color w:val="000000"/>
          <w:sz w:val="21"/>
          <w:szCs w:val="21"/>
        </w:rPr>
        <w:t xml:space="preserve">Concluida la construcción y efectuadas las pruebas internas de operación, las mismas que corresponden a pruebas funcionales de los equipos, entre otros, con el sistema no energizado, la Sociedad Concesionaria procederá, en presencia del Inspector, </w:t>
      </w:r>
      <w:r w:rsidR="00ED4260" w:rsidRPr="00076DCD">
        <w:rPr>
          <w:rFonts w:ascii="Arial" w:hAnsi="Arial" w:cs="Arial"/>
          <w:color w:val="000000"/>
          <w:sz w:val="21"/>
          <w:szCs w:val="21"/>
        </w:rPr>
        <w:t>de</w:t>
      </w:r>
      <w:r w:rsidR="00B721A5" w:rsidRPr="00076DCD">
        <w:rPr>
          <w:rFonts w:ascii="Arial" w:hAnsi="Arial" w:cs="Arial"/>
          <w:color w:val="000000"/>
          <w:sz w:val="21"/>
          <w:szCs w:val="21"/>
        </w:rPr>
        <w:t xml:space="preserve"> </w:t>
      </w:r>
      <w:r w:rsidR="00ED4260" w:rsidRPr="00076DCD">
        <w:rPr>
          <w:rFonts w:ascii="Arial" w:hAnsi="Arial" w:cs="Arial"/>
          <w:color w:val="000000"/>
          <w:sz w:val="21"/>
          <w:szCs w:val="21"/>
        </w:rPr>
        <w:t>l</w:t>
      </w:r>
      <w:r w:rsidR="00B721A5" w:rsidRPr="00076DCD">
        <w:rPr>
          <w:rFonts w:ascii="Arial" w:hAnsi="Arial" w:cs="Arial"/>
          <w:color w:val="000000"/>
          <w:sz w:val="21"/>
          <w:szCs w:val="21"/>
        </w:rPr>
        <w:t>a</w:t>
      </w:r>
      <w:r w:rsidR="00ED4260" w:rsidRPr="00076DCD">
        <w:rPr>
          <w:rFonts w:ascii="Arial" w:hAnsi="Arial" w:cs="Arial"/>
          <w:color w:val="000000"/>
          <w:sz w:val="21"/>
          <w:szCs w:val="21"/>
        </w:rPr>
        <w:t xml:space="preserve"> </w:t>
      </w:r>
      <w:r w:rsidR="00B721A5" w:rsidRPr="00076DCD">
        <w:rPr>
          <w:rFonts w:ascii="Arial" w:hAnsi="Arial" w:cs="Arial"/>
          <w:color w:val="000000"/>
          <w:sz w:val="21"/>
          <w:szCs w:val="21"/>
        </w:rPr>
        <w:t xml:space="preserve">Empresa </w:t>
      </w:r>
      <w:r w:rsidR="00ED4260" w:rsidRPr="00076DCD">
        <w:rPr>
          <w:rFonts w:ascii="Arial" w:hAnsi="Arial" w:cs="Arial"/>
          <w:color w:val="000000"/>
          <w:sz w:val="21"/>
          <w:szCs w:val="21"/>
        </w:rPr>
        <w:t>Supervisor</w:t>
      </w:r>
      <w:r w:rsidR="00B721A5" w:rsidRPr="00076DCD">
        <w:rPr>
          <w:rFonts w:ascii="Arial" w:hAnsi="Arial" w:cs="Arial"/>
          <w:color w:val="000000"/>
          <w:sz w:val="21"/>
          <w:szCs w:val="21"/>
        </w:rPr>
        <w:t>a</w:t>
      </w:r>
      <w:r w:rsidR="00ED4260" w:rsidRPr="00076DCD">
        <w:rPr>
          <w:rFonts w:ascii="Arial" w:hAnsi="Arial" w:cs="Arial"/>
          <w:color w:val="000000"/>
          <w:sz w:val="21"/>
          <w:szCs w:val="21"/>
        </w:rPr>
        <w:t xml:space="preserve">, </w:t>
      </w:r>
      <w:r w:rsidRPr="00076DCD">
        <w:rPr>
          <w:rFonts w:ascii="Arial" w:hAnsi="Arial" w:cs="Arial"/>
          <w:color w:val="000000"/>
          <w:sz w:val="21"/>
          <w:szCs w:val="21"/>
        </w:rPr>
        <w:t>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2" w:lineRule="auto"/>
        <w:ind w:left="567" w:hanging="567"/>
        <w:jc w:val="both"/>
        <w:rPr>
          <w:rFonts w:ascii="Arial" w:hAnsi="Arial" w:cs="Arial"/>
          <w:color w:val="000000"/>
          <w:sz w:val="21"/>
          <w:szCs w:val="21"/>
        </w:rPr>
      </w:pPr>
      <w:r w:rsidRPr="00076DCD">
        <w:rPr>
          <w:rFonts w:ascii="Arial" w:hAnsi="Arial" w:cs="Arial"/>
          <w:color w:val="000000"/>
          <w:sz w:val="21"/>
          <w:szCs w:val="21"/>
        </w:rPr>
        <w:t xml:space="preserve">El Inspector será elegido por la Sociedad Concesionaria de una lista de, cuando menos, tres (3) empresas que el Concedente deberá proponer en el plazo de doce (12) meses </w:t>
      </w:r>
      <w:r w:rsidR="00666074" w:rsidRPr="00076DCD">
        <w:rPr>
          <w:rFonts w:ascii="Arial" w:hAnsi="Arial" w:cs="Arial"/>
          <w:color w:val="000000"/>
          <w:sz w:val="21"/>
          <w:szCs w:val="21"/>
        </w:rPr>
        <w:t>antes</w:t>
      </w:r>
      <w:r w:rsidRPr="00076DCD">
        <w:rPr>
          <w:rFonts w:ascii="Arial" w:hAnsi="Arial" w:cs="Arial"/>
          <w:color w:val="000000"/>
          <w:sz w:val="21"/>
          <w:szCs w:val="21"/>
        </w:rPr>
        <w:t xml:space="preserve"> de la fecha </w:t>
      </w:r>
      <w:r w:rsidR="00666074" w:rsidRPr="00076DCD">
        <w:rPr>
          <w:rFonts w:ascii="Arial" w:hAnsi="Arial" w:cs="Arial"/>
          <w:color w:val="000000"/>
          <w:sz w:val="21"/>
          <w:szCs w:val="21"/>
        </w:rPr>
        <w:t>prevista para la Puesta en Operación Comercial</w:t>
      </w:r>
      <w:r w:rsidRPr="00076DCD">
        <w:rPr>
          <w:rFonts w:ascii="Arial" w:hAnsi="Arial" w:cs="Arial"/>
          <w:color w:val="000000"/>
          <w:sz w:val="21"/>
          <w:szCs w:val="21"/>
        </w:rPr>
        <w:t xml:space="preserve"> La Sociedad Concesionaria podrá elegir el Inspector, si el Concedente no propone su lista de tres (3) empresas en el plazo indicado.</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color w:val="000000"/>
          <w:sz w:val="21"/>
          <w:szCs w:val="21"/>
          <w:lang w:eastAsia="zh-CN"/>
        </w:rPr>
      </w:pPr>
      <w:r w:rsidRPr="00076DCD">
        <w:rPr>
          <w:rFonts w:ascii="Arial" w:eastAsia="Times New Roman" w:hAnsi="Arial" w:cs="Arial"/>
          <w:color w:val="000000"/>
          <w:sz w:val="21"/>
          <w:szCs w:val="21"/>
          <w:lang w:eastAsia="zh-CN"/>
        </w:rPr>
        <w:t>La negociación del contrato y la contratación del Inspector estarán a cargo de la Sociedad Concesionaria.</w:t>
      </w:r>
      <w:r w:rsidR="00ED4260" w:rsidRPr="00076DCD">
        <w:rPr>
          <w:rFonts w:ascii="Arial" w:eastAsia="Times New Roman" w:hAnsi="Arial" w:cs="Arial"/>
          <w:color w:val="000000"/>
          <w:sz w:val="21"/>
          <w:szCs w:val="21"/>
          <w:lang w:eastAsia="zh-CN"/>
        </w:rPr>
        <w:t xml:space="preserve"> Los alcances del contrato del Inspector incluirán las funciones previstas para éste en el presente Contrato.</w:t>
      </w:r>
    </w:p>
    <w:p w:rsidR="006F657A" w:rsidRPr="00076DCD" w:rsidRDefault="006F657A" w:rsidP="003B11E7">
      <w:pPr>
        <w:widowControl w:val="0"/>
        <w:suppressLineNumbers/>
        <w:suppressAutoHyphens/>
        <w:spacing w:before="80" w:after="0" w:line="252" w:lineRule="auto"/>
        <w:ind w:left="567"/>
        <w:jc w:val="both"/>
        <w:rPr>
          <w:rFonts w:ascii="Arial" w:eastAsia="Times New Roman" w:hAnsi="Arial" w:cs="Arial"/>
          <w:color w:val="000000"/>
          <w:sz w:val="21"/>
          <w:szCs w:val="21"/>
          <w:lang w:eastAsia="zh-CN"/>
        </w:rPr>
      </w:pPr>
      <w:r w:rsidRPr="00076DCD">
        <w:rPr>
          <w:rFonts w:ascii="Arial" w:eastAsia="Times New Roman" w:hAnsi="Arial" w:cs="Arial"/>
          <w:color w:val="000000"/>
          <w:sz w:val="21"/>
          <w:szCs w:val="21"/>
          <w:lang w:eastAsia="zh-CN"/>
        </w:rPr>
        <w:t>El costo de los honorarios del Inspector será cubierto por la Sociedad Concesionaria.</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2" w:lineRule="auto"/>
        <w:ind w:left="567" w:hanging="567"/>
        <w:jc w:val="both"/>
        <w:rPr>
          <w:rFonts w:ascii="Arial" w:hAnsi="Arial" w:cs="Arial"/>
          <w:color w:val="000000"/>
          <w:sz w:val="21"/>
          <w:szCs w:val="21"/>
        </w:rPr>
      </w:pPr>
      <w:r w:rsidRPr="00076DCD">
        <w:rPr>
          <w:rFonts w:ascii="Arial" w:hAnsi="Arial" w:cs="Arial"/>
          <w:color w:val="000000"/>
          <w:sz w:val="21"/>
          <w:szCs w:val="21"/>
        </w:rPr>
        <w:t>A la finalización exitosa de las pruebas de verificación de la Línea Eléctrica, el OSINERGMIN, aprobará el informe final a que se refiere el Anexo Nº 2.</w:t>
      </w:r>
      <w:r w:rsidR="00CC3905" w:rsidRPr="00076DCD">
        <w:rPr>
          <w:rFonts w:ascii="Arial" w:hAnsi="Arial" w:cs="Arial"/>
          <w:color w:val="000000"/>
          <w:sz w:val="21"/>
          <w:szCs w:val="21"/>
        </w:rPr>
        <w:t xml:space="preserve"> Antes de la emisión del Informe Final, el OSINERGMIN podrá autorizar a la Sociedad Concesionaria la energización de la Línea de Transmisión.</w:t>
      </w:r>
    </w:p>
    <w:p w:rsidR="003B11E7"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2" w:lineRule="auto"/>
        <w:ind w:left="567" w:hanging="567"/>
        <w:jc w:val="both"/>
        <w:rPr>
          <w:rFonts w:ascii="Arial" w:hAnsi="Arial" w:cs="Arial"/>
          <w:color w:val="000000"/>
          <w:sz w:val="21"/>
          <w:szCs w:val="21"/>
        </w:rPr>
      </w:pPr>
      <w:r w:rsidRPr="00076DCD">
        <w:rPr>
          <w:rFonts w:ascii="Arial" w:hAnsi="Arial" w:cs="Arial"/>
          <w:color w:val="000000"/>
          <w:sz w:val="21"/>
          <w:szCs w:val="21"/>
        </w:rPr>
        <w:t xml:space="preserve">Luego de cumplido lo dispuesto en la Cláusula 4.4, se iniciará un período de operación experimental que consiste en la operación de la Línea Eléctrica y sus componentes, sin interrupciones atribuibles al estudio de ingeniería, estudio de pre operatividad, a la calidad del material o equipos del sistema, por un período de treinta (30) días calendario, al final del cual comenzará automáticamente la Puesta en Operación Comercial. </w:t>
      </w:r>
    </w:p>
    <w:p w:rsidR="006F657A" w:rsidRPr="003B11E7" w:rsidRDefault="006F657A" w:rsidP="003B11E7">
      <w:pPr>
        <w:widowControl w:val="0"/>
        <w:suppressLineNumbers/>
        <w:suppressAutoHyphens/>
        <w:spacing w:before="80" w:after="0" w:line="250" w:lineRule="auto"/>
        <w:ind w:left="567"/>
        <w:jc w:val="both"/>
        <w:rPr>
          <w:rFonts w:ascii="Arial" w:hAnsi="Arial" w:cs="Arial"/>
          <w:color w:val="000000"/>
          <w:sz w:val="21"/>
          <w:szCs w:val="21"/>
        </w:rPr>
      </w:pPr>
      <w:r w:rsidRPr="003B11E7">
        <w:rPr>
          <w:rFonts w:ascii="Arial" w:hAnsi="Arial" w:cs="Arial"/>
          <w:color w:val="000000"/>
          <w:sz w:val="21"/>
          <w:szCs w:val="21"/>
        </w:rPr>
        <w:lastRenderedPageBreak/>
        <w:t>La fecha de la Puesta en Operación Comercial se consignará en un Acta suscrita por el OSINERGMIN y la Sociedad Concesionaria.</w:t>
      </w:r>
    </w:p>
    <w:p w:rsidR="006F657A" w:rsidRPr="00076DCD" w:rsidRDefault="006F657A" w:rsidP="003B11E7">
      <w:pPr>
        <w:widowControl w:val="0"/>
        <w:suppressLineNumbers/>
        <w:suppressAutoHyphens/>
        <w:spacing w:before="80" w:after="0" w:line="250" w:lineRule="auto"/>
        <w:ind w:left="567"/>
        <w:jc w:val="both"/>
        <w:rPr>
          <w:rFonts w:ascii="Arial" w:eastAsia="Times New Roman" w:hAnsi="Arial" w:cs="Arial"/>
          <w:color w:val="000000"/>
          <w:sz w:val="21"/>
          <w:szCs w:val="21"/>
          <w:lang w:eastAsia="zh-CN"/>
        </w:rPr>
      </w:pPr>
      <w:r w:rsidRPr="00076DCD">
        <w:rPr>
          <w:rFonts w:ascii="Arial" w:eastAsia="Times New Roman" w:hAnsi="Arial" w:cs="Arial"/>
          <w:color w:val="000000"/>
          <w:sz w:val="21"/>
          <w:szCs w:val="21"/>
          <w:lang w:eastAsia="zh-CN"/>
        </w:rPr>
        <w:t xml:space="preserve">El inicio de la puesta en operación experimental será  por la Sociedad Concesionaria al COES con una anticipación de treinta (30) días calendario. En caso que durante el periodo de operación experimental, se produjeran interrupciones atribuibles al estudio de ingeniería, estudio de pre operatividad, a la calidad del material o equipos del sistema, </w:t>
      </w:r>
      <w:r w:rsidR="00666074" w:rsidRPr="00076DCD">
        <w:rPr>
          <w:rFonts w:ascii="Arial" w:hAnsi="Arial" w:cs="Arial"/>
          <w:color w:val="000000"/>
          <w:sz w:val="21"/>
          <w:szCs w:val="21"/>
        </w:rPr>
        <w:t xml:space="preserve">o a la calidad constructiva, </w:t>
      </w:r>
      <w:r w:rsidRPr="00076DCD">
        <w:rPr>
          <w:rFonts w:ascii="Arial" w:eastAsia="Times New Roman" w:hAnsi="Arial" w:cs="Arial"/>
          <w:color w:val="000000"/>
          <w:sz w:val="21"/>
          <w:szCs w:val="21"/>
          <w:lang w:eastAsia="zh-CN"/>
        </w:rPr>
        <w:t>el periodo de operación experimental quedará suspendido. En caso de que la subsanación y pruebas respectivas demanden un tiempo mayor a cinco (5) días calendario, se iniciará nuevamente un periodo de treinta (30) días calendario, después de superada la interrupción.</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0" w:lineRule="auto"/>
        <w:ind w:left="567" w:hanging="567"/>
        <w:jc w:val="both"/>
        <w:rPr>
          <w:rFonts w:ascii="Arial" w:hAnsi="Arial" w:cs="Arial"/>
          <w:color w:val="000000"/>
          <w:sz w:val="21"/>
          <w:szCs w:val="21"/>
        </w:rPr>
      </w:pPr>
      <w:r w:rsidRPr="00076DCD">
        <w:rPr>
          <w:rFonts w:ascii="Arial" w:hAnsi="Arial" w:cs="Arial"/>
          <w:color w:val="000000"/>
          <w:sz w:val="21"/>
          <w:szCs w:val="21"/>
        </w:rPr>
        <w:t>En el período de operación experimental se excluirá a la Línea Eléctrica de la aplicación de la normativa del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 Operación Comercial. Lo anterior no exime de responsabilidad a la Sociedad Concesionaria del pago de daños y perjuicios  a un tercero, por causa de una interrupción atribuible a la Línea Eléctrica.</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6F657A" w:rsidRPr="00076DCD" w:rsidRDefault="006F657A" w:rsidP="003B11E7">
      <w:pPr>
        <w:widowControl w:val="0"/>
        <w:suppressLineNumbers/>
        <w:suppressAutoHyphens/>
        <w:spacing w:before="80" w:after="0" w:line="250"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El Servicio deberá ser prestado de acuerdo con las Leyes Aplicables y el A</w:t>
      </w:r>
      <w:r w:rsidRPr="00076DCD" w:rsidDel="00D0308D">
        <w:rPr>
          <w:rFonts w:ascii="Arial" w:hAnsi="Arial" w:cs="Arial"/>
          <w:sz w:val="21"/>
          <w:szCs w:val="21"/>
        </w:rPr>
        <w:t>nexo</w:t>
      </w:r>
      <w:r w:rsidRPr="00076DCD">
        <w:rPr>
          <w:rFonts w:ascii="Arial" w:hAnsi="Arial" w:cs="Arial"/>
          <w:sz w:val="21"/>
          <w:szCs w:val="21"/>
        </w:rPr>
        <w:t xml:space="preserve"> N°</w:t>
      </w:r>
      <w:r w:rsidRPr="00076DCD" w:rsidDel="00D0308D">
        <w:rPr>
          <w:rFonts w:ascii="Arial" w:hAnsi="Arial" w:cs="Arial"/>
          <w:sz w:val="21"/>
          <w:szCs w:val="21"/>
        </w:rPr>
        <w:t xml:space="preserve"> </w:t>
      </w:r>
      <w:r w:rsidRPr="00076DCD">
        <w:rPr>
          <w:rFonts w:ascii="Arial" w:hAnsi="Arial" w:cs="Arial"/>
          <w:sz w:val="21"/>
          <w:szCs w:val="21"/>
        </w:rPr>
        <w:t>1, de manera tal que se garantice la calidad, eficiencia y continuidad del Servicio.</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rsidR="006F657A" w:rsidRPr="00076DCD" w:rsidRDefault="006F657A" w:rsidP="003B11E7">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0" w:lineRule="auto"/>
        <w:ind w:left="567" w:hanging="567"/>
        <w:jc w:val="both"/>
        <w:rPr>
          <w:rFonts w:ascii="Arial" w:hAnsi="Arial" w:cs="Arial"/>
          <w:sz w:val="21"/>
          <w:szCs w:val="21"/>
        </w:rPr>
      </w:pPr>
      <w:r w:rsidRPr="00076DCD">
        <w:rPr>
          <w:rFonts w:ascii="Arial" w:hAnsi="Arial" w:cs="Arial"/>
          <w:sz w:val="21"/>
          <w:szCs w:val="21"/>
        </w:rPr>
        <w:t xml:space="preserve">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w:t>
      </w:r>
      <w:r w:rsidR="00337A07" w:rsidRPr="00076DCD">
        <w:rPr>
          <w:rFonts w:ascii="Arial" w:hAnsi="Arial" w:cs="Arial"/>
          <w:sz w:val="21"/>
          <w:szCs w:val="21"/>
        </w:rPr>
        <w:t>a</w:t>
      </w:r>
      <w:r w:rsidR="00812B5E" w:rsidRPr="00076DCD">
        <w:rPr>
          <w:rFonts w:ascii="Arial" w:hAnsi="Arial" w:cs="Arial"/>
          <w:sz w:val="21"/>
          <w:szCs w:val="21"/>
        </w:rPr>
        <w:t>l</w:t>
      </w:r>
      <w:r w:rsidR="00337A07" w:rsidRPr="00076DCD">
        <w:rPr>
          <w:rFonts w:ascii="Arial" w:hAnsi="Arial" w:cs="Arial"/>
          <w:sz w:val="21"/>
          <w:szCs w:val="21"/>
        </w:rPr>
        <w:t xml:space="preserve"> O</w:t>
      </w:r>
      <w:r w:rsidR="00812B5E" w:rsidRPr="00076DCD">
        <w:rPr>
          <w:rFonts w:ascii="Arial" w:hAnsi="Arial" w:cs="Arial"/>
          <w:sz w:val="21"/>
          <w:szCs w:val="21"/>
        </w:rPr>
        <w:t>SINERGMIN</w:t>
      </w:r>
      <w:r w:rsidRPr="00076DCD">
        <w:rPr>
          <w:rFonts w:ascii="Arial" w:hAnsi="Arial" w:cs="Arial"/>
          <w:sz w:val="21"/>
          <w:szCs w:val="21"/>
        </w:rPr>
        <w:t>, el primer inventario de los Bienes de la Concesión. Luego de cada actualización anual del inventario, la Sociedad Concesionaria entregará una copia al Concedente y al OSINERGMIN.</w:t>
      </w:r>
    </w:p>
    <w:p w:rsidR="006F657A" w:rsidRPr="00076DCD" w:rsidRDefault="006F657A" w:rsidP="00B07EB1">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7" w:lineRule="auto"/>
        <w:ind w:left="567" w:hanging="567"/>
        <w:jc w:val="both"/>
        <w:rPr>
          <w:rFonts w:ascii="Arial" w:hAnsi="Arial" w:cs="Arial"/>
          <w:sz w:val="21"/>
          <w:szCs w:val="21"/>
        </w:rPr>
      </w:pPr>
      <w:r w:rsidRPr="00076DCD">
        <w:rPr>
          <w:rFonts w:ascii="Arial" w:hAnsi="Arial" w:cs="Arial"/>
          <w:sz w:val="21"/>
          <w:szCs w:val="21"/>
        </w:rPr>
        <w:lastRenderedPageBreak/>
        <w:t xml:space="preserve">La Sociedad Concesionaria pondrá en marcha y mantendrá un adecuado programa de aseguramiento de calidad que cumpla, por lo menos, lo establecido en las normas NTP-ISO-9001 durante la construcción de la Línea Eléctrica, y la NTP-ISO-9004-2 </w:t>
      </w:r>
      <w:r w:rsidR="00577C91" w:rsidRPr="00076DCD">
        <w:rPr>
          <w:rFonts w:ascii="Arial" w:hAnsi="Arial" w:cs="Arial"/>
          <w:sz w:val="21"/>
          <w:szCs w:val="21"/>
        </w:rPr>
        <w:t>o la que la sustituya,</w:t>
      </w:r>
      <w:r w:rsidR="00785758" w:rsidRPr="00076DCD">
        <w:rPr>
          <w:rFonts w:ascii="Arial" w:hAnsi="Arial" w:cs="Arial"/>
          <w:sz w:val="21"/>
          <w:szCs w:val="21"/>
        </w:rPr>
        <w:t xml:space="preserve"> </w:t>
      </w:r>
      <w:r w:rsidRPr="00076DCD">
        <w:rPr>
          <w:rFonts w:ascii="Arial" w:hAnsi="Arial" w:cs="Arial"/>
          <w:sz w:val="21"/>
          <w:szCs w:val="21"/>
        </w:rPr>
        <w:t>durante la explotación del Servicio.</w:t>
      </w:r>
    </w:p>
    <w:p w:rsidR="006F657A" w:rsidRPr="00076DCD" w:rsidRDefault="006F657A" w:rsidP="00B07EB1">
      <w:pPr>
        <w:pStyle w:val="Prrafodelista"/>
        <w:widowControl w:val="0"/>
        <w:numPr>
          <w:ilvl w:val="0"/>
          <w:numId w:val="52"/>
        </w:numPr>
        <w:suppressLineNumbers/>
        <w:tabs>
          <w:tab w:val="clear" w:pos="567"/>
          <w:tab w:val="clear" w:pos="1134"/>
          <w:tab w:val="clear" w:pos="1701"/>
          <w:tab w:val="clear" w:pos="2268"/>
          <w:tab w:val="clear" w:pos="2835"/>
        </w:tabs>
        <w:suppressAutoHyphens/>
        <w:spacing w:before="120" w:line="257" w:lineRule="auto"/>
        <w:ind w:left="567" w:hanging="567"/>
        <w:jc w:val="both"/>
        <w:rPr>
          <w:rFonts w:ascii="Arial" w:hAnsi="Arial" w:cs="Arial"/>
          <w:sz w:val="21"/>
        </w:rPr>
      </w:pPr>
      <w:r w:rsidRPr="00076DCD">
        <w:rPr>
          <w:rFonts w:ascii="Arial" w:hAnsi="Arial" w:cs="Arial"/>
          <w:sz w:val="21"/>
          <w:szCs w:val="21"/>
        </w:rPr>
        <w:t xml:space="preserve">La Sociedad Concesionaria no tiene derecho a cuestionar en modo o fuero alguno, el </w:t>
      </w:r>
      <w:r w:rsidR="00FF7130" w:rsidRPr="00076DCD">
        <w:rPr>
          <w:rFonts w:ascii="Arial" w:hAnsi="Arial" w:cs="Arial"/>
          <w:sz w:val="21"/>
          <w:szCs w:val="21"/>
        </w:rPr>
        <w:t>r</w:t>
      </w:r>
      <w:r w:rsidRPr="00076DCD">
        <w:rPr>
          <w:rFonts w:ascii="Arial" w:hAnsi="Arial" w:cs="Arial"/>
          <w:sz w:val="21"/>
          <w:szCs w:val="21"/>
        </w:rPr>
        <w:t xml:space="preserve">efuerzo a ejecutarse de conformidad con el Artículo 22º, numeral 22.2, literal b) de la Ley Nº 28832, ni la </w:t>
      </w:r>
      <w:r w:rsidR="00FF7130" w:rsidRPr="00076DCD">
        <w:rPr>
          <w:rFonts w:ascii="Arial" w:hAnsi="Arial" w:cs="Arial"/>
          <w:sz w:val="21"/>
          <w:szCs w:val="21"/>
        </w:rPr>
        <w:t>b</w:t>
      </w:r>
      <w:r w:rsidRPr="00076DCD">
        <w:rPr>
          <w:rFonts w:ascii="Arial" w:hAnsi="Arial" w:cs="Arial"/>
          <w:sz w:val="21"/>
          <w:szCs w:val="21"/>
        </w:rPr>
        <w:t xml:space="preserve">ase </w:t>
      </w:r>
      <w:r w:rsidR="00FF7130" w:rsidRPr="00076DCD">
        <w:rPr>
          <w:rFonts w:ascii="Arial" w:hAnsi="Arial" w:cs="Arial"/>
          <w:sz w:val="21"/>
          <w:szCs w:val="21"/>
        </w:rPr>
        <w:t>t</w:t>
      </w:r>
      <w:r w:rsidRPr="00076DCD">
        <w:rPr>
          <w:rFonts w:ascii="Arial" w:hAnsi="Arial" w:cs="Arial"/>
          <w:sz w:val="21"/>
          <w:szCs w:val="21"/>
        </w:rPr>
        <w:t xml:space="preserve">arifaria que el OSINERGMIN hubiese aprobado para el </w:t>
      </w:r>
      <w:r w:rsidR="00FF7130" w:rsidRPr="00076DCD">
        <w:rPr>
          <w:rFonts w:ascii="Arial" w:hAnsi="Arial" w:cs="Arial"/>
          <w:sz w:val="21"/>
          <w:szCs w:val="21"/>
        </w:rPr>
        <w:t>r</w:t>
      </w:r>
      <w:r w:rsidRPr="00076DCD">
        <w:rPr>
          <w:rFonts w:ascii="Arial" w:hAnsi="Arial" w:cs="Arial"/>
          <w:sz w:val="21"/>
          <w:szCs w:val="21"/>
        </w:rPr>
        <w:t>efuerzo. Sólo puede ejercer o no ejercer su derecho de preferencia.</w:t>
      </w:r>
    </w:p>
    <w:p w:rsidR="006F657A" w:rsidRPr="00076DCD" w:rsidRDefault="006F657A" w:rsidP="00B07EB1">
      <w:pPr>
        <w:widowControl w:val="0"/>
        <w:suppressLineNumbers/>
        <w:suppressAutoHyphens/>
        <w:spacing w:before="120" w:after="0" w:line="257" w:lineRule="auto"/>
        <w:ind w:left="567"/>
        <w:jc w:val="both"/>
        <w:rPr>
          <w:rFonts w:ascii="Arial" w:hAnsi="Arial" w:cs="Arial"/>
          <w:sz w:val="21"/>
        </w:rPr>
      </w:pPr>
      <w:r w:rsidRPr="00076DCD">
        <w:rPr>
          <w:rFonts w:ascii="Arial" w:hAnsi="Arial" w:cs="Arial"/>
          <w:sz w:val="21"/>
        </w:rPr>
        <w:t xml:space="preserve">Si la Sociedad Concesionaria no ejerciera su derecho de preferencia para ejecutar un </w:t>
      </w:r>
      <w:r w:rsidR="00FF7130" w:rsidRPr="00076DCD">
        <w:rPr>
          <w:rFonts w:ascii="Arial" w:hAnsi="Arial" w:cs="Arial"/>
          <w:sz w:val="21"/>
        </w:rPr>
        <w:t>r</w:t>
      </w:r>
      <w:r w:rsidRPr="00076DCD">
        <w:rPr>
          <w:rFonts w:ascii="Arial" w:hAnsi="Arial" w:cs="Arial"/>
          <w:sz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FF7130" w:rsidRPr="00076DCD">
        <w:rPr>
          <w:rFonts w:ascii="Arial" w:hAnsi="Arial" w:cs="Arial"/>
          <w:sz w:val="21"/>
        </w:rPr>
        <w:t>r</w:t>
      </w:r>
      <w:r w:rsidRPr="00076DCD">
        <w:rPr>
          <w:rFonts w:ascii="Arial" w:hAnsi="Arial" w:cs="Arial"/>
          <w:sz w:val="21"/>
        </w:rPr>
        <w:t>efuerzo.</w:t>
      </w:r>
    </w:p>
    <w:p w:rsidR="006F657A" w:rsidRPr="00076DCD" w:rsidRDefault="006F657A" w:rsidP="00B07EB1">
      <w:pPr>
        <w:widowControl w:val="0"/>
        <w:suppressLineNumbers/>
        <w:suppressAutoHyphens/>
        <w:spacing w:before="120" w:after="0" w:line="257" w:lineRule="auto"/>
        <w:ind w:left="567"/>
        <w:jc w:val="both"/>
        <w:rPr>
          <w:rFonts w:ascii="Arial" w:hAnsi="Arial" w:cs="Arial"/>
          <w:sz w:val="21"/>
        </w:rPr>
      </w:pPr>
      <w:r w:rsidRPr="00076DCD">
        <w:rPr>
          <w:rFonts w:ascii="Arial" w:hAnsi="Arial" w:cs="Arial"/>
          <w:sz w:val="21"/>
        </w:rPr>
        <w:t xml:space="preserve">Si la Sociedad Concesionaria discrepara en todo o en parte con la referida comunicación, la controversia se resolverá con arreglo a la Cláusula 14. El inicio del proceso de licitación del </w:t>
      </w:r>
      <w:r w:rsidR="00FF7130" w:rsidRPr="00076DCD">
        <w:rPr>
          <w:rFonts w:ascii="Arial" w:hAnsi="Arial" w:cs="Arial"/>
          <w:sz w:val="21"/>
        </w:rPr>
        <w:t>r</w:t>
      </w:r>
      <w:r w:rsidRPr="00076DCD">
        <w:rPr>
          <w:rFonts w:ascii="Arial" w:hAnsi="Arial" w:cs="Arial"/>
          <w:sz w:val="21"/>
        </w:rPr>
        <w:t>efuerzo no está sujeto a que concluya el arbitraje.</w:t>
      </w:r>
    </w:p>
    <w:p w:rsidR="006F657A" w:rsidRPr="00076DCD" w:rsidRDefault="006F657A"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6.</w:t>
      </w:r>
      <w:r w:rsidRPr="00076DCD">
        <w:rPr>
          <w:rFonts w:ascii="Arial" w:eastAsia="Times New Roman" w:hAnsi="Arial" w:cs="Arial"/>
          <w:b/>
          <w:sz w:val="24"/>
          <w:szCs w:val="24"/>
          <w:lang w:eastAsia="zh-CN"/>
        </w:rPr>
        <w:tab/>
        <w:t>Contratos con Terceros</w:t>
      </w:r>
    </w:p>
    <w:p w:rsidR="006F657A" w:rsidRPr="00076DCD" w:rsidRDefault="006F657A" w:rsidP="00B07EB1">
      <w:pPr>
        <w:pStyle w:val="Prrafodelista"/>
        <w:widowControl w:val="0"/>
        <w:numPr>
          <w:ilvl w:val="0"/>
          <w:numId w:val="53"/>
        </w:numPr>
        <w:suppressLineNumbers/>
        <w:tabs>
          <w:tab w:val="clear" w:pos="567"/>
          <w:tab w:val="clear" w:pos="1134"/>
          <w:tab w:val="clear" w:pos="1701"/>
          <w:tab w:val="clear" w:pos="2268"/>
          <w:tab w:val="clear" w:pos="2835"/>
        </w:tabs>
        <w:suppressAutoHyphens/>
        <w:spacing w:before="120" w:line="257" w:lineRule="auto"/>
        <w:ind w:left="567" w:hanging="567"/>
        <w:jc w:val="both"/>
        <w:outlineLvl w:val="6"/>
        <w:rPr>
          <w:rFonts w:ascii="Arial" w:hAnsi="Arial" w:cs="Arial"/>
        </w:rPr>
      </w:pPr>
      <w:r w:rsidRPr="00076DCD">
        <w:rPr>
          <w:rFonts w:ascii="Arial" w:hAnsi="Arial" w:cs="Arial"/>
          <w:sz w:val="21"/>
          <w:szCs w:val="21"/>
        </w:rPr>
        <w:t xml:space="preserve">El </w:t>
      </w:r>
      <w:r w:rsidR="0054392C" w:rsidRPr="00076DCD">
        <w:rPr>
          <w:rFonts w:ascii="Arial" w:hAnsi="Arial" w:cs="Arial"/>
          <w:sz w:val="21"/>
          <w:szCs w:val="21"/>
        </w:rPr>
        <w:t>Operador Calificado</w:t>
      </w:r>
      <w:r w:rsidRPr="00076DCD">
        <w:rPr>
          <w:rFonts w:ascii="Arial" w:hAnsi="Arial" w:cs="Arial"/>
          <w:sz w:val="21"/>
          <w:szCs w:val="21"/>
        </w:rPr>
        <w:t xml:space="preserve"> podrá a su entera cuenta, costo y riesgo, contratar consultores, contratistas y proveedores en los casos necesarios o los que estime conveniente para las operaciones técnicas de la Concesión, pero en todos esos contratos deberá estipularse expresamente:</w:t>
      </w:r>
    </w:p>
    <w:p w:rsidR="006F657A" w:rsidRPr="00076DCD" w:rsidRDefault="006F657A" w:rsidP="00B07EB1">
      <w:pPr>
        <w:pStyle w:val="Prrafodelista"/>
        <w:widowControl w:val="0"/>
        <w:numPr>
          <w:ilvl w:val="0"/>
          <w:numId w:val="54"/>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outlineLvl w:val="6"/>
        <w:rPr>
          <w:rFonts w:ascii="Arial" w:hAnsi="Arial" w:cs="Arial"/>
          <w:sz w:val="21"/>
          <w:szCs w:val="21"/>
        </w:rPr>
      </w:pPr>
      <w:r w:rsidRPr="00076DCD">
        <w:rPr>
          <w:rFonts w:ascii="Arial" w:hAnsi="Arial" w:cs="Arial"/>
          <w:sz w:val="21"/>
          <w:szCs w:val="21"/>
        </w:rPr>
        <w:t>Que la Sociedad Concesionaria es la única responsable por la total y completa ejecución de las obligaciones a su cargo bajo el Contrato y las Leyes Aplicables.</w:t>
      </w:r>
    </w:p>
    <w:p w:rsidR="006F657A" w:rsidRPr="00076DCD" w:rsidRDefault="006F657A" w:rsidP="00B07EB1">
      <w:pPr>
        <w:pStyle w:val="Prrafodelista"/>
        <w:widowControl w:val="0"/>
        <w:numPr>
          <w:ilvl w:val="0"/>
          <w:numId w:val="54"/>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rPr>
          <w:rFonts w:ascii="Arial" w:hAnsi="Arial" w:cs="Arial"/>
          <w:sz w:val="21"/>
          <w:szCs w:val="21"/>
        </w:rPr>
      </w:pPr>
      <w:r w:rsidRPr="00076DCD">
        <w:rPr>
          <w:rFonts w:ascii="Arial" w:hAnsi="Arial" w:cs="Arial"/>
          <w:sz w:val="21"/>
          <w:szCs w:val="21"/>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6F657A" w:rsidRPr="00076DCD" w:rsidRDefault="006F657A" w:rsidP="00B07EB1">
      <w:pPr>
        <w:pStyle w:val="Prrafodelista"/>
        <w:widowControl w:val="0"/>
        <w:numPr>
          <w:ilvl w:val="0"/>
          <w:numId w:val="53"/>
        </w:numPr>
        <w:suppressLineNumbers/>
        <w:tabs>
          <w:tab w:val="clear" w:pos="567"/>
          <w:tab w:val="clear" w:pos="1134"/>
          <w:tab w:val="clear" w:pos="1701"/>
          <w:tab w:val="clear" w:pos="2268"/>
          <w:tab w:val="clear" w:pos="2835"/>
        </w:tabs>
        <w:suppressAutoHyphens/>
        <w:spacing w:before="120" w:line="257" w:lineRule="auto"/>
        <w:ind w:left="567" w:hanging="567"/>
        <w:jc w:val="both"/>
        <w:outlineLvl w:val="6"/>
        <w:rPr>
          <w:rFonts w:ascii="Arial" w:hAnsi="Arial" w:cs="Arial"/>
          <w:sz w:val="21"/>
          <w:szCs w:val="21"/>
        </w:rPr>
      </w:pPr>
      <w:r w:rsidRPr="00076DCD">
        <w:rPr>
          <w:rFonts w:ascii="Arial" w:hAnsi="Arial" w:cs="Arial"/>
          <w:sz w:val="21"/>
          <w:szCs w:val="21"/>
        </w:rPr>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6F657A" w:rsidRPr="00076DCD" w:rsidRDefault="00CC0E12" w:rsidP="00B07EB1">
      <w:pPr>
        <w:pStyle w:val="Prrafodelista"/>
        <w:widowControl w:val="0"/>
        <w:numPr>
          <w:ilvl w:val="0"/>
          <w:numId w:val="53"/>
        </w:numPr>
        <w:suppressLineNumbers/>
        <w:tabs>
          <w:tab w:val="clear" w:pos="567"/>
          <w:tab w:val="clear" w:pos="1134"/>
          <w:tab w:val="clear" w:pos="1701"/>
          <w:tab w:val="clear" w:pos="2268"/>
          <w:tab w:val="clear" w:pos="2835"/>
        </w:tabs>
        <w:suppressAutoHyphens/>
        <w:spacing w:before="120" w:line="257" w:lineRule="auto"/>
        <w:ind w:left="567" w:hanging="567"/>
        <w:jc w:val="both"/>
        <w:outlineLvl w:val="6"/>
        <w:rPr>
          <w:rFonts w:ascii="Arial" w:hAnsi="Arial" w:cs="Arial"/>
          <w:sz w:val="21"/>
          <w:szCs w:val="21"/>
        </w:rPr>
      </w:pPr>
      <w:r w:rsidRPr="00076DCD">
        <w:rPr>
          <w:rFonts w:ascii="Arial" w:hAnsi="Arial" w:cs="Arial"/>
          <w:sz w:val="21"/>
          <w:szCs w:val="21"/>
        </w:rPr>
        <w:t xml:space="preserve">La Sociedad Concesionaria remitirá al Concedente y al OSINERGMIN, dentro de los diez (10) Días después de celebrados o modificados, según corresponda, copia de los Contratos que considere indispensables para la ejecución del Proyecto y la prestación del Servicio, además de los contratos que el Concedente y/o </w:t>
      </w:r>
      <w:r w:rsidR="00024927" w:rsidRPr="00076DCD">
        <w:rPr>
          <w:rFonts w:ascii="Arial" w:hAnsi="Arial" w:cs="Arial"/>
          <w:sz w:val="21"/>
          <w:szCs w:val="21"/>
        </w:rPr>
        <w:t xml:space="preserve">el </w:t>
      </w:r>
      <w:r w:rsidRPr="00076DCD">
        <w:rPr>
          <w:rFonts w:ascii="Arial" w:hAnsi="Arial" w:cs="Arial"/>
          <w:sz w:val="21"/>
          <w:szCs w:val="21"/>
        </w:rPr>
        <w:t>OSINERGMIN estimen necesarios.</w:t>
      </w:r>
    </w:p>
    <w:p w:rsidR="001B28EF" w:rsidRPr="00076DCD" w:rsidRDefault="001B28EF" w:rsidP="00B07EB1">
      <w:pPr>
        <w:spacing w:line="257" w:lineRule="auto"/>
        <w:rPr>
          <w:rFonts w:ascii="Arial" w:eastAsia="Times New Roman" w:hAnsi="Arial" w:cs="Arial"/>
          <w:b/>
          <w:sz w:val="24"/>
          <w:szCs w:val="24"/>
          <w:lang w:eastAsia="zh-CN"/>
        </w:rPr>
      </w:pPr>
      <w:r w:rsidRPr="00076DCD">
        <w:rPr>
          <w:rFonts w:ascii="Arial" w:eastAsia="Times New Roman" w:hAnsi="Arial" w:cs="Arial"/>
          <w:b/>
          <w:sz w:val="24"/>
          <w:szCs w:val="24"/>
          <w:lang w:eastAsia="zh-CN"/>
        </w:rPr>
        <w:br w:type="page"/>
      </w:r>
    </w:p>
    <w:p w:rsidR="006F657A" w:rsidRPr="00076DCD" w:rsidRDefault="006F657A"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lastRenderedPageBreak/>
        <w:t>7.</w:t>
      </w:r>
      <w:r w:rsidRPr="00076DCD">
        <w:rPr>
          <w:rFonts w:ascii="Arial" w:eastAsia="Times New Roman" w:hAnsi="Arial" w:cs="Arial"/>
          <w:b/>
          <w:sz w:val="24"/>
          <w:szCs w:val="24"/>
          <w:lang w:eastAsia="zh-CN"/>
        </w:rPr>
        <w:tab/>
        <w:t>Contratos de seguro</w:t>
      </w:r>
    </w:p>
    <w:p w:rsidR="006F657A" w:rsidRPr="00076DCD" w:rsidRDefault="006F657A" w:rsidP="00B07EB1">
      <w:pPr>
        <w:widowControl w:val="0"/>
        <w:suppressLineNumbers/>
        <w:tabs>
          <w:tab w:val="left" w:pos="567"/>
        </w:tabs>
        <w:suppressAutoHyphens/>
        <w:spacing w:before="120" w:after="0" w:line="257" w:lineRule="auto"/>
        <w:ind w:left="567" w:hanging="567"/>
        <w:jc w:val="both"/>
        <w:outlineLvl w:val="6"/>
        <w:rPr>
          <w:rFonts w:ascii="Arial" w:eastAsia="Times New Roman" w:hAnsi="Arial" w:cs="Arial"/>
          <w:sz w:val="21"/>
          <w:szCs w:val="21"/>
          <w:lang w:eastAsia="zh-CN"/>
        </w:rPr>
      </w:pPr>
      <w:r w:rsidRPr="00076DCD">
        <w:rPr>
          <w:rFonts w:ascii="Arial" w:eastAsia="Times New Roman" w:hAnsi="Arial" w:cs="Arial"/>
          <w:sz w:val="21"/>
          <w:szCs w:val="21"/>
          <w:lang w:eastAsia="zh-CN"/>
        </w:rPr>
        <w:t>7.1</w:t>
      </w:r>
      <w:r w:rsidRPr="00076DCD">
        <w:rPr>
          <w:rFonts w:ascii="Arial" w:eastAsia="Times New Roman" w:hAnsi="Arial" w:cs="Arial"/>
          <w:sz w:val="21"/>
          <w:szCs w:val="21"/>
          <w:lang w:eastAsia="zh-CN"/>
        </w:rPr>
        <w:tab/>
        <w:t>Durante la vigencia del Contrato, la Sociedad Concesionaria tomará y mantendrá los siguientes seguros:</w:t>
      </w:r>
    </w:p>
    <w:p w:rsidR="006F657A" w:rsidRPr="00076DCD" w:rsidRDefault="006F657A" w:rsidP="00B07EB1">
      <w:pPr>
        <w:pStyle w:val="Prrafodelista"/>
        <w:widowControl w:val="0"/>
        <w:numPr>
          <w:ilvl w:val="0"/>
          <w:numId w:val="55"/>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outlineLvl w:val="7"/>
        <w:rPr>
          <w:rFonts w:ascii="Arial" w:hAnsi="Arial" w:cs="Arial"/>
          <w:sz w:val="21"/>
          <w:szCs w:val="21"/>
        </w:rPr>
      </w:pPr>
      <w:r w:rsidRPr="00076DCD">
        <w:rPr>
          <w:rFonts w:ascii="Arial" w:hAnsi="Arial" w:cs="Arial"/>
          <w:sz w:val="21"/>
          <w:szCs w:val="21"/>
        </w:rPr>
        <w:t xml:space="preserve">Seguro de responsabilidad civil contra cualquier daño, pérdida o lesión que pudiere sobrevenir a bienes y personas. Como límite mínimo asegurado se fija la suma de </w:t>
      </w:r>
      <w:r w:rsidR="00CC3905" w:rsidRPr="00076DCD">
        <w:rPr>
          <w:rFonts w:ascii="Arial" w:hAnsi="Arial" w:cs="Arial"/>
          <w:sz w:val="21"/>
          <w:szCs w:val="21"/>
        </w:rPr>
        <w:t>cinco millones de</w:t>
      </w:r>
      <w:r w:rsidRPr="00076DCD">
        <w:rPr>
          <w:rFonts w:ascii="Arial" w:hAnsi="Arial" w:cs="Arial"/>
          <w:sz w:val="21"/>
          <w:szCs w:val="21"/>
        </w:rPr>
        <w:t xml:space="preserve"> Dólares (US$ 5</w:t>
      </w:r>
      <w:r w:rsidR="00CC3905" w:rsidRPr="00076DCD">
        <w:rPr>
          <w:rFonts w:ascii="Arial" w:hAnsi="Arial" w:cs="Arial"/>
          <w:sz w:val="21"/>
          <w:szCs w:val="21"/>
        </w:rPr>
        <w:t xml:space="preserve"> 0</w:t>
      </w:r>
      <w:r w:rsidRPr="00076DCD">
        <w:rPr>
          <w:rFonts w:ascii="Arial" w:hAnsi="Arial" w:cs="Arial"/>
          <w:sz w:val="21"/>
          <w:szCs w:val="21"/>
        </w:rPr>
        <w:t>00</w:t>
      </w:r>
      <w:r w:rsidR="0001135B" w:rsidRPr="00076DCD">
        <w:rPr>
          <w:rFonts w:ascii="Arial" w:hAnsi="Arial" w:cs="Arial"/>
          <w:sz w:val="21"/>
          <w:szCs w:val="21"/>
        </w:rPr>
        <w:t xml:space="preserve"> </w:t>
      </w:r>
      <w:r w:rsidRPr="00076DCD">
        <w:rPr>
          <w:rFonts w:ascii="Arial" w:hAnsi="Arial" w:cs="Arial"/>
          <w:sz w:val="21"/>
          <w:szCs w:val="21"/>
        </w:rPr>
        <w:t>000,00) por siniestro.</w:t>
      </w:r>
    </w:p>
    <w:p w:rsidR="006F657A" w:rsidRPr="00076DCD" w:rsidRDefault="006F657A" w:rsidP="00B07EB1">
      <w:pPr>
        <w:pStyle w:val="Prrafodelista"/>
        <w:widowControl w:val="0"/>
        <w:numPr>
          <w:ilvl w:val="0"/>
          <w:numId w:val="55"/>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outlineLvl w:val="7"/>
        <w:rPr>
          <w:rFonts w:ascii="Arial" w:hAnsi="Arial" w:cs="Arial"/>
          <w:sz w:val="21"/>
          <w:szCs w:val="21"/>
        </w:rPr>
      </w:pPr>
      <w:r w:rsidRPr="00076DCD">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6F657A" w:rsidRPr="00076DCD" w:rsidRDefault="006F657A" w:rsidP="00B07EB1">
      <w:pPr>
        <w:widowControl w:val="0"/>
        <w:suppressLineNumbers/>
        <w:tabs>
          <w:tab w:val="left" w:pos="567"/>
        </w:tabs>
        <w:suppressAutoHyphens/>
        <w:spacing w:before="120" w:after="0" w:line="257" w:lineRule="auto"/>
        <w:ind w:left="567" w:hanging="567"/>
        <w:jc w:val="both"/>
        <w:outlineLvl w:val="6"/>
        <w:rPr>
          <w:rFonts w:ascii="Arial" w:eastAsia="Times New Roman" w:hAnsi="Arial" w:cs="Arial"/>
          <w:sz w:val="21"/>
          <w:szCs w:val="21"/>
          <w:lang w:eastAsia="zh-CN"/>
        </w:rPr>
      </w:pPr>
      <w:r w:rsidRPr="00076DCD">
        <w:rPr>
          <w:rFonts w:ascii="Arial" w:eastAsia="Times New Roman" w:hAnsi="Arial" w:cs="Arial"/>
          <w:sz w:val="21"/>
          <w:szCs w:val="21"/>
          <w:lang w:eastAsia="zh-CN"/>
        </w:rPr>
        <w:t>7.2</w:t>
      </w:r>
      <w:r w:rsidRPr="00076DCD">
        <w:rPr>
          <w:rFonts w:ascii="Arial" w:eastAsia="Times New Roman" w:hAnsi="Arial" w:cs="Arial"/>
          <w:sz w:val="21"/>
          <w:szCs w:val="21"/>
          <w:lang w:eastAsia="zh-CN"/>
        </w:rPr>
        <w:tab/>
        <w:t>Las pólizas que se emitan de conformidad con lo establecido en la Cláusula anterior, deberán contener estipulaciones en cuya virtud:</w:t>
      </w:r>
    </w:p>
    <w:p w:rsidR="006F657A" w:rsidRPr="00076DCD" w:rsidRDefault="006F657A" w:rsidP="00B07EB1">
      <w:pPr>
        <w:pStyle w:val="Prrafodelista"/>
        <w:widowControl w:val="0"/>
        <w:numPr>
          <w:ilvl w:val="0"/>
          <w:numId w:val="56"/>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outlineLvl w:val="6"/>
        <w:rPr>
          <w:rFonts w:ascii="Arial" w:hAnsi="Arial" w:cs="Arial"/>
          <w:sz w:val="21"/>
          <w:szCs w:val="21"/>
        </w:rPr>
      </w:pPr>
      <w:r w:rsidRPr="00076DCD">
        <w:rPr>
          <w:rFonts w:ascii="Arial" w:hAnsi="Arial" w:cs="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6F657A" w:rsidRPr="00076DCD" w:rsidRDefault="006F657A" w:rsidP="00B07EB1">
      <w:pPr>
        <w:pStyle w:val="Prrafodelista"/>
        <w:widowControl w:val="0"/>
        <w:numPr>
          <w:ilvl w:val="0"/>
          <w:numId w:val="56"/>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outlineLvl w:val="6"/>
        <w:rPr>
          <w:rFonts w:ascii="Arial" w:hAnsi="Arial" w:cs="Arial"/>
          <w:sz w:val="21"/>
          <w:szCs w:val="21"/>
        </w:rPr>
      </w:pPr>
      <w:r w:rsidRPr="00076DCD">
        <w:rPr>
          <w:rFonts w:ascii="Arial" w:hAnsi="Arial" w:cs="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6F657A" w:rsidRPr="00076DCD" w:rsidRDefault="006F657A" w:rsidP="00B07EB1">
      <w:pPr>
        <w:pStyle w:val="Prrafodelista"/>
        <w:widowControl w:val="0"/>
        <w:numPr>
          <w:ilvl w:val="0"/>
          <w:numId w:val="56"/>
        </w:numPr>
        <w:suppressLineNumbers/>
        <w:tabs>
          <w:tab w:val="clear" w:pos="567"/>
          <w:tab w:val="clear" w:pos="1134"/>
          <w:tab w:val="clear" w:pos="1701"/>
          <w:tab w:val="clear" w:pos="2268"/>
          <w:tab w:val="clear" w:pos="2835"/>
          <w:tab w:val="left" w:pos="993"/>
        </w:tabs>
        <w:suppressAutoHyphens/>
        <w:spacing w:before="120" w:line="257" w:lineRule="auto"/>
        <w:ind w:left="993" w:hanging="426"/>
        <w:jc w:val="both"/>
        <w:outlineLvl w:val="6"/>
        <w:rPr>
          <w:rFonts w:ascii="Arial" w:hAnsi="Arial" w:cs="Arial"/>
          <w:sz w:val="21"/>
          <w:szCs w:val="21"/>
        </w:rPr>
      </w:pPr>
      <w:r w:rsidRPr="00076DCD">
        <w:rPr>
          <w:rFonts w:ascii="Arial" w:hAnsi="Arial" w:cs="Arial"/>
          <w:sz w:val="21"/>
          <w:szCs w:val="21"/>
        </w:rPr>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6F657A" w:rsidRPr="00076DCD" w:rsidRDefault="006F657A" w:rsidP="00B07EB1">
      <w:pPr>
        <w:widowControl w:val="0"/>
        <w:suppressLineNumbers/>
        <w:suppressAutoHyphens/>
        <w:spacing w:before="120" w:after="0" w:line="257" w:lineRule="auto"/>
        <w:ind w:left="567" w:hanging="567"/>
        <w:jc w:val="both"/>
        <w:outlineLvl w:val="6"/>
        <w:rPr>
          <w:rFonts w:ascii="Arial" w:eastAsia="Times New Roman" w:hAnsi="Arial" w:cs="Arial"/>
          <w:sz w:val="21"/>
          <w:szCs w:val="21"/>
          <w:lang w:eastAsia="zh-CN"/>
        </w:rPr>
      </w:pPr>
      <w:r w:rsidRPr="00076DCD">
        <w:rPr>
          <w:rFonts w:ascii="Arial" w:eastAsia="Times New Roman" w:hAnsi="Arial" w:cs="Arial"/>
          <w:sz w:val="21"/>
          <w:szCs w:val="21"/>
          <w:lang w:eastAsia="zh-CN"/>
        </w:rPr>
        <w:t>7.3</w:t>
      </w:r>
      <w:r w:rsidRPr="00076DCD">
        <w:rPr>
          <w:rFonts w:ascii="Arial" w:eastAsia="Times New Roman" w:hAnsi="Arial" w:cs="Arial"/>
          <w:sz w:val="21"/>
          <w:szCs w:val="21"/>
          <w:lang w:eastAsia="zh-CN"/>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F6615" w:rsidRPr="00076DCD" w:rsidRDefault="00AF6615"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8.</w:t>
      </w:r>
      <w:r w:rsidRPr="00076DCD">
        <w:rPr>
          <w:rFonts w:ascii="Arial" w:eastAsia="Times New Roman" w:hAnsi="Arial" w:cs="Arial"/>
          <w:b/>
          <w:sz w:val="24"/>
          <w:szCs w:val="24"/>
          <w:lang w:eastAsia="zh-CN"/>
        </w:rPr>
        <w:tab/>
        <w:t>Régimen tarifario</w:t>
      </w:r>
    </w:p>
    <w:p w:rsidR="00AF6615" w:rsidRPr="00076DCD" w:rsidRDefault="00AF6615" w:rsidP="00B07EB1">
      <w:pPr>
        <w:widowControl w:val="0"/>
        <w:suppressLineNumbers/>
        <w:suppressAutoHyphens/>
        <w:spacing w:after="0" w:line="257" w:lineRule="auto"/>
        <w:ind w:left="567" w:hanging="567"/>
        <w:jc w:val="both"/>
        <w:outlineLvl w:val="6"/>
        <w:rPr>
          <w:rFonts w:ascii="Arial" w:eastAsia="Times New Roman" w:hAnsi="Arial" w:cs="Arial"/>
          <w:sz w:val="21"/>
          <w:szCs w:val="21"/>
          <w:lang w:eastAsia="zh-CN"/>
        </w:rPr>
      </w:pPr>
      <w:r w:rsidRPr="00076DCD">
        <w:rPr>
          <w:rFonts w:ascii="Arial" w:eastAsia="Times New Roman" w:hAnsi="Arial" w:cs="Arial"/>
          <w:sz w:val="21"/>
          <w:szCs w:val="21"/>
          <w:lang w:eastAsia="zh-CN"/>
        </w:rPr>
        <w:t>8.1</w:t>
      </w:r>
      <w:r w:rsidRPr="00076DCD">
        <w:rPr>
          <w:rFonts w:ascii="Arial" w:eastAsia="Times New Roman" w:hAnsi="Arial" w:cs="Arial"/>
          <w:sz w:val="21"/>
          <w:szCs w:val="21"/>
          <w:lang w:eastAsia="zh-CN"/>
        </w:rPr>
        <w:tab/>
        <w:t>Para efectos de esta Cláusula, se entiende por:</w:t>
      </w:r>
    </w:p>
    <w:p w:rsidR="00AF6615" w:rsidRPr="00076DCD" w:rsidRDefault="00AF6615" w:rsidP="00B07EB1">
      <w:pPr>
        <w:widowControl w:val="0"/>
        <w:suppressLineNumbers/>
        <w:tabs>
          <w:tab w:val="left" w:pos="993"/>
        </w:tabs>
        <w:suppressAutoHyphens/>
        <w:autoSpaceDE w:val="0"/>
        <w:autoSpaceDN w:val="0"/>
        <w:adjustRightInd w:val="0"/>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a)</w:t>
      </w:r>
      <w:r w:rsidR="00C859A8"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 xml:space="preserve">Costo de Inversión por Ia  cantidad de US$                                        , expresada para efectos de Ia aplicación de Ia formula de actualización a Ia </w:t>
      </w:r>
      <w:r w:rsidR="00830B68" w:rsidRPr="00076DCD">
        <w:rPr>
          <w:rFonts w:ascii="Arial" w:eastAsia="Times New Roman" w:hAnsi="Arial" w:cs="Arial"/>
          <w:sz w:val="21"/>
          <w:szCs w:val="21"/>
          <w:lang w:eastAsia="zh-CN"/>
        </w:rPr>
        <w:t xml:space="preserve">fecha de </w:t>
      </w:r>
      <w:r w:rsidR="00B45E4D" w:rsidRPr="00076DCD">
        <w:rPr>
          <w:rFonts w:ascii="Arial" w:eastAsia="Times New Roman" w:hAnsi="Arial" w:cs="Arial"/>
          <w:sz w:val="21"/>
          <w:szCs w:val="21"/>
          <w:lang w:eastAsia="zh-CN"/>
        </w:rPr>
        <w:t>p</w:t>
      </w:r>
      <w:r w:rsidR="00830B68" w:rsidRPr="00076DCD">
        <w:rPr>
          <w:rFonts w:ascii="Arial" w:eastAsia="Times New Roman" w:hAnsi="Arial" w:cs="Arial"/>
          <w:sz w:val="21"/>
          <w:szCs w:val="21"/>
          <w:lang w:eastAsia="zh-CN"/>
        </w:rPr>
        <w:t>resentación de Ofertas</w:t>
      </w:r>
      <w:r w:rsidRPr="00076DCD">
        <w:rPr>
          <w:rFonts w:ascii="Arial" w:eastAsia="Times New Roman" w:hAnsi="Arial" w:cs="Arial"/>
          <w:sz w:val="21"/>
          <w:szCs w:val="21"/>
          <w:lang w:eastAsia="zh-CN"/>
        </w:rPr>
        <w:t>. Constituye Ia inversión o componente de inversión a que se refiere numeral II) del literal b) del Artículo 139° del Reglamento de Ia Ley de Concesiones Eléctricas. (Formularios 4, 4A y 4B de las Bases).</w:t>
      </w:r>
    </w:p>
    <w:p w:rsidR="00AF6615" w:rsidRPr="00076DCD" w:rsidRDefault="00AF6615" w:rsidP="0024287F">
      <w:pPr>
        <w:widowControl w:val="0"/>
        <w:suppressLineNumbers/>
        <w:tabs>
          <w:tab w:val="left" w:pos="993"/>
        </w:tabs>
        <w:suppressAutoHyphens/>
        <w:autoSpaceDE w:val="0"/>
        <w:autoSpaceDN w:val="0"/>
        <w:adjustRightInd w:val="0"/>
        <w:spacing w:before="120" w:after="0" w:line="250"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b)</w:t>
      </w:r>
      <w:r w:rsidR="00C859A8"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 xml:space="preserve">Costos de OyM por Ia cantidad de US$                                        , expresados para efectos de Ia aplicación de Ia fórmula de actualización a Ia fecha de </w:t>
      </w:r>
      <w:r w:rsidR="00B45E4D" w:rsidRPr="00076DCD">
        <w:rPr>
          <w:rFonts w:ascii="Arial" w:eastAsia="Times New Roman" w:hAnsi="Arial" w:cs="Arial"/>
          <w:sz w:val="21"/>
          <w:szCs w:val="21"/>
          <w:lang w:eastAsia="zh-CN"/>
        </w:rPr>
        <w:t>p</w:t>
      </w:r>
      <w:r w:rsidR="00830B68" w:rsidRPr="00076DCD">
        <w:rPr>
          <w:rFonts w:ascii="Arial" w:eastAsia="Times New Roman" w:hAnsi="Arial" w:cs="Arial"/>
          <w:sz w:val="21"/>
          <w:szCs w:val="21"/>
          <w:lang w:eastAsia="zh-CN"/>
        </w:rPr>
        <w:t>resentación de Ofertas</w:t>
      </w:r>
      <w:r w:rsidRPr="00076DCD">
        <w:rPr>
          <w:rFonts w:ascii="Arial" w:eastAsia="Times New Roman" w:hAnsi="Arial" w:cs="Arial"/>
          <w:sz w:val="21"/>
          <w:szCs w:val="21"/>
          <w:lang w:eastAsia="zh-CN"/>
        </w:rPr>
        <w:t>. Constituyen los costos o componentes de operación y mantenimiento a que se refiere el numeral II) del literal b) del Artículo 139° del Reglamento de Ia Ley de Concesiones Eléctricas</w:t>
      </w:r>
      <w:r w:rsidR="00E23385" w:rsidRPr="00076DCD">
        <w:rPr>
          <w:rFonts w:ascii="Arial" w:eastAsia="Times New Roman" w:hAnsi="Arial" w:cs="Arial"/>
          <w:sz w:val="21"/>
          <w:szCs w:val="21"/>
          <w:lang w:eastAsia="zh-CN"/>
        </w:rPr>
        <w:t xml:space="preserve"> </w:t>
      </w:r>
      <w:r w:rsidRPr="00076DCD">
        <w:rPr>
          <w:rFonts w:ascii="Arial" w:eastAsia="Times New Roman" w:hAnsi="Arial" w:cs="Arial"/>
          <w:sz w:val="21"/>
          <w:szCs w:val="21"/>
          <w:lang w:eastAsia="zh-CN"/>
        </w:rPr>
        <w:t>(Formularios  4, 4A y 4B de las Bases).</w:t>
      </w:r>
    </w:p>
    <w:p w:rsidR="00AF6615" w:rsidRPr="00076DCD" w:rsidRDefault="00AF6615" w:rsidP="0024287F">
      <w:pPr>
        <w:widowControl w:val="0"/>
        <w:suppressLineNumbers/>
        <w:tabs>
          <w:tab w:val="left" w:pos="993"/>
        </w:tabs>
        <w:suppressAutoHyphens/>
        <w:autoSpaceDE w:val="0"/>
        <w:autoSpaceDN w:val="0"/>
        <w:adjustRightInd w:val="0"/>
        <w:spacing w:before="120" w:after="0" w:line="250"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c)</w:t>
      </w:r>
      <w:r w:rsidR="00C859A8"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Periodo de Recuperación, al plazo de treinta (30) años, contado a partir de Ia Puesta en Operación Comercial.</w:t>
      </w:r>
    </w:p>
    <w:p w:rsidR="00AF6615" w:rsidRPr="00076DCD" w:rsidRDefault="00AF6615" w:rsidP="0024287F">
      <w:pPr>
        <w:widowControl w:val="0"/>
        <w:suppressLineNumbers/>
        <w:tabs>
          <w:tab w:val="left" w:pos="993"/>
        </w:tabs>
        <w:suppressAutoHyphens/>
        <w:autoSpaceDE w:val="0"/>
        <w:autoSpaceDN w:val="0"/>
        <w:adjustRightInd w:val="0"/>
        <w:spacing w:before="120" w:after="0" w:line="250"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d)</w:t>
      </w:r>
      <w:r w:rsidR="00C859A8"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Índice de Actualización, es el índice WPSSOP3500 (Finished Goods Less Food and  Energy), publicado por el Departamento de Trabajo del Gobierno de los Estados Unidos de Norteamérica.</w:t>
      </w:r>
    </w:p>
    <w:p w:rsidR="00993417" w:rsidRPr="00076DCD" w:rsidRDefault="00993417" w:rsidP="0024287F">
      <w:pPr>
        <w:tabs>
          <w:tab w:val="left" w:pos="993"/>
        </w:tabs>
        <w:spacing w:before="120" w:after="0" w:line="250"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w:t>
      </w:r>
      <w:r w:rsidRPr="00076DCD">
        <w:rPr>
          <w:rFonts w:ascii="Arial" w:eastAsia="Times New Roman" w:hAnsi="Arial" w:cs="Arial"/>
          <w:sz w:val="21"/>
          <w:szCs w:val="21"/>
          <w:lang w:eastAsia="zh-CN"/>
        </w:rPr>
        <w:tab/>
        <w:t xml:space="preserve">Tasa de Actualización, corresponde al valor de la tasa de actualización a que se refiere el Artículo 79º de la Ley de Concesiones Eléctricas vigente a la fecha de </w:t>
      </w:r>
      <w:r w:rsidR="00B45E4D" w:rsidRPr="00076DCD">
        <w:rPr>
          <w:rFonts w:ascii="Arial" w:eastAsia="Times New Roman" w:hAnsi="Arial" w:cs="Arial"/>
          <w:sz w:val="21"/>
          <w:szCs w:val="21"/>
          <w:lang w:eastAsia="zh-CN"/>
        </w:rPr>
        <w:t>p</w:t>
      </w:r>
      <w:r w:rsidRPr="00076DCD">
        <w:rPr>
          <w:rFonts w:ascii="Arial" w:eastAsia="Times New Roman" w:hAnsi="Arial" w:cs="Arial"/>
          <w:sz w:val="21"/>
          <w:szCs w:val="21"/>
          <w:lang w:eastAsia="zh-CN"/>
        </w:rPr>
        <w:t xml:space="preserve">resentación de </w:t>
      </w:r>
      <w:r w:rsidR="00B45E4D" w:rsidRPr="00076DCD">
        <w:rPr>
          <w:rFonts w:ascii="Arial" w:eastAsia="Times New Roman" w:hAnsi="Arial" w:cs="Arial"/>
          <w:sz w:val="21"/>
          <w:szCs w:val="21"/>
          <w:lang w:eastAsia="zh-CN"/>
        </w:rPr>
        <w:t>O</w:t>
      </w:r>
      <w:r w:rsidRPr="00076DCD">
        <w:rPr>
          <w:rFonts w:ascii="Arial" w:eastAsia="Times New Roman" w:hAnsi="Arial" w:cs="Arial"/>
          <w:sz w:val="21"/>
          <w:szCs w:val="21"/>
          <w:lang w:eastAsia="zh-CN"/>
        </w:rPr>
        <w:t>fertas.</w:t>
      </w:r>
    </w:p>
    <w:p w:rsidR="00AF6615" w:rsidRPr="00076DCD" w:rsidRDefault="00AF6615" w:rsidP="0024287F">
      <w:pPr>
        <w:widowControl w:val="0"/>
        <w:suppressLineNumbers/>
        <w:suppressAutoHyphens/>
        <w:spacing w:before="120" w:after="0" w:line="250" w:lineRule="auto"/>
        <w:ind w:left="567" w:hanging="567"/>
        <w:jc w:val="both"/>
        <w:outlineLvl w:val="6"/>
        <w:rPr>
          <w:rFonts w:ascii="Arial" w:eastAsia="Times New Roman" w:hAnsi="Arial" w:cs="Arial"/>
          <w:sz w:val="21"/>
          <w:szCs w:val="21"/>
          <w:lang w:eastAsia="zh-CN"/>
        </w:rPr>
      </w:pPr>
      <w:r w:rsidRPr="00076DCD">
        <w:rPr>
          <w:rFonts w:ascii="Arial" w:eastAsia="Times New Roman" w:hAnsi="Arial" w:cs="Arial"/>
          <w:sz w:val="21"/>
          <w:szCs w:val="21"/>
          <w:lang w:eastAsia="zh-CN"/>
        </w:rPr>
        <w:t>8.2</w:t>
      </w:r>
      <w:r w:rsidRPr="00076DCD">
        <w:rPr>
          <w:rFonts w:ascii="Arial" w:eastAsia="Times New Roman" w:hAnsi="Arial" w:cs="Arial"/>
          <w:sz w:val="21"/>
          <w:szCs w:val="21"/>
          <w:lang w:eastAsia="zh-CN"/>
        </w:rPr>
        <w:tab/>
        <w:t>La actualización del Costo de Inversión y Costos de OyM se realizará de acuerdo a lo establecido en el artículo 139</w:t>
      </w:r>
      <w:r w:rsidR="00EB2D47" w:rsidRPr="00076DCD">
        <w:rPr>
          <w:rFonts w:ascii="Arial" w:eastAsia="Times New Roman" w:hAnsi="Arial" w:cs="Arial"/>
          <w:sz w:val="21"/>
          <w:szCs w:val="21"/>
          <w:lang w:eastAsia="zh-CN"/>
        </w:rPr>
        <w:t>°</w:t>
      </w:r>
      <w:r w:rsidRPr="00076DCD">
        <w:rPr>
          <w:rFonts w:ascii="Arial" w:eastAsia="Times New Roman" w:hAnsi="Arial" w:cs="Arial"/>
          <w:sz w:val="21"/>
          <w:szCs w:val="21"/>
          <w:lang w:eastAsia="zh-CN"/>
        </w:rPr>
        <w:t xml:space="preserve"> del Reglamento de Ia Ley de Concesiones Eléctricas. Para ello, se multiplicará el valor que resulte del proceso de licitación por el siguiente factor:</w:t>
      </w:r>
    </w:p>
    <w:p w:rsidR="00AF6615" w:rsidRPr="0024287F" w:rsidRDefault="00AF6615" w:rsidP="0024287F">
      <w:pPr>
        <w:widowControl w:val="0"/>
        <w:suppressLineNumbers/>
        <w:suppressAutoHyphens/>
        <w:autoSpaceDE w:val="0"/>
        <w:autoSpaceDN w:val="0"/>
        <w:adjustRightInd w:val="0"/>
        <w:spacing w:before="360" w:after="240" w:line="250" w:lineRule="auto"/>
        <w:jc w:val="center"/>
        <w:rPr>
          <w:rFonts w:ascii="Arial" w:eastAsia="Times New Roman" w:hAnsi="Arial" w:cs="Arial"/>
          <w:b/>
          <w:sz w:val="21"/>
          <w:szCs w:val="21"/>
          <w:lang w:eastAsia="zh-CN"/>
        </w:rPr>
      </w:pPr>
      <w:r w:rsidRPr="0024287F">
        <w:rPr>
          <w:rFonts w:ascii="Arial" w:eastAsia="Times New Roman" w:hAnsi="Arial" w:cs="Arial"/>
          <w:b/>
          <w:sz w:val="21"/>
          <w:szCs w:val="21"/>
          <w:lang w:eastAsia="zh-CN"/>
        </w:rPr>
        <w:t>Fa= IPPn/IPP</w:t>
      </w:r>
      <w:r w:rsidR="00B259F5" w:rsidRPr="0024287F">
        <w:rPr>
          <w:rFonts w:ascii="Arial" w:eastAsia="Times New Roman" w:hAnsi="Arial" w:cs="Arial"/>
          <w:b/>
          <w:sz w:val="21"/>
          <w:szCs w:val="21"/>
          <w:vertAlign w:val="subscript"/>
          <w:lang w:eastAsia="zh-CN"/>
        </w:rPr>
        <w:t>0</w:t>
      </w:r>
    </w:p>
    <w:p w:rsidR="00AF6615" w:rsidRPr="0024287F" w:rsidRDefault="00AF6615" w:rsidP="0024287F">
      <w:pPr>
        <w:widowControl w:val="0"/>
        <w:suppressLineNumbers/>
        <w:suppressAutoHyphens/>
        <w:autoSpaceDE w:val="0"/>
        <w:autoSpaceDN w:val="0"/>
        <w:adjustRightInd w:val="0"/>
        <w:spacing w:before="240" w:after="0" w:line="250" w:lineRule="auto"/>
        <w:ind w:left="1276"/>
        <w:jc w:val="both"/>
        <w:rPr>
          <w:rFonts w:ascii="Arial" w:eastAsia="Times New Roman" w:hAnsi="Arial" w:cs="Arial"/>
          <w:sz w:val="18"/>
          <w:szCs w:val="18"/>
          <w:lang w:eastAsia="zh-CN"/>
        </w:rPr>
      </w:pPr>
      <w:r w:rsidRPr="0024287F">
        <w:rPr>
          <w:rFonts w:ascii="Arial" w:hAnsi="Arial" w:cs="Arial"/>
          <w:sz w:val="18"/>
          <w:szCs w:val="18"/>
          <w:u w:val="single"/>
        </w:rPr>
        <w:t>Donde</w:t>
      </w:r>
    </w:p>
    <w:p w:rsidR="00AF6615" w:rsidRPr="0024287F" w:rsidRDefault="00AF6615" w:rsidP="0024287F">
      <w:pPr>
        <w:widowControl w:val="0"/>
        <w:suppressLineNumbers/>
        <w:tabs>
          <w:tab w:val="left" w:pos="1985"/>
        </w:tabs>
        <w:suppressAutoHyphens/>
        <w:autoSpaceDE w:val="0"/>
        <w:autoSpaceDN w:val="0"/>
        <w:adjustRightInd w:val="0"/>
        <w:spacing w:after="0" w:line="250" w:lineRule="auto"/>
        <w:ind w:left="2127" w:hanging="709"/>
        <w:jc w:val="both"/>
        <w:rPr>
          <w:rFonts w:ascii="Arial" w:eastAsia="Times New Roman" w:hAnsi="Arial" w:cs="Arial"/>
          <w:sz w:val="18"/>
          <w:szCs w:val="18"/>
          <w:lang w:eastAsia="zh-CN"/>
        </w:rPr>
      </w:pPr>
      <w:r w:rsidRPr="0024287F">
        <w:rPr>
          <w:rFonts w:ascii="Arial" w:eastAsia="Times New Roman" w:hAnsi="Arial" w:cs="Arial"/>
          <w:sz w:val="18"/>
          <w:szCs w:val="18"/>
          <w:lang w:eastAsia="zh-CN"/>
        </w:rPr>
        <w:t>Fa</w:t>
      </w:r>
      <w:r w:rsidRPr="0024287F">
        <w:rPr>
          <w:rFonts w:ascii="Arial" w:eastAsia="Times New Roman" w:hAnsi="Arial" w:cs="Arial"/>
          <w:sz w:val="18"/>
          <w:szCs w:val="18"/>
          <w:lang w:eastAsia="zh-CN"/>
        </w:rPr>
        <w:tab/>
      </w:r>
      <w:r w:rsidR="00682DEC" w:rsidRPr="0024287F">
        <w:rPr>
          <w:rFonts w:ascii="Arial" w:eastAsia="Times New Roman" w:hAnsi="Arial" w:cs="Arial"/>
          <w:sz w:val="18"/>
          <w:szCs w:val="18"/>
          <w:lang w:eastAsia="zh-CN"/>
        </w:rPr>
        <w:t>: Factor</w:t>
      </w:r>
      <w:r w:rsidRPr="0024287F">
        <w:rPr>
          <w:rFonts w:ascii="Arial" w:eastAsia="Times New Roman" w:hAnsi="Arial" w:cs="Arial"/>
          <w:sz w:val="18"/>
          <w:szCs w:val="18"/>
          <w:lang w:eastAsia="zh-CN"/>
        </w:rPr>
        <w:t xml:space="preserve"> de actualización</w:t>
      </w:r>
    </w:p>
    <w:p w:rsidR="00AF6615" w:rsidRPr="0024287F" w:rsidRDefault="00AF6615" w:rsidP="0024287F">
      <w:pPr>
        <w:widowControl w:val="0"/>
        <w:suppressLineNumbers/>
        <w:tabs>
          <w:tab w:val="left" w:pos="1985"/>
        </w:tabs>
        <w:suppressAutoHyphens/>
        <w:autoSpaceDE w:val="0"/>
        <w:autoSpaceDN w:val="0"/>
        <w:adjustRightInd w:val="0"/>
        <w:spacing w:before="80" w:after="0" w:line="250" w:lineRule="auto"/>
        <w:ind w:left="2127" w:hanging="709"/>
        <w:jc w:val="both"/>
        <w:rPr>
          <w:rFonts w:ascii="Arial" w:eastAsia="Times New Roman" w:hAnsi="Arial" w:cs="Arial"/>
          <w:sz w:val="18"/>
          <w:szCs w:val="18"/>
          <w:lang w:eastAsia="zh-CN"/>
        </w:rPr>
      </w:pPr>
      <w:r w:rsidRPr="0024287F">
        <w:rPr>
          <w:rFonts w:ascii="Arial" w:eastAsia="Times New Roman" w:hAnsi="Arial" w:cs="Arial"/>
          <w:sz w:val="18"/>
          <w:szCs w:val="18"/>
          <w:lang w:eastAsia="zh-CN"/>
        </w:rPr>
        <w:t>IPPn</w:t>
      </w:r>
      <w:r w:rsidR="00D6405B" w:rsidRPr="0024287F">
        <w:rPr>
          <w:rFonts w:ascii="Arial" w:eastAsia="Times New Roman" w:hAnsi="Arial" w:cs="Arial"/>
          <w:sz w:val="18"/>
          <w:szCs w:val="18"/>
          <w:lang w:eastAsia="zh-CN"/>
        </w:rPr>
        <w:tab/>
      </w:r>
      <w:r w:rsidR="00682DEC" w:rsidRPr="0024287F">
        <w:rPr>
          <w:rFonts w:ascii="Arial" w:eastAsia="Times New Roman" w:hAnsi="Arial" w:cs="Arial"/>
          <w:sz w:val="18"/>
          <w:szCs w:val="18"/>
          <w:lang w:eastAsia="zh-CN"/>
        </w:rPr>
        <w:t>: Índice</w:t>
      </w:r>
      <w:r w:rsidRPr="0024287F">
        <w:rPr>
          <w:rFonts w:ascii="Arial" w:eastAsia="Times New Roman" w:hAnsi="Arial" w:cs="Arial"/>
          <w:sz w:val="18"/>
          <w:szCs w:val="18"/>
          <w:lang w:eastAsia="zh-CN"/>
        </w:rPr>
        <w:t xml:space="preserve"> de Actualización, se utilizará el último dato definitivo </w:t>
      </w:r>
      <w:r w:rsidR="00467C3F" w:rsidRPr="0024287F">
        <w:rPr>
          <w:rFonts w:ascii="Arial" w:eastAsia="Times New Roman" w:hAnsi="Arial" w:cs="Arial"/>
          <w:sz w:val="18"/>
          <w:szCs w:val="18"/>
          <w:lang w:eastAsia="zh-CN"/>
        </w:rPr>
        <w:t xml:space="preserve">de la serie indicada, disponible </w:t>
      </w:r>
      <w:r w:rsidRPr="0024287F">
        <w:rPr>
          <w:rFonts w:ascii="Arial" w:eastAsia="Times New Roman" w:hAnsi="Arial" w:cs="Arial"/>
          <w:sz w:val="18"/>
          <w:szCs w:val="18"/>
          <w:lang w:eastAsia="zh-CN"/>
        </w:rPr>
        <w:t>en Ia fecha que corresponda efectuar Ia regulación de las tarifas de transmisión según el Artículo 139° del  Reglamento de Ia Ley de Concesiones Eléctricas.</w:t>
      </w:r>
    </w:p>
    <w:p w:rsidR="00AF6615" w:rsidRPr="0024287F" w:rsidRDefault="00AF6615" w:rsidP="0024287F">
      <w:pPr>
        <w:widowControl w:val="0"/>
        <w:suppressLineNumbers/>
        <w:tabs>
          <w:tab w:val="left" w:pos="1985"/>
        </w:tabs>
        <w:suppressAutoHyphens/>
        <w:autoSpaceDE w:val="0"/>
        <w:autoSpaceDN w:val="0"/>
        <w:adjustRightInd w:val="0"/>
        <w:spacing w:before="80" w:after="0" w:line="250" w:lineRule="auto"/>
        <w:ind w:left="2127" w:hanging="709"/>
        <w:jc w:val="both"/>
        <w:rPr>
          <w:rFonts w:ascii="Arial" w:eastAsia="Times New Roman" w:hAnsi="Arial" w:cs="Arial"/>
          <w:sz w:val="18"/>
          <w:szCs w:val="18"/>
          <w:lang w:eastAsia="zh-CN"/>
        </w:rPr>
      </w:pPr>
      <w:r w:rsidRPr="0024287F">
        <w:rPr>
          <w:rFonts w:ascii="Arial" w:eastAsia="Times New Roman" w:hAnsi="Arial" w:cs="Arial"/>
          <w:sz w:val="18"/>
          <w:szCs w:val="18"/>
          <w:lang w:eastAsia="zh-CN"/>
        </w:rPr>
        <w:t>IPP</w:t>
      </w:r>
      <w:r w:rsidR="00B259F5" w:rsidRPr="0024287F">
        <w:rPr>
          <w:rFonts w:ascii="Arial" w:eastAsia="Times New Roman" w:hAnsi="Arial" w:cs="Arial"/>
          <w:sz w:val="18"/>
          <w:szCs w:val="18"/>
          <w:vertAlign w:val="subscript"/>
          <w:lang w:eastAsia="zh-CN"/>
        </w:rPr>
        <w:t>0</w:t>
      </w:r>
      <w:r w:rsidR="00D6405B" w:rsidRPr="0024287F">
        <w:rPr>
          <w:rFonts w:ascii="Arial" w:eastAsia="Times New Roman" w:hAnsi="Arial" w:cs="Arial"/>
          <w:sz w:val="18"/>
          <w:szCs w:val="18"/>
          <w:lang w:eastAsia="zh-CN"/>
        </w:rPr>
        <w:tab/>
      </w:r>
      <w:r w:rsidR="00682DEC" w:rsidRPr="0024287F">
        <w:rPr>
          <w:rFonts w:ascii="Arial" w:eastAsia="Times New Roman" w:hAnsi="Arial" w:cs="Arial"/>
          <w:sz w:val="18"/>
          <w:szCs w:val="18"/>
          <w:lang w:eastAsia="zh-CN"/>
        </w:rPr>
        <w:t>: Índice</w:t>
      </w:r>
      <w:r w:rsidRPr="0024287F">
        <w:rPr>
          <w:rFonts w:ascii="Arial" w:eastAsia="Times New Roman" w:hAnsi="Arial" w:cs="Arial"/>
          <w:sz w:val="18"/>
          <w:szCs w:val="18"/>
          <w:lang w:eastAsia="zh-CN"/>
        </w:rPr>
        <w:t xml:space="preserve"> de Actualización inicial, se utilizar</w:t>
      </w:r>
      <w:r w:rsidR="006107E7" w:rsidRPr="0024287F">
        <w:rPr>
          <w:rFonts w:ascii="Arial" w:eastAsia="Times New Roman" w:hAnsi="Arial" w:cs="Arial"/>
          <w:sz w:val="18"/>
          <w:szCs w:val="18"/>
          <w:lang w:eastAsia="zh-CN"/>
        </w:rPr>
        <w:t>á</w:t>
      </w:r>
      <w:r w:rsidRPr="0024287F">
        <w:rPr>
          <w:rFonts w:ascii="Arial" w:eastAsia="Times New Roman" w:hAnsi="Arial" w:cs="Arial"/>
          <w:sz w:val="18"/>
          <w:szCs w:val="18"/>
          <w:lang w:eastAsia="zh-CN"/>
        </w:rPr>
        <w:t xml:space="preserve"> el que corresponda al mes de Ia fecha de </w:t>
      </w:r>
      <w:r w:rsidR="00890F43" w:rsidRPr="0024287F">
        <w:rPr>
          <w:rFonts w:ascii="Arial" w:eastAsia="Times New Roman" w:hAnsi="Arial" w:cs="Arial"/>
          <w:sz w:val="18"/>
          <w:szCs w:val="18"/>
          <w:lang w:eastAsia="zh-CN"/>
        </w:rPr>
        <w:t>p</w:t>
      </w:r>
      <w:r w:rsidR="00F929D7" w:rsidRPr="0024287F">
        <w:rPr>
          <w:rFonts w:ascii="Arial" w:eastAsia="Times New Roman" w:hAnsi="Arial" w:cs="Arial"/>
          <w:sz w:val="18"/>
          <w:szCs w:val="18"/>
          <w:lang w:eastAsia="zh-CN"/>
        </w:rPr>
        <w:t>resentación de Ofertas</w:t>
      </w:r>
    </w:p>
    <w:p w:rsidR="00AF6615" w:rsidRPr="00076DCD" w:rsidRDefault="00AF6615" w:rsidP="0024287F">
      <w:pPr>
        <w:widowControl w:val="0"/>
        <w:suppressLineNumbers/>
        <w:tabs>
          <w:tab w:val="left" w:pos="567"/>
        </w:tabs>
        <w:suppressAutoHyphens/>
        <w:autoSpaceDE w:val="0"/>
        <w:autoSpaceDN w:val="0"/>
        <w:adjustRightInd w:val="0"/>
        <w:spacing w:before="240" w:after="0" w:line="250" w:lineRule="auto"/>
        <w:ind w:left="567" w:hanging="567"/>
        <w:jc w:val="both"/>
        <w:rPr>
          <w:rFonts w:ascii="Arial" w:eastAsia="Times New Roman" w:hAnsi="Arial" w:cs="Arial"/>
          <w:sz w:val="21"/>
          <w:szCs w:val="21"/>
          <w:lang w:eastAsia="zh-CN"/>
        </w:rPr>
      </w:pPr>
      <w:r w:rsidRPr="00076DCD">
        <w:rPr>
          <w:rFonts w:ascii="Arial" w:hAnsi="Arial" w:cs="Arial"/>
          <w:sz w:val="21"/>
          <w:szCs w:val="21"/>
        </w:rPr>
        <w:t>8.3</w:t>
      </w:r>
      <w:r w:rsidR="00D6405B" w:rsidRPr="00076DCD">
        <w:rPr>
          <w:rFonts w:ascii="Arial" w:hAnsi="Arial" w:cs="Arial"/>
          <w:sz w:val="21"/>
          <w:szCs w:val="21"/>
        </w:rPr>
        <w:tab/>
      </w:r>
      <w:r w:rsidRPr="00076DCD">
        <w:rPr>
          <w:rFonts w:ascii="Arial" w:eastAsia="Times New Roman" w:hAnsi="Arial" w:cs="Arial"/>
          <w:sz w:val="21"/>
          <w:szCs w:val="21"/>
          <w:lang w:eastAsia="zh-CN"/>
        </w:rPr>
        <w:t>OSINERGMIN establece el Costo Medio Anual de acuerdo con el numeral II) del literal b) del Artículo 139° del Reglamento de Ia Ley de Concesiones Eléctricas, empleando Ia Tasa de Actualización.</w:t>
      </w:r>
    </w:p>
    <w:p w:rsidR="00AF6615" w:rsidRPr="00076DCD" w:rsidRDefault="00AF6615" w:rsidP="0024287F">
      <w:pPr>
        <w:widowControl w:val="0"/>
        <w:suppressLineNumbers/>
        <w:tabs>
          <w:tab w:val="left" w:pos="567"/>
        </w:tabs>
        <w:suppressAutoHyphens/>
        <w:autoSpaceDE w:val="0"/>
        <w:autoSpaceDN w:val="0"/>
        <w:adjustRightInd w:val="0"/>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8.4</w:t>
      </w:r>
      <w:r w:rsidR="00D6405B"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El Costo Medio Anual se pagar</w:t>
      </w:r>
      <w:r w:rsidR="00AB3657" w:rsidRPr="00076DCD">
        <w:rPr>
          <w:rFonts w:ascii="Arial" w:eastAsia="Times New Roman" w:hAnsi="Arial" w:cs="Arial"/>
          <w:sz w:val="21"/>
          <w:szCs w:val="21"/>
          <w:lang w:eastAsia="zh-CN"/>
        </w:rPr>
        <w:t>á</w:t>
      </w:r>
      <w:r w:rsidRPr="00076DCD">
        <w:rPr>
          <w:rFonts w:ascii="Arial" w:eastAsia="Times New Roman" w:hAnsi="Arial" w:cs="Arial"/>
          <w:sz w:val="21"/>
          <w:szCs w:val="21"/>
          <w:lang w:eastAsia="zh-CN"/>
        </w:rPr>
        <w:t xml:space="preserve"> mediante peajes asignados al área de demanda que defina OSINERGMIN, de acuerdo con lo dispuesto en el numeral IV) del literal e) del Artículo 139° del Reglamento de Ia Ley de Concesiones Eléctricas.</w:t>
      </w:r>
    </w:p>
    <w:p w:rsidR="00AF6615" w:rsidRPr="00076DCD" w:rsidRDefault="00AF6615" w:rsidP="0024287F">
      <w:pPr>
        <w:widowControl w:val="0"/>
        <w:suppressLineNumbers/>
        <w:tabs>
          <w:tab w:val="left" w:pos="567"/>
        </w:tabs>
        <w:suppressAutoHyphens/>
        <w:autoSpaceDE w:val="0"/>
        <w:autoSpaceDN w:val="0"/>
        <w:adjustRightInd w:val="0"/>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8.5</w:t>
      </w:r>
      <w:r w:rsidR="00D6405B"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El Costo Medio Anual incluye los resultados de Ia liquidación anual que efectuar</w:t>
      </w:r>
      <w:r w:rsidR="00B0437A" w:rsidRPr="00076DCD">
        <w:rPr>
          <w:rFonts w:ascii="Arial" w:eastAsia="Times New Roman" w:hAnsi="Arial" w:cs="Arial"/>
          <w:sz w:val="21"/>
          <w:szCs w:val="21"/>
          <w:lang w:eastAsia="zh-CN"/>
        </w:rPr>
        <w:t>á</w:t>
      </w:r>
      <w:r w:rsidRPr="00076DCD">
        <w:rPr>
          <w:rFonts w:ascii="Arial" w:eastAsia="Times New Roman" w:hAnsi="Arial" w:cs="Arial"/>
          <w:sz w:val="21"/>
          <w:szCs w:val="21"/>
          <w:lang w:eastAsia="zh-CN"/>
        </w:rPr>
        <w:t xml:space="preserve"> OSINERGMIN de acuerdo con lo estipulado en el literal f) del Artículo 139° del Reglamento de Ia Ley de Concesiones Eléctricas.</w:t>
      </w:r>
    </w:p>
    <w:p w:rsidR="00AF6615" w:rsidRPr="00076DCD" w:rsidRDefault="00AF6615" w:rsidP="0024287F">
      <w:pPr>
        <w:widowControl w:val="0"/>
        <w:suppressLineNumbers/>
        <w:tabs>
          <w:tab w:val="left" w:pos="567"/>
        </w:tabs>
        <w:suppressAutoHyphens/>
        <w:autoSpaceDE w:val="0"/>
        <w:autoSpaceDN w:val="0"/>
        <w:adjustRightInd w:val="0"/>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8.6</w:t>
      </w:r>
      <w:r w:rsidR="00D6405B"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OSINERGMIN aprobará los procedimientos de detalle que se requieran para Ia aplicación de Ia Cláusula 8 del Contrato, incluyendo el redondeo de las cifras, Ia liquidación anual de ingresos y las observaciones de Ia Sociedad Concesionaria, así como Ia información y documentación que ésta debe presentar.</w:t>
      </w:r>
    </w:p>
    <w:p w:rsidR="00AF6615" w:rsidRPr="00076DCD" w:rsidRDefault="00AF6615" w:rsidP="0024287F">
      <w:pPr>
        <w:widowControl w:val="0"/>
        <w:suppressLineNumbers/>
        <w:tabs>
          <w:tab w:val="left" w:pos="567"/>
        </w:tabs>
        <w:suppressAutoHyphens/>
        <w:autoSpaceDE w:val="0"/>
        <w:autoSpaceDN w:val="0"/>
        <w:adjustRightInd w:val="0"/>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8.7</w:t>
      </w:r>
      <w:r w:rsidR="00D6405B" w:rsidRPr="00076DCD">
        <w:rPr>
          <w:rFonts w:ascii="Arial" w:eastAsia="Times New Roman" w:hAnsi="Arial" w:cs="Arial"/>
          <w:sz w:val="21"/>
          <w:szCs w:val="21"/>
          <w:lang w:eastAsia="zh-CN"/>
        </w:rPr>
        <w:tab/>
      </w:r>
      <w:r w:rsidRPr="00076DCD">
        <w:rPr>
          <w:rFonts w:ascii="Arial" w:eastAsia="Times New Roman" w:hAnsi="Arial" w:cs="Arial"/>
          <w:sz w:val="21"/>
          <w:szCs w:val="21"/>
          <w:lang w:eastAsia="zh-CN"/>
        </w:rPr>
        <w:t>Para efectos de Ia liquidación anual que comprende los ingresos mensuales percibidos en nuevos soles, Ia conversión a Dólares se aplicara utilizando el tipo de cambio igual al valor de referencia para el Dólar de los  Estados Unidos de América, determinado por Ia Superintendencia de Banca, Seguros y AFP del Perú, correspondiente a Ia "</w:t>
      </w:r>
      <w:r w:rsidR="00CF60DB" w:rsidRPr="00076DCD">
        <w:rPr>
          <w:rFonts w:ascii="Arial" w:eastAsia="Times New Roman" w:hAnsi="Arial" w:cs="Arial"/>
          <w:sz w:val="21"/>
          <w:szCs w:val="21"/>
          <w:lang w:eastAsia="zh-CN"/>
        </w:rPr>
        <w:t>Cotización de</w:t>
      </w:r>
      <w:r w:rsidRPr="00076DCD">
        <w:rPr>
          <w:rFonts w:ascii="Arial" w:eastAsia="Times New Roman" w:hAnsi="Arial" w:cs="Arial"/>
          <w:sz w:val="21"/>
          <w:szCs w:val="21"/>
          <w:lang w:eastAsia="zh-CN"/>
        </w:rPr>
        <w:t xml:space="preserve"> O</w:t>
      </w:r>
      <w:r w:rsidR="00CF60DB" w:rsidRPr="00076DCD">
        <w:rPr>
          <w:rFonts w:ascii="Arial" w:eastAsia="Times New Roman" w:hAnsi="Arial" w:cs="Arial"/>
          <w:sz w:val="21"/>
          <w:szCs w:val="21"/>
          <w:lang w:eastAsia="zh-CN"/>
        </w:rPr>
        <w:t xml:space="preserve">ferta y </w:t>
      </w:r>
      <w:r w:rsidRPr="00076DCD">
        <w:rPr>
          <w:rFonts w:ascii="Arial" w:eastAsia="Times New Roman" w:hAnsi="Arial" w:cs="Arial"/>
          <w:sz w:val="21"/>
          <w:szCs w:val="21"/>
          <w:lang w:eastAsia="zh-CN"/>
        </w:rPr>
        <w:t>D</w:t>
      </w:r>
      <w:r w:rsidR="00CF60DB" w:rsidRPr="00076DCD">
        <w:rPr>
          <w:rFonts w:ascii="Arial" w:eastAsia="Times New Roman" w:hAnsi="Arial" w:cs="Arial"/>
          <w:sz w:val="21"/>
          <w:szCs w:val="21"/>
          <w:lang w:eastAsia="zh-CN"/>
        </w:rPr>
        <w:t>emanda</w:t>
      </w:r>
      <w:r w:rsidRPr="00076DCD">
        <w:rPr>
          <w:rFonts w:ascii="Arial" w:eastAsia="Times New Roman" w:hAnsi="Arial" w:cs="Arial"/>
          <w:sz w:val="21"/>
          <w:szCs w:val="21"/>
          <w:lang w:eastAsia="zh-CN"/>
        </w:rPr>
        <w:t xml:space="preserve"> - T</w:t>
      </w:r>
      <w:r w:rsidR="00CF60DB" w:rsidRPr="00076DCD">
        <w:rPr>
          <w:rFonts w:ascii="Arial" w:eastAsia="Times New Roman" w:hAnsi="Arial" w:cs="Arial"/>
          <w:sz w:val="21"/>
          <w:szCs w:val="21"/>
          <w:lang w:eastAsia="zh-CN"/>
        </w:rPr>
        <w:t>ipo de</w:t>
      </w:r>
      <w:r w:rsidRPr="00076DCD">
        <w:rPr>
          <w:rFonts w:ascii="Arial" w:eastAsia="Times New Roman" w:hAnsi="Arial" w:cs="Arial"/>
          <w:sz w:val="21"/>
          <w:szCs w:val="21"/>
          <w:lang w:eastAsia="zh-CN"/>
        </w:rPr>
        <w:t xml:space="preserve"> C</w:t>
      </w:r>
      <w:r w:rsidR="00CF60DB" w:rsidRPr="00076DCD">
        <w:rPr>
          <w:rFonts w:ascii="Arial" w:eastAsia="Times New Roman" w:hAnsi="Arial" w:cs="Arial"/>
          <w:sz w:val="21"/>
          <w:szCs w:val="21"/>
          <w:lang w:eastAsia="zh-CN"/>
        </w:rPr>
        <w:t xml:space="preserve">ambio </w:t>
      </w:r>
      <w:r w:rsidRPr="00076DCD">
        <w:rPr>
          <w:rFonts w:ascii="Arial" w:eastAsia="Times New Roman" w:hAnsi="Arial" w:cs="Arial"/>
          <w:sz w:val="21"/>
          <w:szCs w:val="21"/>
          <w:lang w:eastAsia="zh-CN"/>
        </w:rPr>
        <w:t>P</w:t>
      </w:r>
      <w:r w:rsidR="00CF60DB" w:rsidRPr="00076DCD">
        <w:rPr>
          <w:rFonts w:ascii="Arial" w:eastAsia="Times New Roman" w:hAnsi="Arial" w:cs="Arial"/>
          <w:sz w:val="21"/>
          <w:szCs w:val="21"/>
          <w:lang w:eastAsia="zh-CN"/>
        </w:rPr>
        <w:t xml:space="preserve">romedio </w:t>
      </w:r>
      <w:r w:rsidRPr="00076DCD">
        <w:rPr>
          <w:rFonts w:ascii="Arial" w:eastAsia="Times New Roman" w:hAnsi="Arial" w:cs="Arial"/>
          <w:sz w:val="21"/>
          <w:szCs w:val="21"/>
          <w:lang w:eastAsia="zh-CN"/>
        </w:rPr>
        <w:t>P</w:t>
      </w:r>
      <w:r w:rsidR="00CF60DB" w:rsidRPr="00076DCD">
        <w:rPr>
          <w:rFonts w:ascii="Arial" w:eastAsia="Times New Roman" w:hAnsi="Arial" w:cs="Arial"/>
          <w:sz w:val="21"/>
          <w:szCs w:val="21"/>
          <w:lang w:eastAsia="zh-CN"/>
        </w:rPr>
        <w:t>onderado</w:t>
      </w:r>
      <w:r w:rsidRPr="00076DCD">
        <w:rPr>
          <w:rFonts w:ascii="Arial" w:eastAsia="Times New Roman" w:hAnsi="Arial" w:cs="Arial"/>
          <w:sz w:val="21"/>
          <w:szCs w:val="21"/>
          <w:lang w:eastAsia="zh-CN"/>
        </w:rPr>
        <w:t>" o el que lo reemplace. Se tomará en cuenta el valor venta correspondiente al último día hábil anterior al 15 del mes siguiente al mes en que se prestó el Servicio, publicado en el Diario Oficial El Peruano.</w:t>
      </w:r>
    </w:p>
    <w:p w:rsidR="00AF6615" w:rsidRPr="00076DCD" w:rsidRDefault="00AF6615"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lastRenderedPageBreak/>
        <w:t>9.</w:t>
      </w:r>
      <w:r w:rsidRPr="00076DCD">
        <w:rPr>
          <w:rFonts w:ascii="Arial" w:eastAsia="Times New Roman" w:hAnsi="Arial" w:cs="Arial"/>
          <w:b/>
          <w:sz w:val="24"/>
          <w:szCs w:val="24"/>
          <w:lang w:eastAsia="zh-CN"/>
        </w:rPr>
        <w:tab/>
        <w:t>Financiamiento de la Concesión</w:t>
      </w:r>
    </w:p>
    <w:p w:rsidR="00AF6615" w:rsidRPr="00076DCD" w:rsidRDefault="00AF6615" w:rsidP="00B07EB1">
      <w:pPr>
        <w:widowControl w:val="0"/>
        <w:numPr>
          <w:ilvl w:val="1"/>
          <w:numId w:val="3"/>
        </w:numPr>
        <w:suppressLineNumbers/>
        <w:tabs>
          <w:tab w:val="clear" w:pos="360"/>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Para cumplir con el objeto del Contrato, la Sociedad Concesionaria podrá obtener el financiamiento propio o de terceros que estime conveniente a sus intereses.</w:t>
      </w:r>
    </w:p>
    <w:p w:rsidR="00AF6615" w:rsidRPr="00076DCD" w:rsidRDefault="00AF6615" w:rsidP="00B07EB1">
      <w:pPr>
        <w:widowControl w:val="0"/>
        <w:numPr>
          <w:ilvl w:val="1"/>
          <w:numId w:val="3"/>
        </w:numPr>
        <w:suppressLineNumbers/>
        <w:tabs>
          <w:tab w:val="clear" w:pos="360"/>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color w:val="000000"/>
          <w:sz w:val="21"/>
          <w:szCs w:val="21"/>
          <w:lang w:eastAsia="zh-CN"/>
        </w:rPr>
        <w:t xml:space="preserve">En </w:t>
      </w:r>
      <w:r w:rsidRPr="00076DCD">
        <w:rPr>
          <w:rFonts w:ascii="Arial" w:eastAsia="Times New Roman" w:hAnsi="Arial" w:cs="Arial"/>
          <w:sz w:val="21"/>
          <w:szCs w:val="21"/>
          <w:lang w:eastAsia="zh-CN"/>
        </w:rPr>
        <w:t xml:space="preserve">la estructuración del </w:t>
      </w:r>
      <w:r w:rsidRPr="00076DCD">
        <w:rPr>
          <w:rFonts w:ascii="Arial" w:eastAsia="Times New Roman" w:hAnsi="Arial" w:cs="Arial"/>
          <w:color w:val="000000"/>
          <w:sz w:val="21"/>
          <w:szCs w:val="21"/>
          <w:lang w:eastAsia="zh-CN"/>
        </w:rPr>
        <w:t xml:space="preserve">financiamiento </w:t>
      </w:r>
      <w:r w:rsidRPr="00076DCD">
        <w:rPr>
          <w:rFonts w:ascii="Arial" w:eastAsia="Times New Roman" w:hAnsi="Arial" w:cs="Arial"/>
          <w:sz w:val="21"/>
          <w:szCs w:val="21"/>
          <w:lang w:eastAsia="zh-CN"/>
        </w:rPr>
        <w:t>la Sociedad Concesionaria podrá incluir:</w:t>
      </w:r>
    </w:p>
    <w:p w:rsidR="00AF6615" w:rsidRPr="00076DCD" w:rsidRDefault="00AF6615" w:rsidP="00B07EB1">
      <w:pPr>
        <w:widowControl w:val="0"/>
        <w:numPr>
          <w:ilvl w:val="2"/>
          <w:numId w:val="3"/>
        </w:numPr>
        <w:suppressLineNumbers/>
        <w:tabs>
          <w:tab w:val="clear" w:pos="720"/>
          <w:tab w:val="left" w:pos="1418"/>
        </w:tabs>
        <w:suppressAutoHyphens/>
        <w:spacing w:before="120" w:after="0" w:line="257" w:lineRule="auto"/>
        <w:ind w:left="1418" w:hanging="851"/>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p>
    <w:p w:rsidR="00177CE2" w:rsidRPr="00076DCD" w:rsidRDefault="00177CE2" w:rsidP="00B07EB1">
      <w:pPr>
        <w:pStyle w:val="BodyText22"/>
        <w:tabs>
          <w:tab w:val="clear" w:pos="567"/>
          <w:tab w:val="clear" w:pos="1134"/>
          <w:tab w:val="clear" w:pos="1701"/>
          <w:tab w:val="clear" w:pos="2268"/>
          <w:tab w:val="clear" w:pos="2835"/>
        </w:tabs>
        <w:spacing w:before="120" w:line="257" w:lineRule="auto"/>
        <w:ind w:left="1418"/>
        <w:rPr>
          <w:rFonts w:ascii="Arial" w:hAnsi="Arial" w:cs="Arial"/>
          <w:sz w:val="21"/>
          <w:szCs w:val="21"/>
        </w:rPr>
      </w:pPr>
      <w:r w:rsidRPr="00076DCD">
        <w:rPr>
          <w:rFonts w:ascii="Arial" w:hAnsi="Arial" w:cs="Arial"/>
          <w:sz w:val="21"/>
          <w:szCs w:val="21"/>
        </w:rPr>
        <w:t>Se establece que la presente es constancia suficiente de la autorización previa del Concedente.</w:t>
      </w:r>
    </w:p>
    <w:p w:rsidR="00AF6615" w:rsidRPr="00076DCD" w:rsidRDefault="00CB2213" w:rsidP="00B07EB1">
      <w:pPr>
        <w:widowControl w:val="0"/>
        <w:suppressLineNumbers/>
        <w:tabs>
          <w:tab w:val="left" w:pos="1418"/>
        </w:tabs>
        <w:suppressAutoHyphens/>
        <w:spacing w:before="120" w:after="0" w:line="257" w:lineRule="auto"/>
        <w:ind w:left="1418" w:hanging="851"/>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9.2.2</w:t>
      </w:r>
      <w:r w:rsidRPr="00076DCD">
        <w:rPr>
          <w:rFonts w:ascii="Arial" w:eastAsia="Times New Roman" w:hAnsi="Arial" w:cs="Arial"/>
          <w:sz w:val="21"/>
          <w:szCs w:val="21"/>
          <w:lang w:eastAsia="zh-CN"/>
        </w:rPr>
        <w:tab/>
      </w:r>
      <w:r w:rsidR="00AF6615" w:rsidRPr="00076DCD">
        <w:rPr>
          <w:rFonts w:ascii="Arial" w:hAnsi="Arial" w:cs="Arial"/>
          <w:sz w:val="21"/>
        </w:rPr>
        <w:t xml:space="preserve">La transferencia en dominio fiduciario de la Concesión a un fideicomiso, </w:t>
      </w:r>
      <w:r w:rsidR="00AF6615" w:rsidRPr="00076DCD">
        <w:rPr>
          <w:rFonts w:ascii="Arial" w:eastAsia="Times New Roman" w:hAnsi="Arial" w:cs="Arial"/>
          <w:sz w:val="21"/>
          <w:szCs w:val="21"/>
          <w:lang w:eastAsia="zh-CN"/>
        </w:rPr>
        <w:t>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AF6615" w:rsidRPr="00076DCD" w:rsidRDefault="00AF6615" w:rsidP="00B07EB1">
      <w:pPr>
        <w:widowControl w:val="0"/>
        <w:numPr>
          <w:ilvl w:val="1"/>
          <w:numId w:val="3"/>
        </w:numPr>
        <w:suppressLineNumbers/>
        <w:tabs>
          <w:tab w:val="clear" w:pos="360"/>
          <w:tab w:val="left" w:pos="567"/>
        </w:tabs>
        <w:suppressAutoHyphens/>
        <w:spacing w:before="120" w:after="0" w:line="257" w:lineRule="auto"/>
        <w:ind w:left="567" w:hanging="567"/>
        <w:jc w:val="both"/>
        <w:rPr>
          <w:rFonts w:ascii="Arial" w:hAnsi="Arial" w:cs="Arial"/>
          <w:color w:val="000000"/>
          <w:sz w:val="21"/>
        </w:rPr>
      </w:pPr>
      <w:r w:rsidRPr="00076DCD">
        <w:rPr>
          <w:rFonts w:ascii="Arial" w:hAnsi="Arial" w:cs="Arial"/>
          <w:color w:val="000000"/>
          <w:sz w:val="21"/>
        </w:rPr>
        <w:t>Los proveedores de garantías (“Hedge</w:t>
      </w:r>
      <w:r w:rsidR="00A830E9" w:rsidRPr="00076DCD">
        <w:rPr>
          <w:rFonts w:ascii="Arial" w:hAnsi="Arial" w:cs="Arial"/>
          <w:color w:val="000000"/>
          <w:sz w:val="21"/>
        </w:rPr>
        <w:t xml:space="preserve"> </w:t>
      </w:r>
      <w:r w:rsidRPr="00076DCD">
        <w:rPr>
          <w:rFonts w:ascii="Arial" w:hAnsi="Arial" w:cs="Arial"/>
          <w:color w:val="000000"/>
          <w:sz w:val="21"/>
        </w:rPr>
        <w:t>providers”) así como los agentes administrativos y agentes colaterales de los Acreedores Permitidos tendrán los mismos derechos que éstos, y estarán cubiertos con el paquete de garantías a ser utilizado para dichos acreedores.</w:t>
      </w:r>
    </w:p>
    <w:p w:rsidR="00AF6615" w:rsidRPr="00076DCD" w:rsidRDefault="00AF6615" w:rsidP="00B07EB1">
      <w:pPr>
        <w:widowControl w:val="0"/>
        <w:numPr>
          <w:ilvl w:val="1"/>
          <w:numId w:val="3"/>
        </w:numPr>
        <w:suppressLineNumbers/>
        <w:tabs>
          <w:tab w:val="clear" w:pos="360"/>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color w:val="000000"/>
          <w:sz w:val="21"/>
          <w:szCs w:val="21"/>
          <w:lang w:eastAsia="zh-CN"/>
        </w:rPr>
        <w:t>Si</w:t>
      </w:r>
      <w:r w:rsidRPr="00076DCD">
        <w:rPr>
          <w:rFonts w:ascii="Arial" w:hAnsi="Arial" w:cs="Arial"/>
          <w:color w:val="000000"/>
          <w:sz w:val="21"/>
        </w:rPr>
        <w:t xml:space="preserve"> el financiamiento comprende o está garantizado con los Bienes de la Concesión, la Concesión</w:t>
      </w:r>
      <w:r w:rsidRPr="00076DCD">
        <w:rPr>
          <w:rFonts w:ascii="Arial" w:eastAsia="Times New Roman" w:hAnsi="Arial" w:cs="Arial"/>
          <w:sz w:val="21"/>
          <w:szCs w:val="21"/>
          <w:lang w:eastAsia="zh-CN"/>
        </w:rPr>
        <w:t xml:space="preserve"> misma, los flujos de dinero por la prestación del Servicio o cualquier derecho que corresponda a la Sociedad Concesionaria según el Contrato (en adelante, “deuda garantizada”), la Sociedad Concesionaria deberá cumplir las Cláusulas siguientes.</w:t>
      </w:r>
    </w:p>
    <w:p w:rsidR="00AF6615" w:rsidRPr="00076DCD" w:rsidRDefault="00AF6615" w:rsidP="00B07EB1">
      <w:pPr>
        <w:widowControl w:val="0"/>
        <w:numPr>
          <w:ilvl w:val="1"/>
          <w:numId w:val="3"/>
        </w:numPr>
        <w:suppressLineNumbers/>
        <w:tabs>
          <w:tab w:val="clear" w:pos="360"/>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Los contratos que sustenten la deuda garantizada deberán estipular:</w:t>
      </w:r>
    </w:p>
    <w:p w:rsidR="00AF6615" w:rsidRPr="00076DCD" w:rsidRDefault="00AF6615" w:rsidP="00B07EB1">
      <w:pPr>
        <w:widowControl w:val="0"/>
        <w:numPr>
          <w:ilvl w:val="0"/>
          <w:numId w:val="5"/>
        </w:numPr>
        <w:suppressLineNumbers/>
        <w:tabs>
          <w:tab w:val="clear" w:pos="144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Términos financieros incluyendo tasa o tasas de interés, reajustes de capital, condiciones de pago y otros términos, que sean los usuales para operaciones bajo condiciones similares en el mercado </w:t>
      </w:r>
      <w:r w:rsidR="003A3204" w:rsidRPr="00076DCD">
        <w:rPr>
          <w:rFonts w:ascii="Arial" w:hAnsi="Arial" w:cs="Arial"/>
          <w:sz w:val="21"/>
          <w:szCs w:val="21"/>
        </w:rPr>
        <w:t>nacional y/o</w:t>
      </w:r>
      <w:r w:rsidR="00785758" w:rsidRPr="00076DCD">
        <w:rPr>
          <w:rFonts w:ascii="Arial" w:hAnsi="Arial" w:cs="Arial"/>
          <w:sz w:val="21"/>
          <w:szCs w:val="21"/>
        </w:rPr>
        <w:t xml:space="preserve"> </w:t>
      </w:r>
      <w:r w:rsidRPr="00076DCD">
        <w:rPr>
          <w:rFonts w:ascii="Arial" w:eastAsia="Times New Roman" w:hAnsi="Arial" w:cs="Arial"/>
          <w:sz w:val="21"/>
          <w:szCs w:val="21"/>
          <w:lang w:eastAsia="zh-CN"/>
        </w:rPr>
        <w:t>internacional.</w:t>
      </w:r>
    </w:p>
    <w:p w:rsidR="00AF6615" w:rsidRPr="00076DCD" w:rsidRDefault="00AF6615" w:rsidP="00B07EB1">
      <w:pPr>
        <w:widowControl w:val="0"/>
        <w:numPr>
          <w:ilvl w:val="0"/>
          <w:numId w:val="5"/>
        </w:numPr>
        <w:suppressLineNumbers/>
        <w:tabs>
          <w:tab w:val="clear" w:pos="144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Que los recursos que se obtengan:</w:t>
      </w:r>
    </w:p>
    <w:p w:rsidR="00AF6615" w:rsidRPr="00076DCD" w:rsidRDefault="00AF6615" w:rsidP="00B07EB1">
      <w:pPr>
        <w:widowControl w:val="0"/>
        <w:numPr>
          <w:ilvl w:val="1"/>
          <w:numId w:val="5"/>
        </w:numPr>
        <w:suppressLineNumbers/>
        <w:tabs>
          <w:tab w:val="clear" w:pos="1440"/>
        </w:tabs>
        <w:suppressAutoHyphens/>
        <w:spacing w:before="120" w:after="0" w:line="257" w:lineRule="auto"/>
        <w:ind w:left="1418" w:hanging="284"/>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AF6615" w:rsidRPr="00076DCD" w:rsidRDefault="00AF6615" w:rsidP="00B07EB1">
      <w:pPr>
        <w:widowControl w:val="0"/>
        <w:numPr>
          <w:ilvl w:val="1"/>
          <w:numId w:val="5"/>
        </w:numPr>
        <w:suppressLineNumbers/>
        <w:tabs>
          <w:tab w:val="clear" w:pos="1440"/>
        </w:tabs>
        <w:suppressAutoHyphens/>
        <w:spacing w:before="120" w:after="0" w:line="257" w:lineRule="auto"/>
        <w:ind w:left="1418" w:hanging="284"/>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24287F" w:rsidRDefault="0024287F">
      <w:pPr>
        <w:rPr>
          <w:rFonts w:ascii="Arial" w:eastAsia="Times New Roman" w:hAnsi="Arial" w:cs="Arial"/>
          <w:sz w:val="21"/>
          <w:szCs w:val="21"/>
          <w:lang w:eastAsia="zh-CN"/>
        </w:rPr>
      </w:pPr>
      <w:r>
        <w:rPr>
          <w:rFonts w:ascii="Arial" w:eastAsia="Times New Roman" w:hAnsi="Arial" w:cs="Arial"/>
          <w:sz w:val="21"/>
          <w:szCs w:val="21"/>
          <w:lang w:eastAsia="zh-CN"/>
        </w:rPr>
        <w:br w:type="page"/>
      </w:r>
    </w:p>
    <w:p w:rsidR="00AF6615" w:rsidRPr="00076DCD" w:rsidRDefault="00AF6615" w:rsidP="00B07EB1">
      <w:pPr>
        <w:widowControl w:val="0"/>
        <w:numPr>
          <w:ilvl w:val="1"/>
          <w:numId w:val="5"/>
        </w:numPr>
        <w:suppressLineNumbers/>
        <w:tabs>
          <w:tab w:val="clear" w:pos="1440"/>
        </w:tabs>
        <w:suppressAutoHyphens/>
        <w:spacing w:before="120" w:after="0" w:line="257" w:lineRule="auto"/>
        <w:ind w:left="1418" w:hanging="284"/>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Sin perjuicio de lo establecido en los literales anteriores, el financiamiento de largo plazo que pudiera ser concertado por la Sociedad Concesionaria con posterioridad a la Puesta en Operación Comercial podrá emplearse</w:t>
      </w:r>
      <w:r w:rsidR="00AC3581" w:rsidRPr="00076DCD">
        <w:rPr>
          <w:rFonts w:ascii="Arial" w:hAnsi="Arial" w:cs="Arial"/>
          <w:sz w:val="21"/>
          <w:szCs w:val="21"/>
        </w:rPr>
        <w:t>: (a)</w:t>
      </w:r>
      <w:r w:rsidRPr="00076DCD">
        <w:rPr>
          <w:rFonts w:ascii="Arial" w:eastAsia="Times New Roman" w:hAnsi="Arial" w:cs="Arial"/>
          <w:sz w:val="21"/>
          <w:szCs w:val="21"/>
          <w:lang w:eastAsia="zh-CN"/>
        </w:rPr>
        <w:t xml:space="preserv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AF6615" w:rsidRPr="00076DCD" w:rsidRDefault="00AF6615" w:rsidP="00B07EB1">
      <w:pPr>
        <w:widowControl w:val="0"/>
        <w:numPr>
          <w:ilvl w:val="0"/>
          <w:numId w:val="5"/>
        </w:numPr>
        <w:suppressLineNumbers/>
        <w:tabs>
          <w:tab w:val="clear" w:pos="144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Que ninguna de tales operaciones puede tener como efecto directo o indirecto eximir a la Sociedad Concesionaria de su obligación de cumplir por sí misma con todas y cada una de las disposiciones del Contrato y de las Leyes Aplicables.</w:t>
      </w:r>
    </w:p>
    <w:p w:rsidR="00AF6615" w:rsidRPr="00076DCD" w:rsidRDefault="00AF6615" w:rsidP="00B07EB1">
      <w:pPr>
        <w:widowControl w:val="0"/>
        <w:numPr>
          <w:ilvl w:val="0"/>
          <w:numId w:val="5"/>
        </w:numPr>
        <w:suppressLineNumbers/>
        <w:tabs>
          <w:tab w:val="clear" w:pos="144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En caso de terminación del Contrato, </w:t>
      </w:r>
      <w:r w:rsidRPr="00076DCD">
        <w:rPr>
          <w:rFonts w:ascii="Arial" w:hAnsi="Arial" w:cs="Arial"/>
          <w:sz w:val="21"/>
        </w:rPr>
        <w:t xml:space="preserve">por vencimiento del plazo, </w:t>
      </w:r>
      <w:r w:rsidRPr="00076DCD">
        <w:rPr>
          <w:rFonts w:ascii="Arial" w:eastAsia="Times New Roman" w:hAnsi="Arial" w:cs="Arial"/>
          <w:sz w:val="21"/>
          <w:szCs w:val="21"/>
          <w:lang w:eastAsia="zh-CN"/>
        </w:rPr>
        <w:t xml:space="preserve">la Sociedad Concesionaria y los </w:t>
      </w:r>
      <w:r w:rsidRPr="00076DCD">
        <w:rPr>
          <w:rFonts w:ascii="Arial" w:hAnsi="Arial" w:cs="Arial"/>
          <w:sz w:val="21"/>
        </w:rPr>
        <w:t>Acreedores</w:t>
      </w:r>
      <w:r w:rsidRPr="00076DCD">
        <w:rPr>
          <w:rFonts w:ascii="Arial" w:eastAsia="Times New Roman" w:hAnsi="Arial" w:cs="Arial"/>
          <w:color w:val="000000"/>
          <w:sz w:val="21"/>
          <w:szCs w:val="21"/>
          <w:lang w:eastAsia="zh-CN"/>
        </w:rPr>
        <w:t xml:space="preserve"> Permitidos</w:t>
      </w:r>
      <w:r w:rsidRPr="00076DCD">
        <w:rPr>
          <w:rFonts w:ascii="Arial" w:eastAsia="Times New Roman" w:hAnsi="Arial" w:cs="Arial"/>
          <w:sz w:val="21"/>
          <w:szCs w:val="21"/>
          <w:lang w:eastAsia="zh-CN"/>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o terceros.</w:t>
      </w:r>
    </w:p>
    <w:p w:rsidR="00AF6615" w:rsidRPr="00076DCD" w:rsidRDefault="00AF6615" w:rsidP="00B07EB1">
      <w:pPr>
        <w:widowControl w:val="0"/>
        <w:numPr>
          <w:ilvl w:val="1"/>
          <w:numId w:val="3"/>
        </w:numPr>
        <w:suppressLineNumbers/>
        <w:tabs>
          <w:tab w:val="clear" w:pos="360"/>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Los contratos que sustenten la deuda garantizada podrán estipular:</w:t>
      </w:r>
    </w:p>
    <w:p w:rsidR="00AF6615" w:rsidRPr="00076DCD" w:rsidRDefault="00AF6615" w:rsidP="00B07EB1">
      <w:pPr>
        <w:widowControl w:val="0"/>
        <w:numPr>
          <w:ilvl w:val="0"/>
          <w:numId w:val="4"/>
        </w:numPr>
        <w:suppressLineNumbers/>
        <w:tabs>
          <w:tab w:val="clear" w:pos="144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Que si la Sociedad Concesionaria o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lo solicitan, el Concedente enviará a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copia de las comunicaciones cursadas por el Concedente a la Sociedad Concesionaria, y les informará de cualquier hecho que pudiera ocasionar la terminación del Contrato.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indicarán al Concedente las comunicaciones cursadas a la Sociedad Concesionaria cuya copia solicitan.</w:t>
      </w:r>
    </w:p>
    <w:p w:rsidR="00AF6615" w:rsidRPr="00076DCD" w:rsidRDefault="00AF6615" w:rsidP="00B07EB1">
      <w:pPr>
        <w:widowControl w:val="0"/>
        <w:numPr>
          <w:ilvl w:val="0"/>
          <w:numId w:val="4"/>
        </w:numPr>
        <w:suppressLineNumbers/>
        <w:tabs>
          <w:tab w:val="clear" w:pos="144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Que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AF6615" w:rsidRPr="00076DCD" w:rsidRDefault="00AF6615" w:rsidP="00B07EB1">
      <w:pPr>
        <w:widowControl w:val="0"/>
        <w:numPr>
          <w:ilvl w:val="0"/>
          <w:numId w:val="43"/>
        </w:numPr>
        <w:suppressLineNumbers/>
        <w:tabs>
          <w:tab w:val="left" w:pos="1418"/>
        </w:tabs>
        <w:suppressAutoHyphens/>
        <w:spacing w:before="120" w:after="0" w:line="257" w:lineRule="auto"/>
        <w:ind w:left="1418"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A los efectos de la sustitución,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AF6615" w:rsidRPr="00076DCD" w:rsidRDefault="00AF6615" w:rsidP="00B07EB1">
      <w:pPr>
        <w:widowControl w:val="0"/>
        <w:numPr>
          <w:ilvl w:val="0"/>
          <w:numId w:val="43"/>
        </w:numPr>
        <w:suppressLineNumbers/>
        <w:tabs>
          <w:tab w:val="left" w:pos="1418"/>
        </w:tabs>
        <w:suppressAutoHyphens/>
        <w:spacing w:before="120" w:after="0" w:line="257" w:lineRule="auto"/>
        <w:ind w:left="1418"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Concedente no negará la sustitución sin causa razonable y contestará la solicitud en el plazo de treinta (30) Días. El silencio del Concedente comportará la aceptación de la solicitud.</w:t>
      </w:r>
      <w:r w:rsidR="003A3204" w:rsidRPr="00076DCD">
        <w:rPr>
          <w:rFonts w:ascii="Arial" w:hAnsi="Arial" w:cs="Arial"/>
          <w:sz w:val="21"/>
          <w:szCs w:val="21"/>
        </w:rPr>
        <w:t xml:space="preserve"> El nuevo Concesionario contará con un plazo de ciento ochenta (180) días, contados a partir de la presentación de la solicitud, para iniciar su operación, pasado el plazo antes indicado, el Concedente tendrá expedito su derecho a solicitar la Terminación del Contrato.  </w:t>
      </w:r>
    </w:p>
    <w:p w:rsidR="0024287F" w:rsidRDefault="0024287F">
      <w:pPr>
        <w:rPr>
          <w:rFonts w:ascii="Arial" w:eastAsia="Times New Roman" w:hAnsi="Arial" w:cs="Arial"/>
          <w:sz w:val="21"/>
          <w:szCs w:val="21"/>
          <w:lang w:eastAsia="zh-CN"/>
        </w:rPr>
      </w:pPr>
      <w:r>
        <w:rPr>
          <w:rFonts w:ascii="Arial" w:eastAsia="Times New Roman" w:hAnsi="Arial" w:cs="Arial"/>
          <w:sz w:val="21"/>
          <w:szCs w:val="21"/>
          <w:lang w:eastAsia="zh-CN"/>
        </w:rPr>
        <w:br w:type="page"/>
      </w:r>
    </w:p>
    <w:p w:rsidR="00AF6615" w:rsidRPr="00076DCD" w:rsidRDefault="00AF6615" w:rsidP="0024287F">
      <w:pPr>
        <w:widowControl w:val="0"/>
        <w:numPr>
          <w:ilvl w:val="0"/>
          <w:numId w:val="4"/>
        </w:numPr>
        <w:suppressLineNumbers/>
        <w:tabs>
          <w:tab w:val="clear" w:pos="1440"/>
          <w:tab w:val="left" w:pos="993"/>
        </w:tabs>
        <w:suppressAutoHyphens/>
        <w:spacing w:before="120" w:after="0" w:line="250"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 xml:space="preserve">Que los </w:t>
      </w:r>
      <w:r w:rsidRPr="00076DCD">
        <w:rPr>
          <w:rFonts w:ascii="Arial" w:eastAsia="Times New Roman" w:hAnsi="Arial" w:cs="Arial"/>
          <w:color w:val="000000"/>
          <w:sz w:val="21"/>
          <w:szCs w:val="21"/>
          <w:lang w:eastAsia="zh-CN"/>
        </w:rPr>
        <w:t>Acreedores Permitidos</w:t>
      </w:r>
      <w:r w:rsidRPr="00076DCD">
        <w:rPr>
          <w:rFonts w:ascii="Arial" w:eastAsia="Times New Roman" w:hAnsi="Arial" w:cs="Arial"/>
          <w:sz w:val="21"/>
          <w:szCs w:val="21"/>
          <w:lang w:eastAsia="zh-CN"/>
        </w:rPr>
        <w:t xml:space="preserve"> tendrán el derecho de recibir las sumas de dinero a que hubiere lugar luego de la licitación de la Concesión, de acuerdo a la prelación estipulada en la Cláusula 13.11.</w:t>
      </w:r>
    </w:p>
    <w:p w:rsidR="00AF6615" w:rsidRPr="00076DCD" w:rsidRDefault="00AF6615" w:rsidP="0024287F">
      <w:pPr>
        <w:widowControl w:val="0"/>
        <w:numPr>
          <w:ilvl w:val="1"/>
          <w:numId w:val="3"/>
        </w:numPr>
        <w:suppressLineNumbers/>
        <w:tabs>
          <w:tab w:val="clear" w:pos="360"/>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La Sociedad Concesionaria entregará al Concedente copia de los contratos respectivos con los </w:t>
      </w:r>
      <w:r w:rsidRPr="00076DCD">
        <w:rPr>
          <w:rFonts w:ascii="Arial" w:hAnsi="Arial" w:cs="Arial"/>
          <w:sz w:val="21"/>
        </w:rPr>
        <w:t>Acreedores Permitidos</w:t>
      </w:r>
      <w:r w:rsidRPr="00076DCD">
        <w:rPr>
          <w:rFonts w:ascii="Arial" w:eastAsia="Times New Roman" w:hAnsi="Arial" w:cs="Arial"/>
          <w:sz w:val="21"/>
          <w:szCs w:val="21"/>
          <w:lang w:eastAsia="zh-CN"/>
        </w:rPr>
        <w:t>,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AF6615" w:rsidRPr="00076DCD" w:rsidRDefault="00AF6615" w:rsidP="0024287F">
      <w:pPr>
        <w:widowControl w:val="0"/>
        <w:numPr>
          <w:ilvl w:val="1"/>
          <w:numId w:val="3"/>
        </w:numPr>
        <w:suppressLineNumbers/>
        <w:tabs>
          <w:tab w:val="clear" w:pos="360"/>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presente Contrato no contempla el otorgamiento o contratación de garantías financieras por parte del Estado a favor de la Sociedad Concesionaria.</w:t>
      </w:r>
    </w:p>
    <w:p w:rsidR="00AF6615" w:rsidRPr="00076DCD" w:rsidRDefault="00AF6615" w:rsidP="0024287F">
      <w:pPr>
        <w:widowControl w:val="0"/>
        <w:suppressLineNumbers/>
        <w:suppressAutoHyphens/>
        <w:spacing w:before="360" w:after="240" w:line="250" w:lineRule="auto"/>
        <w:ind w:left="567" w:hanging="567"/>
        <w:jc w:val="both"/>
        <w:rPr>
          <w:rFonts w:ascii="Arial" w:hAnsi="Arial" w:cs="Arial"/>
          <w:sz w:val="21"/>
        </w:rPr>
      </w:pPr>
      <w:r w:rsidRPr="00076DCD">
        <w:rPr>
          <w:rFonts w:ascii="Arial" w:eastAsia="Times New Roman" w:hAnsi="Arial" w:cs="Arial"/>
          <w:b/>
          <w:sz w:val="24"/>
          <w:szCs w:val="24"/>
          <w:lang w:eastAsia="zh-CN"/>
        </w:rPr>
        <w:t>10.</w:t>
      </w:r>
      <w:r w:rsidRPr="00076DCD">
        <w:rPr>
          <w:rFonts w:ascii="Arial" w:eastAsia="Times New Roman" w:hAnsi="Arial" w:cs="Arial"/>
          <w:b/>
          <w:sz w:val="24"/>
          <w:szCs w:val="24"/>
          <w:lang w:eastAsia="zh-CN"/>
        </w:rPr>
        <w:tab/>
      </w:r>
      <w:r w:rsidRPr="00076DCD">
        <w:rPr>
          <w:rFonts w:ascii="Arial" w:hAnsi="Arial" w:cs="Arial"/>
          <w:b/>
          <w:lang w:val="es-ES_tradnl"/>
        </w:rPr>
        <w:t>Fuerza Mayor</w:t>
      </w:r>
    </w:p>
    <w:p w:rsidR="00AF6615" w:rsidRPr="00076DCD" w:rsidRDefault="00AF6615" w:rsidP="0024287F">
      <w:pPr>
        <w:widowControl w:val="0"/>
        <w:numPr>
          <w:ilvl w:val="1"/>
          <w:numId w:val="6"/>
        </w:numPr>
        <w:suppressLineNumbers/>
        <w:tabs>
          <w:tab w:val="clear" w:pos="996"/>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AF6615" w:rsidRPr="00076DCD" w:rsidRDefault="00AF6615" w:rsidP="0024287F">
      <w:pPr>
        <w:widowControl w:val="0"/>
        <w:numPr>
          <w:ilvl w:val="1"/>
          <w:numId w:val="6"/>
        </w:numPr>
        <w:suppressLineNumbers/>
        <w:tabs>
          <w:tab w:val="clear" w:pos="996"/>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AF6615" w:rsidRPr="00076DCD" w:rsidRDefault="00AF6615" w:rsidP="0024287F">
      <w:pPr>
        <w:widowControl w:val="0"/>
        <w:suppressLineNumbers/>
        <w:suppressAutoHyphens/>
        <w:spacing w:before="120" w:after="0" w:line="250"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ampliación de plazo por Fuerza Mayor sólo será aprobada siempre que los eventos que la motiven se encuentren dentro de la ruta crítica actualizada del proyecto.</w:t>
      </w:r>
    </w:p>
    <w:p w:rsidR="00AF6615" w:rsidRPr="00076DCD" w:rsidRDefault="00AF6615" w:rsidP="0024287F">
      <w:pPr>
        <w:widowControl w:val="0"/>
        <w:numPr>
          <w:ilvl w:val="1"/>
          <w:numId w:val="6"/>
        </w:numPr>
        <w:suppressLineNumbers/>
        <w:tabs>
          <w:tab w:val="clear" w:pos="996"/>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AF6615" w:rsidRPr="00076DCD" w:rsidRDefault="00AF6615" w:rsidP="0024287F">
      <w:pPr>
        <w:widowControl w:val="0"/>
        <w:numPr>
          <w:ilvl w:val="1"/>
          <w:numId w:val="6"/>
        </w:numPr>
        <w:suppressLineNumbers/>
        <w:tabs>
          <w:tab w:val="clear" w:pos="996"/>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Parte que invoque el evento de Fuerza Mayor deberá informar a la otra Parte sobre:</w:t>
      </w:r>
    </w:p>
    <w:p w:rsidR="00AF6615" w:rsidRPr="00076DCD" w:rsidRDefault="00AF6615" w:rsidP="0024287F">
      <w:pPr>
        <w:widowControl w:val="0"/>
        <w:numPr>
          <w:ilvl w:val="0"/>
          <w:numId w:val="7"/>
        </w:numPr>
        <w:suppressLineNumbers/>
        <w:tabs>
          <w:tab w:val="clear" w:pos="1440"/>
          <w:tab w:val="left" w:pos="993"/>
        </w:tabs>
        <w:suppressAutoHyphens/>
        <w:spacing w:before="120" w:after="0" w:line="250"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Los hechos que constituyen dicho evento de Fuerza Mayor, dentro de las siguientes setenta y dos (72) horas de haber ocurrido o haberse enterado, según sea el caso; y</w:t>
      </w:r>
    </w:p>
    <w:p w:rsidR="00AF6615" w:rsidRPr="00076DCD" w:rsidRDefault="00AF6615" w:rsidP="0024287F">
      <w:pPr>
        <w:widowControl w:val="0"/>
        <w:numPr>
          <w:ilvl w:val="0"/>
          <w:numId w:val="7"/>
        </w:numPr>
        <w:suppressLineNumbers/>
        <w:tabs>
          <w:tab w:val="clear" w:pos="1440"/>
          <w:tab w:val="left" w:pos="993"/>
        </w:tabs>
        <w:suppressAutoHyphens/>
        <w:spacing w:before="120" w:after="0" w:line="250"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El período estimado de restricción total o parcial de sus actividades y el grado de impacto previsto. Adicionalmente, deberá mantener a la otra Parte informada sobre el desarrollo de dichos eventos.</w:t>
      </w:r>
    </w:p>
    <w:p w:rsidR="00AF6615" w:rsidRPr="00076DCD" w:rsidRDefault="00AF6615" w:rsidP="0024287F">
      <w:pPr>
        <w:widowControl w:val="0"/>
        <w:suppressLineNumbers/>
        <w:suppressAutoHyphens/>
        <w:spacing w:before="120" w:after="0" w:line="250" w:lineRule="auto"/>
        <w:ind w:left="567"/>
        <w:jc w:val="both"/>
        <w:rPr>
          <w:rFonts w:ascii="Arial" w:eastAsia="Times New Roman" w:hAnsi="Arial" w:cs="Arial"/>
          <w:color w:val="000000"/>
          <w:sz w:val="21"/>
          <w:szCs w:val="21"/>
          <w:lang w:eastAsia="zh-CN"/>
        </w:rPr>
      </w:pPr>
      <w:r w:rsidRPr="00076DCD">
        <w:rPr>
          <w:rFonts w:ascii="Arial" w:eastAsia="Times New Roman" w:hAnsi="Arial" w:cs="Arial"/>
          <w:color w:val="000000"/>
          <w:sz w:val="21"/>
          <w:szCs w:val="21"/>
          <w:lang w:eastAsia="zh-CN"/>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AF6615" w:rsidRPr="00076DCD" w:rsidRDefault="00AF6615" w:rsidP="0024287F">
      <w:pPr>
        <w:widowControl w:val="0"/>
        <w:numPr>
          <w:ilvl w:val="1"/>
          <w:numId w:val="6"/>
        </w:numPr>
        <w:suppressLineNumbers/>
        <w:tabs>
          <w:tab w:val="clear" w:pos="996"/>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En el supuesto que una de las Partes no estuviera de acuerdo con la calificación del evento como de Fuerza Mayor o sus consecuencias, puede recurrir al procedimiento de solución de controversias de la Cláusula 14.</w:t>
      </w:r>
    </w:p>
    <w:p w:rsidR="00AF6615" w:rsidRPr="00076DCD" w:rsidRDefault="00AF6615" w:rsidP="0024287F">
      <w:pPr>
        <w:widowControl w:val="0"/>
        <w:numPr>
          <w:ilvl w:val="1"/>
          <w:numId w:val="6"/>
        </w:numPr>
        <w:suppressLineNumbers/>
        <w:tabs>
          <w:tab w:val="clear" w:pos="996"/>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Para la etapa de operación que se inicia con la Puesta en Operación Comercial, corresponderá que la evaluación de la variación temporal de las condiciones de suministro por causa de fuerza mayor, caso fortuito u otras, se regirá por las directivas aprobadas con tal fin por el OSINERGMIN y las Leyes Aplicables.</w:t>
      </w:r>
    </w:p>
    <w:p w:rsidR="00AF6615" w:rsidRPr="00076DCD" w:rsidRDefault="00AF6615" w:rsidP="00B07EB1">
      <w:pPr>
        <w:widowControl w:val="0"/>
        <w:suppressLineNumbers/>
        <w:suppressAutoHyphens/>
        <w:spacing w:before="120" w:after="0" w:line="257"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AF6615" w:rsidRPr="00076DCD" w:rsidRDefault="00AF6615" w:rsidP="00B07EB1">
      <w:pPr>
        <w:widowControl w:val="0"/>
        <w:numPr>
          <w:ilvl w:val="1"/>
          <w:numId w:val="6"/>
        </w:numPr>
        <w:suppressLineNumbers/>
        <w:tabs>
          <w:tab w:val="clear" w:pos="996"/>
        </w:tabs>
        <w:suppressAutoHyphens/>
        <w:spacing w:before="120" w:after="0" w:line="257" w:lineRule="auto"/>
        <w:ind w:left="567" w:hanging="567"/>
        <w:jc w:val="both"/>
        <w:rPr>
          <w:rFonts w:ascii="Arial" w:hAnsi="Arial" w:cs="Arial"/>
          <w:sz w:val="21"/>
        </w:rPr>
      </w:pPr>
      <w:r w:rsidRPr="00076DCD">
        <w:rPr>
          <w:rFonts w:ascii="Arial" w:eastAsia="Times New Roman" w:hAnsi="Arial" w:cs="Arial"/>
          <w:sz w:val="21"/>
          <w:szCs w:val="21"/>
          <w:lang w:eastAsia="zh-CN"/>
        </w:rPr>
        <w:t>En todo aquello no previsto por las directivas aprobadas por el OSINERGMIN, se aplicará lo dispuesto en las Cláusulas 10.1 al 10.5, según corresponda.</w:t>
      </w:r>
    </w:p>
    <w:p w:rsidR="00AF6615" w:rsidRPr="00076DCD" w:rsidRDefault="00AF6615" w:rsidP="00B07EB1">
      <w:pPr>
        <w:widowControl w:val="0"/>
        <w:suppressLineNumbers/>
        <w:suppressAutoHyphens/>
        <w:spacing w:before="360" w:after="240" w:line="257" w:lineRule="auto"/>
        <w:ind w:left="567" w:hanging="567"/>
        <w:jc w:val="both"/>
        <w:rPr>
          <w:rFonts w:ascii="Arial" w:hAnsi="Arial" w:cs="Arial"/>
          <w:b/>
          <w:lang w:val="es-ES_tradnl"/>
        </w:rPr>
      </w:pPr>
      <w:r w:rsidRPr="00076DCD">
        <w:rPr>
          <w:rFonts w:ascii="Arial" w:hAnsi="Arial" w:cs="Arial"/>
          <w:b/>
          <w:lang w:val="es-ES_tradnl"/>
        </w:rPr>
        <w:t>11.</w:t>
      </w:r>
      <w:r w:rsidRPr="00076DCD">
        <w:rPr>
          <w:rFonts w:ascii="Arial" w:hAnsi="Arial" w:cs="Arial"/>
          <w:b/>
          <w:lang w:val="es-ES_tradnl"/>
        </w:rPr>
        <w:tab/>
        <w:t>Penalidades</w:t>
      </w:r>
    </w:p>
    <w:p w:rsidR="00AF6615" w:rsidRPr="00076DCD" w:rsidRDefault="00AF6615" w:rsidP="00B07EB1">
      <w:pPr>
        <w:widowControl w:val="0"/>
        <w:numPr>
          <w:ilvl w:val="0"/>
          <w:numId w:val="40"/>
        </w:numPr>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Por cada día calendario de atraso en el </w:t>
      </w:r>
      <w:r w:rsidRPr="00076DCD">
        <w:rPr>
          <w:rFonts w:ascii="Arial" w:eastAsia="Times New Roman" w:hAnsi="Arial" w:cs="Arial"/>
          <w:color w:val="000000"/>
          <w:sz w:val="21"/>
          <w:szCs w:val="21"/>
          <w:lang w:eastAsia="zh-CN"/>
        </w:rPr>
        <w:t>inicio</w:t>
      </w:r>
      <w:r w:rsidRPr="00076DCD">
        <w:rPr>
          <w:rFonts w:ascii="Arial" w:eastAsia="Times New Roman" w:hAnsi="Arial" w:cs="Arial"/>
          <w:sz w:val="21"/>
          <w:szCs w:val="21"/>
          <w:lang w:eastAsia="zh-CN"/>
        </w:rPr>
        <w:t xml:space="preserve"> de </w:t>
      </w:r>
      <w:r w:rsidRPr="00076DCD">
        <w:rPr>
          <w:rFonts w:ascii="Arial" w:eastAsia="Times New Roman" w:hAnsi="Arial" w:cs="Arial"/>
          <w:color w:val="000000"/>
          <w:sz w:val="21"/>
          <w:szCs w:val="21"/>
          <w:lang w:eastAsia="zh-CN"/>
        </w:rPr>
        <w:t>la Puesta en Operación Comercial, según lo señalado</w:t>
      </w:r>
      <w:r w:rsidRPr="00076DCD">
        <w:rPr>
          <w:rFonts w:ascii="Arial" w:eastAsia="Times New Roman" w:hAnsi="Arial" w:cs="Arial"/>
          <w:sz w:val="21"/>
          <w:szCs w:val="21"/>
          <w:lang w:eastAsia="zh-CN"/>
        </w:rPr>
        <w:t xml:space="preserve"> en el Anexo Nº 7 y teniendo en consideración las extensiones de plazo contempladas de acuerdo a la Cláusula 4.3, la Sociedad Concesionaria deberá pagar al Concedente, una penalidad que se calculará del siguiente modo:</w:t>
      </w:r>
    </w:p>
    <w:p w:rsidR="00AF6615" w:rsidRPr="00076DCD" w:rsidRDefault="00AF6615" w:rsidP="00B07EB1">
      <w:pPr>
        <w:widowControl w:val="0"/>
        <w:numPr>
          <w:ilvl w:val="0"/>
          <w:numId w:val="9"/>
        </w:numPr>
        <w:suppressLineNumbers/>
        <w:tabs>
          <w:tab w:val="clear" w:pos="36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US$ </w:t>
      </w:r>
      <w:r w:rsidR="003E13AA" w:rsidRPr="00076DCD">
        <w:rPr>
          <w:rFonts w:ascii="Arial" w:eastAsia="Times New Roman" w:hAnsi="Arial" w:cs="Arial"/>
          <w:sz w:val="21"/>
          <w:szCs w:val="21"/>
          <w:lang w:eastAsia="zh-CN"/>
        </w:rPr>
        <w:t>16 667</w:t>
      </w:r>
      <w:r w:rsidR="00EB2D47" w:rsidRPr="00076DCD">
        <w:rPr>
          <w:rFonts w:ascii="Arial" w:eastAsia="Times New Roman" w:hAnsi="Arial" w:cs="Arial"/>
          <w:sz w:val="21"/>
          <w:szCs w:val="21"/>
          <w:lang w:eastAsia="zh-CN"/>
        </w:rPr>
        <w:t>,00</w:t>
      </w:r>
      <w:r w:rsidR="003E13AA" w:rsidRPr="00076DCD">
        <w:rPr>
          <w:rFonts w:ascii="Arial" w:hAnsi="Arial" w:cs="Arial"/>
          <w:sz w:val="21"/>
        </w:rPr>
        <w:t xml:space="preserve"> </w:t>
      </w:r>
      <w:r w:rsidRPr="00076DCD">
        <w:rPr>
          <w:rFonts w:ascii="Arial" w:hAnsi="Arial" w:cs="Arial"/>
          <w:sz w:val="21"/>
        </w:rPr>
        <w:t>(</w:t>
      </w:r>
      <w:r w:rsidR="003E13AA" w:rsidRPr="00076DCD">
        <w:rPr>
          <w:rFonts w:ascii="Arial" w:hAnsi="Arial" w:cs="Arial"/>
          <w:sz w:val="21"/>
        </w:rPr>
        <w:t>Dieciséis mil Seiscientos Sesenta y Siete</w:t>
      </w:r>
      <w:r w:rsidRPr="00076DCD">
        <w:rPr>
          <w:rFonts w:ascii="Arial" w:hAnsi="Arial" w:cs="Arial"/>
          <w:sz w:val="21"/>
        </w:rPr>
        <w:t xml:space="preserve"> y 00/100 Dólares),</w:t>
      </w:r>
      <w:r w:rsidRPr="00076DCD">
        <w:rPr>
          <w:rFonts w:ascii="Arial" w:eastAsia="Times New Roman" w:hAnsi="Arial" w:cs="Arial"/>
          <w:sz w:val="21"/>
          <w:szCs w:val="21"/>
          <w:lang w:eastAsia="zh-CN"/>
        </w:rPr>
        <w:t xml:space="preserve"> por cada uno de los primeros treinta (30) días calendario de atraso.</w:t>
      </w:r>
    </w:p>
    <w:p w:rsidR="00AF6615" w:rsidRPr="00076DCD" w:rsidRDefault="00AF6615" w:rsidP="00B07EB1">
      <w:pPr>
        <w:widowControl w:val="0"/>
        <w:numPr>
          <w:ilvl w:val="0"/>
          <w:numId w:val="9"/>
        </w:numPr>
        <w:suppressLineNumbers/>
        <w:tabs>
          <w:tab w:val="clear" w:pos="36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US$ </w:t>
      </w:r>
      <w:r w:rsidR="003E13AA" w:rsidRPr="00076DCD">
        <w:rPr>
          <w:rFonts w:ascii="Arial" w:eastAsia="Times New Roman" w:hAnsi="Arial" w:cs="Arial"/>
          <w:sz w:val="21"/>
          <w:szCs w:val="21"/>
          <w:lang w:eastAsia="zh-CN"/>
        </w:rPr>
        <w:t>33 333</w:t>
      </w:r>
      <w:r w:rsidR="00EB2D47" w:rsidRPr="00076DCD">
        <w:rPr>
          <w:rFonts w:ascii="Arial" w:eastAsia="Times New Roman" w:hAnsi="Arial" w:cs="Arial"/>
          <w:sz w:val="21"/>
          <w:szCs w:val="21"/>
          <w:lang w:eastAsia="zh-CN"/>
        </w:rPr>
        <w:t>,00</w:t>
      </w:r>
      <w:r w:rsidRPr="00076DCD">
        <w:rPr>
          <w:rFonts w:ascii="Arial" w:hAnsi="Arial" w:cs="Arial"/>
          <w:sz w:val="21"/>
        </w:rPr>
        <w:t xml:space="preserve"> (</w:t>
      </w:r>
      <w:r w:rsidR="003E13AA" w:rsidRPr="00076DCD">
        <w:rPr>
          <w:rFonts w:ascii="Arial" w:hAnsi="Arial" w:cs="Arial"/>
          <w:sz w:val="21"/>
        </w:rPr>
        <w:t>Treinta y Tres mil Trescientos Treinta y Tres</w:t>
      </w:r>
      <w:r w:rsidR="000973A9" w:rsidRPr="00076DCD">
        <w:rPr>
          <w:rFonts w:ascii="Arial" w:hAnsi="Arial" w:cs="Arial"/>
          <w:sz w:val="21"/>
        </w:rPr>
        <w:t xml:space="preserve"> </w:t>
      </w:r>
      <w:r w:rsidRPr="00076DCD">
        <w:rPr>
          <w:rFonts w:ascii="Arial" w:hAnsi="Arial" w:cs="Arial"/>
          <w:sz w:val="21"/>
        </w:rPr>
        <w:t>y 00/100 Dólares),</w:t>
      </w:r>
      <w:r w:rsidRPr="00076DCD">
        <w:rPr>
          <w:rFonts w:ascii="Arial" w:eastAsia="Times New Roman" w:hAnsi="Arial" w:cs="Arial"/>
          <w:sz w:val="21"/>
          <w:szCs w:val="21"/>
          <w:lang w:eastAsia="zh-CN"/>
        </w:rPr>
        <w:t xml:space="preserve"> por cada uno de los treinta (30) días calendario de atraso subsiguientes al período señalado en a).</w:t>
      </w:r>
    </w:p>
    <w:p w:rsidR="00AF6615" w:rsidRPr="00076DCD" w:rsidRDefault="00AF6615" w:rsidP="00B07EB1">
      <w:pPr>
        <w:widowControl w:val="0"/>
        <w:numPr>
          <w:ilvl w:val="0"/>
          <w:numId w:val="9"/>
        </w:numPr>
        <w:suppressLineNumbers/>
        <w:tabs>
          <w:tab w:val="clear" w:pos="36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US$ </w:t>
      </w:r>
      <w:r w:rsidR="003E13AA" w:rsidRPr="00076DCD">
        <w:rPr>
          <w:rFonts w:ascii="Arial" w:eastAsia="Times New Roman" w:hAnsi="Arial" w:cs="Arial"/>
          <w:sz w:val="21"/>
          <w:szCs w:val="21"/>
          <w:lang w:eastAsia="zh-CN"/>
        </w:rPr>
        <w:t>50 000</w:t>
      </w:r>
      <w:r w:rsidR="00EB2D47" w:rsidRPr="00076DCD">
        <w:rPr>
          <w:rFonts w:ascii="Arial" w:eastAsia="Times New Roman" w:hAnsi="Arial" w:cs="Arial"/>
          <w:sz w:val="21"/>
          <w:szCs w:val="21"/>
          <w:lang w:eastAsia="zh-CN"/>
        </w:rPr>
        <w:t>,00</w:t>
      </w:r>
      <w:r w:rsidRPr="00076DCD">
        <w:rPr>
          <w:rFonts w:ascii="Arial" w:hAnsi="Arial" w:cs="Arial"/>
          <w:sz w:val="21"/>
        </w:rPr>
        <w:t xml:space="preserve"> (</w:t>
      </w:r>
      <w:r w:rsidR="003E13AA" w:rsidRPr="00076DCD">
        <w:rPr>
          <w:rFonts w:ascii="Arial" w:hAnsi="Arial" w:cs="Arial"/>
          <w:sz w:val="21"/>
        </w:rPr>
        <w:t xml:space="preserve">Cincuenta mil </w:t>
      </w:r>
      <w:r w:rsidRPr="00076DCD">
        <w:rPr>
          <w:rFonts w:ascii="Arial" w:hAnsi="Arial" w:cs="Arial"/>
          <w:sz w:val="21"/>
        </w:rPr>
        <w:t>y 00/100 Dólares</w:t>
      </w:r>
      <w:r w:rsidRPr="00076DCD">
        <w:rPr>
          <w:rFonts w:ascii="Arial" w:eastAsia="Times New Roman" w:hAnsi="Arial" w:cs="Arial"/>
          <w:sz w:val="21"/>
          <w:szCs w:val="21"/>
          <w:lang w:eastAsia="zh-CN"/>
        </w:rPr>
        <w:t>), por cada uno de los noventa (90) días calendario de atraso subsiguientes al período señalado en b).</w:t>
      </w:r>
    </w:p>
    <w:p w:rsidR="00AF6615" w:rsidRPr="00076DCD" w:rsidRDefault="00AF6615" w:rsidP="00B07EB1">
      <w:pPr>
        <w:widowControl w:val="0"/>
        <w:numPr>
          <w:ilvl w:val="0"/>
          <w:numId w:val="40"/>
        </w:numPr>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F6615" w:rsidRPr="00076DCD" w:rsidRDefault="00AF6615" w:rsidP="00B07EB1">
      <w:pPr>
        <w:widowControl w:val="0"/>
        <w:numPr>
          <w:ilvl w:val="0"/>
          <w:numId w:val="40"/>
        </w:numPr>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pago de las penalidades a que se refiere la Cláusula 11.1, se sujeta a las reglas siguientes:</w:t>
      </w:r>
    </w:p>
    <w:p w:rsidR="00AF6615" w:rsidRPr="00076DCD" w:rsidRDefault="00AF6615" w:rsidP="00B07EB1">
      <w:pPr>
        <w:widowControl w:val="0"/>
        <w:numPr>
          <w:ilvl w:val="0"/>
          <w:numId w:val="8"/>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Dicho pago será requerido por escrito por el Concedente a la Sociedad Concesionaria, indicándole la cuenta bancaria en la que deberá depositar el monto correspondiente, lo cual deberá ocurrir dentro de los diez (10) Días siguientes de recibido el requerimiento.</w:t>
      </w:r>
    </w:p>
    <w:p w:rsidR="00AF6615" w:rsidRPr="00076DCD" w:rsidRDefault="00AF6615" w:rsidP="00B07EB1">
      <w:pPr>
        <w:widowControl w:val="0"/>
        <w:numPr>
          <w:ilvl w:val="0"/>
          <w:numId w:val="8"/>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rsidR="00AF6615" w:rsidRPr="00076DCD" w:rsidRDefault="00AF6615" w:rsidP="00B07EB1">
      <w:pPr>
        <w:widowControl w:val="0"/>
        <w:numPr>
          <w:ilvl w:val="0"/>
          <w:numId w:val="8"/>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Resuelta la controversia de manera favorable al Concedente, sea en trato directo o por laudo arbitral, o vencido el plazo de cinco (5) Días sin que la Sociedad Concesionaria contradiga el requerimiento de pago, se entenderá que la obligación de pago de la penalidad es exigible. 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rsidR="00AF6615" w:rsidRPr="00076DCD" w:rsidRDefault="00AF6615" w:rsidP="00B07EB1">
      <w:pPr>
        <w:widowControl w:val="0"/>
        <w:numPr>
          <w:ilvl w:val="0"/>
          <w:numId w:val="8"/>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En caso la Sociedad Concesionaria no cumpla con pagar la penalidad, el Concedente tendrá derecho a solicitar la ejecución de la Garantía respectiva.</w:t>
      </w:r>
    </w:p>
    <w:p w:rsidR="00AF6615" w:rsidRPr="00076DCD" w:rsidRDefault="00AF6615" w:rsidP="00B07EB1">
      <w:pPr>
        <w:widowControl w:val="0"/>
        <w:numPr>
          <w:ilvl w:val="0"/>
          <w:numId w:val="40"/>
        </w:numPr>
        <w:suppressLineNumbers/>
        <w:suppressAutoHyphens/>
        <w:spacing w:before="120" w:after="0" w:line="257" w:lineRule="auto"/>
        <w:ind w:left="567" w:hanging="567"/>
        <w:jc w:val="both"/>
        <w:rPr>
          <w:rFonts w:ascii="Arial" w:hAnsi="Arial" w:cs="Arial"/>
          <w:sz w:val="21"/>
        </w:rPr>
      </w:pPr>
      <w:r w:rsidRPr="00076DCD">
        <w:rPr>
          <w:rFonts w:ascii="Arial" w:eastAsia="Times New Roman" w:hAnsi="Arial" w:cs="Arial"/>
          <w:sz w:val="21"/>
          <w:szCs w:val="21"/>
          <w:lang w:eastAsia="zh-CN"/>
        </w:rPr>
        <w:t xml:space="preserve">Será penalizada con el pago de US$ </w:t>
      </w:r>
      <w:r w:rsidRPr="00076DCD" w:rsidDel="007A0374">
        <w:rPr>
          <w:rFonts w:ascii="Arial" w:eastAsia="Times New Roman" w:hAnsi="Arial" w:cs="Arial"/>
          <w:sz w:val="21"/>
          <w:szCs w:val="21"/>
          <w:lang w:eastAsia="zh-CN"/>
        </w:rPr>
        <w:t xml:space="preserve">2 </w:t>
      </w:r>
      <w:r w:rsidRPr="00076DCD">
        <w:rPr>
          <w:rFonts w:ascii="Arial" w:eastAsia="Times New Roman" w:hAnsi="Arial" w:cs="Arial"/>
          <w:sz w:val="21"/>
          <w:szCs w:val="21"/>
          <w:lang w:eastAsia="zh-CN"/>
        </w:rPr>
        <w:t>000 000,00 (</w:t>
      </w:r>
      <w:r w:rsidRPr="00076DCD" w:rsidDel="007A0374">
        <w:rPr>
          <w:rFonts w:ascii="Arial" w:eastAsia="Times New Roman" w:hAnsi="Arial" w:cs="Arial"/>
          <w:sz w:val="21"/>
          <w:szCs w:val="21"/>
          <w:lang w:eastAsia="zh-CN"/>
        </w:rPr>
        <w:t>Dos</w:t>
      </w:r>
      <w:r w:rsidRPr="00076DCD">
        <w:rPr>
          <w:rFonts w:ascii="Arial" w:eastAsia="Times New Roman" w:hAnsi="Arial" w:cs="Arial"/>
          <w:sz w:val="21"/>
          <w:szCs w:val="21"/>
          <w:lang w:eastAsia="zh-CN"/>
        </w:rPr>
        <w:t xml:space="preserve"> Millones y 00/100 Dólares), la ocurrencia de cualquiera de los eventos siguientes:</w:t>
      </w:r>
    </w:p>
    <w:p w:rsidR="0024287F" w:rsidRDefault="0024287F">
      <w:pPr>
        <w:rPr>
          <w:rFonts w:ascii="Arial" w:eastAsia="Times New Roman" w:hAnsi="Arial" w:cs="Arial"/>
          <w:sz w:val="21"/>
          <w:szCs w:val="21"/>
          <w:lang w:eastAsia="zh-CN"/>
        </w:rPr>
      </w:pPr>
      <w:r>
        <w:rPr>
          <w:rFonts w:ascii="Arial" w:eastAsia="Times New Roman" w:hAnsi="Arial" w:cs="Arial"/>
          <w:sz w:val="21"/>
          <w:szCs w:val="21"/>
          <w:lang w:eastAsia="zh-CN"/>
        </w:rPr>
        <w:br w:type="page"/>
      </w:r>
    </w:p>
    <w:p w:rsidR="00AF6615" w:rsidRPr="00076DCD" w:rsidRDefault="00AF6615" w:rsidP="00B07EB1">
      <w:pPr>
        <w:widowControl w:val="0"/>
        <w:numPr>
          <w:ilvl w:val="0"/>
          <w:numId w:val="29"/>
        </w:numPr>
        <w:suppressLineNumbers/>
        <w:tabs>
          <w:tab w:val="clear" w:pos="2496"/>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F6615" w:rsidRPr="00076DCD" w:rsidRDefault="00AF6615" w:rsidP="00B07EB1">
      <w:pPr>
        <w:widowControl w:val="0"/>
        <w:numPr>
          <w:ilvl w:val="0"/>
          <w:numId w:val="29"/>
        </w:numPr>
        <w:suppressLineNumbers/>
        <w:tabs>
          <w:tab w:val="clear" w:pos="2496"/>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F6615" w:rsidRPr="00076DCD" w:rsidRDefault="00AF6615" w:rsidP="00B07EB1">
      <w:pPr>
        <w:widowControl w:val="0"/>
        <w:suppressLineNumbers/>
        <w:suppressAutoHyphens/>
        <w:spacing w:before="120" w:after="0" w:line="257" w:lineRule="auto"/>
        <w:ind w:left="567"/>
        <w:jc w:val="both"/>
        <w:rPr>
          <w:rFonts w:ascii="Arial" w:hAnsi="Arial" w:cs="Arial"/>
          <w:sz w:val="21"/>
        </w:rPr>
      </w:pPr>
      <w:r w:rsidRPr="00076DCD">
        <w:rPr>
          <w:rFonts w:ascii="Arial" w:hAnsi="Arial" w:cs="Arial"/>
          <w:sz w:val="21"/>
        </w:rPr>
        <w:t>También se aplican para esta penalidad las reglas de las Cláusulas 11.2 y 11.3.</w:t>
      </w:r>
    </w:p>
    <w:p w:rsidR="00AF6615" w:rsidRPr="00076DCD" w:rsidRDefault="00AF6615" w:rsidP="00B07EB1">
      <w:pPr>
        <w:widowControl w:val="0"/>
        <w:numPr>
          <w:ilvl w:val="0"/>
          <w:numId w:val="40"/>
        </w:numPr>
        <w:suppressLineNumber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F6615" w:rsidRPr="00076DCD" w:rsidRDefault="00AF6615"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12.</w:t>
      </w:r>
      <w:r w:rsidRPr="00076DCD">
        <w:rPr>
          <w:rFonts w:ascii="Arial" w:eastAsia="Times New Roman" w:hAnsi="Arial" w:cs="Arial"/>
          <w:b/>
          <w:sz w:val="24"/>
          <w:szCs w:val="24"/>
          <w:lang w:eastAsia="zh-CN"/>
        </w:rPr>
        <w:tab/>
        <w:t>Garantías</w:t>
      </w:r>
    </w:p>
    <w:p w:rsidR="00AF6615" w:rsidRPr="00076DCD" w:rsidRDefault="00AF6615" w:rsidP="00B07EB1">
      <w:pPr>
        <w:widowControl w:val="0"/>
        <w:numPr>
          <w:ilvl w:val="1"/>
          <w:numId w:val="10"/>
        </w:numPr>
        <w:suppressLineNumbers/>
        <w:tabs>
          <w:tab w:val="clear" w:pos="570"/>
        </w:tabs>
        <w:suppressAutoHyphens/>
        <w:spacing w:before="120" w:after="0" w:line="257" w:lineRule="auto"/>
        <w:ind w:left="567" w:hanging="567"/>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A fin de garantizar el pago de las  penalidades que establece la Cláusula 11.1, la Sociedad Concesionaria entregará al Concedente una fianza bancaria, conforme a las reglas siguientes:</w:t>
      </w:r>
    </w:p>
    <w:p w:rsidR="00AF6615" w:rsidRPr="00076DCD" w:rsidRDefault="00AF6615" w:rsidP="00B07EB1">
      <w:pPr>
        <w:widowControl w:val="0"/>
        <w:numPr>
          <w:ilvl w:val="0"/>
          <w:numId w:val="30"/>
        </w:numPr>
        <w:suppressLineNumbers/>
        <w:tabs>
          <w:tab w:val="clear" w:pos="2214"/>
          <w:tab w:val="left" w:pos="993"/>
        </w:tabs>
        <w:suppressAutoHyphens/>
        <w:spacing w:before="120" w:after="0" w:line="257"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La fianza será emitida por cualquiera de las entidades bancarias indicadas en el Anexo 6 de las Bases, siguiendo el formato y por el monto que indica el Anexo N° 4 del Contrato. Su entrega es requisito para el Cierre del Concurso.</w:t>
      </w:r>
    </w:p>
    <w:p w:rsidR="00AF6615" w:rsidRPr="00076DCD" w:rsidRDefault="00AF6615" w:rsidP="00B07EB1">
      <w:pPr>
        <w:widowControl w:val="0"/>
        <w:numPr>
          <w:ilvl w:val="0"/>
          <w:numId w:val="30"/>
        </w:numPr>
        <w:suppressLineNumbers/>
        <w:tabs>
          <w:tab w:val="clear" w:pos="2214"/>
          <w:tab w:val="left" w:pos="993"/>
        </w:tabs>
        <w:suppressAutoHyphens/>
        <w:spacing w:before="120" w:after="0" w:line="257"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La fianza </w:t>
      </w:r>
      <w:r w:rsidRPr="00076DCD">
        <w:rPr>
          <w:rFonts w:ascii="Arial" w:eastAsia="Times New Roman" w:hAnsi="Arial" w:cs="Arial"/>
          <w:color w:val="000000"/>
          <w:sz w:val="21"/>
          <w:szCs w:val="21"/>
          <w:lang w:eastAsia="zh-CN"/>
        </w:rPr>
        <w:t>deberá estar vigente desde</w:t>
      </w:r>
      <w:r w:rsidRPr="00076DCD">
        <w:rPr>
          <w:rFonts w:ascii="Arial" w:eastAsia="Times New Roman" w:hAnsi="Arial" w:cs="Arial"/>
          <w:sz w:val="21"/>
          <w:szCs w:val="21"/>
          <w:lang w:eastAsia="zh-CN"/>
        </w:rPr>
        <w:t xml:space="preserve"> la f</w:t>
      </w:r>
      <w:r w:rsidRPr="00076DCD">
        <w:rPr>
          <w:rFonts w:ascii="Arial" w:eastAsia="Times New Roman" w:hAnsi="Arial" w:cs="Arial"/>
          <w:color w:val="000000"/>
          <w:sz w:val="21"/>
          <w:szCs w:val="21"/>
          <w:lang w:eastAsia="zh-CN"/>
        </w:rPr>
        <w:t>echa de Cierre hasta un mes</w:t>
      </w:r>
      <w:r w:rsidRPr="00076DCD">
        <w:rPr>
          <w:rFonts w:ascii="Arial" w:eastAsia="Times New Roman" w:hAnsi="Arial" w:cs="Arial"/>
          <w:sz w:val="21"/>
          <w:szCs w:val="21"/>
          <w:lang w:eastAsia="zh-CN"/>
        </w:rPr>
        <w:t xml:space="preserve"> después de la Puesta en Operación Comercial.</w:t>
      </w:r>
      <w:r w:rsidRPr="00076DCD">
        <w:rPr>
          <w:rFonts w:ascii="Arial" w:eastAsia="Times New Roman" w:hAnsi="Arial" w:cs="Arial"/>
          <w:color w:val="000000"/>
          <w:sz w:val="21"/>
          <w:szCs w:val="21"/>
          <w:lang w:eastAsia="zh-CN"/>
        </w:rPr>
        <w:t xml:space="preserve"> Dicha fianza será otorgada por períodos anuales hasta cumplir el plazo de vigencia descrito anteriormente. Asimismo, dicha fianza será devuelta contra la entrega de la fianza descrita en el Numeral 12.2.</w:t>
      </w:r>
    </w:p>
    <w:p w:rsidR="00AF6615" w:rsidRPr="00076DCD" w:rsidRDefault="00AF6615" w:rsidP="00B07EB1">
      <w:pPr>
        <w:widowControl w:val="0"/>
        <w:numPr>
          <w:ilvl w:val="0"/>
          <w:numId w:val="30"/>
        </w:numPr>
        <w:suppressLineNumbers/>
        <w:tabs>
          <w:tab w:val="clear" w:pos="2214"/>
          <w:tab w:val="left" w:pos="993"/>
        </w:tabs>
        <w:suppressAutoHyphens/>
        <w:spacing w:before="120" w:after="0" w:line="257"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En caso de atraso de la Puesta en Operación Comercial, la fianza deberá ser renovada o prorrogada hasta que se pague la penalidad o se resuelva en definitiva que no procede el pago de ninguna penalidad, según sea el caso.</w:t>
      </w:r>
    </w:p>
    <w:p w:rsidR="00AF6615" w:rsidRPr="00076DCD" w:rsidRDefault="00AF6615" w:rsidP="00B07EB1">
      <w:pPr>
        <w:widowControl w:val="0"/>
        <w:numPr>
          <w:ilvl w:val="1"/>
          <w:numId w:val="10"/>
        </w:numPr>
        <w:suppressLineNumbers/>
        <w:tabs>
          <w:tab w:val="clear" w:pos="570"/>
        </w:tabs>
        <w:suppressAutoHyphens/>
        <w:spacing w:before="120" w:after="0" w:line="257" w:lineRule="auto"/>
        <w:ind w:left="567" w:hanging="567"/>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A fin de garantizar el fiel cumplimiento de las obligaciones que le corresponden conforme al Contrato y las Leyes Aplicables, incluyendo el pago de las penalidades estipuladas en la Cláusula 11.4, la Sociedad Concesionaria entregará al Concedente una fianza bancaria, conforme a las reglas siguientes:</w:t>
      </w:r>
    </w:p>
    <w:p w:rsidR="00AF6615" w:rsidRPr="00076DCD" w:rsidRDefault="00AF6615" w:rsidP="00B07EB1">
      <w:pPr>
        <w:widowControl w:val="0"/>
        <w:numPr>
          <w:ilvl w:val="0"/>
          <w:numId w:val="31"/>
        </w:numPr>
        <w:suppressLineNumbers/>
        <w:tabs>
          <w:tab w:val="clear" w:pos="2214"/>
          <w:tab w:val="left" w:pos="993"/>
        </w:tabs>
        <w:suppressAutoHyphens/>
        <w:spacing w:before="120" w:after="0" w:line="257" w:lineRule="auto"/>
        <w:ind w:left="993" w:hanging="426"/>
        <w:jc w:val="both"/>
        <w:outlineLvl w:val="7"/>
        <w:rPr>
          <w:rFonts w:ascii="Arial" w:eastAsia="Times New Roman" w:hAnsi="Arial" w:cs="Arial"/>
          <w:color w:val="000000"/>
          <w:sz w:val="21"/>
          <w:szCs w:val="21"/>
          <w:lang w:eastAsia="zh-CN"/>
        </w:rPr>
      </w:pPr>
      <w:r w:rsidRPr="00076DCD">
        <w:rPr>
          <w:rFonts w:ascii="Arial" w:eastAsia="Times New Roman" w:hAnsi="Arial" w:cs="Arial"/>
          <w:sz w:val="21"/>
          <w:szCs w:val="21"/>
          <w:lang w:eastAsia="zh-CN"/>
        </w:rPr>
        <w:t>La fianza será emitida por cualquiera de las entidades bancarias indicadas en el Anexo 6 de las Bases, siguiendo el formato y por el monto que indica el A</w:t>
      </w:r>
      <w:r w:rsidRPr="00076DCD" w:rsidDel="00D0308D">
        <w:rPr>
          <w:rFonts w:ascii="Arial" w:eastAsia="Times New Roman" w:hAnsi="Arial" w:cs="Arial"/>
          <w:sz w:val="21"/>
          <w:szCs w:val="21"/>
          <w:lang w:eastAsia="zh-CN"/>
        </w:rPr>
        <w:t>nexo</w:t>
      </w:r>
      <w:r w:rsidRPr="00076DCD">
        <w:rPr>
          <w:rFonts w:ascii="Arial" w:eastAsia="Times New Roman" w:hAnsi="Arial" w:cs="Arial"/>
          <w:sz w:val="21"/>
          <w:szCs w:val="21"/>
          <w:lang w:eastAsia="zh-CN"/>
        </w:rPr>
        <w:t xml:space="preserve"> N° 4-A del Contrato.</w:t>
      </w:r>
    </w:p>
    <w:p w:rsidR="00AF6615" w:rsidRPr="00076DCD" w:rsidRDefault="00AF6615" w:rsidP="00B07EB1">
      <w:pPr>
        <w:widowControl w:val="0"/>
        <w:numPr>
          <w:ilvl w:val="0"/>
          <w:numId w:val="31"/>
        </w:numPr>
        <w:suppressLineNumbers/>
        <w:tabs>
          <w:tab w:val="clear" w:pos="2214"/>
          <w:tab w:val="left" w:pos="993"/>
        </w:tabs>
        <w:suppressAutoHyphens/>
        <w:spacing w:before="120" w:after="0" w:line="257"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color w:val="000000"/>
          <w:sz w:val="21"/>
          <w:szCs w:val="21"/>
          <w:lang w:eastAsia="zh-CN"/>
        </w:rPr>
        <w:t>La fianza deberá ser entregada en</w:t>
      </w:r>
      <w:r w:rsidRPr="00076DCD">
        <w:rPr>
          <w:rFonts w:ascii="Arial" w:eastAsia="Times New Roman" w:hAnsi="Arial" w:cs="Arial"/>
          <w:sz w:val="21"/>
          <w:szCs w:val="21"/>
          <w:lang w:eastAsia="zh-CN"/>
        </w:rPr>
        <w:t xml:space="preserve"> la </w:t>
      </w:r>
      <w:r w:rsidRPr="00076DCD">
        <w:rPr>
          <w:rFonts w:ascii="Arial" w:eastAsia="Times New Roman" w:hAnsi="Arial" w:cs="Arial"/>
          <w:color w:val="000000"/>
          <w:sz w:val="21"/>
          <w:szCs w:val="21"/>
          <w:lang w:eastAsia="zh-CN"/>
        </w:rPr>
        <w:t>fecha de</w:t>
      </w:r>
      <w:r w:rsidRPr="00076DCD">
        <w:rPr>
          <w:rFonts w:ascii="Arial" w:eastAsia="Times New Roman" w:hAnsi="Arial" w:cs="Arial"/>
          <w:sz w:val="21"/>
          <w:szCs w:val="21"/>
          <w:lang w:eastAsia="zh-CN"/>
        </w:rPr>
        <w:t xml:space="preserve"> la </w:t>
      </w:r>
      <w:r w:rsidRPr="00076DCD">
        <w:rPr>
          <w:rFonts w:ascii="Arial" w:eastAsia="Times New Roman" w:hAnsi="Arial" w:cs="Arial"/>
          <w:color w:val="000000"/>
          <w:sz w:val="21"/>
          <w:szCs w:val="21"/>
          <w:lang w:eastAsia="zh-CN"/>
        </w:rPr>
        <w:t>Puesta en Operación Comercial y permanecer vigente hasta seis (06) meses posteriores al cumplimiento del plazo de vigencia del Contrato. Asimismo, la fianza</w:t>
      </w:r>
      <w:r w:rsidRPr="00076DCD">
        <w:rPr>
          <w:rFonts w:ascii="Arial" w:eastAsia="Times New Roman" w:hAnsi="Arial" w:cs="Arial"/>
          <w:sz w:val="21"/>
          <w:szCs w:val="21"/>
          <w:lang w:eastAsia="zh-CN"/>
        </w:rPr>
        <w:t xml:space="preserve"> será devuelta a la Sociedad Concesionaria a más tardar un (1) mes después de concluida la transferencia de los Bienes de la Concesión, siempre que no subsista ninguna controversia relativa al Contrato o su terminación.</w:t>
      </w:r>
    </w:p>
    <w:p w:rsidR="0024287F" w:rsidRDefault="0024287F">
      <w:pPr>
        <w:rPr>
          <w:rFonts w:ascii="Arial" w:eastAsia="Times New Roman" w:hAnsi="Arial" w:cs="Arial"/>
          <w:sz w:val="21"/>
          <w:szCs w:val="21"/>
          <w:lang w:eastAsia="zh-CN"/>
        </w:rPr>
      </w:pPr>
      <w:r>
        <w:rPr>
          <w:rFonts w:ascii="Arial" w:eastAsia="Times New Roman" w:hAnsi="Arial" w:cs="Arial"/>
          <w:sz w:val="21"/>
          <w:szCs w:val="21"/>
          <w:lang w:eastAsia="zh-CN"/>
        </w:rPr>
        <w:br w:type="page"/>
      </w:r>
    </w:p>
    <w:p w:rsidR="00AF6615" w:rsidRPr="00076DCD" w:rsidRDefault="00AF6615" w:rsidP="00B07EB1">
      <w:pPr>
        <w:widowControl w:val="0"/>
        <w:numPr>
          <w:ilvl w:val="0"/>
          <w:numId w:val="31"/>
        </w:numPr>
        <w:suppressLineNumbers/>
        <w:tabs>
          <w:tab w:val="clear" w:pos="2214"/>
          <w:tab w:val="left" w:pos="993"/>
        </w:tabs>
        <w:suppressAutoHyphens/>
        <w:spacing w:before="120" w:after="0" w:line="257" w:lineRule="auto"/>
        <w:ind w:left="993" w:hanging="426"/>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 xml:space="preserve">La fianza </w:t>
      </w:r>
      <w:r w:rsidRPr="00076DCD">
        <w:rPr>
          <w:rFonts w:ascii="Arial" w:eastAsia="Times New Roman" w:hAnsi="Arial" w:cs="Arial"/>
          <w:color w:val="000000"/>
          <w:sz w:val="21"/>
          <w:szCs w:val="21"/>
          <w:lang w:eastAsia="zh-CN"/>
        </w:rPr>
        <w:t xml:space="preserve">será otorgada por períodos anuales y </w:t>
      </w:r>
      <w:r w:rsidRPr="00076DCD">
        <w:rPr>
          <w:rFonts w:ascii="Arial" w:eastAsia="Times New Roman" w:hAnsi="Arial" w:cs="Arial"/>
          <w:sz w:val="21"/>
          <w:szCs w:val="21"/>
          <w:lang w:eastAsia="zh-CN"/>
        </w:rPr>
        <w:t>deberá ser renovada o prorrogada hasta que se complete la transferencia de los Bienes de la Concesión o mientras subsistan controversias relativas al Contrato o su terminación.</w:t>
      </w:r>
    </w:p>
    <w:p w:rsidR="00AF6615" w:rsidRPr="00076DCD" w:rsidRDefault="00AF6615" w:rsidP="00B07EB1">
      <w:pPr>
        <w:widowControl w:val="0"/>
        <w:numPr>
          <w:ilvl w:val="1"/>
          <w:numId w:val="10"/>
        </w:numPr>
        <w:suppressLineNumbers/>
        <w:tabs>
          <w:tab w:val="clear" w:pos="570"/>
        </w:tabs>
        <w:suppressAutoHyphens/>
        <w:spacing w:before="120" w:after="0" w:line="257" w:lineRule="auto"/>
        <w:ind w:left="567" w:hanging="567"/>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Si llegado su vencimiento las fianzas no son renovadas o prorrogadas conforme a las Cláusulas 12.1 y 12.2, el Concedente podrá ejecutar totalmente la Garantía respectiva, en cuyo caso los fondos resultantes de la ejecución se constituirán automáticamente, sin necesidad de aprobación adicional, en la Garantía correspondiente, hasta el momento en que la Sociedad Concesionaria entregue al Concedente una nueva Garantía. Entregada ésta, el Concedente procederá de inmediato a entregar a la Sociedad Concesionaria los fondos resultantes de la ejecución de la Garantía original, sin intereses.</w:t>
      </w:r>
    </w:p>
    <w:p w:rsidR="00AF6615" w:rsidRPr="00076DCD" w:rsidRDefault="00AF6615" w:rsidP="00B07EB1">
      <w:pPr>
        <w:widowControl w:val="0"/>
        <w:numPr>
          <w:ilvl w:val="1"/>
          <w:numId w:val="10"/>
        </w:numPr>
        <w:suppressLineNumbers/>
        <w:tabs>
          <w:tab w:val="clear" w:pos="570"/>
        </w:tabs>
        <w:suppressAutoHyphens/>
        <w:spacing w:before="120" w:after="0" w:line="257" w:lineRule="auto"/>
        <w:ind w:left="567" w:hanging="567"/>
        <w:jc w:val="both"/>
        <w:outlineLvl w:val="7"/>
        <w:rPr>
          <w:rFonts w:ascii="Arial" w:eastAsia="Times New Roman" w:hAnsi="Arial" w:cs="Arial"/>
          <w:sz w:val="21"/>
          <w:szCs w:val="21"/>
          <w:lang w:eastAsia="zh-CN"/>
        </w:rPr>
      </w:pPr>
      <w:r w:rsidRPr="00076DCD">
        <w:rPr>
          <w:rFonts w:ascii="Arial" w:eastAsia="Times New Roman" w:hAnsi="Arial" w:cs="Arial"/>
          <w:sz w:val="21"/>
          <w:szCs w:val="21"/>
          <w:lang w:eastAsia="zh-CN"/>
        </w:rPr>
        <w:t>Las Garantías a que se refieren las Cláusulas 12.1 y 12.2 son distintas e independientes de la indicada en el artículo 25.i) de la Ley de Concesiones Eléctricas.</w:t>
      </w:r>
    </w:p>
    <w:p w:rsidR="00AF6615" w:rsidRPr="00076DCD" w:rsidRDefault="00AF6615"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13.</w:t>
      </w:r>
      <w:r w:rsidRPr="00076DCD">
        <w:rPr>
          <w:rFonts w:ascii="Arial" w:eastAsia="Times New Roman" w:hAnsi="Arial" w:cs="Arial"/>
          <w:b/>
          <w:sz w:val="24"/>
          <w:szCs w:val="24"/>
          <w:lang w:eastAsia="zh-CN"/>
        </w:rPr>
        <w:tab/>
        <w:t>Terminación del Contrato</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Contrato terminará por:</w:t>
      </w:r>
    </w:p>
    <w:p w:rsidR="00AF6615" w:rsidRPr="00076DCD" w:rsidRDefault="00AF6615" w:rsidP="00B07EB1">
      <w:pPr>
        <w:widowControl w:val="0"/>
        <w:numPr>
          <w:ilvl w:val="0"/>
          <w:numId w:val="13"/>
        </w:numPr>
        <w:suppressLineNumbers/>
        <w:shd w:val="clear" w:color="auto" w:fill="FFFFFF"/>
        <w:tabs>
          <w:tab w:val="clear" w:pos="150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Acuerdo de las Partes.</w:t>
      </w:r>
    </w:p>
    <w:p w:rsidR="00AF6615" w:rsidRPr="00076DCD" w:rsidRDefault="00AF6615" w:rsidP="00F5124D">
      <w:pPr>
        <w:widowControl w:val="0"/>
        <w:numPr>
          <w:ilvl w:val="0"/>
          <w:numId w:val="13"/>
        </w:numPr>
        <w:suppressLineNumbers/>
        <w:shd w:val="clear" w:color="auto" w:fill="FFFFFF"/>
        <w:tabs>
          <w:tab w:val="clear" w:pos="1500"/>
          <w:tab w:val="left" w:pos="993"/>
        </w:tabs>
        <w:suppressAutoHyphens/>
        <w:spacing w:before="80" w:after="0" w:line="257"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Terminación del Contrato de Concesión Definitiva de Transmisión Eléctrica.</w:t>
      </w:r>
    </w:p>
    <w:p w:rsidR="00AF6615" w:rsidRPr="00076DCD" w:rsidRDefault="00AF6615" w:rsidP="00F5124D">
      <w:pPr>
        <w:widowControl w:val="0"/>
        <w:numPr>
          <w:ilvl w:val="0"/>
          <w:numId w:val="13"/>
        </w:numPr>
        <w:suppressLineNumbers/>
        <w:shd w:val="clear" w:color="auto" w:fill="FFFFFF"/>
        <w:tabs>
          <w:tab w:val="clear" w:pos="1500"/>
          <w:tab w:val="left" w:pos="993"/>
        </w:tabs>
        <w:suppressAutoHyphens/>
        <w:spacing w:before="80" w:after="0" w:line="257"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Vencimiento del plazo del Contrato, o</w:t>
      </w:r>
    </w:p>
    <w:p w:rsidR="00AF6615" w:rsidRPr="00076DCD" w:rsidRDefault="00AF6615" w:rsidP="00F5124D">
      <w:pPr>
        <w:widowControl w:val="0"/>
        <w:numPr>
          <w:ilvl w:val="0"/>
          <w:numId w:val="13"/>
        </w:numPr>
        <w:suppressLineNumbers/>
        <w:shd w:val="clear" w:color="auto" w:fill="FFFFFF"/>
        <w:tabs>
          <w:tab w:val="clear" w:pos="1500"/>
          <w:tab w:val="left" w:pos="993"/>
        </w:tabs>
        <w:suppressAutoHyphens/>
        <w:spacing w:before="80" w:after="0" w:line="257"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Resolución del Contrato.</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Concedente podrá resolver el Contrato, si la Sociedad Concesionaria:</w:t>
      </w:r>
    </w:p>
    <w:p w:rsidR="00AF6615" w:rsidRPr="00076DCD" w:rsidRDefault="00AF6615" w:rsidP="00B07EB1">
      <w:pPr>
        <w:widowControl w:val="0"/>
        <w:numPr>
          <w:ilvl w:val="1"/>
          <w:numId w:val="14"/>
        </w:numPr>
        <w:suppressLineNumbers/>
        <w:shd w:val="clear" w:color="auto" w:fill="FFFFFF"/>
        <w:tabs>
          <w:tab w:val="clear" w:pos="72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Hubiera suscrito el Contrato y luego se comprobara que cualquiera de las declaraciones formuladas en la Cláusula 2.1 era falsa.</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Demora por más de ciento cincuenta (150) días calendario en cualquiera de los hitos indicados en el Anexo Nº 7, sobre los plazos previstos en el mismo anexo.</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No renovara o no prorrogara las Garantías, conforme a lo previsto en la Cláusula 12.</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Dejara de operar la Línea Eléctrica</w:t>
      </w:r>
      <w:r w:rsidRPr="00076DCD">
        <w:rPr>
          <w:rFonts w:ascii="Arial" w:hAnsi="Arial" w:cs="Arial"/>
          <w:color w:val="000000"/>
          <w:sz w:val="21"/>
        </w:rPr>
        <w:t>, sin causa justificada,</w:t>
      </w:r>
      <w:r w:rsidRPr="00076DCD">
        <w:rPr>
          <w:rFonts w:ascii="Arial" w:hAnsi="Arial" w:cs="Arial"/>
          <w:sz w:val="21"/>
        </w:rPr>
        <w:t xml:space="preserve"> según lo señalado en </w:t>
      </w:r>
      <w:r w:rsidR="003A3204" w:rsidRPr="00076DCD">
        <w:rPr>
          <w:rFonts w:ascii="Arial" w:hAnsi="Arial" w:cs="Arial"/>
          <w:sz w:val="21"/>
          <w:szCs w:val="21"/>
        </w:rPr>
        <w:t>la normatividad aplicable</w:t>
      </w:r>
      <w:r w:rsidRPr="00076DCD">
        <w:rPr>
          <w:rFonts w:ascii="Arial" w:hAnsi="Arial" w:cs="Arial"/>
          <w:sz w:val="21"/>
        </w:rPr>
        <w:t>.</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Transfiriese parcial o totalmente el Contrato, por cualquier título, sin la previa aprobación del Concedente.</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Fuera sancionada con multas administrativas no tributarias emitidas por el Concedente u Osinergmin, que en un (1) año calendario -entendiéndose año calendario como cada periodo comprendido entre el 1° de enero y el 31 de diciembre- superen el diez por ciento (10%) del</w:t>
      </w:r>
      <w:r w:rsidR="00633E6C" w:rsidRPr="00076DCD">
        <w:rPr>
          <w:rFonts w:ascii="Arial" w:hAnsi="Arial" w:cs="Arial"/>
          <w:sz w:val="21"/>
        </w:rPr>
        <w:t xml:space="preserve"> Costo Medio Anual</w:t>
      </w:r>
      <w:r w:rsidRPr="00076DCD">
        <w:rPr>
          <w:rFonts w:ascii="Arial" w:hAnsi="Arial" w:cs="Arial"/>
          <w:sz w:val="21"/>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lastRenderedPageBreak/>
        <w:t>Se fusionara, escindiera o transformara, sin previa aprobación escrita del Concedente.</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Fuera declarada en insolvencia, quebrada, disuelta o liquidada.</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No contratara los seguros a que se refiere la Cláusula 7.1, o los contratara sin estipular las condiciones previstas en la Cláusula 7.2.</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Contratara los contratos de financiamiento a que se refiere la Cláusula 9.1 sin incluir las estipulaciones indicadas en la Cláusula 9.5.</w:t>
      </w:r>
    </w:p>
    <w:p w:rsidR="00AF6615" w:rsidRPr="00076DCD" w:rsidRDefault="00AF6615" w:rsidP="00F5124D">
      <w:pPr>
        <w:widowControl w:val="0"/>
        <w:numPr>
          <w:ilvl w:val="1"/>
          <w:numId w:val="14"/>
        </w:numPr>
        <w:suppressLineNumbers/>
        <w:shd w:val="clear" w:color="auto" w:fill="FFFFFF"/>
        <w:tabs>
          <w:tab w:val="clear" w:pos="72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Incumpliera de forma injustificada, grave y reiterada, cualquier obligación establecida en el Contrato o las Leyes Aplicables, distinta a las concernidas en los literales precedentes.</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El Concedente también podrá resolver el Contrato, si el </w:t>
      </w:r>
      <w:r w:rsidR="0054392C" w:rsidRPr="00076DCD">
        <w:rPr>
          <w:rFonts w:ascii="Arial" w:eastAsia="Times New Roman" w:hAnsi="Arial" w:cs="Arial"/>
          <w:sz w:val="21"/>
          <w:szCs w:val="21"/>
          <w:lang w:eastAsia="zh-CN"/>
        </w:rPr>
        <w:t>Operador Calificado</w:t>
      </w:r>
      <w:r w:rsidRPr="00076DCD">
        <w:rPr>
          <w:rFonts w:ascii="Arial" w:eastAsia="Times New Roman" w:hAnsi="Arial" w:cs="Arial"/>
          <w:sz w:val="21"/>
          <w:szCs w:val="21"/>
          <w:lang w:eastAsia="zh-CN"/>
        </w:rPr>
        <w:t xml:space="preserve"> durante el plazo requerido en el Contrato:</w:t>
      </w:r>
    </w:p>
    <w:p w:rsidR="00AF6615" w:rsidRPr="00076DCD" w:rsidRDefault="00AF6615" w:rsidP="00B07EB1">
      <w:pPr>
        <w:widowControl w:val="0"/>
        <w:numPr>
          <w:ilvl w:val="0"/>
          <w:numId w:val="19"/>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No conservara la Participación Mínima.</w:t>
      </w:r>
    </w:p>
    <w:p w:rsidR="00AF6615" w:rsidRPr="00076DCD" w:rsidRDefault="00AF6615" w:rsidP="00F5124D">
      <w:pPr>
        <w:widowControl w:val="0"/>
        <w:numPr>
          <w:ilvl w:val="0"/>
          <w:numId w:val="19"/>
        </w:numPr>
        <w:suppressLineNumbers/>
        <w:shd w:val="clear" w:color="auto" w:fill="FFFFFF"/>
        <w:tabs>
          <w:tab w:val="clear" w:pos="144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No mantuviera o no ejerciera el derecho y la obligación de controlar las operaciones técnicas.</w:t>
      </w:r>
    </w:p>
    <w:p w:rsidR="00AF6615" w:rsidRPr="00076DCD" w:rsidRDefault="00AF6615" w:rsidP="00F5124D">
      <w:pPr>
        <w:widowControl w:val="0"/>
        <w:numPr>
          <w:ilvl w:val="0"/>
          <w:numId w:val="19"/>
        </w:numPr>
        <w:suppressLineNumbers/>
        <w:shd w:val="clear" w:color="auto" w:fill="FFFFFF"/>
        <w:tabs>
          <w:tab w:val="clear" w:pos="1440"/>
          <w:tab w:val="left" w:pos="993"/>
        </w:tabs>
        <w:suppressAutoHyphens/>
        <w:spacing w:before="80" w:after="0" w:line="257" w:lineRule="auto"/>
        <w:ind w:left="992" w:hanging="425"/>
        <w:jc w:val="both"/>
        <w:rPr>
          <w:rFonts w:ascii="Arial" w:hAnsi="Arial" w:cs="Arial"/>
          <w:sz w:val="21"/>
        </w:rPr>
      </w:pPr>
      <w:r w:rsidRPr="00076DCD">
        <w:rPr>
          <w:rFonts w:ascii="Arial" w:hAnsi="Arial" w:cs="Arial"/>
          <w:sz w:val="21"/>
        </w:rPr>
        <w:t>Fuera declarado en insolvencia, quebrado, disuelto o liquidado.</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La Sociedad Concesionaria podrá resolver el Contrato, si: </w:t>
      </w:r>
    </w:p>
    <w:p w:rsidR="00AF6615" w:rsidRPr="00076DCD" w:rsidRDefault="00AF6615" w:rsidP="00B07EB1">
      <w:pPr>
        <w:widowControl w:val="0"/>
        <w:numPr>
          <w:ilvl w:val="0"/>
          <w:numId w:val="44"/>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se extendiera cualquiera de los plazos indicados en el Anexo 7 por más de doce (12) meses, debido a una acción u omisión por parte de una Autoridad Gubernamental conforme a lo indicado en la Cláusula 4.3.</w:t>
      </w:r>
    </w:p>
    <w:p w:rsidR="00AF6615" w:rsidRPr="00076DCD" w:rsidRDefault="00AF6615" w:rsidP="00F5124D">
      <w:pPr>
        <w:widowControl w:val="0"/>
        <w:numPr>
          <w:ilvl w:val="0"/>
          <w:numId w:val="44"/>
        </w:numPr>
        <w:suppressLineNumbers/>
        <w:shd w:val="clear" w:color="auto" w:fill="FFFFFF"/>
        <w:tabs>
          <w:tab w:val="clear" w:pos="1440"/>
          <w:tab w:val="left" w:pos="993"/>
        </w:tabs>
        <w:suppressAutoHyphens/>
        <w:spacing w:before="80" w:after="0" w:line="257" w:lineRule="auto"/>
        <w:ind w:left="992" w:hanging="425"/>
        <w:jc w:val="both"/>
        <w:rPr>
          <w:rFonts w:ascii="Arial" w:eastAsia="Times New Roman" w:hAnsi="Arial" w:cs="Arial"/>
          <w:sz w:val="21"/>
          <w:szCs w:val="20"/>
          <w:lang w:val="es-MX"/>
        </w:rPr>
      </w:pPr>
      <w:r w:rsidRPr="00076DCD">
        <w:rPr>
          <w:rFonts w:ascii="Arial" w:hAnsi="Arial" w:cs="Arial"/>
          <w:sz w:val="21"/>
        </w:rPr>
        <w:t>el Concedente incumpliera, de manera injustificada, grave y reiterada, cualquiera de las obligaciones que le corresponden conforme al Contrato o las Leyes Aplicables.</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Cualquiera de las Partes podrá resolver el Contrato si se presentara un evento de Fuerza Mayor y éste o sus efectos no pudieran ser superados pese a haber transcurrido doce (12) meses continuos desde que se inició el evento. En este caso, se procederá de acuerdo a la Cláusula 13.7.</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hAnsi="Arial" w:cs="Arial"/>
          <w:sz w:val="21"/>
        </w:rPr>
        <w:t>Los</w:t>
      </w:r>
      <w:r w:rsidRPr="00076DCD">
        <w:rPr>
          <w:rFonts w:ascii="Arial" w:eastAsia="Times New Roman" w:hAnsi="Arial" w:cs="Arial"/>
          <w:sz w:val="21"/>
          <w:szCs w:val="21"/>
          <w:lang w:val="es-ES" w:eastAsia="zh-CN"/>
        </w:rPr>
        <w:t xml:space="preserve">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F6615" w:rsidRPr="00076DCD" w:rsidRDefault="00AF6615" w:rsidP="00B07EB1">
      <w:pPr>
        <w:widowControl w:val="0"/>
        <w:suppressLineNumbers/>
        <w:suppressAutoHyphens/>
        <w:spacing w:before="120" w:after="0" w:line="257"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Para resolver el Contrato, se seguirá el procedimiento siguiente:</w:t>
      </w:r>
    </w:p>
    <w:p w:rsidR="00AF6615" w:rsidRPr="00076DCD" w:rsidRDefault="00AF6615" w:rsidP="00B07EB1">
      <w:pPr>
        <w:widowControl w:val="0"/>
        <w:numPr>
          <w:ilvl w:val="1"/>
          <w:numId w:val="15"/>
        </w:numPr>
        <w:suppressLineNumbers/>
        <w:shd w:val="clear" w:color="auto" w:fill="FFFFFF"/>
        <w:tabs>
          <w:tab w:val="clear" w:pos="1905"/>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rsidR="00F5124D" w:rsidRDefault="00F5124D">
      <w:pPr>
        <w:rPr>
          <w:rFonts w:ascii="Arial" w:hAnsi="Arial" w:cs="Arial"/>
          <w:sz w:val="21"/>
        </w:rPr>
      </w:pPr>
      <w:r>
        <w:rPr>
          <w:rFonts w:ascii="Arial" w:hAnsi="Arial" w:cs="Arial"/>
          <w:sz w:val="21"/>
        </w:rPr>
        <w:br w:type="page"/>
      </w:r>
    </w:p>
    <w:p w:rsidR="00AF6615" w:rsidRPr="00076DCD" w:rsidRDefault="00AF6615" w:rsidP="00B07EB1">
      <w:pPr>
        <w:widowControl w:val="0"/>
        <w:numPr>
          <w:ilvl w:val="1"/>
          <w:numId w:val="15"/>
        </w:numPr>
        <w:suppressLineNumbers/>
        <w:shd w:val="clear" w:color="auto" w:fill="FFFFFF"/>
        <w:tabs>
          <w:tab w:val="clear" w:pos="1905"/>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lastRenderedPageBreak/>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AF6615" w:rsidRPr="00076DCD" w:rsidRDefault="00AF6615" w:rsidP="00B07EB1">
      <w:pPr>
        <w:widowControl w:val="0"/>
        <w:numPr>
          <w:ilvl w:val="1"/>
          <w:numId w:val="15"/>
        </w:numPr>
        <w:suppressLineNumbers/>
        <w:shd w:val="clear" w:color="auto" w:fill="FFFFFF"/>
        <w:tabs>
          <w:tab w:val="clear" w:pos="1905"/>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Vencido el referido plazo de quince (15) Días sin que el destinatario de la primera carta notarial exprese su disconformidad, el Contrato se entenderá resuelto en la fecha de recepción de dicha carta.</w:t>
      </w:r>
    </w:p>
    <w:p w:rsidR="00AF6615" w:rsidRPr="00076DCD" w:rsidRDefault="00AF6615" w:rsidP="00B07EB1">
      <w:pPr>
        <w:widowControl w:val="0"/>
        <w:numPr>
          <w:ilvl w:val="1"/>
          <w:numId w:val="15"/>
        </w:numPr>
        <w:suppressLineNumbers/>
        <w:shd w:val="clear" w:color="auto" w:fill="FFFFFF"/>
        <w:tabs>
          <w:tab w:val="clear" w:pos="1905"/>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Declarada la resolución mediante laudo o producido el supuesto del literal c), se procederá conforme a las Cláusulas siguientes (del 13.8 al 13.15).</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intervención de la Concesión se sujeta a las reglas siguientes:</w:t>
      </w:r>
    </w:p>
    <w:p w:rsidR="00AF6615" w:rsidRPr="00076DCD" w:rsidRDefault="00AF6615" w:rsidP="00B07EB1">
      <w:pPr>
        <w:widowControl w:val="0"/>
        <w:numPr>
          <w:ilvl w:val="0"/>
          <w:numId w:val="20"/>
        </w:numPr>
        <w:suppressLineNumbers/>
        <w:shd w:val="clear" w:color="auto" w:fill="FFFFFF"/>
        <w:tabs>
          <w:tab w:val="clear" w:pos="1636"/>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intervención es un proceso que se inicia:</w:t>
      </w:r>
    </w:p>
    <w:p w:rsidR="00AF6615" w:rsidRPr="00076DCD" w:rsidRDefault="00AF6615" w:rsidP="00B07EB1">
      <w:pPr>
        <w:widowControl w:val="0"/>
        <w:numPr>
          <w:ilvl w:val="1"/>
          <w:numId w:val="20"/>
        </w:numPr>
        <w:suppressLineNumbers/>
        <w:shd w:val="clear" w:color="auto" w:fill="FFFFFF"/>
        <w:tabs>
          <w:tab w:val="clear" w:pos="180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En la fecha que establezcan las Partes, en caso de terminación por acuerdo de las Partes.</w:t>
      </w:r>
    </w:p>
    <w:p w:rsidR="00AF6615" w:rsidRPr="00076DCD" w:rsidRDefault="00AF6615" w:rsidP="00B07EB1">
      <w:pPr>
        <w:widowControl w:val="0"/>
        <w:numPr>
          <w:ilvl w:val="1"/>
          <w:numId w:val="20"/>
        </w:numPr>
        <w:suppressLineNumbers/>
        <w:shd w:val="clear" w:color="auto" w:fill="FFFFFF"/>
        <w:tabs>
          <w:tab w:val="clear" w:pos="180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Doce (12) meses antes de la fecha prevista para el vencimiento del plazo del Contrato, en caso de terminación por vencimiento del plazo del Contrato.</w:t>
      </w:r>
    </w:p>
    <w:p w:rsidR="00AF6615" w:rsidRPr="00076DCD" w:rsidRDefault="00AF6615" w:rsidP="00B07EB1">
      <w:pPr>
        <w:widowControl w:val="0"/>
        <w:numPr>
          <w:ilvl w:val="1"/>
          <w:numId w:val="20"/>
        </w:numPr>
        <w:suppressLineNumbers/>
        <w:shd w:val="clear" w:color="auto" w:fill="FFFFFF"/>
        <w:tabs>
          <w:tab w:val="clear" w:pos="180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rsidR="00AF6615" w:rsidRPr="00076DCD" w:rsidRDefault="00AF6615" w:rsidP="00B07EB1">
      <w:pPr>
        <w:widowControl w:val="0"/>
        <w:numPr>
          <w:ilvl w:val="1"/>
          <w:numId w:val="20"/>
        </w:numPr>
        <w:suppressLineNumbers/>
        <w:shd w:val="clear" w:color="auto" w:fill="FFFFFF"/>
        <w:tabs>
          <w:tab w:val="clear" w:pos="180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Diez (10) Días después de notificado el laudo a que se refiere la Cláusula 13.7.d), o de producido el consentimiento tácito a que se refiere la Cláusula 13.7.c), según corresponda; en caso de terminación del Contrato por resolución del mismo.</w:t>
      </w:r>
    </w:p>
    <w:p w:rsidR="00AF6615" w:rsidRPr="00076DCD" w:rsidRDefault="00AF6615" w:rsidP="00B07EB1">
      <w:pPr>
        <w:widowControl w:val="0"/>
        <w:numPr>
          <w:ilvl w:val="0"/>
          <w:numId w:val="20"/>
        </w:numPr>
        <w:suppressLineNumbers/>
        <w:shd w:val="clear" w:color="auto" w:fill="FFFFFF"/>
        <w:tabs>
          <w:tab w:val="clear" w:pos="1636"/>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intervención es un proceso cuya finalización se sujeta a las reglas siguientes:</w:t>
      </w:r>
    </w:p>
    <w:p w:rsidR="00AF6615" w:rsidRPr="00076DCD" w:rsidRDefault="00AF6615" w:rsidP="00B07EB1">
      <w:pPr>
        <w:widowControl w:val="0"/>
        <w:numPr>
          <w:ilvl w:val="0"/>
          <w:numId w:val="23"/>
        </w:numPr>
        <w:suppressLineNumbers/>
        <w:shd w:val="clear" w:color="auto" w:fill="FFFFFF"/>
        <w:tabs>
          <w:tab w:val="clear" w:pos="162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El proceso concluye dieciocho (18) meses después de iniciada la intervención o cuando ingrese el nuevo concesionario, lo que ocurra primero.</w:t>
      </w:r>
    </w:p>
    <w:p w:rsidR="00AF6615" w:rsidRPr="00076DCD" w:rsidRDefault="00AF6615" w:rsidP="00B07EB1">
      <w:pPr>
        <w:widowControl w:val="0"/>
        <w:numPr>
          <w:ilvl w:val="0"/>
          <w:numId w:val="23"/>
        </w:numPr>
        <w:suppressLineNumbers/>
        <w:shd w:val="clear" w:color="auto" w:fill="FFFFFF"/>
        <w:tabs>
          <w:tab w:val="clear" w:pos="162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El Concedente asumirá la administración plena y directa de los Bienes de la Concesión y la prestación del Servicio, en tanto se culmine la transferencia de la Concesión, en los siguientes casos:</w:t>
      </w:r>
    </w:p>
    <w:p w:rsidR="00AF6615" w:rsidRPr="00076DCD" w:rsidRDefault="00AF6615" w:rsidP="00B07EB1">
      <w:pPr>
        <w:widowControl w:val="0"/>
        <w:numPr>
          <w:ilvl w:val="1"/>
          <w:numId w:val="23"/>
        </w:numPr>
        <w:suppressLineNumbers/>
        <w:shd w:val="clear" w:color="auto" w:fill="FFFFFF"/>
        <w:tabs>
          <w:tab w:val="clear" w:pos="1980"/>
          <w:tab w:val="left" w:pos="1701"/>
        </w:tabs>
        <w:suppressAutoHyphens/>
        <w:spacing w:before="120" w:after="0" w:line="257" w:lineRule="auto"/>
        <w:ind w:left="1701" w:hanging="283"/>
        <w:jc w:val="both"/>
        <w:rPr>
          <w:rFonts w:ascii="Arial" w:hAnsi="Arial" w:cs="Arial"/>
          <w:sz w:val="21"/>
        </w:rPr>
      </w:pPr>
      <w:r w:rsidRPr="00076DCD">
        <w:rPr>
          <w:rFonts w:ascii="Arial" w:hAnsi="Arial" w:cs="Arial"/>
          <w:sz w:val="21"/>
        </w:rPr>
        <w:t>Si el nuevo concesionario no hubiese sido elegido luego de dieciocho (18) meses de intervención, a menos que las Partes convengan en la continuación de la participación de la Sociedad Concesionaria.</w:t>
      </w:r>
    </w:p>
    <w:p w:rsidR="00AF6615" w:rsidRPr="00076DCD" w:rsidRDefault="00AF6615" w:rsidP="00B07EB1">
      <w:pPr>
        <w:widowControl w:val="0"/>
        <w:numPr>
          <w:ilvl w:val="1"/>
          <w:numId w:val="23"/>
        </w:numPr>
        <w:suppressLineNumbers/>
        <w:shd w:val="clear" w:color="auto" w:fill="FFFFFF"/>
        <w:tabs>
          <w:tab w:val="clear" w:pos="1980"/>
          <w:tab w:val="left" w:pos="1701"/>
        </w:tabs>
        <w:suppressAutoHyphens/>
        <w:spacing w:before="120" w:after="0" w:line="257" w:lineRule="auto"/>
        <w:ind w:left="1701" w:hanging="283"/>
        <w:jc w:val="both"/>
        <w:rPr>
          <w:rFonts w:ascii="Arial" w:hAnsi="Arial" w:cs="Arial"/>
          <w:sz w:val="21"/>
        </w:rPr>
      </w:pPr>
      <w:r w:rsidRPr="00076DCD">
        <w:rPr>
          <w:rFonts w:ascii="Arial" w:hAnsi="Arial" w:cs="Arial"/>
          <w:sz w:val="21"/>
        </w:rPr>
        <w:t>Si durante el proceso de intervención la Sociedad Concesionaria deviniese en insolvente, o si por cualquier otra razón fuera incapaz de mantener el Servicio o implementar las instrucciones que le disponga el Interventor.</w:t>
      </w:r>
    </w:p>
    <w:p w:rsidR="00AF6615" w:rsidRPr="00076DCD" w:rsidRDefault="00AF6615" w:rsidP="00B07EB1">
      <w:pPr>
        <w:widowControl w:val="0"/>
        <w:numPr>
          <w:ilvl w:val="0"/>
          <w:numId w:val="23"/>
        </w:numPr>
        <w:suppressLineNumbers/>
        <w:shd w:val="clear" w:color="auto" w:fill="FFFFFF"/>
        <w:tabs>
          <w:tab w:val="clear" w:pos="162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F5124D" w:rsidRDefault="00F5124D">
      <w:pPr>
        <w:rPr>
          <w:rFonts w:ascii="Arial" w:hAnsi="Arial" w:cs="Arial"/>
          <w:sz w:val="21"/>
        </w:rPr>
      </w:pPr>
      <w:r>
        <w:rPr>
          <w:rFonts w:ascii="Arial" w:hAnsi="Arial" w:cs="Arial"/>
          <w:sz w:val="21"/>
        </w:rPr>
        <w:br w:type="page"/>
      </w:r>
    </w:p>
    <w:p w:rsidR="00AF6615" w:rsidRPr="00076DCD" w:rsidRDefault="00AF6615" w:rsidP="00B07EB1">
      <w:pPr>
        <w:widowControl w:val="0"/>
        <w:numPr>
          <w:ilvl w:val="0"/>
          <w:numId w:val="20"/>
        </w:numPr>
        <w:suppressLineNumbers/>
        <w:shd w:val="clear" w:color="auto" w:fill="FFFFFF"/>
        <w:tabs>
          <w:tab w:val="clear" w:pos="1636"/>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lastRenderedPageBreak/>
        <w:t xml:space="preserve">El interventor puede ser una Persona, un comité de personas naturales o una dirección u órgano de línea del Ministerio de Energía y Minas, a elección del Concedente, y ostentará, por el </w:t>
      </w:r>
      <w:r w:rsidRPr="00076DCD" w:rsidDel="00D0308D">
        <w:rPr>
          <w:rFonts w:ascii="Arial" w:hAnsi="Arial" w:cs="Arial"/>
          <w:sz w:val="21"/>
        </w:rPr>
        <w:t>s</w:t>
      </w:r>
      <w:r w:rsidRPr="00076DCD">
        <w:rPr>
          <w:rFonts w:ascii="Arial" w:hAnsi="Arial" w:cs="Arial"/>
          <w:sz w:val="21"/>
        </w:rPr>
        <w:t>o</w:t>
      </w:r>
      <w:r w:rsidRPr="00076DCD" w:rsidDel="00D0308D">
        <w:rPr>
          <w:rFonts w:ascii="Arial" w:hAnsi="Arial" w:cs="Arial"/>
          <w:sz w:val="21"/>
        </w:rPr>
        <w:t>lo</w:t>
      </w:r>
      <w:r w:rsidRPr="00076DCD">
        <w:rPr>
          <w:rFonts w:ascii="Arial" w:hAnsi="Arial" w:cs="Arial"/>
          <w:sz w:val="21"/>
        </w:rPr>
        <w:t xml:space="preserve"> mérito de su designación, de las </w:t>
      </w:r>
      <w:r w:rsidRPr="00076DCD" w:rsidDel="00D0308D">
        <w:rPr>
          <w:rFonts w:ascii="Arial" w:hAnsi="Arial" w:cs="Arial"/>
          <w:sz w:val="21"/>
        </w:rPr>
        <w:t>m</w:t>
      </w:r>
      <w:r w:rsidRPr="00076DCD">
        <w:rPr>
          <w:rFonts w:ascii="Arial" w:hAnsi="Arial" w:cs="Arial"/>
          <w:sz w:val="21"/>
        </w:rPr>
        <w:t>á</w:t>
      </w:r>
      <w:r w:rsidRPr="00076DCD" w:rsidDel="00D0308D">
        <w:rPr>
          <w:rFonts w:ascii="Arial" w:hAnsi="Arial" w:cs="Arial"/>
          <w:sz w:val="21"/>
        </w:rPr>
        <w:t>s</w:t>
      </w:r>
      <w:r w:rsidRPr="00076DCD">
        <w:rPr>
          <w:rFonts w:ascii="Arial" w:hAnsi="Arial" w:cs="Arial"/>
          <w:sz w:val="21"/>
        </w:rPr>
        <w:t xml:space="preserve"> amplias facultades para:</w:t>
      </w:r>
    </w:p>
    <w:p w:rsidR="00AF6615" w:rsidRPr="00076DCD" w:rsidRDefault="00AF6615" w:rsidP="00B07EB1">
      <w:pPr>
        <w:widowControl w:val="0"/>
        <w:numPr>
          <w:ilvl w:val="0"/>
          <w:numId w:val="17"/>
        </w:numPr>
        <w:suppressLineNumbers/>
        <w:shd w:val="clear" w:color="auto" w:fill="FFFFFF"/>
        <w:tabs>
          <w:tab w:val="clear" w:pos="1456"/>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Determinar las acciones de carácter administrativo que permitan la continuación de la operación de la Línea Eléctrica; y,</w:t>
      </w:r>
    </w:p>
    <w:p w:rsidR="00AF6615" w:rsidRPr="00076DCD" w:rsidRDefault="00AF6615" w:rsidP="00B07EB1">
      <w:pPr>
        <w:widowControl w:val="0"/>
        <w:numPr>
          <w:ilvl w:val="0"/>
          <w:numId w:val="17"/>
        </w:numPr>
        <w:suppressLineNumbers/>
        <w:shd w:val="clear" w:color="auto" w:fill="FFFFFF"/>
        <w:tabs>
          <w:tab w:val="clear" w:pos="1456"/>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Determinar las acciones de carácter técnico que permitan la oportuna y eficiente prestación del Servicio.</w:t>
      </w:r>
    </w:p>
    <w:p w:rsidR="00AF6615" w:rsidRPr="00076DCD" w:rsidRDefault="00AF6615" w:rsidP="00B07EB1">
      <w:pPr>
        <w:widowControl w:val="0"/>
        <w:numPr>
          <w:ilvl w:val="0"/>
          <w:numId w:val="20"/>
        </w:numPr>
        <w:suppressLineNumbers/>
        <w:shd w:val="clear" w:color="auto" w:fill="FFFFFF"/>
        <w:tabs>
          <w:tab w:val="clear" w:pos="1636"/>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F6615" w:rsidRPr="00076DCD" w:rsidRDefault="00AF6615" w:rsidP="00B07EB1">
      <w:pPr>
        <w:widowControl w:val="0"/>
        <w:numPr>
          <w:ilvl w:val="0"/>
          <w:numId w:val="20"/>
        </w:numPr>
        <w:suppressLineNumbers/>
        <w:shd w:val="clear" w:color="auto" w:fill="FFFFFF"/>
        <w:tabs>
          <w:tab w:val="clear" w:pos="1636"/>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Los gastos totales que demande la intervención serán de cuenta y cargo de la Sociedad Concesionaria, excepto cuando la intervención se produzca por causa imputable al Concedente.</w:t>
      </w:r>
    </w:p>
    <w:p w:rsidR="00AF6615" w:rsidRPr="00076DCD" w:rsidRDefault="00AF6615" w:rsidP="00B07EB1">
      <w:pPr>
        <w:widowControl w:val="0"/>
        <w:numPr>
          <w:ilvl w:val="0"/>
          <w:numId w:val="20"/>
        </w:numPr>
        <w:suppressLineNumbers/>
        <w:shd w:val="clear" w:color="auto" w:fill="FFFFFF"/>
        <w:tabs>
          <w:tab w:val="clear" w:pos="1636"/>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Sociedad Concesionaria tendrá derecho a percibir todos los ingresos que genere la Concesión durante la intervención, sin perjuicio de lo dispuesto en el inciso e) anterior.</w:t>
      </w:r>
    </w:p>
    <w:p w:rsidR="00AF6615" w:rsidRPr="00076DCD" w:rsidRDefault="00AF6615" w:rsidP="00B07EB1">
      <w:pPr>
        <w:widowControl w:val="0"/>
        <w:numPr>
          <w:ilvl w:val="1"/>
          <w:numId w:val="18"/>
        </w:numPr>
        <w:suppressLineNumbers/>
        <w:shd w:val="clear" w:color="auto" w:fill="FFFFFF"/>
        <w:tabs>
          <w:tab w:val="clear" w:pos="435"/>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licitación de la Concesión se sujeta a las reglas siguientes:</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Pr="00076DCD">
        <w:rPr>
          <w:rFonts w:ascii="Arial" w:hAnsi="Arial" w:cs="Arial"/>
          <w:color w:val="000000"/>
          <w:sz w:val="21"/>
        </w:rPr>
        <w:t>, dentro de un plazo no mayor de seis (06) meses, desde la fecha en el cual se declara la resolución, o se expide el laudo, según sea el caso, conforme a lo indicado en la Cláusula 13.7.</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El factor de competencia para la licitación será, según corresponda:</w:t>
      </w:r>
    </w:p>
    <w:p w:rsidR="00AF6615" w:rsidRPr="00076DCD" w:rsidRDefault="00AF6615" w:rsidP="00B07EB1">
      <w:pPr>
        <w:widowControl w:val="0"/>
        <w:numPr>
          <w:ilvl w:val="1"/>
          <w:numId w:val="21"/>
        </w:numPr>
        <w:suppressLineNumbers/>
        <w:shd w:val="clear" w:color="auto" w:fill="FFFFFF"/>
        <w:tabs>
          <w:tab w:val="clear" w:pos="180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El que establezca las Leyes Aplicables, en caso de terminación de la Concesión por vencimiento del plazo del Contrato.</w:t>
      </w:r>
    </w:p>
    <w:p w:rsidR="00AF6615" w:rsidRPr="00076DCD" w:rsidRDefault="00AF6615" w:rsidP="00B07EB1">
      <w:pPr>
        <w:widowControl w:val="0"/>
        <w:numPr>
          <w:ilvl w:val="1"/>
          <w:numId w:val="21"/>
        </w:numPr>
        <w:suppressLineNumbers/>
        <w:shd w:val="clear" w:color="auto" w:fill="FFFFFF"/>
        <w:tabs>
          <w:tab w:val="clear" w:pos="1800"/>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 xml:space="preserve">Un monto de dinero, en caso de terminación de la Concesión por causales distintas a la de vencimiento del plazo del Contrato. </w:t>
      </w:r>
      <w:r w:rsidR="001107BF" w:rsidRPr="00076DCD">
        <w:rPr>
          <w:rFonts w:ascii="Arial" w:hAnsi="Arial" w:cs="Arial"/>
          <w:sz w:val="21"/>
          <w:szCs w:val="21"/>
        </w:rPr>
        <w:t>Si el evento es anterior a la puesta en Operación Comercial, el</w:t>
      </w:r>
      <w:r w:rsidRPr="00076DCD">
        <w:rPr>
          <w:rFonts w:ascii="Arial" w:hAnsi="Arial" w:cs="Arial"/>
          <w:sz w:val="21"/>
        </w:rPr>
        <w:t xml:space="preserve"> monto base de la primera convocatoria</w:t>
      </w:r>
      <w:r w:rsidRPr="00076DCD">
        <w:rPr>
          <w:rFonts w:ascii="Arial" w:eastAsia="Times New Roman" w:hAnsi="Arial" w:cs="Arial"/>
          <w:sz w:val="21"/>
          <w:szCs w:val="21"/>
        </w:rPr>
        <w:t xml:space="preserve"> de la licitación</w:t>
      </w:r>
      <w:r w:rsidRPr="00076DCD">
        <w:rPr>
          <w:rFonts w:ascii="Arial" w:hAnsi="Arial" w:cs="Arial"/>
          <w:sz w:val="21"/>
        </w:rPr>
        <w:t xml:space="preserve"> no será menor al Valor Contable de los Bienes de la Concesión </w:t>
      </w:r>
      <w:r w:rsidR="001107BF" w:rsidRPr="00076DCD">
        <w:rPr>
          <w:rFonts w:ascii="Arial" w:hAnsi="Arial" w:cs="Arial"/>
          <w:sz w:val="21"/>
          <w:szCs w:val="21"/>
        </w:rPr>
        <w:t>además de los gastos preoperativos</w:t>
      </w:r>
      <w:r w:rsidR="00330FF6" w:rsidRPr="00076DCD">
        <w:rPr>
          <w:rFonts w:ascii="Arial" w:hAnsi="Arial" w:cs="Arial"/>
          <w:sz w:val="21"/>
          <w:szCs w:val="21"/>
        </w:rPr>
        <w:t xml:space="preserve"> existentes</w:t>
      </w:r>
      <w:r w:rsidR="00A41D62" w:rsidRPr="00076DCD">
        <w:rPr>
          <w:rFonts w:ascii="Arial" w:hAnsi="Arial" w:cs="Arial"/>
          <w:sz w:val="21"/>
          <w:szCs w:val="21"/>
        </w:rPr>
        <w:t>,</w:t>
      </w:r>
      <w:r w:rsidR="00330FF6" w:rsidRPr="00076DCD">
        <w:rPr>
          <w:rFonts w:ascii="Arial" w:hAnsi="Arial" w:cs="Arial"/>
          <w:sz w:val="21"/>
          <w:szCs w:val="21"/>
        </w:rPr>
        <w:t xml:space="preserve"> incluy</w:t>
      </w:r>
      <w:r w:rsidR="00A41D62" w:rsidRPr="00076DCD">
        <w:rPr>
          <w:rFonts w:ascii="Arial" w:hAnsi="Arial" w:cs="Arial"/>
          <w:sz w:val="21"/>
          <w:szCs w:val="21"/>
        </w:rPr>
        <w:t>endo</w:t>
      </w:r>
      <w:r w:rsidR="00330FF6" w:rsidRPr="00076DCD">
        <w:rPr>
          <w:rFonts w:ascii="Arial" w:hAnsi="Arial" w:cs="Arial"/>
          <w:sz w:val="21"/>
          <w:szCs w:val="21"/>
        </w:rPr>
        <w:t xml:space="preserve"> intereses durante la etapa</w:t>
      </w:r>
      <w:r w:rsidRPr="00076DCD">
        <w:rPr>
          <w:rFonts w:ascii="Arial" w:hAnsi="Arial" w:cs="Arial"/>
          <w:sz w:val="21"/>
        </w:rPr>
        <w:t xml:space="preserve"> de </w:t>
      </w:r>
      <w:r w:rsidR="00330FF6" w:rsidRPr="00076DCD">
        <w:rPr>
          <w:rFonts w:ascii="Arial" w:hAnsi="Arial" w:cs="Arial"/>
          <w:sz w:val="21"/>
          <w:szCs w:val="21"/>
        </w:rPr>
        <w:t>construcción</w:t>
      </w:r>
      <w:r w:rsidR="00A41D62" w:rsidRPr="00076DCD">
        <w:rPr>
          <w:rFonts w:ascii="Arial" w:hAnsi="Arial" w:cs="Arial"/>
          <w:sz w:val="21"/>
          <w:szCs w:val="21"/>
        </w:rPr>
        <w:t>, calculados a la fecha</w:t>
      </w:r>
      <w:r w:rsidRPr="00076DCD">
        <w:rPr>
          <w:rFonts w:ascii="Arial" w:hAnsi="Arial" w:cs="Arial"/>
          <w:sz w:val="21"/>
        </w:rPr>
        <w:t xml:space="preserve"> de </w:t>
      </w:r>
      <w:r w:rsidR="00A41D62" w:rsidRPr="00076DCD">
        <w:rPr>
          <w:rFonts w:ascii="Arial" w:hAnsi="Arial" w:cs="Arial"/>
          <w:sz w:val="21"/>
          <w:szCs w:val="21"/>
        </w:rPr>
        <w:t>terminación de la Concesión</w:t>
      </w:r>
      <w:r w:rsidR="001107BF" w:rsidRPr="00076DCD">
        <w:rPr>
          <w:rFonts w:ascii="Arial" w:hAnsi="Arial" w:cs="Arial"/>
          <w:sz w:val="21"/>
          <w:szCs w:val="21"/>
        </w:rPr>
        <w:t>. Si el evento se produce con posterioridad a la Puesta en Operación Comercial, se reconocerá únicamente el total del Valor Contable de los Bienes de la Concesión</w:t>
      </w:r>
      <w:r w:rsidRPr="00076DCD">
        <w:rPr>
          <w:rFonts w:ascii="Arial" w:hAnsi="Arial" w:cs="Arial"/>
          <w:sz w:val="21"/>
        </w:rPr>
        <w:t xml:space="preserve">. De no existir postores y de haber </w:t>
      </w:r>
      <w:r w:rsidRPr="00076DCD">
        <w:rPr>
          <w:rFonts w:ascii="Arial" w:hAnsi="Arial" w:cs="Arial"/>
          <w:color w:val="000000"/>
          <w:sz w:val="21"/>
        </w:rPr>
        <w:t>una segunda convocatoria</w:t>
      </w:r>
      <w:r w:rsidRPr="00076DCD">
        <w:rPr>
          <w:rFonts w:ascii="Arial" w:hAnsi="Arial" w:cs="Arial"/>
          <w:sz w:val="21"/>
        </w:rPr>
        <w:t xml:space="preserve">, el Concedente en </w:t>
      </w:r>
      <w:r w:rsidRPr="00076DCD">
        <w:rPr>
          <w:rFonts w:ascii="Arial" w:hAnsi="Arial" w:cs="Arial"/>
          <w:color w:val="000000"/>
          <w:sz w:val="21"/>
        </w:rPr>
        <w:t>la</w:t>
      </w:r>
      <w:r w:rsidRPr="00076DCD">
        <w:rPr>
          <w:rFonts w:ascii="Arial" w:hAnsi="Arial" w:cs="Arial"/>
          <w:sz w:val="21"/>
        </w:rPr>
        <w:t xml:space="preserve"> nueva convocatoria podrá reducir hasta en veinticinco por ciento (25%) el monto base de la convocatoria inmediatamente anterior.</w:t>
      </w:r>
    </w:p>
    <w:p w:rsidR="00F5124D" w:rsidRDefault="00F5124D">
      <w:pPr>
        <w:rPr>
          <w:rFonts w:ascii="Arial" w:hAnsi="Arial" w:cs="Arial"/>
          <w:sz w:val="21"/>
        </w:rPr>
      </w:pPr>
      <w:r>
        <w:rPr>
          <w:rFonts w:ascii="Arial" w:hAnsi="Arial" w:cs="Arial"/>
          <w:sz w:val="21"/>
        </w:rPr>
        <w:br w:type="page"/>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lastRenderedPageBreak/>
        <w:t>Entre la fecha en que una convocatoria es declarada desierta o culmine sin adjudicatario y la fecha en que se publique la siguiente convocatoria, no transcurrirán más de sesenta (60) Días.</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El nuevo Concesionario deberá suscribir con el Concedente un nuevo Contrato de C</w:t>
      </w:r>
      <w:r w:rsidRPr="00076DCD" w:rsidDel="00D0308D">
        <w:rPr>
          <w:rFonts w:ascii="Arial" w:hAnsi="Arial" w:cs="Arial"/>
          <w:sz w:val="21"/>
        </w:rPr>
        <w:t>oncesión</w:t>
      </w:r>
      <w:r w:rsidRPr="00076DCD">
        <w:rPr>
          <w:rFonts w:ascii="Arial" w:hAnsi="Arial" w:cs="Arial"/>
          <w:sz w:val="21"/>
        </w:rPr>
        <w:t>, el cual será formulado por el Concedente o PROINVERSIÓN, contemplando las Leyes Aplicables vigentes en dicho momento.</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F6615" w:rsidRPr="00076DCD" w:rsidRDefault="00AF6615" w:rsidP="00B07EB1">
      <w:pPr>
        <w:widowControl w:val="0"/>
        <w:suppressLineNumbers/>
        <w:shd w:val="clear" w:color="auto" w:fill="FFFFFF"/>
        <w:tabs>
          <w:tab w:val="left" w:pos="993"/>
        </w:tabs>
        <w:suppressAutoHyphens/>
        <w:spacing w:before="120" w:after="0" w:line="257" w:lineRule="auto"/>
        <w:ind w:left="993"/>
        <w:jc w:val="both"/>
        <w:rPr>
          <w:rFonts w:ascii="Arial" w:hAnsi="Arial" w:cs="Arial"/>
          <w:sz w:val="21"/>
          <w:lang w:val="es-MX"/>
        </w:rPr>
      </w:pPr>
      <w:r w:rsidRPr="00076DCD">
        <w:rPr>
          <w:rFonts w:ascii="Arial" w:hAnsi="Arial" w:cs="Arial"/>
          <w:sz w:val="21"/>
        </w:rPr>
        <w:t>En el caso a que se refiere la Cláusula 13.9.c).ii), si no se convoca a licitación por primera o segunda vez, o si la segunda convocatoria quedara desierta o culminara sin adjudicatario, el Concedente quedará obligado a pagar</w:t>
      </w:r>
      <w:r w:rsidR="00264D3E" w:rsidRPr="00076DCD">
        <w:rPr>
          <w:rFonts w:ascii="Arial" w:hAnsi="Arial" w:cs="Arial"/>
          <w:sz w:val="21"/>
          <w:szCs w:val="21"/>
        </w:rPr>
        <w:t>, lo que resulte menor, entre:</w:t>
      </w:r>
      <w:r w:rsidR="00785758" w:rsidRPr="00076DCD">
        <w:rPr>
          <w:rFonts w:ascii="Arial" w:hAnsi="Arial" w:cs="Arial"/>
          <w:sz w:val="21"/>
          <w:szCs w:val="21"/>
        </w:rPr>
        <w:t xml:space="preserve"> </w:t>
      </w:r>
      <w:r w:rsidR="00264D3E" w:rsidRPr="00076DCD">
        <w:rPr>
          <w:rFonts w:ascii="Arial" w:hAnsi="Arial" w:cs="Arial"/>
          <w:sz w:val="21"/>
          <w:szCs w:val="21"/>
        </w:rPr>
        <w:t>el</w:t>
      </w:r>
      <w:r w:rsidRPr="00076DCD">
        <w:rPr>
          <w:rFonts w:ascii="Arial" w:hAnsi="Arial" w:cs="Arial"/>
          <w:sz w:val="21"/>
        </w:rPr>
        <w:t xml:space="preserve"> valor </w:t>
      </w:r>
      <w:r w:rsidR="00264D3E" w:rsidRPr="00076DCD">
        <w:rPr>
          <w:rFonts w:ascii="Arial" w:hAnsi="Arial" w:cs="Arial"/>
          <w:sz w:val="21"/>
          <w:szCs w:val="21"/>
        </w:rPr>
        <w:t>del</w:t>
      </w:r>
      <w:r w:rsidRPr="00076DCD">
        <w:rPr>
          <w:rFonts w:ascii="Arial" w:hAnsi="Arial" w:cs="Arial"/>
          <w:sz w:val="21"/>
        </w:rPr>
        <w:t xml:space="preserve"> monto base de la primera o segunda convocatoria, respectivamente, o el Valor Contable de los Bienes de la Concesión, </w:t>
      </w:r>
      <w:r w:rsidR="001107BF" w:rsidRPr="00076DCD">
        <w:rPr>
          <w:rFonts w:ascii="Arial" w:hAnsi="Arial" w:cs="Arial"/>
          <w:sz w:val="21"/>
          <w:szCs w:val="21"/>
        </w:rPr>
        <w:t>m</w:t>
      </w:r>
      <w:r w:rsidR="00DA28A9" w:rsidRPr="00076DCD">
        <w:rPr>
          <w:rFonts w:ascii="Arial" w:hAnsi="Arial" w:cs="Arial"/>
          <w:sz w:val="21"/>
          <w:szCs w:val="21"/>
        </w:rPr>
        <w:t>á</w:t>
      </w:r>
      <w:r w:rsidR="001107BF" w:rsidRPr="00076DCD">
        <w:rPr>
          <w:rFonts w:ascii="Arial" w:hAnsi="Arial" w:cs="Arial"/>
          <w:sz w:val="21"/>
          <w:szCs w:val="21"/>
        </w:rPr>
        <w:t>s los gastos pre operativos, si el evento es anterior a la Puesta en Operación Comercial y sólo el Valor Contable de los Bienes de la Concesión si el evento se produce después de la Puesta en Operación Comercial</w:t>
      </w:r>
      <w:r w:rsidR="00264D3E" w:rsidRPr="00076DCD">
        <w:rPr>
          <w:rFonts w:ascii="Arial" w:hAnsi="Arial" w:cs="Arial"/>
          <w:sz w:val="21"/>
          <w:szCs w:val="21"/>
        </w:rPr>
        <w:t>.</w:t>
      </w:r>
      <w:r w:rsidRPr="00076DCD">
        <w:rPr>
          <w:rFonts w:ascii="Arial" w:hAnsi="Arial" w:cs="Arial"/>
          <w:sz w:val="21"/>
        </w:rPr>
        <w:t xml:space="preserve"> El valor a pagar será considerado como el “producto de la licitación” a los efectos de la Cláusula 13.11. Lo indicado no resultará aplicable a la obligación de pago del Concedente descrito en la Cláusula 13.14.</w:t>
      </w:r>
    </w:p>
    <w:p w:rsidR="00AF6615" w:rsidRPr="00076DCD" w:rsidRDefault="00AF6615" w:rsidP="00B07EB1">
      <w:pPr>
        <w:widowControl w:val="0"/>
        <w:numPr>
          <w:ilvl w:val="0"/>
          <w:numId w:val="21"/>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AF6615" w:rsidRPr="00076DCD" w:rsidRDefault="00AF6615" w:rsidP="00B07EB1">
      <w:pPr>
        <w:widowControl w:val="0"/>
        <w:suppressLineNumbers/>
        <w:shd w:val="clear" w:color="auto" w:fill="FFFFFF"/>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13.10</w:t>
      </w:r>
      <w:r w:rsidRPr="00076DCD">
        <w:rPr>
          <w:rFonts w:ascii="Arial" w:eastAsia="Times New Roman" w:hAnsi="Arial" w:cs="Arial"/>
          <w:sz w:val="21"/>
          <w:szCs w:val="21"/>
          <w:lang w:eastAsia="zh-CN"/>
        </w:rPr>
        <w:tab/>
        <w:t>La transferencia de los Bienes de la Concesión se sujetará a las reglas siguientes:</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Sociedad Concesionaria transferirá la propiedad de los Bienes de la Concesión al Estado, libre de toda carga o gravamen.</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Entre los bienes a entregar, se incluirá la siguiente información técnica:</w:t>
      </w:r>
    </w:p>
    <w:p w:rsidR="00AF6615" w:rsidRPr="00076DCD" w:rsidRDefault="00AF6615" w:rsidP="00B07EB1">
      <w:pPr>
        <w:widowControl w:val="0"/>
        <w:numPr>
          <w:ilvl w:val="0"/>
          <w:numId w:val="2"/>
        </w:numPr>
        <w:suppressLineNumbers/>
        <w:shd w:val="clear" w:color="auto" w:fill="FFFFFF"/>
        <w:tabs>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Archivo de Planos tal como han sido construidas las instalaciones.</w:t>
      </w:r>
    </w:p>
    <w:p w:rsidR="00AF6615" w:rsidRPr="00076DCD" w:rsidRDefault="00AF6615" w:rsidP="00F5124D">
      <w:pPr>
        <w:widowControl w:val="0"/>
        <w:numPr>
          <w:ilvl w:val="0"/>
          <w:numId w:val="2"/>
        </w:numPr>
        <w:suppressLineNumbers/>
        <w:shd w:val="clear" w:color="auto" w:fill="FFFFFF"/>
        <w:tabs>
          <w:tab w:val="left" w:pos="1418"/>
        </w:tabs>
        <w:suppressAutoHyphens/>
        <w:spacing w:before="60" w:after="0" w:line="257" w:lineRule="auto"/>
        <w:ind w:left="1417" w:hanging="425"/>
        <w:jc w:val="both"/>
        <w:rPr>
          <w:rFonts w:ascii="Arial" w:hAnsi="Arial" w:cs="Arial"/>
          <w:sz w:val="21"/>
        </w:rPr>
      </w:pPr>
      <w:r w:rsidRPr="00076DCD">
        <w:rPr>
          <w:rFonts w:ascii="Arial" w:hAnsi="Arial" w:cs="Arial"/>
          <w:sz w:val="21"/>
        </w:rPr>
        <w:t>Proyectos y estudios efectuados que tengan relación con la Línea Eléctrica.</w:t>
      </w:r>
    </w:p>
    <w:p w:rsidR="00AF6615" w:rsidRPr="00076DCD" w:rsidRDefault="00AF6615" w:rsidP="00F5124D">
      <w:pPr>
        <w:widowControl w:val="0"/>
        <w:numPr>
          <w:ilvl w:val="0"/>
          <w:numId w:val="2"/>
        </w:numPr>
        <w:suppressLineNumbers/>
        <w:shd w:val="clear" w:color="auto" w:fill="FFFFFF"/>
        <w:tabs>
          <w:tab w:val="left" w:pos="1418"/>
        </w:tabs>
        <w:suppressAutoHyphens/>
        <w:spacing w:before="60" w:after="0" w:line="257" w:lineRule="auto"/>
        <w:ind w:left="1417" w:hanging="425"/>
        <w:jc w:val="both"/>
        <w:rPr>
          <w:rFonts w:ascii="Arial" w:hAnsi="Arial" w:cs="Arial"/>
          <w:sz w:val="21"/>
        </w:rPr>
      </w:pPr>
      <w:r w:rsidRPr="00076DCD">
        <w:rPr>
          <w:rFonts w:ascii="Arial" w:hAnsi="Arial" w:cs="Arial"/>
          <w:sz w:val="21"/>
        </w:rPr>
        <w:t>Información técnica sobre cada uno de los bienes.</w:t>
      </w:r>
    </w:p>
    <w:p w:rsidR="00AF6615" w:rsidRPr="00076DCD" w:rsidRDefault="00AF6615" w:rsidP="00F5124D">
      <w:pPr>
        <w:widowControl w:val="0"/>
        <w:numPr>
          <w:ilvl w:val="0"/>
          <w:numId w:val="2"/>
        </w:numPr>
        <w:suppressLineNumbers/>
        <w:shd w:val="clear" w:color="auto" w:fill="FFFFFF"/>
        <w:tabs>
          <w:tab w:val="left" w:pos="1418"/>
        </w:tabs>
        <w:suppressAutoHyphens/>
        <w:spacing w:before="60" w:after="0" w:line="257" w:lineRule="auto"/>
        <w:ind w:left="1417" w:hanging="425"/>
        <w:jc w:val="both"/>
        <w:rPr>
          <w:rFonts w:ascii="Arial" w:hAnsi="Arial" w:cs="Arial"/>
          <w:sz w:val="21"/>
        </w:rPr>
      </w:pPr>
      <w:r w:rsidRPr="00076DCD">
        <w:rPr>
          <w:rFonts w:ascii="Arial" w:hAnsi="Arial" w:cs="Arial"/>
          <w:sz w:val="21"/>
        </w:rPr>
        <w:t>Los procedimientos y manuales de operación y mantenimiento de la Línea Eléctrica.</w:t>
      </w:r>
    </w:p>
    <w:p w:rsidR="00AF6615" w:rsidRPr="00076DCD" w:rsidRDefault="00AF6615" w:rsidP="00F5124D">
      <w:pPr>
        <w:widowControl w:val="0"/>
        <w:numPr>
          <w:ilvl w:val="0"/>
          <w:numId w:val="2"/>
        </w:numPr>
        <w:suppressLineNumbers/>
        <w:shd w:val="clear" w:color="auto" w:fill="FFFFFF"/>
        <w:tabs>
          <w:tab w:val="left" w:pos="1418"/>
        </w:tabs>
        <w:suppressAutoHyphens/>
        <w:spacing w:before="60" w:after="0" w:line="257" w:lineRule="auto"/>
        <w:ind w:left="1417" w:hanging="425"/>
        <w:jc w:val="both"/>
        <w:rPr>
          <w:rFonts w:ascii="Arial" w:hAnsi="Arial" w:cs="Arial"/>
          <w:sz w:val="21"/>
        </w:rPr>
      </w:pPr>
      <w:r w:rsidRPr="00076DCD">
        <w:rPr>
          <w:rFonts w:ascii="Arial" w:hAnsi="Arial" w:cs="Arial"/>
          <w:sz w:val="21"/>
        </w:rPr>
        <w:t>Manuales de aseguramiento de la calidad del Servicio.</w:t>
      </w:r>
    </w:p>
    <w:p w:rsidR="00AF6615" w:rsidRPr="00076DCD" w:rsidRDefault="00AF6615" w:rsidP="00F5124D">
      <w:pPr>
        <w:widowControl w:val="0"/>
        <w:numPr>
          <w:ilvl w:val="0"/>
          <w:numId w:val="2"/>
        </w:numPr>
        <w:suppressLineNumbers/>
        <w:shd w:val="clear" w:color="auto" w:fill="FFFFFF"/>
        <w:tabs>
          <w:tab w:val="left" w:pos="1418"/>
        </w:tabs>
        <w:suppressAutoHyphens/>
        <w:spacing w:before="60" w:after="0" w:line="257" w:lineRule="auto"/>
        <w:ind w:left="1417" w:hanging="425"/>
        <w:jc w:val="both"/>
        <w:rPr>
          <w:rFonts w:ascii="Arial" w:hAnsi="Arial" w:cs="Arial"/>
          <w:sz w:val="21"/>
        </w:rPr>
      </w:pPr>
      <w:r w:rsidRPr="00076DCD">
        <w:rPr>
          <w:rFonts w:ascii="Arial" w:hAnsi="Arial" w:cs="Arial"/>
          <w:sz w:val="21"/>
        </w:rPr>
        <w:t>Cualquier otra información relevante para la continuidad del Servicio.</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lastRenderedPageBreak/>
        <w:t>Los Contratos celebrados con terceros también serán objeto de transferencia, en la medida que el Concedente o el nuevo concesionario acepten la cesión, y siempre que dichos Contratos no hayan concluido al término de la Concesión.</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Sociedad Concesionaria transferirá y entregará los Bienes de la Concesión en buenas condiciones operativas, excepto el desgaste normal como consecuencia del tiempo y el uso normal. Las Partes suscribirán un acta de entrega.</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En todos los casos de terminación de la Concesión y para efectos de lo dispuesto en el artículo 22º del TUO, se entenderá que los Bienes de la Concesión son transferidos al Estado.</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AF6615" w:rsidRPr="00076DCD" w:rsidRDefault="00AF6615" w:rsidP="00B07EB1">
      <w:pPr>
        <w:widowControl w:val="0"/>
        <w:numPr>
          <w:ilvl w:val="0"/>
          <w:numId w:val="27"/>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Todos los costos y gastos que demande la transferencia de los Bienes de la Concesión, serán de cargo de la Sociedad Concesionaria.</w:t>
      </w:r>
    </w:p>
    <w:p w:rsidR="00AF6615" w:rsidRPr="00076DCD" w:rsidRDefault="00AF6615" w:rsidP="00B07EB1">
      <w:pPr>
        <w:widowControl w:val="0"/>
        <w:numPr>
          <w:ilvl w:val="1"/>
          <w:numId w:val="42"/>
        </w:numPr>
        <w:suppressLineNumbers/>
        <w:shd w:val="clear" w:color="auto" w:fill="FFFFFF"/>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distribución del producto de la licitación se sujetará a las reglas siguientes:</w:t>
      </w:r>
    </w:p>
    <w:p w:rsidR="00AF6615" w:rsidRPr="00076DCD" w:rsidRDefault="00AF6615" w:rsidP="00B07EB1">
      <w:pPr>
        <w:widowControl w:val="0"/>
        <w:numPr>
          <w:ilvl w:val="0"/>
          <w:numId w:val="16"/>
        </w:numPr>
        <w:suppressLineNumbers/>
        <w:shd w:val="clear" w:color="auto" w:fill="FFFFFF"/>
        <w:tabs>
          <w:tab w:val="clear" w:pos="36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De la suma obtenida en la licitación y hasta donde dicha suma alcance, el interventor detraerá, de corresponder, los gastos directos en que éste o el Concedente hubiesen incurrido asociados al proceso de intervención y el de licitación; y luego pagará a los a</w:t>
      </w:r>
      <w:r w:rsidRPr="00076DCD">
        <w:rPr>
          <w:rFonts w:ascii="Arial" w:hAnsi="Arial" w:cs="Arial"/>
          <w:color w:val="000000"/>
          <w:sz w:val="21"/>
        </w:rPr>
        <w:t xml:space="preserve">creedores </w:t>
      </w:r>
      <w:r w:rsidRPr="00076DCD">
        <w:rPr>
          <w:rFonts w:ascii="Arial" w:hAnsi="Arial" w:cs="Arial"/>
          <w:sz w:val="21"/>
        </w:rPr>
        <w:t>respectivos:</w:t>
      </w:r>
    </w:p>
    <w:p w:rsidR="00AF6615" w:rsidRPr="00076DCD" w:rsidRDefault="00AF6615" w:rsidP="00B07EB1">
      <w:pPr>
        <w:widowControl w:val="0"/>
        <w:numPr>
          <w:ilvl w:val="0"/>
          <w:numId w:val="22"/>
        </w:numPr>
        <w:suppressLineNumbers/>
        <w:shd w:val="clear" w:color="auto" w:fill="FFFFFF"/>
        <w:tabs>
          <w:tab w:val="clear" w:pos="1965"/>
          <w:tab w:val="left" w:pos="1418"/>
        </w:tabs>
        <w:suppressAutoHyphens/>
        <w:spacing w:before="120" w:after="0" w:line="257" w:lineRule="auto"/>
        <w:ind w:left="1418" w:hanging="425"/>
        <w:jc w:val="both"/>
        <w:rPr>
          <w:rFonts w:ascii="Arial" w:hAnsi="Arial" w:cs="Arial"/>
          <w:sz w:val="21"/>
        </w:rPr>
      </w:pPr>
      <w:r w:rsidRPr="00076DCD">
        <w:rPr>
          <w:rFonts w:ascii="Arial" w:hAnsi="Arial" w:cs="Arial"/>
          <w:sz w:val="21"/>
        </w:rPr>
        <w:t>Las remuneraciones y demás derechos laborales de los trabajadores de la Sociedad Concesionaria, devengados hasta la fecha de pago y que estén pendientes de pago.</w:t>
      </w:r>
    </w:p>
    <w:p w:rsidR="00AF6615" w:rsidRPr="00076DCD" w:rsidRDefault="00AF6615" w:rsidP="00F5124D">
      <w:pPr>
        <w:widowControl w:val="0"/>
        <w:numPr>
          <w:ilvl w:val="0"/>
          <w:numId w:val="22"/>
        </w:numPr>
        <w:suppressLineNumbers/>
        <w:shd w:val="clear" w:color="auto" w:fill="FFFFFF"/>
        <w:tabs>
          <w:tab w:val="clear" w:pos="1965"/>
          <w:tab w:val="left" w:pos="1418"/>
        </w:tabs>
        <w:suppressAutoHyphens/>
        <w:spacing w:before="80" w:after="0" w:line="257" w:lineRule="auto"/>
        <w:ind w:left="1417" w:hanging="425"/>
        <w:jc w:val="both"/>
        <w:rPr>
          <w:rFonts w:ascii="Arial" w:hAnsi="Arial" w:cs="Arial"/>
          <w:sz w:val="21"/>
        </w:rPr>
      </w:pPr>
      <w:r w:rsidRPr="00076DCD">
        <w:rPr>
          <w:rFonts w:ascii="Arial" w:hAnsi="Arial" w:cs="Arial"/>
          <w:sz w:val="21"/>
        </w:rPr>
        <w:t xml:space="preserve">Las sumas de dinero que deban ser entregadas a los </w:t>
      </w:r>
      <w:r w:rsidRPr="00076DCD">
        <w:rPr>
          <w:rFonts w:ascii="Arial" w:hAnsi="Arial" w:cs="Arial"/>
          <w:color w:val="000000"/>
          <w:sz w:val="21"/>
        </w:rPr>
        <w:t xml:space="preserve">Acreedores Permitidos </w:t>
      </w:r>
      <w:r w:rsidRPr="00076DCD">
        <w:rPr>
          <w:rFonts w:ascii="Arial" w:hAnsi="Arial" w:cs="Arial"/>
          <w:sz w:val="21"/>
        </w:rPr>
        <w:t>para satisfacer la totalidad de las obligaciones financieras, incluyendo el principal vigente y los intereses y comisiones devengados hasta la fecha de pago.</w:t>
      </w:r>
    </w:p>
    <w:p w:rsidR="00AF6615" w:rsidRPr="00076DCD" w:rsidRDefault="00AF6615" w:rsidP="00F5124D">
      <w:pPr>
        <w:widowControl w:val="0"/>
        <w:numPr>
          <w:ilvl w:val="0"/>
          <w:numId w:val="22"/>
        </w:numPr>
        <w:suppressLineNumbers/>
        <w:shd w:val="clear" w:color="auto" w:fill="FFFFFF"/>
        <w:tabs>
          <w:tab w:val="clear" w:pos="1965"/>
          <w:tab w:val="left" w:pos="1418"/>
        </w:tabs>
        <w:suppressAutoHyphens/>
        <w:spacing w:before="80" w:after="0" w:line="257" w:lineRule="auto"/>
        <w:ind w:left="1417" w:hanging="425"/>
        <w:jc w:val="both"/>
        <w:rPr>
          <w:rFonts w:ascii="Arial" w:hAnsi="Arial" w:cs="Arial"/>
          <w:sz w:val="21"/>
        </w:rPr>
      </w:pPr>
      <w:r w:rsidRPr="00076DCD">
        <w:rPr>
          <w:rFonts w:ascii="Arial" w:hAnsi="Arial" w:cs="Arial"/>
          <w:sz w:val="21"/>
        </w:rPr>
        <w:t>Los tributos, excepto aquellos que estén garantizados según las Leyes Aplicables.</w:t>
      </w:r>
    </w:p>
    <w:p w:rsidR="00AF6615" w:rsidRPr="00076DCD" w:rsidRDefault="00AF6615" w:rsidP="00F5124D">
      <w:pPr>
        <w:widowControl w:val="0"/>
        <w:numPr>
          <w:ilvl w:val="0"/>
          <w:numId w:val="22"/>
        </w:numPr>
        <w:suppressLineNumbers/>
        <w:shd w:val="clear" w:color="auto" w:fill="FFFFFF"/>
        <w:tabs>
          <w:tab w:val="clear" w:pos="1965"/>
          <w:tab w:val="left" w:pos="1418"/>
        </w:tabs>
        <w:suppressAutoHyphens/>
        <w:spacing w:before="80" w:after="0" w:line="257" w:lineRule="auto"/>
        <w:ind w:left="1417" w:hanging="425"/>
        <w:jc w:val="both"/>
        <w:rPr>
          <w:rFonts w:ascii="Arial" w:hAnsi="Arial" w:cs="Arial"/>
          <w:sz w:val="21"/>
        </w:rPr>
      </w:pPr>
      <w:r w:rsidRPr="00076DCD">
        <w:rPr>
          <w:rFonts w:ascii="Arial" w:hAnsi="Arial" w:cs="Arial"/>
          <w:sz w:val="21"/>
        </w:rPr>
        <w:t>Cualquier multa o penalidad que no hubiese sido satisfecha por la Sociedad Concesionaria.</w:t>
      </w:r>
    </w:p>
    <w:p w:rsidR="00AF6615" w:rsidRPr="00076DCD" w:rsidRDefault="00AF6615" w:rsidP="00F5124D">
      <w:pPr>
        <w:widowControl w:val="0"/>
        <w:numPr>
          <w:ilvl w:val="0"/>
          <w:numId w:val="22"/>
        </w:numPr>
        <w:suppressLineNumbers/>
        <w:shd w:val="clear" w:color="auto" w:fill="FFFFFF"/>
        <w:tabs>
          <w:tab w:val="clear" w:pos="1965"/>
          <w:tab w:val="left" w:pos="1418"/>
        </w:tabs>
        <w:suppressAutoHyphens/>
        <w:spacing w:before="80" w:after="0" w:line="257" w:lineRule="auto"/>
        <w:ind w:left="1417" w:hanging="425"/>
        <w:jc w:val="both"/>
        <w:rPr>
          <w:rFonts w:ascii="Arial" w:hAnsi="Arial" w:cs="Arial"/>
          <w:sz w:val="21"/>
        </w:rPr>
      </w:pPr>
      <w:r w:rsidRPr="00076DCD">
        <w:rPr>
          <w:rFonts w:ascii="Arial" w:hAnsi="Arial" w:cs="Arial"/>
          <w:sz w:val="21"/>
        </w:rPr>
        <w:t>Cualquier otro pasivo de la Sociedad Concesionaria que sea a favor del Estado.</w:t>
      </w:r>
    </w:p>
    <w:p w:rsidR="00AF6615" w:rsidRPr="00076DCD" w:rsidRDefault="00AF6615" w:rsidP="00F5124D">
      <w:pPr>
        <w:widowControl w:val="0"/>
        <w:numPr>
          <w:ilvl w:val="0"/>
          <w:numId w:val="22"/>
        </w:numPr>
        <w:suppressLineNumbers/>
        <w:shd w:val="clear" w:color="auto" w:fill="FFFFFF"/>
        <w:tabs>
          <w:tab w:val="clear" w:pos="1965"/>
          <w:tab w:val="left" w:pos="1418"/>
        </w:tabs>
        <w:suppressAutoHyphens/>
        <w:spacing w:before="80" w:after="0" w:line="257" w:lineRule="auto"/>
        <w:ind w:left="1417" w:hanging="425"/>
        <w:jc w:val="both"/>
        <w:rPr>
          <w:rFonts w:ascii="Arial" w:hAnsi="Arial" w:cs="Arial"/>
          <w:sz w:val="21"/>
        </w:rPr>
      </w:pPr>
      <w:r w:rsidRPr="00076DCD">
        <w:rPr>
          <w:rFonts w:ascii="Arial" w:hAnsi="Arial" w:cs="Arial"/>
          <w:sz w:val="21"/>
        </w:rPr>
        <w:t>Otros pasivos no considerados en los literales anteriores.</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La prelación para el pago de los rubros antes mencionados será la indicada, a menos que por las Leyes Aplicables una prelación distinta resulte aplicable.</w:t>
      </w:r>
    </w:p>
    <w:p w:rsidR="00AF6615" w:rsidRPr="00076DCD" w:rsidRDefault="00AF6615" w:rsidP="00B07EB1">
      <w:pPr>
        <w:widowControl w:val="0"/>
        <w:numPr>
          <w:ilvl w:val="0"/>
          <w:numId w:val="16"/>
        </w:numPr>
        <w:suppressLineNumbers/>
        <w:shd w:val="clear" w:color="auto" w:fill="FFFFFF"/>
        <w:tabs>
          <w:tab w:val="clear" w:pos="36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El saldo remanente, si lo hubiere, será entregado a la Sociedad Concesionaria, hasta un máximo equivalente al Valor Contable de los Bienes de la Concesión. Si el saldo remanente fuese mayor a dicho valor, la diferencia corresponderá al Estado.</w:t>
      </w:r>
    </w:p>
    <w:p w:rsidR="00F5124D" w:rsidRDefault="00F5124D">
      <w:pPr>
        <w:rPr>
          <w:rFonts w:ascii="Arial" w:hAnsi="Arial" w:cs="Arial"/>
          <w:sz w:val="21"/>
        </w:rPr>
      </w:pPr>
      <w:r>
        <w:rPr>
          <w:rFonts w:ascii="Arial" w:hAnsi="Arial" w:cs="Arial"/>
          <w:sz w:val="21"/>
        </w:rPr>
        <w:br w:type="page"/>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lastRenderedPageBreak/>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F6615" w:rsidRPr="00076DCD" w:rsidRDefault="00AF6615" w:rsidP="00B07EB1">
      <w:pPr>
        <w:widowControl w:val="0"/>
        <w:numPr>
          <w:ilvl w:val="1"/>
          <w:numId w:val="42"/>
        </w:numPr>
        <w:suppressLineNumbers/>
        <w:shd w:val="clear" w:color="auto" w:fill="FFFFFF"/>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En el caso de terminación del Contrato por vencimiento del plazo del Contrato, la Concesión y sus bienes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F6615" w:rsidRPr="00076DCD" w:rsidRDefault="00AF6615" w:rsidP="00B07EB1">
      <w:pPr>
        <w:widowControl w:val="0"/>
        <w:numPr>
          <w:ilvl w:val="1"/>
          <w:numId w:val="42"/>
        </w:numPr>
        <w:suppressLineNumbers/>
        <w:shd w:val="clear" w:color="auto" w:fill="FFFFFF"/>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En caso de Destrucción Total se procederá del siguiente modo:</w:t>
      </w:r>
    </w:p>
    <w:p w:rsidR="00AF6615" w:rsidRPr="00076DCD" w:rsidRDefault="00AF6615" w:rsidP="00B07EB1">
      <w:pPr>
        <w:widowControl w:val="0"/>
        <w:numPr>
          <w:ilvl w:val="1"/>
          <w:numId w:val="28"/>
        </w:numPr>
        <w:suppressLineNumbers/>
        <w:tabs>
          <w:tab w:val="clear" w:pos="108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Las Partes evaluarán la conveniencia técnica y económica de restaurar los daños y los términos y condiciones en que se efectuaría la reconstrucción y la reanudación del Servicio.</w:t>
      </w:r>
    </w:p>
    <w:p w:rsidR="00AF6615" w:rsidRPr="00076DCD" w:rsidRDefault="00AF6615" w:rsidP="00B07EB1">
      <w:pPr>
        <w:widowControl w:val="0"/>
        <w:numPr>
          <w:ilvl w:val="1"/>
          <w:numId w:val="28"/>
        </w:numPr>
        <w:suppressLineNumbers/>
        <w:tabs>
          <w:tab w:val="clear" w:pos="108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Contrato quedará terminado automáticamente si transcurriesen sesenta (60) Días desde que se produjo la Destrucción Total, sin que las Partes se hubieran puesto de acuerdo conforme al literal anterior.</w:t>
      </w:r>
    </w:p>
    <w:p w:rsidR="00AF6615" w:rsidRPr="00076DCD" w:rsidRDefault="00AF6615" w:rsidP="00B07EB1">
      <w:pPr>
        <w:widowControl w:val="0"/>
        <w:numPr>
          <w:ilvl w:val="1"/>
          <w:numId w:val="28"/>
        </w:numPr>
        <w:suppressLineNumbers/>
        <w:tabs>
          <w:tab w:val="clear" w:pos="1080"/>
          <w:tab w:val="left" w:pos="993"/>
        </w:tabs>
        <w:suppressAutoHyphens/>
        <w:spacing w:before="120" w:after="0" w:line="257" w:lineRule="auto"/>
        <w:ind w:left="993" w:hanging="426"/>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F6615" w:rsidRPr="00076DCD" w:rsidRDefault="00AF6615" w:rsidP="00B07EB1">
      <w:pPr>
        <w:widowControl w:val="0"/>
        <w:numPr>
          <w:ilvl w:val="1"/>
          <w:numId w:val="42"/>
        </w:numPr>
        <w:suppressLineNumbers/>
        <w:shd w:val="clear" w:color="auto" w:fill="FFFFFF"/>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Si la Concesión terminara por la causal estipulada en la Cláusula 13.4, o si el Concedente decidiera terminarla </w:t>
      </w:r>
      <w:r w:rsidRPr="00076DCD">
        <w:rPr>
          <w:rFonts w:ascii="Arial" w:eastAsia="Times New Roman" w:hAnsi="Arial" w:cs="Arial"/>
          <w:i/>
          <w:sz w:val="21"/>
          <w:szCs w:val="21"/>
          <w:lang w:eastAsia="zh-CN"/>
        </w:rPr>
        <w:t>de facto</w:t>
      </w:r>
      <w:r w:rsidRPr="00076DCD">
        <w:rPr>
          <w:rFonts w:ascii="Arial" w:eastAsia="Times New Roman" w:hAnsi="Arial" w:cs="Arial"/>
          <w:sz w:val="21"/>
          <w:szCs w:val="21"/>
          <w:lang w:eastAsia="zh-CN"/>
        </w:rPr>
        <w:t xml:space="preserve"> o por las </w:t>
      </w:r>
      <w:r w:rsidRPr="00076DCD">
        <w:rPr>
          <w:rFonts w:ascii="Arial" w:eastAsia="Times New Roman" w:hAnsi="Arial" w:cs="Arial"/>
          <w:i/>
          <w:sz w:val="21"/>
          <w:szCs w:val="21"/>
          <w:lang w:eastAsia="zh-CN"/>
        </w:rPr>
        <w:t>vías de hecho</w:t>
      </w:r>
      <w:r w:rsidRPr="00076DCD">
        <w:rPr>
          <w:rFonts w:ascii="Arial" w:eastAsia="Times New Roman" w:hAnsi="Arial" w:cs="Arial"/>
          <w:sz w:val="21"/>
          <w:szCs w:val="21"/>
          <w:lang w:eastAsia="zh-CN"/>
        </w:rPr>
        <w:t>, se aplicarán las reglas siguientes:</w:t>
      </w:r>
    </w:p>
    <w:p w:rsidR="00AF6615" w:rsidRPr="00076DCD" w:rsidRDefault="00AF6615" w:rsidP="00B07EB1">
      <w:pPr>
        <w:widowControl w:val="0"/>
        <w:numPr>
          <w:ilvl w:val="0"/>
          <w:numId w:val="24"/>
        </w:numPr>
        <w:suppressLineNumbers/>
        <w:shd w:val="clear" w:color="auto" w:fill="FFFFFF"/>
        <w:tabs>
          <w:tab w:val="clear" w:pos="1440"/>
          <w:tab w:val="left" w:pos="993"/>
        </w:tabs>
        <w:suppressAutoHyphens/>
        <w:spacing w:before="120" w:after="0" w:line="257" w:lineRule="auto"/>
        <w:ind w:left="993" w:hanging="426"/>
        <w:jc w:val="both"/>
        <w:rPr>
          <w:rFonts w:ascii="Arial" w:eastAsia="Times New Roman" w:hAnsi="Arial" w:cs="Arial"/>
          <w:sz w:val="21"/>
          <w:szCs w:val="21"/>
          <w:lang w:val="es-ES"/>
        </w:rPr>
      </w:pPr>
      <w:r w:rsidRPr="00076DCD">
        <w:rPr>
          <w:rFonts w:ascii="Arial" w:eastAsia="Times New Roman" w:hAnsi="Arial" w:cs="Arial"/>
          <w:sz w:val="21"/>
          <w:szCs w:val="20"/>
          <w:lang w:val="es-ES"/>
        </w:rPr>
        <w:t xml:space="preserve">Sin perjuicio de lo </w:t>
      </w:r>
      <w:r w:rsidRPr="00076DCD">
        <w:rPr>
          <w:rFonts w:ascii="Arial" w:eastAsia="Times New Roman" w:hAnsi="Arial" w:cs="Arial"/>
          <w:sz w:val="21"/>
          <w:szCs w:val="21"/>
          <w:lang w:val="es-ES"/>
        </w:rPr>
        <w:t>establecido</w:t>
      </w:r>
      <w:r w:rsidRPr="00076DCD">
        <w:rPr>
          <w:rFonts w:ascii="Arial" w:eastAsia="Times New Roman" w:hAnsi="Arial" w:cs="Arial"/>
          <w:sz w:val="21"/>
          <w:szCs w:val="20"/>
          <w:lang w:val="es-ES"/>
        </w:rPr>
        <w:t xml:space="preserve"> en la Cláusula 13.9, el Concedente </w:t>
      </w:r>
      <w:r w:rsidRPr="00076DCD">
        <w:rPr>
          <w:rFonts w:ascii="Arial" w:hAnsi="Arial" w:cs="Arial"/>
          <w:sz w:val="21"/>
        </w:rPr>
        <w:t>pagará a la Sociedad Concesionaria, por todo concepto, incluida la transferencia de los Bienes de la Concesión al Concedente y la indemnización, a que se refieren los Artículos 22° y 17° del TUO, respectivamente, lo siguiente:</w:t>
      </w:r>
    </w:p>
    <w:p w:rsidR="00AF6615" w:rsidRPr="00076DCD" w:rsidRDefault="00AF6615" w:rsidP="00B07EB1">
      <w:pPr>
        <w:widowControl w:val="0"/>
        <w:suppressLineNumbers/>
        <w:shd w:val="clear" w:color="auto" w:fill="FFFFFF"/>
        <w:tabs>
          <w:tab w:val="left" w:pos="1418"/>
        </w:tabs>
        <w:suppressAutoHyphens/>
        <w:spacing w:before="120" w:after="0" w:line="257" w:lineRule="auto"/>
        <w:ind w:left="1418" w:hanging="425"/>
        <w:jc w:val="both"/>
        <w:rPr>
          <w:rFonts w:ascii="Arial" w:hAnsi="Arial" w:cs="Arial"/>
          <w:sz w:val="21"/>
        </w:rPr>
      </w:pPr>
      <w:r w:rsidRPr="00076DCD">
        <w:rPr>
          <w:rFonts w:ascii="Arial" w:eastAsia="Times New Roman" w:hAnsi="Arial" w:cs="Arial"/>
          <w:sz w:val="21"/>
          <w:szCs w:val="21"/>
          <w:lang w:val="es-ES"/>
        </w:rPr>
        <w:t>a.1</w:t>
      </w:r>
      <w:r w:rsidRPr="00076DCD">
        <w:rPr>
          <w:rFonts w:ascii="Arial" w:eastAsia="Times New Roman" w:hAnsi="Arial" w:cs="Arial"/>
          <w:sz w:val="21"/>
          <w:szCs w:val="21"/>
          <w:lang w:val="es-ES"/>
        </w:rPr>
        <w:tab/>
        <w:t xml:space="preserve">Cuando la terminación se realice antes de la Puesta en Operación Comercial, el </w:t>
      </w:r>
      <w:r w:rsidRPr="00076DCD">
        <w:rPr>
          <w:rFonts w:ascii="Arial" w:hAnsi="Arial" w:cs="Arial"/>
          <w:sz w:val="21"/>
        </w:rPr>
        <w:t>Valor Contable de los Bienes de la Concesión y los gastos preoperativos existentes, incluyendo intereses durante la etapa de construcción, calculados a la fecha de terminación de la Concesión</w:t>
      </w:r>
      <w:r w:rsidRPr="00076DCD">
        <w:rPr>
          <w:rFonts w:ascii="Arial" w:eastAsia="Times New Roman" w:hAnsi="Arial" w:cs="Arial"/>
          <w:sz w:val="21"/>
          <w:szCs w:val="21"/>
        </w:rPr>
        <w:t>.</w:t>
      </w:r>
    </w:p>
    <w:p w:rsidR="00AF6615" w:rsidRPr="00076DCD" w:rsidRDefault="00AF6615" w:rsidP="00B07EB1">
      <w:pPr>
        <w:widowControl w:val="0"/>
        <w:suppressLineNumbers/>
        <w:shd w:val="clear" w:color="auto" w:fill="FFFFFF"/>
        <w:tabs>
          <w:tab w:val="left" w:pos="1418"/>
        </w:tabs>
        <w:suppressAutoHyphens/>
        <w:spacing w:before="120" w:after="0" w:line="257" w:lineRule="auto"/>
        <w:ind w:left="1418" w:hanging="425"/>
        <w:jc w:val="both"/>
        <w:rPr>
          <w:rFonts w:ascii="Arial" w:hAnsi="Arial" w:cs="Arial"/>
          <w:sz w:val="21"/>
        </w:rPr>
      </w:pPr>
      <w:r w:rsidRPr="00076DCD">
        <w:rPr>
          <w:rFonts w:ascii="Arial" w:eastAsia="Times New Roman" w:hAnsi="Arial" w:cs="Arial"/>
          <w:sz w:val="21"/>
          <w:szCs w:val="21"/>
          <w:lang w:val="es-ES"/>
        </w:rPr>
        <w:t>a.2</w:t>
      </w:r>
      <w:r w:rsidRPr="00076DCD">
        <w:rPr>
          <w:rFonts w:ascii="Arial" w:eastAsia="Times New Roman" w:hAnsi="Arial" w:cs="Arial"/>
          <w:sz w:val="21"/>
          <w:szCs w:val="21"/>
          <w:lang w:val="es-ES"/>
        </w:rPr>
        <w:tab/>
        <w:t>Cuando la terminación se realice después de la Puesta en Operación Comercial,</w:t>
      </w:r>
      <w:r w:rsidRPr="00076DCD">
        <w:rPr>
          <w:rFonts w:ascii="Arial" w:hAnsi="Arial" w:cs="Arial"/>
          <w:sz w:val="21"/>
        </w:rPr>
        <w:t xml:space="preserve"> la cantidad que resulte mayor entre:</w:t>
      </w:r>
    </w:p>
    <w:p w:rsidR="00AF6615" w:rsidRPr="00076DCD" w:rsidRDefault="00AF6615" w:rsidP="00B07EB1">
      <w:pPr>
        <w:widowControl w:val="0"/>
        <w:numPr>
          <w:ilvl w:val="2"/>
          <w:numId w:val="24"/>
        </w:numPr>
        <w:suppressLineNumbers/>
        <w:shd w:val="clear" w:color="auto" w:fill="FFFFFF"/>
        <w:tabs>
          <w:tab w:val="clear" w:pos="2160"/>
          <w:tab w:val="left" w:pos="1843"/>
        </w:tabs>
        <w:suppressAutoHyphens/>
        <w:spacing w:before="120" w:after="0" w:line="257" w:lineRule="auto"/>
        <w:ind w:left="1843" w:hanging="283"/>
        <w:jc w:val="both"/>
        <w:rPr>
          <w:rFonts w:ascii="Arial" w:hAnsi="Arial" w:cs="Arial"/>
          <w:sz w:val="21"/>
        </w:rPr>
      </w:pPr>
      <w:r w:rsidRPr="00076DCD">
        <w:rPr>
          <w:rFonts w:ascii="Arial" w:hAnsi="Arial" w:cs="Arial"/>
          <w:sz w:val="21"/>
        </w:rPr>
        <w:t xml:space="preserve">El valor presente de los ingresos por </w:t>
      </w:r>
      <w:r w:rsidR="00636179" w:rsidRPr="00076DCD">
        <w:rPr>
          <w:rFonts w:ascii="Arial" w:hAnsi="Arial" w:cs="Arial"/>
          <w:sz w:val="21"/>
        </w:rPr>
        <w:t>el Costo Medio Anual</w:t>
      </w:r>
      <w:r w:rsidRPr="00076DCD">
        <w:rPr>
          <w:rFonts w:ascii="Arial" w:hAnsi="Arial" w:cs="Arial"/>
          <w:sz w:val="21"/>
        </w:rPr>
        <w:t xml:space="preserve"> que se hubiera generado durante el saldo del plazo del Contrato, empleando a estos efectos una tasa de descuento de 12% nominal en Dólares.</w:t>
      </w:r>
    </w:p>
    <w:p w:rsidR="00AF6615" w:rsidRPr="00076DCD" w:rsidRDefault="00AF6615" w:rsidP="00B07EB1">
      <w:pPr>
        <w:widowControl w:val="0"/>
        <w:numPr>
          <w:ilvl w:val="2"/>
          <w:numId w:val="24"/>
        </w:numPr>
        <w:suppressLineNumbers/>
        <w:shd w:val="clear" w:color="auto" w:fill="FFFFFF"/>
        <w:tabs>
          <w:tab w:val="clear" w:pos="2160"/>
          <w:tab w:val="left" w:pos="1843"/>
        </w:tabs>
        <w:suppressAutoHyphens/>
        <w:spacing w:before="120" w:after="0" w:line="257" w:lineRule="auto"/>
        <w:ind w:left="1843" w:hanging="283"/>
        <w:jc w:val="both"/>
        <w:rPr>
          <w:rFonts w:ascii="Arial" w:hAnsi="Arial" w:cs="Arial"/>
          <w:sz w:val="21"/>
        </w:rPr>
      </w:pPr>
      <w:r w:rsidRPr="00076DCD">
        <w:rPr>
          <w:rFonts w:ascii="Arial" w:hAnsi="Arial" w:cs="Arial"/>
          <w:sz w:val="21"/>
        </w:rPr>
        <w:t>El Valor Contable que los Bienes de la Concesión tuvieran a la fecha de terminación de la Concesión.</w:t>
      </w:r>
    </w:p>
    <w:p w:rsidR="00F5124D" w:rsidRDefault="00F5124D">
      <w:pPr>
        <w:rPr>
          <w:rFonts w:ascii="Arial" w:hAnsi="Arial" w:cs="Arial"/>
          <w:sz w:val="21"/>
          <w:lang w:val="es-ES"/>
        </w:rPr>
      </w:pPr>
      <w:r>
        <w:rPr>
          <w:rFonts w:ascii="Arial" w:hAnsi="Arial" w:cs="Arial"/>
          <w:sz w:val="21"/>
          <w:lang w:val="es-ES"/>
        </w:rPr>
        <w:br w:type="page"/>
      </w:r>
    </w:p>
    <w:p w:rsidR="00AF6615" w:rsidRPr="00076DCD" w:rsidRDefault="00AF6615" w:rsidP="00B07EB1">
      <w:pPr>
        <w:widowControl w:val="0"/>
        <w:numPr>
          <w:ilvl w:val="0"/>
          <w:numId w:val="24"/>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lang w:val="es-ES"/>
        </w:rPr>
      </w:pPr>
      <w:r w:rsidRPr="00076DCD">
        <w:rPr>
          <w:rFonts w:ascii="Arial" w:hAnsi="Arial" w:cs="Arial"/>
          <w:sz w:val="21"/>
          <w:lang w:val="es-ES"/>
        </w:rPr>
        <w:lastRenderedPageBreak/>
        <w:t>El cálculo de la cantidad a pagar será efectuado por un Experto, que será designado y actuará conforme a las reglas de la Cláusula 14.4.</w:t>
      </w:r>
    </w:p>
    <w:p w:rsidR="00AF6615" w:rsidRPr="00076DCD" w:rsidRDefault="00AF6615" w:rsidP="00B07EB1">
      <w:pPr>
        <w:widowControl w:val="0"/>
        <w:numPr>
          <w:ilvl w:val="0"/>
          <w:numId w:val="24"/>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lang w:val="es-ES"/>
        </w:rPr>
      </w:pPr>
      <w:r w:rsidRPr="00076DCD">
        <w:rPr>
          <w:rFonts w:ascii="Arial" w:hAnsi="Arial" w:cs="Arial"/>
          <w:sz w:val="21"/>
          <w:lang w:val="es-ES"/>
        </w:rPr>
        <w:t>De la cantidad calculada conforme al literal b), el Concedente descontará los conceptos indicados en la Cláusula 13.11.a), a excepción de los gastos efectuados por el interventor y el Concedente, asociados al proceso de intervención y de licitación.</w:t>
      </w:r>
    </w:p>
    <w:p w:rsidR="00AF6615" w:rsidRPr="00076DCD" w:rsidRDefault="00AF6615" w:rsidP="00B07EB1">
      <w:pPr>
        <w:widowControl w:val="0"/>
        <w:numPr>
          <w:ilvl w:val="0"/>
          <w:numId w:val="24"/>
        </w:numPr>
        <w:suppressLineNumbers/>
        <w:shd w:val="clear" w:color="auto" w:fill="FFFFFF"/>
        <w:tabs>
          <w:tab w:val="clear" w:pos="1440"/>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lang w:val="es-ES"/>
        </w:rPr>
        <w:t>El monto neto</w:t>
      </w:r>
      <w:r w:rsidRPr="00076DCD">
        <w:rPr>
          <w:rFonts w:ascii="Arial" w:hAnsi="Arial" w:cs="Arial"/>
          <w:sz w:val="21"/>
        </w:rPr>
        <w:t xml:space="preserve">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F6615" w:rsidRPr="00076DCD" w:rsidRDefault="00AF6615" w:rsidP="00B07EB1">
      <w:pPr>
        <w:widowControl w:val="0"/>
        <w:numPr>
          <w:ilvl w:val="1"/>
          <w:numId w:val="42"/>
        </w:numPr>
        <w:suppressLineNumbers/>
        <w:shd w:val="clear" w:color="auto" w:fill="FFFFFF"/>
        <w:tabs>
          <w:tab w:val="left" w:pos="567"/>
        </w:tabs>
        <w:suppressAutoHyphens/>
        <w:spacing w:before="120" w:after="0" w:line="257" w:lineRule="auto"/>
        <w:ind w:left="567" w:hanging="567"/>
        <w:jc w:val="both"/>
        <w:rPr>
          <w:rFonts w:ascii="Arial" w:hAnsi="Arial" w:cs="Arial"/>
          <w:sz w:val="21"/>
        </w:rPr>
      </w:pPr>
      <w:r w:rsidRPr="00076DCD">
        <w:rPr>
          <w:rFonts w:ascii="Arial" w:eastAsia="Times New Roman" w:hAnsi="Arial" w:cs="Arial"/>
          <w:sz w:val="21"/>
          <w:szCs w:val="21"/>
        </w:rPr>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w:t>
      </w:r>
      <w:r w:rsidR="00DC777D" w:rsidRPr="00076DCD">
        <w:rPr>
          <w:rFonts w:ascii="Arial" w:eastAsia="Times New Roman" w:hAnsi="Arial" w:cs="Arial"/>
          <w:sz w:val="21"/>
          <w:szCs w:val="21"/>
        </w:rPr>
        <w:t>2</w:t>
      </w:r>
      <w:r w:rsidRPr="00076DCD">
        <w:rPr>
          <w:rFonts w:ascii="Arial" w:eastAsia="Times New Roman" w:hAnsi="Arial" w:cs="Arial"/>
          <w:sz w:val="21"/>
          <w:szCs w:val="21"/>
        </w:rPr>
        <w:t xml:space="preserve"> del Contrato.</w:t>
      </w:r>
    </w:p>
    <w:p w:rsidR="00AF6615" w:rsidRPr="00076DCD" w:rsidRDefault="00AF6615"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14.</w:t>
      </w:r>
      <w:r w:rsidRPr="00076DCD">
        <w:rPr>
          <w:rFonts w:ascii="Arial" w:eastAsia="Times New Roman" w:hAnsi="Arial" w:cs="Arial"/>
          <w:b/>
          <w:sz w:val="24"/>
          <w:szCs w:val="24"/>
          <w:lang w:eastAsia="zh-CN"/>
        </w:rPr>
        <w:tab/>
        <w:t>Solución de controversias</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color w:val="000000"/>
          <w:sz w:val="21"/>
        </w:rPr>
      </w:pPr>
      <w:r w:rsidRPr="00076DCD">
        <w:rPr>
          <w:rFonts w:ascii="Arial" w:hAnsi="Arial" w:cs="Arial"/>
          <w:color w:val="000000"/>
          <w:sz w:val="21"/>
        </w:rPr>
        <w:t>Las Partes declaran que es su voluntad que todos</w:t>
      </w:r>
      <w:r w:rsidRPr="00076DCD">
        <w:rPr>
          <w:rFonts w:ascii="Arial" w:hAnsi="Arial" w:cs="Arial"/>
          <w:sz w:val="21"/>
        </w:rPr>
        <w:t xml:space="preserve"> los conflictos y controversias que pudieran surgir entre las Partes sobre la interpretación, ejecución, cumplimiento y cualquier aspecto relativo a la existencia, validez o resolución del Contrato, </w:t>
      </w:r>
      <w:r w:rsidRPr="00076DCD">
        <w:rPr>
          <w:rFonts w:ascii="Arial" w:hAnsi="Arial" w:cs="Arial"/>
          <w:color w:val="000000"/>
          <w:sz w:val="21"/>
        </w:rPr>
        <w:t>sean</w:t>
      </w:r>
      <w:r w:rsidRPr="00076DCD">
        <w:rPr>
          <w:rFonts w:ascii="Arial" w:hAnsi="Arial" w:cs="Arial"/>
          <w:sz w:val="21"/>
        </w:rPr>
        <w:t xml:space="preserve"> resueltos por trato directo entre las Partes</w:t>
      </w:r>
      <w:r w:rsidRPr="00076DCD">
        <w:rPr>
          <w:rFonts w:ascii="Arial" w:hAnsi="Arial" w:cs="Arial"/>
          <w:color w:val="000000"/>
          <w:sz w:val="21"/>
        </w:rPr>
        <w:t>.</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color w:val="000000"/>
          <w:sz w:val="21"/>
        </w:rPr>
        <w:t>En caso de arbitraje nacional, el período</w:t>
      </w:r>
      <w:r w:rsidRPr="00076DCD">
        <w:rPr>
          <w:rFonts w:ascii="Arial" w:hAnsi="Arial" w:cs="Arial"/>
          <w:sz w:val="21"/>
        </w:rPr>
        <w:t xml:space="preserve"> de </w:t>
      </w:r>
      <w:r w:rsidRPr="00076DCD">
        <w:rPr>
          <w:rFonts w:ascii="Arial" w:hAnsi="Arial" w:cs="Arial"/>
          <w:color w:val="000000"/>
          <w:sz w:val="21"/>
        </w:rPr>
        <w:t xml:space="preserve">negociación o trato directo será no mayor a </w:t>
      </w:r>
      <w:r w:rsidRPr="00076DCD">
        <w:rPr>
          <w:rFonts w:ascii="Arial" w:hAnsi="Arial" w:cs="Arial"/>
          <w:sz w:val="21"/>
        </w:rPr>
        <w:t>quince (15) Días, contado a partir de la fecha en que una Parte comunica a la otra, por escrito, la existencia de un conflicto o controversia.</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 xml:space="preserve">En caso de arbitraje internacional, el periodo de negociación o trato directo será de seis (6) meses. Dicho plazo se computará a partir de la fecha en la que la Parte que invoca la cláusula notifique su solicitud de iniciar el trato directo </w:t>
      </w:r>
      <w:r w:rsidRPr="00076DCD">
        <w:rPr>
          <w:rFonts w:ascii="Arial" w:hAnsi="Arial" w:cs="Arial"/>
          <w:color w:val="000000"/>
          <w:sz w:val="21"/>
        </w:rPr>
        <w:t>por escrito, incluyendo información detallada (antecedentes, hechos, puntos de controversia, pretensiones y propuestas de alternativas de solución de controversia)</w:t>
      </w:r>
      <w:r w:rsidRPr="00076DCD">
        <w:rPr>
          <w:rFonts w:ascii="Arial" w:hAnsi="Arial" w:cs="Arial"/>
          <w:sz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En caso que las Partes, dentro del plazo de trato directo,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rsidR="00F5124D" w:rsidRDefault="00F5124D">
      <w:pPr>
        <w:rPr>
          <w:rFonts w:ascii="Arial" w:hAnsi="Arial" w:cs="Arial"/>
          <w:sz w:val="21"/>
        </w:rPr>
      </w:pPr>
      <w:r>
        <w:rPr>
          <w:rFonts w:ascii="Arial" w:hAnsi="Arial" w:cs="Arial"/>
          <w:sz w:val="21"/>
        </w:rPr>
        <w:br w:type="page"/>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lastRenderedPageBreak/>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En caso que las Partes no se pusieran de acuerdo en la designación del Experto, entonces el Experto deberá ser designado por dos personas, cada una de ellas designada por una de las Partes.</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El Experto deberá guardar absoluta reserva y mantener confidencialidad sobre toda la información que conozca por su participación en la resolución de una Controversia Técnica.</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Las Controversias No-Técnicas serán resueltas mediante arbitraje de derecho, nacional o internacional, de acuerdo a lo siguiente:</w:t>
      </w:r>
    </w:p>
    <w:p w:rsidR="00AF6615" w:rsidRPr="00076DCD" w:rsidRDefault="00AF6615" w:rsidP="00B07EB1">
      <w:pPr>
        <w:widowControl w:val="0"/>
        <w:suppressLineNumbers/>
        <w:shd w:val="clear" w:color="auto" w:fill="FFFFFF"/>
        <w:tabs>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lastRenderedPageBreak/>
        <w:t>a)</w:t>
      </w:r>
      <w:r w:rsidRPr="00076DCD">
        <w:rPr>
          <w:rFonts w:ascii="Arial" w:hAnsi="Arial" w:cs="Arial"/>
          <w:sz w:val="21"/>
        </w:rPr>
        <w:tab/>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AF6615" w:rsidRPr="00076DCD" w:rsidRDefault="00AF6615" w:rsidP="00B07EB1">
      <w:pPr>
        <w:widowControl w:val="0"/>
        <w:suppressLineNumbers/>
        <w:shd w:val="clear" w:color="auto" w:fill="FFFFFF"/>
        <w:tabs>
          <w:tab w:val="left" w:pos="993"/>
        </w:tabs>
        <w:suppressAutoHyphens/>
        <w:spacing w:before="120" w:after="0" w:line="257" w:lineRule="auto"/>
        <w:ind w:left="993" w:hanging="426"/>
        <w:jc w:val="both"/>
        <w:rPr>
          <w:rFonts w:ascii="Arial" w:hAnsi="Arial" w:cs="Arial"/>
          <w:sz w:val="21"/>
        </w:rPr>
      </w:pPr>
      <w:r w:rsidRPr="00076DCD">
        <w:rPr>
          <w:rFonts w:ascii="Arial" w:hAnsi="Arial" w:cs="Arial"/>
          <w:sz w:val="21"/>
        </w:rPr>
        <w:t>b)</w:t>
      </w:r>
      <w:r w:rsidRPr="00076DCD">
        <w:rPr>
          <w:rFonts w:ascii="Arial" w:hAnsi="Arial" w:cs="Arial"/>
          <w:sz w:val="21"/>
        </w:rPr>
        <w:tab/>
        <w:t xml:space="preserve">Las controversias cuya cuantía sea superior a </w:t>
      </w:r>
      <w:r w:rsidR="00524C88" w:rsidRPr="00076DCD">
        <w:rPr>
          <w:rFonts w:ascii="Arial" w:hAnsi="Arial" w:cs="Arial"/>
          <w:sz w:val="21"/>
        </w:rPr>
        <w:t xml:space="preserve">treinta </w:t>
      </w:r>
      <w:r w:rsidRPr="00076DCD">
        <w:rPr>
          <w:rFonts w:ascii="Arial" w:hAnsi="Arial" w:cs="Arial"/>
          <w:sz w:val="21"/>
        </w:rPr>
        <w:t xml:space="preserve">millones de Dólares                          (US$ </w:t>
      </w:r>
      <w:r w:rsidR="00524C88" w:rsidRPr="00076DCD">
        <w:rPr>
          <w:rFonts w:ascii="Arial" w:hAnsi="Arial" w:cs="Arial"/>
          <w:sz w:val="21"/>
        </w:rPr>
        <w:t>3</w:t>
      </w:r>
      <w:r w:rsidRPr="00076DCD">
        <w:rPr>
          <w:rFonts w:ascii="Arial" w:hAnsi="Arial" w:cs="Arial"/>
          <w:sz w:val="21"/>
        </w:rPr>
        <w:t xml:space="preserve">0 000 000,00) o su equivalente en moneda nacional, serán resueltas mediante trato directo de acuerdo al plazo establecido en el </w:t>
      </w:r>
      <w:r w:rsidR="003740E8" w:rsidRPr="00076DCD">
        <w:rPr>
          <w:rFonts w:ascii="Arial" w:hAnsi="Arial" w:cs="Arial"/>
          <w:sz w:val="21"/>
        </w:rPr>
        <w:t>tercer</w:t>
      </w:r>
      <w:r w:rsidRPr="00076DCD">
        <w:rPr>
          <w:rFonts w:ascii="Arial" w:hAnsi="Arial" w:cs="Arial"/>
          <w:sz w:val="21"/>
        </w:rPr>
        <w:t xml:space="preserve">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b/>
          <w:sz w:val="21"/>
        </w:rPr>
      </w:pPr>
      <w:r w:rsidRPr="00076DCD">
        <w:rPr>
          <w:rFonts w:ascii="Arial" w:hAnsi="Arial" w:cs="Arial"/>
          <w:sz w:val="21"/>
        </w:rPr>
        <w:t>Las Partes expresan su consentimiento anticipado e irrevocable para que toda diferencia de esta naturaleza pueda ser sometida a arbitraje CIADI, según lo señalado en el párrafo precedente.</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Alternativamente, las Partes podrán acordar someter la controversia a otro fuero distinto del CIADI si así lo estimaran conveniente.</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El arbitraje tendrá lugar en la ciudad de Washington, D.C., o en la ciudad de Lima, a elección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 xml:space="preserve">Si una de las Partes no designase el árbitro que le corresponde dentro del plazo de </w:t>
      </w:r>
      <w:r w:rsidR="008F21E1" w:rsidRPr="00076DCD">
        <w:rPr>
          <w:rFonts w:ascii="Arial" w:hAnsi="Arial" w:cs="Arial"/>
          <w:sz w:val="21"/>
        </w:rPr>
        <w:t>sesenta</w:t>
      </w:r>
      <w:r w:rsidRPr="00076DCD">
        <w:rPr>
          <w:rFonts w:ascii="Arial" w:hAnsi="Arial" w:cs="Arial"/>
          <w:sz w:val="21"/>
        </w:rPr>
        <w:t xml:space="preserve"> (</w:t>
      </w:r>
      <w:r w:rsidR="008F21E1" w:rsidRPr="00076DCD">
        <w:rPr>
          <w:rFonts w:ascii="Arial" w:hAnsi="Arial" w:cs="Arial"/>
          <w:sz w:val="21"/>
        </w:rPr>
        <w:t>6</w:t>
      </w:r>
      <w:r w:rsidRPr="00076DCD">
        <w:rPr>
          <w:rFonts w:ascii="Arial" w:hAnsi="Arial" w:cs="Arial"/>
          <w:sz w:val="21"/>
        </w:rPr>
        <w:t>0) Días contado a partir de la fecha de recepción del respectivo pedido de nombramiento, se considerará que ha renunciado a su derecho y el árbitro será designado por el CIADI a pedido de la otra Parte.</w:t>
      </w:r>
    </w:p>
    <w:p w:rsidR="00AF6615" w:rsidRPr="00076DCD" w:rsidRDefault="00AF6615" w:rsidP="00B07EB1">
      <w:pPr>
        <w:widowControl w:val="0"/>
        <w:suppressLineNumbers/>
        <w:shd w:val="clear" w:color="auto" w:fill="FFFFFF"/>
        <w:tabs>
          <w:tab w:val="left" w:pos="993"/>
        </w:tabs>
        <w:suppressAutoHyphens/>
        <w:spacing w:before="120" w:after="0" w:line="257" w:lineRule="auto"/>
        <w:ind w:left="993" w:hanging="426"/>
        <w:jc w:val="both"/>
        <w:rPr>
          <w:rFonts w:ascii="Arial" w:hAnsi="Arial" w:cs="Arial"/>
          <w:b/>
          <w:sz w:val="21"/>
        </w:rPr>
      </w:pPr>
      <w:r w:rsidRPr="00076DCD">
        <w:rPr>
          <w:rFonts w:ascii="Arial" w:hAnsi="Arial" w:cs="Arial"/>
          <w:sz w:val="21"/>
        </w:rPr>
        <w:lastRenderedPageBreak/>
        <w:t>c)</w:t>
      </w:r>
      <w:r w:rsidRPr="00076DCD">
        <w:rPr>
          <w:rFonts w:ascii="Arial" w:hAnsi="Arial" w:cs="Arial"/>
          <w:sz w:val="21"/>
        </w:rPr>
        <w:tab/>
        <w:t xml:space="preserve">Las controversias cuya cuantía sea igual o menor a </w:t>
      </w:r>
      <w:r w:rsidR="00524C88" w:rsidRPr="00076DCD">
        <w:rPr>
          <w:rFonts w:ascii="Arial" w:hAnsi="Arial" w:cs="Arial"/>
          <w:sz w:val="21"/>
        </w:rPr>
        <w:t xml:space="preserve">treinta </w:t>
      </w:r>
      <w:r w:rsidRPr="00076DCD">
        <w:rPr>
          <w:rFonts w:ascii="Arial" w:hAnsi="Arial" w:cs="Arial"/>
          <w:sz w:val="21"/>
        </w:rPr>
        <w:t xml:space="preserve">millones de Dólares    </w:t>
      </w:r>
      <w:r w:rsidR="0057431B" w:rsidRPr="00076DCD">
        <w:rPr>
          <w:rFonts w:ascii="Arial" w:hAnsi="Arial" w:cs="Arial"/>
          <w:sz w:val="21"/>
        </w:rPr>
        <w:t xml:space="preserve">     </w:t>
      </w:r>
      <w:r w:rsidRPr="00076DCD">
        <w:rPr>
          <w:rFonts w:ascii="Arial" w:hAnsi="Arial" w:cs="Arial"/>
          <w:sz w:val="21"/>
        </w:rPr>
        <w:t xml:space="preserve"> (US$ </w:t>
      </w:r>
      <w:r w:rsidR="00524C88" w:rsidRPr="00076DCD">
        <w:rPr>
          <w:rFonts w:ascii="Arial" w:hAnsi="Arial" w:cs="Arial"/>
          <w:sz w:val="21"/>
        </w:rPr>
        <w:t>3</w:t>
      </w:r>
      <w:r w:rsidRPr="00076DCD">
        <w:rPr>
          <w:rFonts w:ascii="Arial" w:hAnsi="Arial" w:cs="Arial"/>
          <w:sz w:val="21"/>
        </w:rPr>
        <w:t>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F6615" w:rsidRPr="00076DCD" w:rsidRDefault="00AF6615" w:rsidP="00B07EB1">
      <w:pPr>
        <w:widowControl w:val="0"/>
        <w:suppressLineNumbers/>
        <w:shd w:val="clear" w:color="auto" w:fill="FFFFFF"/>
        <w:suppressAutoHyphens/>
        <w:spacing w:before="120" w:after="0" w:line="257" w:lineRule="auto"/>
        <w:ind w:left="993"/>
        <w:jc w:val="both"/>
        <w:rPr>
          <w:rFonts w:ascii="Arial" w:hAnsi="Arial" w:cs="Arial"/>
          <w:sz w:val="21"/>
        </w:rPr>
      </w:pPr>
      <w:r w:rsidRPr="00076DCD">
        <w:rPr>
          <w:rFonts w:ascii="Arial" w:hAnsi="Arial" w:cs="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artículos 62</w:t>
      </w:r>
      <w:r w:rsidRPr="00076DCD">
        <w:rPr>
          <w:rFonts w:ascii="Arial" w:hAnsi="Arial" w:cs="Arial"/>
          <w:b/>
          <w:sz w:val="21"/>
        </w:rPr>
        <w:t>°</w:t>
      </w:r>
      <w:r w:rsidRPr="00076DCD">
        <w:rPr>
          <w:rFonts w:ascii="Arial" w:hAnsi="Arial" w:cs="Arial"/>
          <w:sz w:val="21"/>
        </w:rPr>
        <w:t xml:space="preserve"> y 63</w:t>
      </w:r>
      <w:r w:rsidRPr="00076DCD">
        <w:rPr>
          <w:rFonts w:ascii="Arial" w:hAnsi="Arial" w:cs="Arial"/>
          <w:b/>
          <w:sz w:val="21"/>
        </w:rPr>
        <w:t>°</w:t>
      </w:r>
      <w:r w:rsidRPr="00076DCD">
        <w:rPr>
          <w:rFonts w:ascii="Arial" w:hAnsi="Arial" w:cs="Arial"/>
          <w:sz w:val="21"/>
        </w:rPr>
        <w:t xml:space="preserve"> del Decreto Legislativo N° 1071 </w:t>
      </w:r>
      <w:r w:rsidR="000F61E8" w:rsidRPr="00076DCD">
        <w:rPr>
          <w:rFonts w:ascii="Arial" w:hAnsi="Arial" w:cs="Arial"/>
          <w:sz w:val="21"/>
        </w:rPr>
        <w:t>o</w:t>
      </w:r>
      <w:r w:rsidRPr="00076DCD">
        <w:rPr>
          <w:rFonts w:ascii="Arial" w:hAnsi="Arial" w:cs="Arial"/>
          <w:sz w:val="21"/>
        </w:rPr>
        <w:t xml:space="preserve"> en los artículos 51° y 52° del Convenio CIADI, según sea aplicable.</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 xml:space="preserve">Durante el desarrollo del arbitraje </w:t>
      </w:r>
      <w:r w:rsidR="001107BF" w:rsidRPr="00076DCD">
        <w:rPr>
          <w:rFonts w:ascii="Arial" w:hAnsi="Arial" w:cs="Arial"/>
          <w:sz w:val="21"/>
        </w:rPr>
        <w:t>o trato directo,</w:t>
      </w:r>
      <w:r w:rsidR="00551606" w:rsidRPr="00076DCD">
        <w:rPr>
          <w:rFonts w:ascii="Arial" w:hAnsi="Arial" w:cs="Arial"/>
          <w:sz w:val="21"/>
        </w:rPr>
        <w:t xml:space="preserve"> </w:t>
      </w:r>
      <w:r w:rsidRPr="00076DCD">
        <w:rPr>
          <w:rFonts w:ascii="Arial" w:hAnsi="Arial" w:cs="Arial"/>
          <w:sz w:val="21"/>
        </w:rPr>
        <w:t>las Partes continuarán con la ejecución de sus obligaciones contractuales, en la medida en que sea posible, inclusive con aquéllas materia del arbitraje.</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 xml:space="preserve">Si la materia </w:t>
      </w:r>
      <w:r w:rsidR="00551606" w:rsidRPr="00076DCD">
        <w:rPr>
          <w:rFonts w:ascii="Arial" w:hAnsi="Arial" w:cs="Arial"/>
          <w:sz w:val="21"/>
        </w:rPr>
        <w:t>de</w:t>
      </w:r>
      <w:r w:rsidR="001107BF" w:rsidRPr="00076DCD">
        <w:rPr>
          <w:rFonts w:ascii="Arial" w:hAnsi="Arial" w:cs="Arial"/>
          <w:sz w:val="21"/>
        </w:rPr>
        <w:t>l trato directo o</w:t>
      </w:r>
      <w:r w:rsidRPr="00076DCD">
        <w:rPr>
          <w:rFonts w:ascii="Arial" w:hAnsi="Arial" w:cs="Arial"/>
          <w:sz w:val="21"/>
        </w:rPr>
        <w:t xml:space="preserve">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F6615" w:rsidRPr="00076DCD" w:rsidRDefault="00AF6615" w:rsidP="00B07EB1">
      <w:pPr>
        <w:widowControl w:val="0"/>
        <w:suppressLineNumbers/>
        <w:shd w:val="clear" w:color="auto" w:fill="FFFFFF"/>
        <w:suppressAutoHyphens/>
        <w:spacing w:before="120" w:after="0" w:line="257" w:lineRule="auto"/>
        <w:ind w:left="567"/>
        <w:jc w:val="both"/>
        <w:rPr>
          <w:rFonts w:ascii="Arial" w:hAnsi="Arial" w:cs="Arial"/>
          <w:sz w:val="21"/>
        </w:rPr>
      </w:pPr>
      <w:r w:rsidRPr="00076DCD">
        <w:rPr>
          <w:rFonts w:ascii="Arial" w:hAnsi="Arial" w:cs="Arial"/>
          <w:sz w:val="21"/>
        </w:rPr>
        <w:t>Se excluye de lo dispuesto en esta Cláusula los costos y gastos tales como honorarios de asesores, costos internos u otros que resulten imputables a una Parte de manera individual.</w:t>
      </w:r>
    </w:p>
    <w:p w:rsidR="00AF6615" w:rsidRPr="00076DCD" w:rsidRDefault="00AF6615" w:rsidP="00B07EB1">
      <w:pPr>
        <w:widowControl w:val="0"/>
        <w:numPr>
          <w:ilvl w:val="1"/>
          <w:numId w:val="12"/>
        </w:numPr>
        <w:suppressLineNumbers/>
        <w:shd w:val="clear" w:color="auto" w:fill="FFFFFF"/>
        <w:tabs>
          <w:tab w:val="clear" w:pos="360"/>
          <w:tab w:val="left" w:pos="567"/>
        </w:tabs>
        <w:suppressAutoHyphens/>
        <w:spacing w:before="120" w:after="0" w:line="257" w:lineRule="auto"/>
        <w:ind w:left="567" w:hanging="567"/>
        <w:jc w:val="both"/>
        <w:rPr>
          <w:rFonts w:ascii="Arial" w:hAnsi="Arial" w:cs="Arial"/>
          <w:sz w:val="21"/>
        </w:rPr>
      </w:pPr>
      <w:r w:rsidRPr="00076DCD">
        <w:rPr>
          <w:rFonts w:ascii="Arial" w:hAnsi="Arial" w:cs="Arial"/>
          <w:sz w:val="21"/>
        </w:rPr>
        <w:t>La Sociedad Concesionaria renuncia de manera expresa, incondicional e irrevocable a cualquier reclamación diplomática.</w:t>
      </w:r>
    </w:p>
    <w:p w:rsidR="00F5124D" w:rsidRDefault="00F5124D">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AF6615" w:rsidRPr="00076DCD" w:rsidRDefault="00AF6615" w:rsidP="00F5124D">
      <w:pPr>
        <w:widowControl w:val="0"/>
        <w:suppressLineNumbers/>
        <w:suppressAutoHyphens/>
        <w:spacing w:before="360" w:after="240" w:line="250"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lastRenderedPageBreak/>
        <w:t>15.</w:t>
      </w:r>
      <w:r w:rsidRPr="00076DCD">
        <w:rPr>
          <w:rFonts w:ascii="Arial" w:eastAsia="Times New Roman" w:hAnsi="Arial" w:cs="Arial"/>
          <w:b/>
          <w:sz w:val="24"/>
          <w:szCs w:val="24"/>
          <w:lang w:eastAsia="zh-CN"/>
        </w:rPr>
        <w:tab/>
        <w:t>Equilibrio Económico–Financiero</w:t>
      </w:r>
    </w:p>
    <w:p w:rsidR="001C6286" w:rsidRPr="00076DCD" w:rsidRDefault="00AF6615" w:rsidP="00F5124D">
      <w:pPr>
        <w:widowControl w:val="0"/>
        <w:numPr>
          <w:ilvl w:val="0"/>
          <w:numId w:val="41"/>
        </w:numPr>
        <w:suppressLineNumbers/>
        <w:tabs>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Las Partes reconocen que a la fecha de presentación de Ofertas la situación existente constituía una de equilibrio económico-financiero en términos de derechos, responsabilidades y riesgos asignados a las Partes.</w:t>
      </w:r>
    </w:p>
    <w:p w:rsidR="00AF6615" w:rsidRPr="00076DCD" w:rsidRDefault="00AF6615" w:rsidP="00F5124D">
      <w:pPr>
        <w:widowControl w:val="0"/>
        <w:numPr>
          <w:ilvl w:val="0"/>
          <w:numId w:val="41"/>
        </w:numPr>
        <w:suppressLineNumbers/>
        <w:tabs>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AF6615" w:rsidRPr="00076DCD" w:rsidRDefault="00AF6615" w:rsidP="00F5124D">
      <w:pPr>
        <w:widowControl w:val="0"/>
        <w:numPr>
          <w:ilvl w:val="0"/>
          <w:numId w:val="41"/>
        </w:numPr>
        <w:suppressLineNumbers/>
        <w:tabs>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equilibrio económico-financiero será restablecido si, como consecuencia de lo señalado en la Cláusula anterior, y en comparación con lo que habría pasado en el mismo período si no hubiesen ocurrido los cambios a que se refiere dicha Cláusula:</w:t>
      </w:r>
    </w:p>
    <w:p w:rsidR="00AF6615" w:rsidRPr="00076DCD" w:rsidRDefault="00AF6615" w:rsidP="00F5124D">
      <w:pPr>
        <w:widowControl w:val="0"/>
        <w:suppressLineNumbers/>
        <w:tabs>
          <w:tab w:val="left" w:pos="993"/>
        </w:tabs>
        <w:suppressAutoHyphens/>
        <w:spacing w:before="80" w:after="0" w:line="250"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a)</w:t>
      </w:r>
      <w:r w:rsidRPr="00076DCD">
        <w:rPr>
          <w:rFonts w:ascii="Arial" w:eastAsia="Times New Roman" w:hAnsi="Arial" w:cs="Arial"/>
          <w:sz w:val="21"/>
          <w:szCs w:val="21"/>
          <w:lang w:eastAsia="zh-CN"/>
        </w:rPr>
        <w:tab/>
      </w:r>
      <w:r w:rsidR="00252005" w:rsidRPr="00076DCD">
        <w:rPr>
          <w:rFonts w:ascii="Arial" w:hAnsi="Arial" w:cs="Arial"/>
          <w:sz w:val="21"/>
          <w:szCs w:val="21"/>
        </w:rPr>
        <w:t>Varíe</w:t>
      </w:r>
      <w:r w:rsidRPr="00076DCD">
        <w:rPr>
          <w:rFonts w:ascii="Arial" w:eastAsia="Times New Roman" w:hAnsi="Arial" w:cs="Arial"/>
          <w:sz w:val="21"/>
          <w:szCs w:val="21"/>
          <w:lang w:eastAsia="zh-CN"/>
        </w:rPr>
        <w:t xml:space="preserve"> los costos de inversión realizados por la Sociedad Concesionaria desde la Fecha de Cierre hasta la Puesta en Operación Comercial en un equivalente al cinco por ciento (5%) o más del Costo de la Inversión señalado en el Numeral 8.1.b</w:t>
      </w:r>
      <w:r w:rsidR="00871A98" w:rsidRPr="00076DCD">
        <w:rPr>
          <w:rFonts w:ascii="Arial" w:eastAsia="Times New Roman" w:hAnsi="Arial" w:cs="Arial"/>
          <w:sz w:val="21"/>
          <w:szCs w:val="21"/>
          <w:lang w:eastAsia="zh-CN"/>
        </w:rPr>
        <w:t>,</w:t>
      </w:r>
      <w:r w:rsidRPr="00076DCD">
        <w:rPr>
          <w:rFonts w:ascii="Arial" w:eastAsia="Times New Roman" w:hAnsi="Arial" w:cs="Arial"/>
          <w:sz w:val="21"/>
          <w:szCs w:val="21"/>
          <w:lang w:eastAsia="zh-CN"/>
        </w:rPr>
        <w:t xml:space="preserve"> debiendo considerarse para el restablecimiento del equilibrio económico financiero, la totalidad de la variación. o,</w:t>
      </w:r>
    </w:p>
    <w:p w:rsidR="00AF6615" w:rsidRPr="00076DCD" w:rsidRDefault="00AF6615" w:rsidP="00F5124D">
      <w:pPr>
        <w:widowControl w:val="0"/>
        <w:suppressLineNumbers/>
        <w:tabs>
          <w:tab w:val="left" w:pos="993"/>
        </w:tabs>
        <w:suppressAutoHyphens/>
        <w:spacing w:before="80" w:after="0" w:line="250"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b)</w:t>
      </w:r>
      <w:r w:rsidRPr="00076DCD">
        <w:rPr>
          <w:rFonts w:ascii="Arial" w:eastAsia="Times New Roman" w:hAnsi="Arial" w:cs="Arial"/>
          <w:sz w:val="21"/>
          <w:szCs w:val="21"/>
          <w:lang w:eastAsia="zh-CN"/>
        </w:rPr>
        <w:tab/>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w:t>
      </w:r>
      <w:r w:rsidR="004D4510" w:rsidRPr="00076DCD">
        <w:rPr>
          <w:rFonts w:ascii="Arial" w:eastAsia="Times New Roman" w:hAnsi="Arial" w:cs="Arial"/>
          <w:sz w:val="21"/>
          <w:szCs w:val="21"/>
          <w:lang w:eastAsia="zh-CN"/>
        </w:rPr>
        <w:t xml:space="preserve"> Costo Medio Anual</w:t>
      </w:r>
      <w:r w:rsidRPr="00076DCD">
        <w:rPr>
          <w:rFonts w:ascii="Arial" w:eastAsia="Times New Roman" w:hAnsi="Arial" w:cs="Arial"/>
          <w:sz w:val="21"/>
          <w:szCs w:val="21"/>
          <w:lang w:eastAsia="zh-CN"/>
        </w:rPr>
        <w:t xml:space="preserve"> vigente.</w:t>
      </w:r>
    </w:p>
    <w:p w:rsidR="00AF6615" w:rsidRPr="00076DCD" w:rsidRDefault="00AF6615" w:rsidP="00F5124D">
      <w:pPr>
        <w:widowControl w:val="0"/>
        <w:numPr>
          <w:ilvl w:val="0"/>
          <w:numId w:val="41"/>
        </w:numPr>
        <w:suppressLineNumbers/>
        <w:tabs>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AF6615" w:rsidRPr="00076DCD" w:rsidRDefault="00AF6615" w:rsidP="00F5124D">
      <w:pPr>
        <w:widowControl w:val="0"/>
        <w:numPr>
          <w:ilvl w:val="0"/>
          <w:numId w:val="41"/>
        </w:numPr>
        <w:suppressLineNumbers/>
        <w:tabs>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Parte afectada podrá invocar ruptura del equilibrio económico-financiero en los siguientes momentos:</w:t>
      </w:r>
    </w:p>
    <w:p w:rsidR="00AF6615" w:rsidRPr="00076DCD" w:rsidRDefault="00AF6615" w:rsidP="00F5124D">
      <w:pPr>
        <w:widowControl w:val="0"/>
        <w:suppressLineNumbers/>
        <w:tabs>
          <w:tab w:val="left" w:pos="993"/>
        </w:tabs>
        <w:suppressAutoHyphens/>
        <w:spacing w:before="80" w:after="0" w:line="250"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a)</w:t>
      </w:r>
      <w:r w:rsidRPr="00076DCD">
        <w:rPr>
          <w:rFonts w:ascii="Arial" w:eastAsia="Times New Roman" w:hAnsi="Arial" w:cs="Arial"/>
          <w:sz w:val="21"/>
          <w:szCs w:val="21"/>
          <w:lang w:eastAsia="zh-CN"/>
        </w:rPr>
        <w:tab/>
        <w:t>Dentro de los seis (6) primeros meses contados a partir de la Puesta en Operación Comercial, para lo dispuesto en el Numeral 15.3.a.</w:t>
      </w:r>
    </w:p>
    <w:p w:rsidR="00AF6615" w:rsidRPr="00076DCD" w:rsidRDefault="00AF6615" w:rsidP="00F5124D">
      <w:pPr>
        <w:widowControl w:val="0"/>
        <w:suppressLineNumbers/>
        <w:tabs>
          <w:tab w:val="left" w:pos="993"/>
        </w:tabs>
        <w:suppressAutoHyphens/>
        <w:spacing w:before="80" w:after="0" w:line="250" w:lineRule="auto"/>
        <w:ind w:left="992" w:hanging="425"/>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b)</w:t>
      </w:r>
      <w:r w:rsidRPr="00076DCD">
        <w:rPr>
          <w:rFonts w:ascii="Arial" w:eastAsia="Times New Roman" w:hAnsi="Arial" w:cs="Arial"/>
          <w:sz w:val="21"/>
          <w:szCs w:val="21"/>
          <w:lang w:eastAsia="zh-CN"/>
        </w:rPr>
        <w:tab/>
        <w:t>Después de vencidos doce (12) meses contados desde la Puesta en Operación Comercial, para lo dispuesto en el Numeral 15.3.b.</w:t>
      </w:r>
    </w:p>
    <w:p w:rsidR="00AF6615" w:rsidRPr="00076DCD" w:rsidRDefault="00AF6615" w:rsidP="00F5124D">
      <w:pPr>
        <w:widowControl w:val="0"/>
        <w:numPr>
          <w:ilvl w:val="0"/>
          <w:numId w:val="41"/>
        </w:numPr>
        <w:suppressLineNumbers/>
        <w:tabs>
          <w:tab w:val="left" w:pos="567"/>
        </w:tabs>
        <w:suppressAutoHyphens/>
        <w:spacing w:before="120" w:after="0" w:line="250"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Si la Sociedad Concesionaria cuenta con varias concesiones, deberá entregar la información adicional necesaria que sustente la división de ingresos o costos, como corresponda, entre sus diversas concesiones.</w:t>
      </w:r>
    </w:p>
    <w:p w:rsidR="00AF6615" w:rsidRPr="00076DCD" w:rsidRDefault="00AF6615" w:rsidP="00F5124D">
      <w:pPr>
        <w:widowControl w:val="0"/>
        <w:suppressLineNumbers/>
        <w:suppressAutoHyphens/>
        <w:spacing w:before="120" w:after="0" w:line="250"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lastRenderedPageBreak/>
        <w:t xml:space="preserve">Sin perjuicio de lo anterior, el Concedente podrá solicitar mayor información que sustente las variaciones señaladas. </w:t>
      </w:r>
      <w:r w:rsidR="00A40BE4" w:rsidRPr="00076DCD">
        <w:rPr>
          <w:rFonts w:ascii="Arial" w:hAnsi="Arial" w:cs="Arial"/>
          <w:sz w:val="21"/>
          <w:szCs w:val="21"/>
        </w:rPr>
        <w:t>Adicionalmente, l</w:t>
      </w:r>
      <w:r w:rsidR="00E567F3" w:rsidRPr="00076DCD">
        <w:rPr>
          <w:rFonts w:ascii="Arial" w:hAnsi="Arial" w:cs="Arial"/>
          <w:sz w:val="21"/>
          <w:szCs w:val="21"/>
        </w:rPr>
        <w:t>as</w:t>
      </w:r>
      <w:r w:rsidRPr="00076DCD">
        <w:rPr>
          <w:rFonts w:ascii="Arial" w:eastAsia="Times New Roman" w:hAnsi="Arial" w:cs="Arial"/>
          <w:sz w:val="21"/>
          <w:szCs w:val="21"/>
          <w:lang w:eastAsia="zh-CN"/>
        </w:rPr>
        <w:t xml:space="preserve"> Partes podrán acordar utilizar documentación distinta a los estados financieros auditados para los efectos descritos en la presente cláusula</w:t>
      </w:r>
      <w:r w:rsidR="00A40BE4" w:rsidRPr="00076DCD">
        <w:rPr>
          <w:rFonts w:ascii="Arial" w:hAnsi="Arial" w:cs="Arial"/>
          <w:sz w:val="21"/>
          <w:szCs w:val="21"/>
        </w:rPr>
        <w:t>, siempre que tenga el debido sustento</w:t>
      </w:r>
      <w:r w:rsidRPr="00076DCD">
        <w:rPr>
          <w:rFonts w:ascii="Arial" w:eastAsia="Times New Roman" w:hAnsi="Arial" w:cs="Arial"/>
          <w:sz w:val="21"/>
          <w:szCs w:val="21"/>
          <w:lang w:eastAsia="zh-CN"/>
        </w:rPr>
        <w:t>.</w:t>
      </w:r>
    </w:p>
    <w:p w:rsidR="00AF6615" w:rsidRPr="00076DCD" w:rsidRDefault="00AF6615" w:rsidP="00B07EB1">
      <w:pPr>
        <w:widowControl w:val="0"/>
        <w:numPr>
          <w:ilvl w:val="0"/>
          <w:numId w:val="41"/>
        </w:numPr>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 xml:space="preserve">La existencia de un desequilibrio sólo podrá dar lugar a la modificación de las </w:t>
      </w:r>
      <w:r w:rsidRPr="00076DCD">
        <w:rPr>
          <w:rFonts w:ascii="Arial" w:eastAsia="Times New Roman" w:hAnsi="Arial" w:cs="Arial"/>
          <w:color w:val="000000"/>
          <w:sz w:val="21"/>
          <w:szCs w:val="21"/>
          <w:lang w:eastAsia="zh-CN"/>
        </w:rPr>
        <w:t>disposiciones contenidas en el presente contrato</w:t>
      </w:r>
      <w:r w:rsidRPr="00076DCD">
        <w:rPr>
          <w:rFonts w:ascii="Arial" w:eastAsia="Times New Roman" w:hAnsi="Arial" w:cs="Arial"/>
          <w:sz w:val="21"/>
          <w:szCs w:val="21"/>
          <w:lang w:eastAsia="zh-CN"/>
        </w:rPr>
        <w:t xml:space="preserve"> para efectos de restablecer el equilibrio, mas no dará lugar ni a la suspensión ni a la resolución del Contrato.</w:t>
      </w:r>
    </w:p>
    <w:p w:rsidR="00AF6615" w:rsidRPr="00076DCD" w:rsidRDefault="00AF6615" w:rsidP="00B07EB1">
      <w:pPr>
        <w:widowControl w:val="0"/>
        <w:numPr>
          <w:ilvl w:val="0"/>
          <w:numId w:val="41"/>
        </w:numPr>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AF6615" w:rsidRPr="00076DCD" w:rsidRDefault="00AF6615" w:rsidP="00B07EB1">
      <w:pPr>
        <w:widowControl w:val="0"/>
        <w:numPr>
          <w:ilvl w:val="0"/>
          <w:numId w:val="41"/>
        </w:numPr>
        <w:suppressLineNumbers/>
        <w:tabs>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AF6615" w:rsidRPr="00076DCD" w:rsidRDefault="00AF6615" w:rsidP="00B07EB1">
      <w:pPr>
        <w:widowControl w:val="0"/>
        <w:suppressLineNumbers/>
        <w:suppressAutoHyphens/>
        <w:spacing w:before="360" w:after="240" w:line="257" w:lineRule="auto"/>
        <w:ind w:left="567" w:hanging="567"/>
        <w:jc w:val="both"/>
        <w:rPr>
          <w:rFonts w:ascii="Arial" w:eastAsia="Times New Roman" w:hAnsi="Arial" w:cs="Arial"/>
          <w:b/>
          <w:sz w:val="24"/>
          <w:szCs w:val="24"/>
          <w:lang w:eastAsia="zh-CN"/>
        </w:rPr>
      </w:pPr>
      <w:r w:rsidRPr="00076DCD">
        <w:rPr>
          <w:rFonts w:ascii="Arial" w:eastAsia="Times New Roman" w:hAnsi="Arial" w:cs="Arial"/>
          <w:b/>
          <w:sz w:val="24"/>
          <w:szCs w:val="24"/>
          <w:lang w:eastAsia="zh-CN"/>
        </w:rPr>
        <w:t>16.</w:t>
      </w:r>
      <w:r w:rsidRPr="00076DCD">
        <w:rPr>
          <w:rFonts w:ascii="Arial" w:eastAsia="Times New Roman" w:hAnsi="Arial" w:cs="Arial"/>
          <w:b/>
          <w:sz w:val="24"/>
          <w:szCs w:val="24"/>
          <w:lang w:eastAsia="zh-CN"/>
        </w:rPr>
        <w:tab/>
        <w:t>Miscelánea</w:t>
      </w:r>
    </w:p>
    <w:p w:rsidR="00AF6615" w:rsidRPr="00076DCD" w:rsidRDefault="00AF6615" w:rsidP="00B07EB1">
      <w:pPr>
        <w:widowControl w:val="0"/>
        <w:numPr>
          <w:ilvl w:val="1"/>
          <w:numId w:val="11"/>
        </w:numPr>
        <w:suppressLineNumbers/>
        <w:tabs>
          <w:tab w:val="clear" w:pos="502"/>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Sociedad Concesionaria podrá transferir o ceder sus derechos u obligaciones, ceder su posición contractual o novar todas o cualquiera de sus obligaciones, de acuerdo al Contrato, siempre que cuente con el previo consentimiento escrito del Concedente, el cual no podrá ser negado sin fundamento expreso.</w:t>
      </w:r>
      <w:r w:rsidR="005E00D1" w:rsidRPr="00076DCD">
        <w:rPr>
          <w:rFonts w:ascii="Arial" w:hAnsi="Arial" w:cs="Arial"/>
          <w:sz w:val="21"/>
          <w:szCs w:val="21"/>
        </w:rPr>
        <w:t xml:space="preserve"> </w:t>
      </w:r>
      <w:r w:rsidR="005E00D1" w:rsidRPr="00076DCD">
        <w:rPr>
          <w:rFonts w:ascii="Arial" w:hAnsi="Arial" w:cs="Arial"/>
          <w:iCs/>
          <w:sz w:val="21"/>
          <w:szCs w:val="21"/>
        </w:rPr>
        <w:t>No se requerirá la aprobación del Concedente en el caso de la transferencia en dominio fiduciario a que se refiere la Cláusula 9.2.2.</w:t>
      </w:r>
    </w:p>
    <w:p w:rsidR="00AF6615" w:rsidRPr="00076DCD" w:rsidRDefault="00AF6615" w:rsidP="00B07EB1">
      <w:pPr>
        <w:widowControl w:val="0"/>
        <w:numPr>
          <w:ilvl w:val="1"/>
          <w:numId w:val="11"/>
        </w:numPr>
        <w:suppressLineNumbers/>
        <w:tabs>
          <w:tab w:val="clear" w:pos="502"/>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AF6615" w:rsidRPr="00076DCD" w:rsidRDefault="00AF6615" w:rsidP="00B07EB1">
      <w:pPr>
        <w:widowControl w:val="0"/>
        <w:numPr>
          <w:ilvl w:val="1"/>
          <w:numId w:val="11"/>
        </w:numPr>
        <w:suppressLineNumbers/>
        <w:tabs>
          <w:tab w:val="clear" w:pos="502"/>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Las modificaciones y aclaraciones al Contrato, serán únicamente válidas cuando sean acordadas por escrito y suscritas por representantes con poder suficiente de las Partes y cumplan con los requisitos pertinentes de las Leyes Aplicables.</w:t>
      </w:r>
    </w:p>
    <w:p w:rsidR="00AF6615" w:rsidRPr="00076DCD" w:rsidRDefault="00AF6615" w:rsidP="00B07EB1">
      <w:pPr>
        <w:widowControl w:val="0"/>
        <w:suppressLineNumbers/>
        <w:suppressAutoHyphens/>
        <w:spacing w:before="120" w:after="0" w:line="257" w:lineRule="auto"/>
        <w:ind w:left="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AF6615" w:rsidRPr="00076DCD" w:rsidRDefault="00AF6615" w:rsidP="00B07EB1">
      <w:pPr>
        <w:widowControl w:val="0"/>
        <w:numPr>
          <w:ilvl w:val="1"/>
          <w:numId w:val="11"/>
        </w:numPr>
        <w:suppressLineNumbers/>
        <w:tabs>
          <w:tab w:val="clear" w:pos="502"/>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AF6615" w:rsidRPr="00076DCD" w:rsidRDefault="00AF6615" w:rsidP="00B07EB1">
      <w:pPr>
        <w:widowControl w:val="0"/>
        <w:numPr>
          <w:ilvl w:val="1"/>
          <w:numId w:val="11"/>
        </w:numPr>
        <w:suppressLineNumbers/>
        <w:tabs>
          <w:tab w:val="clear" w:pos="502"/>
          <w:tab w:val="left" w:pos="567"/>
        </w:tabs>
        <w:suppressAutoHyphens/>
        <w:spacing w:before="120" w:after="0" w:line="257" w:lineRule="auto"/>
        <w:ind w:left="567" w:hanging="567"/>
        <w:jc w:val="both"/>
        <w:rPr>
          <w:rFonts w:ascii="Arial" w:eastAsia="Times New Roman" w:hAnsi="Arial" w:cs="Arial"/>
          <w:sz w:val="21"/>
          <w:szCs w:val="21"/>
          <w:lang w:eastAsia="zh-CN"/>
        </w:rPr>
      </w:pPr>
      <w:r w:rsidRPr="00076DCD">
        <w:rPr>
          <w:rFonts w:ascii="Arial" w:eastAsia="Times New Roman" w:hAnsi="Arial" w:cs="Arial"/>
          <w:sz w:val="21"/>
          <w:szCs w:val="21"/>
          <w:lang w:eastAsia="zh-CN"/>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AF6615" w:rsidRDefault="00AF6615" w:rsidP="00B07EB1">
      <w:pPr>
        <w:widowControl w:val="0"/>
        <w:suppressLineNumbers/>
        <w:suppressAutoHyphens/>
        <w:spacing w:after="0" w:line="257" w:lineRule="auto"/>
        <w:jc w:val="both"/>
        <w:rPr>
          <w:rFonts w:ascii="Arial" w:hAnsi="Arial" w:cs="Arial"/>
          <w:sz w:val="21"/>
          <w:szCs w:val="21"/>
        </w:rPr>
      </w:pPr>
    </w:p>
    <w:p w:rsidR="00F5124D" w:rsidRDefault="00F5124D">
      <w:pPr>
        <w:rPr>
          <w:rFonts w:ascii="Arial" w:hAnsi="Arial" w:cs="Arial"/>
          <w:sz w:val="21"/>
          <w:szCs w:val="21"/>
        </w:rPr>
      </w:pPr>
      <w:r>
        <w:rPr>
          <w:rFonts w:ascii="Arial" w:hAnsi="Arial" w:cs="Arial"/>
          <w:sz w:val="21"/>
          <w:szCs w:val="21"/>
        </w:rPr>
        <w:br w:type="page"/>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r w:rsidRPr="00F5124D">
        <w:rPr>
          <w:rFonts w:ascii="Arial" w:hAnsi="Arial" w:cs="Arial"/>
          <w:sz w:val="21"/>
          <w:szCs w:val="21"/>
        </w:rPr>
        <w:lastRenderedPageBreak/>
        <w:t>Si es dirigida al Concedente:</w:t>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 xml:space="preserve">Nombre: </w:t>
      </w:r>
      <w:r w:rsidRPr="00F5124D">
        <w:rPr>
          <w:rFonts w:ascii="Arial" w:hAnsi="Arial" w:cs="Arial"/>
          <w:sz w:val="21"/>
          <w:szCs w:val="21"/>
        </w:rPr>
        <w:tab/>
        <w:t>Ministerio de Energía y Minas.</w:t>
      </w: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Dirección:</w:t>
      </w:r>
      <w:r w:rsidRPr="00F5124D">
        <w:rPr>
          <w:rFonts w:ascii="Arial" w:hAnsi="Arial" w:cs="Arial"/>
          <w:sz w:val="21"/>
          <w:szCs w:val="21"/>
        </w:rPr>
        <w:tab/>
        <w:t>Av. Las Artes Sur 260, Lima 41, Perú.</w:t>
      </w: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Atención:</w:t>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r w:rsidRPr="00F5124D">
        <w:rPr>
          <w:rFonts w:ascii="Arial" w:hAnsi="Arial" w:cs="Arial"/>
          <w:sz w:val="21"/>
          <w:szCs w:val="21"/>
        </w:rPr>
        <w:t>Si es dirigida a la Sociedad Concesionaria:</w:t>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Nombre:</w:t>
      </w: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Dirección:</w:t>
      </w: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Atención:</w:t>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r w:rsidRPr="00F5124D">
        <w:rPr>
          <w:rFonts w:ascii="Arial" w:hAnsi="Arial" w:cs="Arial"/>
          <w:sz w:val="21"/>
          <w:szCs w:val="21"/>
        </w:rPr>
        <w:t xml:space="preserve">Si es dirigida al </w:t>
      </w:r>
      <w:r w:rsidR="0054392C" w:rsidRPr="00F5124D">
        <w:rPr>
          <w:rFonts w:ascii="Arial" w:hAnsi="Arial" w:cs="Arial"/>
          <w:sz w:val="21"/>
          <w:szCs w:val="21"/>
        </w:rPr>
        <w:t>Operador Calificado</w:t>
      </w:r>
      <w:r w:rsidRPr="00F5124D">
        <w:rPr>
          <w:rFonts w:ascii="Arial" w:hAnsi="Arial" w:cs="Arial"/>
          <w:sz w:val="21"/>
          <w:szCs w:val="21"/>
        </w:rPr>
        <w:t>:</w:t>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Nombre:</w:t>
      </w: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Dirección:</w:t>
      </w:r>
    </w:p>
    <w:p w:rsidR="00AF6615" w:rsidRPr="00F5124D" w:rsidRDefault="00AF6615" w:rsidP="00F5124D">
      <w:pPr>
        <w:widowControl w:val="0"/>
        <w:suppressLineNumbers/>
        <w:suppressAutoHyphens/>
        <w:spacing w:after="0" w:line="257" w:lineRule="auto"/>
        <w:ind w:left="851"/>
        <w:jc w:val="both"/>
        <w:rPr>
          <w:rFonts w:ascii="Arial" w:hAnsi="Arial" w:cs="Arial"/>
          <w:sz w:val="21"/>
          <w:szCs w:val="21"/>
        </w:rPr>
      </w:pPr>
      <w:r w:rsidRPr="00F5124D">
        <w:rPr>
          <w:rFonts w:ascii="Arial" w:hAnsi="Arial" w:cs="Arial"/>
          <w:sz w:val="21"/>
          <w:szCs w:val="21"/>
        </w:rPr>
        <w:t>Atención:</w:t>
      </w: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p>
    <w:p w:rsidR="00AF6615" w:rsidRPr="00F5124D" w:rsidRDefault="00AF6615" w:rsidP="00B07EB1">
      <w:pPr>
        <w:widowControl w:val="0"/>
        <w:suppressLineNumbers/>
        <w:suppressAutoHyphens/>
        <w:spacing w:after="0" w:line="257" w:lineRule="auto"/>
        <w:ind w:left="567"/>
        <w:jc w:val="both"/>
        <w:rPr>
          <w:rFonts w:ascii="Arial" w:hAnsi="Arial" w:cs="Arial"/>
          <w:sz w:val="21"/>
          <w:szCs w:val="21"/>
        </w:rPr>
      </w:pPr>
      <w:r w:rsidRPr="00F5124D">
        <w:rPr>
          <w:rFonts w:ascii="Arial" w:hAnsi="Arial" w:cs="Arial"/>
          <w:sz w:val="21"/>
          <w:szCs w:val="21"/>
        </w:rPr>
        <w:t>o a cualquier otra dirección o persona designada por escrito por las Partes conforme al primer párrafo de esta Cláusula.</w:t>
      </w:r>
    </w:p>
    <w:p w:rsidR="00AF6615" w:rsidRPr="00076DCD" w:rsidRDefault="00AF6615" w:rsidP="00CB71E1">
      <w:pPr>
        <w:widowControl w:val="0"/>
        <w:suppressLineNumbers/>
        <w:tabs>
          <w:tab w:val="left" w:pos="0"/>
          <w:tab w:val="left" w:pos="567"/>
          <w:tab w:val="left" w:pos="1134"/>
          <w:tab w:val="left" w:pos="1276"/>
          <w:tab w:val="left" w:pos="1701"/>
          <w:tab w:val="left" w:pos="2268"/>
          <w:tab w:val="left" w:pos="2835"/>
        </w:tabs>
        <w:suppressAutoHyphens/>
        <w:spacing w:before="240" w:after="0" w:line="257" w:lineRule="auto"/>
        <w:jc w:val="center"/>
        <w:outlineLvl w:val="0"/>
        <w:rPr>
          <w:rFonts w:ascii="Arial" w:eastAsia="Times New Roman" w:hAnsi="Arial" w:cs="Arial"/>
          <w:b/>
          <w:sz w:val="26"/>
          <w:szCs w:val="26"/>
          <w:u w:val="single"/>
          <w:lang w:eastAsia="zh-CN"/>
        </w:rPr>
      </w:pPr>
      <w:r w:rsidRPr="00076DCD">
        <w:rPr>
          <w:rFonts w:ascii="Arial" w:hAnsi="Arial" w:cs="Arial"/>
          <w:sz w:val="20"/>
        </w:rPr>
        <w:br w:type="page"/>
      </w:r>
      <w:r w:rsidRPr="00076DCD">
        <w:rPr>
          <w:rFonts w:ascii="Arial" w:eastAsia="Times New Roman" w:hAnsi="Arial" w:cs="Arial"/>
          <w:b/>
          <w:sz w:val="26"/>
          <w:szCs w:val="26"/>
          <w:u w:val="single"/>
          <w:lang w:eastAsia="zh-CN"/>
        </w:rPr>
        <w:lastRenderedPageBreak/>
        <w:t>Anexo Nº 1</w:t>
      </w:r>
    </w:p>
    <w:p w:rsidR="00AF6615" w:rsidRPr="00CB71E1" w:rsidRDefault="00AF6615" w:rsidP="00CB71E1">
      <w:pPr>
        <w:widowControl w:val="0"/>
        <w:suppressLineNumbers/>
        <w:suppressAutoHyphens/>
        <w:spacing w:before="240" w:after="360" w:line="257" w:lineRule="auto"/>
        <w:jc w:val="center"/>
        <w:outlineLvl w:val="0"/>
        <w:rPr>
          <w:rFonts w:ascii="Arial" w:eastAsia="Times New Roman" w:hAnsi="Arial" w:cs="Arial"/>
          <w:b/>
          <w:sz w:val="26"/>
          <w:szCs w:val="26"/>
          <w:lang w:eastAsia="zh-CN"/>
        </w:rPr>
      </w:pPr>
      <w:r w:rsidRPr="00CB71E1">
        <w:rPr>
          <w:rFonts w:ascii="Arial" w:eastAsia="Times New Roman" w:hAnsi="Arial" w:cs="Arial"/>
          <w:b/>
          <w:sz w:val="26"/>
          <w:szCs w:val="26"/>
          <w:lang w:eastAsia="zh-CN"/>
        </w:rPr>
        <w:t xml:space="preserve">Especificaciones del </w:t>
      </w:r>
      <w:r w:rsidR="00CB71E1">
        <w:rPr>
          <w:rFonts w:ascii="Arial" w:eastAsia="Times New Roman" w:hAnsi="Arial" w:cs="Arial"/>
          <w:b/>
          <w:sz w:val="26"/>
          <w:szCs w:val="26"/>
          <w:lang w:eastAsia="zh-CN"/>
        </w:rPr>
        <w:t>P</w:t>
      </w:r>
      <w:r w:rsidRPr="00CB71E1">
        <w:rPr>
          <w:rFonts w:ascii="Arial" w:eastAsia="Times New Roman" w:hAnsi="Arial" w:cs="Arial"/>
          <w:b/>
          <w:sz w:val="26"/>
          <w:szCs w:val="26"/>
          <w:lang w:eastAsia="zh-CN"/>
        </w:rPr>
        <w:t>royecto</w:t>
      </w:r>
    </w:p>
    <w:p w:rsidR="00EF4587" w:rsidRPr="00CB71E1" w:rsidRDefault="00EF4587" w:rsidP="00CB71E1">
      <w:pPr>
        <w:numPr>
          <w:ilvl w:val="0"/>
          <w:numId w:val="86"/>
        </w:numPr>
        <w:spacing w:before="360" w:after="240" w:line="257" w:lineRule="auto"/>
        <w:ind w:left="567" w:hanging="567"/>
        <w:jc w:val="both"/>
        <w:outlineLvl w:val="0"/>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CONFIGURACIÓN DEL PROYECTO</w:t>
      </w:r>
    </w:p>
    <w:p w:rsidR="00EF4587" w:rsidRPr="00CB71E1" w:rsidRDefault="00CB71E1" w:rsidP="00CB71E1">
      <w:pPr>
        <w:spacing w:before="120" w:after="0" w:line="257" w:lineRule="auto"/>
        <w:ind w:left="567" w:hanging="567"/>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1.1</w:t>
      </w:r>
      <w:r>
        <w:rPr>
          <w:rFonts w:ascii="Arial" w:eastAsia="Times New Roman" w:hAnsi="Arial" w:cs="Arial"/>
          <w:b/>
          <w:sz w:val="20"/>
          <w:szCs w:val="20"/>
          <w:lang w:val="es-ES" w:eastAsia="es-ES"/>
        </w:rPr>
        <w:tab/>
      </w:r>
      <w:r w:rsidR="00EF4587" w:rsidRPr="00CB71E1">
        <w:rPr>
          <w:rFonts w:ascii="Arial" w:eastAsia="Times New Roman" w:hAnsi="Arial" w:cs="Arial"/>
          <w:b/>
          <w:sz w:val="20"/>
          <w:szCs w:val="20"/>
          <w:lang w:val="es-ES" w:eastAsia="es-ES"/>
        </w:rPr>
        <w:t>ALCANCE GENERAL</w:t>
      </w:r>
    </w:p>
    <w:p w:rsidR="00EF4587" w:rsidRPr="00CB71E1" w:rsidRDefault="00EF4587" w:rsidP="00CB71E1">
      <w:pPr>
        <w:spacing w:before="120" w:after="0" w:line="257" w:lineRule="auto"/>
        <w:ind w:left="600"/>
        <w:jc w:val="both"/>
        <w:outlineLvl w:val="0"/>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configuración del proyecto comprende el enlace eléctrico entre la Subestación La Planicie y la nueva Subestación Industriales, en la ciudad de Lima, mediante la construcción de :</w:t>
      </w:r>
    </w:p>
    <w:p w:rsidR="00EF4587" w:rsidRPr="00CB71E1" w:rsidRDefault="00EF4587" w:rsidP="00CB71E1">
      <w:pPr>
        <w:numPr>
          <w:ilvl w:val="0"/>
          <w:numId w:val="69"/>
        </w:numPr>
        <w:spacing w:before="120" w:after="0" w:line="257" w:lineRule="auto"/>
        <w:ind w:left="1080" w:hanging="480"/>
        <w:jc w:val="both"/>
        <w:outlineLvl w:val="0"/>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LT 220 kV La Planicie – Industriales de doble circuito, de 16,6 km de longitud aproximada, la misma que está compuesta por dos tramos: un tramo aéreo de doble circuito de 11,7 km  y un tramo subterráneo de 4,9 km, con cable tipo XLPE.</w:t>
      </w:r>
    </w:p>
    <w:p w:rsidR="00EF4587" w:rsidRPr="00CB71E1" w:rsidRDefault="00EF4587" w:rsidP="00CB71E1">
      <w:pPr>
        <w:numPr>
          <w:ilvl w:val="0"/>
          <w:numId w:val="69"/>
        </w:numPr>
        <w:spacing w:before="120" w:after="0" w:line="257" w:lineRule="auto"/>
        <w:ind w:left="1080" w:hanging="480"/>
        <w:jc w:val="both"/>
        <w:outlineLvl w:val="0"/>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ampliación de la S.E. La Planicie, concesionada a Consorcio Transmantaro (CTM), en la cual se implementarán dos celdas de línea en 220 kV y se ampliará el sistema de barra existente de configuración  barra principal más barra auxiliar de transferencia. Las celdas a implementarse serán de tecnología convencional.</w:t>
      </w:r>
    </w:p>
    <w:p w:rsidR="00EF4587" w:rsidRPr="00CB71E1" w:rsidRDefault="00EF4587" w:rsidP="00CB71E1">
      <w:pPr>
        <w:numPr>
          <w:ilvl w:val="0"/>
          <w:numId w:val="69"/>
        </w:numPr>
        <w:spacing w:before="120" w:after="0" w:line="257" w:lineRule="auto"/>
        <w:ind w:left="1080" w:hanging="48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ampliación de la S.E. Industriales, que será construida por Luz del Sur (LDS), donde se implementarán dos celdas de línea en 220 kV con tecnología GIS (Gas Insulated Switchgear), que se conectarán a un sistema de barras en configuración doble barra, construidas con la misma tecnología.</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La Sociedad Concesionaria será responsable de incluir otros elementos o componentes no descritos en el presente Anexo, dimensionar, modificar o adecuar los que fuera necesario, a efectos de garantizar la correcta operación de las instalaciones del proyecto y la prestación del servicio según las normas de calidad aplicables al Sistema Eléctrico Interconectado Nacional (SEIN). </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 </w:t>
      </w:r>
    </w:p>
    <w:p w:rsidR="00EF4587" w:rsidRPr="00CB71E1" w:rsidRDefault="00EF4587" w:rsidP="00CB71E1">
      <w:pPr>
        <w:numPr>
          <w:ilvl w:val="0"/>
          <w:numId w:val="86"/>
        </w:numPr>
        <w:spacing w:before="360" w:after="240" w:line="257" w:lineRule="auto"/>
        <w:ind w:left="567" w:hanging="567"/>
        <w:jc w:val="both"/>
        <w:outlineLvl w:val="0"/>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CARACTERISTICAS DE LA LINEA DE TRANSMISIÓN</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2.1</w:t>
      </w:r>
      <w:r w:rsidRPr="00CB71E1">
        <w:rPr>
          <w:rFonts w:ascii="Arial" w:eastAsia="Times New Roman" w:hAnsi="Arial" w:cs="Arial"/>
          <w:b/>
          <w:sz w:val="20"/>
          <w:szCs w:val="20"/>
          <w:lang w:val="es-ES" w:eastAsia="es-ES"/>
        </w:rPr>
        <w:tab/>
        <w:t>CAPACIDADES DE LA LÍNEA DE TRANSMISIÓN</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Las capacidades de la Línea de Transmisión son las siguientes: </w:t>
      </w:r>
    </w:p>
    <w:p w:rsidR="00EF4587" w:rsidRPr="00CB71E1" w:rsidRDefault="00EF4587" w:rsidP="00CB71E1">
      <w:pPr>
        <w:numPr>
          <w:ilvl w:val="0"/>
          <w:numId w:val="70"/>
        </w:numPr>
        <w:spacing w:before="120" w:after="0" w:line="257" w:lineRule="auto"/>
        <w:ind w:left="1134" w:hanging="425"/>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 xml:space="preserve">Capacidad de Transmisión por Límite Térmico </w:t>
      </w:r>
    </w:p>
    <w:p w:rsidR="00EF4587" w:rsidRPr="00CB71E1" w:rsidRDefault="00EF4587" w:rsidP="00CB71E1">
      <w:pPr>
        <w:spacing w:before="120" w:after="0" w:line="257" w:lineRule="auto"/>
        <w:ind w:left="108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capacidad mínima de transmisión por límite térmico de la línea eléctrica será de 400 MVA por circuito.</w:t>
      </w:r>
    </w:p>
    <w:p w:rsidR="00EF4587" w:rsidRPr="00CB71E1" w:rsidRDefault="00EF4587" w:rsidP="00CB71E1">
      <w:pPr>
        <w:spacing w:before="120" w:after="0" w:line="257" w:lineRule="auto"/>
        <w:ind w:left="108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El cumplimiento de la capacidad indicada será verificado para las condiciones ambientales propias de la zona en la que se ubica la línea de transmisión, y la Sociedad Concesionaria deberá proveer todos los equipos e instalaciones asociados que se requieran para cumplir con este objetivo.</w:t>
      </w:r>
    </w:p>
    <w:p w:rsidR="00CB71E1" w:rsidRDefault="00CB71E1">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EF4587" w:rsidRPr="00CB71E1" w:rsidRDefault="00EF4587" w:rsidP="00CB71E1">
      <w:pPr>
        <w:spacing w:before="120" w:after="0" w:line="257" w:lineRule="auto"/>
        <w:ind w:left="1134" w:hanging="425"/>
        <w:outlineLvl w:val="0"/>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lastRenderedPageBreak/>
        <w:t>b)</w:t>
      </w:r>
      <w:r w:rsidRPr="00CB71E1">
        <w:rPr>
          <w:rFonts w:ascii="Arial" w:eastAsia="Times New Roman" w:hAnsi="Arial" w:cs="Arial"/>
          <w:b/>
          <w:sz w:val="20"/>
          <w:szCs w:val="20"/>
          <w:lang w:val="es-ES" w:eastAsia="es-ES"/>
        </w:rPr>
        <w:tab/>
        <w:t xml:space="preserve">Capacidad de Transmisión en Condición de Emergencia </w:t>
      </w:r>
    </w:p>
    <w:p w:rsidR="00EF4587" w:rsidRPr="00CB71E1" w:rsidRDefault="00EF4587" w:rsidP="00CB71E1">
      <w:pPr>
        <w:spacing w:before="120" w:after="0" w:line="257" w:lineRule="auto"/>
        <w:ind w:left="108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En condiciones de emergencia, por un periodo de hasta treinta (30) minutos, la línea eléctrica deberá soportar una sobrecarga no menor a 520 MVA por circuito, magnitud que representa un 30% por encima de la Capacidad de Transmisión por Límite Térmico,</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verificación de la capacidad de transmisión de la línea, en las distintas condiciones de trabajo señaladas, deberá ser realizada de acuerdo con el tipo y sección de los conductores que sean seleccionados, considerando la operación en conjunto del tramo aéreo y del tramo subterráneo, según las condiciones de clima y de altitud sobre el nivel del mar de la zona que atraviesa la línea. En todos los casos se verificará el cumplimiento de las distancias de seguridad mínimas establecidas en el CNE Suministro.</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2.2</w:t>
      </w:r>
      <w:r w:rsidRPr="00CB71E1">
        <w:rPr>
          <w:rFonts w:ascii="Arial" w:eastAsia="Times New Roman" w:hAnsi="Arial" w:cs="Arial"/>
          <w:b/>
          <w:sz w:val="20"/>
          <w:szCs w:val="20"/>
          <w:lang w:val="es-ES" w:eastAsia="es-ES"/>
        </w:rPr>
        <w:tab/>
        <w:t>FACTORES DE DISEÑO</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línea se considerará aceptable cuando cumpla con lo siguiente:</w:t>
      </w:r>
    </w:p>
    <w:p w:rsidR="00EF4587" w:rsidRPr="00CB71E1" w:rsidRDefault="00EF4587" w:rsidP="00CB71E1">
      <w:pPr>
        <w:spacing w:before="120" w:after="0" w:line="257" w:lineRule="auto"/>
        <w:ind w:left="709"/>
        <w:jc w:val="both"/>
        <w:rPr>
          <w:rFonts w:ascii="Arial" w:eastAsia="Times New Roman" w:hAnsi="Arial" w:cs="Arial"/>
          <w:sz w:val="20"/>
          <w:szCs w:val="20"/>
          <w:lang w:val="es-ES" w:eastAsia="es-ES"/>
        </w:rPr>
      </w:pPr>
      <w:r w:rsidRPr="00CB71E1">
        <w:rPr>
          <w:rFonts w:ascii="Arial" w:eastAsia="Times New Roman" w:hAnsi="Arial" w:cs="Arial"/>
          <w:b/>
          <w:bCs/>
          <w:sz w:val="20"/>
          <w:szCs w:val="20"/>
          <w:lang w:val="es-ES" w:eastAsia="es-ES"/>
        </w:rPr>
        <w:t>a) Límite térmico</w:t>
      </w:r>
    </w:p>
    <w:p w:rsidR="00EF4587" w:rsidRPr="00CB71E1" w:rsidRDefault="00EF4587" w:rsidP="00CB71E1">
      <w:pPr>
        <w:numPr>
          <w:ilvl w:val="0"/>
          <w:numId w:val="62"/>
        </w:numPr>
        <w:spacing w:before="120" w:after="0" w:line="257" w:lineRule="auto"/>
        <w:ind w:left="1315"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temperatura en los conductores de fase, para la capacidad de transmisión por límite térmico, no debe superar los 75°C para el  tramo aéreo. Para el tramo subterráneo la temperatura del conductor del cable no debe superar los 90 ªC.</w:t>
      </w:r>
    </w:p>
    <w:p w:rsidR="00EF4587" w:rsidRPr="00CB71E1" w:rsidRDefault="00EF4587" w:rsidP="00CB71E1">
      <w:pPr>
        <w:numPr>
          <w:ilvl w:val="0"/>
          <w:numId w:val="62"/>
        </w:numPr>
        <w:spacing w:before="120" w:after="0" w:line="257" w:lineRule="auto"/>
        <w:ind w:left="1315"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Las pérdidas óhmicas no deben superar el valor máximo establecido en el numeral respectivo.</w:t>
      </w:r>
    </w:p>
    <w:p w:rsidR="00EF4587" w:rsidRPr="00CB71E1" w:rsidRDefault="00EF4587" w:rsidP="00CB71E1">
      <w:pPr>
        <w:numPr>
          <w:ilvl w:val="0"/>
          <w:numId w:val="62"/>
        </w:numPr>
        <w:spacing w:before="120" w:after="0" w:line="257" w:lineRule="auto"/>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Se debe observar las distancias de seguridad establecidas en las normas, en toda condición de operación.</w:t>
      </w:r>
    </w:p>
    <w:p w:rsidR="00EF4587" w:rsidRPr="00CB71E1" w:rsidRDefault="00EF4587" w:rsidP="00CB71E1">
      <w:pPr>
        <w:spacing w:before="120" w:after="0" w:line="257" w:lineRule="auto"/>
        <w:ind w:left="709"/>
        <w:jc w:val="both"/>
        <w:rPr>
          <w:rFonts w:ascii="Arial" w:eastAsia="Times New Roman" w:hAnsi="Arial" w:cs="Arial"/>
          <w:b/>
          <w:bCs/>
          <w:sz w:val="20"/>
          <w:szCs w:val="20"/>
          <w:lang w:val="es-ES" w:eastAsia="es-ES"/>
        </w:rPr>
      </w:pPr>
      <w:r w:rsidRPr="00CB71E1">
        <w:rPr>
          <w:rFonts w:ascii="Arial" w:eastAsia="Times New Roman" w:hAnsi="Arial" w:cs="Arial"/>
          <w:b/>
          <w:bCs/>
          <w:sz w:val="20"/>
          <w:szCs w:val="20"/>
          <w:lang w:val="es-ES" w:eastAsia="es-ES"/>
        </w:rPr>
        <w:t>b) Caída de tensión</w:t>
      </w:r>
    </w:p>
    <w:p w:rsidR="00EF4587" w:rsidRPr="00CB71E1" w:rsidRDefault="00EF4587" w:rsidP="00CB71E1">
      <w:pPr>
        <w:numPr>
          <w:ilvl w:val="0"/>
          <w:numId w:val="62"/>
        </w:numPr>
        <w:tabs>
          <w:tab w:val="left" w:pos="567"/>
          <w:tab w:val="left" w:pos="1134"/>
          <w:tab w:val="left" w:pos="1701"/>
          <w:tab w:val="left" w:pos="2268"/>
          <w:tab w:val="left" w:pos="2835"/>
        </w:tabs>
        <w:spacing w:before="120" w:after="0" w:line="257" w:lineRule="auto"/>
        <w:jc w:val="both"/>
        <w:rPr>
          <w:rFonts w:ascii="Arial" w:eastAsia="Calibri" w:hAnsi="Arial" w:cs="Arial"/>
          <w:sz w:val="20"/>
          <w:szCs w:val="20"/>
          <w:lang w:val="x-none" w:eastAsia="zh-CN"/>
        </w:rPr>
      </w:pPr>
      <w:r w:rsidRPr="00CB71E1">
        <w:rPr>
          <w:rFonts w:ascii="Arial" w:eastAsia="Calibri" w:hAnsi="Arial" w:cs="Arial"/>
          <w:sz w:val="20"/>
          <w:szCs w:val="20"/>
          <w:lang w:val="x-none" w:eastAsia="zh-CN"/>
        </w:rPr>
        <w:tab/>
        <w:t>La diferencia de tensión entre los extremos emisor y receptor no debe superar el 5 % para las condiciones de operación normal (continua y en régimen permanente).</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En el Esquema N° 1, que se adjunta al final del presente anexo, se muestra la configuración del proyecto</w:t>
      </w:r>
    </w:p>
    <w:p w:rsidR="00EF4587" w:rsidRPr="00CB71E1" w:rsidRDefault="00EF4587" w:rsidP="00CB71E1">
      <w:pPr>
        <w:numPr>
          <w:ilvl w:val="0"/>
          <w:numId w:val="86"/>
        </w:numPr>
        <w:spacing w:before="360" w:after="240" w:line="257" w:lineRule="auto"/>
        <w:ind w:left="567" w:hanging="567"/>
        <w:jc w:val="both"/>
        <w:outlineLvl w:val="0"/>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LÍNEA DE TRANSMISIÓN</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3.1</w:t>
      </w:r>
      <w:r w:rsidRPr="00CB71E1">
        <w:rPr>
          <w:rFonts w:ascii="Arial" w:eastAsia="Times New Roman" w:hAnsi="Arial" w:cs="Arial"/>
          <w:b/>
          <w:sz w:val="20"/>
          <w:szCs w:val="20"/>
          <w:lang w:val="es-ES" w:eastAsia="es-ES"/>
        </w:rPr>
        <w:tab/>
        <w:t>ALCANCE GENERAL</w:t>
      </w:r>
    </w:p>
    <w:p w:rsidR="00EF4587" w:rsidRPr="00CB71E1" w:rsidRDefault="00EF4587" w:rsidP="00CB71E1">
      <w:pPr>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La configuración del proyecto comprende la construcción de una línea de transmisión entre las subestaciones La Planicie 220 kV e Industriales 220 kV, constituida por un tramo aéreo y otro subterráneo, cuyas características se describen a continuación: </w:t>
      </w:r>
    </w:p>
    <w:p w:rsidR="00EF4587" w:rsidRPr="00CB71E1" w:rsidRDefault="00EF4587" w:rsidP="00CB71E1">
      <w:pPr>
        <w:tabs>
          <w:tab w:val="left" w:pos="1080"/>
        </w:tabs>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b/>
          <w:sz w:val="20"/>
          <w:szCs w:val="20"/>
          <w:lang w:val="es-ES" w:eastAsia="es-ES"/>
        </w:rPr>
        <w:t>a)</w:t>
      </w:r>
      <w:r w:rsidRPr="00CB71E1">
        <w:rPr>
          <w:rFonts w:ascii="Arial" w:eastAsia="Times New Roman" w:hAnsi="Arial" w:cs="Arial"/>
          <w:b/>
          <w:sz w:val="20"/>
          <w:szCs w:val="20"/>
          <w:lang w:val="es-ES" w:eastAsia="es-ES"/>
        </w:rPr>
        <w:tab/>
        <w:t>Línea Aérea</w:t>
      </w:r>
      <w:r w:rsidRPr="00CB71E1">
        <w:rPr>
          <w:rFonts w:ascii="Arial" w:eastAsia="Times New Roman" w:hAnsi="Arial" w:cs="Arial"/>
          <w:sz w:val="20"/>
          <w:szCs w:val="20"/>
          <w:lang w:val="es-ES" w:eastAsia="es-ES"/>
        </w:rPr>
        <w:t>: las características del tramo de línea aérea son las siguientes:</w:t>
      </w:r>
    </w:p>
    <w:p w:rsidR="00EF4587" w:rsidRPr="00CB71E1" w:rsidRDefault="00EF4587" w:rsidP="00CB71E1">
      <w:pPr>
        <w:numPr>
          <w:ilvl w:val="2"/>
          <w:numId w:val="58"/>
        </w:numPr>
        <w:tabs>
          <w:tab w:val="num" w:pos="1440"/>
        </w:tabs>
        <w:spacing w:before="120" w:after="0" w:line="257" w:lineRule="auto"/>
        <w:ind w:left="144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Longitud aproximada: 11,7 km</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Capacidad de Diseño por Límite Térmico: 400 MVA por circuito.</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Numero de ternas: Dos (2)</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Configuración: vertical y o triangular, doble terna.</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Conductores de fase:  uno (01) o dos (02) conductores por fase.</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Tipo de conductor: ACAR o AAAC, a ser definido por la Sociedad Concesionaria.</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Cable de guarda: uno (1) tipo OPGW de 24 fibras (mínimo). El calibre del cable a utilizar será definido por la Sociedad Concesionaria.</w:t>
      </w:r>
    </w:p>
    <w:p w:rsidR="00EF4587" w:rsidRPr="00CB71E1" w:rsidRDefault="00EF4587" w:rsidP="00CB71E1">
      <w:pPr>
        <w:numPr>
          <w:ilvl w:val="2"/>
          <w:numId w:val="58"/>
        </w:numPr>
        <w:tabs>
          <w:tab w:val="num" w:pos="1440"/>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lastRenderedPageBreak/>
        <w:t>Subestaciones que enlaza: S.E. La Planicie 220 kV con la S.E. Industriales,  incluyendo una estación intermedia de transición de línea aérea a subterránea.</w:t>
      </w:r>
    </w:p>
    <w:p w:rsidR="00EF4587" w:rsidRPr="00CB71E1" w:rsidRDefault="00EF4587" w:rsidP="00CB71E1">
      <w:pPr>
        <w:tabs>
          <w:tab w:val="left" w:pos="1080"/>
        </w:tabs>
        <w:spacing w:before="120" w:after="0" w:line="257" w:lineRule="auto"/>
        <w:ind w:left="600"/>
        <w:jc w:val="both"/>
        <w:rPr>
          <w:rFonts w:ascii="Arial" w:eastAsia="Times New Roman" w:hAnsi="Arial" w:cs="Arial"/>
          <w:sz w:val="20"/>
          <w:szCs w:val="20"/>
          <w:lang w:val="es-ES" w:eastAsia="es-ES"/>
        </w:rPr>
      </w:pPr>
      <w:r w:rsidRPr="00CB71E1">
        <w:rPr>
          <w:rFonts w:ascii="Arial" w:eastAsia="Times New Roman" w:hAnsi="Arial" w:cs="Arial"/>
          <w:b/>
          <w:sz w:val="20"/>
          <w:szCs w:val="20"/>
          <w:lang w:val="es-ES" w:eastAsia="es-ES"/>
        </w:rPr>
        <w:t>b)</w:t>
      </w:r>
      <w:r w:rsidRPr="00CB71E1">
        <w:rPr>
          <w:rFonts w:ascii="Arial" w:eastAsia="Times New Roman" w:hAnsi="Arial" w:cs="Arial"/>
          <w:b/>
          <w:sz w:val="20"/>
          <w:szCs w:val="20"/>
          <w:lang w:val="es-ES" w:eastAsia="es-ES"/>
        </w:rPr>
        <w:tab/>
        <w:t>Línea Subterránea</w:t>
      </w:r>
      <w:r w:rsidRPr="00CB71E1">
        <w:rPr>
          <w:rFonts w:ascii="Arial" w:eastAsia="Times New Roman" w:hAnsi="Arial" w:cs="Arial"/>
          <w:sz w:val="20"/>
          <w:szCs w:val="20"/>
          <w:lang w:val="es-ES" w:eastAsia="es-ES"/>
        </w:rPr>
        <w:t>: las características del tramo de línea subterránea son las siguientes:</w:t>
      </w:r>
    </w:p>
    <w:p w:rsidR="00EF4587" w:rsidRPr="00CB71E1" w:rsidRDefault="00EF4587" w:rsidP="00CB71E1">
      <w:pPr>
        <w:numPr>
          <w:ilvl w:val="2"/>
          <w:numId w:val="58"/>
        </w:numPr>
        <w:spacing w:before="120" w:after="0" w:line="257" w:lineRule="auto"/>
        <w:ind w:left="1440"/>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Longitud aproximada: 4,9 km</w:t>
      </w:r>
    </w:p>
    <w:p w:rsidR="00EF4587" w:rsidRPr="00CB71E1" w:rsidRDefault="00EF4587" w:rsidP="00CB71E1">
      <w:pPr>
        <w:numPr>
          <w:ilvl w:val="2"/>
          <w:numId w:val="58"/>
        </w:numPr>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Capacidad de Diseño por Límite Térmico: 400 MVA por circuito y con los dos circuitos en operación.</w:t>
      </w:r>
    </w:p>
    <w:p w:rsidR="00EF4587" w:rsidRPr="00CB71E1" w:rsidRDefault="00EF4587" w:rsidP="00CB71E1">
      <w:pPr>
        <w:numPr>
          <w:ilvl w:val="2"/>
          <w:numId w:val="58"/>
        </w:numPr>
        <w:tabs>
          <w:tab w:val="left" w:pos="284"/>
          <w:tab w:val="left" w:pos="567"/>
        </w:tabs>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Numero de ternas: Dos (2)</w:t>
      </w:r>
    </w:p>
    <w:p w:rsidR="00EF4587" w:rsidRPr="00CB71E1" w:rsidRDefault="00EF4587" w:rsidP="00CB71E1">
      <w:pPr>
        <w:numPr>
          <w:ilvl w:val="2"/>
          <w:numId w:val="58"/>
        </w:numPr>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Configuración: a ser definida por </w:t>
      </w:r>
      <w:r w:rsidR="00DB73B6" w:rsidRPr="00CB71E1">
        <w:rPr>
          <w:rFonts w:ascii="Arial" w:eastAsia="Times New Roman" w:hAnsi="Arial" w:cs="Arial"/>
          <w:sz w:val="20"/>
          <w:szCs w:val="20"/>
          <w:lang w:val="es-ES" w:eastAsia="es-ES"/>
        </w:rPr>
        <w:t xml:space="preserve">la Sociedad </w:t>
      </w:r>
      <w:r w:rsidRPr="00CB71E1">
        <w:rPr>
          <w:rFonts w:ascii="Arial" w:eastAsia="Times New Roman" w:hAnsi="Arial" w:cs="Arial"/>
          <w:sz w:val="20"/>
          <w:szCs w:val="20"/>
          <w:lang w:val="es-ES" w:eastAsia="es-ES"/>
        </w:rPr>
        <w:t>Concesionari</w:t>
      </w:r>
      <w:r w:rsidR="00DB73B6" w:rsidRPr="00CB71E1">
        <w:rPr>
          <w:rFonts w:ascii="Arial" w:eastAsia="Times New Roman" w:hAnsi="Arial" w:cs="Arial"/>
          <w:sz w:val="20"/>
          <w:szCs w:val="20"/>
          <w:lang w:val="es-ES" w:eastAsia="es-ES"/>
        </w:rPr>
        <w:t>a</w:t>
      </w:r>
      <w:r w:rsidRPr="00CB71E1">
        <w:rPr>
          <w:rFonts w:ascii="Arial" w:eastAsia="Times New Roman" w:hAnsi="Arial" w:cs="Arial"/>
          <w:sz w:val="20"/>
          <w:szCs w:val="20"/>
          <w:lang w:val="es-ES" w:eastAsia="es-ES"/>
        </w:rPr>
        <w:t>.</w:t>
      </w:r>
    </w:p>
    <w:p w:rsidR="00EF4587" w:rsidRPr="00CB71E1" w:rsidRDefault="00EF4587" w:rsidP="00CB71E1">
      <w:pPr>
        <w:numPr>
          <w:ilvl w:val="2"/>
          <w:numId w:val="58"/>
        </w:numPr>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Tipo de cable: unipolar con aislamiento tipo XLPE para 220 kV, cuyas características serán definidas por la Sociedad Concesionaria. </w:t>
      </w:r>
    </w:p>
    <w:p w:rsidR="00EF4587" w:rsidRPr="00CB71E1" w:rsidRDefault="00EF4587" w:rsidP="00CB71E1">
      <w:pPr>
        <w:numPr>
          <w:ilvl w:val="2"/>
          <w:numId w:val="58"/>
        </w:numPr>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Cable de fibra óptica: uno (1) de 24 fibras (mínimo) para instalación subterránea, cuyas características deben ser compatibles con las del cable OPGW del tramo a</w:t>
      </w:r>
      <w:r w:rsidRPr="00CB71E1">
        <w:rPr>
          <w:rFonts w:ascii="Arial" w:eastAsia="Times New Roman" w:hAnsi="Arial" w:cs="Arial"/>
          <w:sz w:val="20"/>
          <w:szCs w:val="20"/>
          <w:lang w:eastAsia="es-ES"/>
        </w:rPr>
        <w:t>éreo</w:t>
      </w:r>
      <w:r w:rsidRPr="00CB71E1">
        <w:rPr>
          <w:rFonts w:ascii="Arial" w:eastAsia="Times New Roman" w:hAnsi="Arial" w:cs="Arial"/>
          <w:sz w:val="20"/>
          <w:szCs w:val="20"/>
          <w:lang w:val="es-ES" w:eastAsia="es-ES"/>
        </w:rPr>
        <w:t>. El tipo y  calibre será definido por la Sociedad Concesionaria.</w:t>
      </w:r>
    </w:p>
    <w:p w:rsidR="00EF4587" w:rsidRPr="00CB71E1" w:rsidRDefault="00EF4587" w:rsidP="00CB71E1">
      <w:pPr>
        <w:numPr>
          <w:ilvl w:val="2"/>
          <w:numId w:val="58"/>
        </w:numPr>
        <w:spacing w:before="60" w:after="0" w:line="257" w:lineRule="auto"/>
        <w:ind w:left="1434"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Subestaciones que enlaza: S.E. La Planicie 220 kV con la S.E. Industriales, incluyendo una estación intermedia de transición de línea aérea a subterránea.</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3.2</w:t>
      </w:r>
      <w:r w:rsidRPr="00CB71E1">
        <w:rPr>
          <w:rFonts w:ascii="Arial" w:eastAsia="Times New Roman" w:hAnsi="Arial" w:cs="Arial"/>
          <w:b/>
          <w:sz w:val="20"/>
          <w:szCs w:val="20"/>
          <w:lang w:val="es-ES" w:eastAsia="es-ES"/>
        </w:rPr>
        <w:tab/>
        <w:t>REQUERIMIENTOS TÉCNICOS DE LÍNEAS DE TRANSMISIÓN</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Sociedad Concesionaria será responsable de la selección de la ruta y recorrido de la línea de transmisión, tanto en el tramo aéreo como en el tramo subterráneo.</w:t>
      </w:r>
    </w:p>
    <w:p w:rsidR="00EF4587" w:rsidRPr="00CB71E1" w:rsidRDefault="00EF4587" w:rsidP="00CB71E1">
      <w:pPr>
        <w:spacing w:before="120" w:after="0" w:line="257" w:lineRule="auto"/>
        <w:ind w:left="851"/>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En el Anteproyecto se muestra el trazo preliminar para la Línea de Transmisión, el cual será evaluado por la Sociedad Concesionaria, quien definirá el trazo de ruta final.</w:t>
      </w:r>
    </w:p>
    <w:p w:rsidR="00EF4587" w:rsidRPr="00CB71E1" w:rsidRDefault="00EF4587" w:rsidP="00CB71E1">
      <w:pPr>
        <w:spacing w:before="120" w:after="0" w:line="257" w:lineRule="auto"/>
        <w:ind w:left="851"/>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Se evitará que la ruta de la línea aérea pase por zonas Arqueológicas, parques nacionales  y zonas restringidas.</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Asimismo, la Sociedad Concesionaria será responsable de lo relacionado a la construcción de accesos, para lo cual deberá ceñirse a las normas vigentes que correspondan. </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Entre otras, la Sociedad Concesionaria será responsable de las actividades siguientes:</w:t>
      </w:r>
    </w:p>
    <w:p w:rsidR="00EF4587" w:rsidRPr="00CB71E1" w:rsidRDefault="00EF4587" w:rsidP="00CB71E1">
      <w:pPr>
        <w:numPr>
          <w:ilvl w:val="2"/>
          <w:numId w:val="66"/>
        </w:numPr>
        <w:tabs>
          <w:tab w:val="clear" w:pos="2340"/>
        </w:tabs>
        <w:spacing w:before="60" w:after="0" w:line="257" w:lineRule="auto"/>
        <w:ind w:left="1135"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Gestión de los derechos de servidumbre y el pago de las compensaciones a los propietarios o posesionarios de los terrenos, para lo cual el Concedente podrá colaborar en las tareas de sensibilizar a los propietarios, a fin de tener una gestión de servidumbre expeditiva.</w:t>
      </w:r>
    </w:p>
    <w:p w:rsidR="00EF4587" w:rsidRPr="00CB71E1" w:rsidRDefault="00EF4587" w:rsidP="00CB71E1">
      <w:pPr>
        <w:numPr>
          <w:ilvl w:val="2"/>
          <w:numId w:val="66"/>
        </w:numPr>
        <w:tabs>
          <w:tab w:val="clear" w:pos="2340"/>
        </w:tabs>
        <w:spacing w:before="60" w:after="0" w:line="257" w:lineRule="auto"/>
        <w:ind w:left="1135"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Coordinar con las empresas concesionarias que estén desarrollando algún proyecto o que cuenten con  instalaciones comprendidas en el recorrido de la línea, o donde sea necesario realizar trabajos para la conexión a las subestaciones existentes que forman parte del alcance del presente proyecto.</w:t>
      </w:r>
    </w:p>
    <w:p w:rsidR="00EF4587" w:rsidRPr="00CB71E1" w:rsidRDefault="00EF4587" w:rsidP="00CB71E1">
      <w:pPr>
        <w:numPr>
          <w:ilvl w:val="2"/>
          <w:numId w:val="66"/>
        </w:numPr>
        <w:tabs>
          <w:tab w:val="clear" w:pos="2340"/>
        </w:tabs>
        <w:spacing w:before="60" w:after="0" w:line="257" w:lineRule="auto"/>
        <w:ind w:left="1135"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Obtención del CIRA (certificación del Ministerio de Cultura sobre no afectación a restos arqueológicos).</w:t>
      </w:r>
    </w:p>
    <w:p w:rsidR="00EF4587" w:rsidRPr="00CB71E1" w:rsidRDefault="00EF4587" w:rsidP="00CB71E1">
      <w:pPr>
        <w:numPr>
          <w:ilvl w:val="2"/>
          <w:numId w:val="66"/>
        </w:numPr>
        <w:tabs>
          <w:tab w:val="clear" w:pos="2340"/>
        </w:tabs>
        <w:spacing w:before="60" w:after="0" w:line="257" w:lineRule="auto"/>
        <w:ind w:left="1135"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Elaboración del Estudio de Impacto Ambiental y su plan de monitoreo, el que deberá contar con la aprobación de las entidades públicas correspondientes.</w:t>
      </w:r>
    </w:p>
    <w:p w:rsidR="00EF4587" w:rsidRPr="00CB71E1" w:rsidRDefault="00EF4587" w:rsidP="00CB71E1">
      <w:pPr>
        <w:numPr>
          <w:ilvl w:val="0"/>
          <w:numId w:val="64"/>
        </w:numPr>
        <w:tabs>
          <w:tab w:val="clear" w:pos="1571"/>
        </w:tabs>
        <w:spacing w:before="60" w:after="0" w:line="257" w:lineRule="auto"/>
        <w:ind w:left="1135"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Obtención de la Concesión Definitiva de Transmisión Eléctrica.</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El Concedente tendrá a su cargo la obtención de la opinión técnica favorable del proyecto, emitida por el Servicio Nacional de Áreas Naturales Protegidas por el Estado (SERNANP), así como el proceso de la Consulta Previa, en caso resulte necesario.</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Faja de servidumbre: la faja de servidumbre será como mínimo de 25 m para la línea aérea en 220 kV. Para el tramo subterráneo se aplicará lo prescrito en el CNE Suministro 2011.</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lastRenderedPageBreak/>
        <w:t>La línea debe cumplir los siguientes requisitos mínimos:</w:t>
      </w:r>
    </w:p>
    <w:p w:rsidR="00EF4587" w:rsidRPr="00CB71E1" w:rsidRDefault="00EF4587" w:rsidP="00CB71E1">
      <w:pPr>
        <w:numPr>
          <w:ilvl w:val="0"/>
          <w:numId w:val="65"/>
        </w:numPr>
        <w:tabs>
          <w:tab w:val="left" w:pos="1418"/>
          <w:tab w:val="right" w:pos="6840"/>
        </w:tabs>
        <w:spacing w:before="120" w:after="0" w:line="257" w:lineRule="auto"/>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Tensión de operación nominal </w:t>
      </w:r>
      <w:r w:rsidRPr="00CB71E1">
        <w:rPr>
          <w:rFonts w:ascii="Arial" w:eastAsia="Times New Roman" w:hAnsi="Arial" w:cs="Arial"/>
          <w:sz w:val="20"/>
          <w:szCs w:val="20"/>
          <w:lang w:val="es-ES" w:eastAsia="es-ES"/>
        </w:rPr>
        <w:tab/>
        <w:t xml:space="preserve">: </w:t>
      </w:r>
      <w:r w:rsidRPr="00CB71E1">
        <w:rPr>
          <w:rFonts w:ascii="Arial" w:eastAsia="Times New Roman" w:hAnsi="Arial" w:cs="Arial"/>
          <w:sz w:val="20"/>
          <w:szCs w:val="20"/>
          <w:lang w:val="es-ES" w:eastAsia="es-ES"/>
        </w:rPr>
        <w:tab/>
        <w:t>220 kV</w:t>
      </w:r>
    </w:p>
    <w:p w:rsidR="00EF4587" w:rsidRPr="00CB71E1" w:rsidRDefault="00EF4587" w:rsidP="00CB71E1">
      <w:pPr>
        <w:numPr>
          <w:ilvl w:val="0"/>
          <w:numId w:val="65"/>
        </w:numPr>
        <w:tabs>
          <w:tab w:val="left" w:pos="1418"/>
          <w:tab w:val="right" w:pos="6840"/>
        </w:tabs>
        <w:spacing w:before="60" w:after="0" w:line="257" w:lineRule="auto"/>
        <w:ind w:left="1570"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Tensión máxima de operación </w:t>
      </w:r>
      <w:r w:rsidRPr="00CB71E1">
        <w:rPr>
          <w:rFonts w:ascii="Arial" w:eastAsia="Times New Roman" w:hAnsi="Arial" w:cs="Arial"/>
          <w:sz w:val="20"/>
          <w:szCs w:val="20"/>
          <w:lang w:val="es-ES" w:eastAsia="es-ES"/>
        </w:rPr>
        <w:tab/>
        <w:t xml:space="preserve">: </w:t>
      </w:r>
      <w:r w:rsidRPr="00CB71E1">
        <w:rPr>
          <w:rFonts w:ascii="Arial" w:eastAsia="Times New Roman" w:hAnsi="Arial" w:cs="Arial"/>
          <w:sz w:val="20"/>
          <w:szCs w:val="20"/>
          <w:lang w:val="es-ES" w:eastAsia="es-ES"/>
        </w:rPr>
        <w:tab/>
        <w:t>245 kV</w:t>
      </w:r>
    </w:p>
    <w:p w:rsidR="00EF4587" w:rsidRPr="00CB71E1" w:rsidRDefault="00EF4587" w:rsidP="00CB71E1">
      <w:pPr>
        <w:numPr>
          <w:ilvl w:val="0"/>
          <w:numId w:val="65"/>
        </w:numPr>
        <w:tabs>
          <w:tab w:val="left" w:pos="1418"/>
          <w:tab w:val="right" w:pos="6840"/>
        </w:tabs>
        <w:spacing w:before="60" w:after="0" w:line="257" w:lineRule="auto"/>
        <w:ind w:left="1570"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 xml:space="preserve">Tensión de sostenimiento al impulso atmosférico </w:t>
      </w:r>
      <w:r w:rsidRPr="00CB71E1">
        <w:rPr>
          <w:rFonts w:ascii="Arial" w:eastAsia="Times New Roman" w:hAnsi="Arial" w:cs="Arial"/>
          <w:sz w:val="20"/>
          <w:szCs w:val="20"/>
          <w:lang w:val="es-ES" w:eastAsia="es-ES"/>
        </w:rPr>
        <w:tab/>
        <w:t xml:space="preserve">: </w:t>
      </w:r>
      <w:r w:rsidRPr="00CB71E1">
        <w:rPr>
          <w:rFonts w:ascii="Arial" w:eastAsia="Times New Roman" w:hAnsi="Arial" w:cs="Arial"/>
          <w:sz w:val="20"/>
          <w:szCs w:val="20"/>
          <w:lang w:val="es-ES" w:eastAsia="es-ES"/>
        </w:rPr>
        <w:tab/>
        <w:t>1 050 kV</w:t>
      </w:r>
      <w:r w:rsidRPr="00CB71E1">
        <w:rPr>
          <w:rFonts w:ascii="Arial" w:eastAsia="Times New Roman" w:hAnsi="Arial" w:cs="Arial"/>
          <w:sz w:val="20"/>
          <w:szCs w:val="20"/>
          <w:vertAlign w:val="subscript"/>
          <w:lang w:val="es-ES" w:eastAsia="es-ES"/>
        </w:rPr>
        <w:t>pico</w:t>
      </w:r>
    </w:p>
    <w:p w:rsidR="00EF4587" w:rsidRPr="00CB71E1" w:rsidRDefault="00EF4587" w:rsidP="00CB71E1">
      <w:pPr>
        <w:numPr>
          <w:ilvl w:val="0"/>
          <w:numId w:val="65"/>
        </w:numPr>
        <w:tabs>
          <w:tab w:val="left" w:pos="1418"/>
          <w:tab w:val="right" w:pos="6840"/>
        </w:tabs>
        <w:spacing w:before="60" w:after="0" w:line="257" w:lineRule="auto"/>
        <w:ind w:left="1570" w:hanging="357"/>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Tensión de sostenimiento a frecuencia industrial (60 Hz)</w:t>
      </w:r>
      <w:r w:rsidRPr="00CB71E1">
        <w:rPr>
          <w:rFonts w:ascii="Arial" w:eastAsia="Times New Roman" w:hAnsi="Arial" w:cs="Arial"/>
          <w:sz w:val="20"/>
          <w:szCs w:val="20"/>
          <w:lang w:val="es-ES" w:eastAsia="es-ES"/>
        </w:rPr>
        <w:tab/>
        <w:t xml:space="preserve"> : </w:t>
      </w:r>
      <w:r w:rsidRPr="00CB71E1">
        <w:rPr>
          <w:rFonts w:ascii="Arial" w:eastAsia="Times New Roman" w:hAnsi="Arial" w:cs="Arial"/>
          <w:sz w:val="20"/>
          <w:szCs w:val="20"/>
          <w:lang w:val="es-ES" w:eastAsia="es-ES"/>
        </w:rPr>
        <w:tab/>
        <w:t>460 kV</w:t>
      </w:r>
    </w:p>
    <w:p w:rsidR="00EF4587" w:rsidRPr="00CB71E1" w:rsidRDefault="00EF4587" w:rsidP="00CB71E1">
      <w:pPr>
        <w:tabs>
          <w:tab w:val="left" w:pos="851"/>
          <w:tab w:val="left" w:pos="1276"/>
        </w:tabs>
        <w:spacing w:before="120" w:after="0" w:line="257" w:lineRule="auto"/>
        <w:ind w:left="851"/>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Donde corresponda,  los valores  anteriores  serán  corregidos  para  altitudes  mayores a 1 000 msnm, las distancias de seguridad en los soportes y el aislamiento deberán corregirse por altitud.</w:t>
      </w:r>
    </w:p>
    <w:p w:rsidR="00EF4587" w:rsidRPr="00CB71E1" w:rsidRDefault="00EF4587" w:rsidP="00CB71E1">
      <w:pPr>
        <w:tabs>
          <w:tab w:val="left" w:pos="1276"/>
        </w:tabs>
        <w:spacing w:before="120" w:after="0" w:line="257" w:lineRule="auto"/>
        <w:ind w:left="851"/>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longitud de línea de fuga del aislamiento deberá ser verificada de acuerdo con el nivel de contaminación de la zona por la que atraviesa la línea, su máximo nivel de tensión y la altitud  sobre  el  nivel del mar.   Las  longitudes   de   fuga   mínimas  a  considerar será 31 mm/kV</w:t>
      </w:r>
      <w:r w:rsidRPr="00CB71E1">
        <w:rPr>
          <w:rFonts w:ascii="Arial" w:eastAsia="Times New Roman" w:hAnsi="Arial" w:cs="Arial"/>
          <w:sz w:val="20"/>
          <w:szCs w:val="20"/>
          <w:vertAlign w:val="subscript"/>
          <w:lang w:val="es-ES" w:eastAsia="es-ES"/>
        </w:rPr>
        <w:t>fase-fase</w:t>
      </w:r>
      <w:r w:rsidRPr="00CB71E1">
        <w:rPr>
          <w:rFonts w:ascii="Arial" w:eastAsia="Times New Roman" w:hAnsi="Arial" w:cs="Arial"/>
          <w:sz w:val="20"/>
          <w:szCs w:val="20"/>
          <w:lang w:val="es-ES" w:eastAsia="es-ES"/>
        </w:rPr>
        <w:t>.</w:t>
      </w:r>
    </w:p>
    <w:p w:rsidR="00EF4587" w:rsidRPr="00CB71E1" w:rsidRDefault="00EF4587" w:rsidP="00CB71E1">
      <w:pPr>
        <w:tabs>
          <w:tab w:val="left" w:pos="1276"/>
        </w:tabs>
        <w:spacing w:before="120" w:after="0" w:line="257" w:lineRule="auto"/>
        <w:ind w:left="851"/>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 resistencia de las puestas a tierra individuales en las estructuras del tramo aéreo de la línea no deberán superar los 25 Ohms.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Se deberá cumplir con las siguientes condiciones de diseño:</w:t>
      </w:r>
    </w:p>
    <w:p w:rsidR="00EF4587" w:rsidRPr="00CB71E1" w:rsidRDefault="00EF4587" w:rsidP="00CB71E1">
      <w:pPr>
        <w:spacing w:before="120" w:after="0" w:line="257" w:lineRule="auto"/>
        <w:ind w:left="1276" w:hanging="425"/>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g.1)</w:t>
      </w:r>
      <w:r w:rsidRPr="00CB71E1">
        <w:rPr>
          <w:rFonts w:ascii="Arial" w:eastAsia="Times New Roman" w:hAnsi="Arial" w:cs="Arial"/>
          <w:sz w:val="20"/>
          <w:szCs w:val="20"/>
          <w:lang w:val="es-ES" w:eastAsia="es-ES"/>
        </w:rPr>
        <w:tab/>
        <w:t xml:space="preserve">El valor del máximo de gradiente superficial  en  los  conductores no deberá ser mayor  a 16 kVrms/cm en zonas con altitud hasta 1000 msnm. </w:t>
      </w:r>
    </w:p>
    <w:p w:rsidR="00EF4587" w:rsidRPr="00CB71E1" w:rsidRDefault="00EF4587" w:rsidP="00CB71E1">
      <w:pPr>
        <w:spacing w:before="120" w:after="0" w:line="257" w:lineRule="auto"/>
        <w:ind w:left="1276" w:hanging="425"/>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g.2) Límites de radiaciones no ionizantes al límite de la faja de servidumbre, para exposición poblacional según el Anexo C4.2 del CNE-Utilización 2006.</w:t>
      </w:r>
    </w:p>
    <w:p w:rsidR="00EF4587" w:rsidRPr="00CB71E1" w:rsidRDefault="00EF4587" w:rsidP="00CB71E1">
      <w:pPr>
        <w:spacing w:before="120" w:after="0" w:line="257" w:lineRule="auto"/>
        <w:ind w:left="1276" w:hanging="425"/>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g.3) Ruido audible al límite de la faja de servidumbre para zonas residenciales según        el Anexo C3.3 del CNE –Utilización 2006.</w:t>
      </w:r>
    </w:p>
    <w:p w:rsidR="00EF4587" w:rsidRPr="00CB71E1" w:rsidRDefault="00EF4587" w:rsidP="00CB71E1">
      <w:pPr>
        <w:spacing w:before="120" w:after="0" w:line="257" w:lineRule="auto"/>
        <w:ind w:left="1276" w:hanging="425"/>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g.4) Límites de radio interferencia. Se cumplirá con las siguientes normas internacionales:</w:t>
      </w:r>
    </w:p>
    <w:p w:rsidR="00EF4587" w:rsidRPr="00CB71E1" w:rsidRDefault="00EF4587" w:rsidP="00CB71E1">
      <w:pPr>
        <w:spacing w:before="120" w:after="0" w:line="257" w:lineRule="auto"/>
        <w:ind w:left="1418" w:hanging="180"/>
        <w:jc w:val="both"/>
        <w:rPr>
          <w:rFonts w:ascii="Arial" w:eastAsia="Times New Roman" w:hAnsi="Arial" w:cs="Arial"/>
          <w:sz w:val="20"/>
          <w:szCs w:val="20"/>
          <w:lang w:val="en-US" w:eastAsia="es-ES"/>
        </w:rPr>
      </w:pPr>
      <w:r w:rsidRPr="00CB71E1">
        <w:rPr>
          <w:rFonts w:ascii="Arial" w:eastAsia="Times New Roman" w:hAnsi="Arial" w:cs="Arial"/>
          <w:sz w:val="20"/>
          <w:szCs w:val="20"/>
          <w:lang w:val="en-US" w:eastAsia="es-ES"/>
        </w:rPr>
        <w:t>-</w:t>
      </w:r>
      <w:r w:rsidRPr="00CB71E1">
        <w:rPr>
          <w:rFonts w:ascii="Arial" w:eastAsia="Times New Roman" w:hAnsi="Arial" w:cs="Arial"/>
          <w:sz w:val="20"/>
          <w:szCs w:val="20"/>
          <w:lang w:val="en-US" w:eastAsia="es-ES"/>
        </w:rPr>
        <w:tab/>
        <w:t xml:space="preserve">IEC CISPR 18-1 Radio interference characteristics of overhead power lines and high-voltage equipment Part 1: Description of phenomena. </w:t>
      </w:r>
    </w:p>
    <w:p w:rsidR="00EF4587" w:rsidRPr="00CB71E1" w:rsidRDefault="00EF4587" w:rsidP="00CB71E1">
      <w:pPr>
        <w:spacing w:before="120" w:after="0" w:line="257" w:lineRule="auto"/>
        <w:ind w:left="1418" w:hanging="180"/>
        <w:jc w:val="both"/>
        <w:rPr>
          <w:rFonts w:ascii="Arial" w:eastAsia="Times New Roman" w:hAnsi="Arial" w:cs="Arial"/>
          <w:sz w:val="20"/>
          <w:szCs w:val="20"/>
          <w:lang w:val="en-US" w:eastAsia="es-ES"/>
        </w:rPr>
      </w:pPr>
      <w:r w:rsidRPr="00CB71E1">
        <w:rPr>
          <w:rFonts w:ascii="Arial" w:eastAsia="Times New Roman" w:hAnsi="Arial" w:cs="Arial"/>
          <w:sz w:val="20"/>
          <w:szCs w:val="20"/>
          <w:lang w:val="en-US" w:eastAsia="es-ES"/>
        </w:rPr>
        <w:t xml:space="preserve">- IEC CISPR 18-2 Radio interference characteristics of overhead power lines and high-voltage equipment. Part 2: Methods of measurement and procedure for determining limits. </w:t>
      </w:r>
    </w:p>
    <w:p w:rsidR="00EF4587" w:rsidRPr="00CB71E1" w:rsidRDefault="00EF4587" w:rsidP="00CB71E1">
      <w:pPr>
        <w:tabs>
          <w:tab w:val="left" w:pos="851"/>
        </w:tabs>
        <w:spacing w:before="120" w:after="0" w:line="257" w:lineRule="auto"/>
        <w:ind w:left="1418" w:hanging="180"/>
        <w:jc w:val="both"/>
        <w:rPr>
          <w:rFonts w:ascii="Arial" w:eastAsia="Times New Roman" w:hAnsi="Arial" w:cs="Arial"/>
          <w:sz w:val="20"/>
          <w:szCs w:val="20"/>
          <w:lang w:val="en-US" w:eastAsia="es-ES"/>
        </w:rPr>
      </w:pPr>
      <w:r w:rsidRPr="00CB71E1">
        <w:rPr>
          <w:rFonts w:ascii="Arial" w:eastAsia="Times New Roman" w:hAnsi="Arial" w:cs="Arial"/>
          <w:sz w:val="20"/>
          <w:szCs w:val="20"/>
          <w:lang w:val="en-US" w:eastAsia="es-ES"/>
        </w:rPr>
        <w:t>- IEC CISPR 18-3 Radio Interference Characteristics of Overhead Power Lines and High-Voltage Equipment - Part 3: Code of Practice for Minimizing the Generation of Radio Noise.</w:t>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Las distancias de seguridad considerando un creep de 20 años, serán calculadas según la Regla 232 del CNE-Suministro vigente a la fecha de cierre, efectuando los cálculos correspondientes para cada nivel de tensión. Para la aplicación de la regla 232 se emplearán los valores de componente eléctrica, indicados en la tabla 232-4 del NESC. Las distancias de seguridad no podrán ser menores a los valores indicados en la Tabla 2.1 que se incluyen al final del presente anexo. También se incluye, al final del presente anexo,  la Tabla 2.2 relativa a los niveles admisibles de campos eléctricos y magnéticos que deben cumplirse.</w:t>
      </w:r>
    </w:p>
    <w:p w:rsidR="00CB71E1" w:rsidRDefault="00CB71E1">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EF4587" w:rsidRPr="00CB71E1"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lastRenderedPageBreak/>
        <w:t>El diseño del aislamiento, apantallamiento del cable de guarda, la puesta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p>
    <w:p w:rsidR="00EF4587" w:rsidRPr="00CB71E1" w:rsidRDefault="00EF4587" w:rsidP="00CB71E1">
      <w:pPr>
        <w:spacing w:before="120" w:after="0" w:line="257" w:lineRule="auto"/>
        <w:ind w:left="851"/>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A manera de referencia se recomienda lo siguiente:</w:t>
      </w:r>
    </w:p>
    <w:p w:rsidR="00EF4587" w:rsidRPr="00CB71E1" w:rsidRDefault="00EF4587" w:rsidP="00CB71E1">
      <w:pPr>
        <w:numPr>
          <w:ilvl w:val="2"/>
          <w:numId w:val="67"/>
        </w:numPr>
        <w:spacing w:before="120" w:after="0" w:line="257" w:lineRule="auto"/>
        <w:ind w:left="1134" w:hanging="283"/>
        <w:jc w:val="both"/>
        <w:rPr>
          <w:rFonts w:ascii="Arial" w:eastAsia="Times New Roman" w:hAnsi="Arial" w:cs="Arial"/>
          <w:sz w:val="20"/>
          <w:szCs w:val="20"/>
          <w:lang w:val="es-ES" w:eastAsia="es-ES"/>
        </w:rPr>
      </w:pPr>
      <w:r w:rsidRPr="00CB71E1">
        <w:rPr>
          <w:rFonts w:ascii="Arial" w:eastAsia="Times New Roman" w:hAnsi="Arial" w:cs="Arial"/>
          <w:sz w:val="20"/>
          <w:szCs w:val="20"/>
          <w:lang w:val="es-ES" w:eastAsia="es-ES"/>
        </w:rPr>
        <w:t>Utilizar puestas a tierra capacitivas en las zonas rocosas o de alta resistividad del tramo aéreo.</w:t>
      </w:r>
    </w:p>
    <w:p w:rsidR="00EF4587" w:rsidRPr="00076DCD" w:rsidRDefault="00EF4587" w:rsidP="00CB71E1">
      <w:pPr>
        <w:numPr>
          <w:ilvl w:val="2"/>
          <w:numId w:val="67"/>
        </w:numPr>
        <w:tabs>
          <w:tab w:val="right" w:pos="-5040"/>
        </w:tabs>
        <w:spacing w:before="120" w:after="0" w:line="257" w:lineRule="auto"/>
        <w:ind w:left="1134" w:hanging="283"/>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Utilizar materiales (aisladores, ferretería, cables OPGW, etc.) de comprobada calidad para lo cual se deberá utilizar suministros con un mínimo de 15 años de fabricación y uso  a nivel mundial.</w:t>
      </w:r>
    </w:p>
    <w:p w:rsidR="00EF4587" w:rsidRPr="00076DCD"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empleará en el tramo aéreo un (1) cable de guarda tipo OPGW, tal que permita de forma rápida, segura, y selectiva la protección diferencial de la línea, el envío de datos al COES en tiempo real, el telemando y las telecomunicaciones. El Cable de guarda seleccionado deberá ser capaz de soportar el cortocircuito a tierra hasta el año 2035, valor que será sustentado por la Sociedad Concesionaria.</w:t>
      </w:r>
    </w:p>
    <w:p w:rsidR="00EF4587" w:rsidRPr="00076DCD" w:rsidRDefault="00EF4587" w:rsidP="00CB71E1">
      <w:pPr>
        <w:spacing w:before="120" w:after="0" w:line="257" w:lineRule="auto"/>
        <w:ind w:left="85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Para el tramo subterráneo la Sociedad Concesionaria seleccionará el tipo de cable de fibra óptica adecuado para una instalación subterránea, así como los elementos y accesorios que sean necesarios para su conexión con el cable aéreo OPGW, todo ello de manera tal que el conjunto aéreo – subterráneo  garantice una protección diferencial rápida, segura, y selectiva de la línea, el envío de datos al COES en tiempo real, el telemando y las telecomunicaciones. </w:t>
      </w:r>
    </w:p>
    <w:p w:rsidR="00EF4587" w:rsidRPr="00076DCD"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Para los servicios de mantenimiento de la línea se podrá utilizar un sistema de comunicación con celulares satelitales en lugar de un sistema de radio UHF/VHF. </w:t>
      </w:r>
    </w:p>
    <w:p w:rsidR="00EF4587" w:rsidRPr="00076DCD"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el tramo aéreo se podrá utilizar conductores tipo ACAR o AAAC según las cargas, vanos y tiros adecuados que presenten la mejor opción de construcción y operación, siempre y cuando se garantice un tiempo de vida útil de 30 años.</w:t>
      </w:r>
    </w:p>
    <w:p w:rsidR="00EF4587" w:rsidRPr="00076DCD" w:rsidRDefault="00EF4587" w:rsidP="00CB71E1">
      <w:pPr>
        <w:spacing w:before="120" w:after="0" w:line="257" w:lineRule="auto"/>
        <w:ind w:left="85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el cable XLPE del tramo subterráneo se empleará conductor de cobre.</w:t>
      </w:r>
    </w:p>
    <w:p w:rsidR="00EF4587" w:rsidRPr="00076DCD" w:rsidRDefault="00EF4587" w:rsidP="00CB71E1">
      <w:pPr>
        <w:spacing w:before="120" w:after="0" w:line="257" w:lineRule="auto"/>
        <w:ind w:left="85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podrá emplear el conductor que estime apropiado, sin exceder el porcentaje de pérdidas Joule establecido, ni las otras condiciones antes indicadas.</w:t>
      </w:r>
    </w:p>
    <w:p w:rsidR="00EF4587" w:rsidRPr="00076DCD"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Los límites máximos de pérdidas Joule, por circuito de la línea en conjunto, calculado para un valor de potencia de salida igual a la capacidad nominal con un factor de potencia igual a 1,00, y tensión en la barra de llegada igual a 1,00 p.u. será el indicado en el siguiente cuadro:</w:t>
      </w:r>
    </w:p>
    <w:p w:rsidR="00EF4587" w:rsidRPr="00CB71E1" w:rsidRDefault="00EF4587" w:rsidP="00CB71E1">
      <w:pPr>
        <w:spacing w:before="240" w:after="0" w:line="257" w:lineRule="auto"/>
        <w:jc w:val="center"/>
        <w:rPr>
          <w:rFonts w:ascii="Arial" w:eastAsia="Times New Roman" w:hAnsi="Arial" w:cs="Arial"/>
          <w:b/>
          <w:sz w:val="18"/>
          <w:szCs w:val="18"/>
          <w:lang w:eastAsia="es-ES"/>
        </w:rPr>
      </w:pPr>
      <w:r w:rsidRPr="00CB71E1">
        <w:rPr>
          <w:rFonts w:ascii="Arial" w:eastAsia="Times New Roman" w:hAnsi="Arial" w:cs="Arial"/>
          <w:b/>
          <w:sz w:val="18"/>
          <w:szCs w:val="18"/>
          <w:lang w:eastAsia="es-ES"/>
        </w:rPr>
        <w:t>% DE PÉRDIDAS JOULE POR CIRCUITO</w:t>
      </w:r>
    </w:p>
    <w:tbl>
      <w:tblPr>
        <w:tblW w:w="4224" w:type="pct"/>
        <w:tblInd w:w="11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99"/>
        <w:gridCol w:w="1777"/>
        <w:gridCol w:w="1651"/>
        <w:gridCol w:w="1394"/>
      </w:tblGrid>
      <w:tr w:rsidR="00EF4587" w:rsidRPr="00CB71E1" w:rsidTr="00CB71E1">
        <w:trPr>
          <w:trHeight w:val="250"/>
        </w:trPr>
        <w:tc>
          <w:tcPr>
            <w:tcW w:w="1994" w:type="pct"/>
            <w:shd w:val="clear" w:color="auto" w:fill="DBE5F1" w:themeFill="accent1" w:themeFillTint="33"/>
            <w:vAlign w:val="center"/>
          </w:tcPr>
          <w:p w:rsidR="00EF4587" w:rsidRPr="00CB71E1" w:rsidRDefault="00EF4587" w:rsidP="00B07EB1">
            <w:pPr>
              <w:tabs>
                <w:tab w:val="left" w:pos="1276"/>
              </w:tabs>
              <w:spacing w:before="40" w:after="40" w:line="257" w:lineRule="auto"/>
              <w:jc w:val="center"/>
              <w:rPr>
                <w:rFonts w:ascii="Arial" w:eastAsia="Times New Roman" w:hAnsi="Arial" w:cs="Arial"/>
                <w:b/>
                <w:sz w:val="18"/>
                <w:szCs w:val="18"/>
                <w:lang w:val="es-ES" w:eastAsia="es-ES"/>
              </w:rPr>
            </w:pPr>
            <w:r w:rsidRPr="00CB71E1">
              <w:rPr>
                <w:rFonts w:ascii="Arial" w:eastAsia="Times New Roman" w:hAnsi="Arial" w:cs="Arial"/>
                <w:b/>
                <w:sz w:val="18"/>
                <w:szCs w:val="18"/>
                <w:lang w:val="es-ES" w:eastAsia="es-ES"/>
              </w:rPr>
              <w:t>TRAMOS DE LA LT 220 KV LA PLANICIE - INDUSTRIALES</w:t>
            </w:r>
          </w:p>
        </w:tc>
        <w:tc>
          <w:tcPr>
            <w:tcW w:w="1108" w:type="pct"/>
            <w:shd w:val="clear" w:color="auto" w:fill="DBE5F1" w:themeFill="accent1" w:themeFillTint="33"/>
            <w:vAlign w:val="center"/>
          </w:tcPr>
          <w:p w:rsidR="00EF4587" w:rsidRPr="00CB71E1" w:rsidRDefault="00EF4587" w:rsidP="00B07EB1">
            <w:pPr>
              <w:tabs>
                <w:tab w:val="left" w:pos="1276"/>
              </w:tabs>
              <w:spacing w:after="0" w:line="257" w:lineRule="auto"/>
              <w:jc w:val="center"/>
              <w:rPr>
                <w:rFonts w:ascii="Arial" w:eastAsia="Times New Roman" w:hAnsi="Arial" w:cs="Arial"/>
                <w:b/>
                <w:sz w:val="18"/>
                <w:szCs w:val="18"/>
                <w:lang w:val="en-US" w:eastAsia="es-ES"/>
              </w:rPr>
            </w:pPr>
            <w:r w:rsidRPr="00CB71E1">
              <w:rPr>
                <w:rFonts w:ascii="Arial" w:eastAsia="Times New Roman" w:hAnsi="Arial" w:cs="Arial"/>
                <w:b/>
                <w:sz w:val="18"/>
                <w:szCs w:val="18"/>
                <w:lang w:val="en-US" w:eastAsia="es-ES"/>
              </w:rPr>
              <w:t xml:space="preserve">Longitud </w:t>
            </w:r>
          </w:p>
          <w:p w:rsidR="00EF4587" w:rsidRPr="00CB71E1" w:rsidRDefault="00EF4587" w:rsidP="00B07EB1">
            <w:pPr>
              <w:tabs>
                <w:tab w:val="left" w:pos="1276"/>
              </w:tabs>
              <w:spacing w:after="0" w:line="257" w:lineRule="auto"/>
              <w:jc w:val="center"/>
              <w:rPr>
                <w:rFonts w:ascii="Arial" w:eastAsia="Times New Roman" w:hAnsi="Arial" w:cs="Arial"/>
                <w:b/>
                <w:sz w:val="18"/>
                <w:szCs w:val="18"/>
                <w:lang w:val="en-US" w:eastAsia="es-ES"/>
              </w:rPr>
            </w:pPr>
            <w:r w:rsidRPr="00CB71E1">
              <w:rPr>
                <w:rFonts w:ascii="Arial" w:eastAsia="Times New Roman" w:hAnsi="Arial" w:cs="Arial"/>
                <w:b/>
                <w:sz w:val="18"/>
                <w:szCs w:val="18"/>
                <w:lang w:val="en-US" w:eastAsia="es-ES"/>
              </w:rPr>
              <w:t>(km)</w:t>
            </w:r>
          </w:p>
        </w:tc>
        <w:tc>
          <w:tcPr>
            <w:tcW w:w="1029" w:type="pct"/>
            <w:shd w:val="clear" w:color="auto" w:fill="DBE5F1" w:themeFill="accent1" w:themeFillTint="33"/>
            <w:vAlign w:val="center"/>
          </w:tcPr>
          <w:p w:rsidR="00EF4587" w:rsidRPr="00CB71E1" w:rsidRDefault="00EF4587" w:rsidP="00B07EB1">
            <w:pPr>
              <w:tabs>
                <w:tab w:val="left" w:pos="1276"/>
              </w:tabs>
              <w:spacing w:after="0" w:line="257" w:lineRule="auto"/>
              <w:jc w:val="center"/>
              <w:rPr>
                <w:rFonts w:ascii="Arial" w:eastAsia="Times New Roman" w:hAnsi="Arial" w:cs="Arial"/>
                <w:b/>
                <w:sz w:val="18"/>
                <w:szCs w:val="18"/>
                <w:lang w:val="en-US" w:eastAsia="es-ES"/>
              </w:rPr>
            </w:pPr>
            <w:r w:rsidRPr="00CB71E1">
              <w:rPr>
                <w:rFonts w:ascii="Arial" w:eastAsia="Times New Roman" w:hAnsi="Arial" w:cs="Arial"/>
                <w:b/>
                <w:sz w:val="18"/>
                <w:szCs w:val="18"/>
                <w:lang w:val="en-US" w:eastAsia="es-ES"/>
              </w:rPr>
              <w:t>Potencia</w:t>
            </w:r>
          </w:p>
          <w:p w:rsidR="00EF4587" w:rsidRPr="00CB71E1" w:rsidRDefault="00EF4587" w:rsidP="00B07EB1">
            <w:pPr>
              <w:tabs>
                <w:tab w:val="left" w:pos="1276"/>
              </w:tabs>
              <w:spacing w:after="0" w:line="257" w:lineRule="auto"/>
              <w:jc w:val="center"/>
              <w:rPr>
                <w:rFonts w:ascii="Arial" w:eastAsia="Times New Roman" w:hAnsi="Arial" w:cs="Arial"/>
                <w:b/>
                <w:sz w:val="18"/>
                <w:szCs w:val="18"/>
                <w:lang w:val="en-US" w:eastAsia="es-ES"/>
              </w:rPr>
            </w:pPr>
            <w:r w:rsidRPr="00CB71E1">
              <w:rPr>
                <w:rFonts w:ascii="Arial" w:eastAsia="Times New Roman" w:hAnsi="Arial" w:cs="Arial"/>
                <w:b/>
                <w:sz w:val="18"/>
                <w:szCs w:val="18"/>
                <w:lang w:val="en-US" w:eastAsia="es-ES"/>
              </w:rPr>
              <w:t>de Referencia (MVA)</w:t>
            </w:r>
          </w:p>
        </w:tc>
        <w:tc>
          <w:tcPr>
            <w:tcW w:w="869" w:type="pct"/>
            <w:shd w:val="clear" w:color="auto" w:fill="DBE5F1" w:themeFill="accent1" w:themeFillTint="33"/>
            <w:vAlign w:val="center"/>
          </w:tcPr>
          <w:p w:rsidR="00EF4587" w:rsidRPr="00CB71E1" w:rsidRDefault="00EF4587" w:rsidP="00B07EB1">
            <w:pPr>
              <w:tabs>
                <w:tab w:val="left" w:pos="1276"/>
              </w:tabs>
              <w:spacing w:after="0" w:line="257" w:lineRule="auto"/>
              <w:jc w:val="center"/>
              <w:rPr>
                <w:rFonts w:ascii="Arial" w:eastAsia="Times New Roman" w:hAnsi="Arial" w:cs="Arial"/>
                <w:b/>
                <w:sz w:val="18"/>
                <w:szCs w:val="18"/>
                <w:lang w:val="es-ES" w:eastAsia="es-ES"/>
              </w:rPr>
            </w:pPr>
            <w:r w:rsidRPr="00CB71E1">
              <w:rPr>
                <w:rFonts w:ascii="Arial" w:eastAsia="Times New Roman" w:hAnsi="Arial" w:cs="Arial"/>
                <w:b/>
                <w:sz w:val="18"/>
                <w:szCs w:val="18"/>
                <w:lang w:val="es-ES" w:eastAsia="es-ES"/>
              </w:rPr>
              <w:t xml:space="preserve">Pérdidas Joule </w:t>
            </w:r>
          </w:p>
          <w:p w:rsidR="00EF4587" w:rsidRPr="00CB71E1" w:rsidRDefault="00EF4587" w:rsidP="00B07EB1">
            <w:pPr>
              <w:tabs>
                <w:tab w:val="left" w:pos="1276"/>
              </w:tabs>
              <w:spacing w:after="0" w:line="257" w:lineRule="auto"/>
              <w:jc w:val="center"/>
              <w:rPr>
                <w:rFonts w:ascii="Arial" w:eastAsia="Times New Roman" w:hAnsi="Arial" w:cs="Arial"/>
                <w:b/>
                <w:sz w:val="18"/>
                <w:szCs w:val="18"/>
                <w:lang w:val="es-ES" w:eastAsia="es-ES"/>
              </w:rPr>
            </w:pPr>
            <w:r w:rsidRPr="00CB71E1">
              <w:rPr>
                <w:rFonts w:ascii="Arial" w:eastAsia="Times New Roman" w:hAnsi="Arial" w:cs="Arial"/>
                <w:b/>
                <w:sz w:val="18"/>
                <w:szCs w:val="18"/>
                <w:lang w:val="es-ES" w:eastAsia="es-ES"/>
              </w:rPr>
              <w:t>(%)</w:t>
            </w:r>
          </w:p>
        </w:tc>
      </w:tr>
      <w:tr w:rsidR="00EF4587" w:rsidRPr="00CB71E1" w:rsidTr="00CB71E1">
        <w:trPr>
          <w:trHeight w:val="441"/>
        </w:trPr>
        <w:tc>
          <w:tcPr>
            <w:tcW w:w="1994" w:type="pct"/>
            <w:vAlign w:val="center"/>
          </w:tcPr>
          <w:p w:rsidR="00EF4587" w:rsidRPr="00CB71E1" w:rsidRDefault="00EF4587" w:rsidP="00B07EB1">
            <w:pPr>
              <w:tabs>
                <w:tab w:val="left" w:pos="360"/>
              </w:tabs>
              <w:autoSpaceDE w:val="0"/>
              <w:autoSpaceDN w:val="0"/>
              <w:adjustRightInd w:val="0"/>
              <w:spacing w:before="40" w:after="40" w:line="257" w:lineRule="auto"/>
              <w:jc w:val="center"/>
              <w:rPr>
                <w:rFonts w:ascii="Arial" w:eastAsia="Times New Roman" w:hAnsi="Arial" w:cs="Arial"/>
                <w:sz w:val="18"/>
                <w:szCs w:val="18"/>
                <w:lang w:val="en-US" w:eastAsia="es-ES"/>
              </w:rPr>
            </w:pPr>
            <w:r w:rsidRPr="00CB71E1">
              <w:rPr>
                <w:rFonts w:ascii="Arial" w:eastAsia="Times New Roman" w:hAnsi="Arial" w:cs="Arial"/>
                <w:sz w:val="18"/>
                <w:szCs w:val="18"/>
                <w:lang w:val="en-US" w:eastAsia="es-ES"/>
              </w:rPr>
              <w:t>TRAMO AÉREO</w:t>
            </w:r>
          </w:p>
        </w:tc>
        <w:tc>
          <w:tcPr>
            <w:tcW w:w="1108" w:type="pct"/>
            <w:vAlign w:val="center"/>
          </w:tcPr>
          <w:p w:rsidR="00EF4587" w:rsidRPr="00CB71E1" w:rsidRDefault="00EF4587" w:rsidP="00B07EB1">
            <w:pPr>
              <w:tabs>
                <w:tab w:val="left" w:pos="360"/>
              </w:tabs>
              <w:autoSpaceDE w:val="0"/>
              <w:autoSpaceDN w:val="0"/>
              <w:adjustRightInd w:val="0"/>
              <w:spacing w:after="0" w:line="257" w:lineRule="auto"/>
              <w:jc w:val="center"/>
              <w:rPr>
                <w:rFonts w:ascii="Arial" w:eastAsia="Times New Roman" w:hAnsi="Arial" w:cs="Arial"/>
                <w:sz w:val="18"/>
                <w:szCs w:val="18"/>
                <w:lang w:val="es-MX" w:eastAsia="es-ES"/>
              </w:rPr>
            </w:pPr>
            <w:r w:rsidRPr="00CB71E1">
              <w:rPr>
                <w:rFonts w:ascii="Arial" w:eastAsia="Times New Roman" w:hAnsi="Arial" w:cs="Arial"/>
                <w:sz w:val="18"/>
                <w:szCs w:val="18"/>
                <w:lang w:val="es-MX" w:eastAsia="es-ES"/>
              </w:rPr>
              <w:t>11,71</w:t>
            </w:r>
          </w:p>
        </w:tc>
        <w:tc>
          <w:tcPr>
            <w:tcW w:w="1029" w:type="pct"/>
            <w:vAlign w:val="center"/>
          </w:tcPr>
          <w:p w:rsidR="00EF4587" w:rsidRPr="00CB71E1" w:rsidRDefault="00EF4587" w:rsidP="00B07EB1">
            <w:pPr>
              <w:tabs>
                <w:tab w:val="left" w:pos="1276"/>
              </w:tabs>
              <w:spacing w:before="40" w:after="40" w:line="257" w:lineRule="auto"/>
              <w:jc w:val="center"/>
              <w:rPr>
                <w:rFonts w:ascii="Arial" w:eastAsia="Times New Roman" w:hAnsi="Arial" w:cs="Arial"/>
                <w:sz w:val="18"/>
                <w:szCs w:val="18"/>
                <w:lang w:val="es-ES" w:eastAsia="es-ES"/>
              </w:rPr>
            </w:pPr>
            <w:r w:rsidRPr="00CB71E1">
              <w:rPr>
                <w:rFonts w:ascii="Arial" w:eastAsia="Times New Roman" w:hAnsi="Arial" w:cs="Arial"/>
                <w:sz w:val="18"/>
                <w:szCs w:val="18"/>
                <w:lang w:val="es-ES" w:eastAsia="es-ES"/>
              </w:rPr>
              <w:t>280</w:t>
            </w:r>
          </w:p>
        </w:tc>
        <w:tc>
          <w:tcPr>
            <w:tcW w:w="869" w:type="pct"/>
            <w:vAlign w:val="center"/>
          </w:tcPr>
          <w:p w:rsidR="00EF4587" w:rsidRPr="00CB71E1" w:rsidRDefault="00EF4587" w:rsidP="00B07EB1">
            <w:pPr>
              <w:tabs>
                <w:tab w:val="left" w:pos="1276"/>
              </w:tabs>
              <w:spacing w:before="40" w:after="40" w:line="257" w:lineRule="auto"/>
              <w:jc w:val="center"/>
              <w:rPr>
                <w:rFonts w:ascii="Arial" w:eastAsia="Times New Roman" w:hAnsi="Arial" w:cs="Arial"/>
                <w:sz w:val="18"/>
                <w:szCs w:val="18"/>
                <w:lang w:val="es-ES" w:eastAsia="es-ES"/>
              </w:rPr>
            </w:pPr>
            <w:r w:rsidRPr="00CB71E1">
              <w:rPr>
                <w:rFonts w:ascii="Arial" w:eastAsia="Times New Roman" w:hAnsi="Arial" w:cs="Arial"/>
                <w:sz w:val="18"/>
                <w:szCs w:val="18"/>
                <w:lang w:val="es-ES" w:eastAsia="es-ES"/>
              </w:rPr>
              <w:t>0,36</w:t>
            </w:r>
          </w:p>
        </w:tc>
      </w:tr>
      <w:tr w:rsidR="00EF4587" w:rsidRPr="00CB71E1" w:rsidTr="00CB71E1">
        <w:tc>
          <w:tcPr>
            <w:tcW w:w="1994" w:type="pct"/>
            <w:vAlign w:val="center"/>
          </w:tcPr>
          <w:p w:rsidR="00EF4587" w:rsidRPr="00CB71E1" w:rsidRDefault="00EF4587" w:rsidP="00B07EB1">
            <w:pPr>
              <w:tabs>
                <w:tab w:val="left" w:pos="360"/>
              </w:tabs>
              <w:autoSpaceDE w:val="0"/>
              <w:autoSpaceDN w:val="0"/>
              <w:adjustRightInd w:val="0"/>
              <w:spacing w:before="40" w:after="40" w:line="257" w:lineRule="auto"/>
              <w:jc w:val="center"/>
              <w:rPr>
                <w:rFonts w:ascii="Arial" w:eastAsia="Times New Roman" w:hAnsi="Arial" w:cs="Arial"/>
                <w:sz w:val="18"/>
                <w:szCs w:val="18"/>
                <w:lang w:val="es-MX" w:eastAsia="es-ES"/>
              </w:rPr>
            </w:pPr>
            <w:r w:rsidRPr="00CB71E1">
              <w:rPr>
                <w:rFonts w:ascii="Arial" w:eastAsia="Times New Roman" w:hAnsi="Arial" w:cs="Arial"/>
                <w:sz w:val="18"/>
                <w:szCs w:val="18"/>
                <w:lang w:val="es-MX" w:eastAsia="es-ES"/>
              </w:rPr>
              <w:t>TRAMO SUBTERRÁNEO</w:t>
            </w:r>
          </w:p>
        </w:tc>
        <w:tc>
          <w:tcPr>
            <w:tcW w:w="1108" w:type="pct"/>
            <w:vAlign w:val="center"/>
          </w:tcPr>
          <w:p w:rsidR="00EF4587" w:rsidRPr="00CB71E1" w:rsidRDefault="00EF4587" w:rsidP="00B07EB1">
            <w:pPr>
              <w:tabs>
                <w:tab w:val="left" w:pos="360"/>
              </w:tabs>
              <w:autoSpaceDE w:val="0"/>
              <w:autoSpaceDN w:val="0"/>
              <w:adjustRightInd w:val="0"/>
              <w:spacing w:after="0" w:line="257" w:lineRule="auto"/>
              <w:jc w:val="center"/>
              <w:rPr>
                <w:rFonts w:ascii="Arial" w:eastAsia="Times New Roman" w:hAnsi="Arial" w:cs="Arial"/>
                <w:sz w:val="18"/>
                <w:szCs w:val="18"/>
                <w:lang w:val="es-MX" w:eastAsia="es-ES"/>
              </w:rPr>
            </w:pPr>
            <w:r w:rsidRPr="00CB71E1">
              <w:rPr>
                <w:rFonts w:ascii="Arial" w:eastAsia="Times New Roman" w:hAnsi="Arial" w:cs="Arial"/>
                <w:sz w:val="18"/>
                <w:szCs w:val="18"/>
                <w:lang w:val="es-MX" w:eastAsia="es-ES"/>
              </w:rPr>
              <w:t>4,92</w:t>
            </w:r>
          </w:p>
        </w:tc>
        <w:tc>
          <w:tcPr>
            <w:tcW w:w="1029" w:type="pct"/>
            <w:vAlign w:val="center"/>
          </w:tcPr>
          <w:p w:rsidR="00EF4587" w:rsidRPr="00CB71E1" w:rsidRDefault="00EF4587" w:rsidP="00B07EB1">
            <w:pPr>
              <w:tabs>
                <w:tab w:val="left" w:pos="1276"/>
              </w:tabs>
              <w:spacing w:before="40" w:after="40" w:line="257" w:lineRule="auto"/>
              <w:jc w:val="center"/>
              <w:rPr>
                <w:rFonts w:ascii="Arial" w:eastAsia="Times New Roman" w:hAnsi="Arial" w:cs="Arial"/>
                <w:sz w:val="18"/>
                <w:szCs w:val="18"/>
                <w:lang w:val="es-ES" w:eastAsia="es-ES"/>
              </w:rPr>
            </w:pPr>
            <w:r w:rsidRPr="00CB71E1">
              <w:rPr>
                <w:rFonts w:ascii="Arial" w:eastAsia="Times New Roman" w:hAnsi="Arial" w:cs="Arial"/>
                <w:sz w:val="18"/>
                <w:szCs w:val="18"/>
                <w:lang w:val="es-ES" w:eastAsia="es-ES"/>
              </w:rPr>
              <w:t>280</w:t>
            </w:r>
          </w:p>
        </w:tc>
        <w:tc>
          <w:tcPr>
            <w:tcW w:w="869" w:type="pct"/>
            <w:vAlign w:val="center"/>
          </w:tcPr>
          <w:p w:rsidR="00EF4587" w:rsidRPr="00CB71E1" w:rsidRDefault="00EF4587" w:rsidP="00B07EB1">
            <w:pPr>
              <w:spacing w:after="0" w:line="257" w:lineRule="auto"/>
              <w:jc w:val="center"/>
              <w:rPr>
                <w:rFonts w:ascii="Arial" w:eastAsia="Times New Roman" w:hAnsi="Arial" w:cs="Arial"/>
                <w:sz w:val="18"/>
                <w:szCs w:val="18"/>
                <w:lang w:val="es-ES" w:eastAsia="es-ES"/>
              </w:rPr>
            </w:pPr>
            <w:r w:rsidRPr="00CB71E1">
              <w:rPr>
                <w:rFonts w:ascii="Arial" w:eastAsia="Times New Roman" w:hAnsi="Arial" w:cs="Arial"/>
                <w:sz w:val="18"/>
                <w:szCs w:val="18"/>
                <w:lang w:val="es-ES" w:eastAsia="es-ES"/>
              </w:rPr>
              <w:t>0,05</w:t>
            </w:r>
          </w:p>
        </w:tc>
      </w:tr>
      <w:tr w:rsidR="00EF4587" w:rsidRPr="00CB71E1" w:rsidTr="00CB71E1">
        <w:tc>
          <w:tcPr>
            <w:tcW w:w="1994" w:type="pct"/>
            <w:vAlign w:val="center"/>
          </w:tcPr>
          <w:p w:rsidR="00EF4587" w:rsidRPr="00CB71E1" w:rsidRDefault="00EF4587" w:rsidP="00B07EB1">
            <w:pPr>
              <w:tabs>
                <w:tab w:val="left" w:pos="360"/>
              </w:tabs>
              <w:autoSpaceDE w:val="0"/>
              <w:autoSpaceDN w:val="0"/>
              <w:adjustRightInd w:val="0"/>
              <w:spacing w:before="40" w:after="40" w:line="257" w:lineRule="auto"/>
              <w:jc w:val="center"/>
              <w:rPr>
                <w:rFonts w:ascii="Arial" w:eastAsia="Times New Roman" w:hAnsi="Arial" w:cs="Arial"/>
                <w:sz w:val="18"/>
                <w:szCs w:val="18"/>
                <w:lang w:val="es-MX" w:eastAsia="es-ES"/>
              </w:rPr>
            </w:pPr>
            <w:r w:rsidRPr="00CB71E1">
              <w:rPr>
                <w:rFonts w:ascii="Arial" w:eastAsia="Times New Roman" w:hAnsi="Arial" w:cs="Arial"/>
                <w:sz w:val="18"/>
                <w:szCs w:val="18"/>
                <w:lang w:val="es-MX" w:eastAsia="es-ES"/>
              </w:rPr>
              <w:t>TOTAL</w:t>
            </w:r>
          </w:p>
        </w:tc>
        <w:tc>
          <w:tcPr>
            <w:tcW w:w="1108" w:type="pct"/>
            <w:vAlign w:val="center"/>
          </w:tcPr>
          <w:p w:rsidR="00EF4587" w:rsidRPr="00CB71E1" w:rsidRDefault="00EF4587" w:rsidP="00B07EB1">
            <w:pPr>
              <w:tabs>
                <w:tab w:val="left" w:pos="360"/>
              </w:tabs>
              <w:autoSpaceDE w:val="0"/>
              <w:autoSpaceDN w:val="0"/>
              <w:adjustRightInd w:val="0"/>
              <w:spacing w:after="0" w:line="257" w:lineRule="auto"/>
              <w:jc w:val="center"/>
              <w:rPr>
                <w:rFonts w:ascii="Arial" w:eastAsia="Times New Roman" w:hAnsi="Arial" w:cs="Arial"/>
                <w:sz w:val="18"/>
                <w:szCs w:val="18"/>
                <w:lang w:val="es-MX" w:eastAsia="es-ES"/>
              </w:rPr>
            </w:pPr>
            <w:r w:rsidRPr="00CB71E1">
              <w:rPr>
                <w:rFonts w:ascii="Arial" w:eastAsia="Times New Roman" w:hAnsi="Arial" w:cs="Arial"/>
                <w:sz w:val="18"/>
                <w:szCs w:val="18"/>
                <w:lang w:val="es-MX" w:eastAsia="es-ES"/>
              </w:rPr>
              <w:t>16,63</w:t>
            </w:r>
          </w:p>
        </w:tc>
        <w:tc>
          <w:tcPr>
            <w:tcW w:w="1029" w:type="pct"/>
            <w:vAlign w:val="center"/>
          </w:tcPr>
          <w:p w:rsidR="00EF4587" w:rsidRPr="00CB71E1" w:rsidRDefault="00EF4587" w:rsidP="00B07EB1">
            <w:pPr>
              <w:tabs>
                <w:tab w:val="left" w:pos="1276"/>
              </w:tabs>
              <w:spacing w:before="40" w:after="40" w:line="257" w:lineRule="auto"/>
              <w:jc w:val="center"/>
              <w:rPr>
                <w:rFonts w:ascii="Arial" w:eastAsia="Times New Roman" w:hAnsi="Arial" w:cs="Arial"/>
                <w:sz w:val="18"/>
                <w:szCs w:val="18"/>
                <w:lang w:val="es-ES" w:eastAsia="es-ES"/>
              </w:rPr>
            </w:pPr>
            <w:r w:rsidRPr="00CB71E1">
              <w:rPr>
                <w:rFonts w:ascii="Arial" w:eastAsia="Times New Roman" w:hAnsi="Arial" w:cs="Arial"/>
                <w:sz w:val="18"/>
                <w:szCs w:val="18"/>
                <w:lang w:val="es-ES" w:eastAsia="es-ES"/>
              </w:rPr>
              <w:t>280</w:t>
            </w:r>
          </w:p>
        </w:tc>
        <w:tc>
          <w:tcPr>
            <w:tcW w:w="869" w:type="pct"/>
            <w:vAlign w:val="center"/>
          </w:tcPr>
          <w:p w:rsidR="00EF4587" w:rsidRPr="00CB71E1" w:rsidRDefault="00EF4587" w:rsidP="00B07EB1">
            <w:pPr>
              <w:spacing w:after="0" w:line="257" w:lineRule="auto"/>
              <w:jc w:val="center"/>
              <w:rPr>
                <w:rFonts w:ascii="Arial" w:eastAsia="Times New Roman" w:hAnsi="Arial" w:cs="Arial"/>
                <w:sz w:val="18"/>
                <w:szCs w:val="18"/>
                <w:lang w:val="es-ES" w:eastAsia="es-ES"/>
              </w:rPr>
            </w:pPr>
            <w:r w:rsidRPr="00CB71E1">
              <w:rPr>
                <w:rFonts w:ascii="Arial" w:eastAsia="Times New Roman" w:hAnsi="Arial" w:cs="Arial"/>
                <w:sz w:val="18"/>
                <w:szCs w:val="18"/>
                <w:lang w:val="es-ES" w:eastAsia="es-ES"/>
              </w:rPr>
              <w:t>0,41</w:t>
            </w:r>
          </w:p>
        </w:tc>
      </w:tr>
    </w:tbl>
    <w:p w:rsidR="00EF4587" w:rsidRPr="00076DCD" w:rsidRDefault="00EF4587" w:rsidP="00CB71E1">
      <w:pPr>
        <w:spacing w:before="360" w:after="0" w:line="257" w:lineRule="auto"/>
        <w:ind w:left="85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cumplimiento de este nivel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EF4587" w:rsidRPr="00076DCD" w:rsidRDefault="00EF4587" w:rsidP="00CB71E1">
      <w:pPr>
        <w:spacing w:before="120" w:after="0" w:line="257" w:lineRule="auto"/>
        <w:ind w:left="85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La fórmula de cálculo para verificar el nivel de pérdidas Joule por cada circuito será la siguiente:</w:t>
      </w:r>
    </w:p>
    <w:p w:rsidR="00EF4587" w:rsidRPr="00076DCD" w:rsidRDefault="00EF4587" w:rsidP="00B07EB1">
      <w:pPr>
        <w:spacing w:before="120" w:after="0" w:line="257" w:lineRule="auto"/>
        <w:ind w:left="1134"/>
        <w:jc w:val="center"/>
        <w:rPr>
          <w:rFonts w:ascii="Arial" w:eastAsia="Times New Roman" w:hAnsi="Arial" w:cs="Arial"/>
          <w:color w:val="0000FF"/>
          <w:sz w:val="20"/>
          <w:szCs w:val="20"/>
          <w:lang w:val="es-ES" w:eastAsia="es-ES"/>
        </w:rPr>
      </w:pPr>
      <w:r w:rsidRPr="00076DCD">
        <w:rPr>
          <w:rFonts w:ascii="Arial" w:eastAsia="Times New Roman" w:hAnsi="Arial" w:cs="Arial"/>
          <w:color w:val="0000FF"/>
          <w:position w:val="-32"/>
          <w:sz w:val="20"/>
          <w:szCs w:val="20"/>
          <w:lang w:val="es-ES" w:eastAsia="es-ES"/>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75pt" o:ole="">
            <v:imagedata r:id="rId11" o:title=""/>
          </v:shape>
          <o:OLEObject Type="Embed" ProgID="Equation.3" ShapeID="_x0000_i1025" DrawAspect="Content" ObjectID="_1445868124" r:id="rId12"/>
        </w:object>
      </w:r>
    </w:p>
    <w:p w:rsidR="00EF4587" w:rsidRPr="00076DCD" w:rsidRDefault="00EF4587" w:rsidP="00B07EB1">
      <w:pPr>
        <w:spacing w:before="120" w:after="0" w:line="257" w:lineRule="auto"/>
        <w:ind w:left="156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Donde: </w:t>
      </w:r>
    </w:p>
    <w:p w:rsidR="00EF4587" w:rsidRPr="00076DCD" w:rsidRDefault="00EF4587" w:rsidP="00B07EB1">
      <w:pPr>
        <w:spacing w:before="120" w:after="0" w:line="257" w:lineRule="auto"/>
        <w:ind w:left="2977" w:hanging="85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w:t>
      </w:r>
      <w:r w:rsidRPr="00076DCD">
        <w:rPr>
          <w:rFonts w:ascii="Arial" w:eastAsia="Times New Roman" w:hAnsi="Arial" w:cs="Arial"/>
          <w:sz w:val="20"/>
          <w:szCs w:val="20"/>
          <w:vertAlign w:val="subscript"/>
          <w:lang w:val="es-ES" w:eastAsia="es-ES"/>
        </w:rPr>
        <w:t>ref</w:t>
      </w:r>
      <w:r w:rsidRPr="00076DCD">
        <w:rPr>
          <w:rFonts w:ascii="Arial" w:eastAsia="Times New Roman" w:hAnsi="Arial" w:cs="Arial"/>
          <w:sz w:val="20"/>
          <w:szCs w:val="20"/>
          <w:lang w:val="es-ES" w:eastAsia="es-ES"/>
        </w:rPr>
        <w:t xml:space="preserve"> =</w:t>
      </w:r>
      <w:r w:rsidRPr="00076DCD">
        <w:rPr>
          <w:rFonts w:ascii="Arial" w:eastAsia="Times New Roman" w:hAnsi="Arial" w:cs="Arial"/>
          <w:sz w:val="20"/>
          <w:szCs w:val="20"/>
          <w:lang w:val="es-ES" w:eastAsia="es-ES"/>
        </w:rPr>
        <w:tab/>
        <w:t xml:space="preserve">Potencia de referencia en MVA </w:t>
      </w:r>
    </w:p>
    <w:p w:rsidR="00EF4587" w:rsidRPr="00076DCD" w:rsidRDefault="00EF4587" w:rsidP="00B07EB1">
      <w:pPr>
        <w:spacing w:before="120" w:after="0" w:line="257" w:lineRule="auto"/>
        <w:ind w:left="2977" w:hanging="85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V</w:t>
      </w:r>
      <w:r w:rsidRPr="00076DCD">
        <w:rPr>
          <w:rFonts w:ascii="Arial" w:eastAsia="Times New Roman" w:hAnsi="Arial" w:cs="Arial"/>
          <w:sz w:val="20"/>
          <w:szCs w:val="20"/>
          <w:vertAlign w:val="subscript"/>
          <w:lang w:val="es-ES" w:eastAsia="es-ES"/>
        </w:rPr>
        <w:t>nom</w:t>
      </w:r>
      <w:r w:rsidRPr="00076DCD">
        <w:rPr>
          <w:rFonts w:ascii="Arial" w:eastAsia="Times New Roman" w:hAnsi="Arial" w:cs="Arial"/>
          <w:sz w:val="20"/>
          <w:szCs w:val="20"/>
          <w:lang w:val="es-ES" w:eastAsia="es-ES"/>
        </w:rPr>
        <w:t xml:space="preserve"> =</w:t>
      </w:r>
      <w:r w:rsidRPr="00076DCD">
        <w:rPr>
          <w:rFonts w:ascii="Arial" w:eastAsia="Times New Roman" w:hAnsi="Arial" w:cs="Arial"/>
          <w:sz w:val="20"/>
          <w:szCs w:val="20"/>
          <w:lang w:val="es-ES" w:eastAsia="es-ES"/>
        </w:rPr>
        <w:tab/>
        <w:t>Tensión nominal de la línea  en kV</w:t>
      </w:r>
    </w:p>
    <w:p w:rsidR="00EF4587" w:rsidRPr="00076DCD" w:rsidRDefault="00EF4587" w:rsidP="00B07EB1">
      <w:pPr>
        <w:spacing w:before="120" w:after="0" w:line="257" w:lineRule="auto"/>
        <w:ind w:left="2977" w:hanging="85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R</w:t>
      </w:r>
      <w:r w:rsidRPr="00076DCD">
        <w:rPr>
          <w:rFonts w:ascii="Arial" w:eastAsia="Times New Roman" w:hAnsi="Arial" w:cs="Arial"/>
          <w:sz w:val="20"/>
          <w:szCs w:val="20"/>
          <w:vertAlign w:val="subscript"/>
          <w:lang w:val="es-ES" w:eastAsia="es-ES"/>
        </w:rPr>
        <w:t>75ºC</w:t>
      </w:r>
      <w:r w:rsidRPr="00076DCD">
        <w:rPr>
          <w:rFonts w:ascii="Arial" w:eastAsia="Times New Roman" w:hAnsi="Arial" w:cs="Arial"/>
          <w:sz w:val="20"/>
          <w:szCs w:val="20"/>
          <w:lang w:val="es-ES" w:eastAsia="es-ES"/>
        </w:rPr>
        <w:t xml:space="preserve"> =</w:t>
      </w:r>
      <w:r w:rsidRPr="00076DCD">
        <w:rPr>
          <w:rFonts w:ascii="Arial" w:eastAsia="Times New Roman" w:hAnsi="Arial" w:cs="Arial"/>
          <w:sz w:val="20"/>
          <w:szCs w:val="20"/>
          <w:lang w:val="es-ES" w:eastAsia="es-ES"/>
        </w:rPr>
        <w:tab/>
        <w:t>Resistencia total de la línea por fase, a la temperatura de 75 ºC y frecuencia de 60 Hz.</w:t>
      </w:r>
    </w:p>
    <w:p w:rsidR="00EF4587" w:rsidRPr="00076DCD"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Indisponibilidad por mantenimiento programado: El número de horas por año fuera de servicio por mantenimiento programado de cada terna de la transmisión, no deberá exceder de dos jornadas de ocho horas cada una. </w:t>
      </w:r>
    </w:p>
    <w:p w:rsidR="00EF4587" w:rsidRPr="00076DCD" w:rsidRDefault="00EF4587" w:rsidP="00CB71E1">
      <w:pPr>
        <w:numPr>
          <w:ilvl w:val="0"/>
          <w:numId w:val="63"/>
        </w:numPr>
        <w:tabs>
          <w:tab w:val="clear" w:pos="1211"/>
          <w:tab w:val="num" w:pos="851"/>
        </w:tabs>
        <w:spacing w:before="12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Tiempo máximo de reposición post falla: El tiempo de reposición del tramo de línea que haya tenido una falla fugaz que ocasione desconexión de un circuito, debe ser menor a 30 minutos. Los excesos serán sancionados de acuerdo con lo dispuesto en las leyes aplicables.</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bookmarkStart w:id="29" w:name="_Toc348533961"/>
      <w:r w:rsidRPr="00CB71E1">
        <w:rPr>
          <w:rFonts w:ascii="Arial" w:eastAsia="Times New Roman" w:hAnsi="Arial" w:cs="Arial"/>
          <w:b/>
          <w:sz w:val="20"/>
          <w:szCs w:val="20"/>
          <w:lang w:val="es-ES" w:eastAsia="es-ES"/>
        </w:rPr>
        <w:t>3.3</w:t>
      </w:r>
      <w:r w:rsidRPr="00CB71E1">
        <w:rPr>
          <w:rFonts w:ascii="Arial" w:eastAsia="Times New Roman" w:hAnsi="Arial" w:cs="Arial"/>
          <w:b/>
          <w:sz w:val="20"/>
          <w:szCs w:val="20"/>
          <w:lang w:val="es-ES" w:eastAsia="es-ES"/>
        </w:rPr>
        <w:tab/>
        <w:t xml:space="preserve">REQUERIMIENTOS TÉCNICOS DE LOS ELEMENTOS QUE FORMAN PARTE DE </w:t>
      </w:r>
      <w:bookmarkEnd w:id="29"/>
      <w:r w:rsidRPr="00CB71E1">
        <w:rPr>
          <w:rFonts w:ascii="Arial" w:eastAsia="Times New Roman" w:hAnsi="Arial" w:cs="Arial"/>
          <w:b/>
          <w:sz w:val="20"/>
          <w:szCs w:val="20"/>
          <w:lang w:val="es-ES" w:eastAsia="es-ES"/>
        </w:rPr>
        <w:t>LAS LÍNEAS SUBTERRÁNEAS</w:t>
      </w:r>
    </w:p>
    <w:p w:rsidR="00EF4587" w:rsidRPr="00076DCD" w:rsidRDefault="00EF4587" w:rsidP="00F73205">
      <w:p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w:t>
      </w:r>
      <w:r w:rsidRPr="00076DCD">
        <w:rPr>
          <w:rFonts w:ascii="Arial" w:eastAsia="Times New Roman" w:hAnsi="Arial" w:cs="Arial"/>
          <w:sz w:val="20"/>
          <w:szCs w:val="20"/>
          <w:lang w:val="es-ES" w:eastAsia="es-ES"/>
        </w:rPr>
        <w:tab/>
        <w:t>El cable de energía será unipolar, con aislamiento tipo XLPE y conductor de cobre electrolítico segmentado (Milliken), o su equivalente de aluminio que garantice las capacidades establecidas en los literales a) y b) del numeral 2.0 y que soporte condiciones de operación iguales o más exigentes que el conductor de cobre.</w:t>
      </w:r>
    </w:p>
    <w:p w:rsidR="00EF4587" w:rsidRPr="00076DCD" w:rsidRDefault="00EF4587" w:rsidP="00F73205">
      <w:p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El cable incluirá un microcable de fibra óptica, integrado al cable de energía, asociado al equipamiento necesario para monitorear la temperatura del cable a través de un sistema DTS. </w:t>
      </w:r>
    </w:p>
    <w:p w:rsidR="00EF4587" w:rsidRPr="00076DCD" w:rsidRDefault="00EF4587" w:rsidP="00F73205">
      <w:p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b)</w:t>
      </w:r>
      <w:r w:rsidRPr="00076DCD">
        <w:rPr>
          <w:rFonts w:ascii="Arial" w:eastAsia="Times New Roman" w:hAnsi="Arial" w:cs="Arial"/>
          <w:sz w:val="20"/>
          <w:szCs w:val="20"/>
          <w:lang w:val="es-ES" w:eastAsia="es-ES"/>
        </w:rPr>
        <w:tab/>
        <w:t>Según dónde se instalen, los terminales serán para instalación al interior o al exterior, de porcelana, adecuados para el tipo y calibre del conductor elegido y, además, deberán venir provistos de terminales de conexión de pantalla.</w:t>
      </w:r>
    </w:p>
    <w:p w:rsidR="00EF4587" w:rsidRPr="00076DCD" w:rsidRDefault="00EF4587" w:rsidP="00F73205">
      <w:p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w:t>
      </w:r>
      <w:r w:rsidRPr="00076DCD">
        <w:rPr>
          <w:rFonts w:ascii="Arial" w:eastAsia="Times New Roman" w:hAnsi="Arial" w:cs="Arial"/>
          <w:sz w:val="20"/>
          <w:szCs w:val="20"/>
          <w:lang w:val="es-ES" w:eastAsia="es-ES"/>
        </w:rPr>
        <w:tab/>
        <w:t>Los empalmes unipolares de cable serán del tipo aislante (con pantalla de cable interrumpida), premoldeado con masa compound aislante, para instalación directamente enterrada o en cámara, adecuados para cables unipolares con aislamiento de polietileno reticulado (XLPE), y conductor del tipo y calibre elegido por la Concesionaria.</w:t>
      </w:r>
    </w:p>
    <w:p w:rsidR="00EF4587" w:rsidRPr="00076DCD" w:rsidRDefault="00EF4587" w:rsidP="00F73205">
      <w:pPr>
        <w:tabs>
          <w:tab w:val="left" w:pos="993"/>
        </w:tabs>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w:t>
      </w:r>
      <w:r w:rsidRPr="00076DCD">
        <w:rPr>
          <w:rFonts w:ascii="Arial" w:eastAsia="Times New Roman" w:hAnsi="Arial" w:cs="Arial"/>
          <w:sz w:val="20"/>
          <w:szCs w:val="20"/>
          <w:lang w:val="es-ES" w:eastAsia="es-ES"/>
        </w:rPr>
        <w:tab/>
        <w:t>Para las conexiones de la pantalla conductora de los cables se utilizarán cajas de conexión de pantalla, para obtener la configuración requerida a lo largo de los cables subterráneos.</w:t>
      </w:r>
    </w:p>
    <w:p w:rsidR="00EF4587" w:rsidRPr="00076DCD" w:rsidRDefault="00EF4587" w:rsidP="00F73205">
      <w:pPr>
        <w:numPr>
          <w:ilvl w:val="0"/>
          <w:numId w:val="75"/>
        </w:num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los cables subterráneos, para ejecutar los empalmes se empleará el sistema    cross-bonding  continuo y/o single point bonding con limitadores de tensión por cada circuito, que se aplicará  de manera conjunta en ambos  circuitos, por lo que compartirán las mismas cámaras de empalme.</w:t>
      </w:r>
    </w:p>
    <w:p w:rsidR="00EF4587" w:rsidRPr="00076DCD" w:rsidRDefault="00EF4587" w:rsidP="00F73205">
      <w:pPr>
        <w:numPr>
          <w:ilvl w:val="0"/>
          <w:numId w:val="75"/>
        </w:numPr>
        <w:tabs>
          <w:tab w:val="left" w:pos="1276"/>
        </w:tabs>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distribución de vanos y la cantidad de cámaras o buzones de inspección serán determinadas por la Sociedad Concesionaria, y se tomarán en cuenta las medidas de seguridad necesarias para minimizar el peligro durante la verificación y mantenimiento de las instalaciones subterráneas.</w:t>
      </w:r>
    </w:p>
    <w:p w:rsidR="00F73205" w:rsidRDefault="00F73205">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EF4587" w:rsidRPr="00076DCD" w:rsidRDefault="00EF4587" w:rsidP="00F73205">
      <w:pPr>
        <w:numPr>
          <w:ilvl w:val="0"/>
          <w:numId w:val="75"/>
        </w:numPr>
        <w:tabs>
          <w:tab w:val="left" w:pos="851"/>
        </w:tabs>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En toda la longitud de la línea subterránea se empleará la forma de instalación de banco de ductos típicos dentro de un bloque de concreto. La Sociedad Concesionaria se encargará de gestionar los permisos municipales necesarios para su ejecución, y de efectuar las coordinaciones que correspondan con empresas de distribución de agua, gas y servicios similares que cuenten con instalaciones subterráneas en la zona.</w:t>
      </w:r>
    </w:p>
    <w:p w:rsidR="00EF4587" w:rsidRPr="00076DCD" w:rsidRDefault="00EF4587" w:rsidP="00F73205">
      <w:pPr>
        <w:numPr>
          <w:ilvl w:val="0"/>
          <w:numId w:val="75"/>
        </w:num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Además del cable de energía se instalará en todo el recorrido un ducto para la instalación de la fibra óptica. </w:t>
      </w:r>
    </w:p>
    <w:p w:rsidR="00EF4587" w:rsidRPr="00076DCD" w:rsidRDefault="00EF4587" w:rsidP="00F73205">
      <w:pPr>
        <w:numPr>
          <w:ilvl w:val="0"/>
          <w:numId w:val="75"/>
        </w:num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empleará sellador  para sellar los extremos de cables instalados en ductos de PVC o HDPE, dentro de bloques de concreto.</w:t>
      </w:r>
    </w:p>
    <w:p w:rsidR="00EF4587" w:rsidRPr="00076DCD" w:rsidRDefault="00EF4587" w:rsidP="00F73205">
      <w:pPr>
        <w:numPr>
          <w:ilvl w:val="0"/>
          <w:numId w:val="75"/>
        </w:numPr>
        <w:spacing w:before="60" w:after="0" w:line="257" w:lineRule="auto"/>
        <w:ind w:left="851"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los procesos de diseño, fabricación y pruebas, el fabricante empleará normas apropiadas como ANSI, IEC, VDE y otros</w:t>
      </w:r>
    </w:p>
    <w:p w:rsidR="00EF4587" w:rsidRPr="00076DCD" w:rsidRDefault="00EF4587" w:rsidP="00F73205">
      <w:pPr>
        <w:tabs>
          <w:tab w:val="left" w:pos="284"/>
        </w:tabs>
        <w:spacing w:before="360" w:after="240" w:line="257" w:lineRule="auto"/>
        <w:ind w:left="284" w:hanging="284"/>
        <w:jc w:val="both"/>
        <w:rPr>
          <w:rFonts w:ascii="Arial" w:eastAsia="Times New Roman" w:hAnsi="Arial" w:cs="Arial"/>
          <w:b/>
          <w:lang w:val="es-ES" w:eastAsia="es-ES"/>
        </w:rPr>
      </w:pPr>
      <w:r w:rsidRPr="00076DCD">
        <w:rPr>
          <w:rFonts w:ascii="Arial" w:eastAsia="Times New Roman" w:hAnsi="Arial" w:cs="Arial"/>
          <w:b/>
          <w:lang w:val="es-ES" w:eastAsia="es-ES"/>
        </w:rPr>
        <w:t>4.</w:t>
      </w:r>
      <w:r w:rsidRPr="00076DCD">
        <w:rPr>
          <w:rFonts w:ascii="Arial" w:eastAsia="Times New Roman" w:hAnsi="Arial" w:cs="Arial"/>
          <w:b/>
          <w:lang w:val="es-ES" w:eastAsia="es-ES"/>
        </w:rPr>
        <w:tab/>
        <w:t>SUBESTACIONES</w:t>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4.1 ALCANCE</w:t>
      </w:r>
    </w:p>
    <w:p w:rsidR="00EF4587" w:rsidRPr="00076DCD" w:rsidRDefault="00EF4587" w:rsidP="00F73205">
      <w:pPr>
        <w:tabs>
          <w:tab w:val="left" w:pos="567"/>
        </w:tabs>
        <w:spacing w:before="120" w:after="0" w:line="257" w:lineRule="auto"/>
        <w:ind w:left="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El proyecto comprende la ampliación de las subestaciones La Planicie e Industriales, según los alcances que se describen en los siguientes acápites para cada una de ellas. </w:t>
      </w:r>
    </w:p>
    <w:p w:rsidR="00EF4587" w:rsidRPr="00076DCD" w:rsidRDefault="00EF4587" w:rsidP="00F73205">
      <w:pPr>
        <w:spacing w:before="120" w:after="0" w:line="257" w:lineRule="auto"/>
        <w:ind w:left="284"/>
        <w:jc w:val="both"/>
        <w:rPr>
          <w:rFonts w:ascii="Arial" w:eastAsia="Times New Roman" w:hAnsi="Arial" w:cs="Arial"/>
          <w:b/>
          <w:sz w:val="20"/>
          <w:szCs w:val="20"/>
          <w:lang w:val="es-ES" w:eastAsia="es-ES"/>
        </w:rPr>
      </w:pPr>
      <w:bookmarkStart w:id="30" w:name="_Toc348534018"/>
      <w:r w:rsidRPr="00076DCD">
        <w:rPr>
          <w:rFonts w:ascii="Arial" w:eastAsia="Times New Roman" w:hAnsi="Arial" w:cs="Arial"/>
          <w:b/>
          <w:sz w:val="20"/>
          <w:szCs w:val="20"/>
          <w:lang w:val="es-ES" w:eastAsia="es-ES"/>
        </w:rPr>
        <w:t>4.1.1 Subestación La Planicie</w:t>
      </w:r>
    </w:p>
    <w:p w:rsidR="00EF4587" w:rsidRPr="00076DCD" w:rsidRDefault="00EF4587" w:rsidP="00F73205">
      <w:pPr>
        <w:keepNext/>
        <w:numPr>
          <w:ilvl w:val="0"/>
          <w:numId w:val="79"/>
        </w:numPr>
        <w:tabs>
          <w:tab w:val="left" w:pos="567"/>
        </w:tabs>
        <w:suppressAutoHyphens/>
        <w:spacing w:before="120" w:after="0" w:line="257" w:lineRule="auto"/>
        <w:ind w:left="721" w:hanging="437"/>
        <w:outlineLvl w:val="2"/>
        <w:rPr>
          <w:rFonts w:ascii="Arial" w:eastAsia="Calibri" w:hAnsi="Arial" w:cs="Arial"/>
          <w:b/>
          <w:bCs/>
          <w:sz w:val="20"/>
          <w:szCs w:val="20"/>
          <w:lang w:val="es-ES" w:eastAsia="es-ES"/>
        </w:rPr>
      </w:pPr>
      <w:r w:rsidRPr="00076DCD">
        <w:rPr>
          <w:rFonts w:ascii="Arial" w:eastAsia="Calibri" w:hAnsi="Arial" w:cs="Arial"/>
          <w:b/>
          <w:bCs/>
          <w:sz w:val="20"/>
          <w:szCs w:val="20"/>
          <w:lang w:val="es-ES" w:eastAsia="es-ES"/>
        </w:rPr>
        <w:t xml:space="preserve">Descripción de las instalaciones existentes </w:t>
      </w:r>
      <w:bookmarkEnd w:id="30"/>
    </w:p>
    <w:p w:rsidR="00EF4587" w:rsidRPr="00076DCD" w:rsidRDefault="00EF4587" w:rsidP="00F73205">
      <w:pPr>
        <w:widowControl w:val="0"/>
        <w:tabs>
          <w:tab w:val="left" w:pos="567"/>
        </w:tabs>
        <w:autoSpaceDE w:val="0"/>
        <w:autoSpaceDN w:val="0"/>
        <w:adjustRightInd w:val="0"/>
        <w:spacing w:before="120" w:after="0" w:line="257" w:lineRule="auto"/>
        <w:ind w:left="567"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 w:eastAsia="es-ES"/>
        </w:rPr>
        <w:t>La subestación La Planicie se encuentra ubicada en el distrito de Cieneguilla, en la provincia y departamento de Lima a una altitud aproximada de 620 m.s.n.m.</w:t>
      </w:r>
      <w:r w:rsidRPr="00076DCD">
        <w:rPr>
          <w:rFonts w:ascii="Arial" w:eastAsia="Times New Roman" w:hAnsi="Arial" w:cs="Arial"/>
          <w:sz w:val="20"/>
          <w:szCs w:val="20"/>
          <w:lang w:val="es-ES_tradnl" w:eastAsia="es-ES"/>
        </w:rPr>
        <w:t xml:space="preserve"> Su ubicación aproximada en coordenadas UTM WGS84 es la siguiente:</w:t>
      </w:r>
    </w:p>
    <w:p w:rsidR="00EF4587" w:rsidRPr="00076DCD" w:rsidRDefault="00EF4587" w:rsidP="00B07EB1">
      <w:pPr>
        <w:widowControl w:val="0"/>
        <w:autoSpaceDE w:val="0"/>
        <w:autoSpaceDN w:val="0"/>
        <w:adjustRightInd w:val="0"/>
        <w:spacing w:after="0" w:line="257" w:lineRule="auto"/>
        <w:ind w:right="9"/>
        <w:jc w:val="both"/>
        <w:rPr>
          <w:rFonts w:ascii="Arial" w:eastAsia="Times New Roman" w:hAnsi="Arial" w:cs="Arial"/>
          <w:sz w:val="20"/>
          <w:szCs w:val="20"/>
          <w:lang w:val="es-ES_tradnl" w:eastAsia="es-ES"/>
        </w:rPr>
      </w:pP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52"/>
        <w:gridCol w:w="236"/>
        <w:gridCol w:w="2128"/>
      </w:tblGrid>
      <w:tr w:rsidR="00EF4587" w:rsidRPr="00076DCD" w:rsidTr="00F73205">
        <w:tc>
          <w:tcPr>
            <w:tcW w:w="2352"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Zona</w:t>
            </w:r>
          </w:p>
        </w:tc>
        <w:tc>
          <w:tcPr>
            <w:tcW w:w="236"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c>
        <w:tc>
          <w:tcPr>
            <w:tcW w:w="2128" w:type="dxa"/>
          </w:tcPr>
          <w:p w:rsidR="00EF4587" w:rsidRPr="00076DCD" w:rsidRDefault="00EF4587" w:rsidP="00B07EB1">
            <w:pPr>
              <w:widowControl w:val="0"/>
              <w:tabs>
                <w:tab w:val="left" w:pos="567"/>
              </w:tabs>
              <w:autoSpaceDE w:val="0"/>
              <w:autoSpaceDN w:val="0"/>
              <w:adjustRightInd w:val="0"/>
              <w:spacing w:after="0" w:line="257" w:lineRule="auto"/>
              <w:ind w:right="9"/>
              <w:jc w:val="center"/>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18</w:t>
            </w:r>
          </w:p>
        </w:tc>
      </w:tr>
      <w:tr w:rsidR="00EF4587" w:rsidRPr="00076DCD" w:rsidTr="00F73205">
        <w:tc>
          <w:tcPr>
            <w:tcW w:w="2352"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Coordenada Este</w:t>
            </w:r>
          </w:p>
        </w:tc>
        <w:tc>
          <w:tcPr>
            <w:tcW w:w="236"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c>
        <w:tc>
          <w:tcPr>
            <w:tcW w:w="2128" w:type="dxa"/>
          </w:tcPr>
          <w:p w:rsidR="00EF4587" w:rsidRPr="00076DCD" w:rsidRDefault="00EF4587" w:rsidP="00B07EB1">
            <w:pPr>
              <w:widowControl w:val="0"/>
              <w:tabs>
                <w:tab w:val="left" w:pos="567"/>
              </w:tabs>
              <w:autoSpaceDE w:val="0"/>
              <w:autoSpaceDN w:val="0"/>
              <w:adjustRightInd w:val="0"/>
              <w:spacing w:after="0" w:line="257" w:lineRule="auto"/>
              <w:ind w:right="9"/>
              <w:jc w:val="center"/>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 xml:space="preserve">  299 430</w:t>
            </w:r>
          </w:p>
        </w:tc>
      </w:tr>
      <w:tr w:rsidR="00EF4587" w:rsidRPr="00076DCD" w:rsidTr="00F73205">
        <w:tc>
          <w:tcPr>
            <w:tcW w:w="2352"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Coordenada Norte</w:t>
            </w:r>
          </w:p>
        </w:tc>
        <w:tc>
          <w:tcPr>
            <w:tcW w:w="236"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c>
        <w:tc>
          <w:tcPr>
            <w:tcW w:w="2128" w:type="dxa"/>
          </w:tcPr>
          <w:p w:rsidR="00EF4587" w:rsidRPr="00076DCD" w:rsidRDefault="00EF4587" w:rsidP="00B07EB1">
            <w:pPr>
              <w:widowControl w:val="0"/>
              <w:tabs>
                <w:tab w:val="left" w:pos="567"/>
              </w:tabs>
              <w:autoSpaceDE w:val="0"/>
              <w:autoSpaceDN w:val="0"/>
              <w:adjustRightInd w:val="0"/>
              <w:spacing w:after="0" w:line="257" w:lineRule="auto"/>
              <w:ind w:right="9"/>
              <w:jc w:val="center"/>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8 662 985</w:t>
            </w:r>
          </w:p>
        </w:tc>
      </w:tr>
    </w:tbl>
    <w:p w:rsidR="00EF4587" w:rsidRPr="00076DCD" w:rsidRDefault="00EF4587" w:rsidP="00B07EB1">
      <w:pPr>
        <w:suppressAutoHyphens/>
        <w:spacing w:after="0" w:line="257" w:lineRule="auto"/>
        <w:jc w:val="both"/>
        <w:rPr>
          <w:rFonts w:ascii="Arial" w:eastAsia="Times New Roman" w:hAnsi="Arial" w:cs="Arial"/>
          <w:spacing w:val="-3"/>
          <w:sz w:val="20"/>
          <w:szCs w:val="20"/>
          <w:lang w:val="es-ES" w:eastAsia="es-ES"/>
        </w:rPr>
      </w:pPr>
    </w:p>
    <w:p w:rsidR="00EF4587" w:rsidRPr="00076DCD" w:rsidRDefault="00EF4587" w:rsidP="00F73205">
      <w:pPr>
        <w:suppressAutoHyphens/>
        <w:spacing w:before="120" w:after="0" w:line="257" w:lineRule="auto"/>
        <w:ind w:left="567"/>
        <w:jc w:val="both"/>
        <w:rPr>
          <w:rFonts w:ascii="Arial" w:eastAsia="Times New Roman" w:hAnsi="Arial" w:cs="Arial"/>
          <w:spacing w:val="-3"/>
          <w:sz w:val="20"/>
          <w:szCs w:val="20"/>
          <w:lang w:val="es-ES" w:eastAsia="es-ES"/>
        </w:rPr>
      </w:pPr>
      <w:r w:rsidRPr="00076DCD">
        <w:rPr>
          <w:rFonts w:ascii="Arial" w:eastAsia="Times New Roman" w:hAnsi="Arial" w:cs="Arial"/>
          <w:spacing w:val="-3"/>
          <w:sz w:val="20"/>
          <w:szCs w:val="20"/>
          <w:lang w:val="es-ES" w:eastAsia="es-ES"/>
        </w:rPr>
        <w:t>Esta subestación es parte de la concesión del Consorcio Transmantaro S. A. (CTM), cuenta con patio al exterior en  220 kV, de configuración barra principal más barra auxiliar de transferencia y equipamiento convencional al exterior.</w:t>
      </w:r>
    </w:p>
    <w:p w:rsidR="00EF4587" w:rsidRPr="00076DCD" w:rsidRDefault="00EF4587" w:rsidP="00F73205">
      <w:pPr>
        <w:suppressAutoHyphens/>
        <w:spacing w:before="120" w:after="0" w:line="257" w:lineRule="auto"/>
        <w:ind w:left="567"/>
        <w:jc w:val="both"/>
        <w:rPr>
          <w:rFonts w:ascii="Arial" w:eastAsia="Times New Roman" w:hAnsi="Arial" w:cs="Arial"/>
          <w:spacing w:val="-3"/>
          <w:sz w:val="20"/>
          <w:szCs w:val="20"/>
          <w:lang w:val="es-ES" w:eastAsia="es-ES"/>
        </w:rPr>
      </w:pPr>
      <w:r w:rsidRPr="00076DCD">
        <w:rPr>
          <w:rFonts w:ascii="Arial" w:eastAsia="Times New Roman" w:hAnsi="Arial" w:cs="Arial"/>
          <w:spacing w:val="-3"/>
          <w:sz w:val="20"/>
          <w:szCs w:val="20"/>
          <w:lang w:val="es-ES" w:eastAsia="es-ES"/>
        </w:rPr>
        <w:t>El patio 220 kV cuenta con 12 bahías, estando actualmente ocupadas 05 de ellas y como espacios de reserva se tiene las 07 restantes, de las cuales se utilizarán 02 bahías para la implementación de celdas de líneas para la conexión del enlace en 220 kV hacia la S.E. Industriales.</w:t>
      </w:r>
    </w:p>
    <w:p w:rsidR="00EF4587" w:rsidRPr="00076DCD" w:rsidRDefault="00EF4587" w:rsidP="00F73205">
      <w:pPr>
        <w:widowControl w:val="0"/>
        <w:autoSpaceDE w:val="0"/>
        <w:autoSpaceDN w:val="0"/>
        <w:adjustRightInd w:val="0"/>
        <w:spacing w:before="120" w:after="0" w:line="257" w:lineRule="auto"/>
        <w:ind w:left="567" w:right="-1"/>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El patio 220 kV existente está conformado por:</w:t>
      </w:r>
    </w:p>
    <w:p w:rsidR="00EF4587" w:rsidRPr="00076DCD" w:rsidRDefault="00EF4587" w:rsidP="00F73205">
      <w:pPr>
        <w:widowControl w:val="0"/>
        <w:numPr>
          <w:ilvl w:val="0"/>
          <w:numId w:val="71"/>
        </w:numPr>
        <w:tabs>
          <w:tab w:val="left" w:pos="1080"/>
        </w:tabs>
        <w:autoSpaceDE w:val="0"/>
        <w:autoSpaceDN w:val="0"/>
        <w:adjustRightInd w:val="0"/>
        <w:spacing w:before="120" w:after="0" w:line="257" w:lineRule="auto"/>
        <w:ind w:left="1080" w:right="-1" w:hanging="240"/>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Un sistema de barra principal</w:t>
      </w:r>
    </w:p>
    <w:p w:rsidR="00EF4587" w:rsidRPr="00076DCD" w:rsidRDefault="00EF4587" w:rsidP="00F73205">
      <w:pPr>
        <w:widowControl w:val="0"/>
        <w:numPr>
          <w:ilvl w:val="0"/>
          <w:numId w:val="71"/>
        </w:numPr>
        <w:tabs>
          <w:tab w:val="left" w:pos="1080"/>
        </w:tabs>
        <w:autoSpaceDE w:val="0"/>
        <w:autoSpaceDN w:val="0"/>
        <w:adjustRightInd w:val="0"/>
        <w:spacing w:before="60" w:after="0" w:line="257" w:lineRule="auto"/>
        <w:ind w:left="1077" w:hanging="238"/>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Un sistema de barra de transferencia</w:t>
      </w:r>
    </w:p>
    <w:p w:rsidR="00EF4587" w:rsidRPr="00076DCD" w:rsidRDefault="00EF4587" w:rsidP="00F73205">
      <w:pPr>
        <w:widowControl w:val="0"/>
        <w:numPr>
          <w:ilvl w:val="0"/>
          <w:numId w:val="71"/>
        </w:numPr>
        <w:tabs>
          <w:tab w:val="left" w:pos="1080"/>
        </w:tabs>
        <w:autoSpaceDE w:val="0"/>
        <w:autoSpaceDN w:val="0"/>
        <w:adjustRightInd w:val="0"/>
        <w:spacing w:before="60" w:after="0" w:line="257" w:lineRule="auto"/>
        <w:ind w:left="1077" w:hanging="238"/>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Dos celdas de línea 220 kV, a Carabayllo.</w:t>
      </w:r>
    </w:p>
    <w:p w:rsidR="00EF4587" w:rsidRPr="00076DCD" w:rsidRDefault="00EF4587" w:rsidP="00F73205">
      <w:pPr>
        <w:widowControl w:val="0"/>
        <w:numPr>
          <w:ilvl w:val="0"/>
          <w:numId w:val="71"/>
        </w:numPr>
        <w:tabs>
          <w:tab w:val="left" w:pos="1080"/>
        </w:tabs>
        <w:autoSpaceDE w:val="0"/>
        <w:autoSpaceDN w:val="0"/>
        <w:adjustRightInd w:val="0"/>
        <w:spacing w:before="60" w:after="0" w:line="257" w:lineRule="auto"/>
        <w:ind w:left="1077" w:hanging="238"/>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Dos celdas de línea 220 kV a Chilca.</w:t>
      </w:r>
    </w:p>
    <w:p w:rsidR="00EF4587" w:rsidRPr="00076DCD" w:rsidRDefault="00EF4587" w:rsidP="00F73205">
      <w:pPr>
        <w:widowControl w:val="0"/>
        <w:numPr>
          <w:ilvl w:val="0"/>
          <w:numId w:val="71"/>
        </w:numPr>
        <w:tabs>
          <w:tab w:val="left" w:pos="1080"/>
        </w:tabs>
        <w:autoSpaceDE w:val="0"/>
        <w:autoSpaceDN w:val="0"/>
        <w:adjustRightInd w:val="0"/>
        <w:spacing w:before="60" w:after="0" w:line="257" w:lineRule="auto"/>
        <w:ind w:left="1077" w:hanging="238"/>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Una celda de acoplamiento 220 kV.</w:t>
      </w:r>
    </w:p>
    <w:p w:rsidR="00EF4587" w:rsidRPr="00076DCD" w:rsidRDefault="00EF4587" w:rsidP="00F73205">
      <w:pPr>
        <w:widowControl w:val="0"/>
        <w:numPr>
          <w:ilvl w:val="0"/>
          <w:numId w:val="71"/>
        </w:numPr>
        <w:tabs>
          <w:tab w:val="left" w:pos="1080"/>
        </w:tabs>
        <w:autoSpaceDE w:val="0"/>
        <w:autoSpaceDN w:val="0"/>
        <w:adjustRightInd w:val="0"/>
        <w:spacing w:before="60" w:after="0" w:line="257" w:lineRule="auto"/>
        <w:ind w:left="1077" w:hanging="238"/>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Dos casetas de campo</w:t>
      </w:r>
    </w:p>
    <w:p w:rsidR="00EF4587" w:rsidRPr="00076DCD" w:rsidRDefault="00EF4587" w:rsidP="00F73205">
      <w:pPr>
        <w:widowControl w:val="0"/>
        <w:numPr>
          <w:ilvl w:val="0"/>
          <w:numId w:val="71"/>
        </w:numPr>
        <w:tabs>
          <w:tab w:val="left" w:pos="1080"/>
        </w:tabs>
        <w:autoSpaceDE w:val="0"/>
        <w:autoSpaceDN w:val="0"/>
        <w:adjustRightInd w:val="0"/>
        <w:spacing w:before="60" w:after="0" w:line="257" w:lineRule="auto"/>
        <w:ind w:left="1077" w:hanging="238"/>
        <w:jc w:val="both"/>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Siete bahías de reserva.</w:t>
      </w:r>
    </w:p>
    <w:p w:rsidR="00F73205" w:rsidRDefault="00F73205">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EF4587" w:rsidRPr="00076DCD" w:rsidRDefault="00EF4587" w:rsidP="00F73205">
      <w:pPr>
        <w:widowControl w:val="0"/>
        <w:numPr>
          <w:ilvl w:val="0"/>
          <w:numId w:val="79"/>
        </w:numPr>
        <w:autoSpaceDE w:val="0"/>
        <w:autoSpaceDN w:val="0"/>
        <w:adjustRightInd w:val="0"/>
        <w:spacing w:before="120" w:after="0" w:line="257" w:lineRule="auto"/>
        <w:ind w:right="-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lastRenderedPageBreak/>
        <w:t>Alcances de la ampliación de la Subestación La Planicie</w:t>
      </w:r>
    </w:p>
    <w:p w:rsidR="00EF4587" w:rsidRPr="00076DCD" w:rsidRDefault="00EF4587" w:rsidP="00F73205">
      <w:pPr>
        <w:suppressAutoHyphens/>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la ampliación de la S.E. La Planicie se ha considerado que los equipos a instalar en el presente proyecto sean de características similares a las de los equipos existentes en el patio de llaves 220 kV, esto, a fin de mantener una compatibilidad en el equipamiento.</w:t>
      </w:r>
    </w:p>
    <w:p w:rsidR="00EF4587" w:rsidRPr="00076DCD" w:rsidRDefault="00EF4587" w:rsidP="00F73205">
      <w:pPr>
        <w:widowControl w:val="0"/>
        <w:tabs>
          <w:tab w:val="left" w:pos="567"/>
        </w:tabs>
        <w:autoSpaceDE w:val="0"/>
        <w:autoSpaceDN w:val="0"/>
        <w:adjustRightInd w:val="0"/>
        <w:spacing w:before="120" w:after="0" w:line="257" w:lineRule="auto"/>
        <w:ind w:left="567" w:right="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ampliación de la S.E. La Planicie comprende lo siguiente:</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Ampliación del sistema de barras, tipo convencional al exterior, con sistema de conexionado barra principal más barra de transferencia.</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 dos celdas de línea en 220 kV, tipo convencional al exterior con sistema de conexionado barra principal más barra de transferencia.</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 dos tableros de control, protección y medida, para las líneas, los cuales permitirán el control y monitoreo de los equipos en 220 kV, estos serán instalados en la caseta de campo a implementarse para ambas celdas de línea.</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 un tablero de equipos registradores de falla.</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del sistema de red de tierra superficial.</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servicios auxiliares serán tomados de las salidas de reserva de los tableros existentes.</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equipo de comunicaciones de la línea, deberá complementarse con el sistema de comunicaciones existentes y estará integrado al sistema SCADA para el control, supervisión y registro de las operaciones desde el centro de control de REP.</w:t>
      </w:r>
    </w:p>
    <w:p w:rsidR="00EF4587" w:rsidRPr="00076DCD" w:rsidRDefault="00EF4587" w:rsidP="00F73205">
      <w:pPr>
        <w:tabs>
          <w:tab w:val="left" w:pos="284"/>
        </w:tabs>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EF4587" w:rsidRPr="00076DCD" w:rsidRDefault="00EF4587" w:rsidP="00F73205">
      <w:pPr>
        <w:tabs>
          <w:tab w:val="left" w:pos="284"/>
        </w:tabs>
        <w:spacing w:before="120" w:after="0" w:line="257" w:lineRule="auto"/>
        <w:ind w:left="238"/>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 xml:space="preserve">4.1.2 Subestación Industriales </w:t>
      </w:r>
    </w:p>
    <w:p w:rsidR="00EF4587" w:rsidRPr="00076DCD" w:rsidRDefault="00EF4587" w:rsidP="00F73205">
      <w:pPr>
        <w:keepNext/>
        <w:numPr>
          <w:ilvl w:val="0"/>
          <w:numId w:val="88"/>
        </w:numPr>
        <w:tabs>
          <w:tab w:val="left" w:pos="567"/>
        </w:tabs>
        <w:suppressAutoHyphens/>
        <w:spacing w:before="120" w:after="0" w:line="257" w:lineRule="auto"/>
        <w:ind w:hanging="687"/>
        <w:outlineLvl w:val="2"/>
        <w:rPr>
          <w:rFonts w:ascii="Arial" w:eastAsia="Calibri" w:hAnsi="Arial" w:cs="Arial"/>
          <w:b/>
          <w:bCs/>
          <w:sz w:val="20"/>
          <w:szCs w:val="20"/>
          <w:lang w:val="es-ES" w:eastAsia="es-ES"/>
        </w:rPr>
      </w:pPr>
      <w:r w:rsidRPr="00076DCD">
        <w:rPr>
          <w:rFonts w:ascii="Arial" w:eastAsia="Calibri" w:hAnsi="Arial" w:cs="Arial"/>
          <w:b/>
          <w:bCs/>
          <w:sz w:val="20"/>
          <w:szCs w:val="20"/>
          <w:lang w:val="es-ES" w:eastAsia="es-ES"/>
        </w:rPr>
        <w:t xml:space="preserve">Descripción de las  instalaciones que serán construidas por Luz del Sur </w:t>
      </w:r>
    </w:p>
    <w:p w:rsidR="00EF4587" w:rsidRPr="00076DCD" w:rsidRDefault="00EF4587" w:rsidP="00F73205">
      <w:pPr>
        <w:widowControl w:val="0"/>
        <w:tabs>
          <w:tab w:val="left" w:pos="567"/>
        </w:tabs>
        <w:autoSpaceDE w:val="0"/>
        <w:autoSpaceDN w:val="0"/>
        <w:adjustRightInd w:val="0"/>
        <w:spacing w:before="120" w:after="0" w:line="257" w:lineRule="auto"/>
        <w:ind w:left="567"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 w:eastAsia="es-ES"/>
        </w:rPr>
        <w:t>La subestación Industriales es una instalación proyectada por la concesionaria de distribución Luz del Sur, actualmente está a nivel de estudios y para el momento de la implementación de la Línea de Transmisión 220 kV La Planicie – Industriales será existente. Se ubicará en la Calle Rodríguez de Mendoza (al lado de la SET Puente), cerca a la intersección con la carretera central, en el distrito de Ate Vitarte, en la provincia y departamento de Lima a una altitud aproximada de 250 m.s.n.m.</w:t>
      </w:r>
      <w:r w:rsidRPr="00076DCD">
        <w:rPr>
          <w:rFonts w:ascii="Arial" w:eastAsia="Times New Roman" w:hAnsi="Arial" w:cs="Arial"/>
          <w:sz w:val="20"/>
          <w:szCs w:val="20"/>
          <w:lang w:val="es-ES_tradnl" w:eastAsia="es-ES"/>
        </w:rPr>
        <w:t xml:space="preserve"> Su ubicación aproximada en coordenadas UTM WGS84 es la siguiente:</w:t>
      </w:r>
    </w:p>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33"/>
        <w:gridCol w:w="317"/>
        <w:gridCol w:w="2128"/>
      </w:tblGrid>
      <w:tr w:rsidR="00EF4587" w:rsidRPr="00076DCD" w:rsidTr="00F73205">
        <w:tc>
          <w:tcPr>
            <w:tcW w:w="2233"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Zona</w:t>
            </w:r>
          </w:p>
        </w:tc>
        <w:tc>
          <w:tcPr>
            <w:tcW w:w="317"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c>
        <w:tc>
          <w:tcPr>
            <w:tcW w:w="2128" w:type="dxa"/>
          </w:tcPr>
          <w:p w:rsidR="00EF4587" w:rsidRPr="00076DCD" w:rsidRDefault="00EF4587" w:rsidP="00B07EB1">
            <w:pPr>
              <w:widowControl w:val="0"/>
              <w:tabs>
                <w:tab w:val="left" w:pos="567"/>
              </w:tabs>
              <w:autoSpaceDE w:val="0"/>
              <w:autoSpaceDN w:val="0"/>
              <w:adjustRightInd w:val="0"/>
              <w:spacing w:after="0" w:line="257" w:lineRule="auto"/>
              <w:ind w:right="9"/>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 xml:space="preserve">         18</w:t>
            </w:r>
          </w:p>
        </w:tc>
      </w:tr>
      <w:tr w:rsidR="00EF4587" w:rsidRPr="00076DCD" w:rsidTr="00F73205">
        <w:tc>
          <w:tcPr>
            <w:tcW w:w="2233"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Coordenada Este</w:t>
            </w:r>
          </w:p>
        </w:tc>
        <w:tc>
          <w:tcPr>
            <w:tcW w:w="317"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c>
        <w:tc>
          <w:tcPr>
            <w:tcW w:w="2128" w:type="dxa"/>
          </w:tcPr>
          <w:p w:rsidR="00EF4587" w:rsidRPr="00076DCD" w:rsidRDefault="00EF4587" w:rsidP="00B07EB1">
            <w:pPr>
              <w:widowControl w:val="0"/>
              <w:tabs>
                <w:tab w:val="left" w:pos="567"/>
              </w:tabs>
              <w:autoSpaceDE w:val="0"/>
              <w:autoSpaceDN w:val="0"/>
              <w:adjustRightInd w:val="0"/>
              <w:spacing w:after="0" w:line="257" w:lineRule="auto"/>
              <w:ind w:right="9"/>
              <w:jc w:val="center"/>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 xml:space="preserve">  285 726,50</w:t>
            </w:r>
          </w:p>
        </w:tc>
      </w:tr>
      <w:tr w:rsidR="00EF4587" w:rsidRPr="00076DCD" w:rsidTr="00F73205">
        <w:tc>
          <w:tcPr>
            <w:tcW w:w="2233"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Coordenada Norte</w:t>
            </w:r>
          </w:p>
        </w:tc>
        <w:tc>
          <w:tcPr>
            <w:tcW w:w="317" w:type="dxa"/>
          </w:tcPr>
          <w:p w:rsidR="00EF4587" w:rsidRPr="00076DCD" w:rsidRDefault="00EF4587" w:rsidP="00B07EB1">
            <w:pPr>
              <w:widowControl w:val="0"/>
              <w:tabs>
                <w:tab w:val="left" w:pos="567"/>
              </w:tabs>
              <w:autoSpaceDE w:val="0"/>
              <w:autoSpaceDN w:val="0"/>
              <w:adjustRightInd w:val="0"/>
              <w:spacing w:after="0" w:line="257" w:lineRule="auto"/>
              <w:ind w:right="9"/>
              <w:jc w:val="both"/>
              <w:rPr>
                <w:rFonts w:ascii="Arial" w:eastAsia="Times New Roman" w:hAnsi="Arial" w:cs="Arial"/>
                <w:sz w:val="20"/>
                <w:szCs w:val="20"/>
                <w:lang w:val="es-ES_tradnl" w:eastAsia="es-ES"/>
              </w:rPr>
            </w:pPr>
          </w:p>
        </w:tc>
        <w:tc>
          <w:tcPr>
            <w:tcW w:w="2128" w:type="dxa"/>
          </w:tcPr>
          <w:p w:rsidR="00EF4587" w:rsidRPr="00076DCD" w:rsidRDefault="00EF4587" w:rsidP="00B07EB1">
            <w:pPr>
              <w:widowControl w:val="0"/>
              <w:tabs>
                <w:tab w:val="left" w:pos="567"/>
              </w:tabs>
              <w:autoSpaceDE w:val="0"/>
              <w:autoSpaceDN w:val="0"/>
              <w:adjustRightInd w:val="0"/>
              <w:spacing w:after="0" w:line="257" w:lineRule="auto"/>
              <w:ind w:right="9"/>
              <w:jc w:val="center"/>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 xml:space="preserve">    8 666 555,50</w:t>
            </w:r>
          </w:p>
        </w:tc>
      </w:tr>
    </w:tbl>
    <w:p w:rsidR="00EF4587" w:rsidRPr="00076DCD" w:rsidRDefault="00EF4587" w:rsidP="00B07EB1">
      <w:pPr>
        <w:widowControl w:val="0"/>
        <w:autoSpaceDE w:val="0"/>
        <w:autoSpaceDN w:val="0"/>
        <w:adjustRightInd w:val="0"/>
        <w:spacing w:after="0" w:line="257" w:lineRule="auto"/>
        <w:ind w:right="-1"/>
        <w:jc w:val="both"/>
        <w:rPr>
          <w:rFonts w:ascii="Arial" w:eastAsia="Times New Roman" w:hAnsi="Arial" w:cs="Arial"/>
          <w:color w:val="000000"/>
          <w:sz w:val="20"/>
          <w:szCs w:val="20"/>
          <w:lang w:val="es-ES" w:eastAsia="es-ES"/>
        </w:rPr>
      </w:pPr>
    </w:p>
    <w:p w:rsidR="00EF4587" w:rsidRPr="00076DCD" w:rsidRDefault="00EF4587" w:rsidP="00F73205">
      <w:pPr>
        <w:suppressAutoHyphens/>
        <w:spacing w:before="120" w:after="0" w:line="257" w:lineRule="auto"/>
        <w:ind w:left="567"/>
        <w:jc w:val="both"/>
        <w:rPr>
          <w:rFonts w:ascii="Arial" w:eastAsia="Times New Roman" w:hAnsi="Arial" w:cs="Arial"/>
          <w:spacing w:val="-3"/>
          <w:sz w:val="20"/>
          <w:szCs w:val="20"/>
          <w:lang w:val="es-ES" w:eastAsia="es-ES"/>
        </w:rPr>
      </w:pPr>
      <w:r w:rsidRPr="00076DCD">
        <w:rPr>
          <w:rFonts w:ascii="Arial" w:eastAsia="Times New Roman" w:hAnsi="Arial" w:cs="Arial"/>
          <w:spacing w:val="-3"/>
          <w:sz w:val="20"/>
          <w:szCs w:val="20"/>
          <w:lang w:eastAsia="es-ES"/>
        </w:rPr>
        <w:t>Esta subestación</w:t>
      </w:r>
      <w:r w:rsidRPr="00076DCD">
        <w:rPr>
          <w:rFonts w:ascii="Arial" w:eastAsia="Times New Roman" w:hAnsi="Arial" w:cs="Arial"/>
          <w:spacing w:val="-3"/>
          <w:sz w:val="20"/>
          <w:szCs w:val="20"/>
          <w:lang w:val="es-ES" w:eastAsia="es-ES"/>
        </w:rPr>
        <w:t xml:space="preserve"> será implementada próximamente por Luz del Sur y contará con salas de bahías GIS en 220 kV y 60 kV al interior y en configuración doble barra, los bancos de transformadores de potencia serán convencionales, instalados al exterior.</w:t>
      </w:r>
    </w:p>
    <w:p w:rsidR="00EF4587" w:rsidRPr="00076DCD" w:rsidRDefault="00EF4587" w:rsidP="00F73205">
      <w:pPr>
        <w:suppressAutoHyphens/>
        <w:spacing w:before="120" w:after="0" w:line="257" w:lineRule="auto"/>
        <w:ind w:left="567"/>
        <w:jc w:val="both"/>
        <w:rPr>
          <w:rFonts w:ascii="Arial" w:eastAsia="Times New Roman" w:hAnsi="Arial" w:cs="Arial"/>
          <w:spacing w:val="-3"/>
          <w:sz w:val="20"/>
          <w:szCs w:val="20"/>
          <w:lang w:val="es-ES" w:eastAsia="es-ES"/>
        </w:rPr>
      </w:pPr>
      <w:r w:rsidRPr="00076DCD">
        <w:rPr>
          <w:rFonts w:ascii="Arial" w:eastAsia="Times New Roman" w:hAnsi="Arial" w:cs="Arial"/>
          <w:spacing w:val="-3"/>
          <w:sz w:val="20"/>
          <w:szCs w:val="20"/>
          <w:lang w:val="es-ES" w:eastAsia="es-ES"/>
        </w:rPr>
        <w:t>Luz del Sur contempla la construcción de esta subestación en dos etapas, la primera etapa considera el siguiente equipamiento:</w:t>
      </w:r>
    </w:p>
    <w:p w:rsidR="00EF4587" w:rsidRPr="00076DCD" w:rsidRDefault="00EF4587" w:rsidP="00F73205">
      <w:pPr>
        <w:widowControl w:val="0"/>
        <w:numPr>
          <w:ilvl w:val="0"/>
          <w:numId w:val="71"/>
        </w:numPr>
        <w:autoSpaceDE w:val="0"/>
        <w:autoSpaceDN w:val="0"/>
        <w:adjustRightInd w:val="0"/>
        <w:spacing w:before="120" w:after="0" w:line="257" w:lineRule="auto"/>
        <w:ind w:left="1080" w:right="-1"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Una sala de bahías GIS 220 kV, en configuración doble barra al interior.</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Una sala de bahía GIS 60 kV, en configuración doble barra al interior.</w:t>
      </w:r>
    </w:p>
    <w:p w:rsidR="00EF4587" w:rsidRPr="00F73205"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F73205">
        <w:rPr>
          <w:rFonts w:ascii="Arial" w:eastAsia="Times New Roman" w:hAnsi="Arial" w:cs="Arial"/>
          <w:sz w:val="20"/>
          <w:szCs w:val="20"/>
          <w:lang w:val="es-ES" w:eastAsia="es-ES"/>
        </w:rPr>
        <w:t>Patio de transformadores de potencia 220/60/10 kV, instalados al exterior.</w:t>
      </w:r>
    </w:p>
    <w:p w:rsidR="00EF4587" w:rsidRPr="00F73205"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F73205">
        <w:rPr>
          <w:rFonts w:ascii="Arial" w:eastAsia="Times New Roman" w:hAnsi="Arial" w:cs="Arial"/>
          <w:sz w:val="20"/>
          <w:szCs w:val="20"/>
          <w:lang w:val="es-ES" w:eastAsia="es-ES"/>
        </w:rPr>
        <w:t>Una galería de cables de 220 kV, que conectará al sótano de la sala GIS 220 kV, la que permitirá el ingreso ordenado de los circuitos correspondientes al presente proyecto, como a los futuros circuitos.</w:t>
      </w:r>
    </w:p>
    <w:p w:rsidR="00EF4587" w:rsidRPr="00076DCD" w:rsidRDefault="00EF4587" w:rsidP="00F73205">
      <w:pPr>
        <w:widowControl w:val="0"/>
        <w:autoSpaceDE w:val="0"/>
        <w:autoSpaceDN w:val="0"/>
        <w:adjustRightInd w:val="0"/>
        <w:spacing w:before="120" w:after="0" w:line="257" w:lineRule="auto"/>
        <w:ind w:left="567" w:right="-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Para la segunda etapa, Luz del Sur ha previsto espacios de reserva para instalación de futuras celdas GIS, tanto en la sala de 220 kV como en la sala de 60 kV.</w:t>
      </w:r>
    </w:p>
    <w:p w:rsidR="00EF4587" w:rsidRPr="00076DCD" w:rsidRDefault="00EF4587" w:rsidP="00F73205">
      <w:pPr>
        <w:widowControl w:val="0"/>
        <w:autoSpaceDE w:val="0"/>
        <w:autoSpaceDN w:val="0"/>
        <w:adjustRightInd w:val="0"/>
        <w:spacing w:before="120" w:after="0" w:line="257" w:lineRule="auto"/>
        <w:ind w:left="567" w:right="-1"/>
        <w:jc w:val="both"/>
        <w:rPr>
          <w:rFonts w:ascii="Arial" w:eastAsia="Times New Roman" w:hAnsi="Arial" w:cs="Arial"/>
          <w:color w:val="000000"/>
          <w:sz w:val="20"/>
          <w:szCs w:val="20"/>
          <w:lang w:val="es-ES" w:eastAsia="es-ES"/>
        </w:rPr>
      </w:pPr>
      <w:r w:rsidRPr="00076DCD">
        <w:rPr>
          <w:rFonts w:ascii="Arial" w:eastAsia="Times New Roman" w:hAnsi="Arial" w:cs="Arial"/>
          <w:sz w:val="20"/>
          <w:szCs w:val="20"/>
          <w:lang w:val="es-ES" w:eastAsia="es-ES"/>
        </w:rPr>
        <w:t>Para el caso de la sala GIS 220 kV, se contempla la instalación de 14 celdas GIS en total, siendo</w:t>
      </w:r>
      <w:r w:rsidRPr="00076DCD">
        <w:rPr>
          <w:rFonts w:ascii="Arial" w:eastAsia="Times New Roman" w:hAnsi="Arial" w:cs="Arial"/>
          <w:color w:val="000000"/>
          <w:sz w:val="20"/>
          <w:szCs w:val="20"/>
          <w:lang w:val="es-ES" w:eastAsia="es-ES"/>
        </w:rPr>
        <w:t xml:space="preserve"> utilizadas para la primera etapa 04 celdas conformadas por:</w:t>
      </w:r>
    </w:p>
    <w:p w:rsidR="00EF4587" w:rsidRPr="00F73205" w:rsidRDefault="00EF4587" w:rsidP="00F73205">
      <w:pPr>
        <w:widowControl w:val="0"/>
        <w:numPr>
          <w:ilvl w:val="0"/>
          <w:numId w:val="71"/>
        </w:numPr>
        <w:autoSpaceDE w:val="0"/>
        <w:autoSpaceDN w:val="0"/>
        <w:adjustRightInd w:val="0"/>
        <w:spacing w:before="120" w:after="0" w:line="257" w:lineRule="auto"/>
        <w:ind w:left="1077" w:hanging="238"/>
        <w:jc w:val="both"/>
        <w:rPr>
          <w:rFonts w:ascii="Arial" w:eastAsia="Times New Roman" w:hAnsi="Arial" w:cs="Arial"/>
          <w:color w:val="000000"/>
          <w:sz w:val="20"/>
          <w:szCs w:val="20"/>
          <w:lang w:val="es-ES" w:eastAsia="es-ES"/>
        </w:rPr>
      </w:pPr>
      <w:r w:rsidRPr="00F73205">
        <w:rPr>
          <w:rFonts w:ascii="Arial" w:eastAsia="Times New Roman" w:hAnsi="Arial" w:cs="Arial"/>
          <w:color w:val="000000"/>
          <w:sz w:val="20"/>
          <w:szCs w:val="20"/>
          <w:lang w:val="es-ES" w:eastAsia="es-ES"/>
        </w:rPr>
        <w:t>Un módulo GIS 220 kV de acoplamiento</w:t>
      </w:r>
    </w:p>
    <w:p w:rsidR="00EF4587" w:rsidRPr="00F73205"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F73205">
        <w:rPr>
          <w:rFonts w:ascii="Arial" w:eastAsia="Times New Roman" w:hAnsi="Arial" w:cs="Arial"/>
          <w:sz w:val="20"/>
          <w:szCs w:val="20"/>
          <w:lang w:val="es-ES" w:eastAsia="es-ES"/>
        </w:rPr>
        <w:t>Dos módulos GIS 220 kV de Líneas</w:t>
      </w:r>
    </w:p>
    <w:p w:rsidR="00EF4587" w:rsidRPr="00F73205"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F73205">
        <w:rPr>
          <w:rFonts w:ascii="Arial" w:eastAsia="Times New Roman" w:hAnsi="Arial" w:cs="Arial"/>
          <w:sz w:val="20"/>
          <w:szCs w:val="20"/>
          <w:lang w:val="es-ES" w:eastAsia="es-ES"/>
        </w:rPr>
        <w:t>Un módulo GIS 220 kV para el transformador T1 220/60 kV</w:t>
      </w:r>
    </w:p>
    <w:p w:rsidR="00EF4587" w:rsidRPr="00076DCD" w:rsidRDefault="00EF4587" w:rsidP="00F73205">
      <w:pPr>
        <w:widowControl w:val="0"/>
        <w:tabs>
          <w:tab w:val="left" w:pos="567"/>
        </w:tabs>
        <w:autoSpaceDE w:val="0"/>
        <w:autoSpaceDN w:val="0"/>
        <w:adjustRightInd w:val="0"/>
        <w:spacing w:before="120" w:after="0" w:line="257" w:lineRule="auto"/>
        <w:ind w:right="-1" w:firstLine="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10 celdas GIS restantes están destinadas a:</w:t>
      </w:r>
    </w:p>
    <w:p w:rsidR="00EF4587" w:rsidRPr="00076DCD" w:rsidRDefault="00EF4587" w:rsidP="00F73205">
      <w:pPr>
        <w:widowControl w:val="0"/>
        <w:numPr>
          <w:ilvl w:val="0"/>
          <w:numId w:val="71"/>
        </w:numPr>
        <w:autoSpaceDE w:val="0"/>
        <w:autoSpaceDN w:val="0"/>
        <w:adjustRightInd w:val="0"/>
        <w:spacing w:before="120" w:after="0" w:line="257" w:lineRule="auto"/>
        <w:ind w:left="1080" w:right="-1"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 módulo GIS 220 kV para el transformador T2 220/60 kV</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Nueve módulos GIS 220 kV para futuras líneas </w:t>
      </w:r>
    </w:p>
    <w:p w:rsidR="00EF4587" w:rsidRPr="00076DCD" w:rsidRDefault="00EF4587" w:rsidP="00F73205">
      <w:pPr>
        <w:widowControl w:val="0"/>
        <w:tabs>
          <w:tab w:val="left" w:pos="567"/>
        </w:tabs>
        <w:autoSpaceDE w:val="0"/>
        <w:autoSpaceDN w:val="0"/>
        <w:adjustRightInd w:val="0"/>
        <w:spacing w:before="120" w:after="0" w:line="257" w:lineRule="auto"/>
        <w:ind w:left="567" w:right="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Al momento de implementar la ampliación prevista en el presente proyecto, la Sociedad Concesionaria deberá coordinar con Luz del Sur los espacios a utilizar para las dos celdas requeridas.</w:t>
      </w:r>
    </w:p>
    <w:p w:rsidR="00EF4587" w:rsidRPr="00076DCD" w:rsidRDefault="00EF4587" w:rsidP="00F73205">
      <w:pPr>
        <w:widowControl w:val="0"/>
        <w:numPr>
          <w:ilvl w:val="0"/>
          <w:numId w:val="88"/>
        </w:numPr>
        <w:tabs>
          <w:tab w:val="left" w:pos="567"/>
        </w:tabs>
        <w:autoSpaceDE w:val="0"/>
        <w:autoSpaceDN w:val="0"/>
        <w:adjustRightInd w:val="0"/>
        <w:spacing w:before="120" w:after="0" w:line="257" w:lineRule="auto"/>
        <w:ind w:right="-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Alcances de la ampliación de la Subestación Industriales</w:t>
      </w:r>
    </w:p>
    <w:p w:rsidR="00EF4587" w:rsidRPr="00076DCD" w:rsidRDefault="00EF4587" w:rsidP="00F73205">
      <w:pPr>
        <w:suppressAutoHyphens/>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ampliación de la Subestación Industriales, a realizarse en la sala GIS 220 kV, será efectuada tomando en cuenta el diseño de ingeniería desarrollado por Luz del Sur, en dicho diseño se ha previsto la instalación y equipamientos de módulos GIS, tanto en su primera etapa, a ser implementada por LDS,  como para etapas futuras, tal como se describe en el literal a) de este numeral; por lo que los equipos a instalar en el presente proyecto serán de características similares a los que instalará Luz del Sur en la primera etapa.</w:t>
      </w:r>
    </w:p>
    <w:p w:rsidR="00EF4587" w:rsidRPr="00076DCD" w:rsidRDefault="00EF4587" w:rsidP="00F73205">
      <w:pPr>
        <w:widowControl w:val="0"/>
        <w:tabs>
          <w:tab w:val="left" w:pos="567"/>
        </w:tabs>
        <w:autoSpaceDE w:val="0"/>
        <w:autoSpaceDN w:val="0"/>
        <w:adjustRightInd w:val="0"/>
        <w:spacing w:before="120" w:after="0" w:line="257" w:lineRule="auto"/>
        <w:ind w:left="567" w:right="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instalaciones previstas para la ampliación de la S.E. Industriales, que forman parte de este proyecto, son las que se indican a continuación:</w:t>
      </w:r>
    </w:p>
    <w:p w:rsidR="00EF4587" w:rsidRPr="00076DCD" w:rsidRDefault="00EF4587" w:rsidP="00F73205">
      <w:pPr>
        <w:widowControl w:val="0"/>
        <w:numPr>
          <w:ilvl w:val="0"/>
          <w:numId w:val="77"/>
        </w:numPr>
        <w:tabs>
          <w:tab w:val="left" w:pos="1080"/>
        </w:tabs>
        <w:autoSpaceDE w:val="0"/>
        <w:autoSpaceDN w:val="0"/>
        <w:adjustRightInd w:val="0"/>
        <w:spacing w:before="120" w:after="0" w:line="257" w:lineRule="auto"/>
        <w:ind w:left="1080" w:right="9"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 dos módulos GIS en 220 kV, en configuración doble barra, para conexión de las líneas hacia la S.E. La Planicie.</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 dos tableros de control, protección y medida, para las líneas, los cuales permitirán el control y monitoreo de los módulos GIS en 220 kV, estos serán instalados dentro del edificio de control de la subestación.</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 un tablero de equipos registradores de falla.</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Implementación del sistema de red de tierra superficial.</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servicios auxiliares serán tomados de las salidas de reserva de los tableros existentes instalados en la primera etapa.</w:t>
      </w:r>
    </w:p>
    <w:p w:rsidR="00EF4587" w:rsidRPr="00076DCD" w:rsidRDefault="00EF4587" w:rsidP="00F73205">
      <w:pPr>
        <w:widowControl w:val="0"/>
        <w:numPr>
          <w:ilvl w:val="0"/>
          <w:numId w:val="77"/>
        </w:numPr>
        <w:tabs>
          <w:tab w:val="left" w:pos="1080"/>
        </w:tabs>
        <w:autoSpaceDE w:val="0"/>
        <w:autoSpaceDN w:val="0"/>
        <w:adjustRightInd w:val="0"/>
        <w:spacing w:before="60" w:after="0" w:line="257" w:lineRule="auto"/>
        <w:ind w:left="1077" w:right="11" w:hanging="23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equipo de comunicaciones de la línea, deberá complementarse con el sistema de comunicaciones implementado en la primera etapa y estará integrado al sistema SCADA para el control, supervisión y registro de las operaciones desde el centro de control de Luz del Sur.</w:t>
      </w:r>
    </w:p>
    <w:p w:rsidR="00EF4587" w:rsidRPr="00076DCD" w:rsidRDefault="00EF4587" w:rsidP="00F73205">
      <w:pPr>
        <w:tabs>
          <w:tab w:val="left" w:pos="284"/>
        </w:tabs>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esquema final y el equipamiento de la ampliación serán definidos en los Estudios de Pre operatividad, de manera tal que se garanticen las capacidades de transmisión establecidas en el numeral 2.0 del presente Anexo.</w:t>
      </w:r>
    </w:p>
    <w:p w:rsidR="00EF4587" w:rsidRPr="00076DCD"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 xml:space="preserve">4.1.3 Coordinaciones para las adecuaciones en las subestaciones existentes </w:t>
      </w:r>
    </w:p>
    <w:p w:rsidR="00EF4587" w:rsidRPr="00076DCD" w:rsidRDefault="00EF4587" w:rsidP="00F73205">
      <w:pPr>
        <w:spacing w:before="120" w:after="0" w:line="257" w:lineRule="auto"/>
        <w:ind w:left="36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será responsable de coordinar los requerimientos de equipamiento, estandarización, uso de instalaciones comunes y otros que resulten necesarios en las instalaciones existentes que formen parte del proyecto.</w:t>
      </w:r>
    </w:p>
    <w:p w:rsidR="00F73205" w:rsidRDefault="00F73205">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lastRenderedPageBreak/>
        <w:t>4.2</w:t>
      </w:r>
      <w:r w:rsidRPr="00CB71E1">
        <w:rPr>
          <w:rFonts w:ascii="Arial" w:eastAsia="Times New Roman" w:hAnsi="Arial" w:cs="Arial"/>
          <w:b/>
          <w:sz w:val="20"/>
          <w:szCs w:val="20"/>
          <w:lang w:val="es-ES" w:eastAsia="es-ES"/>
        </w:rPr>
        <w:tab/>
        <w:t xml:space="preserve"> REQUERIMIENTOS TÉCNICOS DE LAS SUBESTACIONES</w:t>
      </w:r>
    </w:p>
    <w:p w:rsidR="00EF4587" w:rsidRPr="00076DCD"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4.2.1 Características Técnicas Generales</w:t>
      </w:r>
    </w:p>
    <w:p w:rsidR="00EF4587" w:rsidRPr="00076DCD" w:rsidRDefault="00EF4587" w:rsidP="00B07EB1">
      <w:pPr>
        <w:tabs>
          <w:tab w:val="left" w:pos="1134"/>
        </w:tabs>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EF4587" w:rsidRPr="00076DCD" w:rsidRDefault="00EF4587" w:rsidP="00B07EB1">
      <w:pPr>
        <w:numPr>
          <w:ilvl w:val="0"/>
          <w:numId w:val="59"/>
        </w:numPr>
        <w:tabs>
          <w:tab w:val="left" w:pos="993"/>
        </w:tabs>
        <w:spacing w:before="120" w:after="0" w:line="257" w:lineRule="auto"/>
        <w:ind w:left="993"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deberá instalar equipos de fabricantes que tengan un mínimo de experiencia de fabricación y suministro de quince (15) años.</w:t>
      </w:r>
    </w:p>
    <w:p w:rsidR="00EF4587" w:rsidRPr="00076DCD" w:rsidRDefault="00EF4587" w:rsidP="00B07EB1">
      <w:pPr>
        <w:numPr>
          <w:ilvl w:val="0"/>
          <w:numId w:val="59"/>
        </w:numPr>
        <w:tabs>
          <w:tab w:val="left" w:pos="993"/>
        </w:tabs>
        <w:spacing w:before="120" w:after="0" w:line="257" w:lineRule="auto"/>
        <w:ind w:left="993"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EF4587" w:rsidRPr="00076DCD" w:rsidRDefault="00EF4587" w:rsidP="00B07EB1">
      <w:pPr>
        <w:numPr>
          <w:ilvl w:val="0"/>
          <w:numId w:val="59"/>
        </w:numPr>
        <w:tabs>
          <w:tab w:val="left" w:pos="993"/>
        </w:tabs>
        <w:spacing w:before="120" w:after="0" w:line="257" w:lineRule="auto"/>
        <w:ind w:left="993"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Los equipos deberán contar con informes certificados por institutos internacionales reconocidos, que muestren que han pasado exitosamente las Pruebas de Tipo. Todos los equipos serán sometidos a las Pruebas de Rutina.</w:t>
      </w:r>
    </w:p>
    <w:p w:rsidR="00EF4587" w:rsidRPr="00076DCD" w:rsidRDefault="00EF4587" w:rsidP="00F73205">
      <w:pPr>
        <w:numPr>
          <w:ilvl w:val="0"/>
          <w:numId w:val="59"/>
        </w:numPr>
        <w:tabs>
          <w:tab w:val="left" w:pos="993"/>
        </w:tabs>
        <w:spacing w:before="120" w:after="0" w:line="257" w:lineRule="auto"/>
        <w:ind w:left="993" w:hanging="284"/>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Las normas aplicables que deberán cumplir los equipos, serán principalmente las siguientes: ANSI/IEEE, IEC, VDE, NEMA, ASTM, NESC, NFPA, o similares que garanticen un nivel de calidad igual o superior.</w:t>
      </w:r>
    </w:p>
    <w:p w:rsidR="00EF4587" w:rsidRPr="00076DCD"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4.2.2 Requerimientos Sísmicos</w:t>
      </w:r>
    </w:p>
    <w:p w:rsidR="00EF4587" w:rsidRPr="00076DCD" w:rsidRDefault="00EF4587" w:rsidP="00F73205">
      <w:pPr>
        <w:spacing w:before="120" w:after="120" w:line="257" w:lineRule="auto"/>
        <w:ind w:left="601"/>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Todos los equipos deberán estar diseñados para trabajar bajo las siguientes condiciones sísmicas:</w:t>
      </w:r>
    </w:p>
    <w:p w:rsidR="00EF4587" w:rsidRPr="00076DCD" w:rsidRDefault="00EF4587" w:rsidP="00B07EB1">
      <w:pPr>
        <w:numPr>
          <w:ilvl w:val="0"/>
          <w:numId w:val="72"/>
        </w:numPr>
        <w:tabs>
          <w:tab w:val="left" w:pos="1320"/>
          <w:tab w:val="left" w:pos="4680"/>
        </w:tabs>
        <w:spacing w:after="0" w:line="257" w:lineRule="auto"/>
        <w:ind w:left="1320" w:hanging="240"/>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 xml:space="preserve">Aceleración horizontal      </w:t>
      </w:r>
      <w:r w:rsidRPr="00076DCD">
        <w:rPr>
          <w:rFonts w:ascii="Arial" w:eastAsia="Times New Roman" w:hAnsi="Arial" w:cs="Arial"/>
          <w:sz w:val="20"/>
          <w:szCs w:val="20"/>
          <w:lang w:eastAsia="es-ES"/>
        </w:rPr>
        <w:tab/>
        <w:t>:</w:t>
      </w:r>
      <w:r w:rsidRPr="00076DCD">
        <w:rPr>
          <w:rFonts w:ascii="Arial" w:eastAsia="Times New Roman" w:hAnsi="Arial" w:cs="Arial"/>
          <w:sz w:val="20"/>
          <w:szCs w:val="20"/>
          <w:lang w:eastAsia="es-ES"/>
        </w:rPr>
        <w:tab/>
        <w:t>0,5 g</w:t>
      </w:r>
    </w:p>
    <w:p w:rsidR="00EF4587" w:rsidRPr="00076DCD" w:rsidRDefault="00EF4587" w:rsidP="00B07EB1">
      <w:pPr>
        <w:numPr>
          <w:ilvl w:val="0"/>
          <w:numId w:val="72"/>
        </w:numPr>
        <w:tabs>
          <w:tab w:val="left" w:pos="284"/>
          <w:tab w:val="left" w:pos="567"/>
        </w:tabs>
        <w:spacing w:after="0" w:line="257" w:lineRule="auto"/>
        <w:ind w:left="1320" w:hanging="240"/>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Aceleración vertical</w:t>
      </w:r>
      <w:r w:rsidRPr="00076DCD">
        <w:rPr>
          <w:rFonts w:ascii="Arial" w:eastAsia="Times New Roman" w:hAnsi="Arial" w:cs="Arial"/>
          <w:sz w:val="20"/>
          <w:szCs w:val="20"/>
          <w:lang w:eastAsia="es-ES"/>
        </w:rPr>
        <w:tab/>
      </w:r>
      <w:r w:rsidRPr="00076DCD">
        <w:rPr>
          <w:rFonts w:ascii="Arial" w:eastAsia="Times New Roman" w:hAnsi="Arial" w:cs="Arial"/>
          <w:sz w:val="20"/>
          <w:szCs w:val="20"/>
          <w:lang w:eastAsia="es-ES"/>
        </w:rPr>
        <w:tab/>
        <w:t xml:space="preserve">        :</w:t>
      </w:r>
      <w:r w:rsidRPr="00076DCD">
        <w:rPr>
          <w:rFonts w:ascii="Arial" w:eastAsia="Times New Roman" w:hAnsi="Arial" w:cs="Arial"/>
          <w:sz w:val="20"/>
          <w:szCs w:val="20"/>
          <w:lang w:eastAsia="es-ES"/>
        </w:rPr>
        <w:tab/>
        <w:t>0,3 g</w:t>
      </w:r>
    </w:p>
    <w:p w:rsidR="00EF4587" w:rsidRPr="00076DCD" w:rsidRDefault="00EF4587" w:rsidP="00B07EB1">
      <w:pPr>
        <w:numPr>
          <w:ilvl w:val="0"/>
          <w:numId w:val="72"/>
        </w:numPr>
        <w:spacing w:after="0" w:line="257" w:lineRule="auto"/>
        <w:ind w:left="1320" w:hanging="240"/>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Frecuencia de oscilación</w:t>
      </w:r>
      <w:r w:rsidRPr="00076DCD">
        <w:rPr>
          <w:rFonts w:ascii="Arial" w:eastAsia="Times New Roman" w:hAnsi="Arial" w:cs="Arial"/>
          <w:sz w:val="20"/>
          <w:szCs w:val="20"/>
          <w:lang w:eastAsia="es-ES"/>
        </w:rPr>
        <w:tab/>
      </w:r>
      <w:r w:rsidRPr="00076DCD">
        <w:rPr>
          <w:rFonts w:ascii="Arial" w:eastAsia="Times New Roman" w:hAnsi="Arial" w:cs="Arial"/>
          <w:sz w:val="20"/>
          <w:szCs w:val="20"/>
          <w:lang w:eastAsia="es-ES"/>
        </w:rPr>
        <w:tab/>
        <w:t xml:space="preserve">        :</w:t>
      </w:r>
      <w:r w:rsidRPr="00076DCD">
        <w:rPr>
          <w:rFonts w:ascii="Arial" w:eastAsia="Times New Roman" w:hAnsi="Arial" w:cs="Arial"/>
          <w:sz w:val="20"/>
          <w:szCs w:val="20"/>
          <w:lang w:eastAsia="es-ES"/>
        </w:rPr>
        <w:tab/>
        <w:t>10 Hz</w:t>
      </w:r>
    </w:p>
    <w:p w:rsidR="00EF4587" w:rsidRPr="00076DCD" w:rsidRDefault="00EF4587" w:rsidP="00B07EB1">
      <w:pPr>
        <w:numPr>
          <w:ilvl w:val="0"/>
          <w:numId w:val="72"/>
        </w:numPr>
        <w:spacing w:after="0" w:line="257" w:lineRule="auto"/>
        <w:ind w:left="1320" w:hanging="240"/>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 xml:space="preserve">Amortiguamiento </w:t>
      </w:r>
      <w:r w:rsidRPr="00076DCD">
        <w:rPr>
          <w:rFonts w:ascii="Arial" w:eastAsia="Times New Roman" w:hAnsi="Arial" w:cs="Arial"/>
          <w:sz w:val="20"/>
          <w:szCs w:val="20"/>
          <w:lang w:eastAsia="es-ES"/>
        </w:rPr>
        <w:tab/>
      </w:r>
      <w:r w:rsidRPr="00076DCD">
        <w:rPr>
          <w:rFonts w:ascii="Arial" w:eastAsia="Times New Roman" w:hAnsi="Arial" w:cs="Arial"/>
          <w:sz w:val="20"/>
          <w:szCs w:val="20"/>
          <w:lang w:eastAsia="es-ES"/>
        </w:rPr>
        <w:tab/>
        <w:t xml:space="preserve">        :</w:t>
      </w:r>
      <w:r w:rsidRPr="00076DCD">
        <w:rPr>
          <w:rFonts w:ascii="Arial" w:eastAsia="Times New Roman" w:hAnsi="Arial" w:cs="Arial"/>
          <w:sz w:val="20"/>
          <w:szCs w:val="20"/>
          <w:lang w:eastAsia="es-ES"/>
        </w:rPr>
        <w:tab/>
        <w:t>Igual al amortiguamiento del equipo</w:t>
      </w:r>
    </w:p>
    <w:p w:rsidR="00EF4587" w:rsidRPr="00076DCD" w:rsidRDefault="00EF4587" w:rsidP="00B07EB1">
      <w:pPr>
        <w:numPr>
          <w:ilvl w:val="0"/>
          <w:numId w:val="72"/>
        </w:numPr>
        <w:tabs>
          <w:tab w:val="left" w:pos="1320"/>
          <w:tab w:val="left" w:pos="4680"/>
        </w:tabs>
        <w:spacing w:after="0" w:line="257" w:lineRule="auto"/>
        <w:ind w:left="1320" w:hanging="240"/>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 xml:space="preserve">Calificación sísmica </w:t>
      </w:r>
      <w:r w:rsidRPr="00076DCD">
        <w:rPr>
          <w:rFonts w:ascii="Arial" w:eastAsia="Times New Roman" w:hAnsi="Arial" w:cs="Arial"/>
          <w:sz w:val="20"/>
          <w:szCs w:val="20"/>
          <w:lang w:eastAsia="es-ES"/>
        </w:rPr>
        <w:tab/>
        <w:t>:</w:t>
      </w:r>
      <w:r w:rsidRPr="00076DCD">
        <w:rPr>
          <w:rFonts w:ascii="Arial" w:eastAsia="Times New Roman" w:hAnsi="Arial" w:cs="Arial"/>
          <w:sz w:val="20"/>
          <w:szCs w:val="20"/>
          <w:lang w:eastAsia="es-ES"/>
        </w:rPr>
        <w:tab/>
        <w:t>Alta, de acuerdo a normas</w:t>
      </w:r>
    </w:p>
    <w:p w:rsidR="00EF4587" w:rsidRPr="00076DCD" w:rsidRDefault="00EF4587" w:rsidP="00F73205">
      <w:pPr>
        <w:spacing w:before="120" w:after="0" w:line="257" w:lineRule="auto"/>
        <w:ind w:left="600"/>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En el diseño se aceptarán las recomendaciones que sean aplicables de la Norma IEEE-693-2005 y se tomarñá en cuenta lo señalado en el Reglamento Nacional de Edificaciones, norma E.030 - Diseño Sismorresistente</w:t>
      </w:r>
    </w:p>
    <w:p w:rsidR="00EF4587" w:rsidRPr="00076DCD"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4.2.3 Requerimientos Geográficos y Climatológicos</w:t>
      </w:r>
    </w:p>
    <w:p w:rsidR="00EF4587" w:rsidRPr="00076DCD" w:rsidRDefault="00EF4587" w:rsidP="00F73205">
      <w:pPr>
        <w:numPr>
          <w:ilvl w:val="0"/>
          <w:numId w:val="72"/>
        </w:numPr>
        <w:tabs>
          <w:tab w:val="left" w:pos="993"/>
          <w:tab w:val="left" w:pos="4253"/>
        </w:tabs>
        <w:spacing w:before="120" w:after="0" w:line="257" w:lineRule="auto"/>
        <w:ind w:left="4684" w:hanging="3975"/>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 xml:space="preserve">Clima                                             </w:t>
      </w:r>
      <w:r w:rsidRPr="00076DCD">
        <w:rPr>
          <w:rFonts w:ascii="Arial" w:eastAsia="Times New Roman" w:hAnsi="Arial" w:cs="Arial"/>
          <w:sz w:val="20"/>
          <w:szCs w:val="20"/>
          <w:lang w:eastAsia="es-ES"/>
        </w:rPr>
        <w:tab/>
      </w:r>
      <w:r w:rsidRPr="00076DCD">
        <w:rPr>
          <w:rFonts w:ascii="Arial" w:eastAsia="Times New Roman" w:hAnsi="Arial" w:cs="Arial"/>
          <w:sz w:val="20"/>
          <w:szCs w:val="20"/>
          <w:lang w:eastAsia="es-ES"/>
        </w:rPr>
        <w:tab/>
        <w:t>:   Típico de costa, con alto nivel de contaminación</w:t>
      </w:r>
    </w:p>
    <w:p w:rsidR="00EF4587" w:rsidRPr="00076DCD" w:rsidRDefault="00EF4587" w:rsidP="00B07EB1">
      <w:pPr>
        <w:numPr>
          <w:ilvl w:val="0"/>
          <w:numId w:val="72"/>
        </w:numPr>
        <w:tabs>
          <w:tab w:val="left" w:pos="993"/>
          <w:tab w:val="left" w:pos="4253"/>
        </w:tabs>
        <w:spacing w:after="0" w:line="257" w:lineRule="auto"/>
        <w:ind w:left="4680" w:hanging="3972"/>
        <w:jc w:val="both"/>
        <w:rPr>
          <w:rFonts w:ascii="Arial" w:eastAsia="Times New Roman" w:hAnsi="Arial" w:cs="Arial"/>
          <w:sz w:val="20"/>
          <w:szCs w:val="20"/>
          <w:lang w:eastAsia="es-ES"/>
        </w:rPr>
      </w:pPr>
      <w:r w:rsidRPr="00076DCD">
        <w:rPr>
          <w:rFonts w:ascii="Arial" w:eastAsia="Times New Roman" w:hAnsi="Arial" w:cs="Arial"/>
          <w:sz w:val="20"/>
          <w:szCs w:val="20"/>
          <w:lang w:eastAsia="es-ES"/>
        </w:rPr>
        <w:t xml:space="preserve">Altura de la instalación              </w:t>
      </w:r>
      <w:r w:rsidRPr="00076DCD">
        <w:rPr>
          <w:rFonts w:ascii="Arial" w:eastAsia="Times New Roman" w:hAnsi="Arial" w:cs="Arial"/>
          <w:sz w:val="20"/>
          <w:szCs w:val="20"/>
          <w:lang w:eastAsia="es-ES"/>
        </w:rPr>
        <w:tab/>
      </w:r>
      <w:r w:rsidRPr="00076DCD">
        <w:rPr>
          <w:rFonts w:ascii="Arial" w:eastAsia="Times New Roman" w:hAnsi="Arial" w:cs="Arial"/>
          <w:sz w:val="20"/>
          <w:szCs w:val="20"/>
          <w:lang w:eastAsia="es-ES"/>
        </w:rPr>
        <w:tab/>
        <w:t>:    menor a  1 000 msnm</w:t>
      </w:r>
    </w:p>
    <w:p w:rsidR="00EF4587" w:rsidRPr="00076DCD"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4.2.4 Ampliación de subestaciones existentes.</w:t>
      </w:r>
    </w:p>
    <w:p w:rsidR="00EF4587" w:rsidRPr="00076DCD" w:rsidRDefault="00EF4587" w:rsidP="00B07EB1">
      <w:pPr>
        <w:numPr>
          <w:ilvl w:val="0"/>
          <w:numId w:val="59"/>
        </w:numPr>
        <w:spacing w:before="120" w:after="0" w:line="257" w:lineRule="auto"/>
        <w:ind w:left="1080" w:hanging="283"/>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Será de responsabilidad de la Sociedad Concesionaria gestionar, coordinar o adquirir bajo cualquier título el derecho a usar los espacios disponibles en las subestaciones existentes, estableciendo los acuerdos respectivos con los titulares de las subestaciones, así como coordinar los requerimientos de equipamiento, estandarización, uso de instalaciones comunes y otros.</w:t>
      </w:r>
    </w:p>
    <w:p w:rsidR="00EF4587" w:rsidRPr="00076DCD" w:rsidRDefault="00EF4587" w:rsidP="00B07EB1">
      <w:pPr>
        <w:numPr>
          <w:ilvl w:val="0"/>
          <w:numId w:val="59"/>
        </w:numPr>
        <w:spacing w:before="120" w:after="0" w:line="257" w:lineRule="auto"/>
        <w:ind w:left="1080" w:hanging="283"/>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será también la responsable de adquirir los terrenos adyacentes, donde esto resulte necesario o sea requerido, y efectuar las obras de modificación y adecuación de las subestaciones.</w:t>
      </w:r>
    </w:p>
    <w:p w:rsidR="00F73205" w:rsidRDefault="00F73205">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F73205">
        <w:rPr>
          <w:rFonts w:ascii="Arial" w:eastAsia="Times New Roman" w:hAnsi="Arial" w:cs="Arial"/>
          <w:b/>
          <w:sz w:val="20"/>
          <w:szCs w:val="20"/>
          <w:lang w:val="es-ES" w:eastAsia="es-ES"/>
        </w:rPr>
        <w:lastRenderedPageBreak/>
        <w:t xml:space="preserve">4.2.5 </w:t>
      </w:r>
      <w:bookmarkStart w:id="31" w:name="_Toc348534014"/>
      <w:r w:rsidRPr="00F73205">
        <w:rPr>
          <w:rFonts w:ascii="Arial" w:eastAsia="Times New Roman" w:hAnsi="Arial" w:cs="Arial"/>
          <w:b/>
          <w:sz w:val="20"/>
          <w:szCs w:val="20"/>
          <w:lang w:val="es-ES" w:eastAsia="es-ES"/>
        </w:rPr>
        <w:t>Niveles de Tensión y aislamiento</w:t>
      </w:r>
      <w:bookmarkEnd w:id="31"/>
    </w:p>
    <w:p w:rsidR="00EF4587" w:rsidRPr="00076DCD" w:rsidRDefault="00EF4587" w:rsidP="00F73205">
      <w:pPr>
        <w:spacing w:before="120" w:after="0" w:line="257" w:lineRule="auto"/>
        <w:ind w:left="567"/>
        <w:jc w:val="both"/>
        <w:rPr>
          <w:rFonts w:ascii="Arial" w:eastAsia="Times New Roman" w:hAnsi="Arial" w:cs="Arial"/>
          <w:sz w:val="20"/>
          <w:szCs w:val="20"/>
          <w:lang w:val="es-ES_tradnl" w:eastAsia="es-ES"/>
        </w:rPr>
      </w:pPr>
      <w:r w:rsidRPr="00076DCD">
        <w:rPr>
          <w:rFonts w:ascii="Arial" w:eastAsia="Times New Roman" w:hAnsi="Arial" w:cs="Arial"/>
          <w:sz w:val="20"/>
          <w:szCs w:val="20"/>
          <w:lang w:val="es-ES_tradnl" w:eastAsia="es-ES"/>
        </w:rPr>
        <w:t>Para el caso de la Subestación La Planicie se mantendrán los niveles de tensión y aislamiento existentes, para el caso de la Subestación Industriales se mantendrán los criterios de diseño desarrollados por Luz del Sur.</w:t>
      </w:r>
    </w:p>
    <w:p w:rsidR="00EF4587" w:rsidRPr="00076DCD" w:rsidRDefault="00EF4587" w:rsidP="00F73205">
      <w:pPr>
        <w:spacing w:before="120" w:after="0" w:line="257" w:lineRule="auto"/>
        <w:ind w:left="567"/>
        <w:jc w:val="both"/>
        <w:rPr>
          <w:rFonts w:ascii="Arial" w:eastAsia="Times New Roman" w:hAnsi="Arial" w:cs="Arial"/>
          <w:color w:val="000000"/>
          <w:sz w:val="20"/>
          <w:szCs w:val="20"/>
          <w:lang w:val="es-ES" w:eastAsia="es-ES"/>
        </w:rPr>
      </w:pPr>
      <w:r w:rsidRPr="00076DCD">
        <w:rPr>
          <w:rFonts w:ascii="Arial" w:eastAsia="Times New Roman" w:hAnsi="Arial" w:cs="Arial"/>
          <w:sz w:val="20"/>
          <w:szCs w:val="20"/>
          <w:lang w:val="es-ES_tradnl" w:eastAsia="es-ES"/>
        </w:rPr>
        <w:t xml:space="preserve">Estos niveles están de acuerdo a la norma IEC 60071-1, y se ha considerado además, </w:t>
      </w:r>
      <w:r w:rsidRPr="00076DCD">
        <w:rPr>
          <w:rFonts w:ascii="Arial" w:eastAsia="Times New Roman" w:hAnsi="Arial" w:cs="Arial"/>
          <w:color w:val="000000"/>
          <w:sz w:val="20"/>
          <w:szCs w:val="20"/>
          <w:lang w:val="es-ES" w:eastAsia="es-ES"/>
        </w:rPr>
        <w:t>las altitudes sobre el nivel del mar de las instalaciones, el nivel isoceráunico, puesta a tierra del sistema eléctrico y el nivel de protección de los pararrayos.</w:t>
      </w:r>
    </w:p>
    <w:p w:rsidR="00EF4587" w:rsidRPr="00076DCD" w:rsidRDefault="00EF4587" w:rsidP="00F73205">
      <w:pPr>
        <w:tabs>
          <w:tab w:val="left" w:pos="1200"/>
        </w:tabs>
        <w:autoSpaceDE w:val="0"/>
        <w:autoSpaceDN w:val="0"/>
        <w:adjustRightInd w:val="0"/>
        <w:spacing w:before="120" w:after="0" w:line="257" w:lineRule="auto"/>
        <w:ind w:left="1077" w:hanging="238"/>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 xml:space="preserve">- </w:t>
      </w:r>
      <w:r w:rsidRPr="00076DCD">
        <w:rPr>
          <w:rFonts w:ascii="Arial" w:eastAsia="Times New Roman" w:hAnsi="Arial" w:cs="Arial"/>
          <w:color w:val="000000"/>
          <w:sz w:val="20"/>
          <w:szCs w:val="20"/>
          <w:lang w:val="es-ES" w:eastAsia="es-ES"/>
        </w:rPr>
        <w:tab/>
        <w:t>Tensión nominal del sistema</w:t>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t>:</w:t>
      </w:r>
      <w:r w:rsidRPr="00076DCD">
        <w:rPr>
          <w:rFonts w:ascii="Arial" w:eastAsia="Times New Roman" w:hAnsi="Arial" w:cs="Arial"/>
          <w:color w:val="000000"/>
          <w:sz w:val="20"/>
          <w:szCs w:val="20"/>
          <w:lang w:val="es-ES" w:eastAsia="es-ES"/>
        </w:rPr>
        <w:tab/>
        <w:t>220 kV</w:t>
      </w:r>
    </w:p>
    <w:p w:rsidR="00EF4587" w:rsidRPr="00076DCD" w:rsidRDefault="00EF4587" w:rsidP="00B07EB1">
      <w:pPr>
        <w:tabs>
          <w:tab w:val="left" w:pos="1200"/>
        </w:tabs>
        <w:autoSpaceDE w:val="0"/>
        <w:autoSpaceDN w:val="0"/>
        <w:adjustRightInd w:val="0"/>
        <w:spacing w:after="0" w:line="257" w:lineRule="auto"/>
        <w:ind w:left="1080" w:hanging="240"/>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 xml:space="preserve">- </w:t>
      </w:r>
      <w:r w:rsidRPr="00076DCD">
        <w:rPr>
          <w:rFonts w:ascii="Arial" w:eastAsia="Times New Roman" w:hAnsi="Arial" w:cs="Arial"/>
          <w:color w:val="000000"/>
          <w:sz w:val="20"/>
          <w:szCs w:val="20"/>
          <w:lang w:val="es-ES" w:eastAsia="es-ES"/>
        </w:rPr>
        <w:tab/>
        <w:t>Tensión máxima de servicio</w:t>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t>:</w:t>
      </w:r>
      <w:r w:rsidRPr="00076DCD">
        <w:rPr>
          <w:rFonts w:ascii="Arial" w:eastAsia="Times New Roman" w:hAnsi="Arial" w:cs="Arial"/>
          <w:color w:val="000000"/>
          <w:sz w:val="20"/>
          <w:szCs w:val="20"/>
          <w:lang w:val="es-ES" w:eastAsia="es-ES"/>
        </w:rPr>
        <w:tab/>
        <w:t>245 kV</w:t>
      </w:r>
    </w:p>
    <w:p w:rsidR="00EF4587" w:rsidRPr="00076DCD" w:rsidRDefault="00EF4587" w:rsidP="00B07EB1">
      <w:pPr>
        <w:tabs>
          <w:tab w:val="left" w:pos="1200"/>
        </w:tabs>
        <w:autoSpaceDE w:val="0"/>
        <w:autoSpaceDN w:val="0"/>
        <w:adjustRightInd w:val="0"/>
        <w:spacing w:after="0" w:line="257" w:lineRule="auto"/>
        <w:ind w:left="1080" w:hanging="240"/>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 xml:space="preserve">- </w:t>
      </w:r>
      <w:r w:rsidRPr="00076DCD">
        <w:rPr>
          <w:rFonts w:ascii="Arial" w:eastAsia="Times New Roman" w:hAnsi="Arial" w:cs="Arial"/>
          <w:color w:val="000000"/>
          <w:sz w:val="20"/>
          <w:szCs w:val="20"/>
          <w:lang w:val="es-ES" w:eastAsia="es-ES"/>
        </w:rPr>
        <w:tab/>
        <w:t>Tensión soportada al Impulso tipo rayo</w:t>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r>
      <w:r w:rsidRPr="00076DCD">
        <w:rPr>
          <w:rFonts w:ascii="Arial" w:eastAsia="Times New Roman" w:hAnsi="Arial" w:cs="Arial"/>
          <w:color w:val="000000"/>
          <w:sz w:val="20"/>
          <w:szCs w:val="20"/>
          <w:lang w:val="es-ES" w:eastAsia="es-ES"/>
        </w:rPr>
        <w:tab/>
        <w:t>:</w:t>
      </w:r>
      <w:r w:rsidRPr="00076DCD">
        <w:rPr>
          <w:rFonts w:ascii="Arial" w:eastAsia="Times New Roman" w:hAnsi="Arial" w:cs="Arial"/>
          <w:color w:val="000000"/>
          <w:sz w:val="20"/>
          <w:szCs w:val="20"/>
          <w:lang w:val="es-ES" w:eastAsia="es-ES"/>
        </w:rPr>
        <w:tab/>
        <w:t>1 050 kV</w:t>
      </w:r>
      <w:r w:rsidRPr="00076DCD">
        <w:rPr>
          <w:rFonts w:ascii="Arial" w:eastAsia="Times New Roman" w:hAnsi="Arial" w:cs="Arial"/>
          <w:color w:val="000000"/>
          <w:sz w:val="20"/>
          <w:szCs w:val="20"/>
          <w:vertAlign w:val="subscript"/>
          <w:lang w:val="es-ES" w:eastAsia="es-ES"/>
        </w:rPr>
        <w:t>pico</w:t>
      </w:r>
    </w:p>
    <w:p w:rsidR="00EF4587" w:rsidRPr="00076DCD" w:rsidRDefault="00EF4587" w:rsidP="00B07EB1">
      <w:pPr>
        <w:tabs>
          <w:tab w:val="left" w:pos="1200"/>
        </w:tabs>
        <w:autoSpaceDE w:val="0"/>
        <w:autoSpaceDN w:val="0"/>
        <w:adjustRightInd w:val="0"/>
        <w:spacing w:after="0" w:line="257" w:lineRule="auto"/>
        <w:ind w:left="1080" w:hanging="240"/>
        <w:rPr>
          <w:rFonts w:ascii="Arial" w:eastAsia="Times New Roman" w:hAnsi="Arial" w:cs="Arial"/>
          <w:color w:val="000000"/>
          <w:sz w:val="20"/>
          <w:szCs w:val="20"/>
          <w:lang w:val="es-ES" w:eastAsia="es-ES"/>
        </w:rPr>
      </w:pPr>
      <w:r w:rsidRPr="00076DCD">
        <w:rPr>
          <w:rFonts w:ascii="Arial" w:eastAsia="Times New Roman" w:hAnsi="Arial" w:cs="Arial"/>
          <w:color w:val="000000"/>
          <w:sz w:val="20"/>
          <w:szCs w:val="20"/>
          <w:lang w:val="es-ES" w:eastAsia="es-ES"/>
        </w:rPr>
        <w:t xml:space="preserve">- </w:t>
      </w:r>
      <w:r w:rsidRPr="00076DCD">
        <w:rPr>
          <w:rFonts w:ascii="Arial" w:eastAsia="Times New Roman" w:hAnsi="Arial" w:cs="Arial"/>
          <w:color w:val="000000"/>
          <w:sz w:val="20"/>
          <w:szCs w:val="20"/>
          <w:lang w:val="es-ES" w:eastAsia="es-ES"/>
        </w:rPr>
        <w:tab/>
        <w:t>Tensión soportada a frecuencia industrial, 60 Hz</w:t>
      </w:r>
      <w:r w:rsidRPr="00076DCD">
        <w:rPr>
          <w:rFonts w:ascii="Arial" w:eastAsia="Times New Roman" w:hAnsi="Arial" w:cs="Arial"/>
          <w:color w:val="000000"/>
          <w:sz w:val="20"/>
          <w:szCs w:val="20"/>
          <w:lang w:val="es-ES" w:eastAsia="es-ES"/>
        </w:rPr>
        <w:tab/>
        <w:t xml:space="preserve">             :</w:t>
      </w:r>
      <w:r w:rsidRPr="00076DCD">
        <w:rPr>
          <w:rFonts w:ascii="Arial" w:eastAsia="Times New Roman" w:hAnsi="Arial" w:cs="Arial"/>
          <w:color w:val="000000"/>
          <w:sz w:val="20"/>
          <w:szCs w:val="20"/>
          <w:lang w:val="es-ES" w:eastAsia="es-ES"/>
        </w:rPr>
        <w:tab/>
        <w:t>460 kV</w:t>
      </w:r>
    </w:p>
    <w:p w:rsidR="00EF4587" w:rsidRPr="00076DCD" w:rsidRDefault="00EF4587" w:rsidP="00B07EB1">
      <w:pPr>
        <w:tabs>
          <w:tab w:val="left" w:pos="1200"/>
        </w:tabs>
        <w:autoSpaceDE w:val="0"/>
        <w:autoSpaceDN w:val="0"/>
        <w:adjustRightInd w:val="0"/>
        <w:spacing w:after="0" w:line="257" w:lineRule="auto"/>
        <w:ind w:left="1080" w:hanging="240"/>
        <w:rPr>
          <w:rFonts w:ascii="Arial" w:eastAsia="Times New Roman" w:hAnsi="Arial" w:cs="Arial"/>
          <w:color w:val="000000"/>
          <w:sz w:val="20"/>
          <w:szCs w:val="20"/>
          <w:lang w:val="pt-BR" w:eastAsia="es-ES"/>
        </w:rPr>
      </w:pPr>
      <w:r w:rsidRPr="00076DCD">
        <w:rPr>
          <w:rFonts w:ascii="Arial" w:eastAsia="Times New Roman" w:hAnsi="Arial" w:cs="Arial"/>
          <w:color w:val="000000"/>
          <w:sz w:val="20"/>
          <w:szCs w:val="20"/>
          <w:lang w:val="pt-BR" w:eastAsia="es-ES"/>
        </w:rPr>
        <w:t xml:space="preserve">- </w:t>
      </w:r>
      <w:r w:rsidRPr="00076DCD">
        <w:rPr>
          <w:rFonts w:ascii="Arial" w:eastAsia="Times New Roman" w:hAnsi="Arial" w:cs="Arial"/>
          <w:color w:val="000000"/>
          <w:sz w:val="20"/>
          <w:szCs w:val="20"/>
          <w:lang w:val="pt-BR" w:eastAsia="es-ES"/>
        </w:rPr>
        <w:tab/>
        <w:t>Distancia de fuga mínima</w:t>
      </w:r>
      <w:r w:rsidRPr="00076DCD">
        <w:rPr>
          <w:rFonts w:ascii="Arial" w:eastAsia="Times New Roman" w:hAnsi="Arial" w:cs="Arial"/>
          <w:color w:val="000000"/>
          <w:sz w:val="20"/>
          <w:szCs w:val="20"/>
          <w:lang w:val="pt-BR" w:eastAsia="es-ES"/>
        </w:rPr>
        <w:tab/>
      </w:r>
      <w:r w:rsidRPr="00076DCD">
        <w:rPr>
          <w:rFonts w:ascii="Arial" w:eastAsia="Times New Roman" w:hAnsi="Arial" w:cs="Arial"/>
          <w:color w:val="000000"/>
          <w:sz w:val="20"/>
          <w:szCs w:val="20"/>
          <w:lang w:val="pt-BR" w:eastAsia="es-ES"/>
        </w:rPr>
        <w:tab/>
      </w:r>
      <w:r w:rsidRPr="00076DCD">
        <w:rPr>
          <w:rFonts w:ascii="Arial" w:eastAsia="Times New Roman" w:hAnsi="Arial" w:cs="Arial"/>
          <w:color w:val="000000"/>
          <w:sz w:val="20"/>
          <w:szCs w:val="20"/>
          <w:lang w:val="pt-BR" w:eastAsia="es-ES"/>
        </w:rPr>
        <w:tab/>
        <w:t xml:space="preserve">            </w:t>
      </w:r>
      <w:r w:rsidRPr="00076DCD">
        <w:rPr>
          <w:rFonts w:ascii="Arial" w:eastAsia="Times New Roman" w:hAnsi="Arial" w:cs="Arial"/>
          <w:color w:val="000000"/>
          <w:sz w:val="20"/>
          <w:szCs w:val="20"/>
          <w:lang w:val="pt-BR" w:eastAsia="es-ES"/>
        </w:rPr>
        <w:tab/>
      </w:r>
      <w:r w:rsidRPr="00076DCD">
        <w:rPr>
          <w:rFonts w:ascii="Arial" w:eastAsia="Times New Roman" w:hAnsi="Arial" w:cs="Arial"/>
          <w:color w:val="000000"/>
          <w:sz w:val="20"/>
          <w:szCs w:val="20"/>
          <w:lang w:val="pt-BR" w:eastAsia="es-ES"/>
        </w:rPr>
        <w:tab/>
        <w:t>:</w:t>
      </w:r>
      <w:r w:rsidRPr="00076DCD">
        <w:rPr>
          <w:rFonts w:ascii="Arial" w:eastAsia="Times New Roman" w:hAnsi="Arial" w:cs="Arial"/>
          <w:color w:val="000000"/>
          <w:sz w:val="20"/>
          <w:szCs w:val="20"/>
          <w:lang w:val="pt-BR" w:eastAsia="es-ES"/>
        </w:rPr>
        <w:tab/>
        <w:t>31 mm/kV</w:t>
      </w:r>
      <w:r w:rsidRPr="00076DCD">
        <w:rPr>
          <w:rFonts w:ascii="Arial" w:eastAsia="Times New Roman" w:hAnsi="Arial" w:cs="Arial"/>
          <w:color w:val="000000"/>
          <w:sz w:val="20"/>
          <w:szCs w:val="20"/>
          <w:vertAlign w:val="subscript"/>
          <w:lang w:val="pt-BR" w:eastAsia="es-ES"/>
        </w:rPr>
        <w:t>fase-fase</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F73205">
        <w:rPr>
          <w:rFonts w:ascii="Arial" w:eastAsia="Times New Roman" w:hAnsi="Arial" w:cs="Arial"/>
          <w:b/>
          <w:sz w:val="20"/>
          <w:szCs w:val="20"/>
          <w:lang w:val="es-ES" w:eastAsia="es-ES"/>
        </w:rPr>
        <w:t>4.2.6 Distancias de seguridad</w:t>
      </w:r>
    </w:p>
    <w:p w:rsidR="00EF4587" w:rsidRPr="00076DCD" w:rsidRDefault="00EF4587" w:rsidP="00F73205">
      <w:pPr>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mantendrán los espaciamientos utilizados en la zona del proyecto</w:t>
      </w:r>
      <w:r w:rsidRPr="00076DCD">
        <w:rPr>
          <w:rFonts w:ascii="Arial" w:eastAsia="Times New Roman" w:hAnsi="Arial" w:cs="Arial"/>
          <w:sz w:val="20"/>
          <w:szCs w:val="20"/>
          <w:lang w:eastAsia="es-ES"/>
        </w:rPr>
        <w:t>, estas distancias cumplen con lo señalado en la norma IEC 60071-2</w:t>
      </w:r>
      <w:r w:rsidRPr="00076DCD">
        <w:rPr>
          <w:rFonts w:ascii="Arial" w:eastAsia="Times New Roman" w:hAnsi="Arial" w:cs="Arial"/>
          <w:sz w:val="20"/>
          <w:szCs w:val="20"/>
          <w:lang w:val="es-ES" w:eastAsia="es-ES"/>
        </w:rPr>
        <w:t>:</w:t>
      </w:r>
    </w:p>
    <w:p w:rsidR="00EF4587" w:rsidRPr="00076DCD" w:rsidRDefault="00EF4587" w:rsidP="00B07EB1">
      <w:pPr>
        <w:spacing w:after="0" w:line="257" w:lineRule="auto"/>
        <w:jc w:val="both"/>
        <w:rPr>
          <w:rFonts w:ascii="Arial" w:eastAsia="Times New Roman" w:hAnsi="Arial" w:cs="Arial"/>
          <w:b/>
          <w:sz w:val="20"/>
          <w:szCs w:val="20"/>
          <w:lang w:val="es-ES" w:eastAsia="es-ES"/>
        </w:rPr>
      </w:pP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b/>
          <w:sz w:val="20"/>
          <w:szCs w:val="20"/>
          <w:lang w:val="es-ES" w:eastAsia="es-ES"/>
        </w:rPr>
        <w:t>220 kV</w:t>
      </w:r>
    </w:p>
    <w:p w:rsidR="00EF4587" w:rsidRPr="00076DCD" w:rsidRDefault="00EF4587" w:rsidP="00B07EB1">
      <w:pPr>
        <w:numPr>
          <w:ilvl w:val="0"/>
          <w:numId w:val="73"/>
        </w:numPr>
        <w:spacing w:after="0" w:line="257" w:lineRule="auto"/>
        <w:ind w:left="1440"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Distancia mínima entre ejes de fases</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4,00 m</w:t>
      </w:r>
    </w:p>
    <w:p w:rsidR="00EF4587" w:rsidRPr="00076DCD" w:rsidRDefault="00EF4587" w:rsidP="00B07EB1">
      <w:pPr>
        <w:numPr>
          <w:ilvl w:val="0"/>
          <w:numId w:val="73"/>
        </w:numPr>
        <w:spacing w:after="0" w:line="257" w:lineRule="auto"/>
        <w:ind w:left="1440"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Distancia mínima fase-tierra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3,00 m</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bookmarkStart w:id="32" w:name="_Toc348534015"/>
      <w:r w:rsidRPr="00F73205">
        <w:rPr>
          <w:rFonts w:ascii="Arial" w:eastAsia="Times New Roman" w:hAnsi="Arial" w:cs="Arial"/>
          <w:b/>
          <w:sz w:val="20"/>
          <w:szCs w:val="20"/>
          <w:lang w:val="es-ES" w:eastAsia="es-ES"/>
        </w:rPr>
        <w:t>4.2.7 Niveles de corriente</w:t>
      </w:r>
      <w:bookmarkEnd w:id="32"/>
    </w:p>
    <w:p w:rsidR="00EF4587" w:rsidRPr="00076DCD" w:rsidRDefault="00EF4587" w:rsidP="00F73205">
      <w:pPr>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De acuerdo a los Criterios de Diseño utilizados en la zona del proyecto, todos los equipos de maniobra (interruptores y seccionadores) a efectos de soportar los requerimientos de esfuerzos por cortocircuito y capacidad de resistencia térmica, deberán cumplir con las siguientes características:</w:t>
      </w:r>
    </w:p>
    <w:p w:rsidR="00EF4587" w:rsidRPr="00076DCD" w:rsidRDefault="00EF4587" w:rsidP="00B07EB1">
      <w:pPr>
        <w:autoSpaceDE w:val="0"/>
        <w:autoSpaceDN w:val="0"/>
        <w:adjustRightInd w:val="0"/>
        <w:spacing w:after="0" w:line="257" w:lineRule="auto"/>
        <w:ind w:left="56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Nivel de tensión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220 kV</w:t>
      </w:r>
    </w:p>
    <w:p w:rsidR="00EF4587" w:rsidRPr="00076DCD" w:rsidRDefault="00EF4587" w:rsidP="00B07EB1">
      <w:pPr>
        <w:autoSpaceDE w:val="0"/>
        <w:autoSpaceDN w:val="0"/>
        <w:adjustRightInd w:val="0"/>
        <w:spacing w:after="0" w:line="257" w:lineRule="auto"/>
        <w:ind w:left="56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Corriente nominal, no menor de</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2 000 A</w:t>
      </w:r>
    </w:p>
    <w:p w:rsidR="00EF4587" w:rsidRPr="00076DCD" w:rsidRDefault="00EF4587" w:rsidP="00B07EB1">
      <w:pPr>
        <w:autoSpaceDE w:val="0"/>
        <w:autoSpaceDN w:val="0"/>
        <w:adjustRightInd w:val="0"/>
        <w:spacing w:after="0" w:line="257" w:lineRule="auto"/>
        <w:ind w:left="56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Capacidad mínima de ruptura de </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B07EB1">
      <w:pPr>
        <w:autoSpaceDE w:val="0"/>
        <w:autoSpaceDN w:val="0"/>
        <w:adjustRightInd w:val="0"/>
        <w:spacing w:after="0" w:line="257" w:lineRule="auto"/>
        <w:ind w:left="56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Cortocircuito trifásico, 1s, simétrica</w:t>
      </w:r>
    </w:p>
    <w:p w:rsidR="00EF4587" w:rsidRPr="00076DCD" w:rsidRDefault="00EF4587" w:rsidP="00B07EB1">
      <w:pPr>
        <w:autoSpaceDE w:val="0"/>
        <w:autoSpaceDN w:val="0"/>
        <w:adjustRightInd w:val="0"/>
        <w:spacing w:after="0" w:line="257" w:lineRule="auto"/>
        <w:ind w:left="56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Subestación La Planicie</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63 kA</w:t>
      </w:r>
    </w:p>
    <w:p w:rsidR="00EF4587" w:rsidRPr="00076DCD" w:rsidRDefault="00EF4587" w:rsidP="00B07EB1">
      <w:pPr>
        <w:autoSpaceDE w:val="0"/>
        <w:autoSpaceDN w:val="0"/>
        <w:adjustRightInd w:val="0"/>
        <w:spacing w:after="0" w:line="257" w:lineRule="auto"/>
        <w:ind w:left="56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Subestación Industriales</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40 kA</w:t>
      </w:r>
    </w:p>
    <w:p w:rsidR="00EF4587" w:rsidRPr="00F73205" w:rsidRDefault="00EF4587" w:rsidP="00F73205">
      <w:pPr>
        <w:autoSpaceDE w:val="0"/>
        <w:autoSpaceDN w:val="0"/>
        <w:adjustRightInd w:val="0"/>
        <w:spacing w:before="120" w:after="0" w:line="257" w:lineRule="auto"/>
        <w:ind w:left="567"/>
        <w:jc w:val="both"/>
        <w:rPr>
          <w:rFonts w:ascii="Arial" w:eastAsia="Times New Roman" w:hAnsi="Arial" w:cs="Arial"/>
          <w:sz w:val="16"/>
          <w:szCs w:val="16"/>
          <w:lang w:val="es-ES" w:eastAsia="es-ES"/>
        </w:rPr>
      </w:pPr>
      <w:r w:rsidRPr="00F73205">
        <w:rPr>
          <w:rFonts w:ascii="Arial" w:eastAsia="Times New Roman" w:hAnsi="Arial" w:cs="Arial"/>
          <w:b/>
          <w:sz w:val="16"/>
          <w:szCs w:val="16"/>
          <w:lang w:val="es-ES" w:eastAsia="es-ES"/>
        </w:rPr>
        <w:t>NOTA:</w:t>
      </w:r>
      <w:r w:rsidRPr="00F73205">
        <w:rPr>
          <w:rFonts w:ascii="Arial" w:eastAsia="Times New Roman" w:hAnsi="Arial" w:cs="Arial"/>
          <w:sz w:val="16"/>
          <w:szCs w:val="16"/>
          <w:lang w:val="es-ES" w:eastAsia="es-ES"/>
        </w:rPr>
        <w:t xml:space="preserve"> La Subestación La Planicie cuenta con equipos con capacidad de corriente de cortocircuito de 63 kA en sus instalaciones, mientras que en el diseño de la Subestación Industriales se consideran equipos con capacidad de corriente de cortocircuito de 40 kA.</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F73205">
        <w:rPr>
          <w:rFonts w:ascii="Arial" w:eastAsia="Times New Roman" w:hAnsi="Arial" w:cs="Arial"/>
          <w:b/>
          <w:sz w:val="20"/>
          <w:szCs w:val="20"/>
          <w:lang w:val="es-ES" w:eastAsia="es-ES"/>
        </w:rPr>
        <w:t>4.2.8 Transformadores de corriente y de tensión</w:t>
      </w:r>
    </w:p>
    <w:p w:rsidR="00EF4587" w:rsidRPr="00076DCD" w:rsidRDefault="00EF4587" w:rsidP="00F73205">
      <w:pPr>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transformadores de corriente deberán tener por lo menos cuatro núcleos secundarios:</w:t>
      </w:r>
    </w:p>
    <w:p w:rsidR="00EF4587" w:rsidRPr="00076DCD" w:rsidRDefault="00EF4587" w:rsidP="00F73205">
      <w:pPr>
        <w:numPr>
          <w:ilvl w:val="0"/>
          <w:numId w:val="89"/>
        </w:numPr>
        <w:spacing w:before="120"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Tres núcleos de protección 5P20.</w:t>
      </w:r>
    </w:p>
    <w:p w:rsidR="00EF4587" w:rsidRPr="00076DCD" w:rsidRDefault="00EF4587" w:rsidP="00F73205">
      <w:pPr>
        <w:numPr>
          <w:ilvl w:val="0"/>
          <w:numId w:val="89"/>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 núcleo clase 0,2 para medición.</w:t>
      </w:r>
    </w:p>
    <w:p w:rsidR="00EF4587" w:rsidRPr="00076DCD" w:rsidRDefault="00EF4587" w:rsidP="00F73205">
      <w:pPr>
        <w:spacing w:before="120" w:after="0" w:line="257" w:lineRule="auto"/>
        <w:ind w:left="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transformadores de tensión deberán tener por lo menos tres núcleos secundarios:</w:t>
      </w:r>
    </w:p>
    <w:p w:rsidR="00EF4587" w:rsidRPr="00076DCD" w:rsidRDefault="00EF4587" w:rsidP="00F73205">
      <w:pPr>
        <w:numPr>
          <w:ilvl w:val="0"/>
          <w:numId w:val="89"/>
        </w:numPr>
        <w:spacing w:before="120"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Dos núcleos de protección 3P.</w:t>
      </w:r>
    </w:p>
    <w:p w:rsidR="00EF4587" w:rsidRPr="00076DCD" w:rsidRDefault="00EF4587" w:rsidP="00F73205">
      <w:pPr>
        <w:numPr>
          <w:ilvl w:val="0"/>
          <w:numId w:val="89"/>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 núcleo clase 0,2 para medición.</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F73205">
        <w:rPr>
          <w:rFonts w:ascii="Arial" w:eastAsia="Times New Roman" w:hAnsi="Arial" w:cs="Arial"/>
          <w:b/>
          <w:sz w:val="20"/>
          <w:szCs w:val="20"/>
          <w:lang w:val="es-ES" w:eastAsia="es-ES"/>
        </w:rPr>
        <w:t>4.2.9 Equipos de 220 kV</w:t>
      </w:r>
    </w:p>
    <w:p w:rsidR="00EF4587" w:rsidRPr="00076DCD" w:rsidRDefault="00EF4587" w:rsidP="00F73205">
      <w:pPr>
        <w:widowControl w:val="0"/>
        <w:numPr>
          <w:ilvl w:val="0"/>
          <w:numId w:val="90"/>
        </w:numPr>
        <w:tabs>
          <w:tab w:val="left" w:pos="567"/>
        </w:tabs>
        <w:autoSpaceDE w:val="0"/>
        <w:autoSpaceDN w:val="0"/>
        <w:adjustRightInd w:val="0"/>
        <w:spacing w:before="120" w:after="0" w:line="257" w:lineRule="auto"/>
        <w:ind w:right="-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Subestación La Planicie</w:t>
      </w:r>
    </w:p>
    <w:p w:rsidR="00EF4587" w:rsidRPr="00076DCD" w:rsidRDefault="00EF4587" w:rsidP="00F73205">
      <w:pPr>
        <w:widowControl w:val="0"/>
        <w:autoSpaceDE w:val="0"/>
        <w:autoSpaceDN w:val="0"/>
        <w:adjustRightInd w:val="0"/>
        <w:spacing w:before="120" w:after="0" w:line="257" w:lineRule="auto"/>
        <w:ind w:left="600" w:right="-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esta subestación, de configuración barra principal más barra auxiliar de transferencia y equipamiento convencional al exterior, los equipos recomendados para las celdas de conexión a líneas de 220 kV son los siguientes:</w:t>
      </w:r>
    </w:p>
    <w:p w:rsidR="00EF4587" w:rsidRPr="00076DCD" w:rsidRDefault="00EF4587" w:rsidP="00F73205">
      <w:pPr>
        <w:numPr>
          <w:ilvl w:val="1"/>
          <w:numId w:val="90"/>
        </w:numPr>
        <w:spacing w:before="120" w:after="0" w:line="257" w:lineRule="auto"/>
        <w:ind w:left="132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 xml:space="preserve">Seccionadores tipo semipantógrafo. </w:t>
      </w:r>
    </w:p>
    <w:p w:rsidR="00EF4587" w:rsidRPr="00076DCD" w:rsidRDefault="00EF4587" w:rsidP="00F73205">
      <w:pPr>
        <w:numPr>
          <w:ilvl w:val="1"/>
          <w:numId w:val="90"/>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Seccionador doble apertura con cuchilla de puesta a tierra.</w:t>
      </w:r>
    </w:p>
    <w:p w:rsidR="00EF4587" w:rsidRPr="00076DCD" w:rsidRDefault="00EF4587" w:rsidP="00F73205">
      <w:pPr>
        <w:numPr>
          <w:ilvl w:val="1"/>
          <w:numId w:val="90"/>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Seccionador doble apertura.</w:t>
      </w:r>
    </w:p>
    <w:p w:rsidR="00EF4587" w:rsidRPr="00076DCD" w:rsidRDefault="00EF4587" w:rsidP="00F73205">
      <w:pPr>
        <w:numPr>
          <w:ilvl w:val="1"/>
          <w:numId w:val="90"/>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Interruptor de operación uni-tripolar.</w:t>
      </w:r>
    </w:p>
    <w:p w:rsidR="00EF4587" w:rsidRPr="00076DCD" w:rsidRDefault="00EF4587" w:rsidP="00F73205">
      <w:pPr>
        <w:numPr>
          <w:ilvl w:val="1"/>
          <w:numId w:val="90"/>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Pararrayos de Óxido de Zinc con contador de descarga de Clase 4 como mínimo.</w:t>
      </w:r>
    </w:p>
    <w:p w:rsidR="00EF4587" w:rsidRPr="00076DCD" w:rsidRDefault="00EF4587" w:rsidP="00F73205">
      <w:pPr>
        <w:numPr>
          <w:ilvl w:val="1"/>
          <w:numId w:val="90"/>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Transformadores de tensión.</w:t>
      </w:r>
    </w:p>
    <w:p w:rsidR="00EF4587" w:rsidRPr="00076DCD" w:rsidRDefault="00EF4587" w:rsidP="00F73205">
      <w:pPr>
        <w:numPr>
          <w:ilvl w:val="1"/>
          <w:numId w:val="90"/>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Transformadores de corriente.</w:t>
      </w:r>
    </w:p>
    <w:p w:rsidR="00EF4587" w:rsidRPr="00076DCD" w:rsidRDefault="00EF4587" w:rsidP="00F73205">
      <w:pPr>
        <w:autoSpaceDE w:val="0"/>
        <w:autoSpaceDN w:val="0"/>
        <w:adjustRightInd w:val="0"/>
        <w:spacing w:before="120" w:after="0" w:line="257" w:lineRule="auto"/>
        <w:ind w:left="600"/>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El empleo de estos equipos deberá ser verificado por la Sociedad Concesionaria tomando en cuenta las características de los equipos instalados en la subestación existente. </w:t>
      </w:r>
    </w:p>
    <w:p w:rsidR="00EF4587" w:rsidRPr="00076DCD" w:rsidRDefault="00EF4587" w:rsidP="00F73205">
      <w:pPr>
        <w:widowControl w:val="0"/>
        <w:numPr>
          <w:ilvl w:val="0"/>
          <w:numId w:val="90"/>
        </w:numPr>
        <w:tabs>
          <w:tab w:val="left" w:pos="567"/>
        </w:tabs>
        <w:autoSpaceDE w:val="0"/>
        <w:autoSpaceDN w:val="0"/>
        <w:adjustRightInd w:val="0"/>
        <w:spacing w:before="120" w:after="0" w:line="257" w:lineRule="auto"/>
        <w:ind w:right="-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Subestación Industriales</w:t>
      </w:r>
    </w:p>
    <w:p w:rsidR="00EF4587" w:rsidRPr="00076DCD" w:rsidRDefault="00EF4587" w:rsidP="00F73205">
      <w:pPr>
        <w:widowControl w:val="0"/>
        <w:autoSpaceDE w:val="0"/>
        <w:autoSpaceDN w:val="0"/>
        <w:adjustRightInd w:val="0"/>
        <w:spacing w:before="120" w:after="0" w:line="257" w:lineRule="auto"/>
        <w:ind w:left="600" w:right="-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esta subestación que será implementada por Luz del Sur, que contará con salas de bahías de tecnología GIS en 220 kV y 60 kV al interior, en configuración doble barra y con bancos de transformadores de potencia convencionales instalados al exterior, los equipos recomendados para las celdas de conexión a líneas de 220 kV son los siguientes:</w:t>
      </w:r>
    </w:p>
    <w:p w:rsidR="00EF4587" w:rsidRPr="00076DCD" w:rsidRDefault="00EF4587" w:rsidP="00F73205">
      <w:pPr>
        <w:numPr>
          <w:ilvl w:val="0"/>
          <w:numId w:val="91"/>
        </w:numPr>
        <w:spacing w:before="120" w:after="0" w:line="257" w:lineRule="auto"/>
        <w:ind w:left="132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Seccionadores de barra.</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Interruptores similares a los previstos en las instalaciones proyectadas por Luz del Sur. </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Seccionadores de cuchilla a tierra aislada.</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Seccionador de línea con seccionador de puesta a tierra accionamiento rápido.</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Pararrayos de Óxido de Zinc con contador de descarga de Clase 4 como mínimo.</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Transformadores de corriente.</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Transformadores de tensión.</w:t>
      </w:r>
    </w:p>
    <w:p w:rsidR="00EF4587" w:rsidRPr="00076DCD" w:rsidRDefault="00EF4587" w:rsidP="00F73205">
      <w:pPr>
        <w:numPr>
          <w:ilvl w:val="0"/>
          <w:numId w:val="91"/>
        </w:numPr>
        <w:spacing w:before="60" w:after="0" w:line="257" w:lineRule="auto"/>
        <w:ind w:left="1315"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Terminales ó salidas para cables de energía.</w:t>
      </w:r>
    </w:p>
    <w:p w:rsidR="00EF4587" w:rsidRPr="00076DCD" w:rsidRDefault="00EF4587" w:rsidP="00F73205">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tipo y empleo de estos equipos deberá ser verificado por la Sociedad Concesionaria tomando en cuenta las características de los equipos que proyecta instalar Luz del Sur en esta subestación.</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F73205">
        <w:rPr>
          <w:rFonts w:ascii="Arial" w:eastAsia="Times New Roman" w:hAnsi="Arial" w:cs="Arial"/>
          <w:b/>
          <w:sz w:val="20"/>
          <w:szCs w:val="20"/>
          <w:lang w:val="es-ES" w:eastAsia="es-ES"/>
        </w:rPr>
        <w:t>4.2.10 Sistema de protección y medición</w:t>
      </w:r>
    </w:p>
    <w:p w:rsidR="00EF4587" w:rsidRPr="00076DCD" w:rsidRDefault="00EF4587" w:rsidP="00F73205">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sistema de protección y medición deberá cumplir con los requisitos mínimos correspondientes que sean establecidos en el Procedimiento Técnico COES PR-20, o el que lo sustituya,  y tendrá además  las siguientes características:</w:t>
      </w:r>
    </w:p>
    <w:p w:rsidR="00EF4587" w:rsidRPr="00076DCD" w:rsidRDefault="00EF4587" w:rsidP="00F73205">
      <w:pPr>
        <w:spacing w:before="120" w:after="0" w:line="257" w:lineRule="auto"/>
        <w:ind w:left="1276"/>
        <w:jc w:val="both"/>
        <w:rPr>
          <w:rFonts w:ascii="Arial" w:eastAsia="Times New Roman" w:hAnsi="Arial" w:cs="Arial"/>
          <w:b/>
          <w:sz w:val="20"/>
          <w:szCs w:val="20"/>
          <w:lang w:val="es-ES" w:eastAsia="es-ES"/>
        </w:rPr>
      </w:pPr>
      <w:r w:rsidRPr="00076DCD">
        <w:rPr>
          <w:rFonts w:ascii="Arial" w:eastAsia="Times New Roman" w:hAnsi="Arial" w:cs="Arial"/>
          <w:b/>
          <w:sz w:val="20"/>
          <w:szCs w:val="20"/>
          <w:u w:val="single"/>
          <w:lang w:val="es-ES" w:eastAsia="es-ES"/>
        </w:rPr>
        <w:t>Protección primaria</w:t>
      </w:r>
      <w:r w:rsidRPr="00076DCD">
        <w:rPr>
          <w:rFonts w:ascii="Arial" w:eastAsia="Times New Roman" w:hAnsi="Arial" w:cs="Arial"/>
          <w:b/>
          <w:sz w:val="20"/>
          <w:szCs w:val="20"/>
          <w:lang w:val="es-ES" w:eastAsia="es-ES"/>
        </w:rPr>
        <w:t>:</w:t>
      </w:r>
    </w:p>
    <w:p w:rsidR="00EF4587" w:rsidRPr="00076DCD" w:rsidRDefault="00EF4587" w:rsidP="00F73205">
      <w:pPr>
        <w:spacing w:before="120" w:after="0" w:line="257" w:lineRule="auto"/>
        <w:ind w:left="1276"/>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Contará con la función diferencial y de distancia de línea, la cual permitirá detectar las fallas trifásica, bifásica, bifásica a tierra y monofásica a tierra. Estas protecciones deberán operar coordinadamente con las opciones de recierre de la línea. Para que el sistema opere correctamente se hace necesario que en ambos extremos de la línea se instalen relés idénticos y con la misma configuración; además se requerirá que el sistema de comunicaciones por fibra óptica permita la coordinación de la apertura y recierre de los interruptores uni- tripolares en ambos extremos de la línea. El relé diferencial deberá tener una actuación, de preferencia, instantánea.</w:t>
      </w:r>
    </w:p>
    <w:p w:rsidR="00EF4587" w:rsidRPr="00076DCD" w:rsidRDefault="00EF4587" w:rsidP="00F73205">
      <w:pPr>
        <w:spacing w:before="120" w:after="0" w:line="257" w:lineRule="auto"/>
        <w:ind w:left="1276"/>
        <w:jc w:val="both"/>
        <w:rPr>
          <w:rFonts w:ascii="Arial" w:eastAsia="Times New Roman" w:hAnsi="Arial" w:cs="Arial"/>
          <w:b/>
          <w:sz w:val="20"/>
          <w:szCs w:val="20"/>
          <w:lang w:val="es-ES" w:eastAsia="es-ES"/>
        </w:rPr>
      </w:pPr>
      <w:r w:rsidRPr="00076DCD">
        <w:rPr>
          <w:rFonts w:ascii="Arial" w:eastAsia="Times New Roman" w:hAnsi="Arial" w:cs="Arial"/>
          <w:b/>
          <w:sz w:val="20"/>
          <w:szCs w:val="20"/>
          <w:u w:val="single"/>
          <w:lang w:val="es-ES" w:eastAsia="es-ES"/>
        </w:rPr>
        <w:t>Protección secundaria</w:t>
      </w:r>
      <w:r w:rsidRPr="00076DCD">
        <w:rPr>
          <w:rFonts w:ascii="Arial" w:eastAsia="Times New Roman" w:hAnsi="Arial" w:cs="Arial"/>
          <w:b/>
          <w:sz w:val="20"/>
          <w:szCs w:val="20"/>
          <w:lang w:val="es-ES" w:eastAsia="es-ES"/>
        </w:rPr>
        <w:t>:</w:t>
      </w:r>
    </w:p>
    <w:p w:rsidR="00EF4587" w:rsidRPr="00076DCD" w:rsidRDefault="00EF4587" w:rsidP="00F73205">
      <w:pPr>
        <w:spacing w:before="120" w:after="0" w:line="257" w:lineRule="auto"/>
        <w:ind w:left="1276"/>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segunda instancia de protección serán las funciones de sobrecorriente de fase y tierra y direccionales de fase y tierra. Además se debe contar con funciones de protección de sobretensión y subtensión y desbalance de carga, frecuencia, entre otras complementarias. El tiempo de actuación de estas protecciones será definido por la Sociedad Concesionaria.</w:t>
      </w:r>
    </w:p>
    <w:p w:rsidR="00EF4587" w:rsidRPr="00076DCD" w:rsidRDefault="00EF4587" w:rsidP="00F73205">
      <w:pPr>
        <w:spacing w:before="120" w:after="0" w:line="257" w:lineRule="auto"/>
        <w:ind w:left="1276"/>
        <w:jc w:val="both"/>
        <w:rPr>
          <w:rFonts w:ascii="Arial" w:eastAsia="Times New Roman" w:hAnsi="Arial" w:cs="Arial"/>
          <w:b/>
          <w:sz w:val="20"/>
          <w:szCs w:val="20"/>
          <w:lang w:val="es-ES" w:eastAsia="es-ES"/>
        </w:rPr>
      </w:pPr>
      <w:r w:rsidRPr="00076DCD">
        <w:rPr>
          <w:rFonts w:ascii="Arial" w:eastAsia="Times New Roman" w:hAnsi="Arial" w:cs="Arial"/>
          <w:b/>
          <w:sz w:val="20"/>
          <w:szCs w:val="20"/>
          <w:u w:val="single"/>
          <w:lang w:val="es-ES" w:eastAsia="es-ES"/>
        </w:rPr>
        <w:lastRenderedPageBreak/>
        <w:t>Medición</w:t>
      </w:r>
      <w:r w:rsidRPr="00076DCD">
        <w:rPr>
          <w:rFonts w:ascii="Arial" w:eastAsia="Times New Roman" w:hAnsi="Arial" w:cs="Arial"/>
          <w:b/>
          <w:sz w:val="20"/>
          <w:szCs w:val="20"/>
          <w:lang w:val="es-ES" w:eastAsia="es-ES"/>
        </w:rPr>
        <w:t>:</w:t>
      </w:r>
    </w:p>
    <w:p w:rsidR="00EF4587" w:rsidRPr="00076DCD" w:rsidRDefault="00EF4587" w:rsidP="00F73205">
      <w:pPr>
        <w:spacing w:before="120" w:after="0" w:line="257" w:lineRule="auto"/>
        <w:ind w:left="1276"/>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cada bahía en 220 kV se considera la implementación de un medidor electrónico multifunción clase 0,2 para facturación, que permita medir todos los parámetros de la red y con memoria masiva para almacenar la información. La capacidad de memoria de los medidores será definida por la Sociedad Concesionaria. Asimismo se incluirá un registrador de fallas con memoria masiva, que permita registrar los transitorios pre y post falla y su almacenamiento para análisis.</w:t>
      </w:r>
    </w:p>
    <w:p w:rsidR="00EF4587" w:rsidRPr="00076DCD" w:rsidRDefault="00EF4587" w:rsidP="00F73205">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detalles de operación de los equipos serán definidos por la Sociedad Concesionaria de acuerdo con lo establecido en el Procedimiento Técnico COES PR-20 y las características de las instalaciones existentes, o las proyectadas en el caso de la S.E. Industriales.</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 xml:space="preserve">4.2.11 </w:t>
      </w:r>
      <w:r w:rsidRPr="00F73205">
        <w:rPr>
          <w:rFonts w:ascii="Arial" w:eastAsia="Times New Roman" w:hAnsi="Arial" w:cs="Arial"/>
          <w:b/>
          <w:sz w:val="20"/>
          <w:szCs w:val="20"/>
          <w:lang w:val="es-ES" w:eastAsia="es-ES"/>
        </w:rPr>
        <w:t>Sistema de automatización y control</w:t>
      </w:r>
    </w:p>
    <w:p w:rsidR="00EF4587" w:rsidRPr="00076DCD" w:rsidRDefault="00EF4587" w:rsidP="00F73205">
      <w:pPr>
        <w:spacing w:before="120" w:after="0" w:line="257" w:lineRule="auto"/>
        <w:ind w:left="1080" w:hanging="48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w:t>
      </w:r>
      <w:r w:rsidRPr="00076DCD">
        <w:rPr>
          <w:rFonts w:ascii="Arial" w:eastAsia="Times New Roman" w:hAnsi="Arial" w:cs="Arial"/>
          <w:sz w:val="20"/>
          <w:szCs w:val="20"/>
          <w:lang w:val="es-ES" w:eastAsia="es-ES"/>
        </w:rPr>
        <w:tab/>
        <w:t>El sistema de control  deberá cumplir con los requisitos mínimos de equipamiento de sistemas de automatización y control definidos Procedimiento Técnico COES PR-20. Este sistema estará conformado por:</w:t>
      </w:r>
    </w:p>
    <w:p w:rsidR="00EF4587" w:rsidRPr="00076DCD" w:rsidRDefault="00EF4587" w:rsidP="00F73205">
      <w:pPr>
        <w:tabs>
          <w:tab w:val="left" w:pos="1800"/>
        </w:tabs>
        <w:spacing w:before="120" w:after="0" w:line="257" w:lineRule="auto"/>
        <w:ind w:left="1560" w:hanging="284"/>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a.1)</w:t>
      </w:r>
      <w:r w:rsidRPr="00076DCD">
        <w:rPr>
          <w:rFonts w:ascii="Arial" w:eastAsia="Times New Roman" w:hAnsi="Arial" w:cs="Arial"/>
          <w:b/>
          <w:bCs/>
          <w:sz w:val="20"/>
          <w:szCs w:val="20"/>
          <w:lang w:val="es-MX" w:eastAsia="es-ES"/>
        </w:rPr>
        <w:tab/>
        <w:t>Subestación La Planicie</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Dos tableros de control, protección y medición de líneas 220 kV</w:t>
      </w:r>
    </w:p>
    <w:p w:rsidR="00EF4587" w:rsidRPr="00076DCD" w:rsidRDefault="00EF4587" w:rsidP="00F73205">
      <w:pPr>
        <w:numPr>
          <w:ilvl w:val="0"/>
          <w:numId w:val="78"/>
        </w:numPr>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 tablero de equipos registradores de falla.</w:t>
      </w:r>
    </w:p>
    <w:p w:rsidR="00EF4587" w:rsidRPr="00076DCD" w:rsidRDefault="00EF4587" w:rsidP="00F73205">
      <w:pPr>
        <w:tabs>
          <w:tab w:val="left" w:pos="1800"/>
        </w:tabs>
        <w:spacing w:before="120" w:after="0" w:line="257" w:lineRule="auto"/>
        <w:ind w:left="1560" w:hanging="284"/>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a.2)</w:t>
      </w:r>
      <w:r w:rsidRPr="00076DCD">
        <w:rPr>
          <w:rFonts w:ascii="Arial" w:eastAsia="Times New Roman" w:hAnsi="Arial" w:cs="Arial"/>
          <w:b/>
          <w:bCs/>
          <w:sz w:val="20"/>
          <w:szCs w:val="20"/>
          <w:lang w:val="es-MX" w:eastAsia="es-ES"/>
        </w:rPr>
        <w:tab/>
        <w:t>Subestación Industriales</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Dos tableros de control, protección y medición de líneas 220 kV</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Un tablero de equipos registradores de falla.</w:t>
      </w:r>
    </w:p>
    <w:p w:rsidR="00EF4587" w:rsidRPr="00076DCD" w:rsidRDefault="00EF4587" w:rsidP="00F73205">
      <w:pPr>
        <w:spacing w:before="120" w:after="0" w:line="257" w:lineRule="auto"/>
        <w:ind w:left="1080" w:hanging="48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b)</w:t>
      </w:r>
      <w:r w:rsidRPr="00076DCD">
        <w:rPr>
          <w:rFonts w:ascii="Arial" w:eastAsia="Times New Roman" w:hAnsi="Arial" w:cs="Arial"/>
          <w:sz w:val="20"/>
          <w:szCs w:val="20"/>
          <w:lang w:val="es-ES" w:eastAsia="es-ES"/>
        </w:rPr>
        <w:tab/>
        <w:t>Los niveles de operación y control serán los siguientes:</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Nivel 0: Local manual sobre cada uno de los equipos.</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Nivel 1: Automático desde la caseta de la unidad de bahía (para la S.E. La Planicie).</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Nivel 2: Automático desde la Sala de Control de la Subestación.</w:t>
      </w:r>
    </w:p>
    <w:p w:rsidR="00EF4587" w:rsidRPr="00076DCD" w:rsidRDefault="00EF4587" w:rsidP="00F73205">
      <w:pPr>
        <w:numPr>
          <w:ilvl w:val="0"/>
          <w:numId w:val="78"/>
        </w:numPr>
        <w:tabs>
          <w:tab w:val="left" w:pos="993"/>
        </w:tabs>
        <w:spacing w:before="60" w:after="0" w:line="257" w:lineRule="auto"/>
        <w:ind w:left="1276"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Nivel 3: Automático desde el Centro de Control.</w:t>
      </w:r>
    </w:p>
    <w:p w:rsidR="00EF4587" w:rsidRPr="00076DCD" w:rsidRDefault="00EF4587" w:rsidP="00F73205">
      <w:pPr>
        <w:spacing w:before="120" w:after="0" w:line="257" w:lineRule="auto"/>
        <w:ind w:left="108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el caso de la Subestación Industriales (por ser una subestación GIS), el nivel 1 se encontrará al interior de la sala de celdas GIS 220 kV.</w:t>
      </w:r>
    </w:p>
    <w:p w:rsidR="00EF4587" w:rsidRPr="00076DCD" w:rsidRDefault="00EF4587" w:rsidP="00F73205">
      <w:pPr>
        <w:spacing w:before="120" w:after="0" w:line="257" w:lineRule="auto"/>
        <w:ind w:left="1080" w:hanging="48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w:t>
      </w:r>
      <w:r w:rsidRPr="00076DCD">
        <w:rPr>
          <w:rFonts w:ascii="Arial" w:eastAsia="Times New Roman" w:hAnsi="Arial" w:cs="Arial"/>
          <w:sz w:val="20"/>
          <w:szCs w:val="20"/>
          <w:lang w:val="es-ES" w:eastAsia="es-ES"/>
        </w:rPr>
        <w:tab/>
        <w:t>En lo que corresponda, el sistema deberá cumplir con lo establecido en la Norma Técnica para la Coordinación de la Operación en Tiempo Real de los Sistemas Interconectados, aprobada mediante Resolución Directoral Nº 014-2005-EM/DGE.</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r w:rsidRPr="00F73205">
        <w:rPr>
          <w:rFonts w:ascii="Arial" w:eastAsia="Times New Roman" w:hAnsi="Arial" w:cs="Arial"/>
          <w:b/>
          <w:sz w:val="20"/>
          <w:szCs w:val="20"/>
          <w:lang w:val="es-ES" w:eastAsia="es-ES"/>
        </w:rPr>
        <w:t>4.2.12 Telecomunicaciones</w:t>
      </w:r>
    </w:p>
    <w:p w:rsidR="00EF4587" w:rsidRPr="00076DCD" w:rsidRDefault="00EF4587" w:rsidP="00F73205">
      <w:pPr>
        <w:autoSpaceDE w:val="0"/>
        <w:autoSpaceDN w:val="0"/>
        <w:adjustRightInd w:val="0"/>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deberá contar con un sistema de telecomunicaciones principal (fibra óptica – OPGW) y respaldo por otros medios, mediante los cuales se conformará una red portadora de topología en anillo para garantizar los niveles de confiabilidad y disponibilidad requeridos.</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bookmarkStart w:id="33" w:name="_Toc348534027"/>
      <w:r w:rsidRPr="00F73205">
        <w:rPr>
          <w:rFonts w:ascii="Arial" w:eastAsia="Times New Roman" w:hAnsi="Arial" w:cs="Arial"/>
          <w:b/>
          <w:sz w:val="20"/>
          <w:szCs w:val="20"/>
          <w:lang w:val="es-ES" w:eastAsia="es-ES"/>
        </w:rPr>
        <w:t>4.2.13 Sistema de servicios auxiliares</w:t>
      </w:r>
      <w:bookmarkEnd w:id="33"/>
    </w:p>
    <w:p w:rsidR="00EF4587" w:rsidRPr="00076DCD" w:rsidRDefault="00EF4587" w:rsidP="00F73205">
      <w:pPr>
        <w:numPr>
          <w:ilvl w:val="0"/>
          <w:numId w:val="92"/>
        </w:numPr>
        <w:tabs>
          <w:tab w:val="num" w:pos="1080"/>
        </w:tabs>
        <w:autoSpaceDE w:val="0"/>
        <w:autoSpaceDN w:val="0"/>
        <w:adjustRightInd w:val="0"/>
        <w:spacing w:before="60" w:after="0" w:line="257" w:lineRule="auto"/>
        <w:ind w:left="1080" w:hanging="37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Para la Subestación La Planicie, los servicios auxiliares serán tomados del tablero de distribución de Servicios Auxiliares a instalarse en la caseta de campo proyectada. </w:t>
      </w:r>
    </w:p>
    <w:p w:rsidR="00EF4587" w:rsidRPr="00076DCD" w:rsidRDefault="00EF4587" w:rsidP="00F73205">
      <w:pPr>
        <w:numPr>
          <w:ilvl w:val="0"/>
          <w:numId w:val="92"/>
        </w:numPr>
        <w:tabs>
          <w:tab w:val="num" w:pos="1080"/>
        </w:tabs>
        <w:autoSpaceDE w:val="0"/>
        <w:autoSpaceDN w:val="0"/>
        <w:adjustRightInd w:val="0"/>
        <w:spacing w:before="60" w:after="0" w:line="257" w:lineRule="auto"/>
        <w:ind w:left="1080" w:hanging="37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la subestación Industriales los servicios auxiliares se tomarán de los tableros de Servicios Auxiliares proyectados, para lo cual se implementarán interruptores en AC y DC.</w:t>
      </w:r>
    </w:p>
    <w:p w:rsidR="00EF4587" w:rsidRPr="00076DCD" w:rsidRDefault="00EF4587" w:rsidP="00F73205">
      <w:pPr>
        <w:numPr>
          <w:ilvl w:val="0"/>
          <w:numId w:val="92"/>
        </w:numPr>
        <w:tabs>
          <w:tab w:val="num" w:pos="1080"/>
        </w:tabs>
        <w:autoSpaceDE w:val="0"/>
        <w:autoSpaceDN w:val="0"/>
        <w:adjustRightInd w:val="0"/>
        <w:spacing w:before="60" w:after="0" w:line="257" w:lineRule="auto"/>
        <w:ind w:left="1080" w:hanging="37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Los servicios auxiliares en corriente alterna y en corriente continua deberán ser compatibles con el sistema existente en  la S.E. La Planicie y el proyectado en la S.E. Industriales. </w:t>
      </w:r>
    </w:p>
    <w:p w:rsidR="00EF4587" w:rsidRPr="00076DCD" w:rsidRDefault="00EF4587" w:rsidP="00F73205">
      <w:pPr>
        <w:numPr>
          <w:ilvl w:val="0"/>
          <w:numId w:val="92"/>
        </w:numPr>
        <w:tabs>
          <w:tab w:val="num" w:pos="1080"/>
        </w:tabs>
        <w:autoSpaceDE w:val="0"/>
        <w:autoSpaceDN w:val="0"/>
        <w:adjustRightInd w:val="0"/>
        <w:spacing w:before="60" w:after="0" w:line="257" w:lineRule="auto"/>
        <w:ind w:left="1080" w:hanging="37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En el caso de instalaciones nuevas los valores recomendados son los siguientes: </w:t>
      </w:r>
    </w:p>
    <w:p w:rsidR="00EF4587" w:rsidRPr="00076DCD" w:rsidRDefault="00EF4587" w:rsidP="00F73205">
      <w:pPr>
        <w:numPr>
          <w:ilvl w:val="1"/>
          <w:numId w:val="92"/>
        </w:numPr>
        <w:tabs>
          <w:tab w:val="clear" w:pos="2149"/>
          <w:tab w:val="num" w:pos="1843"/>
        </w:tabs>
        <w:autoSpaceDE w:val="0"/>
        <w:autoSpaceDN w:val="0"/>
        <w:adjustRightInd w:val="0"/>
        <w:spacing w:before="60" w:after="0" w:line="257" w:lineRule="auto"/>
        <w:ind w:left="1843" w:hanging="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Los niveles de tensión recomendados en corriente alterna son 380-220 voltios, 4 conductores, neutro corrido.</w:t>
      </w:r>
    </w:p>
    <w:p w:rsidR="00EF4587" w:rsidRPr="00076DCD" w:rsidRDefault="00EF4587" w:rsidP="00F73205">
      <w:pPr>
        <w:numPr>
          <w:ilvl w:val="1"/>
          <w:numId w:val="92"/>
        </w:numPr>
        <w:tabs>
          <w:tab w:val="clear" w:pos="2149"/>
          <w:tab w:val="num" w:pos="1843"/>
        </w:tabs>
        <w:autoSpaceDE w:val="0"/>
        <w:autoSpaceDN w:val="0"/>
        <w:adjustRightInd w:val="0"/>
        <w:spacing w:before="60" w:after="0" w:line="257" w:lineRule="auto"/>
        <w:ind w:left="1843" w:hanging="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nivel de tensión recomendado en corriente continua es 125 Vcc, para atender los servicios de  control y mando.</w:t>
      </w:r>
    </w:p>
    <w:p w:rsidR="00EF4587" w:rsidRPr="00076DCD" w:rsidRDefault="00EF4587" w:rsidP="00F73205">
      <w:pPr>
        <w:numPr>
          <w:ilvl w:val="1"/>
          <w:numId w:val="92"/>
        </w:numPr>
        <w:tabs>
          <w:tab w:val="clear" w:pos="2149"/>
          <w:tab w:val="num" w:pos="1843"/>
        </w:tabs>
        <w:autoSpaceDE w:val="0"/>
        <w:autoSpaceDN w:val="0"/>
        <w:adjustRightInd w:val="0"/>
        <w:spacing w:before="60" w:after="0" w:line="257" w:lineRule="auto"/>
        <w:ind w:left="1843" w:hanging="56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nivel de tensión recomendado para el servicio de telecomunicaciones es de 48 Vcc.</w:t>
      </w:r>
    </w:p>
    <w:p w:rsidR="00EF4587" w:rsidRPr="00F73205" w:rsidRDefault="00EF4587" w:rsidP="00F73205">
      <w:pPr>
        <w:tabs>
          <w:tab w:val="left" w:pos="284"/>
        </w:tabs>
        <w:spacing w:before="120" w:after="0" w:line="257" w:lineRule="auto"/>
        <w:jc w:val="both"/>
        <w:rPr>
          <w:rFonts w:ascii="Arial" w:eastAsia="Times New Roman" w:hAnsi="Arial" w:cs="Arial"/>
          <w:b/>
          <w:sz w:val="20"/>
          <w:szCs w:val="20"/>
          <w:lang w:val="es-ES" w:eastAsia="es-ES"/>
        </w:rPr>
      </w:pPr>
      <w:bookmarkStart w:id="34" w:name="_Toc348534016"/>
      <w:r w:rsidRPr="00F73205">
        <w:rPr>
          <w:rFonts w:ascii="Arial" w:eastAsia="Times New Roman" w:hAnsi="Arial" w:cs="Arial"/>
          <w:b/>
          <w:sz w:val="20"/>
          <w:szCs w:val="20"/>
          <w:lang w:val="es-ES" w:eastAsia="es-ES"/>
        </w:rPr>
        <w:t>4.2.14 Malla de tierra</w:t>
      </w:r>
      <w:bookmarkEnd w:id="34"/>
    </w:p>
    <w:p w:rsidR="00EF4587" w:rsidRPr="00076DCD" w:rsidRDefault="00EF4587" w:rsidP="00F73205">
      <w:pPr>
        <w:numPr>
          <w:ilvl w:val="0"/>
          <w:numId w:val="93"/>
        </w:numPr>
        <w:spacing w:before="60" w:after="0" w:line="257" w:lineRule="auto"/>
        <w:ind w:left="1077"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Las subestaciones La Planicie e Industriales cuentan con malla de tierra profunda. </w:t>
      </w:r>
    </w:p>
    <w:p w:rsidR="00EF4587" w:rsidRPr="00076DCD" w:rsidRDefault="00EF4587" w:rsidP="00F73205">
      <w:pPr>
        <w:numPr>
          <w:ilvl w:val="0"/>
          <w:numId w:val="93"/>
        </w:numPr>
        <w:spacing w:before="60" w:after="0" w:line="257" w:lineRule="auto"/>
        <w:ind w:left="1077"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Como parte de la ampliación de las subestaciones se considera solo la red de tierra superficial.</w:t>
      </w:r>
    </w:p>
    <w:p w:rsidR="00EF4587" w:rsidRPr="00076DCD" w:rsidRDefault="00EF4587" w:rsidP="00F73205">
      <w:pPr>
        <w:numPr>
          <w:ilvl w:val="0"/>
          <w:numId w:val="93"/>
        </w:numPr>
        <w:spacing w:before="60" w:after="0" w:line="257" w:lineRule="auto"/>
        <w:ind w:left="1077"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No obstante lo señalado, es responsabilidad de la Sociedad Concesionaria verificar que el sistema de mallla a tierra permitirá la descarga segura de las sobretensiones que ocurran en el sistema, sin que los equipos instalados sean afectados y garantizando que las tensiones de toque y paso, así como los potenciales transferidos, cumplan con lo señalado en el CNE Suministro y en el CNE Utilización y, de ser el caso, efectuará las modificaciones que considere pertinentes, de acuerdo con los criterios de diseño señalados en la norma IEEE Guide for Safety in AC Substation Grounding (IEEE - Std. 80 2000).</w:t>
      </w:r>
    </w:p>
    <w:p w:rsidR="00EF4587" w:rsidRPr="00076DCD" w:rsidRDefault="00EF4587" w:rsidP="00F73205">
      <w:pPr>
        <w:numPr>
          <w:ilvl w:val="0"/>
          <w:numId w:val="93"/>
        </w:numPr>
        <w:spacing w:before="60" w:after="0" w:line="257" w:lineRule="auto"/>
        <w:ind w:left="1077"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elementos sin tensión de todos los equipos se conectarán a la malla de tierra.</w:t>
      </w:r>
    </w:p>
    <w:p w:rsidR="00EF4587" w:rsidRPr="00076DCD" w:rsidRDefault="00EF4587" w:rsidP="00F73205">
      <w:pPr>
        <w:numPr>
          <w:ilvl w:val="0"/>
          <w:numId w:val="93"/>
        </w:numPr>
        <w:spacing w:before="60" w:after="0" w:line="257" w:lineRule="auto"/>
        <w:ind w:left="1077"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Todos los pararrayos serán también conectados a electrodos de tierra individuales.</w:t>
      </w:r>
    </w:p>
    <w:p w:rsidR="00EF4587" w:rsidRPr="00076DCD" w:rsidRDefault="00EF4587" w:rsidP="00F73205">
      <w:pPr>
        <w:widowControl w:val="0"/>
        <w:tabs>
          <w:tab w:val="left" w:pos="284"/>
          <w:tab w:val="left" w:pos="567"/>
        </w:tabs>
        <w:autoSpaceDE w:val="0"/>
        <w:autoSpaceDN w:val="0"/>
        <w:adjustRightInd w:val="0"/>
        <w:spacing w:before="360" w:after="240" w:line="257" w:lineRule="auto"/>
        <w:ind w:right="11"/>
        <w:jc w:val="both"/>
        <w:rPr>
          <w:rFonts w:ascii="Arial" w:eastAsia="Times New Roman" w:hAnsi="Arial" w:cs="Arial"/>
          <w:b/>
          <w:bCs/>
          <w:lang w:val="es-ES" w:eastAsia="es-ES"/>
        </w:rPr>
      </w:pPr>
      <w:r w:rsidRPr="00076DCD">
        <w:rPr>
          <w:rFonts w:ascii="Arial" w:eastAsia="Times New Roman" w:hAnsi="Arial" w:cs="Arial"/>
          <w:b/>
          <w:bCs/>
          <w:lang w:val="es-ES" w:eastAsia="es-ES"/>
        </w:rPr>
        <w:t>5.  ESPECIFICACIONES TECNICAS GENERALES</w:t>
      </w:r>
    </w:p>
    <w:p w:rsidR="00EF4587" w:rsidRPr="00076DCD" w:rsidRDefault="00EF4587" w:rsidP="00B07EB1">
      <w:pPr>
        <w:spacing w:after="0" w:line="257" w:lineRule="auto"/>
        <w:ind w:left="284"/>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Las obras del proyecto deberán cumplir como mínimo con los requerimientos del CNE Suministro y con las especificaciones técnicas que se describen en la presente sección. Sin embargo, el Concedente podrá aceptar modificaciones a estas especificaciones, cuando sean solicitadas o propuestas por la Sociedad Concesionaria con el debido sustento.</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5.1</w:t>
      </w:r>
      <w:r w:rsidRPr="00CB71E1">
        <w:rPr>
          <w:rFonts w:ascii="Arial" w:eastAsia="Times New Roman" w:hAnsi="Arial" w:cs="Arial"/>
          <w:b/>
          <w:sz w:val="20"/>
          <w:szCs w:val="20"/>
          <w:lang w:val="es-ES" w:eastAsia="es-ES"/>
        </w:rPr>
        <w:tab/>
        <w:t>SUMINISTROS PARA LA LÍNEA DE TRANSMISIÓN</w:t>
      </w: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5.1.1</w:t>
      </w:r>
      <w:r w:rsidRPr="00590BBA">
        <w:rPr>
          <w:rFonts w:ascii="Arial" w:eastAsia="Times New Roman" w:hAnsi="Arial" w:cs="Arial"/>
          <w:b/>
          <w:sz w:val="20"/>
          <w:szCs w:val="20"/>
          <w:lang w:val="es-ES" w:eastAsia="es-ES"/>
        </w:rPr>
        <w:tab/>
        <w:t>Estructuras de la línea</w:t>
      </w:r>
      <w:bookmarkStart w:id="35" w:name="_Toc348533963"/>
      <w:r w:rsidRPr="00590BBA">
        <w:rPr>
          <w:rFonts w:ascii="Arial" w:eastAsia="Times New Roman" w:hAnsi="Arial" w:cs="Arial"/>
          <w:b/>
          <w:sz w:val="20"/>
          <w:szCs w:val="20"/>
          <w:lang w:val="es-ES" w:eastAsia="es-ES"/>
        </w:rPr>
        <w:t xml:space="preserve"> aérea</w:t>
      </w:r>
    </w:p>
    <w:p w:rsidR="00EF4587" w:rsidRPr="00076DCD" w:rsidRDefault="00EF4587" w:rsidP="00F73205">
      <w:pPr>
        <w:spacing w:before="120" w:after="0" w:line="257" w:lineRule="auto"/>
        <w:ind w:left="567"/>
        <w:jc w:val="both"/>
        <w:rPr>
          <w:rFonts w:ascii="Arial" w:eastAsia="Times New Roman" w:hAnsi="Arial" w:cs="Arial"/>
          <w:b/>
          <w:bCs/>
          <w:sz w:val="20"/>
          <w:szCs w:val="20"/>
          <w:u w:val="single"/>
          <w:lang w:val="es-ES" w:eastAsia="es-ES"/>
        </w:rPr>
      </w:pPr>
      <w:r w:rsidRPr="00076DCD">
        <w:rPr>
          <w:rFonts w:ascii="Arial" w:eastAsia="Times New Roman" w:hAnsi="Arial" w:cs="Arial"/>
          <w:b/>
          <w:bCs/>
          <w:sz w:val="20"/>
          <w:szCs w:val="20"/>
          <w:lang w:val="es-ES" w:eastAsia="es-ES"/>
        </w:rPr>
        <w:t>5.1.1.1  Alcance</w:t>
      </w:r>
      <w:bookmarkEnd w:id="35"/>
    </w:p>
    <w:p w:rsidR="00EF4587" w:rsidRPr="00076DCD" w:rsidRDefault="00EF4587" w:rsidP="00F73205">
      <w:pPr>
        <w:shd w:val="clear" w:color="auto" w:fill="FFFFFF"/>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establecen los requerimientos técnicos para el suministro de las estructuras de tipo autosoportado de la línea (torres de celosía), incluyendo el suministro de las fundaciones   tipo parrilla y tipo “stub”.</w:t>
      </w:r>
    </w:p>
    <w:p w:rsidR="00EF4587" w:rsidRPr="00076DCD" w:rsidRDefault="00EF4587" w:rsidP="00F73205">
      <w:pPr>
        <w:spacing w:before="120" w:after="0" w:line="257" w:lineRule="auto"/>
        <w:ind w:left="567"/>
        <w:jc w:val="both"/>
        <w:rPr>
          <w:rFonts w:ascii="Arial" w:eastAsia="Calibri" w:hAnsi="Arial" w:cs="Arial"/>
          <w:b/>
          <w:bCs/>
          <w:sz w:val="20"/>
          <w:szCs w:val="20"/>
          <w:lang w:val="es-ES" w:eastAsia="es-ES"/>
        </w:rPr>
      </w:pPr>
      <w:r w:rsidRPr="00076DCD">
        <w:rPr>
          <w:rFonts w:ascii="Arial" w:eastAsia="Calibri" w:hAnsi="Arial" w:cs="Arial"/>
          <w:b/>
          <w:bCs/>
          <w:sz w:val="20"/>
          <w:szCs w:val="20"/>
          <w:lang w:val="es-ES" w:eastAsia="es-ES"/>
        </w:rPr>
        <w:t xml:space="preserve">5.1.1.2 </w:t>
      </w:r>
      <w:bookmarkStart w:id="36" w:name="_Toc348533964"/>
      <w:r w:rsidRPr="00076DCD">
        <w:rPr>
          <w:rFonts w:ascii="Arial" w:eastAsia="Calibri" w:hAnsi="Arial" w:cs="Arial"/>
          <w:b/>
          <w:bCs/>
          <w:sz w:val="20"/>
          <w:szCs w:val="20"/>
          <w:lang w:val="es-ES" w:eastAsia="es-ES"/>
        </w:rPr>
        <w:t>Normas</w:t>
      </w:r>
      <w:bookmarkEnd w:id="36"/>
    </w:p>
    <w:p w:rsidR="00EF4587" w:rsidRPr="00076DCD" w:rsidRDefault="00EF4587" w:rsidP="00F73205">
      <w:pPr>
        <w:shd w:val="clear" w:color="auto" w:fill="FFFFFF"/>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inspección, pruebas, embalaje, transporte y entrega se utilizarán, sin ser limitativas, las versiones vigentes de las siguientes normas: CNE Suministro 2011, ASTM A 36, ASTM A572, ASTM A6, ASTM A394, ANSI B18.21.1,  ANSI B18.2.1, ANSI B.18.2.2, ASTM A123, ASTM A153, ASTM B201, ASCE 10-97, IEC 60652.</w:t>
      </w:r>
    </w:p>
    <w:p w:rsidR="00EF4587" w:rsidRPr="00076DCD" w:rsidRDefault="00EF4587" w:rsidP="00F73205">
      <w:pPr>
        <w:shd w:val="clear" w:color="auto" w:fill="FFFFFF"/>
        <w:spacing w:before="120" w:after="0" w:line="257" w:lineRule="auto"/>
        <w:ind w:left="1320" w:hanging="753"/>
        <w:jc w:val="both"/>
        <w:rPr>
          <w:rFonts w:ascii="Arial" w:eastAsia="Times New Roman" w:hAnsi="Arial" w:cs="Arial"/>
          <w:b/>
          <w:bCs/>
          <w:sz w:val="20"/>
          <w:szCs w:val="20"/>
          <w:lang w:val="es-ES" w:eastAsia="es-ES"/>
        </w:rPr>
      </w:pPr>
      <w:bookmarkStart w:id="37" w:name="_Toc348533965"/>
      <w:r w:rsidRPr="00076DCD">
        <w:rPr>
          <w:rFonts w:ascii="Arial" w:eastAsia="Times New Roman" w:hAnsi="Arial" w:cs="Arial"/>
          <w:b/>
          <w:bCs/>
          <w:sz w:val="20"/>
          <w:szCs w:val="20"/>
          <w:lang w:val="es-ES" w:eastAsia="es-ES"/>
        </w:rPr>
        <w:t>5.1.1.3</w:t>
      </w:r>
      <w:r w:rsidRPr="00076DCD">
        <w:rPr>
          <w:rFonts w:ascii="Arial" w:eastAsia="Times New Roman" w:hAnsi="Arial" w:cs="Arial"/>
          <w:b/>
          <w:bCs/>
          <w:sz w:val="20"/>
          <w:szCs w:val="20"/>
          <w:lang w:val="es-ES" w:eastAsia="es-ES"/>
        </w:rPr>
        <w:tab/>
        <w:t>Características Principales</w:t>
      </w:r>
      <w:bookmarkEnd w:id="37"/>
    </w:p>
    <w:p w:rsidR="00EF4587" w:rsidRPr="00076DCD" w:rsidRDefault="00EF4587" w:rsidP="00F73205">
      <w:pPr>
        <w:shd w:val="clear" w:color="auto" w:fill="FFFFFF"/>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Las estructuras serán diseñadas para las configuración doble circuito llevarán dos conductores por fase y un (01) cable de guarda del tipo OPGW. </w:t>
      </w:r>
    </w:p>
    <w:p w:rsidR="00F73205" w:rsidRDefault="00F73205">
      <w:p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br w:type="page"/>
      </w:r>
    </w:p>
    <w:p w:rsidR="00EF4587" w:rsidRPr="00076DCD" w:rsidRDefault="00EF4587" w:rsidP="00F73205">
      <w:pPr>
        <w:shd w:val="clear" w:color="auto" w:fill="FFFFFF"/>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lastRenderedPageBreak/>
        <w:t xml:space="preserve">Para las hipótesis de cálculo y los grados de construcción deberán ceñirse a lo indicado en el CNE Suministro vigente, y en normas o documentos técnicos especializados aplicables para el diseño, fabricación y pruebas, como la ASCE 10-97, “Design of Latticed Steel Transmission Structures”, la ASCE Nº 72 “Design of Steel Transmission Pole Structures”,   y la ASCE Nº 74 “Guidelines for Electrical Trasmission Line Structural Loading”. </w:t>
      </w:r>
    </w:p>
    <w:p w:rsidR="00EF4587" w:rsidRPr="00076DCD" w:rsidRDefault="00EF4587" w:rsidP="00F73205">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 xml:space="preserve">Para las estructuras metálicas de celosía se utilizarán perfiles angulares de lados iguales y           placas de acero estructural o acero de alta resistencia, fabricados según las normas ASTM A-36 y ASTM A572 respectivamente, o normas internacionales equivalentes que aseguren una calidad de fabricación igual o superior. </w:t>
      </w:r>
    </w:p>
    <w:p w:rsidR="00EF4587" w:rsidRPr="00076DCD" w:rsidRDefault="00EF4587" w:rsidP="00F73205">
      <w:pPr>
        <w:spacing w:before="120" w:after="12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espesores mínimos permitidos para perfiles y placas serán los que se indican a continuación:</w:t>
      </w:r>
    </w:p>
    <w:p w:rsidR="00EF4587" w:rsidRPr="00076DCD" w:rsidRDefault="00EF4587" w:rsidP="00B07EB1">
      <w:pPr>
        <w:numPr>
          <w:ilvl w:val="0"/>
          <w:numId w:val="94"/>
        </w:numPr>
        <w:spacing w:after="0" w:line="257" w:lineRule="auto"/>
        <w:ind w:left="2760" w:hanging="96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Montantes y crucetas:</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60x60x6 mm</w:t>
      </w:r>
    </w:p>
    <w:p w:rsidR="00EF4587" w:rsidRPr="00076DCD" w:rsidRDefault="00EF4587" w:rsidP="00B07EB1">
      <w:pPr>
        <w:numPr>
          <w:ilvl w:val="0"/>
          <w:numId w:val="94"/>
        </w:numPr>
        <w:spacing w:after="0" w:line="257" w:lineRule="auto"/>
        <w:ind w:left="2760" w:hanging="96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Otros elementos:</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40x40x4 mm</w:t>
      </w:r>
    </w:p>
    <w:p w:rsidR="00EF4587" w:rsidRPr="00076DCD" w:rsidRDefault="00EF4587" w:rsidP="00B07EB1">
      <w:pPr>
        <w:numPr>
          <w:ilvl w:val="0"/>
          <w:numId w:val="94"/>
        </w:numPr>
        <w:spacing w:after="0" w:line="257" w:lineRule="auto"/>
        <w:ind w:left="2760" w:hanging="96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Espesor mínimo de placas:</w:t>
      </w:r>
      <w:r w:rsidRPr="00076DCD">
        <w:rPr>
          <w:rFonts w:ascii="Arial" w:eastAsia="Times New Roman" w:hAnsi="Arial" w:cs="Arial"/>
          <w:bCs/>
          <w:sz w:val="20"/>
          <w:szCs w:val="20"/>
          <w:lang w:val="es-ES" w:eastAsia="es-ES"/>
        </w:rPr>
        <w:tab/>
        <w:t>6 mm</w:t>
      </w:r>
    </w:p>
    <w:p w:rsidR="00EF4587" w:rsidRPr="00076DCD" w:rsidRDefault="00EF4587" w:rsidP="00F73205">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Todos los elementos constitutivos de las estructuras serán galvanizados en caliente, de acuerdo a las Normas ASTM A123 y ASTM A153, en tanto que los pernos cumplirán con las especificaciones de la norma ASTM A394.</w:t>
      </w:r>
    </w:p>
    <w:p w:rsidR="00EF4587" w:rsidRPr="00076DCD" w:rsidRDefault="00EF4587" w:rsidP="00F73205">
      <w:pPr>
        <w:spacing w:before="120" w:after="0" w:line="257" w:lineRule="auto"/>
        <w:ind w:left="600" w:hanging="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El espesor mínimo de la capa de zinc depositada en el material no deberá ser inferior a 600 gr/m2. En zonas con alta corrosión se utilizarán estructuras extragalvanizadas.</w:t>
      </w:r>
    </w:p>
    <w:p w:rsidR="00EF4587" w:rsidRPr="00076DCD" w:rsidRDefault="00EF4587" w:rsidP="00F73205">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En el caso que se encontraran perfiles o piezas con formación de “moho blanco” durante el             envío o en el almacenamiento en el sitio, OSINERGMIN o el Concedente, tendrá la facultad de:</w:t>
      </w:r>
    </w:p>
    <w:p w:rsidR="00EF4587" w:rsidRPr="00076DCD" w:rsidRDefault="00EF4587" w:rsidP="00F73205">
      <w:pPr>
        <w:numPr>
          <w:ilvl w:val="0"/>
          <w:numId w:val="87"/>
        </w:numPr>
        <w:spacing w:before="120" w:after="0" w:line="257" w:lineRule="auto"/>
        <w:ind w:left="1320" w:hanging="4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Aprobar un sistema de limpieza y pintura protectora, de probada calidad, a aplicarse en el  terreno.</w:t>
      </w:r>
    </w:p>
    <w:p w:rsidR="00EF4587" w:rsidRPr="00076DCD" w:rsidRDefault="00EF4587" w:rsidP="00F73205">
      <w:pPr>
        <w:numPr>
          <w:ilvl w:val="0"/>
          <w:numId w:val="87"/>
        </w:numPr>
        <w:spacing w:before="120" w:after="0" w:line="257" w:lineRule="auto"/>
        <w:ind w:left="1320" w:hanging="4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Ordenar inmediatamente la prohibición del empleo de las partes afectadas, y que todos los futuros embarques reciban un tratamiento especial mediante pulverización a baño de los elementos individuales, antes del despacho</w:t>
      </w:r>
    </w:p>
    <w:p w:rsidR="00EF4587" w:rsidRPr="00076DCD" w:rsidRDefault="00EF4587" w:rsidP="00FE1F22">
      <w:pPr>
        <w:spacing w:before="120" w:after="0" w:line="257" w:lineRule="auto"/>
        <w:ind w:left="600" w:hanging="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Las estructuras de celosía serán diseñadas para soportar las cargas previstas en las hipótesis de cálculo sin que fallen, experimenten distorsiones permanentes o excedan las limitaciones de deflexión permitidas. Se preverán elementos para el escalamiento, para la puesta a tierra y otros que se requieran según las condiciones ambientales del área donde serán instalados.</w:t>
      </w:r>
    </w:p>
    <w:p w:rsidR="00EF4587" w:rsidRPr="00076DCD" w:rsidRDefault="00EF4587" w:rsidP="00FE1F22">
      <w:pPr>
        <w:tabs>
          <w:tab w:val="left" w:pos="567"/>
          <w:tab w:val="left" w:pos="709"/>
        </w:tabs>
        <w:spacing w:before="120" w:after="0" w:line="257" w:lineRule="auto"/>
        <w:ind w:left="567"/>
        <w:jc w:val="both"/>
        <w:rPr>
          <w:rFonts w:ascii="Arial" w:eastAsia="Times New Roman" w:hAnsi="Arial" w:cs="Arial"/>
          <w:b/>
          <w:sz w:val="20"/>
          <w:szCs w:val="20"/>
          <w:u w:val="single"/>
          <w:lang w:val="es-ES" w:eastAsia="es-ES"/>
        </w:rPr>
      </w:pPr>
      <w:r w:rsidRPr="00076DCD">
        <w:rPr>
          <w:rFonts w:ascii="Arial" w:eastAsia="Times New Roman" w:hAnsi="Arial" w:cs="Arial"/>
          <w:b/>
          <w:bCs/>
          <w:sz w:val="20"/>
          <w:szCs w:val="20"/>
          <w:lang w:val="es-ES" w:eastAsia="es-ES"/>
        </w:rPr>
        <w:t>5.1.1.3</w:t>
      </w:r>
      <w:r w:rsidRPr="00076DCD">
        <w:rPr>
          <w:rFonts w:ascii="Arial" w:eastAsia="Times New Roman" w:hAnsi="Arial" w:cs="Arial"/>
          <w:b/>
          <w:sz w:val="20"/>
          <w:szCs w:val="20"/>
          <w:lang w:val="es-ES" w:eastAsia="es-ES"/>
        </w:rPr>
        <w:t xml:space="preserve"> Accesorios</w:t>
      </w:r>
    </w:p>
    <w:p w:rsidR="00EF4587" w:rsidRPr="00076DCD" w:rsidRDefault="00EF4587" w:rsidP="00FE1F22">
      <w:pPr>
        <w:spacing w:before="120" w:after="0" w:line="257" w:lineRule="auto"/>
        <w:ind w:left="601" w:hanging="34"/>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Cada soporte será completado con los accesorios siguientes:</w:t>
      </w:r>
    </w:p>
    <w:p w:rsidR="00EF4587" w:rsidRPr="00076DCD" w:rsidRDefault="00EF4587" w:rsidP="00FE1F22">
      <w:pPr>
        <w:numPr>
          <w:ilvl w:val="0"/>
          <w:numId w:val="80"/>
        </w:numPr>
        <w:spacing w:before="120" w:after="0" w:line="257" w:lineRule="auto"/>
        <w:ind w:left="1134" w:hanging="283"/>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Pernos de escalamiento ubicados a 5 m del nivel del suelo.</w:t>
      </w:r>
    </w:p>
    <w:p w:rsidR="00EF4587" w:rsidRPr="00076DCD" w:rsidRDefault="00EF4587" w:rsidP="00FE1F22">
      <w:pPr>
        <w:numPr>
          <w:ilvl w:val="0"/>
          <w:numId w:val="80"/>
        </w:numPr>
        <w:spacing w:before="120" w:after="0" w:line="257" w:lineRule="auto"/>
        <w:ind w:left="1134" w:hanging="283"/>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Dispositivos antiescalamiento.</w:t>
      </w:r>
    </w:p>
    <w:p w:rsidR="00EF4587" w:rsidRPr="00076DCD" w:rsidRDefault="00EF4587" w:rsidP="00FE1F22">
      <w:pPr>
        <w:numPr>
          <w:ilvl w:val="0"/>
          <w:numId w:val="80"/>
        </w:numPr>
        <w:spacing w:before="120" w:after="0" w:line="257" w:lineRule="auto"/>
        <w:ind w:left="1134" w:hanging="283"/>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Placas de indicación del número de la torre, de alta tensión y peligro, nombre de la línea, la disposición de fases y el código de la línea. </w:t>
      </w:r>
    </w:p>
    <w:p w:rsidR="00EF4587" w:rsidRPr="00076DCD" w:rsidRDefault="00EF4587" w:rsidP="00FE1F22">
      <w:pPr>
        <w:numPr>
          <w:ilvl w:val="0"/>
          <w:numId w:val="80"/>
        </w:numPr>
        <w:spacing w:before="120" w:after="0" w:line="257" w:lineRule="auto"/>
        <w:ind w:left="1134" w:hanging="283"/>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Todas las placas serán de aluminio anodizado.</w:t>
      </w:r>
    </w:p>
    <w:p w:rsidR="00EF4587" w:rsidRPr="00076DCD" w:rsidRDefault="00EF4587" w:rsidP="00FE1F22">
      <w:pPr>
        <w:numPr>
          <w:ilvl w:val="0"/>
          <w:numId w:val="80"/>
        </w:numPr>
        <w:spacing w:before="120" w:after="0" w:line="257" w:lineRule="auto"/>
        <w:ind w:left="1134" w:hanging="283"/>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Estribos del tipo y dimensiones adecuadas para la conexión de las cadenas  de aisladores de suspensión y de anclaje.</w:t>
      </w:r>
    </w:p>
    <w:p w:rsidR="00FE1F22" w:rsidRDefault="00FE1F22">
      <w:pP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br w:type="page"/>
      </w:r>
    </w:p>
    <w:p w:rsidR="00EF4587" w:rsidRPr="00076DCD"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lastRenderedPageBreak/>
        <w:t xml:space="preserve">5.1.2 </w:t>
      </w:r>
      <w:r w:rsidRPr="00590BBA">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Conductores de fase de la línea aérea</w:t>
      </w:r>
    </w:p>
    <w:p w:rsidR="00EF4587" w:rsidRPr="00076DCD" w:rsidRDefault="00EF4587" w:rsidP="00FE1F22">
      <w:pPr>
        <w:spacing w:before="120"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5.1.2.1</w:t>
      </w:r>
      <w:r w:rsidRPr="00076DCD">
        <w:rPr>
          <w:rFonts w:ascii="Arial" w:eastAsia="Times New Roman" w:hAnsi="Arial" w:cs="Arial"/>
          <w:b/>
          <w:sz w:val="20"/>
          <w:szCs w:val="20"/>
          <w:lang w:val="es-ES" w:eastAsia="es-ES"/>
        </w:rPr>
        <w:tab/>
        <w:t xml:space="preserve"> Alcance </w:t>
      </w:r>
    </w:p>
    <w:p w:rsidR="00EF4587" w:rsidRPr="00076DCD" w:rsidRDefault="00EF4587" w:rsidP="00FE1F22">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establecen las características técnicas para el suministro de  conductores para el tramo aéreo de la línea de transmisión, los cuales serán seleccionados de acuerdo con la configuración y características técnicas especificadas en los apartados 1 y 2 del presente anexo.</w:t>
      </w:r>
    </w:p>
    <w:p w:rsidR="00EF4587" w:rsidRPr="00076DCD" w:rsidRDefault="00EF4587" w:rsidP="00FE1F22">
      <w:pPr>
        <w:spacing w:before="120"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5.1.2.2</w:t>
      </w:r>
      <w:r w:rsidRPr="00076DCD">
        <w:rPr>
          <w:rFonts w:ascii="Arial" w:eastAsia="Times New Roman" w:hAnsi="Arial" w:cs="Arial"/>
          <w:b/>
          <w:sz w:val="20"/>
          <w:szCs w:val="20"/>
          <w:lang w:val="es-ES" w:eastAsia="es-ES"/>
        </w:rPr>
        <w:tab/>
        <w:t xml:space="preserve"> Normas</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los conductores (de acuerdo con su tipo) se utilizarán, sin ser limitativas, las versiones vigentes de las siguiente normas: CNE Suministro 2011, ASTM B398/B398M, ASTM B399/B399M, ASTM B524/524M, ASTM B-230/B230M, ASTM B232/B232M, ASTM B-498/B498M, ASTM B-500/B500M, ASTM B401, ASTM B-233-97, IEC 1597.</w:t>
      </w:r>
    </w:p>
    <w:p w:rsidR="00EF4587" w:rsidRPr="00076DCD" w:rsidRDefault="00EF4587" w:rsidP="00FE1F22">
      <w:pPr>
        <w:spacing w:before="120" w:after="0" w:line="257" w:lineRule="auto"/>
        <w:ind w:left="600"/>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5.1.2.3</w:t>
      </w:r>
      <w:r w:rsidRPr="00076DCD">
        <w:rPr>
          <w:rFonts w:ascii="Arial" w:eastAsia="Times New Roman" w:hAnsi="Arial" w:cs="Arial"/>
          <w:b/>
          <w:bCs/>
          <w:sz w:val="20"/>
          <w:szCs w:val="20"/>
          <w:lang w:val="es-ES" w:eastAsia="es-ES"/>
        </w:rPr>
        <w:tab/>
        <w:t>Características de los conductores de fase</w:t>
      </w:r>
    </w:p>
    <w:p w:rsidR="00EF4587" w:rsidRPr="00076DCD" w:rsidRDefault="00EF4587" w:rsidP="00FE1F22">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Sociedad Concesionaria seleccionará el tipo de conductor aéreo que garantice el cumplimiento de los requerimientos técnicos establecidos en los apartados 1 y 2 del presente anexo a lo largo de toda la vida útil de la línea. Para este fin podrá evaluar los conductores tipo ACAR ó AAAC, según la capacidad de transporte, el número de conductores por fase,  las cargas mecánicas de diseño, la longitud de los vanos y las condiciones climáticas propias de las distintas áreas que atraviesa la línea de transmisión, de tal manera que la alternativa seleccionada constituya la mejor opción final de construcción, y no supere el límite de pérdidas máximas por efecto Joule definidas como parte de los requerimiento técnicos de la línea.</w:t>
      </w: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5.1.3  Cable de guarda OPGW</w:t>
      </w:r>
    </w:p>
    <w:p w:rsidR="00EF4587" w:rsidRPr="00076DCD" w:rsidRDefault="00EF4587" w:rsidP="00FE1F22">
      <w:pPr>
        <w:spacing w:before="120"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5.1.3.1</w:t>
      </w:r>
      <w:r w:rsidRPr="00076DCD">
        <w:rPr>
          <w:rFonts w:ascii="Arial" w:eastAsia="Times New Roman" w:hAnsi="Arial" w:cs="Arial"/>
          <w:b/>
          <w:sz w:val="20"/>
          <w:szCs w:val="20"/>
          <w:lang w:val="es-ES" w:eastAsia="es-ES"/>
        </w:rPr>
        <w:tab/>
        <w:t xml:space="preserve">Alcance </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establecen los requerimientos técnicos mínimos para el suministro del cable OPGW (Optical Power Ground Wire), con el fin de asegurar que el mismo funcione satisfactoriamente como un transmisor óptico de instalación aérea, durante toda la vida útil de la línea de transmisión.</w:t>
      </w:r>
    </w:p>
    <w:p w:rsidR="00EF4587" w:rsidRPr="00076DCD" w:rsidRDefault="00EF4587" w:rsidP="00FE1F22">
      <w:pPr>
        <w:spacing w:before="120" w:after="0" w:line="257" w:lineRule="auto"/>
        <w:ind w:left="1440" w:hanging="873"/>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5.1.3.2</w:t>
      </w:r>
      <w:r w:rsidRPr="00076DCD">
        <w:rPr>
          <w:rFonts w:ascii="Arial" w:eastAsia="Times New Roman" w:hAnsi="Arial" w:cs="Arial"/>
          <w:b/>
          <w:sz w:val="20"/>
          <w:szCs w:val="20"/>
          <w:lang w:val="es-ES" w:eastAsia="es-ES"/>
        </w:rPr>
        <w:tab/>
        <w:t>Constitución básica</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El cable OPGW para está compuesto por fibras ópticas para telecomunicaciones,  contenidas en una o varias unidades ópticas dieléctricas, protegidas por un revestimiento metálico de aluminio, a su vez cubierto por una capa o varias capas de hilos metálicos cableados en  camadas concéntricas.</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El cable debe poseer las características eléctricas y mecánicas requeridas para el diseño de las líneas de transmisión y debe garantizar que las fibras ópticas no sufran esfuerzos durante la vida útil del cable. </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EF4587" w:rsidRPr="00076DCD" w:rsidRDefault="00EF4587" w:rsidP="00FE1F22">
      <w:pPr>
        <w:spacing w:before="120" w:after="0" w:line="257" w:lineRule="auto"/>
        <w:ind w:firstLine="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5.1.3.3</w:t>
      </w:r>
      <w:r w:rsidRPr="00076DCD">
        <w:rPr>
          <w:rFonts w:ascii="Arial" w:eastAsia="Times New Roman" w:hAnsi="Arial" w:cs="Arial"/>
          <w:b/>
          <w:sz w:val="20"/>
          <w:szCs w:val="20"/>
          <w:lang w:val="es-ES" w:eastAsia="es-ES"/>
        </w:rPr>
        <w:tab/>
        <w:t>Fibras ópticas</w:t>
      </w:r>
    </w:p>
    <w:p w:rsidR="00EF4587" w:rsidRPr="00076DCD" w:rsidRDefault="00EF4587" w:rsidP="00FE1F22">
      <w:pPr>
        <w:spacing w:before="120" w:after="0" w:line="257" w:lineRule="auto"/>
        <w:ind w:left="709" w:hanging="142"/>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fibra óptica debe cumplir con las características siguientes:</w:t>
      </w:r>
    </w:p>
    <w:p w:rsidR="00EF4587" w:rsidRPr="00076DCD" w:rsidRDefault="00FE1F22" w:rsidP="00FE1F22">
      <w:pPr>
        <w:spacing w:before="120" w:after="0" w:line="257" w:lineRule="auto"/>
        <w:ind w:left="1440" w:hanging="589"/>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lastRenderedPageBreak/>
        <w:t xml:space="preserve">a)  </w:t>
      </w:r>
      <w:r w:rsidR="00EF4587" w:rsidRPr="00076DCD">
        <w:rPr>
          <w:rFonts w:ascii="Arial" w:eastAsia="Times New Roman" w:hAnsi="Arial" w:cs="Arial"/>
          <w:b/>
          <w:bCs/>
          <w:sz w:val="20"/>
          <w:szCs w:val="20"/>
          <w:lang w:val="es-ES" w:eastAsia="es-ES"/>
        </w:rPr>
        <w:t>Cable Completo</w:t>
      </w:r>
    </w:p>
    <w:p w:rsidR="00EF4587" w:rsidRPr="00076DCD" w:rsidRDefault="00EF4587" w:rsidP="00B07EB1">
      <w:pPr>
        <w:spacing w:before="60" w:after="0" w:line="257" w:lineRule="auto"/>
        <w:ind w:left="1247"/>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Características Generales</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Tipo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OPGW</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Regulaciones de Fabricación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ITU-T G.652</w:t>
      </w:r>
    </w:p>
    <w:p w:rsidR="00EF4587" w:rsidRPr="00076DCD" w:rsidRDefault="00EF4587" w:rsidP="00B07EB1">
      <w:pPr>
        <w:spacing w:before="60" w:after="0" w:line="257" w:lineRule="auto"/>
        <w:ind w:left="1247"/>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Características de Dimensión</w:t>
      </w:r>
    </w:p>
    <w:p w:rsidR="00EF4587" w:rsidRPr="00076DCD" w:rsidRDefault="00EF4587" w:rsidP="00B07EB1">
      <w:pPr>
        <w:numPr>
          <w:ilvl w:val="0"/>
          <w:numId w:val="68"/>
        </w:numPr>
        <w:spacing w:before="60" w:after="0" w:line="257" w:lineRule="auto"/>
        <w:ind w:left="1531" w:hanging="284"/>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Diámetro nominal del cable</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14,70 mm (*)</w:t>
      </w:r>
    </w:p>
    <w:p w:rsidR="00EF4587" w:rsidRPr="00076DCD" w:rsidRDefault="00EF4587" w:rsidP="00B07EB1">
      <w:pPr>
        <w:numPr>
          <w:ilvl w:val="0"/>
          <w:numId w:val="68"/>
        </w:numPr>
        <w:spacing w:before="60" w:after="0" w:line="257" w:lineRule="auto"/>
        <w:ind w:left="1531" w:hanging="284"/>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Aproximación total de la sección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106 mm2 (*)</w:t>
      </w:r>
    </w:p>
    <w:p w:rsidR="00EF4587" w:rsidRPr="00076DCD" w:rsidRDefault="00EF4587" w:rsidP="00B07EB1">
      <w:pPr>
        <w:spacing w:before="60" w:after="0" w:line="257" w:lineRule="auto"/>
        <w:ind w:left="1247"/>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Características mecánicas</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Peso aproximado del cable</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457 kg/km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Carga de rotura mínima a la tracción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6 370 kgf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Módulo de elasticidad (E)</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11 500 – 12 700 kg/mm2</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Coeficiente de expansión térmica lineal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14x10</w:t>
      </w:r>
      <w:r w:rsidRPr="00076DCD">
        <w:rPr>
          <w:rFonts w:ascii="Arial" w:eastAsia="Times New Roman" w:hAnsi="Arial" w:cs="Arial"/>
          <w:bCs/>
          <w:sz w:val="20"/>
          <w:szCs w:val="20"/>
          <w:vertAlign w:val="superscript"/>
          <w:lang w:val="es-ES" w:eastAsia="es-ES"/>
        </w:rPr>
        <w:t>-6</w:t>
      </w:r>
      <w:r w:rsidRPr="00076DCD">
        <w:rPr>
          <w:rFonts w:ascii="Arial" w:eastAsia="Times New Roman" w:hAnsi="Arial" w:cs="Arial"/>
          <w:bCs/>
          <w:sz w:val="20"/>
          <w:szCs w:val="20"/>
          <w:lang w:val="es-ES" w:eastAsia="es-ES"/>
        </w:rPr>
        <w:t xml:space="preserve"> - 16x10</w:t>
      </w:r>
      <w:r w:rsidRPr="00076DCD">
        <w:rPr>
          <w:rFonts w:ascii="Arial" w:eastAsia="Times New Roman" w:hAnsi="Arial" w:cs="Arial"/>
          <w:bCs/>
          <w:sz w:val="20"/>
          <w:szCs w:val="20"/>
          <w:vertAlign w:val="superscript"/>
          <w:lang w:val="es-ES" w:eastAsia="es-ES"/>
        </w:rPr>
        <w:t>-6</w:t>
      </w:r>
      <w:r w:rsidRPr="00076DCD">
        <w:rPr>
          <w:rFonts w:ascii="Arial" w:eastAsia="Times New Roman" w:hAnsi="Arial" w:cs="Arial"/>
          <w:bCs/>
          <w:sz w:val="20"/>
          <w:szCs w:val="20"/>
          <w:lang w:val="es-ES" w:eastAsia="es-ES"/>
        </w:rPr>
        <w:t xml:space="preserve"> 1/°C</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Radio de curvatura mínimo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≤12 Mn (*)</w:t>
      </w:r>
    </w:p>
    <w:p w:rsidR="00EF4587" w:rsidRPr="00076DCD" w:rsidRDefault="00EF4587" w:rsidP="00B07EB1">
      <w:pPr>
        <w:spacing w:before="60" w:after="0" w:line="257" w:lineRule="auto"/>
        <w:ind w:left="1247"/>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Características térmicas y eléctricas</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Resistencia eléctrica 20°C</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0,37 Ohm/km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Capacidad de corriente de cortocircuito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60 kA²s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Temperatura máxima del cable</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210 °C (*)</w:t>
      </w:r>
    </w:p>
    <w:p w:rsidR="00EF4587" w:rsidRPr="00076DCD" w:rsidRDefault="00EF4587" w:rsidP="00B07EB1">
      <w:pPr>
        <w:spacing w:before="60" w:after="0" w:line="257" w:lineRule="auto"/>
        <w:ind w:left="1247"/>
        <w:jc w:val="both"/>
        <w:rPr>
          <w:rFonts w:ascii="Arial" w:eastAsia="Times New Roman" w:hAnsi="Arial" w:cs="Arial"/>
          <w:bCs/>
          <w:sz w:val="20"/>
          <w:szCs w:val="20"/>
          <w:lang w:val="es-ES" w:eastAsia="es-ES"/>
        </w:rPr>
      </w:pPr>
    </w:p>
    <w:p w:rsidR="00EF4587" w:rsidRPr="00076DCD" w:rsidRDefault="00EF4587" w:rsidP="00B07EB1">
      <w:pPr>
        <w:spacing w:before="60" w:after="0" w:line="257" w:lineRule="auto"/>
        <w:ind w:left="851"/>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b) Tubo De Protección</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Material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Aluminio</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Construcción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Extruido</w:t>
      </w:r>
    </w:p>
    <w:p w:rsidR="00EF4587" w:rsidRPr="00076DCD" w:rsidRDefault="00EF4587" w:rsidP="00B07EB1">
      <w:pPr>
        <w:spacing w:before="60" w:after="0" w:line="257" w:lineRule="auto"/>
        <w:ind w:left="1247"/>
        <w:jc w:val="both"/>
        <w:rPr>
          <w:rFonts w:ascii="Arial" w:eastAsia="Times New Roman" w:hAnsi="Arial" w:cs="Arial"/>
          <w:bCs/>
          <w:sz w:val="20"/>
          <w:szCs w:val="20"/>
          <w:lang w:val="es-ES" w:eastAsia="es-ES"/>
        </w:rPr>
      </w:pPr>
    </w:p>
    <w:p w:rsidR="00EF4587" w:rsidRPr="00076DCD" w:rsidRDefault="00EF4587" w:rsidP="00B07EB1">
      <w:pPr>
        <w:spacing w:before="60" w:after="0" w:line="257" w:lineRule="auto"/>
        <w:ind w:left="851"/>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c) Núcleo Óptico</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Número de unidades ópticas</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Número de fibras por unidad óptica</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24</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Construcción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Holgado</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Llenado de tubo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Gel antihumedad</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Barrera térmica</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             Incorporada</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Protección mecánica</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Incorporada</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Máxima temperatura soportable por</w:t>
      </w:r>
    </w:p>
    <w:p w:rsidR="00EF4587" w:rsidRPr="00076DCD" w:rsidRDefault="00EF4587" w:rsidP="00B07EB1">
      <w:pPr>
        <w:spacing w:before="60" w:after="0" w:line="257" w:lineRule="auto"/>
        <w:ind w:left="144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fibra y sus recubrimientos</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140 °C</w:t>
      </w:r>
    </w:p>
    <w:p w:rsidR="00EF4587" w:rsidRPr="00076DCD" w:rsidRDefault="00EF4587" w:rsidP="00B07EB1">
      <w:pPr>
        <w:spacing w:before="60" w:after="0" w:line="257" w:lineRule="auto"/>
        <w:ind w:left="1440"/>
        <w:jc w:val="both"/>
        <w:rPr>
          <w:rFonts w:ascii="Arial" w:eastAsia="Times New Roman" w:hAnsi="Arial" w:cs="Arial"/>
          <w:bCs/>
          <w:sz w:val="20"/>
          <w:szCs w:val="20"/>
          <w:lang w:val="es-ES" w:eastAsia="es-ES"/>
        </w:rPr>
      </w:pPr>
    </w:p>
    <w:p w:rsidR="00EF4587" w:rsidRPr="00076DCD" w:rsidRDefault="00EF4587" w:rsidP="00B07EB1">
      <w:pPr>
        <w:spacing w:before="120" w:after="0" w:line="257" w:lineRule="auto"/>
        <w:ind w:left="851"/>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d) Fibra Óptica</w:t>
      </w:r>
    </w:p>
    <w:p w:rsidR="00EF4587" w:rsidRPr="00076DCD" w:rsidRDefault="00EF4587" w:rsidP="00B07EB1">
      <w:pPr>
        <w:spacing w:before="120" w:after="0" w:line="257" w:lineRule="auto"/>
        <w:ind w:left="1200"/>
        <w:jc w:val="both"/>
        <w:rPr>
          <w:rFonts w:ascii="Arial" w:eastAsia="Times New Roman" w:hAnsi="Arial" w:cs="Arial"/>
          <w:b/>
          <w:bCs/>
          <w:sz w:val="20"/>
          <w:szCs w:val="20"/>
          <w:u w:val="single"/>
          <w:lang w:val="es-ES" w:eastAsia="es-ES"/>
        </w:rPr>
      </w:pPr>
      <w:r w:rsidRPr="00076DCD">
        <w:rPr>
          <w:rFonts w:ascii="Arial" w:eastAsia="Times New Roman" w:hAnsi="Arial" w:cs="Arial"/>
          <w:b/>
          <w:bCs/>
          <w:sz w:val="20"/>
          <w:szCs w:val="20"/>
          <w:u w:val="single"/>
          <w:lang w:val="es-ES" w:eastAsia="es-ES"/>
        </w:rPr>
        <w:t>Características Geométricas y Ópticas</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Diámetro del campo monomodo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9 a 10 ± 10% µm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Diámetro del revestimiento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125 ± 2,4% µm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Error de concentricidad del campo </w:t>
      </w:r>
    </w:p>
    <w:p w:rsidR="00EF4587" w:rsidRPr="00076DCD" w:rsidRDefault="00EF4587" w:rsidP="00B07EB1">
      <w:pPr>
        <w:spacing w:before="60" w:after="0" w:line="257" w:lineRule="auto"/>
        <w:ind w:left="1417" w:firstLine="23"/>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monomodal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1 µm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No circularidad del revestimiento</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&lt; 2%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pt-BR" w:eastAsia="es-ES"/>
        </w:rPr>
      </w:pPr>
      <w:r w:rsidRPr="00076DCD">
        <w:rPr>
          <w:rFonts w:ascii="Arial" w:eastAsia="Times New Roman" w:hAnsi="Arial" w:cs="Arial"/>
          <w:bCs/>
          <w:sz w:val="20"/>
          <w:szCs w:val="20"/>
          <w:lang w:val="pt-BR" w:eastAsia="es-ES"/>
        </w:rPr>
        <w:t>Longitud de onda de corte</w:t>
      </w:r>
      <w:r w:rsidRPr="00076DCD">
        <w:rPr>
          <w:rFonts w:ascii="Arial" w:eastAsia="Times New Roman" w:hAnsi="Arial" w:cs="Arial"/>
          <w:bCs/>
          <w:sz w:val="20"/>
          <w:szCs w:val="20"/>
          <w:lang w:val="pt-BR" w:eastAsia="es-ES"/>
        </w:rPr>
        <w:tab/>
      </w:r>
      <w:r w:rsidRPr="00076DCD">
        <w:rPr>
          <w:rFonts w:ascii="Arial" w:eastAsia="Times New Roman" w:hAnsi="Arial" w:cs="Arial"/>
          <w:bCs/>
          <w:sz w:val="20"/>
          <w:szCs w:val="20"/>
          <w:lang w:val="pt-BR" w:eastAsia="es-ES"/>
        </w:rPr>
        <w:tab/>
      </w:r>
      <w:r w:rsidRPr="00076DCD">
        <w:rPr>
          <w:rFonts w:ascii="Arial" w:eastAsia="Times New Roman" w:hAnsi="Arial" w:cs="Arial"/>
          <w:bCs/>
          <w:sz w:val="20"/>
          <w:szCs w:val="20"/>
          <w:lang w:val="pt-BR" w:eastAsia="es-ES"/>
        </w:rPr>
        <w:tab/>
        <w:t>1 100 – 1 280 nm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lastRenderedPageBreak/>
        <w:t>Proof test</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1%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Código de colores</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Estándar</w:t>
      </w:r>
    </w:p>
    <w:p w:rsidR="00EF4587" w:rsidRPr="00076DCD" w:rsidRDefault="00EF4587" w:rsidP="00B07EB1">
      <w:pPr>
        <w:spacing w:before="60" w:after="0" w:line="257" w:lineRule="auto"/>
        <w:ind w:left="1247"/>
        <w:jc w:val="both"/>
        <w:rPr>
          <w:rFonts w:ascii="Arial" w:eastAsia="Times New Roman" w:hAnsi="Arial" w:cs="Arial"/>
          <w:b/>
          <w:bCs/>
          <w:sz w:val="20"/>
          <w:szCs w:val="20"/>
          <w:u w:val="single"/>
          <w:lang w:val="es-ES" w:eastAsia="es-ES"/>
        </w:rPr>
      </w:pPr>
      <w:r w:rsidRPr="00076DCD">
        <w:rPr>
          <w:rFonts w:ascii="Arial" w:eastAsia="Times New Roman" w:hAnsi="Arial" w:cs="Arial"/>
          <w:b/>
          <w:bCs/>
          <w:sz w:val="20"/>
          <w:szCs w:val="20"/>
          <w:u w:val="single"/>
          <w:lang w:val="es-ES" w:eastAsia="es-ES"/>
        </w:rPr>
        <w:t>Características de Transmisión</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Atenuación para λ = 1 310 nm</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0,28 dB/km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Atenuación para λ = 1 550 nm</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0,40 dB/km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Dispersión total para λ = 1 310 nm</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3,50 ps/km.nm (*)</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Dispersión total para λ = 1 550 nm</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18,0 ps/km.nm (*)</w:t>
      </w:r>
    </w:p>
    <w:p w:rsidR="00EF4587" w:rsidRPr="00076DCD" w:rsidRDefault="00EF4587" w:rsidP="00B07EB1">
      <w:pPr>
        <w:spacing w:before="60" w:after="0" w:line="257" w:lineRule="auto"/>
        <w:ind w:left="1247"/>
        <w:jc w:val="both"/>
        <w:rPr>
          <w:rFonts w:ascii="Arial" w:eastAsia="Times New Roman" w:hAnsi="Arial" w:cs="Arial"/>
          <w:b/>
          <w:bCs/>
          <w:sz w:val="20"/>
          <w:szCs w:val="20"/>
          <w:u w:val="single"/>
          <w:lang w:val="es-ES" w:eastAsia="es-ES"/>
        </w:rPr>
      </w:pPr>
      <w:r w:rsidRPr="00076DCD">
        <w:rPr>
          <w:rFonts w:ascii="Arial" w:eastAsia="Times New Roman" w:hAnsi="Arial" w:cs="Arial"/>
          <w:b/>
          <w:bCs/>
          <w:sz w:val="20"/>
          <w:szCs w:val="20"/>
          <w:u w:val="single"/>
          <w:lang w:val="es-ES" w:eastAsia="es-ES"/>
        </w:rPr>
        <w:t>Condiciones Ambientales</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Humedad relativa mínima</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75% a 40 °C</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Humedad relativa máxima</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99% a 40 °C</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Rango de temperatura de funcionando</w:t>
      </w:r>
      <w:r w:rsidRPr="00076DCD">
        <w:rPr>
          <w:rFonts w:ascii="Arial" w:eastAsia="Times New Roman" w:hAnsi="Arial" w:cs="Arial"/>
          <w:bCs/>
          <w:sz w:val="20"/>
          <w:szCs w:val="20"/>
          <w:lang w:val="es-ES" w:eastAsia="es-ES"/>
        </w:rPr>
        <w:tab/>
        <w:t xml:space="preserve">            </w:t>
      </w:r>
      <w:r w:rsidRPr="00076DCD">
        <w:rPr>
          <w:rFonts w:ascii="Arial" w:eastAsia="Times New Roman" w:hAnsi="Arial" w:cs="Arial"/>
          <w:bCs/>
          <w:sz w:val="20"/>
          <w:szCs w:val="20"/>
          <w:lang w:val="es-ES" w:eastAsia="es-ES"/>
        </w:rPr>
        <w:tab/>
        <w:t>5 – 50 °C</w:t>
      </w:r>
    </w:p>
    <w:p w:rsidR="00EF4587" w:rsidRPr="00076DCD" w:rsidRDefault="00EF4587" w:rsidP="00B07EB1">
      <w:pPr>
        <w:numPr>
          <w:ilvl w:val="0"/>
          <w:numId w:val="68"/>
        </w:numPr>
        <w:spacing w:before="60" w:after="0" w:line="257" w:lineRule="auto"/>
        <w:ind w:left="1417" w:hanging="17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Instalación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Intemperie</w:t>
      </w:r>
    </w:p>
    <w:p w:rsidR="00EF4587" w:rsidRPr="00FE1F22" w:rsidRDefault="00EF4587" w:rsidP="00B07EB1">
      <w:pPr>
        <w:spacing w:after="0" w:line="257" w:lineRule="auto"/>
        <w:ind w:left="1560" w:hanging="851"/>
        <w:jc w:val="both"/>
        <w:rPr>
          <w:rFonts w:ascii="Arial" w:eastAsia="Times New Roman" w:hAnsi="Arial" w:cs="Arial"/>
          <w:bCs/>
          <w:sz w:val="16"/>
          <w:szCs w:val="16"/>
          <w:lang w:val="es-ES" w:eastAsia="es-ES"/>
        </w:rPr>
      </w:pPr>
      <w:r w:rsidRPr="00FE1F22">
        <w:rPr>
          <w:rFonts w:ascii="Arial" w:eastAsia="Times New Roman" w:hAnsi="Arial" w:cs="Arial"/>
          <w:b/>
          <w:bCs/>
          <w:sz w:val="16"/>
          <w:szCs w:val="16"/>
          <w:lang w:val="es-ES" w:eastAsia="es-ES"/>
        </w:rPr>
        <w:t>Nota (*):</w:t>
      </w:r>
      <w:r w:rsidRPr="00FE1F22">
        <w:rPr>
          <w:rFonts w:ascii="Arial" w:eastAsia="Times New Roman" w:hAnsi="Arial" w:cs="Arial"/>
          <w:bCs/>
          <w:sz w:val="16"/>
          <w:szCs w:val="16"/>
          <w:lang w:val="es-ES" w:eastAsia="es-ES"/>
        </w:rPr>
        <w:t xml:space="preserve"> Valores referenciales, a ser definidos por la Sociedad Concesionaria previa aprobación del Concedente. </w:t>
      </w:r>
    </w:p>
    <w:p w:rsidR="00EF4587" w:rsidRPr="00076DCD" w:rsidRDefault="00EF4587" w:rsidP="00B07EB1">
      <w:pPr>
        <w:spacing w:after="0" w:line="257" w:lineRule="auto"/>
        <w:ind w:left="709"/>
        <w:jc w:val="both"/>
        <w:rPr>
          <w:rFonts w:ascii="Arial" w:eastAsia="Times New Roman" w:hAnsi="Arial" w:cs="Arial"/>
          <w:bCs/>
          <w:sz w:val="18"/>
          <w:szCs w:val="18"/>
          <w:lang w:val="es-ES" w:eastAsia="es-ES"/>
        </w:rPr>
      </w:pP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5.1.4  Aisladores</w:t>
      </w:r>
    </w:p>
    <w:p w:rsidR="00EF4587" w:rsidRPr="00076DCD" w:rsidRDefault="00EF4587" w:rsidP="00FE1F22">
      <w:pPr>
        <w:spacing w:before="120" w:after="0" w:line="257" w:lineRule="auto"/>
        <w:ind w:firstLine="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5.1.4.1</w:t>
      </w:r>
      <w:r w:rsidRPr="00076DCD">
        <w:rPr>
          <w:rFonts w:ascii="Arial" w:eastAsia="Times New Roman" w:hAnsi="Arial" w:cs="Arial"/>
          <w:b/>
          <w:sz w:val="20"/>
          <w:szCs w:val="20"/>
          <w:lang w:val="es-ES" w:eastAsia="es-ES"/>
        </w:rPr>
        <w:tab/>
        <w:t>Alcance</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establecen las características técnicas de los aisladores que serán suministrados para la línea de transmisión.</w:t>
      </w:r>
    </w:p>
    <w:p w:rsidR="00EF4587" w:rsidRPr="00076DCD" w:rsidRDefault="00EF4587" w:rsidP="00FE1F22">
      <w:pPr>
        <w:spacing w:before="120" w:after="0" w:line="257" w:lineRule="auto"/>
        <w:ind w:left="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5.1.4.2</w:t>
      </w:r>
      <w:r w:rsidRPr="00076DCD">
        <w:rPr>
          <w:rFonts w:ascii="Arial" w:eastAsia="Times New Roman" w:hAnsi="Arial" w:cs="Arial"/>
          <w:b/>
          <w:sz w:val="20"/>
          <w:szCs w:val="20"/>
          <w:lang w:val="es-ES" w:eastAsia="es-ES"/>
        </w:rPr>
        <w:tab/>
        <w:t>Normas</w:t>
      </w:r>
    </w:p>
    <w:p w:rsidR="00EF4587" w:rsidRPr="00076DCD" w:rsidRDefault="00EF4587" w:rsidP="00FE1F22">
      <w:pPr>
        <w:tabs>
          <w:tab w:val="left" w:pos="426"/>
        </w:tabs>
        <w:spacing w:before="120" w:after="0" w:line="257" w:lineRule="auto"/>
        <w:ind w:left="567"/>
        <w:jc w:val="both"/>
        <w:rPr>
          <w:rFonts w:ascii="Arial" w:eastAsia="Times New Roman" w:hAnsi="Arial" w:cs="Arial"/>
          <w:bCs/>
          <w:sz w:val="20"/>
          <w:szCs w:val="20"/>
          <w:lang w:eastAsia="es-ES"/>
        </w:rPr>
      </w:pPr>
      <w:r w:rsidRPr="00076DCD">
        <w:rPr>
          <w:rFonts w:ascii="Arial" w:eastAsia="Times New Roman" w:hAnsi="Arial" w:cs="Arial"/>
          <w:bCs/>
          <w:sz w:val="20"/>
          <w:szCs w:val="20"/>
          <w:lang w:val="es-ES" w:eastAsia="es-E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r w:rsidRPr="00076DCD">
        <w:rPr>
          <w:rFonts w:ascii="Arial" w:eastAsia="Times New Roman" w:hAnsi="Arial" w:cs="Arial"/>
          <w:bCs/>
          <w:sz w:val="20"/>
          <w:szCs w:val="20"/>
          <w:lang w:eastAsia="es-ES"/>
        </w:rPr>
        <w:t>.</w:t>
      </w:r>
    </w:p>
    <w:p w:rsidR="00EF4587" w:rsidRPr="00076DCD" w:rsidRDefault="00EF4587" w:rsidP="00FE1F22">
      <w:pPr>
        <w:tabs>
          <w:tab w:val="left" w:pos="851"/>
        </w:tabs>
        <w:spacing w:before="120" w:after="0" w:line="257" w:lineRule="auto"/>
        <w:ind w:left="567" w:right="-57"/>
        <w:jc w:val="both"/>
        <w:rPr>
          <w:rFonts w:ascii="Arial" w:eastAsia="Times New Roman" w:hAnsi="Arial" w:cs="Arial"/>
          <w:b/>
          <w:sz w:val="20"/>
          <w:szCs w:val="20"/>
          <w:lang w:val="es-MX" w:eastAsia="es-ES"/>
        </w:rPr>
      </w:pPr>
      <w:r w:rsidRPr="00076DCD">
        <w:rPr>
          <w:rFonts w:ascii="Arial" w:eastAsia="Times New Roman" w:hAnsi="Arial" w:cs="Arial"/>
          <w:b/>
          <w:sz w:val="20"/>
          <w:szCs w:val="20"/>
          <w:lang w:val="es-MX" w:eastAsia="es-ES"/>
        </w:rPr>
        <w:t>5.1.4.3</w:t>
      </w:r>
      <w:r w:rsidRPr="00076DCD">
        <w:rPr>
          <w:rFonts w:ascii="Arial" w:eastAsia="Times New Roman" w:hAnsi="Arial" w:cs="Arial"/>
          <w:b/>
          <w:sz w:val="20"/>
          <w:szCs w:val="20"/>
          <w:lang w:val="es-MX" w:eastAsia="es-ES"/>
        </w:rPr>
        <w:tab/>
        <w:t>Características de los aisladores</w:t>
      </w:r>
    </w:p>
    <w:p w:rsidR="00EF4587" w:rsidRPr="00076DCD" w:rsidRDefault="00EF4587" w:rsidP="00FE1F22">
      <w:pPr>
        <w:keepNext/>
        <w:spacing w:before="120" w:after="0" w:line="257" w:lineRule="auto"/>
        <w:ind w:left="567" w:right="-57"/>
        <w:jc w:val="both"/>
        <w:outlineLvl w:val="1"/>
        <w:rPr>
          <w:rFonts w:ascii="Arial" w:eastAsia="Calibri" w:hAnsi="Arial" w:cs="Arial"/>
          <w:sz w:val="20"/>
          <w:szCs w:val="20"/>
          <w:lang w:val="es-MX" w:eastAsia="es-ES"/>
        </w:rPr>
      </w:pPr>
      <w:r w:rsidRPr="00076DCD">
        <w:rPr>
          <w:rFonts w:ascii="Arial" w:eastAsia="Calibri" w:hAnsi="Arial" w:cs="Arial"/>
          <w:sz w:val="20"/>
          <w:szCs w:val="20"/>
          <w:lang w:val="es-MX" w:eastAsia="es-ES"/>
        </w:rPr>
        <w:t>En forma general el tipo y material de los aisladores será seleccionado de acuerdo a las características de la zona por donde se ubica la línea y toma en cuenta la práctica y experiencia de líneas de transmisión construidas en zonas similares del Perú.</w:t>
      </w:r>
    </w:p>
    <w:p w:rsidR="00EF4587" w:rsidRPr="00076DCD" w:rsidRDefault="00EF4587" w:rsidP="00FE1F22">
      <w:pPr>
        <w:spacing w:before="60" w:after="0" w:line="257" w:lineRule="auto"/>
        <w:ind w:left="567" w:right="-5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Los aisladores de las líneas 220 kV podrán ser de vidrio templado o de porcelana de superficie exterior vidriada, del tipo estándar o antineblina (Anti fog) para zonas de alta contaminación, con partes metálicas de acero forjado o hierro maleable galvanizado, provistos de pasadores de bloqueo fabricados con material resistente a la corrosión.</w:t>
      </w:r>
    </w:p>
    <w:p w:rsidR="00EF4587" w:rsidRPr="00076DCD" w:rsidRDefault="00EF4587" w:rsidP="00FE1F22">
      <w:pPr>
        <w:spacing w:before="60" w:after="0" w:line="257" w:lineRule="auto"/>
        <w:ind w:left="567" w:right="-5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EF4587" w:rsidRPr="00076DCD" w:rsidRDefault="00EF4587" w:rsidP="00FE1F22">
      <w:pPr>
        <w:spacing w:before="60" w:after="0" w:line="257" w:lineRule="auto"/>
        <w:ind w:left="567" w:right="-5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Del mismo modo estas cadenas deben garantizar el nivel de aislamiento requerido frente a las sobretensiones que se presenten en el sistema, para las condiciones señaladas en el párrafo anterior y los niveles de aislamiento definidos en el apartado 4.2.3 del presente anexo.</w:t>
      </w:r>
    </w:p>
    <w:p w:rsidR="00EF4587" w:rsidRPr="00076DCD" w:rsidRDefault="00EF4587" w:rsidP="00FE1F22">
      <w:pPr>
        <w:spacing w:before="60" w:after="0" w:line="257" w:lineRule="auto"/>
        <w:ind w:left="567" w:right="-5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En el caso de estructuras de ángulos mayores, terminales y de anclaje las cadenas de aisladores emplearán un (01) aislador adicional a los utilizados en las cadenas de suspensión.</w:t>
      </w:r>
    </w:p>
    <w:p w:rsidR="00EF4587" w:rsidRPr="00076DCD" w:rsidRDefault="00EF4587" w:rsidP="00FE1F22">
      <w:pPr>
        <w:spacing w:before="60" w:after="0" w:line="257" w:lineRule="auto"/>
        <w:ind w:left="56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 xml:space="preserve">Corresponde a la Sociedad Concesionaria establecer las características técnicas de los aisladores que serán utilizados en las líneas, de tal manera que se garanticen los niveles de aislamiento adecuados a lo largo de toda la vida útil de la línea, para lo cual deberá tomar en cuenta lo señalado en las norma IEC 60305 e IEC 60383 o normas internacionales equivalentes que aseguren una calidad de fabricación igual o superior. </w:t>
      </w:r>
    </w:p>
    <w:p w:rsidR="00EF4587" w:rsidRPr="00076DCD" w:rsidRDefault="00EF4587" w:rsidP="00FE1F22">
      <w:pPr>
        <w:spacing w:before="120" w:after="0" w:line="257" w:lineRule="auto"/>
        <w:ind w:left="56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lastRenderedPageBreak/>
        <w:t>En todos los casos deberá verificarse que la resistencia mecánica de las cadenas de aisladores sea la adecuada, de acuerdo con el tipo de conductor seleccionado para la línea y en las condiciones de trabajo a las que se encuentren sometidas; evaluando, de ser necesario, el empleo  cadenas dobles.</w:t>
      </w:r>
    </w:p>
    <w:p w:rsidR="00EF4587" w:rsidRPr="00076DCD" w:rsidRDefault="00EF4587" w:rsidP="00FE1F22">
      <w:pPr>
        <w:spacing w:before="120" w:after="0" w:line="257" w:lineRule="auto"/>
        <w:ind w:left="567"/>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Los aisladores tipo Ball and Socket tendrán enganche perno-caperuza conforme a la Norma IEC 60120.</w:t>
      </w: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5.1.5</w:t>
      </w:r>
      <w:r w:rsidRPr="00590BBA">
        <w:rPr>
          <w:rFonts w:ascii="Arial" w:eastAsia="Times New Roman" w:hAnsi="Arial" w:cs="Arial"/>
          <w:b/>
          <w:sz w:val="20"/>
          <w:szCs w:val="20"/>
          <w:lang w:val="es-ES" w:eastAsia="es-ES"/>
        </w:rPr>
        <w:tab/>
        <w:t>Accesorios del conductor</w:t>
      </w:r>
    </w:p>
    <w:p w:rsidR="00EF4587" w:rsidRPr="00076DCD" w:rsidRDefault="00EF4587" w:rsidP="00FE1F22">
      <w:pPr>
        <w:spacing w:before="120" w:after="0" w:line="257" w:lineRule="auto"/>
        <w:ind w:left="600"/>
        <w:jc w:val="both"/>
        <w:rPr>
          <w:rFonts w:ascii="Arial" w:eastAsia="Times New Roman" w:hAnsi="Arial" w:cs="Arial"/>
          <w:b/>
          <w:sz w:val="20"/>
          <w:szCs w:val="20"/>
          <w:lang w:val="es-MX" w:eastAsia="es-ES"/>
        </w:rPr>
      </w:pPr>
      <w:r w:rsidRPr="00076DCD">
        <w:rPr>
          <w:rFonts w:ascii="Arial" w:eastAsia="Times New Roman" w:hAnsi="Arial" w:cs="Arial"/>
          <w:b/>
          <w:sz w:val="20"/>
          <w:szCs w:val="20"/>
          <w:lang w:val="es-ES" w:eastAsia="zh-CN"/>
        </w:rPr>
        <w:t>5.1.5.1</w:t>
      </w:r>
      <w:r w:rsidRPr="00076DCD">
        <w:rPr>
          <w:rFonts w:ascii="Arial" w:eastAsia="Times New Roman" w:hAnsi="Arial" w:cs="Arial"/>
          <w:b/>
          <w:sz w:val="20"/>
          <w:szCs w:val="20"/>
          <w:lang w:val="es-ES" w:eastAsia="zh-CN"/>
        </w:rPr>
        <w:tab/>
        <w:t>Alcance</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EF4587" w:rsidRPr="00076DCD" w:rsidRDefault="00EF4587" w:rsidP="00FE1F22">
      <w:pPr>
        <w:spacing w:before="120" w:after="0" w:line="257" w:lineRule="auto"/>
        <w:ind w:left="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5.1.5.2</w:t>
      </w:r>
      <w:r w:rsidRPr="00076DCD">
        <w:rPr>
          <w:rFonts w:ascii="Arial" w:eastAsia="Times New Roman" w:hAnsi="Arial" w:cs="Arial"/>
          <w:b/>
          <w:sz w:val="20"/>
          <w:szCs w:val="20"/>
          <w:lang w:val="es-ES" w:eastAsia="es-ES"/>
        </w:rPr>
        <w:tab/>
        <w:t>Normas</w:t>
      </w:r>
    </w:p>
    <w:p w:rsidR="00EF4587" w:rsidRPr="00076DCD" w:rsidRDefault="00EF4587" w:rsidP="00FE1F22">
      <w:pPr>
        <w:spacing w:before="120" w:after="0" w:line="257" w:lineRule="auto"/>
        <w:ind w:left="600"/>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ES" w:eastAsia="es-ES"/>
        </w:rPr>
        <w:t>Para el diseño, fabricación y transporte de los accesorios se utilizarán, sin ser limitativas, las versiones vigentes de las normas siguientes: CNE Suministro vigente, ASTM A 36, ASTM A 153, ASTM B201, ASTM B230, ASTM B398, IEC 61284, UNE 207009:2002</w:t>
      </w:r>
      <w:r w:rsidRPr="00076DCD">
        <w:rPr>
          <w:rFonts w:ascii="Arial" w:eastAsia="Times New Roman" w:hAnsi="Arial" w:cs="Arial"/>
          <w:bCs/>
          <w:sz w:val="20"/>
          <w:szCs w:val="20"/>
          <w:lang w:val="es-MX" w:eastAsia="es-ES"/>
        </w:rPr>
        <w:t>.</w:t>
      </w:r>
    </w:p>
    <w:p w:rsidR="00EF4587" w:rsidRPr="00076DCD" w:rsidRDefault="00EF4587" w:rsidP="00FE1F22">
      <w:pPr>
        <w:spacing w:before="120" w:after="0" w:line="257" w:lineRule="auto"/>
        <w:ind w:left="567"/>
        <w:jc w:val="both"/>
        <w:rPr>
          <w:rFonts w:ascii="Arial" w:eastAsia="Times New Roman" w:hAnsi="Arial" w:cs="Arial"/>
          <w:b/>
          <w:sz w:val="20"/>
          <w:szCs w:val="20"/>
          <w:lang w:val="es-MX" w:eastAsia="es-ES"/>
        </w:rPr>
      </w:pPr>
      <w:r w:rsidRPr="00076DCD">
        <w:rPr>
          <w:rFonts w:ascii="Arial" w:eastAsia="Times New Roman" w:hAnsi="Arial" w:cs="Arial"/>
          <w:b/>
          <w:sz w:val="20"/>
          <w:szCs w:val="20"/>
          <w:lang w:val="es-MX" w:eastAsia="es-ES"/>
        </w:rPr>
        <w:t>5.1.5.3</w:t>
      </w:r>
      <w:r w:rsidRPr="00076DCD">
        <w:rPr>
          <w:rFonts w:ascii="Arial" w:eastAsia="Times New Roman" w:hAnsi="Arial" w:cs="Arial"/>
          <w:b/>
          <w:sz w:val="20"/>
          <w:szCs w:val="20"/>
          <w:lang w:val="es-MX" w:eastAsia="es-ES"/>
        </w:rPr>
        <w:tab/>
        <w:t>Características Técnicas</w:t>
      </w:r>
    </w:p>
    <w:p w:rsidR="00EF4587" w:rsidRPr="00076DCD" w:rsidRDefault="00EF4587" w:rsidP="00FE1F22">
      <w:pPr>
        <w:numPr>
          <w:ilvl w:val="0"/>
          <w:numId w:val="95"/>
        </w:numPr>
        <w:tabs>
          <w:tab w:val="left" w:pos="567"/>
        </w:tabs>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Varillas de armar: serán de aleación de aluminio de forma helicoidal y del tipo preformado, para ser montado fácilmente sobre los conductores. Las dimensiones de las varillas de armar serán apropiadas para las secciones de los conductores seleccionados.</w:t>
      </w:r>
    </w:p>
    <w:p w:rsidR="00EF4587" w:rsidRPr="00076DCD" w:rsidRDefault="00EF4587" w:rsidP="00FE1F22">
      <w:pPr>
        <w:spacing w:before="120" w:after="0" w:line="257" w:lineRule="auto"/>
        <w:ind w:left="960"/>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Una vez montadas, las varillas deberán proveer una capa protectora uniforme, sin intersticios y con una presión adecuada para evitar aflojamiento debido a envejecimiento</w:t>
      </w:r>
    </w:p>
    <w:p w:rsidR="00EF4587" w:rsidRPr="00076DCD" w:rsidRDefault="00EF4587" w:rsidP="00FE1F22">
      <w:pPr>
        <w:numPr>
          <w:ilvl w:val="0"/>
          <w:numId w:val="95"/>
        </w:numPr>
        <w:tabs>
          <w:tab w:val="left" w:pos="567"/>
        </w:tabs>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Manguitos de empalme: serán del tipo compresión, del material y diámetro apropiados para el conductor seleccionado. La carga de rotura mínima será de 95% de la del conductor correspondiente.</w:t>
      </w:r>
    </w:p>
    <w:p w:rsidR="00EF4587" w:rsidRPr="00076DCD" w:rsidRDefault="00EF4587" w:rsidP="00FE1F22">
      <w:pPr>
        <w:numPr>
          <w:ilvl w:val="0"/>
          <w:numId w:val="95"/>
        </w:numPr>
        <w:tabs>
          <w:tab w:val="left" w:pos="567"/>
        </w:tabs>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Manguito de reparación: serán del tipo compresión. Su utilización será solamente en casos de daños leves en la capa externa del conductor. Las características mecánicas serán similares a las de los manguitos de empalme.</w:t>
      </w:r>
    </w:p>
    <w:p w:rsidR="00EF4587" w:rsidRPr="00076DCD" w:rsidRDefault="00EF4587" w:rsidP="00FE1F22">
      <w:pPr>
        <w:numPr>
          <w:ilvl w:val="0"/>
          <w:numId w:val="95"/>
        </w:numPr>
        <w:tabs>
          <w:tab w:val="left" w:pos="567"/>
        </w:tabs>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w:t>
      </w:r>
    </w:p>
    <w:p w:rsidR="00EF4587" w:rsidRPr="00076DCD" w:rsidRDefault="00EF4587" w:rsidP="00FE1F22">
      <w:pPr>
        <w:spacing w:before="120" w:after="0" w:line="257" w:lineRule="auto"/>
        <w:ind w:left="600"/>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Los bordes cortantes serán eliminados con el objeto de evitar la formación del efecto corona y el incremento de la componente de la tensión de radio interferencia. Las tuercas no tendrán bordes cortantes.</w:t>
      </w: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5.1.6</w:t>
      </w:r>
      <w:r w:rsidRPr="00590BBA">
        <w:rPr>
          <w:rFonts w:ascii="Arial" w:eastAsia="Times New Roman" w:hAnsi="Arial" w:cs="Arial"/>
          <w:b/>
          <w:sz w:val="20"/>
          <w:szCs w:val="20"/>
          <w:lang w:val="es-ES" w:eastAsia="es-ES"/>
        </w:rPr>
        <w:tab/>
        <w:t xml:space="preserve"> Accesorios para cadenas de aisladores</w:t>
      </w:r>
    </w:p>
    <w:p w:rsidR="00EF4587" w:rsidRPr="00076DCD" w:rsidRDefault="00EF4587" w:rsidP="00FE1F22">
      <w:pPr>
        <w:spacing w:before="120" w:after="0" w:line="257" w:lineRule="auto"/>
        <w:ind w:left="567"/>
        <w:jc w:val="both"/>
        <w:rPr>
          <w:rFonts w:ascii="Arial" w:eastAsia="Times New Roman" w:hAnsi="Arial" w:cs="Arial"/>
          <w:b/>
          <w:sz w:val="20"/>
          <w:szCs w:val="20"/>
          <w:lang w:val="es-MX" w:eastAsia="es-ES"/>
        </w:rPr>
      </w:pPr>
      <w:r w:rsidRPr="00076DCD">
        <w:rPr>
          <w:rFonts w:ascii="Arial" w:eastAsia="Times New Roman" w:hAnsi="Arial" w:cs="Arial"/>
          <w:b/>
          <w:sz w:val="20"/>
          <w:szCs w:val="20"/>
          <w:lang w:val="es-ES" w:eastAsia="zh-CN"/>
        </w:rPr>
        <w:t>5.1.6.1</w:t>
      </w:r>
      <w:r w:rsidRPr="00076DCD">
        <w:rPr>
          <w:rFonts w:ascii="Arial" w:eastAsia="Times New Roman" w:hAnsi="Arial" w:cs="Arial"/>
          <w:b/>
          <w:sz w:val="20"/>
          <w:szCs w:val="20"/>
          <w:lang w:val="es-ES" w:eastAsia="zh-CN"/>
        </w:rPr>
        <w:tab/>
        <w:t>Alcance</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590BBA" w:rsidRDefault="00590BBA">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EF4587" w:rsidRPr="00076DCD" w:rsidRDefault="00EF4587" w:rsidP="00FE1F22">
      <w:pPr>
        <w:spacing w:before="120" w:after="0" w:line="257" w:lineRule="auto"/>
        <w:ind w:left="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lastRenderedPageBreak/>
        <w:t>5.1.6.2</w:t>
      </w:r>
      <w:r w:rsidRPr="00076DCD">
        <w:rPr>
          <w:rFonts w:ascii="Arial" w:eastAsia="Times New Roman" w:hAnsi="Arial" w:cs="Arial"/>
          <w:b/>
          <w:sz w:val="20"/>
          <w:szCs w:val="20"/>
          <w:lang w:val="es-ES" w:eastAsia="es-ES"/>
        </w:rPr>
        <w:tab/>
        <w:t>Normas</w:t>
      </w:r>
    </w:p>
    <w:p w:rsidR="00EF4587" w:rsidRPr="00076DCD" w:rsidRDefault="00EF4587" w:rsidP="00FE1F22">
      <w:pPr>
        <w:tabs>
          <w:tab w:val="left" w:pos="567"/>
        </w:tabs>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los accesorios se utilizarán, sin ser limitativas, las versiones vigentes de las normas siguientes: CNE Suministro 2011, ASTM B6, ASTM A153, ASTM B201, ASTM B230.</w:t>
      </w:r>
    </w:p>
    <w:p w:rsidR="00EF4587" w:rsidRPr="00076DCD" w:rsidRDefault="00EF4587" w:rsidP="00FE1F22">
      <w:pPr>
        <w:spacing w:before="120" w:after="0" w:line="257" w:lineRule="auto"/>
        <w:ind w:left="600"/>
        <w:jc w:val="both"/>
        <w:rPr>
          <w:rFonts w:ascii="Arial" w:eastAsia="Times New Roman" w:hAnsi="Arial" w:cs="Arial"/>
          <w:b/>
          <w:sz w:val="20"/>
          <w:szCs w:val="20"/>
          <w:lang w:val="es-MX" w:eastAsia="es-ES"/>
        </w:rPr>
      </w:pPr>
      <w:r w:rsidRPr="00076DCD">
        <w:rPr>
          <w:rFonts w:ascii="Arial" w:eastAsia="Times New Roman" w:hAnsi="Arial" w:cs="Arial"/>
          <w:b/>
          <w:sz w:val="20"/>
          <w:szCs w:val="20"/>
          <w:lang w:val="es-MX" w:eastAsia="es-ES"/>
        </w:rPr>
        <w:t>5.1.6.3</w:t>
      </w:r>
      <w:r w:rsidRPr="00076DCD">
        <w:rPr>
          <w:rFonts w:ascii="Arial" w:eastAsia="Times New Roman" w:hAnsi="Arial" w:cs="Arial"/>
          <w:b/>
          <w:sz w:val="20"/>
          <w:szCs w:val="20"/>
          <w:lang w:val="es-MX" w:eastAsia="es-ES"/>
        </w:rPr>
        <w:tab/>
        <w:t>Características Técnicas</w:t>
      </w:r>
    </w:p>
    <w:p w:rsidR="00EF4587" w:rsidRPr="00076DCD" w:rsidRDefault="00EF4587" w:rsidP="00FE1F22">
      <w:pPr>
        <w:numPr>
          <w:ilvl w:val="0"/>
          <w:numId w:val="96"/>
        </w:numPr>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
          <w:bCs/>
          <w:sz w:val="20"/>
          <w:szCs w:val="20"/>
          <w:lang w:val="es-MX" w:eastAsia="es-ES"/>
        </w:rPr>
        <w:t>Mecánicas:</w:t>
      </w:r>
      <w:r w:rsidRPr="00076DCD">
        <w:rPr>
          <w:rFonts w:ascii="Arial" w:eastAsia="Times New Roman" w:hAnsi="Arial" w:cs="Arial"/>
          <w:bCs/>
          <w:sz w:val="20"/>
          <w:szCs w:val="20"/>
          <w:lang w:val="es-MX" w:eastAsia="es-ES"/>
        </w:rPr>
        <w:t xml:space="preserve"> las grapas de suspensión no permitirán ningún deslizamiento ni deformación o daño al conductor activo y deben tener la capacidad de soportar de manera apropiada las cargas de trabajo asociadas a la instalación y mantenimiento de las líneas.</w:t>
      </w:r>
    </w:p>
    <w:p w:rsidR="00EF4587" w:rsidRPr="00076DCD" w:rsidRDefault="00EF4587" w:rsidP="00FE1F22">
      <w:pPr>
        <w:numPr>
          <w:ilvl w:val="0"/>
          <w:numId w:val="96"/>
        </w:numPr>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
          <w:bCs/>
          <w:sz w:val="20"/>
          <w:szCs w:val="20"/>
          <w:lang w:val="es-MX" w:eastAsia="es-ES"/>
        </w:rPr>
        <w:t>Eléctricas:</w:t>
      </w:r>
      <w:r w:rsidRPr="00076DCD">
        <w:rPr>
          <w:rFonts w:ascii="Arial" w:eastAsia="Times New Roman" w:hAnsi="Arial" w:cs="Arial"/>
          <w:bCs/>
          <w:sz w:val="20"/>
          <w:szCs w:val="20"/>
          <w:lang w:val="es-MX" w:eastAsia="es-ES"/>
        </w:rPr>
        <w:t xml:space="preserve">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w:t>
      </w:r>
    </w:p>
    <w:p w:rsidR="00EF4587" w:rsidRPr="00076DCD" w:rsidRDefault="00EF4587" w:rsidP="00FE1F22">
      <w:pPr>
        <w:spacing w:before="120" w:after="0" w:line="257" w:lineRule="auto"/>
        <w:ind w:left="1320"/>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La resistencia eléctrica de los empalmes y de las grapas de anclaje no será superior al 80% correspondiente a la longitud equivalente del conductor.</w:t>
      </w:r>
    </w:p>
    <w:p w:rsidR="00EF4587" w:rsidRPr="00076DCD" w:rsidRDefault="00EF4587" w:rsidP="00FE1F22">
      <w:pPr>
        <w:spacing w:before="120" w:after="0" w:line="257" w:lineRule="auto"/>
        <w:ind w:left="1320"/>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Para evitar descargas parciales por efecto corona, la forma y el diseño de todas las piezas bajo tensión será tal que evite esquinas agudas o resaltos que produzcan un excesivo gradiente de potencial eléctrico.</w:t>
      </w:r>
    </w:p>
    <w:p w:rsidR="00EF4587" w:rsidRPr="00076DCD" w:rsidRDefault="00EF4587" w:rsidP="00FE1F22">
      <w:pPr>
        <w:spacing w:before="120" w:after="0" w:line="257" w:lineRule="auto"/>
        <w:ind w:left="567"/>
        <w:jc w:val="both"/>
        <w:rPr>
          <w:rFonts w:ascii="Arial" w:eastAsia="Times New Roman" w:hAnsi="Arial" w:cs="Arial"/>
          <w:b/>
          <w:sz w:val="20"/>
          <w:szCs w:val="20"/>
          <w:lang w:val="es-MX" w:eastAsia="es-ES"/>
        </w:rPr>
      </w:pPr>
      <w:r w:rsidRPr="00076DCD">
        <w:rPr>
          <w:rFonts w:ascii="Arial" w:eastAsia="Times New Roman" w:hAnsi="Arial" w:cs="Arial"/>
          <w:b/>
          <w:sz w:val="20"/>
          <w:szCs w:val="20"/>
          <w:lang w:val="es-MX" w:eastAsia="es-ES"/>
        </w:rPr>
        <w:t>5.1.6.4</w:t>
      </w:r>
      <w:r w:rsidRPr="00076DCD">
        <w:rPr>
          <w:rFonts w:ascii="Arial" w:eastAsia="Times New Roman" w:hAnsi="Arial" w:cs="Arial"/>
          <w:b/>
          <w:sz w:val="20"/>
          <w:szCs w:val="20"/>
          <w:lang w:val="es-MX" w:eastAsia="es-ES"/>
        </w:rPr>
        <w:tab/>
        <w:t>Prescripciones constructivas</w:t>
      </w:r>
    </w:p>
    <w:p w:rsidR="00EF4587" w:rsidRPr="00076DCD" w:rsidRDefault="00EF4587" w:rsidP="00FE1F22">
      <w:pPr>
        <w:numPr>
          <w:ilvl w:val="0"/>
          <w:numId w:val="97"/>
        </w:numPr>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Piezas bajo tensión mecánica: serán fabricadas en acero forjado, o en hierro maleable, adecuadamente tratado para aumentar su resistencia a impactos y a rozamientos.</w:t>
      </w:r>
    </w:p>
    <w:p w:rsidR="00EF4587" w:rsidRPr="00076DCD" w:rsidRDefault="00EF4587" w:rsidP="00FE1F22">
      <w:pPr>
        <w:numPr>
          <w:ilvl w:val="0"/>
          <w:numId w:val="97"/>
        </w:numPr>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Piezas bajo tensión eléctrica: los accesorios y piezas normalmente bajo tensión eléctrica serán fabricados de material antimagnético</w:t>
      </w:r>
    </w:p>
    <w:p w:rsidR="00EF4587" w:rsidRPr="00076DCD" w:rsidRDefault="00EF4587" w:rsidP="00FE1F22">
      <w:pPr>
        <w:numPr>
          <w:ilvl w:val="0"/>
          <w:numId w:val="97"/>
        </w:numPr>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Resistencia a la corrosión: los accesorios serán fabricados con materiales compatibles que no den origen a reacciones electrolíticas, bajo cualquier condición de servicio.</w:t>
      </w:r>
    </w:p>
    <w:p w:rsidR="00EF4587" w:rsidRPr="00076DCD" w:rsidRDefault="00EF4587" w:rsidP="00FE1F22">
      <w:pPr>
        <w:numPr>
          <w:ilvl w:val="0"/>
          <w:numId w:val="97"/>
        </w:numPr>
        <w:spacing w:before="120" w:after="0" w:line="257" w:lineRule="auto"/>
        <w:jc w:val="both"/>
        <w:rPr>
          <w:rFonts w:ascii="Arial" w:eastAsia="Times New Roman" w:hAnsi="Arial" w:cs="Arial"/>
          <w:bCs/>
          <w:sz w:val="20"/>
          <w:szCs w:val="20"/>
          <w:lang w:val="es-MX" w:eastAsia="es-ES"/>
        </w:rPr>
      </w:pPr>
      <w:r w:rsidRPr="00076DCD">
        <w:rPr>
          <w:rFonts w:ascii="Arial" w:eastAsia="Times New Roman" w:hAnsi="Arial" w:cs="Arial"/>
          <w:bCs/>
          <w:sz w:val="20"/>
          <w:szCs w:val="20"/>
          <w:lang w:val="es-MX" w:eastAsia="es-ES"/>
        </w:rPr>
        <w:t>Galvanizado: una vez terminado el maquinado y marcado, todas las partes de hierro y acero de los accesorios serán galvanizados mediante inmersión en caliente según Norma ASTM A 153</w:t>
      </w:r>
    </w:p>
    <w:p w:rsidR="00EF4587" w:rsidRPr="00076DCD" w:rsidRDefault="00EF4587" w:rsidP="00FE1F22">
      <w:pPr>
        <w:spacing w:before="120" w:after="0" w:line="257" w:lineRule="auto"/>
        <w:ind w:left="1200"/>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076DCD">
        <w:rPr>
          <w:rFonts w:ascii="Arial" w:eastAsia="Times New Roman" w:hAnsi="Arial" w:cs="Arial"/>
          <w:sz w:val="20"/>
          <w:szCs w:val="20"/>
          <w:vertAlign w:val="superscript"/>
          <w:lang w:val="es-MX" w:eastAsia="es-ES"/>
        </w:rPr>
        <w:t>2</w:t>
      </w:r>
      <w:r w:rsidRPr="00076DCD">
        <w:rPr>
          <w:rFonts w:ascii="Arial" w:eastAsia="Times New Roman" w:hAnsi="Arial" w:cs="Arial"/>
          <w:sz w:val="20"/>
          <w:szCs w:val="20"/>
          <w:lang w:val="es-MX" w:eastAsia="es-ES"/>
        </w:rPr>
        <w:t>.</w:t>
      </w: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5.1.7</w:t>
      </w:r>
      <w:r w:rsidRPr="00590BBA">
        <w:rPr>
          <w:rFonts w:ascii="Arial" w:eastAsia="Times New Roman" w:hAnsi="Arial" w:cs="Arial"/>
          <w:b/>
          <w:sz w:val="20"/>
          <w:szCs w:val="20"/>
          <w:lang w:val="es-ES" w:eastAsia="es-ES"/>
        </w:rPr>
        <w:tab/>
        <w:t xml:space="preserve"> Puestas a tierra</w:t>
      </w:r>
    </w:p>
    <w:p w:rsidR="00EF4587" w:rsidRPr="00076DCD" w:rsidRDefault="00EF4587" w:rsidP="00FE1F22">
      <w:pPr>
        <w:spacing w:before="120" w:after="0" w:line="257" w:lineRule="auto"/>
        <w:ind w:left="567"/>
        <w:jc w:val="both"/>
        <w:rPr>
          <w:rFonts w:ascii="Arial" w:eastAsia="Times New Roman" w:hAnsi="Arial" w:cs="Arial"/>
          <w:b/>
          <w:bCs/>
          <w:sz w:val="20"/>
          <w:szCs w:val="20"/>
          <w:lang w:val="es-MX" w:eastAsia="es-ES"/>
        </w:rPr>
      </w:pPr>
      <w:r w:rsidRPr="00076DCD">
        <w:rPr>
          <w:rFonts w:ascii="Arial" w:eastAsia="Times New Roman" w:hAnsi="Arial" w:cs="Arial"/>
          <w:b/>
          <w:sz w:val="20"/>
          <w:szCs w:val="20"/>
          <w:lang w:val="es-ES" w:eastAsia="zh-CN"/>
        </w:rPr>
        <w:t>5.1.7.1</w:t>
      </w:r>
      <w:r w:rsidRPr="00076DCD">
        <w:rPr>
          <w:rFonts w:ascii="Arial" w:eastAsia="Times New Roman" w:hAnsi="Arial" w:cs="Arial"/>
          <w:b/>
          <w:sz w:val="20"/>
          <w:szCs w:val="20"/>
          <w:lang w:val="es-ES" w:eastAsia="zh-CN"/>
        </w:rPr>
        <w:tab/>
        <w:t>Alcance</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Estas especificaciones establecen los requerimientos mínimos para el diseño y fabricación de los  accesorios necesarios para el sistema de puesta a tierra de las estructuras de la línea de transmisión. </w:t>
      </w:r>
    </w:p>
    <w:p w:rsidR="00EF4587" w:rsidRPr="00076DCD" w:rsidRDefault="00EF4587" w:rsidP="00FE1F22">
      <w:pPr>
        <w:spacing w:before="120" w:after="0" w:line="257" w:lineRule="auto"/>
        <w:ind w:left="720" w:hanging="153"/>
        <w:jc w:val="both"/>
        <w:rPr>
          <w:rFonts w:ascii="Arial" w:eastAsia="Times New Roman" w:hAnsi="Arial" w:cs="Arial"/>
          <w:bCs/>
          <w:sz w:val="20"/>
          <w:szCs w:val="20"/>
          <w:lang w:val="es-ES" w:eastAsia="es-ES"/>
        </w:rPr>
      </w:pPr>
      <w:r w:rsidRPr="00076DCD">
        <w:rPr>
          <w:rFonts w:ascii="Arial" w:eastAsia="Times New Roman" w:hAnsi="Arial" w:cs="Arial"/>
          <w:b/>
          <w:sz w:val="20"/>
          <w:szCs w:val="20"/>
          <w:lang w:val="es-ES" w:eastAsia="es-ES"/>
        </w:rPr>
        <w:t>5.1.7.2</w:t>
      </w:r>
      <w:r w:rsidRPr="00076DCD">
        <w:rPr>
          <w:rFonts w:ascii="Arial" w:eastAsia="Times New Roman" w:hAnsi="Arial" w:cs="Arial"/>
          <w:b/>
          <w:sz w:val="20"/>
          <w:szCs w:val="20"/>
          <w:lang w:val="es-ES" w:eastAsia="es-ES"/>
        </w:rPr>
        <w:tab/>
        <w:t>Normas</w:t>
      </w:r>
    </w:p>
    <w:p w:rsidR="00EF4587" w:rsidRPr="00076DCD" w:rsidRDefault="00EF4587" w:rsidP="00FE1F22">
      <w:pPr>
        <w:spacing w:before="120" w:after="0" w:line="257" w:lineRule="auto"/>
        <w:ind w:left="567"/>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los accesorios se utilizarán, sin ser limitativas, las versiones vigentes de las normas siguientes: CNE Suministro, ASTM B910, ASTM B228, ANSI C33.8, UNE 21056.</w:t>
      </w:r>
    </w:p>
    <w:p w:rsidR="00590BBA" w:rsidRDefault="00590BBA">
      <w:pPr>
        <w:rPr>
          <w:rFonts w:ascii="Arial" w:eastAsia="Times New Roman" w:hAnsi="Arial" w:cs="Arial"/>
          <w:b/>
          <w:bCs/>
          <w:sz w:val="20"/>
          <w:szCs w:val="20"/>
          <w:lang w:val="es-MX" w:eastAsia="es-ES"/>
        </w:rPr>
      </w:pPr>
      <w:r>
        <w:rPr>
          <w:rFonts w:ascii="Arial" w:eastAsia="Times New Roman" w:hAnsi="Arial" w:cs="Arial"/>
          <w:b/>
          <w:bCs/>
          <w:sz w:val="20"/>
          <w:szCs w:val="20"/>
          <w:lang w:val="es-MX" w:eastAsia="es-ES"/>
        </w:rPr>
        <w:br w:type="page"/>
      </w:r>
    </w:p>
    <w:p w:rsidR="00EF4587" w:rsidRPr="00076DCD" w:rsidRDefault="00EF4587" w:rsidP="00FE1F22">
      <w:pPr>
        <w:spacing w:before="120" w:after="0" w:line="257" w:lineRule="auto"/>
        <w:ind w:left="720" w:hanging="153"/>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lastRenderedPageBreak/>
        <w:t>5.1.7.3</w:t>
      </w:r>
      <w:r w:rsidRPr="00076DCD">
        <w:rPr>
          <w:rFonts w:ascii="Arial" w:eastAsia="Times New Roman" w:hAnsi="Arial" w:cs="Arial"/>
          <w:b/>
          <w:bCs/>
          <w:sz w:val="20"/>
          <w:szCs w:val="20"/>
          <w:lang w:val="es-MX" w:eastAsia="es-ES"/>
        </w:rPr>
        <w:tab/>
        <w:t>Materiales a utilizarse</w:t>
      </w:r>
    </w:p>
    <w:p w:rsidR="00EF4587" w:rsidRPr="00076DCD" w:rsidRDefault="00EF4587" w:rsidP="00FE1F22">
      <w:pPr>
        <w:numPr>
          <w:ilvl w:val="0"/>
          <w:numId w:val="98"/>
        </w:numPr>
        <w:spacing w:before="120" w:after="0" w:line="257" w:lineRule="auto"/>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Cable de puesta a tierra: de preferencia será un cable con alma de acero y recubrimiento de cobre, de 70 mm</w:t>
      </w:r>
      <w:r w:rsidRPr="00076DCD">
        <w:rPr>
          <w:rFonts w:ascii="Arial" w:eastAsia="Times New Roman" w:hAnsi="Arial" w:cs="Arial"/>
          <w:sz w:val="20"/>
          <w:szCs w:val="20"/>
          <w:vertAlign w:val="superscript"/>
          <w:lang w:val="es-MX" w:eastAsia="es-ES"/>
        </w:rPr>
        <w:t>2</w:t>
      </w:r>
      <w:r w:rsidRPr="00076DCD">
        <w:rPr>
          <w:rFonts w:ascii="Arial" w:eastAsia="Times New Roman" w:hAnsi="Arial" w:cs="Arial"/>
          <w:sz w:val="20"/>
          <w:szCs w:val="20"/>
          <w:lang w:val="es-MX" w:eastAsia="es-ES"/>
        </w:rPr>
        <w:t xml:space="preserve"> de sección mínima y una conductividad aproximada del 40 % IACS.</w:t>
      </w:r>
    </w:p>
    <w:p w:rsidR="00EF4587" w:rsidRPr="00076DCD" w:rsidRDefault="00EF4587" w:rsidP="00590BBA">
      <w:pPr>
        <w:numPr>
          <w:ilvl w:val="0"/>
          <w:numId w:val="98"/>
        </w:numPr>
        <w:spacing w:before="60" w:after="0" w:line="257" w:lineRule="auto"/>
        <w:ind w:left="1208" w:hanging="357"/>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Electrodos o varillas: serán con núcleo de acero recubierto de cobre con una conductividad aproximada del 40 % IACS.</w:t>
      </w:r>
    </w:p>
    <w:p w:rsidR="00EF4587" w:rsidRPr="00076DCD" w:rsidRDefault="00EF4587" w:rsidP="00590BBA">
      <w:pPr>
        <w:numPr>
          <w:ilvl w:val="0"/>
          <w:numId w:val="98"/>
        </w:numPr>
        <w:spacing w:before="60" w:after="0" w:line="257" w:lineRule="auto"/>
        <w:ind w:left="1208" w:hanging="357"/>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Conector electrodo-cable: será de bronce y unirá el cable con el electrodo.</w:t>
      </w:r>
    </w:p>
    <w:p w:rsidR="00EF4587" w:rsidRPr="00076DCD" w:rsidRDefault="00EF4587" w:rsidP="00590BBA">
      <w:pPr>
        <w:numPr>
          <w:ilvl w:val="0"/>
          <w:numId w:val="98"/>
        </w:numPr>
        <w:spacing w:before="60" w:after="0" w:line="257" w:lineRule="auto"/>
        <w:ind w:left="1208" w:hanging="357"/>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Conector doble vía: será de cobre estañado para el empalme de los cables de puesta a tierra.</w:t>
      </w:r>
    </w:p>
    <w:p w:rsidR="00EF4587" w:rsidRPr="00076DCD" w:rsidRDefault="00EF4587" w:rsidP="00590BBA">
      <w:pPr>
        <w:numPr>
          <w:ilvl w:val="0"/>
          <w:numId w:val="98"/>
        </w:numPr>
        <w:spacing w:before="60" w:after="0" w:line="257" w:lineRule="auto"/>
        <w:ind w:left="1208" w:hanging="357"/>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Cemento conductivo: se usará como alternativa para mejorar la resistencia de puesta a tierra de las estructuras.</w:t>
      </w:r>
    </w:p>
    <w:p w:rsidR="00EF4587" w:rsidRPr="00076DCD" w:rsidRDefault="00EF4587" w:rsidP="00590BBA">
      <w:pPr>
        <w:numPr>
          <w:ilvl w:val="0"/>
          <w:numId w:val="98"/>
        </w:numPr>
        <w:spacing w:before="60" w:after="0" w:line="257" w:lineRule="auto"/>
        <w:ind w:left="1208" w:hanging="357"/>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En aquellos casos donde la resistividad del terreno sea muy alta se podrán utilizar otros medios para lograr un valor aceptable de resistencia de puesta a tierra, como el uso de puestas a tierra capacitivas.</w:t>
      </w:r>
    </w:p>
    <w:p w:rsidR="00EF4587" w:rsidRPr="00590BBA"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590BBA">
        <w:rPr>
          <w:rFonts w:ascii="Arial" w:eastAsia="Times New Roman" w:hAnsi="Arial" w:cs="Arial"/>
          <w:b/>
          <w:sz w:val="20"/>
          <w:szCs w:val="20"/>
          <w:lang w:val="es-ES" w:eastAsia="es-ES"/>
        </w:rPr>
        <w:t>5.1.8   Cables de energía</w:t>
      </w:r>
    </w:p>
    <w:p w:rsidR="00EF4587" w:rsidRPr="00076DCD" w:rsidRDefault="00EF4587" w:rsidP="00FE1F22">
      <w:pPr>
        <w:keepNext/>
        <w:shd w:val="clear" w:color="auto" w:fill="FFFFFF"/>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0" w:line="257" w:lineRule="auto"/>
        <w:ind w:left="600"/>
        <w:outlineLvl w:val="2"/>
        <w:rPr>
          <w:rFonts w:ascii="Arial" w:eastAsia="Calibri" w:hAnsi="Arial" w:cs="Arial"/>
          <w:b/>
          <w:sz w:val="20"/>
          <w:szCs w:val="20"/>
          <w:lang w:val="es-MX" w:eastAsia="es-ES"/>
        </w:rPr>
      </w:pPr>
      <w:bookmarkStart w:id="38" w:name="_Toc348533993"/>
      <w:r w:rsidRPr="00076DCD">
        <w:rPr>
          <w:rFonts w:ascii="Arial" w:eastAsia="Calibri" w:hAnsi="Arial" w:cs="Arial"/>
          <w:b/>
          <w:bCs/>
          <w:sz w:val="20"/>
          <w:szCs w:val="20"/>
          <w:lang w:val="es-ES" w:eastAsia="es-ES"/>
        </w:rPr>
        <w:t>5.1.8.1</w:t>
      </w:r>
      <w:r w:rsidRPr="00076DCD">
        <w:rPr>
          <w:rFonts w:ascii="Arial" w:eastAsia="Calibri" w:hAnsi="Arial" w:cs="Arial"/>
          <w:b/>
          <w:bCs/>
          <w:sz w:val="20"/>
          <w:szCs w:val="20"/>
          <w:lang w:val="es-ES" w:eastAsia="es-ES"/>
        </w:rPr>
        <w:tab/>
      </w:r>
      <w:r w:rsidRPr="00076DCD">
        <w:rPr>
          <w:rFonts w:ascii="Arial" w:eastAsia="Calibri" w:hAnsi="Arial" w:cs="Arial"/>
          <w:b/>
          <w:sz w:val="20"/>
          <w:szCs w:val="20"/>
          <w:lang w:val="es-MX" w:eastAsia="es-ES"/>
        </w:rPr>
        <w:t>Alcance</w:t>
      </w:r>
      <w:bookmarkEnd w:id="38"/>
    </w:p>
    <w:p w:rsidR="00EF4587" w:rsidRPr="00076DCD" w:rsidRDefault="00EF4587" w:rsidP="00FE1F22">
      <w:pPr>
        <w:tabs>
          <w:tab w:val="left" w:pos="-720"/>
          <w:tab w:val="left" w:pos="1134"/>
          <w:tab w:val="left" w:pos="1701"/>
          <w:tab w:val="left" w:pos="2268"/>
          <w:tab w:val="left" w:pos="2835"/>
        </w:tabs>
        <w:suppressAutoHyphens/>
        <w:spacing w:before="120" w:after="0" w:line="257" w:lineRule="auto"/>
        <w:ind w:left="600"/>
        <w:jc w:val="both"/>
        <w:rPr>
          <w:rFonts w:ascii="Arial" w:eastAsia="Calibri" w:hAnsi="Arial" w:cs="Arial"/>
          <w:sz w:val="20"/>
          <w:szCs w:val="20"/>
          <w:lang w:val="es-MX" w:eastAsia="es-ES"/>
        </w:rPr>
      </w:pPr>
      <w:r w:rsidRPr="00076DCD">
        <w:rPr>
          <w:rFonts w:ascii="Arial" w:eastAsia="Calibri" w:hAnsi="Arial" w:cs="Arial"/>
          <w:bCs/>
          <w:sz w:val="20"/>
          <w:szCs w:val="20"/>
          <w:lang w:val="x-none" w:eastAsia="zh-CN"/>
        </w:rPr>
        <w:t xml:space="preserve">Estas especificaciones establecen </w:t>
      </w:r>
      <w:r w:rsidRPr="00076DCD">
        <w:rPr>
          <w:rFonts w:ascii="Arial" w:eastAsia="Calibri" w:hAnsi="Arial" w:cs="Arial"/>
          <w:sz w:val="20"/>
          <w:szCs w:val="20"/>
          <w:lang w:val="es-MX" w:eastAsia="es-ES"/>
        </w:rPr>
        <w:t>las características técnicas mínimas requeridas, para la fabricación, pruebas y suministro del cable subterráneo.</w:t>
      </w:r>
    </w:p>
    <w:p w:rsidR="00EF4587" w:rsidRPr="00076DCD" w:rsidRDefault="00EF4587" w:rsidP="00FE1F22">
      <w:pPr>
        <w:keepNext/>
        <w:numPr>
          <w:ilvl w:val="3"/>
          <w:numId w:val="99"/>
        </w:numPr>
        <w:shd w:val="clear" w:color="auto" w:fill="FFFFFF"/>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0" w:line="257" w:lineRule="auto"/>
        <w:ind w:left="600" w:firstLine="0"/>
        <w:outlineLvl w:val="2"/>
        <w:rPr>
          <w:rFonts w:ascii="Arial" w:eastAsia="Calibri" w:hAnsi="Arial" w:cs="Arial"/>
          <w:b/>
          <w:sz w:val="20"/>
          <w:szCs w:val="20"/>
          <w:lang w:val="es-MX" w:eastAsia="es-ES"/>
        </w:rPr>
      </w:pPr>
      <w:bookmarkStart w:id="39" w:name="_Toc348533994"/>
      <w:r w:rsidRPr="00076DCD">
        <w:rPr>
          <w:rFonts w:ascii="Arial" w:eastAsia="Calibri" w:hAnsi="Arial" w:cs="Arial"/>
          <w:b/>
          <w:sz w:val="20"/>
          <w:szCs w:val="20"/>
          <w:lang w:val="es-MX" w:eastAsia="es-ES"/>
        </w:rPr>
        <w:t>Normas</w:t>
      </w:r>
      <w:bookmarkEnd w:id="39"/>
      <w:r w:rsidRPr="00076DCD">
        <w:rPr>
          <w:rFonts w:ascii="Arial" w:eastAsia="Calibri" w:hAnsi="Arial" w:cs="Arial"/>
          <w:b/>
          <w:sz w:val="20"/>
          <w:szCs w:val="20"/>
          <w:lang w:val="es-MX" w:eastAsia="es-ES"/>
        </w:rPr>
        <w:t xml:space="preserve"> </w:t>
      </w:r>
    </w:p>
    <w:p w:rsidR="00EF4587" w:rsidRPr="00076DCD" w:rsidRDefault="00EF4587" w:rsidP="00FE1F22">
      <w:pPr>
        <w:tabs>
          <w:tab w:val="left" w:pos="567"/>
          <w:tab w:val="left" w:pos="1134"/>
          <w:tab w:val="left" w:pos="1701"/>
          <w:tab w:val="left" w:pos="2268"/>
          <w:tab w:val="left" w:pos="2835"/>
        </w:tabs>
        <w:suppressAutoHyphens/>
        <w:spacing w:before="120" w:after="0" w:line="257" w:lineRule="auto"/>
        <w:ind w:left="567"/>
        <w:jc w:val="both"/>
        <w:rPr>
          <w:rFonts w:ascii="Arial" w:eastAsia="Calibri" w:hAnsi="Arial" w:cs="Arial"/>
          <w:sz w:val="20"/>
          <w:szCs w:val="20"/>
          <w:lang w:val="es-MX" w:eastAsia="es-ES"/>
        </w:rPr>
      </w:pPr>
      <w:r w:rsidRPr="00076DCD">
        <w:rPr>
          <w:rFonts w:ascii="Arial" w:eastAsia="Calibri" w:hAnsi="Arial" w:cs="Arial"/>
          <w:sz w:val="20"/>
          <w:szCs w:val="20"/>
          <w:lang w:val="es-MX" w:eastAsia="es-ES"/>
        </w:rPr>
        <w:t>Las siguientes normas se aplicarán para el diseño, fabricación y pruebas del cable a suministrar:</w:t>
      </w:r>
    </w:p>
    <w:p w:rsidR="00EF4587" w:rsidRPr="00076DCD" w:rsidRDefault="00EF4587" w:rsidP="00FE1F22">
      <w:pPr>
        <w:numPr>
          <w:ilvl w:val="0"/>
          <w:numId w:val="101"/>
        </w:numPr>
        <w:tabs>
          <w:tab w:val="clear" w:pos="1407"/>
          <w:tab w:val="left" w:pos="-720"/>
        </w:tabs>
        <w:suppressAutoHyphens/>
        <w:spacing w:before="120" w:after="0" w:line="257" w:lineRule="auto"/>
        <w:ind w:left="993" w:firstLine="0"/>
        <w:jc w:val="both"/>
        <w:rPr>
          <w:rFonts w:ascii="Arial" w:eastAsia="Calibri" w:hAnsi="Arial" w:cs="Arial"/>
          <w:b/>
          <w:sz w:val="20"/>
          <w:szCs w:val="20"/>
          <w:lang w:val="es-ES" w:eastAsia="es-ES"/>
        </w:rPr>
      </w:pPr>
      <w:r w:rsidRPr="00076DCD">
        <w:rPr>
          <w:rFonts w:ascii="Arial" w:eastAsia="Calibri" w:hAnsi="Arial" w:cs="Arial"/>
          <w:b/>
          <w:sz w:val="20"/>
          <w:szCs w:val="20"/>
          <w:lang w:val="es-ES" w:eastAsia="es-ES"/>
        </w:rPr>
        <w:t>Relativas  al conductor y al aislamiento</w:t>
      </w:r>
    </w:p>
    <w:p w:rsidR="00EF4587" w:rsidRPr="00076DCD" w:rsidRDefault="00EF4587" w:rsidP="00FE1F22">
      <w:pPr>
        <w:numPr>
          <w:ilvl w:val="0"/>
          <w:numId w:val="100"/>
        </w:numPr>
        <w:tabs>
          <w:tab w:val="left" w:pos="-720"/>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0" w:line="257" w:lineRule="auto"/>
        <w:ind w:left="1680"/>
        <w:jc w:val="both"/>
        <w:rPr>
          <w:rFonts w:ascii="Arial" w:eastAsia="Calibri" w:hAnsi="Arial" w:cs="Arial"/>
          <w:sz w:val="20"/>
          <w:szCs w:val="20"/>
          <w:lang w:val="en-US" w:eastAsia="es-ES"/>
        </w:rPr>
      </w:pPr>
      <w:r w:rsidRPr="00076DCD">
        <w:rPr>
          <w:rFonts w:ascii="Arial" w:eastAsia="Calibri" w:hAnsi="Arial" w:cs="Arial"/>
          <w:sz w:val="20"/>
          <w:szCs w:val="20"/>
          <w:lang w:val="en-US" w:eastAsia="es-ES"/>
        </w:rPr>
        <w:t>IEC 60228, Conductors of Insulated Cables</w:t>
      </w:r>
    </w:p>
    <w:p w:rsidR="00EF4587" w:rsidRPr="00076DCD" w:rsidRDefault="00EF4587" w:rsidP="00590BBA">
      <w:pPr>
        <w:numPr>
          <w:ilvl w:val="0"/>
          <w:numId w:val="100"/>
        </w:numPr>
        <w:tabs>
          <w:tab w:val="left" w:pos="-720"/>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after="0" w:line="257" w:lineRule="auto"/>
        <w:ind w:left="1678" w:hanging="357"/>
        <w:jc w:val="both"/>
        <w:rPr>
          <w:rFonts w:ascii="Arial" w:eastAsia="Calibri" w:hAnsi="Arial" w:cs="Arial"/>
          <w:sz w:val="20"/>
          <w:szCs w:val="20"/>
          <w:lang w:val="en-US" w:eastAsia="es-ES"/>
        </w:rPr>
      </w:pPr>
      <w:r w:rsidRPr="00076DCD">
        <w:rPr>
          <w:rFonts w:ascii="Arial" w:eastAsia="Calibri" w:hAnsi="Arial" w:cs="Arial"/>
          <w:sz w:val="20"/>
          <w:szCs w:val="20"/>
          <w:lang w:val="en-US" w:eastAsia="es-ES"/>
        </w:rPr>
        <w:t>AEIC CS9/ICEA S-108-720, Specifications for Cross-Linked Polyethylene Insulated Shielded Power Cables</w:t>
      </w:r>
    </w:p>
    <w:p w:rsidR="00EF4587" w:rsidRPr="00076DCD" w:rsidRDefault="00EF4587" w:rsidP="00590BBA">
      <w:pPr>
        <w:numPr>
          <w:ilvl w:val="0"/>
          <w:numId w:val="100"/>
        </w:numPr>
        <w:tabs>
          <w:tab w:val="left" w:pos="-720"/>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after="0" w:line="257" w:lineRule="auto"/>
        <w:ind w:left="1678" w:hanging="357"/>
        <w:jc w:val="both"/>
        <w:rPr>
          <w:rFonts w:ascii="Arial" w:eastAsia="Calibri" w:hAnsi="Arial" w:cs="Arial"/>
          <w:sz w:val="20"/>
          <w:szCs w:val="20"/>
          <w:lang w:val="en-US" w:eastAsia="es-ES"/>
        </w:rPr>
      </w:pPr>
      <w:r w:rsidRPr="00076DCD">
        <w:rPr>
          <w:rFonts w:ascii="Arial" w:eastAsia="Calibri" w:hAnsi="Arial" w:cs="Arial"/>
          <w:sz w:val="20"/>
          <w:szCs w:val="20"/>
          <w:lang w:val="en-US" w:eastAsia="es-ES"/>
        </w:rPr>
        <w:t>IEC 60853, Calculation of the cyclic and emergency current rating of cables.</w:t>
      </w:r>
    </w:p>
    <w:p w:rsidR="00EF4587" w:rsidRPr="00FE1F22" w:rsidRDefault="00EF4587" w:rsidP="00FE1F22">
      <w:pPr>
        <w:tabs>
          <w:tab w:val="left" w:pos="-720"/>
        </w:tabs>
        <w:suppressAutoHyphens/>
        <w:spacing w:before="120" w:after="0" w:line="257" w:lineRule="auto"/>
        <w:ind w:left="960"/>
        <w:jc w:val="both"/>
        <w:rPr>
          <w:rFonts w:ascii="Arial" w:eastAsia="Calibri" w:hAnsi="Arial" w:cs="Arial"/>
          <w:b/>
          <w:sz w:val="20"/>
          <w:szCs w:val="20"/>
          <w:lang w:eastAsia="es-ES"/>
        </w:rPr>
      </w:pPr>
      <w:r w:rsidRPr="00FE1F22">
        <w:rPr>
          <w:rFonts w:ascii="Arial" w:eastAsia="Calibri" w:hAnsi="Arial" w:cs="Arial"/>
          <w:b/>
          <w:sz w:val="20"/>
          <w:szCs w:val="20"/>
          <w:lang w:eastAsia="es-ES"/>
        </w:rPr>
        <w:t>b)</w:t>
      </w:r>
      <w:r w:rsidRPr="00FE1F22">
        <w:rPr>
          <w:rFonts w:ascii="Arial" w:eastAsia="Calibri" w:hAnsi="Arial" w:cs="Arial"/>
          <w:b/>
          <w:sz w:val="20"/>
          <w:szCs w:val="20"/>
          <w:lang w:eastAsia="es-ES"/>
        </w:rPr>
        <w:tab/>
        <w:t>Relativas a las pruebas</w:t>
      </w:r>
    </w:p>
    <w:p w:rsidR="00EF4587" w:rsidRPr="00076DCD" w:rsidRDefault="00EF4587" w:rsidP="00FE1F22">
      <w:pPr>
        <w:numPr>
          <w:ilvl w:val="0"/>
          <w:numId w:val="102"/>
        </w:numPr>
        <w:tabs>
          <w:tab w:val="left" w:pos="-720"/>
          <w:tab w:val="left" w:pos="1680"/>
        </w:tabs>
        <w:autoSpaceDE w:val="0"/>
        <w:autoSpaceDN w:val="0"/>
        <w:adjustRightInd w:val="0"/>
        <w:spacing w:before="120" w:after="0" w:line="257" w:lineRule="auto"/>
        <w:ind w:left="1680"/>
        <w:jc w:val="both"/>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 xml:space="preserve">IEC 62067 Power cables with extruded insulation and their accessories for rated voltages above 150 kV (Um = 170 kV) up to 500 kV (Um = 550 kV) – Test methods and requirements </w:t>
      </w:r>
    </w:p>
    <w:p w:rsidR="00EF4587" w:rsidRPr="00076DCD" w:rsidRDefault="00EF4587" w:rsidP="00590BBA">
      <w:pPr>
        <w:numPr>
          <w:ilvl w:val="0"/>
          <w:numId w:val="102"/>
        </w:numPr>
        <w:tabs>
          <w:tab w:val="left" w:pos="-720"/>
          <w:tab w:val="left" w:pos="709"/>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after="0" w:line="257" w:lineRule="auto"/>
        <w:ind w:left="1678" w:hanging="357"/>
        <w:jc w:val="both"/>
        <w:rPr>
          <w:rFonts w:ascii="Arial" w:eastAsia="Calibri" w:hAnsi="Arial" w:cs="Arial"/>
          <w:sz w:val="20"/>
          <w:szCs w:val="20"/>
          <w:lang w:val="en-US" w:eastAsia="es-ES"/>
        </w:rPr>
      </w:pPr>
      <w:r w:rsidRPr="00076DCD">
        <w:rPr>
          <w:rFonts w:ascii="Arial" w:eastAsia="Calibri" w:hAnsi="Arial" w:cs="Arial"/>
          <w:sz w:val="20"/>
          <w:szCs w:val="20"/>
          <w:lang w:val="en-US" w:eastAsia="es-ES"/>
        </w:rPr>
        <w:t>IEC 60230, Impulse Tests on Cables and their accessories</w:t>
      </w:r>
    </w:p>
    <w:p w:rsidR="00EF4587" w:rsidRPr="00076DCD" w:rsidRDefault="00EF4587" w:rsidP="00590BBA">
      <w:pPr>
        <w:numPr>
          <w:ilvl w:val="0"/>
          <w:numId w:val="102"/>
        </w:numPr>
        <w:tabs>
          <w:tab w:val="left" w:pos="-720"/>
          <w:tab w:val="left" w:pos="1680"/>
        </w:tabs>
        <w:suppressAutoHyphens/>
        <w:spacing w:before="60" w:after="0" w:line="257" w:lineRule="auto"/>
        <w:ind w:left="1678" w:hanging="357"/>
        <w:jc w:val="both"/>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IEC 60811-100 Electrical and optical fibre cables – Test methods for non metallic materials – Part 100 – General.</w:t>
      </w:r>
    </w:p>
    <w:p w:rsidR="00EF4587" w:rsidRPr="00076DCD" w:rsidRDefault="00EF4587" w:rsidP="00590BBA">
      <w:pPr>
        <w:numPr>
          <w:ilvl w:val="0"/>
          <w:numId w:val="102"/>
        </w:numPr>
        <w:tabs>
          <w:tab w:val="left" w:pos="-720"/>
          <w:tab w:val="left" w:pos="709"/>
          <w:tab w:val="left" w:pos="1134"/>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60" w:after="0" w:line="257" w:lineRule="auto"/>
        <w:ind w:left="1678" w:hanging="357"/>
        <w:jc w:val="both"/>
        <w:rPr>
          <w:rFonts w:ascii="Arial" w:eastAsia="Calibri" w:hAnsi="Arial" w:cs="Arial"/>
          <w:sz w:val="20"/>
          <w:szCs w:val="20"/>
          <w:lang w:val="es-MX" w:eastAsia="es-ES"/>
        </w:rPr>
      </w:pPr>
      <w:r w:rsidRPr="00076DCD">
        <w:rPr>
          <w:rFonts w:ascii="Arial" w:eastAsia="Calibri" w:hAnsi="Arial" w:cs="Arial"/>
          <w:sz w:val="20"/>
          <w:szCs w:val="20"/>
          <w:lang w:val="en-GB" w:eastAsia="es-ES"/>
        </w:rPr>
        <w:t>Rec</w:t>
      </w:r>
      <w:r w:rsidRPr="00076DCD">
        <w:rPr>
          <w:rFonts w:ascii="Arial" w:eastAsia="Calibri" w:hAnsi="Arial" w:cs="Arial"/>
          <w:sz w:val="20"/>
          <w:szCs w:val="20"/>
          <w:lang w:val="es-MX" w:eastAsia="es-ES"/>
        </w:rPr>
        <w:t>omendaciones del CIGRE GT 21.03</w:t>
      </w:r>
    </w:p>
    <w:p w:rsidR="00EF4587" w:rsidRPr="00076DCD" w:rsidRDefault="00EF4587" w:rsidP="00FE1F22">
      <w:pPr>
        <w:keepNext/>
        <w:shd w:val="clear" w:color="auto" w:fill="FFFFFF"/>
        <w:suppressAutoHyphens/>
        <w:spacing w:before="120" w:after="0" w:line="257" w:lineRule="auto"/>
        <w:ind w:left="600"/>
        <w:outlineLvl w:val="2"/>
        <w:rPr>
          <w:rFonts w:ascii="Arial" w:eastAsia="Calibri" w:hAnsi="Arial" w:cs="Arial"/>
          <w:b/>
          <w:sz w:val="20"/>
          <w:szCs w:val="20"/>
          <w:lang w:val="es-ES" w:eastAsia="es-ES"/>
        </w:rPr>
      </w:pPr>
      <w:r w:rsidRPr="00076DCD">
        <w:rPr>
          <w:rFonts w:ascii="Arial" w:eastAsia="Calibri" w:hAnsi="Arial" w:cs="Arial"/>
          <w:b/>
          <w:sz w:val="20"/>
          <w:szCs w:val="20"/>
          <w:lang w:val="es-ES" w:eastAsia="es-ES"/>
        </w:rPr>
        <w:t>5.1.8.3</w:t>
      </w:r>
      <w:r w:rsidRPr="00076DCD">
        <w:rPr>
          <w:rFonts w:ascii="Arial" w:eastAsia="Calibri" w:hAnsi="Arial" w:cs="Arial"/>
          <w:b/>
          <w:sz w:val="20"/>
          <w:szCs w:val="20"/>
          <w:lang w:val="es-ES" w:eastAsia="es-ES"/>
        </w:rPr>
        <w:tab/>
        <w:t>Características Principales del Cable de Energía</w:t>
      </w:r>
    </w:p>
    <w:p w:rsidR="00EF4587" w:rsidRPr="00076DCD" w:rsidRDefault="00EF4587" w:rsidP="00FE1F22">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Sociedad Concesionaria seleccionará el tipo de cable subterráneo que garantice el cumplimiento de los requerimientos técnicos establecidos en los apartados 1 y 2 del presente anexo, a lo largo de toda la vida útil de la línea. Para este fin podrá evaluar cables con aislamiento seco tipo XLPE y conductor de cobre o aluminio, tomando en cuenta el nivel de tensión de la línea, la capacidad de transporte requerida, el número de conductores por fase,  los esfuerzos mecánicos a los que estará sometido el cable, el tipo de tendido subterráneo y las condiciones climáticas de la zona en la que se ubica la línea, de tal manera que la alternativa seleccionada constituya la mejor opción final de construcción, y no supere el límite de pérdidas máximas por efecto Joule definidas como parte de los requerimiento técnicos de la línea.</w:t>
      </w:r>
    </w:p>
    <w:p w:rsidR="00EF4587" w:rsidRPr="00076DCD" w:rsidRDefault="00EF4587" w:rsidP="00590BBA">
      <w:pPr>
        <w:spacing w:before="120" w:after="12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lastRenderedPageBreak/>
        <w:t xml:space="preserve">Corresponde a la Sociedad Concesionaria establecer las características técnicas de los cables subterráneos que cumplan con las recomendaciones de las normas técnicas señaladas en esta especificación, sin embargo de manera referencial se incluye a continuación las características técnicas principales que deberán ser evaluadas: </w:t>
      </w:r>
    </w:p>
    <w:tbl>
      <w:tblPr>
        <w:tblW w:w="8814" w:type="dxa"/>
        <w:jc w:val="right"/>
        <w:tblInd w:w="304" w:type="dxa"/>
        <w:tblCellMar>
          <w:left w:w="70" w:type="dxa"/>
          <w:right w:w="70" w:type="dxa"/>
        </w:tblCellMar>
        <w:tblLook w:val="0000" w:firstRow="0" w:lastRow="0" w:firstColumn="0" w:lastColumn="0" w:noHBand="0" w:noVBand="0"/>
      </w:tblPr>
      <w:tblGrid>
        <w:gridCol w:w="1957"/>
        <w:gridCol w:w="3695"/>
        <w:gridCol w:w="1320"/>
        <w:gridCol w:w="1842"/>
      </w:tblGrid>
      <w:tr w:rsidR="00EF4587" w:rsidRPr="00076DCD" w:rsidTr="00590BBA">
        <w:trPr>
          <w:trHeight w:val="248"/>
          <w:jc w:val="right"/>
        </w:trPr>
        <w:tc>
          <w:tcPr>
            <w:tcW w:w="5652" w:type="dxa"/>
            <w:gridSpan w:val="2"/>
            <w:tcBorders>
              <w:top w:val="dotted" w:sz="4" w:space="0" w:color="auto"/>
              <w:left w:val="dotted" w:sz="4" w:space="0" w:color="auto"/>
              <w:bottom w:val="dotted" w:sz="4" w:space="0" w:color="auto"/>
              <w:right w:val="dotted" w:sz="4" w:space="0" w:color="auto"/>
            </w:tcBorders>
            <w:shd w:val="clear" w:color="auto" w:fill="DBE5F1" w:themeFill="accent1" w:themeFillTint="33"/>
            <w:noWrap/>
            <w:vAlign w:val="bottom"/>
          </w:tcPr>
          <w:p w:rsidR="00EF4587" w:rsidRPr="00076DCD" w:rsidRDefault="00EF4587" w:rsidP="00B07EB1">
            <w:pPr>
              <w:spacing w:after="0" w:line="257" w:lineRule="auto"/>
              <w:jc w:val="center"/>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Característica</w:t>
            </w:r>
          </w:p>
        </w:tc>
        <w:tc>
          <w:tcPr>
            <w:tcW w:w="1320" w:type="dxa"/>
            <w:tcBorders>
              <w:top w:val="dotted" w:sz="4" w:space="0" w:color="auto"/>
              <w:left w:val="dotted" w:sz="4" w:space="0" w:color="auto"/>
              <w:bottom w:val="dotted" w:sz="4" w:space="0" w:color="auto"/>
              <w:right w:val="dotted" w:sz="4" w:space="0" w:color="auto"/>
            </w:tcBorders>
            <w:shd w:val="clear" w:color="auto" w:fill="DBE5F1" w:themeFill="accent1" w:themeFillTint="33"/>
            <w:noWrap/>
            <w:vAlign w:val="bottom"/>
          </w:tcPr>
          <w:p w:rsidR="00EF4587" w:rsidRPr="00076DCD" w:rsidRDefault="00EF4587" w:rsidP="00B07EB1">
            <w:pPr>
              <w:spacing w:after="0" w:line="257" w:lineRule="auto"/>
              <w:jc w:val="center"/>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Unidad</w:t>
            </w:r>
          </w:p>
        </w:tc>
        <w:tc>
          <w:tcPr>
            <w:tcW w:w="1842"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bottom"/>
          </w:tcPr>
          <w:p w:rsidR="00EF4587" w:rsidRPr="00076DCD" w:rsidRDefault="00EF4587" w:rsidP="00B07EB1">
            <w:pPr>
              <w:spacing w:after="0" w:line="257" w:lineRule="auto"/>
              <w:jc w:val="center"/>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Valor (*)</w:t>
            </w:r>
          </w:p>
        </w:tc>
      </w:tr>
      <w:tr w:rsidR="00EF4587" w:rsidRPr="00076DCD" w:rsidTr="00590BBA">
        <w:trPr>
          <w:trHeight w:val="248"/>
          <w:jc w:val="right"/>
        </w:trPr>
        <w:tc>
          <w:tcPr>
            <w:tcW w:w="1957"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numPr>
                <w:ilvl w:val="0"/>
                <w:numId w:val="76"/>
              </w:numPr>
              <w:spacing w:after="0" w:line="257" w:lineRule="auto"/>
              <w:ind w:left="214" w:hanging="214"/>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Tipo</w:t>
            </w: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Tipo de cable</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bCs/>
                <w:sz w:val="20"/>
                <w:szCs w:val="20"/>
                <w:lang w:val="es-ES" w:eastAsia="es-ES"/>
              </w:rPr>
            </w:pP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Unipolar</w:t>
            </w:r>
          </w:p>
        </w:tc>
      </w:tr>
      <w:tr w:rsidR="00EF4587" w:rsidRPr="00076DCD" w:rsidTr="00590BBA">
        <w:trPr>
          <w:trHeight w:val="307"/>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2. Conductor</w:t>
            </w: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Material </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Cobre </w:t>
            </w:r>
          </w:p>
        </w:tc>
      </w:tr>
      <w:tr w:rsidR="00EF4587" w:rsidRPr="00076DCD" w:rsidTr="00590BBA">
        <w:trPr>
          <w:trHeight w:val="307"/>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b/>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Sección nominal </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mm</w:t>
            </w:r>
            <w:r w:rsidRPr="00076DCD">
              <w:rPr>
                <w:rFonts w:ascii="Arial" w:eastAsia="Times New Roman" w:hAnsi="Arial" w:cs="Arial"/>
                <w:sz w:val="20"/>
                <w:szCs w:val="20"/>
                <w:vertAlign w:val="superscript"/>
                <w:lang w:val="es-ES" w:eastAsia="es-ES"/>
              </w:rPr>
              <w:t>2</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1600</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b/>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Diámetro exterior</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mm</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51,1</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b/>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Resistencia eléctrica en c-c a 20ºC </w:t>
            </w:r>
          </w:p>
        </w:tc>
        <w:tc>
          <w:tcPr>
            <w:tcW w:w="1320"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ohm/km</w:t>
            </w:r>
          </w:p>
        </w:tc>
        <w:tc>
          <w:tcPr>
            <w:tcW w:w="1842"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0,0113</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b/>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Temperatura de operación normal</w:t>
            </w:r>
          </w:p>
        </w:tc>
        <w:tc>
          <w:tcPr>
            <w:tcW w:w="1320"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w:t>
            </w:r>
          </w:p>
        </w:tc>
        <w:tc>
          <w:tcPr>
            <w:tcW w:w="1842"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90</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Temperatura en corto-circuito </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250 </w:t>
            </w:r>
          </w:p>
        </w:tc>
      </w:tr>
      <w:tr w:rsidR="00EF4587" w:rsidRPr="00076DCD" w:rsidTr="00590BBA">
        <w:trPr>
          <w:trHeight w:val="248"/>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3. Aislamiento</w:t>
            </w: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Material</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XLPE</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Espesor nominal </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mm</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22</w:t>
            </w:r>
          </w:p>
        </w:tc>
      </w:tr>
      <w:tr w:rsidR="00EF4587" w:rsidRPr="00076DCD" w:rsidTr="00590BBA">
        <w:trPr>
          <w:trHeight w:val="27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Temperatura en corto-circuito</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250</w:t>
            </w:r>
          </w:p>
        </w:tc>
      </w:tr>
      <w:tr w:rsidR="00EF4587" w:rsidRPr="00076DCD" w:rsidTr="00590BBA">
        <w:trPr>
          <w:trHeight w:val="278"/>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ind w:left="214" w:hanging="214"/>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4. Pantalla conductora</w:t>
            </w: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Material </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Cobre electrolítico</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Sección nominal</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mm</w:t>
            </w:r>
            <w:r w:rsidRPr="00076DCD">
              <w:rPr>
                <w:rFonts w:ascii="Arial" w:eastAsia="Times New Roman" w:hAnsi="Arial" w:cs="Arial"/>
                <w:sz w:val="20"/>
                <w:szCs w:val="20"/>
                <w:vertAlign w:val="superscript"/>
                <w:lang w:val="es-ES" w:eastAsia="es-ES"/>
              </w:rPr>
              <w:t>2</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Para la corriente de cortocircuito indicada                </w:t>
            </w:r>
          </w:p>
        </w:tc>
      </w:tr>
      <w:tr w:rsidR="00EF4587" w:rsidRPr="00076DCD" w:rsidTr="00590BBA">
        <w:trPr>
          <w:trHeight w:val="248"/>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ind w:left="214" w:hanging="214"/>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5. Cubierta exterior</w:t>
            </w:r>
          </w:p>
        </w:tc>
        <w:tc>
          <w:tcPr>
            <w:tcW w:w="369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Material </w:t>
            </w:r>
          </w:p>
        </w:tc>
        <w:tc>
          <w:tcPr>
            <w:tcW w:w="1320"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1842"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HDPE</w:t>
            </w:r>
          </w:p>
        </w:tc>
      </w:tr>
      <w:tr w:rsidR="00EF4587" w:rsidRPr="00076DCD" w:rsidTr="00590BBA">
        <w:trPr>
          <w:trHeight w:val="248"/>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Espesor nominal</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mm</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4</w:t>
            </w:r>
          </w:p>
        </w:tc>
      </w:tr>
      <w:tr w:rsidR="00EF4587" w:rsidRPr="00076DCD" w:rsidTr="00590BBA">
        <w:trPr>
          <w:trHeight w:val="263"/>
          <w:jc w:val="right"/>
        </w:trPr>
        <w:tc>
          <w:tcPr>
            <w:tcW w:w="1957"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ind w:left="214" w:hanging="214"/>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6. Diámetro exterior</w:t>
            </w:r>
          </w:p>
        </w:tc>
        <w:tc>
          <w:tcPr>
            <w:tcW w:w="369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Diámetro exterior del cable</w:t>
            </w:r>
          </w:p>
        </w:tc>
        <w:tc>
          <w:tcPr>
            <w:tcW w:w="1320"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mm</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110,52</w:t>
            </w:r>
          </w:p>
        </w:tc>
      </w:tr>
      <w:tr w:rsidR="00EF4587" w:rsidRPr="00076DCD" w:rsidTr="00590BBA">
        <w:trPr>
          <w:trHeight w:val="263"/>
          <w:jc w:val="right"/>
        </w:trPr>
        <w:tc>
          <w:tcPr>
            <w:tcW w:w="1957" w:type="dxa"/>
            <w:vMerge w:val="restart"/>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 Tendido</w:t>
            </w: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Radio mínimo de curvatura después del tendido</w:t>
            </w:r>
          </w:p>
        </w:tc>
        <w:tc>
          <w:tcPr>
            <w:tcW w:w="1320"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B07EB1">
            <w:pPr>
              <w:spacing w:after="0" w:line="257" w:lineRule="auto"/>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2,35</w:t>
            </w:r>
          </w:p>
        </w:tc>
      </w:tr>
      <w:tr w:rsidR="00EF4587" w:rsidRPr="00076DCD" w:rsidTr="00590BBA">
        <w:trPr>
          <w:trHeight w:val="263"/>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Tiro máximo de tendido</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kg</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9750</w:t>
            </w:r>
          </w:p>
        </w:tc>
      </w:tr>
      <w:tr w:rsidR="00EF4587" w:rsidRPr="00076DCD" w:rsidTr="00590BBA">
        <w:trPr>
          <w:trHeight w:val="263"/>
          <w:jc w:val="right"/>
        </w:trPr>
        <w:tc>
          <w:tcPr>
            <w:tcW w:w="1957" w:type="dxa"/>
            <w:vMerge/>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p>
        </w:tc>
        <w:tc>
          <w:tcPr>
            <w:tcW w:w="3695"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Peso total</w:t>
            </w:r>
          </w:p>
        </w:tc>
        <w:tc>
          <w:tcPr>
            <w:tcW w:w="1320" w:type="dxa"/>
            <w:tcBorders>
              <w:top w:val="dotted" w:sz="4" w:space="0" w:color="auto"/>
              <w:left w:val="dotted" w:sz="4" w:space="0" w:color="auto"/>
              <w:bottom w:val="dotted" w:sz="4" w:space="0" w:color="auto"/>
              <w:right w:val="dotted" w:sz="4" w:space="0" w:color="auto"/>
            </w:tcBorders>
            <w:noWrap/>
            <w:vAlign w:val="bottom"/>
          </w:tcPr>
          <w:p w:rsidR="00EF4587" w:rsidRPr="00076DCD" w:rsidRDefault="00EF4587" w:rsidP="00B07EB1">
            <w:pPr>
              <w:spacing w:after="0" w:line="257" w:lineRule="auto"/>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kg/m</w:t>
            </w:r>
          </w:p>
        </w:tc>
        <w:tc>
          <w:tcPr>
            <w:tcW w:w="1842" w:type="dxa"/>
            <w:tcBorders>
              <w:top w:val="dotted" w:sz="4" w:space="0" w:color="auto"/>
              <w:left w:val="dotted" w:sz="4" w:space="0" w:color="auto"/>
              <w:bottom w:val="dotted" w:sz="4" w:space="0" w:color="auto"/>
              <w:right w:val="dotted" w:sz="4" w:space="0" w:color="auto"/>
            </w:tcBorders>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26</w:t>
            </w:r>
          </w:p>
        </w:tc>
      </w:tr>
    </w:tbl>
    <w:p w:rsidR="00EF4587" w:rsidRPr="00590BBA" w:rsidRDefault="00EF4587" w:rsidP="00590BBA">
      <w:pPr>
        <w:tabs>
          <w:tab w:val="left" w:pos="1560"/>
        </w:tabs>
        <w:spacing w:before="120" w:after="0" w:line="257" w:lineRule="auto"/>
        <w:ind w:left="1560" w:hanging="851"/>
        <w:jc w:val="both"/>
        <w:rPr>
          <w:rFonts w:ascii="Arial" w:eastAsia="Times New Roman" w:hAnsi="Arial" w:cs="Arial"/>
          <w:bCs/>
          <w:sz w:val="16"/>
          <w:szCs w:val="16"/>
          <w:lang w:val="es-ES" w:eastAsia="es-ES"/>
        </w:rPr>
      </w:pPr>
      <w:r w:rsidRPr="00590BBA">
        <w:rPr>
          <w:rFonts w:ascii="Arial" w:eastAsia="Times New Roman" w:hAnsi="Arial" w:cs="Arial"/>
          <w:b/>
          <w:bCs/>
          <w:sz w:val="16"/>
          <w:szCs w:val="16"/>
          <w:lang w:val="es-ES" w:eastAsia="es-ES"/>
        </w:rPr>
        <w:t>Nota (*):</w:t>
      </w:r>
      <w:r w:rsidRPr="00590BBA">
        <w:rPr>
          <w:rFonts w:ascii="Arial" w:eastAsia="Times New Roman" w:hAnsi="Arial" w:cs="Arial"/>
          <w:b/>
          <w:bCs/>
          <w:sz w:val="16"/>
          <w:szCs w:val="16"/>
          <w:lang w:val="es-ES" w:eastAsia="es-ES"/>
        </w:rPr>
        <w:tab/>
      </w:r>
      <w:r w:rsidRPr="00590BBA">
        <w:rPr>
          <w:rFonts w:ascii="Arial" w:eastAsia="Times New Roman" w:hAnsi="Arial" w:cs="Arial"/>
          <w:bCs/>
          <w:sz w:val="16"/>
          <w:szCs w:val="16"/>
          <w:lang w:val="es-ES" w:eastAsia="es-ES"/>
        </w:rPr>
        <w:t>Los valores en esta columna son referenciales y corresponden a un cable unipolar con conductor de cobre. Los valores definitivos serán definidos por la Sociedad Concesionaria y el cable d</w:t>
      </w:r>
      <w:r w:rsidRPr="00590BBA">
        <w:rPr>
          <w:rFonts w:ascii="Arial" w:eastAsia="Times New Roman" w:hAnsi="Arial" w:cs="Arial"/>
          <w:spacing w:val="-2"/>
          <w:sz w:val="16"/>
          <w:szCs w:val="16"/>
          <w:lang w:val="es-ES" w:eastAsia="es-ES"/>
        </w:rPr>
        <w:t>eberá ser capaz de soportar una corriente de cortocircuito  de  40 kA.</w:t>
      </w:r>
    </w:p>
    <w:p w:rsidR="00EF4587" w:rsidRPr="00076DCD" w:rsidRDefault="00EF4587" w:rsidP="00590BBA">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5.1.9  Accesorios de cables de energía</w:t>
      </w:r>
    </w:p>
    <w:p w:rsidR="00EF4587" w:rsidRPr="00076DCD" w:rsidRDefault="00EF4587" w:rsidP="00590BBA">
      <w:pPr>
        <w:spacing w:before="120"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5.1.9.1 Estructuras metálicas</w:t>
      </w:r>
    </w:p>
    <w:p w:rsidR="00EF4587" w:rsidRPr="00076DCD" w:rsidRDefault="00EF4587" w:rsidP="00590BBA">
      <w:pPr>
        <w:tabs>
          <w:tab w:val="left" w:pos="284"/>
        </w:tabs>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Para la subida y bajada de los cables de energía se utilizarán torres metálicas, postes de acero y/o pórticos metálicos cuyo diseño final será definido por la Sociedad Concesionaria, considerando que para el diseño, fabricación, inspección, pruebas, embalaje, transporte y entrega se utilizarán, sin ser limitativas, las siguientes Normas: CNE Suministro 2011, ASTM A 36, ASTM A572, ASTM A6, ASTM A394, ANSI B18.21.1,  ANSI B18.2.1, ANSI B.18.2.2, ASTM A123, ASTM A153, ASTM B201, ASCE 10-97, IEC 60652. </w:t>
      </w:r>
    </w:p>
    <w:p w:rsidR="00EF4587" w:rsidRPr="00076DCD" w:rsidRDefault="00EF4587" w:rsidP="00590BBA">
      <w:pPr>
        <w:tabs>
          <w:tab w:val="left" w:pos="1843"/>
        </w:tabs>
        <w:spacing w:before="120"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5.1.9.2</w:t>
      </w:r>
      <w:r w:rsidRPr="00076DCD">
        <w:rPr>
          <w:rFonts w:ascii="Arial" w:eastAsia="Times New Roman" w:hAnsi="Arial" w:cs="Arial"/>
          <w:b/>
          <w:sz w:val="20"/>
          <w:szCs w:val="20"/>
          <w:lang w:val="es-ES" w:eastAsia="es-ES"/>
        </w:rPr>
        <w:tab/>
        <w:t>Terminales</w:t>
      </w:r>
    </w:p>
    <w:p w:rsidR="00EF4587" w:rsidRPr="00076DCD" w:rsidRDefault="00EF4587" w:rsidP="00590BB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terminales unipolares de cable deberán ser apropiados para instalación interior o intemperie, según el tipo de instalación donde se ubiquen. Serán del tipo rígido de porcelana para uso exterior, adecuados para el tipo de conductor y calibre de los cables unipolares de polietileno reticulado (XLPE), seleccionados por la  Sociedad Concesionaria.</w:t>
      </w:r>
    </w:p>
    <w:p w:rsidR="00EF4587" w:rsidRPr="00076DCD" w:rsidRDefault="00EF4587" w:rsidP="00590BB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longitud de los terminales no será menor a 7 595 mm y deberá ser provista por ondulaciones en el bushing exterior del terminal.</w:t>
      </w:r>
    </w:p>
    <w:p w:rsidR="00EF4587" w:rsidRPr="00076DCD" w:rsidRDefault="00EF4587" w:rsidP="00590BB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lastRenderedPageBreak/>
        <w:t>El extremo de conexión del terminal será del tipo espiga (tubular sólido) para conexión bimetálica (Cobre o Aluminio). Deberá venir provisto además de terminales de conexión de pantalla.</w:t>
      </w:r>
    </w:p>
    <w:p w:rsidR="00EF4587" w:rsidRPr="00076DCD" w:rsidRDefault="00EF4587" w:rsidP="00590BBA">
      <w:pPr>
        <w:tabs>
          <w:tab w:val="left" w:pos="-1843"/>
        </w:tabs>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El Terminal presentará las siguientes características mínimas</w:t>
      </w:r>
    </w:p>
    <w:tbl>
      <w:tblPr>
        <w:tblpPr w:leftFromText="141" w:rightFromText="141" w:vertAnchor="text" w:horzAnchor="margin" w:tblpXSpec="right" w:tblpY="266"/>
        <w:tblW w:w="8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111"/>
        <w:gridCol w:w="1701"/>
        <w:gridCol w:w="2196"/>
      </w:tblGrid>
      <w:tr w:rsidR="00EF4587" w:rsidRPr="00076DCD" w:rsidTr="00590BBA">
        <w:trPr>
          <w:trHeight w:val="255"/>
          <w:tblHeader/>
        </w:trPr>
        <w:tc>
          <w:tcPr>
            <w:tcW w:w="4111" w:type="dxa"/>
            <w:shd w:val="clear" w:color="auto" w:fill="DBE5F1" w:themeFill="accent1" w:themeFillTint="33"/>
            <w:noWrap/>
            <w:vAlign w:val="bottom"/>
          </w:tcPr>
          <w:p w:rsidR="00EF4587" w:rsidRPr="00076DCD" w:rsidRDefault="00EF4587" w:rsidP="00B07EB1">
            <w:pPr>
              <w:spacing w:after="60" w:line="257" w:lineRule="auto"/>
              <w:jc w:val="center"/>
              <w:outlineLvl w:val="1"/>
              <w:rPr>
                <w:rFonts w:ascii="Arial" w:eastAsia="Times New Roman" w:hAnsi="Arial" w:cs="Arial"/>
                <w:b/>
                <w:sz w:val="20"/>
                <w:szCs w:val="20"/>
                <w:lang w:eastAsia="es-ES"/>
              </w:rPr>
            </w:pPr>
            <w:bookmarkStart w:id="40" w:name="_Toc346180842"/>
            <w:bookmarkStart w:id="41" w:name="_Toc346253659"/>
            <w:bookmarkStart w:id="42" w:name="_Toc348533128"/>
            <w:bookmarkStart w:id="43" w:name="_Toc348533999"/>
            <w:r w:rsidRPr="00076DCD">
              <w:rPr>
                <w:rFonts w:ascii="Arial" w:eastAsia="Times New Roman" w:hAnsi="Arial" w:cs="Arial"/>
                <w:b/>
                <w:sz w:val="20"/>
                <w:szCs w:val="20"/>
                <w:lang w:eastAsia="es-ES"/>
              </w:rPr>
              <w:t>Característica</w:t>
            </w:r>
            <w:bookmarkEnd w:id="40"/>
            <w:bookmarkEnd w:id="41"/>
            <w:bookmarkEnd w:id="42"/>
            <w:bookmarkEnd w:id="43"/>
          </w:p>
        </w:tc>
        <w:tc>
          <w:tcPr>
            <w:tcW w:w="1701" w:type="dxa"/>
            <w:shd w:val="clear" w:color="auto" w:fill="DBE5F1" w:themeFill="accent1" w:themeFillTint="33"/>
            <w:noWrap/>
            <w:vAlign w:val="bottom"/>
          </w:tcPr>
          <w:p w:rsidR="00EF4587" w:rsidRPr="00076DCD" w:rsidRDefault="00EF4587" w:rsidP="00B07EB1">
            <w:pPr>
              <w:spacing w:after="60" w:line="257" w:lineRule="auto"/>
              <w:jc w:val="center"/>
              <w:outlineLvl w:val="1"/>
              <w:rPr>
                <w:rFonts w:ascii="Arial" w:eastAsia="Times New Roman" w:hAnsi="Arial" w:cs="Arial"/>
                <w:b/>
                <w:sz w:val="20"/>
                <w:szCs w:val="20"/>
                <w:lang w:eastAsia="es-ES"/>
              </w:rPr>
            </w:pPr>
            <w:bookmarkStart w:id="44" w:name="_Toc346180843"/>
            <w:bookmarkStart w:id="45" w:name="_Toc346190599"/>
            <w:bookmarkStart w:id="46" w:name="_Toc346253660"/>
            <w:bookmarkStart w:id="47" w:name="_Toc348533129"/>
            <w:bookmarkStart w:id="48" w:name="_Toc348534000"/>
            <w:r w:rsidRPr="00076DCD">
              <w:rPr>
                <w:rFonts w:ascii="Arial" w:eastAsia="Times New Roman" w:hAnsi="Arial" w:cs="Arial"/>
                <w:b/>
                <w:sz w:val="20"/>
                <w:szCs w:val="20"/>
                <w:lang w:eastAsia="es-ES"/>
              </w:rPr>
              <w:t>Unidad</w:t>
            </w:r>
            <w:bookmarkEnd w:id="44"/>
            <w:bookmarkEnd w:id="45"/>
            <w:bookmarkEnd w:id="46"/>
            <w:bookmarkEnd w:id="47"/>
            <w:bookmarkEnd w:id="48"/>
          </w:p>
        </w:tc>
        <w:tc>
          <w:tcPr>
            <w:tcW w:w="2196" w:type="dxa"/>
            <w:shd w:val="clear" w:color="auto" w:fill="DBE5F1" w:themeFill="accent1" w:themeFillTint="33"/>
            <w:noWrap/>
            <w:vAlign w:val="bottom"/>
          </w:tcPr>
          <w:p w:rsidR="00EF4587" w:rsidRPr="00076DCD" w:rsidRDefault="00EF4587" w:rsidP="00B07EB1">
            <w:pPr>
              <w:spacing w:after="60" w:line="257" w:lineRule="auto"/>
              <w:jc w:val="center"/>
              <w:outlineLvl w:val="1"/>
              <w:rPr>
                <w:rFonts w:ascii="Arial" w:eastAsia="Times New Roman" w:hAnsi="Arial" w:cs="Arial"/>
                <w:b/>
                <w:sz w:val="20"/>
                <w:szCs w:val="20"/>
                <w:lang w:eastAsia="es-ES"/>
              </w:rPr>
            </w:pPr>
            <w:bookmarkStart w:id="49" w:name="_Toc346180844"/>
            <w:bookmarkStart w:id="50" w:name="_Toc346190600"/>
            <w:bookmarkStart w:id="51" w:name="_Toc346253661"/>
            <w:bookmarkStart w:id="52" w:name="_Toc348533130"/>
            <w:bookmarkStart w:id="53" w:name="_Toc348534001"/>
            <w:r w:rsidRPr="00076DCD">
              <w:rPr>
                <w:rFonts w:ascii="Arial" w:eastAsia="Times New Roman" w:hAnsi="Arial" w:cs="Arial"/>
                <w:b/>
                <w:sz w:val="20"/>
                <w:szCs w:val="20"/>
                <w:lang w:eastAsia="es-ES"/>
              </w:rPr>
              <w:t>Valor</w:t>
            </w:r>
            <w:bookmarkEnd w:id="49"/>
            <w:bookmarkEnd w:id="50"/>
            <w:bookmarkEnd w:id="51"/>
            <w:bookmarkEnd w:id="52"/>
            <w:bookmarkEnd w:id="53"/>
          </w:p>
        </w:tc>
      </w:tr>
      <w:tr w:rsidR="00EF4587" w:rsidRPr="00076DCD" w:rsidTr="00590BBA">
        <w:trPr>
          <w:trHeight w:val="255"/>
        </w:trPr>
        <w:tc>
          <w:tcPr>
            <w:tcW w:w="4111" w:type="dxa"/>
            <w:noWrap/>
            <w:vAlign w:val="center"/>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Tipo</w:t>
            </w:r>
          </w:p>
        </w:tc>
        <w:tc>
          <w:tcPr>
            <w:tcW w:w="1701" w:type="dxa"/>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Interior/Exterior, para cable unipolar XLPE </w:t>
            </w:r>
          </w:p>
        </w:tc>
      </w:tr>
      <w:tr w:rsidR="00EF4587" w:rsidRPr="00076DCD" w:rsidTr="00590BBA">
        <w:trPr>
          <w:trHeight w:val="31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Aislamiento interior</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Masa Compound</w:t>
            </w:r>
          </w:p>
        </w:tc>
      </w:tr>
      <w:tr w:rsidR="00EF4587" w:rsidRPr="00076DCD" w:rsidTr="00590BBA">
        <w:trPr>
          <w:trHeight w:val="31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Aislamiento exterior</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Bushing de porcelana</w:t>
            </w:r>
          </w:p>
        </w:tc>
      </w:tr>
      <w:tr w:rsidR="00EF4587" w:rsidRPr="00076DCD" w:rsidTr="00590BBA">
        <w:trPr>
          <w:trHeight w:val="31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Distancia de fuga exterior</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mm</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7 595</w:t>
            </w:r>
          </w:p>
        </w:tc>
      </w:tr>
      <w:tr w:rsidR="00EF4587" w:rsidRPr="00076DCD" w:rsidTr="00590BBA">
        <w:trPr>
          <w:trHeight w:val="25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Tensión nominal entre fases</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220</w:t>
            </w:r>
          </w:p>
        </w:tc>
      </w:tr>
      <w:tr w:rsidR="00EF4587" w:rsidRPr="00076DCD" w:rsidTr="00590BBA">
        <w:trPr>
          <w:trHeight w:val="25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Tensión máxima entre fases</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245</w:t>
            </w:r>
          </w:p>
        </w:tc>
      </w:tr>
      <w:tr w:rsidR="00EF4587" w:rsidRPr="00076DCD" w:rsidTr="00590BBA">
        <w:trPr>
          <w:trHeight w:val="25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Sobretensión de frecuencia industrial</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275</w:t>
            </w:r>
          </w:p>
        </w:tc>
      </w:tr>
      <w:tr w:rsidR="00EF4587" w:rsidRPr="00076DCD" w:rsidTr="00590BBA">
        <w:trPr>
          <w:trHeight w:val="25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Sobretensión de impulso tipo rayo</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kVp</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1 050 kV</w:t>
            </w:r>
          </w:p>
        </w:tc>
      </w:tr>
      <w:tr w:rsidR="00EF4587" w:rsidRPr="00076DCD" w:rsidTr="00590BBA">
        <w:trPr>
          <w:trHeight w:val="255"/>
        </w:trPr>
        <w:tc>
          <w:tcPr>
            <w:tcW w:w="4111"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Espiga de conexión exterior</w:t>
            </w:r>
          </w:p>
        </w:tc>
        <w:tc>
          <w:tcPr>
            <w:tcW w:w="170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2196"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Cobre y Aluminio </w:t>
            </w:r>
          </w:p>
        </w:tc>
      </w:tr>
    </w:tbl>
    <w:p w:rsidR="00EF4587" w:rsidRPr="00076DCD" w:rsidRDefault="00EF4587" w:rsidP="00B07EB1">
      <w:pPr>
        <w:spacing w:after="0" w:line="257" w:lineRule="auto"/>
        <w:jc w:val="center"/>
        <w:rPr>
          <w:rFonts w:ascii="Arial" w:eastAsia="Times New Roman" w:hAnsi="Arial" w:cs="Arial"/>
          <w:b/>
          <w:sz w:val="20"/>
          <w:szCs w:val="24"/>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bookmarkStart w:id="54" w:name="_Toc348534002"/>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spacing w:after="0" w:line="257" w:lineRule="auto"/>
        <w:jc w:val="both"/>
        <w:rPr>
          <w:rFonts w:ascii="Arial" w:eastAsia="Times New Roman" w:hAnsi="Arial" w:cs="Arial"/>
          <w:b/>
          <w:sz w:val="20"/>
          <w:szCs w:val="20"/>
          <w:lang w:val="es-ES" w:eastAsia="es-ES"/>
        </w:rPr>
      </w:pPr>
    </w:p>
    <w:p w:rsidR="00EF4587" w:rsidRPr="00076DCD" w:rsidRDefault="00EF4587" w:rsidP="00B07EB1">
      <w:pPr>
        <w:tabs>
          <w:tab w:val="left" w:pos="1843"/>
        </w:tabs>
        <w:spacing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5.1.9.3 Empalmes</w:t>
      </w:r>
      <w:bookmarkEnd w:id="54"/>
    </w:p>
    <w:p w:rsidR="00EF4587" w:rsidRPr="00076DCD" w:rsidRDefault="00EF4587" w:rsidP="00590BB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Los empalmes unipolares de cable serán del tipo aislante (con pantalla de cable interrumpida), premoldeado con masa compound aislante, para instalación directamente enterrada o en cámara, adecuados para cables unipolares con aislamiento de polietileno reticulado (XLPE), de la sección adecuada para el tipo y calibre de cable de potencia seleccionado y provistos de pantalla conductora de cintas e hilos de cobre o aluminio. </w:t>
      </w:r>
    </w:p>
    <w:p w:rsidR="00EF4587" w:rsidRPr="00076DCD" w:rsidRDefault="00EF4587" w:rsidP="00590BBA">
      <w:pPr>
        <w:tabs>
          <w:tab w:val="left" w:pos="-1843"/>
        </w:tabs>
        <w:spacing w:before="120" w:after="12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El Empalme presentará las siguientes características mínimas</w:t>
      </w:r>
    </w:p>
    <w:tbl>
      <w:tblPr>
        <w:tblW w:w="8716" w:type="dxa"/>
        <w:jc w:val="right"/>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94"/>
        <w:gridCol w:w="1111"/>
        <w:gridCol w:w="3211"/>
      </w:tblGrid>
      <w:tr w:rsidR="00EF4587" w:rsidRPr="00076DCD" w:rsidTr="00590BBA">
        <w:trPr>
          <w:trHeight w:val="255"/>
          <w:tblHeader/>
          <w:jc w:val="right"/>
        </w:trPr>
        <w:tc>
          <w:tcPr>
            <w:tcW w:w="4394" w:type="dxa"/>
            <w:shd w:val="clear" w:color="auto" w:fill="DBE5F1" w:themeFill="accent1" w:themeFillTint="33"/>
            <w:noWrap/>
            <w:vAlign w:val="bottom"/>
          </w:tcPr>
          <w:p w:rsidR="00EF4587" w:rsidRPr="00076DCD" w:rsidRDefault="00EF4587" w:rsidP="00B07EB1">
            <w:pPr>
              <w:tabs>
                <w:tab w:val="left" w:pos="1547"/>
              </w:tabs>
              <w:spacing w:after="60" w:line="257" w:lineRule="auto"/>
              <w:ind w:left="-70"/>
              <w:jc w:val="center"/>
              <w:outlineLvl w:val="1"/>
              <w:rPr>
                <w:rFonts w:ascii="Arial" w:eastAsia="Times New Roman" w:hAnsi="Arial" w:cs="Arial"/>
                <w:b/>
                <w:sz w:val="20"/>
                <w:szCs w:val="20"/>
                <w:lang w:eastAsia="es-ES"/>
              </w:rPr>
            </w:pPr>
            <w:bookmarkStart w:id="55" w:name="_Toc348533132"/>
            <w:bookmarkStart w:id="56" w:name="_Toc348534003"/>
            <w:r w:rsidRPr="00076DCD">
              <w:rPr>
                <w:rFonts w:ascii="Arial" w:eastAsia="Times New Roman" w:hAnsi="Arial" w:cs="Arial"/>
                <w:b/>
                <w:sz w:val="20"/>
                <w:szCs w:val="20"/>
                <w:lang w:eastAsia="es-ES"/>
              </w:rPr>
              <w:t>Característica</w:t>
            </w:r>
            <w:bookmarkEnd w:id="55"/>
            <w:bookmarkEnd w:id="56"/>
          </w:p>
        </w:tc>
        <w:tc>
          <w:tcPr>
            <w:tcW w:w="1111" w:type="dxa"/>
            <w:shd w:val="clear" w:color="auto" w:fill="DBE5F1" w:themeFill="accent1" w:themeFillTint="33"/>
            <w:noWrap/>
            <w:vAlign w:val="bottom"/>
          </w:tcPr>
          <w:p w:rsidR="00EF4587" w:rsidRPr="00076DCD" w:rsidRDefault="00EF4587" w:rsidP="00B07EB1">
            <w:pPr>
              <w:spacing w:after="60" w:line="257" w:lineRule="auto"/>
              <w:jc w:val="center"/>
              <w:outlineLvl w:val="1"/>
              <w:rPr>
                <w:rFonts w:ascii="Arial" w:eastAsia="Times New Roman" w:hAnsi="Arial" w:cs="Arial"/>
                <w:b/>
                <w:sz w:val="20"/>
                <w:szCs w:val="20"/>
                <w:lang w:eastAsia="es-ES"/>
              </w:rPr>
            </w:pPr>
            <w:bookmarkStart w:id="57" w:name="_Toc348533133"/>
            <w:bookmarkStart w:id="58" w:name="_Toc348534004"/>
            <w:r w:rsidRPr="00076DCD">
              <w:rPr>
                <w:rFonts w:ascii="Arial" w:eastAsia="Times New Roman" w:hAnsi="Arial" w:cs="Arial"/>
                <w:b/>
                <w:sz w:val="20"/>
                <w:szCs w:val="20"/>
                <w:lang w:eastAsia="es-ES"/>
              </w:rPr>
              <w:t>Unidad</w:t>
            </w:r>
            <w:bookmarkEnd w:id="57"/>
            <w:bookmarkEnd w:id="58"/>
          </w:p>
        </w:tc>
        <w:tc>
          <w:tcPr>
            <w:tcW w:w="3211" w:type="dxa"/>
            <w:shd w:val="clear" w:color="auto" w:fill="DBE5F1" w:themeFill="accent1" w:themeFillTint="33"/>
            <w:noWrap/>
            <w:vAlign w:val="bottom"/>
          </w:tcPr>
          <w:p w:rsidR="00EF4587" w:rsidRPr="00076DCD" w:rsidRDefault="00EF4587" w:rsidP="00B07EB1">
            <w:pPr>
              <w:spacing w:after="60" w:line="257" w:lineRule="auto"/>
              <w:jc w:val="center"/>
              <w:outlineLvl w:val="1"/>
              <w:rPr>
                <w:rFonts w:ascii="Arial" w:eastAsia="Times New Roman" w:hAnsi="Arial" w:cs="Arial"/>
                <w:b/>
                <w:sz w:val="20"/>
                <w:szCs w:val="20"/>
                <w:lang w:eastAsia="es-ES"/>
              </w:rPr>
            </w:pPr>
            <w:bookmarkStart w:id="59" w:name="_Toc348533134"/>
            <w:bookmarkStart w:id="60" w:name="_Toc348534005"/>
            <w:r w:rsidRPr="00076DCD">
              <w:rPr>
                <w:rFonts w:ascii="Arial" w:eastAsia="Times New Roman" w:hAnsi="Arial" w:cs="Arial"/>
                <w:b/>
                <w:sz w:val="20"/>
                <w:szCs w:val="20"/>
                <w:lang w:eastAsia="es-ES"/>
              </w:rPr>
              <w:t>Valor</w:t>
            </w:r>
            <w:bookmarkEnd w:id="59"/>
            <w:bookmarkEnd w:id="60"/>
          </w:p>
        </w:tc>
      </w:tr>
      <w:tr w:rsidR="00EF4587" w:rsidRPr="00076DCD" w:rsidTr="00590BBA">
        <w:trPr>
          <w:trHeight w:val="255"/>
          <w:jc w:val="right"/>
        </w:trPr>
        <w:tc>
          <w:tcPr>
            <w:tcW w:w="4394" w:type="dxa"/>
            <w:noWrap/>
            <w:vAlign w:val="center"/>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Tipo</w:t>
            </w:r>
          </w:p>
        </w:tc>
        <w:tc>
          <w:tcPr>
            <w:tcW w:w="1111" w:type="dxa"/>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Aislante (pantalla interrumpida), para cable unipolar XLPE </w:t>
            </w:r>
          </w:p>
        </w:tc>
      </w:tr>
      <w:tr w:rsidR="00EF4587" w:rsidRPr="00076DCD" w:rsidTr="00590BBA">
        <w:trPr>
          <w:trHeight w:val="31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Aislamiento interior</w:t>
            </w:r>
          </w:p>
        </w:tc>
        <w:tc>
          <w:tcPr>
            <w:tcW w:w="11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Masa Compound</w:t>
            </w:r>
          </w:p>
        </w:tc>
      </w:tr>
      <w:tr w:rsidR="00EF4587" w:rsidRPr="00076DCD" w:rsidTr="00590BBA">
        <w:trPr>
          <w:trHeight w:val="31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Aislamiento exterior</w:t>
            </w:r>
          </w:p>
        </w:tc>
        <w:tc>
          <w:tcPr>
            <w:tcW w:w="11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bCs/>
                <w:sz w:val="20"/>
                <w:szCs w:val="20"/>
                <w:lang w:val="es-ES" w:eastAsia="es-ES"/>
              </w:rPr>
              <w:t>---</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Carcasa de protección</w:t>
            </w:r>
          </w:p>
        </w:tc>
      </w:tr>
      <w:tr w:rsidR="00EF4587" w:rsidRPr="00076DCD" w:rsidTr="00590BBA">
        <w:trPr>
          <w:trHeight w:val="31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Con bornes de conexión de pantalla apropiados para cable concéntrico</w:t>
            </w:r>
          </w:p>
        </w:tc>
        <w:tc>
          <w:tcPr>
            <w:tcW w:w="1111" w:type="dxa"/>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w:t>
            </w:r>
          </w:p>
        </w:tc>
        <w:tc>
          <w:tcPr>
            <w:tcW w:w="3211" w:type="dxa"/>
            <w:noWrap/>
            <w:vAlign w:val="center"/>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Sí</w:t>
            </w:r>
          </w:p>
        </w:tc>
      </w:tr>
      <w:tr w:rsidR="00EF4587" w:rsidRPr="00076DCD" w:rsidTr="00590BBA">
        <w:trPr>
          <w:trHeight w:val="25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Tensión nominal entre fases</w:t>
            </w:r>
          </w:p>
        </w:tc>
        <w:tc>
          <w:tcPr>
            <w:tcW w:w="11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220</w:t>
            </w:r>
          </w:p>
        </w:tc>
      </w:tr>
      <w:tr w:rsidR="00EF4587" w:rsidRPr="00076DCD" w:rsidTr="00590BBA">
        <w:trPr>
          <w:trHeight w:val="25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Tensión máxima entre fases</w:t>
            </w:r>
          </w:p>
        </w:tc>
        <w:tc>
          <w:tcPr>
            <w:tcW w:w="11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245</w:t>
            </w:r>
          </w:p>
        </w:tc>
      </w:tr>
      <w:tr w:rsidR="00EF4587" w:rsidRPr="00076DCD" w:rsidTr="00590BBA">
        <w:trPr>
          <w:trHeight w:val="25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Sobretensión de frecuencia industrial</w:t>
            </w:r>
          </w:p>
        </w:tc>
        <w:tc>
          <w:tcPr>
            <w:tcW w:w="11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275</w:t>
            </w:r>
          </w:p>
        </w:tc>
      </w:tr>
      <w:tr w:rsidR="00EF4587" w:rsidRPr="00076DCD" w:rsidTr="00590BBA">
        <w:trPr>
          <w:trHeight w:val="255"/>
          <w:jc w:val="right"/>
        </w:trPr>
        <w:tc>
          <w:tcPr>
            <w:tcW w:w="4394" w:type="dxa"/>
            <w:noWrap/>
            <w:vAlign w:val="bottom"/>
          </w:tcPr>
          <w:p w:rsidR="00EF4587" w:rsidRPr="00076DCD" w:rsidRDefault="00EF4587" w:rsidP="00B07EB1">
            <w:pPr>
              <w:spacing w:after="0" w:line="257" w:lineRule="auto"/>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Sobretensión de impulso</w:t>
            </w:r>
          </w:p>
        </w:tc>
        <w:tc>
          <w:tcPr>
            <w:tcW w:w="11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kVp</w:t>
            </w:r>
          </w:p>
        </w:tc>
        <w:tc>
          <w:tcPr>
            <w:tcW w:w="3211" w:type="dxa"/>
            <w:noWrap/>
            <w:vAlign w:val="bottom"/>
          </w:tcPr>
          <w:p w:rsidR="00EF4587" w:rsidRPr="00076DCD" w:rsidRDefault="00EF4587" w:rsidP="00B07EB1">
            <w:pPr>
              <w:spacing w:after="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1050 kV</w:t>
            </w:r>
          </w:p>
        </w:tc>
      </w:tr>
    </w:tbl>
    <w:p w:rsidR="00EF4587" w:rsidRPr="00076DCD" w:rsidRDefault="00EF4587" w:rsidP="00590BBA">
      <w:pPr>
        <w:tabs>
          <w:tab w:val="left" w:pos="1843"/>
        </w:tabs>
        <w:spacing w:before="240" w:after="0" w:line="257" w:lineRule="auto"/>
        <w:ind w:left="601"/>
        <w:jc w:val="both"/>
        <w:rPr>
          <w:rFonts w:ascii="Arial" w:eastAsia="Times New Roman" w:hAnsi="Arial" w:cs="Arial"/>
          <w:b/>
          <w:sz w:val="20"/>
          <w:szCs w:val="20"/>
          <w:lang w:val="es-ES" w:eastAsia="es-ES"/>
        </w:rPr>
      </w:pPr>
      <w:bookmarkStart w:id="61" w:name="_Toc348534006"/>
      <w:r w:rsidRPr="00076DCD">
        <w:rPr>
          <w:rFonts w:ascii="Arial" w:eastAsia="Times New Roman" w:hAnsi="Arial" w:cs="Arial"/>
          <w:b/>
          <w:sz w:val="20"/>
          <w:szCs w:val="20"/>
          <w:lang w:val="es-ES" w:eastAsia="es-ES"/>
        </w:rPr>
        <w:t>5.1.9.4  Cajas de conexión de pantalla</w:t>
      </w:r>
      <w:bookmarkEnd w:id="61"/>
    </w:p>
    <w:p w:rsidR="00EF4587" w:rsidRPr="00076DCD" w:rsidRDefault="00EF4587" w:rsidP="00590BBA">
      <w:pPr>
        <w:spacing w:before="120" w:after="12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Son los elementos que sirven para conectar la pantalla de los cables para obtener la configuración de sistema proyectada.</w:t>
      </w:r>
    </w:p>
    <w:tbl>
      <w:tblPr>
        <w:tblW w:w="8858" w:type="dxa"/>
        <w:jc w:val="right"/>
        <w:tblInd w:w="1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858"/>
      </w:tblGrid>
      <w:tr w:rsidR="00EF4587" w:rsidRPr="00076DCD" w:rsidTr="00590BBA">
        <w:trPr>
          <w:trHeight w:val="255"/>
          <w:jc w:val="right"/>
        </w:trPr>
        <w:tc>
          <w:tcPr>
            <w:tcW w:w="8858" w:type="dxa"/>
            <w:noWrap/>
            <w:vAlign w:val="center"/>
          </w:tcPr>
          <w:p w:rsidR="00EF4587" w:rsidRPr="00076DCD" w:rsidRDefault="00EF4587" w:rsidP="00B07EB1">
            <w:pPr>
              <w:spacing w:after="0" w:line="257" w:lineRule="auto"/>
              <w:rPr>
                <w:rFonts w:ascii="Arial" w:eastAsia="Times New Roman" w:hAnsi="Arial" w:cs="Arial"/>
                <w:sz w:val="20"/>
                <w:szCs w:val="24"/>
                <w:lang w:val="es-ES" w:eastAsia="es-ES"/>
              </w:rPr>
            </w:pPr>
            <w:r w:rsidRPr="00076DCD">
              <w:rPr>
                <w:rFonts w:ascii="Arial" w:eastAsia="Times New Roman" w:hAnsi="Arial" w:cs="Arial"/>
                <w:spacing w:val="-2"/>
                <w:sz w:val="24"/>
                <w:szCs w:val="24"/>
                <w:lang w:val="es-ES" w:eastAsia="es-ES"/>
              </w:rPr>
              <w:t xml:space="preserve"> </w:t>
            </w:r>
            <w:r w:rsidRPr="00076DCD">
              <w:rPr>
                <w:rFonts w:ascii="Arial" w:eastAsia="Times New Roman" w:hAnsi="Arial" w:cs="Arial"/>
                <w:sz w:val="20"/>
                <w:szCs w:val="24"/>
                <w:lang w:val="es-ES" w:eastAsia="es-ES"/>
              </w:rPr>
              <w:t>a) Caja Tripolar de Conexión Directa a Tierra de Pantalla de Cable, Uso Exterior.</w:t>
            </w:r>
          </w:p>
        </w:tc>
      </w:tr>
      <w:tr w:rsidR="00EF4587" w:rsidRPr="00076DCD" w:rsidTr="00590BBA">
        <w:trPr>
          <w:trHeight w:val="255"/>
          <w:jc w:val="right"/>
        </w:trPr>
        <w:tc>
          <w:tcPr>
            <w:tcW w:w="8858" w:type="dxa"/>
            <w:noWrap/>
            <w:vAlign w:val="center"/>
          </w:tcPr>
          <w:p w:rsidR="00EF4587" w:rsidRPr="00076DCD" w:rsidRDefault="00EF4587" w:rsidP="00B07EB1">
            <w:pPr>
              <w:spacing w:after="0" w:line="257" w:lineRule="auto"/>
              <w:rPr>
                <w:rFonts w:ascii="Arial" w:eastAsia="Times New Roman" w:hAnsi="Arial" w:cs="Arial"/>
                <w:sz w:val="20"/>
                <w:szCs w:val="24"/>
                <w:lang w:val="es-ES" w:eastAsia="es-ES"/>
              </w:rPr>
            </w:pPr>
            <w:r w:rsidRPr="00076DCD">
              <w:rPr>
                <w:rFonts w:ascii="Arial" w:eastAsia="Times New Roman" w:hAnsi="Arial" w:cs="Arial"/>
                <w:sz w:val="20"/>
                <w:szCs w:val="24"/>
                <w:lang w:val="es-ES" w:eastAsia="es-ES"/>
              </w:rPr>
              <w:t>b) Caja Tripolar de Conexión Directa a Tierra de Pantalla de Cable, Uso Interior.</w:t>
            </w:r>
          </w:p>
        </w:tc>
      </w:tr>
      <w:tr w:rsidR="00EF4587" w:rsidRPr="00076DCD" w:rsidTr="00590BBA">
        <w:trPr>
          <w:trHeight w:val="255"/>
          <w:jc w:val="right"/>
        </w:trPr>
        <w:tc>
          <w:tcPr>
            <w:tcW w:w="8858" w:type="dxa"/>
            <w:noWrap/>
            <w:vAlign w:val="center"/>
          </w:tcPr>
          <w:p w:rsidR="00EF4587" w:rsidRPr="00076DCD" w:rsidRDefault="00EF4587" w:rsidP="00B07EB1">
            <w:pPr>
              <w:spacing w:after="0" w:line="257" w:lineRule="auto"/>
              <w:ind w:left="279" w:hanging="279"/>
              <w:rPr>
                <w:rFonts w:ascii="Arial" w:eastAsia="Times New Roman" w:hAnsi="Arial" w:cs="Arial"/>
                <w:sz w:val="20"/>
                <w:szCs w:val="24"/>
                <w:lang w:val="es-ES" w:eastAsia="es-ES"/>
              </w:rPr>
            </w:pPr>
            <w:r w:rsidRPr="00076DCD">
              <w:rPr>
                <w:rFonts w:ascii="Arial" w:eastAsia="Times New Roman" w:hAnsi="Arial" w:cs="Arial"/>
                <w:sz w:val="20"/>
                <w:szCs w:val="24"/>
                <w:lang w:val="es-ES" w:eastAsia="es-ES"/>
              </w:rPr>
              <w:t>c) Caja Tripolar de Cruzamiento y Conexión a Tierra de Pantalla de Cable Mediante Limitador de Tensión, Uso Interior.</w:t>
            </w:r>
          </w:p>
        </w:tc>
      </w:tr>
      <w:tr w:rsidR="00EF4587" w:rsidRPr="00076DCD" w:rsidTr="00590BBA">
        <w:trPr>
          <w:trHeight w:val="255"/>
          <w:jc w:val="right"/>
        </w:trPr>
        <w:tc>
          <w:tcPr>
            <w:tcW w:w="8858" w:type="dxa"/>
            <w:noWrap/>
            <w:vAlign w:val="center"/>
          </w:tcPr>
          <w:p w:rsidR="00EF4587" w:rsidRPr="00076DCD" w:rsidRDefault="00EF4587" w:rsidP="00B07EB1">
            <w:pPr>
              <w:spacing w:after="0" w:line="257" w:lineRule="auto"/>
              <w:ind w:left="279" w:hanging="279"/>
              <w:rPr>
                <w:rFonts w:ascii="Arial" w:eastAsia="Times New Roman" w:hAnsi="Arial" w:cs="Arial"/>
                <w:sz w:val="20"/>
                <w:szCs w:val="24"/>
                <w:lang w:val="es-ES" w:eastAsia="es-ES"/>
              </w:rPr>
            </w:pPr>
            <w:r w:rsidRPr="00076DCD">
              <w:rPr>
                <w:rFonts w:ascii="Arial" w:eastAsia="Times New Roman" w:hAnsi="Arial" w:cs="Arial"/>
                <w:sz w:val="20"/>
                <w:szCs w:val="24"/>
                <w:lang w:val="es-ES" w:eastAsia="es-ES"/>
              </w:rPr>
              <w:t>d) Caja Tripolar de Conexión a Tierra de Pantalla de Cable Mediante Limitador de Tensión, Uso Interior.</w:t>
            </w:r>
          </w:p>
        </w:tc>
      </w:tr>
    </w:tbl>
    <w:p w:rsidR="00EF4587" w:rsidRPr="00076DCD" w:rsidRDefault="00EF4587" w:rsidP="00C553EA">
      <w:pPr>
        <w:tabs>
          <w:tab w:val="left" w:pos="1080"/>
        </w:tabs>
        <w:spacing w:before="120" w:after="0" w:line="257" w:lineRule="auto"/>
        <w:ind w:left="72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lastRenderedPageBreak/>
        <w:t>a)</w:t>
      </w:r>
      <w:r w:rsidRPr="00076DCD">
        <w:rPr>
          <w:rFonts w:ascii="Arial" w:eastAsia="Times New Roman" w:hAnsi="Arial" w:cs="Arial"/>
          <w:b/>
          <w:sz w:val="20"/>
          <w:szCs w:val="20"/>
          <w:lang w:val="es-ES" w:eastAsia="es-ES"/>
        </w:rPr>
        <w:tab/>
        <w:t>Caja Tripolar de Conexión Directa a Tierra de Pantalla de Cable, Uso Interior</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Permitirá conectar directamente a tierra la pantalla de los cables unipolares, en la cámara de empalme.</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Deberá ser del tipo hermético con Grado de Protección IP67 como mínimo, de acero inoxidable y que emplee barras de conexión removibles y ajustadas con pernos. La carcasa deberá ser apropiada para instalarse en una superficie plana. </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Deberá ser apropiada para cables de conexión concéntricos de 240 mm</w:t>
      </w:r>
      <w:r w:rsidRPr="00076DCD">
        <w:rPr>
          <w:rFonts w:ascii="Arial" w:eastAsia="Times New Roman" w:hAnsi="Arial" w:cs="Arial"/>
          <w:bCs/>
          <w:sz w:val="20"/>
          <w:szCs w:val="20"/>
          <w:vertAlign w:val="superscript"/>
          <w:lang w:val="es-ES" w:eastAsia="es-ES"/>
        </w:rPr>
        <w:t>2</w:t>
      </w:r>
      <w:r w:rsidRPr="00076DCD">
        <w:rPr>
          <w:rFonts w:ascii="Arial" w:eastAsia="Times New Roman" w:hAnsi="Arial" w:cs="Arial"/>
          <w:bCs/>
          <w:sz w:val="20"/>
          <w:szCs w:val="20"/>
          <w:lang w:val="es-ES" w:eastAsia="es-ES"/>
        </w:rPr>
        <w:t xml:space="preserve"> de cobre y tener también una conexión a tierra.</w:t>
      </w:r>
    </w:p>
    <w:p w:rsidR="00EF4587" w:rsidRPr="00076DCD" w:rsidRDefault="00EF4587" w:rsidP="00C553EA">
      <w:pPr>
        <w:tabs>
          <w:tab w:val="left" w:pos="1080"/>
        </w:tabs>
        <w:spacing w:before="120" w:after="0" w:line="257" w:lineRule="auto"/>
        <w:ind w:left="72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b)</w:t>
      </w:r>
      <w:r w:rsidRPr="00076DCD">
        <w:rPr>
          <w:rFonts w:ascii="Arial" w:eastAsia="Times New Roman" w:hAnsi="Arial" w:cs="Arial"/>
          <w:b/>
          <w:sz w:val="20"/>
          <w:szCs w:val="20"/>
          <w:lang w:val="es-ES" w:eastAsia="es-ES"/>
        </w:rPr>
        <w:tab/>
        <w:t>Caja Tripolar de Cruzamiento y Conexión a Tierra de Pantalla de Cable, Uso Interior</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Permitirá cruzar la pantalla de los cables unipolares en las cámaras de empalme, con conexión a tierra a través de limitadores de tensión (SVL).</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Deberá ser del tipo hermético con Grado de Protección IP67 como mínimo, de acero inoxidable y que emplee barras de conexión removibles y ajustadas con pernos. La carcasa deberá ser apropiada para instalarse en una superficie plana. </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Deberá ser apropiada para cables de conexión concéntricos o unipolares de 240 mm</w:t>
      </w:r>
      <w:r w:rsidRPr="00076DCD">
        <w:rPr>
          <w:rFonts w:ascii="Arial" w:eastAsia="Times New Roman" w:hAnsi="Arial" w:cs="Arial"/>
          <w:bCs/>
          <w:sz w:val="20"/>
          <w:szCs w:val="20"/>
          <w:vertAlign w:val="superscript"/>
          <w:lang w:val="es-ES" w:eastAsia="es-ES"/>
        </w:rPr>
        <w:t>2</w:t>
      </w:r>
      <w:r w:rsidRPr="00076DCD">
        <w:rPr>
          <w:rFonts w:ascii="Arial" w:eastAsia="Times New Roman" w:hAnsi="Arial" w:cs="Arial"/>
          <w:bCs/>
          <w:sz w:val="20"/>
          <w:szCs w:val="20"/>
          <w:lang w:val="es-ES" w:eastAsia="es-ES"/>
        </w:rPr>
        <w:t xml:space="preserve"> de cobre y tener también una conexión a tierra.</w:t>
      </w:r>
    </w:p>
    <w:p w:rsidR="00EF4587" w:rsidRPr="00076DCD" w:rsidRDefault="00EF4587" w:rsidP="00C553EA">
      <w:pPr>
        <w:spacing w:before="120" w:after="0" w:line="257" w:lineRule="auto"/>
        <w:ind w:left="108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limitadores de tensión serán del tipo de óxido de zinc para una tensión referencial de 4 kV.</w:t>
      </w:r>
    </w:p>
    <w:p w:rsidR="00EF4587" w:rsidRPr="00076DCD" w:rsidRDefault="00EF4587" w:rsidP="00C553EA">
      <w:pPr>
        <w:keepNext/>
        <w:shd w:val="clear" w:color="auto" w:fill="FFFFFF"/>
        <w:tabs>
          <w:tab w:val="left" w:pos="1560"/>
          <w:tab w:val="left" w:pos="1843"/>
        </w:tabs>
        <w:suppressAutoHyphens/>
        <w:spacing w:before="120" w:after="0" w:line="257" w:lineRule="auto"/>
        <w:ind w:left="600"/>
        <w:outlineLvl w:val="2"/>
        <w:rPr>
          <w:rFonts w:ascii="Arial" w:eastAsia="Calibri" w:hAnsi="Arial" w:cs="Arial"/>
          <w:b/>
          <w:sz w:val="20"/>
          <w:szCs w:val="20"/>
          <w:lang w:val="es-ES" w:eastAsia="es-ES"/>
        </w:rPr>
      </w:pPr>
      <w:bookmarkStart w:id="62" w:name="_Toc348534007"/>
      <w:r w:rsidRPr="00076DCD">
        <w:rPr>
          <w:rFonts w:ascii="Arial" w:eastAsia="Calibri" w:hAnsi="Arial" w:cs="Arial"/>
          <w:b/>
          <w:bCs/>
          <w:sz w:val="20"/>
          <w:szCs w:val="20"/>
          <w:lang w:val="es-ES" w:eastAsia="es-ES"/>
        </w:rPr>
        <w:t>5.1.9.5</w:t>
      </w:r>
      <w:r w:rsidRPr="00076DCD">
        <w:rPr>
          <w:rFonts w:ascii="Arial" w:eastAsia="Calibri" w:hAnsi="Arial" w:cs="Arial"/>
          <w:b/>
          <w:bCs/>
          <w:sz w:val="20"/>
          <w:szCs w:val="20"/>
          <w:lang w:val="es-ES" w:eastAsia="es-ES"/>
        </w:rPr>
        <w:tab/>
      </w:r>
      <w:r w:rsidRPr="00076DCD">
        <w:rPr>
          <w:rFonts w:ascii="Arial" w:eastAsia="Calibri" w:hAnsi="Arial" w:cs="Arial"/>
          <w:b/>
          <w:sz w:val="20"/>
          <w:szCs w:val="20"/>
          <w:lang w:val="es-ES" w:eastAsia="es-ES"/>
        </w:rPr>
        <w:t>Lubricante para Tendido de Cables</w:t>
      </w:r>
      <w:bookmarkEnd w:id="62"/>
    </w:p>
    <w:p w:rsidR="00EF4587" w:rsidRPr="00076DCD" w:rsidRDefault="00EF4587" w:rsidP="00C553E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Se empleará para tender los cables en ductos de PVC o HDPE, instalados en bloques de concreto. </w:t>
      </w:r>
    </w:p>
    <w:p w:rsidR="00EF4587" w:rsidRPr="00076DCD" w:rsidRDefault="00EF4587" w:rsidP="00C553E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Deberá reducir sustancialmente la fricción entre la cubierta exterior del cable y la superficie interior del ducto. </w:t>
      </w:r>
    </w:p>
    <w:p w:rsidR="00EF4587" w:rsidRPr="00076DCD" w:rsidRDefault="00EF4587" w:rsidP="00C553E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Su aplicación deberá ser manual y mediante una bomba manual. No deberá presentar toxicidad para el personal que lo aplica.</w:t>
      </w:r>
    </w:p>
    <w:p w:rsidR="00EF4587" w:rsidRPr="00076DCD" w:rsidRDefault="00EF4587" w:rsidP="00C553EA">
      <w:pPr>
        <w:keepNext/>
        <w:shd w:val="clear" w:color="auto" w:fill="FFFFFF"/>
        <w:tabs>
          <w:tab w:val="left" w:pos="993"/>
          <w:tab w:val="left" w:pos="1134"/>
          <w:tab w:val="left" w:pos="1560"/>
        </w:tabs>
        <w:suppressAutoHyphens/>
        <w:spacing w:before="120" w:after="0" w:line="257" w:lineRule="auto"/>
        <w:ind w:left="600"/>
        <w:outlineLvl w:val="2"/>
        <w:rPr>
          <w:rFonts w:ascii="Arial" w:eastAsia="Calibri" w:hAnsi="Arial" w:cs="Arial"/>
          <w:b/>
          <w:sz w:val="20"/>
          <w:szCs w:val="20"/>
          <w:lang w:val="es-ES" w:eastAsia="es-ES"/>
        </w:rPr>
      </w:pPr>
      <w:bookmarkStart w:id="63" w:name="_Toc348534008"/>
      <w:r w:rsidRPr="00076DCD">
        <w:rPr>
          <w:rFonts w:ascii="Arial" w:eastAsia="Calibri" w:hAnsi="Arial" w:cs="Arial"/>
          <w:b/>
          <w:sz w:val="20"/>
          <w:szCs w:val="20"/>
          <w:lang w:val="es-ES" w:eastAsia="es-ES"/>
        </w:rPr>
        <w:t>5.1.9.6 Sellador para Ductos de Cables</w:t>
      </w:r>
      <w:bookmarkEnd w:id="63"/>
    </w:p>
    <w:p w:rsidR="00EF4587" w:rsidRPr="00076DCD" w:rsidRDefault="00EF4587" w:rsidP="00C553E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Se empleará para sellar los extremos de cables instalados en ductos de PVC o HDPE, dentro de bloques de concreto.</w:t>
      </w:r>
    </w:p>
    <w:p w:rsidR="00EF4587" w:rsidRPr="00076DCD" w:rsidRDefault="00EF4587" w:rsidP="00C553E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Deberá impedir el ingreso de agua, partículas de material y cualquier otro elemento nocivo, al interior del tramo de cable instalado en ductos. </w:t>
      </w:r>
    </w:p>
    <w:p w:rsidR="00EF4587" w:rsidRPr="00076DCD" w:rsidRDefault="00EF4587" w:rsidP="00C553EA">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Su aplicación deberá ser manual y mediante una bomba manual. No deberá presentar toxicidad para el personal que lo aplica.</w:t>
      </w:r>
    </w:p>
    <w:p w:rsidR="00EF4587" w:rsidRPr="00076DCD" w:rsidRDefault="00EF4587" w:rsidP="00C553EA">
      <w:pPr>
        <w:tabs>
          <w:tab w:val="left" w:pos="284"/>
        </w:tabs>
        <w:spacing w:before="360" w:after="240" w:line="257" w:lineRule="auto"/>
        <w:jc w:val="both"/>
        <w:rPr>
          <w:rFonts w:ascii="Arial" w:eastAsia="Times New Roman" w:hAnsi="Arial" w:cs="Arial"/>
          <w:b/>
          <w:lang w:val="es-ES" w:eastAsia="es-ES"/>
        </w:rPr>
      </w:pPr>
      <w:r w:rsidRPr="00076DCD">
        <w:rPr>
          <w:rFonts w:ascii="Arial" w:eastAsia="Times New Roman" w:hAnsi="Arial" w:cs="Arial"/>
          <w:b/>
          <w:bCs/>
          <w:lang w:val="es-ES_tradnl" w:eastAsia="es-ES"/>
        </w:rPr>
        <w:t>6.</w:t>
      </w:r>
      <w:r w:rsidRPr="00076DCD">
        <w:rPr>
          <w:rFonts w:ascii="Arial" w:eastAsia="Times New Roman" w:hAnsi="Arial" w:cs="Arial"/>
          <w:b/>
          <w:lang w:val="es-ES" w:eastAsia="es-ES"/>
        </w:rPr>
        <w:t xml:space="preserve">  SUBESTACIONES </w:t>
      </w:r>
    </w:p>
    <w:p w:rsidR="00EF4587" w:rsidRPr="00CB71E1"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CB71E1">
        <w:rPr>
          <w:rFonts w:ascii="Arial" w:eastAsia="Times New Roman" w:hAnsi="Arial" w:cs="Arial"/>
          <w:b/>
          <w:sz w:val="20"/>
          <w:szCs w:val="20"/>
          <w:lang w:val="es-ES" w:eastAsia="es-ES"/>
        </w:rPr>
        <w:t>6.1</w:t>
      </w:r>
      <w:r w:rsidRPr="00CB71E1">
        <w:rPr>
          <w:rFonts w:ascii="Arial" w:eastAsia="Times New Roman" w:hAnsi="Arial" w:cs="Arial"/>
          <w:b/>
          <w:sz w:val="20"/>
          <w:szCs w:val="20"/>
          <w:lang w:val="es-ES" w:eastAsia="es-ES"/>
        </w:rPr>
        <w:tab/>
        <w:t>SUMINISTRO PARA SUBESTACIONES</w:t>
      </w:r>
    </w:p>
    <w:p w:rsidR="00EF4587" w:rsidRPr="00C553EA" w:rsidRDefault="00EF4587" w:rsidP="00C553EA">
      <w:pPr>
        <w:tabs>
          <w:tab w:val="left" w:pos="284"/>
        </w:tabs>
        <w:spacing w:before="120" w:after="0" w:line="257" w:lineRule="auto"/>
        <w:jc w:val="both"/>
        <w:rPr>
          <w:rFonts w:ascii="Arial" w:eastAsia="Times New Roman" w:hAnsi="Arial" w:cs="Arial"/>
          <w:b/>
          <w:sz w:val="20"/>
          <w:szCs w:val="20"/>
          <w:lang w:val="es-ES" w:eastAsia="es-ES"/>
        </w:rPr>
      </w:pPr>
      <w:r w:rsidRPr="00C553EA">
        <w:rPr>
          <w:rFonts w:ascii="Arial" w:eastAsia="Times New Roman" w:hAnsi="Arial" w:cs="Arial"/>
          <w:b/>
          <w:sz w:val="20"/>
          <w:szCs w:val="20"/>
          <w:lang w:val="es-ES" w:eastAsia="es-ES"/>
        </w:rPr>
        <w:t>6.1.1 Interruptores de potencia</w:t>
      </w:r>
    </w:p>
    <w:p w:rsidR="00EF4587" w:rsidRPr="00076DCD" w:rsidRDefault="00EF4587" w:rsidP="00C553EA">
      <w:pPr>
        <w:tabs>
          <w:tab w:val="left" w:pos="1440"/>
        </w:tabs>
        <w:spacing w:before="120" w:after="0" w:line="257" w:lineRule="auto"/>
        <w:ind w:left="601"/>
        <w:jc w:val="both"/>
        <w:rPr>
          <w:rFonts w:ascii="Arial" w:eastAsia="Times New Roman" w:hAnsi="Arial" w:cs="Arial"/>
          <w:b/>
          <w:bCs/>
          <w:sz w:val="20"/>
          <w:szCs w:val="20"/>
          <w:u w:val="single"/>
          <w:lang w:val="es-ES" w:eastAsia="es-ES"/>
        </w:rPr>
      </w:pPr>
      <w:r w:rsidRPr="00076DCD">
        <w:rPr>
          <w:rFonts w:ascii="Arial" w:eastAsia="Times New Roman" w:hAnsi="Arial" w:cs="Arial"/>
          <w:b/>
          <w:bCs/>
          <w:sz w:val="20"/>
          <w:szCs w:val="20"/>
          <w:lang w:val="es-ES" w:eastAsia="es-ES"/>
        </w:rPr>
        <w:t>6.1.1.1</w:t>
      </w:r>
      <w:r w:rsidRPr="00076DCD">
        <w:rPr>
          <w:rFonts w:ascii="Arial" w:eastAsia="Times New Roman" w:hAnsi="Arial" w:cs="Arial"/>
          <w:b/>
          <w:bCs/>
          <w:sz w:val="20"/>
          <w:szCs w:val="20"/>
          <w:lang w:val="es-ES" w:eastAsia="es-ES"/>
        </w:rPr>
        <w:tab/>
        <w:t>Alcance</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Estas especificaciones cubren la aplicación para el diseño, fabricación y ensayos de los interruptores de  220 kV, incluyendo los equipos auxiliares necesarios  para su correcto funcionamiento y operación. </w:t>
      </w:r>
    </w:p>
    <w:p w:rsidR="00EF4587" w:rsidRPr="00076DCD" w:rsidRDefault="00EF4587" w:rsidP="00C553EA">
      <w:pPr>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lastRenderedPageBreak/>
        <w:t>6.1.1.2</w:t>
      </w:r>
      <w:r w:rsidRPr="00076DCD">
        <w:rPr>
          <w:rFonts w:ascii="Arial" w:eastAsia="Times New Roman" w:hAnsi="Arial" w:cs="Arial"/>
          <w:b/>
          <w:sz w:val="20"/>
          <w:szCs w:val="20"/>
          <w:lang w:val="es-ES" w:eastAsia="es-ES"/>
        </w:rPr>
        <w:tab/>
        <w:t xml:space="preserve">Normas    </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los interruptores se utilizarán, sin ser limitativas, las Normas siguientes: IEC 62271-100, IEC 60158-1, IEC 60376, IEWC 60480, IEC 60694, ANSI C37.04, ANSI C37.90A, ANSI C37.06.</w:t>
      </w:r>
    </w:p>
    <w:p w:rsidR="00EF4587" w:rsidRPr="00076DCD" w:rsidRDefault="00EF4587" w:rsidP="00C553EA">
      <w:pPr>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6.1.1.3</w:t>
      </w:r>
      <w:r w:rsidRPr="00076DCD">
        <w:rPr>
          <w:rFonts w:ascii="Arial" w:eastAsia="Times New Roman" w:hAnsi="Arial" w:cs="Arial"/>
          <w:b/>
          <w:sz w:val="20"/>
          <w:szCs w:val="20"/>
          <w:lang w:val="es-ES" w:eastAsia="es-ES"/>
        </w:rPr>
        <w:tab/>
        <w:t>Características Técnicas</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Los interruptores a utilizarse serán en general del tipo tanque vivo, con extinción del arco en SF6, con accionamiento uni-tripolar para la maniobra de las líneas de transmisión y tripolares para la maniobra de los bancos de transformadores y reactores, y tendrán mando local y remoto. </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De considerarse conveniente se podrán emplear interruptores de tanque muerto; pero en este caso se presentará el sustento técnico de esta elección.</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interruptores de tanque vivo deberán ser suministrados con amortiguadores contra sismos. Serán del tipo a presión única con auto soplado del arco.</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Todos los interruptores deberán poder soportar el valor pico de la componente asimétrica subtransitoria de la corriente máxima y deberán poder interrumpir la componente asimétrica de la corriente de ruptura.</w:t>
      </w:r>
    </w:p>
    <w:p w:rsidR="00EF4587" w:rsidRPr="00076DCD" w:rsidRDefault="00EF4587" w:rsidP="00C553EA">
      <w:pPr>
        <w:tabs>
          <w:tab w:val="left" w:pos="993"/>
        </w:tabs>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También deberán ser capaces de interrumpir pequeñas corrientes inductivas y soportar sin reencendido las tensiones de recuperación (Transient Recovery Voltaje).</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Los interruptores serán diseñados para efectuar reenganches automáticos ultrarrápidos, y poseerán mando independiente por polo y debiendo contar con dispositivos propios para detección de discordancia, en caso de mal funcionamiento de los mecanismos de apertura y cierre. </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equipos tendrán las siguientes características generales:</w:t>
      </w:r>
    </w:p>
    <w:p w:rsidR="00EF4587" w:rsidRPr="00076DCD" w:rsidRDefault="00EF4587" w:rsidP="00B07EB1">
      <w:pPr>
        <w:spacing w:after="0" w:line="257" w:lineRule="auto"/>
        <w:ind w:left="993"/>
        <w:jc w:val="both"/>
        <w:rPr>
          <w:rFonts w:ascii="Arial" w:eastAsia="Times New Roman" w:hAnsi="Arial" w:cs="Arial"/>
          <w:bCs/>
          <w:sz w:val="20"/>
          <w:szCs w:val="20"/>
          <w:lang w:val="es-ES" w:eastAsia="es-ES"/>
        </w:rPr>
      </w:pPr>
    </w:p>
    <w:p w:rsidR="00EF4587" w:rsidRPr="00076DCD" w:rsidRDefault="00EF4587" w:rsidP="00B07EB1">
      <w:pPr>
        <w:spacing w:after="0" w:line="257" w:lineRule="auto"/>
        <w:ind w:left="993"/>
        <w:jc w:val="both"/>
        <w:rPr>
          <w:rFonts w:ascii="Arial" w:eastAsia="Times New Roman" w:hAnsi="Arial" w:cs="Arial"/>
          <w:b/>
          <w:sz w:val="20"/>
          <w:szCs w:val="20"/>
          <w:lang w:val="es-ES" w:eastAsia="es-ES"/>
        </w:rPr>
      </w:pPr>
      <w:r w:rsidRPr="00076DCD">
        <w:rPr>
          <w:rFonts w:ascii="Arial" w:eastAsia="Times New Roman" w:hAnsi="Arial" w:cs="Arial"/>
          <w:bCs/>
          <w:sz w:val="20"/>
          <w:szCs w:val="20"/>
          <w:lang w:val="es-ES" w:eastAsia="es-ES"/>
        </w:rPr>
        <w:t xml:space="preserve"> </w:t>
      </w:r>
      <w:r w:rsidRPr="00076DCD">
        <w:rPr>
          <w:rFonts w:ascii="Arial" w:eastAsia="Times New Roman" w:hAnsi="Arial" w:cs="Arial"/>
          <w:b/>
          <w:sz w:val="20"/>
          <w:szCs w:val="20"/>
          <w:lang w:val="es-ES" w:eastAsia="es-ES"/>
        </w:rPr>
        <w:t>Descripción:</w:t>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p>
    <w:p w:rsidR="00EF4587" w:rsidRPr="00076DCD" w:rsidRDefault="00EF4587" w:rsidP="00B07EB1">
      <w:pPr>
        <w:numPr>
          <w:ilvl w:val="0"/>
          <w:numId w:val="83"/>
        </w:numPr>
        <w:spacing w:after="0" w:line="257" w:lineRule="auto"/>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Medio de extinción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SF6          </w:t>
      </w:r>
    </w:p>
    <w:p w:rsidR="00EF4587" w:rsidRPr="00076DCD" w:rsidRDefault="00EF4587" w:rsidP="00B07EB1">
      <w:pPr>
        <w:numPr>
          <w:ilvl w:val="0"/>
          <w:numId w:val="83"/>
        </w:numPr>
        <w:spacing w:after="0" w:line="257" w:lineRule="auto"/>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Tensión  nominal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220 kV         </w:t>
      </w:r>
    </w:p>
    <w:p w:rsidR="00EF4587" w:rsidRPr="00076DCD" w:rsidRDefault="00EF4587" w:rsidP="00B07EB1">
      <w:pPr>
        <w:numPr>
          <w:ilvl w:val="0"/>
          <w:numId w:val="83"/>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Máxima tensión de servicio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245 kV</w:t>
      </w:r>
    </w:p>
    <w:p w:rsidR="00EF4587" w:rsidRPr="00076DCD" w:rsidRDefault="00EF4587" w:rsidP="00B07EB1">
      <w:pPr>
        <w:numPr>
          <w:ilvl w:val="0"/>
          <w:numId w:val="83"/>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Corriente en servicio continuo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2 000 A</w:t>
      </w:r>
    </w:p>
    <w:p w:rsidR="00EF4587" w:rsidRPr="00076DCD" w:rsidRDefault="00EF4587" w:rsidP="00B07EB1">
      <w:pPr>
        <w:numPr>
          <w:ilvl w:val="0"/>
          <w:numId w:val="83"/>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Poder de ruptura kA asimétrica (*)</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63 kA</w:t>
      </w:r>
    </w:p>
    <w:p w:rsidR="00EF4587" w:rsidRPr="00076DCD" w:rsidRDefault="00EF4587" w:rsidP="00B07EB1">
      <w:pPr>
        <w:numPr>
          <w:ilvl w:val="0"/>
          <w:numId w:val="83"/>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Duración del cortocircuito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1 s</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B07EB1">
      <w:pPr>
        <w:numPr>
          <w:ilvl w:val="0"/>
          <w:numId w:val="83"/>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Tiempo total de apertura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 xml:space="preserve">50 ms   </w:t>
      </w:r>
    </w:p>
    <w:p w:rsidR="00EF4587" w:rsidRPr="00076DCD" w:rsidRDefault="00EF4587" w:rsidP="00B07EB1">
      <w:pPr>
        <w:tabs>
          <w:tab w:val="left" w:pos="1843"/>
        </w:tabs>
        <w:spacing w:after="0" w:line="257" w:lineRule="auto"/>
        <w:ind w:left="993"/>
        <w:jc w:val="both"/>
        <w:rPr>
          <w:rFonts w:ascii="Arial" w:eastAsia="Times New Roman" w:hAnsi="Arial" w:cs="Arial"/>
          <w:b/>
          <w:sz w:val="20"/>
          <w:szCs w:val="20"/>
          <w:lang w:val="es-ES" w:eastAsia="es-ES"/>
        </w:rPr>
      </w:pPr>
    </w:p>
    <w:p w:rsidR="00EF4587" w:rsidRPr="00076DCD" w:rsidRDefault="00EF4587" w:rsidP="00B07EB1">
      <w:pPr>
        <w:tabs>
          <w:tab w:val="left" w:pos="1843"/>
        </w:tabs>
        <w:spacing w:after="0" w:line="257" w:lineRule="auto"/>
        <w:ind w:left="993"/>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Secuencia de operación:</w:t>
      </w:r>
    </w:p>
    <w:p w:rsidR="00EF4587" w:rsidRPr="00076DCD" w:rsidRDefault="00EF4587" w:rsidP="00B07EB1">
      <w:pPr>
        <w:numPr>
          <w:ilvl w:val="2"/>
          <w:numId w:val="82"/>
        </w:numPr>
        <w:spacing w:after="0" w:line="257" w:lineRule="auto"/>
        <w:ind w:left="1701" w:hanging="283"/>
        <w:jc w:val="both"/>
        <w:rPr>
          <w:rFonts w:ascii="Arial" w:eastAsia="Times New Roman" w:hAnsi="Arial" w:cs="Arial"/>
          <w:sz w:val="20"/>
          <w:szCs w:val="20"/>
          <w:lang w:val="pt-BR" w:eastAsia="es-ES"/>
        </w:rPr>
      </w:pPr>
      <w:r w:rsidRPr="00076DCD">
        <w:rPr>
          <w:rFonts w:ascii="Arial" w:eastAsia="Times New Roman" w:hAnsi="Arial" w:cs="Arial"/>
          <w:sz w:val="20"/>
          <w:szCs w:val="20"/>
          <w:lang w:val="pt-BR" w:eastAsia="es-ES"/>
        </w:rPr>
        <w:t xml:space="preserve"> Maniobra de autotransformadores</w:t>
      </w:r>
      <w:r w:rsidRPr="00076DCD">
        <w:rPr>
          <w:rFonts w:ascii="Arial" w:eastAsia="Times New Roman" w:hAnsi="Arial" w:cs="Arial"/>
          <w:sz w:val="20"/>
          <w:szCs w:val="20"/>
          <w:lang w:val="pt-BR" w:eastAsia="es-ES"/>
        </w:rPr>
        <w:tab/>
      </w:r>
      <w:r w:rsidRPr="00076DCD">
        <w:rPr>
          <w:rFonts w:ascii="Arial" w:eastAsia="Times New Roman" w:hAnsi="Arial" w:cs="Arial"/>
          <w:sz w:val="20"/>
          <w:szCs w:val="20"/>
          <w:lang w:val="pt-BR" w:eastAsia="es-ES"/>
        </w:rPr>
        <w:tab/>
        <w:t>CO-15”-CO</w:t>
      </w:r>
    </w:p>
    <w:p w:rsidR="00EF4587" w:rsidRPr="00076DCD" w:rsidRDefault="00EF4587" w:rsidP="00B07EB1">
      <w:pPr>
        <w:numPr>
          <w:ilvl w:val="2"/>
          <w:numId w:val="82"/>
        </w:numPr>
        <w:spacing w:after="0" w:line="257" w:lineRule="auto"/>
        <w:ind w:left="1701" w:hanging="283"/>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Maniobra de líneas</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O-0,3”-CO-3’-CO</w:t>
      </w:r>
    </w:p>
    <w:p w:rsidR="00EF4587" w:rsidRPr="00076DCD" w:rsidRDefault="00EF4587" w:rsidP="00B07EB1">
      <w:pPr>
        <w:spacing w:after="0" w:line="257" w:lineRule="auto"/>
        <w:ind w:left="960"/>
        <w:jc w:val="both"/>
        <w:rPr>
          <w:rFonts w:ascii="Arial" w:eastAsia="Times New Roman" w:hAnsi="Arial" w:cs="Arial"/>
          <w:bCs/>
          <w:sz w:val="16"/>
          <w:szCs w:val="16"/>
          <w:lang w:val="es-ES" w:eastAsia="es-ES"/>
        </w:rPr>
      </w:pPr>
    </w:p>
    <w:p w:rsidR="00EF4587" w:rsidRPr="00E024E4" w:rsidRDefault="00EF4587" w:rsidP="00E024E4">
      <w:pPr>
        <w:spacing w:after="0" w:line="257" w:lineRule="auto"/>
        <w:ind w:left="960"/>
        <w:jc w:val="both"/>
        <w:rPr>
          <w:rFonts w:ascii="Arial" w:eastAsia="Times New Roman" w:hAnsi="Arial" w:cs="Arial"/>
          <w:bCs/>
          <w:sz w:val="16"/>
          <w:szCs w:val="16"/>
          <w:lang w:val="es-ES" w:eastAsia="es-ES"/>
        </w:rPr>
      </w:pPr>
      <w:r w:rsidRPr="00E024E4">
        <w:rPr>
          <w:rFonts w:ascii="Arial" w:eastAsia="Times New Roman" w:hAnsi="Arial" w:cs="Arial"/>
          <w:b/>
          <w:bCs/>
          <w:sz w:val="16"/>
          <w:szCs w:val="16"/>
          <w:lang w:val="es-ES" w:eastAsia="es-ES"/>
        </w:rPr>
        <w:t>Nota (*):</w:t>
      </w:r>
      <w:r w:rsidRPr="00E024E4">
        <w:rPr>
          <w:rFonts w:ascii="Arial" w:eastAsia="Times New Roman" w:hAnsi="Arial" w:cs="Arial"/>
          <w:bCs/>
          <w:sz w:val="16"/>
          <w:szCs w:val="16"/>
          <w:lang w:val="es-ES" w:eastAsia="es-ES"/>
        </w:rPr>
        <w:t xml:space="preserve"> Este valor será confirmado por la Sociedad Concesionaria y aprobado en el estudio de Pre Operatividad por el COES-SINAC.</w:t>
      </w:r>
    </w:p>
    <w:p w:rsidR="00EF4587" w:rsidRPr="00076DCD" w:rsidRDefault="00EF4587" w:rsidP="00B07EB1">
      <w:pPr>
        <w:spacing w:after="0" w:line="257" w:lineRule="auto"/>
        <w:ind w:left="960"/>
        <w:jc w:val="both"/>
        <w:rPr>
          <w:rFonts w:ascii="Arial" w:eastAsia="Times New Roman" w:hAnsi="Arial" w:cs="Arial"/>
          <w:sz w:val="20"/>
          <w:szCs w:val="20"/>
          <w:lang w:val="es-ES" w:eastAsia="es-ES"/>
        </w:rPr>
      </w:pPr>
    </w:p>
    <w:p w:rsidR="00EF4587" w:rsidRPr="00076DCD" w:rsidRDefault="00EF4587" w:rsidP="00B07EB1">
      <w:pPr>
        <w:spacing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el caso de los interruptores de tanque vivo, las solicitaciones sísmicas deberán considerar que la base de estos equipos se encuentran a una altura mínima de 2,50 m sobre el suelo y existe un efecto multiplicador de la aceleración horizontal que deberá ser tomada en cuenta.</w:t>
      </w:r>
    </w:p>
    <w:p w:rsidR="00EF4587" w:rsidRPr="00076DCD" w:rsidRDefault="00EF4587" w:rsidP="00B07EB1">
      <w:pPr>
        <w:spacing w:before="120" w:after="120" w:line="257" w:lineRule="auto"/>
        <w:ind w:left="1440" w:hanging="840"/>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6.1.1.4</w:t>
      </w:r>
      <w:r w:rsidRPr="00076DCD">
        <w:rPr>
          <w:rFonts w:ascii="Arial" w:eastAsia="Times New Roman" w:hAnsi="Arial" w:cs="Arial"/>
          <w:b/>
          <w:bCs/>
          <w:sz w:val="20"/>
          <w:szCs w:val="20"/>
          <w:lang w:val="es-MX" w:eastAsia="es-ES"/>
        </w:rPr>
        <w:tab/>
        <w:t>Características Constructivas</w:t>
      </w:r>
    </w:p>
    <w:p w:rsidR="00EF4587" w:rsidRPr="00076DCD" w:rsidRDefault="00EF4587" w:rsidP="00B07EB1">
      <w:pPr>
        <w:spacing w:after="0" w:line="257" w:lineRule="auto"/>
        <w:ind w:left="1418" w:hanging="425"/>
        <w:jc w:val="both"/>
        <w:rPr>
          <w:rFonts w:ascii="Arial" w:eastAsia="Times New Roman" w:hAnsi="Arial" w:cs="Arial"/>
          <w:sz w:val="20"/>
          <w:szCs w:val="20"/>
          <w:lang w:val="es-ES" w:eastAsia="es-ES"/>
        </w:rPr>
      </w:pPr>
      <w:r w:rsidRPr="00076DCD">
        <w:rPr>
          <w:rFonts w:ascii="Arial" w:eastAsia="Times New Roman" w:hAnsi="Arial" w:cs="Arial"/>
          <w:b/>
          <w:sz w:val="20"/>
          <w:szCs w:val="20"/>
          <w:lang w:val="es-MX" w:eastAsia="es-ES"/>
        </w:rPr>
        <w:t>a)</w:t>
      </w:r>
      <w:r w:rsidRPr="00076DCD">
        <w:rPr>
          <w:rFonts w:ascii="Arial" w:eastAsia="Times New Roman" w:hAnsi="Arial" w:cs="Arial"/>
          <w:sz w:val="20"/>
          <w:szCs w:val="20"/>
          <w:lang w:val="es-MX" w:eastAsia="es-ES"/>
        </w:rPr>
        <w:tab/>
      </w:r>
      <w:r w:rsidRPr="00076DCD">
        <w:rPr>
          <w:rFonts w:ascii="Arial" w:eastAsia="Times New Roman" w:hAnsi="Arial" w:cs="Arial"/>
          <w:b/>
          <w:sz w:val="20"/>
          <w:szCs w:val="20"/>
          <w:lang w:val="es-ES" w:eastAsia="es-ES"/>
        </w:rPr>
        <w:t>Cámaras de extinción:</w:t>
      </w:r>
      <w:r w:rsidRPr="00076DCD">
        <w:rPr>
          <w:rFonts w:ascii="Arial" w:eastAsia="Times New Roman" w:hAnsi="Arial" w:cs="Arial"/>
          <w:sz w:val="20"/>
          <w:szCs w:val="20"/>
          <w:lang w:val="es-ES" w:eastAsia="es-ES"/>
        </w:rPr>
        <w:t xml:space="preserve">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EF4587" w:rsidRPr="00076DCD" w:rsidRDefault="00EF4587" w:rsidP="00E024E4">
      <w:pPr>
        <w:spacing w:before="120" w:after="0" w:line="257" w:lineRule="auto"/>
        <w:ind w:left="1418" w:hanging="425"/>
        <w:jc w:val="both"/>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lastRenderedPageBreak/>
        <w:t>b)</w:t>
      </w:r>
      <w:r w:rsidRPr="00076DCD">
        <w:rPr>
          <w:rFonts w:ascii="Arial" w:eastAsia="Times New Roman" w:hAnsi="Arial" w:cs="Arial"/>
          <w:sz w:val="20"/>
          <w:szCs w:val="20"/>
          <w:lang w:val="es-ES" w:eastAsia="es-ES"/>
        </w:rPr>
        <w:tab/>
      </w:r>
      <w:r w:rsidRPr="00076DCD">
        <w:rPr>
          <w:rFonts w:ascii="Arial" w:eastAsia="Times New Roman" w:hAnsi="Arial" w:cs="Arial"/>
          <w:b/>
          <w:sz w:val="20"/>
          <w:szCs w:val="20"/>
          <w:lang w:val="es-ES" w:eastAsia="es-ES"/>
        </w:rPr>
        <w:t>Contactos:</w:t>
      </w:r>
      <w:r w:rsidRPr="00076DCD">
        <w:rPr>
          <w:rFonts w:ascii="Arial" w:eastAsia="Times New Roman" w:hAnsi="Arial" w:cs="Arial"/>
          <w:sz w:val="20"/>
          <w:szCs w:val="20"/>
          <w:lang w:val="es-ES" w:eastAsia="es-ES"/>
        </w:rPr>
        <w:t xml:space="preserve"> deberán cumplir con los requerimientos de la Norma ANSI C37.04., en lo que respecta a apertura y conducción de corrientes nominales y de cortocircuito.</w:t>
      </w:r>
    </w:p>
    <w:p w:rsidR="00EF4587" w:rsidRPr="00076DCD" w:rsidRDefault="00EF4587" w:rsidP="00E024E4">
      <w:pPr>
        <w:spacing w:before="120" w:after="0" w:line="257" w:lineRule="auto"/>
        <w:ind w:left="1418" w:hanging="425"/>
        <w:jc w:val="both"/>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c)</w:t>
      </w:r>
      <w:r w:rsidRPr="00076DCD">
        <w:rPr>
          <w:rFonts w:ascii="Arial" w:eastAsia="Times New Roman" w:hAnsi="Arial" w:cs="Arial"/>
          <w:sz w:val="20"/>
          <w:szCs w:val="20"/>
          <w:lang w:val="es-ES" w:eastAsia="es-ES"/>
        </w:rPr>
        <w:tab/>
      </w:r>
      <w:r w:rsidRPr="00076DCD">
        <w:rPr>
          <w:rFonts w:ascii="Arial" w:eastAsia="Times New Roman" w:hAnsi="Arial" w:cs="Arial"/>
          <w:b/>
          <w:sz w:val="20"/>
          <w:szCs w:val="20"/>
          <w:lang w:val="es-ES" w:eastAsia="es-ES"/>
        </w:rPr>
        <w:t>Soportes y anclajes:</w:t>
      </w:r>
      <w:r w:rsidRPr="00076DCD">
        <w:rPr>
          <w:rFonts w:ascii="Arial" w:eastAsia="Times New Roman" w:hAnsi="Arial" w:cs="Arial"/>
          <w:sz w:val="20"/>
          <w:szCs w:val="20"/>
          <w:lang w:val="es-ES" w:eastAsia="es-ES"/>
        </w:rPr>
        <w:t xml:space="preserve"> todos los interruptores contarán con soportes de columnas de fase de las dimensiones y alturas apropiadas para los niveles de tensión, que serán galvanizados en caliente.</w:t>
      </w:r>
    </w:p>
    <w:p w:rsidR="00EF4587" w:rsidRPr="00076DCD" w:rsidRDefault="00EF4587" w:rsidP="00E024E4">
      <w:pPr>
        <w:tabs>
          <w:tab w:val="left" w:pos="1418"/>
          <w:tab w:val="left" w:pos="1843"/>
        </w:tabs>
        <w:spacing w:before="120" w:after="0" w:line="257" w:lineRule="auto"/>
        <w:ind w:left="141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pernos de anclaje contaran con tuercas de nivelación que quedarán embebidas en el “grouting” de las fundaciones, luego de realizado el nivelado de los soportes.</w:t>
      </w:r>
    </w:p>
    <w:p w:rsidR="00EF4587" w:rsidRPr="00076DCD" w:rsidRDefault="00EF4587" w:rsidP="00E024E4">
      <w:pPr>
        <w:tabs>
          <w:tab w:val="left" w:pos="709"/>
        </w:tabs>
        <w:spacing w:before="120" w:after="0" w:line="257" w:lineRule="auto"/>
        <w:ind w:left="1440" w:hanging="480"/>
        <w:jc w:val="both"/>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d)</w:t>
      </w:r>
      <w:r w:rsidRPr="00076DCD">
        <w:rPr>
          <w:rFonts w:ascii="Arial" w:eastAsia="Times New Roman" w:hAnsi="Arial" w:cs="Arial"/>
          <w:b/>
          <w:sz w:val="20"/>
          <w:szCs w:val="20"/>
          <w:lang w:val="es-ES" w:eastAsia="es-ES"/>
        </w:rPr>
        <w:tab/>
      </w:r>
      <w:r w:rsidRPr="00076DCD">
        <w:rPr>
          <w:rFonts w:ascii="Arial" w:eastAsia="Times New Roman" w:hAnsi="Arial" w:cs="Arial"/>
          <w:sz w:val="20"/>
          <w:szCs w:val="20"/>
          <w:lang w:val="es-ES" w:eastAsia="es-ES"/>
        </w:rPr>
        <w:t>Los armarios y cajas de control serán de un grado de protección IP-54.</w:t>
      </w:r>
    </w:p>
    <w:p w:rsidR="00EF4587" w:rsidRPr="00C553EA" w:rsidRDefault="00EF4587" w:rsidP="00C553EA">
      <w:pPr>
        <w:tabs>
          <w:tab w:val="left" w:pos="284"/>
        </w:tabs>
        <w:spacing w:before="120" w:after="0" w:line="257" w:lineRule="auto"/>
        <w:jc w:val="both"/>
        <w:rPr>
          <w:rFonts w:ascii="Arial" w:eastAsia="Times New Roman" w:hAnsi="Arial" w:cs="Arial"/>
          <w:b/>
          <w:sz w:val="20"/>
          <w:szCs w:val="20"/>
          <w:lang w:val="es-ES" w:eastAsia="es-ES"/>
        </w:rPr>
      </w:pPr>
      <w:r w:rsidRPr="00C553EA">
        <w:rPr>
          <w:rFonts w:ascii="Arial" w:eastAsia="Times New Roman" w:hAnsi="Arial" w:cs="Arial"/>
          <w:b/>
          <w:sz w:val="20"/>
          <w:szCs w:val="20"/>
          <w:lang w:val="es-ES" w:eastAsia="es-ES"/>
        </w:rPr>
        <w:t>6.1.2</w:t>
      </w:r>
      <w:r w:rsidRPr="00C553EA">
        <w:rPr>
          <w:rFonts w:ascii="Arial" w:eastAsia="Times New Roman" w:hAnsi="Arial" w:cs="Arial"/>
          <w:b/>
          <w:sz w:val="20"/>
          <w:szCs w:val="20"/>
          <w:lang w:val="es-ES" w:eastAsia="es-ES"/>
        </w:rPr>
        <w:tab/>
        <w:t>Seccionadores y aisladores soporte</w:t>
      </w:r>
    </w:p>
    <w:p w:rsidR="00EF4587" w:rsidRPr="00076DCD" w:rsidRDefault="00EF4587" w:rsidP="00B07EB1">
      <w:pPr>
        <w:spacing w:before="120" w:after="120" w:line="257" w:lineRule="auto"/>
        <w:ind w:left="600"/>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6.1.2.1</w:t>
      </w:r>
      <w:r w:rsidRPr="00076DCD">
        <w:rPr>
          <w:rFonts w:ascii="Arial" w:eastAsia="Times New Roman" w:hAnsi="Arial" w:cs="Arial"/>
          <w:b/>
          <w:bCs/>
          <w:sz w:val="20"/>
          <w:szCs w:val="20"/>
          <w:lang w:val="es-ES" w:eastAsia="es-ES"/>
        </w:rPr>
        <w:tab/>
        <w:t>Alcance</w:t>
      </w:r>
    </w:p>
    <w:p w:rsidR="00EF4587" w:rsidRPr="00076DCD" w:rsidRDefault="00EF4587" w:rsidP="00B07EB1">
      <w:pPr>
        <w:spacing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EF4587" w:rsidRPr="00076DCD" w:rsidRDefault="00EF4587" w:rsidP="00B07EB1">
      <w:pPr>
        <w:spacing w:before="120" w:after="120" w:line="257" w:lineRule="auto"/>
        <w:ind w:left="1440" w:hanging="84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6.1.2.2</w:t>
      </w:r>
      <w:r w:rsidRPr="00076DCD">
        <w:rPr>
          <w:rFonts w:ascii="Arial" w:eastAsia="Times New Roman" w:hAnsi="Arial" w:cs="Arial"/>
          <w:b/>
          <w:sz w:val="20"/>
          <w:szCs w:val="20"/>
          <w:lang w:val="es-ES" w:eastAsia="es-ES"/>
        </w:rPr>
        <w:tab/>
        <w:t>Normas</w:t>
      </w:r>
    </w:p>
    <w:p w:rsidR="00EF4587" w:rsidRPr="00076DCD" w:rsidRDefault="00EF4587" w:rsidP="00E024E4">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los seccionadores se utilizarán, sin ser limitativas, las versiones vigentes de las normas siguientes: CNE Suministro 2011, IEC 62271-102, IEC 60168, IEC 60273, IEC 60694, IEC 60158-1, IEC 60255-4, ANSI C37.90a.</w:t>
      </w:r>
    </w:p>
    <w:p w:rsidR="00EF4587" w:rsidRPr="00076DCD" w:rsidRDefault="00EF4587" w:rsidP="00E024E4">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los aisladores soporte son de aplicación las normas IEC 60168 e IEC 60273 antes citadas, y además la IEC 60437.</w:t>
      </w:r>
    </w:p>
    <w:p w:rsidR="00EF4587" w:rsidRPr="00076DCD" w:rsidRDefault="00EF4587" w:rsidP="00B07EB1">
      <w:pPr>
        <w:spacing w:before="120" w:after="120" w:line="257" w:lineRule="auto"/>
        <w:ind w:left="1320" w:hanging="720"/>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6.1.2.3</w:t>
      </w:r>
      <w:r w:rsidRPr="00076DCD">
        <w:rPr>
          <w:rFonts w:ascii="Arial" w:eastAsia="Times New Roman" w:hAnsi="Arial" w:cs="Arial"/>
          <w:b/>
          <w:bCs/>
          <w:sz w:val="20"/>
          <w:szCs w:val="20"/>
          <w:lang w:val="es-MX" w:eastAsia="es-ES"/>
        </w:rPr>
        <w:tab/>
        <w:t>Características Técnicas</w:t>
      </w:r>
    </w:p>
    <w:p w:rsidR="00EF4587" w:rsidRPr="00076DCD" w:rsidRDefault="00EF4587" w:rsidP="00B07EB1">
      <w:pPr>
        <w:spacing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Serán para montaje al exterior, de tres columnas por fase, de apertura central de preferencia, motorizados, con mando local y remoto.</w:t>
      </w:r>
    </w:p>
    <w:p w:rsidR="00EF4587" w:rsidRPr="00076DCD" w:rsidRDefault="00EF4587" w:rsidP="00E024E4">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EF4587" w:rsidRPr="00076DCD" w:rsidRDefault="00EF4587" w:rsidP="00E024E4">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En el caso particular de las cuchillas de puesta a tierra deberán ser capaces de establecer o interrumpir las corrientes indicadas que puedan existir, como consecuencia de una línea conectada a un campo adyacente al considerado.</w:t>
      </w:r>
    </w:p>
    <w:p w:rsidR="00EF4587" w:rsidRPr="00076DCD" w:rsidRDefault="00EF4587" w:rsidP="00E024E4">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Las características principales de los seccionadores serán las siguientes:</w:t>
      </w:r>
    </w:p>
    <w:p w:rsidR="00EF4587" w:rsidRPr="00076DCD" w:rsidRDefault="00EF4587" w:rsidP="00B07EB1">
      <w:pPr>
        <w:tabs>
          <w:tab w:val="left" w:pos="1843"/>
        </w:tabs>
        <w:spacing w:after="0" w:line="257" w:lineRule="auto"/>
        <w:ind w:left="709"/>
        <w:jc w:val="both"/>
        <w:rPr>
          <w:rFonts w:ascii="Arial" w:eastAsia="Times New Roman" w:hAnsi="Arial" w:cs="Arial"/>
          <w:sz w:val="20"/>
          <w:szCs w:val="20"/>
          <w:lang w:val="es-ES" w:eastAsia="es-ES"/>
        </w:rPr>
      </w:pPr>
    </w:p>
    <w:p w:rsidR="00EF4587" w:rsidRPr="00076DCD" w:rsidRDefault="00EF4587" w:rsidP="00E024E4">
      <w:pPr>
        <w:spacing w:after="0" w:line="257" w:lineRule="auto"/>
        <w:ind w:firstLine="709"/>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Descripción</w:t>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p>
    <w:p w:rsidR="00EF4587" w:rsidRPr="00076DCD" w:rsidRDefault="00EF4587" w:rsidP="00B07EB1">
      <w:pPr>
        <w:spacing w:after="0" w:line="257" w:lineRule="auto"/>
        <w:ind w:left="709" w:firstLine="352"/>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Tipo de instalación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Intemperie          </w:t>
      </w:r>
    </w:p>
    <w:p w:rsidR="00EF4587" w:rsidRPr="00076DCD" w:rsidRDefault="00EF4587" w:rsidP="00B07EB1">
      <w:pPr>
        <w:spacing w:after="0" w:line="257" w:lineRule="auto"/>
        <w:ind w:left="352" w:firstLine="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Tensión  nominal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220 kV         </w:t>
      </w:r>
    </w:p>
    <w:p w:rsidR="00EF4587" w:rsidRPr="00076DCD" w:rsidRDefault="00EF4587" w:rsidP="00B07EB1">
      <w:pPr>
        <w:tabs>
          <w:tab w:val="left" w:pos="1843"/>
        </w:tabs>
        <w:spacing w:after="0" w:line="257" w:lineRule="auto"/>
        <w:ind w:left="106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Corriente en servicio continuo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2 000 A</w:t>
      </w:r>
    </w:p>
    <w:p w:rsidR="00EF4587" w:rsidRPr="00076DCD" w:rsidRDefault="00EF4587" w:rsidP="00B07EB1">
      <w:pPr>
        <w:spacing w:after="0" w:line="257" w:lineRule="auto"/>
        <w:ind w:left="106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Poder de ruptura kA en cortocircuito</w:t>
      </w:r>
      <w:r w:rsidRPr="00076DCD">
        <w:rPr>
          <w:rFonts w:ascii="Arial" w:eastAsia="Times New Roman" w:hAnsi="Arial" w:cs="Arial"/>
          <w:sz w:val="20"/>
          <w:szCs w:val="20"/>
          <w:lang w:val="es-ES" w:eastAsia="es-ES"/>
        </w:rPr>
        <w:tab/>
        <w:t>63 kA</w:t>
      </w:r>
    </w:p>
    <w:p w:rsidR="00EF4587" w:rsidRPr="00076DCD" w:rsidRDefault="00EF4587" w:rsidP="00B07EB1">
      <w:pPr>
        <w:tabs>
          <w:tab w:val="left" w:pos="1843"/>
        </w:tabs>
        <w:spacing w:after="0" w:line="257" w:lineRule="auto"/>
        <w:ind w:left="106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Duración del cortocircuito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1 s</w:t>
      </w:r>
    </w:p>
    <w:p w:rsidR="00EF4587" w:rsidRPr="00076DCD" w:rsidRDefault="00EF4587" w:rsidP="00B07EB1">
      <w:pPr>
        <w:spacing w:after="0" w:line="257" w:lineRule="auto"/>
        <w:jc w:val="both"/>
        <w:rPr>
          <w:rFonts w:ascii="Arial" w:eastAsia="Times New Roman" w:hAnsi="Arial" w:cs="Arial"/>
          <w:b/>
          <w:bCs/>
          <w:sz w:val="20"/>
          <w:szCs w:val="20"/>
          <w:lang w:val="es-MX" w:eastAsia="es-ES"/>
        </w:rPr>
      </w:pPr>
    </w:p>
    <w:p w:rsidR="00EF4587" w:rsidRPr="00076DCD" w:rsidRDefault="00EF4587" w:rsidP="00E024E4">
      <w:pPr>
        <w:numPr>
          <w:ilvl w:val="0"/>
          <w:numId w:val="81"/>
        </w:numPr>
        <w:spacing w:before="120" w:after="0" w:line="257" w:lineRule="auto"/>
        <w:ind w:left="993" w:hanging="284"/>
        <w:jc w:val="both"/>
        <w:rPr>
          <w:rFonts w:ascii="Arial" w:eastAsia="Times New Roman" w:hAnsi="Arial" w:cs="Arial"/>
          <w:b/>
          <w:bCs/>
          <w:sz w:val="20"/>
          <w:szCs w:val="20"/>
          <w:u w:val="single"/>
          <w:lang w:val="es-MX" w:eastAsia="es-ES"/>
        </w:rPr>
      </w:pPr>
      <w:r w:rsidRPr="00076DCD">
        <w:rPr>
          <w:rFonts w:ascii="Arial" w:eastAsia="Times New Roman" w:hAnsi="Arial" w:cs="Arial"/>
          <w:b/>
          <w:bCs/>
          <w:sz w:val="20"/>
          <w:szCs w:val="20"/>
          <w:u w:val="single"/>
          <w:lang w:val="es-MX" w:eastAsia="es-ES"/>
        </w:rPr>
        <w:t>Bloqueos y  enclavamientos</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caso de la cuchilla de puesta a tierra se deberá proveer un mecánico, que impida:</w:t>
      </w:r>
    </w:p>
    <w:p w:rsidR="00EF4587" w:rsidRPr="00076DCD" w:rsidRDefault="00EF4587" w:rsidP="00E024E4">
      <w:pPr>
        <w:tabs>
          <w:tab w:val="left" w:pos="1843"/>
        </w:tabs>
        <w:spacing w:before="120" w:after="0" w:line="257" w:lineRule="auto"/>
        <w:ind w:left="709"/>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 Cerrar las cuchillas si el seccionador principal está cerrado.</w:t>
      </w:r>
    </w:p>
    <w:p w:rsidR="00EF4587" w:rsidRPr="00076DCD" w:rsidRDefault="00EF4587" w:rsidP="00E024E4">
      <w:pPr>
        <w:tabs>
          <w:tab w:val="left" w:pos="1843"/>
        </w:tabs>
        <w:spacing w:before="60" w:after="0" w:line="257" w:lineRule="auto"/>
        <w:ind w:left="709"/>
        <w:jc w:val="both"/>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 Cerrar el seccionador principal si las cuchillas de puesta a tierra están cerradas.</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lastRenderedPageBreak/>
        <w:t>Para todos los seccionadores y cuchillas de puesta a tierra existirá un bloqueo eléctrico que será necesario liberar para efectuar la operación manual de apertura o cierre o para efectuar la apertura o cierre de las cuchillas de puesta a tierra.</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los seccionadores de línea, se dispondrá un bloqueo por cerradura de mando local, tanto manual como eléctrico.</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Se proveerá un enclavamiento mecánico automático para impedir cualquier movimiento intempestivo del seccionador en sus posiciones extremas de apertura o cierre.</w:t>
      </w:r>
    </w:p>
    <w:p w:rsidR="00EF4587" w:rsidRPr="00076DCD" w:rsidRDefault="00EF4587" w:rsidP="00E024E4">
      <w:pPr>
        <w:spacing w:before="120" w:after="0" w:line="257" w:lineRule="auto"/>
        <w:ind w:left="709"/>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 xml:space="preserve">b) </w:t>
      </w:r>
      <w:r w:rsidRPr="00076DCD">
        <w:rPr>
          <w:rFonts w:ascii="Arial" w:eastAsia="Times New Roman" w:hAnsi="Arial" w:cs="Arial"/>
          <w:b/>
          <w:bCs/>
          <w:sz w:val="20"/>
          <w:szCs w:val="20"/>
          <w:u w:val="single"/>
          <w:lang w:val="es-MX" w:eastAsia="es-ES"/>
        </w:rPr>
        <w:t>Aisladores soporte</w:t>
      </w:r>
    </w:p>
    <w:p w:rsidR="00EF4587" w:rsidRPr="00076DCD" w:rsidRDefault="00EF4587" w:rsidP="00E024E4">
      <w:pPr>
        <w:spacing w:before="120" w:after="0" w:line="257" w:lineRule="auto"/>
        <w:ind w:left="72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Serán de piezas torneadas ensamblables, no se aceptaran aisladores del tipo multicono. Serán del tipo de alma llena (solid core) y calculados para soportar las cargas requeridas, incluyendo los respectivos coeficientes de seguridad.</w:t>
      </w:r>
    </w:p>
    <w:p w:rsidR="00EF4587" w:rsidRPr="00076DCD" w:rsidRDefault="00EF4587" w:rsidP="00E024E4">
      <w:pPr>
        <w:spacing w:before="120" w:after="0" w:line="257" w:lineRule="auto"/>
        <w:ind w:left="72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aisladores soporte cumplirán con lo especificado en el numeral de este anexo donde se establecen los niveles de tensión y aislamiento.</w:t>
      </w:r>
    </w:p>
    <w:p w:rsidR="00EF4587" w:rsidRPr="00C553EA" w:rsidRDefault="00EF4587" w:rsidP="00E024E4">
      <w:pPr>
        <w:tabs>
          <w:tab w:val="left" w:pos="284"/>
        </w:tabs>
        <w:spacing w:before="120" w:after="0" w:line="257" w:lineRule="auto"/>
        <w:jc w:val="both"/>
        <w:rPr>
          <w:rFonts w:ascii="Arial" w:eastAsia="Times New Roman" w:hAnsi="Arial" w:cs="Arial"/>
          <w:b/>
          <w:sz w:val="20"/>
          <w:szCs w:val="20"/>
          <w:lang w:val="es-ES" w:eastAsia="es-ES"/>
        </w:rPr>
      </w:pPr>
      <w:r w:rsidRPr="00C553EA">
        <w:rPr>
          <w:rFonts w:ascii="Arial" w:eastAsia="Times New Roman" w:hAnsi="Arial" w:cs="Arial"/>
          <w:b/>
          <w:sz w:val="20"/>
          <w:szCs w:val="20"/>
          <w:lang w:val="es-ES" w:eastAsia="es-ES"/>
        </w:rPr>
        <w:t>6.1.3</w:t>
      </w:r>
      <w:r w:rsidRPr="00C553EA">
        <w:rPr>
          <w:rFonts w:ascii="Arial" w:eastAsia="Times New Roman" w:hAnsi="Arial" w:cs="Arial"/>
          <w:b/>
          <w:sz w:val="20"/>
          <w:szCs w:val="20"/>
          <w:lang w:val="es-ES" w:eastAsia="es-ES"/>
        </w:rPr>
        <w:tab/>
        <w:t>Transformadores de Corriente y de Tensión</w:t>
      </w:r>
    </w:p>
    <w:p w:rsidR="00EF4587" w:rsidRPr="00076DCD" w:rsidRDefault="00EF4587" w:rsidP="00E024E4">
      <w:pPr>
        <w:spacing w:before="120" w:after="0" w:line="257" w:lineRule="auto"/>
        <w:ind w:left="960" w:hanging="360"/>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6.1.3.1</w:t>
      </w:r>
      <w:r w:rsidRPr="00076DCD">
        <w:rPr>
          <w:rFonts w:ascii="Arial" w:eastAsia="Times New Roman" w:hAnsi="Arial" w:cs="Arial"/>
          <w:b/>
          <w:bCs/>
          <w:sz w:val="20"/>
          <w:szCs w:val="20"/>
          <w:lang w:val="es-ES" w:eastAsia="es-ES"/>
        </w:rPr>
        <w:tab/>
        <w:t>Alcance</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Estas especificaciones cubren los requerimientos mínimos para el diseño, fabricación y ensayos de los transformadores de medida en todos los niveles de tensión, incluyendo los elementos auxiliares necesarios  para su correcto funcionamiento y operación.</w:t>
      </w:r>
    </w:p>
    <w:p w:rsidR="00EF4587" w:rsidRPr="00076DCD" w:rsidRDefault="00EF4587" w:rsidP="00E024E4">
      <w:pPr>
        <w:spacing w:before="120" w:after="0" w:line="257" w:lineRule="auto"/>
        <w:ind w:left="600"/>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6.1.3.2</w:t>
      </w:r>
      <w:r w:rsidRPr="00076DCD">
        <w:rPr>
          <w:rFonts w:ascii="Arial" w:eastAsia="Times New Roman" w:hAnsi="Arial" w:cs="Arial"/>
          <w:b/>
          <w:sz w:val="20"/>
          <w:szCs w:val="20"/>
          <w:lang w:val="es-ES" w:eastAsia="es-ES"/>
        </w:rPr>
        <w:tab/>
        <w:t>Normas</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EF4587" w:rsidRPr="00076DCD" w:rsidRDefault="00EF4587" w:rsidP="00E024E4">
      <w:pPr>
        <w:tabs>
          <w:tab w:val="left" w:pos="1843"/>
        </w:tabs>
        <w:spacing w:before="120" w:after="0" w:line="257" w:lineRule="auto"/>
        <w:ind w:left="1440" w:hanging="840"/>
        <w:jc w:val="both"/>
        <w:rPr>
          <w:rFonts w:ascii="Arial" w:eastAsia="Times New Roman" w:hAnsi="Arial" w:cs="Arial"/>
          <w:b/>
          <w:sz w:val="20"/>
          <w:szCs w:val="20"/>
          <w:lang w:val="es-ES" w:eastAsia="es-ES"/>
        </w:rPr>
      </w:pPr>
      <w:r w:rsidRPr="00076DCD">
        <w:rPr>
          <w:rFonts w:ascii="Arial" w:eastAsia="Times New Roman" w:hAnsi="Arial" w:cs="Arial"/>
          <w:b/>
          <w:bCs/>
          <w:sz w:val="20"/>
          <w:szCs w:val="20"/>
          <w:lang w:val="es-ES" w:eastAsia="es-ES"/>
        </w:rPr>
        <w:t>6.1.3.3</w:t>
      </w:r>
      <w:r w:rsidRPr="00076DCD">
        <w:rPr>
          <w:rFonts w:ascii="Arial" w:eastAsia="Times New Roman" w:hAnsi="Arial" w:cs="Arial"/>
          <w:b/>
          <w:bCs/>
          <w:sz w:val="20"/>
          <w:szCs w:val="20"/>
          <w:lang w:val="es-ES" w:eastAsia="es-ES"/>
        </w:rPr>
        <w:tab/>
      </w:r>
      <w:r w:rsidRPr="00076DCD">
        <w:rPr>
          <w:rFonts w:ascii="Arial" w:eastAsia="Times New Roman" w:hAnsi="Arial" w:cs="Arial"/>
          <w:b/>
          <w:bCs/>
          <w:sz w:val="20"/>
          <w:szCs w:val="20"/>
          <w:lang w:val="es-MX" w:eastAsia="es-ES"/>
        </w:rPr>
        <w:t>Características Técnicas</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transformadores de medida serán monofásicos, para montaje a la intemperie, en posición vertical,  del tipo aislamiento en baño de aceite o gas SF6, y herméticamente sellados.</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cuba será de acero soldado o de fundición de aluminio, hermética, con suficiente resistencia para soportar las condiciones de operación y serán provistas de orejas y orificios para permitir el izaje del transformador completo.</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Todas las uniones empernadas y tapas tendrán empaquetaduras de goma sintética resistente al aceite.</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caja de conexiones será de acero galvanizado de 2,5 mm de espesor como mínimo o de fundición de aleación de aluminio, apta para instalación al exterior del aparato.</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tapa de la caja será empernada o abisagrada y el cierre con junta de neopreno. El acceso de cables será por la parte inferior.</w:t>
      </w:r>
    </w:p>
    <w:p w:rsidR="00EF4587" w:rsidRPr="00076DCD" w:rsidRDefault="00EF4587" w:rsidP="00E024E4">
      <w:pPr>
        <w:spacing w:before="120" w:after="0" w:line="257" w:lineRule="auto"/>
        <w:ind w:left="60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 caja de conexiones tendrá un grado de protección IP54 según IEC-60259.</w:t>
      </w:r>
    </w:p>
    <w:p w:rsidR="00EF4587" w:rsidRPr="00076DCD" w:rsidRDefault="00EF4587" w:rsidP="00E024E4">
      <w:pPr>
        <w:spacing w:before="120" w:after="0" w:line="257" w:lineRule="auto"/>
        <w:ind w:left="1080" w:hanging="371"/>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a)</w:t>
      </w:r>
      <w:r w:rsidRPr="00076DCD">
        <w:rPr>
          <w:rFonts w:ascii="Arial" w:eastAsia="Times New Roman" w:hAnsi="Arial" w:cs="Arial"/>
          <w:b/>
          <w:bCs/>
          <w:sz w:val="20"/>
          <w:szCs w:val="20"/>
          <w:lang w:val="es-MX" w:eastAsia="es-ES"/>
        </w:rPr>
        <w:tab/>
        <w:t>Transformadores de Corriente</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Deberán poder conducir la corriente nominal primaria y la de rango extendido durante un minuto, estando abierto el circuito secundario. </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núcleos de protección serán utilizados con un sistema de protecciones ultrarrápido, serán aptos para dar respuesta al régimen transitorio.</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lastRenderedPageBreak/>
        <w:t>El núcleo será toroidal y estará formado por láminas magnéticas de acero de muy bajas pérdidas específicas.</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Todas las partes metálicas serán galvanizadas en caliente según Normas ASTM o VDE, y los arrollamientos serán de cobre aislado.</w:t>
      </w:r>
    </w:p>
    <w:p w:rsidR="00EF4587" w:rsidRPr="00076DCD" w:rsidRDefault="00EF4587" w:rsidP="00E024E4">
      <w:pPr>
        <w:spacing w:before="120" w:after="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EF4587" w:rsidRPr="00076DCD" w:rsidRDefault="00EF4587" w:rsidP="00B07EB1">
      <w:pPr>
        <w:numPr>
          <w:ilvl w:val="0"/>
          <w:numId w:val="103"/>
        </w:numPr>
        <w:tabs>
          <w:tab w:val="left" w:pos="1560"/>
        </w:tabs>
        <w:spacing w:after="0" w:line="257" w:lineRule="auto"/>
        <w:ind w:left="156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Que la elevada densidad de corriente en ciertos puntos del equipo provoque sobrecalentamientos localizados.</w:t>
      </w:r>
    </w:p>
    <w:p w:rsidR="00EF4587" w:rsidRPr="00076DCD" w:rsidRDefault="00EF4587" w:rsidP="00B07EB1">
      <w:pPr>
        <w:numPr>
          <w:ilvl w:val="0"/>
          <w:numId w:val="103"/>
        </w:numPr>
        <w:tabs>
          <w:tab w:val="num" w:pos="1560"/>
        </w:tabs>
        <w:spacing w:after="0" w:line="257" w:lineRule="auto"/>
        <w:ind w:left="156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Sobretensiones internas de muy breve duración que ocasione rupturas dieléctricas en los aislantes líquidos y sólidos.</w:t>
      </w:r>
    </w:p>
    <w:p w:rsidR="00EF4587" w:rsidRPr="00076DCD" w:rsidRDefault="00EF4587" w:rsidP="00E024E4">
      <w:pPr>
        <w:spacing w:before="120" w:after="120" w:line="257" w:lineRule="auto"/>
        <w:ind w:left="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Los transformadores de corriente tendrán las características principales siguientes:</w:t>
      </w:r>
    </w:p>
    <w:p w:rsidR="00EF4587" w:rsidRPr="00076DCD" w:rsidRDefault="00EF4587" w:rsidP="00B07EB1">
      <w:pPr>
        <w:spacing w:after="0" w:line="257" w:lineRule="auto"/>
        <w:ind w:left="993"/>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Descripción</w:t>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t xml:space="preserve">     </w:t>
      </w:r>
    </w:p>
    <w:p w:rsidR="00EF4587" w:rsidRPr="00076DCD" w:rsidRDefault="00EF4587" w:rsidP="00B07EB1">
      <w:pPr>
        <w:spacing w:after="0" w:line="257" w:lineRule="auto"/>
        <w:ind w:left="425"/>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           Tipo de instalación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Intemperie </w:t>
      </w:r>
    </w:p>
    <w:p w:rsidR="00EF4587" w:rsidRPr="00076DCD" w:rsidRDefault="00EF4587" w:rsidP="00B07EB1">
      <w:pPr>
        <w:spacing w:after="0" w:line="257" w:lineRule="auto"/>
        <w:ind w:left="425"/>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 xml:space="preserve">           Tensión  nominal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 xml:space="preserve">220 kV       </w:t>
      </w:r>
    </w:p>
    <w:p w:rsidR="00EF4587" w:rsidRPr="00076DCD" w:rsidRDefault="00EF4587" w:rsidP="00B07EB1">
      <w:pPr>
        <w:tabs>
          <w:tab w:val="left" w:pos="1843"/>
        </w:tabs>
        <w:spacing w:after="0" w:line="257" w:lineRule="auto"/>
        <w:ind w:left="352"/>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Corriente primaria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1 000-2 000 A</w:t>
      </w:r>
    </w:p>
    <w:p w:rsidR="00EF4587" w:rsidRPr="00076DCD" w:rsidRDefault="00EF4587" w:rsidP="00B07EB1">
      <w:pPr>
        <w:tabs>
          <w:tab w:val="left" w:pos="1843"/>
        </w:tabs>
        <w:spacing w:after="0" w:line="257" w:lineRule="auto"/>
        <w:ind w:left="352"/>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Corriente secundaria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1A</w:t>
      </w:r>
    </w:p>
    <w:p w:rsidR="00EF4587" w:rsidRPr="00076DCD" w:rsidRDefault="00EF4587" w:rsidP="00B07EB1">
      <w:pPr>
        <w:tabs>
          <w:tab w:val="left" w:pos="1843"/>
        </w:tabs>
        <w:spacing w:after="0" w:line="257" w:lineRule="auto"/>
        <w:ind w:left="352"/>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            </w:t>
      </w:r>
      <w:r w:rsidRPr="00076DCD">
        <w:rPr>
          <w:rFonts w:ascii="Arial" w:eastAsia="Times New Roman" w:hAnsi="Arial" w:cs="Arial"/>
          <w:b/>
          <w:sz w:val="20"/>
          <w:szCs w:val="20"/>
          <w:lang w:val="es-ES" w:eastAsia="es-ES"/>
        </w:rPr>
        <w:t>Núcleos de medida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B07EB1">
      <w:pPr>
        <w:numPr>
          <w:ilvl w:val="0"/>
          <w:numId w:val="60"/>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Clase de precisión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0,2 %</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B07EB1">
      <w:pPr>
        <w:numPr>
          <w:ilvl w:val="0"/>
          <w:numId w:val="60"/>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Potencia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 xml:space="preserve">30 VA          </w:t>
      </w:r>
      <w:r w:rsidRPr="00076DCD">
        <w:rPr>
          <w:rFonts w:ascii="Arial" w:eastAsia="Times New Roman" w:hAnsi="Arial" w:cs="Arial"/>
          <w:sz w:val="20"/>
          <w:szCs w:val="20"/>
          <w:lang w:val="es-ES" w:eastAsia="es-ES"/>
        </w:rPr>
        <w:tab/>
      </w:r>
    </w:p>
    <w:p w:rsidR="00EF4587" w:rsidRPr="00076DCD" w:rsidRDefault="00EF4587" w:rsidP="00B07EB1">
      <w:pPr>
        <w:tabs>
          <w:tab w:val="left" w:pos="1843"/>
        </w:tabs>
        <w:spacing w:after="0" w:line="257" w:lineRule="auto"/>
        <w:ind w:left="352"/>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 xml:space="preserve">          </w:t>
      </w:r>
    </w:p>
    <w:p w:rsidR="00EF4587" w:rsidRPr="00076DCD" w:rsidRDefault="00EF4587" w:rsidP="00B07EB1">
      <w:pPr>
        <w:tabs>
          <w:tab w:val="left" w:pos="1843"/>
        </w:tabs>
        <w:spacing w:after="0" w:line="257" w:lineRule="auto"/>
        <w:ind w:left="352"/>
        <w:jc w:val="both"/>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 xml:space="preserve">           Núcleos de protección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4</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B07EB1">
      <w:pPr>
        <w:numPr>
          <w:ilvl w:val="0"/>
          <w:numId w:val="84"/>
        </w:numPr>
        <w:tabs>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Clase de precisión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5P 20</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B07EB1">
      <w:pPr>
        <w:numPr>
          <w:ilvl w:val="0"/>
          <w:numId w:val="84"/>
        </w:numPr>
        <w:tabs>
          <w:tab w:val="left" w:pos="709"/>
          <w:tab w:val="left" w:pos="1843"/>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Potencia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 xml:space="preserve">30 VA          </w:t>
      </w:r>
      <w:r w:rsidRPr="00076DCD">
        <w:rPr>
          <w:rFonts w:ascii="Arial" w:eastAsia="Times New Roman" w:hAnsi="Arial" w:cs="Arial"/>
          <w:sz w:val="20"/>
          <w:szCs w:val="20"/>
          <w:lang w:val="es-ES" w:eastAsia="es-ES"/>
        </w:rPr>
        <w:tab/>
      </w:r>
    </w:p>
    <w:p w:rsidR="00EF4587" w:rsidRPr="00076DCD" w:rsidRDefault="00EF4587" w:rsidP="00B07EB1">
      <w:pPr>
        <w:tabs>
          <w:tab w:val="left" w:pos="1843"/>
        </w:tabs>
        <w:spacing w:after="0" w:line="257" w:lineRule="auto"/>
        <w:ind w:left="960"/>
        <w:jc w:val="both"/>
        <w:rPr>
          <w:rFonts w:ascii="Arial" w:eastAsia="Times New Roman" w:hAnsi="Arial" w:cs="Arial"/>
          <w:sz w:val="20"/>
          <w:szCs w:val="20"/>
          <w:lang w:val="es-ES" w:eastAsia="es-ES"/>
        </w:rPr>
      </w:pPr>
    </w:p>
    <w:p w:rsidR="00EF4587" w:rsidRPr="00076DCD" w:rsidRDefault="00EF4587" w:rsidP="00B07EB1">
      <w:pPr>
        <w:tabs>
          <w:tab w:val="left" w:pos="1843"/>
        </w:tabs>
        <w:spacing w:after="0" w:line="257" w:lineRule="auto"/>
        <w:ind w:left="72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Estos transformadores serán del tipo multitap.</w:t>
      </w:r>
    </w:p>
    <w:p w:rsidR="00EF4587" w:rsidRPr="00076DCD" w:rsidRDefault="00EF4587" w:rsidP="00B07EB1">
      <w:pPr>
        <w:spacing w:before="120" w:after="120" w:line="257" w:lineRule="auto"/>
        <w:ind w:left="1200" w:hanging="491"/>
        <w:jc w:val="both"/>
        <w:rPr>
          <w:rFonts w:ascii="Arial" w:eastAsia="Times New Roman" w:hAnsi="Arial" w:cs="Arial"/>
          <w:b/>
          <w:bCs/>
          <w:sz w:val="20"/>
          <w:szCs w:val="20"/>
          <w:lang w:val="es-MX" w:eastAsia="es-ES"/>
        </w:rPr>
      </w:pPr>
      <w:r w:rsidRPr="00076DCD">
        <w:rPr>
          <w:rFonts w:ascii="Arial" w:eastAsia="Times New Roman" w:hAnsi="Arial" w:cs="Arial"/>
          <w:b/>
          <w:bCs/>
          <w:sz w:val="20"/>
          <w:szCs w:val="20"/>
          <w:lang w:val="es-MX" w:eastAsia="es-ES"/>
        </w:rPr>
        <w:t>b)</w:t>
      </w:r>
      <w:r w:rsidRPr="00076DCD">
        <w:rPr>
          <w:rFonts w:ascii="Arial" w:eastAsia="Times New Roman" w:hAnsi="Arial" w:cs="Arial"/>
          <w:b/>
          <w:bCs/>
          <w:sz w:val="20"/>
          <w:szCs w:val="20"/>
          <w:lang w:val="es-MX" w:eastAsia="es-ES"/>
        </w:rPr>
        <w:tab/>
        <w:t>Transformadores de Tensión</w:t>
      </w:r>
    </w:p>
    <w:p w:rsidR="00EF4587" w:rsidRPr="00076DCD" w:rsidRDefault="00EF4587" w:rsidP="00B07EB1">
      <w:pPr>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proveerán transformadores del tipo capacitivo.</w:t>
      </w:r>
    </w:p>
    <w:p w:rsidR="00EF4587" w:rsidRPr="00076DCD" w:rsidRDefault="00EF4587" w:rsidP="00B07EB1">
      <w:pPr>
        <w:tabs>
          <w:tab w:val="left" w:pos="709"/>
        </w:tabs>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deberá tener en cuenta que los transformadores no deben producir efectos ferro resonancia asociados a las capacidades de las líneas aéreas.</w:t>
      </w:r>
    </w:p>
    <w:p w:rsidR="00EF4587" w:rsidRPr="00076DCD" w:rsidRDefault="00EF4587" w:rsidP="00B07EB1">
      <w:pPr>
        <w:tabs>
          <w:tab w:val="left" w:pos="709"/>
        </w:tabs>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Todas las partes metálicas serán galvanizadas en caliente según Normas ASTM o VDE, y los arrollamientos serán de cobre, aislados con papel impregnado en aceite, o según corresponda si el dieléctrico es SF6.</w:t>
      </w:r>
    </w:p>
    <w:p w:rsidR="00EF4587" w:rsidRPr="00076DCD" w:rsidRDefault="00EF4587" w:rsidP="00B07EB1">
      <w:pPr>
        <w:tabs>
          <w:tab w:val="left" w:pos="709"/>
        </w:tabs>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transformadores serán diseñados para soportar los esfuerzos térmicos y mecánicos debidos a un cortocircuito en los terminales secundarios durante periodo de un segundo con plena tensión mantenida en el primario. Los transformadores no presentaran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EF4587" w:rsidRPr="00076DCD" w:rsidRDefault="00EF4587" w:rsidP="00B07EB1">
      <w:pPr>
        <w:tabs>
          <w:tab w:val="left" w:pos="709"/>
        </w:tabs>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elementos del divisor capacitivo para los transformadores serán contenidos en aisladores de porcelana, constituyendo una columna auto-soportada. Las bobinas de divisor capacitivo serán de hoja de aluminio con aislamiento de papel impregnado o film poliéster y del tipo anti inductivo para mejorar la respuesta a los transitorios.</w:t>
      </w:r>
    </w:p>
    <w:p w:rsidR="00EF4587" w:rsidRPr="00076DCD" w:rsidRDefault="00EF4587" w:rsidP="00B07EB1">
      <w:pPr>
        <w:tabs>
          <w:tab w:val="left" w:pos="709"/>
        </w:tabs>
        <w:spacing w:before="120" w:after="0" w:line="257" w:lineRule="auto"/>
        <w:ind w:left="70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reactancia podrá ser aislada en aceite, en aire o gas SF6.</w:t>
      </w:r>
    </w:p>
    <w:p w:rsidR="00EF4587" w:rsidRPr="00076DCD" w:rsidRDefault="00EF4587" w:rsidP="00B07EB1">
      <w:pPr>
        <w:tabs>
          <w:tab w:val="left" w:pos="709"/>
        </w:tabs>
        <w:spacing w:before="120" w:after="0" w:line="257" w:lineRule="auto"/>
        <w:ind w:left="709"/>
        <w:jc w:val="both"/>
        <w:rPr>
          <w:rFonts w:ascii="Arial" w:eastAsia="Times New Roman" w:hAnsi="Arial" w:cs="Arial"/>
          <w:b/>
          <w:bCs/>
          <w:sz w:val="20"/>
          <w:szCs w:val="20"/>
          <w:lang w:val="es-MX" w:eastAsia="es-ES"/>
        </w:rPr>
      </w:pPr>
      <w:r w:rsidRPr="00076DCD">
        <w:rPr>
          <w:rFonts w:ascii="Arial" w:eastAsia="Times New Roman" w:hAnsi="Arial" w:cs="Arial"/>
          <w:sz w:val="20"/>
          <w:szCs w:val="20"/>
          <w:lang w:val="es-ES" w:eastAsia="es-ES"/>
        </w:rPr>
        <w:t>Los transformadores de tensión tendrán las características principales siguientes:</w:t>
      </w:r>
      <w:r w:rsidRPr="00076DCD">
        <w:rPr>
          <w:rFonts w:ascii="Arial" w:eastAsia="Times New Roman" w:hAnsi="Arial" w:cs="Arial"/>
          <w:b/>
          <w:bCs/>
          <w:sz w:val="20"/>
          <w:szCs w:val="20"/>
          <w:lang w:val="es-MX" w:eastAsia="es-ES"/>
        </w:rPr>
        <w:t xml:space="preserve"> </w:t>
      </w:r>
    </w:p>
    <w:p w:rsidR="00EF4587" w:rsidRPr="00076DCD" w:rsidRDefault="00EF4587" w:rsidP="00B07EB1">
      <w:pPr>
        <w:spacing w:after="0" w:line="257" w:lineRule="auto"/>
        <w:ind w:left="960" w:firstLine="458"/>
        <w:jc w:val="both"/>
        <w:rPr>
          <w:rFonts w:ascii="Arial" w:eastAsia="Times New Roman" w:hAnsi="Arial" w:cs="Arial"/>
          <w:b/>
          <w:sz w:val="20"/>
          <w:szCs w:val="20"/>
          <w:lang w:val="es-ES" w:eastAsia="es-ES"/>
        </w:rPr>
      </w:pPr>
    </w:p>
    <w:p w:rsidR="00EF4587" w:rsidRPr="00076DCD" w:rsidRDefault="00EF4587" w:rsidP="00B07EB1">
      <w:pPr>
        <w:spacing w:after="0" w:line="257" w:lineRule="auto"/>
        <w:ind w:left="960" w:firstLine="33"/>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Descripción</w:t>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r>
      <w:r w:rsidRPr="00076DCD">
        <w:rPr>
          <w:rFonts w:ascii="Arial" w:eastAsia="Times New Roman" w:hAnsi="Arial" w:cs="Arial"/>
          <w:b/>
          <w:sz w:val="20"/>
          <w:szCs w:val="20"/>
          <w:lang w:val="es-ES" w:eastAsia="es-ES"/>
        </w:rPr>
        <w:tab/>
        <w:t xml:space="preserve">      </w:t>
      </w:r>
    </w:p>
    <w:p w:rsidR="00EF4587" w:rsidRPr="00076DCD" w:rsidRDefault="00EF4587" w:rsidP="00B07EB1">
      <w:pPr>
        <w:spacing w:after="0" w:line="257" w:lineRule="auto"/>
        <w:ind w:left="251" w:firstLine="709"/>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Tipo de instalación</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Intemperie</w:t>
      </w:r>
    </w:p>
    <w:p w:rsidR="00EF4587" w:rsidRPr="00076DCD" w:rsidRDefault="00EF4587" w:rsidP="00B07EB1">
      <w:pPr>
        <w:spacing w:after="0" w:line="257" w:lineRule="auto"/>
        <w:ind w:left="960"/>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Tensión  secundaria</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110</w:t>
      </w:r>
      <w:r w:rsidRPr="00076DCD">
        <w:rPr>
          <w:rFonts w:ascii="Arial" w:eastAsia="Times New Roman" w:hAnsi="Arial" w:cs="Arial"/>
          <w:sz w:val="20"/>
          <w:szCs w:val="20"/>
          <w:lang w:val="es-ES" w:eastAsia="es-ES"/>
        </w:rPr>
        <w:t>√</w:t>
      </w:r>
      <w:r w:rsidRPr="00076DCD">
        <w:rPr>
          <w:rFonts w:ascii="Arial" w:eastAsia="Times New Roman" w:hAnsi="Arial" w:cs="Arial"/>
          <w:bCs/>
          <w:sz w:val="20"/>
          <w:szCs w:val="20"/>
          <w:lang w:val="es-ES" w:eastAsia="es-ES"/>
        </w:rPr>
        <w:t>3 V</w:t>
      </w:r>
    </w:p>
    <w:p w:rsidR="00EF4587" w:rsidRPr="00076DCD" w:rsidRDefault="00EF4587" w:rsidP="00B07EB1">
      <w:pPr>
        <w:spacing w:after="0" w:line="257" w:lineRule="auto"/>
        <w:ind w:left="960"/>
        <w:jc w:val="both"/>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Núcleos de medida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1</w:t>
      </w:r>
      <w:r w:rsidRPr="00076DCD">
        <w:rPr>
          <w:rFonts w:ascii="Arial" w:eastAsia="Times New Roman" w:hAnsi="Arial" w:cs="Arial"/>
          <w:sz w:val="20"/>
          <w:szCs w:val="20"/>
          <w:lang w:val="es-ES" w:eastAsia="es-ES"/>
        </w:rPr>
        <w:tab/>
      </w:r>
    </w:p>
    <w:p w:rsidR="00EF4587" w:rsidRPr="00076DCD" w:rsidRDefault="00EF4587" w:rsidP="00B07EB1">
      <w:pPr>
        <w:numPr>
          <w:ilvl w:val="0"/>
          <w:numId w:val="85"/>
        </w:numPr>
        <w:spacing w:after="0" w:line="257" w:lineRule="auto"/>
        <w:ind w:hanging="439"/>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Clase de precisión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0,2 %</w:t>
      </w:r>
      <w:r w:rsidRPr="00076DCD">
        <w:rPr>
          <w:rFonts w:ascii="Arial" w:eastAsia="Times New Roman" w:hAnsi="Arial" w:cs="Arial"/>
          <w:sz w:val="20"/>
          <w:szCs w:val="20"/>
          <w:lang w:val="es-ES" w:eastAsia="es-ES"/>
        </w:rPr>
        <w:tab/>
        <w:t xml:space="preserve"> </w:t>
      </w:r>
    </w:p>
    <w:p w:rsidR="00EF4587" w:rsidRPr="00076DCD" w:rsidRDefault="00EF4587" w:rsidP="00B07EB1">
      <w:pPr>
        <w:numPr>
          <w:ilvl w:val="0"/>
          <w:numId w:val="85"/>
        </w:numPr>
        <w:spacing w:after="0" w:line="257" w:lineRule="auto"/>
        <w:ind w:left="960"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Potencia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30 VA</w:t>
      </w:r>
      <w:r w:rsidRPr="00076DCD">
        <w:rPr>
          <w:rFonts w:ascii="Arial" w:eastAsia="Times New Roman" w:hAnsi="Arial" w:cs="Arial"/>
          <w:sz w:val="20"/>
          <w:szCs w:val="20"/>
          <w:lang w:val="es-ES" w:eastAsia="es-ES"/>
        </w:rPr>
        <w:tab/>
      </w:r>
    </w:p>
    <w:p w:rsidR="00EF4587" w:rsidRPr="00076DCD" w:rsidRDefault="00EF4587" w:rsidP="00B07EB1">
      <w:pPr>
        <w:spacing w:after="0" w:line="257" w:lineRule="auto"/>
        <w:ind w:firstLine="960"/>
        <w:jc w:val="both"/>
        <w:rPr>
          <w:rFonts w:ascii="Arial" w:eastAsia="Times New Roman" w:hAnsi="Arial" w:cs="Arial"/>
          <w:sz w:val="20"/>
          <w:szCs w:val="20"/>
          <w:lang w:val="es-ES" w:eastAsia="es-ES"/>
        </w:rPr>
      </w:pPr>
      <w:r w:rsidRPr="00076DCD">
        <w:rPr>
          <w:rFonts w:ascii="Arial" w:eastAsia="Times New Roman" w:hAnsi="Arial" w:cs="Arial"/>
          <w:b/>
          <w:sz w:val="20"/>
          <w:szCs w:val="20"/>
          <w:lang w:val="es-ES" w:eastAsia="es-ES"/>
        </w:rPr>
        <w:t>Núcleos de protección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1</w:t>
      </w:r>
      <w:r w:rsidRPr="00076DCD">
        <w:rPr>
          <w:rFonts w:ascii="Arial" w:eastAsia="Times New Roman" w:hAnsi="Arial" w:cs="Arial"/>
          <w:sz w:val="20"/>
          <w:szCs w:val="20"/>
          <w:lang w:val="es-ES" w:eastAsia="es-ES"/>
        </w:rPr>
        <w:tab/>
      </w:r>
    </w:p>
    <w:p w:rsidR="00EF4587" w:rsidRPr="00076DCD" w:rsidRDefault="00EF4587" w:rsidP="00B07EB1">
      <w:pPr>
        <w:numPr>
          <w:ilvl w:val="0"/>
          <w:numId w:val="61"/>
        </w:numPr>
        <w:tabs>
          <w:tab w:val="clear" w:pos="1432"/>
        </w:tabs>
        <w:spacing w:after="0" w:line="257" w:lineRule="auto"/>
        <w:ind w:left="960" w:firstLine="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Clase de precisión</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3P</w:t>
      </w:r>
      <w:r w:rsidRPr="00076DCD">
        <w:rPr>
          <w:rFonts w:ascii="Arial" w:eastAsia="Times New Roman" w:hAnsi="Arial" w:cs="Arial"/>
          <w:sz w:val="20"/>
          <w:szCs w:val="20"/>
          <w:lang w:val="es-ES" w:eastAsia="es-ES"/>
        </w:rPr>
        <w:tab/>
      </w:r>
    </w:p>
    <w:p w:rsidR="00EF4587" w:rsidRPr="00076DCD" w:rsidRDefault="00EF4587" w:rsidP="00B07EB1">
      <w:pPr>
        <w:tabs>
          <w:tab w:val="left" w:pos="1843"/>
        </w:tabs>
        <w:spacing w:after="0" w:line="257" w:lineRule="auto"/>
        <w:ind w:left="958"/>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b)  Potencia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30 VA</w:t>
      </w:r>
    </w:p>
    <w:p w:rsidR="00EF4587" w:rsidRPr="00C553EA" w:rsidRDefault="00EF4587" w:rsidP="00C553EA">
      <w:pPr>
        <w:tabs>
          <w:tab w:val="left" w:pos="284"/>
        </w:tabs>
        <w:spacing w:before="120" w:after="0" w:line="257" w:lineRule="auto"/>
        <w:jc w:val="both"/>
        <w:rPr>
          <w:rFonts w:ascii="Arial" w:eastAsia="Times New Roman" w:hAnsi="Arial" w:cs="Arial"/>
          <w:b/>
          <w:sz w:val="20"/>
          <w:szCs w:val="20"/>
          <w:lang w:val="es-ES" w:eastAsia="es-ES"/>
        </w:rPr>
      </w:pPr>
      <w:r w:rsidRPr="00C553EA">
        <w:rPr>
          <w:rFonts w:ascii="Arial" w:eastAsia="Times New Roman" w:hAnsi="Arial" w:cs="Arial"/>
          <w:b/>
          <w:sz w:val="20"/>
          <w:szCs w:val="20"/>
          <w:lang w:val="es-ES" w:eastAsia="es-ES"/>
        </w:rPr>
        <w:t>6.1.4 Pararrayos</w:t>
      </w:r>
    </w:p>
    <w:p w:rsidR="00EF4587" w:rsidRPr="00076DCD" w:rsidRDefault="00EF4587" w:rsidP="00C553EA">
      <w:pPr>
        <w:spacing w:before="120" w:after="0" w:line="257" w:lineRule="auto"/>
        <w:ind w:left="601"/>
        <w:jc w:val="both"/>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6.1.4.1</w:t>
      </w:r>
      <w:r w:rsidRPr="00076DCD">
        <w:rPr>
          <w:rFonts w:ascii="Arial" w:eastAsia="Times New Roman" w:hAnsi="Arial" w:cs="Arial"/>
          <w:b/>
          <w:bCs/>
          <w:sz w:val="20"/>
          <w:szCs w:val="20"/>
          <w:lang w:val="es-ES" w:eastAsia="es-ES"/>
        </w:rPr>
        <w:tab/>
        <w:t>Alcance</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 </w:t>
      </w:r>
    </w:p>
    <w:p w:rsidR="00EF4587" w:rsidRPr="00076DCD" w:rsidRDefault="00EF4587" w:rsidP="00C553EA">
      <w:pPr>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6.</w:t>
      </w:r>
      <w:r w:rsidR="00C553EA">
        <w:rPr>
          <w:rFonts w:ascii="Arial" w:eastAsia="Times New Roman" w:hAnsi="Arial" w:cs="Arial"/>
          <w:b/>
          <w:sz w:val="20"/>
          <w:szCs w:val="20"/>
          <w:lang w:val="es-ES" w:eastAsia="es-ES"/>
        </w:rPr>
        <w:t>1.4</w:t>
      </w:r>
      <w:r w:rsidRPr="00076DCD">
        <w:rPr>
          <w:rFonts w:ascii="Arial" w:eastAsia="Times New Roman" w:hAnsi="Arial" w:cs="Arial"/>
          <w:b/>
          <w:sz w:val="20"/>
          <w:szCs w:val="20"/>
          <w:lang w:val="es-ES" w:eastAsia="es-ES"/>
        </w:rPr>
        <w:t>.2</w:t>
      </w:r>
      <w:r w:rsidRPr="00076DCD">
        <w:rPr>
          <w:rFonts w:ascii="Arial" w:eastAsia="Times New Roman" w:hAnsi="Arial" w:cs="Arial"/>
          <w:b/>
          <w:sz w:val="20"/>
          <w:szCs w:val="20"/>
          <w:lang w:val="es-ES" w:eastAsia="es-ES"/>
        </w:rPr>
        <w:tab/>
        <w:t>Normas</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el diseño, fabricación y transporte de los pararrayos se utilizarán, sin ser limitativas, las Normas siguientes: CNE Suministro 2011, IEC 60099, ANSI C.62.11.</w:t>
      </w:r>
    </w:p>
    <w:p w:rsidR="00EF4587" w:rsidRPr="00076DCD" w:rsidRDefault="00EF4587" w:rsidP="00C553EA">
      <w:pPr>
        <w:spacing w:before="120" w:after="0" w:line="257" w:lineRule="auto"/>
        <w:ind w:left="601"/>
        <w:jc w:val="both"/>
        <w:rPr>
          <w:rFonts w:ascii="Arial" w:eastAsia="Times New Roman" w:hAnsi="Arial" w:cs="Arial"/>
          <w:b/>
          <w:sz w:val="20"/>
          <w:szCs w:val="20"/>
          <w:lang w:val="es-MX" w:eastAsia="es-ES"/>
        </w:rPr>
      </w:pPr>
      <w:r w:rsidRPr="00076DCD">
        <w:rPr>
          <w:rFonts w:ascii="Arial" w:eastAsia="Times New Roman" w:hAnsi="Arial" w:cs="Arial"/>
          <w:b/>
          <w:bCs/>
          <w:sz w:val="20"/>
          <w:szCs w:val="20"/>
          <w:lang w:val="es-MX" w:eastAsia="es-ES"/>
        </w:rPr>
        <w:t>6.1.</w:t>
      </w:r>
      <w:r w:rsidR="00C553EA">
        <w:rPr>
          <w:rFonts w:ascii="Arial" w:eastAsia="Times New Roman" w:hAnsi="Arial" w:cs="Arial"/>
          <w:b/>
          <w:bCs/>
          <w:sz w:val="20"/>
          <w:szCs w:val="20"/>
          <w:lang w:val="es-MX" w:eastAsia="es-ES"/>
        </w:rPr>
        <w:t>4.</w:t>
      </w:r>
      <w:r w:rsidRPr="00076DCD">
        <w:rPr>
          <w:rFonts w:ascii="Arial" w:eastAsia="Times New Roman" w:hAnsi="Arial" w:cs="Arial"/>
          <w:b/>
          <w:bCs/>
          <w:sz w:val="20"/>
          <w:szCs w:val="20"/>
          <w:lang w:val="es-MX" w:eastAsia="es-ES"/>
        </w:rPr>
        <w:t>3</w:t>
      </w:r>
      <w:r w:rsidRPr="00076DCD">
        <w:rPr>
          <w:rFonts w:ascii="Arial" w:eastAsia="Times New Roman" w:hAnsi="Arial" w:cs="Arial"/>
          <w:b/>
          <w:bCs/>
          <w:sz w:val="20"/>
          <w:szCs w:val="20"/>
          <w:lang w:val="es-MX" w:eastAsia="es-ES"/>
        </w:rPr>
        <w:tab/>
        <w:t>Características Constructivas</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forma general se suministrarán descargadores de óxido de zinc (ZnO) para instalación exterior, para 220 kV, de clase 4.</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Serán adecuados para la protección de los equipos contra sobretensiones atmosféricas y sobretensiones de maniobra. La corriente permanente deberá retornar a un valor constante no creciente luego de la disipación del transitorio producido por una descarga.</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descargadores serán aptos para sistemas rígidos a tierra, la tensión residual las corrientes de impulso deben ser lo mas baja posible.</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No deberá presentar descargas por efecto corona. Los puntos agudos en terminales, etc, deberán ser adecuadamente blindados mediante el uso de anillos anticorona  para cumplir con los requerimientos de radio interferencia y efecto corona.</w:t>
      </w:r>
    </w:p>
    <w:p w:rsidR="00EF4587" w:rsidRPr="00076DCD" w:rsidRDefault="00EF4587" w:rsidP="00C553EA">
      <w:pPr>
        <w:tabs>
          <w:tab w:val="left" w:pos="1134"/>
        </w:tabs>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material de la unidad resistiva será óxido de zinc, y cada descargador podrá estar constituido por una o varias unidades, debiendo ser cada una de ellas un descargador en sí misma. Estarán provistos de contadores de descarga.</w:t>
      </w:r>
    </w:p>
    <w:p w:rsidR="00EF4587" w:rsidRPr="00E024E4" w:rsidRDefault="00EF4587" w:rsidP="00E024E4">
      <w:pPr>
        <w:tabs>
          <w:tab w:val="left" w:pos="284"/>
        </w:tabs>
        <w:spacing w:before="120" w:after="0" w:line="257" w:lineRule="auto"/>
        <w:jc w:val="both"/>
        <w:rPr>
          <w:rFonts w:ascii="Arial" w:eastAsia="Times New Roman" w:hAnsi="Arial" w:cs="Arial"/>
          <w:b/>
          <w:sz w:val="20"/>
          <w:szCs w:val="20"/>
          <w:lang w:val="es-ES" w:eastAsia="es-ES"/>
        </w:rPr>
      </w:pPr>
      <w:r w:rsidRPr="00E024E4">
        <w:rPr>
          <w:rFonts w:ascii="Arial" w:eastAsia="Times New Roman" w:hAnsi="Arial" w:cs="Arial"/>
          <w:b/>
          <w:sz w:val="20"/>
          <w:szCs w:val="20"/>
          <w:lang w:val="es-ES" w:eastAsia="es-ES"/>
        </w:rPr>
        <w:t>6.1.5 Equipamiento GIS</w:t>
      </w:r>
    </w:p>
    <w:p w:rsidR="00EF4587" w:rsidRPr="00076DCD" w:rsidRDefault="00EF4587" w:rsidP="00C553EA">
      <w:pPr>
        <w:tabs>
          <w:tab w:val="left" w:pos="993"/>
        </w:tabs>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6.1.5.1</w:t>
      </w:r>
      <w:r w:rsidRPr="00076DCD">
        <w:rPr>
          <w:rFonts w:ascii="Arial" w:eastAsia="Times New Roman" w:hAnsi="Arial" w:cs="Arial"/>
          <w:b/>
          <w:sz w:val="20"/>
          <w:szCs w:val="20"/>
          <w:lang w:val="es-ES" w:eastAsia="es-ES"/>
        </w:rPr>
        <w:tab/>
        <w:t>Alcance</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Esta especificación técnica tiene por objeto definir las condiciones de diseño, fabricación y método de pruebas para el suministro de equipamiento GIS compacto y aislado en gas SF6.</w:t>
      </w:r>
    </w:p>
    <w:p w:rsidR="00EF4587" w:rsidRPr="00076DCD" w:rsidRDefault="00EF4587" w:rsidP="00C553EA">
      <w:pPr>
        <w:spacing w:before="120" w:after="0" w:line="257" w:lineRule="auto"/>
        <w:ind w:left="601"/>
        <w:jc w:val="both"/>
        <w:rPr>
          <w:rFonts w:ascii="Arial" w:eastAsia="Times New Roman" w:hAnsi="Arial" w:cs="Arial"/>
          <w:b/>
          <w:sz w:val="20"/>
          <w:szCs w:val="20"/>
          <w:lang w:val="es-ES" w:eastAsia="es-ES"/>
        </w:rPr>
      </w:pPr>
      <w:bookmarkStart w:id="64" w:name="_Toc353985598"/>
      <w:r w:rsidRPr="00076DCD">
        <w:rPr>
          <w:rFonts w:ascii="Arial" w:eastAsia="Times New Roman" w:hAnsi="Arial" w:cs="Arial"/>
          <w:b/>
          <w:sz w:val="20"/>
          <w:szCs w:val="20"/>
          <w:lang w:val="es-ES" w:eastAsia="es-ES"/>
        </w:rPr>
        <w:t>6.1.5.2</w:t>
      </w:r>
      <w:r w:rsidRPr="00076DCD">
        <w:rPr>
          <w:rFonts w:ascii="Arial" w:eastAsia="Times New Roman" w:hAnsi="Arial" w:cs="Arial"/>
          <w:b/>
          <w:sz w:val="20"/>
          <w:szCs w:val="20"/>
          <w:lang w:val="es-ES" w:eastAsia="es-ES"/>
        </w:rPr>
        <w:tab/>
        <w:t xml:space="preserve">Normas </w:t>
      </w:r>
      <w:bookmarkEnd w:id="64"/>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Para el diseño, fabricación y transporte de las instalaciones tipo GIS se utilizarán, sin ser limitativas, las versiones vigentes de las normas siguientes: IEEE Std. C37.122.1-1993, IEEE Std. C37.122-2010, IEEE Std. C37.122.3-2011, IEEE Std. C37.123, IEEE Std. 1300-2011.</w:t>
      </w:r>
    </w:p>
    <w:p w:rsidR="00E024E4" w:rsidRDefault="00E024E4">
      <w:pPr>
        <w:rPr>
          <w:rFonts w:ascii="Arial" w:eastAsia="Times New Roman" w:hAnsi="Arial" w:cs="Arial"/>
          <w:b/>
          <w:bCs/>
          <w:sz w:val="20"/>
          <w:szCs w:val="20"/>
          <w:lang w:val="es-MX" w:eastAsia="es-ES"/>
        </w:rPr>
      </w:pPr>
      <w:r>
        <w:rPr>
          <w:rFonts w:ascii="Arial" w:eastAsia="Times New Roman" w:hAnsi="Arial" w:cs="Arial"/>
          <w:b/>
          <w:bCs/>
          <w:sz w:val="20"/>
          <w:szCs w:val="20"/>
          <w:lang w:val="es-MX" w:eastAsia="es-ES"/>
        </w:rPr>
        <w:br w:type="page"/>
      </w:r>
    </w:p>
    <w:p w:rsidR="00EF4587" w:rsidRPr="00076DCD" w:rsidRDefault="00EF4587" w:rsidP="00C553EA">
      <w:pPr>
        <w:tabs>
          <w:tab w:val="left" w:pos="993"/>
        </w:tabs>
        <w:spacing w:before="120" w:after="0" w:line="257" w:lineRule="auto"/>
        <w:ind w:left="601"/>
        <w:jc w:val="both"/>
        <w:rPr>
          <w:rFonts w:ascii="Arial" w:eastAsia="Times New Roman" w:hAnsi="Arial" w:cs="Arial"/>
          <w:b/>
          <w:sz w:val="20"/>
          <w:szCs w:val="20"/>
          <w:lang w:val="es-MX" w:eastAsia="es-ES"/>
        </w:rPr>
      </w:pPr>
      <w:r w:rsidRPr="00076DCD">
        <w:rPr>
          <w:rFonts w:ascii="Arial" w:eastAsia="Times New Roman" w:hAnsi="Arial" w:cs="Arial"/>
          <w:b/>
          <w:bCs/>
          <w:sz w:val="20"/>
          <w:szCs w:val="20"/>
          <w:lang w:val="es-MX" w:eastAsia="es-ES"/>
        </w:rPr>
        <w:lastRenderedPageBreak/>
        <w:t>6.1.5.3</w:t>
      </w:r>
      <w:r w:rsidRPr="00076DCD">
        <w:rPr>
          <w:rFonts w:ascii="Arial" w:eastAsia="Times New Roman" w:hAnsi="Arial" w:cs="Arial"/>
          <w:b/>
          <w:bCs/>
          <w:sz w:val="20"/>
          <w:szCs w:val="20"/>
          <w:lang w:val="es-MX" w:eastAsia="es-ES"/>
        </w:rPr>
        <w:tab/>
        <w:t>Características Constructivas</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Las celdas de línea tipo GIS serán del tipo modular, en configuración doble barra, para instalación al interior, a una altitud menor a los 1000 msnm. </w:t>
      </w:r>
    </w:p>
    <w:p w:rsidR="00EF4587" w:rsidRPr="00076DCD" w:rsidRDefault="00EF4587" w:rsidP="00C553EA">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La celdas GIS deberán ser compatibles y de  características similares a las instaladas por Luz del Sur, de tal forma que se garantice la  uniformidad del equipamiento de la instalación, así como de los sistemas de control y protección.  </w:t>
      </w:r>
    </w:p>
    <w:p w:rsidR="00EF4587" w:rsidRPr="00076DCD" w:rsidRDefault="00EF4587" w:rsidP="00C553EA">
      <w:pPr>
        <w:spacing w:before="120" w:after="0" w:line="257" w:lineRule="auto"/>
        <w:ind w:left="601"/>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Las celdas tendrán las siguientes características generales mínimas:</w:t>
      </w:r>
    </w:p>
    <w:p w:rsidR="00EF4587" w:rsidRPr="00076DCD" w:rsidRDefault="00EF4587" w:rsidP="00B07EB1">
      <w:pPr>
        <w:numPr>
          <w:ilvl w:val="0"/>
          <w:numId w:val="83"/>
        </w:numPr>
        <w:tabs>
          <w:tab w:val="left" w:pos="1680"/>
        </w:tabs>
        <w:spacing w:after="0" w:line="257" w:lineRule="auto"/>
        <w:jc w:val="both"/>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Tensión  de operación nominal</w:t>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r>
      <w:r w:rsidRPr="00076DCD">
        <w:rPr>
          <w:rFonts w:ascii="Arial" w:eastAsia="Times New Roman" w:hAnsi="Arial" w:cs="Arial"/>
          <w:bCs/>
          <w:sz w:val="20"/>
          <w:szCs w:val="20"/>
          <w:lang w:val="es-ES" w:eastAsia="es-ES"/>
        </w:rPr>
        <w:tab/>
        <w:t>:</w:t>
      </w:r>
      <w:r w:rsidRPr="00076DCD">
        <w:rPr>
          <w:rFonts w:ascii="Arial" w:eastAsia="Times New Roman" w:hAnsi="Arial" w:cs="Arial"/>
          <w:bCs/>
          <w:sz w:val="20"/>
          <w:szCs w:val="20"/>
          <w:lang w:val="es-ES" w:eastAsia="es-ES"/>
        </w:rPr>
        <w:tab/>
        <w:t xml:space="preserve">220 kV         </w:t>
      </w:r>
    </w:p>
    <w:p w:rsidR="00EF4587" w:rsidRPr="00076DCD" w:rsidRDefault="00EF4587" w:rsidP="00B07EB1">
      <w:pPr>
        <w:numPr>
          <w:ilvl w:val="0"/>
          <w:numId w:val="83"/>
        </w:numPr>
        <w:tabs>
          <w:tab w:val="left" w:pos="1680"/>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Máxima tensión de servicio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245 kV</w:t>
      </w:r>
    </w:p>
    <w:p w:rsidR="00EF4587" w:rsidRPr="00076DCD" w:rsidRDefault="00EF4587" w:rsidP="00B07EB1">
      <w:pPr>
        <w:numPr>
          <w:ilvl w:val="0"/>
          <w:numId w:val="83"/>
        </w:numPr>
        <w:tabs>
          <w:tab w:val="left" w:pos="1680"/>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Tensión de sostenimiento al impulso atmosférico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1 050 kV</w:t>
      </w:r>
      <w:r w:rsidRPr="00076DCD">
        <w:rPr>
          <w:rFonts w:ascii="Arial" w:eastAsia="Times New Roman" w:hAnsi="Arial" w:cs="Arial"/>
          <w:sz w:val="20"/>
          <w:szCs w:val="20"/>
          <w:vertAlign w:val="subscript"/>
          <w:lang w:val="es-ES" w:eastAsia="es-ES"/>
        </w:rPr>
        <w:t>pico</w:t>
      </w:r>
    </w:p>
    <w:p w:rsidR="00EF4587" w:rsidRPr="00076DCD" w:rsidRDefault="00EF4587" w:rsidP="00B07EB1">
      <w:pPr>
        <w:numPr>
          <w:ilvl w:val="0"/>
          <w:numId w:val="83"/>
        </w:numPr>
        <w:tabs>
          <w:tab w:val="left" w:pos="1680"/>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Tensión de sostenimiento a frecuencia industrial (60 Hz)</w:t>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460kV</w:t>
      </w:r>
    </w:p>
    <w:p w:rsidR="00EF4587" w:rsidRPr="00076DCD" w:rsidRDefault="00EF4587" w:rsidP="00B07EB1">
      <w:pPr>
        <w:numPr>
          <w:ilvl w:val="0"/>
          <w:numId w:val="83"/>
        </w:numPr>
        <w:tabs>
          <w:tab w:val="left" w:pos="1680"/>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Corriente de servicio continuo</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2 000 A</w:t>
      </w:r>
    </w:p>
    <w:p w:rsidR="00EF4587" w:rsidRPr="00076DCD" w:rsidRDefault="00EF4587" w:rsidP="00B07EB1">
      <w:pPr>
        <w:numPr>
          <w:ilvl w:val="0"/>
          <w:numId w:val="83"/>
        </w:numPr>
        <w:tabs>
          <w:tab w:val="left" w:pos="1680"/>
        </w:tabs>
        <w:spacing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Capacidad mínima de ruptura de cortocircuito trifásico</w:t>
      </w:r>
      <w:r w:rsidRPr="00076DCD">
        <w:rPr>
          <w:rFonts w:ascii="Arial" w:eastAsia="Times New Roman" w:hAnsi="Arial" w:cs="Arial"/>
          <w:sz w:val="20"/>
          <w:szCs w:val="20"/>
          <w:lang w:val="es-ES" w:eastAsia="es-ES"/>
        </w:rPr>
        <w:tab/>
        <w:t>:</w:t>
      </w:r>
      <w:r w:rsidRPr="00076DCD">
        <w:rPr>
          <w:rFonts w:ascii="Arial" w:eastAsia="Times New Roman" w:hAnsi="Arial" w:cs="Arial"/>
          <w:sz w:val="20"/>
          <w:szCs w:val="20"/>
          <w:lang w:val="es-ES" w:eastAsia="es-ES"/>
        </w:rPr>
        <w:tab/>
        <w:t>40 kA</w:t>
      </w:r>
      <w:r w:rsidRPr="00076DCD">
        <w:rPr>
          <w:rFonts w:ascii="Arial" w:eastAsia="Times New Roman" w:hAnsi="Arial" w:cs="Arial"/>
          <w:sz w:val="20"/>
          <w:szCs w:val="20"/>
          <w:lang w:val="es-ES" w:eastAsia="es-ES"/>
        </w:rPr>
        <w:tab/>
      </w:r>
      <w:r w:rsidRPr="00076DCD">
        <w:rPr>
          <w:rFonts w:ascii="Arial" w:eastAsia="Times New Roman" w:hAnsi="Arial" w:cs="Arial"/>
          <w:sz w:val="20"/>
          <w:szCs w:val="20"/>
          <w:lang w:val="es-ES" w:eastAsia="es-ES"/>
        </w:rPr>
        <w:tab/>
      </w:r>
    </w:p>
    <w:p w:rsidR="00EF4587" w:rsidRPr="00076DCD" w:rsidRDefault="00EF4587" w:rsidP="00E024E4">
      <w:pPr>
        <w:tabs>
          <w:tab w:val="left" w:pos="284"/>
        </w:tabs>
        <w:spacing w:before="360" w:after="240" w:line="257" w:lineRule="auto"/>
        <w:jc w:val="both"/>
        <w:rPr>
          <w:rFonts w:ascii="Arial" w:eastAsia="Times New Roman" w:hAnsi="Arial" w:cs="Arial"/>
          <w:b/>
          <w:sz w:val="20"/>
          <w:szCs w:val="20"/>
          <w:lang w:val="es-ES" w:eastAsia="es-ES"/>
        </w:rPr>
      </w:pPr>
      <w:r w:rsidRPr="00076DCD">
        <w:rPr>
          <w:rFonts w:ascii="Arial" w:eastAsia="Times New Roman" w:hAnsi="Arial" w:cs="Arial"/>
          <w:b/>
          <w:bCs/>
          <w:sz w:val="20"/>
          <w:szCs w:val="20"/>
          <w:lang w:val="es-ES_tradnl" w:eastAsia="es-ES"/>
        </w:rPr>
        <w:t>7.</w:t>
      </w:r>
      <w:r w:rsidRPr="00076DCD">
        <w:rPr>
          <w:rFonts w:ascii="Arial" w:eastAsia="Times New Roman" w:hAnsi="Arial" w:cs="Arial"/>
          <w:b/>
          <w:sz w:val="20"/>
          <w:szCs w:val="20"/>
          <w:lang w:val="es-ES" w:eastAsia="es-ES"/>
        </w:rPr>
        <w:t xml:space="preserve"> ESPECIFICACIONES DE OBRAS CIVILES </w:t>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7.1  OBRAS CIVILES EN LAS SUBESTACIONES</w:t>
      </w:r>
    </w:p>
    <w:p w:rsidR="00EF4587" w:rsidRPr="00076DCD" w:rsidRDefault="00EF4587" w:rsidP="00E024E4">
      <w:pPr>
        <w:tabs>
          <w:tab w:val="left" w:pos="284"/>
        </w:tabs>
        <w:spacing w:before="120" w:after="0" w:line="257" w:lineRule="auto"/>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7.1.1</w:t>
      </w:r>
      <w:r w:rsidRPr="00076DCD">
        <w:rPr>
          <w:rFonts w:ascii="Arial" w:eastAsia="Times New Roman" w:hAnsi="Arial" w:cs="Arial"/>
          <w:b/>
          <w:sz w:val="20"/>
          <w:szCs w:val="20"/>
          <w:lang w:val="es-ES" w:eastAsia="es-ES"/>
        </w:rPr>
        <w:tab/>
        <w:t>Alcances</w:t>
      </w:r>
    </w:p>
    <w:p w:rsidR="00EF4587" w:rsidRPr="00076DCD" w:rsidRDefault="00EF4587" w:rsidP="00E024E4">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la Ampliación de la S.E. La Planicie,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EF4587" w:rsidRPr="00076DCD" w:rsidRDefault="00EF4587" w:rsidP="00E024E4">
      <w:pPr>
        <w:numPr>
          <w:ilvl w:val="0"/>
          <w:numId w:val="74"/>
        </w:numPr>
        <w:autoSpaceDE w:val="0"/>
        <w:autoSpaceDN w:val="0"/>
        <w:adjustRightInd w:val="0"/>
        <w:spacing w:before="12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Bases de pórticos de llegada de líneas 220 kV, así como base de pórticos del sistema de barras.</w:t>
      </w:r>
    </w:p>
    <w:p w:rsidR="00EF4587" w:rsidRPr="00076DCD" w:rsidRDefault="00EF4587" w:rsidP="00E024E4">
      <w:pPr>
        <w:numPr>
          <w:ilvl w:val="0"/>
          <w:numId w:val="74"/>
        </w:numPr>
        <w:autoSpaceDE w:val="0"/>
        <w:autoSpaceDN w:val="0"/>
        <w:adjustRightInd w:val="0"/>
        <w:spacing w:before="60" w:after="0" w:line="257" w:lineRule="auto"/>
        <w:ind w:left="1196"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Bases de equipos para 02 celdas de línea 220 kV, para un sistema de barras de configuración barra principal más barra auxiliar de transferencia.</w:t>
      </w:r>
    </w:p>
    <w:p w:rsidR="00EF4587" w:rsidRPr="00076DCD" w:rsidRDefault="00EF4587" w:rsidP="00E024E4">
      <w:pPr>
        <w:numPr>
          <w:ilvl w:val="0"/>
          <w:numId w:val="74"/>
        </w:numPr>
        <w:autoSpaceDE w:val="0"/>
        <w:autoSpaceDN w:val="0"/>
        <w:adjustRightInd w:val="0"/>
        <w:spacing w:before="60" w:after="0" w:line="257" w:lineRule="auto"/>
        <w:ind w:left="1196"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Caseta de campo, la cual albergará los tableros de control, protección, medición y servicios auxiliares, para las dos celdas de línea.</w:t>
      </w:r>
    </w:p>
    <w:p w:rsidR="00EF4587" w:rsidRPr="00076DCD" w:rsidRDefault="00EF4587" w:rsidP="00E024E4">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la Ampliación de la S.E. Industriales se consideran obras civiles mínimas a desarrollar, como los pedestales para la instalación de módulos GIS 220 kV, esto deberán ser concordantes con el equipamiento de las instalaciones a ser implementados por Luz del Sur, para tal efecto se deberán efectuar las coordinaciones que resulten necesarias.</w:t>
      </w:r>
    </w:p>
    <w:p w:rsidR="00EF4587" w:rsidRPr="00076DCD" w:rsidRDefault="00EF4587" w:rsidP="00E024E4">
      <w:pPr>
        <w:tabs>
          <w:tab w:val="left" w:pos="284"/>
        </w:tabs>
        <w:spacing w:before="120" w:after="0" w:line="257" w:lineRule="auto"/>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7.1.2  Cimentación de equipos</w:t>
      </w:r>
    </w:p>
    <w:p w:rsidR="00EF4587" w:rsidRPr="00076DCD" w:rsidRDefault="00EF4587" w:rsidP="00E024E4">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construirán bases de concreto armado fc=210 kg/cm</w:t>
      </w:r>
      <w:r w:rsidRPr="00076DCD">
        <w:rPr>
          <w:rFonts w:ascii="Arial" w:eastAsia="Times New Roman" w:hAnsi="Arial" w:cs="Arial"/>
          <w:sz w:val="20"/>
          <w:szCs w:val="20"/>
          <w:vertAlign w:val="superscript"/>
          <w:lang w:val="es-ES" w:eastAsia="es-ES"/>
        </w:rPr>
        <w:t>2</w:t>
      </w:r>
      <w:r w:rsidRPr="00076DCD">
        <w:rPr>
          <w:rFonts w:ascii="Arial" w:eastAsia="Times New Roman" w:hAnsi="Arial" w:cs="Arial"/>
          <w:sz w:val="20"/>
          <w:szCs w:val="20"/>
          <w:lang w:val="es-ES" w:eastAsia="es-ES"/>
        </w:rPr>
        <w:t xml:space="preserve"> para soportar los equipos. Todas las bases se asentarán sobre un solado de 10 cm de espesor y las partes visibles de las cimentaciones tendrán un acabado caravista con un chaflán de 2 cm en las aristas superiores.</w:t>
      </w:r>
    </w:p>
    <w:p w:rsidR="00EF4587" w:rsidRPr="00076DCD" w:rsidRDefault="00EF4587" w:rsidP="00E024E4">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Asimismo, para la fijación de los soportes de los equipos a las cimentaciones se utilizarán pernos de anclaje.</w:t>
      </w:r>
    </w:p>
    <w:p w:rsidR="00EF4587" w:rsidRPr="00076DCD" w:rsidRDefault="00EF4587" w:rsidP="00E024E4">
      <w:pPr>
        <w:tabs>
          <w:tab w:val="left" w:pos="284"/>
        </w:tabs>
        <w:spacing w:before="120" w:after="0" w:line="257" w:lineRule="auto"/>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 xml:space="preserve">7.1.3  Canaletas de cables de fuerza y control </w:t>
      </w:r>
    </w:p>
    <w:p w:rsidR="00EF4587" w:rsidRPr="00076DCD" w:rsidRDefault="00EF4587" w:rsidP="00E024E4">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construirán canaletas de concreto para el recorrido de los cables de fuerza y control, el concreto a utilizar será de 210 kg/cm², las canaletas serán cubiertas por tapas elaboradas de concreto con asas de fierro galvanizado, para facilitar su montaje y desmontaje, y deberán estar provistas de soportes o repisas metálicas que permitan clasificar los cables al interior de la canaleta,  de manera separada y organizada.</w:t>
      </w:r>
    </w:p>
    <w:p w:rsidR="00EF4587" w:rsidRPr="00076DCD" w:rsidRDefault="00EF4587" w:rsidP="00E024E4">
      <w:pPr>
        <w:tabs>
          <w:tab w:val="left" w:pos="284"/>
        </w:tabs>
        <w:spacing w:before="120" w:after="0" w:line="257" w:lineRule="auto"/>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lastRenderedPageBreak/>
        <w:t>7.1.4  Caseta de campo-caseta de control</w:t>
      </w:r>
    </w:p>
    <w:p w:rsidR="00EF4587" w:rsidRPr="00076DCD" w:rsidRDefault="00EF4587" w:rsidP="00E024E4">
      <w:pPr>
        <w:autoSpaceDE w:val="0"/>
        <w:autoSpaceDN w:val="0"/>
        <w:adjustRightInd w:val="0"/>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7.2   OBRAS CIVILES EN LA LÍNEA SUBTERRÁNEA</w:t>
      </w:r>
    </w:p>
    <w:p w:rsidR="00EF4587" w:rsidRPr="00076DCD" w:rsidRDefault="00EF4587" w:rsidP="00E024E4">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toda la longitud de la línea subterránea los cables se instalarán en ductos dentro de un bloque de concreto. Los ductos o tuberías serán del tipo PVC o HDPE de un diámetro interior tal que permita garantizar que el  cable no ocupará más del 30% del área del Tubo.</w:t>
      </w:r>
    </w:p>
    <w:p w:rsidR="00EF4587" w:rsidRPr="00076DCD" w:rsidRDefault="00EF4587" w:rsidP="00E024E4">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Se deberá verificar que la instalación en ductos de concreto brinde la protección adecuada al cable de alta tensión, respecto a otras instalaciones que crucen o se encuentren instaladas de forma paralela al recorrido de la línea subterránea. </w:t>
      </w:r>
    </w:p>
    <w:p w:rsidR="00EF4587" w:rsidRPr="00076DCD" w:rsidRDefault="00EF4587" w:rsidP="00E024E4">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Se deberá verificar que la  distribución y las dimensiones de las cámaras de paso que se construyan a lo largo del recorrido de la línea, faciliten las maniobras de detección y reparación del cable con la rapidez adecuada y que garanticen la seguridad del personal responsable. </w:t>
      </w:r>
    </w:p>
    <w:p w:rsidR="00EF4587" w:rsidRPr="00076DCD" w:rsidRDefault="00EF4587" w:rsidP="00E024E4">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deberá prever que además del cable de energía, se instalará el cable de fibra óptica subterráneo en independiente.</w:t>
      </w:r>
    </w:p>
    <w:p w:rsidR="00EF4587" w:rsidRPr="00076DCD" w:rsidRDefault="00EF4587" w:rsidP="00E024E4">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los siguientes acápites se describen las características referenciales de excavaciones,  bancos de ductos, cámaras de empalme y rellenos, de acuerdo con el diseño preliminar de las instalaciones subterráneas;  sin embargo las características finales de estas instalaciones serán definidas por la Sociedad Concesionaria como parte del estudio definitivo, tomando  en cuenta  las mejores prácticas de ingeniería y normatividad aplicable en cada caso.</w:t>
      </w:r>
    </w:p>
    <w:p w:rsidR="00EF4587" w:rsidRPr="00076DCD" w:rsidRDefault="00EF4587" w:rsidP="00E024E4">
      <w:pPr>
        <w:tabs>
          <w:tab w:val="left" w:pos="1134"/>
        </w:tabs>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7.2.1 Excavaciones</w:t>
      </w:r>
    </w:p>
    <w:p w:rsidR="00EF4587" w:rsidRPr="00076DCD" w:rsidRDefault="00EF4587" w:rsidP="00E024E4">
      <w:pPr>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El diseño preliminar prevé la instalación del cable subterráneo a 3,7m de profundidad y separación entre ejes de los cables de 0,35 m, así como una excavación de sección rectangular de 2,3 m ancho x 4,00 m de profundidad,.  </w:t>
      </w:r>
    </w:p>
    <w:p w:rsidR="00EF4587" w:rsidRPr="00076DCD" w:rsidRDefault="00EF4587" w:rsidP="00E024E4">
      <w:pPr>
        <w:tabs>
          <w:tab w:val="left" w:pos="1134"/>
        </w:tabs>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7.2.2 Banco de ductos</w:t>
      </w:r>
    </w:p>
    <w:p w:rsidR="00EF4587" w:rsidRPr="00076DCD" w:rsidRDefault="00EF4587" w:rsidP="00E024E4">
      <w:pPr>
        <w:tabs>
          <w:tab w:val="left" w:pos="1134"/>
        </w:tabs>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diseño preliminar considera que se emplearán bloques de concreto con ductos de 8 pulgadas  como mínimo, o según cálculos justificativos de disipación de calor. En estos ductos se instalarán tubos  PVC  o  HDPE  del  mismo   diámetro   es  decir   embebidos   en   concreto   simple  de   f’c = 210kg/cm². Los ductos se encuentran a una profundidad de 3,7m.</w:t>
      </w:r>
    </w:p>
    <w:p w:rsidR="00EF4587" w:rsidRPr="00076DCD" w:rsidRDefault="00EF4587" w:rsidP="00E024E4">
      <w:pPr>
        <w:tabs>
          <w:tab w:val="left" w:pos="1134"/>
        </w:tabs>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La disposición de los conductores de la línea será definida por la Sociedad Concesionaria. </w:t>
      </w:r>
    </w:p>
    <w:p w:rsidR="00EF4587" w:rsidRPr="00076DCD" w:rsidRDefault="00EF4587" w:rsidP="00E024E4">
      <w:pPr>
        <w:tabs>
          <w:tab w:val="left" w:pos="1134"/>
        </w:tabs>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7.2.3  Cámaras de empalme</w:t>
      </w:r>
    </w:p>
    <w:p w:rsidR="00EF4587" w:rsidRPr="00076DCD" w:rsidRDefault="00EF4587" w:rsidP="00E024E4">
      <w:pPr>
        <w:tabs>
          <w:tab w:val="left" w:pos="1134"/>
        </w:tabs>
        <w:spacing w:before="120" w:after="0" w:line="257" w:lineRule="auto"/>
        <w:ind w:left="601"/>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diseño preliminar considera que se emplearán buzones para cables del tipo cajón de 2,5 x 2,5 x 3,7 de profundidad, los cuales serán de concreto armado con una resistencia a la compresión de 210 kg/cm² y acero de refuerzo con esfuerzo a la fluencia fy = 4 200 kg/cm². Los muros de los buzones serán de 20 cm de espesor, de simple malla.</w:t>
      </w:r>
    </w:p>
    <w:p w:rsidR="00EF4587" w:rsidRPr="00076DCD" w:rsidRDefault="00EF4587" w:rsidP="00E024E4">
      <w:pPr>
        <w:tabs>
          <w:tab w:val="left" w:pos="1134"/>
        </w:tabs>
        <w:spacing w:before="120" w:after="0" w:line="257" w:lineRule="auto"/>
        <w:ind w:left="601"/>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7.2.4  Rellenos</w:t>
      </w:r>
    </w:p>
    <w:p w:rsidR="00EF4587" w:rsidRPr="00076DCD" w:rsidRDefault="00EF4587" w:rsidP="00E024E4">
      <w:pPr>
        <w:tabs>
          <w:tab w:val="left" w:pos="1080"/>
        </w:tabs>
        <w:overflowPunct w:val="0"/>
        <w:autoSpaceDE w:val="0"/>
        <w:autoSpaceDN w:val="0"/>
        <w:adjustRightInd w:val="0"/>
        <w:spacing w:before="120" w:after="0" w:line="257" w:lineRule="auto"/>
        <w:ind w:left="601"/>
        <w:jc w:val="both"/>
        <w:textAlignment w:val="baseline"/>
        <w:rPr>
          <w:rFonts w:ascii="Arial" w:eastAsia="Calibri" w:hAnsi="Arial" w:cs="Arial"/>
          <w:bCs/>
          <w:sz w:val="20"/>
          <w:szCs w:val="20"/>
          <w:lang w:val="es-ES"/>
        </w:rPr>
      </w:pPr>
      <w:r w:rsidRPr="00076DCD">
        <w:rPr>
          <w:rFonts w:ascii="Arial" w:eastAsia="Calibri" w:hAnsi="Arial" w:cs="Arial"/>
          <w:bCs/>
          <w:sz w:val="20"/>
          <w:szCs w:val="20"/>
          <w:lang w:val="es-ES"/>
        </w:rPr>
        <w:t>Los rellenos compactados, serán realizados, 30 cm por debajo de los cables, y lo restante hasta llegar al nivel de superficie. El material será del tipo afirmado, y su control de densidad será al 93% del proctor modificado.</w:t>
      </w:r>
    </w:p>
    <w:p w:rsidR="00EF4587" w:rsidRPr="00076DCD" w:rsidRDefault="00EF4587" w:rsidP="00B07EB1">
      <w:pPr>
        <w:keepNext/>
        <w:spacing w:before="360" w:after="0" w:line="257" w:lineRule="auto"/>
        <w:ind w:left="425" w:hanging="425"/>
        <w:outlineLvl w:val="0"/>
        <w:rPr>
          <w:rFonts w:ascii="Arial" w:eastAsia="Times New Roman" w:hAnsi="Arial" w:cs="Arial"/>
          <w:b/>
          <w:sz w:val="20"/>
          <w:szCs w:val="20"/>
          <w:lang w:val="es-ES_tradnl" w:eastAsia="es-ES"/>
        </w:rPr>
      </w:pPr>
      <w:bookmarkStart w:id="65" w:name="_Toc340129059"/>
      <w:r w:rsidRPr="00076DCD">
        <w:rPr>
          <w:rFonts w:ascii="Arial" w:eastAsia="Times New Roman" w:hAnsi="Arial" w:cs="Arial"/>
          <w:b/>
          <w:sz w:val="20"/>
          <w:szCs w:val="20"/>
          <w:lang w:val="es-ES_tradnl" w:eastAsia="es-ES"/>
        </w:rPr>
        <w:lastRenderedPageBreak/>
        <w:t>8</w:t>
      </w:r>
      <w:r w:rsidRPr="00076DCD">
        <w:rPr>
          <w:rFonts w:ascii="Arial" w:eastAsia="Times New Roman" w:hAnsi="Arial" w:cs="Arial"/>
          <w:b/>
          <w:sz w:val="20"/>
          <w:szCs w:val="20"/>
          <w:lang w:val="es-ES_tradnl" w:eastAsia="es-ES"/>
        </w:rPr>
        <w:tab/>
        <w:t>CONTROL DE CONTAMINACIÓN DE CONDUCTORES Y AISLADORES</w:t>
      </w:r>
      <w:bookmarkEnd w:id="65"/>
      <w:r w:rsidRPr="00076DCD">
        <w:rPr>
          <w:rFonts w:ascii="Arial" w:eastAsia="Times New Roman" w:hAnsi="Arial" w:cs="Arial"/>
          <w:b/>
          <w:sz w:val="20"/>
          <w:szCs w:val="20"/>
          <w:lang w:val="es-ES_tradnl" w:eastAsia="es-ES"/>
        </w:rPr>
        <w:t xml:space="preserve"> EN LA LÍNEA AÉREA</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 partir del quinto año de Operación Comercial de la Línea Eléctrica, la Sociedad Concesionaria efectuará las siguientes actividades:</w:t>
      </w:r>
    </w:p>
    <w:p w:rsidR="00EF4587" w:rsidRPr="00076DCD" w:rsidRDefault="00EF4587" w:rsidP="00B07EB1">
      <w:pPr>
        <w:numPr>
          <w:ilvl w:val="0"/>
          <w:numId w:val="105"/>
        </w:numPr>
        <w:spacing w:before="120"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Inspecciones visuales periódicas.</w:t>
      </w:r>
    </w:p>
    <w:p w:rsidR="00EF4587" w:rsidRPr="00076DCD" w:rsidRDefault="00EF4587" w:rsidP="00B07EB1">
      <w:pPr>
        <w:numPr>
          <w:ilvl w:val="0"/>
          <w:numId w:val="105"/>
        </w:numPr>
        <w:tabs>
          <w:tab w:val="left" w:pos="709"/>
        </w:tabs>
        <w:spacing w:before="40" w:after="0" w:line="257" w:lineRule="auto"/>
        <w:ind w:left="1434" w:hanging="35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 xml:space="preserve">Toma de muestras de contaminación. </w:t>
      </w:r>
    </w:p>
    <w:p w:rsidR="00EF4587" w:rsidRPr="00076DCD" w:rsidRDefault="00EF4587" w:rsidP="00B07EB1">
      <w:pPr>
        <w:numPr>
          <w:ilvl w:val="0"/>
          <w:numId w:val="105"/>
        </w:numPr>
        <w:tabs>
          <w:tab w:val="left" w:pos="709"/>
        </w:tabs>
        <w:spacing w:before="40" w:after="0" w:line="257" w:lineRule="auto"/>
        <w:ind w:left="1434" w:hanging="35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Limpieza de conductores.</w:t>
      </w:r>
    </w:p>
    <w:p w:rsidR="00EF4587" w:rsidRPr="00076DCD" w:rsidRDefault="00EF4587" w:rsidP="00B07EB1">
      <w:pPr>
        <w:numPr>
          <w:ilvl w:val="0"/>
          <w:numId w:val="105"/>
        </w:numPr>
        <w:tabs>
          <w:tab w:val="left" w:pos="709"/>
        </w:tabs>
        <w:spacing w:before="40" w:after="0" w:line="257" w:lineRule="auto"/>
        <w:ind w:left="1434" w:hanging="35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Limpieza de aisladores</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Antes de concluir el cuarto año de Operación Comercial, la Sociedad presentará al OSINERGMIN, los procedimientos detallados y específicos, así como los programas de inspección y limpieza.</w:t>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bookmarkStart w:id="66" w:name="_Toc340129060"/>
      <w:r w:rsidRPr="00076DCD">
        <w:rPr>
          <w:rFonts w:ascii="Arial" w:eastAsia="Times New Roman" w:hAnsi="Arial" w:cs="Arial"/>
          <w:b/>
          <w:sz w:val="20"/>
          <w:szCs w:val="20"/>
          <w:lang w:val="es-ES" w:eastAsia="es-ES"/>
        </w:rPr>
        <w:t>8.1</w:t>
      </w:r>
      <w:r w:rsidRPr="00076DCD">
        <w:rPr>
          <w:rFonts w:ascii="Arial" w:eastAsia="Times New Roman" w:hAnsi="Arial" w:cs="Arial"/>
          <w:b/>
          <w:sz w:val="20"/>
          <w:szCs w:val="20"/>
          <w:lang w:val="es-ES" w:eastAsia="es-ES"/>
        </w:rPr>
        <w:tab/>
        <w:t>INSPECCIONES VISUALES PERIÓDICAS</w:t>
      </w:r>
      <w:bookmarkEnd w:id="66"/>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efectuará inspecciones visuales con el objeto de identificar los tramos de línea que presenten niveles altos de contaminación superficial de los conductores y de las cadenas de aisladores.</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inspecciones abarcan a toda la longitud de la línea y se efectuará por lo menos según la frecuencia que se indica en el Cuadro Nº 1.</w:t>
      </w:r>
    </w:p>
    <w:p w:rsidR="00EF4587" w:rsidRPr="00076DCD" w:rsidRDefault="00EF4587" w:rsidP="00B07EB1">
      <w:pPr>
        <w:spacing w:before="120" w:after="120" w:line="257" w:lineRule="auto"/>
        <w:jc w:val="center"/>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EF4587" w:rsidRPr="00076DCD" w:rsidTr="00764E85">
        <w:trPr>
          <w:trHeight w:val="340"/>
          <w:jc w:val="center"/>
        </w:trPr>
        <w:tc>
          <w:tcPr>
            <w:tcW w:w="3120" w:type="dxa"/>
            <w:shd w:val="clear" w:color="auto" w:fill="CCFFCC"/>
            <w:vAlign w:val="center"/>
          </w:tcPr>
          <w:p w:rsidR="00EF4587" w:rsidRPr="00076DCD" w:rsidRDefault="00EF4587" w:rsidP="00B07EB1">
            <w:pPr>
              <w:spacing w:after="0" w:line="257" w:lineRule="auto"/>
              <w:ind w:left="74"/>
              <w:jc w:val="center"/>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Altitud</w:t>
            </w:r>
          </w:p>
        </w:tc>
        <w:tc>
          <w:tcPr>
            <w:tcW w:w="2640" w:type="dxa"/>
            <w:shd w:val="clear" w:color="auto" w:fill="CCFFCC"/>
            <w:vAlign w:val="center"/>
          </w:tcPr>
          <w:p w:rsidR="00EF4587" w:rsidRPr="00076DCD" w:rsidRDefault="00EF4587" w:rsidP="00B07EB1">
            <w:pPr>
              <w:spacing w:after="0" w:line="257" w:lineRule="auto"/>
              <w:ind w:left="74"/>
              <w:jc w:val="center"/>
              <w:rPr>
                <w:rFonts w:ascii="Arial" w:eastAsia="Times New Roman" w:hAnsi="Arial" w:cs="Arial"/>
                <w:b/>
                <w:bCs/>
                <w:sz w:val="20"/>
                <w:szCs w:val="20"/>
                <w:lang w:val="es-ES" w:eastAsia="es-ES"/>
              </w:rPr>
            </w:pPr>
            <w:r w:rsidRPr="00076DCD">
              <w:rPr>
                <w:rFonts w:ascii="Arial" w:eastAsia="Times New Roman" w:hAnsi="Arial" w:cs="Arial"/>
                <w:b/>
                <w:bCs/>
                <w:sz w:val="20"/>
                <w:szCs w:val="20"/>
                <w:lang w:val="es-ES" w:eastAsia="es-ES"/>
              </w:rPr>
              <w:t>Frecuencia</w:t>
            </w:r>
          </w:p>
        </w:tc>
      </w:tr>
      <w:tr w:rsidR="00EF4587" w:rsidRPr="00076DCD" w:rsidTr="00764E85">
        <w:trPr>
          <w:trHeight w:val="340"/>
          <w:jc w:val="center"/>
        </w:trPr>
        <w:tc>
          <w:tcPr>
            <w:tcW w:w="3120" w:type="dxa"/>
            <w:vAlign w:val="center"/>
          </w:tcPr>
          <w:p w:rsidR="00EF4587" w:rsidRPr="00076DCD" w:rsidRDefault="00EF4587" w:rsidP="00B07EB1">
            <w:pPr>
              <w:spacing w:after="0" w:line="257" w:lineRule="auto"/>
              <w:ind w:left="74"/>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Debajo de 1500 msnm</w:t>
            </w:r>
          </w:p>
        </w:tc>
        <w:tc>
          <w:tcPr>
            <w:tcW w:w="2640" w:type="dxa"/>
            <w:vAlign w:val="center"/>
          </w:tcPr>
          <w:p w:rsidR="00EF4587" w:rsidRPr="00076DCD" w:rsidRDefault="00EF4587" w:rsidP="00B07EB1">
            <w:pPr>
              <w:spacing w:after="0" w:line="257" w:lineRule="auto"/>
              <w:ind w:left="74"/>
              <w:jc w:val="center"/>
              <w:rPr>
                <w:rFonts w:ascii="Arial" w:eastAsia="Times New Roman" w:hAnsi="Arial" w:cs="Arial"/>
                <w:bCs/>
                <w:sz w:val="20"/>
                <w:szCs w:val="20"/>
                <w:lang w:val="es-ES" w:eastAsia="es-ES"/>
              </w:rPr>
            </w:pPr>
            <w:r w:rsidRPr="00076DCD">
              <w:rPr>
                <w:rFonts w:ascii="Arial" w:eastAsia="Times New Roman" w:hAnsi="Arial" w:cs="Arial"/>
                <w:bCs/>
                <w:sz w:val="20"/>
                <w:szCs w:val="20"/>
                <w:lang w:val="es-ES" w:eastAsia="es-ES"/>
              </w:rPr>
              <w:t>Cada 3 años</w:t>
            </w:r>
          </w:p>
        </w:tc>
      </w:tr>
    </w:tbl>
    <w:p w:rsidR="00EF4587" w:rsidRPr="00076DCD" w:rsidRDefault="00EF4587" w:rsidP="00B07EB1">
      <w:pPr>
        <w:spacing w:before="24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tramos cuyos conductores o aisladores sean objeto de limpieza previa ó hayan sido sustituidos por causa de contaminación severa,  serán inspeccionados cada 2 años.</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OSINERGMIN tiene la facultad de presenciar las inspecciones y solicitar la repetición, en caso necesario, con la finalidad de verificar el nivel de contaminación reportado.</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niveles de contaminación de los conductores y aisladores serán calificados como Bajo, Medio y Alto, aplicando los criterios indicados en el Cuadro N° 2.</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procedimiento para realizar las inspecciones visuales es el siguiente:</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inspecciones serán efectuadas por técnicos especialistas en líneas de transmisión, equipados con implementos de seguridad, binoculares y cámara fotográfica digital con fechador.</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inspecciones se realizarán únicamente durante el día, con presencia de luz de solar, ausencia de lluvia, baja humedad y sin viento fuerte.</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Deberá tenerse especial atención en los puntos de instalación de los espaciadores y amortiguadores, a fin de verificar el estado de los conductores en los puntos de sujeción.</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Utilizando los criterios indicados en el Cuadro N° 2, el técnico calificará y registrará en el cuaderno de inspecciones el nivel de contaminación de los conductores y aisladores.</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Si el nivel de contaminación corresponde a los niveles Medio o Alto, el técnico tomará un registro fotográfico.</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pasos indicados en los numerales c) al f), serán repetidos para cada uno de los demás vanos de la línea inspeccionada, hasta completar el 100% de los tramos a inspeccionar.</w:t>
      </w:r>
    </w:p>
    <w:p w:rsidR="00EF4587" w:rsidRPr="00076DCD" w:rsidRDefault="00EF4587" w:rsidP="00B07EB1">
      <w:pPr>
        <w:numPr>
          <w:ilvl w:val="0"/>
          <w:numId w:val="104"/>
        </w:numPr>
        <w:tabs>
          <w:tab w:val="num" w:pos="1200"/>
        </w:tabs>
        <w:spacing w:before="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EF4587" w:rsidRPr="00076DCD" w:rsidRDefault="00EF4587" w:rsidP="00E024E4">
      <w:pPr>
        <w:spacing w:before="240" w:after="120" w:line="257" w:lineRule="auto"/>
        <w:ind w:left="851"/>
        <w:jc w:val="center"/>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EF4587" w:rsidRPr="00076DCD" w:rsidTr="00764E85">
        <w:tc>
          <w:tcPr>
            <w:tcW w:w="816" w:type="dxa"/>
            <w:shd w:val="clear" w:color="auto" w:fill="CCFFCC"/>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Nivel</w:t>
            </w:r>
          </w:p>
        </w:tc>
        <w:tc>
          <w:tcPr>
            <w:tcW w:w="3153" w:type="dxa"/>
            <w:shd w:val="clear" w:color="auto" w:fill="CCFFCC"/>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Aspecto Visual</w:t>
            </w:r>
          </w:p>
        </w:tc>
        <w:tc>
          <w:tcPr>
            <w:tcW w:w="2976" w:type="dxa"/>
            <w:shd w:val="clear" w:color="auto" w:fill="CCFFCC"/>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Descripción</w:t>
            </w:r>
          </w:p>
        </w:tc>
      </w:tr>
      <w:tr w:rsidR="00EF4587" w:rsidRPr="00076DCD" w:rsidTr="00764E85">
        <w:tc>
          <w:tcPr>
            <w:tcW w:w="816" w:type="dxa"/>
            <w:vAlign w:val="center"/>
          </w:tcPr>
          <w:p w:rsidR="00EF4587" w:rsidRPr="00076DCD" w:rsidRDefault="00EF4587" w:rsidP="00B07EB1">
            <w:pPr>
              <w:spacing w:before="480" w:after="480" w:line="257" w:lineRule="auto"/>
              <w:jc w:val="center"/>
              <w:rPr>
                <w:rFonts w:ascii="Arial" w:eastAsia="Times New Roman" w:hAnsi="Arial" w:cs="Arial"/>
                <w:b/>
                <w:sz w:val="18"/>
                <w:szCs w:val="18"/>
                <w:lang w:val="es-ES" w:eastAsia="es-ES"/>
              </w:rPr>
            </w:pPr>
            <w:r w:rsidRPr="00076DCD">
              <w:rPr>
                <w:rFonts w:ascii="Arial" w:eastAsia="Times New Roman" w:hAnsi="Arial" w:cs="Arial"/>
                <w:bCs/>
                <w:i/>
                <w:iCs/>
                <w:sz w:val="18"/>
                <w:szCs w:val="18"/>
                <w:lang w:val="es-ES" w:eastAsia="es-ES"/>
              </w:rPr>
              <w:t>Bajo</w:t>
            </w:r>
          </w:p>
        </w:tc>
        <w:tc>
          <w:tcPr>
            <w:tcW w:w="3153" w:type="dxa"/>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r w:rsidRPr="00076DCD">
              <w:rPr>
                <w:rFonts w:ascii="Arial" w:eastAsia="Times New Roman" w:hAnsi="Arial" w:cs="Arial"/>
                <w:noProof/>
                <w:sz w:val="24"/>
                <w:szCs w:val="24"/>
                <w:lang w:eastAsia="es-PE"/>
              </w:rPr>
              <w:drawing>
                <wp:anchor distT="0" distB="0" distL="114300" distR="114300" simplePos="0" relativeHeight="251661312" behindDoc="0" locked="0" layoutInCell="1" allowOverlap="1" wp14:anchorId="7B4D9416" wp14:editId="6A371763">
                  <wp:simplePos x="0" y="0"/>
                  <wp:positionH relativeFrom="column">
                    <wp:posOffset>-78105</wp:posOffset>
                  </wp:positionH>
                  <wp:positionV relativeFrom="paragraph">
                    <wp:posOffset>684530</wp:posOffset>
                  </wp:positionV>
                  <wp:extent cx="1009650" cy="79184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076DCD">
              <w:rPr>
                <w:rFonts w:ascii="Arial" w:eastAsia="Times New Roman" w:hAnsi="Arial" w:cs="Arial"/>
                <w:noProof/>
                <w:sz w:val="24"/>
                <w:szCs w:val="24"/>
                <w:lang w:eastAsia="es-PE"/>
              </w:rPr>
              <w:drawing>
                <wp:anchor distT="0" distB="0" distL="114300" distR="114300" simplePos="0" relativeHeight="251664384" behindDoc="0" locked="0" layoutInCell="1" allowOverlap="1" wp14:anchorId="5E89137E" wp14:editId="4BBDC381">
                  <wp:simplePos x="0" y="0"/>
                  <wp:positionH relativeFrom="column">
                    <wp:posOffset>-74930</wp:posOffset>
                  </wp:positionH>
                  <wp:positionV relativeFrom="paragraph">
                    <wp:posOffset>12700</wp:posOffset>
                  </wp:positionV>
                  <wp:extent cx="999490" cy="7810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076DCD">
              <w:rPr>
                <w:rFonts w:ascii="Arial" w:eastAsia="Times New Roman" w:hAnsi="Arial" w:cs="Arial"/>
                <w:noProof/>
                <w:sz w:val="24"/>
                <w:szCs w:val="24"/>
                <w:lang w:eastAsia="es-PE"/>
              </w:rPr>
              <w:drawing>
                <wp:anchor distT="0" distB="0" distL="114300" distR="114300" simplePos="0" relativeHeight="251659264" behindDoc="0" locked="0" layoutInCell="1" allowOverlap="1" wp14:anchorId="4A0219EF" wp14:editId="4DA9B925">
                  <wp:simplePos x="0" y="0"/>
                  <wp:positionH relativeFrom="column">
                    <wp:posOffset>934085</wp:posOffset>
                  </wp:positionH>
                  <wp:positionV relativeFrom="paragraph">
                    <wp:posOffset>15875</wp:posOffset>
                  </wp:positionV>
                  <wp:extent cx="982980" cy="76835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EF4587" w:rsidRPr="00076DCD" w:rsidRDefault="00EF4587" w:rsidP="00B07EB1">
            <w:pPr>
              <w:spacing w:before="120" w:after="120" w:line="257" w:lineRule="auto"/>
              <w:jc w:val="center"/>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Contaminación mínima, no existe puntas de acumulación</w:t>
            </w:r>
          </w:p>
        </w:tc>
      </w:tr>
      <w:tr w:rsidR="00EF4587" w:rsidRPr="00076DCD" w:rsidTr="00764E85">
        <w:tc>
          <w:tcPr>
            <w:tcW w:w="816" w:type="dxa"/>
            <w:vAlign w:val="center"/>
          </w:tcPr>
          <w:p w:rsidR="00EF4587" w:rsidRPr="00076DCD" w:rsidRDefault="00EF4587" w:rsidP="00B07EB1">
            <w:pPr>
              <w:spacing w:before="480" w:after="480" w:line="257" w:lineRule="auto"/>
              <w:jc w:val="center"/>
              <w:rPr>
                <w:rFonts w:ascii="Arial" w:eastAsia="Times New Roman" w:hAnsi="Arial" w:cs="Arial"/>
                <w:b/>
                <w:sz w:val="18"/>
                <w:szCs w:val="18"/>
                <w:lang w:val="es-ES" w:eastAsia="es-ES"/>
              </w:rPr>
            </w:pPr>
            <w:r w:rsidRPr="00076DCD">
              <w:rPr>
                <w:rFonts w:ascii="Arial" w:eastAsia="Times New Roman" w:hAnsi="Arial" w:cs="Arial"/>
                <w:bCs/>
                <w:i/>
                <w:iCs/>
                <w:sz w:val="18"/>
                <w:szCs w:val="18"/>
                <w:lang w:val="es-ES" w:eastAsia="es-ES"/>
              </w:rPr>
              <w:t>Medio</w:t>
            </w:r>
          </w:p>
        </w:tc>
        <w:tc>
          <w:tcPr>
            <w:tcW w:w="3153" w:type="dxa"/>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r w:rsidRPr="00076DCD">
              <w:rPr>
                <w:rFonts w:ascii="Arial" w:eastAsia="Times New Roman" w:hAnsi="Arial" w:cs="Arial"/>
                <w:noProof/>
                <w:sz w:val="24"/>
                <w:szCs w:val="24"/>
                <w:lang w:eastAsia="es-PE"/>
              </w:rPr>
              <w:drawing>
                <wp:anchor distT="0" distB="0" distL="114300" distR="114300" simplePos="0" relativeHeight="251662336" behindDoc="0" locked="0" layoutInCell="1" allowOverlap="1" wp14:anchorId="033099AF" wp14:editId="7A848EDC">
                  <wp:simplePos x="0" y="0"/>
                  <wp:positionH relativeFrom="column">
                    <wp:posOffset>-71755</wp:posOffset>
                  </wp:positionH>
                  <wp:positionV relativeFrom="paragraph">
                    <wp:posOffset>713105</wp:posOffset>
                  </wp:positionV>
                  <wp:extent cx="1008380" cy="788670"/>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076DCD">
              <w:rPr>
                <w:rFonts w:ascii="Arial" w:eastAsia="Times New Roman" w:hAnsi="Arial" w:cs="Arial"/>
                <w:noProof/>
                <w:sz w:val="24"/>
                <w:szCs w:val="24"/>
                <w:lang w:eastAsia="es-PE"/>
              </w:rPr>
              <w:drawing>
                <wp:anchor distT="0" distB="0" distL="114300" distR="114300" simplePos="0" relativeHeight="251663360" behindDoc="0" locked="0" layoutInCell="1" allowOverlap="1" wp14:anchorId="4A698848" wp14:editId="4D9E1463">
                  <wp:simplePos x="0" y="0"/>
                  <wp:positionH relativeFrom="column">
                    <wp:posOffset>922020</wp:posOffset>
                  </wp:positionH>
                  <wp:positionV relativeFrom="paragraph">
                    <wp:posOffset>718185</wp:posOffset>
                  </wp:positionV>
                  <wp:extent cx="988695" cy="7804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076DCD">
              <w:rPr>
                <w:rFonts w:ascii="Arial" w:eastAsia="Times New Roman" w:hAnsi="Arial" w:cs="Arial"/>
                <w:noProof/>
                <w:sz w:val="24"/>
                <w:szCs w:val="24"/>
                <w:lang w:eastAsia="es-PE"/>
              </w:rPr>
              <w:drawing>
                <wp:anchor distT="0" distB="0" distL="114300" distR="114300" simplePos="0" relativeHeight="251660288" behindDoc="0" locked="0" layoutInCell="1" allowOverlap="1" wp14:anchorId="4480F8D3" wp14:editId="22D68ED8">
                  <wp:simplePos x="0" y="0"/>
                  <wp:positionH relativeFrom="column">
                    <wp:posOffset>934085</wp:posOffset>
                  </wp:positionH>
                  <wp:positionV relativeFrom="paragraph">
                    <wp:posOffset>34925</wp:posOffset>
                  </wp:positionV>
                  <wp:extent cx="985520" cy="79438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r w:rsidRPr="00076DCD">
              <w:rPr>
                <w:rFonts w:ascii="Arial" w:eastAsia="Times New Roman" w:hAnsi="Arial" w:cs="Arial"/>
                <w:bCs/>
                <w:sz w:val="18"/>
                <w:szCs w:val="18"/>
                <w:lang w:val="es-ES" w:eastAsia="es-ES"/>
              </w:rPr>
              <w:t>Contaminación visible con presencia de pequeñas puntas de acumulación a lo largo del conductor</w:t>
            </w:r>
          </w:p>
        </w:tc>
      </w:tr>
      <w:tr w:rsidR="00EF4587" w:rsidRPr="00076DCD" w:rsidTr="00764E85">
        <w:tc>
          <w:tcPr>
            <w:tcW w:w="816" w:type="dxa"/>
            <w:vAlign w:val="center"/>
          </w:tcPr>
          <w:p w:rsidR="00EF4587" w:rsidRPr="00076DCD" w:rsidRDefault="00EF4587" w:rsidP="00B07EB1">
            <w:pPr>
              <w:spacing w:before="480" w:after="480" w:line="257" w:lineRule="auto"/>
              <w:jc w:val="center"/>
              <w:rPr>
                <w:rFonts w:ascii="Arial" w:eastAsia="Times New Roman" w:hAnsi="Arial" w:cs="Arial"/>
                <w:b/>
                <w:sz w:val="18"/>
                <w:szCs w:val="18"/>
                <w:lang w:val="es-ES" w:eastAsia="es-ES"/>
              </w:rPr>
            </w:pPr>
            <w:r w:rsidRPr="00076DCD">
              <w:rPr>
                <w:rFonts w:ascii="Arial" w:eastAsia="Times New Roman" w:hAnsi="Arial" w:cs="Arial"/>
                <w:bCs/>
                <w:i/>
                <w:iCs/>
                <w:sz w:val="18"/>
                <w:szCs w:val="18"/>
                <w:lang w:val="es-ES" w:eastAsia="es-ES"/>
              </w:rPr>
              <w:t>Alto</w:t>
            </w:r>
          </w:p>
        </w:tc>
        <w:tc>
          <w:tcPr>
            <w:tcW w:w="3153" w:type="dxa"/>
            <w:vAlign w:val="center"/>
          </w:tcPr>
          <w:p w:rsidR="00EF4587" w:rsidRPr="00076DCD" w:rsidRDefault="00EF4587" w:rsidP="00B07EB1">
            <w:pPr>
              <w:spacing w:before="60" w:after="60" w:line="257" w:lineRule="auto"/>
              <w:jc w:val="center"/>
              <w:rPr>
                <w:rFonts w:ascii="Arial" w:eastAsia="Times New Roman" w:hAnsi="Arial" w:cs="Arial"/>
                <w:b/>
                <w:sz w:val="18"/>
                <w:szCs w:val="18"/>
                <w:lang w:val="es-ES" w:eastAsia="es-ES"/>
              </w:rPr>
            </w:pPr>
          </w:p>
        </w:tc>
        <w:tc>
          <w:tcPr>
            <w:tcW w:w="2976" w:type="dxa"/>
            <w:vAlign w:val="center"/>
          </w:tcPr>
          <w:p w:rsidR="00EF4587" w:rsidRPr="00076DCD" w:rsidRDefault="00EF4587" w:rsidP="00B07EB1">
            <w:pPr>
              <w:spacing w:before="60" w:after="6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Contaminación visible con presencia de grandes puntas de acumulación</w:t>
            </w:r>
          </w:p>
        </w:tc>
      </w:tr>
    </w:tbl>
    <w:p w:rsidR="00EF4587" w:rsidRPr="00076DCD" w:rsidRDefault="00EF4587" w:rsidP="00B07EB1">
      <w:pPr>
        <w:spacing w:before="240" w:after="0" w:line="257" w:lineRule="auto"/>
        <w:ind w:left="425"/>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informes de las inspecciones visuales se remitirán a OSINERGMIN.</w:t>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bookmarkStart w:id="67" w:name="_Toc340129061"/>
      <w:r w:rsidRPr="00076DCD">
        <w:rPr>
          <w:rFonts w:ascii="Arial" w:eastAsia="Times New Roman" w:hAnsi="Arial" w:cs="Arial"/>
          <w:b/>
          <w:sz w:val="20"/>
          <w:szCs w:val="20"/>
          <w:lang w:val="es-ES" w:eastAsia="es-ES"/>
        </w:rPr>
        <w:t>8.2</w:t>
      </w:r>
      <w:r w:rsidRPr="00076DCD">
        <w:rPr>
          <w:rFonts w:ascii="Arial" w:eastAsia="Times New Roman" w:hAnsi="Arial" w:cs="Arial"/>
          <w:b/>
          <w:sz w:val="20"/>
          <w:szCs w:val="20"/>
          <w:lang w:val="es-ES" w:eastAsia="es-ES"/>
        </w:rPr>
        <w:tab/>
        <w:t>TOMA DE MUESTRAS DE CONTAMINACIÓN</w:t>
      </w:r>
      <w:bookmarkEnd w:id="67"/>
      <w:r w:rsidRPr="00076DCD">
        <w:rPr>
          <w:rFonts w:ascii="Arial" w:eastAsia="Times New Roman" w:hAnsi="Arial" w:cs="Arial"/>
          <w:b/>
          <w:sz w:val="20"/>
          <w:szCs w:val="20"/>
          <w:lang w:val="es-ES" w:eastAsia="es-ES"/>
        </w:rPr>
        <w:t xml:space="preserve"> </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procedimiento de toma de muestras será el siguiente:</w:t>
      </w:r>
    </w:p>
    <w:p w:rsidR="00EF4587" w:rsidRPr="00076DCD" w:rsidRDefault="00EF4587" w:rsidP="00B07EB1">
      <w:pPr>
        <w:numPr>
          <w:ilvl w:val="0"/>
          <w:numId w:val="107"/>
        </w:numPr>
        <w:tabs>
          <w:tab w:val="left" w:pos="-426"/>
        </w:tabs>
        <w:spacing w:before="6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toma de muestras se realiza con la línea de transmisión fuera de servicio, con presencia de luz de solar, ausencia de lluvia, baja humedad y sin viento fuerte.</w:t>
      </w:r>
    </w:p>
    <w:p w:rsidR="00EF4587" w:rsidRPr="00076DCD" w:rsidRDefault="00EF4587" w:rsidP="00B07EB1">
      <w:pPr>
        <w:numPr>
          <w:ilvl w:val="0"/>
          <w:numId w:val="107"/>
        </w:numPr>
        <w:tabs>
          <w:tab w:val="left" w:pos="-426"/>
        </w:tabs>
        <w:spacing w:before="6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muestras se toman en porciones de 60 á 100 m de conductor, de una de las tres fases del tramo seleccionado.</w:t>
      </w:r>
    </w:p>
    <w:p w:rsidR="00EF4587" w:rsidRPr="00076DCD" w:rsidRDefault="00EF4587" w:rsidP="00B07EB1">
      <w:pPr>
        <w:numPr>
          <w:ilvl w:val="0"/>
          <w:numId w:val="107"/>
        </w:numPr>
        <w:tabs>
          <w:tab w:val="left" w:pos="-426"/>
        </w:tabs>
        <w:spacing w:before="6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Con el equipo de limpieza de conductores se recolecta la contaminación existente en la superficie del conductor.</w:t>
      </w:r>
    </w:p>
    <w:p w:rsidR="00EF4587" w:rsidRPr="00076DCD" w:rsidRDefault="00EF4587" w:rsidP="00B07EB1">
      <w:pPr>
        <w:numPr>
          <w:ilvl w:val="0"/>
          <w:numId w:val="107"/>
        </w:numPr>
        <w:tabs>
          <w:tab w:val="left" w:pos="-426"/>
        </w:tabs>
        <w:spacing w:before="6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contaminación recolectada se pesa en una balanza de precisión expresada en miligramos.</w:t>
      </w:r>
    </w:p>
    <w:p w:rsidR="00EF4587" w:rsidRPr="00076DCD" w:rsidRDefault="00EF4587" w:rsidP="00B07EB1">
      <w:pPr>
        <w:numPr>
          <w:ilvl w:val="0"/>
          <w:numId w:val="107"/>
        </w:numPr>
        <w:tabs>
          <w:tab w:val="left" w:pos="-426"/>
        </w:tabs>
        <w:spacing w:before="6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lastRenderedPageBreak/>
        <w:t>Se determina el nivel de contaminación (NC) en mg/cm², aplicando la fórmula:</w:t>
      </w:r>
    </w:p>
    <w:p w:rsidR="00EF4587" w:rsidRPr="00076DCD" w:rsidRDefault="00EF4587" w:rsidP="00B07EB1">
      <w:pPr>
        <w:tabs>
          <w:tab w:val="left" w:pos="1287"/>
        </w:tabs>
        <w:spacing w:before="240" w:after="120" w:line="257" w:lineRule="auto"/>
        <w:ind w:left="1134" w:hanging="709"/>
        <w:jc w:val="center"/>
        <w:rPr>
          <w:rFonts w:ascii="Arial" w:eastAsia="Times New Roman" w:hAnsi="Arial" w:cs="Arial"/>
          <w:b/>
          <w:i/>
          <w:iCs/>
          <w:sz w:val="20"/>
          <w:szCs w:val="20"/>
          <w:lang w:val="es-ES" w:eastAsia="es-ES"/>
        </w:rPr>
      </w:pPr>
      <w:r w:rsidRPr="00076DCD">
        <w:rPr>
          <w:rFonts w:ascii="Arial" w:eastAsia="Times New Roman" w:hAnsi="Arial" w:cs="Arial"/>
          <w:b/>
          <w:i/>
          <w:iCs/>
          <w:sz w:val="20"/>
          <w:szCs w:val="20"/>
          <w:lang w:val="es-ES" w:eastAsia="es-ES"/>
        </w:rPr>
        <w:t>NC = Peso de la contaminación [mg] / Superficie del conductor [cm</w:t>
      </w:r>
      <w:r w:rsidRPr="00076DCD">
        <w:rPr>
          <w:rFonts w:ascii="Arial" w:eastAsia="Times New Roman" w:hAnsi="Arial" w:cs="Arial"/>
          <w:b/>
          <w:i/>
          <w:sz w:val="20"/>
          <w:szCs w:val="20"/>
          <w:lang w:val="es-ES" w:eastAsia="es-ES"/>
        </w:rPr>
        <w:t>²</w:t>
      </w:r>
      <w:r w:rsidRPr="00076DCD">
        <w:rPr>
          <w:rFonts w:ascii="Arial" w:eastAsia="Times New Roman" w:hAnsi="Arial" w:cs="Arial"/>
          <w:b/>
          <w:i/>
          <w:iCs/>
          <w:sz w:val="20"/>
          <w:szCs w:val="20"/>
          <w:lang w:val="es-ES" w:eastAsia="es-ES"/>
        </w:rPr>
        <w:t>]</w:t>
      </w:r>
    </w:p>
    <w:p w:rsidR="00EF4587" w:rsidRPr="00E024E4" w:rsidRDefault="00EF4587" w:rsidP="00B07EB1">
      <w:pPr>
        <w:tabs>
          <w:tab w:val="left" w:pos="1287"/>
        </w:tabs>
        <w:spacing w:after="0" w:line="257" w:lineRule="auto"/>
        <w:ind w:left="1701" w:hanging="709"/>
        <w:jc w:val="both"/>
        <w:rPr>
          <w:rFonts w:ascii="Arial" w:eastAsia="Times New Roman" w:hAnsi="Arial" w:cs="Arial"/>
          <w:i/>
          <w:iCs/>
          <w:sz w:val="18"/>
          <w:szCs w:val="18"/>
          <w:lang w:val="es-ES" w:eastAsia="es-ES"/>
        </w:rPr>
      </w:pPr>
      <w:r w:rsidRPr="00E024E4">
        <w:rPr>
          <w:rFonts w:ascii="Arial" w:eastAsia="Times New Roman" w:hAnsi="Arial" w:cs="Arial"/>
          <w:i/>
          <w:iCs/>
          <w:sz w:val="18"/>
          <w:szCs w:val="18"/>
          <w:u w:val="single"/>
          <w:lang w:val="es-ES" w:eastAsia="es-ES"/>
        </w:rPr>
        <w:t>Donde</w:t>
      </w:r>
      <w:r w:rsidRPr="00E024E4">
        <w:rPr>
          <w:rFonts w:ascii="Arial" w:eastAsia="Times New Roman" w:hAnsi="Arial" w:cs="Arial"/>
          <w:i/>
          <w:iCs/>
          <w:sz w:val="18"/>
          <w:szCs w:val="18"/>
          <w:lang w:val="es-ES" w:eastAsia="es-ES"/>
        </w:rPr>
        <w:t xml:space="preserve">: </w:t>
      </w:r>
    </w:p>
    <w:p w:rsidR="00EF4587" w:rsidRPr="00E024E4" w:rsidRDefault="00EF4587" w:rsidP="00B07EB1">
      <w:pPr>
        <w:tabs>
          <w:tab w:val="left" w:pos="1287"/>
        </w:tabs>
        <w:spacing w:after="0" w:line="257" w:lineRule="auto"/>
        <w:ind w:left="2127" w:hanging="709"/>
        <w:jc w:val="both"/>
        <w:rPr>
          <w:rFonts w:ascii="Arial" w:eastAsia="Times New Roman" w:hAnsi="Arial" w:cs="Arial"/>
          <w:i/>
          <w:iCs/>
          <w:sz w:val="18"/>
          <w:szCs w:val="18"/>
          <w:lang w:val="es-ES" w:eastAsia="es-ES"/>
        </w:rPr>
      </w:pPr>
      <w:r w:rsidRPr="00E024E4">
        <w:rPr>
          <w:rFonts w:ascii="Arial" w:eastAsia="Times New Roman" w:hAnsi="Arial" w:cs="Arial"/>
          <w:i/>
          <w:iCs/>
          <w:sz w:val="18"/>
          <w:szCs w:val="18"/>
          <w:lang w:val="es-ES" w:eastAsia="es-ES"/>
        </w:rPr>
        <w:t>la superficie del conductor es 2</w:t>
      </w:r>
      <w:r w:rsidRPr="00E024E4">
        <w:rPr>
          <w:rFonts w:ascii="Arial" w:eastAsia="Times New Roman" w:hAnsi="Arial" w:cs="Arial"/>
          <w:i/>
          <w:iCs/>
          <w:sz w:val="18"/>
          <w:szCs w:val="18"/>
          <w:lang w:val="es-ES" w:eastAsia="es-ES"/>
        </w:rPr>
        <w:sym w:font="Symbol" w:char="F070"/>
      </w:r>
      <w:r w:rsidRPr="00E024E4">
        <w:rPr>
          <w:rFonts w:ascii="Arial" w:eastAsia="Times New Roman" w:hAnsi="Arial" w:cs="Arial"/>
          <w:i/>
          <w:iCs/>
          <w:sz w:val="18"/>
          <w:szCs w:val="18"/>
          <w:lang w:val="es-ES" w:eastAsia="es-ES"/>
        </w:rPr>
        <w:t xml:space="preserve"> r L, </w:t>
      </w:r>
    </w:p>
    <w:p w:rsidR="00EF4587" w:rsidRPr="00E024E4" w:rsidRDefault="00EF4587" w:rsidP="00B07EB1">
      <w:pPr>
        <w:tabs>
          <w:tab w:val="left" w:pos="1287"/>
        </w:tabs>
        <w:spacing w:after="0" w:line="257" w:lineRule="auto"/>
        <w:ind w:left="2127" w:hanging="709"/>
        <w:jc w:val="both"/>
        <w:rPr>
          <w:rFonts w:ascii="Arial" w:eastAsia="Times New Roman" w:hAnsi="Arial" w:cs="Arial"/>
          <w:i/>
          <w:iCs/>
          <w:sz w:val="18"/>
          <w:szCs w:val="18"/>
          <w:lang w:val="es-ES" w:eastAsia="es-ES"/>
        </w:rPr>
      </w:pPr>
      <w:r w:rsidRPr="00E024E4">
        <w:rPr>
          <w:rFonts w:ascii="Arial" w:eastAsia="Times New Roman" w:hAnsi="Arial" w:cs="Arial"/>
          <w:i/>
          <w:iCs/>
          <w:sz w:val="18"/>
          <w:szCs w:val="18"/>
          <w:lang w:val="es-ES" w:eastAsia="es-ES"/>
        </w:rPr>
        <w:t xml:space="preserve">r es el radio del conductor en cm y </w:t>
      </w:r>
    </w:p>
    <w:p w:rsidR="00EF4587" w:rsidRPr="00E024E4" w:rsidRDefault="00EF4587" w:rsidP="00B07EB1">
      <w:pPr>
        <w:tabs>
          <w:tab w:val="left" w:pos="1287"/>
        </w:tabs>
        <w:spacing w:after="0" w:line="257" w:lineRule="auto"/>
        <w:ind w:left="2127" w:hanging="709"/>
        <w:jc w:val="both"/>
        <w:rPr>
          <w:rFonts w:ascii="Arial" w:eastAsia="Times New Roman" w:hAnsi="Arial" w:cs="Arial"/>
          <w:i/>
          <w:iCs/>
          <w:sz w:val="18"/>
          <w:szCs w:val="18"/>
          <w:lang w:val="es-ES" w:eastAsia="es-ES"/>
        </w:rPr>
      </w:pPr>
      <w:r w:rsidRPr="00E024E4">
        <w:rPr>
          <w:rFonts w:ascii="Arial" w:eastAsia="Times New Roman" w:hAnsi="Arial" w:cs="Arial"/>
          <w:i/>
          <w:iCs/>
          <w:sz w:val="18"/>
          <w:szCs w:val="18"/>
          <w:lang w:val="es-ES" w:eastAsia="es-ES"/>
        </w:rPr>
        <w:t>L es la longitud de la porción del conductor donde se tomó la muestra, en cm.</w:t>
      </w:r>
    </w:p>
    <w:p w:rsidR="00EF4587" w:rsidRPr="00076DCD" w:rsidRDefault="00EF4587" w:rsidP="00E024E4">
      <w:pPr>
        <w:numPr>
          <w:ilvl w:val="0"/>
          <w:numId w:val="107"/>
        </w:numPr>
        <w:spacing w:before="120" w:after="0" w:line="257" w:lineRule="auto"/>
        <w:ind w:left="1196"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Para las cadenas de aisladores se tomará la muestra de una de las campanas, la que visualmente tenga la mayor contaminación. Se determina el nivel de contaminación (NC) en mg/cm², aplicando la fórmula:</w:t>
      </w:r>
    </w:p>
    <w:p w:rsidR="00EF4587" w:rsidRPr="00076DCD" w:rsidRDefault="00EF4587" w:rsidP="00B07EB1">
      <w:pPr>
        <w:tabs>
          <w:tab w:val="num" w:pos="960"/>
          <w:tab w:val="left" w:pos="1287"/>
        </w:tabs>
        <w:spacing w:before="240" w:after="120" w:line="257" w:lineRule="auto"/>
        <w:ind w:left="1134" w:hanging="357"/>
        <w:jc w:val="center"/>
        <w:rPr>
          <w:rFonts w:ascii="Arial" w:eastAsia="Times New Roman" w:hAnsi="Arial" w:cs="Arial"/>
          <w:b/>
          <w:i/>
          <w:iCs/>
          <w:sz w:val="20"/>
          <w:szCs w:val="20"/>
          <w:lang w:val="es-ES" w:eastAsia="es-ES"/>
        </w:rPr>
      </w:pPr>
      <w:r w:rsidRPr="00076DCD">
        <w:rPr>
          <w:rFonts w:ascii="Arial" w:eastAsia="Times New Roman" w:hAnsi="Arial" w:cs="Arial"/>
          <w:b/>
          <w:i/>
          <w:iCs/>
          <w:sz w:val="20"/>
          <w:szCs w:val="20"/>
          <w:lang w:val="es-ES" w:eastAsia="es-ES"/>
        </w:rPr>
        <w:t>NC = Peso de la contaminación [mg] / Superficie exterior de la campana [cm</w:t>
      </w:r>
      <w:r w:rsidRPr="00076DCD">
        <w:rPr>
          <w:rFonts w:ascii="Arial" w:eastAsia="Times New Roman" w:hAnsi="Arial" w:cs="Arial"/>
          <w:b/>
          <w:i/>
          <w:sz w:val="20"/>
          <w:szCs w:val="20"/>
          <w:lang w:val="es-ES" w:eastAsia="es-ES"/>
        </w:rPr>
        <w:t>²</w:t>
      </w:r>
      <w:r w:rsidRPr="00076DCD">
        <w:rPr>
          <w:rFonts w:ascii="Arial" w:eastAsia="Times New Roman" w:hAnsi="Arial" w:cs="Arial"/>
          <w:b/>
          <w:i/>
          <w:iCs/>
          <w:sz w:val="20"/>
          <w:szCs w:val="20"/>
          <w:lang w:val="es-ES" w:eastAsia="es-ES"/>
        </w:rPr>
        <w:t>]</w:t>
      </w:r>
    </w:p>
    <w:p w:rsidR="00EF4587" w:rsidRPr="00076DCD" w:rsidRDefault="00EF4587" w:rsidP="00E024E4">
      <w:pPr>
        <w:numPr>
          <w:ilvl w:val="0"/>
          <w:numId w:val="107"/>
        </w:numPr>
        <w:spacing w:before="120" w:after="0" w:line="257" w:lineRule="auto"/>
        <w:ind w:left="1196" w:hanging="357"/>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valor de NC se compara con los valores del Cuadro N° 3 y se determina el nivel de contaminación en los conductores.</w:t>
      </w:r>
    </w:p>
    <w:p w:rsidR="00EF4587" w:rsidRPr="00076DCD" w:rsidRDefault="00EF4587" w:rsidP="00B07EB1">
      <w:pPr>
        <w:spacing w:before="240" w:after="120" w:line="257" w:lineRule="auto"/>
        <w:jc w:val="center"/>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EF4587" w:rsidRPr="00076DCD" w:rsidTr="00764E85">
        <w:trPr>
          <w:trHeight w:val="20"/>
          <w:jc w:val="center"/>
        </w:trPr>
        <w:tc>
          <w:tcPr>
            <w:tcW w:w="2263" w:type="dxa"/>
            <w:shd w:val="clear" w:color="auto" w:fill="CCFFCC"/>
            <w:vAlign w:val="center"/>
          </w:tcPr>
          <w:p w:rsidR="00EF4587" w:rsidRPr="00076DCD" w:rsidRDefault="00EF4587" w:rsidP="00B07EB1">
            <w:pPr>
              <w:spacing w:before="40" w:after="40" w:line="257" w:lineRule="auto"/>
              <w:jc w:val="center"/>
              <w:rPr>
                <w:rFonts w:ascii="Arial" w:eastAsia="Times New Roman" w:hAnsi="Arial" w:cs="Arial"/>
                <w:b/>
                <w:bCs/>
                <w:sz w:val="18"/>
                <w:szCs w:val="18"/>
                <w:lang w:val="es-ES" w:eastAsia="es-ES"/>
              </w:rPr>
            </w:pPr>
            <w:r w:rsidRPr="00076DCD">
              <w:rPr>
                <w:rFonts w:ascii="Arial" w:eastAsia="Times New Roman" w:hAnsi="Arial" w:cs="Arial"/>
                <w:b/>
                <w:bCs/>
                <w:sz w:val="18"/>
                <w:szCs w:val="18"/>
                <w:lang w:val="es-ES" w:eastAsia="es-ES"/>
              </w:rPr>
              <w:t>Nivel de contaminación</w:t>
            </w:r>
          </w:p>
        </w:tc>
        <w:tc>
          <w:tcPr>
            <w:tcW w:w="1706" w:type="dxa"/>
            <w:shd w:val="clear" w:color="auto" w:fill="CCFFCC"/>
            <w:noWrap/>
            <w:vAlign w:val="center"/>
          </w:tcPr>
          <w:p w:rsidR="00EF4587" w:rsidRPr="00076DCD" w:rsidRDefault="00EF4587" w:rsidP="00B07EB1">
            <w:pPr>
              <w:spacing w:before="40" w:after="40" w:line="257" w:lineRule="auto"/>
              <w:jc w:val="center"/>
              <w:rPr>
                <w:rFonts w:ascii="Arial" w:eastAsia="Times New Roman" w:hAnsi="Arial" w:cs="Arial"/>
                <w:b/>
                <w:bCs/>
                <w:sz w:val="18"/>
                <w:szCs w:val="18"/>
                <w:lang w:val="es-ES" w:eastAsia="es-ES"/>
              </w:rPr>
            </w:pPr>
            <w:r w:rsidRPr="00076DCD">
              <w:rPr>
                <w:rFonts w:ascii="Arial" w:eastAsia="Times New Roman" w:hAnsi="Arial" w:cs="Arial"/>
                <w:b/>
                <w:bCs/>
                <w:sz w:val="18"/>
                <w:szCs w:val="18"/>
                <w:lang w:val="es-ES" w:eastAsia="es-ES"/>
              </w:rPr>
              <w:t>Peso (mg / cm</w:t>
            </w:r>
            <w:r w:rsidRPr="00076DCD">
              <w:rPr>
                <w:rFonts w:ascii="Arial" w:eastAsia="Times New Roman" w:hAnsi="Arial" w:cs="Arial"/>
                <w:b/>
                <w:sz w:val="18"/>
                <w:szCs w:val="18"/>
                <w:lang w:val="es-ES" w:eastAsia="es-ES"/>
              </w:rPr>
              <w:t>²</w:t>
            </w:r>
            <w:r w:rsidRPr="00076DCD">
              <w:rPr>
                <w:rFonts w:ascii="Arial" w:eastAsia="Times New Roman" w:hAnsi="Arial" w:cs="Arial"/>
                <w:b/>
                <w:bCs/>
                <w:sz w:val="18"/>
                <w:szCs w:val="18"/>
                <w:lang w:val="es-ES" w:eastAsia="es-ES"/>
              </w:rPr>
              <w:t>)</w:t>
            </w:r>
          </w:p>
        </w:tc>
      </w:tr>
      <w:tr w:rsidR="00EF4587" w:rsidRPr="00076DCD" w:rsidTr="00764E85">
        <w:trPr>
          <w:trHeight w:val="20"/>
          <w:jc w:val="center"/>
        </w:trPr>
        <w:tc>
          <w:tcPr>
            <w:tcW w:w="2263" w:type="dxa"/>
            <w:vAlign w:val="center"/>
          </w:tcPr>
          <w:p w:rsidR="00EF4587" w:rsidRPr="00076DCD" w:rsidRDefault="00EF4587" w:rsidP="00B07EB1">
            <w:pPr>
              <w:spacing w:before="40" w:after="4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Bajo</w:t>
            </w:r>
          </w:p>
        </w:tc>
        <w:tc>
          <w:tcPr>
            <w:tcW w:w="1706" w:type="dxa"/>
            <w:vAlign w:val="center"/>
          </w:tcPr>
          <w:p w:rsidR="00EF4587" w:rsidRPr="00076DCD" w:rsidRDefault="00EF4587" w:rsidP="00B07EB1">
            <w:pPr>
              <w:spacing w:before="40" w:after="4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5 – 20</w:t>
            </w:r>
          </w:p>
        </w:tc>
      </w:tr>
      <w:tr w:rsidR="00EF4587" w:rsidRPr="00076DCD" w:rsidTr="00764E85">
        <w:trPr>
          <w:trHeight w:val="20"/>
          <w:jc w:val="center"/>
        </w:trPr>
        <w:tc>
          <w:tcPr>
            <w:tcW w:w="2263" w:type="dxa"/>
            <w:vAlign w:val="center"/>
          </w:tcPr>
          <w:p w:rsidR="00EF4587" w:rsidRPr="00076DCD" w:rsidRDefault="00EF4587" w:rsidP="00B07EB1">
            <w:pPr>
              <w:spacing w:before="40" w:after="4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Medio</w:t>
            </w:r>
          </w:p>
        </w:tc>
        <w:tc>
          <w:tcPr>
            <w:tcW w:w="1706" w:type="dxa"/>
            <w:vAlign w:val="center"/>
          </w:tcPr>
          <w:p w:rsidR="00EF4587" w:rsidRPr="00076DCD" w:rsidRDefault="00EF4587" w:rsidP="00B07EB1">
            <w:pPr>
              <w:spacing w:before="40" w:after="4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20 – 45</w:t>
            </w:r>
          </w:p>
        </w:tc>
      </w:tr>
      <w:tr w:rsidR="00EF4587" w:rsidRPr="00076DCD" w:rsidTr="00764E85">
        <w:trPr>
          <w:trHeight w:val="20"/>
          <w:jc w:val="center"/>
        </w:trPr>
        <w:tc>
          <w:tcPr>
            <w:tcW w:w="2263" w:type="dxa"/>
            <w:vAlign w:val="center"/>
          </w:tcPr>
          <w:p w:rsidR="00EF4587" w:rsidRPr="00076DCD" w:rsidRDefault="00EF4587" w:rsidP="00B07EB1">
            <w:pPr>
              <w:spacing w:before="40" w:after="4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Alto</w:t>
            </w:r>
          </w:p>
        </w:tc>
        <w:tc>
          <w:tcPr>
            <w:tcW w:w="1706" w:type="dxa"/>
            <w:vAlign w:val="center"/>
          </w:tcPr>
          <w:p w:rsidR="00EF4587" w:rsidRPr="00076DCD" w:rsidRDefault="00EF4587" w:rsidP="00B07EB1">
            <w:pPr>
              <w:spacing w:before="40" w:after="40" w:line="257" w:lineRule="auto"/>
              <w:jc w:val="center"/>
              <w:rPr>
                <w:rFonts w:ascii="Arial" w:eastAsia="Times New Roman" w:hAnsi="Arial" w:cs="Arial"/>
                <w:bCs/>
                <w:sz w:val="18"/>
                <w:szCs w:val="18"/>
                <w:lang w:val="es-ES" w:eastAsia="es-ES"/>
              </w:rPr>
            </w:pPr>
            <w:r w:rsidRPr="00076DCD">
              <w:rPr>
                <w:rFonts w:ascii="Arial" w:eastAsia="Times New Roman" w:hAnsi="Arial" w:cs="Arial"/>
                <w:bCs/>
                <w:sz w:val="18"/>
                <w:szCs w:val="18"/>
                <w:lang w:val="es-ES" w:eastAsia="es-ES"/>
              </w:rPr>
              <w:t>&gt; 45</w:t>
            </w:r>
          </w:p>
        </w:tc>
      </w:tr>
    </w:tbl>
    <w:p w:rsidR="00EF4587" w:rsidRPr="00076DCD" w:rsidRDefault="00EF4587" w:rsidP="00B07EB1">
      <w:pPr>
        <w:numPr>
          <w:ilvl w:val="0"/>
          <w:numId w:val="107"/>
        </w:numPr>
        <w:spacing w:before="240" w:after="0" w:line="257" w:lineRule="auto"/>
        <w:ind w:left="12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pasos indicados en los literales c) a g) son repetidos para los demás tramos de la línea que requieran toma de muestra.</w:t>
      </w:r>
    </w:p>
    <w:p w:rsidR="00EF4587" w:rsidRPr="00076DCD" w:rsidRDefault="00EF4587" w:rsidP="00B07EB1">
      <w:pPr>
        <w:tabs>
          <w:tab w:val="left" w:pos="-426"/>
        </w:tabs>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informes de las tomas de muestra se remitirán a OSINERGMIN.</w:t>
      </w:r>
    </w:p>
    <w:p w:rsidR="00EF4587" w:rsidRPr="00076DCD" w:rsidRDefault="00EF4587" w:rsidP="00B07EB1">
      <w:pPr>
        <w:tabs>
          <w:tab w:val="left" w:pos="-426"/>
        </w:tabs>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 solicitud de OSINERGMIN y de común acuerdo con la Sociedad Concesionaria, se podrán revisar los valores de Niveles de Contaminación establecidos en los Cuadros N° 2 y N° 3.</w:t>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t>8.3</w:t>
      </w:r>
      <w:r w:rsidRPr="00076DCD">
        <w:rPr>
          <w:rFonts w:ascii="Arial" w:eastAsia="Times New Roman" w:hAnsi="Arial" w:cs="Arial"/>
          <w:b/>
          <w:sz w:val="20"/>
          <w:szCs w:val="20"/>
          <w:lang w:val="es-ES" w:eastAsia="es-ES"/>
        </w:rPr>
        <w:tab/>
        <w:t>LIMPIEZA DE CONDUCTORES</w:t>
      </w:r>
    </w:p>
    <w:p w:rsidR="00EF4587" w:rsidRPr="00076DCD" w:rsidRDefault="00EF4587" w:rsidP="00B07EB1">
      <w:pPr>
        <w:spacing w:before="12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limpieza de conductores se efectuará en todos los tramos calificados con nivel Medio y Alto de contaminación.</w:t>
      </w:r>
    </w:p>
    <w:p w:rsidR="00EF4587" w:rsidRPr="00076DCD" w:rsidRDefault="00EF4587" w:rsidP="00B07EB1">
      <w:pPr>
        <w:spacing w:before="6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Las labores de limpieza se efectuarán coincidiendo con la salida de servicio de la línea de transmisión, de acuerdo con el programa de intervenciones aprobado por el COES a solicitud de la Sociedad Concesionaria.</w:t>
      </w:r>
    </w:p>
    <w:p w:rsidR="00EF4587" w:rsidRPr="00076DCD" w:rsidRDefault="00EF4587" w:rsidP="00B07EB1">
      <w:pPr>
        <w:spacing w:before="6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El procedimiento para efectuar la limpieza de los conductores es el siguiente:</w:t>
      </w:r>
    </w:p>
    <w:p w:rsidR="00EF4587" w:rsidRPr="00076DCD" w:rsidRDefault="00EF4587" w:rsidP="00B07EB1">
      <w:pPr>
        <w:numPr>
          <w:ilvl w:val="0"/>
          <w:numId w:val="106"/>
        </w:numPr>
        <w:spacing w:before="60" w:after="0" w:line="257" w:lineRule="auto"/>
        <w:ind w:left="1080"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limpieza de conductores se realizará en los tramos programados, con la línea de transmisión fuera de servicio, en presencia de luz solar, ausencia de lluvia, con baja humedad y sin viento fuerte.</w:t>
      </w:r>
    </w:p>
    <w:p w:rsidR="00EF4587" w:rsidRPr="00076DCD" w:rsidRDefault="00EF4587" w:rsidP="00B07EB1">
      <w:pPr>
        <w:numPr>
          <w:ilvl w:val="0"/>
          <w:numId w:val="106"/>
        </w:numPr>
        <w:spacing w:before="60" w:after="0" w:line="257" w:lineRule="auto"/>
        <w:ind w:left="1080" w:hanging="24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EF4587" w:rsidRPr="00076DCD" w:rsidRDefault="00EF4587" w:rsidP="00B07EB1">
      <w:pPr>
        <w:spacing w:before="8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elaborará el procedimiento de limpieza del haz de conductores, para la aprobación del OSINERGMIN.</w:t>
      </w:r>
    </w:p>
    <w:p w:rsidR="00EF4587" w:rsidRPr="00076DCD" w:rsidRDefault="00EF4587" w:rsidP="00B07EB1">
      <w:pPr>
        <w:spacing w:before="8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Los informes de la limpieza de conductores se remitirán a OSINERGMIN.</w:t>
      </w:r>
    </w:p>
    <w:p w:rsidR="00E024E4" w:rsidRDefault="00E024E4">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EF4587" w:rsidRPr="00076DCD" w:rsidRDefault="00EF4587" w:rsidP="00CB71E1">
      <w:pPr>
        <w:spacing w:before="240" w:after="120" w:line="257" w:lineRule="auto"/>
        <w:ind w:left="567" w:hanging="567"/>
        <w:jc w:val="both"/>
        <w:rPr>
          <w:rFonts w:ascii="Arial" w:eastAsia="Times New Roman" w:hAnsi="Arial" w:cs="Arial"/>
          <w:b/>
          <w:sz w:val="20"/>
          <w:szCs w:val="20"/>
          <w:lang w:val="es-ES" w:eastAsia="es-ES"/>
        </w:rPr>
      </w:pPr>
      <w:r w:rsidRPr="00076DCD">
        <w:rPr>
          <w:rFonts w:ascii="Arial" w:eastAsia="Times New Roman" w:hAnsi="Arial" w:cs="Arial"/>
          <w:b/>
          <w:sz w:val="20"/>
          <w:szCs w:val="20"/>
          <w:lang w:val="es-ES" w:eastAsia="es-ES"/>
        </w:rPr>
        <w:lastRenderedPageBreak/>
        <w:t>8.4</w:t>
      </w:r>
      <w:r w:rsidRPr="00076DCD">
        <w:rPr>
          <w:rFonts w:ascii="Arial" w:eastAsia="Times New Roman" w:hAnsi="Arial" w:cs="Arial"/>
          <w:b/>
          <w:sz w:val="20"/>
          <w:szCs w:val="20"/>
          <w:lang w:val="es-ES" w:eastAsia="es-ES"/>
        </w:rPr>
        <w:tab/>
        <w:t>LIMPIEZA DE AISLADORES</w:t>
      </w:r>
    </w:p>
    <w:p w:rsidR="00EF4587" w:rsidRPr="00076DCD" w:rsidRDefault="00EF4587" w:rsidP="00B07EB1">
      <w:pPr>
        <w:spacing w:before="6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Se programará para efectuarse de manera simultánea con la limpieza de conductores.</w:t>
      </w:r>
    </w:p>
    <w:p w:rsidR="00EF4587" w:rsidRPr="00076DCD" w:rsidRDefault="00EF4587" w:rsidP="00B07EB1">
      <w:pPr>
        <w:spacing w:before="6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general se seguirá el mismo procedimiento que el indicado para la limpieza de los conductores.</w:t>
      </w:r>
    </w:p>
    <w:p w:rsidR="00EF4587" w:rsidRPr="00076DCD" w:rsidRDefault="00EF4587" w:rsidP="00B07EB1">
      <w:pPr>
        <w:spacing w:before="6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podrá, de considerarlo conveniente, efectuar las labores de limpieza en caliente.</w:t>
      </w:r>
    </w:p>
    <w:p w:rsidR="00EF4587" w:rsidRPr="00076DCD" w:rsidRDefault="00EF4587" w:rsidP="00B07EB1">
      <w:pPr>
        <w:spacing w:before="60" w:after="0" w:line="257" w:lineRule="auto"/>
        <w:ind w:left="600"/>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EF4587" w:rsidRPr="00076DCD" w:rsidRDefault="00EF4587" w:rsidP="00B07EB1">
      <w:pPr>
        <w:spacing w:after="0" w:line="257" w:lineRule="auto"/>
        <w:jc w:val="center"/>
        <w:rPr>
          <w:rFonts w:ascii="Arial" w:eastAsia="Times New Roman" w:hAnsi="Arial" w:cs="Arial"/>
          <w:b/>
          <w:sz w:val="20"/>
          <w:szCs w:val="24"/>
          <w:u w:val="single"/>
          <w:lang w:val="es-ES" w:eastAsia="es-ES"/>
        </w:rPr>
      </w:pPr>
    </w:p>
    <w:p w:rsidR="00E024E4" w:rsidRDefault="00E024E4">
      <w:pPr>
        <w:rPr>
          <w:rFonts w:ascii="Arial" w:eastAsia="Times New Roman" w:hAnsi="Arial" w:cs="Arial"/>
          <w:b/>
          <w:sz w:val="20"/>
          <w:szCs w:val="24"/>
          <w:u w:val="single"/>
          <w:lang w:val="es-ES" w:eastAsia="es-ES"/>
        </w:rPr>
      </w:pPr>
      <w:r>
        <w:rPr>
          <w:rFonts w:ascii="Arial" w:eastAsia="Times New Roman" w:hAnsi="Arial" w:cs="Arial"/>
          <w:b/>
          <w:sz w:val="20"/>
          <w:szCs w:val="24"/>
          <w:u w:val="single"/>
          <w:lang w:val="es-ES" w:eastAsia="es-ES"/>
        </w:rPr>
        <w:br w:type="page"/>
      </w:r>
    </w:p>
    <w:p w:rsidR="00EF4587" w:rsidRPr="00076DCD" w:rsidRDefault="00EF4587" w:rsidP="00B07EB1">
      <w:pPr>
        <w:spacing w:after="0" w:line="257" w:lineRule="auto"/>
        <w:jc w:val="center"/>
        <w:rPr>
          <w:rFonts w:ascii="Arial" w:eastAsia="Times New Roman" w:hAnsi="Arial" w:cs="Arial"/>
          <w:b/>
          <w:sz w:val="20"/>
          <w:szCs w:val="24"/>
          <w:u w:val="single"/>
          <w:lang w:val="es-ES" w:eastAsia="es-ES"/>
        </w:rPr>
      </w:pPr>
      <w:r w:rsidRPr="00076DCD">
        <w:rPr>
          <w:rFonts w:ascii="Arial" w:eastAsia="Times New Roman" w:hAnsi="Arial" w:cs="Arial"/>
          <w:b/>
          <w:sz w:val="20"/>
          <w:szCs w:val="24"/>
          <w:u w:val="single"/>
          <w:lang w:val="es-ES" w:eastAsia="es-ES"/>
        </w:rPr>
        <w:lastRenderedPageBreak/>
        <w:t>ESQUEMA N° 1</w:t>
      </w:r>
    </w:p>
    <w:p w:rsidR="00EF4587" w:rsidRPr="00076DCD" w:rsidRDefault="00EF4587" w:rsidP="00B07EB1">
      <w:pPr>
        <w:spacing w:after="0" w:line="257" w:lineRule="auto"/>
        <w:jc w:val="center"/>
        <w:rPr>
          <w:rFonts w:ascii="Arial" w:eastAsia="Times New Roman" w:hAnsi="Arial" w:cs="Arial"/>
          <w:b/>
          <w:sz w:val="20"/>
          <w:szCs w:val="24"/>
          <w:u w:val="single"/>
          <w:lang w:val="es-ES" w:eastAsia="es-ES"/>
        </w:rPr>
      </w:pPr>
    </w:p>
    <w:p w:rsidR="00EF4587" w:rsidRPr="00076DCD" w:rsidRDefault="00EF4587" w:rsidP="00B07EB1">
      <w:pPr>
        <w:spacing w:after="0" w:line="257" w:lineRule="auto"/>
        <w:jc w:val="center"/>
        <w:rPr>
          <w:rFonts w:ascii="Arial" w:eastAsia="Times New Roman" w:hAnsi="Arial" w:cs="Arial"/>
          <w:b/>
          <w:sz w:val="20"/>
          <w:szCs w:val="24"/>
          <w:u w:val="single"/>
          <w:lang w:val="es-ES" w:eastAsia="es-ES"/>
        </w:rPr>
      </w:pPr>
    </w:p>
    <w:p w:rsidR="00EF4587" w:rsidRPr="00076DCD" w:rsidRDefault="00EF4587" w:rsidP="00B07EB1">
      <w:pPr>
        <w:spacing w:after="0" w:line="257" w:lineRule="auto"/>
        <w:jc w:val="center"/>
        <w:rPr>
          <w:rFonts w:ascii="Arial" w:eastAsia="Times New Roman" w:hAnsi="Arial" w:cs="Arial"/>
          <w:b/>
          <w:sz w:val="20"/>
          <w:szCs w:val="24"/>
          <w:u w:val="single"/>
          <w:lang w:val="es-ES" w:eastAsia="es-ES"/>
        </w:rPr>
      </w:pPr>
    </w:p>
    <w:p w:rsidR="00EF4587" w:rsidRPr="00076DCD" w:rsidRDefault="00EF4587" w:rsidP="00B07EB1">
      <w:pPr>
        <w:spacing w:after="0" w:line="257" w:lineRule="auto"/>
        <w:jc w:val="center"/>
        <w:rPr>
          <w:rFonts w:ascii="Arial" w:eastAsia="Times New Roman" w:hAnsi="Arial" w:cs="Arial"/>
          <w:b/>
          <w:sz w:val="28"/>
          <w:szCs w:val="24"/>
          <w:lang w:val="es-ES" w:eastAsia="es-ES"/>
        </w:rPr>
      </w:pPr>
      <w:r w:rsidRPr="00076DCD">
        <w:rPr>
          <w:rFonts w:ascii="Arial" w:eastAsia="Times New Roman" w:hAnsi="Arial" w:cs="Arial"/>
          <w:noProof/>
          <w:sz w:val="24"/>
          <w:szCs w:val="24"/>
          <w:lang w:eastAsia="es-PE"/>
        </w:rPr>
        <w:drawing>
          <wp:inline distT="0" distB="0" distL="0" distR="0" wp14:anchorId="1C32C64B" wp14:editId="62EDEC35">
            <wp:extent cx="5646882" cy="3476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882" cy="3476625"/>
                    </a:xfrm>
                    <a:prstGeom prst="rect">
                      <a:avLst/>
                    </a:prstGeom>
                    <a:noFill/>
                    <a:ln>
                      <a:noFill/>
                    </a:ln>
                  </pic:spPr>
                </pic:pic>
              </a:graphicData>
            </a:graphic>
          </wp:inline>
        </w:drawing>
      </w:r>
    </w:p>
    <w:p w:rsidR="001A1D42" w:rsidRPr="00076DCD" w:rsidRDefault="001A1D42" w:rsidP="00B07EB1">
      <w:pPr>
        <w:keepNext/>
        <w:spacing w:after="0" w:line="257" w:lineRule="auto"/>
        <w:jc w:val="both"/>
        <w:outlineLvl w:val="0"/>
        <w:rPr>
          <w:rFonts w:ascii="Arial" w:eastAsia="Calibri" w:hAnsi="Arial" w:cs="Arial"/>
          <w:b/>
          <w:sz w:val="28"/>
          <w:szCs w:val="20"/>
          <w:lang w:val="es-ES_tradnl" w:eastAsia="zh-CN"/>
        </w:rPr>
      </w:pPr>
    </w:p>
    <w:p w:rsidR="00945B4D" w:rsidRPr="00076DCD" w:rsidRDefault="00945B4D" w:rsidP="00B07EB1">
      <w:pPr>
        <w:spacing w:line="257" w:lineRule="auto"/>
        <w:rPr>
          <w:rFonts w:ascii="Arial" w:eastAsia="Times New Roman" w:hAnsi="Arial" w:cs="Arial"/>
          <w:b/>
          <w:sz w:val="24"/>
          <w:szCs w:val="24"/>
          <w:lang w:val="es-MX" w:eastAsia="es-ES"/>
        </w:rPr>
      </w:pPr>
      <w:r w:rsidRPr="00076DCD">
        <w:rPr>
          <w:rFonts w:ascii="Arial" w:eastAsia="Times New Roman" w:hAnsi="Arial" w:cs="Arial"/>
          <w:b/>
          <w:sz w:val="24"/>
          <w:szCs w:val="24"/>
          <w:lang w:val="es-MX" w:eastAsia="es-ES"/>
        </w:rPr>
        <w:br w:type="page"/>
      </w:r>
    </w:p>
    <w:p w:rsidR="00EF4587" w:rsidRPr="00076DCD" w:rsidRDefault="00EF4587" w:rsidP="00B07EB1">
      <w:pPr>
        <w:spacing w:before="240" w:after="120" w:line="257" w:lineRule="auto"/>
        <w:jc w:val="center"/>
        <w:rPr>
          <w:rFonts w:ascii="Arial" w:eastAsia="Times New Roman" w:hAnsi="Arial" w:cs="Arial"/>
          <w:b/>
          <w:sz w:val="20"/>
          <w:szCs w:val="20"/>
          <w:u w:val="wave"/>
          <w:lang w:val="es-ES" w:eastAsia="es-ES"/>
        </w:rPr>
      </w:pPr>
      <w:r w:rsidRPr="00076DCD">
        <w:rPr>
          <w:rFonts w:ascii="Arial" w:eastAsia="Times New Roman" w:hAnsi="Arial" w:cs="Arial"/>
          <w:b/>
          <w:sz w:val="20"/>
          <w:szCs w:val="20"/>
          <w:u w:val="wave"/>
          <w:lang w:val="es-ES" w:eastAsia="es-ES"/>
        </w:rPr>
        <w:lastRenderedPageBreak/>
        <w:t>Tabla 2.1</w:t>
      </w:r>
    </w:p>
    <w:p w:rsidR="00EF4587" w:rsidRPr="00076DCD" w:rsidRDefault="00EF4587" w:rsidP="00B07EB1">
      <w:pPr>
        <w:spacing w:after="0" w:line="257" w:lineRule="auto"/>
        <w:jc w:val="center"/>
        <w:rPr>
          <w:rFonts w:ascii="Arial" w:eastAsia="Times New Roman" w:hAnsi="Arial" w:cs="Arial"/>
          <w:b/>
          <w:sz w:val="20"/>
          <w:szCs w:val="20"/>
          <w:lang w:val="es-MX" w:eastAsia="es-ES"/>
        </w:rPr>
      </w:pPr>
      <w:r w:rsidRPr="00076DCD">
        <w:rPr>
          <w:rFonts w:ascii="Arial" w:eastAsia="Times New Roman" w:hAnsi="Arial" w:cs="Arial"/>
          <w:b/>
          <w:sz w:val="20"/>
          <w:szCs w:val="20"/>
          <w:lang w:val="es-MX" w:eastAsia="es-ES"/>
        </w:rPr>
        <w:t xml:space="preserve">(Tabla 232-1a del CNE Suministro 2011) </w:t>
      </w:r>
    </w:p>
    <w:p w:rsidR="00EF4587" w:rsidRPr="00076DCD" w:rsidRDefault="00EF4587" w:rsidP="00B07EB1">
      <w:pPr>
        <w:spacing w:before="240" w:after="240" w:line="257" w:lineRule="auto"/>
        <w:jc w:val="center"/>
        <w:rPr>
          <w:rFonts w:ascii="Arial" w:eastAsia="Times New Roman" w:hAnsi="Arial" w:cs="Arial"/>
          <w:b/>
          <w:lang w:val="es-MX" w:eastAsia="es-ES"/>
        </w:rPr>
      </w:pPr>
      <w:r w:rsidRPr="00076DCD">
        <w:rPr>
          <w:rFonts w:ascii="Arial" w:eastAsia="Times New Roman" w:hAnsi="Arial" w:cs="Arial"/>
          <w:b/>
          <w:sz w:val="20"/>
          <w:szCs w:val="20"/>
          <w:lang w:val="es-MX" w:eastAsia="es-ES"/>
        </w:rPr>
        <w:t>Mínimas Distancias Verticales de Seguridad de alambres, conductores y cables sobre el nivel del piso, camino, riel o superficie de</w:t>
      </w:r>
      <w:r w:rsidRPr="00076DCD">
        <w:rPr>
          <w:rFonts w:ascii="Arial" w:eastAsia="Times New Roman" w:hAnsi="Arial" w:cs="Arial"/>
          <w:b/>
          <w:lang w:val="es-MX" w:eastAsia="es-ES"/>
        </w:rPr>
        <w:t xml:space="preserve"> agua</w:t>
      </w:r>
    </w:p>
    <w:p w:rsidR="00EF4587" w:rsidRPr="00076DCD" w:rsidRDefault="00EF4587" w:rsidP="00B07EB1">
      <w:pPr>
        <w:spacing w:after="0" w:line="257" w:lineRule="auto"/>
        <w:jc w:val="center"/>
        <w:rPr>
          <w:rFonts w:ascii="Arial" w:eastAsia="Times New Roman" w:hAnsi="Arial" w:cs="Arial"/>
          <w:b/>
          <w:sz w:val="20"/>
          <w:szCs w:val="20"/>
          <w:lang w:val="es-MX" w:eastAsia="es-ES"/>
        </w:rPr>
      </w:pPr>
    </w:p>
    <w:p w:rsidR="00EF4587" w:rsidRPr="00076DCD" w:rsidRDefault="00EF4587" w:rsidP="00B07EB1">
      <w:pPr>
        <w:spacing w:after="0" w:line="257" w:lineRule="auto"/>
        <w:jc w:val="center"/>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 xml:space="preserve">(Véase la Regla 232.B.1) </w:t>
      </w:r>
    </w:p>
    <w:p w:rsidR="00EF4587" w:rsidRPr="00076DCD" w:rsidRDefault="00EF4587" w:rsidP="00B07EB1">
      <w:pPr>
        <w:spacing w:after="120" w:line="257" w:lineRule="auto"/>
        <w:jc w:val="center"/>
        <w:rPr>
          <w:rFonts w:ascii="Arial" w:eastAsia="Times New Roman" w:hAnsi="Arial" w:cs="Arial"/>
          <w:sz w:val="18"/>
          <w:szCs w:val="18"/>
          <w:lang w:val="es-MX" w:eastAsia="es-ES"/>
        </w:rPr>
      </w:pPr>
      <w:r w:rsidRPr="00076DCD">
        <w:rPr>
          <w:rFonts w:ascii="Arial" w:eastAsia="Times New Roman" w:hAnsi="Arial" w:cs="Arial"/>
          <w:sz w:val="18"/>
          <w:szCs w:val="18"/>
          <w:lang w:val="es-MX" w:eastAsia="es-ES"/>
        </w:rPr>
        <w:t>(en metros)</w:t>
      </w:r>
    </w:p>
    <w:tbl>
      <w:tblPr>
        <w:tblW w:w="0" w:type="auto"/>
        <w:jc w:val="center"/>
        <w:tblLayout w:type="fixed"/>
        <w:tblCellMar>
          <w:left w:w="0" w:type="dxa"/>
          <w:right w:w="0" w:type="dxa"/>
        </w:tblCellMar>
        <w:tblLook w:val="0000" w:firstRow="0" w:lastRow="0" w:firstColumn="0" w:lastColumn="0" w:noHBand="0" w:noVBand="0"/>
      </w:tblPr>
      <w:tblGrid>
        <w:gridCol w:w="4206"/>
        <w:gridCol w:w="1275"/>
        <w:gridCol w:w="1276"/>
        <w:gridCol w:w="1378"/>
      </w:tblGrid>
      <w:tr w:rsidR="00EF4587" w:rsidRPr="00E024E4" w:rsidTr="00E024E4">
        <w:trPr>
          <w:trHeight w:val="20"/>
          <w:jc w:val="center"/>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r w:rsidRPr="00E024E4">
              <w:rPr>
                <w:rFonts w:ascii="Arial" w:eastAsia="Times New Roman" w:hAnsi="Arial" w:cs="Arial"/>
                <w:b/>
                <w:bCs/>
                <w:sz w:val="18"/>
                <w:szCs w:val="18"/>
                <w:lang w:val="es-MX" w:eastAsia="es-ES"/>
              </w:rPr>
              <w:t>DESCRIPCIÓN</w:t>
            </w: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MX" w:eastAsia="es-ES"/>
              </w:rPr>
            </w:pPr>
            <w:r w:rsidRPr="00E024E4">
              <w:rPr>
                <w:rFonts w:ascii="Arial" w:eastAsia="Times New Roman" w:hAnsi="Arial" w:cs="Arial"/>
                <w:b/>
                <w:bCs/>
                <w:sz w:val="18"/>
                <w:szCs w:val="18"/>
                <w:lang w:val="es-ES" w:eastAsia="es-ES"/>
              </w:rPr>
              <w:t>NIVEL DE TENSIÓN</w:t>
            </w:r>
          </w:p>
        </w:tc>
      </w:tr>
      <w:tr w:rsidR="00EF4587" w:rsidRPr="00E024E4" w:rsidTr="00E024E4">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r w:rsidRPr="00E024E4">
              <w:rPr>
                <w:rFonts w:ascii="Arial" w:eastAsia="Times New Roman" w:hAnsi="Arial" w:cs="Arial"/>
                <w:b/>
                <w:bCs/>
                <w:sz w:val="18"/>
                <w:szCs w:val="18"/>
                <w:lang w:val="es-MX" w:eastAsia="es-ES"/>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r w:rsidRPr="00E024E4">
              <w:rPr>
                <w:rFonts w:ascii="Arial" w:eastAsia="Times New Roman" w:hAnsi="Arial" w:cs="Arial"/>
                <w:b/>
                <w:bCs/>
                <w:sz w:val="18"/>
                <w:szCs w:val="18"/>
                <w:lang w:val="es-ES" w:eastAsia="es-ES"/>
              </w:rPr>
              <w:t>138 kV</w:t>
            </w:r>
          </w:p>
        </w:tc>
        <w:tc>
          <w:tcPr>
            <w:tcW w:w="137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r w:rsidRPr="00E024E4">
              <w:rPr>
                <w:rFonts w:ascii="Arial" w:eastAsia="Times New Roman" w:hAnsi="Arial" w:cs="Arial"/>
                <w:b/>
                <w:bCs/>
                <w:sz w:val="18"/>
                <w:szCs w:val="18"/>
                <w:lang w:val="es-ES" w:eastAsia="es-ES"/>
              </w:rPr>
              <w:t>220 kV</w:t>
            </w:r>
          </w:p>
        </w:tc>
      </w:tr>
      <w:tr w:rsidR="00EF4587" w:rsidRPr="00E024E4" w:rsidTr="00E024E4">
        <w:trPr>
          <w:trHeight w:val="20"/>
          <w:jc w:val="center"/>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p>
        </w:tc>
        <w:tc>
          <w:tcPr>
            <w:tcW w:w="3929"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r w:rsidRPr="00E024E4">
              <w:rPr>
                <w:rFonts w:ascii="Arial" w:eastAsia="Times New Roman" w:hAnsi="Arial" w:cs="Arial"/>
                <w:b/>
                <w:bCs/>
                <w:sz w:val="18"/>
                <w:szCs w:val="18"/>
                <w:lang w:val="es-ES" w:eastAsia="es-ES"/>
              </w:rPr>
              <w:t>Altitud</w:t>
            </w:r>
          </w:p>
          <w:p w:rsidR="00EF4587" w:rsidRPr="00E024E4" w:rsidRDefault="00EF4587" w:rsidP="00E024E4">
            <w:pPr>
              <w:pBdr>
                <w:left w:val="single" w:sz="24" w:space="31" w:color="FF00FF"/>
              </w:pBdr>
              <w:spacing w:before="40" w:after="40" w:line="257" w:lineRule="auto"/>
              <w:jc w:val="center"/>
              <w:rPr>
                <w:rFonts w:ascii="Arial" w:eastAsia="Times New Roman" w:hAnsi="Arial" w:cs="Arial"/>
                <w:b/>
                <w:bCs/>
                <w:sz w:val="18"/>
                <w:szCs w:val="18"/>
                <w:lang w:val="es-ES" w:eastAsia="es-ES"/>
              </w:rPr>
            </w:pPr>
            <w:r w:rsidRPr="00E024E4">
              <w:rPr>
                <w:rFonts w:ascii="Arial" w:eastAsia="Times New Roman" w:hAnsi="Arial" w:cs="Arial"/>
                <w:b/>
                <w:bCs/>
                <w:sz w:val="18"/>
                <w:szCs w:val="18"/>
                <w:lang w:val="es-ES" w:eastAsia="es-ES"/>
              </w:rPr>
              <w:t>3 000 m.s.n.m.</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10,50</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11,0</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 xml:space="preserve">8,5 </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 xml:space="preserve">8,5 </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 xml:space="preserve">8,5 </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MX" w:eastAsia="es-ES"/>
              </w:rPr>
            </w:pPr>
            <w:r w:rsidRPr="00076DCD">
              <w:rPr>
                <w:rFonts w:ascii="Arial" w:eastAsia="Times New Roman" w:hAnsi="Arial"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8,5</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8,5</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8,5</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pt-BR" w:eastAsia="es-ES"/>
              </w:rPr>
            </w:pPr>
            <w:r w:rsidRPr="00076DCD">
              <w:rPr>
                <w:rFonts w:ascii="Arial" w:eastAsia="Times New Roman" w:hAnsi="Arial" w:cs="Arial"/>
                <w:sz w:val="20"/>
                <w:szCs w:val="20"/>
                <w:lang w:val="pt-BR" w:eastAsia="es-ES"/>
              </w:rPr>
              <w:t>A áreas no transitadas por vehículo</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6,6</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7,0</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7,5</w:t>
            </w:r>
          </w:p>
        </w:tc>
        <w:tc>
          <w:tcPr>
            <w:tcW w:w="1378" w:type="dxa"/>
            <w:tcBorders>
              <w:top w:val="dotted" w:sz="4" w:space="0" w:color="auto"/>
              <w:left w:val="dotted" w:sz="4" w:space="0" w:color="auto"/>
              <w:bottom w:val="dotted" w:sz="4" w:space="0" w:color="auto"/>
              <w:right w:val="dotted" w:sz="4" w:space="0" w:color="auto"/>
            </w:tcBorders>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n-US" w:eastAsia="es-ES"/>
              </w:rPr>
            </w:pPr>
            <w:r w:rsidRPr="00076DCD">
              <w:rPr>
                <w:rFonts w:ascii="Arial" w:eastAsia="Times New Roman" w:hAnsi="Arial" w:cs="Arial"/>
                <w:sz w:val="20"/>
                <w:szCs w:val="20"/>
                <w:lang w:val="en-US" w:eastAsia="es-ES"/>
              </w:rPr>
              <w:t>8,0</w:t>
            </w:r>
          </w:p>
        </w:tc>
      </w:tr>
      <w:tr w:rsidR="00EF4587" w:rsidRPr="00076DCD" w:rsidTr="00E024E4">
        <w:trPr>
          <w:trHeight w:val="20"/>
          <w:jc w:val="center"/>
        </w:trPr>
        <w:tc>
          <w:tcPr>
            <w:tcW w:w="420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ind w:left="85" w:right="47"/>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8,1</w:t>
            </w:r>
          </w:p>
        </w:tc>
        <w:tc>
          <w:tcPr>
            <w:tcW w:w="1378" w:type="dxa"/>
            <w:tcBorders>
              <w:top w:val="dotted" w:sz="4" w:space="0" w:color="auto"/>
              <w:left w:val="dotted" w:sz="4" w:space="0" w:color="auto"/>
              <w:bottom w:val="dotted" w:sz="4" w:space="0" w:color="auto"/>
              <w:right w:val="dotted" w:sz="4" w:space="0" w:color="auto"/>
            </w:tcBorders>
            <w:noWrap/>
            <w:vAlign w:val="center"/>
          </w:tcPr>
          <w:p w:rsidR="00EF4587" w:rsidRPr="00076DCD" w:rsidRDefault="00EF4587" w:rsidP="00E024E4">
            <w:pPr>
              <w:pBdr>
                <w:left w:val="single" w:sz="24" w:space="31" w:color="FF00FF"/>
              </w:pBdr>
              <w:spacing w:before="120" w:after="120" w:line="257" w:lineRule="auto"/>
              <w:jc w:val="center"/>
              <w:rPr>
                <w:rFonts w:ascii="Arial" w:eastAsia="Times New Roman" w:hAnsi="Arial" w:cs="Arial"/>
                <w:sz w:val="20"/>
                <w:szCs w:val="20"/>
                <w:lang w:val="es-ES" w:eastAsia="es-ES"/>
              </w:rPr>
            </w:pPr>
            <w:r w:rsidRPr="00076DCD">
              <w:rPr>
                <w:rFonts w:ascii="Arial" w:eastAsia="Times New Roman" w:hAnsi="Arial" w:cs="Arial"/>
                <w:sz w:val="20"/>
                <w:szCs w:val="20"/>
                <w:lang w:val="es-MX" w:eastAsia="es-ES"/>
              </w:rPr>
              <w:t xml:space="preserve">8,5 </w:t>
            </w:r>
          </w:p>
        </w:tc>
      </w:tr>
    </w:tbl>
    <w:p w:rsidR="00EF4587" w:rsidRPr="00076DCD" w:rsidRDefault="00EF4587" w:rsidP="00B07EB1">
      <w:pPr>
        <w:spacing w:after="0" w:line="257" w:lineRule="auto"/>
        <w:jc w:val="center"/>
        <w:rPr>
          <w:rFonts w:ascii="Arial" w:eastAsia="Times New Roman" w:hAnsi="Arial" w:cs="Arial"/>
          <w:sz w:val="24"/>
          <w:szCs w:val="24"/>
          <w:lang w:val="es-MX" w:eastAsia="es-ES"/>
        </w:rPr>
      </w:pPr>
    </w:p>
    <w:p w:rsidR="00EF4587" w:rsidRPr="00076DCD" w:rsidRDefault="00EF4587" w:rsidP="00B07EB1">
      <w:pPr>
        <w:spacing w:after="0" w:line="257" w:lineRule="auto"/>
        <w:jc w:val="both"/>
        <w:rPr>
          <w:rFonts w:ascii="Arial" w:eastAsia="Times New Roman" w:hAnsi="Arial" w:cs="Arial"/>
          <w:i/>
          <w:iCs/>
          <w:sz w:val="16"/>
          <w:szCs w:val="16"/>
          <w:lang w:val="es-MX" w:eastAsia="es-ES"/>
        </w:rPr>
      </w:pPr>
      <w:r w:rsidRPr="00076DCD">
        <w:rPr>
          <w:rFonts w:ascii="Arial" w:eastAsia="Times New Roman" w:hAnsi="Arial" w:cs="Arial"/>
          <w:b/>
          <w:bCs/>
          <w:i/>
          <w:iCs/>
          <w:sz w:val="16"/>
          <w:szCs w:val="16"/>
          <w:lang w:val="es-MX" w:eastAsia="es-ES"/>
        </w:rPr>
        <w:t xml:space="preserve">NOTA 1: </w:t>
      </w:r>
      <w:r w:rsidRPr="00076DCD">
        <w:rPr>
          <w:rFonts w:ascii="Arial" w:eastAsia="Times New Roman" w:hAnsi="Arial" w:cs="Arial"/>
          <w:i/>
          <w:iCs/>
          <w:sz w:val="16"/>
          <w:szCs w:val="16"/>
          <w:lang w:val="es-MX" w:eastAsia="es-ES"/>
        </w:rPr>
        <w:t xml:space="preserve">Estas </w:t>
      </w:r>
      <w:r w:rsidRPr="00076DCD">
        <w:rPr>
          <w:rFonts w:ascii="Arial" w:eastAsia="Times New Roman" w:hAnsi="Arial" w:cs="Arial"/>
          <w:bCs/>
          <w:i/>
          <w:iCs/>
          <w:sz w:val="16"/>
          <w:szCs w:val="16"/>
          <w:lang w:val="es-ES" w:eastAsia="es-ES"/>
        </w:rPr>
        <w:t>son</w:t>
      </w:r>
      <w:r w:rsidRPr="00076DCD">
        <w:rPr>
          <w:rFonts w:ascii="Arial" w:eastAsia="Times New Roman" w:hAnsi="Arial" w:cs="Arial"/>
          <w:i/>
          <w:iCs/>
          <w:sz w:val="16"/>
          <w:szCs w:val="16"/>
          <w:lang w:val="es-MX" w:eastAsia="es-ES"/>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EF4587" w:rsidRPr="00076DCD" w:rsidRDefault="00EF4587" w:rsidP="00B07EB1">
      <w:pPr>
        <w:spacing w:after="0" w:line="257" w:lineRule="auto"/>
        <w:jc w:val="center"/>
        <w:rPr>
          <w:rFonts w:ascii="Arial" w:eastAsia="Times New Roman" w:hAnsi="Arial" w:cs="Arial"/>
          <w:sz w:val="24"/>
          <w:szCs w:val="24"/>
          <w:lang w:val="es-MX" w:eastAsia="es-ES"/>
        </w:rPr>
      </w:pPr>
    </w:p>
    <w:p w:rsidR="00EF4587" w:rsidRPr="00076DCD" w:rsidRDefault="00EF4587" w:rsidP="00B07EB1">
      <w:pPr>
        <w:spacing w:after="0" w:line="257" w:lineRule="auto"/>
        <w:rPr>
          <w:rFonts w:ascii="Arial" w:eastAsia="Times New Roman" w:hAnsi="Arial" w:cs="Arial"/>
          <w:sz w:val="18"/>
          <w:szCs w:val="18"/>
          <w:lang w:val="es-MX" w:eastAsia="es-ES"/>
        </w:rPr>
      </w:pPr>
    </w:p>
    <w:p w:rsidR="00EF4587" w:rsidRPr="00076DCD" w:rsidRDefault="00EF4587" w:rsidP="00E024E4">
      <w:pPr>
        <w:spacing w:before="240" w:after="120" w:line="257" w:lineRule="auto"/>
        <w:jc w:val="center"/>
        <w:rPr>
          <w:rFonts w:ascii="Arial" w:eastAsia="Times New Roman" w:hAnsi="Arial" w:cs="Arial"/>
          <w:b/>
          <w:sz w:val="20"/>
          <w:szCs w:val="20"/>
          <w:u w:val="wave"/>
          <w:lang w:val="es-ES" w:eastAsia="es-ES"/>
        </w:rPr>
      </w:pPr>
      <w:r w:rsidRPr="00076DCD">
        <w:rPr>
          <w:rFonts w:ascii="Arial" w:eastAsia="Times New Roman" w:hAnsi="Arial" w:cs="Arial"/>
          <w:b/>
          <w:sz w:val="16"/>
          <w:szCs w:val="16"/>
          <w:lang w:val="es-ES" w:eastAsia="es-ES"/>
        </w:rPr>
        <w:br w:type="page"/>
      </w:r>
      <w:r w:rsidRPr="00076DCD">
        <w:rPr>
          <w:rFonts w:ascii="Arial" w:eastAsia="Times New Roman" w:hAnsi="Arial" w:cs="Arial"/>
          <w:b/>
          <w:sz w:val="20"/>
          <w:szCs w:val="20"/>
          <w:u w:val="wave"/>
          <w:lang w:val="es-ES" w:eastAsia="es-ES"/>
        </w:rPr>
        <w:lastRenderedPageBreak/>
        <w:t>Tabla 2.2</w:t>
      </w:r>
    </w:p>
    <w:p w:rsidR="00EF4587" w:rsidRPr="00076DCD" w:rsidRDefault="00EF4587" w:rsidP="00E024E4">
      <w:pPr>
        <w:spacing w:before="240" w:after="240" w:line="257" w:lineRule="auto"/>
        <w:jc w:val="center"/>
        <w:rPr>
          <w:rFonts w:ascii="Arial" w:eastAsia="Times New Roman" w:hAnsi="Arial" w:cs="Arial"/>
          <w:b/>
          <w:sz w:val="20"/>
          <w:szCs w:val="20"/>
          <w:lang w:val="es-MX" w:eastAsia="es-ES"/>
        </w:rPr>
      </w:pPr>
      <w:r w:rsidRPr="00076DCD">
        <w:rPr>
          <w:rFonts w:ascii="Arial" w:eastAsia="Times New Roman" w:hAnsi="Arial" w:cs="Arial"/>
          <w:b/>
          <w:sz w:val="20"/>
          <w:szCs w:val="20"/>
          <w:lang w:val="es-MX" w:eastAsia="es-ES"/>
        </w:rPr>
        <w:t>Exposición a Campos Eléctricos y Magnéticos</w:t>
      </w:r>
    </w:p>
    <w:p w:rsidR="00EF4587" w:rsidRPr="00076DCD" w:rsidRDefault="00EF4587" w:rsidP="00E024E4">
      <w:pPr>
        <w:spacing w:before="120" w:after="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EF4587" w:rsidRPr="00076DCD" w:rsidRDefault="00EF4587" w:rsidP="00E024E4">
      <w:pPr>
        <w:spacing w:before="120" w:after="12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zonas de trabajo (exposición ocupacional), así como en lugares públicos (exposición poblacional), no se debe superar los Valores Máximos de Exposición a Campos Eléctricos y Magnéticos a 60 Hz dados en la siguiente tabla:</w:t>
      </w:r>
    </w:p>
    <w:p w:rsidR="00EF4587" w:rsidRPr="00076DCD" w:rsidRDefault="00EF4587" w:rsidP="00E024E4">
      <w:pPr>
        <w:spacing w:before="120" w:after="120" w:line="257" w:lineRule="auto"/>
        <w:jc w:val="both"/>
        <w:rPr>
          <w:rFonts w:ascii="Arial" w:eastAsia="Times New Roman" w:hAnsi="Arial" w:cs="Arial"/>
          <w:color w:val="0000FF"/>
          <w:sz w:val="24"/>
          <w:szCs w:val="24"/>
          <w:lang w:val="es-ES" w:eastAsia="es-ES"/>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EF4587" w:rsidRPr="00076DCD" w:rsidTr="00764E85">
        <w:trPr>
          <w:jc w:val="center"/>
        </w:trPr>
        <w:tc>
          <w:tcPr>
            <w:tcW w:w="2637" w:type="dxa"/>
            <w:shd w:val="clear" w:color="auto" w:fill="C6D9F1"/>
            <w:vAlign w:val="center"/>
          </w:tcPr>
          <w:p w:rsidR="00EF4587" w:rsidRPr="00076DCD" w:rsidRDefault="00EF4587" w:rsidP="00E024E4">
            <w:pPr>
              <w:pBdr>
                <w:left w:val="single" w:sz="24" w:space="31" w:color="0000FF"/>
              </w:pBdr>
              <w:spacing w:before="40" w:after="4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Tipo de Exposición</w:t>
            </w:r>
          </w:p>
        </w:tc>
        <w:tc>
          <w:tcPr>
            <w:tcW w:w="2402" w:type="dxa"/>
            <w:shd w:val="clear" w:color="auto" w:fill="C6D9F1"/>
            <w:vAlign w:val="center"/>
          </w:tcPr>
          <w:p w:rsidR="00EF4587" w:rsidRPr="00076DCD" w:rsidRDefault="00EF4587" w:rsidP="00E024E4">
            <w:pPr>
              <w:pBdr>
                <w:left w:val="single" w:sz="24" w:space="31" w:color="0000FF"/>
              </w:pBdr>
              <w:spacing w:before="40" w:after="4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Intensidad de Campo Eléctrico</w:t>
            </w:r>
          </w:p>
          <w:p w:rsidR="00EF4587" w:rsidRPr="00076DCD" w:rsidRDefault="00EF4587" w:rsidP="00E024E4">
            <w:pPr>
              <w:pBdr>
                <w:left w:val="single" w:sz="24" w:space="31" w:color="0000FF"/>
              </w:pBdr>
              <w:spacing w:before="40" w:after="4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(kV/m)</w:t>
            </w:r>
          </w:p>
        </w:tc>
        <w:tc>
          <w:tcPr>
            <w:tcW w:w="2402" w:type="dxa"/>
            <w:shd w:val="clear" w:color="auto" w:fill="C6D9F1"/>
            <w:vAlign w:val="center"/>
          </w:tcPr>
          <w:p w:rsidR="00EF4587" w:rsidRPr="00076DCD" w:rsidRDefault="00EF4587" w:rsidP="00E024E4">
            <w:pPr>
              <w:pBdr>
                <w:left w:val="single" w:sz="24" w:space="31" w:color="0000FF"/>
              </w:pBdr>
              <w:spacing w:before="40" w:after="4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Densidad de Flujo Magnético</w:t>
            </w:r>
          </w:p>
          <w:p w:rsidR="00EF4587" w:rsidRPr="00076DCD" w:rsidRDefault="00EF4587" w:rsidP="00E024E4">
            <w:pPr>
              <w:pBdr>
                <w:left w:val="single" w:sz="24" w:space="31" w:color="0000FF"/>
              </w:pBdr>
              <w:spacing w:before="40" w:after="40" w:line="257" w:lineRule="auto"/>
              <w:jc w:val="center"/>
              <w:rPr>
                <w:rFonts w:ascii="Arial" w:eastAsia="Times New Roman" w:hAnsi="Arial" w:cs="Arial"/>
                <w:b/>
                <w:sz w:val="18"/>
                <w:szCs w:val="18"/>
                <w:lang w:val="es-ES" w:eastAsia="es-ES"/>
              </w:rPr>
            </w:pPr>
            <w:r w:rsidRPr="00076DCD">
              <w:rPr>
                <w:rFonts w:ascii="Arial" w:eastAsia="Times New Roman" w:hAnsi="Arial" w:cs="Arial"/>
                <w:b/>
                <w:sz w:val="18"/>
                <w:szCs w:val="18"/>
                <w:lang w:val="es-ES" w:eastAsia="es-ES"/>
              </w:rPr>
              <w:t>( μT)</w:t>
            </w:r>
          </w:p>
        </w:tc>
      </w:tr>
      <w:tr w:rsidR="00EF4587" w:rsidRPr="00076DCD" w:rsidTr="00764E85">
        <w:trPr>
          <w:jc w:val="center"/>
        </w:trPr>
        <w:tc>
          <w:tcPr>
            <w:tcW w:w="2637" w:type="dxa"/>
          </w:tcPr>
          <w:p w:rsidR="00EF4587" w:rsidRPr="00076DCD" w:rsidRDefault="00EF4587" w:rsidP="00E024E4">
            <w:pPr>
              <w:pBdr>
                <w:left w:val="single" w:sz="24" w:space="31" w:color="0000FF"/>
              </w:pBdr>
              <w:spacing w:before="40" w:after="40" w:line="257" w:lineRule="auto"/>
              <w:jc w:val="both"/>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 Poblacional</w:t>
            </w:r>
          </w:p>
        </w:tc>
        <w:tc>
          <w:tcPr>
            <w:tcW w:w="2402" w:type="dxa"/>
          </w:tcPr>
          <w:p w:rsidR="00EF4587" w:rsidRPr="00076DCD" w:rsidRDefault="00EF4587" w:rsidP="00E024E4">
            <w:pPr>
              <w:pBdr>
                <w:left w:val="single" w:sz="24" w:space="31" w:color="0000FF"/>
              </w:pBdr>
              <w:spacing w:before="40" w:after="40" w:line="257" w:lineRule="auto"/>
              <w:jc w:val="center"/>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4,2</w:t>
            </w:r>
          </w:p>
        </w:tc>
        <w:tc>
          <w:tcPr>
            <w:tcW w:w="2402" w:type="dxa"/>
          </w:tcPr>
          <w:p w:rsidR="00EF4587" w:rsidRPr="00076DCD" w:rsidRDefault="00EF4587" w:rsidP="00E024E4">
            <w:pPr>
              <w:pBdr>
                <w:left w:val="single" w:sz="24" w:space="31" w:color="0000FF"/>
              </w:pBdr>
              <w:spacing w:before="40" w:after="40" w:line="257" w:lineRule="auto"/>
              <w:jc w:val="center"/>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83,3</w:t>
            </w:r>
          </w:p>
        </w:tc>
      </w:tr>
      <w:tr w:rsidR="00EF4587" w:rsidRPr="00076DCD" w:rsidTr="00764E85">
        <w:trPr>
          <w:jc w:val="center"/>
        </w:trPr>
        <w:tc>
          <w:tcPr>
            <w:tcW w:w="2637" w:type="dxa"/>
          </w:tcPr>
          <w:p w:rsidR="00EF4587" w:rsidRPr="00076DCD" w:rsidRDefault="00EF4587" w:rsidP="00E024E4">
            <w:pPr>
              <w:pBdr>
                <w:left w:val="single" w:sz="24" w:space="31" w:color="0000FF"/>
              </w:pBdr>
              <w:spacing w:before="40" w:after="40" w:line="257" w:lineRule="auto"/>
              <w:jc w:val="both"/>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 Ocupacional</w:t>
            </w:r>
          </w:p>
        </w:tc>
        <w:tc>
          <w:tcPr>
            <w:tcW w:w="2402" w:type="dxa"/>
          </w:tcPr>
          <w:p w:rsidR="00EF4587" w:rsidRPr="00076DCD" w:rsidRDefault="00EF4587" w:rsidP="00E024E4">
            <w:pPr>
              <w:pBdr>
                <w:left w:val="single" w:sz="24" w:space="31" w:color="0000FF"/>
              </w:pBdr>
              <w:spacing w:before="40" w:after="40" w:line="257" w:lineRule="auto"/>
              <w:jc w:val="center"/>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8,3</w:t>
            </w:r>
          </w:p>
        </w:tc>
        <w:tc>
          <w:tcPr>
            <w:tcW w:w="2402" w:type="dxa"/>
          </w:tcPr>
          <w:p w:rsidR="00EF4587" w:rsidRPr="00076DCD" w:rsidRDefault="00EF4587" w:rsidP="00E024E4">
            <w:pPr>
              <w:pBdr>
                <w:left w:val="single" w:sz="24" w:space="31" w:color="0000FF"/>
              </w:pBdr>
              <w:spacing w:before="40" w:after="40" w:line="257" w:lineRule="auto"/>
              <w:jc w:val="center"/>
              <w:rPr>
                <w:rFonts w:ascii="Arial" w:eastAsia="Times New Roman" w:hAnsi="Arial" w:cs="Arial"/>
                <w:sz w:val="18"/>
                <w:szCs w:val="18"/>
                <w:lang w:val="es-ES" w:eastAsia="es-ES"/>
              </w:rPr>
            </w:pPr>
            <w:r w:rsidRPr="00076DCD">
              <w:rPr>
                <w:rFonts w:ascii="Arial" w:eastAsia="Times New Roman" w:hAnsi="Arial" w:cs="Arial"/>
                <w:sz w:val="18"/>
                <w:szCs w:val="18"/>
                <w:lang w:val="es-ES" w:eastAsia="es-ES"/>
              </w:rPr>
              <w:t>416,7</w:t>
            </w:r>
          </w:p>
        </w:tc>
      </w:tr>
    </w:tbl>
    <w:p w:rsidR="00EF4587" w:rsidRPr="00076DCD" w:rsidRDefault="00EF4587" w:rsidP="00E024E4">
      <w:pPr>
        <w:spacing w:before="240" w:after="0" w:line="257" w:lineRule="auto"/>
        <w:jc w:val="both"/>
        <w:rPr>
          <w:rFonts w:ascii="Arial" w:eastAsia="Times New Roman" w:hAnsi="Arial" w:cs="Arial"/>
          <w:sz w:val="20"/>
          <w:szCs w:val="20"/>
          <w:lang w:val="es-ES" w:eastAsia="es-ES"/>
        </w:rPr>
      </w:pPr>
    </w:p>
    <w:p w:rsidR="00EF4587" w:rsidRPr="00076DCD" w:rsidRDefault="00EF4587" w:rsidP="00E024E4">
      <w:pPr>
        <w:spacing w:before="120" w:after="12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el caso de Exposición Ocupacional, la medición bajo las líneas eléctricas se debe realizar a un metro de altura sobre el nivel del piso, en sentido transversal al eje de la línea hasta el límite de la faja de servidumbre.</w:t>
      </w:r>
    </w:p>
    <w:p w:rsidR="00EF4587" w:rsidRPr="00076DCD" w:rsidRDefault="00EF4587" w:rsidP="00E024E4">
      <w:pPr>
        <w:spacing w:before="120" w:after="120" w:line="257" w:lineRule="auto"/>
        <w:jc w:val="both"/>
        <w:rPr>
          <w:rFonts w:ascii="Arial" w:eastAsia="Times New Roman" w:hAnsi="Arial" w:cs="Arial"/>
          <w:sz w:val="20"/>
          <w:szCs w:val="20"/>
          <w:lang w:val="es-ES" w:eastAsia="es-ES"/>
        </w:rPr>
      </w:pPr>
      <w:r w:rsidRPr="00076DCD">
        <w:rPr>
          <w:rFonts w:ascii="Arial" w:eastAsia="Times New Roman" w:hAnsi="Arial" w:cs="Arial"/>
          <w:sz w:val="20"/>
          <w:szCs w:val="20"/>
          <w:lang w:val="es-ES" w:eastAsia="es-ES"/>
        </w:rPr>
        <w:t>En el caso de Exposición Poblacional, para la medición se debe tomar en cuenta las distancias de seguridad o los puntos críticos, tales como  lugares habitados o edificaciones cercanas a la línea eléctrica.</w:t>
      </w:r>
    </w:p>
    <w:p w:rsidR="004B15D2" w:rsidRPr="00076DCD" w:rsidRDefault="004B15D2" w:rsidP="00B07EB1">
      <w:pPr>
        <w:widowControl w:val="0"/>
        <w:suppressLineNumbers/>
        <w:tabs>
          <w:tab w:val="left" w:pos="0"/>
          <w:tab w:val="left" w:pos="567"/>
          <w:tab w:val="left" w:pos="1134"/>
          <w:tab w:val="left" w:pos="1276"/>
          <w:tab w:val="left" w:pos="1701"/>
          <w:tab w:val="left" w:pos="2268"/>
          <w:tab w:val="left" w:pos="2835"/>
        </w:tabs>
        <w:suppressAutoHyphens/>
        <w:spacing w:after="0" w:line="257" w:lineRule="auto"/>
        <w:jc w:val="both"/>
        <w:outlineLvl w:val="0"/>
        <w:rPr>
          <w:rFonts w:ascii="Arial" w:hAnsi="Arial" w:cs="Arial"/>
          <w:b/>
          <w:sz w:val="26"/>
          <w:u w:val="single"/>
        </w:rPr>
      </w:pPr>
    </w:p>
    <w:p w:rsidR="00AF6615" w:rsidRPr="00076DCD" w:rsidRDefault="00AF6615" w:rsidP="00E024E4">
      <w:pPr>
        <w:widowControl w:val="0"/>
        <w:suppressLineNumbers/>
        <w:suppressAutoHyphens/>
        <w:spacing w:after="0" w:line="257" w:lineRule="auto"/>
        <w:jc w:val="center"/>
        <w:outlineLvl w:val="0"/>
        <w:rPr>
          <w:rFonts w:ascii="Arial" w:eastAsia="Times New Roman" w:hAnsi="Arial" w:cs="Arial"/>
          <w:b/>
          <w:sz w:val="26"/>
          <w:szCs w:val="26"/>
          <w:u w:val="single"/>
          <w:lang w:eastAsia="zh-CN"/>
        </w:rPr>
      </w:pPr>
      <w:r w:rsidRPr="00076DCD">
        <w:rPr>
          <w:rFonts w:ascii="Arial" w:eastAsia="Times New Roman" w:hAnsi="Arial" w:cs="Arial"/>
          <w:b/>
          <w:sz w:val="26"/>
          <w:szCs w:val="20"/>
          <w:u w:val="single"/>
          <w:lang w:eastAsia="zh-CN"/>
        </w:rPr>
        <w:br w:type="page"/>
      </w:r>
      <w:r w:rsidRPr="00076DCD">
        <w:rPr>
          <w:rFonts w:ascii="Arial" w:eastAsia="Times New Roman" w:hAnsi="Arial" w:cs="Arial"/>
          <w:b/>
          <w:sz w:val="26"/>
          <w:szCs w:val="26"/>
          <w:u w:val="single"/>
          <w:lang w:eastAsia="zh-CN"/>
        </w:rPr>
        <w:lastRenderedPageBreak/>
        <w:t>Anexo Nº 2</w:t>
      </w:r>
    </w:p>
    <w:p w:rsidR="00AF6615" w:rsidRPr="00076DCD" w:rsidRDefault="00AF6615" w:rsidP="00E024E4">
      <w:pPr>
        <w:widowControl w:val="0"/>
        <w:suppressLineNumbers/>
        <w:suppressAutoHyphens/>
        <w:spacing w:before="360" w:after="0" w:line="257" w:lineRule="auto"/>
        <w:jc w:val="center"/>
        <w:outlineLvl w:val="0"/>
        <w:rPr>
          <w:rFonts w:ascii="Arial" w:eastAsia="Times New Roman" w:hAnsi="Arial" w:cs="Arial"/>
          <w:b/>
          <w:sz w:val="26"/>
          <w:szCs w:val="26"/>
          <w:lang w:eastAsia="zh-CN"/>
        </w:rPr>
      </w:pPr>
      <w:r w:rsidRPr="00076DCD">
        <w:rPr>
          <w:rFonts w:ascii="Arial" w:eastAsia="Times New Roman" w:hAnsi="Arial" w:cs="Arial"/>
          <w:b/>
          <w:sz w:val="26"/>
          <w:szCs w:val="26"/>
          <w:lang w:eastAsia="zh-CN"/>
        </w:rPr>
        <w:t>Procedimiento de verificación de la Línea Eléctrica</w:t>
      </w:r>
    </w:p>
    <w:p w:rsidR="00AF6615" w:rsidRPr="00076DCD" w:rsidRDefault="00AF6615" w:rsidP="00B07EB1">
      <w:pPr>
        <w:widowControl w:val="0"/>
        <w:numPr>
          <w:ilvl w:val="0"/>
          <w:numId w:val="25"/>
        </w:numPr>
        <w:suppressLineNumbers/>
        <w:tabs>
          <w:tab w:val="clear" w:pos="930"/>
          <w:tab w:val="left" w:pos="567"/>
        </w:tabs>
        <w:suppressAutoHyphens/>
        <w:spacing w:before="360" w:after="0" w:line="257" w:lineRule="auto"/>
        <w:ind w:left="567" w:hanging="567"/>
        <w:jc w:val="both"/>
        <w:rPr>
          <w:rFonts w:ascii="Arial" w:hAnsi="Arial" w:cs="Arial"/>
          <w:spacing w:val="-2"/>
          <w:sz w:val="20"/>
        </w:rPr>
      </w:pPr>
      <w:r w:rsidRPr="00076DCD">
        <w:rPr>
          <w:rFonts w:ascii="Arial" w:hAnsi="Arial" w:cs="Arial"/>
          <w:b/>
          <w:spacing w:val="-2"/>
          <w:sz w:val="20"/>
        </w:rPr>
        <w:t>Propósito del anexo.-</w:t>
      </w:r>
      <w:r w:rsidRPr="00076DCD">
        <w:rPr>
          <w:rFonts w:ascii="Arial" w:hAnsi="Arial" w:cs="Arial"/>
          <w:spacing w:val="-2"/>
          <w:sz w:val="20"/>
        </w:rPr>
        <w:t xml:space="preserve"> Este Anexo describe el procedimiento que han de seguir las Partes y el Inspector, para comprobar antes del inicio de la operación experimental, que la Línea Eléctrica cumple los requisitos establecidos en el Anexo N° 1</w:t>
      </w:r>
      <w:r w:rsidR="0075143A" w:rsidRPr="00076DCD">
        <w:rPr>
          <w:rFonts w:ascii="Arial" w:hAnsi="Arial" w:cs="Arial"/>
          <w:spacing w:val="-2"/>
          <w:sz w:val="20"/>
        </w:rPr>
        <w:t>.</w:t>
      </w:r>
      <w:r w:rsidR="0075143A" w:rsidRPr="00076DCD">
        <w:rPr>
          <w:rFonts w:ascii="Arial" w:eastAsia="Times New Roman" w:hAnsi="Arial" w:cs="Arial"/>
          <w:spacing w:val="-2"/>
          <w:sz w:val="20"/>
          <w:szCs w:val="20"/>
          <w:lang w:eastAsia="zh-CN"/>
        </w:rPr>
        <w:t xml:space="preserve"> Para el efecto se verificarán, con la Línea Eléctrica energizada, los diferentes parámetros de control (tensión, corriente, potencia activa y potencia reactiva; en vacío y con carga, perdidas, etc.).</w:t>
      </w:r>
      <w:r w:rsidRPr="00076DCD">
        <w:rPr>
          <w:rFonts w:ascii="Arial" w:hAnsi="Arial" w:cs="Arial"/>
          <w:spacing w:val="-2"/>
          <w:sz w:val="20"/>
        </w:rPr>
        <w:t>.</w:t>
      </w:r>
    </w:p>
    <w:p w:rsidR="00AF6615" w:rsidRPr="00076DCD" w:rsidRDefault="00AF6615" w:rsidP="00B07EB1">
      <w:pPr>
        <w:widowControl w:val="0"/>
        <w:numPr>
          <w:ilvl w:val="0"/>
          <w:numId w:val="25"/>
        </w:numPr>
        <w:suppressLineNumbers/>
        <w:tabs>
          <w:tab w:val="clear" w:pos="930"/>
          <w:tab w:val="left" w:pos="567"/>
        </w:tabs>
        <w:suppressAutoHyphens/>
        <w:spacing w:before="240" w:after="0" w:line="257" w:lineRule="auto"/>
        <w:ind w:left="567" w:hanging="567"/>
        <w:jc w:val="both"/>
        <w:rPr>
          <w:rFonts w:ascii="Arial" w:hAnsi="Arial" w:cs="Arial"/>
          <w:spacing w:val="-2"/>
          <w:sz w:val="20"/>
        </w:rPr>
      </w:pPr>
      <w:r w:rsidRPr="00076DCD">
        <w:rPr>
          <w:rFonts w:ascii="Arial" w:hAnsi="Arial" w:cs="Arial"/>
          <w:b/>
          <w:spacing w:val="-2"/>
          <w:sz w:val="20"/>
        </w:rPr>
        <w:t>Organización de las pruebas.-</w:t>
      </w:r>
      <w:r w:rsidRPr="00076DCD">
        <w:rPr>
          <w:rFonts w:ascii="Arial" w:hAnsi="Arial" w:cs="Arial"/>
          <w:spacing w:val="-2"/>
          <w:sz w:val="20"/>
        </w:rPr>
        <w:t xml:space="preserve"> Las pruebas serán organizadas con arreglo a las siguientes reglas:</w:t>
      </w:r>
    </w:p>
    <w:p w:rsidR="00AF6615" w:rsidRPr="00076DCD" w:rsidRDefault="00AF6615" w:rsidP="00B07EB1">
      <w:pPr>
        <w:widowControl w:val="0"/>
        <w:numPr>
          <w:ilvl w:val="0"/>
          <w:numId w:val="26"/>
        </w:numPr>
        <w:suppressLineNumbers/>
        <w:tabs>
          <w:tab w:val="clear" w:pos="1800"/>
        </w:tabs>
        <w:suppressAutoHyphens/>
        <w:spacing w:before="120" w:after="0" w:line="257" w:lineRule="auto"/>
        <w:ind w:left="993" w:hanging="426"/>
        <w:jc w:val="both"/>
        <w:rPr>
          <w:rFonts w:ascii="Arial" w:hAnsi="Arial" w:cs="Arial"/>
          <w:spacing w:val="-2"/>
          <w:sz w:val="20"/>
        </w:rPr>
      </w:pPr>
      <w:r w:rsidRPr="00076DCD">
        <w:rPr>
          <w:rFonts w:ascii="Arial" w:hAnsi="Arial" w:cs="Arial"/>
          <w:spacing w:val="-2"/>
          <w:sz w:val="20"/>
        </w:rPr>
        <w:t>La Sociedad Concesionaria elegirá una norma internacional reconocida. Se utilizará las unidades del sistema métrico internacional.</w:t>
      </w:r>
    </w:p>
    <w:p w:rsidR="00AF6615" w:rsidRPr="00076DCD" w:rsidRDefault="00AF6615" w:rsidP="00B07EB1">
      <w:pPr>
        <w:widowControl w:val="0"/>
        <w:numPr>
          <w:ilvl w:val="0"/>
          <w:numId w:val="26"/>
        </w:numPr>
        <w:suppressLineNumbers/>
        <w:tabs>
          <w:tab w:val="clear" w:pos="1800"/>
        </w:tabs>
        <w:suppressAutoHyphens/>
        <w:spacing w:before="120" w:after="0" w:line="257" w:lineRule="auto"/>
        <w:ind w:left="993" w:hanging="426"/>
        <w:jc w:val="both"/>
        <w:rPr>
          <w:rFonts w:ascii="Arial" w:hAnsi="Arial" w:cs="Arial"/>
          <w:sz w:val="20"/>
        </w:rPr>
      </w:pPr>
      <w:r w:rsidRPr="00076DCD">
        <w:rPr>
          <w:rFonts w:ascii="Arial" w:hAnsi="Arial" w:cs="Arial"/>
          <w:spacing w:val="-2"/>
          <w:sz w:val="20"/>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AF6615" w:rsidRPr="00076DCD" w:rsidRDefault="00AF6615" w:rsidP="00B07EB1">
      <w:pPr>
        <w:widowControl w:val="0"/>
        <w:numPr>
          <w:ilvl w:val="0"/>
          <w:numId w:val="26"/>
        </w:numPr>
        <w:suppressLineNumbers/>
        <w:tabs>
          <w:tab w:val="clear" w:pos="1800"/>
        </w:tabs>
        <w:suppressAutoHyphens/>
        <w:spacing w:before="120" w:after="0" w:line="257" w:lineRule="auto"/>
        <w:ind w:left="993" w:hanging="426"/>
        <w:jc w:val="both"/>
        <w:rPr>
          <w:rFonts w:ascii="Arial" w:hAnsi="Arial" w:cs="Arial"/>
          <w:sz w:val="20"/>
        </w:rPr>
      </w:pPr>
      <w:r w:rsidRPr="00076DCD">
        <w:rPr>
          <w:rFonts w:ascii="Arial" w:hAnsi="Arial" w:cs="Arial"/>
          <w:spacing w:val="-2"/>
          <w:sz w:val="20"/>
        </w:rPr>
        <w:t>Aparejados a la comunicación a que se refiere el literal b), la Sociedad Concesionaria entregará:</w:t>
      </w:r>
    </w:p>
    <w:p w:rsidR="00AF6615" w:rsidRPr="00076DCD" w:rsidRDefault="00AF6615" w:rsidP="00B07EB1">
      <w:pPr>
        <w:widowControl w:val="0"/>
        <w:numPr>
          <w:ilvl w:val="1"/>
          <w:numId w:val="26"/>
        </w:numPr>
        <w:suppressLineNumbers/>
        <w:tabs>
          <w:tab w:val="clear" w:pos="1800"/>
        </w:tabs>
        <w:suppressAutoHyphens/>
        <w:spacing w:before="120" w:after="0" w:line="257" w:lineRule="auto"/>
        <w:ind w:left="1418" w:hanging="425"/>
        <w:jc w:val="both"/>
        <w:rPr>
          <w:rFonts w:ascii="Arial" w:hAnsi="Arial" w:cs="Arial"/>
          <w:sz w:val="20"/>
        </w:rPr>
      </w:pPr>
      <w:r w:rsidRPr="00076DCD">
        <w:rPr>
          <w:rFonts w:ascii="Arial" w:hAnsi="Arial" w:cs="Arial"/>
          <w:sz w:val="20"/>
        </w:rPr>
        <w:t>El programa general y los protocolos a seguir, para consideración y aprobación del Inspector.</w:t>
      </w:r>
    </w:p>
    <w:p w:rsidR="00AF6615" w:rsidRPr="00076DCD" w:rsidRDefault="00AF6615" w:rsidP="00E024E4">
      <w:pPr>
        <w:widowControl w:val="0"/>
        <w:numPr>
          <w:ilvl w:val="1"/>
          <w:numId w:val="26"/>
        </w:numPr>
        <w:suppressLineNumbers/>
        <w:tabs>
          <w:tab w:val="clear" w:pos="1800"/>
        </w:tabs>
        <w:suppressAutoHyphens/>
        <w:spacing w:before="60" w:after="0" w:line="257" w:lineRule="auto"/>
        <w:ind w:left="1417" w:hanging="425"/>
        <w:jc w:val="both"/>
        <w:rPr>
          <w:rFonts w:ascii="Arial" w:hAnsi="Arial" w:cs="Arial"/>
          <w:sz w:val="20"/>
        </w:rPr>
      </w:pPr>
      <w:r w:rsidRPr="00076DCD">
        <w:rPr>
          <w:rFonts w:ascii="Arial" w:hAnsi="Arial" w:cs="Arial"/>
          <w:sz w:val="20"/>
        </w:rPr>
        <w:t>La aprobación y autorización del COES para efectuar las pruebas especificadas, según lo especificado en su Procedimiento Técnico PR-21 (o el que lo sustituya) indicando las fechas y horas de ejecución.</w:t>
      </w:r>
    </w:p>
    <w:p w:rsidR="00AF6615" w:rsidRPr="00076DCD" w:rsidRDefault="00AF6615" w:rsidP="00E024E4">
      <w:pPr>
        <w:widowControl w:val="0"/>
        <w:numPr>
          <w:ilvl w:val="1"/>
          <w:numId w:val="26"/>
        </w:numPr>
        <w:suppressLineNumbers/>
        <w:tabs>
          <w:tab w:val="clear" w:pos="1800"/>
        </w:tabs>
        <w:suppressAutoHyphens/>
        <w:spacing w:before="60" w:after="0" w:line="257" w:lineRule="auto"/>
        <w:ind w:left="1417" w:hanging="425"/>
        <w:jc w:val="both"/>
        <w:rPr>
          <w:rFonts w:ascii="Arial" w:hAnsi="Arial" w:cs="Arial"/>
          <w:sz w:val="20"/>
        </w:rPr>
      </w:pPr>
      <w:r w:rsidRPr="00076DCD">
        <w:rPr>
          <w:rFonts w:ascii="Arial" w:hAnsi="Arial" w:cs="Arial"/>
          <w:sz w:val="20"/>
        </w:rPr>
        <w:t>Todos los diseños de importancia para la prueba, los datos afines, documentos y especificaciones, así como los certificados e informes sobre las condiciones de operación; para la consideración del Inspector.</w:t>
      </w:r>
    </w:p>
    <w:p w:rsidR="00AF6615" w:rsidRPr="00076DCD" w:rsidRDefault="00AF6615" w:rsidP="00E024E4">
      <w:pPr>
        <w:widowControl w:val="0"/>
        <w:numPr>
          <w:ilvl w:val="1"/>
          <w:numId w:val="26"/>
        </w:numPr>
        <w:suppressLineNumbers/>
        <w:tabs>
          <w:tab w:val="clear" w:pos="1800"/>
        </w:tabs>
        <w:suppressAutoHyphens/>
        <w:spacing w:before="60" w:after="0" w:line="257" w:lineRule="auto"/>
        <w:ind w:left="1417" w:hanging="425"/>
        <w:jc w:val="both"/>
        <w:rPr>
          <w:rFonts w:ascii="Arial" w:hAnsi="Arial" w:cs="Arial"/>
          <w:sz w:val="20"/>
        </w:rPr>
      </w:pPr>
      <w:r w:rsidRPr="00076DCD">
        <w:rPr>
          <w:rFonts w:ascii="Arial" w:hAnsi="Arial" w:cs="Arial"/>
          <w:sz w:val="20"/>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AF6615" w:rsidRPr="00076DCD" w:rsidRDefault="00AF6615" w:rsidP="00B07EB1">
      <w:pPr>
        <w:widowControl w:val="0"/>
        <w:numPr>
          <w:ilvl w:val="0"/>
          <w:numId w:val="26"/>
        </w:numPr>
        <w:suppressLineNumbers/>
        <w:tabs>
          <w:tab w:val="clear" w:pos="1800"/>
        </w:tabs>
        <w:suppressAutoHyphens/>
        <w:spacing w:before="120" w:after="0" w:line="257" w:lineRule="auto"/>
        <w:ind w:left="993" w:hanging="426"/>
        <w:jc w:val="both"/>
        <w:rPr>
          <w:rFonts w:ascii="Arial" w:hAnsi="Arial" w:cs="Arial"/>
          <w:spacing w:val="-2"/>
          <w:sz w:val="20"/>
        </w:rPr>
      </w:pPr>
      <w:r w:rsidRPr="00076DCD">
        <w:rPr>
          <w:rFonts w:ascii="Arial" w:hAnsi="Arial" w:cs="Arial"/>
          <w:spacing w:val="-2"/>
          <w:sz w:val="20"/>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AF6615" w:rsidRPr="00076DCD" w:rsidRDefault="00AF6615" w:rsidP="00B07EB1">
      <w:pPr>
        <w:widowControl w:val="0"/>
        <w:numPr>
          <w:ilvl w:val="0"/>
          <w:numId w:val="26"/>
        </w:numPr>
        <w:suppressLineNumbers/>
        <w:tabs>
          <w:tab w:val="clear" w:pos="1800"/>
        </w:tabs>
        <w:suppressAutoHyphens/>
        <w:spacing w:before="120" w:after="0" w:line="257" w:lineRule="auto"/>
        <w:ind w:left="993" w:hanging="426"/>
        <w:jc w:val="both"/>
        <w:rPr>
          <w:rFonts w:ascii="Arial" w:hAnsi="Arial" w:cs="Arial"/>
          <w:sz w:val="20"/>
        </w:rPr>
      </w:pPr>
      <w:r w:rsidRPr="00076DCD">
        <w:rPr>
          <w:rFonts w:ascii="Arial" w:hAnsi="Arial" w:cs="Arial"/>
          <w:spacing w:val="-2"/>
          <w:sz w:val="20"/>
        </w:rPr>
        <w:t xml:space="preserve">Personal de los fabricantes de los equipos podrán participar como observadores </w:t>
      </w:r>
      <w:r w:rsidRPr="00076DCD">
        <w:rPr>
          <w:rFonts w:ascii="Arial" w:hAnsi="Arial" w:cs="Arial"/>
          <w:sz w:val="20"/>
        </w:rPr>
        <w:t>o como personal de apoyo a las maniobras.</w:t>
      </w:r>
    </w:p>
    <w:p w:rsidR="00AF6615" w:rsidRPr="00076DCD" w:rsidRDefault="00AF6615" w:rsidP="00B07EB1">
      <w:pPr>
        <w:widowControl w:val="0"/>
        <w:numPr>
          <w:ilvl w:val="0"/>
          <w:numId w:val="25"/>
        </w:numPr>
        <w:suppressLineNumbers/>
        <w:tabs>
          <w:tab w:val="clear" w:pos="930"/>
        </w:tabs>
        <w:suppressAutoHyphens/>
        <w:spacing w:before="240" w:after="0" w:line="257" w:lineRule="auto"/>
        <w:ind w:left="567" w:hanging="567"/>
        <w:jc w:val="both"/>
        <w:rPr>
          <w:rFonts w:ascii="Arial" w:hAnsi="Arial" w:cs="Arial"/>
          <w:spacing w:val="-2"/>
          <w:sz w:val="20"/>
        </w:rPr>
      </w:pPr>
      <w:r w:rsidRPr="00076DCD">
        <w:rPr>
          <w:rFonts w:ascii="Arial" w:hAnsi="Arial" w:cs="Arial"/>
          <w:b/>
          <w:spacing w:val="-2"/>
          <w:sz w:val="20"/>
        </w:rPr>
        <w:t>Ejecución de las pruebas.-</w:t>
      </w:r>
      <w:r w:rsidRPr="00076DCD">
        <w:rPr>
          <w:rFonts w:ascii="Arial" w:hAnsi="Arial" w:cs="Arial"/>
          <w:spacing w:val="-2"/>
          <w:sz w:val="20"/>
        </w:rPr>
        <w:t xml:space="preserve"> La ejecución de las pruebas se sujetarán a las reglas siguientes:</w:t>
      </w:r>
    </w:p>
    <w:p w:rsidR="00AF6615" w:rsidRPr="00076DCD" w:rsidRDefault="00AF6615" w:rsidP="00B07EB1">
      <w:pPr>
        <w:widowControl w:val="0"/>
        <w:numPr>
          <w:ilvl w:val="1"/>
          <w:numId w:val="25"/>
        </w:numPr>
        <w:suppressLineNumbers/>
        <w:tabs>
          <w:tab w:val="clear" w:pos="1440"/>
        </w:tabs>
        <w:suppressAutoHyphens/>
        <w:spacing w:before="120" w:after="0" w:line="257" w:lineRule="auto"/>
        <w:ind w:left="992" w:hanging="426"/>
        <w:jc w:val="both"/>
        <w:rPr>
          <w:rFonts w:ascii="Arial" w:hAnsi="Arial" w:cs="Arial"/>
          <w:sz w:val="20"/>
        </w:rPr>
      </w:pPr>
      <w:r w:rsidRPr="00076DCD">
        <w:rPr>
          <w:rFonts w:ascii="Arial" w:hAnsi="Arial" w:cs="Arial"/>
          <w:sz w:val="20"/>
        </w:rPr>
        <w:t xml:space="preserve">El Jefe de Pruebas conducirá y supervisará las pruebas e informará sobre las condiciones de la misma. Será asimismo responsable de todas las </w:t>
      </w:r>
      <w:r w:rsidR="00785758" w:rsidRPr="00076DCD">
        <w:rPr>
          <w:rFonts w:ascii="Arial" w:hAnsi="Arial" w:cs="Arial"/>
          <w:sz w:val="20"/>
        </w:rPr>
        <w:t>mediciones</w:t>
      </w:r>
      <w:r w:rsidRPr="00076DCD">
        <w:rPr>
          <w:rFonts w:ascii="Arial" w:hAnsi="Arial" w:cs="Arial"/>
          <w:sz w:val="20"/>
        </w:rPr>
        <w:t>, el cómputo de los resultados y la preparación del informe final. Su decisión será determinante ante cualquier pregunta concerniente a la prueba o su ejecución.</w:t>
      </w:r>
    </w:p>
    <w:p w:rsidR="00AF6615" w:rsidRPr="00076DCD" w:rsidRDefault="00AF6615" w:rsidP="00B07EB1">
      <w:pPr>
        <w:widowControl w:val="0"/>
        <w:suppressLineNumbers/>
        <w:suppressAutoHyphens/>
        <w:spacing w:before="120" w:after="0" w:line="257" w:lineRule="auto"/>
        <w:ind w:left="992"/>
        <w:jc w:val="both"/>
        <w:rPr>
          <w:rFonts w:ascii="Arial" w:hAnsi="Arial" w:cs="Arial"/>
          <w:sz w:val="20"/>
        </w:rPr>
      </w:pPr>
      <w:r w:rsidRPr="00076DCD">
        <w:rPr>
          <w:rFonts w:ascii="Arial" w:hAnsi="Arial" w:cs="Arial"/>
          <w:sz w:val="20"/>
        </w:rPr>
        <w:t xml:space="preserve">Las pruebas se efectuarán de conformidad a los procedimientos e instrucciones del COES. Las pruebas del sistema de fibra óptica seguirán las especificaciones técnicas establecidas en el Anexo 5, Telecomunicaciones, del presente Contrato. </w:t>
      </w:r>
    </w:p>
    <w:p w:rsidR="00AF6615" w:rsidRPr="00076DCD" w:rsidRDefault="00AF6615" w:rsidP="00B07EB1">
      <w:pPr>
        <w:widowControl w:val="0"/>
        <w:numPr>
          <w:ilvl w:val="1"/>
          <w:numId w:val="25"/>
        </w:numPr>
        <w:suppressLineNumbers/>
        <w:tabs>
          <w:tab w:val="clear" w:pos="1440"/>
        </w:tabs>
        <w:suppressAutoHyphens/>
        <w:spacing w:before="120" w:after="0" w:line="257" w:lineRule="auto"/>
        <w:ind w:left="992" w:hanging="426"/>
        <w:jc w:val="both"/>
        <w:rPr>
          <w:rFonts w:ascii="Arial" w:hAnsi="Arial" w:cs="Arial"/>
          <w:spacing w:val="-2"/>
          <w:sz w:val="20"/>
        </w:rPr>
      </w:pPr>
      <w:r w:rsidRPr="00076DCD">
        <w:rPr>
          <w:rFonts w:ascii="Arial" w:hAnsi="Arial" w:cs="Arial"/>
          <w:spacing w:val="-2"/>
          <w:sz w:val="20"/>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AF6615" w:rsidRPr="00076DCD" w:rsidRDefault="00AF6615" w:rsidP="00B07EB1">
      <w:pPr>
        <w:widowControl w:val="0"/>
        <w:numPr>
          <w:ilvl w:val="1"/>
          <w:numId w:val="25"/>
        </w:numPr>
        <w:suppressLineNumbers/>
        <w:tabs>
          <w:tab w:val="clear" w:pos="1440"/>
        </w:tabs>
        <w:suppressAutoHyphens/>
        <w:spacing w:before="120" w:after="0" w:line="257" w:lineRule="auto"/>
        <w:ind w:left="992" w:hanging="426"/>
        <w:jc w:val="both"/>
        <w:rPr>
          <w:rFonts w:ascii="Arial" w:hAnsi="Arial" w:cs="Arial"/>
          <w:sz w:val="20"/>
        </w:rPr>
      </w:pPr>
      <w:r w:rsidRPr="00076DCD">
        <w:rPr>
          <w:rFonts w:ascii="Arial" w:hAnsi="Arial" w:cs="Arial"/>
          <w:sz w:val="20"/>
        </w:rPr>
        <w:t>Los principales componentes constitutivos de la Línea Eléctrica serán sometidos a inspección a requerimiento del Inspector antes del inicio de la prueba.</w:t>
      </w:r>
    </w:p>
    <w:p w:rsidR="00AF6615" w:rsidRPr="00076DCD" w:rsidRDefault="00AF6615" w:rsidP="00B07EB1">
      <w:pPr>
        <w:widowControl w:val="0"/>
        <w:numPr>
          <w:ilvl w:val="1"/>
          <w:numId w:val="25"/>
        </w:numPr>
        <w:suppressLineNumbers/>
        <w:tabs>
          <w:tab w:val="clear" w:pos="1440"/>
        </w:tabs>
        <w:suppressAutoHyphens/>
        <w:spacing w:before="120" w:after="0" w:line="257" w:lineRule="auto"/>
        <w:ind w:left="992" w:hanging="426"/>
        <w:jc w:val="both"/>
        <w:rPr>
          <w:rFonts w:ascii="Arial" w:hAnsi="Arial" w:cs="Arial"/>
          <w:spacing w:val="-2"/>
          <w:sz w:val="20"/>
        </w:rPr>
      </w:pPr>
      <w:r w:rsidRPr="00076DCD">
        <w:rPr>
          <w:rFonts w:ascii="Arial" w:hAnsi="Arial" w:cs="Arial"/>
          <w:sz w:val="20"/>
        </w:rPr>
        <w:t xml:space="preserve">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w:t>
      </w:r>
      <w:r w:rsidRPr="00076DCD">
        <w:rPr>
          <w:rFonts w:ascii="Arial" w:hAnsi="Arial" w:cs="Arial"/>
          <w:spacing w:val="-2"/>
          <w:sz w:val="20"/>
        </w:rPr>
        <w:t>Otra información que la Sociedad Concesionaria, el OSINERGMIN y/o el Inspector considere pertinente.</w:t>
      </w:r>
    </w:p>
    <w:p w:rsidR="00AF6615" w:rsidRPr="00076DCD" w:rsidRDefault="00AF6615" w:rsidP="00B07EB1">
      <w:pPr>
        <w:widowControl w:val="0"/>
        <w:numPr>
          <w:ilvl w:val="1"/>
          <w:numId w:val="25"/>
        </w:numPr>
        <w:suppressLineNumbers/>
        <w:tabs>
          <w:tab w:val="clear" w:pos="1440"/>
        </w:tabs>
        <w:suppressAutoHyphens/>
        <w:spacing w:before="120" w:after="0" w:line="257" w:lineRule="auto"/>
        <w:ind w:left="992" w:hanging="426"/>
        <w:jc w:val="both"/>
        <w:rPr>
          <w:rFonts w:ascii="Arial" w:hAnsi="Arial" w:cs="Arial"/>
          <w:spacing w:val="-2"/>
          <w:sz w:val="20"/>
        </w:rPr>
      </w:pPr>
      <w:r w:rsidRPr="00076DCD">
        <w:rPr>
          <w:rFonts w:ascii="Arial" w:hAnsi="Arial" w:cs="Arial"/>
          <w:spacing w:val="-2"/>
          <w:sz w:val="20"/>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AF6615" w:rsidRPr="00076DCD" w:rsidRDefault="00AF6615" w:rsidP="00B07EB1">
      <w:pPr>
        <w:widowControl w:val="0"/>
        <w:suppressLineNumbers/>
        <w:suppressAutoHyphens/>
        <w:spacing w:before="120" w:after="0" w:line="257" w:lineRule="auto"/>
        <w:ind w:left="992"/>
        <w:jc w:val="both"/>
        <w:rPr>
          <w:rFonts w:ascii="Arial" w:hAnsi="Arial" w:cs="Arial"/>
          <w:sz w:val="20"/>
        </w:rPr>
      </w:pPr>
      <w:r w:rsidRPr="00076DCD">
        <w:rPr>
          <w:rFonts w:ascii="Arial" w:hAnsi="Arial" w:cs="Arial"/>
          <w:sz w:val="20"/>
        </w:rPr>
        <w:t>El Concedente y/o el OSINERGMIN no podrán solicitar nuevas pruebas o inspecciones ni observar o rechazar sus resultados, en caso que sus representantes no hayan asistido a dichas pruebas o inspecciones.</w:t>
      </w:r>
    </w:p>
    <w:p w:rsidR="00AF6615" w:rsidRPr="00076DCD" w:rsidRDefault="00AF6615" w:rsidP="00B07EB1">
      <w:pPr>
        <w:widowControl w:val="0"/>
        <w:suppressLineNumbers/>
        <w:suppressAutoHyphens/>
        <w:spacing w:before="120" w:after="0" w:line="257" w:lineRule="auto"/>
        <w:ind w:left="992"/>
        <w:jc w:val="both"/>
        <w:rPr>
          <w:rFonts w:ascii="Arial" w:hAnsi="Arial" w:cs="Arial"/>
          <w:sz w:val="20"/>
        </w:rPr>
      </w:pPr>
      <w:r w:rsidRPr="00076DCD">
        <w:rPr>
          <w:rFonts w:ascii="Arial" w:hAnsi="Arial" w:cs="Arial"/>
          <w:sz w:val="20"/>
        </w:rPr>
        <w:t>Finalizadas las pruebas, el Jefe de Pruebas remitirá al COES, las actas correspondientes debidamente aprobadas por el Inspector, para que éste proceda a dar inicio con el programa de puesta en servicio de cada componente de la Línea Eléctrica.</w:t>
      </w:r>
    </w:p>
    <w:p w:rsidR="00AF6615" w:rsidRPr="00076DCD" w:rsidRDefault="00AF6615" w:rsidP="00B07EB1">
      <w:pPr>
        <w:widowControl w:val="0"/>
        <w:numPr>
          <w:ilvl w:val="1"/>
          <w:numId w:val="25"/>
        </w:numPr>
        <w:suppressLineNumbers/>
        <w:tabs>
          <w:tab w:val="clear" w:pos="1440"/>
        </w:tabs>
        <w:suppressAutoHyphens/>
        <w:spacing w:before="120" w:after="0" w:line="257" w:lineRule="auto"/>
        <w:ind w:left="992" w:hanging="426"/>
        <w:jc w:val="both"/>
        <w:rPr>
          <w:rFonts w:ascii="Arial" w:hAnsi="Arial" w:cs="Arial"/>
          <w:sz w:val="20"/>
        </w:rPr>
      </w:pPr>
      <w:r w:rsidRPr="00076DCD">
        <w:rPr>
          <w:rFonts w:ascii="Arial" w:hAnsi="Arial" w:cs="Arial"/>
          <w:sz w:val="20"/>
        </w:rPr>
        <w:t>Concluidas todas las pruebas, el Jefe de Pruebas elaborará y entregará al Inspector, al OSINERGMIN y al Concedente, un informe final, con los detalles de cálculo y la presentación de resultados. El Inspector deberá aprobar el informe final en un plazo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after="0" w:line="257" w:lineRule="auto"/>
        <w:jc w:val="center"/>
        <w:outlineLvl w:val="0"/>
        <w:rPr>
          <w:rFonts w:ascii="Arial" w:eastAsia="Times New Roman" w:hAnsi="Arial" w:cs="Arial"/>
          <w:b/>
          <w:sz w:val="26"/>
          <w:szCs w:val="26"/>
          <w:u w:val="single"/>
          <w:lang w:eastAsia="zh-CN"/>
        </w:rPr>
      </w:pPr>
      <w:r w:rsidRPr="00076DCD">
        <w:rPr>
          <w:rFonts w:ascii="Arial" w:hAnsi="Arial" w:cs="Arial"/>
        </w:rPr>
        <w:br w:type="page"/>
      </w:r>
      <w:r w:rsidRPr="00076DCD">
        <w:rPr>
          <w:rFonts w:ascii="Arial" w:eastAsia="Times New Roman" w:hAnsi="Arial" w:cs="Arial"/>
          <w:b/>
          <w:sz w:val="26"/>
          <w:szCs w:val="26"/>
          <w:u w:val="single"/>
          <w:lang w:eastAsia="zh-CN"/>
        </w:rPr>
        <w:lastRenderedPageBreak/>
        <w:t>Anexo Nº 3</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before="360" w:after="0" w:line="257" w:lineRule="auto"/>
        <w:jc w:val="center"/>
        <w:outlineLvl w:val="0"/>
        <w:rPr>
          <w:rFonts w:ascii="Arial" w:eastAsia="Times New Roman" w:hAnsi="Arial" w:cs="Arial"/>
          <w:b/>
          <w:sz w:val="26"/>
          <w:szCs w:val="26"/>
          <w:lang w:eastAsia="zh-CN"/>
        </w:rPr>
      </w:pPr>
      <w:r w:rsidRPr="00076DCD">
        <w:rPr>
          <w:rFonts w:ascii="Arial" w:eastAsia="Times New Roman" w:hAnsi="Arial" w:cs="Arial"/>
          <w:b/>
          <w:sz w:val="26"/>
          <w:szCs w:val="26"/>
          <w:lang w:eastAsia="zh-CN"/>
        </w:rPr>
        <w:t>Definiciones</w:t>
      </w:r>
    </w:p>
    <w:p w:rsidR="00AF6615" w:rsidRPr="00076DCD" w:rsidRDefault="00AF6615" w:rsidP="00B07EB1">
      <w:pPr>
        <w:widowControl w:val="0"/>
        <w:numPr>
          <w:ilvl w:val="0"/>
          <w:numId w:val="32"/>
        </w:numPr>
        <w:suppressLineNumbers/>
        <w:tabs>
          <w:tab w:val="clear" w:pos="930"/>
          <w:tab w:val="left" w:pos="567"/>
        </w:tabs>
        <w:suppressAutoHyphens/>
        <w:spacing w:before="240" w:after="0" w:line="257" w:lineRule="auto"/>
        <w:ind w:left="567" w:hanging="567"/>
        <w:jc w:val="both"/>
        <w:rPr>
          <w:rFonts w:ascii="Arial" w:hAnsi="Arial" w:cs="Arial"/>
          <w:color w:val="000000"/>
          <w:sz w:val="20"/>
          <w:u w:val="single"/>
        </w:rPr>
      </w:pPr>
      <w:r w:rsidRPr="00076DCD">
        <w:rPr>
          <w:rFonts w:ascii="Arial" w:hAnsi="Arial" w:cs="Arial"/>
          <w:color w:val="000000"/>
          <w:sz w:val="20"/>
          <w:u w:val="single"/>
        </w:rPr>
        <w:t>Acreedores Permitidos:</w:t>
      </w:r>
    </w:p>
    <w:p w:rsidR="00AF6615" w:rsidRPr="00076DCD" w:rsidRDefault="00AF6615" w:rsidP="00B07EB1">
      <w:pPr>
        <w:widowControl w:val="0"/>
        <w:suppressLineNumbers/>
        <w:suppressAutoHyphens/>
        <w:spacing w:before="80" w:after="0" w:line="257" w:lineRule="auto"/>
        <w:ind w:left="567"/>
        <w:jc w:val="both"/>
        <w:rPr>
          <w:rFonts w:ascii="Arial" w:hAnsi="Arial" w:cs="Arial"/>
          <w:color w:val="000000"/>
          <w:sz w:val="20"/>
        </w:rPr>
      </w:pPr>
      <w:r w:rsidRPr="00076DCD">
        <w:rPr>
          <w:rFonts w:ascii="Arial" w:hAnsi="Arial" w:cs="Arial"/>
          <w:color w:val="000000"/>
          <w:sz w:val="20"/>
        </w:rPr>
        <w:t xml:space="preserve">El concepto de Acreedores Permitidos es sólo aplicable a la </w:t>
      </w:r>
      <w:r w:rsidR="00793894" w:rsidRPr="00076DCD">
        <w:rPr>
          <w:rFonts w:ascii="Arial" w:hAnsi="Arial" w:cs="Arial"/>
          <w:color w:val="000000"/>
          <w:sz w:val="20"/>
        </w:rPr>
        <w:t>d</w:t>
      </w:r>
      <w:r w:rsidRPr="00076DCD">
        <w:rPr>
          <w:rFonts w:ascii="Arial" w:hAnsi="Arial" w:cs="Arial"/>
          <w:color w:val="000000"/>
          <w:sz w:val="20"/>
        </w:rPr>
        <w:t xml:space="preserve">euda </w:t>
      </w:r>
      <w:r w:rsidR="00793894" w:rsidRPr="00076DCD">
        <w:rPr>
          <w:rFonts w:ascii="Arial" w:hAnsi="Arial" w:cs="Arial"/>
          <w:color w:val="000000"/>
          <w:sz w:val="20"/>
        </w:rPr>
        <w:t>g</w:t>
      </w:r>
      <w:r w:rsidRPr="00076DCD">
        <w:rPr>
          <w:rFonts w:ascii="Arial" w:hAnsi="Arial" w:cs="Arial"/>
          <w:color w:val="000000"/>
          <w:sz w:val="20"/>
        </w:rPr>
        <w:t>arantizada descrita en la Cláusula 9 del Contrato. Para tales efectos, Acreedor Permitido podrá ser:</w:t>
      </w:r>
    </w:p>
    <w:p w:rsidR="00AF6615" w:rsidRPr="00076DCD" w:rsidRDefault="00AF6615" w:rsidP="00E024E4">
      <w:pPr>
        <w:widowControl w:val="0"/>
        <w:suppressLineNumbers/>
        <w:tabs>
          <w:tab w:val="left" w:pos="1134"/>
        </w:tabs>
        <w:suppressAutoHyphens/>
        <w:spacing w:before="60" w:after="0" w:line="257" w:lineRule="auto"/>
        <w:ind w:leftChars="258" w:left="1162" w:hangingChars="297" w:hanging="594"/>
        <w:jc w:val="both"/>
        <w:rPr>
          <w:rFonts w:ascii="Arial" w:hAnsi="Arial" w:cs="Arial"/>
          <w:color w:val="000000"/>
          <w:sz w:val="20"/>
        </w:rPr>
      </w:pPr>
      <w:r w:rsidRPr="00076DCD">
        <w:rPr>
          <w:rFonts w:ascii="Arial" w:hAnsi="Arial" w:cs="Arial"/>
          <w:color w:val="000000"/>
          <w:sz w:val="20"/>
        </w:rPr>
        <w:t>i</w:t>
      </w:r>
      <w:r w:rsidR="008F0797" w:rsidRPr="00076DCD">
        <w:rPr>
          <w:rFonts w:ascii="Arial" w:hAnsi="Arial" w:cs="Arial"/>
          <w:color w:val="000000"/>
          <w:sz w:val="20"/>
        </w:rPr>
        <w:t>.</w:t>
      </w:r>
      <w:r w:rsidRPr="00076DCD">
        <w:rPr>
          <w:rFonts w:ascii="Arial" w:hAnsi="Arial" w:cs="Arial"/>
          <w:color w:val="000000"/>
          <w:sz w:val="20"/>
        </w:rPr>
        <w:tab/>
      </w:r>
      <w:r w:rsidR="008F0797" w:rsidRPr="00076DCD">
        <w:rPr>
          <w:rFonts w:ascii="Arial" w:hAnsi="Arial" w:cs="Arial"/>
          <w:color w:val="000000"/>
          <w:sz w:val="20"/>
        </w:rPr>
        <w:t>C</w:t>
      </w:r>
      <w:r w:rsidRPr="00076DCD">
        <w:rPr>
          <w:rFonts w:ascii="Arial" w:hAnsi="Arial" w:cs="Arial"/>
          <w:color w:val="000000"/>
          <w:sz w:val="20"/>
        </w:rPr>
        <w:t>ualquier institución multilateral de crédito de la cual el Estado de la República del Perú sea miembro;</w:t>
      </w:r>
    </w:p>
    <w:p w:rsidR="00AF6615" w:rsidRPr="00076DCD" w:rsidRDefault="00AF6615" w:rsidP="00E024E4">
      <w:pPr>
        <w:widowControl w:val="0"/>
        <w:suppressLineNumbers/>
        <w:tabs>
          <w:tab w:val="left" w:pos="1134"/>
        </w:tabs>
        <w:suppressAutoHyphens/>
        <w:spacing w:before="60" w:after="0" w:line="257" w:lineRule="auto"/>
        <w:ind w:leftChars="258" w:left="1162" w:hangingChars="297" w:hanging="594"/>
        <w:jc w:val="both"/>
        <w:rPr>
          <w:rFonts w:ascii="Arial" w:hAnsi="Arial" w:cs="Arial"/>
          <w:color w:val="000000"/>
          <w:sz w:val="20"/>
        </w:rPr>
      </w:pPr>
      <w:r w:rsidRPr="00076DCD">
        <w:rPr>
          <w:rFonts w:ascii="Arial" w:hAnsi="Arial" w:cs="Arial"/>
          <w:color w:val="000000"/>
          <w:sz w:val="20"/>
        </w:rPr>
        <w:t>ii</w:t>
      </w:r>
      <w:r w:rsidR="008F0797" w:rsidRPr="00076DCD">
        <w:rPr>
          <w:rFonts w:ascii="Arial" w:hAnsi="Arial" w:cs="Arial"/>
          <w:color w:val="000000"/>
          <w:sz w:val="20"/>
        </w:rPr>
        <w:t>.</w:t>
      </w:r>
      <w:r w:rsidRPr="00076DCD">
        <w:rPr>
          <w:rFonts w:ascii="Arial" w:hAnsi="Arial" w:cs="Arial"/>
          <w:color w:val="000000"/>
          <w:sz w:val="20"/>
        </w:rPr>
        <w:tab/>
      </w:r>
      <w:r w:rsidR="008F0797" w:rsidRPr="00076DCD">
        <w:rPr>
          <w:rFonts w:ascii="Arial" w:hAnsi="Arial" w:cs="Arial"/>
          <w:color w:val="000000"/>
          <w:sz w:val="20"/>
        </w:rPr>
        <w:t>C</w:t>
      </w:r>
      <w:r w:rsidRPr="00076DCD">
        <w:rPr>
          <w:rFonts w:ascii="Arial" w:hAnsi="Arial" w:cs="Arial"/>
          <w:color w:val="000000"/>
          <w:sz w:val="20"/>
        </w:rPr>
        <w:t>ualquier institución o cualquier agencia gubernamental de cualquier país con el cual el Estado de la República del Perú mantenga relaciones diplomáticas;</w:t>
      </w:r>
    </w:p>
    <w:p w:rsidR="008F0797" w:rsidRPr="00076DCD" w:rsidRDefault="00AF6615" w:rsidP="00E024E4">
      <w:pPr>
        <w:spacing w:before="60" w:after="0" w:line="257" w:lineRule="auto"/>
        <w:ind w:left="1134" w:hanging="567"/>
        <w:jc w:val="both"/>
        <w:rPr>
          <w:rFonts w:ascii="Arial" w:hAnsi="Arial" w:cs="Arial"/>
          <w:color w:val="000000"/>
          <w:sz w:val="20"/>
        </w:rPr>
      </w:pPr>
      <w:r w:rsidRPr="00076DCD">
        <w:rPr>
          <w:rFonts w:ascii="Arial" w:hAnsi="Arial" w:cs="Arial"/>
          <w:color w:val="000000"/>
          <w:sz w:val="20"/>
        </w:rPr>
        <w:t>iii</w:t>
      </w:r>
      <w:r w:rsidR="008F0797" w:rsidRPr="00076DCD">
        <w:rPr>
          <w:rFonts w:ascii="Arial" w:hAnsi="Arial" w:cs="Arial"/>
          <w:color w:val="000000"/>
          <w:sz w:val="20"/>
        </w:rPr>
        <w:t>.</w:t>
      </w:r>
      <w:r w:rsidRPr="00076DCD">
        <w:rPr>
          <w:rFonts w:ascii="Arial" w:hAnsi="Arial" w:cs="Arial"/>
          <w:color w:val="000000"/>
          <w:sz w:val="20"/>
        </w:rPr>
        <w:tab/>
      </w:r>
      <w:r w:rsidR="008F0797" w:rsidRPr="00076DCD">
        <w:rPr>
          <w:rFonts w:ascii="Arial" w:hAnsi="Arial" w:cs="Arial"/>
          <w:color w:val="000000"/>
          <w:sz w:val="20"/>
        </w:rPr>
        <w:t>Cualquier institución financiera designada como Banco extranjero de Primera Categoría en la circular emitida por el BCRP, o cualquier otra que la modifique o sustituya.</w:t>
      </w:r>
    </w:p>
    <w:p w:rsidR="0023531F" w:rsidRPr="00076DCD" w:rsidRDefault="0023531F" w:rsidP="00E024E4">
      <w:pPr>
        <w:spacing w:before="60" w:after="0" w:line="257" w:lineRule="auto"/>
        <w:ind w:left="1134" w:hanging="567"/>
        <w:jc w:val="both"/>
        <w:rPr>
          <w:rFonts w:ascii="Arial" w:hAnsi="Arial" w:cs="Arial"/>
          <w:color w:val="000000"/>
          <w:sz w:val="20"/>
        </w:rPr>
      </w:pPr>
      <w:r w:rsidRPr="00076DCD">
        <w:rPr>
          <w:rFonts w:ascii="Arial" w:hAnsi="Arial" w:cs="Arial"/>
          <w:color w:val="000000"/>
          <w:sz w:val="20"/>
        </w:rPr>
        <w:t>iv.</w:t>
      </w:r>
      <w:r w:rsidRPr="00076DCD">
        <w:rPr>
          <w:rFonts w:ascii="Arial" w:hAnsi="Arial" w:cs="Arial"/>
          <w:color w:val="000000"/>
          <w:sz w:val="20"/>
        </w:rPr>
        <w:tab/>
        <w:t>Cualquier institución financiera nacional o internacional con grado de inversión, evaluada por una de las más importantes entidades a nivel internacional (Fitch Rating, Standard &amp; Poors y Moodys) o con una calificación de riesgo local no menor de A, evaluada por una empresa clasificadora de riesgo nacional debidamente autorizada por la Superintendencia de Mercado de Valores.</w:t>
      </w:r>
    </w:p>
    <w:p w:rsidR="0023531F" w:rsidRPr="00076DCD" w:rsidRDefault="0023531F" w:rsidP="00E024E4">
      <w:pPr>
        <w:spacing w:before="60" w:after="0" w:line="257" w:lineRule="auto"/>
        <w:ind w:left="1134" w:hanging="567"/>
        <w:jc w:val="both"/>
        <w:rPr>
          <w:rFonts w:ascii="Arial" w:hAnsi="Arial" w:cs="Arial"/>
          <w:color w:val="000000"/>
          <w:sz w:val="20"/>
        </w:rPr>
      </w:pPr>
      <w:r w:rsidRPr="00076DCD">
        <w:rPr>
          <w:rFonts w:ascii="Arial" w:hAnsi="Arial" w:cs="Arial"/>
          <w:color w:val="000000"/>
          <w:sz w:val="20"/>
        </w:rPr>
        <w:t>v.</w:t>
      </w:r>
      <w:r w:rsidRPr="00076DCD">
        <w:rPr>
          <w:rFonts w:ascii="Arial" w:hAnsi="Arial" w:cs="Arial"/>
          <w:color w:val="000000"/>
          <w:sz w:val="20"/>
        </w:rPr>
        <w:tab/>
        <w:t xml:space="preserve">Todos los inversionistas institucionales así considerados por las normas legales vigentes (tales como las Administradoras de Fondos de Pensiones - AFP), que adquieran directa o indirectamente cualquier tipo de valor mobiliario emitido por (i) </w:t>
      </w:r>
      <w:r w:rsidR="00DB73B6" w:rsidRPr="00076DCD">
        <w:rPr>
          <w:rFonts w:ascii="Arial" w:hAnsi="Arial" w:cs="Arial"/>
          <w:color w:val="000000"/>
          <w:sz w:val="20"/>
        </w:rPr>
        <w:t>la Sociedad Concesionaria</w:t>
      </w:r>
      <w:r w:rsidRPr="00076DCD">
        <w:rPr>
          <w:rFonts w:ascii="Arial" w:hAnsi="Arial" w:cs="Arial"/>
          <w:color w:val="000000"/>
          <w:sz w:val="20"/>
        </w:rPr>
        <w:t xml:space="preserve">, o (ii) un patrimonio fideicometido,  fondos de inversión o sociedad titulizadora que adquiera derechos y/o activos derivados del Contrato de Concesión. </w:t>
      </w:r>
    </w:p>
    <w:p w:rsidR="0023531F" w:rsidRPr="00076DCD" w:rsidRDefault="0023531F" w:rsidP="00E024E4">
      <w:pPr>
        <w:spacing w:before="60" w:after="0" w:line="257" w:lineRule="auto"/>
        <w:ind w:left="1134" w:hanging="567"/>
        <w:jc w:val="both"/>
        <w:rPr>
          <w:rFonts w:ascii="Arial" w:hAnsi="Arial" w:cs="Arial"/>
          <w:color w:val="000000"/>
          <w:sz w:val="20"/>
        </w:rPr>
      </w:pPr>
      <w:r w:rsidRPr="00076DCD">
        <w:rPr>
          <w:rFonts w:ascii="Arial" w:hAnsi="Arial" w:cs="Arial"/>
          <w:color w:val="000000"/>
          <w:sz w:val="20"/>
        </w:rPr>
        <w:t>vi.</w:t>
      </w:r>
      <w:r w:rsidRPr="00076DCD">
        <w:rPr>
          <w:rFonts w:ascii="Arial" w:hAnsi="Arial" w:cs="Arial"/>
          <w:color w:val="000000"/>
          <w:sz w:val="20"/>
        </w:rPr>
        <w:tab/>
        <w:t xml:space="preserve">Cualquier persona natural o jurídica que adquiera directa o indirectamente cualquier tipo de valor mobiliario emitido por </w:t>
      </w:r>
      <w:r w:rsidR="00DB73B6" w:rsidRPr="00076DCD">
        <w:rPr>
          <w:rFonts w:ascii="Arial" w:hAnsi="Arial" w:cs="Arial"/>
          <w:color w:val="000000"/>
          <w:sz w:val="20"/>
        </w:rPr>
        <w:t>la Sociedad Concesionaria</w:t>
      </w:r>
      <w:r w:rsidRPr="00076DCD">
        <w:rPr>
          <w:rFonts w:ascii="Arial" w:hAnsi="Arial" w:cs="Arial"/>
          <w:color w:val="000000"/>
          <w:sz w:val="20"/>
        </w:rPr>
        <w:t xml:space="preserve"> mediante oferta pública o privada, o a través de patrimonio fideicometido, fondos de inversión o sociedad titulizadora constituida en el Perú o en el extranjero.</w:t>
      </w:r>
    </w:p>
    <w:p w:rsidR="0023531F" w:rsidRPr="00076DCD" w:rsidRDefault="0023531F" w:rsidP="00B07EB1">
      <w:pPr>
        <w:tabs>
          <w:tab w:val="left" w:pos="1134"/>
          <w:tab w:val="left" w:pos="1701"/>
          <w:tab w:val="left" w:pos="2268"/>
          <w:tab w:val="left" w:pos="2835"/>
        </w:tabs>
        <w:spacing w:before="120" w:after="0" w:line="257" w:lineRule="auto"/>
        <w:ind w:left="567"/>
        <w:jc w:val="both"/>
        <w:rPr>
          <w:rFonts w:ascii="Arial" w:eastAsia="Times New Roman" w:hAnsi="Arial" w:cs="Arial"/>
          <w:sz w:val="20"/>
          <w:szCs w:val="20"/>
          <w:lang w:val="es-ES"/>
        </w:rPr>
      </w:pPr>
      <w:r w:rsidRPr="00076DCD">
        <w:rPr>
          <w:rFonts w:ascii="Arial" w:eastAsia="Times New Roman" w:hAnsi="Arial" w:cs="Arial"/>
          <w:sz w:val="20"/>
          <w:szCs w:val="20"/>
          <w:lang w:val="es-ES"/>
        </w:rPr>
        <w:t xml:space="preserve">Los Acreedores Permitidos no podrán tener vinculación con </w:t>
      </w:r>
      <w:r w:rsidR="00DB73B6" w:rsidRPr="00076DCD">
        <w:rPr>
          <w:rFonts w:ascii="Arial" w:eastAsia="Times New Roman" w:hAnsi="Arial" w:cs="Arial"/>
          <w:sz w:val="20"/>
          <w:szCs w:val="20"/>
          <w:lang w:val="es-ES"/>
        </w:rPr>
        <w:t>la Sociedad Concesionaria</w:t>
      </w:r>
      <w:r w:rsidRPr="00076DCD">
        <w:rPr>
          <w:rFonts w:ascii="Arial" w:eastAsia="Times New Roman" w:hAnsi="Arial" w:cs="Arial"/>
          <w:sz w:val="20"/>
          <w:szCs w:val="20"/>
          <w:lang w:val="es-ES"/>
        </w:rPr>
        <w:t xml:space="preserve">, de conformidad con lo indicado en la Resolución CONASEV N° 090-2005-EF-94.10, o norma que la sustituya. </w:t>
      </w:r>
    </w:p>
    <w:p w:rsidR="0023531F" w:rsidRPr="00076DCD" w:rsidRDefault="0023531F" w:rsidP="00B07EB1">
      <w:pPr>
        <w:tabs>
          <w:tab w:val="left" w:pos="1134"/>
          <w:tab w:val="left" w:pos="1701"/>
          <w:tab w:val="left" w:pos="2268"/>
          <w:tab w:val="left" w:pos="2835"/>
        </w:tabs>
        <w:spacing w:before="120" w:after="0" w:line="257" w:lineRule="auto"/>
        <w:ind w:left="567"/>
        <w:jc w:val="both"/>
        <w:rPr>
          <w:rFonts w:ascii="Arial" w:eastAsia="Times New Roman" w:hAnsi="Arial" w:cs="Arial"/>
          <w:sz w:val="20"/>
          <w:szCs w:val="20"/>
          <w:lang w:val="es-ES"/>
        </w:rPr>
      </w:pPr>
      <w:r w:rsidRPr="00076DCD">
        <w:rPr>
          <w:rFonts w:ascii="Arial" w:eastAsia="Times New Roman" w:hAnsi="Arial" w:cs="Arial"/>
          <w:sz w:val="20"/>
          <w:szCs w:val="20"/>
          <w:lang w:val="es-ES"/>
        </w:rPr>
        <w:t xml:space="preserve">En caso se trate de valores mobiliarios, los Acreedores Permitidos podrán estar representados por el representante de los obligacionistas (según lo establecido en el artículo 87° de la Ley del Mercado de Valores y artículo 325° de la Ley General de Sociedades). </w:t>
      </w:r>
    </w:p>
    <w:p w:rsidR="0023531F" w:rsidRPr="00076DCD" w:rsidRDefault="0023531F" w:rsidP="00B07EB1">
      <w:pPr>
        <w:shd w:val="clear" w:color="auto" w:fill="FFFFFF"/>
        <w:tabs>
          <w:tab w:val="left" w:pos="567"/>
          <w:tab w:val="left" w:pos="1134"/>
          <w:tab w:val="left" w:pos="1701"/>
          <w:tab w:val="left" w:pos="2268"/>
          <w:tab w:val="left" w:pos="2835"/>
        </w:tabs>
        <w:spacing w:before="120" w:after="0" w:line="257" w:lineRule="auto"/>
        <w:ind w:left="567"/>
        <w:jc w:val="both"/>
        <w:rPr>
          <w:rFonts w:ascii="Arial" w:eastAsia="Times New Roman" w:hAnsi="Arial" w:cs="Arial"/>
          <w:sz w:val="20"/>
          <w:szCs w:val="20"/>
          <w:u w:val="single"/>
          <w:lang w:val="es-ES"/>
        </w:rPr>
      </w:pPr>
      <w:r w:rsidRPr="00076DCD">
        <w:rPr>
          <w:rFonts w:ascii="Arial" w:eastAsia="Times New Roman" w:hAnsi="Arial" w:cs="Arial"/>
          <w:sz w:val="20"/>
          <w:szCs w:val="20"/>
          <w:lang w:val="es-ES"/>
        </w:rPr>
        <w:t>En casos de créditos sindicados, los Acreedores Permitidos podrán estar representados por el agente administrativo o agente de garantías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Autoridad Gubernamental:</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793894" w:rsidRPr="00076DCD" w:rsidRDefault="00793894" w:rsidP="00B07EB1">
      <w:pPr>
        <w:spacing w:line="257" w:lineRule="auto"/>
        <w:rPr>
          <w:rFonts w:ascii="Arial" w:hAnsi="Arial" w:cs="Arial"/>
          <w:sz w:val="20"/>
          <w:u w:val="single"/>
        </w:rPr>
      </w:pPr>
      <w:r w:rsidRPr="00076DCD">
        <w:rPr>
          <w:rFonts w:ascii="Arial" w:hAnsi="Arial" w:cs="Arial"/>
          <w:sz w:val="20"/>
          <w:u w:val="single"/>
        </w:rPr>
        <w:br w:type="page"/>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lastRenderedPageBreak/>
        <w:t>Bienes de la Concesión:</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Bienes de la Sociedad Concesionaria:</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Son todos los bienes de propiedad de la Sociedad Concesionaria que no califican como Bienes de la Concesión y son de su libre disposición.</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Cierre:</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acto en que el Concedente y la Sociedad Concesionaria suscriben el Contrato.</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Cierre Financiero: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Es la fecha en la que la Sociedad Concesionaria </w:t>
      </w:r>
      <w:r w:rsidR="001107BF" w:rsidRPr="00076DCD">
        <w:rPr>
          <w:rFonts w:ascii="Arial" w:hAnsi="Arial" w:cs="Arial"/>
          <w:sz w:val="20"/>
        </w:rPr>
        <w:t>suscribe el contrato</w:t>
      </w:r>
      <w:r w:rsidRPr="00076DCD">
        <w:rPr>
          <w:rFonts w:ascii="Arial" w:hAnsi="Arial" w:cs="Arial"/>
          <w:sz w:val="20"/>
        </w:rPr>
        <w:t xml:space="preserve"> de financiamiento que cubre las necesidades para la construcción y equipamiento del proyecto.</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COES:</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Comité de Operación Económica del Sistema Eléctrico Interconectado Nacional.</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Concedente:</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la República del Perú, representada por el Ministerio de Energía y Minas.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Concesión:</w:t>
      </w:r>
    </w:p>
    <w:p w:rsidR="00AF6615" w:rsidRPr="00076DCD" w:rsidRDefault="00AF6615" w:rsidP="00B07EB1">
      <w:pPr>
        <w:widowControl w:val="0"/>
        <w:suppressLineNumbers/>
        <w:tabs>
          <w:tab w:val="left" w:pos="709"/>
        </w:tabs>
        <w:suppressAutoHyphens/>
        <w:spacing w:before="80" w:after="0" w:line="257" w:lineRule="auto"/>
        <w:ind w:left="567"/>
        <w:jc w:val="both"/>
        <w:rPr>
          <w:rFonts w:ascii="Arial" w:hAnsi="Arial" w:cs="Arial"/>
          <w:sz w:val="20"/>
        </w:rPr>
      </w:pPr>
      <w:r w:rsidRPr="00076DCD">
        <w:rPr>
          <w:rFonts w:ascii="Arial" w:hAnsi="Arial" w:cs="Arial"/>
          <w:sz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Contrato: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Contrato de Concesión S</w:t>
      </w:r>
      <w:r w:rsidR="002F2EDB" w:rsidRPr="00076DCD">
        <w:rPr>
          <w:rFonts w:ascii="Arial" w:hAnsi="Arial" w:cs="Arial"/>
          <w:sz w:val="20"/>
        </w:rPr>
        <w:t>C</w:t>
      </w:r>
      <w:r w:rsidRPr="00076DCD">
        <w:rPr>
          <w:rFonts w:ascii="Arial" w:hAnsi="Arial" w:cs="Arial"/>
          <w:sz w:val="20"/>
        </w:rPr>
        <w:t>T resultante del Concurso, que establece los compromisos relativos a la construcción, propiedad, operación, régimen tarifario y transferencia al Estado de la Línea Eléctrica (Anexo 7 de las Bases).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Contrato de Seguridades y Garantías:</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Contrato a que se refiere el artículo 4° de la Ley Nº 26885 y el artículo 2º del D.L. 25570, modificado por el artículo 6º de la Ley Nº 26438, por el cual se otorga la garantía del Estado en respaldo de las declaraciones, obligaciones y seguridades del Concedente estipuladas en el Contrato de Concesión.</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Costo de Servicio Total:</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la suma del costo anual de operación y mantenimiento más la anualidad del costo de inversión calculada con la tasa del 12% y un periodo de treinta (30) años.</w:t>
      </w:r>
    </w:p>
    <w:p w:rsidR="003E42BF" w:rsidRPr="00076DCD" w:rsidRDefault="003E42BF"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rPr>
      </w:pPr>
      <w:r w:rsidRPr="00076DCD">
        <w:rPr>
          <w:rFonts w:ascii="Arial" w:hAnsi="Arial" w:cs="Arial"/>
          <w:sz w:val="20"/>
          <w:u w:val="single"/>
        </w:rPr>
        <w:t>Costo Medio Anual</w:t>
      </w:r>
      <w:r w:rsidRPr="00076DCD">
        <w:rPr>
          <w:rFonts w:ascii="Arial" w:hAnsi="Arial" w:cs="Arial"/>
          <w:sz w:val="20"/>
        </w:rPr>
        <w:t>:</w:t>
      </w:r>
    </w:p>
    <w:p w:rsidR="003E42BF" w:rsidRPr="00076DCD" w:rsidRDefault="003E42BF" w:rsidP="00B07EB1">
      <w:pPr>
        <w:widowControl w:val="0"/>
        <w:suppressLineNumbers/>
        <w:suppressAutoHyphens/>
        <w:spacing w:before="80" w:after="0" w:line="257" w:lineRule="auto"/>
        <w:ind w:left="567"/>
        <w:jc w:val="both"/>
        <w:rPr>
          <w:rFonts w:ascii="Arial" w:hAnsi="Arial" w:cs="Arial"/>
          <w:sz w:val="18"/>
          <w:u w:val="single"/>
        </w:rPr>
      </w:pPr>
      <w:r w:rsidRPr="00076DCD">
        <w:rPr>
          <w:rFonts w:ascii="Arial" w:hAnsi="Arial" w:cs="Arial"/>
          <w:sz w:val="20"/>
        </w:rPr>
        <w:t>Es el monto anual a reconocer por las instalaciones del sistema eléctrico del Sistema Complementario de Transmisión que se utilizará para el cálculo de los peajes y las compensaciones de transmisión</w:t>
      </w:r>
      <w:r w:rsidR="00842197" w:rsidRPr="00076DCD">
        <w:rPr>
          <w:rFonts w:ascii="Arial" w:hAnsi="Arial" w:cs="Arial"/>
          <w:sz w:val="20"/>
        </w:rPr>
        <w:t xml:space="preserve">. El mismo que deberá permitir que </w:t>
      </w:r>
      <w:r w:rsidR="00DB73B6" w:rsidRPr="00076DCD">
        <w:rPr>
          <w:rFonts w:ascii="Arial" w:hAnsi="Arial" w:cs="Arial"/>
          <w:sz w:val="20"/>
        </w:rPr>
        <w:t>la Sociedad Concesionaria</w:t>
      </w:r>
      <w:r w:rsidR="00842197" w:rsidRPr="00076DCD">
        <w:rPr>
          <w:rFonts w:ascii="Arial" w:hAnsi="Arial" w:cs="Arial"/>
          <w:sz w:val="20"/>
        </w:rPr>
        <w:t xml:space="preserve"> reciba el Costo de Servicio Total durante el período de treinta (30) años.</w:t>
      </w:r>
    </w:p>
    <w:p w:rsidR="00793894" w:rsidRPr="00076DCD" w:rsidRDefault="00793894" w:rsidP="00B07EB1">
      <w:pPr>
        <w:spacing w:line="257" w:lineRule="auto"/>
        <w:rPr>
          <w:rFonts w:ascii="Arial" w:hAnsi="Arial" w:cs="Arial"/>
          <w:sz w:val="20"/>
          <w:u w:val="single"/>
        </w:rPr>
      </w:pPr>
      <w:r w:rsidRPr="00076DCD">
        <w:rPr>
          <w:rFonts w:ascii="Arial" w:hAnsi="Arial" w:cs="Arial"/>
          <w:sz w:val="20"/>
          <w:u w:val="single"/>
        </w:rPr>
        <w:br w:type="page"/>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lastRenderedPageBreak/>
        <w:t>Destrucción Total:</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Aquella situación producida por cualquier causa que provoque daños a la Línea Eléctrica, no atribuibles a ninguna de las partes, estimados en el mayor de: </w:t>
      </w:r>
    </w:p>
    <w:p w:rsidR="00AF6615" w:rsidRPr="00076DCD" w:rsidRDefault="00AF6615" w:rsidP="00B07EB1">
      <w:pPr>
        <w:widowControl w:val="0"/>
        <w:suppressLineNumbers/>
        <w:tabs>
          <w:tab w:val="left" w:pos="993"/>
        </w:tabs>
        <w:suppressAutoHyphens/>
        <w:spacing w:before="60" w:after="0" w:line="257" w:lineRule="auto"/>
        <w:ind w:left="992" w:hanging="425"/>
        <w:jc w:val="both"/>
        <w:rPr>
          <w:rFonts w:ascii="Arial" w:hAnsi="Arial" w:cs="Arial"/>
          <w:sz w:val="20"/>
        </w:rPr>
      </w:pPr>
      <w:r w:rsidRPr="00076DCD">
        <w:rPr>
          <w:rFonts w:ascii="Arial" w:hAnsi="Arial" w:cs="Arial"/>
          <w:sz w:val="20"/>
        </w:rPr>
        <w:t xml:space="preserve">(a) treinta por ciento (30%) de su valor de reposición llevado a nuevo, o </w:t>
      </w:r>
    </w:p>
    <w:p w:rsidR="00AF6615" w:rsidRPr="00076DCD" w:rsidRDefault="00AF6615" w:rsidP="00B07EB1">
      <w:pPr>
        <w:widowControl w:val="0"/>
        <w:suppressLineNumbers/>
        <w:tabs>
          <w:tab w:val="left" w:pos="993"/>
        </w:tabs>
        <w:suppressAutoHyphens/>
        <w:spacing w:before="60" w:after="0" w:line="257" w:lineRule="auto"/>
        <w:ind w:left="992" w:hanging="425"/>
        <w:jc w:val="both"/>
        <w:rPr>
          <w:rFonts w:ascii="Arial" w:hAnsi="Arial" w:cs="Arial"/>
          <w:sz w:val="20"/>
        </w:rPr>
      </w:pPr>
      <w:r w:rsidRPr="00076DCD">
        <w:rPr>
          <w:rFonts w:ascii="Arial" w:hAnsi="Arial" w:cs="Arial"/>
          <w:sz w:val="20"/>
        </w:rPr>
        <w:t>(b) la pérdida máxima probable (PMP) a que se refiere la Cláusula 7.1.b.</w:t>
      </w:r>
      <w:r w:rsidRPr="00076DCD">
        <w:rPr>
          <w:rFonts w:ascii="Arial" w:eastAsia="Times New Roman" w:hAnsi="Arial" w:cs="Arial"/>
          <w:sz w:val="20"/>
          <w:szCs w:val="20"/>
          <w:lang w:eastAsia="zh-CN"/>
        </w:rPr>
        <w:t xml:space="preserve"> </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Días:</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Dólar o US$:</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la moneda o el signo monetario de curso legal en los Estados Unidos de América.</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Empresa Bancaria:</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Para los efectos del Concurso son las listadas en el Anexo 6 de las Bases.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eastAsia="Times New Roman" w:hAnsi="Arial" w:cs="Arial"/>
          <w:sz w:val="20"/>
          <w:szCs w:val="20"/>
          <w:lang w:eastAsia="zh-CN"/>
        </w:rPr>
      </w:pPr>
      <w:r w:rsidRPr="00076DCD">
        <w:rPr>
          <w:rFonts w:ascii="Arial" w:eastAsia="Times New Roman" w:hAnsi="Arial" w:cs="Arial"/>
          <w:sz w:val="20"/>
          <w:szCs w:val="20"/>
          <w:u w:val="single"/>
          <w:lang w:eastAsia="zh-CN"/>
        </w:rPr>
        <w:t>Empresa Supervisora</w:t>
      </w:r>
      <w:r w:rsidRPr="00076DCD">
        <w:rPr>
          <w:rFonts w:ascii="Arial" w:eastAsia="Times New Roman" w:hAnsi="Arial" w:cs="Arial"/>
          <w:sz w:val="20"/>
          <w:szCs w:val="20"/>
          <w:lang w:eastAsia="zh-CN"/>
        </w:rPr>
        <w:t>:</w:t>
      </w:r>
    </w:p>
    <w:p w:rsidR="00AF6615" w:rsidRPr="00076DCD" w:rsidRDefault="00AF6615" w:rsidP="00B07EB1">
      <w:pPr>
        <w:widowControl w:val="0"/>
        <w:suppressLineNumbers/>
        <w:suppressAutoHyphens/>
        <w:spacing w:before="80" w:after="0" w:line="257" w:lineRule="auto"/>
        <w:ind w:left="567"/>
        <w:jc w:val="both"/>
        <w:rPr>
          <w:rFonts w:ascii="Arial" w:eastAsia="Times New Roman" w:hAnsi="Arial" w:cs="Arial"/>
          <w:sz w:val="20"/>
          <w:szCs w:val="20"/>
          <w:lang w:eastAsia="zh-CN"/>
        </w:rPr>
      </w:pPr>
      <w:r w:rsidRPr="00076DCD">
        <w:rPr>
          <w:rFonts w:ascii="Arial" w:eastAsia="Times New Roman" w:hAnsi="Arial" w:cs="Arial"/>
          <w:sz w:val="20"/>
          <w:szCs w:val="20"/>
          <w:lang w:eastAsia="zh-CN"/>
        </w:rPr>
        <w:t xml:space="preserve">Es la Persona contratada y solventada por la </w:t>
      </w:r>
      <w:r w:rsidR="0038646E" w:rsidRPr="00076DCD">
        <w:rPr>
          <w:rFonts w:ascii="Arial" w:eastAsia="Times New Roman" w:hAnsi="Arial" w:cs="Arial"/>
          <w:sz w:val="20"/>
          <w:szCs w:val="20"/>
          <w:lang w:eastAsia="zh-CN"/>
        </w:rPr>
        <w:t>Sociedad</w:t>
      </w:r>
      <w:r w:rsidRPr="00076DCD">
        <w:rPr>
          <w:rFonts w:ascii="Arial" w:eastAsia="Times New Roman" w:hAnsi="Arial" w:cs="Arial"/>
          <w:sz w:val="20"/>
          <w:szCs w:val="20"/>
          <w:lang w:eastAsia="zh-CN"/>
        </w:rPr>
        <w:t xml:space="preserve"> Concesionaria, y cuya selección deberá contar con la conformidad de OSINERGMIN. Sus labores comenzarán desde el inicio del estudio de ingeniería debiendo verificar que dicho estudio haya considerado las especificaciones del Anexo N° 1 </w:t>
      </w:r>
      <w:r w:rsidR="00D600E0" w:rsidRPr="00076DCD">
        <w:rPr>
          <w:rFonts w:ascii="Arial" w:eastAsia="Times New Roman" w:hAnsi="Arial" w:cs="Arial"/>
          <w:sz w:val="20"/>
          <w:szCs w:val="20"/>
          <w:lang w:eastAsia="zh-CN"/>
        </w:rPr>
        <w:t xml:space="preserve">del Contrato </w:t>
      </w:r>
      <w:r w:rsidRPr="00076DCD">
        <w:rPr>
          <w:rFonts w:ascii="Arial" w:eastAsia="Times New Roman" w:hAnsi="Arial" w:cs="Arial"/>
          <w:sz w:val="20"/>
          <w:szCs w:val="20"/>
          <w:lang w:eastAsia="zh-CN"/>
        </w:rPr>
        <w:t xml:space="preserve">y que cumple con las normas respectivas. </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Estado: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Estado de la República del Perú.</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rPr>
      </w:pPr>
      <w:r w:rsidRPr="00076DCD">
        <w:rPr>
          <w:rFonts w:ascii="Arial" w:hAnsi="Arial" w:cs="Arial"/>
          <w:sz w:val="20"/>
          <w:u w:val="single"/>
        </w:rPr>
        <w:t>Garantía</w:t>
      </w:r>
      <w:r w:rsidRPr="00076DCD">
        <w:rPr>
          <w:rFonts w:ascii="Arial" w:hAnsi="Arial" w:cs="Arial"/>
          <w:sz w:val="20"/>
        </w:rPr>
        <w:t>:</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una fianza emitida por una Empresa Bancaria, siguiendo los formatos establecidos en las Bases o en el Contrato. Si la Empresa Bancaria es extranjera, la fianza deberá estar confirmada por una Empresa Bancaria local.</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Garantía de Fiel Cumplimiento: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Es la Garantía </w:t>
      </w:r>
      <w:r w:rsidR="00BB33AF" w:rsidRPr="00076DCD">
        <w:rPr>
          <w:rFonts w:ascii="Arial" w:hAnsi="Arial" w:cs="Arial"/>
          <w:sz w:val="20"/>
        </w:rPr>
        <w:t xml:space="preserve">o sumas de garantías </w:t>
      </w:r>
      <w:r w:rsidR="00191743" w:rsidRPr="00076DCD">
        <w:rPr>
          <w:rFonts w:ascii="Arial" w:hAnsi="Arial" w:cs="Arial"/>
          <w:sz w:val="20"/>
        </w:rPr>
        <w:t xml:space="preserve"> </w:t>
      </w:r>
      <w:r w:rsidRPr="00076DCD">
        <w:rPr>
          <w:rFonts w:ascii="Arial" w:hAnsi="Arial" w:cs="Arial"/>
          <w:sz w:val="20"/>
        </w:rPr>
        <w:t>que respalda el pago de las penalidades estipuladas en el Contrato. Se emite siguiendo el formato del Anexo Nº 4 del Contrato</w:t>
      </w:r>
      <w:r w:rsidR="00BB33AF" w:rsidRPr="00076DCD">
        <w:rPr>
          <w:rFonts w:ascii="Arial" w:hAnsi="Arial" w:cs="Arial"/>
          <w:sz w:val="20"/>
        </w:rPr>
        <w:t xml:space="preserve"> y cumpliendo lo estipulado en el Anexo 6 de las Bases del Concurso</w:t>
      </w:r>
      <w:r w:rsidRPr="00076DCD">
        <w:rPr>
          <w:rFonts w:ascii="Arial" w:hAnsi="Arial" w:cs="Arial"/>
          <w:sz w:val="20"/>
        </w:rPr>
        <w:t>.</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Garantía de Operación:</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la Garantía que respalda el cumplimiento de las obligaciones según el Contrato. Se emite siguiendo el formato del Anexo 4-A del Contrato.</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eastAsia="Times New Roman" w:hAnsi="Arial" w:cs="Arial"/>
          <w:sz w:val="20"/>
          <w:szCs w:val="20"/>
          <w:lang w:eastAsia="zh-CN"/>
        </w:rPr>
      </w:pPr>
      <w:r w:rsidRPr="00076DCD">
        <w:rPr>
          <w:rFonts w:ascii="Arial" w:eastAsia="Times New Roman" w:hAnsi="Arial" w:cs="Arial"/>
          <w:sz w:val="20"/>
          <w:szCs w:val="20"/>
          <w:u w:val="single"/>
          <w:lang w:eastAsia="zh-CN"/>
        </w:rPr>
        <w:t>Inspector</w:t>
      </w:r>
      <w:r w:rsidRPr="00076DCD">
        <w:rPr>
          <w:rFonts w:ascii="Arial" w:eastAsia="Times New Roman" w:hAnsi="Arial" w:cs="Arial"/>
          <w:sz w:val="20"/>
          <w:szCs w:val="20"/>
          <w:lang w:eastAsia="zh-CN"/>
        </w:rPr>
        <w:t>:</w:t>
      </w:r>
    </w:p>
    <w:p w:rsidR="00AF6615" w:rsidRPr="00076DCD" w:rsidRDefault="00AF6615" w:rsidP="00B07EB1">
      <w:pPr>
        <w:widowControl w:val="0"/>
        <w:suppressLineNumbers/>
        <w:suppressAutoHyphens/>
        <w:spacing w:before="80" w:after="0" w:line="257" w:lineRule="auto"/>
        <w:ind w:left="567"/>
        <w:jc w:val="both"/>
        <w:rPr>
          <w:rFonts w:ascii="Arial" w:eastAsia="Times New Roman" w:hAnsi="Arial" w:cs="Arial"/>
          <w:sz w:val="20"/>
          <w:szCs w:val="20"/>
          <w:lang w:eastAsia="zh-CN"/>
        </w:rPr>
      </w:pPr>
      <w:r w:rsidRPr="00076DCD">
        <w:rPr>
          <w:rFonts w:ascii="Arial" w:eastAsia="Times New Roman" w:hAnsi="Arial" w:cs="Arial"/>
          <w:sz w:val="20"/>
          <w:szCs w:val="20"/>
          <w:lang w:eastAsia="zh-CN"/>
        </w:rPr>
        <w:t xml:space="preserve">Es la Persona seleccionada y contratada por </w:t>
      </w:r>
      <w:r w:rsidR="00F205D8" w:rsidRPr="00076DCD">
        <w:rPr>
          <w:rFonts w:ascii="Arial" w:eastAsia="Times New Roman" w:hAnsi="Arial" w:cs="Arial"/>
          <w:sz w:val="20"/>
          <w:szCs w:val="20"/>
          <w:lang w:eastAsia="zh-CN"/>
        </w:rPr>
        <w:t>la Sociedad Concesionaria</w:t>
      </w:r>
      <w:r w:rsidRPr="00076DCD">
        <w:rPr>
          <w:rFonts w:ascii="Arial" w:eastAsia="Times New Roman" w:hAnsi="Arial" w:cs="Arial"/>
          <w:sz w:val="20"/>
          <w:szCs w:val="20"/>
          <w:lang w:eastAsia="zh-CN"/>
        </w:rPr>
        <w:t xml:space="preserve"> a propuesta del Concedente, cuya función principal es revisar la ingeniería y métodos constructivos del proyecto, orientada a que las pruebas internas de operación y las que se realicen según el Anexo N° 2</w:t>
      </w:r>
      <w:r w:rsidR="00FC43C5" w:rsidRPr="00076DCD">
        <w:rPr>
          <w:rFonts w:ascii="Arial" w:eastAsia="Times New Roman" w:hAnsi="Arial" w:cs="Arial"/>
          <w:sz w:val="20"/>
          <w:szCs w:val="20"/>
          <w:lang w:eastAsia="zh-CN"/>
        </w:rPr>
        <w:t xml:space="preserve"> del Contrato</w:t>
      </w:r>
      <w:r w:rsidRPr="00076DCD">
        <w:rPr>
          <w:rFonts w:ascii="Arial" w:eastAsia="Times New Roman" w:hAnsi="Arial" w:cs="Arial"/>
          <w:sz w:val="20"/>
          <w:szCs w:val="20"/>
          <w:lang w:eastAsia="zh-CN"/>
        </w:rPr>
        <w:t>,</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Ley de Concesiones o LCE:</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Decreto Ley N° 25844, Ley de Concesiones Eléctricas y sus normas complementarias y modificatorias.</w:t>
      </w:r>
    </w:p>
    <w:p w:rsidR="00E024E4" w:rsidRDefault="00E024E4">
      <w:pPr>
        <w:rPr>
          <w:rFonts w:ascii="Arial" w:hAnsi="Arial" w:cs="Arial"/>
          <w:sz w:val="20"/>
          <w:u w:val="single"/>
        </w:rPr>
      </w:pPr>
      <w:r>
        <w:rPr>
          <w:rFonts w:ascii="Arial" w:hAnsi="Arial" w:cs="Arial"/>
          <w:sz w:val="20"/>
          <w:u w:val="single"/>
        </w:rPr>
        <w:br w:type="page"/>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lastRenderedPageBreak/>
        <w:t>Leyes Aplicables:</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Todas las normas jurídicas que conforman el Derecho interno del Perú, así como sus normas complementarias, supletorias y modificatorias.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Línea Eléctrica o LT:</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Es la LT </w:t>
      </w:r>
      <w:r w:rsidRPr="00076DCD">
        <w:rPr>
          <w:rFonts w:ascii="Arial" w:eastAsia="Times New Roman" w:hAnsi="Arial" w:cs="Arial"/>
          <w:sz w:val="20"/>
          <w:szCs w:val="20"/>
          <w:lang w:eastAsia="zh-CN"/>
        </w:rPr>
        <w:t>220</w:t>
      </w:r>
      <w:r w:rsidRPr="00076DCD">
        <w:rPr>
          <w:rFonts w:ascii="Arial" w:hAnsi="Arial" w:cs="Arial"/>
          <w:sz w:val="20"/>
        </w:rPr>
        <w:t xml:space="preserve"> kV </w:t>
      </w:r>
      <w:r w:rsidR="00C57F16" w:rsidRPr="00076DCD">
        <w:rPr>
          <w:rFonts w:ascii="Arial" w:hAnsi="Arial" w:cs="Arial"/>
          <w:sz w:val="20"/>
        </w:rPr>
        <w:t xml:space="preserve">SCT </w:t>
      </w:r>
      <w:r w:rsidRPr="00076DCD">
        <w:rPr>
          <w:rFonts w:ascii="Arial" w:eastAsia="Times New Roman" w:hAnsi="Arial" w:cs="Arial"/>
          <w:sz w:val="20"/>
          <w:szCs w:val="20"/>
          <w:lang w:eastAsia="zh-CN"/>
        </w:rPr>
        <w:t>La Planicie-Industriales</w:t>
      </w:r>
      <w:r w:rsidRPr="00076DCD">
        <w:rPr>
          <w:rFonts w:ascii="Arial" w:hAnsi="Arial" w:cs="Arial"/>
          <w:sz w:val="20"/>
        </w:rPr>
        <w:t xml:space="preserve"> y Subestaciones Asociadas, cuya infraestructura eléctrica está descrita en el Anexo N° 1.</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Oferta:</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la oferta presentada por el Postor a través del Formulario N° 4 de las Bases.</w:t>
      </w:r>
    </w:p>
    <w:p w:rsidR="00AF6615" w:rsidRPr="00076DCD" w:rsidRDefault="0054392C"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Operador Calificado</w:t>
      </w:r>
      <w:r w:rsidR="00AF6615" w:rsidRPr="00076DCD">
        <w:rPr>
          <w:rFonts w:ascii="Arial" w:hAnsi="Arial" w:cs="Arial"/>
          <w:sz w:val="20"/>
          <w:u w:val="single"/>
        </w:rPr>
        <w:t>:</w:t>
      </w:r>
    </w:p>
    <w:p w:rsidR="00AF6615" w:rsidRPr="00076DCD" w:rsidRDefault="0054392C"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Operador que ha sido declarado como tal, en razón de haber probado que cumple con los requisitos técnicos de Calificación.</w:t>
      </w:r>
      <w:r w:rsidR="00AF6615" w:rsidRPr="00076DCD">
        <w:rPr>
          <w:rFonts w:ascii="Arial" w:hAnsi="Arial" w:cs="Arial"/>
          <w:sz w:val="20"/>
        </w:rPr>
        <w:t>.</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OSINERGMIN:</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Organismo Supervisor de la Inversión en Energía y Minería, o la persona de derecho público o privado que lo suceda o que sea designada por éste para realizar la inspección y evaluación de las actividades de la Sociedad Concesionaria.</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Parte:</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según sea el caso, el Concedente o la Sociedad Concesionaria.</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Partes:</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Son, conjuntamente, el Concedente y la Sociedad Concesionaria.</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Participación Mínima:</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Es el veinticinco por ciento (25%) del capital social suscrito y pagado de la Sociedad Concesionaria que corresponde al </w:t>
      </w:r>
      <w:r w:rsidR="0054392C" w:rsidRPr="00076DCD">
        <w:rPr>
          <w:rFonts w:ascii="Arial" w:hAnsi="Arial" w:cs="Arial"/>
          <w:sz w:val="20"/>
        </w:rPr>
        <w:t>Operador Calificado</w:t>
      </w:r>
      <w:r w:rsidR="00B11E63" w:rsidRPr="00076DCD">
        <w:rPr>
          <w:rFonts w:ascii="Arial" w:hAnsi="Arial" w:cs="Arial"/>
          <w:sz w:val="20"/>
        </w:rPr>
        <w:t xml:space="preserve"> </w:t>
      </w:r>
      <w:r w:rsidRPr="00076DCD">
        <w:rPr>
          <w:rFonts w:ascii="Arial" w:hAnsi="Arial" w:cs="Arial"/>
          <w:sz w:val="20"/>
        </w:rPr>
        <w:t>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Persona:</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cualquier persona jurídica, nacional o extranjera, que puede realizar actos jurídicos y asumir obligaciones en el Perú.</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Puesta en Operación Comercial o “POC”:</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Es la fecha a partir de la cual la Sociedad Concesionaria comienza a prestar el Servicio y está autorizada a cobrar </w:t>
      </w:r>
      <w:r w:rsidR="005027B5" w:rsidRPr="00076DCD">
        <w:rPr>
          <w:rFonts w:ascii="Arial" w:hAnsi="Arial" w:cs="Arial"/>
          <w:sz w:val="20"/>
        </w:rPr>
        <w:t>el Costo Medio Anual</w:t>
      </w:r>
      <w:r w:rsidRPr="00076DCD">
        <w:rPr>
          <w:rFonts w:ascii="Arial" w:hAnsi="Arial" w:cs="Arial"/>
          <w:sz w:val="20"/>
        </w:rPr>
        <w:t>. Dicha fecha será la consignada en el Acta a que se refiere la Cláusula 5.4</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Reglamento: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Reglamento de Transmisión aprobado por Decreto Supremo Nº 027-2007-EM, así como sus normas complementarias y modificatorias.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SEIN:</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Sistema Eléctrico Interconectado Nacional.</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Servicio: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el servicio público de transmisión de energía eléctrica a ser prestado por la Sociedad Concesionaria a través de la Línea Eléctrica bajo los términos del Contrato y las Leyes Aplicables.</w:t>
      </w:r>
    </w:p>
    <w:p w:rsidR="00E024E4" w:rsidRDefault="00E024E4">
      <w:pPr>
        <w:rPr>
          <w:rFonts w:ascii="Arial" w:hAnsi="Arial" w:cs="Arial"/>
          <w:sz w:val="20"/>
          <w:u w:val="single"/>
        </w:rPr>
      </w:pPr>
      <w:r>
        <w:rPr>
          <w:rFonts w:ascii="Arial" w:hAnsi="Arial" w:cs="Arial"/>
          <w:sz w:val="20"/>
          <w:u w:val="single"/>
        </w:rPr>
        <w:br w:type="page"/>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lastRenderedPageBreak/>
        <w:t>Sociedad Concesionaria:</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Es la persona jurídica pre-existente o una sociedad constituida al efecto en la que el Operador Calificado es titular de la Participación Mínima. Suscribirá el Contrato con el Concedente.</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TUO:</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Norma aprobada por Decreto Supremo N° 059-96-PCM y sus normas complementarias y modificatorias.</w:t>
      </w:r>
    </w:p>
    <w:p w:rsidR="00AF6615" w:rsidRPr="00076DCD" w:rsidRDefault="00AF6615" w:rsidP="00B07EB1">
      <w:pPr>
        <w:widowControl w:val="0"/>
        <w:numPr>
          <w:ilvl w:val="0"/>
          <w:numId w:val="32"/>
        </w:numPr>
        <w:suppressLineNumbers/>
        <w:tabs>
          <w:tab w:val="clear" w:pos="930"/>
        </w:tabs>
        <w:suppressAutoHyphens/>
        <w:spacing w:before="80" w:after="0" w:line="257" w:lineRule="auto"/>
        <w:ind w:left="567" w:hanging="567"/>
        <w:jc w:val="both"/>
        <w:rPr>
          <w:rFonts w:ascii="Arial" w:hAnsi="Arial" w:cs="Arial"/>
          <w:sz w:val="20"/>
          <w:u w:val="single"/>
        </w:rPr>
      </w:pPr>
      <w:r w:rsidRPr="00076DCD">
        <w:rPr>
          <w:rFonts w:ascii="Arial" w:hAnsi="Arial" w:cs="Arial"/>
          <w:sz w:val="20"/>
          <w:u w:val="single"/>
        </w:rPr>
        <w:t xml:space="preserve">Valor Contable: </w:t>
      </w:r>
    </w:p>
    <w:p w:rsidR="00AF6615" w:rsidRPr="00076DCD" w:rsidRDefault="00AF6615" w:rsidP="00B07EB1">
      <w:pPr>
        <w:widowControl w:val="0"/>
        <w:suppressLineNumbers/>
        <w:suppressAutoHyphens/>
        <w:spacing w:before="80" w:after="0" w:line="257" w:lineRule="auto"/>
        <w:ind w:left="567"/>
        <w:jc w:val="both"/>
        <w:rPr>
          <w:rFonts w:ascii="Arial" w:hAnsi="Arial" w:cs="Arial"/>
          <w:sz w:val="20"/>
        </w:rPr>
      </w:pPr>
      <w:r w:rsidRPr="00076DCD">
        <w:rPr>
          <w:rFonts w:ascii="Arial" w:hAnsi="Arial" w:cs="Arial"/>
          <w:sz w:val="20"/>
        </w:rPr>
        <w:t xml:space="preserve">Independientemente del valor establecido para fines tributarios o para cualquier otro fin, para el Contrato “valor contable” es el valor en libros de los Bienes de la Concesión expresado en </w:t>
      </w:r>
      <w:r w:rsidR="003E210F" w:rsidRPr="00076DCD">
        <w:rPr>
          <w:rFonts w:ascii="Arial" w:hAnsi="Arial" w:cs="Arial"/>
          <w:sz w:val="20"/>
        </w:rPr>
        <w:t>D</w:t>
      </w:r>
      <w:r w:rsidR="00624CE9" w:rsidRPr="00076DCD">
        <w:rPr>
          <w:rFonts w:ascii="Arial" w:hAnsi="Arial" w:cs="Arial"/>
          <w:sz w:val="20"/>
        </w:rPr>
        <w:t>ólares</w:t>
      </w:r>
      <w:r w:rsidRPr="00076DCD">
        <w:rPr>
          <w:rFonts w:ascii="Arial" w:hAnsi="Arial" w:cs="Arial"/>
          <w:sz w:val="20"/>
        </w:rPr>
        <w:t xml:space="preserve">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after="0" w:line="257" w:lineRule="auto"/>
        <w:jc w:val="center"/>
        <w:outlineLvl w:val="0"/>
        <w:rPr>
          <w:rFonts w:ascii="Arial" w:eastAsia="Times New Roman" w:hAnsi="Arial" w:cs="Arial"/>
          <w:b/>
          <w:sz w:val="26"/>
          <w:szCs w:val="26"/>
          <w:u w:val="single"/>
          <w:lang w:val="es-ES" w:eastAsia="zh-CN"/>
        </w:rPr>
      </w:pPr>
      <w:r w:rsidRPr="00076DCD">
        <w:rPr>
          <w:rFonts w:ascii="Arial" w:eastAsia="Times New Roman" w:hAnsi="Arial" w:cs="Arial"/>
          <w:b/>
          <w:sz w:val="26"/>
          <w:szCs w:val="26"/>
          <w:lang w:val="es-ES" w:eastAsia="zh-CN"/>
        </w:rPr>
        <w:br w:type="page"/>
      </w:r>
      <w:r w:rsidRPr="00076DCD">
        <w:rPr>
          <w:rFonts w:ascii="Arial" w:eastAsia="Times New Roman" w:hAnsi="Arial" w:cs="Arial"/>
          <w:b/>
          <w:sz w:val="26"/>
          <w:szCs w:val="26"/>
          <w:u w:val="single"/>
          <w:lang w:val="es-ES" w:eastAsia="zh-CN"/>
        </w:rPr>
        <w:lastRenderedPageBreak/>
        <w:t>Anexo Nº 4</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before="360" w:after="0" w:line="257" w:lineRule="auto"/>
        <w:jc w:val="center"/>
        <w:outlineLvl w:val="0"/>
        <w:rPr>
          <w:rFonts w:ascii="Arial" w:eastAsia="Times New Roman" w:hAnsi="Arial" w:cs="Arial"/>
          <w:b/>
          <w:sz w:val="26"/>
          <w:szCs w:val="26"/>
          <w:lang w:val="es-ES" w:eastAsia="zh-CN"/>
        </w:rPr>
      </w:pPr>
      <w:r w:rsidRPr="00076DCD">
        <w:rPr>
          <w:rFonts w:ascii="Arial" w:eastAsia="Times New Roman" w:hAnsi="Arial" w:cs="Arial"/>
          <w:b/>
          <w:sz w:val="26"/>
          <w:szCs w:val="26"/>
          <w:lang w:val="es-ES" w:eastAsia="zh-CN"/>
        </w:rPr>
        <w:t xml:space="preserve">Formato de </w:t>
      </w:r>
      <w:r w:rsidRPr="00076DCD">
        <w:rPr>
          <w:rFonts w:ascii="Arial" w:eastAsia="Times New Roman" w:hAnsi="Arial" w:cs="Arial"/>
          <w:b/>
          <w:sz w:val="26"/>
          <w:szCs w:val="26"/>
          <w:lang w:eastAsia="zh-CN"/>
        </w:rPr>
        <w:t>Garantía de Fiel Cumplimiento</w:t>
      </w:r>
    </w:p>
    <w:p w:rsidR="00AF6615" w:rsidRPr="00076DCD" w:rsidRDefault="00AF6615" w:rsidP="00B07EB1">
      <w:pPr>
        <w:widowControl w:val="0"/>
        <w:suppressLineNumbers/>
        <w:suppressAutoHyphens/>
        <w:spacing w:before="360" w:after="0" w:line="257" w:lineRule="auto"/>
        <w:jc w:val="right"/>
        <w:outlineLvl w:val="0"/>
        <w:rPr>
          <w:rFonts w:ascii="Arial" w:hAnsi="Arial" w:cs="Arial"/>
          <w:sz w:val="20"/>
        </w:rPr>
      </w:pPr>
      <w:r w:rsidRPr="00076DCD">
        <w:rPr>
          <w:rFonts w:ascii="Arial" w:hAnsi="Arial" w:cs="Arial"/>
          <w:sz w:val="20"/>
          <w:u w:val="single"/>
        </w:rPr>
        <w:t>. (ciudad) ,</w:t>
      </w:r>
      <w:r w:rsidRPr="00076DCD">
        <w:rPr>
          <w:rFonts w:ascii="Arial" w:hAnsi="Arial" w:cs="Arial"/>
          <w:sz w:val="20"/>
        </w:rPr>
        <w:t xml:space="preserve"> __ de ________ de </w:t>
      </w:r>
      <w:r w:rsidRPr="00076DCD">
        <w:rPr>
          <w:rFonts w:ascii="Arial" w:eastAsia="Times New Roman" w:hAnsi="Arial" w:cs="Arial"/>
          <w:sz w:val="20"/>
          <w:szCs w:val="20"/>
          <w:lang w:eastAsia="zh-CN"/>
        </w:rPr>
        <w:t>201</w:t>
      </w:r>
      <w:r w:rsidR="00B11E63" w:rsidRPr="00076DCD">
        <w:rPr>
          <w:rFonts w:ascii="Arial" w:eastAsia="Times New Roman" w:hAnsi="Arial" w:cs="Arial"/>
          <w:sz w:val="20"/>
          <w:szCs w:val="20"/>
          <w:lang w:eastAsia="zh-CN"/>
        </w:rPr>
        <w:t>4</w:t>
      </w:r>
    </w:p>
    <w:p w:rsidR="00AF6615" w:rsidRPr="00076DCD" w:rsidRDefault="00AF6615" w:rsidP="00B07EB1">
      <w:pPr>
        <w:widowControl w:val="0"/>
        <w:suppressLineNumbers/>
        <w:suppressAutoHyphens/>
        <w:spacing w:before="240" w:after="0" w:line="257" w:lineRule="auto"/>
        <w:jc w:val="both"/>
        <w:outlineLvl w:val="0"/>
        <w:rPr>
          <w:rFonts w:ascii="Arial" w:hAnsi="Arial" w:cs="Arial"/>
          <w:sz w:val="20"/>
        </w:rPr>
      </w:pPr>
      <w:r w:rsidRPr="00076DCD">
        <w:rPr>
          <w:rFonts w:ascii="Arial" w:hAnsi="Arial" w:cs="Arial"/>
          <w:sz w:val="20"/>
        </w:rPr>
        <w:t>Señores</w:t>
      </w:r>
    </w:p>
    <w:p w:rsidR="00AF6615" w:rsidRPr="00076DCD" w:rsidRDefault="00AF6615" w:rsidP="00B07EB1">
      <w:pPr>
        <w:widowControl w:val="0"/>
        <w:suppressLineNumbers/>
        <w:suppressAutoHyphens/>
        <w:spacing w:after="0" w:line="257" w:lineRule="auto"/>
        <w:jc w:val="both"/>
        <w:rPr>
          <w:rFonts w:ascii="Arial" w:hAnsi="Arial" w:cs="Arial"/>
          <w:b/>
          <w:sz w:val="20"/>
        </w:rPr>
      </w:pPr>
      <w:r w:rsidRPr="00076DCD">
        <w:rPr>
          <w:rFonts w:ascii="Arial" w:hAnsi="Arial" w:cs="Arial"/>
          <w:b/>
          <w:sz w:val="20"/>
        </w:rPr>
        <w:t>MINISTERIO DE ENERGÍA Y MINAS</w:t>
      </w:r>
    </w:p>
    <w:p w:rsidR="00AF6615" w:rsidRPr="00076DCD" w:rsidRDefault="00AF6615" w:rsidP="00B07EB1">
      <w:pPr>
        <w:widowControl w:val="0"/>
        <w:suppressLineNumbers/>
        <w:suppressAutoHyphens/>
        <w:spacing w:after="0" w:line="257" w:lineRule="auto"/>
        <w:jc w:val="both"/>
        <w:rPr>
          <w:rFonts w:ascii="Arial" w:hAnsi="Arial" w:cs="Arial"/>
          <w:sz w:val="20"/>
        </w:rPr>
      </w:pPr>
      <w:r w:rsidRPr="00076DCD">
        <w:rPr>
          <w:rFonts w:ascii="Arial" w:hAnsi="Arial" w:cs="Arial"/>
          <w:sz w:val="20"/>
        </w:rPr>
        <w:t>Av. de las Artes Sur Nº 260, San Borja</w:t>
      </w:r>
    </w:p>
    <w:p w:rsidR="00AF6615" w:rsidRPr="00076DCD" w:rsidRDefault="00AF6615" w:rsidP="00B07EB1">
      <w:pPr>
        <w:widowControl w:val="0"/>
        <w:suppressLineNumbers/>
        <w:suppressAutoHyphens/>
        <w:spacing w:after="0" w:line="257" w:lineRule="auto"/>
        <w:jc w:val="both"/>
        <w:rPr>
          <w:rFonts w:ascii="Arial" w:hAnsi="Arial" w:cs="Arial"/>
          <w:sz w:val="20"/>
        </w:rPr>
      </w:pPr>
      <w:r w:rsidRPr="00076DCD">
        <w:rPr>
          <w:rFonts w:ascii="Arial" w:hAnsi="Arial" w:cs="Arial"/>
          <w:sz w:val="20"/>
        </w:rPr>
        <w:t>Perú.-</w:t>
      </w:r>
    </w:p>
    <w:p w:rsidR="00AF6615" w:rsidRPr="00076DCD" w:rsidRDefault="00AF6615" w:rsidP="00E024E4">
      <w:pPr>
        <w:widowControl w:val="0"/>
        <w:suppressLineNumbers/>
        <w:tabs>
          <w:tab w:val="left" w:pos="-2000"/>
        </w:tabs>
        <w:suppressAutoHyphens/>
        <w:spacing w:before="240" w:after="240" w:line="257" w:lineRule="auto"/>
        <w:ind w:left="5670" w:hanging="1418"/>
        <w:jc w:val="both"/>
        <w:outlineLvl w:val="0"/>
        <w:rPr>
          <w:rFonts w:ascii="Arial" w:hAnsi="Arial" w:cs="Arial"/>
          <w:sz w:val="20"/>
        </w:rPr>
      </w:pPr>
      <w:r w:rsidRPr="00076DCD">
        <w:rPr>
          <w:rFonts w:ascii="Arial" w:hAnsi="Arial" w:cs="Arial"/>
          <w:sz w:val="20"/>
        </w:rPr>
        <w:t>Referencia:</w:t>
      </w:r>
      <w:r w:rsidRPr="00076DCD">
        <w:rPr>
          <w:rFonts w:ascii="Arial" w:hAnsi="Arial" w:cs="Arial"/>
          <w:sz w:val="20"/>
        </w:rPr>
        <w:tab/>
        <w:t xml:space="preserve">Contrato de Concesión </w:t>
      </w:r>
      <w:r w:rsidRPr="00076DCD">
        <w:rPr>
          <w:rFonts w:ascii="Arial" w:eastAsia="Times New Roman" w:hAnsi="Arial" w:cs="Arial"/>
          <w:sz w:val="20"/>
          <w:szCs w:val="20"/>
          <w:lang w:eastAsia="zh-CN"/>
        </w:rPr>
        <w:t>SCT</w:t>
      </w:r>
      <w:r w:rsidRPr="00076DCD">
        <w:rPr>
          <w:rFonts w:ascii="Arial" w:hAnsi="Arial" w:cs="Arial"/>
          <w:sz w:val="20"/>
        </w:rPr>
        <w:t xml:space="preserve"> “LT </w:t>
      </w:r>
      <w:r w:rsidRPr="00076DCD">
        <w:rPr>
          <w:rFonts w:ascii="Arial" w:eastAsia="Times New Roman" w:hAnsi="Arial" w:cs="Arial"/>
          <w:sz w:val="20"/>
          <w:szCs w:val="20"/>
          <w:lang w:eastAsia="zh-CN"/>
        </w:rPr>
        <w:t>220</w:t>
      </w:r>
      <w:r w:rsidRPr="00076DCD">
        <w:rPr>
          <w:rFonts w:ascii="Arial" w:hAnsi="Arial" w:cs="Arial"/>
          <w:sz w:val="20"/>
        </w:rPr>
        <w:t xml:space="preserve"> kV </w:t>
      </w:r>
      <w:r w:rsidRPr="00076DCD">
        <w:rPr>
          <w:rFonts w:ascii="Arial" w:eastAsia="Times New Roman" w:hAnsi="Arial" w:cs="Arial"/>
          <w:sz w:val="20"/>
          <w:szCs w:val="20"/>
          <w:lang w:eastAsia="zh-CN"/>
        </w:rPr>
        <w:t>La Planicie-Industriales</w:t>
      </w:r>
      <w:r w:rsidRPr="00076DCD">
        <w:rPr>
          <w:rFonts w:ascii="Arial" w:hAnsi="Arial" w:cs="Arial"/>
          <w:sz w:val="20"/>
        </w:rPr>
        <w:t xml:space="preserve"> y Subestaciones Asociadas”.</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Por la presente</w:t>
      </w:r>
      <w:r w:rsidRPr="00076DCD">
        <w:rPr>
          <w:rFonts w:ascii="Arial" w:hAnsi="Arial" w:cs="Arial"/>
          <w:color w:val="000000"/>
          <w:sz w:val="20"/>
        </w:rPr>
        <w:t>,</w:t>
      </w:r>
      <w:r w:rsidRPr="00076DCD">
        <w:rPr>
          <w:rFonts w:ascii="Arial" w:hAnsi="Arial" w:cs="Arial"/>
          <w:sz w:val="20"/>
        </w:rPr>
        <w:t xml:space="preserve"> y a solicitud de nuestros clientes, señores __________, constituimos esta fianza solidaria, irrevocable, incondicional, sin beneficio de excusión y de realización automática, por la suma de </w:t>
      </w:r>
      <w:r w:rsidR="00FA257D" w:rsidRPr="00076DCD">
        <w:rPr>
          <w:rFonts w:ascii="Arial" w:hAnsi="Arial" w:cs="Arial"/>
          <w:sz w:val="20"/>
        </w:rPr>
        <w:t xml:space="preserve">Seis </w:t>
      </w:r>
      <w:r w:rsidRPr="00076DCD">
        <w:rPr>
          <w:rFonts w:ascii="Arial" w:hAnsi="Arial" w:cs="Arial"/>
          <w:sz w:val="20"/>
        </w:rPr>
        <w:t xml:space="preserve">millones </w:t>
      </w:r>
      <w:r w:rsidRPr="00076DCD">
        <w:rPr>
          <w:rFonts w:ascii="Arial" w:eastAsia="Times New Roman" w:hAnsi="Arial" w:cs="Arial"/>
          <w:sz w:val="20"/>
          <w:szCs w:val="20"/>
          <w:lang w:eastAsia="zh-CN"/>
        </w:rPr>
        <w:t>de</w:t>
      </w:r>
      <w:r w:rsidRPr="00076DCD">
        <w:rPr>
          <w:rFonts w:ascii="Arial" w:hAnsi="Arial" w:cs="Arial"/>
          <w:sz w:val="20"/>
        </w:rPr>
        <w:t xml:space="preserve"> Dólares (US$ </w:t>
      </w:r>
      <w:r w:rsidR="00FA257D" w:rsidRPr="00076DCD">
        <w:rPr>
          <w:rFonts w:ascii="Arial" w:hAnsi="Arial" w:cs="Arial"/>
          <w:sz w:val="20"/>
        </w:rPr>
        <w:t>6</w:t>
      </w:r>
      <w:r w:rsidRPr="00076DCD">
        <w:rPr>
          <w:rFonts w:ascii="Arial" w:eastAsia="Times New Roman" w:hAnsi="Arial" w:cs="Arial"/>
          <w:sz w:val="20"/>
          <w:szCs w:val="20"/>
          <w:lang w:eastAsia="zh-CN"/>
        </w:rPr>
        <w:t xml:space="preserve"> 000</w:t>
      </w:r>
      <w:r w:rsidRPr="00076DCD">
        <w:rPr>
          <w:rFonts w:ascii="Arial" w:hAnsi="Arial" w:cs="Arial"/>
          <w:sz w:val="20"/>
        </w:rPr>
        <w:t xml:space="preserve"> 000) a favor de ustedes, para garantizar que ____ (la Sociedad Concesionaria)____, cumpla con el oportuno y correcto cumplimiento de todas y cada una de las obligaciones a cargo de ésta, según el Contrato de la referencia, así como que efectúe el pago de las sanciones que estipula el mismo Contrato.</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 xml:space="preserve">El pago de esta garantía se hará efectivo de manera automática y sin necesidad de acto posterior por parte de ustedes, al recibir nosotros una solicitud escrita en tal sentido, por conducto notarial, </w:t>
      </w:r>
      <w:r w:rsidR="0075620A" w:rsidRPr="00076DCD">
        <w:rPr>
          <w:rFonts w:ascii="Arial" w:hAnsi="Arial" w:cs="Arial"/>
          <w:sz w:val="20"/>
        </w:rPr>
        <w:t>dentro de los quince (15) días siguientes a la expiración del plazo de vencimiento de esta carta Fianza,</w:t>
      </w:r>
      <w:r w:rsidR="00FD7709" w:rsidRPr="00076DCD">
        <w:rPr>
          <w:rFonts w:ascii="Arial" w:hAnsi="Arial" w:cs="Arial"/>
          <w:sz w:val="20"/>
        </w:rPr>
        <w:t xml:space="preserve"> </w:t>
      </w:r>
      <w:r w:rsidRPr="00076DCD">
        <w:rPr>
          <w:rFonts w:ascii="Arial" w:hAnsi="Arial" w:cs="Arial"/>
          <w:sz w:val="20"/>
        </w:rPr>
        <w:t xml:space="preserve">la cual deberá estar firmada por el Director General de </w:t>
      </w:r>
      <w:r w:rsidR="00FD7709" w:rsidRPr="00076DCD">
        <w:rPr>
          <w:rFonts w:ascii="Arial" w:hAnsi="Arial" w:cs="Arial"/>
          <w:sz w:val="20"/>
        </w:rPr>
        <w:t>Administración</w:t>
      </w:r>
      <w:r w:rsidRPr="00076DCD">
        <w:rPr>
          <w:rFonts w:ascii="Arial" w:hAnsi="Arial" w:cs="Arial"/>
          <w:sz w:val="20"/>
        </w:rPr>
        <w:t xml:space="preserve"> o de quien haga sus veces  y enviada a la  [incluir oficina y dirección].</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El plazo de vigencia de esta garantía será de doce (12) meses, contado a partir de _______(la fecha de Cierre)_________y su vencimiento es el …………………………………..</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Cualquier demora de nuestra parte para pagar el monto de esta garantía, a partir de la fecha en que sea requerida por ustedes</w:t>
      </w:r>
      <w:r w:rsidRPr="00076DCD">
        <w:rPr>
          <w:rFonts w:ascii="Arial" w:hAnsi="Arial" w:cs="Arial"/>
          <w:color w:val="000000"/>
          <w:sz w:val="20"/>
        </w:rPr>
        <w:t>,</w:t>
      </w:r>
      <w:r w:rsidRPr="00076DCD">
        <w:rPr>
          <w:rFonts w:ascii="Arial" w:hAnsi="Arial" w:cs="Arial"/>
          <w:sz w:val="20"/>
        </w:rPr>
        <w:t xml:space="preserve"> conforme a los términos que aquí se indican, devengará un interés equivalente a la tasa LIBOR a un año</w:t>
      </w:r>
      <w:r w:rsidRPr="00076DCD">
        <w:rPr>
          <w:rFonts w:ascii="Arial" w:hAnsi="Arial" w:cs="Arial"/>
          <w:color w:val="000000"/>
          <w:sz w:val="20"/>
        </w:rPr>
        <w:t>,</w:t>
      </w:r>
      <w:r w:rsidRPr="00076DCD">
        <w:rPr>
          <w:rFonts w:ascii="Arial" w:hAnsi="Arial" w:cs="Arial"/>
          <w:sz w:val="20"/>
        </w:rPr>
        <w:t xml:space="preserve"> más un margen de </w:t>
      </w:r>
      <w:r w:rsidR="009F11E2" w:rsidRPr="00076DCD">
        <w:rPr>
          <w:rFonts w:ascii="Arial" w:hAnsi="Arial" w:cs="Arial"/>
          <w:sz w:val="20"/>
        </w:rPr>
        <w:t xml:space="preserve">diez </w:t>
      </w:r>
      <w:r w:rsidRPr="00076DCD">
        <w:rPr>
          <w:rFonts w:ascii="Arial" w:hAnsi="Arial" w:cs="Arial"/>
          <w:sz w:val="20"/>
        </w:rPr>
        <w:t>por ciento (</w:t>
      </w:r>
      <w:r w:rsidR="009F11E2" w:rsidRPr="00076DCD">
        <w:rPr>
          <w:rFonts w:ascii="Arial" w:hAnsi="Arial" w:cs="Arial"/>
          <w:sz w:val="20"/>
        </w:rPr>
        <w:t>10</w:t>
      </w:r>
      <w:r w:rsidRPr="00076DCD">
        <w:rPr>
          <w:rFonts w:ascii="Arial" w:hAnsi="Arial" w:cs="Arial"/>
          <w:sz w:val="20"/>
        </w:rPr>
        <w:t>%). La tasa LIBOR aplicable será la establecida por el Cable Reuter diario a horas 05:00 p.m. de Londres, debiendo devengarse los intereses a partir de la fecha en que sea exigido su cumplimiento y hasta la fecha efectiva de pago.</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Salvo indicación expresa en sentido contrario, los términos utilizados en esta garantía tienen el mismo significado que se les atribuye en las Bases.</w:t>
      </w:r>
    </w:p>
    <w:p w:rsidR="00AF6615" w:rsidRPr="00076DCD" w:rsidRDefault="00AF6615" w:rsidP="00B07EB1">
      <w:pPr>
        <w:widowControl w:val="0"/>
        <w:suppressLineNumbers/>
        <w:suppressAutoHyphens/>
        <w:spacing w:before="360" w:after="0" w:line="257" w:lineRule="auto"/>
        <w:jc w:val="both"/>
        <w:rPr>
          <w:rFonts w:ascii="Arial" w:hAnsi="Arial" w:cs="Arial"/>
          <w:sz w:val="20"/>
          <w:lang w:val="es-ES"/>
        </w:rPr>
      </w:pPr>
      <w:r w:rsidRPr="00076DCD">
        <w:rPr>
          <w:rFonts w:ascii="Arial" w:hAnsi="Arial" w:cs="Arial"/>
          <w:sz w:val="20"/>
          <w:lang w:val="es-ES"/>
        </w:rPr>
        <w:t>Atentamente,</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after="0" w:line="257" w:lineRule="auto"/>
        <w:jc w:val="center"/>
        <w:outlineLvl w:val="0"/>
        <w:rPr>
          <w:rFonts w:ascii="Arial" w:eastAsia="Times New Roman" w:hAnsi="Arial" w:cs="Arial"/>
          <w:b/>
          <w:sz w:val="26"/>
          <w:szCs w:val="26"/>
          <w:u w:val="single"/>
          <w:lang w:val="es-ES" w:eastAsia="zh-CN"/>
        </w:rPr>
      </w:pPr>
      <w:r w:rsidRPr="00076DCD">
        <w:rPr>
          <w:rFonts w:ascii="Arial" w:hAnsi="Arial" w:cs="Arial"/>
          <w:sz w:val="20"/>
          <w:lang w:val="es-ES"/>
        </w:rPr>
        <w:br w:type="page"/>
      </w:r>
      <w:r w:rsidRPr="00076DCD">
        <w:rPr>
          <w:rFonts w:ascii="Arial" w:eastAsia="Times New Roman" w:hAnsi="Arial" w:cs="Arial"/>
          <w:b/>
          <w:sz w:val="26"/>
          <w:szCs w:val="26"/>
          <w:u w:val="single"/>
          <w:lang w:val="es-ES" w:eastAsia="zh-CN"/>
        </w:rPr>
        <w:lastRenderedPageBreak/>
        <w:t>Anexo Nº 4-A</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before="360" w:after="0" w:line="257" w:lineRule="auto"/>
        <w:jc w:val="center"/>
        <w:outlineLvl w:val="0"/>
        <w:rPr>
          <w:rFonts w:ascii="Arial" w:eastAsia="Times New Roman" w:hAnsi="Arial" w:cs="Arial"/>
          <w:b/>
          <w:sz w:val="26"/>
          <w:szCs w:val="26"/>
          <w:lang w:val="es-ES" w:eastAsia="zh-CN"/>
        </w:rPr>
      </w:pPr>
      <w:r w:rsidRPr="00076DCD">
        <w:rPr>
          <w:rFonts w:ascii="Arial" w:eastAsia="Times New Roman" w:hAnsi="Arial" w:cs="Arial"/>
          <w:b/>
          <w:sz w:val="26"/>
          <w:szCs w:val="26"/>
          <w:lang w:val="es-ES" w:eastAsia="zh-CN"/>
        </w:rPr>
        <w:t xml:space="preserve">Formato de </w:t>
      </w:r>
      <w:r w:rsidRPr="00076DCD">
        <w:rPr>
          <w:rFonts w:ascii="Arial" w:eastAsia="Times New Roman" w:hAnsi="Arial" w:cs="Arial"/>
          <w:b/>
          <w:sz w:val="26"/>
          <w:szCs w:val="26"/>
          <w:lang w:eastAsia="zh-CN"/>
        </w:rPr>
        <w:t>Garantía de Operación</w:t>
      </w:r>
    </w:p>
    <w:p w:rsidR="00AF6615" w:rsidRPr="00076DCD" w:rsidRDefault="00AF6615" w:rsidP="00B07EB1">
      <w:pPr>
        <w:widowControl w:val="0"/>
        <w:suppressLineNumbers/>
        <w:tabs>
          <w:tab w:val="left" w:pos="567"/>
          <w:tab w:val="left" w:pos="1134"/>
          <w:tab w:val="left" w:pos="1701"/>
          <w:tab w:val="left" w:pos="2268"/>
          <w:tab w:val="left" w:pos="2835"/>
        </w:tabs>
        <w:suppressAutoHyphens/>
        <w:spacing w:before="360" w:after="0" w:line="257" w:lineRule="auto"/>
        <w:jc w:val="right"/>
        <w:outlineLvl w:val="0"/>
        <w:rPr>
          <w:rFonts w:ascii="Arial" w:hAnsi="Arial" w:cs="Arial"/>
          <w:sz w:val="20"/>
        </w:rPr>
      </w:pPr>
      <w:r w:rsidRPr="00076DCD">
        <w:rPr>
          <w:rFonts w:ascii="Arial" w:hAnsi="Arial" w:cs="Arial"/>
          <w:sz w:val="20"/>
          <w:u w:val="single"/>
        </w:rPr>
        <w:t>. (ciudad) ,</w:t>
      </w:r>
      <w:r w:rsidRPr="00076DCD">
        <w:rPr>
          <w:rFonts w:ascii="Arial" w:hAnsi="Arial" w:cs="Arial"/>
          <w:sz w:val="20"/>
        </w:rPr>
        <w:t xml:space="preserve"> __ de ________ de </w:t>
      </w:r>
      <w:r w:rsidRPr="00076DCD">
        <w:rPr>
          <w:rFonts w:ascii="Arial" w:eastAsia="Times New Roman" w:hAnsi="Arial" w:cs="Arial"/>
          <w:sz w:val="20"/>
          <w:szCs w:val="20"/>
          <w:lang w:eastAsia="zh-CN"/>
        </w:rPr>
        <w:t>201</w:t>
      </w:r>
      <w:r w:rsidR="0074762D" w:rsidRPr="00076DCD">
        <w:rPr>
          <w:rFonts w:ascii="Arial" w:eastAsia="Times New Roman" w:hAnsi="Arial" w:cs="Arial"/>
          <w:sz w:val="20"/>
          <w:szCs w:val="20"/>
          <w:lang w:eastAsia="zh-CN"/>
        </w:rPr>
        <w:t>…</w:t>
      </w:r>
    </w:p>
    <w:p w:rsidR="00AF6615" w:rsidRPr="00076DCD" w:rsidRDefault="00AF6615" w:rsidP="00B07EB1">
      <w:pPr>
        <w:widowControl w:val="0"/>
        <w:suppressLineNumbers/>
        <w:tabs>
          <w:tab w:val="left" w:pos="567"/>
          <w:tab w:val="left" w:pos="1134"/>
          <w:tab w:val="left" w:pos="1701"/>
          <w:tab w:val="left" w:pos="2268"/>
          <w:tab w:val="left" w:pos="2835"/>
        </w:tabs>
        <w:suppressAutoHyphens/>
        <w:spacing w:before="240" w:after="0" w:line="257" w:lineRule="auto"/>
        <w:jc w:val="both"/>
        <w:outlineLvl w:val="0"/>
        <w:rPr>
          <w:rFonts w:ascii="Arial" w:hAnsi="Arial" w:cs="Arial"/>
          <w:sz w:val="20"/>
        </w:rPr>
      </w:pPr>
      <w:r w:rsidRPr="00076DCD">
        <w:rPr>
          <w:rFonts w:ascii="Arial" w:hAnsi="Arial" w:cs="Arial"/>
          <w:sz w:val="20"/>
        </w:rPr>
        <w:t>Señores</w:t>
      </w:r>
    </w:p>
    <w:p w:rsidR="00AF6615" w:rsidRPr="00076DCD" w:rsidRDefault="00AF6615"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b/>
          <w:sz w:val="20"/>
        </w:rPr>
      </w:pPr>
      <w:r w:rsidRPr="00076DCD">
        <w:rPr>
          <w:rFonts w:ascii="Arial" w:hAnsi="Arial" w:cs="Arial"/>
          <w:b/>
          <w:sz w:val="20"/>
        </w:rPr>
        <w:t>MINISTERIO DE ENERGÍA Y MINAS</w:t>
      </w:r>
    </w:p>
    <w:p w:rsidR="00AF6615" w:rsidRPr="00076DCD" w:rsidRDefault="00AF6615"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Av. de las Artes Sur Nº 260, San Borja</w:t>
      </w:r>
    </w:p>
    <w:p w:rsidR="00AF6615" w:rsidRPr="00076DCD" w:rsidRDefault="00AF6615" w:rsidP="00B07EB1">
      <w:pPr>
        <w:widowControl w:val="0"/>
        <w:suppressLineNumbers/>
        <w:tabs>
          <w:tab w:val="left" w:pos="567"/>
          <w:tab w:val="left" w:pos="1134"/>
          <w:tab w:val="left" w:pos="1701"/>
          <w:tab w:val="left" w:pos="2268"/>
          <w:tab w:val="left" w:pos="2835"/>
        </w:tabs>
        <w:suppressAutoHyphens/>
        <w:spacing w:after="0" w:line="257" w:lineRule="auto"/>
        <w:jc w:val="both"/>
        <w:rPr>
          <w:rFonts w:ascii="Arial" w:hAnsi="Arial" w:cs="Arial"/>
          <w:sz w:val="20"/>
        </w:rPr>
      </w:pPr>
      <w:r w:rsidRPr="00076DCD">
        <w:rPr>
          <w:rFonts w:ascii="Arial" w:hAnsi="Arial" w:cs="Arial"/>
          <w:sz w:val="20"/>
        </w:rPr>
        <w:t>Perú.-</w:t>
      </w:r>
    </w:p>
    <w:p w:rsidR="00E024E4" w:rsidRPr="00076DCD" w:rsidRDefault="00E024E4" w:rsidP="00E024E4">
      <w:pPr>
        <w:widowControl w:val="0"/>
        <w:suppressLineNumbers/>
        <w:tabs>
          <w:tab w:val="left" w:pos="-2000"/>
        </w:tabs>
        <w:suppressAutoHyphens/>
        <w:spacing w:before="240" w:after="240" w:line="257" w:lineRule="auto"/>
        <w:ind w:left="5670" w:hanging="1418"/>
        <w:jc w:val="both"/>
        <w:outlineLvl w:val="0"/>
        <w:rPr>
          <w:rFonts w:ascii="Arial" w:hAnsi="Arial" w:cs="Arial"/>
          <w:sz w:val="20"/>
        </w:rPr>
      </w:pPr>
      <w:r w:rsidRPr="00076DCD">
        <w:rPr>
          <w:rFonts w:ascii="Arial" w:hAnsi="Arial" w:cs="Arial"/>
          <w:sz w:val="20"/>
        </w:rPr>
        <w:t>Referencia:</w:t>
      </w:r>
      <w:r w:rsidRPr="00076DCD">
        <w:rPr>
          <w:rFonts w:ascii="Arial" w:hAnsi="Arial" w:cs="Arial"/>
          <w:sz w:val="20"/>
        </w:rPr>
        <w:tab/>
        <w:t xml:space="preserve">Contrato de Concesión </w:t>
      </w:r>
      <w:r w:rsidRPr="00076DCD">
        <w:rPr>
          <w:rFonts w:ascii="Arial" w:eastAsia="Times New Roman" w:hAnsi="Arial" w:cs="Arial"/>
          <w:sz w:val="20"/>
          <w:szCs w:val="20"/>
          <w:lang w:eastAsia="zh-CN"/>
        </w:rPr>
        <w:t>SCT</w:t>
      </w:r>
      <w:r w:rsidRPr="00076DCD">
        <w:rPr>
          <w:rFonts w:ascii="Arial" w:hAnsi="Arial" w:cs="Arial"/>
          <w:sz w:val="20"/>
        </w:rPr>
        <w:t xml:space="preserve"> “LT </w:t>
      </w:r>
      <w:r w:rsidRPr="00076DCD">
        <w:rPr>
          <w:rFonts w:ascii="Arial" w:eastAsia="Times New Roman" w:hAnsi="Arial" w:cs="Arial"/>
          <w:sz w:val="20"/>
          <w:szCs w:val="20"/>
          <w:lang w:eastAsia="zh-CN"/>
        </w:rPr>
        <w:t>220</w:t>
      </w:r>
      <w:r w:rsidRPr="00076DCD">
        <w:rPr>
          <w:rFonts w:ascii="Arial" w:hAnsi="Arial" w:cs="Arial"/>
          <w:sz w:val="20"/>
        </w:rPr>
        <w:t xml:space="preserve"> kV </w:t>
      </w:r>
      <w:r w:rsidRPr="00076DCD">
        <w:rPr>
          <w:rFonts w:ascii="Arial" w:eastAsia="Times New Roman" w:hAnsi="Arial" w:cs="Arial"/>
          <w:sz w:val="20"/>
          <w:szCs w:val="20"/>
          <w:lang w:eastAsia="zh-CN"/>
        </w:rPr>
        <w:t>La Planicie-Industriales</w:t>
      </w:r>
      <w:r w:rsidRPr="00076DCD">
        <w:rPr>
          <w:rFonts w:ascii="Arial" w:hAnsi="Arial" w:cs="Arial"/>
          <w:sz w:val="20"/>
        </w:rPr>
        <w:t xml:space="preserve"> y Subestaciones Asociadas”.</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Por la presente</w:t>
      </w:r>
      <w:r w:rsidRPr="00076DCD">
        <w:rPr>
          <w:rFonts w:ascii="Arial" w:hAnsi="Arial" w:cs="Arial"/>
          <w:color w:val="000000"/>
          <w:sz w:val="20"/>
        </w:rPr>
        <w:t>,</w:t>
      </w:r>
      <w:r w:rsidRPr="00076DCD">
        <w:rPr>
          <w:rFonts w:ascii="Arial" w:hAnsi="Arial" w:cs="Arial"/>
          <w:sz w:val="20"/>
        </w:rPr>
        <w:t xml:space="preserve"> y a solicitud de nuestros clientes, señores __________, constituimos esta fianza solidaria, irrevocable, incondicional, sin beneficio de excusión y de realización automática, por la suma de </w:t>
      </w:r>
      <w:r w:rsidR="00093E9E" w:rsidRPr="00076DCD">
        <w:rPr>
          <w:rFonts w:ascii="Arial" w:hAnsi="Arial" w:cs="Arial"/>
          <w:sz w:val="20"/>
        </w:rPr>
        <w:t xml:space="preserve">Dos </w:t>
      </w:r>
      <w:r w:rsidRPr="00076DCD">
        <w:rPr>
          <w:rFonts w:ascii="Arial" w:hAnsi="Arial" w:cs="Arial"/>
          <w:sz w:val="20"/>
        </w:rPr>
        <w:t xml:space="preserve">millones de Dólares (US$ </w:t>
      </w:r>
      <w:r w:rsidR="00093E9E" w:rsidRPr="00076DCD">
        <w:rPr>
          <w:rFonts w:ascii="Arial" w:hAnsi="Arial" w:cs="Arial"/>
          <w:sz w:val="20"/>
        </w:rPr>
        <w:t>2</w:t>
      </w:r>
      <w:r w:rsidRPr="00076DCD">
        <w:rPr>
          <w:rFonts w:ascii="Arial" w:hAnsi="Arial" w:cs="Arial"/>
          <w:sz w:val="20"/>
        </w:rPr>
        <w:t xml:space="preserve"> 000 000) a favor de ustedes, para garantizar que ____ (la Sociedad Concesionaria)____, cumpla con el oportuno y correcto cumplimiento de todas y cada una de las obligaciones que a ésta corresponden según el Contrato de la referencia.</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 xml:space="preserve">El pago de esta garantía se hará efectivo de manera automática y sin necesidad de acto posterior por parte de ustedes, al recibir nosotros una solicitud escrita en tal sentido, por conducto notarial, </w:t>
      </w:r>
      <w:r w:rsidR="00457786" w:rsidRPr="00076DCD">
        <w:rPr>
          <w:rFonts w:ascii="Arial" w:hAnsi="Arial" w:cs="Arial"/>
          <w:sz w:val="20"/>
        </w:rPr>
        <w:t xml:space="preserve">dentro de los quince (15) días siguientes a la expiración del plazo de vencimiento de esta carta Fianza, </w:t>
      </w:r>
      <w:r w:rsidRPr="00076DCD">
        <w:rPr>
          <w:rFonts w:ascii="Arial" w:hAnsi="Arial" w:cs="Arial"/>
          <w:sz w:val="20"/>
        </w:rPr>
        <w:t xml:space="preserve">la cual deberá estar firmada por el Director General de </w:t>
      </w:r>
      <w:r w:rsidR="00457786" w:rsidRPr="00076DCD">
        <w:rPr>
          <w:rFonts w:ascii="Arial" w:hAnsi="Arial" w:cs="Arial"/>
          <w:sz w:val="20"/>
        </w:rPr>
        <w:t>Administración</w:t>
      </w:r>
      <w:r w:rsidRPr="00076DCD">
        <w:rPr>
          <w:rFonts w:ascii="Arial" w:hAnsi="Arial" w:cs="Arial"/>
          <w:sz w:val="20"/>
        </w:rPr>
        <w:t xml:space="preserve"> o de quien haga sus veces, y enviada a la  [incluir oficina y dirección].</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El plazo de vigencia de esta garantía será de doce (12) meses, contado a partir de la ______(fecha de la Puesta en Operación Comercial de la Línea Eléctrica)_______y su vencimiento es el ……………..</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Cualquier demora de nuestra parte para pagar el monto de esta garantía, a partir de la fecha en que sea requerida por ustedes</w:t>
      </w:r>
      <w:r w:rsidRPr="00076DCD">
        <w:rPr>
          <w:rFonts w:ascii="Arial" w:hAnsi="Arial" w:cs="Arial"/>
          <w:color w:val="000000"/>
          <w:sz w:val="20"/>
        </w:rPr>
        <w:t>,</w:t>
      </w:r>
      <w:r w:rsidRPr="00076DCD">
        <w:rPr>
          <w:rFonts w:ascii="Arial" w:hAnsi="Arial" w:cs="Arial"/>
          <w:sz w:val="20"/>
        </w:rPr>
        <w:t xml:space="preserve"> conforme a los términos que aquí se indican, devengará un interés equivalente a la tasa LIBOR a un año</w:t>
      </w:r>
      <w:r w:rsidRPr="00076DCD">
        <w:rPr>
          <w:rFonts w:ascii="Arial" w:hAnsi="Arial" w:cs="Arial"/>
          <w:color w:val="000000"/>
          <w:sz w:val="20"/>
        </w:rPr>
        <w:t>,</w:t>
      </w:r>
      <w:r w:rsidRPr="00076DCD">
        <w:rPr>
          <w:rFonts w:ascii="Arial" w:hAnsi="Arial" w:cs="Arial"/>
          <w:sz w:val="20"/>
        </w:rPr>
        <w:t xml:space="preserve"> más un margen de </w:t>
      </w:r>
      <w:r w:rsidR="00B57A25" w:rsidRPr="00076DCD">
        <w:rPr>
          <w:rFonts w:ascii="Arial" w:hAnsi="Arial" w:cs="Arial"/>
          <w:sz w:val="20"/>
        </w:rPr>
        <w:t xml:space="preserve">diez </w:t>
      </w:r>
      <w:r w:rsidRPr="00076DCD">
        <w:rPr>
          <w:rFonts w:ascii="Arial" w:hAnsi="Arial" w:cs="Arial"/>
          <w:sz w:val="20"/>
        </w:rPr>
        <w:t>por ciento (</w:t>
      </w:r>
      <w:r w:rsidR="00B57A25" w:rsidRPr="00076DCD">
        <w:rPr>
          <w:rFonts w:ascii="Arial" w:hAnsi="Arial" w:cs="Arial"/>
          <w:sz w:val="20"/>
        </w:rPr>
        <w:t>10</w:t>
      </w:r>
      <w:r w:rsidRPr="00076DCD">
        <w:rPr>
          <w:rFonts w:ascii="Arial" w:hAnsi="Arial" w:cs="Arial"/>
          <w:sz w:val="20"/>
        </w:rPr>
        <w:t>%). La tasa LIBOR aplicable será la establecida por el Cable Reuter diario a horas 05:00 p.m. de Londres, debiendo devengarse los intereses a partir de la fecha en que sea exigido su cumplimiento y hasta la fecha efectiva de pago.</w:t>
      </w:r>
    </w:p>
    <w:p w:rsidR="00AF6615" w:rsidRPr="00076DCD" w:rsidRDefault="00AF6615" w:rsidP="00B07EB1">
      <w:pPr>
        <w:widowControl w:val="0"/>
        <w:suppressLineNumbers/>
        <w:suppressAutoHyphens/>
        <w:spacing w:before="240" w:after="0" w:line="257" w:lineRule="auto"/>
        <w:jc w:val="both"/>
        <w:rPr>
          <w:rFonts w:ascii="Arial" w:hAnsi="Arial" w:cs="Arial"/>
          <w:sz w:val="20"/>
        </w:rPr>
      </w:pPr>
      <w:r w:rsidRPr="00076DCD">
        <w:rPr>
          <w:rFonts w:ascii="Arial" w:hAnsi="Arial" w:cs="Arial"/>
          <w:sz w:val="20"/>
        </w:rPr>
        <w:t>Salvo indicación expresa en sentido contrario, los términos utilizados en esta garantía tienen el mismo significado que se les atribuye en las Bases.</w:t>
      </w:r>
    </w:p>
    <w:p w:rsidR="00AF6615" w:rsidRPr="00076DCD" w:rsidRDefault="00AF6615" w:rsidP="00B07EB1">
      <w:pPr>
        <w:widowControl w:val="0"/>
        <w:suppressLineNumbers/>
        <w:suppressAutoHyphens/>
        <w:spacing w:before="360" w:after="0" w:line="257" w:lineRule="auto"/>
        <w:jc w:val="both"/>
        <w:rPr>
          <w:rFonts w:ascii="Arial" w:hAnsi="Arial" w:cs="Arial"/>
          <w:sz w:val="20"/>
        </w:rPr>
      </w:pPr>
      <w:r w:rsidRPr="00076DCD">
        <w:rPr>
          <w:rFonts w:ascii="Arial" w:hAnsi="Arial" w:cs="Arial"/>
          <w:sz w:val="20"/>
        </w:rPr>
        <w:t>Atentamente,</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after="0" w:line="257" w:lineRule="auto"/>
        <w:jc w:val="center"/>
        <w:outlineLvl w:val="0"/>
        <w:rPr>
          <w:rFonts w:ascii="Arial" w:eastAsia="Times New Roman" w:hAnsi="Arial" w:cs="Arial"/>
          <w:b/>
          <w:sz w:val="26"/>
          <w:szCs w:val="26"/>
          <w:u w:val="single"/>
          <w:lang w:val="es-ES" w:eastAsia="zh-CN"/>
        </w:rPr>
      </w:pPr>
      <w:r w:rsidRPr="00076DCD">
        <w:rPr>
          <w:rFonts w:ascii="Arial" w:hAnsi="Arial" w:cs="Arial"/>
          <w:sz w:val="20"/>
        </w:rPr>
        <w:br w:type="page"/>
      </w:r>
      <w:r w:rsidRPr="00076DCD">
        <w:rPr>
          <w:rFonts w:ascii="Arial" w:eastAsia="Times New Roman" w:hAnsi="Arial" w:cs="Arial"/>
          <w:b/>
          <w:sz w:val="26"/>
          <w:szCs w:val="26"/>
          <w:u w:val="single"/>
          <w:lang w:val="es-ES" w:eastAsia="zh-CN"/>
        </w:rPr>
        <w:lastRenderedPageBreak/>
        <w:t>Anexo Nº 5</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before="360" w:after="0" w:line="257" w:lineRule="auto"/>
        <w:jc w:val="center"/>
        <w:outlineLvl w:val="0"/>
        <w:rPr>
          <w:rFonts w:ascii="Arial" w:eastAsia="Times New Roman" w:hAnsi="Arial" w:cs="Arial"/>
          <w:b/>
          <w:sz w:val="26"/>
          <w:szCs w:val="26"/>
          <w:lang w:val="es-ES" w:eastAsia="zh-CN"/>
        </w:rPr>
      </w:pPr>
      <w:r w:rsidRPr="00076DCD">
        <w:rPr>
          <w:rFonts w:ascii="Arial" w:eastAsia="Times New Roman" w:hAnsi="Arial" w:cs="Arial"/>
          <w:b/>
          <w:sz w:val="26"/>
          <w:szCs w:val="26"/>
          <w:lang w:val="es-ES" w:eastAsia="zh-CN"/>
        </w:rPr>
        <w:t>Telecomunicaciones</w:t>
      </w:r>
    </w:p>
    <w:p w:rsidR="00AF6615" w:rsidRPr="00076DCD" w:rsidRDefault="00AF6615" w:rsidP="00B07EB1">
      <w:pPr>
        <w:widowControl w:val="0"/>
        <w:suppressLineNumbers/>
        <w:tabs>
          <w:tab w:val="left" w:pos="426"/>
        </w:tabs>
        <w:suppressAutoHyphens/>
        <w:spacing w:before="360" w:after="0" w:line="257" w:lineRule="auto"/>
        <w:jc w:val="both"/>
        <w:rPr>
          <w:rFonts w:ascii="Arial" w:hAnsi="Arial" w:cs="Arial"/>
          <w:sz w:val="20"/>
        </w:rPr>
      </w:pPr>
      <w:r w:rsidRPr="00076DCD">
        <w:rPr>
          <w:rFonts w:ascii="Arial" w:hAnsi="Arial" w:cs="Arial"/>
          <w:sz w:val="20"/>
        </w:rPr>
        <w:t xml:space="preserve">Conforme al Anexo N° 1 (numeral </w:t>
      </w:r>
      <w:r w:rsidR="008D2D2D" w:rsidRPr="00076DCD">
        <w:rPr>
          <w:rFonts w:ascii="Arial" w:hAnsi="Arial" w:cs="Arial"/>
          <w:sz w:val="20"/>
        </w:rPr>
        <w:t>4.2.12)</w:t>
      </w:r>
      <w:r w:rsidRPr="00076DCD">
        <w:rPr>
          <w:rFonts w:ascii="Arial" w:hAnsi="Arial" w:cs="Arial"/>
          <w:sz w:val="20"/>
        </w:rPr>
        <w:t xml:space="preserve"> del Contrato, la L</w:t>
      </w:r>
      <w:r w:rsidRPr="00076DCD" w:rsidDel="009E7E29">
        <w:rPr>
          <w:rFonts w:ascii="Arial" w:hAnsi="Arial" w:cs="Arial"/>
          <w:sz w:val="20"/>
        </w:rPr>
        <w:t>í</w:t>
      </w:r>
      <w:r w:rsidRPr="00076DCD">
        <w:rPr>
          <w:rFonts w:ascii="Arial" w:hAnsi="Arial" w:cs="Arial"/>
          <w:sz w:val="20"/>
        </w:rPr>
        <w:t>nea Eléctrica deberá contar con un sistema de telecomunicaciones principal (fibra óptica - OPGW), respecto de las cuales se pacta lo siguiente:</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El cable de fibra óptica a instalarse deberá cumplir las "Especificaciones del Proyecto" recogidas en el numeral 4.1.5 del Anexo N° 1, entre ellas, contar como mínimo con veinticuatro (24) hilos.</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 xml:space="preserve">El Estado adquiere la titularidad de dieciocho (18) hilos oscuros del cable de fibra óptica instalado por la Sociedad Concesionaria en toda la longitud de la Línea Eléctrica, conforme a lo establecido en el Decreto Supremo Nº. 034-2010-MTC, y  que serán utilizados por la Red Dorsal Nacional de Fibra Óptica, conforme a la Ley Nº 29904, lo que le da derecho exclusivo para disponer de dicha fibra sin limitaciones. </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La Sociedad Concesionaria utilizará los hilos de fibra óptica restantes, para sus propias necesidades de comunicación.</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la Sociedad Concesionaria tratará directamente todos los aspectos relacionados con la actividad de telecomunicaciones.</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Es obligación de la Sociedad Concesionaria instalar el cable de fibra óptica del sistema de telecomunicaciones principal, observando como mínimo, las siguientes consideraciones técnicas:</w:t>
      </w:r>
    </w:p>
    <w:p w:rsidR="00AF6615" w:rsidRPr="00076DCD" w:rsidRDefault="00AF6615" w:rsidP="00B07EB1">
      <w:pPr>
        <w:widowControl w:val="0"/>
        <w:numPr>
          <w:ilvl w:val="4"/>
          <w:numId w:val="38"/>
        </w:numPr>
        <w:suppressLineNumbers/>
        <w:tabs>
          <w:tab w:val="left" w:pos="993"/>
        </w:tabs>
        <w:suppressAutoHyphens/>
        <w:spacing w:before="120" w:after="0" w:line="257" w:lineRule="auto"/>
        <w:ind w:left="993" w:hanging="426"/>
        <w:jc w:val="both"/>
        <w:rPr>
          <w:rFonts w:ascii="Arial" w:hAnsi="Arial" w:cs="Arial"/>
          <w:sz w:val="20"/>
        </w:rPr>
      </w:pPr>
      <w:r w:rsidRPr="00076DCD">
        <w:rPr>
          <w:rFonts w:ascii="Arial" w:hAnsi="Arial" w:cs="Arial"/>
          <w:sz w:val="20"/>
        </w:rPr>
        <w:t>El cable de fibra óptica deberá ser nuevo y estar garantizado contra cualquier defecto de fabricación.</w:t>
      </w:r>
    </w:p>
    <w:p w:rsidR="00AF6615" w:rsidRPr="00076DCD" w:rsidRDefault="00AF6615" w:rsidP="00B07EB1">
      <w:pPr>
        <w:widowControl w:val="0"/>
        <w:numPr>
          <w:ilvl w:val="4"/>
          <w:numId w:val="38"/>
        </w:numPr>
        <w:suppressLineNumbers/>
        <w:tabs>
          <w:tab w:val="left" w:pos="993"/>
        </w:tabs>
        <w:suppressAutoHyphens/>
        <w:spacing w:before="120" w:after="0" w:line="257" w:lineRule="auto"/>
        <w:ind w:left="993" w:hanging="426"/>
        <w:jc w:val="both"/>
        <w:rPr>
          <w:rFonts w:ascii="Arial" w:hAnsi="Arial" w:cs="Arial"/>
          <w:sz w:val="20"/>
        </w:rPr>
      </w:pPr>
      <w:r w:rsidRPr="00076DCD">
        <w:rPr>
          <w:rFonts w:ascii="Arial" w:hAnsi="Arial" w:cs="Arial"/>
          <w:sz w:val="20"/>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AF6615" w:rsidRPr="00076DCD" w:rsidRDefault="00AF6615" w:rsidP="00B07EB1">
      <w:pPr>
        <w:widowControl w:val="0"/>
        <w:numPr>
          <w:ilvl w:val="4"/>
          <w:numId w:val="38"/>
        </w:numPr>
        <w:suppressLineNumbers/>
        <w:tabs>
          <w:tab w:val="left" w:pos="993"/>
        </w:tabs>
        <w:suppressAutoHyphens/>
        <w:spacing w:before="120" w:after="0" w:line="257" w:lineRule="auto"/>
        <w:ind w:left="993" w:hanging="426"/>
        <w:jc w:val="both"/>
        <w:rPr>
          <w:rFonts w:ascii="Arial" w:hAnsi="Arial" w:cs="Arial"/>
          <w:sz w:val="20"/>
        </w:rPr>
      </w:pPr>
      <w:r w:rsidRPr="00076DCD">
        <w:rPr>
          <w:rFonts w:ascii="Arial" w:hAnsi="Arial" w:cs="Arial"/>
          <w:sz w:val="20"/>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 xml:space="preserve">La Sociedad Concesionaria brindará facilidades para el alojamiento de equipamiento óptico necesario para iluminar la fibra óptica de titularidad del Estado, incluyendo el uso compartido de espacios. </w:t>
      </w:r>
    </w:p>
    <w:p w:rsidR="00AF6615" w:rsidRPr="00076DCD" w:rsidRDefault="00AF6615" w:rsidP="00E024E4">
      <w:pPr>
        <w:widowControl w:val="0"/>
        <w:suppressLineNumbers/>
        <w:suppressAutoHyphens/>
        <w:spacing w:before="120" w:after="0" w:line="257" w:lineRule="auto"/>
        <w:ind w:left="567"/>
        <w:jc w:val="both"/>
        <w:rPr>
          <w:rFonts w:ascii="Arial" w:hAnsi="Arial" w:cs="Arial"/>
          <w:sz w:val="20"/>
        </w:rPr>
      </w:pPr>
      <w:r w:rsidRPr="00076DCD">
        <w:rPr>
          <w:rFonts w:ascii="Arial" w:hAnsi="Arial" w:cs="Arial"/>
          <w:sz w:val="20"/>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AF6615" w:rsidRPr="00076DCD" w:rsidRDefault="00AF6615" w:rsidP="00E024E4">
      <w:pPr>
        <w:widowControl w:val="0"/>
        <w:suppressLineNumbers/>
        <w:suppressAutoHyphens/>
        <w:spacing w:before="120" w:after="0" w:line="257" w:lineRule="auto"/>
        <w:ind w:left="567"/>
        <w:jc w:val="both"/>
        <w:rPr>
          <w:rFonts w:ascii="Arial" w:hAnsi="Arial" w:cs="Arial"/>
          <w:sz w:val="20"/>
        </w:rPr>
      </w:pPr>
      <w:r w:rsidRPr="00076DCD">
        <w:rPr>
          <w:rFonts w:ascii="Arial" w:hAnsi="Arial" w:cs="Arial"/>
          <w:sz w:val="20"/>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AF6615" w:rsidRPr="00076DCD" w:rsidRDefault="00AF6615" w:rsidP="00E024E4">
      <w:pPr>
        <w:widowControl w:val="0"/>
        <w:suppressLineNumbers/>
        <w:suppressAutoHyphens/>
        <w:spacing w:before="120" w:after="0" w:line="257" w:lineRule="auto"/>
        <w:ind w:left="567"/>
        <w:jc w:val="both"/>
        <w:rPr>
          <w:rFonts w:ascii="Arial" w:hAnsi="Arial" w:cs="Arial"/>
          <w:sz w:val="20"/>
        </w:rPr>
      </w:pPr>
      <w:r w:rsidRPr="00076DCD">
        <w:rPr>
          <w:rFonts w:ascii="Arial" w:hAnsi="Arial" w:cs="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Los hilos de fibra óptica que no son de titularidad del Estado así como los equipos y servicios complementarios o conexos, forman parte de los Bienes de la Concesión.</w:t>
      </w:r>
    </w:p>
    <w:p w:rsidR="00AF6615" w:rsidRPr="00076DCD" w:rsidRDefault="00AF6615" w:rsidP="00B07EB1">
      <w:pPr>
        <w:widowControl w:val="0"/>
        <w:numPr>
          <w:ilvl w:val="1"/>
          <w:numId w:val="38"/>
        </w:numPr>
        <w:suppressLineNumbers/>
        <w:tabs>
          <w:tab w:val="left" w:pos="567"/>
        </w:tabs>
        <w:suppressAutoHyphens/>
        <w:spacing w:before="120" w:after="0" w:line="257" w:lineRule="auto"/>
        <w:ind w:left="567" w:hanging="567"/>
        <w:jc w:val="both"/>
        <w:rPr>
          <w:rFonts w:ascii="Arial" w:hAnsi="Arial" w:cs="Arial"/>
          <w:sz w:val="20"/>
        </w:rPr>
      </w:pPr>
      <w:r w:rsidRPr="00076DCD">
        <w:rPr>
          <w:rFonts w:ascii="Arial" w:hAnsi="Arial" w:cs="Arial"/>
          <w:sz w:val="20"/>
        </w:rPr>
        <w:t xml:space="preserve">Lo establecido en el presente anexo no afectará </w:t>
      </w:r>
      <w:r w:rsidR="00CA7F2F" w:rsidRPr="00076DCD">
        <w:rPr>
          <w:rFonts w:ascii="Arial" w:hAnsi="Arial" w:cs="Arial"/>
          <w:sz w:val="20"/>
        </w:rPr>
        <w:t>el Costo Medio Anual</w:t>
      </w:r>
      <w:r w:rsidRPr="00076DCD">
        <w:rPr>
          <w:rFonts w:ascii="Arial" w:hAnsi="Arial" w:cs="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AF6615" w:rsidRPr="00076DCD" w:rsidRDefault="00AF6615" w:rsidP="00B07EB1">
      <w:pPr>
        <w:widowControl w:val="0"/>
        <w:suppressLineNumbers/>
        <w:suppressAutoHyphens/>
        <w:spacing w:after="0" w:line="257" w:lineRule="auto"/>
        <w:jc w:val="center"/>
        <w:outlineLvl w:val="0"/>
        <w:rPr>
          <w:rFonts w:ascii="Arial" w:eastAsia="Times New Roman" w:hAnsi="Arial" w:cs="Arial"/>
          <w:b/>
          <w:sz w:val="26"/>
          <w:szCs w:val="26"/>
          <w:u w:val="single"/>
          <w:lang w:val="pt-BR" w:eastAsia="zh-CN"/>
        </w:rPr>
      </w:pPr>
      <w:r w:rsidRPr="00076DCD">
        <w:rPr>
          <w:rFonts w:ascii="Arial" w:hAnsi="Arial" w:cs="Arial"/>
          <w:sz w:val="20"/>
          <w:lang w:val="es-ES"/>
        </w:rPr>
        <w:br w:type="page"/>
      </w:r>
      <w:r w:rsidRPr="00076DCD">
        <w:rPr>
          <w:rFonts w:ascii="Arial" w:eastAsia="Times New Roman" w:hAnsi="Arial" w:cs="Arial"/>
          <w:b/>
          <w:sz w:val="26"/>
          <w:szCs w:val="26"/>
          <w:u w:val="single"/>
          <w:lang w:val="pt-BR" w:eastAsia="zh-CN"/>
        </w:rPr>
        <w:lastRenderedPageBreak/>
        <w:t>Anexo N° 6</w:t>
      </w:r>
    </w:p>
    <w:p w:rsidR="00AF6615" w:rsidRPr="00076DCD" w:rsidRDefault="00AF6615" w:rsidP="00B07EB1">
      <w:pPr>
        <w:widowControl w:val="0"/>
        <w:suppressLineNumbers/>
        <w:suppressAutoHyphens/>
        <w:spacing w:before="360" w:after="0" w:line="257" w:lineRule="auto"/>
        <w:jc w:val="center"/>
        <w:outlineLvl w:val="0"/>
        <w:rPr>
          <w:rFonts w:ascii="Arial" w:eastAsia="Times New Roman" w:hAnsi="Arial" w:cs="Arial"/>
          <w:b/>
          <w:sz w:val="26"/>
          <w:szCs w:val="26"/>
          <w:lang w:val="pt-BR" w:eastAsia="zh-CN"/>
        </w:rPr>
      </w:pPr>
      <w:r w:rsidRPr="00076DCD">
        <w:rPr>
          <w:rFonts w:ascii="Arial" w:eastAsia="Times New Roman" w:hAnsi="Arial" w:cs="Arial"/>
          <w:b/>
          <w:sz w:val="26"/>
          <w:szCs w:val="26"/>
          <w:lang w:eastAsia="zh-CN"/>
        </w:rPr>
        <w:t>Formularios</w:t>
      </w:r>
      <w:r w:rsidRPr="00076DCD">
        <w:rPr>
          <w:rFonts w:ascii="Arial" w:eastAsia="Times New Roman" w:hAnsi="Arial" w:cs="Arial"/>
          <w:b/>
          <w:sz w:val="26"/>
          <w:szCs w:val="26"/>
          <w:lang w:val="pt-BR" w:eastAsia="zh-CN"/>
        </w:rPr>
        <w:t xml:space="preserve"> 4, 4-A y 4-B.</w:t>
      </w:r>
    </w:p>
    <w:p w:rsidR="00AF6615" w:rsidRPr="00076DCD" w:rsidRDefault="00AF6615" w:rsidP="00B07EB1">
      <w:pPr>
        <w:widowControl w:val="0"/>
        <w:suppressLineNumbers/>
        <w:suppressAutoHyphens/>
        <w:spacing w:after="0" w:line="257" w:lineRule="auto"/>
        <w:jc w:val="center"/>
        <w:outlineLvl w:val="0"/>
        <w:rPr>
          <w:rFonts w:ascii="Arial" w:hAnsi="Arial" w:cs="Arial"/>
          <w:b/>
          <w:sz w:val="26"/>
          <w:u w:val="single"/>
        </w:rPr>
      </w:pPr>
      <w:r w:rsidRPr="00076DCD">
        <w:rPr>
          <w:rFonts w:ascii="Arial" w:eastAsia="Times New Roman" w:hAnsi="Arial" w:cs="Arial"/>
          <w:sz w:val="20"/>
          <w:szCs w:val="20"/>
          <w:lang w:val="pt-BR" w:eastAsia="zh-CN"/>
        </w:rPr>
        <w:br w:type="page"/>
      </w:r>
      <w:r w:rsidRPr="00076DCD">
        <w:rPr>
          <w:rFonts w:ascii="Arial" w:hAnsi="Arial" w:cs="Arial"/>
          <w:b/>
          <w:sz w:val="26"/>
          <w:u w:val="single"/>
        </w:rPr>
        <w:lastRenderedPageBreak/>
        <w:t>Anexo N° 7</w:t>
      </w:r>
    </w:p>
    <w:p w:rsidR="00AF6615" w:rsidRPr="00076DCD" w:rsidRDefault="00AF6615" w:rsidP="00B07EB1">
      <w:pPr>
        <w:widowControl w:val="0"/>
        <w:suppressLineNumbers/>
        <w:suppressAutoHyphens/>
        <w:spacing w:before="360" w:after="0" w:line="257" w:lineRule="auto"/>
        <w:jc w:val="center"/>
        <w:outlineLvl w:val="0"/>
        <w:rPr>
          <w:rFonts w:ascii="Arial" w:eastAsia="Times New Roman" w:hAnsi="Arial" w:cs="Arial"/>
          <w:b/>
          <w:sz w:val="26"/>
          <w:szCs w:val="26"/>
          <w:lang w:eastAsia="zh-CN"/>
        </w:rPr>
      </w:pPr>
      <w:r w:rsidRPr="00076DCD">
        <w:rPr>
          <w:rFonts w:ascii="Arial" w:eastAsia="Times New Roman" w:hAnsi="Arial" w:cs="Arial"/>
          <w:b/>
          <w:sz w:val="26"/>
          <w:szCs w:val="26"/>
          <w:lang w:eastAsia="zh-CN"/>
        </w:rPr>
        <w:t>Plazos para el desarrollo del proyecto</w:t>
      </w:r>
    </w:p>
    <w:p w:rsidR="00AF6615" w:rsidRPr="00076DCD" w:rsidRDefault="00AF6615" w:rsidP="00B07EB1">
      <w:pPr>
        <w:widowControl w:val="0"/>
        <w:suppressLineNumbers/>
        <w:suppressAutoHyphens/>
        <w:autoSpaceDE w:val="0"/>
        <w:autoSpaceDN w:val="0"/>
        <w:adjustRightInd w:val="0"/>
        <w:spacing w:before="360" w:after="360" w:line="257" w:lineRule="auto"/>
        <w:jc w:val="both"/>
        <w:rPr>
          <w:rFonts w:ascii="Arial" w:hAnsi="Arial" w:cs="Arial"/>
          <w:sz w:val="20"/>
        </w:rPr>
      </w:pPr>
      <w:r w:rsidRPr="00076DCD">
        <w:rPr>
          <w:rFonts w:ascii="Arial" w:hAnsi="Arial" w:cs="Arial"/>
          <w:sz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693"/>
      </w:tblGrid>
      <w:tr w:rsidR="00AF6615" w:rsidRPr="00076DCD" w:rsidTr="00E024E4">
        <w:trPr>
          <w:trHeight w:val="502"/>
        </w:trPr>
        <w:tc>
          <w:tcPr>
            <w:tcW w:w="6379" w:type="dxa"/>
            <w:shd w:val="clear" w:color="auto" w:fill="E5DFEC"/>
            <w:vAlign w:val="center"/>
          </w:tcPr>
          <w:p w:rsidR="00AF6615" w:rsidRPr="00076DCD" w:rsidRDefault="00AF6615" w:rsidP="00B07EB1">
            <w:pPr>
              <w:widowControl w:val="0"/>
              <w:suppressLineNumbers/>
              <w:tabs>
                <w:tab w:val="left" w:pos="5292"/>
              </w:tabs>
              <w:suppressAutoHyphens/>
              <w:spacing w:after="0" w:line="257" w:lineRule="auto"/>
              <w:jc w:val="center"/>
              <w:rPr>
                <w:rFonts w:ascii="Arial" w:hAnsi="Arial" w:cs="Arial"/>
                <w:b/>
                <w:sz w:val="20"/>
              </w:rPr>
            </w:pPr>
            <w:r w:rsidRPr="00076DCD">
              <w:rPr>
                <w:rFonts w:ascii="Arial" w:hAnsi="Arial" w:cs="Arial"/>
                <w:b/>
                <w:sz w:val="20"/>
              </w:rPr>
              <w:t>Hitos</w:t>
            </w:r>
          </w:p>
        </w:tc>
        <w:tc>
          <w:tcPr>
            <w:tcW w:w="2693" w:type="dxa"/>
            <w:shd w:val="clear" w:color="auto" w:fill="E5DFEC"/>
            <w:vAlign w:val="center"/>
          </w:tcPr>
          <w:p w:rsidR="00AF6615" w:rsidRPr="00076DCD" w:rsidRDefault="00AF6615" w:rsidP="00B07EB1">
            <w:pPr>
              <w:widowControl w:val="0"/>
              <w:suppressLineNumbers/>
              <w:tabs>
                <w:tab w:val="left" w:pos="5292"/>
              </w:tabs>
              <w:suppressAutoHyphens/>
              <w:spacing w:after="0" w:line="257" w:lineRule="auto"/>
              <w:jc w:val="center"/>
              <w:rPr>
                <w:rFonts w:ascii="Arial" w:hAnsi="Arial" w:cs="Arial"/>
                <w:b/>
                <w:sz w:val="20"/>
              </w:rPr>
            </w:pPr>
            <w:r w:rsidRPr="00076DCD">
              <w:rPr>
                <w:rFonts w:ascii="Arial" w:hAnsi="Arial" w:cs="Arial"/>
                <w:b/>
                <w:sz w:val="20"/>
              </w:rPr>
              <w:t>Plazo</w:t>
            </w:r>
          </w:p>
        </w:tc>
      </w:tr>
      <w:tr w:rsidR="00AF6615" w:rsidRPr="00076DCD" w:rsidTr="00E024E4">
        <w:trPr>
          <w:trHeight w:val="566"/>
        </w:trPr>
        <w:tc>
          <w:tcPr>
            <w:tcW w:w="6379" w:type="dxa"/>
            <w:vAlign w:val="center"/>
          </w:tcPr>
          <w:p w:rsidR="00AF6615" w:rsidRPr="00076DCD" w:rsidRDefault="00AF6615" w:rsidP="00B07EB1">
            <w:pPr>
              <w:widowControl w:val="0"/>
              <w:suppressLineNumbers/>
              <w:tabs>
                <w:tab w:val="left" w:pos="601"/>
              </w:tabs>
              <w:suppressAutoHyphens/>
              <w:spacing w:after="0" w:line="257" w:lineRule="auto"/>
              <w:ind w:left="601" w:right="175" w:hanging="425"/>
              <w:jc w:val="both"/>
              <w:rPr>
                <w:rFonts w:ascii="Arial" w:hAnsi="Arial" w:cs="Arial"/>
                <w:sz w:val="20"/>
              </w:rPr>
            </w:pPr>
            <w:r w:rsidRPr="00076DCD">
              <w:rPr>
                <w:rFonts w:ascii="Arial" w:hAnsi="Arial" w:cs="Arial"/>
                <w:sz w:val="20"/>
              </w:rPr>
              <w:t>1.-</w:t>
            </w:r>
            <w:r w:rsidRPr="00076DCD">
              <w:rPr>
                <w:rFonts w:ascii="Arial" w:hAnsi="Arial" w:cs="Arial"/>
                <w:sz w:val="20"/>
              </w:rPr>
              <w:tab/>
              <w:t>Estudio de Impacto Ambiental aprobado por la Autoridad Gubernamental competente</w:t>
            </w:r>
            <w:r w:rsidRPr="00076DCD">
              <w:rPr>
                <w:rFonts w:ascii="Arial" w:hAnsi="Arial" w:cs="Arial"/>
                <w:color w:val="000000"/>
                <w:sz w:val="20"/>
              </w:rPr>
              <w:t>.</w:t>
            </w:r>
          </w:p>
        </w:tc>
        <w:tc>
          <w:tcPr>
            <w:tcW w:w="2693" w:type="dxa"/>
            <w:vAlign w:val="center"/>
          </w:tcPr>
          <w:p w:rsidR="00AF6615" w:rsidRPr="00076DCD" w:rsidRDefault="00A32F3A" w:rsidP="00B07EB1">
            <w:pPr>
              <w:widowControl w:val="0"/>
              <w:suppressLineNumbers/>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uppressAutoHyphens/>
              <w:spacing w:after="0" w:line="257" w:lineRule="auto"/>
              <w:jc w:val="center"/>
              <w:rPr>
                <w:rFonts w:ascii="Arial" w:hAnsi="Arial" w:cs="Arial"/>
                <w:sz w:val="20"/>
              </w:rPr>
            </w:pPr>
            <w:r w:rsidRPr="00076DCD">
              <w:rPr>
                <w:rFonts w:ascii="Arial" w:hAnsi="Arial" w:cs="Arial"/>
                <w:sz w:val="20"/>
              </w:rPr>
              <w:t xml:space="preserve">Doce </w:t>
            </w:r>
            <w:r w:rsidR="00AF6615" w:rsidRPr="00076DCD">
              <w:rPr>
                <w:rFonts w:ascii="Arial" w:hAnsi="Arial" w:cs="Arial"/>
                <w:sz w:val="20"/>
              </w:rPr>
              <w:t>(</w:t>
            </w:r>
            <w:r w:rsidRPr="00076DCD">
              <w:rPr>
                <w:rFonts w:ascii="Arial" w:hAnsi="Arial" w:cs="Arial"/>
                <w:sz w:val="20"/>
              </w:rPr>
              <w:t>12</w:t>
            </w:r>
            <w:r w:rsidR="00AF6615" w:rsidRPr="00076DCD">
              <w:rPr>
                <w:rFonts w:ascii="Arial" w:hAnsi="Arial" w:cs="Arial"/>
                <w:sz w:val="20"/>
              </w:rPr>
              <w:t>) meses</w:t>
            </w:r>
          </w:p>
        </w:tc>
      </w:tr>
      <w:tr w:rsidR="00AF6615" w:rsidRPr="00076DCD" w:rsidTr="00E024E4">
        <w:trPr>
          <w:trHeight w:val="454"/>
        </w:trPr>
        <w:tc>
          <w:tcPr>
            <w:tcW w:w="6379" w:type="dxa"/>
            <w:vAlign w:val="center"/>
          </w:tcPr>
          <w:p w:rsidR="00AF6615" w:rsidRPr="00076DCD" w:rsidRDefault="00AF6615" w:rsidP="00B07EB1">
            <w:pPr>
              <w:widowControl w:val="0"/>
              <w:suppressLineNumbers/>
              <w:tabs>
                <w:tab w:val="left" w:pos="601"/>
              </w:tabs>
              <w:suppressAutoHyphens/>
              <w:spacing w:after="0" w:line="257" w:lineRule="auto"/>
              <w:ind w:left="601" w:right="175" w:hanging="425"/>
              <w:jc w:val="both"/>
              <w:rPr>
                <w:rFonts w:ascii="Arial" w:hAnsi="Arial" w:cs="Arial"/>
                <w:sz w:val="20"/>
              </w:rPr>
            </w:pPr>
            <w:r w:rsidRPr="00076DCD">
              <w:rPr>
                <w:rFonts w:ascii="Arial" w:hAnsi="Arial" w:cs="Arial"/>
                <w:sz w:val="20"/>
              </w:rPr>
              <w:t>2.-</w:t>
            </w:r>
            <w:r w:rsidRPr="00076DCD">
              <w:rPr>
                <w:rFonts w:ascii="Arial" w:hAnsi="Arial" w:cs="Arial"/>
                <w:sz w:val="20"/>
              </w:rPr>
              <w:tab/>
              <w:t>Cierre Financiero del proyecto</w:t>
            </w:r>
            <w:r w:rsidRPr="00076DCD">
              <w:rPr>
                <w:rFonts w:ascii="Arial" w:hAnsi="Arial" w:cs="Arial"/>
                <w:color w:val="000000"/>
                <w:sz w:val="20"/>
              </w:rPr>
              <w:t>.</w:t>
            </w:r>
          </w:p>
        </w:tc>
        <w:tc>
          <w:tcPr>
            <w:tcW w:w="2693" w:type="dxa"/>
            <w:vAlign w:val="center"/>
          </w:tcPr>
          <w:p w:rsidR="00AF6615" w:rsidRPr="00076DCD" w:rsidRDefault="00A32F3A" w:rsidP="00B07EB1">
            <w:pPr>
              <w:widowControl w:val="0"/>
              <w:suppressLineNumbers/>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uppressAutoHyphens/>
              <w:spacing w:after="0" w:line="257" w:lineRule="auto"/>
              <w:jc w:val="center"/>
              <w:rPr>
                <w:rFonts w:ascii="Arial" w:hAnsi="Arial" w:cs="Arial"/>
                <w:sz w:val="20"/>
              </w:rPr>
            </w:pPr>
            <w:r w:rsidRPr="00076DCD">
              <w:rPr>
                <w:rFonts w:ascii="Arial" w:eastAsia="Times New Roman" w:hAnsi="Arial" w:cs="Arial"/>
                <w:sz w:val="20"/>
                <w:szCs w:val="20"/>
                <w:lang w:eastAsia="zh-CN"/>
              </w:rPr>
              <w:t>Catorce</w:t>
            </w:r>
            <w:r w:rsidR="0031027B" w:rsidRPr="00076DCD">
              <w:rPr>
                <w:rFonts w:ascii="Arial" w:eastAsia="Times New Roman" w:hAnsi="Arial" w:cs="Arial"/>
                <w:sz w:val="20"/>
                <w:szCs w:val="20"/>
                <w:lang w:eastAsia="zh-CN"/>
              </w:rPr>
              <w:t xml:space="preserve"> </w:t>
            </w:r>
            <w:r w:rsidR="00AF6615" w:rsidRPr="00076DCD">
              <w:rPr>
                <w:rFonts w:ascii="Arial" w:eastAsia="Times New Roman" w:hAnsi="Arial" w:cs="Arial"/>
                <w:sz w:val="20"/>
                <w:szCs w:val="20"/>
                <w:lang w:eastAsia="zh-CN"/>
              </w:rPr>
              <w:t>(</w:t>
            </w:r>
            <w:r w:rsidRPr="00076DCD">
              <w:rPr>
                <w:rFonts w:ascii="Arial" w:eastAsia="Times New Roman" w:hAnsi="Arial" w:cs="Arial"/>
                <w:sz w:val="20"/>
                <w:szCs w:val="20"/>
                <w:lang w:eastAsia="zh-CN"/>
              </w:rPr>
              <w:t>14</w:t>
            </w:r>
            <w:r w:rsidR="00AF6615" w:rsidRPr="00076DCD">
              <w:rPr>
                <w:rFonts w:ascii="Arial" w:hAnsi="Arial" w:cs="Arial"/>
                <w:sz w:val="20"/>
              </w:rPr>
              <w:t>) meses</w:t>
            </w:r>
          </w:p>
        </w:tc>
      </w:tr>
      <w:tr w:rsidR="00AF6615" w:rsidRPr="00076DCD" w:rsidTr="00E024E4">
        <w:trPr>
          <w:trHeight w:val="794"/>
        </w:trPr>
        <w:tc>
          <w:tcPr>
            <w:tcW w:w="6379" w:type="dxa"/>
            <w:vAlign w:val="center"/>
          </w:tcPr>
          <w:p w:rsidR="00AF6615" w:rsidRPr="00076DCD" w:rsidRDefault="00AF6615" w:rsidP="00B07EB1">
            <w:pPr>
              <w:widowControl w:val="0"/>
              <w:suppressLineNumbers/>
              <w:tabs>
                <w:tab w:val="left" w:pos="601"/>
              </w:tabs>
              <w:suppressAutoHyphens/>
              <w:spacing w:after="0" w:line="257" w:lineRule="auto"/>
              <w:ind w:left="601" w:right="175" w:hanging="425"/>
              <w:jc w:val="both"/>
              <w:rPr>
                <w:rFonts w:ascii="Arial" w:hAnsi="Arial" w:cs="Arial"/>
                <w:sz w:val="20"/>
              </w:rPr>
            </w:pPr>
            <w:r w:rsidRPr="00076DCD">
              <w:rPr>
                <w:rFonts w:ascii="Arial" w:hAnsi="Arial" w:cs="Arial"/>
                <w:sz w:val="20"/>
              </w:rPr>
              <w:t>3.-</w:t>
            </w:r>
            <w:r w:rsidRPr="00076DCD">
              <w:rPr>
                <w:rFonts w:ascii="Arial" w:hAnsi="Arial" w:cs="Arial"/>
                <w:sz w:val="20"/>
              </w:rPr>
              <w:tab/>
              <w:t xml:space="preserve">Llegada a los correspondientes sitios de obra de los </w:t>
            </w:r>
            <w:r w:rsidR="00A32F3A" w:rsidRPr="00076DCD">
              <w:rPr>
                <w:rFonts w:ascii="Arial" w:hAnsi="Arial" w:cs="Arial"/>
                <w:sz w:val="20"/>
              </w:rPr>
              <w:t>cables subterráneos y accesorios.</w:t>
            </w:r>
          </w:p>
        </w:tc>
        <w:tc>
          <w:tcPr>
            <w:tcW w:w="2693" w:type="dxa"/>
            <w:vAlign w:val="center"/>
          </w:tcPr>
          <w:p w:rsidR="00AF6615" w:rsidRPr="00076DCD" w:rsidRDefault="004658EE" w:rsidP="00B07EB1">
            <w:pPr>
              <w:widowControl w:val="0"/>
              <w:suppressLineNumbers/>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uppressAutoHyphens/>
              <w:spacing w:after="0" w:line="257" w:lineRule="auto"/>
              <w:jc w:val="center"/>
              <w:rPr>
                <w:rFonts w:ascii="Arial" w:hAnsi="Arial" w:cs="Arial"/>
                <w:sz w:val="20"/>
              </w:rPr>
            </w:pPr>
            <w:r w:rsidRPr="00076DCD">
              <w:rPr>
                <w:rFonts w:ascii="Arial" w:eastAsia="Times New Roman" w:hAnsi="Arial" w:cs="Arial"/>
                <w:sz w:val="20"/>
                <w:szCs w:val="21"/>
                <w:lang w:eastAsia="zh-CN"/>
              </w:rPr>
              <w:t>Veinte</w:t>
            </w:r>
            <w:r w:rsidR="00A32F3A" w:rsidRPr="00076DCD">
              <w:rPr>
                <w:rFonts w:ascii="Arial" w:eastAsia="Times New Roman" w:hAnsi="Arial" w:cs="Arial"/>
                <w:sz w:val="20"/>
                <w:szCs w:val="21"/>
                <w:lang w:eastAsia="zh-CN"/>
              </w:rPr>
              <w:t xml:space="preserve"> </w:t>
            </w:r>
            <w:r w:rsidR="00AF6615" w:rsidRPr="00076DCD">
              <w:rPr>
                <w:rFonts w:ascii="Arial" w:eastAsia="Times New Roman" w:hAnsi="Arial" w:cs="Arial"/>
                <w:sz w:val="20"/>
                <w:szCs w:val="21"/>
                <w:lang w:eastAsia="zh-CN"/>
              </w:rPr>
              <w:t>(</w:t>
            </w:r>
            <w:r w:rsidRPr="00076DCD">
              <w:rPr>
                <w:rFonts w:ascii="Arial" w:eastAsia="Times New Roman" w:hAnsi="Arial" w:cs="Arial"/>
                <w:sz w:val="20"/>
                <w:szCs w:val="21"/>
                <w:lang w:eastAsia="zh-CN"/>
              </w:rPr>
              <w:t>20</w:t>
            </w:r>
            <w:r w:rsidR="00AF6615" w:rsidRPr="00076DCD">
              <w:rPr>
                <w:rFonts w:ascii="Arial" w:hAnsi="Arial" w:cs="Arial"/>
                <w:sz w:val="18"/>
              </w:rPr>
              <w:t xml:space="preserve">) </w:t>
            </w:r>
            <w:r w:rsidR="00AF6615" w:rsidRPr="00076DCD">
              <w:rPr>
                <w:rFonts w:ascii="Arial" w:hAnsi="Arial" w:cs="Arial"/>
                <w:sz w:val="20"/>
              </w:rPr>
              <w:t>meses</w:t>
            </w:r>
          </w:p>
        </w:tc>
      </w:tr>
      <w:tr w:rsidR="00AF6615" w:rsidRPr="00076DCD" w:rsidTr="00E024E4">
        <w:trPr>
          <w:trHeight w:val="454"/>
        </w:trPr>
        <w:tc>
          <w:tcPr>
            <w:tcW w:w="6379" w:type="dxa"/>
            <w:vAlign w:val="center"/>
          </w:tcPr>
          <w:p w:rsidR="00AF6615" w:rsidRPr="00076DCD" w:rsidRDefault="00AF6615" w:rsidP="00B07EB1">
            <w:pPr>
              <w:widowControl w:val="0"/>
              <w:suppressLineNumbers/>
              <w:tabs>
                <w:tab w:val="left" w:pos="601"/>
              </w:tabs>
              <w:suppressAutoHyphens/>
              <w:spacing w:after="0" w:line="257" w:lineRule="auto"/>
              <w:ind w:left="601" w:right="175" w:hanging="425"/>
              <w:jc w:val="both"/>
              <w:rPr>
                <w:rFonts w:ascii="Arial" w:hAnsi="Arial" w:cs="Arial"/>
                <w:sz w:val="20"/>
              </w:rPr>
            </w:pPr>
            <w:r w:rsidRPr="00076DCD">
              <w:rPr>
                <w:rFonts w:ascii="Arial" w:hAnsi="Arial" w:cs="Arial"/>
                <w:sz w:val="20"/>
              </w:rPr>
              <w:t>4.-</w:t>
            </w:r>
            <w:r w:rsidRPr="00076DCD">
              <w:rPr>
                <w:rFonts w:ascii="Arial" w:hAnsi="Arial" w:cs="Arial"/>
                <w:sz w:val="20"/>
              </w:rPr>
              <w:tab/>
              <w:t>POC</w:t>
            </w:r>
          </w:p>
        </w:tc>
        <w:tc>
          <w:tcPr>
            <w:tcW w:w="2693" w:type="dxa"/>
            <w:vAlign w:val="center"/>
          </w:tcPr>
          <w:p w:rsidR="00AF6615" w:rsidRPr="00076DCD" w:rsidRDefault="00310B7B" w:rsidP="00B07EB1">
            <w:pPr>
              <w:widowControl w:val="0"/>
              <w:suppressLineNumbers/>
              <w:tabs>
                <w:tab w:val="left" w:pos="1"/>
                <w:tab w:val="left" w:pos="1380"/>
                <w:tab w:val="left" w:pos="1500"/>
                <w:tab w:val="left" w:pos="1980"/>
                <w:tab w:val="left" w:pos="2616"/>
                <w:tab w:val="left" w:pos="4320"/>
                <w:tab w:val="left" w:pos="5040"/>
                <w:tab w:val="left" w:pos="5760"/>
                <w:tab w:val="left" w:pos="6480"/>
                <w:tab w:val="left" w:pos="7200"/>
                <w:tab w:val="left" w:pos="7920"/>
                <w:tab w:val="left" w:pos="8640"/>
              </w:tabs>
              <w:suppressAutoHyphens/>
              <w:spacing w:after="0" w:line="257" w:lineRule="auto"/>
              <w:jc w:val="center"/>
              <w:rPr>
                <w:rFonts w:ascii="Arial" w:hAnsi="Arial" w:cs="Arial"/>
                <w:sz w:val="20"/>
              </w:rPr>
            </w:pPr>
            <w:r w:rsidRPr="00076DCD">
              <w:rPr>
                <w:rFonts w:ascii="Arial" w:eastAsia="Times New Roman" w:hAnsi="Arial" w:cs="Arial"/>
                <w:sz w:val="20"/>
                <w:szCs w:val="21"/>
                <w:lang w:eastAsia="zh-CN"/>
              </w:rPr>
              <w:t>Veinti</w:t>
            </w:r>
            <w:r w:rsidR="00A32F3A" w:rsidRPr="00076DCD">
              <w:rPr>
                <w:rFonts w:ascii="Arial" w:eastAsia="Times New Roman" w:hAnsi="Arial" w:cs="Arial"/>
                <w:sz w:val="20"/>
                <w:szCs w:val="21"/>
                <w:lang w:eastAsia="zh-CN"/>
              </w:rPr>
              <w:t>cuatro</w:t>
            </w:r>
            <w:r w:rsidR="00AF6615" w:rsidRPr="00076DCD">
              <w:rPr>
                <w:rFonts w:ascii="Arial" w:eastAsia="Times New Roman" w:hAnsi="Arial" w:cs="Arial"/>
                <w:sz w:val="20"/>
                <w:szCs w:val="21"/>
                <w:lang w:eastAsia="zh-CN"/>
              </w:rPr>
              <w:t xml:space="preserve"> (2</w:t>
            </w:r>
            <w:r w:rsidR="00A32F3A" w:rsidRPr="00076DCD">
              <w:rPr>
                <w:rFonts w:ascii="Arial" w:eastAsia="Times New Roman" w:hAnsi="Arial" w:cs="Arial"/>
                <w:sz w:val="20"/>
                <w:szCs w:val="21"/>
                <w:lang w:eastAsia="zh-CN"/>
              </w:rPr>
              <w:t>4</w:t>
            </w:r>
            <w:r w:rsidR="00AF6615" w:rsidRPr="00076DCD">
              <w:rPr>
                <w:rFonts w:ascii="Arial" w:hAnsi="Arial" w:cs="Arial"/>
                <w:sz w:val="18"/>
              </w:rPr>
              <w:t xml:space="preserve">) </w:t>
            </w:r>
            <w:r w:rsidR="00AF6615" w:rsidRPr="00076DCD">
              <w:rPr>
                <w:rFonts w:ascii="Arial" w:hAnsi="Arial" w:cs="Arial"/>
                <w:sz w:val="20"/>
              </w:rPr>
              <w:t>meses</w:t>
            </w:r>
          </w:p>
        </w:tc>
      </w:tr>
    </w:tbl>
    <w:p w:rsidR="00AF6615" w:rsidRPr="00076DCD" w:rsidRDefault="00AF6615" w:rsidP="00B07EB1">
      <w:pPr>
        <w:widowControl w:val="0"/>
        <w:suppressLineNumbers/>
        <w:suppressAutoHyphens/>
        <w:autoSpaceDE w:val="0"/>
        <w:autoSpaceDN w:val="0"/>
        <w:adjustRightInd w:val="0"/>
        <w:spacing w:before="240" w:after="0" w:line="257" w:lineRule="auto"/>
        <w:jc w:val="both"/>
        <w:rPr>
          <w:rFonts w:ascii="Arial" w:hAnsi="Arial" w:cs="Arial"/>
          <w:sz w:val="20"/>
        </w:rPr>
      </w:pPr>
      <w:r w:rsidRPr="00076DCD">
        <w:rPr>
          <w:rFonts w:ascii="Arial" w:hAnsi="Arial" w:cs="Arial"/>
          <w:sz w:val="20"/>
        </w:rPr>
        <w:t>La fecha de Puesta en Operación Comercial será la consignada en el acta a que se refiere la Cláusula 5.4.</w:t>
      </w:r>
    </w:p>
    <w:p w:rsidR="00AF6615" w:rsidRPr="00076DCD" w:rsidRDefault="00AF6615" w:rsidP="00B07EB1">
      <w:pPr>
        <w:widowControl w:val="0"/>
        <w:suppressLineNumbers/>
        <w:suppressAutoHyphens/>
        <w:spacing w:after="0" w:line="257" w:lineRule="auto"/>
        <w:jc w:val="center"/>
        <w:outlineLvl w:val="0"/>
        <w:rPr>
          <w:rFonts w:ascii="Arial" w:eastAsia="Times New Roman" w:hAnsi="Arial" w:cs="Arial"/>
          <w:b/>
          <w:sz w:val="26"/>
          <w:szCs w:val="20"/>
          <w:u w:val="single"/>
          <w:lang w:eastAsia="zh-CN"/>
        </w:rPr>
      </w:pPr>
      <w:r w:rsidRPr="00076DCD">
        <w:rPr>
          <w:rFonts w:ascii="Arial" w:eastAsia="Times New Roman" w:hAnsi="Arial" w:cs="Arial"/>
          <w:sz w:val="21"/>
          <w:szCs w:val="21"/>
          <w:lang w:eastAsia="es-ES"/>
        </w:rPr>
        <w:br w:type="page"/>
      </w:r>
      <w:r w:rsidRPr="00076DCD">
        <w:rPr>
          <w:rFonts w:ascii="Arial" w:eastAsia="Times New Roman" w:hAnsi="Arial" w:cs="Arial"/>
          <w:b/>
          <w:sz w:val="26"/>
          <w:szCs w:val="20"/>
          <w:u w:val="single"/>
          <w:lang w:eastAsia="zh-CN"/>
        </w:rPr>
        <w:lastRenderedPageBreak/>
        <w:t>Anexo 8</w:t>
      </w:r>
    </w:p>
    <w:p w:rsidR="00AF6615" w:rsidRPr="00076DCD" w:rsidRDefault="00AF6615" w:rsidP="00B07EB1">
      <w:pPr>
        <w:widowControl w:val="0"/>
        <w:suppressLineNumbers/>
        <w:suppressAutoHyphens/>
        <w:spacing w:before="360" w:after="0" w:line="257" w:lineRule="auto"/>
        <w:jc w:val="center"/>
        <w:outlineLvl w:val="0"/>
        <w:rPr>
          <w:rFonts w:ascii="Arial" w:eastAsia="Times New Roman" w:hAnsi="Arial" w:cs="Arial"/>
          <w:b/>
          <w:sz w:val="26"/>
          <w:szCs w:val="26"/>
          <w:lang w:eastAsia="zh-CN"/>
        </w:rPr>
      </w:pPr>
      <w:r w:rsidRPr="00076DCD">
        <w:rPr>
          <w:rFonts w:ascii="Arial" w:eastAsia="Times New Roman" w:hAnsi="Arial" w:cs="Arial"/>
          <w:b/>
          <w:sz w:val="26"/>
          <w:szCs w:val="26"/>
          <w:lang w:eastAsia="zh-CN"/>
        </w:rPr>
        <w:t>Memoria Descriptiva de la Línea Eléctrica</w:t>
      </w:r>
    </w:p>
    <w:p w:rsidR="00AF6615" w:rsidRPr="00076DCD" w:rsidRDefault="00AF6615" w:rsidP="00427C45">
      <w:pPr>
        <w:widowControl w:val="0"/>
        <w:suppressLineNumbers/>
        <w:suppressAutoHyphens/>
        <w:spacing w:before="360" w:after="0" w:line="250" w:lineRule="auto"/>
        <w:ind w:left="567" w:hanging="567"/>
        <w:jc w:val="both"/>
        <w:rPr>
          <w:rFonts w:ascii="Arial" w:eastAsia="Times New Roman" w:hAnsi="Arial" w:cs="Arial"/>
          <w:b/>
          <w:sz w:val="21"/>
          <w:szCs w:val="21"/>
          <w:lang w:eastAsia="zh-CN"/>
        </w:rPr>
      </w:pPr>
      <w:r w:rsidRPr="00076DCD">
        <w:rPr>
          <w:rFonts w:ascii="Arial" w:eastAsia="Times New Roman" w:hAnsi="Arial" w:cs="Arial"/>
          <w:b/>
          <w:sz w:val="21"/>
          <w:szCs w:val="21"/>
          <w:lang w:eastAsia="zh-CN"/>
        </w:rPr>
        <w:t>A.</w:t>
      </w:r>
      <w:r w:rsidRPr="00076DCD">
        <w:rPr>
          <w:rFonts w:ascii="Arial" w:eastAsia="Times New Roman" w:hAnsi="Arial" w:cs="Arial"/>
          <w:b/>
          <w:sz w:val="21"/>
          <w:szCs w:val="21"/>
          <w:lang w:eastAsia="zh-CN"/>
        </w:rPr>
        <w:tab/>
        <w:t>Línea de transmisión.</w:t>
      </w:r>
    </w:p>
    <w:p w:rsidR="00AF6615" w:rsidRPr="00076DCD" w:rsidRDefault="00AF6615" w:rsidP="00427C45">
      <w:pPr>
        <w:widowControl w:val="0"/>
        <w:numPr>
          <w:ilvl w:val="0"/>
          <w:numId w:val="33"/>
        </w:numPr>
        <w:suppressLineNumbers/>
        <w:tabs>
          <w:tab w:val="clear" w:pos="720"/>
          <w:tab w:val="left" w:pos="993"/>
        </w:tabs>
        <w:suppressAutoHyphens/>
        <w:spacing w:before="240" w:after="0" w:line="250" w:lineRule="auto"/>
        <w:ind w:left="992" w:hanging="425"/>
        <w:jc w:val="both"/>
        <w:rPr>
          <w:rFonts w:ascii="Arial" w:hAnsi="Arial" w:cs="Arial"/>
          <w:sz w:val="20"/>
        </w:rPr>
      </w:pPr>
      <w:r w:rsidRPr="00076DCD">
        <w:rPr>
          <w:rFonts w:ascii="Arial" w:hAnsi="Arial" w:cs="Arial"/>
          <w:sz w:val="20"/>
        </w:rPr>
        <w:t>Descripción general del proyecto.</w:t>
      </w:r>
    </w:p>
    <w:p w:rsidR="00AF6615" w:rsidRPr="00076DCD" w:rsidRDefault="00AF6615" w:rsidP="00427C45">
      <w:pPr>
        <w:widowControl w:val="0"/>
        <w:numPr>
          <w:ilvl w:val="0"/>
          <w:numId w:val="33"/>
        </w:numPr>
        <w:suppressLineNumbers/>
        <w:tabs>
          <w:tab w:val="clear" w:pos="720"/>
          <w:tab w:val="left" w:pos="993"/>
        </w:tabs>
        <w:suppressAutoHyphens/>
        <w:spacing w:before="120" w:after="0" w:line="250" w:lineRule="auto"/>
        <w:ind w:left="992" w:hanging="425"/>
        <w:jc w:val="both"/>
        <w:rPr>
          <w:rFonts w:ascii="Arial" w:hAnsi="Arial" w:cs="Arial"/>
          <w:sz w:val="20"/>
        </w:rPr>
      </w:pPr>
      <w:r w:rsidRPr="00076DCD">
        <w:rPr>
          <w:rFonts w:ascii="Arial" w:hAnsi="Arial" w:cs="Arial"/>
          <w:sz w:val="20"/>
        </w:rPr>
        <w:t>Descripción del recorrido de la línea.</w:t>
      </w:r>
    </w:p>
    <w:p w:rsidR="00AF6615" w:rsidRPr="00076DCD" w:rsidRDefault="00AF6615" w:rsidP="00427C45">
      <w:pPr>
        <w:widowControl w:val="0"/>
        <w:suppressLineNumbers/>
        <w:suppressAutoHyphens/>
        <w:spacing w:before="60" w:after="0" w:line="250" w:lineRule="auto"/>
        <w:ind w:left="992"/>
        <w:jc w:val="both"/>
        <w:rPr>
          <w:rFonts w:ascii="Arial" w:hAnsi="Arial" w:cs="Arial"/>
          <w:sz w:val="20"/>
        </w:rPr>
      </w:pPr>
      <w:r w:rsidRPr="00076DCD">
        <w:rPr>
          <w:rFonts w:ascii="Arial" w:hAnsi="Arial" w:cs="Arial"/>
          <w:sz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AF6615" w:rsidRPr="00076DCD" w:rsidRDefault="00AF6615" w:rsidP="00427C45">
      <w:pPr>
        <w:widowControl w:val="0"/>
        <w:numPr>
          <w:ilvl w:val="0"/>
          <w:numId w:val="33"/>
        </w:numPr>
        <w:suppressLineNumbers/>
        <w:tabs>
          <w:tab w:val="clear" w:pos="720"/>
          <w:tab w:val="left" w:pos="993"/>
        </w:tabs>
        <w:suppressAutoHyphens/>
        <w:spacing w:before="120" w:after="0" w:line="250" w:lineRule="auto"/>
        <w:ind w:left="993" w:hanging="426"/>
        <w:jc w:val="both"/>
        <w:rPr>
          <w:rFonts w:ascii="Arial" w:hAnsi="Arial" w:cs="Arial"/>
          <w:sz w:val="20"/>
        </w:rPr>
      </w:pPr>
      <w:r w:rsidRPr="00076DCD">
        <w:rPr>
          <w:rFonts w:ascii="Arial" w:hAnsi="Arial" w:cs="Arial"/>
          <w:sz w:val="20"/>
        </w:rPr>
        <w:t>Normas de diseño y construcción empleadas.</w:t>
      </w:r>
    </w:p>
    <w:p w:rsidR="0075143A" w:rsidRPr="00076DCD" w:rsidRDefault="0075143A" w:rsidP="00427C45">
      <w:pPr>
        <w:pStyle w:val="Prrafodelista"/>
        <w:widowControl w:val="0"/>
        <w:suppressLineNumbers/>
        <w:tabs>
          <w:tab w:val="clear" w:pos="567"/>
          <w:tab w:val="clear" w:pos="1134"/>
          <w:tab w:val="clear" w:pos="1701"/>
          <w:tab w:val="clear" w:pos="2268"/>
          <w:tab w:val="clear" w:pos="2835"/>
          <w:tab w:val="left" w:pos="1418"/>
        </w:tabs>
        <w:suppressAutoHyphens/>
        <w:spacing w:before="120" w:line="250" w:lineRule="auto"/>
        <w:ind w:left="1418" w:hanging="425"/>
        <w:jc w:val="both"/>
        <w:rPr>
          <w:rFonts w:ascii="Arial" w:hAnsi="Arial" w:cs="Arial"/>
        </w:rPr>
      </w:pPr>
      <w:r w:rsidRPr="00076DCD">
        <w:rPr>
          <w:rFonts w:ascii="Arial" w:hAnsi="Arial" w:cs="Arial"/>
        </w:rPr>
        <w:t>3.1</w:t>
      </w:r>
      <w:r w:rsidRPr="00076DCD">
        <w:rPr>
          <w:rFonts w:ascii="Arial" w:hAnsi="Arial" w:cs="Arial"/>
        </w:rPr>
        <w:tab/>
        <w:t>Tramo aéreo:</w:t>
      </w:r>
    </w:p>
    <w:p w:rsidR="00AF6615" w:rsidRPr="00076DCD" w:rsidRDefault="00AF6615" w:rsidP="00427C45">
      <w:pPr>
        <w:widowControl w:val="0"/>
        <w:suppressLineNumbers/>
        <w:suppressAutoHyphens/>
        <w:spacing w:before="60" w:after="0" w:line="250" w:lineRule="auto"/>
        <w:ind w:left="1559"/>
        <w:jc w:val="both"/>
        <w:rPr>
          <w:rFonts w:ascii="Arial" w:hAnsi="Arial" w:cs="Arial"/>
          <w:sz w:val="20"/>
        </w:rPr>
      </w:pPr>
      <w:r w:rsidRPr="00076DCD">
        <w:rPr>
          <w:rFonts w:ascii="Arial" w:hAnsi="Arial" w:cs="Arial"/>
          <w:sz w:val="20"/>
        </w:rPr>
        <w:t>Se empleará fundamentalmente el Código Nacional de Electricidad. De ser necesario, se complementará con normas internacionales como ANSI/IEEE, IEC, VDE, NEMA, ASTM, NESC, NFPA.</w:t>
      </w:r>
    </w:p>
    <w:p w:rsidR="0075143A" w:rsidRPr="00076DCD" w:rsidRDefault="0075143A" w:rsidP="00427C45">
      <w:pPr>
        <w:widowControl w:val="0"/>
        <w:suppressLineNumbers/>
        <w:tabs>
          <w:tab w:val="left" w:pos="1418"/>
        </w:tabs>
        <w:suppressAutoHyphens/>
        <w:spacing w:before="120" w:after="0" w:line="250" w:lineRule="auto"/>
        <w:ind w:left="1418" w:hanging="425"/>
        <w:jc w:val="both"/>
        <w:rPr>
          <w:rFonts w:ascii="Arial" w:eastAsia="Calibri" w:hAnsi="Arial" w:cs="Arial"/>
          <w:sz w:val="20"/>
        </w:rPr>
      </w:pPr>
      <w:r w:rsidRPr="00076DCD">
        <w:rPr>
          <w:rFonts w:ascii="Arial" w:eastAsia="Calibri" w:hAnsi="Arial" w:cs="Arial"/>
          <w:sz w:val="20"/>
        </w:rPr>
        <w:t>3.2</w:t>
      </w:r>
      <w:r w:rsidRPr="00076DCD">
        <w:rPr>
          <w:rFonts w:ascii="Arial" w:eastAsia="Calibri" w:hAnsi="Arial" w:cs="Arial"/>
          <w:sz w:val="20"/>
        </w:rPr>
        <w:tab/>
        <w:t>Tramo subterráneo:</w:t>
      </w:r>
    </w:p>
    <w:p w:rsidR="0075143A" w:rsidRPr="00076DCD" w:rsidRDefault="0075143A" w:rsidP="00427C45">
      <w:pPr>
        <w:widowControl w:val="0"/>
        <w:suppressLineNumbers/>
        <w:suppressAutoHyphens/>
        <w:spacing w:before="60" w:after="0" w:line="250" w:lineRule="auto"/>
        <w:ind w:left="1559"/>
        <w:jc w:val="both"/>
        <w:rPr>
          <w:rFonts w:ascii="Arial" w:eastAsia="Calibri" w:hAnsi="Arial" w:cs="Arial"/>
          <w:sz w:val="20"/>
        </w:rPr>
      </w:pPr>
      <w:r w:rsidRPr="00076DCD">
        <w:rPr>
          <w:rFonts w:ascii="Arial" w:eastAsia="Calibri" w:hAnsi="Arial" w:cs="Arial"/>
          <w:sz w:val="20"/>
        </w:rPr>
        <w:t>Se empleará fundamentalmente el Código Nacional de Electricidad. De ser necesario, se complementará con normas internacionales como IEC, ICEA, AEIC, NESC.</w:t>
      </w:r>
    </w:p>
    <w:p w:rsidR="0075143A" w:rsidRPr="00076DCD" w:rsidRDefault="00AF6615" w:rsidP="00427C45">
      <w:pPr>
        <w:widowControl w:val="0"/>
        <w:numPr>
          <w:ilvl w:val="0"/>
          <w:numId w:val="33"/>
        </w:numPr>
        <w:suppressLineNumbers/>
        <w:tabs>
          <w:tab w:val="clear" w:pos="720"/>
          <w:tab w:val="left" w:pos="993"/>
        </w:tabs>
        <w:suppressAutoHyphens/>
        <w:spacing w:before="120" w:after="0" w:line="250" w:lineRule="auto"/>
        <w:ind w:left="993" w:hanging="426"/>
        <w:jc w:val="both"/>
        <w:rPr>
          <w:rFonts w:ascii="Arial" w:hAnsi="Arial" w:cs="Arial"/>
          <w:sz w:val="20"/>
        </w:rPr>
      </w:pPr>
      <w:r w:rsidRPr="00076DCD">
        <w:rPr>
          <w:rFonts w:ascii="Arial" w:hAnsi="Arial" w:cs="Arial"/>
          <w:sz w:val="20"/>
        </w:rPr>
        <w:t>Características técnicas</w:t>
      </w:r>
    </w:p>
    <w:p w:rsidR="0075143A" w:rsidRPr="00076DCD" w:rsidRDefault="0075143A" w:rsidP="00427C45">
      <w:pPr>
        <w:widowControl w:val="0"/>
        <w:suppressLineNumbers/>
        <w:tabs>
          <w:tab w:val="left" w:pos="1418"/>
        </w:tabs>
        <w:suppressAutoHyphens/>
        <w:spacing w:before="120" w:after="0" w:line="250" w:lineRule="auto"/>
        <w:ind w:left="1418" w:hanging="425"/>
        <w:jc w:val="both"/>
        <w:rPr>
          <w:rFonts w:ascii="Arial" w:hAnsi="Arial" w:cs="Arial"/>
          <w:sz w:val="20"/>
        </w:rPr>
      </w:pPr>
      <w:r w:rsidRPr="00076DCD">
        <w:rPr>
          <w:rFonts w:ascii="Arial" w:hAnsi="Arial" w:cs="Arial"/>
          <w:sz w:val="20"/>
        </w:rPr>
        <w:t>4.1</w:t>
      </w:r>
      <w:r w:rsidRPr="00076DCD">
        <w:rPr>
          <w:rFonts w:ascii="Arial" w:hAnsi="Arial" w:cs="Arial"/>
          <w:sz w:val="20"/>
        </w:rPr>
        <w:tab/>
        <w:t>Tramo aéreo:</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Longitud de recorrido de la línea (</w:t>
      </w:r>
      <w:r w:rsidR="00A44B98" w:rsidRPr="00076DCD">
        <w:rPr>
          <w:rFonts w:ascii="Arial" w:hAnsi="Arial" w:cs="Arial"/>
          <w:sz w:val="20"/>
        </w:rPr>
        <w:t>k</w:t>
      </w:r>
      <w:r w:rsidRPr="00076DCD">
        <w:rPr>
          <w:rFonts w:ascii="Arial" w:hAnsi="Arial" w:cs="Arial"/>
          <w:sz w:val="20"/>
        </w:rPr>
        <w:t>m).</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Nivel de aislamiento a 60 Hz y BIL corregidos por altura.</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Capacidad de transmisión. Deberá sustentarse que se cumple las capacidades de transmisión especificadas en el Anexo Nº 1 del Contrato.</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Tasa de falla esperada de salida de servicio de toda la Línea, en N° de salidas /100 km-año, según lo requerido en el respectivo Anexo N° 1.</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Número de conductores por fase.</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Tipo, material y sección de los conductores. Deberá sustentarse que se cumple los límites de pérdidas Joule y con los niveles de gradiente superficial y límites de radiaciones no ionizantes especificadas en el Anexo Nº 1 del Contrato.</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Tipo, material y características de los aisladores. Incluir número de unidades por cadena de suspensión y ángulo.</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Tipos de estructuras. Incluir diagramas típicos de las estructuras (suspensión, ángulo y terminal).</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Fundaciones. Incluir tipo (concreto o metálica).</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Número y características de los cables de guarda.</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Tipo, material y sección de los cables de guarda.</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 xml:space="preserve">Puesta a tierra. Incluir sistema a emplear (electrodos, contrapesos u otro), así como dimensiones y sección de los elementos a emplear. </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Otras características o información relevante.</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Servidumbre utilizada.</w:t>
      </w:r>
    </w:p>
    <w:p w:rsidR="00AF6615" w:rsidRPr="00076DCD" w:rsidRDefault="00AF6615" w:rsidP="00427C45">
      <w:pPr>
        <w:widowControl w:val="0"/>
        <w:numPr>
          <w:ilvl w:val="0"/>
          <w:numId w:val="34"/>
        </w:numPr>
        <w:suppressLineNumbers/>
        <w:tabs>
          <w:tab w:val="clear" w:pos="1160"/>
          <w:tab w:val="left" w:pos="1843"/>
        </w:tabs>
        <w:suppressAutoHyphens/>
        <w:spacing w:before="60" w:after="0" w:line="250" w:lineRule="auto"/>
        <w:ind w:left="1843" w:hanging="425"/>
        <w:jc w:val="both"/>
        <w:rPr>
          <w:rFonts w:ascii="Arial" w:hAnsi="Arial" w:cs="Arial"/>
          <w:sz w:val="20"/>
        </w:rPr>
      </w:pPr>
      <w:r w:rsidRPr="00076DCD">
        <w:rPr>
          <w:rFonts w:ascii="Arial" w:hAnsi="Arial" w:cs="Arial"/>
          <w:sz w:val="20"/>
        </w:rPr>
        <w:t>Accesos e infraestructura.</w:t>
      </w:r>
    </w:p>
    <w:p w:rsidR="00A44B98" w:rsidRPr="00076DCD" w:rsidRDefault="00A44B98" w:rsidP="00427C45">
      <w:pPr>
        <w:widowControl w:val="0"/>
        <w:suppressLineNumbers/>
        <w:tabs>
          <w:tab w:val="left" w:pos="1418"/>
        </w:tabs>
        <w:suppressAutoHyphens/>
        <w:spacing w:before="120" w:after="0" w:line="250" w:lineRule="auto"/>
        <w:ind w:left="1417" w:hanging="425"/>
        <w:jc w:val="both"/>
        <w:rPr>
          <w:rFonts w:ascii="Arial" w:hAnsi="Arial" w:cs="Arial"/>
          <w:sz w:val="20"/>
        </w:rPr>
      </w:pPr>
      <w:r w:rsidRPr="00076DCD">
        <w:rPr>
          <w:rFonts w:ascii="Arial" w:hAnsi="Arial" w:cs="Arial"/>
          <w:sz w:val="20"/>
        </w:rPr>
        <w:lastRenderedPageBreak/>
        <w:t>4.2</w:t>
      </w:r>
      <w:r w:rsidRPr="00076DCD">
        <w:rPr>
          <w:rFonts w:ascii="Arial" w:hAnsi="Arial" w:cs="Arial"/>
          <w:sz w:val="20"/>
        </w:rPr>
        <w:tab/>
        <w:t>Tramo subterráneo</w:t>
      </w:r>
    </w:p>
    <w:p w:rsidR="00A44B98" w:rsidRPr="00076DCD" w:rsidRDefault="00A44B98" w:rsidP="00427C45">
      <w:pPr>
        <w:widowControl w:val="0"/>
        <w:numPr>
          <w:ilvl w:val="2"/>
          <w:numId w:val="31"/>
        </w:numPr>
        <w:suppressLineNumbers/>
        <w:tabs>
          <w:tab w:val="clear" w:pos="3474"/>
          <w:tab w:val="num" w:pos="1843"/>
        </w:tabs>
        <w:suppressAutoHyphens/>
        <w:spacing w:before="60" w:after="0" w:line="250" w:lineRule="auto"/>
        <w:ind w:left="1843" w:hanging="425"/>
        <w:jc w:val="both"/>
        <w:rPr>
          <w:rFonts w:ascii="Arial" w:hAnsi="Arial" w:cs="Arial"/>
          <w:sz w:val="20"/>
        </w:rPr>
      </w:pPr>
      <w:r w:rsidRPr="00076DCD">
        <w:rPr>
          <w:rFonts w:ascii="Arial" w:hAnsi="Arial" w:cs="Arial"/>
          <w:sz w:val="20"/>
        </w:rPr>
        <w:t>Longitud de recorrido de la línea (km).</w:t>
      </w:r>
    </w:p>
    <w:p w:rsidR="00A44B98" w:rsidRPr="00076DCD" w:rsidRDefault="00A44B98" w:rsidP="00427C45">
      <w:pPr>
        <w:widowControl w:val="0"/>
        <w:numPr>
          <w:ilvl w:val="2"/>
          <w:numId w:val="31"/>
        </w:numPr>
        <w:suppressLineNumbers/>
        <w:tabs>
          <w:tab w:val="clear" w:pos="3474"/>
          <w:tab w:val="num" w:pos="1843"/>
        </w:tabs>
        <w:suppressAutoHyphens/>
        <w:spacing w:before="60" w:after="0" w:line="250" w:lineRule="auto"/>
        <w:ind w:left="1843" w:hanging="425"/>
        <w:jc w:val="both"/>
        <w:rPr>
          <w:rFonts w:ascii="Arial" w:hAnsi="Arial" w:cs="Arial"/>
          <w:sz w:val="20"/>
        </w:rPr>
      </w:pPr>
      <w:r w:rsidRPr="00076DCD">
        <w:rPr>
          <w:rFonts w:ascii="Arial" w:hAnsi="Arial" w:cs="Arial"/>
          <w:sz w:val="20"/>
        </w:rPr>
        <w:t>Nivel de aislamiento a 60 Hz y BIL corregidos por altura.</w:t>
      </w:r>
    </w:p>
    <w:p w:rsidR="00A44B98" w:rsidRPr="00076DCD" w:rsidRDefault="00A44B98" w:rsidP="00427C45">
      <w:pPr>
        <w:widowControl w:val="0"/>
        <w:numPr>
          <w:ilvl w:val="2"/>
          <w:numId w:val="31"/>
        </w:numPr>
        <w:suppressLineNumbers/>
        <w:tabs>
          <w:tab w:val="clear" w:pos="3474"/>
          <w:tab w:val="num" w:pos="1843"/>
        </w:tabs>
        <w:suppressAutoHyphens/>
        <w:spacing w:before="60" w:after="0" w:line="250" w:lineRule="auto"/>
        <w:ind w:left="1843" w:hanging="425"/>
        <w:jc w:val="both"/>
        <w:rPr>
          <w:rFonts w:ascii="Arial" w:hAnsi="Arial" w:cs="Arial"/>
          <w:sz w:val="20"/>
        </w:rPr>
      </w:pPr>
      <w:r w:rsidRPr="00076DCD">
        <w:rPr>
          <w:rFonts w:ascii="Arial" w:hAnsi="Arial" w:cs="Arial"/>
          <w:sz w:val="20"/>
        </w:rPr>
        <w:t>Capacidad de transmisión. Deberá sustentarse que se cumple las capacidades de transmisión especificadas en el Anexo Nº 1 del Contrato.</w:t>
      </w:r>
    </w:p>
    <w:p w:rsidR="00A44B98" w:rsidRPr="00076DCD" w:rsidRDefault="00A44B98" w:rsidP="00427C45">
      <w:pPr>
        <w:widowControl w:val="0"/>
        <w:numPr>
          <w:ilvl w:val="2"/>
          <w:numId w:val="31"/>
        </w:numPr>
        <w:suppressLineNumbers/>
        <w:tabs>
          <w:tab w:val="clear" w:pos="3474"/>
          <w:tab w:val="num" w:pos="1843"/>
        </w:tabs>
        <w:suppressAutoHyphens/>
        <w:spacing w:before="60" w:after="0" w:line="250" w:lineRule="auto"/>
        <w:ind w:left="1843" w:hanging="425"/>
        <w:jc w:val="both"/>
        <w:rPr>
          <w:rFonts w:ascii="Arial" w:hAnsi="Arial" w:cs="Arial"/>
          <w:sz w:val="20"/>
        </w:rPr>
      </w:pPr>
      <w:r w:rsidRPr="00076DCD">
        <w:rPr>
          <w:rFonts w:ascii="Arial" w:hAnsi="Arial" w:cs="Arial"/>
          <w:sz w:val="20"/>
        </w:rPr>
        <w:t>Tipo de cable empleado indicando aislamiento, sección de conductor y otras características relevantes. Deberá sustentarse que se cumple con el gradiente necesario para el aislamiento, así como con los límites de radiaciones no ionizantes especificados en el Anexo Nº 1 del Contrato.</w:t>
      </w:r>
    </w:p>
    <w:p w:rsidR="00A44B98" w:rsidRPr="00076DCD" w:rsidRDefault="00A44B98" w:rsidP="00427C45">
      <w:pPr>
        <w:widowControl w:val="0"/>
        <w:numPr>
          <w:ilvl w:val="2"/>
          <w:numId w:val="31"/>
        </w:numPr>
        <w:suppressLineNumbers/>
        <w:tabs>
          <w:tab w:val="clear" w:pos="3474"/>
          <w:tab w:val="num" w:pos="1843"/>
        </w:tabs>
        <w:suppressAutoHyphens/>
        <w:spacing w:before="60" w:after="0" w:line="250" w:lineRule="auto"/>
        <w:ind w:left="1843" w:hanging="425"/>
        <w:jc w:val="both"/>
        <w:rPr>
          <w:rFonts w:ascii="Arial" w:hAnsi="Arial" w:cs="Arial"/>
          <w:sz w:val="20"/>
        </w:rPr>
      </w:pPr>
      <w:r w:rsidRPr="00076DCD">
        <w:rPr>
          <w:rFonts w:ascii="Arial" w:hAnsi="Arial" w:cs="Arial"/>
          <w:sz w:val="20"/>
        </w:rPr>
        <w:t>Forma de instalación de los cables subterráneos, indicando recorrido, secciones de instalación, cruces y recorridos paralelos con otras instalaciones subterráneas, estación de transición aéreo/subterráneo, cámaras de paso y empalmen, y otros, que se hayan empleado.</w:t>
      </w:r>
    </w:p>
    <w:p w:rsidR="00AF6615" w:rsidRPr="00076DCD" w:rsidRDefault="00AF6615" w:rsidP="00427C45">
      <w:pPr>
        <w:widowControl w:val="0"/>
        <w:suppressLineNumbers/>
        <w:suppressAutoHyphens/>
        <w:spacing w:before="240" w:after="0" w:line="250" w:lineRule="auto"/>
        <w:ind w:left="567" w:hanging="567"/>
        <w:jc w:val="both"/>
        <w:rPr>
          <w:rFonts w:ascii="Arial" w:eastAsia="Times New Roman" w:hAnsi="Arial" w:cs="Arial"/>
          <w:b/>
          <w:sz w:val="21"/>
          <w:szCs w:val="21"/>
          <w:lang w:eastAsia="zh-CN"/>
        </w:rPr>
      </w:pPr>
      <w:r w:rsidRPr="00076DCD">
        <w:rPr>
          <w:rFonts w:ascii="Arial" w:eastAsia="Times New Roman" w:hAnsi="Arial" w:cs="Arial"/>
          <w:b/>
          <w:sz w:val="21"/>
          <w:szCs w:val="21"/>
          <w:lang w:eastAsia="zh-CN"/>
        </w:rPr>
        <w:t>B.</w:t>
      </w:r>
      <w:r w:rsidRPr="00076DCD">
        <w:rPr>
          <w:rFonts w:ascii="Arial" w:eastAsia="Times New Roman" w:hAnsi="Arial" w:cs="Arial"/>
          <w:b/>
          <w:sz w:val="21"/>
          <w:szCs w:val="21"/>
          <w:lang w:eastAsia="zh-CN"/>
        </w:rPr>
        <w:tab/>
        <w:t>Subestaciones.</w:t>
      </w:r>
    </w:p>
    <w:p w:rsidR="00AF6615" w:rsidRPr="00076DCD" w:rsidRDefault="00AF6615" w:rsidP="00427C45">
      <w:pPr>
        <w:widowControl w:val="0"/>
        <w:numPr>
          <w:ilvl w:val="0"/>
          <w:numId w:val="35"/>
        </w:numPr>
        <w:suppressLineNumbers/>
        <w:tabs>
          <w:tab w:val="clear" w:pos="720"/>
          <w:tab w:val="left" w:pos="993"/>
        </w:tabs>
        <w:suppressAutoHyphens/>
        <w:spacing w:before="100" w:after="0" w:line="250" w:lineRule="auto"/>
        <w:ind w:left="992" w:hanging="425"/>
        <w:jc w:val="both"/>
        <w:rPr>
          <w:rFonts w:ascii="Arial" w:hAnsi="Arial" w:cs="Arial"/>
          <w:sz w:val="20"/>
        </w:rPr>
      </w:pPr>
      <w:r w:rsidRPr="00076DCD">
        <w:rPr>
          <w:rFonts w:ascii="Arial" w:hAnsi="Arial" w:cs="Arial"/>
          <w:sz w:val="20"/>
        </w:rPr>
        <w:t>Descripción general del proyecto.</w:t>
      </w:r>
    </w:p>
    <w:p w:rsidR="00AF6615" w:rsidRPr="00076DCD" w:rsidRDefault="00AF6615" w:rsidP="00427C45">
      <w:pPr>
        <w:widowControl w:val="0"/>
        <w:numPr>
          <w:ilvl w:val="0"/>
          <w:numId w:val="35"/>
        </w:numPr>
        <w:suppressLineNumbers/>
        <w:tabs>
          <w:tab w:val="clear" w:pos="720"/>
          <w:tab w:val="left" w:pos="993"/>
        </w:tabs>
        <w:suppressAutoHyphens/>
        <w:spacing w:before="100" w:after="0" w:line="250" w:lineRule="auto"/>
        <w:ind w:left="993" w:hanging="426"/>
        <w:jc w:val="both"/>
        <w:rPr>
          <w:rFonts w:ascii="Arial" w:hAnsi="Arial" w:cs="Arial"/>
          <w:sz w:val="20"/>
        </w:rPr>
      </w:pPr>
      <w:r w:rsidRPr="00076DCD">
        <w:rPr>
          <w:rFonts w:ascii="Arial" w:hAnsi="Arial" w:cs="Arial"/>
          <w:sz w:val="20"/>
        </w:rPr>
        <w:t>Ubicación de las subestaciones.</w:t>
      </w:r>
    </w:p>
    <w:p w:rsidR="00AF6615" w:rsidRPr="00076DCD" w:rsidRDefault="00AF6615" w:rsidP="00427C45">
      <w:pPr>
        <w:widowControl w:val="0"/>
        <w:suppressLineNumbers/>
        <w:tabs>
          <w:tab w:val="left" w:pos="993"/>
        </w:tabs>
        <w:suppressAutoHyphens/>
        <w:spacing w:before="60" w:after="0" w:line="250" w:lineRule="auto"/>
        <w:ind w:left="992"/>
        <w:jc w:val="both"/>
        <w:rPr>
          <w:rFonts w:ascii="Arial" w:hAnsi="Arial" w:cs="Arial"/>
          <w:sz w:val="20"/>
        </w:rPr>
      </w:pPr>
      <w:r w:rsidRPr="00076DCD">
        <w:rPr>
          <w:rFonts w:ascii="Arial" w:hAnsi="Arial" w:cs="Arial"/>
          <w:sz w:val="20"/>
        </w:rPr>
        <w:t>Incluir plano geográfico y altitud en msnm. de cada una de las subestaciones. Se deberá describir el terreno seleccionado y los accidentes cercanos que hubiese.</w:t>
      </w:r>
    </w:p>
    <w:p w:rsidR="00AF6615" w:rsidRPr="00076DCD" w:rsidRDefault="00AF6615" w:rsidP="00427C45">
      <w:pPr>
        <w:widowControl w:val="0"/>
        <w:numPr>
          <w:ilvl w:val="0"/>
          <w:numId w:val="35"/>
        </w:numPr>
        <w:suppressLineNumbers/>
        <w:tabs>
          <w:tab w:val="clear" w:pos="720"/>
          <w:tab w:val="left" w:pos="993"/>
        </w:tabs>
        <w:suppressAutoHyphens/>
        <w:spacing w:before="100" w:after="0" w:line="250" w:lineRule="auto"/>
        <w:ind w:left="993" w:hanging="426"/>
        <w:jc w:val="both"/>
        <w:rPr>
          <w:rFonts w:ascii="Arial" w:hAnsi="Arial" w:cs="Arial"/>
          <w:sz w:val="20"/>
        </w:rPr>
      </w:pPr>
      <w:r w:rsidRPr="00076DCD">
        <w:rPr>
          <w:rFonts w:ascii="Arial" w:hAnsi="Arial" w:cs="Arial"/>
          <w:sz w:val="20"/>
        </w:rPr>
        <w:t>Normas de diseño y construcción empleadas.</w:t>
      </w:r>
    </w:p>
    <w:p w:rsidR="00AF6615" w:rsidRPr="00076DCD" w:rsidRDefault="00AF6615" w:rsidP="00427C45">
      <w:pPr>
        <w:widowControl w:val="0"/>
        <w:suppressLineNumbers/>
        <w:tabs>
          <w:tab w:val="left" w:pos="993"/>
        </w:tabs>
        <w:suppressAutoHyphens/>
        <w:spacing w:before="60" w:after="0" w:line="250" w:lineRule="auto"/>
        <w:ind w:left="992"/>
        <w:jc w:val="both"/>
        <w:rPr>
          <w:rFonts w:ascii="Arial" w:hAnsi="Arial" w:cs="Arial"/>
          <w:sz w:val="20"/>
        </w:rPr>
      </w:pPr>
      <w:r w:rsidRPr="00076DCD">
        <w:rPr>
          <w:rFonts w:ascii="Arial" w:hAnsi="Arial" w:cs="Arial"/>
          <w:sz w:val="20"/>
        </w:rPr>
        <w:t>Se empleará fundamentalmente el Código Nacional de Electricidad. De ser necesario, se complementará con normas internacionales como ANSI/IEEE, IEC, VDE, NEMA, ASTM, NESC, NFPA.</w:t>
      </w:r>
    </w:p>
    <w:p w:rsidR="00AF6615" w:rsidRPr="00076DCD" w:rsidRDefault="00AF6615" w:rsidP="00427C45">
      <w:pPr>
        <w:widowControl w:val="0"/>
        <w:numPr>
          <w:ilvl w:val="0"/>
          <w:numId w:val="35"/>
        </w:numPr>
        <w:suppressLineNumbers/>
        <w:tabs>
          <w:tab w:val="clear" w:pos="720"/>
          <w:tab w:val="left" w:pos="993"/>
        </w:tabs>
        <w:suppressAutoHyphens/>
        <w:spacing w:before="100" w:after="0" w:line="250" w:lineRule="auto"/>
        <w:ind w:left="993" w:hanging="426"/>
        <w:jc w:val="both"/>
        <w:rPr>
          <w:rFonts w:ascii="Arial" w:hAnsi="Arial" w:cs="Arial"/>
          <w:sz w:val="20"/>
        </w:rPr>
      </w:pPr>
      <w:r w:rsidRPr="00076DCD">
        <w:rPr>
          <w:rFonts w:ascii="Arial" w:hAnsi="Arial" w:cs="Arial"/>
          <w:sz w:val="20"/>
        </w:rPr>
        <w:t>Características técnicas de cada Subestación.</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Configuración de barras. Incluir criterio empleado para su selección. En caso que se modifique la configuración referencial, debe presentarse el sustento de la modificación y verificación que presenta mejor performance que el esquema referencial.</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Nivel de aislamiento a 60 Hz y BIL corregidos por altura.</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Descripción del tipo de equipamiento propuesto en cada subestación:</w:t>
      </w:r>
    </w:p>
    <w:p w:rsidR="00AF6615" w:rsidRPr="00076DCD" w:rsidRDefault="00AF6615" w:rsidP="00427C45">
      <w:pPr>
        <w:widowControl w:val="0"/>
        <w:numPr>
          <w:ilvl w:val="0"/>
          <w:numId w:val="37"/>
        </w:numPr>
        <w:suppressLineNumbers/>
        <w:tabs>
          <w:tab w:val="clear" w:pos="2280"/>
          <w:tab w:val="num" w:pos="1701"/>
        </w:tabs>
        <w:suppressAutoHyphens/>
        <w:spacing w:before="60" w:after="0" w:line="250" w:lineRule="auto"/>
        <w:ind w:left="1701" w:hanging="283"/>
        <w:jc w:val="both"/>
        <w:rPr>
          <w:rFonts w:ascii="Arial" w:hAnsi="Arial" w:cs="Arial"/>
          <w:sz w:val="20"/>
        </w:rPr>
      </w:pPr>
      <w:r w:rsidRPr="00076DCD">
        <w:rPr>
          <w:rFonts w:ascii="Arial" w:hAnsi="Arial" w:cs="Arial"/>
          <w:sz w:val="20"/>
        </w:rPr>
        <w:t>Convencional</w:t>
      </w:r>
    </w:p>
    <w:p w:rsidR="00AF6615" w:rsidRPr="00076DCD" w:rsidRDefault="00AF6615" w:rsidP="00427C45">
      <w:pPr>
        <w:widowControl w:val="0"/>
        <w:numPr>
          <w:ilvl w:val="0"/>
          <w:numId w:val="37"/>
        </w:numPr>
        <w:suppressLineNumbers/>
        <w:tabs>
          <w:tab w:val="clear" w:pos="2280"/>
          <w:tab w:val="num" w:pos="1701"/>
        </w:tabs>
        <w:suppressAutoHyphens/>
        <w:spacing w:before="60" w:after="0" w:line="250" w:lineRule="auto"/>
        <w:ind w:left="1701" w:hanging="283"/>
        <w:jc w:val="both"/>
        <w:rPr>
          <w:rFonts w:ascii="Arial" w:hAnsi="Arial" w:cs="Arial"/>
          <w:sz w:val="20"/>
        </w:rPr>
      </w:pPr>
      <w:r w:rsidRPr="00076DCD">
        <w:rPr>
          <w:rFonts w:ascii="Arial" w:hAnsi="Arial" w:cs="Arial"/>
          <w:sz w:val="20"/>
        </w:rPr>
        <w:t>Encapsulado (GIS)</w:t>
      </w:r>
    </w:p>
    <w:p w:rsidR="00AF6615" w:rsidRPr="00076DCD" w:rsidRDefault="00AF6615" w:rsidP="00427C45">
      <w:pPr>
        <w:widowControl w:val="0"/>
        <w:suppressLineNumbers/>
        <w:suppressAutoHyphens/>
        <w:spacing w:before="60" w:after="0" w:line="250" w:lineRule="auto"/>
        <w:ind w:left="1418"/>
        <w:jc w:val="both"/>
        <w:rPr>
          <w:rFonts w:ascii="Arial" w:hAnsi="Arial" w:cs="Arial"/>
          <w:sz w:val="20"/>
        </w:rPr>
      </w:pPr>
      <w:r w:rsidRPr="00076DCD">
        <w:rPr>
          <w:rFonts w:ascii="Arial" w:hAnsi="Arial" w:cs="Arial"/>
          <w:sz w:val="20"/>
        </w:rPr>
        <w:t>Con indicación del número de celdas en 220 kV, 138 kV, y otra tensión:</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de línea</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de transformador</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de acoplamiento</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de compensación reactiva</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Características de los interruptores:</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tipo: tanque muerto o vivo, en SF6 u otro, accionamiento, mando: local y/o remoto, etc.</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corriente nominal y de cortocircuito, capacidad de ruptura (MVA).</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Características de los seccionadores de línea y barra:</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accionamiento, mando: local y/o remoto, etc.</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lastRenderedPageBreak/>
        <w:t>corriente nominal y de cortocircuito.</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Características de los transformadores de medida.</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Características de los pararrayos.</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Características de los transformadores de potencia.</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Relación de transformación.</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Potencia (MVA) con ventilación normal (AN/ON) y forzada</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Taps y sistema de cambiador de taps.</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Características del sistema de compensación reactiva:</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Potencia del reactor, SVC. o banco de capacitores.</w:t>
      </w:r>
    </w:p>
    <w:p w:rsidR="00AF6615" w:rsidRPr="00076DCD" w:rsidRDefault="00AF6615" w:rsidP="00427C45">
      <w:pPr>
        <w:widowControl w:val="0"/>
        <w:numPr>
          <w:ilvl w:val="0"/>
          <w:numId w:val="37"/>
        </w:numPr>
        <w:suppressLineNumbers/>
        <w:tabs>
          <w:tab w:val="clear" w:pos="2280"/>
          <w:tab w:val="left" w:pos="1701"/>
        </w:tabs>
        <w:suppressAutoHyphens/>
        <w:spacing w:before="60" w:after="0" w:line="250" w:lineRule="auto"/>
        <w:ind w:left="1701" w:hanging="283"/>
        <w:jc w:val="both"/>
        <w:rPr>
          <w:rFonts w:ascii="Arial" w:hAnsi="Arial" w:cs="Arial"/>
          <w:sz w:val="20"/>
        </w:rPr>
      </w:pPr>
      <w:r w:rsidRPr="00076DCD">
        <w:rPr>
          <w:rFonts w:ascii="Arial" w:hAnsi="Arial" w:cs="Arial"/>
          <w:sz w:val="20"/>
        </w:rPr>
        <w:t>Forma de accionamiento: continua o por escalones (discreta).</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 xml:space="preserve">Descripción de los sistemas de protección, </w:t>
      </w:r>
      <w:r w:rsidR="00842406" w:rsidRPr="00076DCD">
        <w:rPr>
          <w:rFonts w:ascii="Arial" w:hAnsi="Arial" w:cs="Arial"/>
          <w:sz w:val="20"/>
        </w:rPr>
        <w:t>medición</w:t>
      </w:r>
      <w:r w:rsidRPr="00076DCD">
        <w:rPr>
          <w:rFonts w:ascii="Arial" w:hAnsi="Arial" w:cs="Arial"/>
          <w:sz w:val="20"/>
        </w:rPr>
        <w:t>, control y maniobra. Demostrar que se cumple con los requisitos del COES.</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Descripción de los sistemas de telecontrol, telemando, adquisición de datos y su enlace con el sistema del COES.</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Descripción del sistema de comunicaciones.</w:t>
      </w:r>
    </w:p>
    <w:p w:rsidR="00AF6615" w:rsidRPr="00076DCD" w:rsidRDefault="00AF6615" w:rsidP="00427C45">
      <w:pPr>
        <w:widowControl w:val="0"/>
        <w:numPr>
          <w:ilvl w:val="0"/>
          <w:numId w:val="36"/>
        </w:numPr>
        <w:suppressLineNumbers/>
        <w:tabs>
          <w:tab w:val="clear" w:pos="1485"/>
          <w:tab w:val="num" w:pos="1418"/>
        </w:tabs>
        <w:suppressAutoHyphens/>
        <w:spacing w:before="60" w:after="0" w:line="250" w:lineRule="auto"/>
        <w:ind w:left="1418" w:hanging="425"/>
        <w:jc w:val="both"/>
        <w:rPr>
          <w:rFonts w:ascii="Arial" w:hAnsi="Arial" w:cs="Arial"/>
          <w:sz w:val="20"/>
        </w:rPr>
      </w:pPr>
      <w:r w:rsidRPr="00076DCD">
        <w:rPr>
          <w:rFonts w:ascii="Arial" w:hAnsi="Arial" w:cs="Arial"/>
          <w:sz w:val="20"/>
        </w:rPr>
        <w:t>Puesta a tierra. Incluir sistema a emplear (electrodos, malla de tierra profunda u otro), así como dimensiones y sección de los elementos a emplear.</w:t>
      </w:r>
    </w:p>
    <w:p w:rsidR="00AF6615" w:rsidRPr="00076DCD" w:rsidRDefault="00AF6615" w:rsidP="00427C45">
      <w:pPr>
        <w:widowControl w:val="0"/>
        <w:suppressLineNumbers/>
        <w:suppressAutoHyphens/>
        <w:spacing w:before="240" w:after="0" w:line="250" w:lineRule="auto"/>
        <w:ind w:left="567" w:hanging="567"/>
        <w:jc w:val="both"/>
        <w:rPr>
          <w:rFonts w:ascii="Arial" w:eastAsia="Times New Roman" w:hAnsi="Arial" w:cs="Arial"/>
          <w:b/>
          <w:sz w:val="21"/>
          <w:szCs w:val="21"/>
          <w:lang w:eastAsia="zh-CN"/>
        </w:rPr>
      </w:pPr>
      <w:r w:rsidRPr="00076DCD">
        <w:rPr>
          <w:rFonts w:ascii="Arial" w:eastAsia="Times New Roman" w:hAnsi="Arial" w:cs="Arial"/>
          <w:b/>
          <w:sz w:val="21"/>
          <w:szCs w:val="21"/>
          <w:lang w:eastAsia="zh-CN"/>
        </w:rPr>
        <w:t>C.</w:t>
      </w:r>
      <w:r w:rsidRPr="00076DCD">
        <w:rPr>
          <w:rFonts w:ascii="Arial" w:eastAsia="Times New Roman" w:hAnsi="Arial" w:cs="Arial"/>
          <w:b/>
          <w:sz w:val="21"/>
          <w:szCs w:val="21"/>
          <w:lang w:eastAsia="zh-CN"/>
        </w:rPr>
        <w:tab/>
        <w:t>Estudio de pre operatividad del sistema eléctrico.</w:t>
      </w:r>
    </w:p>
    <w:p w:rsidR="00AF6615" w:rsidRPr="00076DCD" w:rsidRDefault="00AF6615" w:rsidP="00427C45">
      <w:pPr>
        <w:widowControl w:val="0"/>
        <w:suppressLineNumbers/>
        <w:suppressAutoHyphens/>
        <w:spacing w:before="120" w:after="0" w:line="250" w:lineRule="auto"/>
        <w:ind w:left="567"/>
        <w:jc w:val="both"/>
        <w:rPr>
          <w:rFonts w:ascii="Arial" w:hAnsi="Arial" w:cs="Arial"/>
          <w:sz w:val="20"/>
        </w:rPr>
      </w:pPr>
      <w:r w:rsidRPr="00076DCD">
        <w:rPr>
          <w:rFonts w:ascii="Arial" w:hAnsi="Arial" w:cs="Arial"/>
          <w:sz w:val="20"/>
        </w:rPr>
        <w:t>El estudio tiene por objeto verificar que el esquema final de las instalaciones permitirá una operación adecuada del SEIN, de conformidad con los requisitos establecidos por el COES.</w:t>
      </w:r>
    </w:p>
    <w:p w:rsidR="00AF6615" w:rsidRPr="00076DCD" w:rsidRDefault="00AF6615" w:rsidP="00427C45">
      <w:pPr>
        <w:widowControl w:val="0"/>
        <w:suppressLineNumbers/>
        <w:suppressAutoHyphens/>
        <w:spacing w:before="120" w:after="0" w:line="250" w:lineRule="auto"/>
        <w:ind w:left="567"/>
        <w:jc w:val="both"/>
        <w:rPr>
          <w:rFonts w:ascii="Arial" w:hAnsi="Arial" w:cs="Arial"/>
          <w:sz w:val="20"/>
        </w:rPr>
      </w:pPr>
      <w:r w:rsidRPr="00076DCD">
        <w:rPr>
          <w:rFonts w:ascii="Arial" w:hAnsi="Arial" w:cs="Arial"/>
          <w:sz w:val="20"/>
        </w:rPr>
        <w:t>El estudio de pre operatividad abarcará un horizonte no menor de 10 años y comprende el estudio, entre otros, de los siguientes aspectos:</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Estudios de respuesta transitoria post disturbio y verificación de la adecuada respuesta de los dispositivos control, regulación, protección y recierre de acción rápida.</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Estudios de sobre tensiones y coordinación del aislamiento.</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Estudio de tensiones y corrientes armónicas, su efecto en el SEIN y requerimientos de filtros.</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Diseño de los sistemas de protección y coordinación de protección con el resto de instalaciones del SEIN, de conformidad con las normas del COES.</w:t>
      </w:r>
    </w:p>
    <w:p w:rsidR="00AF6615" w:rsidRPr="00076DCD" w:rsidRDefault="00AF6615" w:rsidP="00427C45">
      <w:pPr>
        <w:widowControl w:val="0"/>
        <w:numPr>
          <w:ilvl w:val="0"/>
          <w:numId w:val="37"/>
        </w:numPr>
        <w:suppressLineNumbers/>
        <w:tabs>
          <w:tab w:val="clear" w:pos="2280"/>
          <w:tab w:val="left" w:pos="993"/>
        </w:tabs>
        <w:suppressAutoHyphens/>
        <w:spacing w:before="60" w:after="0" w:line="250" w:lineRule="auto"/>
        <w:ind w:left="992" w:hanging="425"/>
        <w:jc w:val="both"/>
        <w:rPr>
          <w:rFonts w:ascii="Arial" w:hAnsi="Arial" w:cs="Arial"/>
          <w:sz w:val="20"/>
        </w:rPr>
      </w:pPr>
      <w:r w:rsidRPr="00076DCD">
        <w:rPr>
          <w:rFonts w:ascii="Arial" w:hAnsi="Arial" w:cs="Arial"/>
          <w:sz w:val="20"/>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AF6615" w:rsidRPr="00076DCD" w:rsidRDefault="00AF6615" w:rsidP="00427C45">
      <w:pPr>
        <w:widowControl w:val="0"/>
        <w:suppressLineNumbers/>
        <w:suppressAutoHyphens/>
        <w:spacing w:before="180" w:after="0" w:line="250" w:lineRule="auto"/>
        <w:jc w:val="both"/>
        <w:rPr>
          <w:rFonts w:ascii="Arial" w:hAnsi="Arial" w:cs="Arial"/>
          <w:sz w:val="20"/>
        </w:rPr>
      </w:pPr>
      <w:r w:rsidRPr="00076DCD">
        <w:rPr>
          <w:rFonts w:ascii="Arial" w:hAnsi="Arial" w:cs="Arial"/>
          <w:sz w:val="20"/>
        </w:rPr>
        <w:t>El detalle y alcance del estudio de pre operatividad deberá ser coordinado con el COES.</w:t>
      </w:r>
      <w:r w:rsidR="00EF6867" w:rsidRPr="00076DCD">
        <w:rPr>
          <w:rFonts w:ascii="Arial" w:hAnsi="Arial" w:cs="Arial"/>
          <w:bCs/>
        </w:rPr>
        <w:t xml:space="preserve"> </w:t>
      </w:r>
      <w:r w:rsidR="00EF6867" w:rsidRPr="00076DCD">
        <w:rPr>
          <w:rFonts w:ascii="Arial" w:hAnsi="Arial" w:cs="Arial"/>
          <w:sz w:val="20"/>
        </w:rPr>
        <w:t>Se aplicará el procedimiento PR-20 del COES o el que lo sustituya.</w:t>
      </w:r>
    </w:p>
    <w:p w:rsidR="00AF6615" w:rsidRPr="00076DCD" w:rsidRDefault="00AF6615" w:rsidP="00B07EB1">
      <w:pPr>
        <w:widowControl w:val="0"/>
        <w:suppressLineNumbers/>
        <w:tabs>
          <w:tab w:val="left" w:pos="0"/>
          <w:tab w:val="left" w:pos="567"/>
          <w:tab w:val="left" w:pos="1134"/>
          <w:tab w:val="left" w:pos="1276"/>
          <w:tab w:val="left" w:pos="1701"/>
          <w:tab w:val="left" w:pos="2268"/>
          <w:tab w:val="left" w:pos="2835"/>
        </w:tabs>
        <w:suppressAutoHyphens/>
        <w:spacing w:after="0" w:line="257" w:lineRule="auto"/>
        <w:jc w:val="center"/>
        <w:outlineLvl w:val="0"/>
        <w:rPr>
          <w:rFonts w:ascii="Arial" w:eastAsia="Times New Roman" w:hAnsi="Arial" w:cs="Arial"/>
          <w:b/>
          <w:sz w:val="26"/>
          <w:szCs w:val="26"/>
          <w:u w:val="single"/>
          <w:lang w:val="pt-BR" w:eastAsia="zh-CN"/>
        </w:rPr>
      </w:pPr>
      <w:r w:rsidRPr="00076DCD">
        <w:rPr>
          <w:rFonts w:ascii="Arial" w:hAnsi="Arial" w:cs="Arial"/>
          <w:sz w:val="20"/>
        </w:rPr>
        <w:br w:type="page"/>
      </w:r>
      <w:r w:rsidRPr="00076DCD">
        <w:rPr>
          <w:rFonts w:ascii="Arial" w:eastAsia="Times New Roman" w:hAnsi="Arial" w:cs="Arial"/>
          <w:b/>
          <w:sz w:val="26"/>
          <w:szCs w:val="26"/>
          <w:u w:val="single"/>
          <w:lang w:val="pt-BR" w:eastAsia="zh-CN"/>
        </w:rPr>
        <w:lastRenderedPageBreak/>
        <w:t>Anexo 9</w:t>
      </w:r>
    </w:p>
    <w:p w:rsidR="00E9287D" w:rsidRPr="00076DCD" w:rsidRDefault="00E9287D" w:rsidP="00B07EB1">
      <w:pPr>
        <w:spacing w:before="240" w:after="0" w:line="257" w:lineRule="auto"/>
        <w:jc w:val="center"/>
        <w:rPr>
          <w:rFonts w:ascii="Arial" w:eastAsia="Times New Roman" w:hAnsi="Arial" w:cs="Arial"/>
          <w:b/>
          <w:color w:val="000000"/>
          <w:sz w:val="26"/>
          <w:szCs w:val="26"/>
          <w:lang w:eastAsia="zh-CN"/>
        </w:rPr>
      </w:pPr>
      <w:r w:rsidRPr="00076DCD">
        <w:rPr>
          <w:rFonts w:ascii="Arial" w:eastAsia="Times New Roman" w:hAnsi="Arial" w:cs="Arial"/>
          <w:b/>
          <w:color w:val="000000"/>
          <w:sz w:val="26"/>
          <w:szCs w:val="26"/>
          <w:lang w:eastAsia="zh-CN"/>
        </w:rPr>
        <w:t>Términos de Referencia</w:t>
      </w:r>
    </w:p>
    <w:p w:rsidR="00603F60" w:rsidRPr="00076DCD" w:rsidRDefault="00E9287D" w:rsidP="00B07EB1">
      <w:pPr>
        <w:spacing w:before="240" w:after="0" w:line="257" w:lineRule="auto"/>
        <w:jc w:val="center"/>
        <w:rPr>
          <w:rFonts w:ascii="Arial" w:eastAsia="Times New Roman" w:hAnsi="Arial" w:cs="Arial"/>
          <w:b/>
          <w:bCs/>
          <w:sz w:val="26"/>
          <w:szCs w:val="26"/>
          <w:lang w:eastAsia="zh-CN"/>
        </w:rPr>
      </w:pPr>
      <w:r w:rsidRPr="00076DCD">
        <w:rPr>
          <w:rFonts w:ascii="Arial" w:eastAsia="Times New Roman" w:hAnsi="Arial" w:cs="Arial"/>
          <w:b/>
          <w:color w:val="000000"/>
          <w:sz w:val="26"/>
          <w:szCs w:val="26"/>
          <w:lang w:eastAsia="zh-CN"/>
        </w:rPr>
        <w:t xml:space="preserve">Supervisión de Ingeniería, Suministro y construcción de la L.T. SCT 220 kV La Planicie-Industriales y Subestaciones </w:t>
      </w:r>
      <w:r w:rsidR="005B465B" w:rsidRPr="00076DCD">
        <w:rPr>
          <w:rFonts w:ascii="Arial" w:eastAsia="Times New Roman" w:hAnsi="Arial" w:cs="Arial"/>
          <w:b/>
          <w:color w:val="000000"/>
          <w:sz w:val="26"/>
          <w:szCs w:val="26"/>
          <w:lang w:eastAsia="zh-CN"/>
        </w:rPr>
        <w:t>A</w:t>
      </w:r>
      <w:r w:rsidRPr="00076DCD">
        <w:rPr>
          <w:rFonts w:ascii="Arial" w:eastAsia="Times New Roman" w:hAnsi="Arial" w:cs="Arial"/>
          <w:b/>
          <w:color w:val="000000"/>
          <w:sz w:val="26"/>
          <w:szCs w:val="26"/>
          <w:lang w:eastAsia="zh-CN"/>
        </w:rPr>
        <w:t>sociadas</w:t>
      </w:r>
    </w:p>
    <w:p w:rsidR="00056BF0" w:rsidRPr="00076DCD" w:rsidRDefault="00056BF0" w:rsidP="00B07EB1">
      <w:pPr>
        <w:numPr>
          <w:ilvl w:val="0"/>
          <w:numId w:val="108"/>
        </w:numPr>
        <w:spacing w:before="360" w:after="240" w:line="257" w:lineRule="auto"/>
        <w:ind w:hanging="340"/>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 xml:space="preserve">OBJETIVO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Contratar los servicios de una Empresa Especializada en la Supervisión de Ingeniería, Suministro y Construcción de Líneas de Transmisión de Alta Tensión, para efectuar la supervisión de obra del Contrato de Concesión </w:t>
      </w:r>
      <w:r w:rsidR="00674D60" w:rsidRPr="00076DCD">
        <w:rPr>
          <w:rFonts w:ascii="Arial" w:eastAsia="Times New Roman" w:hAnsi="Arial" w:cs="Arial"/>
          <w:sz w:val="21"/>
          <w:szCs w:val="21"/>
          <w:lang w:eastAsia="es-PE"/>
        </w:rPr>
        <w:t xml:space="preserve">SCT </w:t>
      </w:r>
      <w:r w:rsidRPr="00076DCD">
        <w:rPr>
          <w:rFonts w:ascii="Arial" w:eastAsia="Times New Roman" w:hAnsi="Arial" w:cs="Arial"/>
          <w:sz w:val="21"/>
          <w:szCs w:val="21"/>
          <w:lang w:eastAsia="es-PE"/>
        </w:rPr>
        <w:t xml:space="preserve">Línea de </w:t>
      </w:r>
      <w:r w:rsidR="00674D60" w:rsidRPr="00076DCD">
        <w:rPr>
          <w:rFonts w:ascii="Arial" w:eastAsia="Times New Roman" w:hAnsi="Arial" w:cs="Arial"/>
          <w:sz w:val="21"/>
          <w:szCs w:val="21"/>
          <w:lang w:eastAsia="es-PE"/>
        </w:rPr>
        <w:t>Transmisión 220 kV La Planicie-Industriales</w:t>
      </w:r>
      <w:r w:rsidRPr="00076DCD">
        <w:rPr>
          <w:rFonts w:ascii="Arial" w:eastAsia="Times New Roman" w:hAnsi="Arial" w:cs="Arial"/>
          <w:sz w:val="21"/>
          <w:szCs w:val="21"/>
          <w:lang w:eastAsia="es-PE"/>
        </w:rPr>
        <w:t xml:space="preserve"> </w:t>
      </w:r>
      <w:r w:rsidR="00674D60" w:rsidRPr="00076DCD">
        <w:rPr>
          <w:rFonts w:ascii="Arial" w:eastAsia="Times New Roman" w:hAnsi="Arial" w:cs="Arial"/>
          <w:sz w:val="21"/>
          <w:szCs w:val="21"/>
          <w:lang w:eastAsia="es-PE"/>
        </w:rPr>
        <w:t xml:space="preserve">y Subestaciones Asociadas </w:t>
      </w:r>
      <w:r w:rsidRPr="00076DCD">
        <w:rPr>
          <w:rFonts w:ascii="Arial" w:eastAsia="Times New Roman" w:hAnsi="Arial" w:cs="Arial"/>
          <w:sz w:val="21"/>
          <w:szCs w:val="21"/>
          <w:lang w:eastAsia="es-PE"/>
        </w:rPr>
        <w:t xml:space="preserve">(en adelante El Contrato), por encargo de la empresa Concesionaria  (en adelante Concesionaria). </w:t>
      </w:r>
    </w:p>
    <w:p w:rsidR="00056BF0" w:rsidRPr="00076DCD" w:rsidRDefault="00056BF0" w:rsidP="00B07EB1">
      <w:pPr>
        <w:numPr>
          <w:ilvl w:val="0"/>
          <w:numId w:val="108"/>
        </w:numPr>
        <w:spacing w:before="360" w:after="240" w:line="257" w:lineRule="auto"/>
        <w:ind w:hanging="340"/>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ALCANCES DE LAS LABORES DE LA SUPERVISORA</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La Empresa Supervisora tendrá a su cargo la función de Supervisión del proyecto, en el marco del Contrato de Concesión y normas aplicables, durante las etapas de diseño, construcción, pruebas y puesta en servicio de la línea de transmisión y subestaciones asociadas.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Las labores de Supervisión tienen por objeto que el proyecto cumpla con lo siguiente: </w:t>
      </w:r>
    </w:p>
    <w:p w:rsidR="00056BF0" w:rsidRPr="00076DCD" w:rsidRDefault="00056BF0" w:rsidP="00B07EB1">
      <w:pPr>
        <w:numPr>
          <w:ilvl w:val="0"/>
          <w:numId w:val="109"/>
        </w:numPr>
        <w:spacing w:before="120" w:after="0" w:line="257" w:lineRule="auto"/>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Que la Ingeniería Básica e Ingeniería Definitiva, correspondan a los alcances del proyecto especificado en el Anexo N° 1 del Contrato.</w:t>
      </w:r>
    </w:p>
    <w:p w:rsidR="00056BF0" w:rsidRPr="00076DCD" w:rsidRDefault="00056BF0" w:rsidP="00B07EB1">
      <w:pPr>
        <w:numPr>
          <w:ilvl w:val="0"/>
          <w:numId w:val="109"/>
        </w:numPr>
        <w:spacing w:before="8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Que el Suministro de los Equipos y Materiales, correspondan a los alcances del proyecto especificado en el Anexo N° 1 del Contrato, verificándose que se cumplan las especificaciones, requisitos mínimos y normas establecidas en el Contrato, así como en la buena práctica de la ingeniería.</w:t>
      </w:r>
    </w:p>
    <w:p w:rsidR="00056BF0" w:rsidRPr="00076DCD" w:rsidRDefault="00056BF0" w:rsidP="00B07EB1">
      <w:pPr>
        <w:numPr>
          <w:ilvl w:val="0"/>
          <w:numId w:val="109"/>
        </w:numPr>
        <w:spacing w:before="8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Que la construcción y pruebas del Proyecto, correspondan a los alcances establecidos en el Anexo N° 1 y Anexo N° 2 del Contrato, respectivamente.</w:t>
      </w:r>
    </w:p>
    <w:p w:rsidR="00056BF0" w:rsidRPr="00076DCD" w:rsidRDefault="00056BF0" w:rsidP="00B07EB1">
      <w:pPr>
        <w:numPr>
          <w:ilvl w:val="0"/>
          <w:numId w:val="109"/>
        </w:numPr>
        <w:spacing w:before="8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Que la construcción de las instalaciones se efectúen según los calendarios y cronogramas del Contrato.</w:t>
      </w:r>
    </w:p>
    <w:p w:rsidR="00056BF0" w:rsidRPr="00076DCD" w:rsidRDefault="00056BF0" w:rsidP="00B07EB1">
      <w:pPr>
        <w:numPr>
          <w:ilvl w:val="0"/>
          <w:numId w:val="109"/>
        </w:numPr>
        <w:spacing w:before="8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Evaluará y emitirá informes sobre solicitudes de prórroga o modificación de los plazos que solicite la Sociedad Concesionaria. </w:t>
      </w:r>
    </w:p>
    <w:p w:rsidR="00056BF0" w:rsidRPr="00076DCD" w:rsidRDefault="00056BF0" w:rsidP="00B07EB1">
      <w:pPr>
        <w:numPr>
          <w:ilvl w:val="0"/>
          <w:numId w:val="109"/>
        </w:numPr>
        <w:spacing w:before="8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Elaborará un informe de conformidad de la construcción del proyecto. </w:t>
      </w:r>
    </w:p>
    <w:p w:rsidR="00056BF0" w:rsidRPr="00076DCD" w:rsidRDefault="00056BF0" w:rsidP="00B07EB1">
      <w:pPr>
        <w:spacing w:before="360" w:after="0" w:line="257" w:lineRule="auto"/>
        <w:ind w:left="306" w:firstLine="28"/>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Sin ser limitativa, la relación de las actividades que serán desarrolladas por</w:t>
      </w:r>
      <w:r w:rsidR="007043AB" w:rsidRPr="00076DCD">
        <w:rPr>
          <w:rFonts w:ascii="Arial" w:eastAsia="Times New Roman" w:hAnsi="Arial" w:cs="Arial"/>
          <w:sz w:val="21"/>
          <w:szCs w:val="21"/>
          <w:lang w:eastAsia="es-PE"/>
        </w:rPr>
        <w:t xml:space="preserve"> </w:t>
      </w:r>
      <w:r w:rsidR="00B721A5" w:rsidRPr="00076DCD">
        <w:rPr>
          <w:rFonts w:ascii="Arial" w:eastAsia="Times New Roman" w:hAnsi="Arial" w:cs="Arial"/>
          <w:sz w:val="21"/>
          <w:szCs w:val="21"/>
          <w:lang w:eastAsia="es-PE"/>
        </w:rPr>
        <w:t>la Empresa Supervisora</w:t>
      </w:r>
      <w:r w:rsidRPr="00076DCD">
        <w:rPr>
          <w:rFonts w:ascii="Arial" w:eastAsia="Times New Roman" w:hAnsi="Arial" w:cs="Arial"/>
          <w:sz w:val="21"/>
          <w:szCs w:val="21"/>
          <w:lang w:eastAsia="es-PE"/>
        </w:rPr>
        <w:t xml:space="preserve"> son las siguientes: </w:t>
      </w:r>
    </w:p>
    <w:p w:rsidR="00056BF0" w:rsidRPr="00076DCD" w:rsidRDefault="00056BF0" w:rsidP="00B07EB1">
      <w:pPr>
        <w:numPr>
          <w:ilvl w:val="1"/>
          <w:numId w:val="108"/>
        </w:numPr>
        <w:tabs>
          <w:tab w:val="clear" w:pos="624"/>
          <w:tab w:val="num" w:pos="709"/>
        </w:tabs>
        <w:spacing w:before="240" w:after="120" w:line="257" w:lineRule="auto"/>
        <w:ind w:left="709" w:hanging="386"/>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SUPERVISIÓN de los estudios DE INGENIERÍA</w:t>
      </w:r>
    </w:p>
    <w:p w:rsidR="00056BF0" w:rsidRPr="00076DCD" w:rsidRDefault="00056BF0" w:rsidP="00B07EB1">
      <w:pPr>
        <w:spacing w:before="120" w:after="0" w:line="257" w:lineRule="auto"/>
        <w:ind w:left="709" w:firstLine="28"/>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Revisar y evaluar los estudios que elabore la Sociedad Concesionaria, los que deberán estar acordes con los alcances del contrato. Tales estudios, entre otros, son los siguientes: </w:t>
      </w:r>
    </w:p>
    <w:p w:rsidR="00056BF0" w:rsidRPr="00076DCD" w:rsidRDefault="00056BF0" w:rsidP="00B07EB1">
      <w:pPr>
        <w:numPr>
          <w:ilvl w:val="0"/>
          <w:numId w:val="112"/>
        </w:numPr>
        <w:spacing w:before="12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Ingeniería a nivel definitivo</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Estudio de pre operatividad</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lastRenderedPageBreak/>
        <w:t>Estudio de operatividad</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Ingeniería conforme a obra</w:t>
      </w:r>
    </w:p>
    <w:p w:rsidR="00056BF0" w:rsidRPr="00076DCD" w:rsidRDefault="00056BF0" w:rsidP="00B07EB1">
      <w:pPr>
        <w:numPr>
          <w:ilvl w:val="1"/>
          <w:numId w:val="108"/>
        </w:numPr>
        <w:tabs>
          <w:tab w:val="clear" w:pos="624"/>
          <w:tab w:val="num" w:pos="709"/>
        </w:tabs>
        <w:spacing w:before="240" w:after="120" w:line="257" w:lineRule="auto"/>
        <w:ind w:left="709" w:hanging="386"/>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SUPERVISIÓN DE LOS SUMINISTROS</w:t>
      </w:r>
    </w:p>
    <w:p w:rsidR="00056BF0" w:rsidRPr="00076DCD" w:rsidRDefault="00056BF0" w:rsidP="00B07EB1">
      <w:pPr>
        <w:numPr>
          <w:ilvl w:val="0"/>
          <w:numId w:val="112"/>
        </w:numPr>
        <w:spacing w:before="12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Verificación de los protocolos de prueba en fabrica (FAT).</w:t>
      </w:r>
    </w:p>
    <w:p w:rsidR="00056BF0" w:rsidRPr="00076DCD" w:rsidRDefault="00056BF0" w:rsidP="00B07EB1">
      <w:pPr>
        <w:numPr>
          <w:ilvl w:val="0"/>
          <w:numId w:val="112"/>
        </w:numPr>
        <w:spacing w:before="12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Verificación de los  protocolos de pruebas internas de operación (SAT).</w:t>
      </w:r>
    </w:p>
    <w:p w:rsidR="00056BF0" w:rsidRPr="00076DCD" w:rsidRDefault="00056BF0" w:rsidP="00B07EB1">
      <w:pPr>
        <w:numPr>
          <w:ilvl w:val="0"/>
          <w:numId w:val="112"/>
        </w:numPr>
        <w:spacing w:before="12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Supervisar la calidad de los suministros y características técnicas del equipamiento, teniendo en cuenta, entre otros, lo establecido en el Numeral 4.2 y Anexo N° 1 del Contrato. </w:t>
      </w:r>
    </w:p>
    <w:p w:rsidR="00056BF0" w:rsidRPr="00076DCD" w:rsidRDefault="00056BF0" w:rsidP="00B07EB1">
      <w:pPr>
        <w:numPr>
          <w:ilvl w:val="1"/>
          <w:numId w:val="108"/>
        </w:numPr>
        <w:tabs>
          <w:tab w:val="clear" w:pos="624"/>
          <w:tab w:val="num" w:pos="709"/>
        </w:tabs>
        <w:spacing w:before="240" w:after="120" w:line="257" w:lineRule="auto"/>
        <w:ind w:left="709" w:hanging="386"/>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 xml:space="preserve">Supervisión DE la CONSTRUCCIÓN DEL PROYECTO </w:t>
      </w:r>
    </w:p>
    <w:p w:rsidR="00056BF0" w:rsidRPr="00076DCD" w:rsidRDefault="00056BF0" w:rsidP="00B07EB1">
      <w:pPr>
        <w:spacing w:before="120" w:after="0" w:line="257" w:lineRule="auto"/>
        <w:ind w:left="709"/>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Efectuar la supervisión de las actividades relacionadas con la construcción del proyecto. A manera indicativa y sin ser limitativa se supervisará lo siguiente: </w:t>
      </w:r>
    </w:p>
    <w:p w:rsidR="00056BF0" w:rsidRPr="00076DCD" w:rsidRDefault="00056BF0" w:rsidP="00B07EB1">
      <w:pPr>
        <w:numPr>
          <w:ilvl w:val="0"/>
          <w:numId w:val="112"/>
        </w:numPr>
        <w:spacing w:before="12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Cumplimiento de los Cronogramas de Actividades para la Ejecución de las Obras y del Cronogramas Valorizados.</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La calidad del material, equipos del sistema eléctrico y la calidad constructiva del proyecto. </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La correcta construcción de las obras civiles (principalmente de las fundaciones), así como, la calidad de los suministros y materiales para ello se utilicen.</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La correcta ejecución del montaje de las líneas eléctricas y subestaciones.</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Aprobará los procedimientos de trabajo y verificará el cumplimiento de las especificaciones técnicas del montaje.</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El adecuado transporte, manipuleo y almacenamiento de los suministros y equipos.</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Verificará que la organización de contratista sea acorde a la dimensión del proyecto, lo cual permita garantizar el cumplimiento de los procedimientos constructivos y de la seguridad de su personal.  </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Aprobará la designación de las empresas que se subcontraten para la construcción del proyecto. Evaluará la experiencia y calificaciones técnicas de la empresa y del personal de las subcontratistas.   </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Cumplimiento del Programa de Aseguramiento de Calidad a que se refiere el Numeral 5.11 del Contrato.</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Cumplimiento de las normas de protección ambiental y de seguridad en las obras revisando y autorizando los procedimientos de seguridad y protección ambiental.</w:t>
      </w:r>
    </w:p>
    <w:p w:rsidR="00056BF0" w:rsidRPr="00076DCD" w:rsidRDefault="00056BF0" w:rsidP="00B07EB1">
      <w:pPr>
        <w:numPr>
          <w:ilvl w:val="0"/>
          <w:numId w:val="112"/>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La labor de la Empresa Supervisora no debe interferir en las atribuciones y responsabilidades del Inspector del Contrato. </w:t>
      </w:r>
    </w:p>
    <w:p w:rsidR="00056BF0" w:rsidRPr="00076DCD" w:rsidRDefault="00056BF0" w:rsidP="00B07EB1">
      <w:pPr>
        <w:numPr>
          <w:ilvl w:val="1"/>
          <w:numId w:val="108"/>
        </w:numPr>
        <w:tabs>
          <w:tab w:val="clear" w:pos="624"/>
          <w:tab w:val="num" w:pos="709"/>
        </w:tabs>
        <w:spacing w:before="240" w:after="120" w:line="257" w:lineRule="auto"/>
        <w:ind w:left="709" w:hanging="386"/>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 xml:space="preserve">Supervisión DE las pruebas </w:t>
      </w:r>
    </w:p>
    <w:p w:rsidR="00056BF0" w:rsidRPr="00076DCD" w:rsidRDefault="00056BF0" w:rsidP="00B07EB1">
      <w:pPr>
        <w:numPr>
          <w:ilvl w:val="0"/>
          <w:numId w:val="111"/>
        </w:numPr>
        <w:spacing w:before="12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Participar en las pruebas internas de operación.</w:t>
      </w:r>
    </w:p>
    <w:p w:rsidR="00056BF0" w:rsidRPr="00076DCD" w:rsidRDefault="00056BF0" w:rsidP="00B07EB1">
      <w:pPr>
        <w:numPr>
          <w:ilvl w:val="0"/>
          <w:numId w:val="111"/>
        </w:numPr>
        <w:spacing w:before="60" w:after="0" w:line="257" w:lineRule="auto"/>
        <w:ind w:left="993" w:hanging="284"/>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Participar en las pruebas de verificación de la línea eléctrica establecidas en el Anexo N° 2 del Contrato. </w:t>
      </w:r>
    </w:p>
    <w:p w:rsidR="00427C45" w:rsidRDefault="00427C45">
      <w:pPr>
        <w:rPr>
          <w:rFonts w:ascii="Arial" w:eastAsia="Times New Roman" w:hAnsi="Arial" w:cs="Arial"/>
          <w:b/>
          <w:caps/>
          <w:sz w:val="21"/>
          <w:szCs w:val="21"/>
          <w:lang w:eastAsia="es-PE"/>
        </w:rPr>
      </w:pPr>
      <w:r>
        <w:rPr>
          <w:rFonts w:ascii="Arial" w:eastAsia="Times New Roman" w:hAnsi="Arial" w:cs="Arial"/>
          <w:b/>
          <w:caps/>
          <w:sz w:val="21"/>
          <w:szCs w:val="21"/>
          <w:lang w:eastAsia="es-PE"/>
        </w:rPr>
        <w:br w:type="page"/>
      </w:r>
    </w:p>
    <w:p w:rsidR="00056BF0" w:rsidRPr="00076DCD" w:rsidRDefault="00056BF0" w:rsidP="00B07EB1">
      <w:pPr>
        <w:numPr>
          <w:ilvl w:val="0"/>
          <w:numId w:val="108"/>
        </w:numPr>
        <w:spacing w:before="360" w:after="240" w:line="257" w:lineRule="auto"/>
        <w:ind w:hanging="340"/>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lastRenderedPageBreak/>
        <w:t xml:space="preserve">CALIFICACIONES DEL PERSONAL DE LA EMPRESA SUPERVISORA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Los profesionales requeridos para la labor de Supervisión y su respectivo perfil, sin ser limitativo, es el siguiente: </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Jefe de Supervisión del Proyecto</w:t>
      </w:r>
      <w:r w:rsidRPr="00076DCD">
        <w:rPr>
          <w:rFonts w:ascii="Arial" w:eastAsia="Times New Roman" w:hAnsi="Arial" w:cs="Arial"/>
          <w:sz w:val="21"/>
          <w:szCs w:val="21"/>
          <w:lang w:eastAsia="es-PE"/>
        </w:rPr>
        <w:t xml:space="preserve">: Ingeniero mecánico-electricista o electricista, con una experiencia mínima de 10 años en supervisión de líneas y subestaciones de </w:t>
      </w:r>
      <w:r w:rsidR="009D506D" w:rsidRPr="00076DCD">
        <w:rPr>
          <w:rFonts w:ascii="Arial" w:eastAsia="Times New Roman" w:hAnsi="Arial" w:cs="Arial"/>
          <w:sz w:val="21"/>
          <w:szCs w:val="21"/>
          <w:lang w:eastAsia="es-PE"/>
        </w:rPr>
        <w:t xml:space="preserve">220 </w:t>
      </w:r>
      <w:r w:rsidRPr="00076DCD">
        <w:rPr>
          <w:rFonts w:ascii="Arial" w:eastAsia="Times New Roman" w:hAnsi="Arial" w:cs="Arial"/>
          <w:sz w:val="21"/>
          <w:szCs w:val="21"/>
          <w:lang w:eastAsia="es-PE"/>
        </w:rPr>
        <w:t>kV.</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Jefe Supervisor de Línea de Transmisión</w:t>
      </w:r>
      <w:r w:rsidRPr="00076DCD">
        <w:rPr>
          <w:rFonts w:ascii="Arial" w:eastAsia="Times New Roman" w:hAnsi="Arial" w:cs="Arial"/>
          <w:sz w:val="21"/>
          <w:szCs w:val="21"/>
          <w:lang w:eastAsia="es-PE"/>
        </w:rPr>
        <w:t xml:space="preserve">: Ingeniero mecánico-electricista o electricista, con una experiencia mínima de 10 años en supervisión de líneas de </w:t>
      </w:r>
      <w:r w:rsidR="009D506D" w:rsidRPr="00076DCD">
        <w:rPr>
          <w:rFonts w:ascii="Arial" w:eastAsia="Times New Roman" w:hAnsi="Arial" w:cs="Arial"/>
          <w:sz w:val="21"/>
          <w:szCs w:val="21"/>
          <w:lang w:eastAsia="es-PE"/>
        </w:rPr>
        <w:t xml:space="preserve">220 </w:t>
      </w:r>
      <w:r w:rsidRPr="00076DCD">
        <w:rPr>
          <w:rFonts w:ascii="Arial" w:eastAsia="Times New Roman" w:hAnsi="Arial" w:cs="Arial"/>
          <w:sz w:val="21"/>
          <w:szCs w:val="21"/>
          <w:lang w:eastAsia="es-PE"/>
        </w:rPr>
        <w:t xml:space="preserve">kV. </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Jefe Supervisor de Subestaciones</w:t>
      </w:r>
      <w:r w:rsidRPr="00076DCD">
        <w:rPr>
          <w:rFonts w:ascii="Arial" w:eastAsia="Times New Roman" w:hAnsi="Arial" w:cs="Arial"/>
          <w:sz w:val="21"/>
          <w:szCs w:val="21"/>
          <w:lang w:eastAsia="es-PE"/>
        </w:rPr>
        <w:t xml:space="preserve">: Ingeniero mecánico-electricista o electricista, con una experiencia mínima de 10 años en supervisión de subestaciones de </w:t>
      </w:r>
      <w:r w:rsidR="009D506D" w:rsidRPr="00076DCD">
        <w:rPr>
          <w:rFonts w:ascii="Arial" w:eastAsia="Times New Roman" w:hAnsi="Arial" w:cs="Arial"/>
          <w:sz w:val="21"/>
          <w:szCs w:val="21"/>
          <w:lang w:eastAsia="es-PE"/>
        </w:rPr>
        <w:t xml:space="preserve">220 </w:t>
      </w:r>
      <w:r w:rsidRPr="00076DCD">
        <w:rPr>
          <w:rFonts w:ascii="Arial" w:eastAsia="Times New Roman" w:hAnsi="Arial" w:cs="Arial"/>
          <w:sz w:val="21"/>
          <w:szCs w:val="21"/>
          <w:lang w:eastAsia="es-PE"/>
        </w:rPr>
        <w:t>kV.</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Jefe Supervisor de Obras Civiles</w:t>
      </w:r>
      <w:r w:rsidRPr="00076DCD">
        <w:rPr>
          <w:rFonts w:ascii="Arial" w:eastAsia="Times New Roman" w:hAnsi="Arial" w:cs="Arial"/>
          <w:sz w:val="21"/>
          <w:szCs w:val="21"/>
          <w:lang w:eastAsia="es-PE"/>
        </w:rPr>
        <w:t>: Ingeniero civil, con una experiencia mínima de 10 años en supervisión de obras civiles de líneas y subestaciones de alta tensión.</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Especialista en Protección Eléctrica</w:t>
      </w:r>
      <w:r w:rsidRPr="00076DCD">
        <w:rPr>
          <w:rFonts w:ascii="Arial" w:eastAsia="Times New Roman" w:hAnsi="Arial" w:cs="Arial"/>
          <w:sz w:val="21"/>
          <w:szCs w:val="21"/>
          <w:lang w:eastAsia="es-PE"/>
        </w:rPr>
        <w:t xml:space="preserve">: Ingeniero mecánico-electricista o electricista, con una experiencia mínima de 5 años en sistemas de protección de subestaciones </w:t>
      </w:r>
      <w:r w:rsidR="009D506D" w:rsidRPr="00076DCD">
        <w:rPr>
          <w:rFonts w:ascii="Arial" w:eastAsia="Times New Roman" w:hAnsi="Arial" w:cs="Arial"/>
          <w:sz w:val="21"/>
          <w:szCs w:val="21"/>
          <w:lang w:eastAsia="es-PE"/>
        </w:rPr>
        <w:t xml:space="preserve">220 </w:t>
      </w:r>
      <w:r w:rsidRPr="00076DCD">
        <w:rPr>
          <w:rFonts w:ascii="Arial" w:eastAsia="Times New Roman" w:hAnsi="Arial" w:cs="Arial"/>
          <w:sz w:val="21"/>
          <w:szCs w:val="21"/>
          <w:lang w:eastAsia="es-PE"/>
        </w:rPr>
        <w:t>kV.</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Especialista en Telecomunicaciones</w:t>
      </w:r>
      <w:r w:rsidRPr="00076DCD">
        <w:rPr>
          <w:rFonts w:ascii="Arial" w:eastAsia="Times New Roman" w:hAnsi="Arial" w:cs="Arial"/>
          <w:sz w:val="21"/>
          <w:szCs w:val="21"/>
          <w:lang w:eastAsia="es-PE"/>
        </w:rPr>
        <w:t>: Ingeniero mecánico-electricista o electricista con una experiencia mínima de 5 años en sistemas de telecomunicaciones de líneas eléctricas de alta tensión.</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Supervisor de Geotecnia:</w:t>
      </w:r>
      <w:r w:rsidRPr="00076DCD">
        <w:rPr>
          <w:rFonts w:ascii="Arial" w:eastAsia="Times New Roman" w:hAnsi="Arial" w:cs="Arial"/>
          <w:sz w:val="21"/>
          <w:szCs w:val="21"/>
          <w:lang w:eastAsia="es-PE"/>
        </w:rPr>
        <w:t xml:space="preserve"> Ingeniero Geólogo, con experiencia mínima de 10 años en supervisión de trabajos en líneas y subestaciones de alta tensión.</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Jefe de Seguridad</w:t>
      </w:r>
      <w:r w:rsidRPr="00076DCD">
        <w:rPr>
          <w:rFonts w:ascii="Arial" w:eastAsia="Times New Roman" w:hAnsi="Arial" w:cs="Arial"/>
          <w:sz w:val="21"/>
          <w:szCs w:val="21"/>
          <w:lang w:eastAsia="es-PE"/>
        </w:rPr>
        <w:t>: Ingeniero mecánico electricista, electricista o de profesión afín con experiencia mínima de 10 años en la supervisión de la seguridad durante la construcción de líneas y subestaciones eléctricas de alta tensión.</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b/>
          <w:sz w:val="21"/>
          <w:szCs w:val="21"/>
          <w:lang w:eastAsia="es-PE"/>
        </w:rPr>
        <w:t>Técnicos civiles, electromecánicos y de telecomunicaciones</w:t>
      </w:r>
      <w:r w:rsidRPr="00076DCD">
        <w:rPr>
          <w:rFonts w:ascii="Arial" w:eastAsia="Times New Roman" w:hAnsi="Arial" w:cs="Arial"/>
          <w:sz w:val="21"/>
          <w:szCs w:val="21"/>
          <w:lang w:eastAsia="es-PE"/>
        </w:rPr>
        <w:t>, con experiencia mínima en trabajos similares en obras de Líneas eléctricas, subestaciones y telecomunicaciones de alta tensión.</w:t>
      </w:r>
    </w:p>
    <w:p w:rsidR="00056BF0" w:rsidRPr="00076DCD" w:rsidRDefault="00056BF0" w:rsidP="00B07EB1">
      <w:pPr>
        <w:numPr>
          <w:ilvl w:val="0"/>
          <w:numId w:val="108"/>
        </w:numPr>
        <w:spacing w:before="360" w:after="240" w:line="257" w:lineRule="auto"/>
        <w:ind w:hanging="340"/>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INFORMES</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La empresa supervisora,  presentará los siguientes tipos de informes, durante la ejecución del servicio: </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u w:val="single"/>
          <w:lang w:eastAsia="es-PE"/>
        </w:rPr>
        <w:t>Informes mensuales</w:t>
      </w:r>
      <w:r w:rsidRPr="00076DCD">
        <w:rPr>
          <w:rFonts w:ascii="Arial" w:eastAsia="Times New Roman" w:hAnsi="Arial" w:cs="Arial"/>
          <w:sz w:val="21"/>
          <w:szCs w:val="21"/>
          <w:lang w:eastAsia="es-PE"/>
        </w:rPr>
        <w:t xml:space="preserve">: Al final de cada mes y durante el período de ejecución del Proyecto, la empresa Supervisora elaborará un informe sobre la situación del proyecto. </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u w:val="single"/>
          <w:lang w:eastAsia="es-PE"/>
        </w:rPr>
        <w:t>Informes de observaciones</w:t>
      </w:r>
      <w:r w:rsidRPr="00076DCD">
        <w:rPr>
          <w:rFonts w:ascii="Arial" w:eastAsia="Times New Roman" w:hAnsi="Arial" w:cs="Arial"/>
          <w:sz w:val="21"/>
          <w:szCs w:val="21"/>
          <w:lang w:eastAsia="es-PE"/>
        </w:rPr>
        <w:t>: En cada oportunidad en que</w:t>
      </w:r>
      <w:r w:rsidR="007043AB" w:rsidRPr="00076DCD">
        <w:rPr>
          <w:rFonts w:ascii="Arial" w:eastAsia="Times New Roman" w:hAnsi="Arial" w:cs="Arial"/>
          <w:sz w:val="21"/>
          <w:szCs w:val="21"/>
          <w:lang w:eastAsia="es-PE"/>
        </w:rPr>
        <w:t xml:space="preserve"> </w:t>
      </w:r>
      <w:r w:rsidR="00B721A5" w:rsidRPr="00076DCD">
        <w:rPr>
          <w:rFonts w:ascii="Arial" w:eastAsia="Times New Roman" w:hAnsi="Arial" w:cs="Arial"/>
          <w:sz w:val="21"/>
          <w:szCs w:val="21"/>
          <w:lang w:eastAsia="es-PE"/>
        </w:rPr>
        <w:t>la Empresa Supervisora</w:t>
      </w:r>
      <w:r w:rsidRPr="00076DCD">
        <w:rPr>
          <w:rFonts w:ascii="Arial" w:eastAsia="Times New Roman" w:hAnsi="Arial" w:cs="Arial"/>
          <w:sz w:val="21"/>
          <w:szCs w:val="21"/>
          <w:lang w:eastAsia="es-PE"/>
        </w:rPr>
        <w:t xml:space="preserve"> detecte una observación, elevará el informe respectivo, describiendo los detalles correspondientes.  </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u w:val="single"/>
          <w:lang w:eastAsia="es-PE"/>
        </w:rPr>
        <w:t>Informes específicos</w:t>
      </w:r>
      <w:r w:rsidRPr="00076DCD">
        <w:rPr>
          <w:rFonts w:ascii="Arial" w:eastAsia="Times New Roman" w:hAnsi="Arial" w:cs="Arial"/>
          <w:sz w:val="21"/>
          <w:szCs w:val="21"/>
          <w:lang w:eastAsia="es-PE"/>
        </w:rPr>
        <w:t>: Son los informes que durante la ejecución de la obra, OSINERGMIN le solicite sobre aspectos o problemas técnicos específicos, situaciones de seguridad, aspectos ambientales, incidente y accidentes o sobre otros aspectos relativos a la ejecución del proyecto.</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Informe de cumplimiento del Anexo N° 1 del Contrato</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Informe de revisión del Estudio de Pre operatividad</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Informe de revisión de la Ingeniería a Nivel Definitivo</w:t>
      </w:r>
      <w:r w:rsidRPr="00076DCD">
        <w:rPr>
          <w:rFonts w:ascii="Arial" w:eastAsia="Times New Roman" w:hAnsi="Arial" w:cs="Arial"/>
          <w:sz w:val="21"/>
          <w:szCs w:val="21"/>
          <w:lang w:eastAsia="es-PE"/>
        </w:rPr>
        <w:tab/>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Informe de revisión del Estudio de Operatividad. </w:t>
      </w:r>
    </w:p>
    <w:p w:rsidR="00056BF0" w:rsidRPr="00076DCD" w:rsidRDefault="00056BF0" w:rsidP="00B07EB1">
      <w:pPr>
        <w:numPr>
          <w:ilvl w:val="0"/>
          <w:numId w:val="110"/>
        </w:numPr>
        <w:spacing w:before="100" w:after="0" w:line="257" w:lineRule="auto"/>
        <w:ind w:left="714" w:hanging="357"/>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lastRenderedPageBreak/>
        <w:t>Informe final: Una vez terminadas las obras y aceptadas todas las pruebas y puesta en servicio, la Empresa Supervisora elaborará el informe final de sus actividades. En este informe</w:t>
      </w:r>
      <w:r w:rsidR="007043AB" w:rsidRPr="00076DCD">
        <w:rPr>
          <w:rFonts w:ascii="Arial" w:eastAsia="Times New Roman" w:hAnsi="Arial" w:cs="Arial"/>
          <w:sz w:val="21"/>
          <w:szCs w:val="21"/>
          <w:lang w:eastAsia="es-PE"/>
        </w:rPr>
        <w:t xml:space="preserve"> </w:t>
      </w:r>
      <w:r w:rsidR="00B721A5" w:rsidRPr="00076DCD">
        <w:rPr>
          <w:rFonts w:ascii="Arial" w:eastAsia="Times New Roman" w:hAnsi="Arial" w:cs="Arial"/>
          <w:sz w:val="21"/>
          <w:szCs w:val="21"/>
          <w:lang w:eastAsia="es-PE"/>
        </w:rPr>
        <w:t>la Empresa Supervisora</w:t>
      </w:r>
      <w:r w:rsidRPr="00076DCD">
        <w:rPr>
          <w:rFonts w:ascii="Arial" w:eastAsia="Times New Roman" w:hAnsi="Arial" w:cs="Arial"/>
          <w:sz w:val="21"/>
          <w:szCs w:val="21"/>
          <w:lang w:eastAsia="es-PE"/>
        </w:rPr>
        <w:t xml:space="preserve"> expresará su aprobación y conformidad con las instalaciones. </w:t>
      </w:r>
    </w:p>
    <w:p w:rsidR="00056BF0" w:rsidRPr="00076DCD" w:rsidRDefault="00056BF0" w:rsidP="00B07EB1">
      <w:pPr>
        <w:numPr>
          <w:ilvl w:val="0"/>
          <w:numId w:val="108"/>
        </w:numPr>
        <w:spacing w:before="360" w:after="240" w:line="257" w:lineRule="auto"/>
        <w:ind w:hanging="340"/>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 xml:space="preserve">CALENDARIO DE EJECUCIÓN DEL SERVICIO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El plazo máximo de ejecución del servicio es de </w:t>
      </w:r>
      <w:r w:rsidR="00BD05E0" w:rsidRPr="00076DCD">
        <w:rPr>
          <w:rFonts w:ascii="Arial" w:eastAsia="Times New Roman" w:hAnsi="Arial" w:cs="Arial"/>
          <w:sz w:val="21"/>
          <w:szCs w:val="21"/>
          <w:lang w:eastAsia="es-PE"/>
        </w:rPr>
        <w:t>veinticuatro</w:t>
      </w:r>
      <w:r w:rsidRPr="00076DCD">
        <w:rPr>
          <w:rFonts w:ascii="Arial" w:eastAsia="Times New Roman" w:hAnsi="Arial" w:cs="Arial"/>
          <w:sz w:val="21"/>
          <w:szCs w:val="21"/>
          <w:lang w:eastAsia="es-PE"/>
        </w:rPr>
        <w:t xml:space="preserve"> (</w:t>
      </w:r>
      <w:r w:rsidR="00BD05E0" w:rsidRPr="00076DCD">
        <w:rPr>
          <w:rFonts w:ascii="Arial" w:eastAsia="Times New Roman" w:hAnsi="Arial" w:cs="Arial"/>
          <w:sz w:val="21"/>
          <w:szCs w:val="21"/>
          <w:lang w:eastAsia="es-PE"/>
        </w:rPr>
        <w:t>24</w:t>
      </w:r>
      <w:r w:rsidRPr="00076DCD">
        <w:rPr>
          <w:rFonts w:ascii="Arial" w:eastAsia="Times New Roman" w:hAnsi="Arial" w:cs="Arial"/>
          <w:sz w:val="21"/>
          <w:szCs w:val="21"/>
          <w:lang w:eastAsia="es-PE"/>
        </w:rPr>
        <w:t xml:space="preserve">) meses, contados desde el día siguiente de la fecha de suscripción del contrato del servicio de consultoría.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El inicio del servicio de consultoría será el primer día hábil del mes siguiente de la suscripción del contrato del servicio de consultoría.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De ser necesaria una ampliación de plazo, las Partes se pondrán de acuerdo para la ampliación de los servicios de supervisión que se requieran hasta la terminación de la obra. </w:t>
      </w:r>
    </w:p>
    <w:p w:rsidR="00056BF0" w:rsidRPr="00076DCD" w:rsidRDefault="00056BF0" w:rsidP="00B07EB1">
      <w:pPr>
        <w:numPr>
          <w:ilvl w:val="0"/>
          <w:numId w:val="108"/>
        </w:numPr>
        <w:spacing w:before="360" w:after="240" w:line="257" w:lineRule="auto"/>
        <w:ind w:hanging="340"/>
        <w:jc w:val="both"/>
        <w:rPr>
          <w:rFonts w:ascii="Arial" w:eastAsia="Times New Roman" w:hAnsi="Arial" w:cs="Arial"/>
          <w:b/>
          <w:caps/>
          <w:sz w:val="21"/>
          <w:szCs w:val="21"/>
          <w:lang w:eastAsia="es-PE"/>
        </w:rPr>
      </w:pPr>
      <w:r w:rsidRPr="00076DCD">
        <w:rPr>
          <w:rFonts w:ascii="Arial" w:eastAsia="Times New Roman" w:hAnsi="Arial" w:cs="Arial"/>
          <w:b/>
          <w:caps/>
          <w:sz w:val="21"/>
          <w:szCs w:val="21"/>
          <w:lang w:eastAsia="es-PE"/>
        </w:rPr>
        <w:t xml:space="preserve">FACILIDADES DE INFORMACIÓN Y SUPERVISIÓN </w:t>
      </w:r>
    </w:p>
    <w:p w:rsidR="00056BF0" w:rsidRPr="00076DCD" w:rsidRDefault="00056BF0" w:rsidP="00B07EB1">
      <w:pPr>
        <w:spacing w:before="120" w:after="0" w:line="257" w:lineRule="auto"/>
        <w:ind w:left="340"/>
        <w:jc w:val="both"/>
        <w:rPr>
          <w:rFonts w:ascii="Arial" w:eastAsia="Times New Roman" w:hAnsi="Arial" w:cs="Arial"/>
          <w:sz w:val="21"/>
          <w:szCs w:val="21"/>
          <w:lang w:eastAsia="es-PE"/>
        </w:rPr>
      </w:pPr>
      <w:r w:rsidRPr="00076DCD">
        <w:rPr>
          <w:rFonts w:ascii="Arial" w:eastAsia="Times New Roman" w:hAnsi="Arial" w:cs="Arial"/>
          <w:sz w:val="21"/>
          <w:szCs w:val="21"/>
          <w:lang w:eastAsia="es-PE"/>
        </w:rPr>
        <w:t xml:space="preserve">La concesionaria pondrá a disposición de la Empresa Supervisora la documentación que le sea requerida por ésta. </w:t>
      </w:r>
    </w:p>
    <w:p w:rsidR="00E9287D" w:rsidRPr="00076DCD" w:rsidRDefault="00056BF0" w:rsidP="00B07EB1">
      <w:pPr>
        <w:spacing w:before="120" w:after="0" w:line="257" w:lineRule="auto"/>
        <w:ind w:left="340"/>
        <w:jc w:val="both"/>
        <w:rPr>
          <w:rFonts w:ascii="Arial" w:hAnsi="Arial" w:cs="Arial"/>
        </w:rPr>
      </w:pPr>
      <w:r w:rsidRPr="00076DCD">
        <w:rPr>
          <w:rFonts w:ascii="Arial" w:eastAsia="Times New Roman" w:hAnsi="Arial" w:cs="Arial"/>
          <w:sz w:val="21"/>
          <w:szCs w:val="21"/>
          <w:lang w:eastAsia="es-PE"/>
        </w:rPr>
        <w:t>Estos</w:t>
      </w:r>
      <w:r w:rsidRPr="00076DCD">
        <w:rPr>
          <w:rFonts w:ascii="Arial" w:eastAsia="Times New Roman" w:hAnsi="Arial" w:cs="Arial"/>
          <w:color w:val="000000"/>
          <w:sz w:val="21"/>
          <w:szCs w:val="21"/>
          <w:lang w:eastAsia="es-PE"/>
        </w:rPr>
        <w:t xml:space="preserve"> Términos de Referencia, en general, consideran las obligaciones que deberán ser cumplidas por la Sociedad Concesionaria y que se encuentran establecidas en el Contrato de Concesión de </w:t>
      </w:r>
      <w:r w:rsidR="00627F2B" w:rsidRPr="00076DCD">
        <w:rPr>
          <w:rFonts w:ascii="Arial" w:eastAsia="Times New Roman" w:hAnsi="Arial" w:cs="Arial"/>
          <w:color w:val="000000"/>
          <w:sz w:val="21"/>
          <w:szCs w:val="21"/>
          <w:lang w:eastAsia="es-PE"/>
        </w:rPr>
        <w:t xml:space="preserve">SCT </w:t>
      </w:r>
      <w:r w:rsidRPr="00076DCD">
        <w:rPr>
          <w:rFonts w:ascii="Arial" w:eastAsia="Times New Roman" w:hAnsi="Arial" w:cs="Arial"/>
          <w:color w:val="000000"/>
          <w:sz w:val="21"/>
          <w:szCs w:val="21"/>
          <w:lang w:eastAsia="es-PE"/>
        </w:rPr>
        <w:t xml:space="preserve">Línea de Transmisión </w:t>
      </w:r>
      <w:r w:rsidR="00627F2B" w:rsidRPr="00076DCD">
        <w:rPr>
          <w:rFonts w:ascii="Arial" w:eastAsia="Times New Roman" w:hAnsi="Arial" w:cs="Arial"/>
          <w:color w:val="000000"/>
          <w:sz w:val="21"/>
          <w:szCs w:val="21"/>
          <w:lang w:eastAsia="es-PE"/>
        </w:rPr>
        <w:t xml:space="preserve">220 </w:t>
      </w:r>
      <w:r w:rsidRPr="00076DCD">
        <w:rPr>
          <w:rFonts w:ascii="Arial" w:eastAsia="Times New Roman" w:hAnsi="Arial" w:cs="Arial"/>
          <w:color w:val="000000"/>
          <w:sz w:val="21"/>
          <w:szCs w:val="21"/>
          <w:lang w:eastAsia="es-PE"/>
        </w:rPr>
        <w:t xml:space="preserve">kV </w:t>
      </w:r>
      <w:r w:rsidR="00627F2B" w:rsidRPr="00076DCD">
        <w:rPr>
          <w:rFonts w:ascii="Arial" w:eastAsia="Times New Roman" w:hAnsi="Arial" w:cs="Arial"/>
          <w:color w:val="000000"/>
          <w:sz w:val="21"/>
          <w:szCs w:val="21"/>
          <w:lang w:eastAsia="es-PE"/>
        </w:rPr>
        <w:t>La Planicie-Industriales</w:t>
      </w:r>
      <w:r w:rsidRPr="00076DCD">
        <w:rPr>
          <w:rFonts w:ascii="Arial" w:eastAsia="Times New Roman" w:hAnsi="Arial" w:cs="Arial"/>
          <w:color w:val="000000"/>
          <w:sz w:val="21"/>
          <w:szCs w:val="21"/>
          <w:lang w:eastAsia="es-PE"/>
        </w:rPr>
        <w:t xml:space="preserve"> y Subestaciones Asociadas, que incluye al Anexo N° 1 “Especificaciones del </w:t>
      </w:r>
      <w:r w:rsidR="00627F2B" w:rsidRPr="00076DCD">
        <w:rPr>
          <w:rFonts w:ascii="Arial" w:eastAsia="Times New Roman" w:hAnsi="Arial" w:cs="Arial"/>
          <w:color w:val="000000"/>
          <w:sz w:val="21"/>
          <w:szCs w:val="21"/>
          <w:lang w:eastAsia="es-PE"/>
        </w:rPr>
        <w:t>P</w:t>
      </w:r>
      <w:r w:rsidRPr="00076DCD">
        <w:rPr>
          <w:rFonts w:ascii="Arial" w:eastAsia="Times New Roman" w:hAnsi="Arial" w:cs="Arial"/>
          <w:color w:val="000000"/>
          <w:sz w:val="21"/>
          <w:szCs w:val="21"/>
          <w:lang w:eastAsia="es-PE"/>
        </w:rPr>
        <w:t xml:space="preserve">royecto” y Anexo N° 2 “Procedimiento de </w:t>
      </w:r>
      <w:r w:rsidR="00E50EF2" w:rsidRPr="00076DCD">
        <w:rPr>
          <w:rFonts w:ascii="Arial" w:eastAsia="Times New Roman" w:hAnsi="Arial" w:cs="Arial"/>
          <w:color w:val="000000"/>
          <w:sz w:val="21"/>
          <w:szCs w:val="21"/>
          <w:lang w:eastAsia="es-PE"/>
        </w:rPr>
        <w:t>V</w:t>
      </w:r>
      <w:r w:rsidRPr="00076DCD">
        <w:rPr>
          <w:rFonts w:ascii="Arial" w:eastAsia="Times New Roman" w:hAnsi="Arial" w:cs="Arial"/>
          <w:color w:val="000000"/>
          <w:sz w:val="21"/>
          <w:szCs w:val="21"/>
          <w:lang w:eastAsia="es-PE"/>
        </w:rPr>
        <w:t>erificación de la Línea Eléctrica”.</w:t>
      </w:r>
    </w:p>
    <w:sectPr w:rsidR="00E9287D" w:rsidRPr="00076DCD" w:rsidSect="00076DCD">
      <w:headerReference w:type="default" r:id="rId20"/>
      <w:footerReference w:type="default" r:id="rId21"/>
      <w:headerReference w:type="first" r:id="rId22"/>
      <w:pgSz w:w="11907" w:h="16840" w:code="9"/>
      <w:pgMar w:top="2835" w:right="1134" w:bottom="1134" w:left="1418"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E1" w:rsidRDefault="00CB71E1" w:rsidP="00FF5863">
      <w:pPr>
        <w:spacing w:after="0" w:line="240" w:lineRule="auto"/>
      </w:pPr>
      <w:r>
        <w:separator/>
      </w:r>
    </w:p>
  </w:endnote>
  <w:endnote w:type="continuationSeparator" w:id="0">
    <w:p w:rsidR="00CB71E1" w:rsidRDefault="00CB71E1" w:rsidP="00FF5863">
      <w:pPr>
        <w:spacing w:after="0" w:line="240" w:lineRule="auto"/>
      </w:pPr>
      <w:r>
        <w:continuationSeparator/>
      </w:r>
    </w:p>
  </w:endnote>
  <w:endnote w:type="continuationNotice" w:id="1">
    <w:p w:rsidR="00CB71E1" w:rsidRDefault="00CB71E1" w:rsidP="00FF5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Negrit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E1" w:rsidRPr="00076DCD" w:rsidRDefault="00CB71E1" w:rsidP="00076DCD">
    <w:pPr>
      <w:pStyle w:val="Piedepgina"/>
      <w:pBdr>
        <w:bottom w:val="dotted" w:sz="4" w:space="1" w:color="auto"/>
      </w:pBdr>
      <w:tabs>
        <w:tab w:val="clear" w:pos="8504"/>
      </w:tabs>
      <w:rPr>
        <w:i/>
        <w:sz w:val="20"/>
      </w:rPr>
    </w:pPr>
  </w:p>
  <w:p w:rsidR="00CB71E1" w:rsidRPr="00076DCD" w:rsidRDefault="00CB71E1" w:rsidP="00076DCD">
    <w:pPr>
      <w:pStyle w:val="Piedepgina"/>
      <w:tabs>
        <w:tab w:val="clear" w:pos="567"/>
        <w:tab w:val="clear" w:pos="1134"/>
        <w:tab w:val="clear" w:pos="1701"/>
        <w:tab w:val="clear" w:pos="2268"/>
        <w:tab w:val="clear" w:pos="2835"/>
        <w:tab w:val="clear" w:pos="4252"/>
        <w:tab w:val="clear" w:pos="8504"/>
        <w:tab w:val="right" w:pos="9355"/>
      </w:tabs>
      <w:rPr>
        <w:b/>
        <w:sz w:val="16"/>
        <w:szCs w:val="16"/>
        <w:lang w:val="es-ES"/>
      </w:rPr>
    </w:pPr>
    <w:r w:rsidRPr="00076DCD">
      <w:rPr>
        <w:b/>
        <w:sz w:val="16"/>
        <w:szCs w:val="16"/>
        <w:lang w:val="es-ES"/>
      </w:rPr>
      <w:t>Contrato de Concesión LT La Planicie-Industriales y Subestaciones Asociadas</w:t>
    </w:r>
    <w:sdt>
      <w:sdtPr>
        <w:rPr>
          <w:b/>
          <w:sz w:val="16"/>
          <w:szCs w:val="16"/>
          <w:lang w:val="es-ES"/>
        </w:rPr>
        <w:id w:val="839962665"/>
        <w:docPartObj>
          <w:docPartGallery w:val="Page Numbers (Top of Page)"/>
          <w:docPartUnique/>
        </w:docPartObj>
      </w:sdtPr>
      <w:sdtEndPr/>
      <w:sdtContent>
        <w:r w:rsidRPr="00076DCD">
          <w:rPr>
            <w:b/>
            <w:sz w:val="16"/>
            <w:szCs w:val="16"/>
            <w:lang w:val="es-ES"/>
          </w:rPr>
          <w:tab/>
          <w:t xml:space="preserve">Página </w:t>
        </w:r>
        <w:r w:rsidRPr="00076DCD">
          <w:rPr>
            <w:b/>
            <w:sz w:val="16"/>
            <w:szCs w:val="16"/>
            <w:lang w:val="es-ES"/>
          </w:rPr>
          <w:fldChar w:fldCharType="begin"/>
        </w:r>
        <w:r w:rsidRPr="00076DCD">
          <w:rPr>
            <w:b/>
            <w:sz w:val="16"/>
            <w:szCs w:val="16"/>
            <w:lang w:val="es-ES"/>
          </w:rPr>
          <w:instrText>PAGE</w:instrText>
        </w:r>
        <w:r w:rsidRPr="00076DCD">
          <w:rPr>
            <w:b/>
            <w:sz w:val="16"/>
            <w:szCs w:val="16"/>
            <w:lang w:val="es-ES"/>
          </w:rPr>
          <w:fldChar w:fldCharType="separate"/>
        </w:r>
        <w:r w:rsidR="009805D4">
          <w:rPr>
            <w:b/>
            <w:noProof/>
            <w:sz w:val="16"/>
            <w:szCs w:val="16"/>
            <w:lang w:val="es-ES"/>
          </w:rPr>
          <w:t>2</w:t>
        </w:r>
        <w:r w:rsidRPr="00076DCD">
          <w:rPr>
            <w:b/>
            <w:sz w:val="16"/>
            <w:szCs w:val="16"/>
            <w:lang w:val="es-ES"/>
          </w:rPr>
          <w:fldChar w:fldCharType="end"/>
        </w:r>
        <w:r w:rsidRPr="00076DCD">
          <w:rPr>
            <w:b/>
            <w:sz w:val="16"/>
            <w:szCs w:val="16"/>
            <w:lang w:val="es-ES"/>
          </w:rPr>
          <w:t xml:space="preserve"> de </w:t>
        </w:r>
        <w:r w:rsidRPr="00076DCD">
          <w:rPr>
            <w:b/>
            <w:sz w:val="16"/>
            <w:szCs w:val="16"/>
            <w:lang w:val="es-ES"/>
          </w:rPr>
          <w:fldChar w:fldCharType="begin"/>
        </w:r>
        <w:r w:rsidRPr="00076DCD">
          <w:rPr>
            <w:b/>
            <w:sz w:val="16"/>
            <w:szCs w:val="16"/>
            <w:lang w:val="es-ES"/>
          </w:rPr>
          <w:instrText>NUMPAGES</w:instrText>
        </w:r>
        <w:r w:rsidRPr="00076DCD">
          <w:rPr>
            <w:b/>
            <w:sz w:val="16"/>
            <w:szCs w:val="16"/>
            <w:lang w:val="es-ES"/>
          </w:rPr>
          <w:fldChar w:fldCharType="separate"/>
        </w:r>
        <w:r w:rsidR="009805D4">
          <w:rPr>
            <w:b/>
            <w:noProof/>
            <w:sz w:val="16"/>
            <w:szCs w:val="16"/>
            <w:lang w:val="es-ES"/>
          </w:rPr>
          <w:t>90</w:t>
        </w:r>
        <w:r w:rsidRPr="00076DCD">
          <w:rPr>
            <w:b/>
            <w:sz w:val="16"/>
            <w:szCs w:val="16"/>
            <w:lang w:val="es-ES"/>
          </w:rPr>
          <w:fldChar w:fldCharType="end"/>
        </w:r>
      </w:sdtContent>
    </w:sdt>
  </w:p>
  <w:p w:rsidR="00CB71E1" w:rsidRPr="00076DCD" w:rsidRDefault="00CB71E1" w:rsidP="00076DCD">
    <w:pPr>
      <w:pStyle w:val="Piedepgina"/>
      <w:tabs>
        <w:tab w:val="clear" w:pos="8504"/>
      </w:tabs>
      <w:rPr>
        <w:rFonts w:cs="Arial"/>
        <w:b/>
        <w:bCs/>
        <w:sz w:val="16"/>
        <w:szCs w:val="16"/>
        <w:lang w:val="es-MX"/>
      </w:rPr>
    </w:pPr>
    <w:r w:rsidRPr="00076DCD">
      <w:rPr>
        <w:b/>
        <w:sz w:val="16"/>
        <w:szCs w:val="16"/>
        <w:lang w:val="es-ES"/>
      </w:rPr>
      <w:t>Primera Versión</w:t>
    </w:r>
    <w:r w:rsidR="00630F9B">
      <w:rPr>
        <w:b/>
        <w:sz w:val="16"/>
        <w:szCs w:val="16"/>
        <w:lang w:val="es-ES"/>
      </w:rPr>
      <w:t xml:space="preserve"> (12.11.13)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E1" w:rsidRDefault="00CB71E1" w:rsidP="00FF5863">
      <w:pPr>
        <w:spacing w:after="0" w:line="240" w:lineRule="auto"/>
      </w:pPr>
      <w:r>
        <w:separator/>
      </w:r>
    </w:p>
  </w:footnote>
  <w:footnote w:type="continuationSeparator" w:id="0">
    <w:p w:rsidR="00CB71E1" w:rsidRDefault="00CB71E1" w:rsidP="00FF5863">
      <w:pPr>
        <w:spacing w:after="0" w:line="240" w:lineRule="auto"/>
      </w:pPr>
      <w:r>
        <w:continuationSeparator/>
      </w:r>
    </w:p>
  </w:footnote>
  <w:footnote w:type="continuationNotice" w:id="1">
    <w:p w:rsidR="00CB71E1" w:rsidRDefault="00CB71E1" w:rsidP="00FF58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E1" w:rsidRDefault="00CB71E1" w:rsidP="00764E85">
    <w:pPr>
      <w:pStyle w:val="Encabezado"/>
    </w:pPr>
    <w:r>
      <w:rPr>
        <w:noProof/>
        <w:lang w:val="es-PE" w:eastAsia="es-PE"/>
      </w:rPr>
      <mc:AlternateContent>
        <mc:Choice Requires="wps">
          <w:drawing>
            <wp:anchor distT="0" distB="0" distL="114300" distR="114300" simplePos="0" relativeHeight="251671552" behindDoc="0" locked="0" layoutInCell="1" allowOverlap="1" wp14:anchorId="5D4DC014" wp14:editId="0ACEA1F3">
              <wp:simplePos x="0" y="0"/>
              <wp:positionH relativeFrom="column">
                <wp:posOffset>4337685</wp:posOffset>
              </wp:positionH>
              <wp:positionV relativeFrom="paragraph">
                <wp:posOffset>141605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E1" w:rsidRPr="000D1E29" w:rsidRDefault="00CB71E1" w:rsidP="00B609B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1.55pt;margin-top:11.15pt;width:123.65pt;height: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" filled="f" stroked="f">
              <v:textbox>
                <w:txbxContent>
                  <w:p w:rsidR="00CB71E1" w:rsidRPr="000D1E29" w:rsidRDefault="00CB71E1" w:rsidP="00B609B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val="es-PE" w:eastAsia="es-PE"/>
      </w:rPr>
      <w:drawing>
        <wp:anchor distT="0" distB="0" distL="114300" distR="114300" simplePos="0" relativeHeight="251669504" behindDoc="1" locked="0" layoutInCell="1" allowOverlap="1" wp14:anchorId="64EEFEAA" wp14:editId="3FACA549">
          <wp:simplePos x="0" y="0"/>
          <wp:positionH relativeFrom="column">
            <wp:posOffset>20320</wp:posOffset>
          </wp:positionH>
          <wp:positionV relativeFrom="paragraph">
            <wp:posOffset>-76200</wp:posOffset>
          </wp:positionV>
          <wp:extent cx="5934075" cy="965200"/>
          <wp:effectExtent l="0" t="0" r="9525" b="6350"/>
          <wp:wrapNone/>
          <wp:docPr id="13" name="Imagen 13"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E1" w:rsidRDefault="00CB71E1" w:rsidP="00076DCD">
    <w:pPr>
      <w:pStyle w:val="Encabezado"/>
    </w:pPr>
    <w:r>
      <w:rPr>
        <w:noProof/>
        <w:lang w:val="es-PE" w:eastAsia="es-PE"/>
      </w:rPr>
      <w:drawing>
        <wp:anchor distT="0" distB="0" distL="114300" distR="114300" simplePos="0" relativeHeight="251673600" behindDoc="1" locked="0" layoutInCell="1" allowOverlap="1" wp14:anchorId="2B1A9BBE" wp14:editId="36D5A3D0">
          <wp:simplePos x="0" y="0"/>
          <wp:positionH relativeFrom="column">
            <wp:posOffset>1270</wp:posOffset>
          </wp:positionH>
          <wp:positionV relativeFrom="paragraph">
            <wp:posOffset>38100</wp:posOffset>
          </wp:positionV>
          <wp:extent cx="5934075" cy="965200"/>
          <wp:effectExtent l="0" t="0" r="9525" b="6350"/>
          <wp:wrapNone/>
          <wp:docPr id="12" name="Imagen 12"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1E1" w:rsidRDefault="00CB71E1">
    <w:pPr>
      <w:pStyle w:val="Encabezado"/>
    </w:pPr>
    <w:r>
      <w:rPr>
        <w:noProof/>
        <w:lang w:val="es-PE" w:eastAsia="es-PE"/>
      </w:rPr>
      <mc:AlternateContent>
        <mc:Choice Requires="wps">
          <w:drawing>
            <wp:anchor distT="0" distB="0" distL="114300" distR="114300" simplePos="0" relativeHeight="251674624" behindDoc="0" locked="0" layoutInCell="1" allowOverlap="1" wp14:anchorId="6E61C3D6" wp14:editId="37A2CFD8">
              <wp:simplePos x="0" y="0"/>
              <wp:positionH relativeFrom="column">
                <wp:posOffset>4309110</wp:posOffset>
              </wp:positionH>
              <wp:positionV relativeFrom="paragraph">
                <wp:posOffset>147320</wp:posOffset>
              </wp:positionV>
              <wp:extent cx="1570355" cy="185420"/>
              <wp:effectExtent l="0" t="0" r="0" b="508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E1" w:rsidRPr="000D1E29" w:rsidRDefault="00CB71E1" w:rsidP="00076DCD">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9.3pt;margin-top:11.6pt;width:123.65pt;height:1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NtvwIAAMc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" filled="f" stroked="f">
              <v:textbox>
                <w:txbxContent>
                  <w:p w:rsidR="00CB71E1" w:rsidRPr="000D1E29" w:rsidRDefault="00CB71E1" w:rsidP="00076DCD">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C9"/>
    <w:multiLevelType w:val="hybridMultilevel"/>
    <w:tmpl w:val="A648A84E"/>
    <w:lvl w:ilvl="0" w:tplc="8B28EE76">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7726C8"/>
    <w:multiLevelType w:val="hybridMultilevel"/>
    <w:tmpl w:val="70B8DD62"/>
    <w:lvl w:ilvl="0" w:tplc="F80A3966">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4">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5">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
    <w:nsid w:val="07BD10B9"/>
    <w:multiLevelType w:val="hybridMultilevel"/>
    <w:tmpl w:val="62D6215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087C3FB5"/>
    <w:multiLevelType w:val="hybridMultilevel"/>
    <w:tmpl w:val="74B02278"/>
    <w:lvl w:ilvl="0" w:tplc="33EEBC3C">
      <w:start w:val="1"/>
      <w:numFmt w:val="decimal"/>
      <w:lvlText w:val="6.%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A686CC4"/>
    <w:multiLevelType w:val="hybridMultilevel"/>
    <w:tmpl w:val="CA0244D8"/>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B8F19CA"/>
    <w:multiLevelType w:val="hybridMultilevel"/>
    <w:tmpl w:val="A300E73C"/>
    <w:lvl w:ilvl="0" w:tplc="E936519E">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13">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nsid w:val="0C7D46A3"/>
    <w:multiLevelType w:val="hybridMultilevel"/>
    <w:tmpl w:val="3008F236"/>
    <w:lvl w:ilvl="0" w:tplc="64E050AA">
      <w:start w:val="1"/>
      <w:numFmt w:val="bullet"/>
      <w:lvlText w:val=""/>
      <w:lvlJc w:val="left"/>
      <w:pPr>
        <w:ind w:left="1713" w:hanging="360"/>
      </w:pPr>
      <w:rPr>
        <w:rFonts w:ascii="Wingdings" w:hAnsi="Wingdings" w:hint="default"/>
        <w:b w:val="0"/>
        <w:i w:val="0"/>
        <w:sz w:val="22"/>
        <w:effect w:val="none"/>
      </w:rPr>
    </w:lvl>
    <w:lvl w:ilvl="1" w:tplc="280A0003" w:tentative="1">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7">
    <w:nsid w:val="100363CC"/>
    <w:multiLevelType w:val="hybridMultilevel"/>
    <w:tmpl w:val="BAF608A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0BD4716"/>
    <w:multiLevelType w:val="hybridMultilevel"/>
    <w:tmpl w:val="D43E0DCA"/>
    <w:lvl w:ilvl="0" w:tplc="83608938">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9">
    <w:nsid w:val="11146DC2"/>
    <w:multiLevelType w:val="hybridMultilevel"/>
    <w:tmpl w:val="F4C499F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6695FFF"/>
    <w:multiLevelType w:val="hybridMultilevel"/>
    <w:tmpl w:val="FD9E29C2"/>
    <w:lvl w:ilvl="0" w:tplc="C34E1080">
      <w:start w:val="1"/>
      <w:numFmt w:val="decimal"/>
      <w:lvlText w:val="2.%1"/>
      <w:lvlJc w:val="left"/>
      <w:pPr>
        <w:ind w:left="720" w:hanging="360"/>
      </w:pPr>
      <w:rPr>
        <w:rFonts w:ascii="Arial" w:hAnsi="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4">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5">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6">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1DB5700E"/>
    <w:multiLevelType w:val="hybridMultilevel"/>
    <w:tmpl w:val="B2340B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69BE00C4">
      <w:start w:val="1"/>
      <w:numFmt w:val="lowerLetter"/>
      <w:lvlText w:val="%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0">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26C355D"/>
    <w:multiLevelType w:val="hybridMultilevel"/>
    <w:tmpl w:val="4F246B0C"/>
    <w:lvl w:ilvl="0" w:tplc="E1669862">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33">
    <w:nsid w:val="229B4E82"/>
    <w:multiLevelType w:val="multilevel"/>
    <w:tmpl w:val="1F149082"/>
    <w:lvl w:ilvl="0">
      <w:start w:val="1"/>
      <w:numFmt w:val="lowerLetter"/>
      <w:lvlText w:val="%1)"/>
      <w:lvlJc w:val="left"/>
      <w:pPr>
        <w:tabs>
          <w:tab w:val="num" w:pos="1440"/>
        </w:tabs>
        <w:ind w:left="144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340"/>
        </w:tabs>
        <w:ind w:left="2340" w:hanging="360"/>
      </w:pPr>
      <w:rPr>
        <w:rFonts w:ascii="Wingdings" w:hAnsi="Wingdings" w:hint="default"/>
        <w:b/>
        <w:i w:val="0"/>
        <w:sz w:val="1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254A4DD5"/>
    <w:multiLevelType w:val="hybridMultilevel"/>
    <w:tmpl w:val="569CFBC2"/>
    <w:lvl w:ilvl="0" w:tplc="0C0A0003">
      <w:start w:val="1"/>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255E49B1"/>
    <w:multiLevelType w:val="hybridMultilevel"/>
    <w:tmpl w:val="BDF872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26763B2A"/>
    <w:multiLevelType w:val="hybridMultilevel"/>
    <w:tmpl w:val="C54C9F6E"/>
    <w:lvl w:ilvl="0" w:tplc="E6FC0888">
      <w:start w:val="1"/>
      <w:numFmt w:val="lowerLetter"/>
      <w:lvlText w:val="%1)"/>
      <w:lvlJc w:val="left"/>
      <w:pPr>
        <w:tabs>
          <w:tab w:val="num" w:pos="1211"/>
        </w:tabs>
        <w:ind w:left="1211" w:hanging="360"/>
      </w:pPr>
      <w:rPr>
        <w:rFonts w:cs="Times New Roman" w:hint="default"/>
        <w:b w:val="0"/>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9">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C11316D"/>
    <w:multiLevelType w:val="hybridMultilevel"/>
    <w:tmpl w:val="206C17CE"/>
    <w:lvl w:ilvl="0" w:tplc="C4DA91AE">
      <w:start w:val="1"/>
      <w:numFmt w:val="bullet"/>
      <w:lvlText w:val=""/>
      <w:lvlJc w:val="left"/>
      <w:pPr>
        <w:tabs>
          <w:tab w:val="num" w:pos="1800"/>
        </w:tabs>
        <w:ind w:left="180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1">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2F528BD"/>
    <w:multiLevelType w:val="hybridMultilevel"/>
    <w:tmpl w:val="E80A5BF2"/>
    <w:lvl w:ilvl="0" w:tplc="BBCE6912">
      <w:start w:val="1"/>
      <w:numFmt w:val="lowerLetter"/>
      <w:lvlText w:val="%1)"/>
      <w:lvlJc w:val="left"/>
      <w:pPr>
        <w:ind w:left="720" w:hanging="360"/>
      </w:pPr>
      <w:rPr>
        <w:rFonts w:cs="Times New Roman" w:hint="default"/>
        <w:b w:val="0"/>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33BF51ED"/>
    <w:multiLevelType w:val="hybridMultilevel"/>
    <w:tmpl w:val="9512737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6">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7">
    <w:nsid w:val="35F81BC4"/>
    <w:multiLevelType w:val="hybridMultilevel"/>
    <w:tmpl w:val="E2BCD09E"/>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0C0A0001">
      <w:start w:val="1"/>
      <w:numFmt w:val="bullet"/>
      <w:lvlText w:val=""/>
      <w:lvlJc w:val="left"/>
      <w:pPr>
        <w:tabs>
          <w:tab w:val="num" w:pos="2340"/>
        </w:tabs>
        <w:ind w:left="2340" w:hanging="360"/>
      </w:pPr>
      <w:rPr>
        <w:rFonts w:ascii="Symbol" w:hAnsi="Symbol" w:hint="default"/>
      </w:rPr>
    </w:lvl>
    <w:lvl w:ilvl="3" w:tplc="D976471E">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51">
    <w:nsid w:val="37754998"/>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52">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BE32D94"/>
    <w:multiLevelType w:val="hybridMultilevel"/>
    <w:tmpl w:val="7BC25F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3D465A4F"/>
    <w:multiLevelType w:val="hybridMultilevel"/>
    <w:tmpl w:val="9C32B520"/>
    <w:lvl w:ilvl="0" w:tplc="32960AE6">
      <w:start w:val="1"/>
      <w:numFmt w:val="lowerRoman"/>
      <w:lvlText w:val="%1)"/>
      <w:lvlJc w:val="left"/>
      <w:pPr>
        <w:tabs>
          <w:tab w:val="num" w:pos="2509"/>
        </w:tabs>
        <w:ind w:left="2509"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57">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3ECA1E88"/>
    <w:multiLevelType w:val="hybridMultilevel"/>
    <w:tmpl w:val="D796559A"/>
    <w:lvl w:ilvl="0" w:tplc="FFFFFFFF">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61">
    <w:nsid w:val="436A0AD6"/>
    <w:multiLevelType w:val="hybridMultilevel"/>
    <w:tmpl w:val="48207AE8"/>
    <w:lvl w:ilvl="0" w:tplc="4530D9F0">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tentative="1">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62">
    <w:nsid w:val="43EE5170"/>
    <w:multiLevelType w:val="hybridMultilevel"/>
    <w:tmpl w:val="6E4CFA4A"/>
    <w:lvl w:ilvl="0" w:tplc="84ECF480">
      <w:start w:val="1"/>
      <w:numFmt w:val="lowerLetter"/>
      <w:lvlText w:val="%1)"/>
      <w:lvlJc w:val="left"/>
      <w:pPr>
        <w:tabs>
          <w:tab w:val="num" w:pos="1211"/>
        </w:tabs>
        <w:ind w:left="1211" w:hanging="360"/>
      </w:pPr>
      <w:rPr>
        <w:rFonts w:cs="Times New Roman" w:hint="default"/>
        <w:b w:val="0"/>
      </w:rPr>
    </w:lvl>
    <w:lvl w:ilvl="1" w:tplc="0C0A0019">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63">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64">
    <w:nsid w:val="48B45C8B"/>
    <w:multiLevelType w:val="hybridMultilevel"/>
    <w:tmpl w:val="4A3AE376"/>
    <w:lvl w:ilvl="0" w:tplc="6B949FD6">
      <w:start w:val="1"/>
      <w:numFmt w:val="lowerLetter"/>
      <w:lvlText w:val="%1)"/>
      <w:lvlJc w:val="left"/>
      <w:pPr>
        <w:tabs>
          <w:tab w:val="num" w:pos="1432"/>
        </w:tabs>
        <w:ind w:left="1432" w:hanging="360"/>
      </w:pPr>
      <w:rPr>
        <w:rFonts w:cs="Times New Roman" w:hint="default"/>
      </w:rPr>
    </w:lvl>
    <w:lvl w:ilvl="1" w:tplc="0C0A0019" w:tentative="1">
      <w:start w:val="1"/>
      <w:numFmt w:val="lowerLetter"/>
      <w:lvlText w:val="%2."/>
      <w:lvlJc w:val="left"/>
      <w:pPr>
        <w:tabs>
          <w:tab w:val="num" w:pos="2152"/>
        </w:tabs>
        <w:ind w:left="2152" w:hanging="360"/>
      </w:pPr>
      <w:rPr>
        <w:rFonts w:cs="Times New Roman"/>
      </w:rPr>
    </w:lvl>
    <w:lvl w:ilvl="2" w:tplc="0C0A001B">
      <w:start w:val="1"/>
      <w:numFmt w:val="lowerRoman"/>
      <w:lvlText w:val="%3."/>
      <w:lvlJc w:val="right"/>
      <w:pPr>
        <w:tabs>
          <w:tab w:val="num" w:pos="2872"/>
        </w:tabs>
        <w:ind w:left="2872" w:hanging="180"/>
      </w:pPr>
      <w:rPr>
        <w:rFonts w:cs="Times New Roman"/>
      </w:rPr>
    </w:lvl>
    <w:lvl w:ilvl="3" w:tplc="0C0A000F" w:tentative="1">
      <w:start w:val="1"/>
      <w:numFmt w:val="decimal"/>
      <w:lvlText w:val="%4."/>
      <w:lvlJc w:val="left"/>
      <w:pPr>
        <w:tabs>
          <w:tab w:val="num" w:pos="3592"/>
        </w:tabs>
        <w:ind w:left="3592" w:hanging="360"/>
      </w:pPr>
      <w:rPr>
        <w:rFonts w:cs="Times New Roman"/>
      </w:rPr>
    </w:lvl>
    <w:lvl w:ilvl="4" w:tplc="0C0A0019" w:tentative="1">
      <w:start w:val="1"/>
      <w:numFmt w:val="lowerLetter"/>
      <w:lvlText w:val="%5."/>
      <w:lvlJc w:val="left"/>
      <w:pPr>
        <w:tabs>
          <w:tab w:val="num" w:pos="4312"/>
        </w:tabs>
        <w:ind w:left="4312" w:hanging="360"/>
      </w:pPr>
      <w:rPr>
        <w:rFonts w:cs="Times New Roman"/>
      </w:rPr>
    </w:lvl>
    <w:lvl w:ilvl="5" w:tplc="0C0A001B" w:tentative="1">
      <w:start w:val="1"/>
      <w:numFmt w:val="lowerRoman"/>
      <w:lvlText w:val="%6."/>
      <w:lvlJc w:val="right"/>
      <w:pPr>
        <w:tabs>
          <w:tab w:val="num" w:pos="5032"/>
        </w:tabs>
        <w:ind w:left="5032" w:hanging="180"/>
      </w:pPr>
      <w:rPr>
        <w:rFonts w:cs="Times New Roman"/>
      </w:rPr>
    </w:lvl>
    <w:lvl w:ilvl="6" w:tplc="0C0A000F" w:tentative="1">
      <w:start w:val="1"/>
      <w:numFmt w:val="decimal"/>
      <w:lvlText w:val="%7."/>
      <w:lvlJc w:val="left"/>
      <w:pPr>
        <w:tabs>
          <w:tab w:val="num" w:pos="5752"/>
        </w:tabs>
        <w:ind w:left="5752" w:hanging="360"/>
      </w:pPr>
      <w:rPr>
        <w:rFonts w:cs="Times New Roman"/>
      </w:rPr>
    </w:lvl>
    <w:lvl w:ilvl="7" w:tplc="0C0A0019" w:tentative="1">
      <w:start w:val="1"/>
      <w:numFmt w:val="lowerLetter"/>
      <w:lvlText w:val="%8."/>
      <w:lvlJc w:val="left"/>
      <w:pPr>
        <w:tabs>
          <w:tab w:val="num" w:pos="6472"/>
        </w:tabs>
        <w:ind w:left="6472" w:hanging="360"/>
      </w:pPr>
      <w:rPr>
        <w:rFonts w:cs="Times New Roman"/>
      </w:rPr>
    </w:lvl>
    <w:lvl w:ilvl="8" w:tplc="0C0A001B" w:tentative="1">
      <w:start w:val="1"/>
      <w:numFmt w:val="lowerRoman"/>
      <w:lvlText w:val="%9."/>
      <w:lvlJc w:val="right"/>
      <w:pPr>
        <w:tabs>
          <w:tab w:val="num" w:pos="7192"/>
        </w:tabs>
        <w:ind w:left="7192" w:hanging="180"/>
      </w:pPr>
      <w:rPr>
        <w:rFonts w:cs="Times New Roman"/>
      </w:rPr>
    </w:lvl>
  </w:abstractNum>
  <w:abstractNum w:abstractNumId="65">
    <w:nsid w:val="4A8E618C"/>
    <w:multiLevelType w:val="hybridMultilevel"/>
    <w:tmpl w:val="8F58BDC0"/>
    <w:lvl w:ilvl="0" w:tplc="D6065C54">
      <w:start w:val="1"/>
      <w:numFmt w:val="lowerLetter"/>
      <w:lvlText w:val="%1)"/>
      <w:lvlJc w:val="left"/>
      <w:pPr>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66">
    <w:nsid w:val="4B110BF2"/>
    <w:multiLevelType w:val="hybridMultilevel"/>
    <w:tmpl w:val="F5F0BBFC"/>
    <w:lvl w:ilvl="0" w:tplc="C4DA91AE">
      <w:start w:val="1"/>
      <w:numFmt w:val="bullet"/>
      <w:lvlText w:val=""/>
      <w:lvlJc w:val="left"/>
      <w:pPr>
        <w:tabs>
          <w:tab w:val="num" w:pos="1571"/>
        </w:tabs>
        <w:ind w:left="1571"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8">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50E9499D"/>
    <w:multiLevelType w:val="hybridMultilevel"/>
    <w:tmpl w:val="A77C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1D930B4"/>
    <w:multiLevelType w:val="multilevel"/>
    <w:tmpl w:val="5B763756"/>
    <w:lvl w:ilvl="0">
      <w:start w:val="1"/>
      <w:numFmt w:val="bullet"/>
      <w:lvlText w:val=""/>
      <w:lvlJc w:val="left"/>
      <w:pPr>
        <w:tabs>
          <w:tab w:val="num" w:pos="1571"/>
        </w:tabs>
        <w:ind w:left="1571" w:hanging="360"/>
      </w:pPr>
      <w:rPr>
        <w:rFonts w:ascii="Wingdings" w:hAnsi="Wingdings" w:hint="default"/>
        <w:sz w:val="18"/>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33E3235"/>
    <w:multiLevelType w:val="hybridMultilevel"/>
    <w:tmpl w:val="F3C20BE6"/>
    <w:lvl w:ilvl="0" w:tplc="3E92DC82">
      <w:start w:val="4"/>
      <w:numFmt w:val="bullet"/>
      <w:lvlText w:val="-"/>
      <w:lvlJc w:val="left"/>
      <w:pPr>
        <w:tabs>
          <w:tab w:val="num" w:pos="1320"/>
        </w:tabs>
        <w:ind w:left="13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4">
    <w:nsid w:val="54057D64"/>
    <w:multiLevelType w:val="hybridMultilevel"/>
    <w:tmpl w:val="70AAB97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6041B3E"/>
    <w:multiLevelType w:val="hybridMultilevel"/>
    <w:tmpl w:val="B096F546"/>
    <w:lvl w:ilvl="0" w:tplc="17B61302">
      <w:start w:val="1"/>
      <w:numFmt w:val="decimal"/>
      <w:lvlText w:val="5.%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586E395E"/>
    <w:multiLevelType w:val="multilevel"/>
    <w:tmpl w:val="31D87ED8"/>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7">
    <w:nsid w:val="59F42398"/>
    <w:multiLevelType w:val="hybridMultilevel"/>
    <w:tmpl w:val="734CA410"/>
    <w:styleLink w:val="Estilo11"/>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8">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C1C7797"/>
    <w:multiLevelType w:val="hybridMultilevel"/>
    <w:tmpl w:val="5D10AC92"/>
    <w:lvl w:ilvl="0" w:tplc="A5E6F2EE">
      <w:start w:val="1"/>
      <w:numFmt w:val="lowerLetter"/>
      <w:lvlText w:val="%1)"/>
      <w:lvlJc w:val="left"/>
      <w:pPr>
        <w:tabs>
          <w:tab w:val="num" w:pos="1414"/>
        </w:tabs>
        <w:ind w:left="1414" w:hanging="705"/>
      </w:pPr>
      <w:rPr>
        <w:rFonts w:cs="Times New Roman" w:hint="default"/>
      </w:rPr>
    </w:lvl>
    <w:lvl w:ilvl="1" w:tplc="52CCBE2A">
      <w:start w:val="1"/>
      <w:numFmt w:val="low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81">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3">
    <w:nsid w:val="6315706A"/>
    <w:multiLevelType w:val="hybridMultilevel"/>
    <w:tmpl w:val="8334F534"/>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862A7F18">
      <w:start w:val="2"/>
      <w:numFmt w:val="upperLetter"/>
      <w:lvlText w:val="%5)"/>
      <w:lvlJc w:val="left"/>
      <w:pPr>
        <w:ind w:left="3338" w:hanging="360"/>
      </w:pPr>
      <w:rPr>
        <w:rFonts w:cs="Times New Roman" w:hint="default"/>
        <w:sz w:val="20"/>
        <w:szCs w:val="20"/>
        <w:u w:val="none"/>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4">
    <w:nsid w:val="63F209B2"/>
    <w:multiLevelType w:val="hybridMultilevel"/>
    <w:tmpl w:val="56161B18"/>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5">
    <w:nsid w:val="6410190A"/>
    <w:multiLevelType w:val="multilevel"/>
    <w:tmpl w:val="3BBE396E"/>
    <w:lvl w:ilvl="0">
      <w:start w:val="1"/>
      <w:numFmt w:val="decimal"/>
      <w:lvlText w:val="%1."/>
      <w:lvlJc w:val="left"/>
      <w:pPr>
        <w:ind w:left="340" w:hanging="283"/>
      </w:pPr>
      <w:rPr>
        <w:rFonts w:hint="default"/>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7">
    <w:nsid w:val="652B6CB3"/>
    <w:multiLevelType w:val="multilevel"/>
    <w:tmpl w:val="BD40B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7A156CB"/>
    <w:multiLevelType w:val="hybridMultilevel"/>
    <w:tmpl w:val="DF1CEF22"/>
    <w:lvl w:ilvl="0" w:tplc="2400A06E">
      <w:start w:val="1"/>
      <w:numFmt w:val="bullet"/>
      <w:lvlText w:val=""/>
      <w:lvlJc w:val="left"/>
      <w:pPr>
        <w:ind w:left="1068" w:hanging="360"/>
      </w:pPr>
      <w:rPr>
        <w:rFonts w:ascii="Symbol" w:hAnsi="Symbol" w:hint="default"/>
        <w:sz w:val="16"/>
      </w:rPr>
    </w:lvl>
    <w:lvl w:ilvl="1" w:tplc="280A0003">
      <w:start w:val="1"/>
      <w:numFmt w:val="bullet"/>
      <w:lvlText w:val="o"/>
      <w:lvlJc w:val="left"/>
      <w:pPr>
        <w:ind w:left="1788" w:hanging="360"/>
      </w:pPr>
      <w:rPr>
        <w:rFonts w:ascii="Courier New" w:hAnsi="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0">
    <w:nsid w:val="698B3BB4"/>
    <w:multiLevelType w:val="hybridMultilevel"/>
    <w:tmpl w:val="0A944280"/>
    <w:lvl w:ilvl="0" w:tplc="9B0EF892">
      <w:start w:val="1"/>
      <w:numFmt w:val="decimal"/>
      <w:lvlText w:val="4.%1."/>
      <w:lvlJc w:val="left"/>
      <w:pPr>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6BB01E90"/>
    <w:multiLevelType w:val="multilevel"/>
    <w:tmpl w:val="460495E2"/>
    <w:lvl w:ilvl="0">
      <w:start w:val="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6D75640D"/>
    <w:multiLevelType w:val="hybridMultilevel"/>
    <w:tmpl w:val="9F004D8C"/>
    <w:lvl w:ilvl="0" w:tplc="63366E44">
      <w:start w:val="6"/>
      <w:numFmt w:val="lowerLetter"/>
      <w:lvlText w:val="%1)"/>
      <w:lvlJc w:val="left"/>
      <w:pPr>
        <w:ind w:left="1488" w:hanging="360"/>
      </w:pPr>
      <w:rPr>
        <w:rFonts w:cs="Times New Roman" w:hint="default"/>
        <w:b w:val="0"/>
      </w:rPr>
    </w:lvl>
    <w:lvl w:ilvl="1" w:tplc="280A0019">
      <w:start w:val="1"/>
      <w:numFmt w:val="lowerLetter"/>
      <w:lvlText w:val="%2."/>
      <w:lvlJc w:val="left"/>
      <w:pPr>
        <w:ind w:left="2208" w:hanging="360"/>
      </w:pPr>
      <w:rPr>
        <w:rFonts w:cs="Times New Roman"/>
      </w:rPr>
    </w:lvl>
    <w:lvl w:ilvl="2" w:tplc="280A001B" w:tentative="1">
      <w:start w:val="1"/>
      <w:numFmt w:val="lowerRoman"/>
      <w:lvlText w:val="%3."/>
      <w:lvlJc w:val="right"/>
      <w:pPr>
        <w:ind w:left="2928" w:hanging="180"/>
      </w:pPr>
      <w:rPr>
        <w:rFonts w:cs="Times New Roman"/>
      </w:rPr>
    </w:lvl>
    <w:lvl w:ilvl="3" w:tplc="280A000F" w:tentative="1">
      <w:start w:val="1"/>
      <w:numFmt w:val="decimal"/>
      <w:lvlText w:val="%4."/>
      <w:lvlJc w:val="left"/>
      <w:pPr>
        <w:ind w:left="3648" w:hanging="360"/>
      </w:pPr>
      <w:rPr>
        <w:rFonts w:cs="Times New Roman"/>
      </w:rPr>
    </w:lvl>
    <w:lvl w:ilvl="4" w:tplc="280A0019" w:tentative="1">
      <w:start w:val="1"/>
      <w:numFmt w:val="lowerLetter"/>
      <w:lvlText w:val="%5."/>
      <w:lvlJc w:val="left"/>
      <w:pPr>
        <w:ind w:left="4368" w:hanging="360"/>
      </w:pPr>
      <w:rPr>
        <w:rFonts w:cs="Times New Roman"/>
      </w:rPr>
    </w:lvl>
    <w:lvl w:ilvl="5" w:tplc="280A001B" w:tentative="1">
      <w:start w:val="1"/>
      <w:numFmt w:val="lowerRoman"/>
      <w:lvlText w:val="%6."/>
      <w:lvlJc w:val="right"/>
      <w:pPr>
        <w:ind w:left="5088" w:hanging="180"/>
      </w:pPr>
      <w:rPr>
        <w:rFonts w:cs="Times New Roman"/>
      </w:rPr>
    </w:lvl>
    <w:lvl w:ilvl="6" w:tplc="280A000F" w:tentative="1">
      <w:start w:val="1"/>
      <w:numFmt w:val="decimal"/>
      <w:lvlText w:val="%7."/>
      <w:lvlJc w:val="left"/>
      <w:pPr>
        <w:ind w:left="5808" w:hanging="360"/>
      </w:pPr>
      <w:rPr>
        <w:rFonts w:cs="Times New Roman"/>
      </w:rPr>
    </w:lvl>
    <w:lvl w:ilvl="7" w:tplc="280A0019" w:tentative="1">
      <w:start w:val="1"/>
      <w:numFmt w:val="lowerLetter"/>
      <w:lvlText w:val="%8."/>
      <w:lvlJc w:val="left"/>
      <w:pPr>
        <w:ind w:left="6528" w:hanging="360"/>
      </w:pPr>
      <w:rPr>
        <w:rFonts w:cs="Times New Roman"/>
      </w:rPr>
    </w:lvl>
    <w:lvl w:ilvl="8" w:tplc="280A001B" w:tentative="1">
      <w:start w:val="1"/>
      <w:numFmt w:val="lowerRoman"/>
      <w:lvlText w:val="%9."/>
      <w:lvlJc w:val="right"/>
      <w:pPr>
        <w:ind w:left="7248" w:hanging="180"/>
      </w:pPr>
      <w:rPr>
        <w:rFonts w:cs="Times New Roman"/>
      </w:rPr>
    </w:lvl>
  </w:abstractNum>
  <w:abstractNum w:abstractNumId="95">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6">
    <w:nsid w:val="6EBE373A"/>
    <w:multiLevelType w:val="hybridMultilevel"/>
    <w:tmpl w:val="2B7CA1FC"/>
    <w:lvl w:ilvl="0" w:tplc="280A0017">
      <w:start w:val="1"/>
      <w:numFmt w:val="lowerLetter"/>
      <w:lvlText w:val="%1)"/>
      <w:lvlJc w:val="left"/>
      <w:pPr>
        <w:ind w:left="927" w:hanging="360"/>
      </w:pPr>
      <w:rPr>
        <w:rFonts w:cs="Times New Roman" w:hint="default"/>
      </w:rPr>
    </w:lvl>
    <w:lvl w:ilvl="1" w:tplc="0C0A0005">
      <w:start w:val="1"/>
      <w:numFmt w:val="bullet"/>
      <w:lvlText w:val=""/>
      <w:lvlJc w:val="left"/>
      <w:pPr>
        <w:tabs>
          <w:tab w:val="num" w:pos="1647"/>
        </w:tabs>
        <w:ind w:left="1647" w:hanging="360"/>
      </w:pPr>
      <w:rPr>
        <w:rFonts w:ascii="Wingdings" w:hAnsi="Wingdings" w:hint="default"/>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97">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F9F01EF"/>
    <w:multiLevelType w:val="hybridMultilevel"/>
    <w:tmpl w:val="ECC8659E"/>
    <w:lvl w:ilvl="0" w:tplc="F5960BDE">
      <w:start w:val="1"/>
      <w:numFmt w:val="lowerLetter"/>
      <w:lvlText w:val="%1)"/>
      <w:lvlJc w:val="left"/>
      <w:pPr>
        <w:tabs>
          <w:tab w:val="num" w:pos="1287"/>
        </w:tabs>
        <w:ind w:left="1287" w:hanging="360"/>
      </w:pPr>
      <w:rPr>
        <w:rFonts w:cs="Times New Roman" w:hint="default"/>
        <w:b/>
      </w:rPr>
    </w:lvl>
    <w:lvl w:ilvl="1" w:tplc="0C0A0019">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99">
    <w:nsid w:val="722F4620"/>
    <w:multiLevelType w:val="hybridMultilevel"/>
    <w:tmpl w:val="C2223AEC"/>
    <w:lvl w:ilvl="0" w:tplc="E3361718">
      <w:start w:val="1"/>
      <w:numFmt w:val="lowerLetter"/>
      <w:lvlText w:val="%1)"/>
      <w:lvlJc w:val="left"/>
      <w:pPr>
        <w:tabs>
          <w:tab w:val="num" w:pos="960"/>
        </w:tabs>
        <w:ind w:left="960" w:hanging="360"/>
      </w:pPr>
      <w:rPr>
        <w:rFonts w:cs="Times New Roman" w:hint="default"/>
        <w:b w:val="0"/>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0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1">
    <w:nsid w:val="75F6423D"/>
    <w:multiLevelType w:val="hybridMultilevel"/>
    <w:tmpl w:val="34F895EE"/>
    <w:lvl w:ilvl="0" w:tplc="4B6CE844">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102">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3">
    <w:nsid w:val="78DA1FCA"/>
    <w:multiLevelType w:val="hybridMultilevel"/>
    <w:tmpl w:val="A530B01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4">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5">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A5A29BF"/>
    <w:multiLevelType w:val="hybridMultilevel"/>
    <w:tmpl w:val="9664284A"/>
    <w:lvl w:ilvl="0" w:tplc="B69AA9DE">
      <w:start w:val="1"/>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nsid w:val="7AA8631E"/>
    <w:multiLevelType w:val="hybridMultilevel"/>
    <w:tmpl w:val="678E179E"/>
    <w:lvl w:ilvl="0" w:tplc="095A3AE4">
      <w:start w:val="1"/>
      <w:numFmt w:val="decimal"/>
      <w:lvlText w:val="3.%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nsid w:val="7B37519A"/>
    <w:multiLevelType w:val="hybridMultilevel"/>
    <w:tmpl w:val="A3FA16C6"/>
    <w:lvl w:ilvl="0" w:tplc="280A0017">
      <w:start w:val="1"/>
      <w:numFmt w:val="lowerLetter"/>
      <w:lvlText w:val="%1)"/>
      <w:lvlJc w:val="left"/>
      <w:pPr>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09">
    <w:nsid w:val="7C5D5D71"/>
    <w:multiLevelType w:val="hybridMultilevel"/>
    <w:tmpl w:val="EA102B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FDB3DDA"/>
    <w:multiLevelType w:val="hybridMultilevel"/>
    <w:tmpl w:val="98C2CB9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3"/>
  </w:num>
  <w:num w:numId="2">
    <w:abstractNumId w:val="67"/>
  </w:num>
  <w:num w:numId="3">
    <w:abstractNumId w:val="34"/>
  </w:num>
  <w:num w:numId="4">
    <w:abstractNumId w:val="28"/>
  </w:num>
  <w:num w:numId="5">
    <w:abstractNumId w:val="11"/>
  </w:num>
  <w:num w:numId="6">
    <w:abstractNumId w:val="52"/>
  </w:num>
  <w:num w:numId="7">
    <w:abstractNumId w:val="53"/>
  </w:num>
  <w:num w:numId="8">
    <w:abstractNumId w:val="57"/>
  </w:num>
  <w:num w:numId="9">
    <w:abstractNumId w:val="102"/>
  </w:num>
  <w:num w:numId="10">
    <w:abstractNumId w:val="39"/>
  </w:num>
  <w:num w:numId="11">
    <w:abstractNumId w:val="42"/>
  </w:num>
  <w:num w:numId="12">
    <w:abstractNumId w:val="81"/>
  </w:num>
  <w:num w:numId="13">
    <w:abstractNumId w:val="63"/>
  </w:num>
  <w:num w:numId="14">
    <w:abstractNumId w:val="97"/>
  </w:num>
  <w:num w:numId="15">
    <w:abstractNumId w:val="48"/>
  </w:num>
  <w:num w:numId="16">
    <w:abstractNumId w:val="111"/>
  </w:num>
  <w:num w:numId="17">
    <w:abstractNumId w:val="50"/>
  </w:num>
  <w:num w:numId="18">
    <w:abstractNumId w:val="79"/>
  </w:num>
  <w:num w:numId="19">
    <w:abstractNumId w:val="10"/>
  </w:num>
  <w:num w:numId="20">
    <w:abstractNumId w:val="78"/>
  </w:num>
  <w:num w:numId="21">
    <w:abstractNumId w:val="2"/>
  </w:num>
  <w:num w:numId="22">
    <w:abstractNumId w:val="24"/>
  </w:num>
  <w:num w:numId="23">
    <w:abstractNumId w:val="20"/>
  </w:num>
  <w:num w:numId="24">
    <w:abstractNumId w:val="41"/>
  </w:num>
  <w:num w:numId="25">
    <w:abstractNumId w:val="15"/>
  </w:num>
  <w:num w:numId="26">
    <w:abstractNumId w:val="95"/>
  </w:num>
  <w:num w:numId="27">
    <w:abstractNumId w:val="105"/>
  </w:num>
  <w:num w:numId="28">
    <w:abstractNumId w:val="44"/>
  </w:num>
  <w:num w:numId="29">
    <w:abstractNumId w:val="25"/>
  </w:num>
  <w:num w:numId="30">
    <w:abstractNumId w:val="60"/>
  </w:num>
  <w:num w:numId="31">
    <w:abstractNumId w:val="82"/>
  </w:num>
  <w:num w:numId="32">
    <w:abstractNumId w:val="21"/>
  </w:num>
  <w:num w:numId="33">
    <w:abstractNumId w:val="68"/>
  </w:num>
  <w:num w:numId="34">
    <w:abstractNumId w:val="91"/>
  </w:num>
  <w:num w:numId="35">
    <w:abstractNumId w:val="88"/>
  </w:num>
  <w:num w:numId="36">
    <w:abstractNumId w:val="69"/>
  </w:num>
  <w:num w:numId="37">
    <w:abstractNumId w:val="59"/>
  </w:num>
  <w:num w:numId="38">
    <w:abstractNumId w:val="100"/>
  </w:num>
  <w:num w:numId="39">
    <w:abstractNumId w:val="93"/>
  </w:num>
  <w:num w:numId="40">
    <w:abstractNumId w:val="71"/>
  </w:num>
  <w:num w:numId="41">
    <w:abstractNumId w:val="110"/>
  </w:num>
  <w:num w:numId="42">
    <w:abstractNumId w:val="49"/>
  </w:num>
  <w:num w:numId="43">
    <w:abstractNumId w:val="23"/>
  </w:num>
  <w:num w:numId="44">
    <w:abstractNumId w:val="1"/>
  </w:num>
  <w:num w:numId="45">
    <w:abstractNumId w:val="103"/>
  </w:num>
  <w:num w:numId="46">
    <w:abstractNumId w:val="22"/>
  </w:num>
  <w:num w:numId="47">
    <w:abstractNumId w:val="17"/>
  </w:num>
  <w:num w:numId="48">
    <w:abstractNumId w:val="19"/>
  </w:num>
  <w:num w:numId="49">
    <w:abstractNumId w:val="107"/>
  </w:num>
  <w:num w:numId="50">
    <w:abstractNumId w:val="90"/>
  </w:num>
  <w:num w:numId="51">
    <w:abstractNumId w:val="54"/>
  </w:num>
  <w:num w:numId="52">
    <w:abstractNumId w:val="75"/>
  </w:num>
  <w:num w:numId="53">
    <w:abstractNumId w:val="8"/>
  </w:num>
  <w:num w:numId="54">
    <w:abstractNumId w:val="37"/>
  </w:num>
  <w:num w:numId="55">
    <w:abstractNumId w:val="109"/>
  </w:num>
  <w:num w:numId="56">
    <w:abstractNumId w:val="27"/>
  </w:num>
  <w:num w:numId="57">
    <w:abstractNumId w:val="77"/>
  </w:num>
  <w:num w:numId="58">
    <w:abstractNumId w:val="47"/>
  </w:num>
  <w:num w:numId="59">
    <w:abstractNumId w:val="40"/>
  </w:num>
  <w:num w:numId="60">
    <w:abstractNumId w:val="64"/>
  </w:num>
  <w:num w:numId="61">
    <w:abstractNumId w:val="61"/>
  </w:num>
  <w:num w:numId="62">
    <w:abstractNumId w:val="73"/>
  </w:num>
  <w:num w:numId="63">
    <w:abstractNumId w:val="62"/>
  </w:num>
  <w:num w:numId="64">
    <w:abstractNumId w:val="66"/>
  </w:num>
  <w:num w:numId="65">
    <w:abstractNumId w:val="72"/>
  </w:num>
  <w:num w:numId="66">
    <w:abstractNumId w:val="83"/>
  </w:num>
  <w:num w:numId="67">
    <w:abstractNumId w:val="33"/>
  </w:num>
  <w:num w:numId="68">
    <w:abstractNumId w:val="86"/>
  </w:num>
  <w:num w:numId="69">
    <w:abstractNumId w:val="43"/>
  </w:num>
  <w:num w:numId="70">
    <w:abstractNumId w:val="3"/>
  </w:num>
  <w:num w:numId="71">
    <w:abstractNumId w:val="36"/>
  </w:num>
  <w:num w:numId="72">
    <w:abstractNumId w:val="89"/>
  </w:num>
  <w:num w:numId="73">
    <w:abstractNumId w:val="70"/>
  </w:num>
  <w:num w:numId="74">
    <w:abstractNumId w:val="26"/>
  </w:num>
  <w:num w:numId="75">
    <w:abstractNumId w:val="94"/>
  </w:num>
  <w:num w:numId="76">
    <w:abstractNumId w:val="76"/>
  </w:num>
  <w:num w:numId="7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num>
  <w:num w:numId="80">
    <w:abstractNumId w:val="16"/>
  </w:num>
  <w:num w:numId="81">
    <w:abstractNumId w:val="101"/>
  </w:num>
  <w:num w:numId="82">
    <w:abstractNumId w:val="106"/>
  </w:num>
  <w:num w:numId="83">
    <w:abstractNumId w:val="14"/>
  </w:num>
  <w:num w:numId="84">
    <w:abstractNumId w:val="51"/>
  </w:num>
  <w:num w:numId="85">
    <w:abstractNumId w:val="12"/>
  </w:num>
  <w:num w:numId="86">
    <w:abstractNumId w:val="112"/>
  </w:num>
  <w:num w:numId="87">
    <w:abstractNumId w:val="65"/>
  </w:num>
  <w:num w:numId="88">
    <w:abstractNumId w:val="108"/>
  </w:num>
  <w:num w:numId="89">
    <w:abstractNumId w:val="45"/>
  </w:num>
  <w:num w:numId="90">
    <w:abstractNumId w:val="96"/>
  </w:num>
  <w:num w:numId="91">
    <w:abstractNumId w:val="7"/>
  </w:num>
  <w:num w:numId="92">
    <w:abstractNumId w:val="80"/>
  </w:num>
  <w:num w:numId="93">
    <w:abstractNumId w:val="32"/>
  </w:num>
  <w:num w:numId="94">
    <w:abstractNumId w:val="55"/>
  </w:num>
  <w:num w:numId="95">
    <w:abstractNumId w:val="99"/>
  </w:num>
  <w:num w:numId="96">
    <w:abstractNumId w:val="98"/>
  </w:num>
  <w:num w:numId="97">
    <w:abstractNumId w:val="38"/>
  </w:num>
  <w:num w:numId="98">
    <w:abstractNumId w:val="18"/>
  </w:num>
  <w:num w:numId="99">
    <w:abstractNumId w:val="92"/>
  </w:num>
  <w:num w:numId="100">
    <w:abstractNumId w:val="29"/>
  </w:num>
  <w:num w:numId="101">
    <w:abstractNumId w:val="0"/>
  </w:num>
  <w:num w:numId="102">
    <w:abstractNumId w:val="46"/>
  </w:num>
  <w:num w:numId="103">
    <w:abstractNumId w:val="56"/>
  </w:num>
  <w:num w:numId="104">
    <w:abstractNumId w:val="30"/>
  </w:num>
  <w:num w:numId="105">
    <w:abstractNumId w:val="35"/>
  </w:num>
  <w:num w:numId="106">
    <w:abstractNumId w:val="104"/>
  </w:num>
  <w:num w:numId="107">
    <w:abstractNumId w:val="4"/>
  </w:num>
  <w:num w:numId="108">
    <w:abstractNumId w:val="85"/>
  </w:num>
  <w:num w:numId="109">
    <w:abstractNumId w:val="74"/>
  </w:num>
  <w:num w:numId="110">
    <w:abstractNumId w:val="31"/>
  </w:num>
  <w:num w:numId="111">
    <w:abstractNumId w:val="5"/>
  </w:num>
  <w:num w:numId="112">
    <w:abstractNumId w:val="6"/>
  </w:num>
  <w:num w:numId="113">
    <w:abstractNumId w:val="87"/>
  </w:num>
  <w:num w:numId="1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7A"/>
    <w:rsid w:val="000004E3"/>
    <w:rsid w:val="00000716"/>
    <w:rsid w:val="00000AE0"/>
    <w:rsid w:val="00001078"/>
    <w:rsid w:val="00002655"/>
    <w:rsid w:val="00002C08"/>
    <w:rsid w:val="00002DE3"/>
    <w:rsid w:val="00002E76"/>
    <w:rsid w:val="00002FB4"/>
    <w:rsid w:val="000032F2"/>
    <w:rsid w:val="00003AB0"/>
    <w:rsid w:val="00003F24"/>
    <w:rsid w:val="00003FDA"/>
    <w:rsid w:val="000047EA"/>
    <w:rsid w:val="0000513B"/>
    <w:rsid w:val="00005623"/>
    <w:rsid w:val="000056AE"/>
    <w:rsid w:val="00005A14"/>
    <w:rsid w:val="00005CD9"/>
    <w:rsid w:val="00005DB5"/>
    <w:rsid w:val="000069AA"/>
    <w:rsid w:val="00006CAF"/>
    <w:rsid w:val="00010130"/>
    <w:rsid w:val="0001135B"/>
    <w:rsid w:val="00011C29"/>
    <w:rsid w:val="000120A4"/>
    <w:rsid w:val="00012FEE"/>
    <w:rsid w:val="0001338E"/>
    <w:rsid w:val="00013D42"/>
    <w:rsid w:val="000141DA"/>
    <w:rsid w:val="000142B1"/>
    <w:rsid w:val="0001438F"/>
    <w:rsid w:val="000151DD"/>
    <w:rsid w:val="00015F47"/>
    <w:rsid w:val="000162D4"/>
    <w:rsid w:val="000175BE"/>
    <w:rsid w:val="00020345"/>
    <w:rsid w:val="00020360"/>
    <w:rsid w:val="000204AF"/>
    <w:rsid w:val="000205AE"/>
    <w:rsid w:val="00020D49"/>
    <w:rsid w:val="000210C7"/>
    <w:rsid w:val="00021633"/>
    <w:rsid w:val="00022693"/>
    <w:rsid w:val="000238AF"/>
    <w:rsid w:val="00023965"/>
    <w:rsid w:val="00024321"/>
    <w:rsid w:val="00024927"/>
    <w:rsid w:val="00024D15"/>
    <w:rsid w:val="00024FD1"/>
    <w:rsid w:val="000252F3"/>
    <w:rsid w:val="00025B24"/>
    <w:rsid w:val="00026A9B"/>
    <w:rsid w:val="0002701D"/>
    <w:rsid w:val="0002704E"/>
    <w:rsid w:val="000272B5"/>
    <w:rsid w:val="000272DA"/>
    <w:rsid w:val="00027F0C"/>
    <w:rsid w:val="0003093A"/>
    <w:rsid w:val="000323E0"/>
    <w:rsid w:val="00032F52"/>
    <w:rsid w:val="00033953"/>
    <w:rsid w:val="0003461E"/>
    <w:rsid w:val="000346A3"/>
    <w:rsid w:val="000348E3"/>
    <w:rsid w:val="00034AC3"/>
    <w:rsid w:val="00034FE9"/>
    <w:rsid w:val="0003565C"/>
    <w:rsid w:val="00037898"/>
    <w:rsid w:val="00040036"/>
    <w:rsid w:val="000401FC"/>
    <w:rsid w:val="00041338"/>
    <w:rsid w:val="00041835"/>
    <w:rsid w:val="00041D99"/>
    <w:rsid w:val="00042CDA"/>
    <w:rsid w:val="00042FB5"/>
    <w:rsid w:val="00043619"/>
    <w:rsid w:val="0004396F"/>
    <w:rsid w:val="000440C0"/>
    <w:rsid w:val="00045092"/>
    <w:rsid w:val="0004578D"/>
    <w:rsid w:val="00046481"/>
    <w:rsid w:val="00046557"/>
    <w:rsid w:val="00046584"/>
    <w:rsid w:val="000466AF"/>
    <w:rsid w:val="00046EFD"/>
    <w:rsid w:val="00046F86"/>
    <w:rsid w:val="00047650"/>
    <w:rsid w:val="00047A25"/>
    <w:rsid w:val="00050707"/>
    <w:rsid w:val="000510D5"/>
    <w:rsid w:val="00051239"/>
    <w:rsid w:val="0005126A"/>
    <w:rsid w:val="000512A9"/>
    <w:rsid w:val="00051843"/>
    <w:rsid w:val="00052595"/>
    <w:rsid w:val="00052740"/>
    <w:rsid w:val="00052A70"/>
    <w:rsid w:val="00052EAB"/>
    <w:rsid w:val="000531FE"/>
    <w:rsid w:val="00055323"/>
    <w:rsid w:val="00056B8A"/>
    <w:rsid w:val="00056BF0"/>
    <w:rsid w:val="000570EE"/>
    <w:rsid w:val="00057328"/>
    <w:rsid w:val="000578D1"/>
    <w:rsid w:val="00057902"/>
    <w:rsid w:val="00057D0E"/>
    <w:rsid w:val="00060973"/>
    <w:rsid w:val="00060F98"/>
    <w:rsid w:val="00061326"/>
    <w:rsid w:val="000613EF"/>
    <w:rsid w:val="00061523"/>
    <w:rsid w:val="00061620"/>
    <w:rsid w:val="000620A5"/>
    <w:rsid w:val="0006319F"/>
    <w:rsid w:val="00063AB3"/>
    <w:rsid w:val="000650C4"/>
    <w:rsid w:val="000656DB"/>
    <w:rsid w:val="00065884"/>
    <w:rsid w:val="0006637F"/>
    <w:rsid w:val="000664F8"/>
    <w:rsid w:val="00067341"/>
    <w:rsid w:val="00067839"/>
    <w:rsid w:val="000678F1"/>
    <w:rsid w:val="000679A6"/>
    <w:rsid w:val="000702A0"/>
    <w:rsid w:val="000702F0"/>
    <w:rsid w:val="000702F5"/>
    <w:rsid w:val="00070F13"/>
    <w:rsid w:val="00071440"/>
    <w:rsid w:val="0007183D"/>
    <w:rsid w:val="00072F93"/>
    <w:rsid w:val="00073FE0"/>
    <w:rsid w:val="0007427D"/>
    <w:rsid w:val="00074ECF"/>
    <w:rsid w:val="00075E00"/>
    <w:rsid w:val="0007647F"/>
    <w:rsid w:val="00076810"/>
    <w:rsid w:val="00076DCD"/>
    <w:rsid w:val="00076EA0"/>
    <w:rsid w:val="00077A3E"/>
    <w:rsid w:val="000804EB"/>
    <w:rsid w:val="00080E8F"/>
    <w:rsid w:val="00080EE0"/>
    <w:rsid w:val="000810AC"/>
    <w:rsid w:val="00082212"/>
    <w:rsid w:val="00084862"/>
    <w:rsid w:val="00084930"/>
    <w:rsid w:val="00084D66"/>
    <w:rsid w:val="00084E73"/>
    <w:rsid w:val="00084EE0"/>
    <w:rsid w:val="0008633F"/>
    <w:rsid w:val="00086904"/>
    <w:rsid w:val="00090361"/>
    <w:rsid w:val="0009052F"/>
    <w:rsid w:val="000907F1"/>
    <w:rsid w:val="000914A2"/>
    <w:rsid w:val="00093258"/>
    <w:rsid w:val="00093DE3"/>
    <w:rsid w:val="00093E9E"/>
    <w:rsid w:val="00094419"/>
    <w:rsid w:val="0009464C"/>
    <w:rsid w:val="00094A29"/>
    <w:rsid w:val="00095F3D"/>
    <w:rsid w:val="00096489"/>
    <w:rsid w:val="00097355"/>
    <w:rsid w:val="000973A9"/>
    <w:rsid w:val="000A0273"/>
    <w:rsid w:val="000A0D0F"/>
    <w:rsid w:val="000A1433"/>
    <w:rsid w:val="000A25AC"/>
    <w:rsid w:val="000A2998"/>
    <w:rsid w:val="000A4941"/>
    <w:rsid w:val="000A4E71"/>
    <w:rsid w:val="000A5709"/>
    <w:rsid w:val="000A5E03"/>
    <w:rsid w:val="000A6AA9"/>
    <w:rsid w:val="000A6FA4"/>
    <w:rsid w:val="000A72B4"/>
    <w:rsid w:val="000A7DAC"/>
    <w:rsid w:val="000B05FE"/>
    <w:rsid w:val="000B0ACF"/>
    <w:rsid w:val="000B0CF9"/>
    <w:rsid w:val="000B0EC4"/>
    <w:rsid w:val="000B123D"/>
    <w:rsid w:val="000B1392"/>
    <w:rsid w:val="000B2F84"/>
    <w:rsid w:val="000B3291"/>
    <w:rsid w:val="000B465B"/>
    <w:rsid w:val="000B4C87"/>
    <w:rsid w:val="000B5466"/>
    <w:rsid w:val="000B5A9F"/>
    <w:rsid w:val="000B68B7"/>
    <w:rsid w:val="000B6E01"/>
    <w:rsid w:val="000B70AF"/>
    <w:rsid w:val="000B7672"/>
    <w:rsid w:val="000B7EA3"/>
    <w:rsid w:val="000B7F10"/>
    <w:rsid w:val="000C0378"/>
    <w:rsid w:val="000C08BB"/>
    <w:rsid w:val="000C0E97"/>
    <w:rsid w:val="000C1242"/>
    <w:rsid w:val="000C1579"/>
    <w:rsid w:val="000C160E"/>
    <w:rsid w:val="000C19BD"/>
    <w:rsid w:val="000C1A83"/>
    <w:rsid w:val="000C1D1D"/>
    <w:rsid w:val="000C1D58"/>
    <w:rsid w:val="000C26A7"/>
    <w:rsid w:val="000C2EB4"/>
    <w:rsid w:val="000C341B"/>
    <w:rsid w:val="000C3AEE"/>
    <w:rsid w:val="000C462F"/>
    <w:rsid w:val="000C4651"/>
    <w:rsid w:val="000C4C36"/>
    <w:rsid w:val="000C4CBA"/>
    <w:rsid w:val="000C5FC4"/>
    <w:rsid w:val="000C6049"/>
    <w:rsid w:val="000C73B1"/>
    <w:rsid w:val="000C77BC"/>
    <w:rsid w:val="000C7F38"/>
    <w:rsid w:val="000D041A"/>
    <w:rsid w:val="000D1A7D"/>
    <w:rsid w:val="000D1BDA"/>
    <w:rsid w:val="000D1D23"/>
    <w:rsid w:val="000D1E29"/>
    <w:rsid w:val="000D2A55"/>
    <w:rsid w:val="000D45AB"/>
    <w:rsid w:val="000D4A28"/>
    <w:rsid w:val="000D524C"/>
    <w:rsid w:val="000D5678"/>
    <w:rsid w:val="000D5890"/>
    <w:rsid w:val="000D6362"/>
    <w:rsid w:val="000D64A3"/>
    <w:rsid w:val="000D6A1D"/>
    <w:rsid w:val="000D6B9D"/>
    <w:rsid w:val="000D702E"/>
    <w:rsid w:val="000D7CB9"/>
    <w:rsid w:val="000E0133"/>
    <w:rsid w:val="000E0D2F"/>
    <w:rsid w:val="000E16CE"/>
    <w:rsid w:val="000E19FE"/>
    <w:rsid w:val="000E27DE"/>
    <w:rsid w:val="000E537E"/>
    <w:rsid w:val="000E56B5"/>
    <w:rsid w:val="000E5A06"/>
    <w:rsid w:val="000E5A2B"/>
    <w:rsid w:val="000E5B4A"/>
    <w:rsid w:val="000E5D53"/>
    <w:rsid w:val="000E66F0"/>
    <w:rsid w:val="000E6C0B"/>
    <w:rsid w:val="000E71EC"/>
    <w:rsid w:val="000F0D21"/>
    <w:rsid w:val="000F0EA9"/>
    <w:rsid w:val="000F2E03"/>
    <w:rsid w:val="000F33EF"/>
    <w:rsid w:val="000F3566"/>
    <w:rsid w:val="000F41B1"/>
    <w:rsid w:val="000F46EE"/>
    <w:rsid w:val="000F4755"/>
    <w:rsid w:val="000F4BEB"/>
    <w:rsid w:val="000F516D"/>
    <w:rsid w:val="000F56BB"/>
    <w:rsid w:val="000F5913"/>
    <w:rsid w:val="000F5A3B"/>
    <w:rsid w:val="000F5E42"/>
    <w:rsid w:val="000F61E8"/>
    <w:rsid w:val="000F6B17"/>
    <w:rsid w:val="000F6FFA"/>
    <w:rsid w:val="000F7920"/>
    <w:rsid w:val="001000B9"/>
    <w:rsid w:val="00101C92"/>
    <w:rsid w:val="00101F13"/>
    <w:rsid w:val="0010271A"/>
    <w:rsid w:val="00103563"/>
    <w:rsid w:val="0010413E"/>
    <w:rsid w:val="0010423E"/>
    <w:rsid w:val="00104EC6"/>
    <w:rsid w:val="0010563E"/>
    <w:rsid w:val="00106897"/>
    <w:rsid w:val="0010764F"/>
    <w:rsid w:val="00107678"/>
    <w:rsid w:val="0011034B"/>
    <w:rsid w:val="001107BF"/>
    <w:rsid w:val="00111491"/>
    <w:rsid w:val="00111D41"/>
    <w:rsid w:val="001124AE"/>
    <w:rsid w:val="00112E74"/>
    <w:rsid w:val="00112ED4"/>
    <w:rsid w:val="00113AC7"/>
    <w:rsid w:val="00113FD1"/>
    <w:rsid w:val="00114CA5"/>
    <w:rsid w:val="00115326"/>
    <w:rsid w:val="0011744E"/>
    <w:rsid w:val="00117590"/>
    <w:rsid w:val="00117DE6"/>
    <w:rsid w:val="00117E24"/>
    <w:rsid w:val="00120880"/>
    <w:rsid w:val="001208FC"/>
    <w:rsid w:val="0012325B"/>
    <w:rsid w:val="001236BE"/>
    <w:rsid w:val="0012444B"/>
    <w:rsid w:val="00124B9C"/>
    <w:rsid w:val="0012500C"/>
    <w:rsid w:val="00125E0E"/>
    <w:rsid w:val="001261D9"/>
    <w:rsid w:val="00127A57"/>
    <w:rsid w:val="00127D64"/>
    <w:rsid w:val="001302E2"/>
    <w:rsid w:val="00130547"/>
    <w:rsid w:val="00131E9E"/>
    <w:rsid w:val="0013243E"/>
    <w:rsid w:val="001331B0"/>
    <w:rsid w:val="00133C20"/>
    <w:rsid w:val="00133D65"/>
    <w:rsid w:val="00133E4B"/>
    <w:rsid w:val="00136278"/>
    <w:rsid w:val="00136B55"/>
    <w:rsid w:val="001373CE"/>
    <w:rsid w:val="0013787F"/>
    <w:rsid w:val="00137F2F"/>
    <w:rsid w:val="00141487"/>
    <w:rsid w:val="00141E8E"/>
    <w:rsid w:val="00142446"/>
    <w:rsid w:val="00142583"/>
    <w:rsid w:val="001430AD"/>
    <w:rsid w:val="001433B0"/>
    <w:rsid w:val="00145177"/>
    <w:rsid w:val="001452F4"/>
    <w:rsid w:val="00145771"/>
    <w:rsid w:val="00145CA9"/>
    <w:rsid w:val="00145F8D"/>
    <w:rsid w:val="001461B2"/>
    <w:rsid w:val="00146617"/>
    <w:rsid w:val="001466E3"/>
    <w:rsid w:val="00146973"/>
    <w:rsid w:val="00146AC9"/>
    <w:rsid w:val="00147261"/>
    <w:rsid w:val="00147AEE"/>
    <w:rsid w:val="001513F4"/>
    <w:rsid w:val="00151B0E"/>
    <w:rsid w:val="00152CF2"/>
    <w:rsid w:val="001530A8"/>
    <w:rsid w:val="001549F1"/>
    <w:rsid w:val="00154B6F"/>
    <w:rsid w:val="00155411"/>
    <w:rsid w:val="00155B27"/>
    <w:rsid w:val="00155F62"/>
    <w:rsid w:val="001563BB"/>
    <w:rsid w:val="00157401"/>
    <w:rsid w:val="00160710"/>
    <w:rsid w:val="001608D8"/>
    <w:rsid w:val="00160BE5"/>
    <w:rsid w:val="00161771"/>
    <w:rsid w:val="00161D2B"/>
    <w:rsid w:val="00161D7A"/>
    <w:rsid w:val="0016203D"/>
    <w:rsid w:val="00162AA4"/>
    <w:rsid w:val="00163688"/>
    <w:rsid w:val="001638ED"/>
    <w:rsid w:val="00164296"/>
    <w:rsid w:val="00164E5E"/>
    <w:rsid w:val="0016539E"/>
    <w:rsid w:val="001659B5"/>
    <w:rsid w:val="00166A67"/>
    <w:rsid w:val="001672E3"/>
    <w:rsid w:val="00167450"/>
    <w:rsid w:val="00170D86"/>
    <w:rsid w:val="00171053"/>
    <w:rsid w:val="00171351"/>
    <w:rsid w:val="00171BFF"/>
    <w:rsid w:val="00172ED2"/>
    <w:rsid w:val="001731E8"/>
    <w:rsid w:val="00174366"/>
    <w:rsid w:val="00175239"/>
    <w:rsid w:val="0017627D"/>
    <w:rsid w:val="001766E7"/>
    <w:rsid w:val="00176B22"/>
    <w:rsid w:val="00176B92"/>
    <w:rsid w:val="001773C1"/>
    <w:rsid w:val="00177CE2"/>
    <w:rsid w:val="0018046C"/>
    <w:rsid w:val="00181793"/>
    <w:rsid w:val="00181802"/>
    <w:rsid w:val="0018192D"/>
    <w:rsid w:val="00181E84"/>
    <w:rsid w:val="00182400"/>
    <w:rsid w:val="00182460"/>
    <w:rsid w:val="0018277F"/>
    <w:rsid w:val="00182BA5"/>
    <w:rsid w:val="00182CE5"/>
    <w:rsid w:val="00183948"/>
    <w:rsid w:val="0018397F"/>
    <w:rsid w:val="00185538"/>
    <w:rsid w:val="00185D8B"/>
    <w:rsid w:val="00186412"/>
    <w:rsid w:val="001868B6"/>
    <w:rsid w:val="00186A34"/>
    <w:rsid w:val="00186D7B"/>
    <w:rsid w:val="001878D4"/>
    <w:rsid w:val="00187B66"/>
    <w:rsid w:val="001907CE"/>
    <w:rsid w:val="001913AE"/>
    <w:rsid w:val="00191743"/>
    <w:rsid w:val="00191913"/>
    <w:rsid w:val="00191A42"/>
    <w:rsid w:val="00191F6C"/>
    <w:rsid w:val="00192EB8"/>
    <w:rsid w:val="0019304F"/>
    <w:rsid w:val="00193E41"/>
    <w:rsid w:val="00193FCD"/>
    <w:rsid w:val="001940E8"/>
    <w:rsid w:val="001948A3"/>
    <w:rsid w:val="00195179"/>
    <w:rsid w:val="001952E3"/>
    <w:rsid w:val="001953A0"/>
    <w:rsid w:val="001955A3"/>
    <w:rsid w:val="00195672"/>
    <w:rsid w:val="00195D5F"/>
    <w:rsid w:val="00196A29"/>
    <w:rsid w:val="00197E59"/>
    <w:rsid w:val="001A01CC"/>
    <w:rsid w:val="001A144C"/>
    <w:rsid w:val="001A170A"/>
    <w:rsid w:val="001A1B94"/>
    <w:rsid w:val="001A1D42"/>
    <w:rsid w:val="001A35F6"/>
    <w:rsid w:val="001A3966"/>
    <w:rsid w:val="001A44F6"/>
    <w:rsid w:val="001A5A8C"/>
    <w:rsid w:val="001A5C4E"/>
    <w:rsid w:val="001A5F02"/>
    <w:rsid w:val="001A6501"/>
    <w:rsid w:val="001A75EA"/>
    <w:rsid w:val="001A791E"/>
    <w:rsid w:val="001B0021"/>
    <w:rsid w:val="001B0BDB"/>
    <w:rsid w:val="001B0DE7"/>
    <w:rsid w:val="001B0EC7"/>
    <w:rsid w:val="001B17F5"/>
    <w:rsid w:val="001B28EF"/>
    <w:rsid w:val="001B3230"/>
    <w:rsid w:val="001B3C9C"/>
    <w:rsid w:val="001B41CE"/>
    <w:rsid w:val="001B4285"/>
    <w:rsid w:val="001B6097"/>
    <w:rsid w:val="001B6375"/>
    <w:rsid w:val="001B66B1"/>
    <w:rsid w:val="001B6758"/>
    <w:rsid w:val="001B67B6"/>
    <w:rsid w:val="001B7572"/>
    <w:rsid w:val="001B790F"/>
    <w:rsid w:val="001B7BDC"/>
    <w:rsid w:val="001B7C3C"/>
    <w:rsid w:val="001C0299"/>
    <w:rsid w:val="001C0574"/>
    <w:rsid w:val="001C215D"/>
    <w:rsid w:val="001C2266"/>
    <w:rsid w:val="001C2994"/>
    <w:rsid w:val="001C3A32"/>
    <w:rsid w:val="001C47CC"/>
    <w:rsid w:val="001C4BEC"/>
    <w:rsid w:val="001C4C72"/>
    <w:rsid w:val="001C4F81"/>
    <w:rsid w:val="001C5008"/>
    <w:rsid w:val="001C5124"/>
    <w:rsid w:val="001C5438"/>
    <w:rsid w:val="001C6286"/>
    <w:rsid w:val="001C63D5"/>
    <w:rsid w:val="001C6C04"/>
    <w:rsid w:val="001C7375"/>
    <w:rsid w:val="001C7473"/>
    <w:rsid w:val="001D1215"/>
    <w:rsid w:val="001D1651"/>
    <w:rsid w:val="001D1B9D"/>
    <w:rsid w:val="001D2714"/>
    <w:rsid w:val="001D4032"/>
    <w:rsid w:val="001D49F2"/>
    <w:rsid w:val="001D534D"/>
    <w:rsid w:val="001D5625"/>
    <w:rsid w:val="001D5859"/>
    <w:rsid w:val="001D5DCD"/>
    <w:rsid w:val="001D5EC6"/>
    <w:rsid w:val="001D6B47"/>
    <w:rsid w:val="001D798F"/>
    <w:rsid w:val="001E068A"/>
    <w:rsid w:val="001E0992"/>
    <w:rsid w:val="001E14E5"/>
    <w:rsid w:val="001E1F0F"/>
    <w:rsid w:val="001E2152"/>
    <w:rsid w:val="001E2B97"/>
    <w:rsid w:val="001E2C69"/>
    <w:rsid w:val="001E2DE5"/>
    <w:rsid w:val="001E31C6"/>
    <w:rsid w:val="001E3281"/>
    <w:rsid w:val="001E398E"/>
    <w:rsid w:val="001E3E2F"/>
    <w:rsid w:val="001E4D12"/>
    <w:rsid w:val="001E4D65"/>
    <w:rsid w:val="001E509C"/>
    <w:rsid w:val="001E51FA"/>
    <w:rsid w:val="001E66E2"/>
    <w:rsid w:val="001E69E6"/>
    <w:rsid w:val="001E6A6F"/>
    <w:rsid w:val="001E7435"/>
    <w:rsid w:val="001F01CE"/>
    <w:rsid w:val="001F06C1"/>
    <w:rsid w:val="001F0B16"/>
    <w:rsid w:val="001F1033"/>
    <w:rsid w:val="001F242B"/>
    <w:rsid w:val="001F24CE"/>
    <w:rsid w:val="001F255F"/>
    <w:rsid w:val="001F3C75"/>
    <w:rsid w:val="001F3F38"/>
    <w:rsid w:val="001F3F57"/>
    <w:rsid w:val="001F3FA9"/>
    <w:rsid w:val="001F44EA"/>
    <w:rsid w:val="001F4825"/>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4C9A"/>
    <w:rsid w:val="002051CF"/>
    <w:rsid w:val="00205478"/>
    <w:rsid w:val="00205998"/>
    <w:rsid w:val="00206577"/>
    <w:rsid w:val="00206838"/>
    <w:rsid w:val="0020706C"/>
    <w:rsid w:val="00207A04"/>
    <w:rsid w:val="00210F4B"/>
    <w:rsid w:val="00211324"/>
    <w:rsid w:val="0021238A"/>
    <w:rsid w:val="00212FF2"/>
    <w:rsid w:val="00213199"/>
    <w:rsid w:val="002137B1"/>
    <w:rsid w:val="00214311"/>
    <w:rsid w:val="002156CB"/>
    <w:rsid w:val="00220754"/>
    <w:rsid w:val="002209EF"/>
    <w:rsid w:val="00221373"/>
    <w:rsid w:val="00221B21"/>
    <w:rsid w:val="00223936"/>
    <w:rsid w:val="0022588A"/>
    <w:rsid w:val="0022588E"/>
    <w:rsid w:val="0022685E"/>
    <w:rsid w:val="00227268"/>
    <w:rsid w:val="00227891"/>
    <w:rsid w:val="00227E95"/>
    <w:rsid w:val="00230E03"/>
    <w:rsid w:val="002323EE"/>
    <w:rsid w:val="00232929"/>
    <w:rsid w:val="002331E1"/>
    <w:rsid w:val="002332A5"/>
    <w:rsid w:val="00233B13"/>
    <w:rsid w:val="00234690"/>
    <w:rsid w:val="00234696"/>
    <w:rsid w:val="00234FD2"/>
    <w:rsid w:val="0023531F"/>
    <w:rsid w:val="00235556"/>
    <w:rsid w:val="00235AD1"/>
    <w:rsid w:val="00235B62"/>
    <w:rsid w:val="00235D62"/>
    <w:rsid w:val="00236822"/>
    <w:rsid w:val="0023689B"/>
    <w:rsid w:val="00236CAF"/>
    <w:rsid w:val="00237B6A"/>
    <w:rsid w:val="00240137"/>
    <w:rsid w:val="00240266"/>
    <w:rsid w:val="00241991"/>
    <w:rsid w:val="00241CC9"/>
    <w:rsid w:val="0024287F"/>
    <w:rsid w:val="00242A12"/>
    <w:rsid w:val="00243B39"/>
    <w:rsid w:val="00244143"/>
    <w:rsid w:val="002445F9"/>
    <w:rsid w:val="00245582"/>
    <w:rsid w:val="002474FC"/>
    <w:rsid w:val="0024794D"/>
    <w:rsid w:val="002506CB"/>
    <w:rsid w:val="0025081F"/>
    <w:rsid w:val="00250CA1"/>
    <w:rsid w:val="00252005"/>
    <w:rsid w:val="002528D2"/>
    <w:rsid w:val="00252914"/>
    <w:rsid w:val="002529AB"/>
    <w:rsid w:val="00252B43"/>
    <w:rsid w:val="0025372F"/>
    <w:rsid w:val="00253906"/>
    <w:rsid w:val="00253B02"/>
    <w:rsid w:val="0025473F"/>
    <w:rsid w:val="0025505A"/>
    <w:rsid w:val="002554CA"/>
    <w:rsid w:val="002558AE"/>
    <w:rsid w:val="00255A64"/>
    <w:rsid w:val="002565B2"/>
    <w:rsid w:val="002574A8"/>
    <w:rsid w:val="002575CF"/>
    <w:rsid w:val="00260E95"/>
    <w:rsid w:val="002617C8"/>
    <w:rsid w:val="00262E37"/>
    <w:rsid w:val="00262E56"/>
    <w:rsid w:val="00262EC6"/>
    <w:rsid w:val="00262F7F"/>
    <w:rsid w:val="0026331B"/>
    <w:rsid w:val="00263363"/>
    <w:rsid w:val="00263849"/>
    <w:rsid w:val="002641B5"/>
    <w:rsid w:val="00264D3E"/>
    <w:rsid w:val="00264EA0"/>
    <w:rsid w:val="00264F1A"/>
    <w:rsid w:val="00265909"/>
    <w:rsid w:val="00266776"/>
    <w:rsid w:val="0026692D"/>
    <w:rsid w:val="00266E84"/>
    <w:rsid w:val="00266F17"/>
    <w:rsid w:val="00266FCC"/>
    <w:rsid w:val="00267D36"/>
    <w:rsid w:val="00270097"/>
    <w:rsid w:val="002703DA"/>
    <w:rsid w:val="002708FA"/>
    <w:rsid w:val="00270C70"/>
    <w:rsid w:val="00271562"/>
    <w:rsid w:val="002715FF"/>
    <w:rsid w:val="00273420"/>
    <w:rsid w:val="002748F0"/>
    <w:rsid w:val="0027592E"/>
    <w:rsid w:val="00275B09"/>
    <w:rsid w:val="00275D3C"/>
    <w:rsid w:val="00275DA8"/>
    <w:rsid w:val="00276953"/>
    <w:rsid w:val="0027708C"/>
    <w:rsid w:val="00277286"/>
    <w:rsid w:val="002772EC"/>
    <w:rsid w:val="002773F6"/>
    <w:rsid w:val="00277B9D"/>
    <w:rsid w:val="00277C8D"/>
    <w:rsid w:val="00280232"/>
    <w:rsid w:val="00281A3F"/>
    <w:rsid w:val="00282BE4"/>
    <w:rsid w:val="00282C98"/>
    <w:rsid w:val="00282F62"/>
    <w:rsid w:val="00283271"/>
    <w:rsid w:val="002835CD"/>
    <w:rsid w:val="0028625A"/>
    <w:rsid w:val="00286408"/>
    <w:rsid w:val="00287089"/>
    <w:rsid w:val="0029016D"/>
    <w:rsid w:val="0029049F"/>
    <w:rsid w:val="00291465"/>
    <w:rsid w:val="00291EBD"/>
    <w:rsid w:val="0029210A"/>
    <w:rsid w:val="002924F9"/>
    <w:rsid w:val="00292F19"/>
    <w:rsid w:val="0029356F"/>
    <w:rsid w:val="00294B90"/>
    <w:rsid w:val="00294CAB"/>
    <w:rsid w:val="0029503C"/>
    <w:rsid w:val="00295648"/>
    <w:rsid w:val="00296109"/>
    <w:rsid w:val="00296329"/>
    <w:rsid w:val="00296443"/>
    <w:rsid w:val="00297378"/>
    <w:rsid w:val="002977D0"/>
    <w:rsid w:val="002A11D1"/>
    <w:rsid w:val="002A1489"/>
    <w:rsid w:val="002A2D1E"/>
    <w:rsid w:val="002A39D8"/>
    <w:rsid w:val="002A3C0A"/>
    <w:rsid w:val="002A3CF3"/>
    <w:rsid w:val="002A5231"/>
    <w:rsid w:val="002A6776"/>
    <w:rsid w:val="002A67ED"/>
    <w:rsid w:val="002A685B"/>
    <w:rsid w:val="002A6870"/>
    <w:rsid w:val="002A74C3"/>
    <w:rsid w:val="002A7C7D"/>
    <w:rsid w:val="002B0843"/>
    <w:rsid w:val="002B1120"/>
    <w:rsid w:val="002B2279"/>
    <w:rsid w:val="002B238B"/>
    <w:rsid w:val="002B3744"/>
    <w:rsid w:val="002B48F9"/>
    <w:rsid w:val="002B53C2"/>
    <w:rsid w:val="002B54BA"/>
    <w:rsid w:val="002B5881"/>
    <w:rsid w:val="002B67F6"/>
    <w:rsid w:val="002B6C1D"/>
    <w:rsid w:val="002B708D"/>
    <w:rsid w:val="002B727D"/>
    <w:rsid w:val="002B72D4"/>
    <w:rsid w:val="002B752A"/>
    <w:rsid w:val="002C0DE9"/>
    <w:rsid w:val="002C1089"/>
    <w:rsid w:val="002C2334"/>
    <w:rsid w:val="002C2A55"/>
    <w:rsid w:val="002C316D"/>
    <w:rsid w:val="002C37E8"/>
    <w:rsid w:val="002C3D17"/>
    <w:rsid w:val="002C3DE9"/>
    <w:rsid w:val="002C3F4B"/>
    <w:rsid w:val="002C40C1"/>
    <w:rsid w:val="002C4730"/>
    <w:rsid w:val="002C4CD1"/>
    <w:rsid w:val="002C52F2"/>
    <w:rsid w:val="002C57E3"/>
    <w:rsid w:val="002C6523"/>
    <w:rsid w:val="002C6C47"/>
    <w:rsid w:val="002C6CAB"/>
    <w:rsid w:val="002C6D53"/>
    <w:rsid w:val="002C6E1E"/>
    <w:rsid w:val="002C71AF"/>
    <w:rsid w:val="002C7F2E"/>
    <w:rsid w:val="002D01E3"/>
    <w:rsid w:val="002D05B5"/>
    <w:rsid w:val="002D2958"/>
    <w:rsid w:val="002D2DEB"/>
    <w:rsid w:val="002D2E87"/>
    <w:rsid w:val="002D30F7"/>
    <w:rsid w:val="002D3411"/>
    <w:rsid w:val="002D36F0"/>
    <w:rsid w:val="002D3AA3"/>
    <w:rsid w:val="002D44F2"/>
    <w:rsid w:val="002D4E65"/>
    <w:rsid w:val="002D5728"/>
    <w:rsid w:val="002D588C"/>
    <w:rsid w:val="002D592E"/>
    <w:rsid w:val="002D5ACC"/>
    <w:rsid w:val="002D6457"/>
    <w:rsid w:val="002D6F5E"/>
    <w:rsid w:val="002D7132"/>
    <w:rsid w:val="002D7218"/>
    <w:rsid w:val="002E0EB4"/>
    <w:rsid w:val="002E1C57"/>
    <w:rsid w:val="002E35F9"/>
    <w:rsid w:val="002E3C1E"/>
    <w:rsid w:val="002E3E83"/>
    <w:rsid w:val="002E3F6B"/>
    <w:rsid w:val="002E5D1C"/>
    <w:rsid w:val="002E646B"/>
    <w:rsid w:val="002E670D"/>
    <w:rsid w:val="002E67BB"/>
    <w:rsid w:val="002E69D8"/>
    <w:rsid w:val="002E7461"/>
    <w:rsid w:val="002E7B58"/>
    <w:rsid w:val="002F0D84"/>
    <w:rsid w:val="002F0F52"/>
    <w:rsid w:val="002F168E"/>
    <w:rsid w:val="002F18E4"/>
    <w:rsid w:val="002F23A1"/>
    <w:rsid w:val="002F2AE6"/>
    <w:rsid w:val="002F2C5B"/>
    <w:rsid w:val="002F2EDB"/>
    <w:rsid w:val="002F4239"/>
    <w:rsid w:val="002F4B18"/>
    <w:rsid w:val="002F4BA6"/>
    <w:rsid w:val="002F50F1"/>
    <w:rsid w:val="002F5E08"/>
    <w:rsid w:val="002F626A"/>
    <w:rsid w:val="002F665D"/>
    <w:rsid w:val="002F67B4"/>
    <w:rsid w:val="002F7210"/>
    <w:rsid w:val="002F7807"/>
    <w:rsid w:val="002F7C79"/>
    <w:rsid w:val="0030011B"/>
    <w:rsid w:val="0030023B"/>
    <w:rsid w:val="00300ABD"/>
    <w:rsid w:val="00300E8A"/>
    <w:rsid w:val="0030136D"/>
    <w:rsid w:val="00301539"/>
    <w:rsid w:val="00301640"/>
    <w:rsid w:val="00301F79"/>
    <w:rsid w:val="0030246D"/>
    <w:rsid w:val="0030295C"/>
    <w:rsid w:val="00302B66"/>
    <w:rsid w:val="00303326"/>
    <w:rsid w:val="00303433"/>
    <w:rsid w:val="00303D3A"/>
    <w:rsid w:val="00303D72"/>
    <w:rsid w:val="00305004"/>
    <w:rsid w:val="003065DE"/>
    <w:rsid w:val="0030785F"/>
    <w:rsid w:val="00307AE4"/>
    <w:rsid w:val="0031027B"/>
    <w:rsid w:val="00310957"/>
    <w:rsid w:val="00310B7B"/>
    <w:rsid w:val="0031161A"/>
    <w:rsid w:val="00311B97"/>
    <w:rsid w:val="003121F2"/>
    <w:rsid w:val="00312D33"/>
    <w:rsid w:val="0031311B"/>
    <w:rsid w:val="00313CD6"/>
    <w:rsid w:val="00313D11"/>
    <w:rsid w:val="00316DCF"/>
    <w:rsid w:val="003175E7"/>
    <w:rsid w:val="00317BC7"/>
    <w:rsid w:val="00317D89"/>
    <w:rsid w:val="00320A23"/>
    <w:rsid w:val="00320B3A"/>
    <w:rsid w:val="0032113C"/>
    <w:rsid w:val="003217FD"/>
    <w:rsid w:val="00322121"/>
    <w:rsid w:val="003228A0"/>
    <w:rsid w:val="00323357"/>
    <w:rsid w:val="00323657"/>
    <w:rsid w:val="00323B73"/>
    <w:rsid w:val="003240D5"/>
    <w:rsid w:val="003246D1"/>
    <w:rsid w:val="003248D8"/>
    <w:rsid w:val="00324909"/>
    <w:rsid w:val="00324ADC"/>
    <w:rsid w:val="00326A84"/>
    <w:rsid w:val="00326CAC"/>
    <w:rsid w:val="0032759E"/>
    <w:rsid w:val="00327A70"/>
    <w:rsid w:val="00330FF6"/>
    <w:rsid w:val="00331575"/>
    <w:rsid w:val="003317FD"/>
    <w:rsid w:val="0033317A"/>
    <w:rsid w:val="003334A0"/>
    <w:rsid w:val="003346E2"/>
    <w:rsid w:val="003348A0"/>
    <w:rsid w:val="00334BF7"/>
    <w:rsid w:val="00334C8F"/>
    <w:rsid w:val="0033590B"/>
    <w:rsid w:val="00336220"/>
    <w:rsid w:val="00336B3C"/>
    <w:rsid w:val="00337A07"/>
    <w:rsid w:val="003401B7"/>
    <w:rsid w:val="00341A54"/>
    <w:rsid w:val="00343984"/>
    <w:rsid w:val="0034429B"/>
    <w:rsid w:val="00344ADD"/>
    <w:rsid w:val="003456D4"/>
    <w:rsid w:val="003468E0"/>
    <w:rsid w:val="00346946"/>
    <w:rsid w:val="003475BD"/>
    <w:rsid w:val="00347E42"/>
    <w:rsid w:val="0035006E"/>
    <w:rsid w:val="0035040A"/>
    <w:rsid w:val="003505D6"/>
    <w:rsid w:val="00350694"/>
    <w:rsid w:val="003506F3"/>
    <w:rsid w:val="00350B02"/>
    <w:rsid w:val="00350F5C"/>
    <w:rsid w:val="0035143C"/>
    <w:rsid w:val="0035173F"/>
    <w:rsid w:val="00351EF9"/>
    <w:rsid w:val="00352236"/>
    <w:rsid w:val="003538D5"/>
    <w:rsid w:val="00354354"/>
    <w:rsid w:val="00354841"/>
    <w:rsid w:val="00354999"/>
    <w:rsid w:val="003550FF"/>
    <w:rsid w:val="0035554B"/>
    <w:rsid w:val="00355CCA"/>
    <w:rsid w:val="00355E1B"/>
    <w:rsid w:val="00356244"/>
    <w:rsid w:val="00356941"/>
    <w:rsid w:val="00356D48"/>
    <w:rsid w:val="00356DB1"/>
    <w:rsid w:val="003604DE"/>
    <w:rsid w:val="0036153E"/>
    <w:rsid w:val="0036218C"/>
    <w:rsid w:val="003625DB"/>
    <w:rsid w:val="00362C2D"/>
    <w:rsid w:val="00362FFE"/>
    <w:rsid w:val="0036370D"/>
    <w:rsid w:val="0036376F"/>
    <w:rsid w:val="00364596"/>
    <w:rsid w:val="003649B0"/>
    <w:rsid w:val="00365619"/>
    <w:rsid w:val="00365824"/>
    <w:rsid w:val="00365846"/>
    <w:rsid w:val="00365D8D"/>
    <w:rsid w:val="00366515"/>
    <w:rsid w:val="0036741F"/>
    <w:rsid w:val="003708C0"/>
    <w:rsid w:val="00370A5E"/>
    <w:rsid w:val="00370A65"/>
    <w:rsid w:val="00370D31"/>
    <w:rsid w:val="00370DB5"/>
    <w:rsid w:val="00370EEA"/>
    <w:rsid w:val="0037188C"/>
    <w:rsid w:val="00371C65"/>
    <w:rsid w:val="00371F65"/>
    <w:rsid w:val="003724A3"/>
    <w:rsid w:val="00372737"/>
    <w:rsid w:val="003740E8"/>
    <w:rsid w:val="00374727"/>
    <w:rsid w:val="003748A9"/>
    <w:rsid w:val="0037678E"/>
    <w:rsid w:val="00376B5A"/>
    <w:rsid w:val="00380120"/>
    <w:rsid w:val="00380E31"/>
    <w:rsid w:val="003817DA"/>
    <w:rsid w:val="00381A07"/>
    <w:rsid w:val="00381A5B"/>
    <w:rsid w:val="00381A94"/>
    <w:rsid w:val="00381F49"/>
    <w:rsid w:val="003830D5"/>
    <w:rsid w:val="0038379F"/>
    <w:rsid w:val="00384FE6"/>
    <w:rsid w:val="003855BA"/>
    <w:rsid w:val="0038646E"/>
    <w:rsid w:val="00386963"/>
    <w:rsid w:val="00386C3C"/>
    <w:rsid w:val="00386E1E"/>
    <w:rsid w:val="0038729F"/>
    <w:rsid w:val="003874C2"/>
    <w:rsid w:val="00387974"/>
    <w:rsid w:val="00387ABB"/>
    <w:rsid w:val="00391244"/>
    <w:rsid w:val="0039183E"/>
    <w:rsid w:val="00392DAC"/>
    <w:rsid w:val="00392F14"/>
    <w:rsid w:val="00393092"/>
    <w:rsid w:val="00393165"/>
    <w:rsid w:val="00393526"/>
    <w:rsid w:val="00393E3A"/>
    <w:rsid w:val="00394A8B"/>
    <w:rsid w:val="00394B03"/>
    <w:rsid w:val="00394E7F"/>
    <w:rsid w:val="0039505A"/>
    <w:rsid w:val="00395959"/>
    <w:rsid w:val="00395B60"/>
    <w:rsid w:val="00396385"/>
    <w:rsid w:val="00396D12"/>
    <w:rsid w:val="003A1E68"/>
    <w:rsid w:val="003A1E97"/>
    <w:rsid w:val="003A21BA"/>
    <w:rsid w:val="003A3204"/>
    <w:rsid w:val="003A3894"/>
    <w:rsid w:val="003A49B2"/>
    <w:rsid w:val="003A4B2F"/>
    <w:rsid w:val="003A566D"/>
    <w:rsid w:val="003A56EA"/>
    <w:rsid w:val="003A68C8"/>
    <w:rsid w:val="003A6AFB"/>
    <w:rsid w:val="003A6B08"/>
    <w:rsid w:val="003A7503"/>
    <w:rsid w:val="003A7646"/>
    <w:rsid w:val="003B0B73"/>
    <w:rsid w:val="003B11E7"/>
    <w:rsid w:val="003B1B8D"/>
    <w:rsid w:val="003B1F3C"/>
    <w:rsid w:val="003B2933"/>
    <w:rsid w:val="003B2CE1"/>
    <w:rsid w:val="003B31B8"/>
    <w:rsid w:val="003B326B"/>
    <w:rsid w:val="003B3418"/>
    <w:rsid w:val="003B3DDC"/>
    <w:rsid w:val="003B452C"/>
    <w:rsid w:val="003B4CE3"/>
    <w:rsid w:val="003B51E6"/>
    <w:rsid w:val="003B5D9D"/>
    <w:rsid w:val="003B5E3F"/>
    <w:rsid w:val="003B784F"/>
    <w:rsid w:val="003C06F1"/>
    <w:rsid w:val="003C0CD7"/>
    <w:rsid w:val="003C0D22"/>
    <w:rsid w:val="003C1C31"/>
    <w:rsid w:val="003C2977"/>
    <w:rsid w:val="003C2982"/>
    <w:rsid w:val="003C301D"/>
    <w:rsid w:val="003C36F8"/>
    <w:rsid w:val="003C3C8F"/>
    <w:rsid w:val="003C40C9"/>
    <w:rsid w:val="003C525A"/>
    <w:rsid w:val="003C73C1"/>
    <w:rsid w:val="003C7584"/>
    <w:rsid w:val="003C77F7"/>
    <w:rsid w:val="003C7A44"/>
    <w:rsid w:val="003D01E3"/>
    <w:rsid w:val="003D024C"/>
    <w:rsid w:val="003D038A"/>
    <w:rsid w:val="003D12FC"/>
    <w:rsid w:val="003D1949"/>
    <w:rsid w:val="003D2639"/>
    <w:rsid w:val="003D2675"/>
    <w:rsid w:val="003D2A22"/>
    <w:rsid w:val="003D3121"/>
    <w:rsid w:val="003D33B5"/>
    <w:rsid w:val="003D3C56"/>
    <w:rsid w:val="003D3F5A"/>
    <w:rsid w:val="003D414C"/>
    <w:rsid w:val="003D48CF"/>
    <w:rsid w:val="003D4967"/>
    <w:rsid w:val="003D51B7"/>
    <w:rsid w:val="003D5467"/>
    <w:rsid w:val="003D556F"/>
    <w:rsid w:val="003D5A73"/>
    <w:rsid w:val="003D5B42"/>
    <w:rsid w:val="003D5E69"/>
    <w:rsid w:val="003D6701"/>
    <w:rsid w:val="003D6AA5"/>
    <w:rsid w:val="003D6BAB"/>
    <w:rsid w:val="003D7038"/>
    <w:rsid w:val="003D7C2B"/>
    <w:rsid w:val="003E0372"/>
    <w:rsid w:val="003E0676"/>
    <w:rsid w:val="003E13AA"/>
    <w:rsid w:val="003E13D5"/>
    <w:rsid w:val="003E1F26"/>
    <w:rsid w:val="003E210F"/>
    <w:rsid w:val="003E28AD"/>
    <w:rsid w:val="003E3278"/>
    <w:rsid w:val="003E3A26"/>
    <w:rsid w:val="003E42BF"/>
    <w:rsid w:val="003E45A8"/>
    <w:rsid w:val="003E5A13"/>
    <w:rsid w:val="003E5B16"/>
    <w:rsid w:val="003E5E59"/>
    <w:rsid w:val="003E7D38"/>
    <w:rsid w:val="003F0100"/>
    <w:rsid w:val="003F024C"/>
    <w:rsid w:val="003F0563"/>
    <w:rsid w:val="003F0CB3"/>
    <w:rsid w:val="003F2104"/>
    <w:rsid w:val="003F26D4"/>
    <w:rsid w:val="003F2BCA"/>
    <w:rsid w:val="003F3515"/>
    <w:rsid w:val="003F39A1"/>
    <w:rsid w:val="003F41F6"/>
    <w:rsid w:val="003F49E5"/>
    <w:rsid w:val="003F4CFD"/>
    <w:rsid w:val="003F6268"/>
    <w:rsid w:val="003F6A90"/>
    <w:rsid w:val="003F735B"/>
    <w:rsid w:val="003F74D6"/>
    <w:rsid w:val="003F75E2"/>
    <w:rsid w:val="003F7E33"/>
    <w:rsid w:val="003F7E9C"/>
    <w:rsid w:val="00401293"/>
    <w:rsid w:val="00401373"/>
    <w:rsid w:val="004017AE"/>
    <w:rsid w:val="00402284"/>
    <w:rsid w:val="00402668"/>
    <w:rsid w:val="004026B4"/>
    <w:rsid w:val="004035EC"/>
    <w:rsid w:val="00404064"/>
    <w:rsid w:val="0040459F"/>
    <w:rsid w:val="00404953"/>
    <w:rsid w:val="00404E0B"/>
    <w:rsid w:val="00404E7F"/>
    <w:rsid w:val="00405207"/>
    <w:rsid w:val="00405725"/>
    <w:rsid w:val="0040672A"/>
    <w:rsid w:val="00407BB6"/>
    <w:rsid w:val="00410A7D"/>
    <w:rsid w:val="00411F07"/>
    <w:rsid w:val="00411F3E"/>
    <w:rsid w:val="0041227F"/>
    <w:rsid w:val="004125EE"/>
    <w:rsid w:val="00412687"/>
    <w:rsid w:val="0041292E"/>
    <w:rsid w:val="00412A31"/>
    <w:rsid w:val="004140CB"/>
    <w:rsid w:val="004142E1"/>
    <w:rsid w:val="00414E7C"/>
    <w:rsid w:val="0041598E"/>
    <w:rsid w:val="00415A55"/>
    <w:rsid w:val="004163F8"/>
    <w:rsid w:val="00416414"/>
    <w:rsid w:val="00416FB4"/>
    <w:rsid w:val="00417862"/>
    <w:rsid w:val="00417DCA"/>
    <w:rsid w:val="00420254"/>
    <w:rsid w:val="00420808"/>
    <w:rsid w:val="0042205B"/>
    <w:rsid w:val="004228E4"/>
    <w:rsid w:val="00422FF3"/>
    <w:rsid w:val="00423FAE"/>
    <w:rsid w:val="00424489"/>
    <w:rsid w:val="00425083"/>
    <w:rsid w:val="00426233"/>
    <w:rsid w:val="004276E4"/>
    <w:rsid w:val="004277E7"/>
    <w:rsid w:val="004278B8"/>
    <w:rsid w:val="00427C14"/>
    <w:rsid w:val="00427C45"/>
    <w:rsid w:val="0043061C"/>
    <w:rsid w:val="00430B29"/>
    <w:rsid w:val="00430D89"/>
    <w:rsid w:val="0043247C"/>
    <w:rsid w:val="0043280B"/>
    <w:rsid w:val="0043335D"/>
    <w:rsid w:val="00433519"/>
    <w:rsid w:val="00433954"/>
    <w:rsid w:val="00433D8F"/>
    <w:rsid w:val="004341A4"/>
    <w:rsid w:val="004345BC"/>
    <w:rsid w:val="004353D9"/>
    <w:rsid w:val="004359C6"/>
    <w:rsid w:val="00435C80"/>
    <w:rsid w:val="00436943"/>
    <w:rsid w:val="00436D65"/>
    <w:rsid w:val="00436F43"/>
    <w:rsid w:val="00436F4D"/>
    <w:rsid w:val="00437047"/>
    <w:rsid w:val="004370AA"/>
    <w:rsid w:val="004371B1"/>
    <w:rsid w:val="004376A9"/>
    <w:rsid w:val="004379D9"/>
    <w:rsid w:val="00437A09"/>
    <w:rsid w:val="00440626"/>
    <w:rsid w:val="00440B40"/>
    <w:rsid w:val="00440C42"/>
    <w:rsid w:val="00440EC6"/>
    <w:rsid w:val="00440FC1"/>
    <w:rsid w:val="00441538"/>
    <w:rsid w:val="00441565"/>
    <w:rsid w:val="00441706"/>
    <w:rsid w:val="004429B8"/>
    <w:rsid w:val="00442A6B"/>
    <w:rsid w:val="0044302F"/>
    <w:rsid w:val="0044473D"/>
    <w:rsid w:val="00444ACC"/>
    <w:rsid w:val="00444AEC"/>
    <w:rsid w:val="0044522F"/>
    <w:rsid w:val="00445278"/>
    <w:rsid w:val="00445E8D"/>
    <w:rsid w:val="00445FE7"/>
    <w:rsid w:val="004473B2"/>
    <w:rsid w:val="00447825"/>
    <w:rsid w:val="00447970"/>
    <w:rsid w:val="004501CF"/>
    <w:rsid w:val="00450409"/>
    <w:rsid w:val="004512F4"/>
    <w:rsid w:val="0045180D"/>
    <w:rsid w:val="0045183C"/>
    <w:rsid w:val="00451E91"/>
    <w:rsid w:val="0045293E"/>
    <w:rsid w:val="00452DFE"/>
    <w:rsid w:val="0045316E"/>
    <w:rsid w:val="00453278"/>
    <w:rsid w:val="00454423"/>
    <w:rsid w:val="00454A68"/>
    <w:rsid w:val="004554A7"/>
    <w:rsid w:val="0045555B"/>
    <w:rsid w:val="00455976"/>
    <w:rsid w:val="00455CCE"/>
    <w:rsid w:val="004563C9"/>
    <w:rsid w:val="00456618"/>
    <w:rsid w:val="00457786"/>
    <w:rsid w:val="0045792C"/>
    <w:rsid w:val="00457ADD"/>
    <w:rsid w:val="004635AD"/>
    <w:rsid w:val="00464C02"/>
    <w:rsid w:val="00464E13"/>
    <w:rsid w:val="00465299"/>
    <w:rsid w:val="00465896"/>
    <w:rsid w:val="004658EE"/>
    <w:rsid w:val="00466B8F"/>
    <w:rsid w:val="00467A3F"/>
    <w:rsid w:val="00467C3F"/>
    <w:rsid w:val="004701E3"/>
    <w:rsid w:val="00470281"/>
    <w:rsid w:val="00470A34"/>
    <w:rsid w:val="00471CE3"/>
    <w:rsid w:val="0047265A"/>
    <w:rsid w:val="0047328F"/>
    <w:rsid w:val="004733E3"/>
    <w:rsid w:val="00474399"/>
    <w:rsid w:val="00474565"/>
    <w:rsid w:val="00474956"/>
    <w:rsid w:val="00474FDF"/>
    <w:rsid w:val="004756F2"/>
    <w:rsid w:val="00475838"/>
    <w:rsid w:val="004764CC"/>
    <w:rsid w:val="004775BA"/>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2968"/>
    <w:rsid w:val="00493261"/>
    <w:rsid w:val="0049344F"/>
    <w:rsid w:val="00493830"/>
    <w:rsid w:val="004943E1"/>
    <w:rsid w:val="00495C56"/>
    <w:rsid w:val="00496838"/>
    <w:rsid w:val="00496B87"/>
    <w:rsid w:val="00496BAF"/>
    <w:rsid w:val="00497C67"/>
    <w:rsid w:val="004A12B5"/>
    <w:rsid w:val="004A2FC2"/>
    <w:rsid w:val="004A358D"/>
    <w:rsid w:val="004A42D3"/>
    <w:rsid w:val="004A598E"/>
    <w:rsid w:val="004A60CC"/>
    <w:rsid w:val="004A6B1B"/>
    <w:rsid w:val="004A7465"/>
    <w:rsid w:val="004A7497"/>
    <w:rsid w:val="004A77BB"/>
    <w:rsid w:val="004A7FB5"/>
    <w:rsid w:val="004B0968"/>
    <w:rsid w:val="004B0ABF"/>
    <w:rsid w:val="004B15D2"/>
    <w:rsid w:val="004B178B"/>
    <w:rsid w:val="004B1A9B"/>
    <w:rsid w:val="004B2084"/>
    <w:rsid w:val="004B2773"/>
    <w:rsid w:val="004B2885"/>
    <w:rsid w:val="004B2FD6"/>
    <w:rsid w:val="004B3158"/>
    <w:rsid w:val="004B322C"/>
    <w:rsid w:val="004B3691"/>
    <w:rsid w:val="004B4050"/>
    <w:rsid w:val="004B55A8"/>
    <w:rsid w:val="004B6469"/>
    <w:rsid w:val="004B69A7"/>
    <w:rsid w:val="004B7D85"/>
    <w:rsid w:val="004C0180"/>
    <w:rsid w:val="004C01C8"/>
    <w:rsid w:val="004C0C31"/>
    <w:rsid w:val="004C0F45"/>
    <w:rsid w:val="004C1D4F"/>
    <w:rsid w:val="004C2064"/>
    <w:rsid w:val="004C2365"/>
    <w:rsid w:val="004C2F07"/>
    <w:rsid w:val="004C44C1"/>
    <w:rsid w:val="004C454C"/>
    <w:rsid w:val="004C4ACE"/>
    <w:rsid w:val="004C5680"/>
    <w:rsid w:val="004C5910"/>
    <w:rsid w:val="004C607F"/>
    <w:rsid w:val="004C79D2"/>
    <w:rsid w:val="004C7DF5"/>
    <w:rsid w:val="004D0116"/>
    <w:rsid w:val="004D127D"/>
    <w:rsid w:val="004D1A25"/>
    <w:rsid w:val="004D24A9"/>
    <w:rsid w:val="004D2C22"/>
    <w:rsid w:val="004D3328"/>
    <w:rsid w:val="004D38D2"/>
    <w:rsid w:val="004D3AD3"/>
    <w:rsid w:val="004D4510"/>
    <w:rsid w:val="004D4951"/>
    <w:rsid w:val="004D4B1D"/>
    <w:rsid w:val="004D66D9"/>
    <w:rsid w:val="004D72C5"/>
    <w:rsid w:val="004E053D"/>
    <w:rsid w:val="004E1F0F"/>
    <w:rsid w:val="004E289C"/>
    <w:rsid w:val="004E29A4"/>
    <w:rsid w:val="004E34A7"/>
    <w:rsid w:val="004E3F09"/>
    <w:rsid w:val="004E4B13"/>
    <w:rsid w:val="004E4E4F"/>
    <w:rsid w:val="004E5745"/>
    <w:rsid w:val="004E58DB"/>
    <w:rsid w:val="004E5E99"/>
    <w:rsid w:val="004E62DD"/>
    <w:rsid w:val="004E646C"/>
    <w:rsid w:val="004E6675"/>
    <w:rsid w:val="004E6A0F"/>
    <w:rsid w:val="004E7BB3"/>
    <w:rsid w:val="004F1028"/>
    <w:rsid w:val="004F1C15"/>
    <w:rsid w:val="004F2F17"/>
    <w:rsid w:val="004F35AE"/>
    <w:rsid w:val="004F45BA"/>
    <w:rsid w:val="004F4751"/>
    <w:rsid w:val="004F5D8C"/>
    <w:rsid w:val="004F6914"/>
    <w:rsid w:val="004F6B32"/>
    <w:rsid w:val="004F6B3F"/>
    <w:rsid w:val="00500AA9"/>
    <w:rsid w:val="00500D75"/>
    <w:rsid w:val="00500EE7"/>
    <w:rsid w:val="00501B94"/>
    <w:rsid w:val="00501E32"/>
    <w:rsid w:val="005027B5"/>
    <w:rsid w:val="0050346E"/>
    <w:rsid w:val="0050525B"/>
    <w:rsid w:val="0050580B"/>
    <w:rsid w:val="00505DCF"/>
    <w:rsid w:val="005061E7"/>
    <w:rsid w:val="0050654A"/>
    <w:rsid w:val="00506A13"/>
    <w:rsid w:val="0050752A"/>
    <w:rsid w:val="00507AB6"/>
    <w:rsid w:val="00507D46"/>
    <w:rsid w:val="005101A5"/>
    <w:rsid w:val="005102CC"/>
    <w:rsid w:val="005107DC"/>
    <w:rsid w:val="00510C95"/>
    <w:rsid w:val="00511030"/>
    <w:rsid w:val="005114E6"/>
    <w:rsid w:val="0051156C"/>
    <w:rsid w:val="005117F6"/>
    <w:rsid w:val="00511DE4"/>
    <w:rsid w:val="00511FF7"/>
    <w:rsid w:val="005125A2"/>
    <w:rsid w:val="00514582"/>
    <w:rsid w:val="00515880"/>
    <w:rsid w:val="00515990"/>
    <w:rsid w:val="00515B11"/>
    <w:rsid w:val="00516683"/>
    <w:rsid w:val="0051680B"/>
    <w:rsid w:val="00516D29"/>
    <w:rsid w:val="005216A4"/>
    <w:rsid w:val="005219BF"/>
    <w:rsid w:val="005225E8"/>
    <w:rsid w:val="005233DB"/>
    <w:rsid w:val="00523BCA"/>
    <w:rsid w:val="00524C88"/>
    <w:rsid w:val="00524D29"/>
    <w:rsid w:val="00524E8F"/>
    <w:rsid w:val="005254BA"/>
    <w:rsid w:val="005255FF"/>
    <w:rsid w:val="00525C48"/>
    <w:rsid w:val="00527A1D"/>
    <w:rsid w:val="00530846"/>
    <w:rsid w:val="00530E9D"/>
    <w:rsid w:val="0053101A"/>
    <w:rsid w:val="00531D09"/>
    <w:rsid w:val="00531DF9"/>
    <w:rsid w:val="0053213B"/>
    <w:rsid w:val="005325D5"/>
    <w:rsid w:val="00532738"/>
    <w:rsid w:val="005329EA"/>
    <w:rsid w:val="00532DD4"/>
    <w:rsid w:val="00533171"/>
    <w:rsid w:val="0053380C"/>
    <w:rsid w:val="00533B93"/>
    <w:rsid w:val="005347CB"/>
    <w:rsid w:val="00534D1A"/>
    <w:rsid w:val="0053507B"/>
    <w:rsid w:val="005352DD"/>
    <w:rsid w:val="00535596"/>
    <w:rsid w:val="00535795"/>
    <w:rsid w:val="00535869"/>
    <w:rsid w:val="00535B1C"/>
    <w:rsid w:val="00535C0B"/>
    <w:rsid w:val="00535D71"/>
    <w:rsid w:val="00536490"/>
    <w:rsid w:val="00536A61"/>
    <w:rsid w:val="00536B4E"/>
    <w:rsid w:val="00536F1C"/>
    <w:rsid w:val="0053764C"/>
    <w:rsid w:val="00537F31"/>
    <w:rsid w:val="0054000A"/>
    <w:rsid w:val="0054028F"/>
    <w:rsid w:val="00540439"/>
    <w:rsid w:val="005405ED"/>
    <w:rsid w:val="00540E08"/>
    <w:rsid w:val="00542270"/>
    <w:rsid w:val="0054323E"/>
    <w:rsid w:val="0054392C"/>
    <w:rsid w:val="00545148"/>
    <w:rsid w:val="0054542E"/>
    <w:rsid w:val="00546584"/>
    <w:rsid w:val="00546DD2"/>
    <w:rsid w:val="005471DA"/>
    <w:rsid w:val="00547636"/>
    <w:rsid w:val="00550FF3"/>
    <w:rsid w:val="00551606"/>
    <w:rsid w:val="005530A2"/>
    <w:rsid w:val="00553E60"/>
    <w:rsid w:val="00554F2E"/>
    <w:rsid w:val="00554FD5"/>
    <w:rsid w:val="00556415"/>
    <w:rsid w:val="005565B2"/>
    <w:rsid w:val="00556620"/>
    <w:rsid w:val="00560606"/>
    <w:rsid w:val="005607F5"/>
    <w:rsid w:val="0056080A"/>
    <w:rsid w:val="0056098B"/>
    <w:rsid w:val="00560C04"/>
    <w:rsid w:val="00561A33"/>
    <w:rsid w:val="005621BA"/>
    <w:rsid w:val="0056338E"/>
    <w:rsid w:val="00563934"/>
    <w:rsid w:val="00563A85"/>
    <w:rsid w:val="0056449F"/>
    <w:rsid w:val="00564D03"/>
    <w:rsid w:val="005653B4"/>
    <w:rsid w:val="00565B57"/>
    <w:rsid w:val="00567258"/>
    <w:rsid w:val="005673ED"/>
    <w:rsid w:val="00567721"/>
    <w:rsid w:val="00571158"/>
    <w:rsid w:val="00571ADF"/>
    <w:rsid w:val="00571B29"/>
    <w:rsid w:val="00571DD7"/>
    <w:rsid w:val="00571E6E"/>
    <w:rsid w:val="00572517"/>
    <w:rsid w:val="0057267F"/>
    <w:rsid w:val="00572728"/>
    <w:rsid w:val="00572E12"/>
    <w:rsid w:val="00572EBD"/>
    <w:rsid w:val="005730F0"/>
    <w:rsid w:val="00573C67"/>
    <w:rsid w:val="0057431B"/>
    <w:rsid w:val="00574A12"/>
    <w:rsid w:val="005757AB"/>
    <w:rsid w:val="00576307"/>
    <w:rsid w:val="00576C3D"/>
    <w:rsid w:val="00577008"/>
    <w:rsid w:val="00577C91"/>
    <w:rsid w:val="00577E43"/>
    <w:rsid w:val="00580877"/>
    <w:rsid w:val="005817DB"/>
    <w:rsid w:val="00581A8D"/>
    <w:rsid w:val="00582417"/>
    <w:rsid w:val="00582AF1"/>
    <w:rsid w:val="00582BDA"/>
    <w:rsid w:val="0058366E"/>
    <w:rsid w:val="00584A0B"/>
    <w:rsid w:val="00584A36"/>
    <w:rsid w:val="00584F24"/>
    <w:rsid w:val="00586E89"/>
    <w:rsid w:val="0058709F"/>
    <w:rsid w:val="005879A1"/>
    <w:rsid w:val="00587ADA"/>
    <w:rsid w:val="00587D5B"/>
    <w:rsid w:val="00590AF0"/>
    <w:rsid w:val="00590BBA"/>
    <w:rsid w:val="00590D41"/>
    <w:rsid w:val="00590E37"/>
    <w:rsid w:val="005911AC"/>
    <w:rsid w:val="00593982"/>
    <w:rsid w:val="00593EFB"/>
    <w:rsid w:val="0059499C"/>
    <w:rsid w:val="00594AC4"/>
    <w:rsid w:val="005960F8"/>
    <w:rsid w:val="0059647E"/>
    <w:rsid w:val="00596573"/>
    <w:rsid w:val="005965BD"/>
    <w:rsid w:val="00597191"/>
    <w:rsid w:val="00597771"/>
    <w:rsid w:val="005A2BCC"/>
    <w:rsid w:val="005A2EA7"/>
    <w:rsid w:val="005A2EF4"/>
    <w:rsid w:val="005A3FEF"/>
    <w:rsid w:val="005A4024"/>
    <w:rsid w:val="005A4B4C"/>
    <w:rsid w:val="005A4D70"/>
    <w:rsid w:val="005A5220"/>
    <w:rsid w:val="005A5FCE"/>
    <w:rsid w:val="005A64C3"/>
    <w:rsid w:val="005A655E"/>
    <w:rsid w:val="005A7448"/>
    <w:rsid w:val="005B05F6"/>
    <w:rsid w:val="005B0667"/>
    <w:rsid w:val="005B0F43"/>
    <w:rsid w:val="005B1B9C"/>
    <w:rsid w:val="005B1DF2"/>
    <w:rsid w:val="005B23B7"/>
    <w:rsid w:val="005B4150"/>
    <w:rsid w:val="005B465B"/>
    <w:rsid w:val="005B49E2"/>
    <w:rsid w:val="005B4FEF"/>
    <w:rsid w:val="005B576F"/>
    <w:rsid w:val="005B586D"/>
    <w:rsid w:val="005B5AE1"/>
    <w:rsid w:val="005B6894"/>
    <w:rsid w:val="005B707B"/>
    <w:rsid w:val="005B79BE"/>
    <w:rsid w:val="005C00AC"/>
    <w:rsid w:val="005C0FDC"/>
    <w:rsid w:val="005C215F"/>
    <w:rsid w:val="005C274D"/>
    <w:rsid w:val="005C31AD"/>
    <w:rsid w:val="005C35FB"/>
    <w:rsid w:val="005C3D47"/>
    <w:rsid w:val="005C3F92"/>
    <w:rsid w:val="005C422D"/>
    <w:rsid w:val="005C4CCA"/>
    <w:rsid w:val="005C534A"/>
    <w:rsid w:val="005C6E1F"/>
    <w:rsid w:val="005C73E5"/>
    <w:rsid w:val="005C74A4"/>
    <w:rsid w:val="005C7828"/>
    <w:rsid w:val="005D1A91"/>
    <w:rsid w:val="005D1BB1"/>
    <w:rsid w:val="005D2552"/>
    <w:rsid w:val="005D4A54"/>
    <w:rsid w:val="005D4A7F"/>
    <w:rsid w:val="005D4A90"/>
    <w:rsid w:val="005D4B22"/>
    <w:rsid w:val="005D4CF4"/>
    <w:rsid w:val="005D512C"/>
    <w:rsid w:val="005D55D4"/>
    <w:rsid w:val="005D56D6"/>
    <w:rsid w:val="005D668C"/>
    <w:rsid w:val="005D6C18"/>
    <w:rsid w:val="005D731F"/>
    <w:rsid w:val="005E00D1"/>
    <w:rsid w:val="005E0191"/>
    <w:rsid w:val="005E0C53"/>
    <w:rsid w:val="005E10A6"/>
    <w:rsid w:val="005E1572"/>
    <w:rsid w:val="005E1609"/>
    <w:rsid w:val="005E1B0F"/>
    <w:rsid w:val="005E1C80"/>
    <w:rsid w:val="005E1D81"/>
    <w:rsid w:val="005E1F7B"/>
    <w:rsid w:val="005E28B5"/>
    <w:rsid w:val="005E3624"/>
    <w:rsid w:val="005E3C46"/>
    <w:rsid w:val="005E4089"/>
    <w:rsid w:val="005E40EB"/>
    <w:rsid w:val="005E4AE6"/>
    <w:rsid w:val="005E4FCE"/>
    <w:rsid w:val="005E52B9"/>
    <w:rsid w:val="005E5FDE"/>
    <w:rsid w:val="005E69DA"/>
    <w:rsid w:val="005E70D3"/>
    <w:rsid w:val="005E7B47"/>
    <w:rsid w:val="005E7D1E"/>
    <w:rsid w:val="005F0462"/>
    <w:rsid w:val="005F0571"/>
    <w:rsid w:val="005F062A"/>
    <w:rsid w:val="005F0B80"/>
    <w:rsid w:val="005F0E41"/>
    <w:rsid w:val="005F12A3"/>
    <w:rsid w:val="005F17E4"/>
    <w:rsid w:val="005F18EE"/>
    <w:rsid w:val="005F1D8A"/>
    <w:rsid w:val="005F2E36"/>
    <w:rsid w:val="005F3D8C"/>
    <w:rsid w:val="005F5707"/>
    <w:rsid w:val="005F6AB6"/>
    <w:rsid w:val="005F6D6A"/>
    <w:rsid w:val="005F78F5"/>
    <w:rsid w:val="006008A3"/>
    <w:rsid w:val="006009EB"/>
    <w:rsid w:val="00600BAE"/>
    <w:rsid w:val="00600E19"/>
    <w:rsid w:val="00601169"/>
    <w:rsid w:val="0060146D"/>
    <w:rsid w:val="00601ADD"/>
    <w:rsid w:val="0060300E"/>
    <w:rsid w:val="00603F60"/>
    <w:rsid w:val="00604BA9"/>
    <w:rsid w:val="00604FBC"/>
    <w:rsid w:val="00605547"/>
    <w:rsid w:val="00606AC8"/>
    <w:rsid w:val="00606D36"/>
    <w:rsid w:val="00607004"/>
    <w:rsid w:val="0060766B"/>
    <w:rsid w:val="00607BF8"/>
    <w:rsid w:val="00610490"/>
    <w:rsid w:val="006107E7"/>
    <w:rsid w:val="0061146D"/>
    <w:rsid w:val="0061155A"/>
    <w:rsid w:val="0061185F"/>
    <w:rsid w:val="006139D8"/>
    <w:rsid w:val="00613DC5"/>
    <w:rsid w:val="0061468D"/>
    <w:rsid w:val="00614EA7"/>
    <w:rsid w:val="00615278"/>
    <w:rsid w:val="00615B52"/>
    <w:rsid w:val="00615E2F"/>
    <w:rsid w:val="0061625F"/>
    <w:rsid w:val="0061641A"/>
    <w:rsid w:val="00616602"/>
    <w:rsid w:val="00616E78"/>
    <w:rsid w:val="006178FD"/>
    <w:rsid w:val="00617A4D"/>
    <w:rsid w:val="00617AD3"/>
    <w:rsid w:val="00620074"/>
    <w:rsid w:val="0062056A"/>
    <w:rsid w:val="006207FB"/>
    <w:rsid w:val="006208AB"/>
    <w:rsid w:val="006215C6"/>
    <w:rsid w:val="0062173B"/>
    <w:rsid w:val="0062221F"/>
    <w:rsid w:val="00623114"/>
    <w:rsid w:val="00623252"/>
    <w:rsid w:val="006232AE"/>
    <w:rsid w:val="00623920"/>
    <w:rsid w:val="00623E4E"/>
    <w:rsid w:val="00624243"/>
    <w:rsid w:val="006242C4"/>
    <w:rsid w:val="0062448A"/>
    <w:rsid w:val="00624626"/>
    <w:rsid w:val="00624CE9"/>
    <w:rsid w:val="00625074"/>
    <w:rsid w:val="00625F55"/>
    <w:rsid w:val="0062605C"/>
    <w:rsid w:val="0062761A"/>
    <w:rsid w:val="00627E5B"/>
    <w:rsid w:val="00627EBD"/>
    <w:rsid w:val="00627F2B"/>
    <w:rsid w:val="00630018"/>
    <w:rsid w:val="00630048"/>
    <w:rsid w:val="006301CC"/>
    <w:rsid w:val="00630A87"/>
    <w:rsid w:val="00630F9B"/>
    <w:rsid w:val="006312B8"/>
    <w:rsid w:val="006312DC"/>
    <w:rsid w:val="0063182F"/>
    <w:rsid w:val="00631DEC"/>
    <w:rsid w:val="00631F9A"/>
    <w:rsid w:val="00632464"/>
    <w:rsid w:val="00632B38"/>
    <w:rsid w:val="00632D4C"/>
    <w:rsid w:val="0063333A"/>
    <w:rsid w:val="0063339E"/>
    <w:rsid w:val="006333E8"/>
    <w:rsid w:val="00633E6C"/>
    <w:rsid w:val="00633EDF"/>
    <w:rsid w:val="00634F27"/>
    <w:rsid w:val="0063566E"/>
    <w:rsid w:val="006356AF"/>
    <w:rsid w:val="00636179"/>
    <w:rsid w:val="00636843"/>
    <w:rsid w:val="00640230"/>
    <w:rsid w:val="0064023A"/>
    <w:rsid w:val="00640BDE"/>
    <w:rsid w:val="00641324"/>
    <w:rsid w:val="0064198B"/>
    <w:rsid w:val="0064232B"/>
    <w:rsid w:val="00642BA9"/>
    <w:rsid w:val="006431C8"/>
    <w:rsid w:val="006440F0"/>
    <w:rsid w:val="00644EAC"/>
    <w:rsid w:val="006452CD"/>
    <w:rsid w:val="00647510"/>
    <w:rsid w:val="00647DDA"/>
    <w:rsid w:val="006502EF"/>
    <w:rsid w:val="0065041A"/>
    <w:rsid w:val="006508F5"/>
    <w:rsid w:val="00650E45"/>
    <w:rsid w:val="006513D2"/>
    <w:rsid w:val="0065143E"/>
    <w:rsid w:val="00651A07"/>
    <w:rsid w:val="00651A27"/>
    <w:rsid w:val="00651AA2"/>
    <w:rsid w:val="00651E43"/>
    <w:rsid w:val="006520B3"/>
    <w:rsid w:val="00652890"/>
    <w:rsid w:val="00653644"/>
    <w:rsid w:val="006539DF"/>
    <w:rsid w:val="00655EE5"/>
    <w:rsid w:val="00656E13"/>
    <w:rsid w:val="0065749F"/>
    <w:rsid w:val="00657F7E"/>
    <w:rsid w:val="006604C8"/>
    <w:rsid w:val="006604DB"/>
    <w:rsid w:val="00660BB2"/>
    <w:rsid w:val="0066108F"/>
    <w:rsid w:val="00661210"/>
    <w:rsid w:val="00661329"/>
    <w:rsid w:val="00661AB1"/>
    <w:rsid w:val="00664995"/>
    <w:rsid w:val="00665185"/>
    <w:rsid w:val="00665A31"/>
    <w:rsid w:val="00665C18"/>
    <w:rsid w:val="00666074"/>
    <w:rsid w:val="00666730"/>
    <w:rsid w:val="006675B1"/>
    <w:rsid w:val="00667E76"/>
    <w:rsid w:val="00670A58"/>
    <w:rsid w:val="00670AEF"/>
    <w:rsid w:val="00671B3D"/>
    <w:rsid w:val="00671B6D"/>
    <w:rsid w:val="00671ECF"/>
    <w:rsid w:val="00671F0C"/>
    <w:rsid w:val="0067242F"/>
    <w:rsid w:val="006734EB"/>
    <w:rsid w:val="006736B2"/>
    <w:rsid w:val="00673F56"/>
    <w:rsid w:val="006741A2"/>
    <w:rsid w:val="0067449D"/>
    <w:rsid w:val="0067490B"/>
    <w:rsid w:val="00674D60"/>
    <w:rsid w:val="006753B2"/>
    <w:rsid w:val="0067546F"/>
    <w:rsid w:val="0067649D"/>
    <w:rsid w:val="00677343"/>
    <w:rsid w:val="00680094"/>
    <w:rsid w:val="00680309"/>
    <w:rsid w:val="00681046"/>
    <w:rsid w:val="00681748"/>
    <w:rsid w:val="00681A62"/>
    <w:rsid w:val="00681BF9"/>
    <w:rsid w:val="00681D6E"/>
    <w:rsid w:val="0068258F"/>
    <w:rsid w:val="006827C9"/>
    <w:rsid w:val="00682D13"/>
    <w:rsid w:val="00682DEC"/>
    <w:rsid w:val="006838D6"/>
    <w:rsid w:val="00683C32"/>
    <w:rsid w:val="00684C99"/>
    <w:rsid w:val="00684E7B"/>
    <w:rsid w:val="00685A23"/>
    <w:rsid w:val="00685DD6"/>
    <w:rsid w:val="00686319"/>
    <w:rsid w:val="00686FFE"/>
    <w:rsid w:val="006870FC"/>
    <w:rsid w:val="006872B8"/>
    <w:rsid w:val="00687425"/>
    <w:rsid w:val="006875DB"/>
    <w:rsid w:val="00692ABD"/>
    <w:rsid w:val="00693AD6"/>
    <w:rsid w:val="00693C34"/>
    <w:rsid w:val="00693F0D"/>
    <w:rsid w:val="00693F43"/>
    <w:rsid w:val="00694334"/>
    <w:rsid w:val="00694572"/>
    <w:rsid w:val="00694919"/>
    <w:rsid w:val="00694C9E"/>
    <w:rsid w:val="0069514E"/>
    <w:rsid w:val="00695847"/>
    <w:rsid w:val="00695FE3"/>
    <w:rsid w:val="0069612E"/>
    <w:rsid w:val="006A0453"/>
    <w:rsid w:val="006A0497"/>
    <w:rsid w:val="006A0770"/>
    <w:rsid w:val="006A0779"/>
    <w:rsid w:val="006A0C27"/>
    <w:rsid w:val="006A15B5"/>
    <w:rsid w:val="006A1B3A"/>
    <w:rsid w:val="006A32AF"/>
    <w:rsid w:val="006A3A02"/>
    <w:rsid w:val="006A418F"/>
    <w:rsid w:val="006A4BA3"/>
    <w:rsid w:val="006A4C77"/>
    <w:rsid w:val="006A6CEC"/>
    <w:rsid w:val="006A737D"/>
    <w:rsid w:val="006A757C"/>
    <w:rsid w:val="006B05AB"/>
    <w:rsid w:val="006B4162"/>
    <w:rsid w:val="006B442B"/>
    <w:rsid w:val="006B6669"/>
    <w:rsid w:val="006B67A0"/>
    <w:rsid w:val="006B73A1"/>
    <w:rsid w:val="006C147E"/>
    <w:rsid w:val="006C17CC"/>
    <w:rsid w:val="006C1A14"/>
    <w:rsid w:val="006C2705"/>
    <w:rsid w:val="006C273B"/>
    <w:rsid w:val="006C33A7"/>
    <w:rsid w:val="006C46A9"/>
    <w:rsid w:val="006C4B06"/>
    <w:rsid w:val="006C4B0E"/>
    <w:rsid w:val="006C4B61"/>
    <w:rsid w:val="006C5AE5"/>
    <w:rsid w:val="006C61A6"/>
    <w:rsid w:val="006C74C8"/>
    <w:rsid w:val="006D035B"/>
    <w:rsid w:val="006D173D"/>
    <w:rsid w:val="006D1C0F"/>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6C3"/>
    <w:rsid w:val="006E21C6"/>
    <w:rsid w:val="006E22FB"/>
    <w:rsid w:val="006E24A7"/>
    <w:rsid w:val="006E299B"/>
    <w:rsid w:val="006E3032"/>
    <w:rsid w:val="006E3042"/>
    <w:rsid w:val="006E30E5"/>
    <w:rsid w:val="006E3308"/>
    <w:rsid w:val="006E46BD"/>
    <w:rsid w:val="006E5B79"/>
    <w:rsid w:val="006E6AA1"/>
    <w:rsid w:val="006E7319"/>
    <w:rsid w:val="006E7833"/>
    <w:rsid w:val="006E7AD3"/>
    <w:rsid w:val="006F0936"/>
    <w:rsid w:val="006F113B"/>
    <w:rsid w:val="006F17B9"/>
    <w:rsid w:val="006F3129"/>
    <w:rsid w:val="006F3159"/>
    <w:rsid w:val="006F4C36"/>
    <w:rsid w:val="006F657A"/>
    <w:rsid w:val="006F6F54"/>
    <w:rsid w:val="006F7776"/>
    <w:rsid w:val="006F77E3"/>
    <w:rsid w:val="006F7B14"/>
    <w:rsid w:val="00700004"/>
    <w:rsid w:val="00700007"/>
    <w:rsid w:val="00700259"/>
    <w:rsid w:val="00700649"/>
    <w:rsid w:val="0070087D"/>
    <w:rsid w:val="0070144D"/>
    <w:rsid w:val="00702473"/>
    <w:rsid w:val="007024C0"/>
    <w:rsid w:val="007027EA"/>
    <w:rsid w:val="00702B52"/>
    <w:rsid w:val="0070348F"/>
    <w:rsid w:val="0070368E"/>
    <w:rsid w:val="00703ADF"/>
    <w:rsid w:val="007043AB"/>
    <w:rsid w:val="00704E6E"/>
    <w:rsid w:val="00704F55"/>
    <w:rsid w:val="0070542A"/>
    <w:rsid w:val="00706899"/>
    <w:rsid w:val="00706E78"/>
    <w:rsid w:val="0070772E"/>
    <w:rsid w:val="00711620"/>
    <w:rsid w:val="00711CE1"/>
    <w:rsid w:val="00711D41"/>
    <w:rsid w:val="007129D0"/>
    <w:rsid w:val="00712D22"/>
    <w:rsid w:val="00713251"/>
    <w:rsid w:val="0071346A"/>
    <w:rsid w:val="007134BF"/>
    <w:rsid w:val="007135D3"/>
    <w:rsid w:val="00713A43"/>
    <w:rsid w:val="00715150"/>
    <w:rsid w:val="0071597D"/>
    <w:rsid w:val="00715ECB"/>
    <w:rsid w:val="00716841"/>
    <w:rsid w:val="00716FC3"/>
    <w:rsid w:val="007172E5"/>
    <w:rsid w:val="00717312"/>
    <w:rsid w:val="0071794B"/>
    <w:rsid w:val="00717BDF"/>
    <w:rsid w:val="007200F6"/>
    <w:rsid w:val="00722353"/>
    <w:rsid w:val="007229BE"/>
    <w:rsid w:val="00722A7F"/>
    <w:rsid w:val="00723074"/>
    <w:rsid w:val="00723215"/>
    <w:rsid w:val="00723F7E"/>
    <w:rsid w:val="007241D1"/>
    <w:rsid w:val="00724CF9"/>
    <w:rsid w:val="0072548A"/>
    <w:rsid w:val="0072570C"/>
    <w:rsid w:val="00725C26"/>
    <w:rsid w:val="007260D8"/>
    <w:rsid w:val="00726F6D"/>
    <w:rsid w:val="0072749F"/>
    <w:rsid w:val="00727BCD"/>
    <w:rsid w:val="00730747"/>
    <w:rsid w:val="00730E04"/>
    <w:rsid w:val="0073155C"/>
    <w:rsid w:val="00731FCC"/>
    <w:rsid w:val="00732C3A"/>
    <w:rsid w:val="00733070"/>
    <w:rsid w:val="007333A9"/>
    <w:rsid w:val="00734090"/>
    <w:rsid w:val="0073568F"/>
    <w:rsid w:val="00736328"/>
    <w:rsid w:val="0073759E"/>
    <w:rsid w:val="007375FA"/>
    <w:rsid w:val="0074017F"/>
    <w:rsid w:val="00740455"/>
    <w:rsid w:val="007404D7"/>
    <w:rsid w:val="007406CD"/>
    <w:rsid w:val="00740847"/>
    <w:rsid w:val="007418B4"/>
    <w:rsid w:val="00742291"/>
    <w:rsid w:val="00742458"/>
    <w:rsid w:val="007429CD"/>
    <w:rsid w:val="00743BAC"/>
    <w:rsid w:val="00744239"/>
    <w:rsid w:val="00745929"/>
    <w:rsid w:val="00745D3D"/>
    <w:rsid w:val="0074609C"/>
    <w:rsid w:val="007463A4"/>
    <w:rsid w:val="007464B3"/>
    <w:rsid w:val="0074659F"/>
    <w:rsid w:val="007465A0"/>
    <w:rsid w:val="00746975"/>
    <w:rsid w:val="007471AC"/>
    <w:rsid w:val="0074762D"/>
    <w:rsid w:val="007478C4"/>
    <w:rsid w:val="00747DAE"/>
    <w:rsid w:val="00750834"/>
    <w:rsid w:val="00750B63"/>
    <w:rsid w:val="0075143A"/>
    <w:rsid w:val="007515A7"/>
    <w:rsid w:val="00751701"/>
    <w:rsid w:val="00752283"/>
    <w:rsid w:val="00752CF6"/>
    <w:rsid w:val="007537F0"/>
    <w:rsid w:val="0075620A"/>
    <w:rsid w:val="007564AD"/>
    <w:rsid w:val="00756774"/>
    <w:rsid w:val="007567AF"/>
    <w:rsid w:val="00756D52"/>
    <w:rsid w:val="00756F4F"/>
    <w:rsid w:val="00757737"/>
    <w:rsid w:val="00757CC9"/>
    <w:rsid w:val="007600FA"/>
    <w:rsid w:val="007604EA"/>
    <w:rsid w:val="00760C4E"/>
    <w:rsid w:val="0076277A"/>
    <w:rsid w:val="00762905"/>
    <w:rsid w:val="00762F05"/>
    <w:rsid w:val="00763236"/>
    <w:rsid w:val="007637E3"/>
    <w:rsid w:val="00764E85"/>
    <w:rsid w:val="00767FA3"/>
    <w:rsid w:val="00772089"/>
    <w:rsid w:val="00773C85"/>
    <w:rsid w:val="00775231"/>
    <w:rsid w:val="007755D8"/>
    <w:rsid w:val="00775AA1"/>
    <w:rsid w:val="00776496"/>
    <w:rsid w:val="007766B4"/>
    <w:rsid w:val="007770CE"/>
    <w:rsid w:val="007772A8"/>
    <w:rsid w:val="00780034"/>
    <w:rsid w:val="007802B0"/>
    <w:rsid w:val="00780352"/>
    <w:rsid w:val="00780393"/>
    <w:rsid w:val="00780BE9"/>
    <w:rsid w:val="00780C5C"/>
    <w:rsid w:val="00781EDC"/>
    <w:rsid w:val="007823F5"/>
    <w:rsid w:val="00783B27"/>
    <w:rsid w:val="00784E22"/>
    <w:rsid w:val="00785758"/>
    <w:rsid w:val="00787A82"/>
    <w:rsid w:val="00787C16"/>
    <w:rsid w:val="00791025"/>
    <w:rsid w:val="00791F64"/>
    <w:rsid w:val="007920E2"/>
    <w:rsid w:val="00792658"/>
    <w:rsid w:val="0079278D"/>
    <w:rsid w:val="00792EC2"/>
    <w:rsid w:val="007934E0"/>
    <w:rsid w:val="00793894"/>
    <w:rsid w:val="00794133"/>
    <w:rsid w:val="00794241"/>
    <w:rsid w:val="00794452"/>
    <w:rsid w:val="007944BB"/>
    <w:rsid w:val="00794B36"/>
    <w:rsid w:val="00794BF3"/>
    <w:rsid w:val="00795301"/>
    <w:rsid w:val="00795F07"/>
    <w:rsid w:val="00796745"/>
    <w:rsid w:val="00796A89"/>
    <w:rsid w:val="00796B36"/>
    <w:rsid w:val="00796EFF"/>
    <w:rsid w:val="007A079D"/>
    <w:rsid w:val="007A125D"/>
    <w:rsid w:val="007A1F8F"/>
    <w:rsid w:val="007A201A"/>
    <w:rsid w:val="007A288E"/>
    <w:rsid w:val="007A364B"/>
    <w:rsid w:val="007A3BE5"/>
    <w:rsid w:val="007A41AB"/>
    <w:rsid w:val="007A4719"/>
    <w:rsid w:val="007A481C"/>
    <w:rsid w:val="007A6915"/>
    <w:rsid w:val="007A750B"/>
    <w:rsid w:val="007A7A9D"/>
    <w:rsid w:val="007A7D0D"/>
    <w:rsid w:val="007A7F7E"/>
    <w:rsid w:val="007B1F26"/>
    <w:rsid w:val="007B2CF7"/>
    <w:rsid w:val="007B3562"/>
    <w:rsid w:val="007B4513"/>
    <w:rsid w:val="007B54FC"/>
    <w:rsid w:val="007B5AB6"/>
    <w:rsid w:val="007B6240"/>
    <w:rsid w:val="007B645B"/>
    <w:rsid w:val="007B67E2"/>
    <w:rsid w:val="007B724F"/>
    <w:rsid w:val="007B79F5"/>
    <w:rsid w:val="007B7AD4"/>
    <w:rsid w:val="007B7C4C"/>
    <w:rsid w:val="007B7CD6"/>
    <w:rsid w:val="007C00FB"/>
    <w:rsid w:val="007C1651"/>
    <w:rsid w:val="007C19F9"/>
    <w:rsid w:val="007C30E8"/>
    <w:rsid w:val="007C3428"/>
    <w:rsid w:val="007C4118"/>
    <w:rsid w:val="007C4396"/>
    <w:rsid w:val="007C44A2"/>
    <w:rsid w:val="007C44AB"/>
    <w:rsid w:val="007C4A7F"/>
    <w:rsid w:val="007C5C67"/>
    <w:rsid w:val="007C5D44"/>
    <w:rsid w:val="007C7682"/>
    <w:rsid w:val="007C772B"/>
    <w:rsid w:val="007C7B59"/>
    <w:rsid w:val="007C7E5D"/>
    <w:rsid w:val="007C7EEA"/>
    <w:rsid w:val="007D065F"/>
    <w:rsid w:val="007D0784"/>
    <w:rsid w:val="007D2870"/>
    <w:rsid w:val="007D36E2"/>
    <w:rsid w:val="007D41A0"/>
    <w:rsid w:val="007D4685"/>
    <w:rsid w:val="007D4E2B"/>
    <w:rsid w:val="007D570B"/>
    <w:rsid w:val="007D578F"/>
    <w:rsid w:val="007D6345"/>
    <w:rsid w:val="007D68BE"/>
    <w:rsid w:val="007D7B3F"/>
    <w:rsid w:val="007D7E22"/>
    <w:rsid w:val="007E0715"/>
    <w:rsid w:val="007E0D2D"/>
    <w:rsid w:val="007E1652"/>
    <w:rsid w:val="007E17CD"/>
    <w:rsid w:val="007E1E7C"/>
    <w:rsid w:val="007E20C2"/>
    <w:rsid w:val="007E21EA"/>
    <w:rsid w:val="007E23C3"/>
    <w:rsid w:val="007E248D"/>
    <w:rsid w:val="007E27CE"/>
    <w:rsid w:val="007E2C0B"/>
    <w:rsid w:val="007E346F"/>
    <w:rsid w:val="007E463A"/>
    <w:rsid w:val="007E47AF"/>
    <w:rsid w:val="007E4967"/>
    <w:rsid w:val="007E4973"/>
    <w:rsid w:val="007E4DB2"/>
    <w:rsid w:val="007E5110"/>
    <w:rsid w:val="007E5C7B"/>
    <w:rsid w:val="007E6112"/>
    <w:rsid w:val="007F1AAF"/>
    <w:rsid w:val="007F25E3"/>
    <w:rsid w:val="007F2EC0"/>
    <w:rsid w:val="007F2F14"/>
    <w:rsid w:val="007F3365"/>
    <w:rsid w:val="007F36ED"/>
    <w:rsid w:val="007F38D4"/>
    <w:rsid w:val="007F45C5"/>
    <w:rsid w:val="007F4C0B"/>
    <w:rsid w:val="007F50F8"/>
    <w:rsid w:val="007F513A"/>
    <w:rsid w:val="007F632A"/>
    <w:rsid w:val="007F75F3"/>
    <w:rsid w:val="007F7C57"/>
    <w:rsid w:val="007F7EBD"/>
    <w:rsid w:val="0080021B"/>
    <w:rsid w:val="00800874"/>
    <w:rsid w:val="008018B8"/>
    <w:rsid w:val="008018DE"/>
    <w:rsid w:val="00801DA4"/>
    <w:rsid w:val="00801F93"/>
    <w:rsid w:val="0080221C"/>
    <w:rsid w:val="0080308F"/>
    <w:rsid w:val="0080317F"/>
    <w:rsid w:val="00803A03"/>
    <w:rsid w:val="00804098"/>
    <w:rsid w:val="008059B7"/>
    <w:rsid w:val="00805C18"/>
    <w:rsid w:val="0080657A"/>
    <w:rsid w:val="00806BAB"/>
    <w:rsid w:val="00806CA7"/>
    <w:rsid w:val="0080718E"/>
    <w:rsid w:val="0080729F"/>
    <w:rsid w:val="0080732D"/>
    <w:rsid w:val="0081015B"/>
    <w:rsid w:val="00810717"/>
    <w:rsid w:val="008109C1"/>
    <w:rsid w:val="00810B82"/>
    <w:rsid w:val="00811896"/>
    <w:rsid w:val="00812B5E"/>
    <w:rsid w:val="00813146"/>
    <w:rsid w:val="008145EE"/>
    <w:rsid w:val="0081461A"/>
    <w:rsid w:val="0081562A"/>
    <w:rsid w:val="008156D5"/>
    <w:rsid w:val="00815728"/>
    <w:rsid w:val="00816C5B"/>
    <w:rsid w:val="00816F18"/>
    <w:rsid w:val="00817240"/>
    <w:rsid w:val="00817E2B"/>
    <w:rsid w:val="00820022"/>
    <w:rsid w:val="0082051D"/>
    <w:rsid w:val="0082134C"/>
    <w:rsid w:val="00821A73"/>
    <w:rsid w:val="008229FD"/>
    <w:rsid w:val="00822F53"/>
    <w:rsid w:val="00823C27"/>
    <w:rsid w:val="0082476D"/>
    <w:rsid w:val="008250CF"/>
    <w:rsid w:val="0082533B"/>
    <w:rsid w:val="00825891"/>
    <w:rsid w:val="00825E24"/>
    <w:rsid w:val="008275EA"/>
    <w:rsid w:val="008275F6"/>
    <w:rsid w:val="00830322"/>
    <w:rsid w:val="00830B68"/>
    <w:rsid w:val="008317B9"/>
    <w:rsid w:val="00832A44"/>
    <w:rsid w:val="0083324B"/>
    <w:rsid w:val="00833478"/>
    <w:rsid w:val="00833CED"/>
    <w:rsid w:val="00834640"/>
    <w:rsid w:val="00834FA1"/>
    <w:rsid w:val="008353F9"/>
    <w:rsid w:val="008357C6"/>
    <w:rsid w:val="00835A65"/>
    <w:rsid w:val="008362E1"/>
    <w:rsid w:val="0083663D"/>
    <w:rsid w:val="00837A26"/>
    <w:rsid w:val="00837E20"/>
    <w:rsid w:val="00840179"/>
    <w:rsid w:val="0084030E"/>
    <w:rsid w:val="008409C5"/>
    <w:rsid w:val="00840C9F"/>
    <w:rsid w:val="00841BD1"/>
    <w:rsid w:val="00841DDA"/>
    <w:rsid w:val="00842197"/>
    <w:rsid w:val="008422FC"/>
    <w:rsid w:val="00842406"/>
    <w:rsid w:val="008433E9"/>
    <w:rsid w:val="00843FCD"/>
    <w:rsid w:val="00844126"/>
    <w:rsid w:val="00845AAD"/>
    <w:rsid w:val="00845F2E"/>
    <w:rsid w:val="00846161"/>
    <w:rsid w:val="008462E3"/>
    <w:rsid w:val="0084632B"/>
    <w:rsid w:val="00846599"/>
    <w:rsid w:val="0084676A"/>
    <w:rsid w:val="00846A08"/>
    <w:rsid w:val="00846A87"/>
    <w:rsid w:val="00846AB5"/>
    <w:rsid w:val="008472AE"/>
    <w:rsid w:val="0084786E"/>
    <w:rsid w:val="00847FE7"/>
    <w:rsid w:val="008506D6"/>
    <w:rsid w:val="0085189F"/>
    <w:rsid w:val="00852669"/>
    <w:rsid w:val="00852A27"/>
    <w:rsid w:val="00852CC5"/>
    <w:rsid w:val="00853967"/>
    <w:rsid w:val="00853F12"/>
    <w:rsid w:val="00854875"/>
    <w:rsid w:val="00854D31"/>
    <w:rsid w:val="00854D5D"/>
    <w:rsid w:val="0085504D"/>
    <w:rsid w:val="00856E71"/>
    <w:rsid w:val="0085780B"/>
    <w:rsid w:val="008579B6"/>
    <w:rsid w:val="008601E5"/>
    <w:rsid w:val="00860635"/>
    <w:rsid w:val="00860CE2"/>
    <w:rsid w:val="00860D2E"/>
    <w:rsid w:val="0086176E"/>
    <w:rsid w:val="00862271"/>
    <w:rsid w:val="008624A3"/>
    <w:rsid w:val="0086340E"/>
    <w:rsid w:val="008639E9"/>
    <w:rsid w:val="0086488D"/>
    <w:rsid w:val="00864897"/>
    <w:rsid w:val="00865A29"/>
    <w:rsid w:val="00866035"/>
    <w:rsid w:val="0086636E"/>
    <w:rsid w:val="00866BD9"/>
    <w:rsid w:val="00867E1B"/>
    <w:rsid w:val="00870897"/>
    <w:rsid w:val="00870D3F"/>
    <w:rsid w:val="00871A01"/>
    <w:rsid w:val="00871A98"/>
    <w:rsid w:val="00871EEB"/>
    <w:rsid w:val="00872613"/>
    <w:rsid w:val="00872CFC"/>
    <w:rsid w:val="008733F0"/>
    <w:rsid w:val="008752F1"/>
    <w:rsid w:val="008753C4"/>
    <w:rsid w:val="00875446"/>
    <w:rsid w:val="0087552D"/>
    <w:rsid w:val="008759F7"/>
    <w:rsid w:val="00875E70"/>
    <w:rsid w:val="00876259"/>
    <w:rsid w:val="00876352"/>
    <w:rsid w:val="00880470"/>
    <w:rsid w:val="00880A9E"/>
    <w:rsid w:val="008821AC"/>
    <w:rsid w:val="008823C5"/>
    <w:rsid w:val="0088261C"/>
    <w:rsid w:val="008844E7"/>
    <w:rsid w:val="008866C7"/>
    <w:rsid w:val="00886C3F"/>
    <w:rsid w:val="00887CF5"/>
    <w:rsid w:val="00887E3A"/>
    <w:rsid w:val="00890191"/>
    <w:rsid w:val="00890795"/>
    <w:rsid w:val="008909C5"/>
    <w:rsid w:val="00890F43"/>
    <w:rsid w:val="00891056"/>
    <w:rsid w:val="0089110D"/>
    <w:rsid w:val="008922E8"/>
    <w:rsid w:val="008925BD"/>
    <w:rsid w:val="00892F7E"/>
    <w:rsid w:val="0089395D"/>
    <w:rsid w:val="0089459A"/>
    <w:rsid w:val="008948BC"/>
    <w:rsid w:val="00894A0A"/>
    <w:rsid w:val="00895509"/>
    <w:rsid w:val="00895C3D"/>
    <w:rsid w:val="008964A8"/>
    <w:rsid w:val="00897986"/>
    <w:rsid w:val="008A0380"/>
    <w:rsid w:val="008A2505"/>
    <w:rsid w:val="008A2E70"/>
    <w:rsid w:val="008A333C"/>
    <w:rsid w:val="008A358A"/>
    <w:rsid w:val="008A4465"/>
    <w:rsid w:val="008A454A"/>
    <w:rsid w:val="008A4EEA"/>
    <w:rsid w:val="008A545A"/>
    <w:rsid w:val="008A5580"/>
    <w:rsid w:val="008A558A"/>
    <w:rsid w:val="008A5C31"/>
    <w:rsid w:val="008A5F06"/>
    <w:rsid w:val="008A62DC"/>
    <w:rsid w:val="008A668A"/>
    <w:rsid w:val="008A7F14"/>
    <w:rsid w:val="008B01A2"/>
    <w:rsid w:val="008B0B84"/>
    <w:rsid w:val="008B1C0D"/>
    <w:rsid w:val="008B3F6C"/>
    <w:rsid w:val="008B40F4"/>
    <w:rsid w:val="008B4BBA"/>
    <w:rsid w:val="008B5D26"/>
    <w:rsid w:val="008B5E0E"/>
    <w:rsid w:val="008B61E4"/>
    <w:rsid w:val="008B63E1"/>
    <w:rsid w:val="008B7F1D"/>
    <w:rsid w:val="008C0627"/>
    <w:rsid w:val="008C0F90"/>
    <w:rsid w:val="008C13E7"/>
    <w:rsid w:val="008C1402"/>
    <w:rsid w:val="008C1468"/>
    <w:rsid w:val="008C20E7"/>
    <w:rsid w:val="008C2650"/>
    <w:rsid w:val="008C294D"/>
    <w:rsid w:val="008C2EDB"/>
    <w:rsid w:val="008C36E6"/>
    <w:rsid w:val="008C3760"/>
    <w:rsid w:val="008C37B1"/>
    <w:rsid w:val="008C4FB2"/>
    <w:rsid w:val="008C5221"/>
    <w:rsid w:val="008C58C6"/>
    <w:rsid w:val="008C62AC"/>
    <w:rsid w:val="008C69BC"/>
    <w:rsid w:val="008C7609"/>
    <w:rsid w:val="008C7F9D"/>
    <w:rsid w:val="008D0536"/>
    <w:rsid w:val="008D18CD"/>
    <w:rsid w:val="008D18E5"/>
    <w:rsid w:val="008D1BD5"/>
    <w:rsid w:val="008D25E9"/>
    <w:rsid w:val="008D2741"/>
    <w:rsid w:val="008D2902"/>
    <w:rsid w:val="008D2CA7"/>
    <w:rsid w:val="008D2D2D"/>
    <w:rsid w:val="008D2E9E"/>
    <w:rsid w:val="008D2ED1"/>
    <w:rsid w:val="008D31D9"/>
    <w:rsid w:val="008D35F4"/>
    <w:rsid w:val="008D36A5"/>
    <w:rsid w:val="008D4671"/>
    <w:rsid w:val="008D5484"/>
    <w:rsid w:val="008D5BB6"/>
    <w:rsid w:val="008D7208"/>
    <w:rsid w:val="008D76B9"/>
    <w:rsid w:val="008D78DE"/>
    <w:rsid w:val="008E0C07"/>
    <w:rsid w:val="008E1908"/>
    <w:rsid w:val="008E2184"/>
    <w:rsid w:val="008E21F0"/>
    <w:rsid w:val="008E2576"/>
    <w:rsid w:val="008E2F23"/>
    <w:rsid w:val="008E36A9"/>
    <w:rsid w:val="008E3E83"/>
    <w:rsid w:val="008E3F43"/>
    <w:rsid w:val="008E4016"/>
    <w:rsid w:val="008E47AD"/>
    <w:rsid w:val="008E5358"/>
    <w:rsid w:val="008E5B87"/>
    <w:rsid w:val="008E5F13"/>
    <w:rsid w:val="008E6A85"/>
    <w:rsid w:val="008E6C80"/>
    <w:rsid w:val="008E73E6"/>
    <w:rsid w:val="008E77F8"/>
    <w:rsid w:val="008E7C19"/>
    <w:rsid w:val="008E7FC7"/>
    <w:rsid w:val="008F01F2"/>
    <w:rsid w:val="008F0306"/>
    <w:rsid w:val="008F0797"/>
    <w:rsid w:val="008F07AA"/>
    <w:rsid w:val="008F100C"/>
    <w:rsid w:val="008F1B27"/>
    <w:rsid w:val="008F1D84"/>
    <w:rsid w:val="008F21E1"/>
    <w:rsid w:val="008F2325"/>
    <w:rsid w:val="008F259A"/>
    <w:rsid w:val="008F266D"/>
    <w:rsid w:val="008F3055"/>
    <w:rsid w:val="008F3C4D"/>
    <w:rsid w:val="008F44A3"/>
    <w:rsid w:val="008F56AB"/>
    <w:rsid w:val="00900A10"/>
    <w:rsid w:val="00900BCD"/>
    <w:rsid w:val="00900FDF"/>
    <w:rsid w:val="00901496"/>
    <w:rsid w:val="00901632"/>
    <w:rsid w:val="00901BFE"/>
    <w:rsid w:val="0090224B"/>
    <w:rsid w:val="00902382"/>
    <w:rsid w:val="00902666"/>
    <w:rsid w:val="00902D05"/>
    <w:rsid w:val="0090341A"/>
    <w:rsid w:val="009050FD"/>
    <w:rsid w:val="009057AF"/>
    <w:rsid w:val="00905896"/>
    <w:rsid w:val="00906F50"/>
    <w:rsid w:val="00907565"/>
    <w:rsid w:val="009077AD"/>
    <w:rsid w:val="00907F0C"/>
    <w:rsid w:val="00910D28"/>
    <w:rsid w:val="009126EB"/>
    <w:rsid w:val="009156FD"/>
    <w:rsid w:val="009163D5"/>
    <w:rsid w:val="009163F0"/>
    <w:rsid w:val="00916AEE"/>
    <w:rsid w:val="00916C4B"/>
    <w:rsid w:val="009171EB"/>
    <w:rsid w:val="00917AFD"/>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4C04"/>
    <w:rsid w:val="00926482"/>
    <w:rsid w:val="0092699B"/>
    <w:rsid w:val="009270E7"/>
    <w:rsid w:val="00927B92"/>
    <w:rsid w:val="00927C08"/>
    <w:rsid w:val="009316AF"/>
    <w:rsid w:val="00931794"/>
    <w:rsid w:val="009321D4"/>
    <w:rsid w:val="0093269A"/>
    <w:rsid w:val="0093289A"/>
    <w:rsid w:val="0093374B"/>
    <w:rsid w:val="00934810"/>
    <w:rsid w:val="00935019"/>
    <w:rsid w:val="009354B7"/>
    <w:rsid w:val="00935925"/>
    <w:rsid w:val="00935934"/>
    <w:rsid w:val="009360C7"/>
    <w:rsid w:val="00936498"/>
    <w:rsid w:val="009371D5"/>
    <w:rsid w:val="00937854"/>
    <w:rsid w:val="00937999"/>
    <w:rsid w:val="00940368"/>
    <w:rsid w:val="00940E3C"/>
    <w:rsid w:val="00941441"/>
    <w:rsid w:val="00941ADC"/>
    <w:rsid w:val="00942213"/>
    <w:rsid w:val="00942275"/>
    <w:rsid w:val="00942322"/>
    <w:rsid w:val="00943286"/>
    <w:rsid w:val="009439DE"/>
    <w:rsid w:val="00943E7A"/>
    <w:rsid w:val="00943EC3"/>
    <w:rsid w:val="00944334"/>
    <w:rsid w:val="00944683"/>
    <w:rsid w:val="00944C70"/>
    <w:rsid w:val="00944EC2"/>
    <w:rsid w:val="009451DF"/>
    <w:rsid w:val="0094530B"/>
    <w:rsid w:val="0094595F"/>
    <w:rsid w:val="009459F3"/>
    <w:rsid w:val="00945B4D"/>
    <w:rsid w:val="00946069"/>
    <w:rsid w:val="0094636C"/>
    <w:rsid w:val="00947BD5"/>
    <w:rsid w:val="00947FC8"/>
    <w:rsid w:val="009508AB"/>
    <w:rsid w:val="00950D22"/>
    <w:rsid w:val="00951306"/>
    <w:rsid w:val="009518A8"/>
    <w:rsid w:val="009518B5"/>
    <w:rsid w:val="009518BA"/>
    <w:rsid w:val="00951DD8"/>
    <w:rsid w:val="00951F50"/>
    <w:rsid w:val="00952BD2"/>
    <w:rsid w:val="00952E8E"/>
    <w:rsid w:val="00953054"/>
    <w:rsid w:val="00953F2F"/>
    <w:rsid w:val="0095438C"/>
    <w:rsid w:val="00954A7A"/>
    <w:rsid w:val="0095558B"/>
    <w:rsid w:val="009556BE"/>
    <w:rsid w:val="00955B8A"/>
    <w:rsid w:val="0095644E"/>
    <w:rsid w:val="00956614"/>
    <w:rsid w:val="00956B3C"/>
    <w:rsid w:val="0095761E"/>
    <w:rsid w:val="0096026E"/>
    <w:rsid w:val="009605A8"/>
    <w:rsid w:val="00960661"/>
    <w:rsid w:val="009606E1"/>
    <w:rsid w:val="00960A57"/>
    <w:rsid w:val="009612CC"/>
    <w:rsid w:val="0096214F"/>
    <w:rsid w:val="00962C8E"/>
    <w:rsid w:val="00963169"/>
    <w:rsid w:val="00963500"/>
    <w:rsid w:val="009639EB"/>
    <w:rsid w:val="00963D9D"/>
    <w:rsid w:val="009640B3"/>
    <w:rsid w:val="00965DD0"/>
    <w:rsid w:val="00966AAD"/>
    <w:rsid w:val="00967118"/>
    <w:rsid w:val="00967423"/>
    <w:rsid w:val="009674F1"/>
    <w:rsid w:val="00967F95"/>
    <w:rsid w:val="00970038"/>
    <w:rsid w:val="00971147"/>
    <w:rsid w:val="00971808"/>
    <w:rsid w:val="00972453"/>
    <w:rsid w:val="00972953"/>
    <w:rsid w:val="00972FC9"/>
    <w:rsid w:val="0097314A"/>
    <w:rsid w:val="00973346"/>
    <w:rsid w:val="00973C42"/>
    <w:rsid w:val="00974A7B"/>
    <w:rsid w:val="00974D4C"/>
    <w:rsid w:val="00974E53"/>
    <w:rsid w:val="0097523E"/>
    <w:rsid w:val="0097640B"/>
    <w:rsid w:val="00976459"/>
    <w:rsid w:val="009766C0"/>
    <w:rsid w:val="00976E89"/>
    <w:rsid w:val="00976EBD"/>
    <w:rsid w:val="009775B8"/>
    <w:rsid w:val="00977931"/>
    <w:rsid w:val="00977A3E"/>
    <w:rsid w:val="009805D4"/>
    <w:rsid w:val="00980891"/>
    <w:rsid w:val="00980D0A"/>
    <w:rsid w:val="00981047"/>
    <w:rsid w:val="009813BD"/>
    <w:rsid w:val="009814B4"/>
    <w:rsid w:val="00981F22"/>
    <w:rsid w:val="0098380C"/>
    <w:rsid w:val="00983CC9"/>
    <w:rsid w:val="0098409B"/>
    <w:rsid w:val="009844CE"/>
    <w:rsid w:val="00984765"/>
    <w:rsid w:val="0098656C"/>
    <w:rsid w:val="009866F5"/>
    <w:rsid w:val="00987885"/>
    <w:rsid w:val="00990343"/>
    <w:rsid w:val="00991899"/>
    <w:rsid w:val="00991A4B"/>
    <w:rsid w:val="0099209B"/>
    <w:rsid w:val="009930A6"/>
    <w:rsid w:val="009931A2"/>
    <w:rsid w:val="00993417"/>
    <w:rsid w:val="00993482"/>
    <w:rsid w:val="0099428D"/>
    <w:rsid w:val="009942B7"/>
    <w:rsid w:val="0099457B"/>
    <w:rsid w:val="00995053"/>
    <w:rsid w:val="00997030"/>
    <w:rsid w:val="009970CB"/>
    <w:rsid w:val="009A1B0B"/>
    <w:rsid w:val="009A20B6"/>
    <w:rsid w:val="009A2A59"/>
    <w:rsid w:val="009A2CE3"/>
    <w:rsid w:val="009A316D"/>
    <w:rsid w:val="009A3310"/>
    <w:rsid w:val="009A33C9"/>
    <w:rsid w:val="009A3D10"/>
    <w:rsid w:val="009A4135"/>
    <w:rsid w:val="009A4262"/>
    <w:rsid w:val="009A4322"/>
    <w:rsid w:val="009A4BA7"/>
    <w:rsid w:val="009A4C12"/>
    <w:rsid w:val="009A5C36"/>
    <w:rsid w:val="009A63DA"/>
    <w:rsid w:val="009A6A4D"/>
    <w:rsid w:val="009A7A20"/>
    <w:rsid w:val="009A7B0C"/>
    <w:rsid w:val="009B0042"/>
    <w:rsid w:val="009B02C0"/>
    <w:rsid w:val="009B11B8"/>
    <w:rsid w:val="009B18D9"/>
    <w:rsid w:val="009B2E09"/>
    <w:rsid w:val="009B2E1F"/>
    <w:rsid w:val="009B35FB"/>
    <w:rsid w:val="009B3EE7"/>
    <w:rsid w:val="009B4835"/>
    <w:rsid w:val="009B5915"/>
    <w:rsid w:val="009B6773"/>
    <w:rsid w:val="009B6CEE"/>
    <w:rsid w:val="009B6EE8"/>
    <w:rsid w:val="009B7227"/>
    <w:rsid w:val="009B76E6"/>
    <w:rsid w:val="009B7D4E"/>
    <w:rsid w:val="009C10AE"/>
    <w:rsid w:val="009C1670"/>
    <w:rsid w:val="009C1E67"/>
    <w:rsid w:val="009C271C"/>
    <w:rsid w:val="009C2AAF"/>
    <w:rsid w:val="009C2F43"/>
    <w:rsid w:val="009C2FB1"/>
    <w:rsid w:val="009C36C7"/>
    <w:rsid w:val="009C3C29"/>
    <w:rsid w:val="009C4403"/>
    <w:rsid w:val="009C4835"/>
    <w:rsid w:val="009C4B0B"/>
    <w:rsid w:val="009C5656"/>
    <w:rsid w:val="009C5B47"/>
    <w:rsid w:val="009C71B7"/>
    <w:rsid w:val="009C736E"/>
    <w:rsid w:val="009C74CF"/>
    <w:rsid w:val="009C7D17"/>
    <w:rsid w:val="009C7F68"/>
    <w:rsid w:val="009D0164"/>
    <w:rsid w:val="009D047B"/>
    <w:rsid w:val="009D07A1"/>
    <w:rsid w:val="009D1620"/>
    <w:rsid w:val="009D2D33"/>
    <w:rsid w:val="009D3C71"/>
    <w:rsid w:val="009D4052"/>
    <w:rsid w:val="009D5028"/>
    <w:rsid w:val="009D506D"/>
    <w:rsid w:val="009D6A77"/>
    <w:rsid w:val="009D71A0"/>
    <w:rsid w:val="009E02DF"/>
    <w:rsid w:val="009E0A4D"/>
    <w:rsid w:val="009E16DD"/>
    <w:rsid w:val="009E2C59"/>
    <w:rsid w:val="009E2EBD"/>
    <w:rsid w:val="009E370D"/>
    <w:rsid w:val="009E3821"/>
    <w:rsid w:val="009E3B60"/>
    <w:rsid w:val="009E3E06"/>
    <w:rsid w:val="009E4278"/>
    <w:rsid w:val="009E45D6"/>
    <w:rsid w:val="009E52E3"/>
    <w:rsid w:val="009E5E8F"/>
    <w:rsid w:val="009E6312"/>
    <w:rsid w:val="009E64D4"/>
    <w:rsid w:val="009E6631"/>
    <w:rsid w:val="009E6966"/>
    <w:rsid w:val="009E6E90"/>
    <w:rsid w:val="009E7458"/>
    <w:rsid w:val="009E7707"/>
    <w:rsid w:val="009E7A4F"/>
    <w:rsid w:val="009E7E8E"/>
    <w:rsid w:val="009F03AB"/>
    <w:rsid w:val="009F0E57"/>
    <w:rsid w:val="009F11E2"/>
    <w:rsid w:val="009F2133"/>
    <w:rsid w:val="009F3276"/>
    <w:rsid w:val="009F4162"/>
    <w:rsid w:val="009F4434"/>
    <w:rsid w:val="009F469B"/>
    <w:rsid w:val="009F5780"/>
    <w:rsid w:val="009F57B2"/>
    <w:rsid w:val="009F5C17"/>
    <w:rsid w:val="009F62D5"/>
    <w:rsid w:val="009F6390"/>
    <w:rsid w:val="009F63C2"/>
    <w:rsid w:val="009F776F"/>
    <w:rsid w:val="00A00052"/>
    <w:rsid w:val="00A007DC"/>
    <w:rsid w:val="00A012CD"/>
    <w:rsid w:val="00A01410"/>
    <w:rsid w:val="00A014F7"/>
    <w:rsid w:val="00A025D9"/>
    <w:rsid w:val="00A02E67"/>
    <w:rsid w:val="00A034F5"/>
    <w:rsid w:val="00A03A6C"/>
    <w:rsid w:val="00A0502C"/>
    <w:rsid w:val="00A054F9"/>
    <w:rsid w:val="00A056ED"/>
    <w:rsid w:val="00A057EC"/>
    <w:rsid w:val="00A06F0F"/>
    <w:rsid w:val="00A073E1"/>
    <w:rsid w:val="00A10187"/>
    <w:rsid w:val="00A103F5"/>
    <w:rsid w:val="00A108F2"/>
    <w:rsid w:val="00A117AE"/>
    <w:rsid w:val="00A11D0D"/>
    <w:rsid w:val="00A11F1D"/>
    <w:rsid w:val="00A11FA2"/>
    <w:rsid w:val="00A160C7"/>
    <w:rsid w:val="00A20CD4"/>
    <w:rsid w:val="00A21596"/>
    <w:rsid w:val="00A215FB"/>
    <w:rsid w:val="00A234A7"/>
    <w:rsid w:val="00A236C0"/>
    <w:rsid w:val="00A23742"/>
    <w:rsid w:val="00A23D28"/>
    <w:rsid w:val="00A243AF"/>
    <w:rsid w:val="00A24904"/>
    <w:rsid w:val="00A24B33"/>
    <w:rsid w:val="00A263D7"/>
    <w:rsid w:val="00A26A42"/>
    <w:rsid w:val="00A26E7B"/>
    <w:rsid w:val="00A27BB8"/>
    <w:rsid w:val="00A303EA"/>
    <w:rsid w:val="00A30E12"/>
    <w:rsid w:val="00A30F39"/>
    <w:rsid w:val="00A314DC"/>
    <w:rsid w:val="00A317A1"/>
    <w:rsid w:val="00A31873"/>
    <w:rsid w:val="00A320BC"/>
    <w:rsid w:val="00A3271C"/>
    <w:rsid w:val="00A32B89"/>
    <w:rsid w:val="00A32F3A"/>
    <w:rsid w:val="00A33158"/>
    <w:rsid w:val="00A3391A"/>
    <w:rsid w:val="00A33C21"/>
    <w:rsid w:val="00A33F3F"/>
    <w:rsid w:val="00A3418C"/>
    <w:rsid w:val="00A346D8"/>
    <w:rsid w:val="00A34BA7"/>
    <w:rsid w:val="00A35666"/>
    <w:rsid w:val="00A35C68"/>
    <w:rsid w:val="00A35E3A"/>
    <w:rsid w:val="00A35FDD"/>
    <w:rsid w:val="00A370C3"/>
    <w:rsid w:val="00A375FB"/>
    <w:rsid w:val="00A3794D"/>
    <w:rsid w:val="00A40438"/>
    <w:rsid w:val="00A40AAA"/>
    <w:rsid w:val="00A40BE4"/>
    <w:rsid w:val="00A40CC7"/>
    <w:rsid w:val="00A40F34"/>
    <w:rsid w:val="00A41D62"/>
    <w:rsid w:val="00A429E9"/>
    <w:rsid w:val="00A43AE2"/>
    <w:rsid w:val="00A43B37"/>
    <w:rsid w:val="00A441EB"/>
    <w:rsid w:val="00A4460A"/>
    <w:rsid w:val="00A44B98"/>
    <w:rsid w:val="00A45302"/>
    <w:rsid w:val="00A45FAF"/>
    <w:rsid w:val="00A4630E"/>
    <w:rsid w:val="00A4679D"/>
    <w:rsid w:val="00A473EB"/>
    <w:rsid w:val="00A47536"/>
    <w:rsid w:val="00A47A60"/>
    <w:rsid w:val="00A47E67"/>
    <w:rsid w:val="00A47E7A"/>
    <w:rsid w:val="00A503B2"/>
    <w:rsid w:val="00A51E13"/>
    <w:rsid w:val="00A51FC0"/>
    <w:rsid w:val="00A52817"/>
    <w:rsid w:val="00A52BAB"/>
    <w:rsid w:val="00A52EA5"/>
    <w:rsid w:val="00A53BE7"/>
    <w:rsid w:val="00A54BC8"/>
    <w:rsid w:val="00A552A1"/>
    <w:rsid w:val="00A55841"/>
    <w:rsid w:val="00A56C15"/>
    <w:rsid w:val="00A56FAE"/>
    <w:rsid w:val="00A57FAA"/>
    <w:rsid w:val="00A57FBC"/>
    <w:rsid w:val="00A606A1"/>
    <w:rsid w:val="00A60D1E"/>
    <w:rsid w:val="00A60E90"/>
    <w:rsid w:val="00A63102"/>
    <w:rsid w:val="00A63366"/>
    <w:rsid w:val="00A63422"/>
    <w:rsid w:val="00A64217"/>
    <w:rsid w:val="00A647DF"/>
    <w:rsid w:val="00A64D4E"/>
    <w:rsid w:val="00A6544B"/>
    <w:rsid w:val="00A65DFA"/>
    <w:rsid w:val="00A66D0B"/>
    <w:rsid w:val="00A700C9"/>
    <w:rsid w:val="00A70388"/>
    <w:rsid w:val="00A7067C"/>
    <w:rsid w:val="00A726D6"/>
    <w:rsid w:val="00A745E3"/>
    <w:rsid w:val="00A75204"/>
    <w:rsid w:val="00A76264"/>
    <w:rsid w:val="00A76883"/>
    <w:rsid w:val="00A76D23"/>
    <w:rsid w:val="00A77C13"/>
    <w:rsid w:val="00A8151A"/>
    <w:rsid w:val="00A81FEF"/>
    <w:rsid w:val="00A82269"/>
    <w:rsid w:val="00A826AA"/>
    <w:rsid w:val="00A826B6"/>
    <w:rsid w:val="00A830E9"/>
    <w:rsid w:val="00A850BE"/>
    <w:rsid w:val="00A87636"/>
    <w:rsid w:val="00A87ED7"/>
    <w:rsid w:val="00A9073E"/>
    <w:rsid w:val="00A91AE9"/>
    <w:rsid w:val="00A92C8C"/>
    <w:rsid w:val="00A93B92"/>
    <w:rsid w:val="00A93EAA"/>
    <w:rsid w:val="00A9464A"/>
    <w:rsid w:val="00A9470B"/>
    <w:rsid w:val="00A94720"/>
    <w:rsid w:val="00A96306"/>
    <w:rsid w:val="00A9665B"/>
    <w:rsid w:val="00A9734B"/>
    <w:rsid w:val="00A97E1D"/>
    <w:rsid w:val="00AA0990"/>
    <w:rsid w:val="00AA0A66"/>
    <w:rsid w:val="00AA3454"/>
    <w:rsid w:val="00AA3CF1"/>
    <w:rsid w:val="00AA4744"/>
    <w:rsid w:val="00AA47BF"/>
    <w:rsid w:val="00AA495F"/>
    <w:rsid w:val="00AA57DB"/>
    <w:rsid w:val="00AA5C41"/>
    <w:rsid w:val="00AA73DE"/>
    <w:rsid w:val="00AA76F6"/>
    <w:rsid w:val="00AA7AF6"/>
    <w:rsid w:val="00AA7DA8"/>
    <w:rsid w:val="00AB0389"/>
    <w:rsid w:val="00AB073E"/>
    <w:rsid w:val="00AB0BB1"/>
    <w:rsid w:val="00AB0F5B"/>
    <w:rsid w:val="00AB111D"/>
    <w:rsid w:val="00AB1368"/>
    <w:rsid w:val="00AB2BE3"/>
    <w:rsid w:val="00AB2FC7"/>
    <w:rsid w:val="00AB3657"/>
    <w:rsid w:val="00AB4E89"/>
    <w:rsid w:val="00AB66D8"/>
    <w:rsid w:val="00AB7256"/>
    <w:rsid w:val="00AB7449"/>
    <w:rsid w:val="00AC0511"/>
    <w:rsid w:val="00AC0BC9"/>
    <w:rsid w:val="00AC0BD1"/>
    <w:rsid w:val="00AC1164"/>
    <w:rsid w:val="00AC2B25"/>
    <w:rsid w:val="00AC2D6C"/>
    <w:rsid w:val="00AC2E46"/>
    <w:rsid w:val="00AC3581"/>
    <w:rsid w:val="00AC3602"/>
    <w:rsid w:val="00AC37C8"/>
    <w:rsid w:val="00AC3861"/>
    <w:rsid w:val="00AC3DA7"/>
    <w:rsid w:val="00AC46E2"/>
    <w:rsid w:val="00AC5187"/>
    <w:rsid w:val="00AC6208"/>
    <w:rsid w:val="00AC6DD4"/>
    <w:rsid w:val="00AC73C2"/>
    <w:rsid w:val="00AC7D6B"/>
    <w:rsid w:val="00AC7ECD"/>
    <w:rsid w:val="00AD07AE"/>
    <w:rsid w:val="00AD1E09"/>
    <w:rsid w:val="00AD32F2"/>
    <w:rsid w:val="00AD3E85"/>
    <w:rsid w:val="00AD3FDB"/>
    <w:rsid w:val="00AD41D5"/>
    <w:rsid w:val="00AD43DF"/>
    <w:rsid w:val="00AD4D5A"/>
    <w:rsid w:val="00AD4F07"/>
    <w:rsid w:val="00AD4F3C"/>
    <w:rsid w:val="00AD5D9D"/>
    <w:rsid w:val="00AD67C5"/>
    <w:rsid w:val="00AD68D4"/>
    <w:rsid w:val="00AD77BA"/>
    <w:rsid w:val="00AE1D14"/>
    <w:rsid w:val="00AE22C4"/>
    <w:rsid w:val="00AE2406"/>
    <w:rsid w:val="00AE28F1"/>
    <w:rsid w:val="00AE2B39"/>
    <w:rsid w:val="00AE307B"/>
    <w:rsid w:val="00AE30C3"/>
    <w:rsid w:val="00AE43AF"/>
    <w:rsid w:val="00AE4FD6"/>
    <w:rsid w:val="00AE5D9A"/>
    <w:rsid w:val="00AE6262"/>
    <w:rsid w:val="00AE6512"/>
    <w:rsid w:val="00AE7069"/>
    <w:rsid w:val="00AE7338"/>
    <w:rsid w:val="00AE7A73"/>
    <w:rsid w:val="00AF07AA"/>
    <w:rsid w:val="00AF2831"/>
    <w:rsid w:val="00AF28DD"/>
    <w:rsid w:val="00AF3137"/>
    <w:rsid w:val="00AF3B96"/>
    <w:rsid w:val="00AF4054"/>
    <w:rsid w:val="00AF42B9"/>
    <w:rsid w:val="00AF54B9"/>
    <w:rsid w:val="00AF5A3C"/>
    <w:rsid w:val="00AF5E7F"/>
    <w:rsid w:val="00AF6615"/>
    <w:rsid w:val="00AF663F"/>
    <w:rsid w:val="00AF667B"/>
    <w:rsid w:val="00AF76CD"/>
    <w:rsid w:val="00B00031"/>
    <w:rsid w:val="00B003FD"/>
    <w:rsid w:val="00B0045C"/>
    <w:rsid w:val="00B0065D"/>
    <w:rsid w:val="00B0141E"/>
    <w:rsid w:val="00B018D2"/>
    <w:rsid w:val="00B01A64"/>
    <w:rsid w:val="00B03411"/>
    <w:rsid w:val="00B0437A"/>
    <w:rsid w:val="00B0470F"/>
    <w:rsid w:val="00B04C74"/>
    <w:rsid w:val="00B063E8"/>
    <w:rsid w:val="00B0683E"/>
    <w:rsid w:val="00B06967"/>
    <w:rsid w:val="00B06CAB"/>
    <w:rsid w:val="00B076CE"/>
    <w:rsid w:val="00B07EB1"/>
    <w:rsid w:val="00B11322"/>
    <w:rsid w:val="00B11E63"/>
    <w:rsid w:val="00B12208"/>
    <w:rsid w:val="00B12B4A"/>
    <w:rsid w:val="00B133C1"/>
    <w:rsid w:val="00B133DC"/>
    <w:rsid w:val="00B13497"/>
    <w:rsid w:val="00B13632"/>
    <w:rsid w:val="00B13CA6"/>
    <w:rsid w:val="00B13FA3"/>
    <w:rsid w:val="00B143E6"/>
    <w:rsid w:val="00B151E7"/>
    <w:rsid w:val="00B155F5"/>
    <w:rsid w:val="00B15CEE"/>
    <w:rsid w:val="00B16A57"/>
    <w:rsid w:val="00B204D0"/>
    <w:rsid w:val="00B20963"/>
    <w:rsid w:val="00B21419"/>
    <w:rsid w:val="00B217CF"/>
    <w:rsid w:val="00B218B4"/>
    <w:rsid w:val="00B22039"/>
    <w:rsid w:val="00B221C0"/>
    <w:rsid w:val="00B22A75"/>
    <w:rsid w:val="00B23995"/>
    <w:rsid w:val="00B23EF7"/>
    <w:rsid w:val="00B243A3"/>
    <w:rsid w:val="00B24FA2"/>
    <w:rsid w:val="00B250AA"/>
    <w:rsid w:val="00B256B5"/>
    <w:rsid w:val="00B259F5"/>
    <w:rsid w:val="00B25A9F"/>
    <w:rsid w:val="00B25D83"/>
    <w:rsid w:val="00B26C6B"/>
    <w:rsid w:val="00B26F3C"/>
    <w:rsid w:val="00B30CB1"/>
    <w:rsid w:val="00B3156C"/>
    <w:rsid w:val="00B3165D"/>
    <w:rsid w:val="00B321EE"/>
    <w:rsid w:val="00B329E0"/>
    <w:rsid w:val="00B32A37"/>
    <w:rsid w:val="00B32E8F"/>
    <w:rsid w:val="00B32ED4"/>
    <w:rsid w:val="00B335B6"/>
    <w:rsid w:val="00B34235"/>
    <w:rsid w:val="00B34460"/>
    <w:rsid w:val="00B35099"/>
    <w:rsid w:val="00B3588F"/>
    <w:rsid w:val="00B36064"/>
    <w:rsid w:val="00B363EB"/>
    <w:rsid w:val="00B36A36"/>
    <w:rsid w:val="00B36BC2"/>
    <w:rsid w:val="00B370D9"/>
    <w:rsid w:val="00B371D8"/>
    <w:rsid w:val="00B3735B"/>
    <w:rsid w:val="00B3782F"/>
    <w:rsid w:val="00B379F7"/>
    <w:rsid w:val="00B40101"/>
    <w:rsid w:val="00B4053B"/>
    <w:rsid w:val="00B407B2"/>
    <w:rsid w:val="00B40D9B"/>
    <w:rsid w:val="00B41B95"/>
    <w:rsid w:val="00B41BE3"/>
    <w:rsid w:val="00B41F0C"/>
    <w:rsid w:val="00B44476"/>
    <w:rsid w:val="00B45049"/>
    <w:rsid w:val="00B45568"/>
    <w:rsid w:val="00B45E4D"/>
    <w:rsid w:val="00B46221"/>
    <w:rsid w:val="00B4718B"/>
    <w:rsid w:val="00B47521"/>
    <w:rsid w:val="00B47B16"/>
    <w:rsid w:val="00B47ED1"/>
    <w:rsid w:val="00B47F8B"/>
    <w:rsid w:val="00B47F93"/>
    <w:rsid w:val="00B500A7"/>
    <w:rsid w:val="00B50934"/>
    <w:rsid w:val="00B50D62"/>
    <w:rsid w:val="00B50DCB"/>
    <w:rsid w:val="00B52105"/>
    <w:rsid w:val="00B52543"/>
    <w:rsid w:val="00B528DF"/>
    <w:rsid w:val="00B52D40"/>
    <w:rsid w:val="00B548E3"/>
    <w:rsid w:val="00B5491A"/>
    <w:rsid w:val="00B54A5D"/>
    <w:rsid w:val="00B54FEC"/>
    <w:rsid w:val="00B5531E"/>
    <w:rsid w:val="00B55629"/>
    <w:rsid w:val="00B55FFD"/>
    <w:rsid w:val="00B56124"/>
    <w:rsid w:val="00B565A8"/>
    <w:rsid w:val="00B565B8"/>
    <w:rsid w:val="00B56BC9"/>
    <w:rsid w:val="00B56E8B"/>
    <w:rsid w:val="00B578F5"/>
    <w:rsid w:val="00B57A25"/>
    <w:rsid w:val="00B603CC"/>
    <w:rsid w:val="00B60484"/>
    <w:rsid w:val="00B609B1"/>
    <w:rsid w:val="00B619B5"/>
    <w:rsid w:val="00B62B76"/>
    <w:rsid w:val="00B62CCB"/>
    <w:rsid w:val="00B62FD8"/>
    <w:rsid w:val="00B63749"/>
    <w:rsid w:val="00B63AC7"/>
    <w:rsid w:val="00B64CF0"/>
    <w:rsid w:val="00B64DE5"/>
    <w:rsid w:val="00B65442"/>
    <w:rsid w:val="00B65777"/>
    <w:rsid w:val="00B657C5"/>
    <w:rsid w:val="00B6599D"/>
    <w:rsid w:val="00B65BEC"/>
    <w:rsid w:val="00B65DDF"/>
    <w:rsid w:val="00B66E81"/>
    <w:rsid w:val="00B66ECA"/>
    <w:rsid w:val="00B671FA"/>
    <w:rsid w:val="00B67351"/>
    <w:rsid w:val="00B6735E"/>
    <w:rsid w:val="00B67547"/>
    <w:rsid w:val="00B676D8"/>
    <w:rsid w:val="00B70054"/>
    <w:rsid w:val="00B70135"/>
    <w:rsid w:val="00B70437"/>
    <w:rsid w:val="00B7067C"/>
    <w:rsid w:val="00B711AF"/>
    <w:rsid w:val="00B7153D"/>
    <w:rsid w:val="00B71891"/>
    <w:rsid w:val="00B719B1"/>
    <w:rsid w:val="00B71BD1"/>
    <w:rsid w:val="00B72149"/>
    <w:rsid w:val="00B721A5"/>
    <w:rsid w:val="00B721F0"/>
    <w:rsid w:val="00B72A8E"/>
    <w:rsid w:val="00B72D87"/>
    <w:rsid w:val="00B72D8B"/>
    <w:rsid w:val="00B72DCC"/>
    <w:rsid w:val="00B73F73"/>
    <w:rsid w:val="00B74686"/>
    <w:rsid w:val="00B74C70"/>
    <w:rsid w:val="00B7534C"/>
    <w:rsid w:val="00B7540E"/>
    <w:rsid w:val="00B75BC7"/>
    <w:rsid w:val="00B76B58"/>
    <w:rsid w:val="00B76F81"/>
    <w:rsid w:val="00B774EB"/>
    <w:rsid w:val="00B77CA2"/>
    <w:rsid w:val="00B803DF"/>
    <w:rsid w:val="00B81601"/>
    <w:rsid w:val="00B81983"/>
    <w:rsid w:val="00B81BCC"/>
    <w:rsid w:val="00B81D47"/>
    <w:rsid w:val="00B82064"/>
    <w:rsid w:val="00B8344C"/>
    <w:rsid w:val="00B85A1C"/>
    <w:rsid w:val="00B85DEF"/>
    <w:rsid w:val="00B877B2"/>
    <w:rsid w:val="00B87FC0"/>
    <w:rsid w:val="00B9040A"/>
    <w:rsid w:val="00B905AF"/>
    <w:rsid w:val="00B90902"/>
    <w:rsid w:val="00B91A7E"/>
    <w:rsid w:val="00B91B14"/>
    <w:rsid w:val="00B925F0"/>
    <w:rsid w:val="00B92D26"/>
    <w:rsid w:val="00B938F4"/>
    <w:rsid w:val="00B94B43"/>
    <w:rsid w:val="00B95710"/>
    <w:rsid w:val="00B95C49"/>
    <w:rsid w:val="00B96C02"/>
    <w:rsid w:val="00BA00E4"/>
    <w:rsid w:val="00BA070C"/>
    <w:rsid w:val="00BA0966"/>
    <w:rsid w:val="00BA0F80"/>
    <w:rsid w:val="00BA13A4"/>
    <w:rsid w:val="00BA160B"/>
    <w:rsid w:val="00BA1B34"/>
    <w:rsid w:val="00BA1BB4"/>
    <w:rsid w:val="00BA1BED"/>
    <w:rsid w:val="00BA1E0D"/>
    <w:rsid w:val="00BA2915"/>
    <w:rsid w:val="00BA2D4A"/>
    <w:rsid w:val="00BA334B"/>
    <w:rsid w:val="00BA3969"/>
    <w:rsid w:val="00BA4153"/>
    <w:rsid w:val="00BA4224"/>
    <w:rsid w:val="00BA5A45"/>
    <w:rsid w:val="00BA5E47"/>
    <w:rsid w:val="00BA6B9D"/>
    <w:rsid w:val="00BA7EBE"/>
    <w:rsid w:val="00BB0278"/>
    <w:rsid w:val="00BB0A1B"/>
    <w:rsid w:val="00BB0A3A"/>
    <w:rsid w:val="00BB0B5E"/>
    <w:rsid w:val="00BB24CB"/>
    <w:rsid w:val="00BB2687"/>
    <w:rsid w:val="00BB2707"/>
    <w:rsid w:val="00BB2CF1"/>
    <w:rsid w:val="00BB33AF"/>
    <w:rsid w:val="00BB4EE9"/>
    <w:rsid w:val="00BB5CD7"/>
    <w:rsid w:val="00BB5FB4"/>
    <w:rsid w:val="00BB62C3"/>
    <w:rsid w:val="00BB659D"/>
    <w:rsid w:val="00BB672D"/>
    <w:rsid w:val="00BB6C34"/>
    <w:rsid w:val="00BB702D"/>
    <w:rsid w:val="00BB70C0"/>
    <w:rsid w:val="00BB7314"/>
    <w:rsid w:val="00BB7E27"/>
    <w:rsid w:val="00BB7E79"/>
    <w:rsid w:val="00BB7EA2"/>
    <w:rsid w:val="00BC01B7"/>
    <w:rsid w:val="00BC02CC"/>
    <w:rsid w:val="00BC056E"/>
    <w:rsid w:val="00BC0B90"/>
    <w:rsid w:val="00BC0C7F"/>
    <w:rsid w:val="00BC23AE"/>
    <w:rsid w:val="00BC2846"/>
    <w:rsid w:val="00BC28B8"/>
    <w:rsid w:val="00BC28D8"/>
    <w:rsid w:val="00BC29F7"/>
    <w:rsid w:val="00BC3D90"/>
    <w:rsid w:val="00BC44BF"/>
    <w:rsid w:val="00BC49BB"/>
    <w:rsid w:val="00BC4E56"/>
    <w:rsid w:val="00BC4F65"/>
    <w:rsid w:val="00BC53C6"/>
    <w:rsid w:val="00BC543D"/>
    <w:rsid w:val="00BC59F4"/>
    <w:rsid w:val="00BC5A3C"/>
    <w:rsid w:val="00BC6B2A"/>
    <w:rsid w:val="00BC6FF0"/>
    <w:rsid w:val="00BC70BD"/>
    <w:rsid w:val="00BC78E2"/>
    <w:rsid w:val="00BC7ABF"/>
    <w:rsid w:val="00BD052A"/>
    <w:rsid w:val="00BD05E0"/>
    <w:rsid w:val="00BD08FF"/>
    <w:rsid w:val="00BD0E42"/>
    <w:rsid w:val="00BD0FDE"/>
    <w:rsid w:val="00BD2F89"/>
    <w:rsid w:val="00BD3418"/>
    <w:rsid w:val="00BD3A75"/>
    <w:rsid w:val="00BD3E64"/>
    <w:rsid w:val="00BD4257"/>
    <w:rsid w:val="00BD5033"/>
    <w:rsid w:val="00BD5399"/>
    <w:rsid w:val="00BD6214"/>
    <w:rsid w:val="00BD6465"/>
    <w:rsid w:val="00BD6A2F"/>
    <w:rsid w:val="00BD7266"/>
    <w:rsid w:val="00BD749F"/>
    <w:rsid w:val="00BD77C7"/>
    <w:rsid w:val="00BD792E"/>
    <w:rsid w:val="00BD7D74"/>
    <w:rsid w:val="00BE0E15"/>
    <w:rsid w:val="00BE166A"/>
    <w:rsid w:val="00BE181E"/>
    <w:rsid w:val="00BE2864"/>
    <w:rsid w:val="00BE34A4"/>
    <w:rsid w:val="00BE46E0"/>
    <w:rsid w:val="00BE4B5F"/>
    <w:rsid w:val="00BE4E64"/>
    <w:rsid w:val="00BE5CD5"/>
    <w:rsid w:val="00BE6C75"/>
    <w:rsid w:val="00BE6E7C"/>
    <w:rsid w:val="00BE70D0"/>
    <w:rsid w:val="00BF0642"/>
    <w:rsid w:val="00BF0691"/>
    <w:rsid w:val="00BF0A5F"/>
    <w:rsid w:val="00BF15A1"/>
    <w:rsid w:val="00BF2059"/>
    <w:rsid w:val="00BF2165"/>
    <w:rsid w:val="00BF29DE"/>
    <w:rsid w:val="00BF3061"/>
    <w:rsid w:val="00BF3393"/>
    <w:rsid w:val="00BF33FB"/>
    <w:rsid w:val="00BF369C"/>
    <w:rsid w:val="00BF4CDE"/>
    <w:rsid w:val="00BF4D9A"/>
    <w:rsid w:val="00BF5095"/>
    <w:rsid w:val="00BF583C"/>
    <w:rsid w:val="00BF6172"/>
    <w:rsid w:val="00BF61D1"/>
    <w:rsid w:val="00BF6E06"/>
    <w:rsid w:val="00BF70DE"/>
    <w:rsid w:val="00BF71B8"/>
    <w:rsid w:val="00C0145F"/>
    <w:rsid w:val="00C022A3"/>
    <w:rsid w:val="00C02361"/>
    <w:rsid w:val="00C02618"/>
    <w:rsid w:val="00C027AF"/>
    <w:rsid w:val="00C03A1E"/>
    <w:rsid w:val="00C03B2F"/>
    <w:rsid w:val="00C04211"/>
    <w:rsid w:val="00C04CD3"/>
    <w:rsid w:val="00C04E4B"/>
    <w:rsid w:val="00C057BC"/>
    <w:rsid w:val="00C05B58"/>
    <w:rsid w:val="00C06579"/>
    <w:rsid w:val="00C10225"/>
    <w:rsid w:val="00C10945"/>
    <w:rsid w:val="00C1113C"/>
    <w:rsid w:val="00C11524"/>
    <w:rsid w:val="00C118D2"/>
    <w:rsid w:val="00C127F4"/>
    <w:rsid w:val="00C12C14"/>
    <w:rsid w:val="00C12E4C"/>
    <w:rsid w:val="00C12F8B"/>
    <w:rsid w:val="00C135DD"/>
    <w:rsid w:val="00C1363C"/>
    <w:rsid w:val="00C141A3"/>
    <w:rsid w:val="00C1426A"/>
    <w:rsid w:val="00C1460F"/>
    <w:rsid w:val="00C1485A"/>
    <w:rsid w:val="00C14D78"/>
    <w:rsid w:val="00C15342"/>
    <w:rsid w:val="00C15590"/>
    <w:rsid w:val="00C164A3"/>
    <w:rsid w:val="00C16BB3"/>
    <w:rsid w:val="00C16D0A"/>
    <w:rsid w:val="00C17B2C"/>
    <w:rsid w:val="00C2069D"/>
    <w:rsid w:val="00C221E3"/>
    <w:rsid w:val="00C23CAB"/>
    <w:rsid w:val="00C262EA"/>
    <w:rsid w:val="00C2668B"/>
    <w:rsid w:val="00C269DF"/>
    <w:rsid w:val="00C27495"/>
    <w:rsid w:val="00C30375"/>
    <w:rsid w:val="00C3039F"/>
    <w:rsid w:val="00C305BD"/>
    <w:rsid w:val="00C30B14"/>
    <w:rsid w:val="00C3120B"/>
    <w:rsid w:val="00C31429"/>
    <w:rsid w:val="00C33659"/>
    <w:rsid w:val="00C33A1D"/>
    <w:rsid w:val="00C33A55"/>
    <w:rsid w:val="00C34A7F"/>
    <w:rsid w:val="00C34FA6"/>
    <w:rsid w:val="00C351BA"/>
    <w:rsid w:val="00C35B56"/>
    <w:rsid w:val="00C35F21"/>
    <w:rsid w:val="00C36F40"/>
    <w:rsid w:val="00C373FA"/>
    <w:rsid w:val="00C37691"/>
    <w:rsid w:val="00C40108"/>
    <w:rsid w:val="00C408E8"/>
    <w:rsid w:val="00C40A4E"/>
    <w:rsid w:val="00C41BFA"/>
    <w:rsid w:val="00C41C7D"/>
    <w:rsid w:val="00C42359"/>
    <w:rsid w:val="00C425EE"/>
    <w:rsid w:val="00C42785"/>
    <w:rsid w:val="00C4369F"/>
    <w:rsid w:val="00C43A4E"/>
    <w:rsid w:val="00C442E1"/>
    <w:rsid w:val="00C442EB"/>
    <w:rsid w:val="00C457BA"/>
    <w:rsid w:val="00C4685E"/>
    <w:rsid w:val="00C46B52"/>
    <w:rsid w:val="00C50927"/>
    <w:rsid w:val="00C50FAF"/>
    <w:rsid w:val="00C51395"/>
    <w:rsid w:val="00C51526"/>
    <w:rsid w:val="00C5212A"/>
    <w:rsid w:val="00C52EF1"/>
    <w:rsid w:val="00C5306C"/>
    <w:rsid w:val="00C53654"/>
    <w:rsid w:val="00C54351"/>
    <w:rsid w:val="00C543A8"/>
    <w:rsid w:val="00C5447C"/>
    <w:rsid w:val="00C548B7"/>
    <w:rsid w:val="00C553EA"/>
    <w:rsid w:val="00C55457"/>
    <w:rsid w:val="00C563BB"/>
    <w:rsid w:val="00C56794"/>
    <w:rsid w:val="00C56BFA"/>
    <w:rsid w:val="00C57574"/>
    <w:rsid w:val="00C5792A"/>
    <w:rsid w:val="00C57DED"/>
    <w:rsid w:val="00C57F16"/>
    <w:rsid w:val="00C606E1"/>
    <w:rsid w:val="00C60E3D"/>
    <w:rsid w:val="00C611F4"/>
    <w:rsid w:val="00C63064"/>
    <w:rsid w:val="00C63449"/>
    <w:rsid w:val="00C63788"/>
    <w:rsid w:val="00C64F65"/>
    <w:rsid w:val="00C64F73"/>
    <w:rsid w:val="00C65A70"/>
    <w:rsid w:val="00C66090"/>
    <w:rsid w:val="00C6640C"/>
    <w:rsid w:val="00C6646A"/>
    <w:rsid w:val="00C66B71"/>
    <w:rsid w:val="00C67F76"/>
    <w:rsid w:val="00C70553"/>
    <w:rsid w:val="00C70D82"/>
    <w:rsid w:val="00C71BDA"/>
    <w:rsid w:val="00C71C81"/>
    <w:rsid w:val="00C7438D"/>
    <w:rsid w:val="00C74857"/>
    <w:rsid w:val="00C755AE"/>
    <w:rsid w:val="00C755D7"/>
    <w:rsid w:val="00C75BDC"/>
    <w:rsid w:val="00C75C5F"/>
    <w:rsid w:val="00C766F5"/>
    <w:rsid w:val="00C76847"/>
    <w:rsid w:val="00C76F37"/>
    <w:rsid w:val="00C77641"/>
    <w:rsid w:val="00C77EB0"/>
    <w:rsid w:val="00C804F8"/>
    <w:rsid w:val="00C81192"/>
    <w:rsid w:val="00C8237A"/>
    <w:rsid w:val="00C8270E"/>
    <w:rsid w:val="00C82FD8"/>
    <w:rsid w:val="00C83377"/>
    <w:rsid w:val="00C84F04"/>
    <w:rsid w:val="00C859A8"/>
    <w:rsid w:val="00C85ACE"/>
    <w:rsid w:val="00C85CFE"/>
    <w:rsid w:val="00C867D9"/>
    <w:rsid w:val="00C86D23"/>
    <w:rsid w:val="00C8730E"/>
    <w:rsid w:val="00C874D8"/>
    <w:rsid w:val="00C904B8"/>
    <w:rsid w:val="00C907FE"/>
    <w:rsid w:val="00C90A2A"/>
    <w:rsid w:val="00C90AA9"/>
    <w:rsid w:val="00C91646"/>
    <w:rsid w:val="00C918DB"/>
    <w:rsid w:val="00C94253"/>
    <w:rsid w:val="00C94388"/>
    <w:rsid w:val="00C952A3"/>
    <w:rsid w:val="00C95506"/>
    <w:rsid w:val="00C95C28"/>
    <w:rsid w:val="00C96758"/>
    <w:rsid w:val="00C9740C"/>
    <w:rsid w:val="00CA02E4"/>
    <w:rsid w:val="00CA02EA"/>
    <w:rsid w:val="00CA0B4E"/>
    <w:rsid w:val="00CA1299"/>
    <w:rsid w:val="00CA1347"/>
    <w:rsid w:val="00CA21BA"/>
    <w:rsid w:val="00CA2354"/>
    <w:rsid w:val="00CA25FF"/>
    <w:rsid w:val="00CA35C2"/>
    <w:rsid w:val="00CA4035"/>
    <w:rsid w:val="00CA42F4"/>
    <w:rsid w:val="00CA4AF9"/>
    <w:rsid w:val="00CA58DF"/>
    <w:rsid w:val="00CA634D"/>
    <w:rsid w:val="00CA6FE0"/>
    <w:rsid w:val="00CA7E62"/>
    <w:rsid w:val="00CA7F2F"/>
    <w:rsid w:val="00CA7FD8"/>
    <w:rsid w:val="00CB086F"/>
    <w:rsid w:val="00CB0E3F"/>
    <w:rsid w:val="00CB1FBF"/>
    <w:rsid w:val="00CB2213"/>
    <w:rsid w:val="00CB2AC2"/>
    <w:rsid w:val="00CB2BB1"/>
    <w:rsid w:val="00CB33CC"/>
    <w:rsid w:val="00CB3480"/>
    <w:rsid w:val="00CB3497"/>
    <w:rsid w:val="00CB4944"/>
    <w:rsid w:val="00CB615D"/>
    <w:rsid w:val="00CB6533"/>
    <w:rsid w:val="00CB663E"/>
    <w:rsid w:val="00CB67AB"/>
    <w:rsid w:val="00CB71E1"/>
    <w:rsid w:val="00CB7241"/>
    <w:rsid w:val="00CB7708"/>
    <w:rsid w:val="00CC0E12"/>
    <w:rsid w:val="00CC191C"/>
    <w:rsid w:val="00CC2039"/>
    <w:rsid w:val="00CC2573"/>
    <w:rsid w:val="00CC2B1E"/>
    <w:rsid w:val="00CC352D"/>
    <w:rsid w:val="00CC3905"/>
    <w:rsid w:val="00CC45AA"/>
    <w:rsid w:val="00CC4916"/>
    <w:rsid w:val="00CC521A"/>
    <w:rsid w:val="00CC5D7A"/>
    <w:rsid w:val="00CC61EC"/>
    <w:rsid w:val="00CC75D3"/>
    <w:rsid w:val="00CC76A0"/>
    <w:rsid w:val="00CC7704"/>
    <w:rsid w:val="00CC7952"/>
    <w:rsid w:val="00CC796F"/>
    <w:rsid w:val="00CD0271"/>
    <w:rsid w:val="00CD047C"/>
    <w:rsid w:val="00CD13F7"/>
    <w:rsid w:val="00CD2081"/>
    <w:rsid w:val="00CD216F"/>
    <w:rsid w:val="00CD28D2"/>
    <w:rsid w:val="00CD2997"/>
    <w:rsid w:val="00CD3613"/>
    <w:rsid w:val="00CD3736"/>
    <w:rsid w:val="00CD3F0F"/>
    <w:rsid w:val="00CD4962"/>
    <w:rsid w:val="00CD6091"/>
    <w:rsid w:val="00CD6C15"/>
    <w:rsid w:val="00CD7733"/>
    <w:rsid w:val="00CD7761"/>
    <w:rsid w:val="00CD7CD5"/>
    <w:rsid w:val="00CD7D6B"/>
    <w:rsid w:val="00CE0383"/>
    <w:rsid w:val="00CE0987"/>
    <w:rsid w:val="00CE2F39"/>
    <w:rsid w:val="00CE3E36"/>
    <w:rsid w:val="00CE4C84"/>
    <w:rsid w:val="00CE5308"/>
    <w:rsid w:val="00CE54F6"/>
    <w:rsid w:val="00CE55E2"/>
    <w:rsid w:val="00CE5C93"/>
    <w:rsid w:val="00CE61DE"/>
    <w:rsid w:val="00CE65ED"/>
    <w:rsid w:val="00CE6D8D"/>
    <w:rsid w:val="00CE7815"/>
    <w:rsid w:val="00CE7E14"/>
    <w:rsid w:val="00CF0E4C"/>
    <w:rsid w:val="00CF1419"/>
    <w:rsid w:val="00CF1803"/>
    <w:rsid w:val="00CF1935"/>
    <w:rsid w:val="00CF28FC"/>
    <w:rsid w:val="00CF2F16"/>
    <w:rsid w:val="00CF3016"/>
    <w:rsid w:val="00CF3907"/>
    <w:rsid w:val="00CF4F29"/>
    <w:rsid w:val="00CF5764"/>
    <w:rsid w:val="00CF5B71"/>
    <w:rsid w:val="00CF60DB"/>
    <w:rsid w:val="00CF7DC7"/>
    <w:rsid w:val="00D006DD"/>
    <w:rsid w:val="00D0108F"/>
    <w:rsid w:val="00D027F6"/>
    <w:rsid w:val="00D02985"/>
    <w:rsid w:val="00D02C8F"/>
    <w:rsid w:val="00D0308D"/>
    <w:rsid w:val="00D03205"/>
    <w:rsid w:val="00D03A53"/>
    <w:rsid w:val="00D041EF"/>
    <w:rsid w:val="00D04841"/>
    <w:rsid w:val="00D052C6"/>
    <w:rsid w:val="00D05E47"/>
    <w:rsid w:val="00D074B3"/>
    <w:rsid w:val="00D0794C"/>
    <w:rsid w:val="00D112C9"/>
    <w:rsid w:val="00D11790"/>
    <w:rsid w:val="00D119C6"/>
    <w:rsid w:val="00D119F7"/>
    <w:rsid w:val="00D125D5"/>
    <w:rsid w:val="00D12A85"/>
    <w:rsid w:val="00D133A3"/>
    <w:rsid w:val="00D13413"/>
    <w:rsid w:val="00D13768"/>
    <w:rsid w:val="00D13B33"/>
    <w:rsid w:val="00D155E7"/>
    <w:rsid w:val="00D16132"/>
    <w:rsid w:val="00D16581"/>
    <w:rsid w:val="00D16C61"/>
    <w:rsid w:val="00D16DF8"/>
    <w:rsid w:val="00D1710E"/>
    <w:rsid w:val="00D176DE"/>
    <w:rsid w:val="00D17F1B"/>
    <w:rsid w:val="00D200B0"/>
    <w:rsid w:val="00D200DD"/>
    <w:rsid w:val="00D202BD"/>
    <w:rsid w:val="00D208A3"/>
    <w:rsid w:val="00D20AC7"/>
    <w:rsid w:val="00D20E02"/>
    <w:rsid w:val="00D20EA9"/>
    <w:rsid w:val="00D21271"/>
    <w:rsid w:val="00D212C5"/>
    <w:rsid w:val="00D21B53"/>
    <w:rsid w:val="00D21C80"/>
    <w:rsid w:val="00D222B0"/>
    <w:rsid w:val="00D2293F"/>
    <w:rsid w:val="00D2323D"/>
    <w:rsid w:val="00D2355D"/>
    <w:rsid w:val="00D23565"/>
    <w:rsid w:val="00D236F2"/>
    <w:rsid w:val="00D2373B"/>
    <w:rsid w:val="00D23ED1"/>
    <w:rsid w:val="00D2502A"/>
    <w:rsid w:val="00D253E7"/>
    <w:rsid w:val="00D257F7"/>
    <w:rsid w:val="00D266FE"/>
    <w:rsid w:val="00D2797B"/>
    <w:rsid w:val="00D279B2"/>
    <w:rsid w:val="00D3040F"/>
    <w:rsid w:val="00D3080A"/>
    <w:rsid w:val="00D308DF"/>
    <w:rsid w:val="00D31593"/>
    <w:rsid w:val="00D32C8F"/>
    <w:rsid w:val="00D32ED9"/>
    <w:rsid w:val="00D32FA0"/>
    <w:rsid w:val="00D33130"/>
    <w:rsid w:val="00D357F4"/>
    <w:rsid w:val="00D35B77"/>
    <w:rsid w:val="00D35E43"/>
    <w:rsid w:val="00D35F75"/>
    <w:rsid w:val="00D366B1"/>
    <w:rsid w:val="00D37DCC"/>
    <w:rsid w:val="00D4058B"/>
    <w:rsid w:val="00D41238"/>
    <w:rsid w:val="00D419D8"/>
    <w:rsid w:val="00D41E0E"/>
    <w:rsid w:val="00D42190"/>
    <w:rsid w:val="00D42328"/>
    <w:rsid w:val="00D42452"/>
    <w:rsid w:val="00D430B8"/>
    <w:rsid w:val="00D431A0"/>
    <w:rsid w:val="00D43674"/>
    <w:rsid w:val="00D43999"/>
    <w:rsid w:val="00D4498D"/>
    <w:rsid w:val="00D44A6E"/>
    <w:rsid w:val="00D452D2"/>
    <w:rsid w:val="00D45587"/>
    <w:rsid w:val="00D46096"/>
    <w:rsid w:val="00D46106"/>
    <w:rsid w:val="00D468F2"/>
    <w:rsid w:val="00D46E50"/>
    <w:rsid w:val="00D47E81"/>
    <w:rsid w:val="00D50739"/>
    <w:rsid w:val="00D5099A"/>
    <w:rsid w:val="00D50AC7"/>
    <w:rsid w:val="00D51BC6"/>
    <w:rsid w:val="00D52B86"/>
    <w:rsid w:val="00D53EFB"/>
    <w:rsid w:val="00D5400D"/>
    <w:rsid w:val="00D542A2"/>
    <w:rsid w:val="00D54583"/>
    <w:rsid w:val="00D54619"/>
    <w:rsid w:val="00D54788"/>
    <w:rsid w:val="00D549A4"/>
    <w:rsid w:val="00D54CCA"/>
    <w:rsid w:val="00D54D87"/>
    <w:rsid w:val="00D55E6D"/>
    <w:rsid w:val="00D5608C"/>
    <w:rsid w:val="00D568F0"/>
    <w:rsid w:val="00D56A7F"/>
    <w:rsid w:val="00D5703B"/>
    <w:rsid w:val="00D5783F"/>
    <w:rsid w:val="00D600E0"/>
    <w:rsid w:val="00D602A7"/>
    <w:rsid w:val="00D60B14"/>
    <w:rsid w:val="00D60F58"/>
    <w:rsid w:val="00D63831"/>
    <w:rsid w:val="00D6405B"/>
    <w:rsid w:val="00D64D80"/>
    <w:rsid w:val="00D65719"/>
    <w:rsid w:val="00D6605A"/>
    <w:rsid w:val="00D663E2"/>
    <w:rsid w:val="00D6644D"/>
    <w:rsid w:val="00D677C9"/>
    <w:rsid w:val="00D704B3"/>
    <w:rsid w:val="00D70FB3"/>
    <w:rsid w:val="00D71634"/>
    <w:rsid w:val="00D717EC"/>
    <w:rsid w:val="00D71C12"/>
    <w:rsid w:val="00D74860"/>
    <w:rsid w:val="00D75543"/>
    <w:rsid w:val="00D7623A"/>
    <w:rsid w:val="00D764A0"/>
    <w:rsid w:val="00D77E30"/>
    <w:rsid w:val="00D80CFD"/>
    <w:rsid w:val="00D812BF"/>
    <w:rsid w:val="00D81E3A"/>
    <w:rsid w:val="00D827AB"/>
    <w:rsid w:val="00D82C59"/>
    <w:rsid w:val="00D82C83"/>
    <w:rsid w:val="00D830BB"/>
    <w:rsid w:val="00D83C55"/>
    <w:rsid w:val="00D83D8B"/>
    <w:rsid w:val="00D83E3E"/>
    <w:rsid w:val="00D85BE6"/>
    <w:rsid w:val="00D86369"/>
    <w:rsid w:val="00D86B3A"/>
    <w:rsid w:val="00D86C22"/>
    <w:rsid w:val="00D90681"/>
    <w:rsid w:val="00D91134"/>
    <w:rsid w:val="00D91736"/>
    <w:rsid w:val="00D928AA"/>
    <w:rsid w:val="00D929E7"/>
    <w:rsid w:val="00D944FB"/>
    <w:rsid w:val="00D94732"/>
    <w:rsid w:val="00D947D5"/>
    <w:rsid w:val="00D94886"/>
    <w:rsid w:val="00D950F5"/>
    <w:rsid w:val="00D955BE"/>
    <w:rsid w:val="00D95824"/>
    <w:rsid w:val="00D95879"/>
    <w:rsid w:val="00D96544"/>
    <w:rsid w:val="00D969A9"/>
    <w:rsid w:val="00D97054"/>
    <w:rsid w:val="00D976EB"/>
    <w:rsid w:val="00DA02F0"/>
    <w:rsid w:val="00DA08AA"/>
    <w:rsid w:val="00DA13B4"/>
    <w:rsid w:val="00DA19DB"/>
    <w:rsid w:val="00DA28A9"/>
    <w:rsid w:val="00DA2D1C"/>
    <w:rsid w:val="00DA30CE"/>
    <w:rsid w:val="00DA335E"/>
    <w:rsid w:val="00DA37E3"/>
    <w:rsid w:val="00DA3C86"/>
    <w:rsid w:val="00DA53C7"/>
    <w:rsid w:val="00DA5513"/>
    <w:rsid w:val="00DA56DE"/>
    <w:rsid w:val="00DA6554"/>
    <w:rsid w:val="00DA66FB"/>
    <w:rsid w:val="00DA67A9"/>
    <w:rsid w:val="00DA6A62"/>
    <w:rsid w:val="00DA77EE"/>
    <w:rsid w:val="00DA788B"/>
    <w:rsid w:val="00DA7F0C"/>
    <w:rsid w:val="00DB1BDA"/>
    <w:rsid w:val="00DB210D"/>
    <w:rsid w:val="00DB22AF"/>
    <w:rsid w:val="00DB26D3"/>
    <w:rsid w:val="00DB30F8"/>
    <w:rsid w:val="00DB5056"/>
    <w:rsid w:val="00DB521D"/>
    <w:rsid w:val="00DB5841"/>
    <w:rsid w:val="00DB59BD"/>
    <w:rsid w:val="00DB59CB"/>
    <w:rsid w:val="00DB5A9B"/>
    <w:rsid w:val="00DB5BC6"/>
    <w:rsid w:val="00DB5E10"/>
    <w:rsid w:val="00DB71C1"/>
    <w:rsid w:val="00DB73B6"/>
    <w:rsid w:val="00DB7704"/>
    <w:rsid w:val="00DB7FB5"/>
    <w:rsid w:val="00DC0F38"/>
    <w:rsid w:val="00DC2266"/>
    <w:rsid w:val="00DC27B5"/>
    <w:rsid w:val="00DC32A0"/>
    <w:rsid w:val="00DC3495"/>
    <w:rsid w:val="00DC3EDD"/>
    <w:rsid w:val="00DC3F90"/>
    <w:rsid w:val="00DC4114"/>
    <w:rsid w:val="00DC4593"/>
    <w:rsid w:val="00DC4A7A"/>
    <w:rsid w:val="00DC649D"/>
    <w:rsid w:val="00DC682A"/>
    <w:rsid w:val="00DC6D8C"/>
    <w:rsid w:val="00DC71AE"/>
    <w:rsid w:val="00DC777D"/>
    <w:rsid w:val="00DC79F3"/>
    <w:rsid w:val="00DC7A5F"/>
    <w:rsid w:val="00DD0B53"/>
    <w:rsid w:val="00DD119D"/>
    <w:rsid w:val="00DD1552"/>
    <w:rsid w:val="00DD16AE"/>
    <w:rsid w:val="00DD1C91"/>
    <w:rsid w:val="00DD23D9"/>
    <w:rsid w:val="00DD2419"/>
    <w:rsid w:val="00DD4362"/>
    <w:rsid w:val="00DD4D86"/>
    <w:rsid w:val="00DD4DF0"/>
    <w:rsid w:val="00DD5630"/>
    <w:rsid w:val="00DD6554"/>
    <w:rsid w:val="00DD6D13"/>
    <w:rsid w:val="00DD6DCC"/>
    <w:rsid w:val="00DE0511"/>
    <w:rsid w:val="00DE0956"/>
    <w:rsid w:val="00DE09D4"/>
    <w:rsid w:val="00DE16C2"/>
    <w:rsid w:val="00DE1DE1"/>
    <w:rsid w:val="00DE26CA"/>
    <w:rsid w:val="00DE3E3C"/>
    <w:rsid w:val="00DE47E6"/>
    <w:rsid w:val="00DE58AC"/>
    <w:rsid w:val="00DE6BE3"/>
    <w:rsid w:val="00DE6F39"/>
    <w:rsid w:val="00DE745E"/>
    <w:rsid w:val="00DE78D4"/>
    <w:rsid w:val="00DF0B90"/>
    <w:rsid w:val="00DF1BA6"/>
    <w:rsid w:val="00DF2460"/>
    <w:rsid w:val="00DF2884"/>
    <w:rsid w:val="00DF2A11"/>
    <w:rsid w:val="00DF2D8A"/>
    <w:rsid w:val="00DF3682"/>
    <w:rsid w:val="00DF3AB8"/>
    <w:rsid w:val="00DF4D7E"/>
    <w:rsid w:val="00DF4D91"/>
    <w:rsid w:val="00DF534F"/>
    <w:rsid w:val="00DF7A18"/>
    <w:rsid w:val="00E000BA"/>
    <w:rsid w:val="00E01BBD"/>
    <w:rsid w:val="00E024E4"/>
    <w:rsid w:val="00E02DD4"/>
    <w:rsid w:val="00E02E92"/>
    <w:rsid w:val="00E034F9"/>
    <w:rsid w:val="00E04805"/>
    <w:rsid w:val="00E04F09"/>
    <w:rsid w:val="00E04F48"/>
    <w:rsid w:val="00E0536C"/>
    <w:rsid w:val="00E05514"/>
    <w:rsid w:val="00E05767"/>
    <w:rsid w:val="00E05A66"/>
    <w:rsid w:val="00E05B22"/>
    <w:rsid w:val="00E0689D"/>
    <w:rsid w:val="00E06FFF"/>
    <w:rsid w:val="00E072D1"/>
    <w:rsid w:val="00E0739B"/>
    <w:rsid w:val="00E07D97"/>
    <w:rsid w:val="00E100C0"/>
    <w:rsid w:val="00E1029C"/>
    <w:rsid w:val="00E10842"/>
    <w:rsid w:val="00E108D5"/>
    <w:rsid w:val="00E11945"/>
    <w:rsid w:val="00E119CB"/>
    <w:rsid w:val="00E119D2"/>
    <w:rsid w:val="00E11C55"/>
    <w:rsid w:val="00E11F2B"/>
    <w:rsid w:val="00E12014"/>
    <w:rsid w:val="00E12BD1"/>
    <w:rsid w:val="00E12D15"/>
    <w:rsid w:val="00E1372B"/>
    <w:rsid w:val="00E13C81"/>
    <w:rsid w:val="00E13DDB"/>
    <w:rsid w:val="00E1406F"/>
    <w:rsid w:val="00E14951"/>
    <w:rsid w:val="00E14EAA"/>
    <w:rsid w:val="00E15633"/>
    <w:rsid w:val="00E16691"/>
    <w:rsid w:val="00E16890"/>
    <w:rsid w:val="00E16976"/>
    <w:rsid w:val="00E16CB6"/>
    <w:rsid w:val="00E17862"/>
    <w:rsid w:val="00E17DEF"/>
    <w:rsid w:val="00E17F62"/>
    <w:rsid w:val="00E20474"/>
    <w:rsid w:val="00E2048D"/>
    <w:rsid w:val="00E2072E"/>
    <w:rsid w:val="00E20B3F"/>
    <w:rsid w:val="00E225CE"/>
    <w:rsid w:val="00E23385"/>
    <w:rsid w:val="00E23BF6"/>
    <w:rsid w:val="00E23D39"/>
    <w:rsid w:val="00E23F9D"/>
    <w:rsid w:val="00E245C6"/>
    <w:rsid w:val="00E246D1"/>
    <w:rsid w:val="00E247CA"/>
    <w:rsid w:val="00E2515A"/>
    <w:rsid w:val="00E25511"/>
    <w:rsid w:val="00E25B52"/>
    <w:rsid w:val="00E25D8F"/>
    <w:rsid w:val="00E264CF"/>
    <w:rsid w:val="00E269A9"/>
    <w:rsid w:val="00E26D2A"/>
    <w:rsid w:val="00E3076D"/>
    <w:rsid w:val="00E3120E"/>
    <w:rsid w:val="00E32C95"/>
    <w:rsid w:val="00E33C52"/>
    <w:rsid w:val="00E345BB"/>
    <w:rsid w:val="00E35049"/>
    <w:rsid w:val="00E35CE9"/>
    <w:rsid w:val="00E36D98"/>
    <w:rsid w:val="00E372AF"/>
    <w:rsid w:val="00E37EF3"/>
    <w:rsid w:val="00E37F25"/>
    <w:rsid w:val="00E40CDC"/>
    <w:rsid w:val="00E41034"/>
    <w:rsid w:val="00E411B8"/>
    <w:rsid w:val="00E42074"/>
    <w:rsid w:val="00E422AF"/>
    <w:rsid w:val="00E4438A"/>
    <w:rsid w:val="00E445A6"/>
    <w:rsid w:val="00E455D1"/>
    <w:rsid w:val="00E45FF1"/>
    <w:rsid w:val="00E460AB"/>
    <w:rsid w:val="00E46AC4"/>
    <w:rsid w:val="00E46BAB"/>
    <w:rsid w:val="00E47410"/>
    <w:rsid w:val="00E50EF2"/>
    <w:rsid w:val="00E50F92"/>
    <w:rsid w:val="00E51606"/>
    <w:rsid w:val="00E5162C"/>
    <w:rsid w:val="00E52FCA"/>
    <w:rsid w:val="00E53C50"/>
    <w:rsid w:val="00E54EF0"/>
    <w:rsid w:val="00E5543B"/>
    <w:rsid w:val="00E55A0E"/>
    <w:rsid w:val="00E5607B"/>
    <w:rsid w:val="00E567F3"/>
    <w:rsid w:val="00E57843"/>
    <w:rsid w:val="00E57BA3"/>
    <w:rsid w:val="00E60182"/>
    <w:rsid w:val="00E6070D"/>
    <w:rsid w:val="00E60927"/>
    <w:rsid w:val="00E60D2C"/>
    <w:rsid w:val="00E61287"/>
    <w:rsid w:val="00E61E5D"/>
    <w:rsid w:val="00E62544"/>
    <w:rsid w:val="00E62620"/>
    <w:rsid w:val="00E62641"/>
    <w:rsid w:val="00E62732"/>
    <w:rsid w:val="00E6273D"/>
    <w:rsid w:val="00E62D93"/>
    <w:rsid w:val="00E63BC4"/>
    <w:rsid w:val="00E63D86"/>
    <w:rsid w:val="00E646CD"/>
    <w:rsid w:val="00E64893"/>
    <w:rsid w:val="00E65140"/>
    <w:rsid w:val="00E65DBF"/>
    <w:rsid w:val="00E66092"/>
    <w:rsid w:val="00E66FD0"/>
    <w:rsid w:val="00E670CA"/>
    <w:rsid w:val="00E671C6"/>
    <w:rsid w:val="00E703ED"/>
    <w:rsid w:val="00E71A0E"/>
    <w:rsid w:val="00E72187"/>
    <w:rsid w:val="00E7230D"/>
    <w:rsid w:val="00E73503"/>
    <w:rsid w:val="00E738CC"/>
    <w:rsid w:val="00E74B1D"/>
    <w:rsid w:val="00E74C02"/>
    <w:rsid w:val="00E75007"/>
    <w:rsid w:val="00E7510E"/>
    <w:rsid w:val="00E757F2"/>
    <w:rsid w:val="00E75BD7"/>
    <w:rsid w:val="00E75BEA"/>
    <w:rsid w:val="00E75C04"/>
    <w:rsid w:val="00E75D19"/>
    <w:rsid w:val="00E75E74"/>
    <w:rsid w:val="00E76970"/>
    <w:rsid w:val="00E76C49"/>
    <w:rsid w:val="00E77631"/>
    <w:rsid w:val="00E77898"/>
    <w:rsid w:val="00E77F31"/>
    <w:rsid w:val="00E80CB7"/>
    <w:rsid w:val="00E80D38"/>
    <w:rsid w:val="00E8202F"/>
    <w:rsid w:val="00E82B6E"/>
    <w:rsid w:val="00E839F1"/>
    <w:rsid w:val="00E8488D"/>
    <w:rsid w:val="00E84B1F"/>
    <w:rsid w:val="00E84E2D"/>
    <w:rsid w:val="00E8564B"/>
    <w:rsid w:val="00E85B43"/>
    <w:rsid w:val="00E85BD5"/>
    <w:rsid w:val="00E85EB2"/>
    <w:rsid w:val="00E86180"/>
    <w:rsid w:val="00E869F5"/>
    <w:rsid w:val="00E871D2"/>
    <w:rsid w:val="00E87748"/>
    <w:rsid w:val="00E879F8"/>
    <w:rsid w:val="00E87ECF"/>
    <w:rsid w:val="00E90520"/>
    <w:rsid w:val="00E91B9D"/>
    <w:rsid w:val="00E92200"/>
    <w:rsid w:val="00E922D2"/>
    <w:rsid w:val="00E9284E"/>
    <w:rsid w:val="00E9287D"/>
    <w:rsid w:val="00E92BDB"/>
    <w:rsid w:val="00E932D3"/>
    <w:rsid w:val="00E93329"/>
    <w:rsid w:val="00E93B04"/>
    <w:rsid w:val="00E9494B"/>
    <w:rsid w:val="00E94EBA"/>
    <w:rsid w:val="00E95C50"/>
    <w:rsid w:val="00E95D37"/>
    <w:rsid w:val="00E96024"/>
    <w:rsid w:val="00E96AD4"/>
    <w:rsid w:val="00E9790A"/>
    <w:rsid w:val="00E97E63"/>
    <w:rsid w:val="00EA0215"/>
    <w:rsid w:val="00EA0916"/>
    <w:rsid w:val="00EA12D8"/>
    <w:rsid w:val="00EA1318"/>
    <w:rsid w:val="00EA19B6"/>
    <w:rsid w:val="00EA22F5"/>
    <w:rsid w:val="00EA284A"/>
    <w:rsid w:val="00EA2C3D"/>
    <w:rsid w:val="00EA30A3"/>
    <w:rsid w:val="00EA346F"/>
    <w:rsid w:val="00EA3755"/>
    <w:rsid w:val="00EA46C7"/>
    <w:rsid w:val="00EA5216"/>
    <w:rsid w:val="00EA5595"/>
    <w:rsid w:val="00EA5782"/>
    <w:rsid w:val="00EA5876"/>
    <w:rsid w:val="00EA59CD"/>
    <w:rsid w:val="00EA6E98"/>
    <w:rsid w:val="00EA7359"/>
    <w:rsid w:val="00EA7FFD"/>
    <w:rsid w:val="00EB0E46"/>
    <w:rsid w:val="00EB17DA"/>
    <w:rsid w:val="00EB1B42"/>
    <w:rsid w:val="00EB2D47"/>
    <w:rsid w:val="00EB37DF"/>
    <w:rsid w:val="00EB3E9A"/>
    <w:rsid w:val="00EB5021"/>
    <w:rsid w:val="00EB5BD6"/>
    <w:rsid w:val="00EB6110"/>
    <w:rsid w:val="00EB6477"/>
    <w:rsid w:val="00EB7D11"/>
    <w:rsid w:val="00EC06EA"/>
    <w:rsid w:val="00EC1D2D"/>
    <w:rsid w:val="00EC1FB5"/>
    <w:rsid w:val="00EC2347"/>
    <w:rsid w:val="00EC253E"/>
    <w:rsid w:val="00EC26F6"/>
    <w:rsid w:val="00EC29F2"/>
    <w:rsid w:val="00EC2E84"/>
    <w:rsid w:val="00EC2EA4"/>
    <w:rsid w:val="00EC41A5"/>
    <w:rsid w:val="00EC41F9"/>
    <w:rsid w:val="00EC446D"/>
    <w:rsid w:val="00EC5C96"/>
    <w:rsid w:val="00EC6286"/>
    <w:rsid w:val="00EC6584"/>
    <w:rsid w:val="00EC715B"/>
    <w:rsid w:val="00EC7CBB"/>
    <w:rsid w:val="00EC7D44"/>
    <w:rsid w:val="00ED11E5"/>
    <w:rsid w:val="00ED146E"/>
    <w:rsid w:val="00ED1B0C"/>
    <w:rsid w:val="00ED2152"/>
    <w:rsid w:val="00ED2532"/>
    <w:rsid w:val="00ED2E1E"/>
    <w:rsid w:val="00ED4260"/>
    <w:rsid w:val="00ED6323"/>
    <w:rsid w:val="00EE059D"/>
    <w:rsid w:val="00EE0B37"/>
    <w:rsid w:val="00EE17FE"/>
    <w:rsid w:val="00EE1B44"/>
    <w:rsid w:val="00EE258E"/>
    <w:rsid w:val="00EE2A9D"/>
    <w:rsid w:val="00EE3AAD"/>
    <w:rsid w:val="00EE3EDA"/>
    <w:rsid w:val="00EE49F7"/>
    <w:rsid w:val="00EE60FE"/>
    <w:rsid w:val="00EE619D"/>
    <w:rsid w:val="00EE6906"/>
    <w:rsid w:val="00EE69F9"/>
    <w:rsid w:val="00EE78AF"/>
    <w:rsid w:val="00EF17B9"/>
    <w:rsid w:val="00EF2119"/>
    <w:rsid w:val="00EF2311"/>
    <w:rsid w:val="00EF23A6"/>
    <w:rsid w:val="00EF23EF"/>
    <w:rsid w:val="00EF30C9"/>
    <w:rsid w:val="00EF3D32"/>
    <w:rsid w:val="00EF4587"/>
    <w:rsid w:val="00EF4F1D"/>
    <w:rsid w:val="00EF5014"/>
    <w:rsid w:val="00EF5F5F"/>
    <w:rsid w:val="00EF60F7"/>
    <w:rsid w:val="00EF6116"/>
    <w:rsid w:val="00EF654F"/>
    <w:rsid w:val="00EF6867"/>
    <w:rsid w:val="00EF6AFC"/>
    <w:rsid w:val="00EF71FA"/>
    <w:rsid w:val="00EF7637"/>
    <w:rsid w:val="00EF7DA6"/>
    <w:rsid w:val="00F00F97"/>
    <w:rsid w:val="00F0157B"/>
    <w:rsid w:val="00F03B04"/>
    <w:rsid w:val="00F047FD"/>
    <w:rsid w:val="00F04C4F"/>
    <w:rsid w:val="00F04FA9"/>
    <w:rsid w:val="00F055E4"/>
    <w:rsid w:val="00F05BF3"/>
    <w:rsid w:val="00F05F7B"/>
    <w:rsid w:val="00F06030"/>
    <w:rsid w:val="00F06676"/>
    <w:rsid w:val="00F06A63"/>
    <w:rsid w:val="00F07DED"/>
    <w:rsid w:val="00F10187"/>
    <w:rsid w:val="00F1144B"/>
    <w:rsid w:val="00F11E43"/>
    <w:rsid w:val="00F14E4C"/>
    <w:rsid w:val="00F15879"/>
    <w:rsid w:val="00F175BE"/>
    <w:rsid w:val="00F1778D"/>
    <w:rsid w:val="00F17D05"/>
    <w:rsid w:val="00F20113"/>
    <w:rsid w:val="00F2013C"/>
    <w:rsid w:val="00F2023F"/>
    <w:rsid w:val="00F205D8"/>
    <w:rsid w:val="00F20FDB"/>
    <w:rsid w:val="00F21C69"/>
    <w:rsid w:val="00F21CC4"/>
    <w:rsid w:val="00F222BB"/>
    <w:rsid w:val="00F22731"/>
    <w:rsid w:val="00F2370E"/>
    <w:rsid w:val="00F23BDF"/>
    <w:rsid w:val="00F24113"/>
    <w:rsid w:val="00F24B97"/>
    <w:rsid w:val="00F26D6F"/>
    <w:rsid w:val="00F275DB"/>
    <w:rsid w:val="00F27A31"/>
    <w:rsid w:val="00F27AFB"/>
    <w:rsid w:val="00F27DB1"/>
    <w:rsid w:val="00F30983"/>
    <w:rsid w:val="00F31280"/>
    <w:rsid w:val="00F31F83"/>
    <w:rsid w:val="00F32CDD"/>
    <w:rsid w:val="00F333AD"/>
    <w:rsid w:val="00F338C6"/>
    <w:rsid w:val="00F342E3"/>
    <w:rsid w:val="00F343B2"/>
    <w:rsid w:val="00F35007"/>
    <w:rsid w:val="00F35215"/>
    <w:rsid w:val="00F3560C"/>
    <w:rsid w:val="00F3563A"/>
    <w:rsid w:val="00F36E8F"/>
    <w:rsid w:val="00F37A3D"/>
    <w:rsid w:val="00F402D5"/>
    <w:rsid w:val="00F40395"/>
    <w:rsid w:val="00F404A7"/>
    <w:rsid w:val="00F41C02"/>
    <w:rsid w:val="00F422BA"/>
    <w:rsid w:val="00F422DA"/>
    <w:rsid w:val="00F42DCC"/>
    <w:rsid w:val="00F4325D"/>
    <w:rsid w:val="00F43E0A"/>
    <w:rsid w:val="00F4486F"/>
    <w:rsid w:val="00F44BD8"/>
    <w:rsid w:val="00F44E5E"/>
    <w:rsid w:val="00F44F61"/>
    <w:rsid w:val="00F47DC8"/>
    <w:rsid w:val="00F5084C"/>
    <w:rsid w:val="00F50892"/>
    <w:rsid w:val="00F50B14"/>
    <w:rsid w:val="00F5124D"/>
    <w:rsid w:val="00F5148D"/>
    <w:rsid w:val="00F516E2"/>
    <w:rsid w:val="00F51CAF"/>
    <w:rsid w:val="00F52DA5"/>
    <w:rsid w:val="00F530C3"/>
    <w:rsid w:val="00F536FC"/>
    <w:rsid w:val="00F53DCD"/>
    <w:rsid w:val="00F53E4C"/>
    <w:rsid w:val="00F53F83"/>
    <w:rsid w:val="00F54D9A"/>
    <w:rsid w:val="00F5638E"/>
    <w:rsid w:val="00F57888"/>
    <w:rsid w:val="00F579FC"/>
    <w:rsid w:val="00F57A52"/>
    <w:rsid w:val="00F57D35"/>
    <w:rsid w:val="00F57F39"/>
    <w:rsid w:val="00F61346"/>
    <w:rsid w:val="00F6220D"/>
    <w:rsid w:val="00F623D6"/>
    <w:rsid w:val="00F624BB"/>
    <w:rsid w:val="00F632F5"/>
    <w:rsid w:val="00F6516B"/>
    <w:rsid w:val="00F6588F"/>
    <w:rsid w:val="00F6749C"/>
    <w:rsid w:val="00F7063D"/>
    <w:rsid w:val="00F71AB1"/>
    <w:rsid w:val="00F7251D"/>
    <w:rsid w:val="00F72CE2"/>
    <w:rsid w:val="00F73205"/>
    <w:rsid w:val="00F734CF"/>
    <w:rsid w:val="00F737D4"/>
    <w:rsid w:val="00F7394A"/>
    <w:rsid w:val="00F739E2"/>
    <w:rsid w:val="00F73D79"/>
    <w:rsid w:val="00F74627"/>
    <w:rsid w:val="00F75D81"/>
    <w:rsid w:val="00F7692D"/>
    <w:rsid w:val="00F77512"/>
    <w:rsid w:val="00F77591"/>
    <w:rsid w:val="00F775F1"/>
    <w:rsid w:val="00F77FAE"/>
    <w:rsid w:val="00F8022E"/>
    <w:rsid w:val="00F80E58"/>
    <w:rsid w:val="00F81781"/>
    <w:rsid w:val="00F81FBC"/>
    <w:rsid w:val="00F81FD0"/>
    <w:rsid w:val="00F822DC"/>
    <w:rsid w:val="00F8239F"/>
    <w:rsid w:val="00F83290"/>
    <w:rsid w:val="00F840F9"/>
    <w:rsid w:val="00F84B26"/>
    <w:rsid w:val="00F85A26"/>
    <w:rsid w:val="00F85D7B"/>
    <w:rsid w:val="00F86833"/>
    <w:rsid w:val="00F86FF1"/>
    <w:rsid w:val="00F8782C"/>
    <w:rsid w:val="00F87DA9"/>
    <w:rsid w:val="00F9000A"/>
    <w:rsid w:val="00F91308"/>
    <w:rsid w:val="00F91316"/>
    <w:rsid w:val="00F929D7"/>
    <w:rsid w:val="00F941B0"/>
    <w:rsid w:val="00F9440D"/>
    <w:rsid w:val="00F94A45"/>
    <w:rsid w:val="00F96DD9"/>
    <w:rsid w:val="00F976AC"/>
    <w:rsid w:val="00FA0F6B"/>
    <w:rsid w:val="00FA1091"/>
    <w:rsid w:val="00FA11F8"/>
    <w:rsid w:val="00FA162A"/>
    <w:rsid w:val="00FA208A"/>
    <w:rsid w:val="00FA2176"/>
    <w:rsid w:val="00FA257D"/>
    <w:rsid w:val="00FA2913"/>
    <w:rsid w:val="00FA2B25"/>
    <w:rsid w:val="00FA31BB"/>
    <w:rsid w:val="00FA366F"/>
    <w:rsid w:val="00FA384E"/>
    <w:rsid w:val="00FA3B84"/>
    <w:rsid w:val="00FA402C"/>
    <w:rsid w:val="00FA48A7"/>
    <w:rsid w:val="00FA4DCB"/>
    <w:rsid w:val="00FA54E7"/>
    <w:rsid w:val="00FA7422"/>
    <w:rsid w:val="00FA7C96"/>
    <w:rsid w:val="00FB02E2"/>
    <w:rsid w:val="00FB0B54"/>
    <w:rsid w:val="00FB115D"/>
    <w:rsid w:val="00FB13D0"/>
    <w:rsid w:val="00FB3CB3"/>
    <w:rsid w:val="00FB4099"/>
    <w:rsid w:val="00FB4148"/>
    <w:rsid w:val="00FB42A9"/>
    <w:rsid w:val="00FB4423"/>
    <w:rsid w:val="00FB46AD"/>
    <w:rsid w:val="00FB5099"/>
    <w:rsid w:val="00FB5161"/>
    <w:rsid w:val="00FB52C7"/>
    <w:rsid w:val="00FB567D"/>
    <w:rsid w:val="00FB64CF"/>
    <w:rsid w:val="00FB6522"/>
    <w:rsid w:val="00FC087C"/>
    <w:rsid w:val="00FC0E34"/>
    <w:rsid w:val="00FC10DE"/>
    <w:rsid w:val="00FC12EA"/>
    <w:rsid w:val="00FC1364"/>
    <w:rsid w:val="00FC1645"/>
    <w:rsid w:val="00FC1F5A"/>
    <w:rsid w:val="00FC28AF"/>
    <w:rsid w:val="00FC28DE"/>
    <w:rsid w:val="00FC34D4"/>
    <w:rsid w:val="00FC3675"/>
    <w:rsid w:val="00FC3F11"/>
    <w:rsid w:val="00FC43C5"/>
    <w:rsid w:val="00FC43F7"/>
    <w:rsid w:val="00FC4C86"/>
    <w:rsid w:val="00FC518F"/>
    <w:rsid w:val="00FC51FD"/>
    <w:rsid w:val="00FC58A2"/>
    <w:rsid w:val="00FC6DF0"/>
    <w:rsid w:val="00FC7467"/>
    <w:rsid w:val="00FD0345"/>
    <w:rsid w:val="00FD0411"/>
    <w:rsid w:val="00FD2283"/>
    <w:rsid w:val="00FD31F9"/>
    <w:rsid w:val="00FD41BE"/>
    <w:rsid w:val="00FD48E1"/>
    <w:rsid w:val="00FD4DC8"/>
    <w:rsid w:val="00FD52FD"/>
    <w:rsid w:val="00FD5E28"/>
    <w:rsid w:val="00FD6CED"/>
    <w:rsid w:val="00FD752D"/>
    <w:rsid w:val="00FD7709"/>
    <w:rsid w:val="00FD7F18"/>
    <w:rsid w:val="00FE0C50"/>
    <w:rsid w:val="00FE0CFA"/>
    <w:rsid w:val="00FE0DBC"/>
    <w:rsid w:val="00FE161D"/>
    <w:rsid w:val="00FE1DE4"/>
    <w:rsid w:val="00FE1F22"/>
    <w:rsid w:val="00FE2933"/>
    <w:rsid w:val="00FE2D95"/>
    <w:rsid w:val="00FE2F30"/>
    <w:rsid w:val="00FE327B"/>
    <w:rsid w:val="00FE4019"/>
    <w:rsid w:val="00FE4AE1"/>
    <w:rsid w:val="00FE5113"/>
    <w:rsid w:val="00FE6993"/>
    <w:rsid w:val="00FE73F6"/>
    <w:rsid w:val="00FE7CBC"/>
    <w:rsid w:val="00FF0E3E"/>
    <w:rsid w:val="00FF1486"/>
    <w:rsid w:val="00FF21E5"/>
    <w:rsid w:val="00FF22C0"/>
    <w:rsid w:val="00FF347C"/>
    <w:rsid w:val="00FF3DDC"/>
    <w:rsid w:val="00FF4269"/>
    <w:rsid w:val="00FF547C"/>
    <w:rsid w:val="00FF553C"/>
    <w:rsid w:val="00FF558C"/>
    <w:rsid w:val="00FF5863"/>
    <w:rsid w:val="00FF6156"/>
    <w:rsid w:val="00FF7130"/>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74399"/>
  </w:style>
  <w:style w:type="paragraph" w:styleId="Ttulo1">
    <w:name w:val="heading 1"/>
    <w:basedOn w:val="Normal"/>
    <w:next w:val="Normal"/>
    <w:link w:val="Ttulo1Car"/>
    <w:uiPriority w:val="99"/>
    <w:qFormat/>
    <w:rsid w:val="00AF6615"/>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AF6615"/>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AF6615"/>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AF6615"/>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AF6615"/>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AF6615"/>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AF6615"/>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AF6615"/>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AF6615"/>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6F657A"/>
    <w:rPr>
      <w:sz w:val="16"/>
      <w:szCs w:val="16"/>
    </w:rPr>
  </w:style>
  <w:style w:type="paragraph" w:styleId="Textocomentario">
    <w:name w:val="annotation text"/>
    <w:basedOn w:val="Normal"/>
    <w:link w:val="TextocomentarioCar"/>
    <w:uiPriority w:val="99"/>
    <w:semiHidden/>
    <w:rsid w:val="006F657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6F657A"/>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4743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57A"/>
    <w:rPr>
      <w:rFonts w:ascii="Tahoma" w:hAnsi="Tahoma" w:cs="Tahoma"/>
      <w:sz w:val="16"/>
      <w:szCs w:val="16"/>
    </w:rPr>
  </w:style>
  <w:style w:type="character" w:customStyle="1" w:styleId="Ttulo1Car">
    <w:name w:val="Título 1 Car"/>
    <w:basedOn w:val="Fuentedeprrafopredeter"/>
    <w:link w:val="Ttulo1"/>
    <w:uiPriority w:val="99"/>
    <w:rsid w:val="00AF6615"/>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AF6615"/>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AF6615"/>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AF6615"/>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AF6615"/>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AF6615"/>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AF6615"/>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AF6615"/>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AF6615"/>
    <w:rPr>
      <w:rFonts w:ascii="Times New Roman" w:eastAsia="Times New Roman" w:hAnsi="Times New Roman" w:cs="Times New Roman"/>
      <w:sz w:val="20"/>
      <w:szCs w:val="20"/>
      <w:lang w:eastAsia="zh-CN"/>
    </w:rPr>
  </w:style>
  <w:style w:type="numbering" w:customStyle="1" w:styleId="Sinlista1">
    <w:name w:val="Sin lista1"/>
    <w:next w:val="Sinlista"/>
    <w:semiHidden/>
    <w:unhideWhenUsed/>
    <w:rsid w:val="00AF6615"/>
  </w:style>
  <w:style w:type="paragraph" w:customStyle="1" w:styleId="Textoindependiente21">
    <w:name w:val="Texto independiente 21"/>
    <w:basedOn w:val="Normal"/>
    <w:uiPriority w:val="99"/>
    <w:rsid w:val="00AF6615"/>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AF6615"/>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AF6615"/>
    <w:rPr>
      <w:rFonts w:ascii="Arial" w:eastAsia="Times New Roman" w:hAnsi="Arial" w:cs="Times New Roman"/>
      <w:szCs w:val="20"/>
      <w:lang w:val="es-ES_tradnl" w:eastAsia="zh-CN"/>
    </w:rPr>
  </w:style>
  <w:style w:type="paragraph" w:customStyle="1" w:styleId="Sangra2detindependiente1">
    <w:name w:val="Sangría 2 de t. independiente1"/>
    <w:basedOn w:val="Normal"/>
    <w:uiPriority w:val="99"/>
    <w:rsid w:val="00AF6615"/>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AF6615"/>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AF6615"/>
  </w:style>
  <w:style w:type="paragraph" w:styleId="Encabezado">
    <w:name w:val="header"/>
    <w:basedOn w:val="Normal"/>
    <w:link w:val="EncabezadoCar"/>
    <w:uiPriority w:val="99"/>
    <w:rsid w:val="00AF6615"/>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eastAsia="zh-CN"/>
    </w:rPr>
  </w:style>
  <w:style w:type="character" w:customStyle="1" w:styleId="EncabezadoCar">
    <w:name w:val="Encabezado Car"/>
    <w:basedOn w:val="Fuentedeprrafopredeter"/>
    <w:link w:val="Encabezado"/>
    <w:uiPriority w:val="99"/>
    <w:rsid w:val="00AF6615"/>
    <w:rPr>
      <w:rFonts w:ascii="Arial" w:eastAsia="Times New Roman" w:hAnsi="Arial" w:cs="Times New Roman"/>
      <w:szCs w:val="20"/>
      <w:lang w:val="es-ES_tradnl" w:eastAsia="zh-CN"/>
    </w:rPr>
  </w:style>
  <w:style w:type="paragraph" w:styleId="Piedepgina">
    <w:name w:val="footer"/>
    <w:basedOn w:val="Normal"/>
    <w:link w:val="PiedepginaCar"/>
    <w:uiPriority w:val="99"/>
    <w:rsid w:val="00AF6615"/>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eastAsia="zh-CN"/>
    </w:rPr>
  </w:style>
  <w:style w:type="character" w:customStyle="1" w:styleId="PiedepginaCar">
    <w:name w:val="Pie de página Car"/>
    <w:basedOn w:val="Fuentedeprrafopredeter"/>
    <w:link w:val="Piedepgina"/>
    <w:uiPriority w:val="99"/>
    <w:rsid w:val="00AF6615"/>
    <w:rPr>
      <w:rFonts w:ascii="Arial" w:eastAsia="Times New Roman" w:hAnsi="Arial" w:cs="Times New Roman"/>
      <w:szCs w:val="20"/>
      <w:lang w:val="es-ES_tradnl" w:eastAsia="zh-CN"/>
    </w:rPr>
  </w:style>
  <w:style w:type="paragraph" w:customStyle="1" w:styleId="BodyText21">
    <w:name w:val="Body Text 21"/>
    <w:basedOn w:val="Normal"/>
    <w:uiPriority w:val="99"/>
    <w:rsid w:val="00AF6615"/>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AF6615"/>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AF6615"/>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AF6615"/>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AF6615"/>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AF6615"/>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AF6615"/>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AF6615"/>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AF6615"/>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AF6615"/>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AF6615"/>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AF6615"/>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AF6615"/>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AF6615"/>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AF6615"/>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AF6615"/>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AF6615"/>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AF6615"/>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AF6615"/>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AF6615"/>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AF6615"/>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AF6615"/>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AF6615"/>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AF6615"/>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AF6615"/>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AF6615"/>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AF6615"/>
    <w:rPr>
      <w:rFonts w:ascii="Times New Roman" w:eastAsia="Times New Roman" w:hAnsi="Times New Roman" w:cs="Times New Roman"/>
      <w:szCs w:val="20"/>
      <w:lang w:eastAsia="zh-CN"/>
    </w:rPr>
  </w:style>
  <w:style w:type="paragraph" w:styleId="Textodebloque">
    <w:name w:val="Block Text"/>
    <w:basedOn w:val="Normal"/>
    <w:uiPriority w:val="99"/>
    <w:rsid w:val="00AF6615"/>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AF6615"/>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eastAsia="zh-CN"/>
    </w:rPr>
  </w:style>
  <w:style w:type="character" w:customStyle="1" w:styleId="Textoindependiente2Car">
    <w:name w:val="Texto independiente 2 Car"/>
    <w:basedOn w:val="Fuentedeprrafopredeter"/>
    <w:link w:val="Textoindependiente2"/>
    <w:uiPriority w:val="99"/>
    <w:rsid w:val="00AF6615"/>
    <w:rPr>
      <w:rFonts w:ascii="Arial" w:eastAsia="Times New Roman" w:hAnsi="Arial"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AF6615"/>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AF6615"/>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AF6615"/>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AF6615"/>
    <w:rPr>
      <w:rFonts w:ascii="Courier New" w:eastAsia="Times New Roman" w:hAnsi="Courier New" w:cs="Times New Roman"/>
      <w:sz w:val="20"/>
      <w:szCs w:val="20"/>
      <w:lang w:val="en-GB"/>
    </w:rPr>
  </w:style>
  <w:style w:type="paragraph" w:styleId="Ttulo">
    <w:name w:val="Title"/>
    <w:basedOn w:val="Normal"/>
    <w:link w:val="TtuloCar"/>
    <w:uiPriority w:val="99"/>
    <w:qFormat/>
    <w:rsid w:val="00AF6615"/>
    <w:pPr>
      <w:spacing w:after="0" w:line="240" w:lineRule="auto"/>
      <w:jc w:val="center"/>
    </w:pPr>
    <w:rPr>
      <w:rFonts w:ascii="Arial" w:eastAsia="Times New Roman" w:hAnsi="Arial" w:cs="Times New Roman"/>
      <w:b/>
      <w:sz w:val="32"/>
      <w:szCs w:val="20"/>
    </w:rPr>
  </w:style>
  <w:style w:type="character" w:customStyle="1" w:styleId="TtuloCar">
    <w:name w:val="Título Car"/>
    <w:basedOn w:val="Fuentedeprrafopredeter"/>
    <w:link w:val="Ttulo"/>
    <w:uiPriority w:val="99"/>
    <w:rsid w:val="00AF6615"/>
    <w:rPr>
      <w:rFonts w:ascii="Arial" w:eastAsia="Times New Roman" w:hAnsi="Arial" w:cs="Times New Roman"/>
      <w:b/>
      <w:sz w:val="32"/>
      <w:szCs w:val="20"/>
    </w:rPr>
  </w:style>
  <w:style w:type="paragraph" w:styleId="Asuntodelcomentario">
    <w:name w:val="annotation subject"/>
    <w:basedOn w:val="Textocomentario"/>
    <w:next w:val="Textocomentario"/>
    <w:link w:val="AsuntodelcomentarioCar"/>
    <w:uiPriority w:val="99"/>
    <w:semiHidden/>
    <w:rsid w:val="00AF6615"/>
    <w:rPr>
      <w:b/>
      <w:bCs/>
    </w:rPr>
  </w:style>
  <w:style w:type="character" w:customStyle="1" w:styleId="AsuntodelcomentarioCar">
    <w:name w:val="Asunto del comentario Car"/>
    <w:basedOn w:val="TextocomentarioCar"/>
    <w:link w:val="Asuntodelcomentario"/>
    <w:uiPriority w:val="99"/>
    <w:semiHidden/>
    <w:rsid w:val="00AF6615"/>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AF6615"/>
    <w:rPr>
      <w:rFonts w:ascii="Times New Roman" w:eastAsia="Times New Roman" w:hAnsi="Times New Roman" w:cs="Times New Roman"/>
      <w:sz w:val="20"/>
      <w:szCs w:val="20"/>
      <w:lang w:eastAsia="zh-CN"/>
    </w:rPr>
  </w:style>
  <w:style w:type="character" w:styleId="Refdenotaalpie">
    <w:name w:val="footnote reference"/>
    <w:uiPriority w:val="99"/>
    <w:semiHidden/>
    <w:rsid w:val="00AF6615"/>
    <w:rPr>
      <w:vertAlign w:val="superscript"/>
    </w:rPr>
  </w:style>
  <w:style w:type="paragraph" w:customStyle="1" w:styleId="Pelota">
    <w:name w:val="Pelota"/>
    <w:basedOn w:val="Normal"/>
    <w:uiPriority w:val="99"/>
    <w:rsid w:val="00AF6615"/>
    <w:pPr>
      <w:spacing w:after="0" w:line="240" w:lineRule="auto"/>
      <w:jc w:val="both"/>
    </w:pPr>
    <w:rPr>
      <w:rFonts w:ascii="Times New Roman" w:eastAsia="Times New Roman" w:hAnsi="Times New Roman" w:cs="Times New Roman"/>
      <w:szCs w:val="24"/>
      <w:lang w:val="en-US" w:eastAsia="es-ES"/>
    </w:rPr>
  </w:style>
  <w:style w:type="table" w:styleId="Tablaconcuadrcula">
    <w:name w:val="Table Grid"/>
    <w:basedOn w:val="Tablanormal"/>
    <w:uiPriority w:val="99"/>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AF6615"/>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AF6615"/>
    <w:rPr>
      <w:rFonts w:ascii="Arial" w:hAnsi="Arial"/>
      <w:sz w:val="22"/>
      <w:lang w:val="es-ES_tradnl" w:eastAsia="zh-CN" w:bidi="ar-SA"/>
    </w:rPr>
  </w:style>
  <w:style w:type="paragraph" w:styleId="Prrafodelista">
    <w:name w:val="List Paragraph"/>
    <w:aliases w:val="Lista 123"/>
    <w:basedOn w:val="Normal"/>
    <w:link w:val="PrrafodelistaCar"/>
    <w:qFormat/>
    <w:rsid w:val="00AF6615"/>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styleId="Revisin">
    <w:name w:val="Revision"/>
    <w:hidden/>
    <w:uiPriority w:val="99"/>
    <w:semiHidden/>
    <w:rsid w:val="00AF6615"/>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AF6615"/>
    <w:rPr>
      <w:color w:val="0000FF"/>
      <w:u w:val="single"/>
    </w:rPr>
  </w:style>
  <w:style w:type="character" w:styleId="Hipervnculovisitado">
    <w:name w:val="FollowedHyperlink"/>
    <w:uiPriority w:val="99"/>
    <w:rsid w:val="00AF6615"/>
    <w:rPr>
      <w:color w:val="800080"/>
      <w:u w:val="single"/>
    </w:rPr>
  </w:style>
  <w:style w:type="paragraph" w:styleId="TtulodeTDC">
    <w:name w:val="TOC Heading"/>
    <w:basedOn w:val="Ttulo1"/>
    <w:next w:val="Normal"/>
    <w:uiPriority w:val="99"/>
    <w:qFormat/>
    <w:rsid w:val="00AF6615"/>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AF6615"/>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AF6615"/>
    <w:pPr>
      <w:spacing w:after="0" w:line="240" w:lineRule="auto"/>
      <w:ind w:left="720"/>
      <w:jc w:val="both"/>
    </w:pPr>
    <w:rPr>
      <w:rFonts w:ascii="Arial" w:eastAsia="Batang" w:hAnsi="Arial" w:cs="Times New Roman"/>
      <w:szCs w:val="20"/>
      <w:lang w:val="es-ES" w:eastAsia="es-ES"/>
    </w:rPr>
  </w:style>
  <w:style w:type="numbering" w:customStyle="1" w:styleId="Estilo1">
    <w:name w:val="Estilo1"/>
    <w:rsid w:val="00AF6615"/>
    <w:pPr>
      <w:numPr>
        <w:numId w:val="39"/>
      </w:numPr>
    </w:pPr>
  </w:style>
  <w:style w:type="numbering" w:customStyle="1" w:styleId="Sinlista11">
    <w:name w:val="Sin lista11"/>
    <w:next w:val="Sinlista"/>
    <w:semiHidden/>
    <w:rsid w:val="00AF6615"/>
  </w:style>
  <w:style w:type="paragraph" w:customStyle="1" w:styleId="Textoindependiente22">
    <w:name w:val="Texto independiente 22"/>
    <w:basedOn w:val="Normal"/>
    <w:rsid w:val="00AF6615"/>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AF6615"/>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AF6615"/>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AF6615"/>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AF6615"/>
    <w:rPr>
      <w:rFonts w:ascii="Arial" w:hAnsi="Arial" w:cs="Times New Roman"/>
      <w:sz w:val="22"/>
      <w:lang w:val="es-ES_tradnl" w:eastAsia="zh-CN" w:bidi="ar-SA"/>
    </w:rPr>
  </w:style>
  <w:style w:type="numbering" w:customStyle="1" w:styleId="Sinlista2">
    <w:name w:val="Sin lista2"/>
    <w:next w:val="Sinlista"/>
    <w:semiHidden/>
    <w:rsid w:val="00AF6615"/>
  </w:style>
  <w:style w:type="paragraph" w:customStyle="1" w:styleId="Textoindependiente23">
    <w:name w:val="Texto independiente 23"/>
    <w:basedOn w:val="Normal"/>
    <w:rsid w:val="00AF6615"/>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AF6615"/>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AF6615"/>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AF6615"/>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AF6615"/>
  </w:style>
  <w:style w:type="numbering" w:customStyle="1" w:styleId="Sinlista4">
    <w:name w:val="Sin lista4"/>
    <w:next w:val="Sinlista"/>
    <w:uiPriority w:val="99"/>
    <w:semiHidden/>
    <w:unhideWhenUsed/>
    <w:rsid w:val="00661AB1"/>
  </w:style>
  <w:style w:type="character" w:customStyle="1" w:styleId="CarCar">
    <w:name w:val="Car Car"/>
    <w:uiPriority w:val="99"/>
    <w:rsid w:val="00661AB1"/>
    <w:rPr>
      <w:rFonts w:ascii="Arial" w:hAnsi="Arial" w:cs="Times New Roman"/>
      <w:sz w:val="22"/>
      <w:lang w:val="es-ES_tradnl" w:eastAsia="zh-CN" w:bidi="ar-SA"/>
    </w:rPr>
  </w:style>
  <w:style w:type="paragraph" w:customStyle="1" w:styleId="Estilo">
    <w:name w:val="Estilo"/>
    <w:uiPriority w:val="99"/>
    <w:rsid w:val="00661AB1"/>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p10">
    <w:name w:val="p10"/>
    <w:basedOn w:val="Normal"/>
    <w:uiPriority w:val="99"/>
    <w:rsid w:val="00661AB1"/>
    <w:pPr>
      <w:widowControl w:val="0"/>
      <w:spacing w:after="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661AB1"/>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661AB1"/>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661AB1"/>
    <w:pPr>
      <w:tabs>
        <w:tab w:val="left" w:pos="1080"/>
      </w:tabs>
      <w:overflowPunct w:val="0"/>
      <w:autoSpaceDE w:val="0"/>
      <w:autoSpaceDN w:val="0"/>
      <w:adjustRightInd w:val="0"/>
      <w:spacing w:before="60" w:after="120" w:line="240" w:lineRule="auto"/>
      <w:ind w:left="600"/>
      <w:jc w:val="both"/>
      <w:textAlignment w:val="baseline"/>
    </w:pPr>
    <w:rPr>
      <w:rFonts w:ascii="Arial" w:eastAsia="Times New Roman" w:hAnsi="Arial" w:cs="Arial"/>
      <w:bCs/>
      <w:sz w:val="20"/>
      <w:szCs w:val="20"/>
      <w:lang w:val="es-ES"/>
    </w:rPr>
  </w:style>
  <w:style w:type="character" w:customStyle="1" w:styleId="BodyText1Car">
    <w:name w:val="Body Text 1 Car"/>
    <w:link w:val="BodyText1"/>
    <w:uiPriority w:val="99"/>
    <w:locked/>
    <w:rsid w:val="00661AB1"/>
    <w:rPr>
      <w:rFonts w:ascii="Arial" w:eastAsia="Times New Roman" w:hAnsi="Arial" w:cs="Arial"/>
      <w:bCs/>
      <w:sz w:val="20"/>
      <w:szCs w:val="20"/>
      <w:lang w:val="es-ES"/>
    </w:rPr>
  </w:style>
  <w:style w:type="character" w:customStyle="1" w:styleId="FooterChar1">
    <w:name w:val="Footer Char1"/>
    <w:uiPriority w:val="99"/>
    <w:locked/>
    <w:rsid w:val="00661AB1"/>
    <w:rPr>
      <w:rFonts w:ascii="Arial" w:hAnsi="Arial"/>
      <w:sz w:val="22"/>
      <w:lang w:val="es-ES_tradnl" w:eastAsia="zh-CN"/>
    </w:rPr>
  </w:style>
  <w:style w:type="character" w:customStyle="1" w:styleId="HeaderChar">
    <w:name w:val="Header Char"/>
    <w:uiPriority w:val="99"/>
    <w:semiHidden/>
    <w:locked/>
    <w:rsid w:val="00474399"/>
    <w:rPr>
      <w:rFonts w:cs="Times New Roman"/>
    </w:rPr>
  </w:style>
  <w:style w:type="numbering" w:customStyle="1" w:styleId="Estilo11">
    <w:name w:val="Estilo11"/>
    <w:rsid w:val="00474399"/>
    <w:pPr>
      <w:numPr>
        <w:numId w:val="57"/>
      </w:numPr>
    </w:pPr>
  </w:style>
  <w:style w:type="numbering" w:customStyle="1" w:styleId="Sinlista5">
    <w:name w:val="Sin lista5"/>
    <w:next w:val="Sinlista"/>
    <w:uiPriority w:val="99"/>
    <w:semiHidden/>
    <w:unhideWhenUsed/>
    <w:rsid w:val="00EF4587"/>
  </w:style>
  <w:style w:type="character" w:customStyle="1" w:styleId="PrrafodelistaCar">
    <w:name w:val="Párrafo de lista Car"/>
    <w:aliases w:val="Lista 123 Car"/>
    <w:link w:val="Prrafodelista"/>
    <w:locked/>
    <w:rsid w:val="008F0797"/>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74399"/>
  </w:style>
  <w:style w:type="paragraph" w:styleId="Ttulo1">
    <w:name w:val="heading 1"/>
    <w:basedOn w:val="Normal"/>
    <w:next w:val="Normal"/>
    <w:link w:val="Ttulo1Car"/>
    <w:uiPriority w:val="99"/>
    <w:qFormat/>
    <w:rsid w:val="00AF6615"/>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AF6615"/>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ar"/>
    <w:uiPriority w:val="99"/>
    <w:qFormat/>
    <w:rsid w:val="00AF6615"/>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AF6615"/>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eastAsia="zh-CN"/>
    </w:rPr>
  </w:style>
  <w:style w:type="paragraph" w:styleId="Ttulo5">
    <w:name w:val="heading 5"/>
    <w:basedOn w:val="Normal"/>
    <w:next w:val="Normal"/>
    <w:link w:val="Ttulo5Car"/>
    <w:uiPriority w:val="99"/>
    <w:qFormat/>
    <w:rsid w:val="00AF6615"/>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ar"/>
    <w:uiPriority w:val="99"/>
    <w:qFormat/>
    <w:rsid w:val="00AF6615"/>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eastAsia="zh-CN"/>
    </w:rPr>
  </w:style>
  <w:style w:type="paragraph" w:styleId="Ttulo7">
    <w:name w:val="heading 7"/>
    <w:basedOn w:val="Normal"/>
    <w:next w:val="Normal"/>
    <w:link w:val="Ttulo7Car"/>
    <w:uiPriority w:val="99"/>
    <w:qFormat/>
    <w:rsid w:val="00AF6615"/>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eastAsia="zh-CN"/>
    </w:rPr>
  </w:style>
  <w:style w:type="paragraph" w:styleId="Ttulo8">
    <w:name w:val="heading 8"/>
    <w:basedOn w:val="Normal"/>
    <w:next w:val="Normal"/>
    <w:link w:val="Ttulo8Car"/>
    <w:uiPriority w:val="99"/>
    <w:qFormat/>
    <w:rsid w:val="00AF6615"/>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eastAsia="zh-CN"/>
    </w:rPr>
  </w:style>
  <w:style w:type="paragraph" w:styleId="Ttulo9">
    <w:name w:val="heading 9"/>
    <w:basedOn w:val="Normal"/>
    <w:next w:val="Normal"/>
    <w:link w:val="Ttulo9Car"/>
    <w:uiPriority w:val="99"/>
    <w:qFormat/>
    <w:rsid w:val="00AF6615"/>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6F657A"/>
    <w:rPr>
      <w:sz w:val="16"/>
      <w:szCs w:val="16"/>
    </w:rPr>
  </w:style>
  <w:style w:type="paragraph" w:styleId="Textocomentario">
    <w:name w:val="annotation text"/>
    <w:basedOn w:val="Normal"/>
    <w:link w:val="TextocomentarioCar"/>
    <w:uiPriority w:val="99"/>
    <w:semiHidden/>
    <w:rsid w:val="006F657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x-none" w:eastAsia="zh-CN"/>
    </w:rPr>
  </w:style>
  <w:style w:type="character" w:customStyle="1" w:styleId="TextocomentarioCar">
    <w:name w:val="Texto comentario Car"/>
    <w:basedOn w:val="Fuentedeprrafopredeter"/>
    <w:link w:val="Textocomentario"/>
    <w:uiPriority w:val="99"/>
    <w:semiHidden/>
    <w:rsid w:val="006F657A"/>
    <w:rPr>
      <w:rFonts w:ascii="Times New Roman" w:eastAsia="Times New Roman" w:hAnsi="Times New Roman" w:cs="Times New Roman"/>
      <w:sz w:val="20"/>
      <w:szCs w:val="20"/>
      <w:lang w:val="x-none" w:eastAsia="zh-CN"/>
    </w:rPr>
  </w:style>
  <w:style w:type="paragraph" w:styleId="Textodeglobo">
    <w:name w:val="Balloon Text"/>
    <w:basedOn w:val="Normal"/>
    <w:link w:val="TextodegloboCar"/>
    <w:uiPriority w:val="99"/>
    <w:semiHidden/>
    <w:unhideWhenUsed/>
    <w:rsid w:val="004743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57A"/>
    <w:rPr>
      <w:rFonts w:ascii="Tahoma" w:hAnsi="Tahoma" w:cs="Tahoma"/>
      <w:sz w:val="16"/>
      <w:szCs w:val="16"/>
    </w:rPr>
  </w:style>
  <w:style w:type="character" w:customStyle="1" w:styleId="Ttulo1Car">
    <w:name w:val="Título 1 Car"/>
    <w:basedOn w:val="Fuentedeprrafopredeter"/>
    <w:link w:val="Ttulo1"/>
    <w:uiPriority w:val="99"/>
    <w:rsid w:val="00AF6615"/>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AF6615"/>
    <w:rPr>
      <w:rFonts w:ascii="Times New Roman" w:eastAsia="Times New Roman" w:hAnsi="Times New Roman" w:cs="Times New Roman"/>
      <w:b/>
      <w:sz w:val="24"/>
      <w:szCs w:val="20"/>
      <w:lang w:eastAsia="zh-CN"/>
    </w:rPr>
  </w:style>
  <w:style w:type="character" w:customStyle="1" w:styleId="Ttulo3Car">
    <w:name w:val="Título 3 Car"/>
    <w:basedOn w:val="Fuentedeprrafopredeter"/>
    <w:link w:val="Ttulo3"/>
    <w:uiPriority w:val="99"/>
    <w:rsid w:val="00AF6615"/>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AF6615"/>
    <w:rPr>
      <w:rFonts w:ascii="Times New Roman" w:eastAsia="Times New Roman" w:hAnsi="Times New Roman" w:cs="Times New Roman"/>
      <w:b/>
      <w:sz w:val="28"/>
      <w:szCs w:val="20"/>
      <w:lang w:eastAsia="zh-CN"/>
    </w:rPr>
  </w:style>
  <w:style w:type="character" w:customStyle="1" w:styleId="Ttulo5Car">
    <w:name w:val="Título 5 Car"/>
    <w:basedOn w:val="Fuentedeprrafopredeter"/>
    <w:link w:val="Ttulo5"/>
    <w:uiPriority w:val="99"/>
    <w:rsid w:val="00AF6615"/>
    <w:rPr>
      <w:rFonts w:ascii="Times New Roman" w:eastAsia="Times New Roman" w:hAnsi="Times New Roman" w:cs="Times New Roman"/>
      <w:sz w:val="24"/>
      <w:szCs w:val="20"/>
      <w:lang w:eastAsia="zh-CN"/>
    </w:rPr>
  </w:style>
  <w:style w:type="character" w:customStyle="1" w:styleId="Ttulo6Car">
    <w:name w:val="Título 6 Car"/>
    <w:basedOn w:val="Fuentedeprrafopredeter"/>
    <w:link w:val="Ttulo6"/>
    <w:uiPriority w:val="99"/>
    <w:rsid w:val="00AF6615"/>
    <w:rPr>
      <w:rFonts w:ascii="Times New Roman" w:eastAsia="Times New Roman" w:hAnsi="Times New Roman" w:cs="Times New Roman"/>
      <w:sz w:val="20"/>
      <w:szCs w:val="20"/>
      <w:lang w:eastAsia="zh-CN"/>
    </w:rPr>
  </w:style>
  <w:style w:type="character" w:customStyle="1" w:styleId="Ttulo7Car">
    <w:name w:val="Título 7 Car"/>
    <w:basedOn w:val="Fuentedeprrafopredeter"/>
    <w:link w:val="Ttulo7"/>
    <w:uiPriority w:val="99"/>
    <w:rsid w:val="00AF6615"/>
    <w:rPr>
      <w:rFonts w:ascii="Times New Roman" w:eastAsia="Times New Roman" w:hAnsi="Times New Roman" w:cs="Times New Roman"/>
      <w:sz w:val="20"/>
      <w:szCs w:val="20"/>
      <w:lang w:eastAsia="zh-CN"/>
    </w:rPr>
  </w:style>
  <w:style w:type="character" w:customStyle="1" w:styleId="Ttulo8Car">
    <w:name w:val="Título 8 Car"/>
    <w:basedOn w:val="Fuentedeprrafopredeter"/>
    <w:link w:val="Ttulo8"/>
    <w:uiPriority w:val="99"/>
    <w:rsid w:val="00AF6615"/>
    <w:rPr>
      <w:rFonts w:ascii="Times New Roman" w:eastAsia="Times New Roman" w:hAnsi="Times New Roman" w:cs="Times New Roman"/>
      <w:sz w:val="20"/>
      <w:szCs w:val="20"/>
      <w:lang w:eastAsia="zh-CN"/>
    </w:rPr>
  </w:style>
  <w:style w:type="character" w:customStyle="1" w:styleId="Ttulo9Car">
    <w:name w:val="Título 9 Car"/>
    <w:basedOn w:val="Fuentedeprrafopredeter"/>
    <w:link w:val="Ttulo9"/>
    <w:uiPriority w:val="99"/>
    <w:rsid w:val="00AF6615"/>
    <w:rPr>
      <w:rFonts w:ascii="Times New Roman" w:eastAsia="Times New Roman" w:hAnsi="Times New Roman" w:cs="Times New Roman"/>
      <w:sz w:val="20"/>
      <w:szCs w:val="20"/>
      <w:lang w:eastAsia="zh-CN"/>
    </w:rPr>
  </w:style>
  <w:style w:type="numbering" w:customStyle="1" w:styleId="Sinlista1">
    <w:name w:val="Sin lista1"/>
    <w:next w:val="Sinlista"/>
    <w:semiHidden/>
    <w:unhideWhenUsed/>
    <w:rsid w:val="00AF6615"/>
  </w:style>
  <w:style w:type="paragraph" w:customStyle="1" w:styleId="Textoindependiente21">
    <w:name w:val="Texto independiente 21"/>
    <w:basedOn w:val="Normal"/>
    <w:uiPriority w:val="99"/>
    <w:rsid w:val="00AF6615"/>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AF6615"/>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AF6615"/>
    <w:rPr>
      <w:rFonts w:ascii="Arial" w:eastAsia="Times New Roman" w:hAnsi="Arial" w:cs="Times New Roman"/>
      <w:szCs w:val="20"/>
      <w:lang w:val="es-ES_tradnl" w:eastAsia="zh-CN"/>
    </w:rPr>
  </w:style>
  <w:style w:type="paragraph" w:customStyle="1" w:styleId="Sangra2detindependiente1">
    <w:name w:val="Sangría 2 de t. independiente1"/>
    <w:basedOn w:val="Normal"/>
    <w:uiPriority w:val="99"/>
    <w:rsid w:val="00AF6615"/>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AF6615"/>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AF6615"/>
  </w:style>
  <w:style w:type="paragraph" w:styleId="Encabezado">
    <w:name w:val="header"/>
    <w:basedOn w:val="Normal"/>
    <w:link w:val="EncabezadoCar"/>
    <w:uiPriority w:val="99"/>
    <w:rsid w:val="00AF6615"/>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eastAsia="zh-CN"/>
    </w:rPr>
  </w:style>
  <w:style w:type="character" w:customStyle="1" w:styleId="EncabezadoCar">
    <w:name w:val="Encabezado Car"/>
    <w:basedOn w:val="Fuentedeprrafopredeter"/>
    <w:link w:val="Encabezado"/>
    <w:uiPriority w:val="99"/>
    <w:rsid w:val="00AF6615"/>
    <w:rPr>
      <w:rFonts w:ascii="Arial" w:eastAsia="Times New Roman" w:hAnsi="Arial" w:cs="Times New Roman"/>
      <w:szCs w:val="20"/>
      <w:lang w:val="es-ES_tradnl" w:eastAsia="zh-CN"/>
    </w:rPr>
  </w:style>
  <w:style w:type="paragraph" w:styleId="Piedepgina">
    <w:name w:val="footer"/>
    <w:basedOn w:val="Normal"/>
    <w:link w:val="PiedepginaCar"/>
    <w:uiPriority w:val="99"/>
    <w:rsid w:val="00AF6615"/>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eastAsia="zh-CN"/>
    </w:rPr>
  </w:style>
  <w:style w:type="character" w:customStyle="1" w:styleId="PiedepginaCar">
    <w:name w:val="Pie de página Car"/>
    <w:basedOn w:val="Fuentedeprrafopredeter"/>
    <w:link w:val="Piedepgina"/>
    <w:uiPriority w:val="99"/>
    <w:rsid w:val="00AF6615"/>
    <w:rPr>
      <w:rFonts w:ascii="Arial" w:eastAsia="Times New Roman" w:hAnsi="Arial" w:cs="Times New Roman"/>
      <w:szCs w:val="20"/>
      <w:lang w:val="es-ES_tradnl" w:eastAsia="zh-CN"/>
    </w:rPr>
  </w:style>
  <w:style w:type="paragraph" w:customStyle="1" w:styleId="BodyText21">
    <w:name w:val="Body Text 21"/>
    <w:basedOn w:val="Normal"/>
    <w:uiPriority w:val="99"/>
    <w:rsid w:val="00AF6615"/>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AF6615"/>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AF6615"/>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AF6615"/>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AF6615"/>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AF6615"/>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AF6615"/>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AF6615"/>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AF6615"/>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AF6615"/>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AF6615"/>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AF6615"/>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AF6615"/>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AF6615"/>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AF6615"/>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AF6615"/>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AF6615"/>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AF6615"/>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AF6615"/>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AF6615"/>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AF6615"/>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AF6615"/>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AF6615"/>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AF6615"/>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AF6615"/>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AF6615"/>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eastAsia="zh-CN"/>
    </w:rPr>
  </w:style>
  <w:style w:type="character" w:customStyle="1" w:styleId="Sangra3detindependienteCar">
    <w:name w:val="Sangría 3 de t. independiente Car"/>
    <w:basedOn w:val="Fuentedeprrafopredeter"/>
    <w:link w:val="Sangra3detindependiente"/>
    <w:uiPriority w:val="99"/>
    <w:rsid w:val="00AF6615"/>
    <w:rPr>
      <w:rFonts w:ascii="Times New Roman" w:eastAsia="Times New Roman" w:hAnsi="Times New Roman" w:cs="Times New Roman"/>
      <w:szCs w:val="20"/>
      <w:lang w:eastAsia="zh-CN"/>
    </w:rPr>
  </w:style>
  <w:style w:type="paragraph" w:styleId="Textodebloque">
    <w:name w:val="Block Text"/>
    <w:basedOn w:val="Normal"/>
    <w:uiPriority w:val="99"/>
    <w:rsid w:val="00AF6615"/>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AF6615"/>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eastAsia="zh-CN"/>
    </w:rPr>
  </w:style>
  <w:style w:type="character" w:customStyle="1" w:styleId="Textoindependiente2Car">
    <w:name w:val="Texto independiente 2 Car"/>
    <w:basedOn w:val="Fuentedeprrafopredeter"/>
    <w:link w:val="Textoindependiente2"/>
    <w:uiPriority w:val="99"/>
    <w:rsid w:val="00AF6615"/>
    <w:rPr>
      <w:rFonts w:ascii="Arial" w:eastAsia="Times New Roman" w:hAnsi="Arial" w:cs="Times New Roman"/>
      <w:b/>
      <w:sz w:val="48"/>
      <w:szCs w:val="20"/>
      <w:shd w:val="clear" w:color="0000FF" w:fill="auto"/>
      <w:lang w:eastAsia="zh-CN"/>
    </w:rPr>
  </w:style>
  <w:style w:type="paragraph" w:styleId="Mapadeldocumento">
    <w:name w:val="Document Map"/>
    <w:basedOn w:val="Normal"/>
    <w:link w:val="MapadeldocumentoCar"/>
    <w:uiPriority w:val="99"/>
    <w:semiHidden/>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ahoma"/>
      <w:sz w:val="20"/>
      <w:szCs w:val="20"/>
      <w:lang w:eastAsia="zh-CN"/>
    </w:rPr>
  </w:style>
  <w:style w:type="character" w:customStyle="1" w:styleId="MapadeldocumentoCar">
    <w:name w:val="Mapa del documento Car"/>
    <w:basedOn w:val="Fuentedeprrafopredeter"/>
    <w:link w:val="Mapadeldocumento"/>
    <w:uiPriority w:val="99"/>
    <w:semiHidden/>
    <w:rsid w:val="00AF6615"/>
    <w:rPr>
      <w:rFonts w:ascii="Tahoma" w:eastAsia="Times New Roman" w:hAnsi="Tahoma" w:cs="Tahoma"/>
      <w:sz w:val="20"/>
      <w:szCs w:val="20"/>
      <w:shd w:val="clear" w:color="auto" w:fill="000080"/>
      <w:lang w:eastAsia="zh-CN"/>
    </w:rPr>
  </w:style>
  <w:style w:type="paragraph" w:styleId="Textoindependiente3">
    <w:name w:val="Body Text 3"/>
    <w:basedOn w:val="Normal"/>
    <w:link w:val="Textoindependiente3Car"/>
    <w:uiPriority w:val="99"/>
    <w:rsid w:val="00AF6615"/>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16"/>
      <w:lang w:eastAsia="zh-CN"/>
    </w:rPr>
  </w:style>
  <w:style w:type="character" w:customStyle="1" w:styleId="Textoindependiente3Car">
    <w:name w:val="Texto independiente 3 Car"/>
    <w:basedOn w:val="Fuentedeprrafopredeter"/>
    <w:link w:val="Textoindependiente3"/>
    <w:uiPriority w:val="99"/>
    <w:rsid w:val="00AF6615"/>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AF6615"/>
    <w:rPr>
      <w:rFonts w:ascii="Courier New" w:eastAsia="Times New Roman" w:hAnsi="Courier New" w:cs="Times New Roman"/>
      <w:sz w:val="20"/>
      <w:szCs w:val="20"/>
      <w:lang w:val="en-GB"/>
    </w:rPr>
  </w:style>
  <w:style w:type="paragraph" w:styleId="Ttulo">
    <w:name w:val="Title"/>
    <w:basedOn w:val="Normal"/>
    <w:link w:val="TtuloCar"/>
    <w:uiPriority w:val="99"/>
    <w:qFormat/>
    <w:rsid w:val="00AF6615"/>
    <w:pPr>
      <w:spacing w:after="0" w:line="240" w:lineRule="auto"/>
      <w:jc w:val="center"/>
    </w:pPr>
    <w:rPr>
      <w:rFonts w:ascii="Arial" w:eastAsia="Times New Roman" w:hAnsi="Arial" w:cs="Times New Roman"/>
      <w:b/>
      <w:sz w:val="32"/>
      <w:szCs w:val="20"/>
    </w:rPr>
  </w:style>
  <w:style w:type="character" w:customStyle="1" w:styleId="TtuloCar">
    <w:name w:val="Título Car"/>
    <w:basedOn w:val="Fuentedeprrafopredeter"/>
    <w:link w:val="Ttulo"/>
    <w:uiPriority w:val="99"/>
    <w:rsid w:val="00AF6615"/>
    <w:rPr>
      <w:rFonts w:ascii="Arial" w:eastAsia="Times New Roman" w:hAnsi="Arial" w:cs="Times New Roman"/>
      <w:b/>
      <w:sz w:val="32"/>
      <w:szCs w:val="20"/>
    </w:rPr>
  </w:style>
  <w:style w:type="paragraph" w:styleId="Asuntodelcomentario">
    <w:name w:val="annotation subject"/>
    <w:basedOn w:val="Textocomentario"/>
    <w:next w:val="Textocomentario"/>
    <w:link w:val="AsuntodelcomentarioCar"/>
    <w:uiPriority w:val="99"/>
    <w:semiHidden/>
    <w:rsid w:val="00AF6615"/>
    <w:rPr>
      <w:b/>
      <w:bCs/>
    </w:rPr>
  </w:style>
  <w:style w:type="character" w:customStyle="1" w:styleId="AsuntodelcomentarioCar">
    <w:name w:val="Asunto del comentario Car"/>
    <w:basedOn w:val="TextocomentarioCar"/>
    <w:link w:val="Asuntodelcomentario"/>
    <w:uiPriority w:val="99"/>
    <w:semiHidden/>
    <w:rsid w:val="00AF6615"/>
    <w:rPr>
      <w:rFonts w:ascii="Times New Roman" w:eastAsia="Times New Roman" w:hAnsi="Times New Roman" w:cs="Times New Roman"/>
      <w:b/>
      <w:bCs/>
      <w:sz w:val="20"/>
      <w:szCs w:val="20"/>
      <w:lang w:val="x-none" w:eastAsia="zh-CN"/>
    </w:rPr>
  </w:style>
  <w:style w:type="paragraph" w:styleId="Textonotapie">
    <w:name w:val="footnote text"/>
    <w:basedOn w:val="Normal"/>
    <w:link w:val="TextonotapieCar"/>
    <w:uiPriority w:val="99"/>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uiPriority w:val="99"/>
    <w:rsid w:val="00AF6615"/>
    <w:rPr>
      <w:rFonts w:ascii="Times New Roman" w:eastAsia="Times New Roman" w:hAnsi="Times New Roman" w:cs="Times New Roman"/>
      <w:sz w:val="20"/>
      <w:szCs w:val="20"/>
      <w:lang w:eastAsia="zh-CN"/>
    </w:rPr>
  </w:style>
  <w:style w:type="character" w:styleId="Refdenotaalpie">
    <w:name w:val="footnote reference"/>
    <w:uiPriority w:val="99"/>
    <w:semiHidden/>
    <w:rsid w:val="00AF6615"/>
    <w:rPr>
      <w:vertAlign w:val="superscript"/>
    </w:rPr>
  </w:style>
  <w:style w:type="paragraph" w:customStyle="1" w:styleId="Pelota">
    <w:name w:val="Pelota"/>
    <w:basedOn w:val="Normal"/>
    <w:uiPriority w:val="99"/>
    <w:rsid w:val="00AF6615"/>
    <w:pPr>
      <w:spacing w:after="0" w:line="240" w:lineRule="auto"/>
      <w:jc w:val="both"/>
    </w:pPr>
    <w:rPr>
      <w:rFonts w:ascii="Times New Roman" w:eastAsia="Times New Roman" w:hAnsi="Times New Roman" w:cs="Times New Roman"/>
      <w:szCs w:val="24"/>
      <w:lang w:val="en-US" w:eastAsia="es-ES"/>
    </w:rPr>
  </w:style>
  <w:style w:type="table" w:styleId="Tablaconcuadrcula">
    <w:name w:val="Table Grid"/>
    <w:basedOn w:val="Tablanormal"/>
    <w:uiPriority w:val="99"/>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AF6615"/>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AF6615"/>
    <w:rPr>
      <w:rFonts w:ascii="Arial" w:hAnsi="Arial"/>
      <w:sz w:val="22"/>
      <w:lang w:val="es-ES_tradnl" w:eastAsia="zh-CN" w:bidi="ar-SA"/>
    </w:rPr>
  </w:style>
  <w:style w:type="paragraph" w:styleId="Prrafodelista">
    <w:name w:val="List Paragraph"/>
    <w:aliases w:val="Lista 123"/>
    <w:basedOn w:val="Normal"/>
    <w:link w:val="PrrafodelistaCar"/>
    <w:qFormat/>
    <w:rsid w:val="00AF6615"/>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styleId="Revisin">
    <w:name w:val="Revision"/>
    <w:hidden/>
    <w:uiPriority w:val="99"/>
    <w:semiHidden/>
    <w:rsid w:val="00AF6615"/>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unhideWhenUsed/>
    <w:rsid w:val="00AF6615"/>
    <w:rPr>
      <w:color w:val="0000FF"/>
      <w:u w:val="single"/>
    </w:rPr>
  </w:style>
  <w:style w:type="character" w:styleId="Hipervnculovisitado">
    <w:name w:val="FollowedHyperlink"/>
    <w:uiPriority w:val="99"/>
    <w:rsid w:val="00AF6615"/>
    <w:rPr>
      <w:color w:val="800080"/>
      <w:u w:val="single"/>
    </w:rPr>
  </w:style>
  <w:style w:type="paragraph" w:styleId="TtulodeTDC">
    <w:name w:val="TOC Heading"/>
    <w:basedOn w:val="Ttulo1"/>
    <w:next w:val="Normal"/>
    <w:uiPriority w:val="99"/>
    <w:qFormat/>
    <w:rsid w:val="00AF6615"/>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AF6615"/>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rsid w:val="00AF6615"/>
    <w:pPr>
      <w:spacing w:after="0" w:line="240" w:lineRule="auto"/>
      <w:ind w:left="720"/>
      <w:jc w:val="both"/>
    </w:pPr>
    <w:rPr>
      <w:rFonts w:ascii="Arial" w:eastAsia="Batang" w:hAnsi="Arial" w:cs="Times New Roman"/>
      <w:szCs w:val="20"/>
      <w:lang w:val="es-ES" w:eastAsia="es-ES"/>
    </w:rPr>
  </w:style>
  <w:style w:type="numbering" w:customStyle="1" w:styleId="Estilo1">
    <w:name w:val="Estilo1"/>
    <w:rsid w:val="00AF6615"/>
    <w:pPr>
      <w:numPr>
        <w:numId w:val="39"/>
      </w:numPr>
    </w:pPr>
  </w:style>
  <w:style w:type="numbering" w:customStyle="1" w:styleId="Sinlista11">
    <w:name w:val="Sin lista11"/>
    <w:next w:val="Sinlista"/>
    <w:semiHidden/>
    <w:rsid w:val="00AF6615"/>
  </w:style>
  <w:style w:type="paragraph" w:customStyle="1" w:styleId="Textoindependiente22">
    <w:name w:val="Texto independiente 22"/>
    <w:basedOn w:val="Normal"/>
    <w:rsid w:val="00AF6615"/>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rsid w:val="00AF6615"/>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rsid w:val="00AF6615"/>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basedOn w:val="Tablanormal"/>
    <w:next w:val="Tablaconcuadrcula"/>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AF6615"/>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FooterChar">
    <w:name w:val="Footer Char"/>
    <w:basedOn w:val="Fuentedeprrafopredeter"/>
    <w:locked/>
    <w:rsid w:val="00AF6615"/>
    <w:rPr>
      <w:rFonts w:ascii="Arial" w:hAnsi="Arial" w:cs="Times New Roman"/>
      <w:sz w:val="22"/>
      <w:lang w:val="es-ES_tradnl" w:eastAsia="zh-CN" w:bidi="ar-SA"/>
    </w:rPr>
  </w:style>
  <w:style w:type="numbering" w:customStyle="1" w:styleId="Sinlista2">
    <w:name w:val="Sin lista2"/>
    <w:next w:val="Sinlista"/>
    <w:semiHidden/>
    <w:rsid w:val="00AF6615"/>
  </w:style>
  <w:style w:type="paragraph" w:customStyle="1" w:styleId="Textoindependiente23">
    <w:name w:val="Texto independiente 23"/>
    <w:basedOn w:val="Normal"/>
    <w:rsid w:val="00AF6615"/>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AF6615"/>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AF6615"/>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AF6615"/>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AF6615"/>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
    <w:name w:val="Tabla con cuadrícula2"/>
    <w:basedOn w:val="Tablanormal"/>
    <w:next w:val="Tablaconcuadrcula"/>
    <w:rsid w:val="00AF6615"/>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AF6615"/>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3">
    <w:name w:val="Sin lista3"/>
    <w:next w:val="Sinlista"/>
    <w:uiPriority w:val="99"/>
    <w:semiHidden/>
    <w:unhideWhenUsed/>
    <w:rsid w:val="00AF6615"/>
  </w:style>
  <w:style w:type="numbering" w:customStyle="1" w:styleId="Sinlista4">
    <w:name w:val="Sin lista4"/>
    <w:next w:val="Sinlista"/>
    <w:uiPriority w:val="99"/>
    <w:semiHidden/>
    <w:unhideWhenUsed/>
    <w:rsid w:val="00661AB1"/>
  </w:style>
  <w:style w:type="character" w:customStyle="1" w:styleId="CarCar">
    <w:name w:val="Car Car"/>
    <w:uiPriority w:val="99"/>
    <w:rsid w:val="00661AB1"/>
    <w:rPr>
      <w:rFonts w:ascii="Arial" w:hAnsi="Arial" w:cs="Times New Roman"/>
      <w:sz w:val="22"/>
      <w:lang w:val="es-ES_tradnl" w:eastAsia="zh-CN" w:bidi="ar-SA"/>
    </w:rPr>
  </w:style>
  <w:style w:type="paragraph" w:customStyle="1" w:styleId="Estilo">
    <w:name w:val="Estilo"/>
    <w:uiPriority w:val="99"/>
    <w:rsid w:val="00661AB1"/>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p10">
    <w:name w:val="p10"/>
    <w:basedOn w:val="Normal"/>
    <w:uiPriority w:val="99"/>
    <w:rsid w:val="00661AB1"/>
    <w:pPr>
      <w:widowControl w:val="0"/>
      <w:spacing w:after="0" w:line="240" w:lineRule="atLeast"/>
      <w:ind w:left="740" w:hanging="740"/>
    </w:pPr>
    <w:rPr>
      <w:rFonts w:ascii="Times" w:eastAsia="Times New Roman" w:hAnsi="Times" w:cs="Times New Roman"/>
      <w:sz w:val="24"/>
      <w:szCs w:val="20"/>
      <w:lang w:val="es-ES" w:eastAsia="es-ES"/>
    </w:rPr>
  </w:style>
  <w:style w:type="paragraph" w:styleId="Subttulo">
    <w:name w:val="Subtitle"/>
    <w:basedOn w:val="Normal"/>
    <w:next w:val="Normal"/>
    <w:link w:val="SubttuloCar"/>
    <w:uiPriority w:val="99"/>
    <w:qFormat/>
    <w:rsid w:val="00661AB1"/>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661AB1"/>
    <w:rPr>
      <w:rFonts w:ascii="Cambria" w:eastAsia="Times New Roman" w:hAnsi="Cambria" w:cs="Times New Roman"/>
      <w:sz w:val="24"/>
      <w:szCs w:val="24"/>
      <w:lang w:val="es-ES" w:eastAsia="es-ES"/>
    </w:rPr>
  </w:style>
  <w:style w:type="paragraph" w:customStyle="1" w:styleId="BodyText1">
    <w:name w:val="Body Text 1"/>
    <w:basedOn w:val="Normal"/>
    <w:link w:val="BodyText1Car"/>
    <w:autoRedefine/>
    <w:uiPriority w:val="99"/>
    <w:rsid w:val="00661AB1"/>
    <w:pPr>
      <w:tabs>
        <w:tab w:val="left" w:pos="1080"/>
      </w:tabs>
      <w:overflowPunct w:val="0"/>
      <w:autoSpaceDE w:val="0"/>
      <w:autoSpaceDN w:val="0"/>
      <w:adjustRightInd w:val="0"/>
      <w:spacing w:before="60" w:after="120" w:line="240" w:lineRule="auto"/>
      <w:ind w:left="600"/>
      <w:jc w:val="both"/>
      <w:textAlignment w:val="baseline"/>
    </w:pPr>
    <w:rPr>
      <w:rFonts w:ascii="Arial" w:eastAsia="Times New Roman" w:hAnsi="Arial" w:cs="Arial"/>
      <w:bCs/>
      <w:sz w:val="20"/>
      <w:szCs w:val="20"/>
      <w:lang w:val="es-ES"/>
    </w:rPr>
  </w:style>
  <w:style w:type="character" w:customStyle="1" w:styleId="BodyText1Car">
    <w:name w:val="Body Text 1 Car"/>
    <w:link w:val="BodyText1"/>
    <w:uiPriority w:val="99"/>
    <w:locked/>
    <w:rsid w:val="00661AB1"/>
    <w:rPr>
      <w:rFonts w:ascii="Arial" w:eastAsia="Times New Roman" w:hAnsi="Arial" w:cs="Arial"/>
      <w:bCs/>
      <w:sz w:val="20"/>
      <w:szCs w:val="20"/>
      <w:lang w:val="es-ES"/>
    </w:rPr>
  </w:style>
  <w:style w:type="character" w:customStyle="1" w:styleId="FooterChar1">
    <w:name w:val="Footer Char1"/>
    <w:uiPriority w:val="99"/>
    <w:locked/>
    <w:rsid w:val="00661AB1"/>
    <w:rPr>
      <w:rFonts w:ascii="Arial" w:hAnsi="Arial"/>
      <w:sz w:val="22"/>
      <w:lang w:val="es-ES_tradnl" w:eastAsia="zh-CN"/>
    </w:rPr>
  </w:style>
  <w:style w:type="character" w:customStyle="1" w:styleId="HeaderChar">
    <w:name w:val="Header Char"/>
    <w:uiPriority w:val="99"/>
    <w:semiHidden/>
    <w:locked/>
    <w:rsid w:val="00474399"/>
    <w:rPr>
      <w:rFonts w:cs="Times New Roman"/>
    </w:rPr>
  </w:style>
  <w:style w:type="numbering" w:customStyle="1" w:styleId="Estilo11">
    <w:name w:val="Estilo11"/>
    <w:rsid w:val="00474399"/>
    <w:pPr>
      <w:numPr>
        <w:numId w:val="57"/>
      </w:numPr>
    </w:pPr>
  </w:style>
  <w:style w:type="numbering" w:customStyle="1" w:styleId="Sinlista5">
    <w:name w:val="Sin lista5"/>
    <w:next w:val="Sinlista"/>
    <w:uiPriority w:val="99"/>
    <w:semiHidden/>
    <w:unhideWhenUsed/>
    <w:rsid w:val="00EF4587"/>
  </w:style>
  <w:style w:type="character" w:customStyle="1" w:styleId="PrrafodelistaCar">
    <w:name w:val="Párrafo de lista Car"/>
    <w:aliases w:val="Lista 123 Car"/>
    <w:link w:val="Prrafodelista"/>
    <w:locked/>
    <w:rsid w:val="008F079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6EC2-3325-4735-86D2-FBC38BFFE2DB}">
  <ds:schemaRefs>
    <ds:schemaRef ds:uri="http://schemas.openxmlformats.org/officeDocument/2006/bibliography"/>
  </ds:schemaRefs>
</ds:datastoreItem>
</file>

<file path=customXml/itemProps2.xml><?xml version="1.0" encoding="utf-8"?>
<ds:datastoreItem xmlns:ds="http://schemas.openxmlformats.org/officeDocument/2006/customXml" ds:itemID="{C053BA3A-9279-4A51-97CD-1F5D97D88123}">
  <ds:schemaRefs>
    <ds:schemaRef ds:uri="http://schemas.openxmlformats.org/officeDocument/2006/bibliography"/>
  </ds:schemaRefs>
</ds:datastoreItem>
</file>

<file path=customXml/itemProps3.xml><?xml version="1.0" encoding="utf-8"?>
<ds:datastoreItem xmlns:ds="http://schemas.openxmlformats.org/officeDocument/2006/customXml" ds:itemID="{3FDBDD1D-C4AE-4AB8-A8E4-BFC1B7D3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35720</Words>
  <Characters>196462</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Ahane Ahane</dc:creator>
  <cp:lastModifiedBy>Wendy Huambachano</cp:lastModifiedBy>
  <cp:revision>2</cp:revision>
  <cp:lastPrinted>2013-11-13T22:15:00Z</cp:lastPrinted>
  <dcterms:created xsi:type="dcterms:W3CDTF">2013-11-13T22:15:00Z</dcterms:created>
  <dcterms:modified xsi:type="dcterms:W3CDTF">2013-11-13T22:15:00Z</dcterms:modified>
</cp:coreProperties>
</file>